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asciiTheme="minorEastAsia" w:hAnsiTheme="minorEastAsia" w:eastAsiaTheme="minorEastAsia"/>
          <w:b/>
          <w:bCs/>
          <w:sz w:val="30"/>
          <w:szCs w:val="30"/>
          <w:lang w:val="zh-CN"/>
        </w:rPr>
      </w:pPr>
    </w:p>
    <w:p>
      <w:pPr>
        <w:autoSpaceDE w:val="0"/>
        <w:autoSpaceDN w:val="0"/>
        <w:adjustRightInd w:val="0"/>
        <w:snapToGrid w:val="0"/>
        <w:spacing w:line="360" w:lineRule="auto"/>
        <w:rPr>
          <w:rFonts w:asciiTheme="minorEastAsia" w:hAnsiTheme="minorEastAsia" w:eastAsiaTheme="minorEastAsia"/>
        </w:rPr>
      </w:pPr>
      <w:r>
        <w:rPr>
          <w:rFonts w:asciiTheme="minorEastAsia" w:hAnsiTheme="minorEastAsia" w:eastAsiaTheme="minorEastAsia"/>
          <w:b/>
          <w:bCs/>
          <w:sz w:val="30"/>
          <w:szCs w:val="30"/>
          <w:lang w:val="zh-CN"/>
        </w:rPr>
        <w:t>政府采购项目</w:t>
      </w:r>
    </w:p>
    <w:p>
      <w:pPr>
        <w:autoSpaceDE w:val="0"/>
        <w:autoSpaceDN w:val="0"/>
        <w:adjustRightInd w:val="0"/>
        <w:snapToGrid w:val="0"/>
        <w:spacing w:line="360" w:lineRule="auto"/>
        <w:rPr>
          <w:rFonts w:asciiTheme="minorEastAsia" w:hAnsiTheme="minorEastAsia" w:eastAsiaTheme="minorEastAsia"/>
          <w:b/>
          <w:bCs/>
          <w:sz w:val="30"/>
          <w:szCs w:val="30"/>
          <w:lang w:val="zh-CN"/>
        </w:rPr>
      </w:pPr>
      <w:r>
        <w:rPr>
          <w:rFonts w:asciiTheme="minorEastAsia" w:hAnsiTheme="minorEastAsia" w:eastAsiaTheme="minorEastAsia"/>
          <w:b/>
          <w:bCs/>
          <w:sz w:val="30"/>
          <w:szCs w:val="30"/>
          <w:lang w:val="zh-CN"/>
        </w:rPr>
        <w:t>采购项目编号：</w:t>
      </w:r>
      <w:r>
        <w:rPr>
          <w:rFonts w:hint="eastAsia" w:asciiTheme="minorEastAsia" w:hAnsiTheme="minorEastAsia" w:eastAsiaTheme="minorEastAsia"/>
          <w:b/>
          <w:bCs/>
          <w:sz w:val="30"/>
          <w:szCs w:val="30"/>
          <w:lang w:val="zh-CN"/>
        </w:rPr>
        <w:t>NEXXMGL2023-GK1020</w:t>
      </w:r>
    </w:p>
    <w:p>
      <w:pPr>
        <w:spacing w:line="240" w:lineRule="atLeast"/>
        <w:ind w:left="1079" w:leftChars="257" w:hanging="540"/>
        <w:jc w:val="center"/>
        <w:rPr>
          <w:rFonts w:asciiTheme="minorEastAsia" w:hAnsiTheme="minorEastAsia" w:eastAsiaTheme="minorEastAsia"/>
          <w:b/>
          <w:sz w:val="52"/>
          <w:szCs w:val="52"/>
        </w:rPr>
      </w:pPr>
    </w:p>
    <w:p>
      <w:pPr>
        <w:spacing w:line="240" w:lineRule="atLeast"/>
        <w:ind w:left="1079" w:leftChars="257" w:hanging="540"/>
        <w:jc w:val="center"/>
        <w:rPr>
          <w:rFonts w:asciiTheme="minorEastAsia" w:hAnsiTheme="minorEastAsia" w:eastAsiaTheme="minorEastAsia"/>
          <w:b/>
          <w:sz w:val="52"/>
          <w:szCs w:val="52"/>
        </w:rPr>
      </w:pPr>
    </w:p>
    <w:p>
      <w:pPr>
        <w:autoSpaceDE w:val="0"/>
        <w:autoSpaceDN w:val="0"/>
        <w:adjustRightInd w:val="0"/>
        <w:snapToGrid w:val="0"/>
        <w:spacing w:line="360" w:lineRule="auto"/>
        <w:jc w:val="center"/>
        <w:rPr>
          <w:rFonts w:asciiTheme="minorEastAsia" w:hAnsiTheme="minorEastAsia" w:eastAsiaTheme="minorEastAsia"/>
          <w:b/>
          <w:bCs/>
          <w:sz w:val="44"/>
          <w:szCs w:val="44"/>
        </w:rPr>
      </w:pPr>
      <w:r>
        <w:rPr>
          <w:rFonts w:hint="eastAsia" w:asciiTheme="minorEastAsia" w:hAnsiTheme="minorEastAsia" w:eastAsiaTheme="minorEastAsia"/>
          <w:b/>
          <w:bCs/>
          <w:sz w:val="36"/>
          <w:szCs w:val="36"/>
        </w:rPr>
        <w:t>2023年莲湖疾控区域中心实验室仪器设备采购项目</w:t>
      </w:r>
    </w:p>
    <w:p>
      <w:pPr>
        <w:pStyle w:val="12"/>
        <w:rPr>
          <w:rFonts w:asciiTheme="minorEastAsia" w:hAnsiTheme="minorEastAsia" w:eastAsiaTheme="minorEastAsia"/>
        </w:rPr>
      </w:pPr>
    </w:p>
    <w:p/>
    <w:p>
      <w:pPr>
        <w:tabs>
          <w:tab w:val="left" w:pos="5670"/>
        </w:tabs>
        <w:autoSpaceDE w:val="0"/>
        <w:autoSpaceDN w:val="0"/>
        <w:adjustRightInd w:val="0"/>
        <w:snapToGrid w:val="0"/>
        <w:spacing w:line="360" w:lineRule="auto"/>
        <w:jc w:val="center"/>
        <w:rPr>
          <w:rFonts w:asciiTheme="minorEastAsia" w:hAnsiTheme="minorEastAsia" w:eastAsiaTheme="minorEastAsia"/>
          <w:b/>
          <w:bCs/>
          <w:sz w:val="36"/>
          <w:szCs w:val="36"/>
          <w:lang w:val="zh-CN"/>
        </w:rPr>
      </w:pPr>
    </w:p>
    <w:p>
      <w:pPr>
        <w:pStyle w:val="51"/>
        <w:rPr>
          <w:rFonts w:asciiTheme="minorEastAsia" w:hAnsiTheme="minorEastAsia" w:eastAsiaTheme="minorEastAsia"/>
          <w:b/>
          <w:bCs/>
          <w:sz w:val="36"/>
          <w:szCs w:val="36"/>
          <w:lang w:val="zh-CN"/>
        </w:rPr>
      </w:pPr>
    </w:p>
    <w:p>
      <w:pPr>
        <w:pStyle w:val="51"/>
        <w:rPr>
          <w:rFonts w:asciiTheme="minorEastAsia" w:hAnsiTheme="minorEastAsia" w:eastAsiaTheme="minorEastAsia"/>
          <w:b/>
          <w:bCs/>
          <w:sz w:val="36"/>
          <w:szCs w:val="36"/>
          <w:lang w:val="zh-CN"/>
        </w:rPr>
      </w:pPr>
    </w:p>
    <w:p>
      <w:pPr>
        <w:tabs>
          <w:tab w:val="left" w:pos="5670"/>
        </w:tabs>
        <w:autoSpaceDE w:val="0"/>
        <w:autoSpaceDN w:val="0"/>
        <w:adjustRightInd w:val="0"/>
        <w:snapToGrid w:val="0"/>
        <w:spacing w:line="360" w:lineRule="auto"/>
        <w:jc w:val="center"/>
        <w:rPr>
          <w:rFonts w:asciiTheme="minorEastAsia" w:hAnsiTheme="minorEastAsia" w:eastAsiaTheme="minorEastAsia"/>
          <w:b/>
          <w:bCs/>
          <w:sz w:val="84"/>
          <w:szCs w:val="84"/>
          <w:lang w:val="zh-CN"/>
        </w:rPr>
      </w:pPr>
      <w:r>
        <w:rPr>
          <w:rFonts w:asciiTheme="minorEastAsia" w:hAnsiTheme="minorEastAsia" w:eastAsiaTheme="minorEastAsia"/>
          <w:b/>
          <w:bCs/>
          <w:sz w:val="84"/>
          <w:szCs w:val="84"/>
          <w:lang w:val="zh-CN"/>
        </w:rPr>
        <w:t>招 标 文 件</w:t>
      </w:r>
    </w:p>
    <w:p>
      <w:pPr>
        <w:spacing w:line="240" w:lineRule="atLeast"/>
        <w:ind w:left="1079" w:leftChars="257" w:hanging="540"/>
        <w:jc w:val="center"/>
        <w:rPr>
          <w:rFonts w:asciiTheme="minorEastAsia" w:hAnsiTheme="minorEastAsia" w:eastAsiaTheme="minorEastAsia"/>
          <w:b/>
          <w:sz w:val="32"/>
          <w:szCs w:val="32"/>
        </w:rPr>
      </w:pPr>
    </w:p>
    <w:p>
      <w:pPr>
        <w:spacing w:line="240" w:lineRule="atLeast"/>
        <w:ind w:left="1079" w:leftChars="257" w:hanging="540"/>
        <w:jc w:val="center"/>
        <w:rPr>
          <w:rFonts w:asciiTheme="minorEastAsia" w:hAnsiTheme="minorEastAsia" w:eastAsiaTheme="minorEastAsia"/>
          <w:b/>
          <w:sz w:val="32"/>
          <w:szCs w:val="32"/>
        </w:rPr>
      </w:pPr>
    </w:p>
    <w:p>
      <w:pPr>
        <w:spacing w:line="240" w:lineRule="atLeast"/>
        <w:ind w:left="1079" w:leftChars="257" w:hanging="540"/>
        <w:rPr>
          <w:rFonts w:asciiTheme="minorEastAsia" w:hAnsiTheme="minorEastAsia" w:eastAsiaTheme="minorEastAsia"/>
          <w:b/>
          <w:sz w:val="28"/>
        </w:rPr>
      </w:pPr>
    </w:p>
    <w:p>
      <w:pPr>
        <w:pStyle w:val="12"/>
        <w:rPr>
          <w:rFonts w:asciiTheme="minorEastAsia" w:hAnsiTheme="minorEastAsia" w:eastAsiaTheme="minorEastAsia"/>
          <w:b/>
          <w:sz w:val="52"/>
        </w:rPr>
      </w:pPr>
    </w:p>
    <w:p>
      <w:pPr>
        <w:pStyle w:val="51"/>
        <w:rPr>
          <w:rFonts w:asciiTheme="minorEastAsia" w:hAnsiTheme="minorEastAsia" w:eastAsiaTheme="minorEastAsia"/>
          <w:b/>
          <w:sz w:val="52"/>
        </w:rPr>
      </w:pPr>
    </w:p>
    <w:p>
      <w:pPr>
        <w:pStyle w:val="51"/>
      </w:pPr>
    </w:p>
    <w:p>
      <w:pPr>
        <w:tabs>
          <w:tab w:val="left" w:pos="5670"/>
        </w:tabs>
        <w:autoSpaceDE w:val="0"/>
        <w:autoSpaceDN w:val="0"/>
        <w:adjustRightInd w:val="0"/>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lang w:val="zh-CN"/>
        </w:rPr>
        <w:t>陕西诺尔信项目管理有限公司</w:t>
      </w:r>
    </w:p>
    <w:p>
      <w:pPr>
        <w:tabs>
          <w:tab w:val="left" w:pos="5460"/>
        </w:tabs>
        <w:autoSpaceDE w:val="0"/>
        <w:autoSpaceDN w:val="0"/>
        <w:adjustRightInd w:val="0"/>
        <w:snapToGrid w:val="0"/>
        <w:spacing w:line="360" w:lineRule="auto"/>
        <w:jc w:val="center"/>
        <w:rPr>
          <w:rFonts w:asciiTheme="minorEastAsia" w:hAnsiTheme="minorEastAsia" w:eastAsiaTheme="minorEastAsia"/>
          <w:b/>
          <w:bCs/>
          <w:sz w:val="32"/>
          <w:szCs w:val="32"/>
          <w:lang w:val="zh-CN"/>
        </w:rPr>
      </w:pPr>
      <w:r>
        <w:rPr>
          <w:rFonts w:asciiTheme="minorEastAsia" w:hAnsiTheme="minorEastAsia" w:eastAsiaTheme="minorEastAsia"/>
          <w:b/>
          <w:bCs/>
          <w:sz w:val="32"/>
          <w:szCs w:val="32"/>
          <w:lang w:val="zh-CN"/>
        </w:rPr>
        <w:t>二〇</w:t>
      </w:r>
      <w:r>
        <w:rPr>
          <w:rFonts w:hint="eastAsia" w:asciiTheme="minorEastAsia" w:hAnsiTheme="minorEastAsia" w:eastAsiaTheme="minorEastAsia"/>
          <w:b/>
          <w:bCs/>
          <w:sz w:val="32"/>
          <w:szCs w:val="32"/>
        </w:rPr>
        <w:t>二三</w:t>
      </w:r>
      <w:r>
        <w:rPr>
          <w:rFonts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四</w:t>
      </w:r>
      <w:r>
        <w:rPr>
          <w:rFonts w:asciiTheme="minorEastAsia" w:hAnsiTheme="minorEastAsia" w:eastAsiaTheme="minorEastAsia"/>
          <w:b/>
          <w:bCs/>
          <w:sz w:val="32"/>
          <w:szCs w:val="32"/>
          <w:lang w:val="zh-CN"/>
        </w:rPr>
        <w:t>月</w:t>
      </w:r>
    </w:p>
    <w:p>
      <w:pPr>
        <w:tabs>
          <w:tab w:val="left" w:pos="5460"/>
        </w:tabs>
        <w:autoSpaceDE w:val="0"/>
        <w:autoSpaceDN w:val="0"/>
        <w:adjustRightInd w:val="0"/>
        <w:snapToGrid w:val="0"/>
        <w:spacing w:line="360" w:lineRule="auto"/>
        <w:jc w:val="center"/>
        <w:rPr>
          <w:rFonts w:asciiTheme="minorEastAsia" w:hAnsiTheme="minorEastAsia" w:eastAsiaTheme="minorEastAsia"/>
          <w:b/>
          <w:bCs/>
          <w:sz w:val="32"/>
          <w:szCs w:val="32"/>
          <w:lang w:val="zh-CN"/>
        </w:rPr>
        <w:sectPr>
          <w:headerReference r:id="rId3" w:type="default"/>
          <w:footerReference r:id="rId4" w:type="default"/>
          <w:pgSz w:w="11906" w:h="16838"/>
          <w:pgMar w:top="1418" w:right="1418" w:bottom="1418" w:left="1418" w:header="851" w:footer="992" w:gutter="0"/>
          <w:pgNumType w:fmt="upperRoman"/>
          <w:cols w:space="720" w:num="1"/>
          <w:docGrid w:type="linesAndChars" w:linePitch="312" w:charSpace="0"/>
        </w:sectPr>
      </w:pPr>
    </w:p>
    <w:p>
      <w:pPr>
        <w:tabs>
          <w:tab w:val="left" w:pos="5460"/>
        </w:tabs>
        <w:autoSpaceDE w:val="0"/>
        <w:autoSpaceDN w:val="0"/>
        <w:adjustRightInd w:val="0"/>
        <w:snapToGrid w:val="0"/>
        <w:spacing w:line="360" w:lineRule="auto"/>
        <w:jc w:val="center"/>
        <w:rPr>
          <w:rFonts w:asciiTheme="minorEastAsia" w:hAnsiTheme="minorEastAsia" w:eastAsiaTheme="minorEastAsia"/>
          <w:b/>
          <w:sz w:val="32"/>
        </w:rPr>
      </w:pPr>
      <w:r>
        <w:rPr>
          <w:rFonts w:asciiTheme="minorEastAsia" w:hAnsiTheme="minorEastAsia" w:eastAsiaTheme="minorEastAsia"/>
          <w:b/>
          <w:sz w:val="32"/>
        </w:rPr>
        <w:t>目  录</w:t>
      </w:r>
    </w:p>
    <w:sdt>
      <w:sdtPr>
        <w:rPr>
          <w:rFonts w:ascii="宋体" w:hAnsi="宋体"/>
        </w:rPr>
        <w:id w:val="147473745"/>
        <w:docPartObj>
          <w:docPartGallery w:val="Table of Contents"/>
          <w:docPartUnique/>
        </w:docPartObj>
      </w:sdtPr>
      <w:sdtEndPr>
        <w:rPr>
          <w:rFonts w:hint="eastAsia" w:cs="宋体" w:asciiTheme="minorEastAsia" w:hAnsiTheme="minorEastAsia" w:eastAsiaTheme="minorEastAsia"/>
          <w:sz w:val="24"/>
        </w:rPr>
      </w:sdtEndPr>
      <w:sdtContent>
        <w:p>
          <w:pPr>
            <w:jc w:val="center"/>
          </w:pPr>
        </w:p>
        <w:p>
          <w:pPr>
            <w:pStyle w:val="23"/>
            <w:tabs>
              <w:tab w:val="right" w:leader="dot" w:pos="9070"/>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"_Toc22472" </w:instrText>
          </w:r>
          <w:r>
            <w:fldChar w:fldCharType="separate"/>
          </w: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_Toc22472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23"/>
            <w:tabs>
              <w:tab w:val="right" w:leader="dot" w:pos="9070"/>
            </w:tabs>
            <w:rPr>
              <w:rFonts w:ascii="宋体" w:hAnsi="宋体" w:cs="宋体"/>
              <w:sz w:val="28"/>
              <w:szCs w:val="28"/>
            </w:rPr>
          </w:pPr>
          <w:r>
            <w:fldChar w:fldCharType="begin"/>
          </w:r>
          <w:r>
            <w:instrText xml:space="preserve"> HYPERLINK \l "_Toc1236"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_Toc1236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23"/>
            <w:tabs>
              <w:tab w:val="right" w:leader="dot" w:pos="9070"/>
            </w:tabs>
            <w:rPr>
              <w:rFonts w:ascii="宋体" w:hAnsi="宋体" w:cs="宋体"/>
              <w:sz w:val="28"/>
              <w:szCs w:val="28"/>
            </w:rPr>
          </w:pPr>
          <w:r>
            <w:fldChar w:fldCharType="begin"/>
          </w:r>
          <w:r>
            <w:instrText xml:space="preserve"> HYPERLINK \l "_Toc23814" </w:instrText>
          </w:r>
          <w:r>
            <w:fldChar w:fldCharType="separate"/>
          </w:r>
          <w:r>
            <w:rPr>
              <w:rFonts w:hint="eastAsia" w:ascii="宋体" w:hAnsi="宋体" w:cs="宋体"/>
              <w:sz w:val="28"/>
              <w:szCs w:val="28"/>
            </w:rPr>
            <w:t>第三章  评标方法和标准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_Toc23814 \h </w:instrText>
          </w:r>
          <w:r>
            <w:rPr>
              <w:rFonts w:hint="eastAsia" w:ascii="宋体" w:hAnsi="宋体" w:cs="宋体"/>
              <w:sz w:val="28"/>
              <w:szCs w:val="28"/>
            </w:rPr>
            <w:fldChar w:fldCharType="separate"/>
          </w:r>
          <w:r>
            <w:rPr>
              <w:rFonts w:hint="eastAsia"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fldChar w:fldCharType="end"/>
          </w:r>
        </w:p>
        <w:p>
          <w:pPr>
            <w:pStyle w:val="23"/>
            <w:tabs>
              <w:tab w:val="right" w:leader="dot" w:pos="9070"/>
            </w:tabs>
            <w:rPr>
              <w:rFonts w:ascii="宋体" w:hAnsi="宋体" w:cs="宋体"/>
              <w:sz w:val="28"/>
              <w:szCs w:val="28"/>
            </w:rPr>
          </w:pPr>
          <w:r>
            <w:fldChar w:fldCharType="begin"/>
          </w:r>
          <w:r>
            <w:instrText xml:space="preserve"> HYPERLINK \l "_Toc23716" </w:instrText>
          </w:r>
          <w:r>
            <w:fldChar w:fldCharType="separate"/>
          </w:r>
          <w:r>
            <w:rPr>
              <w:rFonts w:hint="eastAsia" w:ascii="宋体" w:hAnsi="宋体" w:cs="宋体"/>
              <w:sz w:val="28"/>
              <w:szCs w:val="28"/>
            </w:rPr>
            <w:t>第四章  拟签订的合同文本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_Toc23716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23"/>
            <w:tabs>
              <w:tab w:val="right" w:leader="dot" w:pos="9070"/>
            </w:tabs>
            <w:rPr>
              <w:rFonts w:ascii="宋体" w:hAnsi="宋体" w:cs="宋体"/>
              <w:sz w:val="28"/>
              <w:szCs w:val="28"/>
            </w:rPr>
          </w:pPr>
          <w:r>
            <w:fldChar w:fldCharType="begin"/>
          </w:r>
          <w:r>
            <w:instrText xml:space="preserve"> HYPERLINK \l "_Toc4762" </w:instrText>
          </w:r>
          <w:r>
            <w:fldChar w:fldCharType="separate"/>
          </w:r>
          <w:r>
            <w:rPr>
              <w:rFonts w:hint="eastAsia" w:ascii="宋体" w:hAnsi="宋体" w:cs="宋体"/>
              <w:sz w:val="28"/>
              <w:szCs w:val="28"/>
            </w:rPr>
            <w:t>第五章  采购需求及要求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_Toc4762 \h </w:instrText>
          </w:r>
          <w:r>
            <w:rPr>
              <w:rFonts w:hint="eastAsia" w:ascii="宋体" w:hAnsi="宋体" w:cs="宋体"/>
              <w:sz w:val="28"/>
              <w:szCs w:val="28"/>
            </w:rPr>
            <w:fldChar w:fldCharType="separate"/>
          </w:r>
          <w:r>
            <w:rPr>
              <w:rFonts w:hint="eastAsia"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fldChar w:fldCharType="end"/>
          </w:r>
        </w:p>
        <w:p>
          <w:pPr>
            <w:pStyle w:val="23"/>
            <w:tabs>
              <w:tab w:val="right" w:leader="dot" w:pos="9070"/>
            </w:tabs>
            <w:rPr>
              <w:rFonts w:ascii="宋体" w:hAnsi="宋体" w:cs="宋体"/>
              <w:sz w:val="28"/>
              <w:szCs w:val="28"/>
            </w:rPr>
          </w:pPr>
          <w:r>
            <w:fldChar w:fldCharType="begin"/>
          </w:r>
          <w:r>
            <w:instrText xml:space="preserve"> HYPERLINK \l "_Toc10739" </w:instrText>
          </w:r>
          <w:r>
            <w:fldChar w:fldCharType="separate"/>
          </w:r>
          <w:r>
            <w:rPr>
              <w:rFonts w:hint="eastAsia" w:ascii="宋体" w:hAnsi="宋体" w:cs="宋体"/>
              <w:sz w:val="28"/>
              <w:szCs w:val="28"/>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_Toc10739 \h </w:instrText>
          </w:r>
          <w:r>
            <w:rPr>
              <w:rFonts w:hint="eastAsia" w:ascii="宋体" w:hAnsi="宋体" w:cs="宋体"/>
              <w:sz w:val="28"/>
              <w:szCs w:val="28"/>
            </w:rPr>
            <w:fldChar w:fldCharType="separate"/>
          </w:r>
          <w:r>
            <w:rPr>
              <w:rFonts w:hint="eastAsia" w:ascii="宋体" w:hAnsi="宋体" w:cs="宋体"/>
              <w:sz w:val="28"/>
              <w:szCs w:val="28"/>
            </w:rPr>
            <w:t>61</w:t>
          </w:r>
          <w:r>
            <w:rPr>
              <w:rFonts w:hint="eastAsia" w:ascii="宋体" w:hAnsi="宋体" w:cs="宋体"/>
              <w:sz w:val="28"/>
              <w:szCs w:val="28"/>
            </w:rPr>
            <w:fldChar w:fldCharType="end"/>
          </w:r>
          <w:r>
            <w:rPr>
              <w:rFonts w:hint="eastAsia" w:ascii="宋体" w:hAnsi="宋体" w:cs="宋体"/>
              <w:sz w:val="28"/>
              <w:szCs w:val="28"/>
            </w:rPr>
            <w:fldChar w:fldCharType="end"/>
          </w:r>
        </w:p>
        <w:p>
          <w:pPr>
            <w:pStyle w:val="52"/>
            <w:rPr>
              <w:rFonts w:cs="宋体" w:asciiTheme="minorEastAsia" w:hAnsiTheme="minorEastAsia" w:eastAsiaTheme="minorEastAsia"/>
              <w:szCs w:val="24"/>
            </w:rPr>
            <w:sectPr>
              <w:headerReference r:id="rId5" w:type="default"/>
              <w:footerReference r:id="rId6" w:type="default"/>
              <w:pgSz w:w="11906" w:h="16838"/>
              <w:pgMar w:top="1418" w:right="1418" w:bottom="1418" w:left="1418" w:header="1077" w:footer="992" w:gutter="0"/>
              <w:pgNumType w:start="1"/>
              <w:cols w:space="720" w:num="1"/>
              <w:docGrid w:type="linesAndChars" w:linePitch="312" w:charSpace="0"/>
            </w:sectPr>
          </w:pPr>
          <w:r>
            <w:rPr>
              <w:rFonts w:hint="eastAsia" w:hAnsi="宋体" w:cs="宋体"/>
              <w:sz w:val="28"/>
              <w:szCs w:val="28"/>
            </w:rPr>
            <w:fldChar w:fldCharType="end"/>
          </w:r>
        </w:p>
      </w:sdtContent>
    </w:sdt>
    <w:p>
      <w:pPr>
        <w:pStyle w:val="31"/>
        <w:rPr>
          <w:rFonts w:asciiTheme="minorEastAsia" w:hAnsiTheme="minorEastAsia" w:eastAsiaTheme="minorEastAsia"/>
        </w:rPr>
      </w:pPr>
      <w:bookmarkStart w:id="0" w:name="_Toc22472"/>
      <w:bookmarkStart w:id="1" w:name="_Toc108721078"/>
      <w:bookmarkStart w:id="2" w:name="_Toc17230"/>
      <w:bookmarkStart w:id="3" w:name="_Toc216582804"/>
      <w:bookmarkStart w:id="4" w:name="_Toc22782"/>
      <w:r>
        <w:rPr>
          <w:rFonts w:asciiTheme="minorEastAsia" w:hAnsiTheme="minorEastAsia" w:eastAsiaTheme="minorEastAsia"/>
        </w:rPr>
        <w:t>第一章  招标公告</w:t>
      </w:r>
      <w:bookmarkEnd w:id="0"/>
      <w:bookmarkEnd w:id="1"/>
    </w:p>
    <w:p>
      <w:pPr>
        <w:spacing w:line="520" w:lineRule="exact"/>
        <w:ind w:firstLine="560" w:firstLineChars="200"/>
        <w:jc w:val="center"/>
        <w:rPr>
          <w:rFonts w:asciiTheme="minorEastAsia" w:hAnsiTheme="minorEastAsia" w:eastAsiaTheme="minorEastAsia"/>
          <w:b/>
          <w:sz w:val="28"/>
          <w:szCs w:val="28"/>
        </w:rPr>
      </w:pPr>
      <w:bookmarkStart w:id="5" w:name="OLE_LINK1"/>
      <w:r>
        <w:rPr>
          <w:rFonts w:hint="eastAsia" w:asciiTheme="minorEastAsia" w:hAnsiTheme="minorEastAsia" w:eastAsiaTheme="minorEastAsia"/>
          <w:b/>
          <w:sz w:val="28"/>
          <w:szCs w:val="28"/>
        </w:rPr>
        <w:t>2023年莲湖疾控区域中心实验室仪器设备采购项目招标公告</w:t>
      </w:r>
    </w:p>
    <w:p>
      <w:pPr>
        <w:shd w:val="clear" w:color="auto" w:fill="FFFFFF"/>
        <w:spacing w:line="480" w:lineRule="exact"/>
        <w:rPr>
          <w:rFonts w:asciiTheme="minorEastAsia" w:hAnsiTheme="minorEastAsia" w:eastAsiaTheme="minorEastAsia"/>
        </w:rPr>
      </w:pPr>
      <w:r>
        <w:rPr>
          <w:rStyle w:val="38"/>
          <w:rFonts w:hint="eastAsia" w:asciiTheme="minorEastAsia" w:hAnsiTheme="minorEastAsia" w:eastAsiaTheme="minorEastAsia"/>
        </w:rPr>
        <w:t>项目概况</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highlight w:val="none"/>
        </w:rPr>
      </w:pPr>
      <w:r>
        <w:rPr>
          <w:rFonts w:hint="eastAsia" w:cs="Times New Roman" w:asciiTheme="minorEastAsia" w:hAnsiTheme="minorEastAsia" w:eastAsiaTheme="minorEastAsia"/>
          <w:kern w:val="2"/>
        </w:rPr>
        <w:t>2023年莲湖疾控区域中心实验室仪器设备采购项目的潜在投标人应在西安市莲湖区光远路16号新世纪大厦7 层B区获取招标文件，并于2023年</w:t>
      </w:r>
      <w:r>
        <w:rPr>
          <w:rFonts w:hint="eastAsia" w:cs="Times New Roman" w:asciiTheme="minorEastAsia" w:hAnsiTheme="minorEastAsia" w:eastAsiaTheme="minorEastAsia"/>
          <w:kern w:val="2"/>
          <w:highlight w:val="none"/>
          <w:lang w:val="en-US" w:eastAsia="zh-CN"/>
        </w:rPr>
        <w:t>05</w:t>
      </w:r>
      <w:r>
        <w:rPr>
          <w:rFonts w:hint="eastAsia" w:cs="Times New Roman" w:asciiTheme="minorEastAsia" w:hAnsiTheme="minorEastAsia" w:eastAsiaTheme="minorEastAsia"/>
          <w:kern w:val="2"/>
          <w:highlight w:val="none"/>
        </w:rPr>
        <w:t>月</w:t>
      </w:r>
      <w:r>
        <w:rPr>
          <w:rFonts w:hint="eastAsia" w:cs="Times New Roman" w:asciiTheme="minorEastAsia" w:hAnsiTheme="minorEastAsia" w:eastAsiaTheme="minorEastAsia"/>
          <w:kern w:val="2"/>
          <w:highlight w:val="none"/>
          <w:lang w:val="en-US" w:eastAsia="zh-CN"/>
        </w:rPr>
        <w:t>18</w:t>
      </w:r>
      <w:r>
        <w:rPr>
          <w:rFonts w:hint="eastAsia" w:cs="Times New Roman" w:asciiTheme="minorEastAsia" w:hAnsiTheme="minorEastAsia" w:eastAsiaTheme="minorEastAsia"/>
          <w:kern w:val="2"/>
          <w:highlight w:val="none"/>
        </w:rPr>
        <w:t>日</w:t>
      </w:r>
      <w:r>
        <w:rPr>
          <w:rFonts w:hint="eastAsia" w:cs="Times New Roman" w:asciiTheme="minorEastAsia" w:hAnsiTheme="minorEastAsia" w:eastAsiaTheme="minorEastAsia"/>
          <w:kern w:val="2"/>
          <w:highlight w:val="none"/>
          <w:lang w:val="en-US" w:eastAsia="zh-CN"/>
        </w:rPr>
        <w:t>14</w:t>
      </w:r>
      <w:r>
        <w:rPr>
          <w:rFonts w:hint="eastAsia" w:cs="Times New Roman" w:asciiTheme="minorEastAsia" w:hAnsiTheme="minorEastAsia" w:eastAsiaTheme="minorEastAsia"/>
          <w:kern w:val="2"/>
          <w:highlight w:val="none"/>
        </w:rPr>
        <w:t>时30分（北京时间）前递交投标文件。</w:t>
      </w:r>
    </w:p>
    <w:p>
      <w:pPr>
        <w:shd w:val="clear" w:color="auto" w:fill="FFFFFF"/>
        <w:spacing w:line="480" w:lineRule="exact"/>
        <w:rPr>
          <w:rFonts w:asciiTheme="minorEastAsia" w:hAnsiTheme="minorEastAsia" w:eastAsiaTheme="minorEastAsia"/>
          <w:highlight w:val="none"/>
        </w:rPr>
      </w:pPr>
      <w:bookmarkStart w:id="6" w:name="_Toc108721087"/>
      <w:r>
        <w:rPr>
          <w:rStyle w:val="38"/>
          <w:rFonts w:hint="eastAsia" w:asciiTheme="minorEastAsia" w:hAnsiTheme="minorEastAsia" w:eastAsiaTheme="minorEastAsia"/>
          <w:b w:val="0"/>
          <w:highlight w:val="none"/>
        </w:rPr>
        <w:t>一、项目基本情况</w:t>
      </w:r>
    </w:p>
    <w:p>
      <w:pPr>
        <w:pStyle w:val="29"/>
        <w:shd w:val="clear" w:color="auto" w:fill="FFFFFF"/>
        <w:spacing w:before="0" w:beforeAutospacing="0" w:after="0" w:afterAutospacing="0" w:line="480" w:lineRule="atLeast"/>
        <w:ind w:firstLine="480"/>
        <w:jc w:val="both"/>
        <w:rPr>
          <w:rFonts w:hint="eastAsia" w:asciiTheme="minorEastAsia" w:hAnsiTheme="minorEastAsia" w:eastAsiaTheme="minorEastAsia"/>
          <w:kern w:val="2"/>
          <w:highlight w:val="none"/>
          <w:lang w:eastAsia="zh-CN"/>
        </w:rPr>
      </w:pPr>
      <w:r>
        <w:rPr>
          <w:rFonts w:hint="eastAsia" w:asciiTheme="minorEastAsia" w:hAnsiTheme="minorEastAsia" w:eastAsiaTheme="minorEastAsia"/>
          <w:kern w:val="2"/>
        </w:rPr>
        <w:t>项目编</w:t>
      </w:r>
      <w:r>
        <w:rPr>
          <w:rFonts w:hint="eastAsia" w:asciiTheme="minorEastAsia" w:hAnsiTheme="minorEastAsia" w:eastAsiaTheme="minorEastAsia"/>
          <w:kern w:val="2"/>
          <w:highlight w:val="none"/>
        </w:rPr>
        <w:t>号：</w:t>
      </w:r>
      <w:r>
        <w:rPr>
          <w:rFonts w:hint="eastAsia" w:asciiTheme="minorEastAsia" w:hAnsiTheme="minorEastAsia" w:eastAsiaTheme="minorEastAsia"/>
          <w:kern w:val="2"/>
          <w:highlight w:val="none"/>
          <w:lang w:eastAsia="zh-CN"/>
        </w:rPr>
        <w:t>NEXXMGL2023-GK1020</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项目名称：2023年莲湖疾控区域中心实验室仪器设备采购项目</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采购方式：公开招标</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预算金额：2,267,000.00元</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采购需求：</w:t>
      </w:r>
    </w:p>
    <w:p>
      <w:pPr>
        <w:spacing w:line="520" w:lineRule="exact"/>
        <w:ind w:firstLine="480" w:firstLineChars="200"/>
        <w:rPr>
          <w:rFonts w:asciiTheme="minorEastAsia" w:hAnsiTheme="minorEastAsia" w:eastAsiaTheme="minorEastAsia"/>
          <w:sz w:val="24"/>
          <w:highlight w:val="none"/>
        </w:rPr>
      </w:pPr>
      <w:bookmarkStart w:id="7" w:name="_Toc114840400"/>
      <w:r>
        <w:rPr>
          <w:rFonts w:hint="eastAsia" w:asciiTheme="minorEastAsia" w:hAnsiTheme="minorEastAsia" w:eastAsiaTheme="minorEastAsia"/>
          <w:sz w:val="24"/>
          <w:highlight w:val="none"/>
        </w:rPr>
        <w:t>合同包1(气相色谱-质谱联用仪等仪器设备):</w:t>
      </w:r>
      <w:bookmarkEnd w:id="7"/>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合同包预算金额：1,189,000.00元</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color w:val="FF0000"/>
          <w:kern w:val="2"/>
          <w:highlight w:val="none"/>
        </w:rPr>
      </w:pPr>
      <w:r>
        <w:rPr>
          <w:rFonts w:hint="eastAsia" w:asciiTheme="minorEastAsia" w:hAnsiTheme="minorEastAsia" w:eastAsiaTheme="minorEastAsia"/>
          <w:kern w:val="2"/>
          <w:highlight w:val="none"/>
        </w:rPr>
        <w:t>合同包最高限价：1,189,000.00元</w:t>
      </w:r>
    </w:p>
    <w:tbl>
      <w:tblPr>
        <w:tblStyle w:val="35"/>
        <w:tblW w:w="4916" w:type="pct"/>
        <w:tblInd w:w="188" w:type="dxa"/>
        <w:shd w:val="clear" w:color="auto" w:fill="FFFFFF"/>
        <w:tblLayout w:type="fixed"/>
        <w:tblCellMar>
          <w:top w:w="0" w:type="dxa"/>
          <w:left w:w="0" w:type="dxa"/>
          <w:bottom w:w="0" w:type="dxa"/>
          <w:right w:w="0" w:type="dxa"/>
        </w:tblCellMar>
      </w:tblPr>
      <w:tblGrid>
        <w:gridCol w:w="880"/>
        <w:gridCol w:w="916"/>
        <w:gridCol w:w="1020"/>
        <w:gridCol w:w="1063"/>
        <w:gridCol w:w="1767"/>
        <w:gridCol w:w="1635"/>
        <w:gridCol w:w="1873"/>
      </w:tblGrid>
      <w:tr>
        <w:tblPrEx>
          <w:shd w:val="clear" w:color="auto" w:fill="FFFFFF"/>
          <w:tblCellMar>
            <w:top w:w="0" w:type="dxa"/>
            <w:left w:w="0" w:type="dxa"/>
            <w:bottom w:w="0" w:type="dxa"/>
            <w:right w:w="0" w:type="dxa"/>
          </w:tblCellMar>
        </w:tblPrEx>
        <w:trPr>
          <w:trHeight w:val="728" w:hRule="atLeast"/>
          <w:tblHeader/>
        </w:trPr>
        <w:tc>
          <w:tcPr>
            <w:tcW w:w="8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品目号</w:t>
            </w:r>
          </w:p>
        </w:tc>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品目名称</w:t>
            </w:r>
          </w:p>
        </w:tc>
        <w:tc>
          <w:tcPr>
            <w:tcW w:w="10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采购标的</w:t>
            </w:r>
          </w:p>
        </w:tc>
        <w:tc>
          <w:tcPr>
            <w:tcW w:w="10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数量（单位）</w:t>
            </w:r>
          </w:p>
        </w:tc>
        <w:tc>
          <w:tcPr>
            <w:tcW w:w="17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技术规格、参数及要求</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品目预算(元)</w:t>
            </w:r>
          </w:p>
        </w:tc>
        <w:tc>
          <w:tcPr>
            <w:tcW w:w="187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hint="eastAsia" w:cs="宋体" w:asciiTheme="minorEastAsia" w:hAnsiTheme="minorEastAsia" w:eastAsiaTheme="minorEastAsia"/>
                <w:b/>
                <w:bCs/>
                <w:kern w:val="0"/>
                <w:szCs w:val="21"/>
                <w:highlight w:val="none"/>
              </w:rPr>
              <w:t>最高限价</w:t>
            </w:r>
          </w:p>
        </w:tc>
      </w:tr>
      <w:tr>
        <w:tblPrEx>
          <w:shd w:val="clear" w:color="auto" w:fill="FFFFFF"/>
          <w:tblCellMar>
            <w:top w:w="0" w:type="dxa"/>
            <w:left w:w="0" w:type="dxa"/>
            <w:bottom w:w="0" w:type="dxa"/>
            <w:right w:w="0" w:type="dxa"/>
          </w:tblCellMar>
        </w:tblPrEx>
        <w:trPr>
          <w:trHeight w:val="480" w:hRule="atLeast"/>
        </w:trPr>
        <w:tc>
          <w:tcPr>
            <w:tcW w:w="8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1-1</w:t>
            </w:r>
          </w:p>
        </w:tc>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医疗设备</w:t>
            </w:r>
          </w:p>
        </w:tc>
        <w:tc>
          <w:tcPr>
            <w:tcW w:w="10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气相色谱-质谱联用仪等仪器设备</w:t>
            </w:r>
          </w:p>
        </w:tc>
        <w:tc>
          <w:tcPr>
            <w:tcW w:w="10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 批</w:t>
            </w:r>
          </w:p>
        </w:tc>
        <w:tc>
          <w:tcPr>
            <w:tcW w:w="17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详见采购文件</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spacing w:line="28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1,189,000.00</w:t>
            </w:r>
            <w:r>
              <w:rPr>
                <w:rFonts w:hint="eastAsia" w:cs="宋体" w:asciiTheme="minorEastAsia" w:hAnsiTheme="minorEastAsia" w:eastAsiaTheme="minorEastAsia"/>
                <w:kern w:val="0"/>
                <w:szCs w:val="21"/>
                <w:highlight w:val="none"/>
              </w:rPr>
              <w:t xml:space="preserve"> </w:t>
            </w:r>
          </w:p>
        </w:tc>
        <w:tc>
          <w:tcPr>
            <w:tcW w:w="187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1,189,000.00</w:t>
            </w:r>
            <w:r>
              <w:rPr>
                <w:rFonts w:hint="eastAsia" w:cs="宋体" w:asciiTheme="minorEastAsia" w:hAnsiTheme="minorEastAsia" w:eastAsiaTheme="minorEastAsia"/>
                <w:kern w:val="0"/>
                <w:szCs w:val="21"/>
                <w:highlight w:val="none"/>
              </w:rPr>
              <w:t xml:space="preserve"> </w:t>
            </w:r>
          </w:p>
        </w:tc>
      </w:tr>
    </w:tbl>
    <w:p>
      <w:pPr>
        <w:widowControl/>
        <w:shd w:val="clear" w:color="auto" w:fill="FFFFFF"/>
        <w:spacing w:line="480" w:lineRule="atLeast"/>
        <w:ind w:firstLine="630"/>
        <w:textAlignment w:val="baseline"/>
        <w:rPr>
          <w:rFonts w:asciiTheme="minorEastAsia" w:hAnsiTheme="minorEastAsia" w:eastAsiaTheme="minorEastAsia"/>
          <w:sz w:val="24"/>
          <w:highlight w:val="none"/>
        </w:rPr>
      </w:pPr>
      <w:r>
        <w:rPr>
          <w:rFonts w:asciiTheme="minorEastAsia" w:hAnsiTheme="minorEastAsia" w:eastAsiaTheme="minorEastAsia"/>
          <w:sz w:val="24"/>
          <w:highlight w:val="none"/>
        </w:rPr>
        <w:t>本合同包不接受联合体投标</w:t>
      </w:r>
    </w:p>
    <w:p>
      <w:pPr>
        <w:widowControl/>
        <w:shd w:val="clear" w:color="auto" w:fill="FFFFFF"/>
        <w:spacing w:line="480" w:lineRule="atLeast"/>
        <w:ind w:firstLine="630"/>
        <w:textAlignment w:val="baseline"/>
        <w:rPr>
          <w:rFonts w:asciiTheme="minorEastAsia" w:hAnsiTheme="minorEastAsia" w:eastAsiaTheme="minorEastAsia"/>
          <w:sz w:val="24"/>
          <w:highlight w:val="none"/>
        </w:rPr>
      </w:pP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rPr>
        <w:t>合同签订后</w:t>
      </w:r>
      <w:r>
        <w:rPr>
          <w:rFonts w:hint="eastAsia" w:asciiTheme="minorEastAsia" w:hAnsiTheme="minorEastAsia" w:eastAsiaTheme="minorEastAsia"/>
          <w:sz w:val="24"/>
          <w:highlight w:val="none"/>
          <w:lang w:val="en-US" w:eastAsia="zh-CN"/>
        </w:rPr>
        <w:t>60</w:t>
      </w:r>
      <w:r>
        <w:rPr>
          <w:rFonts w:hint="eastAsia" w:asciiTheme="minorEastAsia" w:hAnsiTheme="minorEastAsia" w:eastAsiaTheme="minorEastAsia"/>
          <w:sz w:val="24"/>
          <w:highlight w:val="none"/>
        </w:rPr>
        <w:t>个日历日完成产品的安装调试并正常运行。</w:t>
      </w:r>
    </w:p>
    <w:p>
      <w:pPr>
        <w:spacing w:line="5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合同包2(离子色谱仪等仪器设备):</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合同包预算金额：1,078,000.00元</w:t>
      </w:r>
    </w:p>
    <w:p>
      <w:pPr>
        <w:pStyle w:val="29"/>
        <w:shd w:val="clear" w:color="auto" w:fill="FFFFFF"/>
        <w:spacing w:before="0" w:beforeAutospacing="0" w:after="0" w:afterAutospacing="0" w:line="480" w:lineRule="atLeast"/>
        <w:ind w:firstLine="480"/>
        <w:jc w:val="both"/>
        <w:rPr>
          <w:rFonts w:asciiTheme="minorEastAsia" w:hAnsiTheme="minorEastAsia" w:eastAsiaTheme="minorEastAsia"/>
          <w:color w:val="FF0000"/>
          <w:kern w:val="2"/>
          <w:highlight w:val="none"/>
        </w:rPr>
      </w:pPr>
      <w:r>
        <w:rPr>
          <w:rFonts w:hint="eastAsia" w:asciiTheme="minorEastAsia" w:hAnsiTheme="minorEastAsia" w:eastAsiaTheme="minorEastAsia"/>
          <w:kern w:val="2"/>
          <w:highlight w:val="none"/>
        </w:rPr>
        <w:t>合同包最高限价：1,078,000.00元</w:t>
      </w:r>
    </w:p>
    <w:tbl>
      <w:tblPr>
        <w:tblStyle w:val="35"/>
        <w:tblW w:w="4916" w:type="pct"/>
        <w:tblInd w:w="122" w:type="dxa"/>
        <w:shd w:val="clear" w:color="auto" w:fill="FFFFFF"/>
        <w:tblLayout w:type="fixed"/>
        <w:tblCellMar>
          <w:top w:w="0" w:type="dxa"/>
          <w:left w:w="0" w:type="dxa"/>
          <w:bottom w:w="0" w:type="dxa"/>
          <w:right w:w="0" w:type="dxa"/>
        </w:tblCellMar>
      </w:tblPr>
      <w:tblGrid>
        <w:gridCol w:w="880"/>
        <w:gridCol w:w="916"/>
        <w:gridCol w:w="1020"/>
        <w:gridCol w:w="1063"/>
        <w:gridCol w:w="1767"/>
        <w:gridCol w:w="1635"/>
        <w:gridCol w:w="1873"/>
      </w:tblGrid>
      <w:tr>
        <w:tblPrEx>
          <w:shd w:val="clear" w:color="auto" w:fill="FFFFFF"/>
          <w:tblCellMar>
            <w:top w:w="0" w:type="dxa"/>
            <w:left w:w="0" w:type="dxa"/>
            <w:bottom w:w="0" w:type="dxa"/>
            <w:right w:w="0" w:type="dxa"/>
          </w:tblCellMar>
        </w:tblPrEx>
        <w:trPr>
          <w:trHeight w:val="728" w:hRule="atLeast"/>
          <w:tblHeader/>
        </w:trPr>
        <w:tc>
          <w:tcPr>
            <w:tcW w:w="8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品目号</w:t>
            </w:r>
          </w:p>
        </w:tc>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品目名称</w:t>
            </w:r>
          </w:p>
        </w:tc>
        <w:tc>
          <w:tcPr>
            <w:tcW w:w="10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采购标的</w:t>
            </w:r>
          </w:p>
        </w:tc>
        <w:tc>
          <w:tcPr>
            <w:tcW w:w="10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数量（单位）</w:t>
            </w:r>
          </w:p>
        </w:tc>
        <w:tc>
          <w:tcPr>
            <w:tcW w:w="17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技术规格、参数及要求</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品目预算(元)</w:t>
            </w:r>
          </w:p>
        </w:tc>
        <w:tc>
          <w:tcPr>
            <w:tcW w:w="187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b/>
                <w:bCs/>
                <w:kern w:val="0"/>
                <w:szCs w:val="21"/>
                <w:highlight w:val="none"/>
              </w:rPr>
            </w:pPr>
            <w:r>
              <w:rPr>
                <w:rFonts w:hint="eastAsia" w:cs="宋体" w:asciiTheme="minorEastAsia" w:hAnsiTheme="minorEastAsia" w:eastAsiaTheme="minorEastAsia"/>
                <w:b/>
                <w:bCs/>
                <w:kern w:val="0"/>
                <w:szCs w:val="21"/>
                <w:highlight w:val="none"/>
              </w:rPr>
              <w:t>最高限价</w:t>
            </w:r>
          </w:p>
        </w:tc>
      </w:tr>
      <w:tr>
        <w:tblPrEx>
          <w:shd w:val="clear" w:color="auto" w:fill="FFFFFF"/>
          <w:tblCellMar>
            <w:top w:w="0" w:type="dxa"/>
            <w:left w:w="0" w:type="dxa"/>
            <w:bottom w:w="0" w:type="dxa"/>
            <w:right w:w="0" w:type="dxa"/>
          </w:tblCellMar>
        </w:tblPrEx>
        <w:trPr>
          <w:trHeight w:val="480" w:hRule="atLeast"/>
        </w:trPr>
        <w:tc>
          <w:tcPr>
            <w:tcW w:w="8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2-1</w:t>
            </w:r>
          </w:p>
        </w:tc>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医疗设备</w:t>
            </w:r>
          </w:p>
        </w:tc>
        <w:tc>
          <w:tcPr>
            <w:tcW w:w="10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离子色谱仪等仪器设备</w:t>
            </w:r>
          </w:p>
        </w:tc>
        <w:tc>
          <w:tcPr>
            <w:tcW w:w="10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 批</w:t>
            </w:r>
          </w:p>
        </w:tc>
        <w:tc>
          <w:tcPr>
            <w:tcW w:w="17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详见采购文件</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spacing w:line="28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1,078,000.00</w:t>
            </w:r>
          </w:p>
        </w:tc>
        <w:tc>
          <w:tcPr>
            <w:tcW w:w="187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8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1,078,000.00</w:t>
            </w:r>
          </w:p>
        </w:tc>
      </w:tr>
    </w:tbl>
    <w:p>
      <w:pPr>
        <w:widowControl/>
        <w:shd w:val="clear" w:color="auto" w:fill="FFFFFF"/>
        <w:spacing w:line="480" w:lineRule="atLeast"/>
        <w:ind w:firstLine="630"/>
        <w:textAlignment w:val="baseline"/>
        <w:rPr>
          <w:rFonts w:asciiTheme="minorEastAsia" w:hAnsiTheme="minorEastAsia" w:eastAsiaTheme="minorEastAsia"/>
          <w:sz w:val="24"/>
          <w:highlight w:val="none"/>
        </w:rPr>
      </w:pPr>
      <w:r>
        <w:rPr>
          <w:rFonts w:asciiTheme="minorEastAsia" w:hAnsiTheme="minorEastAsia" w:eastAsiaTheme="minorEastAsia"/>
          <w:sz w:val="24"/>
          <w:highlight w:val="none"/>
        </w:rPr>
        <w:t>本合同包不接受联合体投标</w:t>
      </w:r>
    </w:p>
    <w:p>
      <w:pPr>
        <w:widowControl/>
        <w:shd w:val="clear" w:color="auto" w:fill="FFFFFF"/>
        <w:spacing w:line="480" w:lineRule="atLeast"/>
        <w:ind w:firstLine="630"/>
        <w:textAlignment w:val="baseline"/>
        <w:rPr>
          <w:rFonts w:asciiTheme="minorEastAsia" w:hAnsiTheme="minorEastAsia" w:eastAsiaTheme="minorEastAsia"/>
          <w:sz w:val="24"/>
          <w:highlight w:val="none"/>
        </w:rPr>
      </w:pP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rPr>
        <w:t>合同签订后</w:t>
      </w:r>
      <w:r>
        <w:rPr>
          <w:rFonts w:hint="eastAsia" w:asciiTheme="minorEastAsia" w:hAnsiTheme="minorEastAsia" w:eastAsiaTheme="minorEastAsia"/>
          <w:sz w:val="24"/>
          <w:highlight w:val="none"/>
          <w:lang w:val="en-US" w:eastAsia="zh-CN"/>
        </w:rPr>
        <w:t>60</w:t>
      </w:r>
      <w:r>
        <w:rPr>
          <w:rFonts w:hint="eastAsia" w:asciiTheme="minorEastAsia" w:hAnsiTheme="minorEastAsia" w:eastAsiaTheme="minorEastAsia"/>
          <w:sz w:val="24"/>
          <w:highlight w:val="none"/>
        </w:rPr>
        <w:t>个日历日完成产品的安装调试并正常运行</w:t>
      </w:r>
    </w:p>
    <w:p>
      <w:pPr>
        <w:shd w:val="clear" w:color="auto" w:fill="FFFFFF"/>
        <w:spacing w:line="480" w:lineRule="exact"/>
        <w:rPr>
          <w:rFonts w:asciiTheme="minorEastAsia" w:hAnsiTheme="minorEastAsia" w:eastAsiaTheme="minorEastAsia"/>
          <w:highlight w:val="none"/>
        </w:rPr>
      </w:pPr>
      <w:r>
        <w:rPr>
          <w:rStyle w:val="38"/>
          <w:rFonts w:hint="eastAsia" w:asciiTheme="minorEastAsia" w:hAnsiTheme="minorEastAsia" w:eastAsiaTheme="minorEastAsia"/>
          <w:b w:val="0"/>
          <w:highlight w:val="none"/>
        </w:rPr>
        <w:t>二、申请人的资格要求：</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highlight w:val="none"/>
        </w:rPr>
      </w:pPr>
      <w:r>
        <w:rPr>
          <w:rFonts w:hint="eastAsia" w:asciiTheme="minorEastAsia" w:hAnsiTheme="minorEastAsia" w:eastAsiaTheme="minorEastAsia"/>
          <w:highlight w:val="none"/>
        </w:rPr>
        <w:t>1.满足《中华人民共和国政府采购法》第二十二条规定;</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2.落实政府采购政策需满足的资格要求：</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合同包1(气相色谱-质谱联用仪等仪器设备)落实政府采购政策需满足的资格要求如下:</w:t>
      </w:r>
    </w:p>
    <w:p>
      <w:pPr>
        <w:pStyle w:val="29"/>
        <w:shd w:val="clear" w:color="auto" w:fill="FFFFFF"/>
        <w:spacing w:before="0" w:beforeAutospacing="0" w:after="0" w:afterAutospacing="0" w:line="480" w:lineRule="exact"/>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无</w:t>
      </w:r>
      <w:r>
        <w:rPr>
          <w:rFonts w:hint="eastAsia" w:asciiTheme="minorEastAsia" w:hAnsiTheme="minorEastAsia" w:eastAsiaTheme="minorEastAsia"/>
          <w:highlight w:val="none"/>
        </w:rPr>
        <w:t>。</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合同包2(离子色谱仪等仪器设备)落实政府采购政策需满足的资格要求如下:</w:t>
      </w:r>
    </w:p>
    <w:p>
      <w:pPr>
        <w:pStyle w:val="29"/>
        <w:shd w:val="clear" w:color="auto" w:fill="FFFFFF"/>
        <w:spacing w:before="0" w:beforeAutospacing="0" w:after="0" w:afterAutospacing="0" w:line="480" w:lineRule="exact"/>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无</w:t>
      </w:r>
      <w:r>
        <w:rPr>
          <w:rFonts w:hint="eastAsia" w:asciiTheme="minorEastAsia" w:hAnsiTheme="minorEastAsia" w:eastAsiaTheme="minorEastAsia"/>
          <w:highlight w:val="none"/>
        </w:rPr>
        <w:t>。</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3.本项目的特定资格要求：</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合同包1(气相色谱-质谱联用仪等仪器设备)特定资格要求如下:</w:t>
      </w:r>
    </w:p>
    <w:p>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人未被列入“中国执行信息公开网”（http://zxgk.court.gov.cn/shixin/）失信被执行人名单，未被列入“信用中国”网站（www.creditchina.gov.cn）重大税收违法失信主体，未被列入“中国政府采购网”（www.ccgp.gov.cn）政府采购严重违法失信行为记录名单</w:t>
      </w:r>
      <w:r>
        <w:rPr>
          <w:rFonts w:asciiTheme="minorEastAsia" w:hAnsiTheme="minorEastAsia" w:eastAsiaTheme="minorEastAsia"/>
          <w:sz w:val="24"/>
        </w:rPr>
        <w:t>；</w:t>
      </w:r>
    </w:p>
    <w:p>
      <w:pPr>
        <w:pStyle w:val="29"/>
        <w:shd w:val="clear" w:color="auto" w:fill="FFFFFF"/>
        <w:spacing w:before="0" w:beforeAutospacing="0" w:after="0" w:afterAutospacing="0" w:line="480" w:lineRule="exact"/>
        <w:ind w:firstLine="480"/>
        <w:jc w:val="both"/>
        <w:rPr>
          <w:rFonts w:hint="eastAsia" w:cs="仿宋" w:asciiTheme="minorEastAsia" w:hAnsiTheme="minorEastAsia" w:eastAsiaTheme="minorEastAsia"/>
          <w:lang w:val="en-US" w:eastAsia="zh-CN"/>
        </w:rPr>
      </w:pPr>
      <w:r>
        <w:rPr>
          <w:rFonts w:hint="eastAsia" w:cs="仿宋" w:asciiTheme="minorEastAsia" w:hAnsiTheme="minorEastAsia" w:eastAsiaTheme="minorEastAsia"/>
          <w:lang w:val="en-US" w:eastAsia="zh-CN"/>
        </w:rPr>
        <w:t>2</w:t>
      </w:r>
      <w:r>
        <w:rPr>
          <w:rFonts w:hint="eastAsia" w:cs="仿宋" w:asciiTheme="minorEastAsia" w:hAnsiTheme="minorEastAsia" w:eastAsiaTheme="minorEastAsia"/>
        </w:rPr>
        <w:t>.法定代表人（或单位负责人）直接参加投标的，须出具法定代表人（或单位负责人）身份证，非法定代表人（或单位负责人）参加投标，须出具法定代表人（或单位负责人）授权书及被授权人身份证</w:t>
      </w:r>
      <w:r>
        <w:rPr>
          <w:rFonts w:hint="eastAsia" w:cs="仿宋" w:asciiTheme="minorEastAsia" w:hAnsiTheme="minorEastAsia" w:eastAsiaTheme="minorEastAsia"/>
          <w:lang w:eastAsia="zh-CN"/>
        </w:rPr>
        <w:t>。</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合同包2(离子色谱仪等仪器设备)特定资格要求如下:</w:t>
      </w:r>
    </w:p>
    <w:p>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人未被列入“中国执行信息公开网”（http://zxgk.court.gov.cn/shixin/）失信被执行人名单，未被列入“信用中国”网站（www.creditchina.gov.cn）重大税收违法失信主体，未被列入“中国政府采购网”（www.ccgp.gov.cn）政府采购严重违法失信行为记录名单</w:t>
      </w:r>
      <w:r>
        <w:rPr>
          <w:rFonts w:asciiTheme="minorEastAsia" w:hAnsiTheme="minorEastAsia" w:eastAsiaTheme="minorEastAsia"/>
          <w:sz w:val="24"/>
        </w:rPr>
        <w:t>；</w:t>
      </w:r>
    </w:p>
    <w:p>
      <w:pPr>
        <w:spacing w:line="52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.法定代表人（或单位负责人）直接参加投标的，须出具法定代表人（或单位负责人）身份证，非法定代表人（或单位负责人）参加投标，须出具法定代表人（或单位负责人）授权书及被授权人身份证。</w:t>
      </w:r>
    </w:p>
    <w:p>
      <w:pPr>
        <w:shd w:val="clear" w:color="auto" w:fill="FFFFFF"/>
        <w:spacing w:line="480" w:lineRule="exact"/>
        <w:rPr>
          <w:rFonts w:asciiTheme="minorEastAsia" w:hAnsiTheme="minorEastAsia" w:eastAsiaTheme="minorEastAsia"/>
        </w:rPr>
      </w:pPr>
      <w:r>
        <w:rPr>
          <w:rStyle w:val="38"/>
          <w:rFonts w:hint="eastAsia" w:asciiTheme="minorEastAsia" w:hAnsiTheme="minorEastAsia" w:eastAsiaTheme="minorEastAsia"/>
          <w:b w:val="0"/>
        </w:rPr>
        <w:t>三、获取招标文件</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highlight w:val="none"/>
        </w:rPr>
      </w:pPr>
      <w:r>
        <w:rPr>
          <w:rFonts w:hint="eastAsia" w:asciiTheme="minorEastAsia" w:hAnsiTheme="minorEastAsia" w:eastAsiaTheme="minorEastAsia"/>
        </w:rPr>
        <w:t>时间：202</w:t>
      </w:r>
      <w:r>
        <w:rPr>
          <w:rFonts w:hint="eastAsia" w:asciiTheme="minorEastAsia" w:hAnsiTheme="minorEastAsia" w:eastAsiaTheme="minorEastAsia"/>
          <w:highlight w:val="none"/>
        </w:rPr>
        <w:t>3年</w:t>
      </w:r>
      <w:r>
        <w:rPr>
          <w:rFonts w:hint="eastAsia" w:asciiTheme="minorEastAsia" w:hAnsiTheme="minorEastAsia" w:eastAsiaTheme="minorEastAsia"/>
          <w:highlight w:val="none"/>
          <w:lang w:val="en-US" w:eastAsia="zh-CN"/>
        </w:rPr>
        <w:t>04</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27</w:t>
      </w:r>
      <w:r>
        <w:rPr>
          <w:rFonts w:hint="eastAsia" w:asciiTheme="minorEastAsia" w:hAnsiTheme="minorEastAsia" w:eastAsiaTheme="minorEastAsia"/>
          <w:highlight w:val="none"/>
        </w:rPr>
        <w:t>日至2023年</w:t>
      </w:r>
      <w:r>
        <w:rPr>
          <w:rFonts w:hint="eastAsia" w:asciiTheme="minorEastAsia" w:hAnsiTheme="minorEastAsia" w:eastAsiaTheme="minorEastAsia"/>
          <w:highlight w:val="none"/>
          <w:lang w:val="en-US" w:eastAsia="zh-CN"/>
        </w:rPr>
        <w:t>05</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08</w:t>
      </w:r>
      <w:r>
        <w:rPr>
          <w:rFonts w:hint="eastAsia" w:asciiTheme="minorEastAsia" w:hAnsiTheme="minorEastAsia" w:eastAsiaTheme="minorEastAsia"/>
          <w:highlight w:val="none"/>
        </w:rPr>
        <w:t>日，每天上午9:00至12:00，下午14:00至17:00（北京时间,法定节假日除外）</w:t>
      </w:r>
    </w:p>
    <w:p>
      <w:pPr>
        <w:spacing w:line="520" w:lineRule="exact"/>
        <w:ind w:firstLine="480" w:firstLineChars="200"/>
        <w:rPr>
          <w:rFonts w:cs="仿宋" w:asciiTheme="minorEastAsia" w:hAnsiTheme="minorEastAsia" w:eastAsiaTheme="minorEastAsia"/>
          <w:sz w:val="24"/>
          <w:highlight w:val="none"/>
        </w:rPr>
      </w:pPr>
      <w:r>
        <w:rPr>
          <w:rFonts w:hint="eastAsia" w:cs="宋体" w:asciiTheme="minorEastAsia" w:hAnsiTheme="minorEastAsia" w:eastAsiaTheme="minorEastAsia"/>
          <w:kern w:val="0"/>
          <w:sz w:val="24"/>
          <w:highlight w:val="none"/>
        </w:rPr>
        <w:t>地点：</w:t>
      </w:r>
      <w:r>
        <w:rPr>
          <w:rFonts w:hint="eastAsia" w:cs="仿宋" w:asciiTheme="minorEastAsia" w:hAnsiTheme="minorEastAsia" w:eastAsiaTheme="minorEastAsia"/>
          <w:sz w:val="24"/>
          <w:highlight w:val="none"/>
        </w:rPr>
        <w:t>西安市莲湖区光远路16号新世纪大厦7 层B区</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highlight w:val="none"/>
        </w:rPr>
      </w:pPr>
      <w:r>
        <w:rPr>
          <w:rFonts w:hint="eastAsia" w:asciiTheme="minorEastAsia" w:hAnsiTheme="minorEastAsia" w:eastAsiaTheme="minorEastAsia"/>
          <w:highlight w:val="none"/>
        </w:rPr>
        <w:t>方式：现场获取</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highlight w:val="none"/>
        </w:rPr>
      </w:pPr>
      <w:r>
        <w:rPr>
          <w:rFonts w:hint="eastAsia" w:asciiTheme="minorEastAsia" w:hAnsiTheme="minorEastAsia" w:eastAsiaTheme="minorEastAsia"/>
          <w:highlight w:val="none"/>
        </w:rPr>
        <w:t>售价：0元</w:t>
      </w:r>
    </w:p>
    <w:p>
      <w:pPr>
        <w:shd w:val="clear" w:color="auto" w:fill="FFFFFF"/>
        <w:spacing w:line="480" w:lineRule="exact"/>
        <w:rPr>
          <w:rFonts w:asciiTheme="minorEastAsia" w:hAnsiTheme="minorEastAsia" w:eastAsiaTheme="minorEastAsia"/>
          <w:highlight w:val="none"/>
        </w:rPr>
      </w:pPr>
      <w:r>
        <w:rPr>
          <w:rStyle w:val="38"/>
          <w:rFonts w:hint="eastAsia" w:asciiTheme="minorEastAsia" w:hAnsiTheme="minorEastAsia" w:eastAsiaTheme="minorEastAsia"/>
          <w:b w:val="0"/>
          <w:highlight w:val="none"/>
        </w:rPr>
        <w:t>四、提交投标文件截止时间、开标时间和地点</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highlight w:val="none"/>
        </w:rPr>
        <w:t>时间：2023年</w:t>
      </w:r>
      <w:r>
        <w:rPr>
          <w:rFonts w:hint="eastAsia" w:asciiTheme="minorEastAsia" w:hAnsiTheme="minorEastAsia" w:eastAsiaTheme="minorEastAsia"/>
          <w:highlight w:val="none"/>
          <w:lang w:val="en-US" w:eastAsia="zh-CN"/>
        </w:rPr>
        <w:t>05</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18</w:t>
      </w:r>
      <w:r>
        <w:rPr>
          <w:rFonts w:hint="eastAsia" w:asciiTheme="minorEastAsia" w:hAnsiTheme="minorEastAsia" w:eastAsiaTheme="minorEastAsia"/>
          <w:highlight w:val="none"/>
        </w:rPr>
        <w:t>日</w:t>
      </w:r>
      <w:r>
        <w:rPr>
          <w:rFonts w:hint="eastAsia" w:asciiTheme="minorEastAsia" w:hAnsiTheme="minorEastAsia" w:eastAsiaTheme="minorEastAsia"/>
          <w:highlight w:val="none"/>
          <w:lang w:val="en-US" w:eastAsia="zh-CN"/>
        </w:rPr>
        <w:t>14</w:t>
      </w:r>
      <w:r>
        <w:rPr>
          <w:rFonts w:hint="eastAsia" w:asciiTheme="minorEastAsia" w:hAnsiTheme="minorEastAsia" w:eastAsiaTheme="minorEastAsia"/>
          <w:highlight w:val="none"/>
        </w:rPr>
        <w:t>时</w:t>
      </w:r>
      <w:r>
        <w:rPr>
          <w:rFonts w:hint="eastAsia" w:asciiTheme="minorEastAsia" w:hAnsiTheme="minorEastAsia" w:eastAsiaTheme="minorEastAsia"/>
          <w:highlight w:val="none"/>
          <w:lang w:val="en-US" w:eastAsia="zh-CN"/>
        </w:rPr>
        <w:t>30</w:t>
      </w:r>
      <w:r>
        <w:rPr>
          <w:rFonts w:hint="eastAsia" w:asciiTheme="minorEastAsia" w:hAnsiTheme="minorEastAsia" w:eastAsiaTheme="minorEastAsia"/>
          <w:highlight w:val="none"/>
        </w:rPr>
        <w:t>分00</w:t>
      </w:r>
      <w:r>
        <w:rPr>
          <w:rFonts w:hint="eastAsia" w:asciiTheme="minorEastAsia" w:hAnsiTheme="minorEastAsia" w:eastAsiaTheme="minorEastAsia"/>
        </w:rPr>
        <w:t>秒 （北京时间）</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提交投标文件地点：西安市莲湖区光远路16号新世纪大厦7 层B区会议室。</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开标地点：西安市莲湖区光远路16号新世纪大厦7 层B区会议室。</w:t>
      </w:r>
    </w:p>
    <w:p>
      <w:pPr>
        <w:shd w:val="clear" w:color="auto" w:fill="FFFFFF"/>
        <w:spacing w:line="480" w:lineRule="exact"/>
        <w:rPr>
          <w:rFonts w:asciiTheme="minorEastAsia" w:hAnsiTheme="minorEastAsia" w:eastAsiaTheme="minorEastAsia"/>
        </w:rPr>
      </w:pPr>
      <w:r>
        <w:rPr>
          <w:rStyle w:val="38"/>
          <w:rFonts w:hint="eastAsia" w:asciiTheme="minorEastAsia" w:hAnsiTheme="minorEastAsia" w:eastAsiaTheme="minorEastAsia"/>
          <w:b w:val="0"/>
        </w:rPr>
        <w:t>五、公告期限</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自本公告发布之日起</w:t>
      </w:r>
      <w:r>
        <w:rPr>
          <w:rStyle w:val="202"/>
          <w:rFonts w:hint="eastAsia" w:asciiTheme="minorEastAsia" w:hAnsiTheme="minorEastAsia" w:eastAsiaTheme="minorEastAsia"/>
        </w:rPr>
        <w:t>5</w:t>
      </w:r>
      <w:r>
        <w:rPr>
          <w:rFonts w:hint="eastAsia" w:asciiTheme="minorEastAsia" w:hAnsiTheme="minorEastAsia" w:eastAsiaTheme="minorEastAsia"/>
        </w:rPr>
        <w:t>个工作日。</w:t>
      </w:r>
    </w:p>
    <w:p>
      <w:pPr>
        <w:shd w:val="clear" w:color="auto" w:fill="FFFFFF"/>
        <w:spacing w:line="480" w:lineRule="exact"/>
        <w:rPr>
          <w:rFonts w:asciiTheme="minorEastAsia" w:hAnsiTheme="minorEastAsia" w:eastAsiaTheme="minorEastAsia"/>
        </w:rPr>
      </w:pPr>
      <w:r>
        <w:rPr>
          <w:rStyle w:val="38"/>
          <w:rFonts w:hint="eastAsia" w:asciiTheme="minorEastAsia" w:hAnsiTheme="minorEastAsia" w:eastAsiaTheme="minorEastAsia"/>
          <w:b w:val="0"/>
        </w:rPr>
        <w:t>六、其他补充事宜</w:t>
      </w:r>
    </w:p>
    <w:p>
      <w:pPr>
        <w:pStyle w:val="29"/>
        <w:shd w:val="clear" w:color="auto" w:fill="FFFFFF"/>
        <w:spacing w:before="0" w:beforeAutospacing="0" w:after="0" w:afterAutospacing="0" w:line="480" w:lineRule="exact"/>
        <w:jc w:val="both"/>
        <w:rPr>
          <w:rFonts w:cs="Arial" w:asciiTheme="minorEastAsia" w:hAnsiTheme="minorEastAsia" w:eastAsiaTheme="minorEastAsia"/>
        </w:rPr>
      </w:pPr>
      <w:r>
        <w:rPr>
          <w:rFonts w:hint="eastAsia" w:cs="Arial" w:asciiTheme="minorEastAsia" w:hAnsiTheme="minorEastAsia" w:eastAsiaTheme="minorEastAsia"/>
        </w:rPr>
        <w:t>1.获取招标文件请携带单位介绍信、</w:t>
      </w:r>
      <w:r>
        <w:rPr>
          <w:rFonts w:hint="eastAsia" w:cs="Arial" w:asciiTheme="minorEastAsia" w:hAnsiTheme="minorEastAsia" w:eastAsiaTheme="minorEastAsia"/>
          <w:lang w:val="en-US" w:eastAsia="zh-CN"/>
        </w:rPr>
        <w:t>授权人</w:t>
      </w:r>
      <w:r>
        <w:rPr>
          <w:rFonts w:hint="eastAsia" w:cs="Arial" w:asciiTheme="minorEastAsia" w:hAnsiTheme="minorEastAsia" w:eastAsiaTheme="minorEastAsia"/>
        </w:rPr>
        <w:t>身份证原件及加盖公章的复印件，谢绝邮寄。</w:t>
      </w:r>
    </w:p>
    <w:p>
      <w:pPr>
        <w:pStyle w:val="29"/>
        <w:shd w:val="clear" w:color="auto" w:fill="FFFFFF"/>
        <w:spacing w:before="0" w:beforeAutospacing="0" w:after="0" w:afterAutospacing="0" w:line="480" w:lineRule="exact"/>
        <w:jc w:val="both"/>
        <w:rPr>
          <w:rFonts w:cs="Arial" w:asciiTheme="minorEastAsia" w:hAnsiTheme="minorEastAsia" w:eastAsiaTheme="minorEastAsia"/>
        </w:rPr>
      </w:pPr>
      <w:r>
        <w:rPr>
          <w:rFonts w:hint="eastAsia" w:cs="Arial" w:asciiTheme="minorEastAsia" w:hAnsiTheme="minorEastAsia" w:eastAsiaTheme="minorEastAsia"/>
        </w:rPr>
        <w:t>2.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shd w:val="clear" w:color="auto" w:fill="FFFFFF"/>
        <w:spacing w:line="480" w:lineRule="exact"/>
        <w:rPr>
          <w:rFonts w:hint="eastAsia" w:cs="Arial" w:asciiTheme="minorEastAsia" w:hAnsiTheme="minorEastAsia" w:eastAsiaTheme="minorEastAsia"/>
          <w:kern w:val="0"/>
          <w:sz w:val="24"/>
          <w:szCs w:val="24"/>
          <w:lang w:val="en-US" w:eastAsia="zh-CN" w:bidi="ar-SA"/>
        </w:rPr>
      </w:pPr>
      <w:r>
        <w:rPr>
          <w:rFonts w:hint="eastAsia" w:cs="Arial" w:asciiTheme="minorEastAsia" w:hAnsiTheme="minorEastAsia" w:eastAsiaTheme="minorEastAsia"/>
          <w:kern w:val="0"/>
          <w:sz w:val="24"/>
          <w:szCs w:val="24"/>
          <w:lang w:val="en-US" w:eastAsia="zh-CN" w:bidi="ar-SA"/>
        </w:rPr>
        <w:t>七、对本次招标提出询问，请按以下方式联系。</w:t>
      </w:r>
    </w:p>
    <w:p>
      <w:pPr>
        <w:shd w:val="clear" w:color="auto" w:fill="FFFFFF"/>
        <w:spacing w:line="480" w:lineRule="exact"/>
        <w:rPr>
          <w:rFonts w:asciiTheme="minorEastAsia" w:hAnsiTheme="minorEastAsia" w:eastAsiaTheme="minorEastAsia"/>
        </w:rPr>
      </w:pPr>
      <w:r>
        <w:rPr>
          <w:rFonts w:hint="eastAsia" w:asciiTheme="minorEastAsia" w:hAnsiTheme="minorEastAsia" w:eastAsiaTheme="minorEastAsia"/>
        </w:rPr>
        <w:t>1.采购人信息</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名称：西安市莲湖区疾病预防控制中心</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地址：</w:t>
      </w:r>
      <w:r>
        <w:rPr>
          <w:rFonts w:hint="eastAsia" w:asciiTheme="minorEastAsia" w:hAnsiTheme="minorEastAsia" w:eastAsiaTheme="minorEastAsia"/>
          <w:sz w:val="24"/>
          <w:highlight w:val="none"/>
        </w:rPr>
        <w:t>西安市</w:t>
      </w:r>
      <w:r>
        <w:rPr>
          <w:rFonts w:hint="eastAsia" w:asciiTheme="minorEastAsia" w:hAnsiTheme="minorEastAsia" w:eastAsiaTheme="minorEastAsia"/>
          <w:sz w:val="24"/>
          <w:highlight w:val="none"/>
          <w:lang w:val="en-US" w:eastAsia="zh-CN"/>
        </w:rPr>
        <w:t>莲湖区李家楼路</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联系人：王老师</w:t>
      </w:r>
    </w:p>
    <w:p>
      <w:pPr>
        <w:pStyle w:val="29"/>
        <w:shd w:val="clear" w:color="auto" w:fill="FFFFFF"/>
        <w:spacing w:before="0" w:beforeAutospacing="0" w:after="0" w:afterAutospacing="0" w:line="480" w:lineRule="exact"/>
        <w:ind w:firstLine="480"/>
        <w:jc w:val="both"/>
        <w:rPr>
          <w:rFonts w:hint="eastAsia" w:asciiTheme="minorEastAsia" w:hAnsiTheme="minorEastAsia" w:eastAsiaTheme="minorEastAsia"/>
          <w:lang w:eastAsia="zh-CN"/>
        </w:rPr>
      </w:pPr>
      <w:r>
        <w:rPr>
          <w:rFonts w:hint="eastAsia" w:asciiTheme="minorEastAsia" w:hAnsiTheme="minorEastAsia" w:eastAsiaTheme="minorEastAsia"/>
        </w:rPr>
        <w:t>联系方式：</w:t>
      </w:r>
      <w:r>
        <w:rPr>
          <w:rFonts w:hint="eastAsia" w:asciiTheme="minorEastAsia" w:hAnsiTheme="minorEastAsia" w:eastAsiaTheme="minorEastAsia"/>
          <w:lang w:eastAsia="zh-CN"/>
        </w:rPr>
        <w:t>029-81513352</w:t>
      </w:r>
    </w:p>
    <w:p>
      <w:pPr>
        <w:shd w:val="clear" w:color="auto" w:fill="FFFFFF"/>
        <w:spacing w:line="480" w:lineRule="exact"/>
        <w:rPr>
          <w:rFonts w:asciiTheme="minorEastAsia" w:hAnsiTheme="minorEastAsia" w:eastAsiaTheme="minorEastAsia"/>
        </w:rPr>
      </w:pPr>
      <w:r>
        <w:rPr>
          <w:rFonts w:hint="eastAsia" w:asciiTheme="minorEastAsia" w:hAnsiTheme="minorEastAsia" w:eastAsiaTheme="minorEastAsia"/>
        </w:rPr>
        <w:t>2.采购代理机构信息</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名称：</w:t>
      </w:r>
      <w:r>
        <w:rPr>
          <w:rStyle w:val="202"/>
          <w:rFonts w:hint="eastAsia" w:asciiTheme="minorEastAsia" w:hAnsiTheme="minorEastAsia" w:eastAsiaTheme="minorEastAsia"/>
        </w:rPr>
        <w:t>陕西诺尔信项目管理有限公司</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地址：</w:t>
      </w:r>
      <w:r>
        <w:rPr>
          <w:rStyle w:val="202"/>
          <w:rFonts w:hint="eastAsia" w:asciiTheme="minorEastAsia" w:hAnsiTheme="minorEastAsia" w:eastAsiaTheme="minorEastAsia"/>
        </w:rPr>
        <w:t>西安市莲湖区光远路16号新世纪大厦7 层B区</w:t>
      </w:r>
    </w:p>
    <w:p>
      <w:pPr>
        <w:pStyle w:val="29"/>
        <w:shd w:val="clear" w:color="auto" w:fill="FFFFFF"/>
        <w:spacing w:before="0" w:beforeAutospacing="0" w:after="0" w:afterAutospacing="0" w:line="480" w:lineRule="exact"/>
        <w:ind w:firstLine="480"/>
        <w:jc w:val="both"/>
        <w:rPr>
          <w:rFonts w:asciiTheme="minorEastAsia" w:hAnsiTheme="minorEastAsia" w:eastAsiaTheme="minorEastAsia"/>
        </w:rPr>
      </w:pPr>
      <w:r>
        <w:rPr>
          <w:rFonts w:hint="eastAsia" w:asciiTheme="minorEastAsia" w:hAnsiTheme="minorEastAsia" w:eastAsiaTheme="minorEastAsia"/>
        </w:rPr>
        <w:t>联系方式：</w:t>
      </w:r>
      <w:r>
        <w:rPr>
          <w:rStyle w:val="202"/>
          <w:rFonts w:hint="eastAsia" w:asciiTheme="minorEastAsia" w:hAnsiTheme="minorEastAsia" w:eastAsiaTheme="minorEastAsia"/>
        </w:rPr>
        <w:t xml:space="preserve">029-88851617-813 </w:t>
      </w:r>
    </w:p>
    <w:p>
      <w:pPr>
        <w:shd w:val="clear" w:color="auto" w:fill="FFFFFF"/>
        <w:spacing w:line="480" w:lineRule="exact"/>
        <w:rPr>
          <w:rFonts w:asciiTheme="minorEastAsia" w:hAnsiTheme="minorEastAsia" w:eastAsiaTheme="minorEastAsia"/>
        </w:rPr>
      </w:pPr>
      <w:r>
        <w:rPr>
          <w:rFonts w:hint="eastAsia" w:asciiTheme="minorEastAsia" w:hAnsiTheme="minorEastAsia" w:eastAsiaTheme="minorEastAsia"/>
        </w:rPr>
        <w:t>3.项目联系方式</w:t>
      </w:r>
    </w:p>
    <w:p>
      <w:pPr>
        <w:pStyle w:val="29"/>
        <w:shd w:val="clear" w:color="auto" w:fill="FFFFFF"/>
        <w:spacing w:before="0" w:beforeAutospacing="0" w:after="0" w:afterAutospacing="0" w:line="480" w:lineRule="exact"/>
        <w:ind w:firstLine="480"/>
        <w:jc w:val="both"/>
        <w:rPr>
          <w:rFonts w:hint="default" w:asciiTheme="minorEastAsia" w:hAnsiTheme="minorEastAsia" w:eastAsiaTheme="minorEastAsia"/>
          <w:lang w:val="en-US" w:eastAsia="zh-CN"/>
        </w:rPr>
      </w:pPr>
      <w:r>
        <w:rPr>
          <w:rFonts w:hint="eastAsia" w:asciiTheme="minorEastAsia" w:hAnsiTheme="minorEastAsia" w:eastAsiaTheme="minorEastAsia"/>
        </w:rPr>
        <w:t>项目联系人：潘工</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薛工</w:t>
      </w:r>
    </w:p>
    <w:p>
      <w:pPr>
        <w:pStyle w:val="29"/>
        <w:shd w:val="clear" w:color="auto" w:fill="FFFFFF"/>
        <w:spacing w:before="0" w:beforeAutospacing="0" w:after="0" w:afterAutospacing="0" w:line="480" w:lineRule="exact"/>
        <w:ind w:firstLine="480"/>
        <w:jc w:val="both"/>
        <w:rPr>
          <w:rStyle w:val="202"/>
          <w:rFonts w:asciiTheme="minorEastAsia" w:hAnsiTheme="minorEastAsia" w:eastAsiaTheme="minorEastAsia"/>
        </w:rPr>
      </w:pPr>
      <w:r>
        <w:rPr>
          <w:rFonts w:hint="eastAsia" w:asciiTheme="minorEastAsia" w:hAnsiTheme="minorEastAsia" w:eastAsiaTheme="minorEastAsia"/>
        </w:rPr>
        <w:t>电话：</w:t>
      </w:r>
      <w:r>
        <w:rPr>
          <w:rStyle w:val="202"/>
          <w:rFonts w:hint="eastAsia" w:asciiTheme="minorEastAsia" w:hAnsiTheme="minorEastAsia" w:eastAsiaTheme="minorEastAsia"/>
        </w:rPr>
        <w:t xml:space="preserve">029-88851617-813 </w:t>
      </w:r>
    </w:p>
    <w:bookmarkEnd w:id="5"/>
    <w:p>
      <w:pPr>
        <w:pStyle w:val="31"/>
        <w:rPr>
          <w:rFonts w:asciiTheme="minorEastAsia" w:hAnsiTheme="minorEastAsia" w:eastAsiaTheme="minorEastAsia"/>
        </w:rPr>
      </w:pPr>
      <w:r>
        <w:rPr>
          <w:rFonts w:asciiTheme="minorEastAsia" w:hAnsiTheme="minorEastAsia" w:eastAsiaTheme="minorEastAsia"/>
        </w:rPr>
        <w:br w:type="page"/>
      </w:r>
      <w:bookmarkStart w:id="8" w:name="_Toc1236"/>
      <w:r>
        <w:rPr>
          <w:rFonts w:asciiTheme="minorEastAsia" w:hAnsiTheme="minorEastAsia" w:eastAsiaTheme="minorEastAsia"/>
        </w:rPr>
        <w:t xml:space="preserve">第二章  </w:t>
      </w:r>
      <w:bookmarkStart w:id="9" w:name="_Toc515647756"/>
      <w:bookmarkStart w:id="10" w:name="_Toc532473448"/>
      <w:r>
        <w:rPr>
          <w:rFonts w:asciiTheme="minorEastAsia" w:hAnsiTheme="minorEastAsia" w:eastAsiaTheme="minorEastAsia"/>
        </w:rPr>
        <w:t>投标人须知</w:t>
      </w:r>
      <w:bookmarkEnd w:id="2"/>
      <w:bookmarkEnd w:id="3"/>
      <w:bookmarkEnd w:id="4"/>
      <w:bookmarkEnd w:id="6"/>
      <w:bookmarkEnd w:id="8"/>
      <w:bookmarkEnd w:id="9"/>
      <w:bookmarkEnd w:id="10"/>
    </w:p>
    <w:p>
      <w:pPr>
        <w:jc w:val="center"/>
        <w:rPr>
          <w:rFonts w:asciiTheme="minorEastAsia" w:hAnsiTheme="minorEastAsia" w:eastAsiaTheme="minorEastAsia"/>
          <w:sz w:val="28"/>
          <w:szCs w:val="28"/>
        </w:rPr>
      </w:pPr>
      <w:bookmarkStart w:id="11" w:name="_Toc108721088"/>
      <w:r>
        <w:rPr>
          <w:rFonts w:asciiTheme="minorEastAsia" w:hAnsiTheme="minorEastAsia" w:eastAsiaTheme="minorEastAsia"/>
          <w:sz w:val="28"/>
          <w:szCs w:val="28"/>
        </w:rPr>
        <w:t>（一）投标人须知前附表</w:t>
      </w:r>
      <w:bookmarkEnd w:id="11"/>
    </w:p>
    <w:p>
      <w:pPr>
        <w:spacing w:line="360" w:lineRule="auto"/>
        <w:rPr>
          <w:rFonts w:asciiTheme="minorEastAsia" w:hAnsiTheme="minorEastAsia" w:eastAsiaTheme="minorEastAsia"/>
          <w:sz w:val="24"/>
        </w:rPr>
      </w:pPr>
      <w:r>
        <w:rPr>
          <w:rFonts w:asciiTheme="minorEastAsia" w:hAnsiTheme="minorEastAsia" w:eastAsiaTheme="minorEastAsia"/>
          <w:sz w:val="24"/>
        </w:rPr>
        <w:t>本表是对投标人须知的具体补充和修改，如有矛盾，应以本资料表为准。</w:t>
      </w:r>
    </w:p>
    <w:tbl>
      <w:tblPr>
        <w:tblStyle w:val="35"/>
        <w:tblW w:w="95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8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条款号</w:t>
            </w:r>
          </w:p>
        </w:tc>
        <w:tc>
          <w:tcPr>
            <w:tcW w:w="8058"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6" w:hRule="atLeast"/>
        </w:trPr>
        <w:tc>
          <w:tcPr>
            <w:tcW w:w="1468" w:type="dxa"/>
            <w:vAlign w:val="center"/>
          </w:tcPr>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1.1</w:t>
            </w:r>
          </w:p>
        </w:tc>
        <w:tc>
          <w:tcPr>
            <w:tcW w:w="8058" w:type="dxa"/>
            <w:vAlign w:val="center"/>
          </w:tcPr>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名称：西安市莲湖区疾病预防控制中心</w:t>
            </w:r>
          </w:p>
          <w:p>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highlight w:val="none"/>
              </w:rPr>
              <w:t>西安市</w:t>
            </w:r>
            <w:r>
              <w:rPr>
                <w:rFonts w:hint="eastAsia" w:asciiTheme="minorEastAsia" w:hAnsiTheme="minorEastAsia" w:eastAsiaTheme="minorEastAsia"/>
                <w:sz w:val="24"/>
                <w:highlight w:val="none"/>
                <w:lang w:val="en-US" w:eastAsia="zh-CN"/>
              </w:rPr>
              <w:t>莲湖区李家楼路与丰镐西路交叉口南260米</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联系人：王老师</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联系方式：</w:t>
            </w:r>
            <w:r>
              <w:rPr>
                <w:rFonts w:hint="eastAsia" w:asciiTheme="minorEastAsia" w:hAnsiTheme="minorEastAsia" w:eastAsiaTheme="minorEastAsia"/>
                <w:sz w:val="24"/>
                <w:lang w:eastAsia="zh-CN"/>
              </w:rPr>
              <w:t>029-81513352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1.2</w:t>
            </w:r>
          </w:p>
        </w:tc>
        <w:tc>
          <w:tcPr>
            <w:tcW w:w="8058"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采购代理机构：陕西诺尔信项目管理有限公司</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地址：西安市莲湖区光远路16号新世纪大厦7 层B区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联系人：潘工</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w:t>
            </w:r>
            <w:r>
              <w:rPr>
                <w:rStyle w:val="202"/>
                <w:rFonts w:hint="eastAsia" w:asciiTheme="minorEastAsia" w:hAnsiTheme="minorEastAsia" w:eastAsiaTheme="minorEastAsia"/>
                <w:sz w:val="24"/>
              </w:rPr>
              <w:t xml:space="preserve">029-88851617-813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1.3.3</w:t>
            </w:r>
          </w:p>
        </w:tc>
        <w:tc>
          <w:tcPr>
            <w:tcW w:w="8058"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第1包：1、投标人具备《中华人民共和国政府采购法》第二十二条规定之资格条件。须提供的证明材料有：</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1.1提供有效合格的具有社会统一信用代码的营业执照，其他组织经营的须提供合法凭证，自然人提供身份证明文件;</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1.2财务状况报告：提供2021年度</w:t>
            </w:r>
            <w:r>
              <w:rPr>
                <w:rFonts w:hint="eastAsia" w:asciiTheme="minorEastAsia" w:hAnsiTheme="minorEastAsia" w:eastAsiaTheme="minorEastAsia"/>
                <w:sz w:val="24"/>
                <w:lang w:val="en-US" w:eastAsia="zh-CN"/>
              </w:rPr>
              <w:t>或2022年度</w:t>
            </w:r>
            <w:r>
              <w:rPr>
                <w:rFonts w:hint="eastAsia" w:asciiTheme="minorEastAsia" w:hAnsiTheme="minorEastAsia" w:eastAsiaTheme="minorEastAsia"/>
                <w:sz w:val="24"/>
              </w:rPr>
              <w:t>经审计的财务报告或开标日期前三个月内其基本存款账户开户银行出具的资信证明及基本存款账户开户许可证（基本账户信息表）或财政部门认可的政府采购专业担保机构出具的投标担保函；</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1.3税收缴纳证明：提供2022年10月至今已缴纳的至少一个月的纳税证明</w:t>
            </w:r>
            <w:r>
              <w:rPr>
                <w:rFonts w:hint="eastAsia" w:asciiTheme="minorEastAsia" w:hAnsiTheme="minorEastAsia" w:eastAsiaTheme="minorEastAsia"/>
                <w:sz w:val="24"/>
                <w:lang w:val="en-US" w:eastAsia="zh-CN"/>
              </w:rPr>
              <w:t>(任意税种）</w:t>
            </w:r>
            <w:r>
              <w:rPr>
                <w:rFonts w:hint="eastAsia" w:asciiTheme="minorEastAsia" w:hAnsiTheme="minorEastAsia" w:eastAsiaTheme="minorEastAsia"/>
                <w:sz w:val="24"/>
              </w:rPr>
              <w:t>，依法免税的单位应提供相关证明材料；</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1.4社会保障资金缴纳证明：提供2022年10月至今已缴存的至少一个月的社会保障资金缴存单据或社保机构开具的社会保险参保缴费情况证明，依法不需要缴纳社会保障资金的单位应提供相关证明材料；</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1.5具备履行合同所必须的设备和专业技术能力的书面声明;</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1.6参加政府采购活动前三年内，在经营活动中没有重大违法记录的书面声明；</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2、特定资格条件</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2.1投标人未被列入“中国执行信息公开网”（http://zxgk.court.gov.cn/shixin/）失信被执行人名单，未被列入“信用中国”网站（www.creditchina.gov.cn）重大税收违法失信主体，未被列入“中国政府采购网”（www.ccgp.gov.cn）政府采购严重违法失信行为记录名单；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法定代表人（或单位负责人）直接参加投标的，须出具法定代表人（或单位负责人）身份证，非法定代表人（或单位负责人）参加投标，须出具法定代表人（或单位负责人）授权书及被授权人身份证</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投标单位负责人为同一人或者存在控股、管理关系的不同单位，不得参加同一合同项下的政府采购活动；</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本项目不允许联合体投标</w:t>
            </w:r>
            <w:r>
              <w:rPr>
                <w:rFonts w:hint="eastAsia" w:asciiTheme="minorEastAsia" w:hAnsiTheme="minorEastAsia" w:eastAsiaTheme="minorEastAsia"/>
                <w:sz w:val="24"/>
                <w:lang w:eastAsia="zh-CN"/>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第2包：1、投标人具备《中华人民共和国政府采购法》第二十二条规定之资格条件。须提供的证明材料有：</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1.1提供有效合格的具有社会统一信用代码的营业执照，其他组织经营的须提供合法凭证，自然人提供身份证明文件;</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1.2财务状况报告：</w:t>
            </w:r>
            <w:r>
              <w:rPr>
                <w:rFonts w:hint="eastAsia" w:asciiTheme="minorEastAsia" w:hAnsiTheme="minorEastAsia" w:eastAsiaTheme="minorEastAsia"/>
                <w:sz w:val="24"/>
                <w:lang w:eastAsia="zh-CN"/>
              </w:rPr>
              <w:t>提供2021年度或2022年度经审计的财务报告</w:t>
            </w:r>
            <w:r>
              <w:rPr>
                <w:rFonts w:hint="eastAsia" w:asciiTheme="minorEastAsia" w:hAnsiTheme="minorEastAsia" w:eastAsiaTheme="minorEastAsia"/>
                <w:sz w:val="24"/>
              </w:rPr>
              <w:t>或开标日期前三个月内其基本存款账户开户银行出具的资信证明及基本存款账户开户许可证（基本账户信息表）或财政部门认可的政府采购专业担保机构出具的投标担保函；</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1.3税收缴纳证明：提供2022年10月至今已缴纳的至少一个月的纳税证明</w:t>
            </w:r>
            <w:r>
              <w:rPr>
                <w:rFonts w:hint="eastAsia" w:asciiTheme="minorEastAsia" w:hAnsiTheme="minorEastAsia" w:eastAsiaTheme="minorEastAsia"/>
                <w:sz w:val="24"/>
                <w:lang w:val="en-US" w:eastAsia="zh-CN"/>
              </w:rPr>
              <w:t>(任意税种）</w:t>
            </w:r>
            <w:r>
              <w:rPr>
                <w:rFonts w:hint="eastAsia" w:asciiTheme="minorEastAsia" w:hAnsiTheme="minorEastAsia" w:eastAsiaTheme="minorEastAsia"/>
                <w:sz w:val="24"/>
              </w:rPr>
              <w:t>，依法免税的单位应提供相关证明材料；</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1.4社会保障资金缴纳证明：提供2022年10月至今已缴存的至少一个月的社会保障资金缴存单据或社保机构开具的社会保险参保缴费情况证明，依法不需要缴纳社会保障资金的单位应提供相关证明材料；</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1.5具备履行合同所必须的设备和专业技术能力的书面声明;</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1.6参加政府采购活动前三年内，在经营活动中没有重大违法记录的书面声明；</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2、特定资格条件</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2.1投标人未被列入“中国执行信息公开网”（http://zxgk.court.gov.cn/shixin/）失信被执行人名单，未被列入“信用中国”网站（www.creditchina.gov.cn）重大税收违法失信主体，未被列入“中国政府采购网”（www.ccgp.gov.cn）政府采购严重违法失信行为记录名单；</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法定代表人（或单位负责人）直接参加投标的，须出具法定代表人（或单位负责人）身份证，非法定代表人（或单位负责人）参加投标，须出具法定代表人（或单位负责人）授权书及被授权人身份证</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投标单位负责人为同一人或者存在控股、管理关系的不同单位，不得参加同一合同项下的政府采购活动；</w:t>
            </w:r>
          </w:p>
          <w:p>
            <w:pPr>
              <w:spacing w:line="360" w:lineRule="auto"/>
              <w:rPr>
                <w:rFonts w:hint="eastAsia" w:eastAsiaTheme="minorEastAsia"/>
                <w:lang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本项目不允许联合体投标</w:t>
            </w:r>
            <w:r>
              <w:rPr>
                <w:rFonts w:hint="eastAsia" w:asciiTheme="minorEastAsia" w:hAnsiTheme="minorEastAsia" w:eastAsiaTheme="minorEastAsia"/>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1.3.4</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是否为专门面向中小企业采购：</w:t>
            </w:r>
            <w:r>
              <w:rPr>
                <w:rFonts w:hint="eastAsia" w:asciiTheme="minorEastAsia" w:hAnsiTheme="minorEastAsia" w:eastAsiaTheme="minorEastAsia"/>
                <w:sz w:val="24"/>
                <w:highlight w:val="none"/>
                <w:u w:val="single"/>
                <w:lang w:val="en-US" w:eastAsia="zh-CN"/>
              </w:rPr>
              <w:t>否</w:t>
            </w:r>
            <w:r>
              <w:rPr>
                <w:rFonts w:hint="eastAsia" w:asciiTheme="minorEastAsia" w:hAnsiTheme="minorEastAsia" w:eastAsiaTheme="minorEastAsia"/>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1.3.5</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是否</w:t>
            </w:r>
            <w:r>
              <w:rPr>
                <w:rFonts w:hint="eastAsia" w:cs="宋体" w:asciiTheme="minorEastAsia" w:hAnsiTheme="minorEastAsia" w:eastAsiaTheme="minorEastAsia"/>
                <w:sz w:val="24"/>
              </w:rPr>
              <w:t>允</w:t>
            </w:r>
            <w:r>
              <w:rPr>
                <w:rFonts w:hint="eastAsia" w:asciiTheme="minorEastAsia" w:hAnsiTheme="minorEastAsia" w:eastAsiaTheme="minorEastAsia"/>
                <w:sz w:val="24"/>
              </w:rPr>
              <w:t>许采购进口产品</w:t>
            </w:r>
            <w:r>
              <w:rPr>
                <w:rFonts w:hint="eastAsia" w:cs="___WRD_EMBED_SUB_39" w:asciiTheme="minorEastAsia" w:hAnsiTheme="minorEastAsia" w:eastAsiaTheme="minorEastAsia"/>
                <w:sz w:val="24"/>
              </w:rPr>
              <w:t>：</w:t>
            </w:r>
            <w:r>
              <w:rPr>
                <w:rFonts w:hint="eastAsia" w:asciiTheme="minorEastAsia" w:hAnsiTheme="minorEastAsia" w:eastAsiaTheme="minorEastAsia"/>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1.4</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是否</w:t>
            </w:r>
            <w:r>
              <w:rPr>
                <w:rFonts w:hint="eastAsia" w:cs="宋体" w:asciiTheme="minorEastAsia" w:hAnsiTheme="minorEastAsia" w:eastAsiaTheme="minorEastAsia"/>
                <w:sz w:val="24"/>
              </w:rPr>
              <w:t>允</w:t>
            </w:r>
            <w:r>
              <w:rPr>
                <w:rFonts w:hint="eastAsia" w:asciiTheme="minorEastAsia" w:hAnsiTheme="minorEastAsia" w:eastAsiaTheme="minorEastAsia"/>
                <w:sz w:val="24"/>
              </w:rPr>
              <w:t>许联合体投标</w:t>
            </w:r>
            <w:r>
              <w:rPr>
                <w:rFonts w:hint="eastAsia" w:cs="___WRD_EMBED_SUB_39" w:asciiTheme="minorEastAsia" w:hAnsiTheme="minorEastAsia" w:eastAsiaTheme="minorEastAsia"/>
                <w:sz w:val="24"/>
              </w:rPr>
              <w:t>：</w:t>
            </w:r>
            <w:r>
              <w:rPr>
                <w:rFonts w:hint="eastAsia" w:asciiTheme="minorEastAsia" w:hAnsiTheme="minorEastAsia" w:eastAsiaTheme="minorEastAsia"/>
                <w:sz w:val="24"/>
                <w:u w:val="single"/>
              </w:rPr>
              <w:t>否</w:t>
            </w:r>
            <w:r>
              <w:rPr>
                <w:rFonts w:asciiTheme="minorEastAsia" w:hAnsiTheme="minorEastAsia" w:eastAsiaTheme="minorEastAsia"/>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1.4.7</w:t>
            </w:r>
          </w:p>
        </w:tc>
        <w:tc>
          <w:tcPr>
            <w:tcW w:w="8058" w:type="dxa"/>
            <w:vAlign w:val="center"/>
          </w:tcPr>
          <w:p>
            <w:pPr>
              <w:spacing w:line="360" w:lineRule="auto"/>
              <w:rPr>
                <w:rFonts w:cs="宋体" w:asciiTheme="minorEastAsia" w:hAnsiTheme="minorEastAsia" w:eastAsiaTheme="minorEastAsia"/>
                <w:sz w:val="24"/>
              </w:rPr>
            </w:pPr>
            <w:r>
              <w:rPr>
                <w:rFonts w:asciiTheme="minorEastAsia" w:hAnsiTheme="minorEastAsia" w:eastAsiaTheme="minorEastAsia"/>
                <w:sz w:val="24"/>
              </w:rPr>
              <w:t>联合体的其他资格要求：</w:t>
            </w:r>
            <w:r>
              <w:rPr>
                <w:rFonts w:hint="eastAsia" w:cs="宋体" w:asciiTheme="minorEastAsia" w:hAnsiTheme="minorEastAsia" w:eastAsiaTheme="minorEastAsia"/>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1.7</w:t>
            </w:r>
          </w:p>
        </w:tc>
        <w:tc>
          <w:tcPr>
            <w:tcW w:w="8058" w:type="dxa"/>
            <w:vAlign w:val="center"/>
          </w:tcPr>
          <w:p>
            <w:pPr>
              <w:spacing w:line="360" w:lineRule="auto"/>
              <w:rPr>
                <w:rFonts w:asciiTheme="minorEastAsia" w:hAnsiTheme="minorEastAsia" w:eastAsiaTheme="minorEastAsia"/>
                <w:sz w:val="24"/>
                <w:u w:val="single"/>
              </w:rPr>
            </w:pPr>
            <w:r>
              <w:rPr>
                <w:rFonts w:asciiTheme="minorEastAsia" w:hAnsiTheme="minorEastAsia" w:eastAsiaTheme="minorEastAsia"/>
                <w:sz w:val="24"/>
              </w:rPr>
              <w:t>项目所属行业</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u w:val="single"/>
                <w:lang w:val="en-US" w:eastAsia="zh-CN"/>
              </w:rPr>
              <w:t>工</w:t>
            </w:r>
            <w:r>
              <w:rPr>
                <w:rFonts w:hint="eastAsia" w:asciiTheme="minorEastAsia" w:hAnsiTheme="minorEastAsia" w:eastAsiaTheme="minorEastAsia"/>
                <w:sz w:val="24"/>
                <w:highlight w:val="none"/>
                <w:u w:val="single"/>
              </w:rPr>
              <w:t>业</w:t>
            </w:r>
            <w:r>
              <w:rPr>
                <w:rFonts w:asciiTheme="minorEastAsia" w:hAnsiTheme="minorEastAsia" w:eastAsiaTheme="minorEastAsia"/>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2.2</w:t>
            </w:r>
          </w:p>
        </w:tc>
        <w:tc>
          <w:tcPr>
            <w:tcW w:w="8058"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项目总预算金额：2,267,000.00元；</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第一包项目预算金额：1,189,000.00元 ；最高限价：1,189,000.00元 </w:t>
            </w:r>
          </w:p>
          <w:p>
            <w:pPr>
              <w:spacing w:line="360" w:lineRule="auto"/>
            </w:pPr>
            <w:r>
              <w:rPr>
                <w:rFonts w:hint="eastAsia" w:asciiTheme="minorEastAsia" w:hAnsiTheme="minorEastAsia" w:eastAsiaTheme="minorEastAsia"/>
                <w:sz w:val="24"/>
              </w:rPr>
              <w:t>第二包项目预算金额：1,078,000.00元 ；最高限价：1,078,000.00元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5.4</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是否组织现场</w:t>
            </w:r>
            <w:r>
              <w:rPr>
                <w:rFonts w:hint="eastAsia" w:cs="宋体" w:asciiTheme="minorEastAsia" w:hAnsiTheme="minorEastAsia" w:eastAsiaTheme="minorEastAsia"/>
                <w:sz w:val="24"/>
              </w:rPr>
              <w:t>考察</w:t>
            </w:r>
            <w:r>
              <w:rPr>
                <w:rFonts w:hint="eastAsia" w:cs="___WRD_EMBED_SUB_39" w:asciiTheme="minorEastAsia" w:hAnsiTheme="minorEastAsia" w:eastAsiaTheme="minorEastAsia"/>
                <w:sz w:val="24"/>
              </w:rPr>
              <w:t>或者</w:t>
            </w:r>
            <w:r>
              <w:rPr>
                <w:rFonts w:hint="eastAsia" w:cs="宋体" w:asciiTheme="minorEastAsia" w:hAnsiTheme="minorEastAsia" w:eastAsiaTheme="minorEastAsia"/>
                <w:sz w:val="24"/>
              </w:rPr>
              <w:t>召</w:t>
            </w:r>
            <w:r>
              <w:rPr>
                <w:rFonts w:hint="eastAsia" w:cs="___WRD_EMBED_SUB_39" w:asciiTheme="minorEastAsia" w:hAnsiTheme="minorEastAsia" w:eastAsiaTheme="minorEastAsia"/>
                <w:sz w:val="24"/>
              </w:rPr>
              <w:t>开</w:t>
            </w:r>
            <w:r>
              <w:rPr>
                <w:rFonts w:hint="eastAsia" w:cs="宋体" w:asciiTheme="minorEastAsia" w:hAnsiTheme="minorEastAsia" w:eastAsiaTheme="minorEastAsia"/>
                <w:sz w:val="24"/>
              </w:rPr>
              <w:t>答疑</w:t>
            </w:r>
            <w:r>
              <w:rPr>
                <w:rFonts w:hint="eastAsia" w:cs="___WRD_EMBED_SUB_39" w:asciiTheme="minorEastAsia" w:hAnsiTheme="minorEastAsia" w:eastAsiaTheme="minorEastAsia"/>
                <w:sz w:val="24"/>
              </w:rPr>
              <w:t>会：</w:t>
            </w:r>
            <w:r>
              <w:rPr>
                <w:rFonts w:hint="eastAsia" w:asciiTheme="minorEastAsia" w:hAnsiTheme="minorEastAsia" w:eastAsiaTheme="minorEastAsia"/>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hint="eastAsia" w:asciiTheme="minorEastAsia" w:hAnsiTheme="minorEastAsia" w:eastAsiaTheme="minorEastAsia"/>
                <w:sz w:val="24"/>
              </w:rPr>
              <w:t>8.1</w:t>
            </w:r>
          </w:p>
        </w:tc>
        <w:tc>
          <w:tcPr>
            <w:tcW w:w="8058"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如投标人对多个包进行投标，可以中标</w:t>
            </w:r>
            <w:r>
              <w:rPr>
                <w:rFonts w:hint="eastAsia" w:asciiTheme="minorEastAsia" w:hAnsiTheme="minorEastAsia" w:eastAsiaTheme="minorEastAsia"/>
                <w:sz w:val="24"/>
                <w:u w:val="single"/>
              </w:rPr>
              <w:t xml:space="preserve"> 1 个</w:t>
            </w:r>
            <w:r>
              <w:rPr>
                <w:rFonts w:hint="eastAsia" w:asciiTheme="minorEastAsia" w:hAnsiTheme="minorEastAsia" w:eastAsiaTheme="minorEastAsia"/>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12.1</w:t>
            </w:r>
          </w:p>
        </w:tc>
        <w:tc>
          <w:tcPr>
            <w:tcW w:w="8058"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投标保证金</w:t>
            </w:r>
            <w:r>
              <w:rPr>
                <w:rFonts w:asciiTheme="minorEastAsia" w:hAnsiTheme="minorEastAsia" w:eastAsiaTheme="minorEastAsia"/>
                <w:sz w:val="24"/>
              </w:rPr>
              <w:t>：</w:t>
            </w:r>
            <w:r>
              <w:rPr>
                <w:rFonts w:hint="eastAsia" w:asciiTheme="minorEastAsia" w:hAnsiTheme="minorEastAsia" w:eastAsiaTheme="minorEastAsia"/>
                <w:sz w:val="24"/>
              </w:rPr>
              <w:t>本项目不收取投标保证金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14.1</w:t>
            </w:r>
          </w:p>
        </w:tc>
        <w:tc>
          <w:tcPr>
            <w:tcW w:w="8058" w:type="dxa"/>
            <w:vAlign w:val="center"/>
          </w:tcPr>
          <w:p>
            <w:pPr>
              <w:spacing w:line="360" w:lineRule="auto"/>
              <w:rPr>
                <w:rFonts w:cs="___WRD_EMBED_SUB_39" w:asciiTheme="minorEastAsia" w:hAnsiTheme="minorEastAsia" w:eastAsiaTheme="minorEastAsia"/>
                <w:sz w:val="24"/>
              </w:rPr>
            </w:pPr>
            <w:r>
              <w:rPr>
                <w:rFonts w:hint="eastAsia" w:cs="___WRD_EMBED_SUB_39" w:asciiTheme="minorEastAsia" w:hAnsiTheme="minorEastAsia" w:eastAsiaTheme="minorEastAsia"/>
                <w:sz w:val="24"/>
              </w:rPr>
              <w:t>正本的份数：壹份；</w:t>
            </w:r>
          </w:p>
          <w:p>
            <w:pPr>
              <w:spacing w:line="360" w:lineRule="auto"/>
              <w:rPr>
                <w:rFonts w:cs="___WRD_EMBED_SUB_39" w:asciiTheme="minorEastAsia" w:hAnsiTheme="minorEastAsia" w:eastAsiaTheme="minorEastAsia"/>
                <w:sz w:val="24"/>
              </w:rPr>
            </w:pPr>
            <w:r>
              <w:rPr>
                <w:rFonts w:hint="eastAsia" w:cs="___WRD_EMBED_SUB_39" w:asciiTheme="minorEastAsia" w:hAnsiTheme="minorEastAsia" w:eastAsiaTheme="minorEastAsia"/>
                <w:sz w:val="24"/>
              </w:rPr>
              <w:t>副本的份数：贰份；</w:t>
            </w:r>
          </w:p>
          <w:p>
            <w:pPr>
              <w:spacing w:line="360" w:lineRule="auto"/>
              <w:rPr>
                <w:rFonts w:asciiTheme="minorEastAsia" w:hAnsiTheme="minorEastAsia" w:eastAsiaTheme="minorEastAsia"/>
                <w:sz w:val="24"/>
              </w:rPr>
            </w:pPr>
            <w:r>
              <w:rPr>
                <w:rFonts w:hint="eastAsia" w:cs="___WRD_EMBED_SUB_39" w:asciiTheme="minorEastAsia" w:hAnsiTheme="minorEastAsia" w:eastAsiaTheme="minorEastAsia"/>
                <w:sz w:val="24"/>
              </w:rPr>
              <w:t>电子版（U盘）：壹份（电子版与纸质正本投标文件的内容应保持一致，为正本盖章后的扫描件，电子版应注明项目名称、项目编号、包号及单位名称）。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16.1</w:t>
            </w:r>
          </w:p>
        </w:tc>
        <w:tc>
          <w:tcPr>
            <w:tcW w:w="8058" w:type="dxa"/>
            <w:vAlign w:val="center"/>
          </w:tcPr>
          <w:p>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投标截止时间：</w:t>
            </w:r>
            <w:r>
              <w:rPr>
                <w:rFonts w:hint="eastAsia" w:asciiTheme="minorEastAsia" w:hAnsiTheme="minorEastAsia" w:eastAsiaTheme="minorEastAsia"/>
                <w:sz w:val="24"/>
                <w:highlight w:val="none"/>
                <w:u w:val="single"/>
              </w:rPr>
              <w:t>2023年</w:t>
            </w:r>
            <w:r>
              <w:rPr>
                <w:rFonts w:hint="eastAsia" w:asciiTheme="minorEastAsia" w:hAnsiTheme="minorEastAsia" w:eastAsiaTheme="minorEastAsia"/>
                <w:sz w:val="24"/>
                <w:highlight w:val="none"/>
                <w:u w:val="single"/>
                <w:lang w:val="en-US" w:eastAsia="zh-CN"/>
              </w:rPr>
              <w:t>05</w:t>
            </w:r>
            <w:r>
              <w:rPr>
                <w:rFonts w:hint="eastAsia" w:asciiTheme="minorEastAsia" w:hAnsiTheme="minorEastAsia" w:eastAsiaTheme="minorEastAsia"/>
                <w:sz w:val="24"/>
                <w:highlight w:val="none"/>
                <w:u w:val="single"/>
              </w:rPr>
              <w:t>月</w:t>
            </w:r>
            <w:r>
              <w:rPr>
                <w:rFonts w:hint="eastAsia" w:asciiTheme="minorEastAsia" w:hAnsiTheme="minorEastAsia" w:eastAsiaTheme="minorEastAsia"/>
                <w:sz w:val="24"/>
                <w:highlight w:val="none"/>
                <w:u w:val="single"/>
                <w:lang w:val="en-US" w:eastAsia="zh-CN"/>
              </w:rPr>
              <w:t>18</w:t>
            </w:r>
            <w:r>
              <w:rPr>
                <w:rFonts w:hint="eastAsia" w:asciiTheme="minorEastAsia" w:hAnsiTheme="minorEastAsia" w:eastAsiaTheme="minorEastAsia"/>
                <w:sz w:val="24"/>
                <w:highlight w:val="none"/>
                <w:u w:val="single"/>
              </w:rPr>
              <w:t>日</w:t>
            </w:r>
            <w:r>
              <w:rPr>
                <w:rFonts w:hint="eastAsia" w:asciiTheme="minorEastAsia" w:hAnsiTheme="minorEastAsia" w:eastAsiaTheme="minorEastAsia"/>
                <w:sz w:val="24"/>
                <w:highlight w:val="none"/>
                <w:u w:val="single"/>
                <w:lang w:val="en-US" w:eastAsia="zh-CN"/>
              </w:rPr>
              <w:t>14</w:t>
            </w:r>
            <w:r>
              <w:rPr>
                <w:rFonts w:hint="eastAsia" w:asciiTheme="minorEastAsia" w:hAnsiTheme="minorEastAsia" w:eastAsiaTheme="minorEastAsia"/>
                <w:sz w:val="24"/>
                <w:highlight w:val="none"/>
                <w:u w:val="single"/>
              </w:rPr>
              <w:t>时30分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18.1</w:t>
            </w:r>
          </w:p>
        </w:tc>
        <w:tc>
          <w:tcPr>
            <w:tcW w:w="8058" w:type="dxa"/>
            <w:vAlign w:val="center"/>
          </w:tcPr>
          <w:p>
            <w:pPr>
              <w:spacing w:line="360" w:lineRule="auto"/>
              <w:rPr>
                <w:rFonts w:cs="仿宋" w:asciiTheme="minorEastAsia" w:hAnsiTheme="minorEastAsia" w:eastAsiaTheme="minorEastAsia"/>
                <w:sz w:val="24"/>
                <w:highlight w:val="none"/>
                <w:u w:val="single"/>
              </w:rPr>
            </w:pPr>
            <w:r>
              <w:rPr>
                <w:rFonts w:hint="eastAsia" w:cs="仿宋" w:asciiTheme="minorEastAsia" w:hAnsiTheme="minorEastAsia" w:eastAsiaTheme="minorEastAsia"/>
                <w:sz w:val="24"/>
                <w:highlight w:val="none"/>
              </w:rPr>
              <w:t>开标时间：</w:t>
            </w:r>
            <w:r>
              <w:rPr>
                <w:rFonts w:hint="eastAsia" w:asciiTheme="minorEastAsia" w:hAnsiTheme="minorEastAsia" w:eastAsiaTheme="minorEastAsia"/>
                <w:sz w:val="24"/>
                <w:highlight w:val="none"/>
                <w:u w:val="single"/>
              </w:rPr>
              <w:t>2023年</w:t>
            </w:r>
            <w:r>
              <w:rPr>
                <w:rFonts w:hint="eastAsia" w:asciiTheme="minorEastAsia" w:hAnsiTheme="minorEastAsia" w:eastAsiaTheme="minorEastAsia"/>
                <w:sz w:val="24"/>
                <w:highlight w:val="none"/>
                <w:u w:val="single"/>
                <w:lang w:val="en-US" w:eastAsia="zh-CN"/>
              </w:rPr>
              <w:t>05</w:t>
            </w:r>
            <w:r>
              <w:rPr>
                <w:rFonts w:hint="eastAsia" w:asciiTheme="minorEastAsia" w:hAnsiTheme="minorEastAsia" w:eastAsiaTheme="minorEastAsia"/>
                <w:sz w:val="24"/>
                <w:highlight w:val="none"/>
                <w:u w:val="single"/>
              </w:rPr>
              <w:t>月</w:t>
            </w:r>
            <w:r>
              <w:rPr>
                <w:rFonts w:hint="eastAsia" w:asciiTheme="minorEastAsia" w:hAnsiTheme="minorEastAsia" w:eastAsiaTheme="minorEastAsia"/>
                <w:sz w:val="24"/>
                <w:highlight w:val="none"/>
                <w:u w:val="single"/>
                <w:lang w:val="en-US" w:eastAsia="zh-CN"/>
              </w:rPr>
              <w:t>18</w:t>
            </w:r>
            <w:r>
              <w:rPr>
                <w:rFonts w:hint="eastAsia" w:asciiTheme="minorEastAsia" w:hAnsiTheme="minorEastAsia" w:eastAsiaTheme="minorEastAsia"/>
                <w:sz w:val="24"/>
                <w:highlight w:val="none"/>
                <w:u w:val="single"/>
              </w:rPr>
              <w:t>日</w:t>
            </w:r>
            <w:r>
              <w:rPr>
                <w:rFonts w:hint="eastAsia" w:asciiTheme="minorEastAsia" w:hAnsiTheme="minorEastAsia" w:eastAsiaTheme="minorEastAsia"/>
                <w:sz w:val="24"/>
                <w:highlight w:val="none"/>
                <w:u w:val="single"/>
                <w:lang w:val="en-US" w:eastAsia="zh-CN"/>
              </w:rPr>
              <w:t>14</w:t>
            </w:r>
            <w:r>
              <w:rPr>
                <w:rFonts w:hint="eastAsia" w:asciiTheme="minorEastAsia" w:hAnsiTheme="minorEastAsia" w:eastAsiaTheme="minorEastAsia"/>
                <w:sz w:val="24"/>
                <w:highlight w:val="none"/>
                <w:u w:val="single"/>
              </w:rPr>
              <w:t>时30分</w:t>
            </w:r>
          </w:p>
          <w:p>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开标地点：西安市莲湖区光远路16号新世纪大厦7 层B区会议室。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19.2</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信用查询时间:为招标文件发售时间至资格审查工作结束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23.2</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评标方法：适用</w:t>
            </w:r>
            <w:r>
              <w:rPr>
                <w:rFonts w:hint="eastAsia" w:cs="宋体" w:asciiTheme="minorEastAsia" w:hAnsiTheme="minorEastAsia" w:eastAsiaTheme="minorEastAsia"/>
                <w:sz w:val="24"/>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27.1</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推荐中标候选人的数量：</w:t>
            </w:r>
            <w:r>
              <w:rPr>
                <w:rFonts w:hint="eastAsia" w:asciiTheme="minorEastAsia" w:hAnsiTheme="minorEastAsia" w:eastAsiaTheme="minorEastAsia"/>
                <w:sz w:val="24"/>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27.2</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招标人是否委托评标委员会直接确定中标人：</w:t>
            </w:r>
            <w:r>
              <w:rPr>
                <w:rFonts w:hint="eastAsia" w:asciiTheme="minorEastAsia" w:hAnsiTheme="minorEastAsia" w:eastAsiaTheme="minorEastAsia"/>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31.1</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是否提交履约保证金：</w:t>
            </w:r>
            <w:r>
              <w:rPr>
                <w:rFonts w:hint="eastAsia" w:asciiTheme="minorEastAsia" w:hAnsiTheme="minorEastAsia" w:eastAsiaTheme="minorEastAsia"/>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33</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中标单位在领取中标通知书前，须向采购代理机构支付招标代理服务费，招标代理服务费由采购人与采购代理机构约定：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参照原国家计委计价格〔2002〕1980号文和国家发改委发改办价格〔2003〕857号文的计算方法收取。</w:t>
            </w:r>
          </w:p>
          <w:p>
            <w:p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中标单位的招标代理服务费交纳信息</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银行户名：</w:t>
            </w:r>
            <w:r>
              <w:rPr>
                <w:rFonts w:hint="eastAsia" w:asciiTheme="minorEastAsia" w:hAnsiTheme="minorEastAsia" w:eastAsiaTheme="minorEastAsia"/>
                <w:sz w:val="24"/>
              </w:rPr>
              <w:t>陕西诺尔信项目管理有限公司</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开户银行：</w:t>
            </w:r>
            <w:r>
              <w:rPr>
                <w:rFonts w:hint="eastAsia" w:asciiTheme="minorEastAsia" w:hAnsiTheme="minorEastAsia" w:eastAsiaTheme="minorEastAsia"/>
                <w:sz w:val="24"/>
              </w:rPr>
              <w:t>上海浦东发展银行股份有限公司西安艺术大街支行</w:t>
            </w:r>
          </w:p>
          <w:p>
            <w:pPr>
              <w:autoSpaceDE w:val="0"/>
              <w:autoSpaceDN w:val="0"/>
              <w:adjustRightInd w:val="0"/>
              <w:snapToGrid w:val="0"/>
              <w:spacing w:line="360" w:lineRule="auto"/>
              <w:ind w:firstLine="480" w:firstLineChars="200"/>
              <w:rPr>
                <w:rFonts w:asciiTheme="minorEastAsia" w:hAnsiTheme="minorEastAsia" w:eastAsiaTheme="minorEastAsia"/>
                <w:sz w:val="24"/>
                <w:highlight w:val="yellow"/>
              </w:rPr>
            </w:pPr>
            <w:r>
              <w:rPr>
                <w:rFonts w:asciiTheme="minorEastAsia" w:hAnsiTheme="minorEastAsia" w:eastAsiaTheme="minorEastAsia"/>
                <w:sz w:val="24"/>
              </w:rPr>
              <w:t>账    号：</w:t>
            </w:r>
            <w:r>
              <w:rPr>
                <w:rFonts w:hint="eastAsia" w:asciiTheme="minorEastAsia" w:hAnsiTheme="minorEastAsia" w:eastAsiaTheme="minorEastAsia"/>
                <w:sz w:val="24"/>
              </w:rPr>
              <w:t>72160078801900000038</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联 系 人：</w:t>
            </w:r>
            <w:r>
              <w:rPr>
                <w:rFonts w:hint="eastAsia" w:asciiTheme="minorEastAsia" w:hAnsiTheme="minorEastAsia" w:eastAsiaTheme="minorEastAsia"/>
                <w:sz w:val="24"/>
              </w:rPr>
              <w:t>高工</w:t>
            </w:r>
            <w:r>
              <w:rPr>
                <w:rFonts w:asciiTheme="minorEastAsia" w:hAnsiTheme="minorEastAsia" w:eastAsiaTheme="minorEastAsia"/>
                <w:sz w:val="24"/>
              </w:rPr>
              <w:t xml:space="preserve">   联系电话：</w:t>
            </w:r>
            <w:r>
              <w:rPr>
                <w:rStyle w:val="202"/>
                <w:rFonts w:hint="eastAsia" w:asciiTheme="minorEastAsia" w:hAnsiTheme="minorEastAsia" w:eastAsiaTheme="minorEastAsia"/>
                <w:sz w:val="24"/>
              </w:rPr>
              <w:t>029-88851617-803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37.2</w:t>
            </w:r>
          </w:p>
        </w:tc>
        <w:tc>
          <w:tcPr>
            <w:tcW w:w="8058" w:type="dxa"/>
            <w:vAlign w:val="center"/>
          </w:tcPr>
          <w:p>
            <w:pPr>
              <w:spacing w:line="360" w:lineRule="auto"/>
              <w:ind w:left="706" w:leftChars="-1" w:hanging="708" w:hangingChars="295"/>
              <w:rPr>
                <w:rFonts w:asciiTheme="minorEastAsia" w:hAnsiTheme="minorEastAsia" w:eastAsiaTheme="minorEastAsia"/>
                <w:sz w:val="24"/>
              </w:rPr>
            </w:pPr>
            <w:r>
              <w:rPr>
                <w:rFonts w:asciiTheme="minorEastAsia" w:hAnsiTheme="minorEastAsia" w:eastAsiaTheme="minorEastAsia"/>
                <w:sz w:val="24"/>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37.4</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联系单位：</w:t>
            </w:r>
            <w:r>
              <w:rPr>
                <w:rFonts w:hint="eastAsia" w:asciiTheme="minorEastAsia" w:hAnsiTheme="minorEastAsia" w:eastAsiaTheme="minorEastAsia"/>
                <w:sz w:val="24"/>
              </w:rPr>
              <w:t>陕西诺尔信项目管理有限公司</w:t>
            </w:r>
          </w:p>
          <w:p>
            <w:pPr>
              <w:spacing w:line="360" w:lineRule="auto"/>
              <w:ind w:left="710" w:leftChars="-23" w:hanging="758" w:hangingChars="316"/>
              <w:rPr>
                <w:rFonts w:hint="default" w:asciiTheme="minorEastAsia" w:hAnsiTheme="minorEastAsia" w:eastAsiaTheme="minorEastAsia"/>
                <w:sz w:val="24"/>
                <w:lang w:val="en-US" w:eastAsia="zh-CN"/>
              </w:rPr>
            </w:pPr>
            <w:r>
              <w:rPr>
                <w:rFonts w:asciiTheme="minorEastAsia" w:hAnsiTheme="minorEastAsia" w:eastAsiaTheme="minorEastAsia"/>
                <w:sz w:val="24"/>
              </w:rPr>
              <w:t>联 系 人：</w:t>
            </w:r>
            <w:r>
              <w:rPr>
                <w:rFonts w:hint="eastAsia" w:asciiTheme="minorEastAsia" w:hAnsiTheme="minorEastAsia" w:eastAsiaTheme="minorEastAsia"/>
                <w:sz w:val="24"/>
              </w:rPr>
              <w:t>潘工</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薛工</w:t>
            </w:r>
          </w:p>
          <w:p>
            <w:pPr>
              <w:spacing w:line="360" w:lineRule="auto"/>
              <w:ind w:left="710" w:leftChars="-23" w:hanging="758" w:hangingChars="316"/>
              <w:rPr>
                <w:rFonts w:asciiTheme="minorEastAsia" w:hAnsiTheme="minorEastAsia" w:eastAsiaTheme="minorEastAsia"/>
                <w:sz w:val="24"/>
              </w:rPr>
            </w:pPr>
            <w:r>
              <w:rPr>
                <w:rFonts w:asciiTheme="minorEastAsia" w:hAnsiTheme="minorEastAsia" w:eastAsiaTheme="minorEastAsia"/>
                <w:sz w:val="24"/>
              </w:rPr>
              <w:t>联系电话：</w:t>
            </w:r>
            <w:r>
              <w:rPr>
                <w:rFonts w:hint="eastAsia" w:asciiTheme="minorEastAsia" w:hAnsiTheme="minorEastAsia" w:eastAsiaTheme="minorEastAsia"/>
                <w:sz w:val="24"/>
              </w:rPr>
              <w:t xml:space="preserve"> 029-88851617-813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526"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ind w:left="1417" w:leftChars="203" w:hanging="991"/>
              <w:rPr>
                <w:rFonts w:asciiTheme="minorEastAsia" w:hAnsiTheme="minorEastAsia" w:eastAsiaTheme="minorEastAsia"/>
                <w:sz w:val="24"/>
              </w:rPr>
            </w:pPr>
            <w:r>
              <w:rPr>
                <w:rFonts w:asciiTheme="minorEastAsia" w:hAnsiTheme="minorEastAsia" w:eastAsiaTheme="minorEastAsia"/>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8058" w:type="dxa"/>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投标人应提交的其他文件：</w:t>
            </w:r>
            <w:r>
              <w:rPr>
                <w:rFonts w:hint="eastAsia" w:cs="仿宋" w:asciiTheme="minorEastAsia" w:hAnsiTheme="minorEastAsia" w:eastAsia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8058" w:type="dxa"/>
            <w:vAlign w:val="center"/>
          </w:tcPr>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投标文件的密封和标记：</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rPr>
              <w:t>1、</w:t>
            </w:r>
            <w:r>
              <w:rPr>
                <w:rFonts w:hint="eastAsia" w:cs="仿宋" w:asciiTheme="minorEastAsia" w:hAnsiTheme="minorEastAsia" w:eastAsiaTheme="minorEastAsia"/>
                <w:sz w:val="24"/>
                <w:highlight w:val="none"/>
              </w:rPr>
              <w:t>投标文件（资格证明文件）</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投标文件（资格证明文件）的所有正本、副本应密封包装在1个密封袋内。</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2、投标文件（商务及技术文件）</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投标文件（商务及技术文件）的所有正本、副本应密封包装在1个密封袋内。</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3、投标文件电子版</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投标文件电子版（U盘1个）单独密封包装。</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4、投标文件的密封和标记</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（1）投标文件应密封包装，并在封套的封口处加盖投标人单位章及由投标人的法定代表人（负责人）（或单位负责人）或其授权代理人签字</w:t>
            </w:r>
            <w:r>
              <w:rPr>
                <w:rFonts w:hint="eastAsia" w:cs="仿宋" w:asciiTheme="minorEastAsia" w:hAnsiTheme="minorEastAsia" w:eastAsiaTheme="minorEastAsia"/>
                <w:sz w:val="24"/>
                <w:lang w:val="en-US" w:eastAsia="zh-CN"/>
              </w:rPr>
              <w:t>或盖章</w:t>
            </w:r>
            <w:r>
              <w:rPr>
                <w:rFonts w:hint="eastAsia" w:cs="仿宋" w:asciiTheme="minorEastAsia" w:hAnsiTheme="minorEastAsia" w:eastAsiaTheme="minorEastAsia"/>
                <w:sz w:val="24"/>
              </w:rPr>
              <w:t>。</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（2）投标文件封套要求：</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招标人名称：</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w:t>
            </w:r>
          </w:p>
          <w:p>
            <w:pPr>
              <w:adjustRightInd w:val="0"/>
              <w:snapToGrid w:val="0"/>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（项目名称）</w:t>
            </w:r>
            <w:r>
              <w:rPr>
                <w:rFonts w:hint="eastAsia" w:cs="仿宋" w:asciiTheme="minorEastAsia" w:hAnsiTheme="minorEastAsia" w:eastAsiaTheme="minorEastAsia"/>
                <w:sz w:val="24"/>
                <w:highlight w:val="none"/>
              </w:rPr>
              <w:t>第</w:t>
            </w:r>
            <w:r>
              <w:rPr>
                <w:rFonts w:hint="eastAsia" w:cs="仿宋" w:asciiTheme="minorEastAsia" w:hAnsiTheme="minorEastAsia" w:eastAsiaTheme="minorEastAsia"/>
                <w:sz w:val="24"/>
                <w:highlight w:val="none"/>
                <w:u w:val="single"/>
              </w:rPr>
              <w:t xml:space="preserve">    包</w:t>
            </w:r>
            <w:r>
              <w:rPr>
                <w:rFonts w:hint="eastAsia" w:cs="仿宋" w:asciiTheme="minorEastAsia" w:hAnsiTheme="minorEastAsia" w:eastAsiaTheme="minorEastAsia"/>
                <w:sz w:val="24"/>
              </w:rPr>
              <w:t>投标文件</w:t>
            </w:r>
            <w:r>
              <w:rPr>
                <w:rFonts w:hint="eastAsia" w:cs="仿宋" w:asciiTheme="minorEastAsia" w:hAnsiTheme="minorEastAsia" w:eastAsiaTheme="minorEastAsia"/>
                <w:sz w:val="24"/>
                <w:lang w:val="en-US" w:eastAsia="zh-CN"/>
              </w:rPr>
              <w:t xml:space="preserve">  </w:t>
            </w:r>
          </w:p>
          <w:p>
            <w:pPr>
              <w:adjustRightInd w:val="0"/>
              <w:snapToGrid w:val="0"/>
              <w:spacing w:line="360" w:lineRule="auto"/>
              <w:rPr>
                <w:rFonts w:hint="eastAsia" w:eastAsiaTheme="minorEastAsia"/>
                <w:lang w:val="en-US" w:eastAsia="zh-CN"/>
              </w:rPr>
            </w:pPr>
            <w:r>
              <w:rPr>
                <w:rFonts w:hint="eastAsia" w:cs="仿宋" w:asciiTheme="minorEastAsia" w:hAnsiTheme="minorEastAsia" w:eastAsiaTheme="minorEastAsia"/>
                <w:sz w:val="24"/>
                <w:u w:val="single"/>
                <w:lang w:eastAsia="zh-CN"/>
              </w:rPr>
              <w:t>（</w:t>
            </w:r>
            <w:r>
              <w:rPr>
                <w:rFonts w:hint="eastAsia" w:cs="仿宋" w:asciiTheme="minorEastAsia" w:hAnsiTheme="minorEastAsia" w:eastAsiaTheme="minorEastAsia"/>
                <w:sz w:val="24"/>
                <w:u w:val="single"/>
              </w:rPr>
              <w:t>资格证明文件</w:t>
            </w:r>
            <w:r>
              <w:rPr>
                <w:rFonts w:hint="eastAsia" w:cs="仿宋" w:asciiTheme="minorEastAsia" w:hAnsiTheme="minorEastAsia" w:eastAsiaTheme="minorEastAsia"/>
                <w:sz w:val="24"/>
                <w:u w:val="single"/>
                <w:lang w:val="en-US" w:eastAsia="zh-CN"/>
              </w:rPr>
              <w:t>/</w:t>
            </w:r>
            <w:r>
              <w:rPr>
                <w:rFonts w:hint="eastAsia" w:cs="仿宋" w:asciiTheme="minorEastAsia" w:hAnsiTheme="minorEastAsia" w:eastAsiaTheme="minorEastAsia"/>
                <w:sz w:val="24"/>
                <w:highlight w:val="none"/>
                <w:u w:val="single"/>
              </w:rPr>
              <w:t>商务及技术文件</w:t>
            </w:r>
            <w:r>
              <w:rPr>
                <w:rFonts w:hint="eastAsia" w:cs="仿宋" w:asciiTheme="minorEastAsia" w:hAnsiTheme="minorEastAsia" w:eastAsiaTheme="minorEastAsia"/>
                <w:sz w:val="24"/>
                <w:highlight w:val="none"/>
                <w:u w:val="single"/>
                <w:lang w:val="en-US" w:eastAsia="zh-CN"/>
              </w:rPr>
              <w:t>/电子版）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none"/>
                <w:lang w:val="en-US" w:eastAsia="zh-CN"/>
              </w:rPr>
              <w:t>文件</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在</w:t>
            </w:r>
            <w:r>
              <w:rPr>
                <w:rFonts w:hint="eastAsia" w:cs="仿宋" w:asciiTheme="minorEastAsia" w:hAnsiTheme="minorEastAsia" w:eastAsiaTheme="minorEastAsia"/>
                <w:sz w:val="24"/>
                <w:u w:val="single"/>
              </w:rPr>
              <w:t xml:space="preserve">    年    月    日    时   分</w:t>
            </w:r>
            <w:r>
              <w:rPr>
                <w:rFonts w:hint="eastAsia" w:cs="仿宋" w:asciiTheme="minorEastAsia" w:hAnsiTheme="minorEastAsia" w:eastAsiaTheme="minorEastAsia"/>
                <w:sz w:val="24"/>
              </w:rPr>
              <w:t>前不得开启</w:t>
            </w:r>
          </w:p>
          <w:p>
            <w:pPr>
              <w:snapToGrid w:val="0"/>
              <w:spacing w:line="360" w:lineRule="auto"/>
              <w:rPr>
                <w:rFonts w:cs="仿宋" w:asciiTheme="minorEastAsia" w:hAnsiTheme="minorEastAsia" w:eastAsiaTheme="minorEastAsia"/>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Align w:val="center"/>
          </w:tcPr>
          <w:p>
            <w:pPr>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8058" w:type="dxa"/>
            <w:vAlign w:val="center"/>
          </w:tcPr>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供应商登记免费领取采购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tc>
      </w:tr>
    </w:tbl>
    <w:p>
      <w:pPr>
        <w:jc w:val="center"/>
        <w:rPr>
          <w:rFonts w:asciiTheme="minorEastAsia" w:hAnsiTheme="minorEastAsia" w:eastAsiaTheme="minorEastAsia"/>
          <w:sz w:val="36"/>
          <w:szCs w:val="36"/>
        </w:rPr>
      </w:pPr>
      <w:r>
        <w:rPr>
          <w:rFonts w:asciiTheme="minorEastAsia" w:hAnsiTheme="minorEastAsia" w:eastAsiaTheme="minorEastAsia"/>
        </w:rPr>
        <w:br w:type="page"/>
      </w:r>
      <w:bookmarkStart w:id="12" w:name="_Toc108721089"/>
      <w:r>
        <w:rPr>
          <w:rFonts w:asciiTheme="minorEastAsia" w:hAnsiTheme="minorEastAsia" w:eastAsiaTheme="minorEastAsia"/>
          <w:sz w:val="36"/>
          <w:szCs w:val="36"/>
        </w:rPr>
        <w:t>（二）投标人须知</w:t>
      </w:r>
      <w:bookmarkEnd w:id="12"/>
    </w:p>
    <w:p>
      <w:pPr>
        <w:pStyle w:val="4"/>
        <w:rPr>
          <w:rFonts w:asciiTheme="minorEastAsia" w:hAnsiTheme="minorEastAsia" w:eastAsiaTheme="minorEastAsia"/>
          <w:sz w:val="28"/>
          <w:szCs w:val="18"/>
        </w:rPr>
      </w:pPr>
      <w:bookmarkStart w:id="13" w:name="_Toc216582805"/>
      <w:bookmarkStart w:id="14" w:name="_Toc515647757"/>
      <w:bookmarkStart w:id="15" w:name="_Toc520356143"/>
      <w:bookmarkStart w:id="16" w:name="_Toc108721090"/>
      <w:bookmarkStart w:id="17" w:name="_Toc21215"/>
      <w:bookmarkStart w:id="18" w:name="_Toc532473449"/>
      <w:bookmarkStart w:id="19" w:name="_Toc21015"/>
      <w:r>
        <w:rPr>
          <w:rFonts w:asciiTheme="minorEastAsia" w:hAnsiTheme="minorEastAsia" w:eastAsiaTheme="minorEastAsia"/>
          <w:sz w:val="28"/>
          <w:szCs w:val="18"/>
        </w:rPr>
        <w:t>一、</w:t>
      </w:r>
      <w:bookmarkEnd w:id="13"/>
      <w:bookmarkEnd w:id="14"/>
      <w:bookmarkEnd w:id="15"/>
      <w:r>
        <w:rPr>
          <w:rFonts w:asciiTheme="minorEastAsia" w:hAnsiTheme="minorEastAsia" w:eastAsiaTheme="minorEastAsia"/>
          <w:sz w:val="28"/>
          <w:szCs w:val="18"/>
        </w:rPr>
        <w:t>总  则</w:t>
      </w:r>
      <w:bookmarkEnd w:id="16"/>
      <w:bookmarkEnd w:id="17"/>
      <w:bookmarkEnd w:id="18"/>
      <w:bookmarkEnd w:id="19"/>
    </w:p>
    <w:p>
      <w:pPr>
        <w:pStyle w:val="5"/>
        <w:ind w:firstLine="0" w:firstLineChars="0"/>
        <w:jc w:val="both"/>
        <w:rPr>
          <w:rFonts w:asciiTheme="minorEastAsia" w:hAnsiTheme="minorEastAsia" w:eastAsiaTheme="minorEastAsia"/>
          <w:sz w:val="24"/>
          <w:szCs w:val="24"/>
        </w:rPr>
      </w:pPr>
      <w:bookmarkStart w:id="20" w:name="_Toc520356144"/>
      <w:bookmarkStart w:id="21" w:name="_Toc532473450"/>
      <w:bookmarkStart w:id="22" w:name="_Toc515647758"/>
      <w:bookmarkStart w:id="23" w:name="_Toc32623"/>
      <w:bookmarkStart w:id="24" w:name="_Toc108721091"/>
      <w:bookmarkStart w:id="25" w:name="_Toc32189"/>
      <w:r>
        <w:rPr>
          <w:rFonts w:asciiTheme="minorEastAsia" w:hAnsiTheme="minorEastAsia" w:eastAsiaTheme="minorEastAsia"/>
          <w:sz w:val="24"/>
          <w:szCs w:val="24"/>
        </w:rPr>
        <w:t>1.     采购人、采购代理机构及</w:t>
      </w:r>
      <w:bookmarkEnd w:id="20"/>
      <w:r>
        <w:rPr>
          <w:rFonts w:asciiTheme="minorEastAsia" w:hAnsiTheme="minorEastAsia" w:eastAsiaTheme="minorEastAsia"/>
          <w:sz w:val="24"/>
          <w:szCs w:val="24"/>
        </w:rPr>
        <w:t>投标人</w:t>
      </w:r>
      <w:bookmarkEnd w:id="21"/>
      <w:bookmarkEnd w:id="22"/>
      <w:bookmarkEnd w:id="23"/>
      <w:bookmarkEnd w:id="24"/>
      <w:bookmarkEnd w:id="25"/>
    </w:p>
    <w:p>
      <w:pPr>
        <w:tabs>
          <w:tab w:val="left" w:pos="0"/>
        </w:tabs>
        <w:spacing w:line="360" w:lineRule="auto"/>
        <w:rPr>
          <w:rFonts w:asciiTheme="minorEastAsia" w:hAnsiTheme="minorEastAsia" w:eastAsiaTheme="minorEastAsia"/>
          <w:sz w:val="24"/>
        </w:rPr>
      </w:pPr>
      <w:r>
        <w:rPr>
          <w:rFonts w:asciiTheme="minorEastAsia" w:hAnsiTheme="minorEastAsia" w:eastAsiaTheme="minorEastAsia"/>
          <w:sz w:val="24"/>
        </w:rPr>
        <w:t>1.1    采购人：是指依法进行政府采购的国家机关、事业单位、团体组织。</w:t>
      </w:r>
    </w:p>
    <w:p>
      <w:pPr>
        <w:tabs>
          <w:tab w:val="left" w:pos="0"/>
        </w:tabs>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本项目的采购人见</w:t>
      </w:r>
      <w:r>
        <w:rPr>
          <w:rFonts w:asciiTheme="minorEastAsia" w:hAnsiTheme="minorEastAsia" w:eastAsiaTheme="minorEastAsia"/>
          <w:sz w:val="24"/>
          <w:u w:val="single"/>
        </w:rPr>
        <w:t>投标人须知前附表</w:t>
      </w:r>
      <w:r>
        <w:rPr>
          <w:rFonts w:asciiTheme="minorEastAsia" w:hAnsiTheme="minorEastAsia" w:eastAsiaTheme="minorEastAsia"/>
          <w:sz w:val="24"/>
        </w:rPr>
        <w:t>。</w:t>
      </w:r>
    </w:p>
    <w:p>
      <w:pPr>
        <w:tabs>
          <w:tab w:val="left" w:pos="142"/>
        </w:tabs>
        <w:spacing w:line="360" w:lineRule="auto"/>
        <w:ind w:left="828" w:hanging="828" w:hangingChars="345"/>
        <w:rPr>
          <w:rFonts w:asciiTheme="minorEastAsia" w:hAnsiTheme="minorEastAsia" w:eastAsiaTheme="minorEastAsia"/>
          <w:sz w:val="24"/>
        </w:rPr>
      </w:pPr>
      <w:r>
        <w:rPr>
          <w:rFonts w:asciiTheme="minorEastAsia" w:hAnsiTheme="minorEastAsia" w:eastAsiaTheme="minorEastAsia"/>
          <w:sz w:val="24"/>
        </w:rPr>
        <w:t>1.2    采购代理机构：本项目的采购代理机构为</w:t>
      </w:r>
      <w:r>
        <w:rPr>
          <w:rFonts w:hint="eastAsia" w:asciiTheme="minorEastAsia" w:hAnsiTheme="minorEastAsia" w:eastAsiaTheme="minorEastAsia"/>
          <w:sz w:val="24"/>
        </w:rPr>
        <w:t>陕西诺尔信项目管理有限公司</w:t>
      </w:r>
      <w:r>
        <w:rPr>
          <w:rFonts w:asciiTheme="minorEastAsia" w:hAnsiTheme="minorEastAsia" w:eastAsiaTheme="minorEastAsia"/>
          <w:sz w:val="24"/>
        </w:rPr>
        <w:t>，见</w:t>
      </w:r>
      <w:r>
        <w:rPr>
          <w:rFonts w:asciiTheme="minorEastAsia" w:hAnsiTheme="minorEastAsia" w:eastAsiaTheme="minorEastAsia"/>
          <w:sz w:val="24"/>
          <w:u w:val="single"/>
        </w:rPr>
        <w:t>投标人须知前附表。</w:t>
      </w:r>
    </w:p>
    <w:p>
      <w:pPr>
        <w:tabs>
          <w:tab w:val="left" w:pos="142"/>
        </w:tabs>
        <w:spacing w:line="360" w:lineRule="auto"/>
        <w:ind w:left="828" w:hanging="828" w:hangingChars="345"/>
        <w:rPr>
          <w:rFonts w:asciiTheme="minorEastAsia" w:hAnsiTheme="minorEastAsia" w:eastAsiaTheme="minorEastAsia"/>
          <w:sz w:val="24"/>
        </w:rPr>
      </w:pPr>
      <w:r>
        <w:rPr>
          <w:rFonts w:asciiTheme="minorEastAsia" w:hAnsiTheme="minorEastAsia" w:eastAsiaTheme="minorEastAsia"/>
          <w:sz w:val="24"/>
        </w:rPr>
        <w:t>1.3    投标人：是指响应招标、参加投标竞争的法人、其他组织或者自然人。潜在投标人：以招标文件规定的方式获取本项目招标文件的法人、其他组织或者自然人。</w:t>
      </w:r>
    </w:p>
    <w:p>
      <w:pPr>
        <w:spacing w:line="360" w:lineRule="auto"/>
        <w:ind w:firstLine="720" w:firstLineChars="300"/>
        <w:rPr>
          <w:rFonts w:asciiTheme="minorEastAsia" w:hAnsiTheme="minorEastAsia" w:eastAsiaTheme="minorEastAsia"/>
          <w:sz w:val="24"/>
        </w:rPr>
      </w:pPr>
      <w:r>
        <w:rPr>
          <w:rFonts w:asciiTheme="minorEastAsia" w:hAnsiTheme="minorEastAsia" w:eastAsiaTheme="minorEastAsia"/>
          <w:sz w:val="24"/>
        </w:rPr>
        <w:t>本项目的投标人须满足以下条件：</w:t>
      </w:r>
    </w:p>
    <w:p>
      <w:pPr>
        <w:spacing w:line="360" w:lineRule="auto"/>
        <w:ind w:left="838" w:hanging="837" w:hangingChars="349"/>
        <w:rPr>
          <w:rFonts w:asciiTheme="minorEastAsia" w:hAnsiTheme="minorEastAsia" w:eastAsiaTheme="minorEastAsia"/>
          <w:sz w:val="24"/>
        </w:rPr>
      </w:pPr>
      <w:r>
        <w:rPr>
          <w:rFonts w:asciiTheme="minorEastAsia" w:hAnsiTheme="minorEastAsia" w:eastAsiaTheme="minorEastAsia"/>
          <w:sz w:val="24"/>
        </w:rPr>
        <w:t>1.3.1  具备《中华人民共和国政府采购法》第二十二条关于供应商条件的规定，遵守本项目采购人和财政部门政府采购的有关规定。</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1.3.2  以招标文件规定的方式获得了本项目的招标文件。</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1.3.3  符合</w:t>
      </w:r>
      <w:r>
        <w:rPr>
          <w:rFonts w:asciiTheme="minorEastAsia" w:hAnsiTheme="minorEastAsia" w:eastAsiaTheme="minorEastAsia"/>
          <w:sz w:val="24"/>
          <w:u w:val="single"/>
        </w:rPr>
        <w:t>投标人须知前附表</w:t>
      </w:r>
      <w:r>
        <w:rPr>
          <w:rFonts w:asciiTheme="minorEastAsia" w:hAnsiTheme="minorEastAsia" w:eastAsiaTheme="minorEastAsia"/>
          <w:sz w:val="24"/>
        </w:rPr>
        <w:t>中规定的合格投标人的其他资格要求。</w:t>
      </w:r>
    </w:p>
    <w:p>
      <w:pPr>
        <w:spacing w:line="360" w:lineRule="auto"/>
        <w:ind w:left="838" w:hanging="837" w:hangingChars="349"/>
        <w:rPr>
          <w:rFonts w:asciiTheme="minorEastAsia" w:hAnsiTheme="minorEastAsia" w:eastAsiaTheme="minorEastAsia"/>
          <w:sz w:val="24"/>
        </w:rPr>
      </w:pPr>
      <w:r>
        <w:rPr>
          <w:rFonts w:asciiTheme="minorEastAsia" w:hAnsiTheme="minorEastAsia" w:eastAsiaTheme="minorEastAsia"/>
          <w:sz w:val="24"/>
        </w:rPr>
        <w:t>1.3.4  若</w:t>
      </w:r>
      <w:r>
        <w:rPr>
          <w:rFonts w:asciiTheme="minorEastAsia" w:hAnsiTheme="minorEastAsia" w:eastAsiaTheme="minorEastAsia"/>
          <w:sz w:val="24"/>
          <w:u w:val="single"/>
        </w:rPr>
        <w:t>投标人须知前附表</w:t>
      </w:r>
      <w:r>
        <w:rPr>
          <w:rFonts w:asciiTheme="minorEastAsia" w:hAnsiTheme="minorEastAsia" w:eastAsiaTheme="minorEastAsia"/>
          <w:sz w:val="24"/>
        </w:rPr>
        <w:t>中写明专门面向中小企业采购的，如投标人未出具《中小企业声明函》，其投标将被认定为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838" w:hanging="837" w:hangingChars="349"/>
        <w:rPr>
          <w:rFonts w:asciiTheme="minorEastAsia" w:hAnsiTheme="minorEastAsia" w:eastAsiaTheme="minorEastAsia"/>
          <w:sz w:val="24"/>
        </w:rPr>
      </w:pPr>
      <w:r>
        <w:rPr>
          <w:rFonts w:asciiTheme="minorEastAsia" w:hAnsiTheme="minorEastAsia" w:eastAsiaTheme="minorEastAsia"/>
          <w:sz w:val="24"/>
        </w:rPr>
        <w:t>1.3.5  若投标人须知前附表中写明允许采购进口产品，投标人应保证所投产品可履行合法报通关手续进入中国关境内。</w:t>
      </w:r>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若投标人须知前附表中不允许采购进口产品，如投标人所投产品为进口产品，其投标将被认定为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    如</w:t>
      </w:r>
      <w:r>
        <w:rPr>
          <w:rFonts w:asciiTheme="minorEastAsia" w:hAnsiTheme="minorEastAsia" w:eastAsiaTheme="minorEastAsia"/>
          <w:sz w:val="24"/>
          <w:u w:val="single"/>
        </w:rPr>
        <w:t>投标人须知前附表</w:t>
      </w:r>
      <w:r>
        <w:rPr>
          <w:rFonts w:asciiTheme="minorEastAsia" w:hAnsiTheme="minorEastAsia" w:eastAsiaTheme="minorEastAsia"/>
          <w:sz w:val="24"/>
        </w:rPr>
        <w:t>中允许联合体投标，对联合体规定如下：</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1.4.1  两个及以上供应商可以组成一个投标联合体，以一个投标人的身份投标。</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1.4.2  联合体各方均应符合本须知规定。</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1.4.3  采购人根据采购项目对投标人的特殊要求，联合体中至少应当有一方符合相关规定。</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1.4.4  联合体各方应签订共同投标协议，明确约定联合体各方承担的工作和相应的责任，并将共同投标协议作为投标文件</w:t>
      </w:r>
      <w:r>
        <w:rPr>
          <w:rFonts w:hint="eastAsia" w:asciiTheme="minorEastAsia" w:hAnsiTheme="minorEastAsia" w:eastAsiaTheme="minorEastAsia"/>
          <w:sz w:val="24"/>
        </w:rPr>
        <w:t>资格证明文件</w:t>
      </w:r>
      <w:r>
        <w:rPr>
          <w:rFonts w:asciiTheme="minorEastAsia" w:hAnsiTheme="minorEastAsia" w:eastAsiaTheme="minorEastAsia"/>
          <w:sz w:val="24"/>
        </w:rPr>
        <w:t>的内容提交。</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1.4.5  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1.4.6  以联合体形式参加政府采购活动的，联合体各方不得再单独参加或者与其他供应商另外组成联合体参加本项目同一合同项下的投标，否则相关投标将被认定为</w:t>
      </w:r>
      <w:r>
        <w:rPr>
          <w:rFonts w:asciiTheme="minorEastAsia" w:hAnsiTheme="minorEastAsia" w:eastAsiaTheme="minorEastAsia"/>
          <w:b/>
          <w:sz w:val="24"/>
        </w:rPr>
        <w:t>投标无效。</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1.4.7  对联合体投标的其他资格要求见</w:t>
      </w:r>
      <w:r>
        <w:rPr>
          <w:rFonts w:asciiTheme="minorEastAsia" w:hAnsiTheme="minorEastAsia" w:eastAsiaTheme="minorEastAsia"/>
          <w:sz w:val="24"/>
          <w:u w:val="single"/>
        </w:rPr>
        <w:t>投标人须知前附表</w:t>
      </w:r>
      <w:r>
        <w:rPr>
          <w:rFonts w:asciiTheme="minorEastAsia" w:hAnsiTheme="minorEastAsia" w:eastAsiaTheme="minorEastAsia"/>
          <w:sz w:val="24"/>
        </w:rPr>
        <w:t>。</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1.5    单位负责人为同一人或者存在直接控股、管理关系的不同供应商参与本项目同一合同项下的投标的，其相关投标将被认定为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1.6    为本项目提供过整体设计、规范编制或者项目管理、监理、检测等服务的供应商，不得再参加本项目上述服务以外的其他采购活动。否则其投标将被认定为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pStyle w:val="12"/>
        <w:rPr>
          <w:rFonts w:asciiTheme="minorEastAsia" w:hAnsiTheme="minorEastAsia" w:eastAsiaTheme="minorEastAsia"/>
        </w:rPr>
      </w:pPr>
      <w:r>
        <w:rPr>
          <w:rFonts w:asciiTheme="minorEastAsia" w:hAnsiTheme="minorEastAsia" w:eastAsiaTheme="minorEastAsia"/>
        </w:rPr>
        <w:t>1.7    本项目所属行业见</w:t>
      </w:r>
      <w:r>
        <w:rPr>
          <w:rFonts w:asciiTheme="minorEastAsia" w:hAnsiTheme="minorEastAsia" w:eastAsiaTheme="minorEastAsia"/>
          <w:u w:val="single"/>
        </w:rPr>
        <w:t>投标人须知前附表</w:t>
      </w:r>
      <w:r>
        <w:rPr>
          <w:rFonts w:asciiTheme="minorEastAsia" w:hAnsiTheme="minorEastAsia" w:eastAsiaTheme="minorEastAsia"/>
        </w:rPr>
        <w:t>。</w:t>
      </w:r>
    </w:p>
    <w:p>
      <w:pPr>
        <w:pStyle w:val="5"/>
        <w:ind w:firstLine="0" w:firstLineChars="0"/>
        <w:jc w:val="both"/>
        <w:rPr>
          <w:rFonts w:asciiTheme="minorEastAsia" w:hAnsiTheme="minorEastAsia" w:eastAsiaTheme="minorEastAsia"/>
          <w:sz w:val="24"/>
          <w:szCs w:val="24"/>
        </w:rPr>
      </w:pPr>
      <w:bookmarkStart w:id="26" w:name="_Toc515647759"/>
      <w:bookmarkStart w:id="27" w:name="_Toc532473451"/>
      <w:bookmarkStart w:id="28" w:name="_Toc108721092"/>
      <w:bookmarkStart w:id="29" w:name="_Toc5286"/>
      <w:bookmarkStart w:id="30" w:name="_Toc12139"/>
      <w:r>
        <w:rPr>
          <w:rFonts w:asciiTheme="minorEastAsia" w:hAnsiTheme="minorEastAsia" w:eastAsiaTheme="minorEastAsia"/>
          <w:sz w:val="24"/>
          <w:szCs w:val="24"/>
        </w:rPr>
        <w:t>2.     资金来源</w:t>
      </w:r>
      <w:bookmarkEnd w:id="26"/>
      <w:bookmarkEnd w:id="27"/>
      <w:bookmarkEnd w:id="28"/>
      <w:bookmarkEnd w:id="29"/>
      <w:bookmarkEnd w:id="30"/>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2.1    本项目的采购资金已列入政府采购项目预算，具有开展政府采购活动的条件。</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2.2    项目预算金额和最高限价（如有）见</w:t>
      </w:r>
      <w:r>
        <w:rPr>
          <w:rFonts w:asciiTheme="minorEastAsia" w:hAnsiTheme="minorEastAsia" w:eastAsiaTheme="minorEastAsia"/>
          <w:sz w:val="24"/>
          <w:u w:val="single"/>
        </w:rPr>
        <w:t>投标人须知前附表</w:t>
      </w:r>
      <w:r>
        <w:rPr>
          <w:rFonts w:asciiTheme="minorEastAsia" w:hAnsiTheme="minorEastAsia" w:eastAsiaTheme="minorEastAsia"/>
          <w:sz w:val="24"/>
        </w:rPr>
        <w:t>。</w:t>
      </w:r>
    </w:p>
    <w:p>
      <w:pPr>
        <w:spacing w:line="360" w:lineRule="auto"/>
        <w:ind w:left="835" w:hanging="835" w:hangingChars="348"/>
        <w:rPr>
          <w:rFonts w:asciiTheme="minorEastAsia" w:hAnsiTheme="minorEastAsia" w:eastAsiaTheme="minorEastAsia"/>
          <w:sz w:val="24"/>
        </w:rPr>
      </w:pPr>
      <w:r>
        <w:rPr>
          <w:rFonts w:asciiTheme="minorEastAsia" w:hAnsiTheme="minorEastAsia" w:eastAsiaTheme="minorEastAsia"/>
          <w:sz w:val="24"/>
        </w:rPr>
        <w:t>2.3    投标人报价超过招标文件规定的预算金额或者预算额度内最高限价的，其投标将被认定为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pStyle w:val="5"/>
        <w:ind w:firstLine="0" w:firstLineChars="0"/>
        <w:jc w:val="both"/>
        <w:rPr>
          <w:rFonts w:asciiTheme="minorEastAsia" w:hAnsiTheme="minorEastAsia" w:eastAsiaTheme="minorEastAsia"/>
          <w:sz w:val="24"/>
          <w:szCs w:val="24"/>
        </w:rPr>
      </w:pPr>
      <w:bookmarkStart w:id="31" w:name="_Toc532473452"/>
      <w:bookmarkStart w:id="32" w:name="_Toc515647760"/>
      <w:bookmarkStart w:id="33" w:name="_Toc108721093"/>
      <w:bookmarkStart w:id="34" w:name="_Toc20526"/>
      <w:bookmarkStart w:id="35" w:name="_Toc15936"/>
      <w:bookmarkStart w:id="36" w:name="_Toc520356145"/>
      <w:r>
        <w:rPr>
          <w:rFonts w:asciiTheme="minorEastAsia" w:hAnsiTheme="minorEastAsia" w:eastAsiaTheme="minorEastAsia"/>
          <w:sz w:val="24"/>
          <w:szCs w:val="24"/>
        </w:rPr>
        <w:t>3.     投标费用</w:t>
      </w:r>
      <w:bookmarkEnd w:id="31"/>
      <w:bookmarkEnd w:id="32"/>
      <w:bookmarkEnd w:id="33"/>
      <w:bookmarkEnd w:id="34"/>
      <w:bookmarkEnd w:id="35"/>
      <w:bookmarkEnd w:id="36"/>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不论投标的结果如何，投标人应承担所有与投标有关的费用。</w:t>
      </w:r>
    </w:p>
    <w:p>
      <w:pPr>
        <w:pStyle w:val="5"/>
        <w:ind w:firstLine="0" w:firstLineChars="0"/>
        <w:jc w:val="both"/>
        <w:rPr>
          <w:rFonts w:asciiTheme="minorEastAsia" w:hAnsiTheme="minorEastAsia" w:eastAsiaTheme="minorEastAsia"/>
          <w:sz w:val="24"/>
          <w:szCs w:val="24"/>
        </w:rPr>
      </w:pPr>
      <w:bookmarkStart w:id="37" w:name="_Toc108721094"/>
      <w:bookmarkStart w:id="38" w:name="_Toc6116"/>
      <w:bookmarkStart w:id="39" w:name="_Toc532473453"/>
      <w:bookmarkStart w:id="40" w:name="_Toc4463"/>
      <w:bookmarkStart w:id="41" w:name="_Toc515647761"/>
      <w:r>
        <w:rPr>
          <w:rFonts w:asciiTheme="minorEastAsia" w:hAnsiTheme="minorEastAsia" w:eastAsiaTheme="minorEastAsia"/>
          <w:sz w:val="24"/>
          <w:szCs w:val="24"/>
        </w:rPr>
        <w:t>4.     适用法律</w:t>
      </w:r>
      <w:bookmarkEnd w:id="37"/>
      <w:bookmarkEnd w:id="38"/>
      <w:bookmarkEnd w:id="39"/>
      <w:bookmarkEnd w:id="40"/>
      <w:bookmarkEnd w:id="41"/>
    </w:p>
    <w:p>
      <w:pPr>
        <w:spacing w:line="360" w:lineRule="auto"/>
        <w:ind w:left="833" w:leftChars="397" w:firstLine="3"/>
        <w:rPr>
          <w:rFonts w:asciiTheme="minorEastAsia" w:hAnsiTheme="minorEastAsia" w:eastAsiaTheme="minorEastAsia"/>
          <w:sz w:val="24"/>
        </w:rPr>
      </w:pPr>
      <w:r>
        <w:rPr>
          <w:rFonts w:asciiTheme="minorEastAsia" w:hAnsiTheme="minorEastAsia" w:eastAsiaTheme="minorEastAsia"/>
          <w:sz w:val="24"/>
        </w:rPr>
        <w:t>本项目采购人、采购代理机构、投标人、评标委员会的相关行为均受《中华人民共和国政府采购法》、《中华人民共和国政府采购法实施条例》及本项目本级和上级财政部门政府采购有关规定的约束和保护。</w:t>
      </w:r>
    </w:p>
    <w:p>
      <w:pPr>
        <w:pStyle w:val="4"/>
        <w:rPr>
          <w:rFonts w:asciiTheme="minorEastAsia" w:hAnsiTheme="minorEastAsia" w:eastAsiaTheme="minorEastAsia"/>
          <w:sz w:val="28"/>
          <w:szCs w:val="18"/>
        </w:rPr>
      </w:pPr>
      <w:bookmarkStart w:id="42" w:name="_Toc532473454"/>
      <w:bookmarkStart w:id="43" w:name="_Toc21566"/>
      <w:bookmarkStart w:id="44" w:name="_Toc108721095"/>
      <w:bookmarkStart w:id="45" w:name="_Toc216582806"/>
      <w:bookmarkStart w:id="46" w:name="_Toc4365"/>
      <w:bookmarkStart w:id="47" w:name="_Toc520356146"/>
      <w:bookmarkStart w:id="48" w:name="_Toc515647762"/>
      <w:r>
        <w:rPr>
          <w:rFonts w:asciiTheme="minorEastAsia" w:hAnsiTheme="minorEastAsia" w:eastAsiaTheme="minorEastAsia"/>
          <w:sz w:val="28"/>
          <w:szCs w:val="18"/>
        </w:rPr>
        <w:t>二、招标文件</w:t>
      </w:r>
      <w:bookmarkEnd w:id="42"/>
      <w:bookmarkEnd w:id="43"/>
      <w:bookmarkEnd w:id="44"/>
      <w:bookmarkEnd w:id="45"/>
      <w:bookmarkEnd w:id="46"/>
      <w:bookmarkEnd w:id="47"/>
      <w:bookmarkEnd w:id="48"/>
    </w:p>
    <w:p>
      <w:pPr>
        <w:pStyle w:val="5"/>
        <w:ind w:firstLine="0" w:firstLineChars="0"/>
        <w:rPr>
          <w:rFonts w:asciiTheme="minorEastAsia" w:hAnsiTheme="minorEastAsia" w:eastAsiaTheme="minorEastAsia"/>
          <w:sz w:val="24"/>
          <w:szCs w:val="24"/>
        </w:rPr>
      </w:pPr>
      <w:bookmarkStart w:id="49" w:name="_Toc25743"/>
      <w:bookmarkStart w:id="50" w:name="_Toc515647763"/>
      <w:bookmarkStart w:id="51" w:name="_Toc108721096"/>
      <w:bookmarkStart w:id="52" w:name="_Toc14084"/>
      <w:bookmarkStart w:id="53" w:name="_Toc520356147"/>
      <w:bookmarkStart w:id="54" w:name="_Toc532473455"/>
      <w:r>
        <w:rPr>
          <w:rFonts w:asciiTheme="minorEastAsia" w:hAnsiTheme="minorEastAsia" w:eastAsiaTheme="minorEastAsia"/>
          <w:sz w:val="24"/>
          <w:szCs w:val="24"/>
        </w:rPr>
        <w:t>5.     招标文件构成</w:t>
      </w:r>
      <w:bookmarkEnd w:id="49"/>
      <w:bookmarkEnd w:id="50"/>
      <w:bookmarkEnd w:id="51"/>
      <w:bookmarkEnd w:id="52"/>
      <w:bookmarkEnd w:id="53"/>
      <w:bookmarkEnd w:id="54"/>
    </w:p>
    <w:p>
      <w:pPr>
        <w:spacing w:line="360" w:lineRule="auto"/>
        <w:rPr>
          <w:rFonts w:asciiTheme="minorEastAsia" w:hAnsiTheme="minorEastAsia" w:eastAsiaTheme="minorEastAsia"/>
          <w:sz w:val="24"/>
        </w:rPr>
      </w:pPr>
      <w:r>
        <w:rPr>
          <w:rFonts w:asciiTheme="minorEastAsia" w:hAnsiTheme="minorEastAsia" w:eastAsiaTheme="minorEastAsia"/>
          <w:sz w:val="24"/>
        </w:rPr>
        <w:t>5.1    招标文件共六章，构成如下：</w:t>
      </w:r>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第一章  招标公告</w:t>
      </w:r>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第二章  投标人须知</w:t>
      </w:r>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第三章  评标方法和标准</w:t>
      </w:r>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第四章  拟签订的合同文本</w:t>
      </w:r>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第五章  采购需求及要求</w:t>
      </w:r>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第六章  投标文件格式</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5.2    招标文件中如有不一致的，有澄清的部分以最终的澄清更正内容为准；未澄清的，以投标人须知前附表为准；投标人须知前附表不涉及的内容，以编排在后的最后描述为准。</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5.3    投标人应认真阅读招标文件所有的事项、格式、条款和技术规范等。如投标人没有按照招标文件要求提交全部资料，或者投标文件没有对招标文件的实质性要求做出响应，其投标将被认定为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5.4    现场考察或者答疑会及相关事项见</w:t>
      </w:r>
      <w:r>
        <w:rPr>
          <w:rFonts w:asciiTheme="minorEastAsia" w:hAnsiTheme="minorEastAsia" w:eastAsiaTheme="minorEastAsia"/>
          <w:sz w:val="24"/>
          <w:u w:val="single"/>
        </w:rPr>
        <w:t>投标人须知前附表</w:t>
      </w:r>
      <w:r>
        <w:rPr>
          <w:rFonts w:asciiTheme="minorEastAsia" w:hAnsiTheme="minorEastAsia" w:eastAsiaTheme="minorEastAsia"/>
          <w:sz w:val="24"/>
        </w:rPr>
        <w:t>。</w:t>
      </w:r>
    </w:p>
    <w:p>
      <w:pPr>
        <w:pStyle w:val="5"/>
        <w:ind w:firstLine="0" w:firstLineChars="0"/>
        <w:rPr>
          <w:rFonts w:asciiTheme="minorEastAsia" w:hAnsiTheme="minorEastAsia" w:eastAsiaTheme="minorEastAsia"/>
          <w:sz w:val="24"/>
          <w:szCs w:val="24"/>
        </w:rPr>
      </w:pPr>
      <w:bookmarkStart w:id="55" w:name="_Toc515904805"/>
      <w:bookmarkStart w:id="56" w:name="_Toc520356148"/>
      <w:bookmarkStart w:id="57" w:name="_Toc532473456"/>
      <w:bookmarkStart w:id="58" w:name="_Toc9232"/>
      <w:bookmarkStart w:id="59" w:name="_Toc108721097"/>
      <w:bookmarkStart w:id="60" w:name="_Toc26044"/>
      <w:r>
        <w:rPr>
          <w:rFonts w:asciiTheme="minorEastAsia" w:hAnsiTheme="minorEastAsia" w:eastAsiaTheme="minorEastAsia"/>
          <w:sz w:val="24"/>
          <w:szCs w:val="24"/>
        </w:rPr>
        <w:t>6.     招标文件的澄清</w:t>
      </w:r>
      <w:bookmarkEnd w:id="55"/>
      <w:bookmarkEnd w:id="56"/>
      <w:r>
        <w:rPr>
          <w:rFonts w:asciiTheme="minorEastAsia" w:hAnsiTheme="minorEastAsia" w:eastAsiaTheme="minorEastAsia"/>
          <w:sz w:val="24"/>
          <w:szCs w:val="24"/>
        </w:rPr>
        <w:t>与修改</w:t>
      </w:r>
      <w:bookmarkEnd w:id="57"/>
      <w:bookmarkEnd w:id="58"/>
      <w:bookmarkEnd w:id="59"/>
      <w:bookmarkEnd w:id="60"/>
    </w:p>
    <w:p>
      <w:pPr>
        <w:pStyle w:val="8"/>
        <w:spacing w:line="360" w:lineRule="auto"/>
        <w:ind w:left="840" w:hanging="840" w:hangingChars="350"/>
        <w:jc w:val="both"/>
        <w:rPr>
          <w:rFonts w:asciiTheme="minorEastAsia" w:hAnsiTheme="minorEastAsia" w:eastAsiaTheme="minorEastAsia"/>
          <w:szCs w:val="24"/>
        </w:rPr>
      </w:pPr>
      <w:bookmarkStart w:id="61" w:name="_Ref467378678"/>
      <w:bookmarkStart w:id="62" w:name="_Toc520356149"/>
      <w:bookmarkStart w:id="63" w:name="_Toc515904806"/>
      <w:r>
        <w:rPr>
          <w:rFonts w:asciiTheme="minorEastAsia" w:hAnsiTheme="minorEastAsia" w:eastAsiaTheme="minorEastAsia"/>
          <w:szCs w:val="24"/>
        </w:rPr>
        <w:t>6.1    采购人可主动地或在解答投标人提出的澄清问题时对招标文件进行澄清或修改。采购代理机构将以发布澄清（更正）公告的方式，澄清或修改招标文件，澄清或修改内容作为招标文件的组成部分。</w:t>
      </w:r>
    </w:p>
    <w:p>
      <w:pPr>
        <w:pStyle w:val="8"/>
        <w:spacing w:line="360" w:lineRule="auto"/>
        <w:ind w:left="840" w:hanging="840" w:hangingChars="350"/>
        <w:rPr>
          <w:rFonts w:asciiTheme="minorEastAsia" w:hAnsiTheme="minorEastAsia" w:eastAsiaTheme="minorEastAsia"/>
          <w:szCs w:val="24"/>
        </w:rPr>
      </w:pPr>
      <w:r>
        <w:rPr>
          <w:rFonts w:asciiTheme="minorEastAsia" w:hAnsiTheme="minorEastAsia" w:eastAsiaTheme="minorEastAsia"/>
          <w:szCs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8"/>
        <w:spacing w:line="360" w:lineRule="auto"/>
        <w:ind w:left="840" w:hanging="840" w:hangingChars="350"/>
        <w:rPr>
          <w:rFonts w:asciiTheme="minorEastAsia" w:hAnsiTheme="minorEastAsia" w:eastAsiaTheme="minorEastAsia"/>
          <w:szCs w:val="24"/>
        </w:rPr>
      </w:pPr>
      <w:r>
        <w:rPr>
          <w:rFonts w:asciiTheme="minorEastAsia" w:hAnsiTheme="minorEastAsia" w:eastAsiaTheme="minorEastAsia"/>
          <w:szCs w:val="24"/>
        </w:rPr>
        <w:t xml:space="preserve">       因潜在投标人原因或通讯线路故障导致通知逾期送达或无法送达，采购代理机构不因此承担任何责任，有关的招标采购活动可以继续有效进行。</w:t>
      </w:r>
    </w:p>
    <w:p>
      <w:pPr>
        <w:pStyle w:val="8"/>
        <w:spacing w:line="360" w:lineRule="auto"/>
        <w:ind w:left="840" w:hanging="840" w:hangingChars="350"/>
        <w:rPr>
          <w:rFonts w:asciiTheme="minorEastAsia" w:hAnsiTheme="minorEastAsia" w:eastAsiaTheme="minorEastAsia"/>
          <w:szCs w:val="24"/>
        </w:rPr>
      </w:pPr>
      <w:r>
        <w:rPr>
          <w:rFonts w:hint="eastAsia" w:cs="仿宋" w:asciiTheme="minorEastAsia" w:hAnsiTheme="minorEastAsia" w:eastAsiaTheme="minorEastAsia"/>
          <w:szCs w:val="24"/>
        </w:rPr>
        <w:t>6.3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bookmarkEnd w:id="61"/>
    <w:bookmarkEnd w:id="62"/>
    <w:bookmarkEnd w:id="63"/>
    <w:p>
      <w:pPr>
        <w:pStyle w:val="5"/>
        <w:ind w:firstLine="0" w:firstLineChars="0"/>
        <w:rPr>
          <w:rFonts w:asciiTheme="minorEastAsia" w:hAnsiTheme="minorEastAsia" w:eastAsiaTheme="minorEastAsia"/>
          <w:sz w:val="24"/>
          <w:szCs w:val="24"/>
        </w:rPr>
      </w:pPr>
      <w:bookmarkStart w:id="64" w:name="_Toc532473457"/>
      <w:bookmarkStart w:id="65" w:name="_Toc14569"/>
      <w:bookmarkStart w:id="66" w:name="_Toc25635"/>
      <w:bookmarkStart w:id="67" w:name="_Toc108721098"/>
      <w:r>
        <w:rPr>
          <w:rFonts w:asciiTheme="minorEastAsia" w:hAnsiTheme="minorEastAsia" w:eastAsiaTheme="minorEastAsia"/>
          <w:sz w:val="24"/>
          <w:szCs w:val="24"/>
        </w:rPr>
        <w:t>7.     投标截止时间的顺延</w:t>
      </w:r>
      <w:bookmarkEnd w:id="64"/>
      <w:bookmarkEnd w:id="65"/>
      <w:bookmarkEnd w:id="66"/>
      <w:bookmarkEnd w:id="67"/>
    </w:p>
    <w:p>
      <w:pPr>
        <w:spacing w:line="360" w:lineRule="auto"/>
        <w:ind w:left="837" w:leftChars="399"/>
        <w:rPr>
          <w:rFonts w:asciiTheme="minorEastAsia" w:hAnsiTheme="minorEastAsia" w:eastAsiaTheme="minorEastAsia"/>
          <w:sz w:val="24"/>
        </w:rPr>
      </w:pPr>
      <w:r>
        <w:rPr>
          <w:rFonts w:asciiTheme="minorEastAsia" w:hAnsiTheme="minorEastAsia" w:eastAsiaTheme="minorEastAsia"/>
          <w:sz w:val="24"/>
        </w:rPr>
        <w:t>为使投标人有足够的时间对招标文件的澄清或者修改部分进行研究而准备投标或因其他原因，采购人将依法决定是否顺延投标截止时间。</w:t>
      </w:r>
    </w:p>
    <w:p>
      <w:pPr>
        <w:pStyle w:val="4"/>
        <w:rPr>
          <w:rFonts w:asciiTheme="minorEastAsia" w:hAnsiTheme="minorEastAsia" w:eastAsiaTheme="minorEastAsia"/>
          <w:sz w:val="28"/>
          <w:szCs w:val="18"/>
        </w:rPr>
      </w:pPr>
      <w:bookmarkStart w:id="68" w:name="_Toc516367020"/>
      <w:bookmarkStart w:id="69" w:name="_Toc532473458"/>
      <w:bookmarkStart w:id="70" w:name="_Toc108721099"/>
      <w:bookmarkStart w:id="71" w:name="_Toc520356150"/>
      <w:bookmarkStart w:id="72" w:name="_Toc216582807"/>
      <w:bookmarkStart w:id="73" w:name="_Toc515647766"/>
      <w:bookmarkStart w:id="74" w:name="_Toc30808"/>
      <w:bookmarkStart w:id="75" w:name="_Toc7636"/>
      <w:r>
        <w:rPr>
          <w:rFonts w:asciiTheme="minorEastAsia" w:hAnsiTheme="minorEastAsia" w:eastAsiaTheme="minorEastAsia"/>
          <w:sz w:val="28"/>
          <w:szCs w:val="18"/>
        </w:rPr>
        <w:t>三、投标文件</w:t>
      </w:r>
      <w:bookmarkEnd w:id="68"/>
      <w:r>
        <w:rPr>
          <w:rFonts w:asciiTheme="minorEastAsia" w:hAnsiTheme="minorEastAsia" w:eastAsiaTheme="minorEastAsia"/>
          <w:sz w:val="28"/>
          <w:szCs w:val="18"/>
        </w:rPr>
        <w:t>的编制</w:t>
      </w:r>
      <w:bookmarkEnd w:id="69"/>
      <w:bookmarkEnd w:id="70"/>
      <w:bookmarkEnd w:id="71"/>
      <w:bookmarkEnd w:id="72"/>
      <w:bookmarkEnd w:id="73"/>
      <w:bookmarkEnd w:id="74"/>
      <w:bookmarkEnd w:id="75"/>
    </w:p>
    <w:p>
      <w:pPr>
        <w:pStyle w:val="5"/>
        <w:ind w:firstLine="0" w:firstLineChars="0"/>
        <w:jc w:val="both"/>
        <w:rPr>
          <w:rFonts w:asciiTheme="minorEastAsia" w:hAnsiTheme="minorEastAsia" w:eastAsiaTheme="minorEastAsia"/>
          <w:sz w:val="24"/>
          <w:szCs w:val="24"/>
        </w:rPr>
      </w:pPr>
      <w:bookmarkStart w:id="76" w:name="_Toc3553"/>
      <w:bookmarkStart w:id="77" w:name="_Toc7786"/>
      <w:bookmarkStart w:id="78" w:name="_Toc515647767"/>
      <w:bookmarkStart w:id="79" w:name="_Toc516367021"/>
      <w:bookmarkStart w:id="80" w:name="_Toc520356151"/>
      <w:bookmarkStart w:id="81" w:name="_Toc108721100"/>
      <w:bookmarkStart w:id="82" w:name="_Toc532473459"/>
      <w:r>
        <w:rPr>
          <w:rFonts w:asciiTheme="minorEastAsia" w:hAnsiTheme="minorEastAsia" w:eastAsiaTheme="minorEastAsia"/>
          <w:sz w:val="24"/>
          <w:szCs w:val="24"/>
        </w:rPr>
        <w:t>8.     投标范围及投标文件中标准和计量单位的使用</w:t>
      </w:r>
      <w:bookmarkEnd w:id="76"/>
      <w:bookmarkEnd w:id="77"/>
      <w:bookmarkEnd w:id="78"/>
      <w:bookmarkEnd w:id="79"/>
      <w:bookmarkEnd w:id="80"/>
      <w:bookmarkEnd w:id="81"/>
      <w:bookmarkEnd w:id="82"/>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8.1    投标人可对招标文件中一个或多个标段进行投标或者中标，除非在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8.2    投标人应当对所投招标文件中“采购需求及要求”所列的所有内容进行投标，如仅响应部分内容，其该标段投标将被认定为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8.3    无论招标文件中是否要求，投标人所投货物及伴随的服务和工程均应符合国家强制性标准。</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8.4    除招标文件中有特殊要求外，投标文件中所使用的计量单位，应采用中华人民共和国法定计量单位。</w:t>
      </w:r>
    </w:p>
    <w:p>
      <w:pPr>
        <w:pStyle w:val="5"/>
        <w:ind w:firstLine="0" w:firstLineChars="0"/>
        <w:rPr>
          <w:rFonts w:asciiTheme="minorEastAsia" w:hAnsiTheme="minorEastAsia" w:eastAsiaTheme="minorEastAsia"/>
          <w:sz w:val="24"/>
          <w:szCs w:val="24"/>
        </w:rPr>
      </w:pPr>
      <w:bookmarkStart w:id="83" w:name="_Ref467306195"/>
      <w:bookmarkStart w:id="84" w:name="_Toc516367022"/>
      <w:bookmarkStart w:id="85" w:name="_Ref467306676"/>
      <w:bookmarkStart w:id="86" w:name="_Toc520356152"/>
      <w:bookmarkStart w:id="87" w:name="_Toc108721101"/>
      <w:bookmarkStart w:id="88" w:name="_Toc532473460"/>
      <w:bookmarkStart w:id="89" w:name="_Toc28307"/>
      <w:bookmarkStart w:id="90" w:name="_Toc515647768"/>
      <w:bookmarkStart w:id="91" w:name="_Toc10364"/>
      <w:r>
        <w:rPr>
          <w:rFonts w:asciiTheme="minorEastAsia" w:hAnsiTheme="minorEastAsia" w:eastAsiaTheme="minorEastAsia"/>
          <w:sz w:val="24"/>
          <w:szCs w:val="24"/>
        </w:rPr>
        <w:t>9.     投标文件</w:t>
      </w:r>
      <w:bookmarkEnd w:id="83"/>
      <w:bookmarkEnd w:id="84"/>
      <w:bookmarkEnd w:id="85"/>
      <w:r>
        <w:rPr>
          <w:rFonts w:asciiTheme="minorEastAsia" w:hAnsiTheme="minorEastAsia" w:eastAsiaTheme="minorEastAsia"/>
          <w:sz w:val="24"/>
          <w:szCs w:val="24"/>
        </w:rPr>
        <w:t>组成</w:t>
      </w:r>
      <w:bookmarkEnd w:id="86"/>
      <w:bookmarkEnd w:id="87"/>
      <w:bookmarkEnd w:id="88"/>
      <w:bookmarkEnd w:id="89"/>
      <w:bookmarkEnd w:id="90"/>
      <w:bookmarkEnd w:id="91"/>
    </w:p>
    <w:p>
      <w:pPr>
        <w:tabs>
          <w:tab w:val="left" w:pos="900"/>
          <w:tab w:val="left" w:pos="5580"/>
        </w:tabs>
        <w:spacing w:line="360" w:lineRule="auto"/>
        <w:ind w:left="840" w:hanging="840" w:hangingChars="350"/>
        <w:rPr>
          <w:rFonts w:asciiTheme="minorEastAsia" w:hAnsiTheme="minorEastAsia" w:eastAsiaTheme="minorEastAsia"/>
          <w:sz w:val="24"/>
        </w:rPr>
      </w:pPr>
      <w:bookmarkStart w:id="92" w:name="_Ref467052588"/>
      <w:r>
        <w:rPr>
          <w:rFonts w:asciiTheme="minorEastAsia" w:hAnsiTheme="minorEastAsia" w:eastAsiaTheme="minorEastAsia"/>
          <w:sz w:val="24"/>
        </w:rPr>
        <w:t>9.1    投标文件由“资格证明文件”和“商务及技术文件”组成。投标人应完整地按照招标文件提供的投标文件格式及要求编写投标文件。投标文件中资格审查和符合性审查涉及的事项不满足招标文件要求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pPr>
        <w:spacing w:line="360" w:lineRule="auto"/>
        <w:ind w:left="840" w:hanging="840" w:hangingChars="350"/>
        <w:rPr>
          <w:rFonts w:asciiTheme="minorEastAsia" w:hAnsiTheme="minorEastAsia" w:eastAsiaTheme="minorEastAsia"/>
          <w:sz w:val="24"/>
        </w:rPr>
      </w:pPr>
      <w:r>
        <w:rPr>
          <w:rFonts w:hint="eastAsia" w:cs="仿宋" w:asciiTheme="minorEastAsia" w:hAnsiTheme="minorEastAsia" w:eastAsiaTheme="minorEastAsia"/>
          <w:sz w:val="24"/>
        </w:rPr>
        <w:t>9.2    上述文件应按照招标文件的规定签署</w:t>
      </w:r>
      <w:bookmarkStart w:id="93" w:name="_Hlk1734277"/>
      <w:r>
        <w:rPr>
          <w:rFonts w:hint="eastAsia" w:cs="仿宋" w:asciiTheme="minorEastAsia" w:hAnsiTheme="minorEastAsia" w:eastAsiaTheme="minorEastAsia"/>
          <w:sz w:val="24"/>
        </w:rPr>
        <w:t>和盖公章或经公章授权的其他单位章（以下统称公章）</w:t>
      </w:r>
      <w:bookmarkEnd w:id="93"/>
      <w:r>
        <w:rPr>
          <w:rFonts w:hint="eastAsia" w:cs="仿宋" w:asciiTheme="minorEastAsia" w:hAnsiTheme="minorEastAsia" w:eastAsiaTheme="minorEastAsia"/>
          <w:sz w:val="24"/>
        </w:rPr>
        <w:t>。采用公章授权方式的，应当在投标文件第一部分附公章授权书（格式自定）。</w:t>
      </w:r>
    </w:p>
    <w:bookmarkEnd w:id="92"/>
    <w:p>
      <w:pPr>
        <w:pStyle w:val="5"/>
        <w:ind w:firstLine="0" w:firstLineChars="0"/>
        <w:jc w:val="both"/>
        <w:rPr>
          <w:rFonts w:asciiTheme="minorEastAsia" w:hAnsiTheme="minorEastAsia" w:eastAsiaTheme="minorEastAsia"/>
          <w:sz w:val="24"/>
          <w:szCs w:val="24"/>
        </w:rPr>
      </w:pPr>
      <w:bookmarkStart w:id="94" w:name="_Toc532473461"/>
      <w:bookmarkStart w:id="95" w:name="_Toc108721102"/>
      <w:bookmarkStart w:id="96" w:name="_Toc520356153"/>
      <w:bookmarkStart w:id="97" w:name="_Toc4601"/>
      <w:bookmarkStart w:id="98" w:name="_Toc516367023"/>
      <w:bookmarkStart w:id="99" w:name="_Toc10379"/>
      <w:bookmarkStart w:id="100" w:name="_Toc515647769"/>
      <w:r>
        <w:rPr>
          <w:rFonts w:asciiTheme="minorEastAsia" w:hAnsiTheme="minorEastAsia" w:eastAsiaTheme="minorEastAsia"/>
          <w:sz w:val="24"/>
          <w:szCs w:val="24"/>
        </w:rPr>
        <w:t>10.    证明投标标的的合格性和符合招标文件规定的技术文件</w:t>
      </w:r>
      <w:bookmarkEnd w:id="94"/>
      <w:bookmarkEnd w:id="95"/>
      <w:bookmarkEnd w:id="96"/>
      <w:bookmarkEnd w:id="97"/>
      <w:bookmarkEnd w:id="98"/>
      <w:bookmarkEnd w:id="99"/>
      <w:bookmarkEnd w:id="100"/>
    </w:p>
    <w:p>
      <w:pPr>
        <w:spacing w:line="360" w:lineRule="auto"/>
        <w:ind w:left="878" w:hanging="878" w:hangingChars="366"/>
        <w:rPr>
          <w:rFonts w:asciiTheme="minorEastAsia" w:hAnsiTheme="minorEastAsia" w:eastAsiaTheme="minorEastAsia"/>
          <w:sz w:val="24"/>
        </w:rPr>
      </w:pPr>
      <w:r>
        <w:rPr>
          <w:rFonts w:asciiTheme="minorEastAsia" w:hAnsiTheme="minorEastAsia" w:eastAsiaTheme="minorEastAsia"/>
          <w:sz w:val="24"/>
        </w:rPr>
        <w:t>10.1   投标人应提交证明文件，证明其投标标的符合招标文件规定。该证明文件是投标文件的技术文件。</w:t>
      </w:r>
    </w:p>
    <w:p>
      <w:pPr>
        <w:spacing w:line="360" w:lineRule="auto"/>
        <w:ind w:left="900" w:hanging="900" w:hangingChars="375"/>
        <w:rPr>
          <w:rFonts w:asciiTheme="minorEastAsia" w:hAnsiTheme="minorEastAsia" w:eastAsiaTheme="minorEastAsia"/>
          <w:sz w:val="24"/>
        </w:rPr>
      </w:pPr>
      <w:bookmarkStart w:id="101" w:name="_Ref467306244"/>
      <w:r>
        <w:rPr>
          <w:rFonts w:asciiTheme="minorEastAsia" w:hAnsiTheme="minorEastAsia" w:eastAsiaTheme="minorEastAsia"/>
          <w:sz w:val="24"/>
        </w:rPr>
        <w:t>10.2   上款所述的证明文件，可以是文字资料、图纸和数据</w:t>
      </w:r>
      <w:bookmarkEnd w:id="101"/>
      <w:r>
        <w:rPr>
          <w:rFonts w:hint="eastAsia" w:asciiTheme="minorEastAsia" w:hAnsiTheme="minorEastAsia" w:eastAsiaTheme="minorEastAsia"/>
          <w:sz w:val="24"/>
        </w:rPr>
        <w:t>，包括：</w:t>
      </w:r>
    </w:p>
    <w:p>
      <w:pPr>
        <w:spacing w:line="360" w:lineRule="auto"/>
        <w:ind w:left="900" w:hanging="900" w:hangingChars="375"/>
        <w:rPr>
          <w:rFonts w:asciiTheme="minorEastAsia" w:hAnsiTheme="minorEastAsia" w:eastAsiaTheme="minorEastAsia"/>
          <w:sz w:val="24"/>
        </w:rPr>
      </w:pPr>
      <w:r>
        <w:rPr>
          <w:rFonts w:hint="eastAsia" w:asciiTheme="minorEastAsia" w:hAnsiTheme="minorEastAsia" w:eastAsiaTheme="minorEastAsia"/>
          <w:sz w:val="24"/>
        </w:rPr>
        <w:t>10.2.1</w:t>
      </w:r>
      <w:r>
        <w:rPr>
          <w:rFonts w:hint="eastAsia" w:asciiTheme="minorEastAsia" w:hAnsiTheme="minorEastAsia" w:eastAsiaTheme="minorEastAsia"/>
          <w:sz w:val="24"/>
        </w:rPr>
        <w:tab/>
      </w:r>
      <w:r>
        <w:rPr>
          <w:rFonts w:hint="eastAsia" w:asciiTheme="minorEastAsia" w:hAnsiTheme="minorEastAsia" w:eastAsiaTheme="minorEastAsia"/>
          <w:sz w:val="24"/>
        </w:rPr>
        <w:t>货物主要技术指标和性能的详细说明及实现的功能或者目标；</w:t>
      </w:r>
    </w:p>
    <w:p>
      <w:pPr>
        <w:spacing w:line="360" w:lineRule="auto"/>
        <w:ind w:left="900" w:hanging="900" w:hangingChars="375"/>
        <w:rPr>
          <w:rFonts w:asciiTheme="minorEastAsia" w:hAnsiTheme="minorEastAsia" w:eastAsiaTheme="minorEastAsia"/>
          <w:sz w:val="24"/>
        </w:rPr>
      </w:pPr>
      <w:r>
        <w:rPr>
          <w:rFonts w:hint="eastAsia" w:asciiTheme="minorEastAsia" w:hAnsiTheme="minorEastAsia" w:eastAsiaTheme="minorEastAsia"/>
          <w:sz w:val="24"/>
        </w:rPr>
        <w:t>10.2.2</w:t>
      </w:r>
      <w:r>
        <w:rPr>
          <w:rFonts w:hint="eastAsia" w:asciiTheme="minorEastAsia" w:hAnsiTheme="minorEastAsia" w:eastAsiaTheme="minorEastAsia"/>
          <w:sz w:val="24"/>
        </w:rPr>
        <w:tab/>
      </w:r>
      <w:r>
        <w:rPr>
          <w:rFonts w:hint="eastAsia" w:asciiTheme="minorEastAsia" w:hAnsiTheme="minorEastAsia" w:eastAsiaTheme="minorEastAsia"/>
          <w:sz w:val="24"/>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asciiTheme="minorEastAsia" w:hAnsiTheme="minorEastAsia" w:eastAsiaTheme="minorEastAsia"/>
          <w:sz w:val="24"/>
        </w:rPr>
      </w:pPr>
      <w:r>
        <w:rPr>
          <w:rFonts w:hint="eastAsia" w:asciiTheme="minorEastAsia" w:hAnsiTheme="minorEastAsia" w:eastAsiaTheme="minorEastAsia"/>
          <w:sz w:val="24"/>
        </w:rPr>
        <w:t>10.2.3</w:t>
      </w:r>
      <w:r>
        <w:rPr>
          <w:rFonts w:hint="eastAsia" w:asciiTheme="minorEastAsia" w:hAnsiTheme="minorEastAsia" w:eastAsiaTheme="minorEastAsia"/>
          <w:sz w:val="24"/>
        </w:rPr>
        <w:tab/>
      </w:r>
      <w:r>
        <w:rPr>
          <w:rFonts w:hint="eastAsia" w:asciiTheme="minorEastAsia" w:hAnsiTheme="minorEastAsia" w:eastAsiaTheme="minorEastAsia"/>
          <w:sz w:val="24"/>
        </w:rPr>
        <w:t>对照招标文件技术规格，逐条说明所提供货物及伴随的工程和服务已对招标文件的技术规格做出了实质性的响应，或申明与技术规格条文的偏差和例外。</w:t>
      </w:r>
    </w:p>
    <w:p>
      <w:pPr>
        <w:spacing w:line="360" w:lineRule="auto"/>
        <w:ind w:left="900" w:hanging="900" w:hangingChars="375"/>
        <w:rPr>
          <w:rFonts w:asciiTheme="minorEastAsia" w:hAnsiTheme="minorEastAsia" w:eastAsiaTheme="minorEastAsia"/>
          <w:sz w:val="24"/>
        </w:rPr>
      </w:pPr>
      <w:r>
        <w:rPr>
          <w:rFonts w:hint="eastAsia" w:asciiTheme="minorEastAsia" w:hAnsiTheme="minorEastAsia" w:eastAsiaTheme="minorEastAsia"/>
          <w:sz w:val="24"/>
        </w:rPr>
        <w:t>10.3</w:t>
      </w:r>
      <w:r>
        <w:rPr>
          <w:rFonts w:hint="eastAsia" w:asciiTheme="minorEastAsia" w:hAnsiTheme="minorEastAsia" w:eastAsiaTheme="minorEastAsia"/>
          <w:sz w:val="24"/>
        </w:rPr>
        <w:tab/>
      </w:r>
      <w:r>
        <w:rPr>
          <w:rFonts w:hint="eastAsia" w:asciiTheme="minorEastAsia" w:hAnsiTheme="minorEastAsia" w:eastAsiaTheme="minorEastAsia"/>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pacing w:line="360" w:lineRule="auto"/>
        <w:ind w:left="900" w:hanging="900" w:hangingChars="375"/>
        <w:rPr>
          <w:rFonts w:asciiTheme="minorEastAsia" w:hAnsiTheme="minorEastAsia" w:eastAsiaTheme="minorEastAsia"/>
          <w:sz w:val="24"/>
        </w:rPr>
      </w:pPr>
      <w:r>
        <w:rPr>
          <w:rFonts w:hint="eastAsia" w:asciiTheme="minorEastAsia" w:hAnsiTheme="minorEastAsia" w:eastAsiaTheme="minorEastAsia"/>
          <w:sz w:val="24"/>
        </w:rPr>
        <w:t>10.4   本条所指证明文件不包括对招标文件相关部分的文字、图标的复制。</w:t>
      </w:r>
    </w:p>
    <w:p>
      <w:pPr>
        <w:pStyle w:val="5"/>
        <w:ind w:firstLine="0" w:firstLineChars="0"/>
        <w:rPr>
          <w:rFonts w:asciiTheme="minorEastAsia" w:hAnsiTheme="minorEastAsia" w:eastAsiaTheme="minorEastAsia"/>
          <w:sz w:val="24"/>
          <w:szCs w:val="24"/>
        </w:rPr>
      </w:pPr>
      <w:bookmarkStart w:id="102" w:name="_Toc520356155"/>
      <w:bookmarkStart w:id="103" w:name="_Toc23231"/>
      <w:bookmarkStart w:id="104" w:name="_Toc515647770"/>
      <w:bookmarkStart w:id="105" w:name="_Toc2248"/>
      <w:bookmarkStart w:id="106" w:name="_Toc532473462"/>
      <w:bookmarkStart w:id="107" w:name="_Toc108721103"/>
      <w:r>
        <w:rPr>
          <w:rFonts w:asciiTheme="minorEastAsia" w:hAnsiTheme="minorEastAsia" w:eastAsiaTheme="minorEastAsia"/>
          <w:sz w:val="24"/>
          <w:szCs w:val="24"/>
        </w:rPr>
        <w:t>11.    投标报价</w:t>
      </w:r>
      <w:bookmarkEnd w:id="102"/>
      <w:bookmarkEnd w:id="103"/>
      <w:bookmarkEnd w:id="104"/>
      <w:bookmarkEnd w:id="105"/>
      <w:bookmarkEnd w:id="106"/>
      <w:bookmarkEnd w:id="107"/>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11.1   投标人的报价应当包括满足本次招标全部采购需求所应提供的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和工程。所有投标均应以人民币报价。投标人的投标报价应遵守《中华人民共和国价格法》。</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11.2   投标人应在投标分项报价表上标明分项</w:t>
      </w:r>
      <w:r>
        <w:rPr>
          <w:rFonts w:hint="eastAsia" w:asciiTheme="minorEastAsia" w:hAnsiTheme="minorEastAsia" w:eastAsiaTheme="minorEastAsia"/>
          <w:sz w:val="24"/>
        </w:rPr>
        <w:t>货物</w:t>
      </w:r>
      <w:r>
        <w:rPr>
          <w:rFonts w:asciiTheme="minorEastAsia" w:hAnsiTheme="minorEastAsia" w:eastAsiaTheme="minorEastAsia"/>
          <w:sz w:val="24"/>
        </w:rPr>
        <w:t>、伴随的</w:t>
      </w:r>
      <w:r>
        <w:rPr>
          <w:rFonts w:hint="eastAsia" w:asciiTheme="minorEastAsia" w:hAnsiTheme="minorEastAsia" w:eastAsiaTheme="minorEastAsia"/>
          <w:sz w:val="24"/>
        </w:rPr>
        <w:t>服务</w:t>
      </w:r>
      <w:r>
        <w:rPr>
          <w:rFonts w:asciiTheme="minorEastAsia" w:hAnsiTheme="minorEastAsia" w:eastAsiaTheme="minorEastAsia"/>
          <w:sz w:val="24"/>
        </w:rPr>
        <w:t>和工程的价格（如适用）和总价，并由法定代表人或其授权代表签署。</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11.3   采购人不接受具有附加条件的报价或多个方案的报价。</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11.4   投标人所报的投标报价在合同履行过程中是固定不变的，不得以任何理由予以变更。任何包含价格调整要求的投标，将被认定为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pPr>
        <w:pStyle w:val="5"/>
        <w:ind w:firstLine="0" w:firstLineChars="0"/>
        <w:rPr>
          <w:rFonts w:asciiTheme="minorEastAsia" w:hAnsiTheme="minorEastAsia" w:eastAsiaTheme="minorEastAsia"/>
          <w:sz w:val="24"/>
          <w:szCs w:val="24"/>
        </w:rPr>
      </w:pPr>
      <w:bookmarkStart w:id="108" w:name="_Toc11514"/>
      <w:bookmarkStart w:id="109" w:name="_Toc108721104"/>
      <w:bookmarkStart w:id="110" w:name="_Toc532473463"/>
      <w:bookmarkStart w:id="111" w:name="_Toc520356156"/>
      <w:bookmarkStart w:id="112" w:name="_Ref467306513"/>
      <w:bookmarkStart w:id="113" w:name="_Toc17788"/>
      <w:bookmarkStart w:id="114" w:name="_Toc515647771"/>
      <w:r>
        <w:rPr>
          <w:rFonts w:asciiTheme="minorEastAsia" w:hAnsiTheme="minorEastAsia" w:eastAsiaTheme="minorEastAsia"/>
          <w:sz w:val="24"/>
          <w:szCs w:val="24"/>
        </w:rPr>
        <w:t>12.    投标保证金</w:t>
      </w:r>
      <w:bookmarkEnd w:id="108"/>
      <w:bookmarkEnd w:id="109"/>
      <w:bookmarkEnd w:id="110"/>
      <w:bookmarkEnd w:id="111"/>
      <w:bookmarkEnd w:id="112"/>
      <w:bookmarkEnd w:id="113"/>
      <w:bookmarkEnd w:id="114"/>
    </w:p>
    <w:p>
      <w:pPr>
        <w:spacing w:line="360" w:lineRule="auto"/>
        <w:ind w:left="900" w:hanging="900" w:hangingChars="375"/>
        <w:rPr>
          <w:rFonts w:asciiTheme="minorEastAsia" w:hAnsiTheme="minorEastAsia" w:eastAsiaTheme="minorEastAsia"/>
          <w:sz w:val="24"/>
          <w:lang w:val="zh-CN"/>
        </w:rPr>
      </w:pPr>
      <w:bookmarkStart w:id="115" w:name="_Ref467306302"/>
      <w:r>
        <w:rPr>
          <w:rFonts w:asciiTheme="minorEastAsia" w:hAnsiTheme="minorEastAsia" w:eastAsiaTheme="minorEastAsia"/>
          <w:sz w:val="24"/>
        </w:rPr>
        <w:t>12.1</w:t>
      </w:r>
      <w:bookmarkEnd w:id="115"/>
      <w:r>
        <w:rPr>
          <w:rFonts w:asciiTheme="minorEastAsia" w:hAnsiTheme="minorEastAsia" w:eastAsiaTheme="minorEastAsia"/>
          <w:sz w:val="24"/>
        </w:rPr>
        <w:t xml:space="preserve">   投标人应按照</w:t>
      </w:r>
      <w:r>
        <w:rPr>
          <w:rFonts w:asciiTheme="minorEastAsia" w:hAnsiTheme="minorEastAsia" w:eastAsiaTheme="minorEastAsia"/>
          <w:sz w:val="24"/>
          <w:u w:val="single"/>
        </w:rPr>
        <w:t>投标人须知前附表</w:t>
      </w:r>
      <w:r>
        <w:rPr>
          <w:rFonts w:asciiTheme="minorEastAsia" w:hAnsiTheme="minorEastAsia" w:eastAsiaTheme="minorEastAsia"/>
          <w:sz w:val="24"/>
        </w:rPr>
        <w:t>规定递交</w:t>
      </w:r>
      <w:r>
        <w:rPr>
          <w:rFonts w:asciiTheme="minorEastAsia" w:hAnsiTheme="minorEastAsia" w:eastAsiaTheme="minorEastAsia"/>
          <w:sz w:val="24"/>
          <w:lang w:val="zh-CN"/>
        </w:rPr>
        <w:t>投标保证金（</w:t>
      </w:r>
      <w:r>
        <w:rPr>
          <w:rFonts w:asciiTheme="minorEastAsia" w:hAnsiTheme="minorEastAsia" w:eastAsiaTheme="minorEastAsia"/>
          <w:sz w:val="24"/>
          <w:u w:val="single"/>
          <w:lang w:val="zh-CN"/>
        </w:rPr>
        <w:t>若分标段，应按标段交纳投标保证金</w:t>
      </w:r>
      <w:r>
        <w:rPr>
          <w:rFonts w:asciiTheme="minorEastAsia" w:hAnsiTheme="minorEastAsia" w:eastAsiaTheme="minorEastAsia"/>
          <w:sz w:val="24"/>
          <w:lang w:val="zh-CN"/>
        </w:rPr>
        <w:t>），投标保证金须在投标截止时间前</w:t>
      </w:r>
      <w:r>
        <w:rPr>
          <w:rFonts w:asciiTheme="minorEastAsia" w:hAnsiTheme="minorEastAsia" w:eastAsiaTheme="minorEastAsia"/>
          <w:sz w:val="24"/>
        </w:rPr>
        <w:t>到账</w:t>
      </w:r>
      <w:r>
        <w:rPr>
          <w:rFonts w:asciiTheme="minorEastAsia" w:hAnsiTheme="minorEastAsia" w:eastAsiaTheme="minorEastAsia"/>
          <w:sz w:val="24"/>
          <w:lang w:val="zh-CN"/>
        </w:rPr>
        <w:t>。</w:t>
      </w:r>
    </w:p>
    <w:p>
      <w:pPr>
        <w:autoSpaceDE w:val="0"/>
        <w:autoSpaceDN w:val="0"/>
        <w:adjustRightInd w:val="0"/>
        <w:snapToGrid w:val="0"/>
        <w:spacing w:line="360" w:lineRule="auto"/>
        <w:ind w:left="840" w:hanging="840" w:hangingChars="350"/>
        <w:rPr>
          <w:rFonts w:asciiTheme="minorEastAsia" w:hAnsiTheme="minorEastAsia" w:eastAsiaTheme="minorEastAsia"/>
          <w:sz w:val="24"/>
          <w:lang w:val="zh-CN"/>
        </w:rPr>
      </w:pPr>
      <w:r>
        <w:rPr>
          <w:rFonts w:asciiTheme="minorEastAsia" w:hAnsiTheme="minorEastAsia" w:eastAsiaTheme="minorEastAsia"/>
          <w:sz w:val="24"/>
        </w:rPr>
        <w:t xml:space="preserve">12.2   </w:t>
      </w:r>
      <w:r>
        <w:rPr>
          <w:rFonts w:asciiTheme="minorEastAsia" w:hAnsiTheme="minorEastAsia" w:eastAsiaTheme="minorEastAsia"/>
          <w:sz w:val="24"/>
          <w:lang w:val="zh-CN"/>
        </w:rPr>
        <w:t>投标保证金应用人民币，采用支票，汇票、本票、保函的任何一种非现金形式支付。</w:t>
      </w:r>
    </w:p>
    <w:p>
      <w:pPr>
        <w:autoSpaceDE w:val="0"/>
        <w:autoSpaceDN w:val="0"/>
        <w:adjustRightInd w:val="0"/>
        <w:snapToGrid w:val="0"/>
        <w:spacing w:line="360" w:lineRule="auto"/>
        <w:ind w:left="840" w:hanging="840" w:hangingChars="350"/>
        <w:rPr>
          <w:rFonts w:asciiTheme="minorEastAsia" w:hAnsiTheme="minorEastAsia" w:eastAsiaTheme="minorEastAsia"/>
          <w:sz w:val="24"/>
          <w:lang w:val="zh-CN"/>
        </w:rPr>
      </w:pPr>
      <w:r>
        <w:rPr>
          <w:rFonts w:asciiTheme="minorEastAsia" w:hAnsiTheme="minorEastAsia" w:eastAsiaTheme="minorEastAsia"/>
          <w:sz w:val="24"/>
          <w:lang w:val="zh-CN"/>
        </w:rPr>
        <w:t>12.3</w:t>
      </w:r>
      <w:r>
        <w:rPr>
          <w:rFonts w:asciiTheme="minorEastAsia" w:hAnsiTheme="minorEastAsia" w:eastAsiaTheme="minorEastAsia"/>
          <w:sz w:val="24"/>
        </w:rPr>
        <w:t xml:space="preserve">   </w:t>
      </w:r>
      <w:r>
        <w:rPr>
          <w:rFonts w:asciiTheme="minorEastAsia" w:hAnsiTheme="minorEastAsia" w:eastAsiaTheme="minorEastAsia"/>
          <w:sz w:val="24"/>
          <w:lang w:val="zh-CN"/>
        </w:rPr>
        <w:t>如投标保证金以保函形式交纳，投标人须按本章附件1格式和内容开具保函，并将保函原件附在投标文件中或随投标文件同时递交，否则视为无效投标。投标人违约，开具保函单位承担连带责任。</w:t>
      </w:r>
    </w:p>
    <w:p>
      <w:pPr>
        <w:autoSpaceDE w:val="0"/>
        <w:autoSpaceDN w:val="0"/>
        <w:adjustRightInd w:val="0"/>
        <w:snapToGrid w:val="0"/>
        <w:spacing w:line="360" w:lineRule="auto"/>
        <w:ind w:left="840" w:hanging="840" w:hangingChars="350"/>
        <w:rPr>
          <w:rFonts w:asciiTheme="minorEastAsia" w:hAnsiTheme="minorEastAsia" w:eastAsiaTheme="minorEastAsia"/>
          <w:sz w:val="24"/>
          <w:lang w:val="zh-CN"/>
        </w:rPr>
      </w:pPr>
      <w:r>
        <w:rPr>
          <w:rFonts w:asciiTheme="minorEastAsia" w:hAnsiTheme="minorEastAsia" w:eastAsiaTheme="minorEastAsia"/>
          <w:sz w:val="24"/>
        </w:rPr>
        <w:t xml:space="preserve">12.4   </w:t>
      </w:r>
      <w:r>
        <w:rPr>
          <w:rFonts w:asciiTheme="minorEastAsia" w:hAnsiTheme="minorEastAsia" w:eastAsiaTheme="minorEastAsia"/>
          <w:sz w:val="24"/>
          <w:lang w:val="zh-CN"/>
        </w:rPr>
        <w:t>联合体投标的，可以由联合体中的一方或者共同提交投标保证金，以一方提交投标保证金的，对联合体各方均具有约束力。</w:t>
      </w:r>
    </w:p>
    <w:p>
      <w:pPr>
        <w:tabs>
          <w:tab w:val="left" w:pos="0"/>
        </w:tabs>
        <w:snapToGrid w:val="0"/>
        <w:spacing w:line="360" w:lineRule="auto"/>
        <w:ind w:left="840" w:hanging="840" w:hangingChars="350"/>
        <w:rPr>
          <w:rFonts w:asciiTheme="minorEastAsia" w:hAnsiTheme="minorEastAsia" w:eastAsiaTheme="minorEastAsia"/>
          <w:sz w:val="24"/>
          <w:lang w:val="zh-CN"/>
        </w:rPr>
      </w:pPr>
      <w:r>
        <w:rPr>
          <w:rFonts w:asciiTheme="minorEastAsia" w:hAnsiTheme="minorEastAsia" w:eastAsiaTheme="minorEastAsia"/>
          <w:sz w:val="24"/>
        </w:rPr>
        <w:t xml:space="preserve">12.5   </w:t>
      </w:r>
      <w:r>
        <w:rPr>
          <w:rFonts w:asciiTheme="minorEastAsia" w:hAnsiTheme="minorEastAsia" w:eastAsiaTheme="minorEastAsia"/>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napToGrid w:val="0"/>
        <w:spacing w:line="360" w:lineRule="auto"/>
        <w:ind w:left="835" w:leftChars="342" w:hanging="117" w:hangingChars="49"/>
        <w:rPr>
          <w:rFonts w:asciiTheme="minorEastAsia" w:hAnsiTheme="minorEastAsia" w:eastAsiaTheme="minorEastAsia"/>
          <w:sz w:val="24"/>
          <w:lang w:val="zh-CN"/>
        </w:rPr>
      </w:pPr>
      <w:r>
        <w:rPr>
          <w:rFonts w:asciiTheme="minorEastAsia" w:hAnsiTheme="minorEastAsia" w:eastAsiaTheme="minorEastAsia"/>
          <w:sz w:val="24"/>
        </w:rPr>
        <w:t>（1）</w:t>
      </w:r>
      <w:r>
        <w:rPr>
          <w:rFonts w:asciiTheme="minorEastAsia" w:hAnsiTheme="minorEastAsia" w:eastAsiaTheme="minorEastAsia"/>
          <w:sz w:val="24"/>
          <w:lang w:val="zh-CN"/>
        </w:rPr>
        <w:t>投标人在投标截止时间后撤销投标文件的；</w:t>
      </w:r>
    </w:p>
    <w:p>
      <w:pPr>
        <w:snapToGrid w:val="0"/>
        <w:spacing w:line="360" w:lineRule="auto"/>
        <w:ind w:firstLine="720" w:firstLineChars="300"/>
        <w:rPr>
          <w:rFonts w:asciiTheme="minorEastAsia" w:hAnsiTheme="minorEastAsia" w:eastAsiaTheme="minorEastAsia"/>
          <w:sz w:val="24"/>
          <w:lang w:val="zh-CN"/>
        </w:rPr>
      </w:pPr>
      <w:r>
        <w:rPr>
          <w:rFonts w:asciiTheme="minorEastAsia" w:hAnsiTheme="minorEastAsia" w:eastAsiaTheme="minorEastAsia"/>
          <w:sz w:val="24"/>
        </w:rPr>
        <w:t>（2）</w:t>
      </w:r>
      <w:r>
        <w:rPr>
          <w:rFonts w:asciiTheme="minorEastAsia" w:hAnsiTheme="minorEastAsia" w:eastAsiaTheme="minorEastAsia"/>
          <w:sz w:val="24"/>
          <w:lang w:val="zh-CN"/>
        </w:rPr>
        <w:t>投标人在投标文件中提供虚假材料的；</w:t>
      </w:r>
    </w:p>
    <w:p>
      <w:pPr>
        <w:snapToGrid w:val="0"/>
        <w:spacing w:line="360" w:lineRule="auto"/>
        <w:ind w:firstLine="720" w:firstLineChars="300"/>
        <w:rPr>
          <w:rFonts w:asciiTheme="minorEastAsia" w:hAnsiTheme="minorEastAsia" w:eastAsiaTheme="minorEastAsia"/>
          <w:sz w:val="24"/>
          <w:lang w:val="zh-CN"/>
        </w:rPr>
      </w:pPr>
      <w:r>
        <w:rPr>
          <w:rFonts w:asciiTheme="minorEastAsia" w:hAnsiTheme="minorEastAsia" w:eastAsiaTheme="minorEastAsia"/>
          <w:sz w:val="24"/>
        </w:rPr>
        <w:t>（3）</w:t>
      </w:r>
      <w:r>
        <w:rPr>
          <w:rFonts w:asciiTheme="minorEastAsia" w:hAnsiTheme="minorEastAsia" w:eastAsiaTheme="minorEastAsia"/>
          <w:sz w:val="24"/>
          <w:lang w:val="zh-CN"/>
        </w:rPr>
        <w:t>除因不可抗力或招标文件认可的情形以外，中标人不与采购人签订合同的；</w:t>
      </w:r>
    </w:p>
    <w:p>
      <w:pPr>
        <w:snapToGrid w:val="0"/>
        <w:spacing w:line="360" w:lineRule="auto"/>
        <w:ind w:firstLine="720" w:firstLineChars="300"/>
        <w:rPr>
          <w:rFonts w:asciiTheme="minorEastAsia" w:hAnsiTheme="minorEastAsia" w:eastAsiaTheme="minorEastAsia"/>
          <w:sz w:val="24"/>
          <w:lang w:val="zh-CN"/>
        </w:rPr>
      </w:pPr>
      <w:r>
        <w:rPr>
          <w:rFonts w:asciiTheme="minorEastAsia" w:hAnsiTheme="minorEastAsia" w:eastAsiaTheme="minorEastAsia"/>
          <w:sz w:val="24"/>
        </w:rPr>
        <w:t>（4）</w:t>
      </w:r>
      <w:r>
        <w:rPr>
          <w:rFonts w:asciiTheme="minorEastAsia" w:hAnsiTheme="minorEastAsia" w:eastAsiaTheme="minorEastAsia"/>
          <w:sz w:val="24"/>
          <w:lang w:val="zh-CN"/>
        </w:rPr>
        <w:t>投标人与采购人、其他投标人或者采购代理机构恶意串通的；</w:t>
      </w:r>
    </w:p>
    <w:p>
      <w:pPr>
        <w:snapToGrid w:val="0"/>
        <w:spacing w:line="360" w:lineRule="auto"/>
        <w:ind w:left="837" w:leftChars="370" w:hanging="60" w:hangingChars="25"/>
        <w:rPr>
          <w:rFonts w:asciiTheme="minorEastAsia" w:hAnsiTheme="minorEastAsia" w:eastAsiaTheme="minorEastAsia"/>
          <w:sz w:val="24"/>
          <w:lang w:val="zh-CN"/>
        </w:rPr>
      </w:pPr>
      <w:r>
        <w:rPr>
          <w:rFonts w:asciiTheme="minorEastAsia" w:hAnsiTheme="minorEastAsia" w:eastAsiaTheme="minorEastAsia"/>
          <w:sz w:val="24"/>
        </w:rPr>
        <w:t>（5）</w:t>
      </w:r>
      <w:r>
        <w:rPr>
          <w:rFonts w:asciiTheme="minorEastAsia" w:hAnsiTheme="minorEastAsia" w:eastAsiaTheme="minorEastAsia"/>
          <w:sz w:val="24"/>
          <w:lang w:val="zh-CN"/>
        </w:rPr>
        <w:t>中标人将中标项目转让给他人，或者在投标文件中未说明，且未经采购人同意，将中标项目分包给他人的；</w:t>
      </w:r>
    </w:p>
    <w:p>
      <w:pPr>
        <w:snapToGrid w:val="0"/>
        <w:spacing w:line="360" w:lineRule="auto"/>
        <w:ind w:firstLine="720" w:firstLineChars="300"/>
        <w:rPr>
          <w:rFonts w:asciiTheme="minorEastAsia" w:hAnsiTheme="minorEastAsia" w:eastAsiaTheme="minorEastAsia"/>
          <w:sz w:val="24"/>
          <w:lang w:val="zh-CN"/>
        </w:rPr>
      </w:pPr>
      <w:r>
        <w:rPr>
          <w:rFonts w:asciiTheme="minorEastAsia" w:hAnsiTheme="minorEastAsia" w:eastAsiaTheme="minorEastAsia"/>
          <w:sz w:val="24"/>
        </w:rPr>
        <w:t>（6）</w:t>
      </w:r>
      <w:r>
        <w:rPr>
          <w:rFonts w:asciiTheme="minorEastAsia" w:hAnsiTheme="minorEastAsia" w:eastAsiaTheme="minorEastAsia"/>
          <w:sz w:val="24"/>
          <w:lang w:val="zh-CN"/>
        </w:rPr>
        <w:t>中标人拒绝履行合同义务的。</w:t>
      </w:r>
    </w:p>
    <w:p>
      <w:pPr>
        <w:autoSpaceDE w:val="0"/>
        <w:autoSpaceDN w:val="0"/>
        <w:adjustRightInd w:val="0"/>
        <w:snapToGrid w:val="0"/>
        <w:spacing w:line="360" w:lineRule="auto"/>
        <w:ind w:left="835" w:hanging="835" w:hangingChars="348"/>
        <w:rPr>
          <w:rFonts w:asciiTheme="minorEastAsia" w:hAnsiTheme="minorEastAsia" w:eastAsiaTheme="minorEastAsia"/>
          <w:sz w:val="24"/>
          <w:lang w:val="zh-CN"/>
        </w:rPr>
      </w:pPr>
      <w:r>
        <w:rPr>
          <w:rFonts w:asciiTheme="minorEastAsia" w:hAnsiTheme="minorEastAsia" w:eastAsiaTheme="minorEastAsia"/>
          <w:sz w:val="24"/>
        </w:rPr>
        <w:t xml:space="preserve">12.6   </w:t>
      </w:r>
      <w:r>
        <w:rPr>
          <w:rFonts w:asciiTheme="minorEastAsia" w:hAnsiTheme="minorEastAsia" w:eastAsiaTheme="minorEastAsia"/>
          <w:sz w:val="24"/>
          <w:lang w:val="zh-CN"/>
        </w:rPr>
        <w:t>自中标通知书发出之日起五个工作日内退还未中标人的投标保证金，自采购合同签订之日起五个工作日内退还中标人的投标保证金或者转为中标人的履约保证金。</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12.7   中标人需在合同签订后3日内持合同原件至采购代理机构办理投标保证金退还手续。</w:t>
      </w:r>
    </w:p>
    <w:p>
      <w:pPr>
        <w:pStyle w:val="5"/>
        <w:ind w:firstLine="0" w:firstLineChars="0"/>
        <w:rPr>
          <w:rFonts w:asciiTheme="minorEastAsia" w:hAnsiTheme="minorEastAsia" w:eastAsiaTheme="minorEastAsia"/>
          <w:sz w:val="24"/>
          <w:szCs w:val="24"/>
        </w:rPr>
      </w:pPr>
      <w:bookmarkStart w:id="116" w:name="_Toc520356157"/>
      <w:bookmarkStart w:id="117" w:name="_Toc108721105"/>
      <w:bookmarkStart w:id="118" w:name="_Toc532473464"/>
      <w:bookmarkStart w:id="119" w:name="_Toc515647772"/>
      <w:bookmarkStart w:id="120" w:name="_Toc23590"/>
      <w:bookmarkStart w:id="121" w:name="_Toc32569"/>
      <w:r>
        <w:rPr>
          <w:rFonts w:asciiTheme="minorEastAsia" w:hAnsiTheme="minorEastAsia" w:eastAsiaTheme="minorEastAsia"/>
          <w:sz w:val="24"/>
          <w:szCs w:val="24"/>
        </w:rPr>
        <w:t>13.    投标有效期</w:t>
      </w:r>
      <w:bookmarkEnd w:id="116"/>
      <w:bookmarkEnd w:id="117"/>
      <w:bookmarkEnd w:id="118"/>
      <w:bookmarkEnd w:id="119"/>
      <w:bookmarkEnd w:id="120"/>
      <w:bookmarkEnd w:id="121"/>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13.1   投标有效期为提交投标文件截止之日起90个日历日，投标应在投标有效期内保持有效。投标有效期不满足要求的投标，其投标将被认定为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5"/>
        <w:ind w:firstLine="0" w:firstLineChars="0"/>
        <w:rPr>
          <w:rFonts w:asciiTheme="minorEastAsia" w:hAnsiTheme="minorEastAsia" w:eastAsiaTheme="minorEastAsia"/>
          <w:sz w:val="24"/>
          <w:szCs w:val="24"/>
        </w:rPr>
      </w:pPr>
      <w:bookmarkStart w:id="122" w:name="_Toc515647773"/>
      <w:bookmarkStart w:id="123" w:name="_Toc520356158"/>
      <w:bookmarkStart w:id="124" w:name="_Toc17074"/>
      <w:bookmarkStart w:id="125" w:name="_Toc493"/>
      <w:bookmarkStart w:id="126" w:name="_Toc532473465"/>
      <w:bookmarkStart w:id="127" w:name="_Toc108721106"/>
      <w:r>
        <w:rPr>
          <w:rFonts w:asciiTheme="minorEastAsia" w:hAnsiTheme="minorEastAsia" w:eastAsiaTheme="minorEastAsia"/>
          <w:sz w:val="24"/>
          <w:szCs w:val="24"/>
        </w:rPr>
        <w:t>14.    投标文件的</w:t>
      </w:r>
      <w:bookmarkEnd w:id="122"/>
      <w:bookmarkEnd w:id="123"/>
      <w:bookmarkEnd w:id="124"/>
      <w:bookmarkEnd w:id="125"/>
      <w:bookmarkEnd w:id="126"/>
      <w:r>
        <w:rPr>
          <w:rFonts w:asciiTheme="minorEastAsia" w:hAnsiTheme="minorEastAsia" w:eastAsiaTheme="minorEastAsia"/>
          <w:sz w:val="24"/>
          <w:szCs w:val="24"/>
        </w:rPr>
        <w:t>制作</w:t>
      </w:r>
      <w:bookmarkEnd w:id="127"/>
    </w:p>
    <w:p>
      <w:pPr>
        <w:spacing w:line="360" w:lineRule="auto"/>
        <w:ind w:left="900" w:hanging="900" w:hangingChars="375"/>
        <w:rPr>
          <w:rFonts w:cs="仿宋" w:asciiTheme="minorEastAsia" w:hAnsiTheme="minorEastAsia" w:eastAsiaTheme="minorEastAsia"/>
          <w:sz w:val="24"/>
        </w:rPr>
      </w:pPr>
      <w:r>
        <w:rPr>
          <w:rFonts w:hint="eastAsia" w:cs="仿宋" w:asciiTheme="minorEastAsia" w:hAnsiTheme="minorEastAsia" w:eastAsiaTheme="minorEastAsia"/>
          <w:sz w:val="24"/>
        </w:rPr>
        <w:t>14.1   投标人应按投标须知前附表中的规定，准备和递交投标文件正本、副本和电子文档，每份投标文件封皮须清楚地标明“正本”或“副本”。投标文件的副本可采用正本的复印件，若正本和副本不一致，以正本为准。</w:t>
      </w:r>
    </w:p>
    <w:p>
      <w:pPr>
        <w:spacing w:line="360" w:lineRule="auto"/>
        <w:ind w:left="900" w:hanging="900" w:hangingChars="375"/>
        <w:rPr>
          <w:rFonts w:cs="仿宋" w:asciiTheme="minorEastAsia" w:hAnsiTheme="minorEastAsia" w:eastAsiaTheme="minorEastAsia"/>
          <w:sz w:val="24"/>
        </w:rPr>
      </w:pPr>
      <w:r>
        <w:rPr>
          <w:rFonts w:hint="eastAsia" w:cs="仿宋" w:asciiTheme="minorEastAsia" w:hAnsiTheme="minorEastAsia" w:eastAsiaTheme="minorEastAsia"/>
          <w:sz w:val="24"/>
        </w:rPr>
        <w:t>14.2   委托代理人须持有书面的“法定代表人授权委托书”，并将其附在投标文件中。如对投标文件进行了修改，则应由投标人的法定代表人或委托代理人在每一修改处签字。</w:t>
      </w:r>
    </w:p>
    <w:p>
      <w:pPr>
        <w:spacing w:line="360" w:lineRule="auto"/>
        <w:ind w:left="850" w:leftChars="405" w:firstLine="2" w:firstLineChars="1"/>
        <w:rPr>
          <w:rFonts w:cs="仿宋" w:asciiTheme="minorEastAsia" w:hAnsiTheme="minorEastAsia" w:eastAsiaTheme="minorEastAsia"/>
          <w:sz w:val="24"/>
        </w:rPr>
      </w:pPr>
      <w:r>
        <w:rPr>
          <w:rFonts w:hint="eastAsia" w:cs="仿宋" w:asciiTheme="minorEastAsia" w:hAnsiTheme="minorEastAsia" w:eastAsiaTheme="minorEastAsia"/>
          <w:sz w:val="24"/>
        </w:rPr>
        <w:t>未按招标文件要求签署和盖章的投标文件，其投标将被认定为</w:t>
      </w:r>
      <w:r>
        <w:rPr>
          <w:rFonts w:hint="eastAsia" w:cs="仿宋" w:asciiTheme="minorEastAsia" w:hAnsiTheme="minorEastAsia" w:eastAsiaTheme="minorEastAsia"/>
          <w:b/>
          <w:sz w:val="24"/>
        </w:rPr>
        <w:t>投标无效</w:t>
      </w:r>
      <w:r>
        <w:rPr>
          <w:rFonts w:hint="eastAsia" w:cs="仿宋" w:asciiTheme="minorEastAsia" w:hAnsiTheme="minorEastAsia" w:eastAsiaTheme="minorEastAsia"/>
          <w:sz w:val="24"/>
        </w:rPr>
        <w:t>。</w:t>
      </w:r>
    </w:p>
    <w:p>
      <w:pPr>
        <w:spacing w:line="360" w:lineRule="auto"/>
        <w:ind w:left="900" w:hanging="900" w:hangingChars="375"/>
        <w:rPr>
          <w:rFonts w:asciiTheme="minorEastAsia" w:hAnsiTheme="minorEastAsia" w:eastAsiaTheme="minorEastAsia"/>
          <w:sz w:val="24"/>
        </w:rPr>
      </w:pPr>
      <w:r>
        <w:rPr>
          <w:rFonts w:hint="eastAsia" w:cs="仿宋" w:asciiTheme="minorEastAsia" w:hAnsiTheme="minorEastAsia" w:eastAsiaTheme="minorEastAsia"/>
          <w:sz w:val="24"/>
        </w:rPr>
        <w:t>14.3   投标文件应按照“第六章”格式部分制作。</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14.4   投标文件因字迹潦草、表达不清或装订不当所引起的后果由投标人负责。</w:t>
      </w:r>
    </w:p>
    <w:p>
      <w:pPr>
        <w:pStyle w:val="4"/>
        <w:rPr>
          <w:rFonts w:asciiTheme="minorEastAsia" w:hAnsiTheme="minorEastAsia" w:eastAsiaTheme="minorEastAsia"/>
          <w:sz w:val="28"/>
          <w:szCs w:val="18"/>
        </w:rPr>
      </w:pPr>
      <w:bookmarkStart w:id="128" w:name="_Toc108721107"/>
      <w:bookmarkStart w:id="129" w:name="_Toc520356159"/>
      <w:bookmarkStart w:id="130" w:name="_Toc532473466"/>
      <w:bookmarkStart w:id="131" w:name="_Toc515647774"/>
      <w:bookmarkStart w:id="132" w:name="_Toc16865"/>
      <w:bookmarkStart w:id="133" w:name="_Toc216582808"/>
      <w:bookmarkStart w:id="134" w:name="_Toc11179"/>
      <w:r>
        <w:rPr>
          <w:rFonts w:asciiTheme="minorEastAsia" w:hAnsiTheme="minorEastAsia" w:eastAsiaTheme="minorEastAsia"/>
          <w:sz w:val="28"/>
          <w:szCs w:val="18"/>
        </w:rPr>
        <w:t>四、投标文件的递交</w:t>
      </w:r>
      <w:bookmarkEnd w:id="128"/>
      <w:bookmarkEnd w:id="129"/>
      <w:bookmarkEnd w:id="130"/>
      <w:bookmarkEnd w:id="131"/>
      <w:bookmarkEnd w:id="132"/>
      <w:bookmarkEnd w:id="133"/>
      <w:bookmarkEnd w:id="134"/>
    </w:p>
    <w:p>
      <w:pPr>
        <w:pStyle w:val="5"/>
        <w:ind w:firstLine="0" w:firstLineChars="0"/>
        <w:rPr>
          <w:rFonts w:asciiTheme="minorEastAsia" w:hAnsiTheme="minorEastAsia" w:eastAsiaTheme="minorEastAsia"/>
          <w:sz w:val="24"/>
          <w:szCs w:val="24"/>
        </w:rPr>
      </w:pPr>
      <w:bookmarkStart w:id="135" w:name="_Toc108721108"/>
      <w:bookmarkStart w:id="136" w:name="_Toc520356160"/>
      <w:bookmarkStart w:id="137" w:name="_Toc532473467"/>
      <w:bookmarkStart w:id="138" w:name="_Toc515647775"/>
      <w:bookmarkStart w:id="139" w:name="_Toc21645"/>
      <w:bookmarkStart w:id="140" w:name="_Toc32337"/>
      <w:r>
        <w:rPr>
          <w:rFonts w:asciiTheme="minorEastAsia" w:hAnsiTheme="minorEastAsia" w:eastAsiaTheme="minorEastAsia"/>
          <w:sz w:val="24"/>
          <w:szCs w:val="24"/>
        </w:rPr>
        <w:t>15.    投标文件的密封和标记</w:t>
      </w:r>
      <w:bookmarkEnd w:id="135"/>
      <w:bookmarkEnd w:id="136"/>
      <w:bookmarkEnd w:id="137"/>
      <w:bookmarkEnd w:id="138"/>
      <w:bookmarkEnd w:id="139"/>
      <w:bookmarkEnd w:id="140"/>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15.1   密封要求：投标文件应当用不能被他人知悉或更换投标文件内容的方式密封。投标人应将投标文件的</w:t>
      </w:r>
      <w:r>
        <w:rPr>
          <w:rFonts w:asciiTheme="minorEastAsia" w:hAnsiTheme="minorEastAsia" w:eastAsiaTheme="minorEastAsia"/>
          <w:b/>
          <w:bCs/>
          <w:sz w:val="24"/>
        </w:rPr>
        <w:t>两个部分分开单独密封</w:t>
      </w:r>
      <w:r>
        <w:rPr>
          <w:rFonts w:asciiTheme="minorEastAsia" w:hAnsiTheme="minorEastAsia" w:eastAsiaTheme="minorEastAsia"/>
          <w:sz w:val="24"/>
        </w:rPr>
        <w:t>，并在封皮正面标明“资格证明文件”或“商务及技术文件”</w:t>
      </w:r>
      <w:r>
        <w:rPr>
          <w:rFonts w:hint="eastAsia" w:asciiTheme="minorEastAsia" w:hAnsiTheme="minorEastAsia" w:eastAsiaTheme="minorEastAsia"/>
          <w:sz w:val="24"/>
          <w:lang w:val="en-US" w:eastAsia="zh-CN"/>
        </w:rPr>
        <w:t>等</w:t>
      </w:r>
      <w:r>
        <w:rPr>
          <w:rFonts w:asciiTheme="minorEastAsia" w:hAnsiTheme="minorEastAsia" w:eastAsiaTheme="minorEastAsia"/>
          <w:sz w:val="24"/>
        </w:rPr>
        <w:t>字样。投标人应承担封装失误产生的任何后果</w:t>
      </w:r>
      <w:bookmarkStart w:id="141" w:name="_Hlk790626"/>
      <w:r>
        <w:rPr>
          <w:rFonts w:asciiTheme="minorEastAsia" w:hAnsiTheme="minorEastAsia" w:eastAsiaTheme="minorEastAsia"/>
          <w:sz w:val="24"/>
        </w:rPr>
        <w:t>。</w:t>
      </w:r>
      <w:bookmarkEnd w:id="141"/>
    </w:p>
    <w:p>
      <w:pPr>
        <w:spacing w:line="360" w:lineRule="auto"/>
        <w:rPr>
          <w:rFonts w:asciiTheme="minorEastAsia" w:hAnsiTheme="minorEastAsia" w:eastAsiaTheme="minorEastAsia"/>
          <w:sz w:val="24"/>
        </w:rPr>
      </w:pPr>
      <w:r>
        <w:rPr>
          <w:rFonts w:asciiTheme="minorEastAsia" w:hAnsiTheme="minorEastAsia" w:eastAsiaTheme="minorEastAsia"/>
          <w:sz w:val="24"/>
        </w:rPr>
        <w:t>15.2   标记要求：</w:t>
      </w:r>
      <w:r>
        <w:rPr>
          <w:rFonts w:hint="eastAsia" w:asciiTheme="minorEastAsia" w:hAnsiTheme="minorEastAsia" w:eastAsiaTheme="minorEastAsia"/>
          <w:sz w:val="24"/>
        </w:rPr>
        <w:t>见投标人须知前附表。</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 xml:space="preserve">15.3   如果投标文件未进行密封，将被拒绝接收。   </w:t>
      </w:r>
    </w:p>
    <w:p>
      <w:pPr>
        <w:pStyle w:val="5"/>
        <w:ind w:firstLine="0" w:firstLineChars="0"/>
        <w:rPr>
          <w:rFonts w:asciiTheme="minorEastAsia" w:hAnsiTheme="minorEastAsia" w:eastAsiaTheme="minorEastAsia"/>
          <w:sz w:val="24"/>
          <w:szCs w:val="24"/>
        </w:rPr>
      </w:pPr>
      <w:bookmarkStart w:id="142" w:name="_Toc520356161"/>
      <w:bookmarkStart w:id="143" w:name="_Toc9840"/>
      <w:bookmarkStart w:id="144" w:name="_Toc12751"/>
      <w:bookmarkStart w:id="145" w:name="_Toc108721109"/>
      <w:bookmarkStart w:id="146" w:name="_Toc532473468"/>
      <w:bookmarkStart w:id="147" w:name="_Toc515647776"/>
      <w:r>
        <w:rPr>
          <w:rFonts w:asciiTheme="minorEastAsia" w:hAnsiTheme="minorEastAsia" w:eastAsiaTheme="minorEastAsia"/>
          <w:sz w:val="24"/>
          <w:szCs w:val="24"/>
        </w:rPr>
        <w:t>16.    投标截止</w:t>
      </w:r>
      <w:bookmarkEnd w:id="142"/>
      <w:bookmarkEnd w:id="143"/>
      <w:bookmarkEnd w:id="144"/>
      <w:bookmarkEnd w:id="145"/>
      <w:bookmarkEnd w:id="146"/>
      <w:bookmarkEnd w:id="147"/>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16.1   投标人应在</w:t>
      </w:r>
      <w:r>
        <w:rPr>
          <w:rFonts w:asciiTheme="minorEastAsia" w:hAnsiTheme="minorEastAsia" w:eastAsiaTheme="minorEastAsia"/>
          <w:sz w:val="24"/>
          <w:u w:val="single"/>
        </w:rPr>
        <w:t>投标人须知前附表中</w:t>
      </w:r>
      <w:r>
        <w:rPr>
          <w:rFonts w:asciiTheme="minorEastAsia" w:hAnsiTheme="minorEastAsia" w:eastAsiaTheme="minorEastAsia"/>
          <w:sz w:val="24"/>
        </w:rPr>
        <w:t>规定的截止时间前，将投标文件递交到招标公告中规定的地点。</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16.2   采购人和采购代理机构将拒绝接收在投标截止时间后送达的投标文件。</w:t>
      </w:r>
    </w:p>
    <w:p>
      <w:pPr>
        <w:pStyle w:val="5"/>
        <w:ind w:firstLine="0" w:firstLineChars="0"/>
        <w:jc w:val="both"/>
        <w:rPr>
          <w:rFonts w:asciiTheme="minorEastAsia" w:hAnsiTheme="minorEastAsia" w:eastAsiaTheme="minorEastAsia"/>
          <w:sz w:val="24"/>
          <w:szCs w:val="24"/>
        </w:rPr>
      </w:pPr>
      <w:bookmarkStart w:id="148" w:name="_Toc24275"/>
      <w:bookmarkStart w:id="149" w:name="_Toc532473469"/>
      <w:bookmarkStart w:id="150" w:name="_Toc515647777"/>
      <w:bookmarkStart w:id="151" w:name="_Toc520356162"/>
      <w:bookmarkStart w:id="152" w:name="_Toc108721110"/>
      <w:bookmarkStart w:id="153" w:name="_Toc18537"/>
      <w:r>
        <w:rPr>
          <w:rFonts w:asciiTheme="minorEastAsia" w:hAnsiTheme="minorEastAsia" w:eastAsiaTheme="minorEastAsia"/>
          <w:sz w:val="24"/>
          <w:szCs w:val="24"/>
        </w:rPr>
        <w:t>17.    投标文件的接收、修改与撤回</w:t>
      </w:r>
      <w:bookmarkEnd w:id="148"/>
      <w:bookmarkEnd w:id="149"/>
      <w:bookmarkEnd w:id="150"/>
      <w:bookmarkEnd w:id="151"/>
      <w:bookmarkEnd w:id="152"/>
      <w:bookmarkEnd w:id="153"/>
    </w:p>
    <w:p>
      <w:pPr>
        <w:spacing w:line="360" w:lineRule="auto"/>
        <w:ind w:left="900" w:hanging="900" w:hangingChars="375"/>
        <w:rPr>
          <w:rFonts w:asciiTheme="minorEastAsia" w:hAnsiTheme="minorEastAsia" w:eastAsiaTheme="minorEastAsia"/>
        </w:rPr>
      </w:pPr>
      <w:r>
        <w:rPr>
          <w:rFonts w:asciiTheme="minorEastAsia" w:hAnsiTheme="minorEastAsia" w:eastAsiaTheme="minorEastAsia"/>
          <w:sz w:val="24"/>
        </w:rPr>
        <w:t>17.1   采购人和采购代理机构将按招标文件规定的时间和地点接收投标文件。</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17.2   采购人或者采购代理机构收到投标文件后，将记载投标文件的送达时间和密封情况，并向投标人出具回执。</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17.3   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pPr>
        <w:spacing w:line="360" w:lineRule="auto"/>
        <w:ind w:left="850" w:leftChars="405" w:firstLine="2" w:firstLineChars="1"/>
        <w:rPr>
          <w:rFonts w:asciiTheme="minorEastAsia" w:hAnsiTheme="minorEastAsia" w:eastAsiaTheme="minorEastAsia"/>
          <w:sz w:val="24"/>
        </w:rPr>
      </w:pPr>
      <w:r>
        <w:rPr>
          <w:rFonts w:asciiTheme="minorEastAsia" w:hAnsiTheme="minorEastAsia" w:eastAsiaTheme="minorEastAsia"/>
          <w:sz w:val="24"/>
        </w:rPr>
        <w:t>递交投标文件以后，如果投标人要进行撤回的，须提出书面申请并在投标截止时间前送达开标地点，采购人和采购代理机构将予以接受。</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17.4   在投标截止时间之后，投标人不得对其投标文件做任何修改。</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17.5   除投标人不足3家未开标外，采购人和采购代理机构对所接收投标文件概不退回。</w:t>
      </w:r>
    </w:p>
    <w:p>
      <w:pPr>
        <w:pStyle w:val="4"/>
        <w:rPr>
          <w:rFonts w:asciiTheme="minorEastAsia" w:hAnsiTheme="minorEastAsia" w:eastAsiaTheme="minorEastAsia"/>
          <w:sz w:val="28"/>
          <w:szCs w:val="18"/>
        </w:rPr>
      </w:pPr>
      <w:bookmarkStart w:id="154" w:name="_Toc216582809"/>
      <w:bookmarkStart w:id="155" w:name="_Toc532473470"/>
      <w:bookmarkStart w:id="156" w:name="_Toc108721111"/>
      <w:bookmarkStart w:id="157" w:name="_Toc520356163"/>
      <w:bookmarkStart w:id="158" w:name="_Toc515647778"/>
      <w:bookmarkStart w:id="159" w:name="_Toc28398"/>
      <w:bookmarkStart w:id="160" w:name="_Toc12436"/>
      <w:r>
        <w:rPr>
          <w:rFonts w:asciiTheme="minorEastAsia" w:hAnsiTheme="minorEastAsia" w:eastAsiaTheme="minorEastAsia"/>
          <w:sz w:val="28"/>
          <w:szCs w:val="18"/>
        </w:rPr>
        <w:t>五、开标及评标</w:t>
      </w:r>
      <w:bookmarkEnd w:id="154"/>
      <w:bookmarkEnd w:id="155"/>
      <w:bookmarkEnd w:id="156"/>
      <w:bookmarkEnd w:id="157"/>
      <w:bookmarkEnd w:id="158"/>
      <w:bookmarkEnd w:id="159"/>
      <w:bookmarkEnd w:id="160"/>
    </w:p>
    <w:p>
      <w:pPr>
        <w:pStyle w:val="5"/>
        <w:ind w:firstLine="0" w:firstLineChars="0"/>
        <w:jc w:val="both"/>
        <w:rPr>
          <w:rFonts w:asciiTheme="minorEastAsia" w:hAnsiTheme="minorEastAsia" w:eastAsiaTheme="minorEastAsia"/>
          <w:sz w:val="24"/>
          <w:szCs w:val="24"/>
        </w:rPr>
      </w:pPr>
      <w:bookmarkStart w:id="161" w:name="_Toc520356164"/>
      <w:bookmarkStart w:id="162" w:name="_Toc7186"/>
      <w:bookmarkStart w:id="163" w:name="_Toc25345"/>
      <w:bookmarkStart w:id="164" w:name="_Toc515647779"/>
      <w:bookmarkStart w:id="165" w:name="_Toc532473471"/>
      <w:bookmarkStart w:id="166" w:name="_Toc108721112"/>
      <w:r>
        <w:rPr>
          <w:rFonts w:asciiTheme="minorEastAsia" w:hAnsiTheme="minorEastAsia" w:eastAsiaTheme="minorEastAsia"/>
          <w:sz w:val="24"/>
          <w:szCs w:val="24"/>
        </w:rPr>
        <w:t>18.    开标</w:t>
      </w:r>
      <w:bookmarkEnd w:id="161"/>
      <w:bookmarkEnd w:id="162"/>
      <w:bookmarkEnd w:id="163"/>
      <w:bookmarkEnd w:id="164"/>
      <w:bookmarkEnd w:id="165"/>
      <w:bookmarkEnd w:id="166"/>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18.1   采购人和采购代理机构将按</w:t>
      </w:r>
      <w:r>
        <w:rPr>
          <w:rFonts w:asciiTheme="minorEastAsia" w:hAnsiTheme="minorEastAsia" w:eastAsiaTheme="minorEastAsia"/>
          <w:sz w:val="24"/>
          <w:u w:val="single"/>
        </w:rPr>
        <w:t>投标人须知前附表</w:t>
      </w:r>
      <w:r>
        <w:rPr>
          <w:rFonts w:asciiTheme="minorEastAsia" w:hAnsiTheme="minorEastAsia" w:eastAsiaTheme="minorEastAsia"/>
          <w:sz w:val="24"/>
        </w:rPr>
        <w:t>中规定的开标时间和地点组织开标，并邀请所有投标人代表参加。</w:t>
      </w:r>
    </w:p>
    <w:p>
      <w:pPr>
        <w:spacing w:line="360" w:lineRule="auto"/>
        <w:ind w:left="833" w:leftChars="397" w:firstLine="19" w:firstLineChars="8"/>
        <w:rPr>
          <w:rFonts w:asciiTheme="minorEastAsia" w:hAnsiTheme="minorEastAsia" w:eastAsiaTheme="minorEastAsia"/>
          <w:sz w:val="24"/>
        </w:rPr>
      </w:pPr>
      <w:r>
        <w:rPr>
          <w:rFonts w:asciiTheme="minorEastAsia" w:hAnsiTheme="minorEastAsia" w:eastAsiaTheme="minorEastAsia"/>
          <w:sz w:val="24"/>
        </w:rPr>
        <w:t>投标人不足3家的，不予开标。</w:t>
      </w:r>
    </w:p>
    <w:p>
      <w:pPr>
        <w:spacing w:line="360" w:lineRule="auto"/>
        <w:ind w:left="960" w:hanging="960" w:hangingChars="400"/>
        <w:rPr>
          <w:rFonts w:cs="仿宋" w:asciiTheme="minorEastAsia" w:hAnsiTheme="minorEastAsia" w:eastAsiaTheme="minorEastAsia"/>
          <w:sz w:val="24"/>
        </w:rPr>
      </w:pPr>
      <w:r>
        <w:rPr>
          <w:rFonts w:hint="eastAsia" w:cs="仿宋" w:asciiTheme="minorEastAsia" w:hAnsiTheme="minorEastAsia" w:eastAsiaTheme="minorEastAsia"/>
          <w:sz w:val="24"/>
        </w:rPr>
        <w:t>18.2   开标时，由投标人或其推选的代表检查自己或所代表的投标文件的密封情况，经记录后，由采购人或采购代理机构当众拆封投标文件，宣读投标人在开标一览表中所填写的全部内容。对于投标人在投标截止时间前递交的投标声明，在开标时当众宣读，评标时有效。</w:t>
      </w:r>
    </w:p>
    <w:p>
      <w:pPr>
        <w:spacing w:line="360" w:lineRule="auto"/>
        <w:ind w:left="1078" w:leftChars="428" w:hanging="180" w:hangingChars="75"/>
        <w:rPr>
          <w:rFonts w:cs="仿宋" w:asciiTheme="minorEastAsia" w:hAnsiTheme="minorEastAsia" w:eastAsiaTheme="minorEastAsia"/>
          <w:sz w:val="24"/>
        </w:rPr>
      </w:pPr>
      <w:r>
        <w:rPr>
          <w:rFonts w:hint="eastAsia" w:cs="仿宋" w:asciiTheme="minorEastAsia" w:hAnsiTheme="minorEastAsia" w:eastAsiaTheme="minorEastAsia"/>
          <w:sz w:val="24"/>
        </w:rPr>
        <w:t>未宣读的投标价格、价格折扣等实质内容，评标时不予承认。</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18.3   采购人或采购代理机构将对开标过程进行记录</w:t>
      </w:r>
      <w:bookmarkStart w:id="167" w:name="_Toc520356165"/>
      <w:r>
        <w:rPr>
          <w:rFonts w:asciiTheme="minorEastAsia" w:hAnsiTheme="minorEastAsia" w:eastAsiaTheme="minorEastAsia"/>
          <w:sz w:val="24"/>
        </w:rPr>
        <w:t>，由参加开标的各投标人代表和相关工作人员签字确认，并存档备查。</w:t>
      </w:r>
    </w:p>
    <w:p>
      <w:pPr>
        <w:spacing w:line="360" w:lineRule="auto"/>
        <w:ind w:left="898" w:leftChars="428"/>
        <w:rPr>
          <w:rFonts w:asciiTheme="minorEastAsia" w:hAnsiTheme="minorEastAsia" w:eastAsiaTheme="minorEastAsia"/>
          <w:sz w:val="24"/>
        </w:rPr>
      </w:pPr>
      <w:r>
        <w:rPr>
          <w:rFonts w:asciiTheme="minorEastAsia" w:hAnsiTheme="minorEastAsia" w:eastAsiaTheme="minorEastAsia"/>
          <w:sz w:val="24"/>
        </w:rPr>
        <w:t>投标人未派代表参加开标的，视同投标人认可开标结果。</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18.4   投标人代表对开标过程和开标记录有疑义，以及认为开标现场采购人、采购代理机构相关工作人员有需要回避的情形的，应当场提出询问或者回避申请。</w:t>
      </w:r>
    </w:p>
    <w:p>
      <w:pPr>
        <w:pStyle w:val="5"/>
        <w:ind w:firstLine="0" w:firstLineChars="0"/>
        <w:jc w:val="both"/>
        <w:rPr>
          <w:rFonts w:asciiTheme="minorEastAsia" w:hAnsiTheme="minorEastAsia" w:eastAsiaTheme="minorEastAsia"/>
          <w:sz w:val="24"/>
          <w:szCs w:val="24"/>
        </w:rPr>
      </w:pPr>
      <w:bookmarkStart w:id="168" w:name="_Toc19296"/>
      <w:bookmarkStart w:id="169" w:name="_Toc21372"/>
      <w:bookmarkStart w:id="170" w:name="_Toc532473472"/>
      <w:bookmarkStart w:id="171" w:name="_Toc515647780"/>
      <w:bookmarkStart w:id="172" w:name="_Toc108721113"/>
      <w:r>
        <w:rPr>
          <w:rFonts w:asciiTheme="minorEastAsia" w:hAnsiTheme="minorEastAsia" w:eastAsiaTheme="minorEastAsia"/>
          <w:sz w:val="24"/>
          <w:szCs w:val="24"/>
        </w:rPr>
        <w:t>19.</w:t>
      </w:r>
      <w:bookmarkEnd w:id="167"/>
      <w:r>
        <w:rPr>
          <w:rFonts w:asciiTheme="minorEastAsia" w:hAnsiTheme="minorEastAsia" w:eastAsiaTheme="minorEastAsia"/>
          <w:sz w:val="24"/>
          <w:szCs w:val="24"/>
        </w:rPr>
        <w:t xml:space="preserve">    资格审查及组建评标委员会</w:t>
      </w:r>
      <w:bookmarkEnd w:id="168"/>
      <w:bookmarkEnd w:id="169"/>
      <w:bookmarkEnd w:id="170"/>
      <w:bookmarkEnd w:id="171"/>
      <w:bookmarkEnd w:id="172"/>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19.1   采购人或采购代理机构依据法律法规和招标文件中规定的内容，对投标人及其投标标的物的资格进行审查，未通过资格审查的投标人不进入评标；资格证明文件未装在“资格证明文件”中的，将被认定为未通过资格审查。</w:t>
      </w:r>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通过资格审查的投标人不足三家的，不得评标。</w:t>
      </w:r>
    </w:p>
    <w:p>
      <w:pPr>
        <w:spacing w:line="360" w:lineRule="auto"/>
        <w:ind w:left="857" w:leftChars="2" w:hanging="853"/>
        <w:rPr>
          <w:rFonts w:asciiTheme="minorEastAsia" w:hAnsiTheme="minorEastAsia" w:eastAsiaTheme="minorEastAsia"/>
          <w:sz w:val="24"/>
        </w:rPr>
      </w:pPr>
      <w:r>
        <w:rPr>
          <w:rFonts w:asciiTheme="minorEastAsia" w:hAnsiTheme="minorEastAsia" w:eastAsiaTheme="minorEastAsia"/>
          <w:sz w:val="24"/>
        </w:rPr>
        <w:t>19.2   采购人或采购代理机构将按投标人须知前附表中规定的时间查询投标人的信用记录。</w:t>
      </w:r>
    </w:p>
    <w:p>
      <w:pPr>
        <w:spacing w:line="360" w:lineRule="auto"/>
        <w:ind w:left="709" w:hanging="709"/>
        <w:rPr>
          <w:rFonts w:ascii="宋体" w:hAnsi="宋体" w:cs="宋体"/>
          <w:sz w:val="24"/>
        </w:rPr>
      </w:pPr>
      <w:r>
        <w:rPr>
          <w:rFonts w:asciiTheme="minorEastAsia" w:hAnsiTheme="minorEastAsia" w:eastAsiaTheme="minorEastAsia"/>
          <w:sz w:val="24"/>
        </w:rPr>
        <w:t xml:space="preserve">19.2.1 </w:t>
      </w:r>
      <w:r>
        <w:rPr>
          <w:rFonts w:hint="eastAsia" w:ascii="宋体" w:hAnsi="宋体" w:cs="宋体"/>
          <w:sz w:val="24"/>
        </w:rPr>
        <w:t>投标人在“中国执行信息公开网”（http://zxgk.court.gov.cn/shixin/）被列入失信被执行人名单、中国政府采购网（www.ccgp.gov.cn）被列入政府采购严重违法失信行为记录名单、在“信用中国”网站（www.creditchina.gov.cn）重大税收违法案件当事人名单以及存在《中华人民共和国政府采购法实施条例》第十九条规定的行政处罚记录，投标将被认定为</w:t>
      </w:r>
      <w:r>
        <w:rPr>
          <w:rFonts w:hint="eastAsia" w:ascii="宋体" w:hAnsi="宋体" w:cs="宋体"/>
          <w:b/>
          <w:sz w:val="24"/>
        </w:rPr>
        <w:t>投标无效</w:t>
      </w:r>
      <w:r>
        <w:rPr>
          <w:rFonts w:hint="eastAsia" w:ascii="宋体" w:hAnsi="宋体" w:cs="宋体"/>
          <w:sz w:val="24"/>
        </w:rPr>
        <w:t>。</w:t>
      </w:r>
    </w:p>
    <w:p>
      <w:pPr>
        <w:spacing w:line="360" w:lineRule="auto"/>
        <w:ind w:left="707" w:leftChars="337" w:firstLine="1"/>
        <w:rPr>
          <w:rFonts w:ascii="宋体" w:hAnsi="宋体" w:cs="宋体"/>
          <w:sz w:val="24"/>
        </w:rPr>
      </w:pPr>
      <w:r>
        <w:rPr>
          <w:rFonts w:hint="eastAsia" w:ascii="宋体" w:hAnsi="宋体" w:cs="宋体"/>
          <w:sz w:val="24"/>
        </w:rPr>
        <w:t>以联合体形式参加投标的，联合体任何成员存在以上不良信用记录的，联合体投标将被认定为</w:t>
      </w:r>
      <w:r>
        <w:rPr>
          <w:rFonts w:hint="eastAsia" w:ascii="宋体" w:hAnsi="宋体" w:cs="宋体"/>
          <w:b/>
          <w:bCs/>
          <w:sz w:val="24"/>
        </w:rPr>
        <w:t>投标无效</w:t>
      </w:r>
      <w:r>
        <w:rPr>
          <w:rFonts w:hint="eastAsia" w:ascii="宋体" w:hAnsi="宋体" w:cs="宋体"/>
          <w:sz w:val="24"/>
        </w:rPr>
        <w:t>。</w:t>
      </w:r>
    </w:p>
    <w:p>
      <w:pPr>
        <w:pStyle w:val="8"/>
        <w:spacing w:line="360" w:lineRule="auto"/>
        <w:ind w:left="960" w:hanging="960" w:hangingChars="400"/>
        <w:jc w:val="both"/>
        <w:rPr>
          <w:rFonts w:asciiTheme="minorEastAsia" w:hAnsiTheme="minorEastAsia" w:eastAsiaTheme="minorEastAsia"/>
        </w:rPr>
      </w:pPr>
      <w:r>
        <w:rPr>
          <w:rFonts w:asciiTheme="minorEastAsia" w:hAnsiTheme="minorEastAsia" w:eastAsiaTheme="minorEastAsia"/>
        </w:rPr>
        <w:t>19.2.2 投标人不良信用记录以采购人或采购代理机构查询结果为准。投标人自行提供的与网站信息不一致的其他证明材料亦不作为资格审查依据。</w:t>
      </w:r>
    </w:p>
    <w:p>
      <w:pPr>
        <w:pStyle w:val="8"/>
        <w:spacing w:line="360" w:lineRule="auto"/>
        <w:ind w:left="850" w:leftChars="405" w:firstLine="0"/>
        <w:jc w:val="both"/>
        <w:rPr>
          <w:rFonts w:asciiTheme="minorEastAsia" w:hAnsiTheme="minorEastAsia" w:eastAsiaTheme="minorEastAsia"/>
        </w:rPr>
      </w:pPr>
      <w:r>
        <w:rPr>
          <w:rFonts w:asciiTheme="minorEastAsia" w:hAnsiTheme="minorEastAsia" w:eastAsiaTheme="minorEastAsia"/>
        </w:rPr>
        <w:t>在本招标文件规定的查询时间之外，网站信息发生的任何变更均不作为资格审查依据。</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19.3   按照《中华人民共和国政府采购法》、《中华人民共和国政府采购法实施条例》及本项目本级和上级财政部门的有关规定依法组建的评标委员会，负责评标工作。</w:t>
      </w:r>
      <w:bookmarkStart w:id="173" w:name="_Toc520356166"/>
    </w:p>
    <w:p>
      <w:pPr>
        <w:pStyle w:val="5"/>
        <w:ind w:firstLine="0" w:firstLineChars="0"/>
        <w:jc w:val="both"/>
        <w:rPr>
          <w:rFonts w:asciiTheme="minorEastAsia" w:hAnsiTheme="minorEastAsia" w:eastAsiaTheme="minorEastAsia"/>
          <w:bCs/>
          <w:sz w:val="24"/>
          <w:szCs w:val="24"/>
          <w:bdr w:val="single" w:color="auto" w:sz="4" w:space="0"/>
        </w:rPr>
      </w:pPr>
      <w:bookmarkStart w:id="174" w:name="_Toc532473473"/>
      <w:bookmarkStart w:id="175" w:name="_Toc515647781"/>
      <w:bookmarkStart w:id="176" w:name="_Toc108721114"/>
      <w:bookmarkStart w:id="177" w:name="_Toc19949"/>
      <w:bookmarkStart w:id="178" w:name="_Toc28479"/>
      <w:r>
        <w:rPr>
          <w:rFonts w:asciiTheme="minorEastAsia" w:hAnsiTheme="minorEastAsia" w:eastAsiaTheme="minorEastAsia"/>
          <w:sz w:val="24"/>
          <w:szCs w:val="24"/>
        </w:rPr>
        <w:t>20.    投标文件</w:t>
      </w:r>
      <w:bookmarkEnd w:id="173"/>
      <w:r>
        <w:rPr>
          <w:rFonts w:asciiTheme="minorEastAsia" w:hAnsiTheme="minorEastAsia" w:eastAsiaTheme="minorEastAsia"/>
          <w:sz w:val="24"/>
          <w:szCs w:val="24"/>
        </w:rPr>
        <w:t>符合性审查与澄清</w:t>
      </w:r>
      <w:bookmarkEnd w:id="174"/>
      <w:bookmarkEnd w:id="175"/>
      <w:bookmarkEnd w:id="176"/>
      <w:bookmarkEnd w:id="177"/>
      <w:bookmarkEnd w:id="178"/>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 xml:space="preserve">20.1   </w:t>
      </w:r>
      <w:bookmarkStart w:id="179" w:name="_Hlt522424701"/>
      <w:bookmarkEnd w:id="179"/>
      <w:bookmarkStart w:id="180" w:name="_Toc520356167"/>
      <w:r>
        <w:rPr>
          <w:rFonts w:asciiTheme="minorEastAsia" w:hAnsiTheme="minorEastAsia" w:eastAsiaTheme="minorEastAsia"/>
          <w:sz w:val="24"/>
        </w:rPr>
        <w:t>符合性审查是指依据招标文件的规定，从商务和技术角度对投标文件的有效性和完整性进行审查，以确定是否对招标文件的实质性要求做出响应。</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20.2   投标文件的澄清</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20.2.2 投标人的澄清、说明或补正将作为投标文件的一部分。</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20.3   投标文件报价出现前后不一致的，按照下列规定修正：</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　　  （1）投标文件中开标一览表（报价表）内容与投标文件中相应内容不一致的，以开标一览表（报价表）为准；</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　　  （2）大写金额和小写金额不一致的，以大写金额为准；</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　    （3）单价金额小数点或者百分比有明显错位的，以开标一览表的总价为准，并修改单价；</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　    （4）总价金额与按单价汇总金额不一致的，以单价金额计算结果为准。</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　　   同时出现两种以上不一致的，按照前款规定的顺序修正。修正后的报价按照第20.2条的规定经投标人确认后产生约束力，投标人不确认的，其投标将被认定为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735" w:leftChars="350" w:firstLine="120" w:firstLineChars="50"/>
        <w:rPr>
          <w:rFonts w:asciiTheme="minorEastAsia" w:hAnsiTheme="minorEastAsia" w:eastAsiaTheme="minorEastAsia"/>
          <w:sz w:val="24"/>
        </w:rPr>
      </w:pPr>
      <w:r>
        <w:rPr>
          <w:rFonts w:asciiTheme="minorEastAsia" w:hAnsiTheme="minorEastAsia" w:eastAsiaTheme="minorEastAsia"/>
          <w:sz w:val="24"/>
        </w:rPr>
        <w:t>对不同文字文本投标文件的解释发生异议的，以中文文本为准。</w:t>
      </w:r>
    </w:p>
    <w:p>
      <w:pPr>
        <w:spacing w:line="360" w:lineRule="auto"/>
        <w:ind w:left="900" w:hanging="900" w:hangingChars="375"/>
        <w:rPr>
          <w:rFonts w:ascii="宋体" w:hAnsi="宋体" w:cs="宋体"/>
          <w:sz w:val="24"/>
        </w:rPr>
      </w:pPr>
      <w:bookmarkStart w:id="181" w:name="_Toc515647782"/>
      <w:bookmarkStart w:id="182" w:name="_Toc9469"/>
      <w:bookmarkStart w:id="183" w:name="_Toc532473474"/>
      <w:bookmarkStart w:id="184" w:name="_Toc108721115"/>
      <w:bookmarkStart w:id="185" w:name="_Toc6364"/>
      <w:r>
        <w:rPr>
          <w:rFonts w:hint="eastAsia" w:ascii="宋体" w:hAnsi="宋体" w:cs="宋体"/>
          <w:sz w:val="24"/>
        </w:rPr>
        <w:t>20.4   如一个标段内只有一种产品，不同投标人所投产品为同一品牌的，按如下方式处理：</w:t>
      </w:r>
    </w:p>
    <w:p>
      <w:pPr>
        <w:spacing w:line="360" w:lineRule="auto"/>
        <w:ind w:left="900" w:hanging="900" w:hangingChars="375"/>
        <w:rPr>
          <w:rFonts w:ascii="宋体" w:hAnsi="宋体" w:cs="宋体"/>
          <w:sz w:val="24"/>
        </w:rPr>
      </w:pPr>
      <w:r>
        <w:rPr>
          <w:rFonts w:hint="eastAsia" w:ascii="宋体" w:hAnsi="宋体" w:cs="宋体"/>
          <w:sz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cs="宋体"/>
          <w:b/>
          <w:bCs/>
          <w:sz w:val="24"/>
        </w:rPr>
        <w:t>投标无效</w:t>
      </w:r>
      <w:r>
        <w:rPr>
          <w:rFonts w:hint="eastAsia" w:ascii="宋体" w:hAnsi="宋体" w:cs="宋体"/>
          <w:sz w:val="24"/>
        </w:rPr>
        <w:t>。</w:t>
      </w:r>
    </w:p>
    <w:p>
      <w:pPr>
        <w:spacing w:line="360" w:lineRule="auto"/>
        <w:ind w:left="900" w:hanging="900" w:hangingChars="375"/>
        <w:rPr>
          <w:rFonts w:ascii="宋体" w:hAnsi="宋体" w:cs="宋体"/>
          <w:sz w:val="24"/>
        </w:rPr>
      </w:pPr>
      <w:r>
        <w:rPr>
          <w:rFonts w:hint="eastAsia" w:ascii="宋体" w:hAnsi="宋体" w:cs="宋体"/>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360" w:lineRule="auto"/>
        <w:ind w:left="900" w:hanging="900" w:hangingChars="375"/>
        <w:rPr>
          <w:rFonts w:ascii="宋体" w:hAnsi="宋体" w:cs="宋体"/>
          <w:sz w:val="24"/>
        </w:rPr>
      </w:pPr>
      <w:r>
        <w:rPr>
          <w:rFonts w:hint="eastAsia" w:ascii="宋体" w:hAnsi="宋体" w:cs="宋体"/>
          <w:sz w:val="24"/>
        </w:rPr>
        <w:t>20.5   如一个标段内包含多种产品的，采购人或采购代理机构将在招标文件中载明核心产品，相关投标人提供的核心产品品牌相同的，按第20.4条规定处理。</w:t>
      </w:r>
    </w:p>
    <w:p>
      <w:pPr>
        <w:spacing w:line="360" w:lineRule="auto"/>
        <w:ind w:left="900" w:hanging="900" w:hangingChars="375"/>
        <w:rPr>
          <w:rFonts w:ascii="宋体" w:hAnsi="宋体" w:cs="宋体"/>
          <w:sz w:val="24"/>
        </w:rPr>
      </w:pPr>
      <w:r>
        <w:rPr>
          <w:rFonts w:hint="eastAsia" w:ascii="宋体" w:hAnsi="宋体" w:cs="宋体"/>
          <w:sz w:val="24"/>
        </w:rPr>
        <w:t>20.6   投标人所投产品如被列入财政部与国家主管部门颁发的节能产品或环境标志产品的，应提供处于有效期之内认证证书等相关证明，在评标时予以优先采购，具体优先采购办法见第3章评标方法和标准。</w:t>
      </w:r>
    </w:p>
    <w:p>
      <w:pPr>
        <w:spacing w:line="360" w:lineRule="auto"/>
        <w:ind w:left="900" w:hanging="900" w:hangingChars="375"/>
        <w:rPr>
          <w:rFonts w:ascii="宋体" w:hAnsi="宋体" w:cs="宋体"/>
          <w:sz w:val="24"/>
        </w:rPr>
      </w:pPr>
      <w:r>
        <w:rPr>
          <w:rFonts w:hint="eastAsia" w:ascii="宋体" w:hAnsi="宋体" w:cs="宋体"/>
          <w:sz w:val="24"/>
        </w:rPr>
        <w:t xml:space="preserve">        如采购人所采购产品为政府强制采购的产品，投标人所投产品应属于品目清单的强制采购部分。投标人应提供有效期内的认证证书，否则其投标将被认定为</w:t>
      </w:r>
      <w:r>
        <w:rPr>
          <w:rFonts w:hint="eastAsia" w:ascii="宋体" w:hAnsi="宋体" w:cs="宋体"/>
          <w:b/>
          <w:sz w:val="24"/>
        </w:rPr>
        <w:t>投标无效</w:t>
      </w:r>
      <w:r>
        <w:rPr>
          <w:rFonts w:hint="eastAsia" w:ascii="宋体" w:hAnsi="宋体" w:cs="宋体"/>
          <w:sz w:val="24"/>
        </w:rPr>
        <w:t>。</w:t>
      </w:r>
    </w:p>
    <w:p>
      <w:pPr>
        <w:spacing w:line="360" w:lineRule="auto"/>
        <w:ind w:left="957" w:leftChars="456" w:firstLine="60" w:firstLineChars="25"/>
        <w:rPr>
          <w:rFonts w:ascii="宋体" w:hAnsi="宋体" w:cs="宋体"/>
          <w:sz w:val="24"/>
        </w:rPr>
      </w:pPr>
      <w:r>
        <w:rPr>
          <w:rFonts w:hint="eastAsia" w:ascii="宋体" w:hAnsi="宋体" w:cs="宋体"/>
          <w:sz w:val="24"/>
        </w:rPr>
        <w:t>如采购人所采购产品属于信息安全产品的，投标人所投产品应为经国家认证的信息安全产品，并提供由中国信息安全认证中心按国家标准认证颁发的有效认证证书，否则其投标将被认定为投标无效。</w:t>
      </w:r>
    </w:p>
    <w:p>
      <w:pPr>
        <w:pStyle w:val="5"/>
        <w:ind w:firstLine="0" w:firstLineChars="0"/>
        <w:jc w:val="both"/>
        <w:rPr>
          <w:rFonts w:asciiTheme="minorEastAsia" w:hAnsiTheme="minorEastAsia" w:eastAsiaTheme="minorEastAsia"/>
          <w:kern w:val="2"/>
          <w:sz w:val="24"/>
          <w:szCs w:val="24"/>
        </w:rPr>
      </w:pPr>
      <w:r>
        <w:rPr>
          <w:rFonts w:asciiTheme="minorEastAsia" w:hAnsiTheme="minorEastAsia" w:eastAsiaTheme="minorEastAsia"/>
          <w:kern w:val="2"/>
          <w:sz w:val="24"/>
          <w:szCs w:val="24"/>
        </w:rPr>
        <w:t>21.    投标偏离</w:t>
      </w:r>
      <w:bookmarkEnd w:id="181"/>
      <w:bookmarkEnd w:id="182"/>
      <w:bookmarkEnd w:id="183"/>
      <w:bookmarkEnd w:id="184"/>
      <w:bookmarkEnd w:id="185"/>
    </w:p>
    <w:p>
      <w:pPr>
        <w:spacing w:line="360" w:lineRule="auto"/>
        <w:ind w:firstLine="840" w:firstLineChars="350"/>
        <w:rPr>
          <w:rFonts w:asciiTheme="minorEastAsia" w:hAnsiTheme="minorEastAsia" w:eastAsiaTheme="minorEastAsia"/>
          <w:sz w:val="24"/>
        </w:rPr>
      </w:pPr>
      <w:r>
        <w:rPr>
          <w:rFonts w:asciiTheme="minorEastAsia" w:hAnsiTheme="minorEastAsia" w:eastAsiaTheme="minorEastAsia"/>
          <w:sz w:val="24"/>
        </w:rPr>
        <w:t>投标文件中存在对招标文件的实质性负偏离，其投标将被认定为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pStyle w:val="5"/>
        <w:ind w:firstLine="0" w:firstLineChars="0"/>
        <w:jc w:val="both"/>
        <w:rPr>
          <w:rFonts w:asciiTheme="minorEastAsia" w:hAnsiTheme="minorEastAsia" w:eastAsiaTheme="minorEastAsia"/>
          <w:sz w:val="24"/>
          <w:szCs w:val="24"/>
        </w:rPr>
      </w:pPr>
      <w:bookmarkStart w:id="186" w:name="_Toc515647783"/>
      <w:bookmarkStart w:id="187" w:name="_Toc532473475"/>
      <w:bookmarkStart w:id="188" w:name="_Toc4950"/>
      <w:bookmarkStart w:id="189" w:name="_Toc6092"/>
      <w:bookmarkStart w:id="190" w:name="_Toc108721116"/>
      <w:r>
        <w:rPr>
          <w:rFonts w:asciiTheme="minorEastAsia" w:hAnsiTheme="minorEastAsia" w:eastAsiaTheme="minorEastAsia"/>
          <w:sz w:val="24"/>
          <w:szCs w:val="24"/>
        </w:rPr>
        <w:t>22.    投标</w:t>
      </w:r>
      <w:bookmarkEnd w:id="186"/>
      <w:r>
        <w:rPr>
          <w:rFonts w:asciiTheme="minorEastAsia" w:hAnsiTheme="minorEastAsia" w:eastAsiaTheme="minorEastAsia"/>
          <w:sz w:val="24"/>
          <w:szCs w:val="24"/>
        </w:rPr>
        <w:t>无效</w:t>
      </w:r>
      <w:bookmarkEnd w:id="187"/>
      <w:bookmarkEnd w:id="188"/>
      <w:bookmarkEnd w:id="189"/>
      <w:bookmarkEnd w:id="190"/>
    </w:p>
    <w:p>
      <w:pPr>
        <w:spacing w:line="360" w:lineRule="auto"/>
        <w:ind w:left="852" w:leftChars="-23" w:hanging="900" w:hangingChars="375"/>
        <w:rPr>
          <w:rFonts w:asciiTheme="minorEastAsia" w:hAnsiTheme="minorEastAsia" w:eastAsiaTheme="minorEastAsia"/>
          <w:sz w:val="24"/>
        </w:rPr>
      </w:pPr>
      <w:r>
        <w:rPr>
          <w:rFonts w:asciiTheme="minorEastAsia" w:hAnsiTheme="minorEastAsia" w:eastAsiaTheme="minorEastAsia"/>
          <w:sz w:val="24"/>
        </w:rPr>
        <w:t>22.1   在比较与评价之前，根据招标文件的规定，评标委员会要审查每份投标文件是否响应了招标文件的要求。投标人不得通过修正或撤销不符合要求的偏离，从而使其投标成为实质上响应的投标。</w:t>
      </w:r>
    </w:p>
    <w:p>
      <w:pPr>
        <w:spacing w:line="360" w:lineRule="auto"/>
        <w:ind w:left="791" w:leftChars="377"/>
        <w:rPr>
          <w:rFonts w:asciiTheme="minorEastAsia" w:hAnsiTheme="minorEastAsia" w:eastAsiaTheme="minorEastAsia"/>
          <w:sz w:val="24"/>
        </w:rPr>
      </w:pPr>
      <w:r>
        <w:rPr>
          <w:rFonts w:asciiTheme="minorEastAsia" w:hAnsiTheme="minorEastAsia" w:eastAsiaTheme="minorEastAsia"/>
          <w:sz w:val="24"/>
        </w:rPr>
        <w:t>评标委员会决定投标的响应性只根据招标文件要求和投标文件内容。</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22.2   如发现下列情况之一的，其投标将被认定为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pPr>
        <w:spacing w:line="360" w:lineRule="auto"/>
        <w:ind w:left="840"/>
        <w:rPr>
          <w:rFonts w:asciiTheme="minorEastAsia" w:hAnsiTheme="minorEastAsia" w:eastAsiaTheme="minorEastAsia"/>
          <w:sz w:val="24"/>
        </w:rPr>
      </w:pPr>
      <w:r>
        <w:rPr>
          <w:rFonts w:asciiTheme="minorEastAsia" w:hAnsiTheme="minorEastAsia" w:eastAsiaTheme="minorEastAsia"/>
          <w:sz w:val="24"/>
        </w:rPr>
        <w:t>（1）未按照招标文件规定要求签署、盖章的；</w:t>
      </w:r>
    </w:p>
    <w:p>
      <w:pPr>
        <w:spacing w:line="360" w:lineRule="auto"/>
        <w:ind w:left="84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）未满足招标文件中商务和技术条款的实质性要求；</w:t>
      </w:r>
    </w:p>
    <w:p>
      <w:pPr>
        <w:spacing w:line="360" w:lineRule="auto"/>
        <w:ind w:left="84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）属于串通投标，或者依法被视为串通投标；</w:t>
      </w:r>
    </w:p>
    <w:p>
      <w:pPr>
        <w:spacing w:line="360" w:lineRule="auto"/>
        <w:ind w:left="84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）评标委员会认为投标人的报价明显低于其他通过符合性审查投标人的报价，有可能影响履约的，且投标人未按照规定证明其报价合理性的；</w:t>
      </w:r>
    </w:p>
    <w:p>
      <w:pPr>
        <w:spacing w:line="360" w:lineRule="auto"/>
        <w:ind w:left="84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）投标文件含有采购人不能接受的附加条件的；</w:t>
      </w:r>
    </w:p>
    <w:p>
      <w:pPr>
        <w:spacing w:line="360" w:lineRule="auto"/>
        <w:ind w:left="84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6</w:t>
      </w:r>
      <w:r>
        <w:rPr>
          <w:rFonts w:asciiTheme="minorEastAsia" w:hAnsiTheme="minorEastAsia" w:eastAsiaTheme="minorEastAsia"/>
          <w:sz w:val="24"/>
        </w:rPr>
        <w:t>）属于招标文件规定的其他投标无效情形；</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7</w:t>
      </w:r>
      <w:r>
        <w:rPr>
          <w:rFonts w:asciiTheme="minorEastAsia" w:hAnsiTheme="minorEastAsia" w:eastAsiaTheme="minorEastAsia"/>
          <w:sz w:val="24"/>
        </w:rPr>
        <w:t>）不符合法规和招标文件中规定的其他实质性要求的。</w:t>
      </w:r>
    </w:p>
    <w:p>
      <w:pPr>
        <w:spacing w:line="360" w:lineRule="auto"/>
        <w:ind w:left="900" w:hanging="900" w:hangingChars="375"/>
        <w:rPr>
          <w:rFonts w:ascii="宋体" w:hAnsi="宋体" w:cs="宋体"/>
          <w:sz w:val="24"/>
        </w:rPr>
      </w:pPr>
      <w:r>
        <w:rPr>
          <w:rFonts w:hint="eastAsia" w:ascii="宋体" w:hAnsi="宋体" w:cs="宋体"/>
          <w:sz w:val="24"/>
        </w:rPr>
        <w:t>22.3</w:t>
      </w:r>
      <w:r>
        <w:rPr>
          <w:rFonts w:hint="eastAsia" w:ascii="宋体" w:hAnsi="宋体" w:cs="宋体"/>
          <w:sz w:val="24"/>
        </w:rPr>
        <w:tab/>
      </w:r>
      <w:r>
        <w:rPr>
          <w:rFonts w:hint="eastAsia" w:ascii="宋体" w:hAnsi="宋体" w:cs="宋体"/>
          <w:sz w:val="24"/>
        </w:rPr>
        <w:t>有下列情形之一的，视为投标人串通投标，其</w:t>
      </w:r>
      <w:r>
        <w:rPr>
          <w:rFonts w:hint="eastAsia" w:ascii="宋体" w:hAnsi="宋体" w:cs="宋体"/>
          <w:b/>
          <w:bCs/>
          <w:sz w:val="24"/>
        </w:rPr>
        <w:t>投标无效</w:t>
      </w:r>
      <w:r>
        <w:rPr>
          <w:rFonts w:hint="eastAsia" w:ascii="宋体" w:hAnsi="宋体" w:cs="宋体"/>
          <w:sz w:val="24"/>
        </w:rPr>
        <w:t>：</w:t>
      </w:r>
    </w:p>
    <w:p>
      <w:pPr>
        <w:numPr>
          <w:ilvl w:val="0"/>
          <w:numId w:val="2"/>
        </w:numPr>
        <w:spacing w:line="360" w:lineRule="auto"/>
        <w:rPr>
          <w:rFonts w:ascii="宋体" w:hAnsi="宋体" w:cs="宋体"/>
          <w:sz w:val="24"/>
        </w:rPr>
      </w:pPr>
      <w:r>
        <w:rPr>
          <w:rFonts w:hint="eastAsia" w:ascii="宋体" w:hAnsi="宋体" w:cs="宋体"/>
          <w:sz w:val="24"/>
        </w:rPr>
        <w:t>不同投标人的投标文件由同一单位或者个人编制；</w:t>
      </w:r>
    </w:p>
    <w:p>
      <w:pPr>
        <w:numPr>
          <w:ilvl w:val="0"/>
          <w:numId w:val="2"/>
        </w:numPr>
        <w:spacing w:line="360" w:lineRule="auto"/>
        <w:rPr>
          <w:rFonts w:ascii="宋体" w:hAnsi="宋体" w:cs="宋体"/>
          <w:sz w:val="24"/>
        </w:rPr>
      </w:pPr>
      <w:r>
        <w:rPr>
          <w:rFonts w:hint="eastAsia" w:ascii="宋体" w:hAnsi="宋体" w:cs="宋体"/>
          <w:sz w:val="24"/>
        </w:rPr>
        <w:t>不同投标人委托同一单位或者个人办理投标事宜；</w:t>
      </w:r>
    </w:p>
    <w:p>
      <w:pPr>
        <w:numPr>
          <w:ilvl w:val="0"/>
          <w:numId w:val="2"/>
        </w:numPr>
        <w:spacing w:line="360" w:lineRule="auto"/>
        <w:rPr>
          <w:rFonts w:ascii="宋体" w:hAnsi="宋体" w:cs="宋体"/>
          <w:sz w:val="24"/>
        </w:rPr>
      </w:pPr>
      <w:r>
        <w:rPr>
          <w:rFonts w:hint="eastAsia" w:ascii="宋体" w:hAnsi="宋体" w:cs="宋体"/>
          <w:sz w:val="24"/>
        </w:rPr>
        <w:t>不同投标人的投标文件载明的项目管理成员或者联系人员为同一人；</w:t>
      </w:r>
    </w:p>
    <w:p>
      <w:pPr>
        <w:numPr>
          <w:ilvl w:val="0"/>
          <w:numId w:val="2"/>
        </w:numPr>
        <w:spacing w:line="360" w:lineRule="auto"/>
        <w:rPr>
          <w:rFonts w:ascii="宋体" w:hAnsi="宋体" w:cs="宋体"/>
          <w:sz w:val="24"/>
        </w:rPr>
      </w:pPr>
      <w:r>
        <w:rPr>
          <w:rFonts w:hint="eastAsia" w:ascii="宋体" w:hAnsi="宋体" w:cs="宋体"/>
          <w:sz w:val="24"/>
        </w:rPr>
        <w:t>不同投标人的投标文件异常一致或者投标报价呈规律性差异；</w:t>
      </w:r>
    </w:p>
    <w:p>
      <w:pPr>
        <w:numPr>
          <w:ilvl w:val="0"/>
          <w:numId w:val="2"/>
        </w:numPr>
        <w:spacing w:line="360" w:lineRule="auto"/>
        <w:rPr>
          <w:rFonts w:ascii="宋体" w:hAnsi="宋体" w:cs="宋体"/>
          <w:sz w:val="24"/>
        </w:rPr>
      </w:pPr>
      <w:r>
        <w:rPr>
          <w:rFonts w:hint="eastAsia" w:ascii="宋体" w:hAnsi="宋体" w:cs="宋体"/>
          <w:sz w:val="24"/>
        </w:rPr>
        <w:t>不同投标人的投标文件相互混装；</w:t>
      </w:r>
    </w:p>
    <w:p>
      <w:pPr>
        <w:spacing w:line="360" w:lineRule="auto"/>
        <w:ind w:left="840"/>
        <w:rPr>
          <w:rFonts w:ascii="宋体" w:hAnsi="宋体" w:cs="宋体"/>
          <w:sz w:val="24"/>
        </w:rPr>
      </w:pPr>
      <w:r>
        <w:rPr>
          <w:rFonts w:hint="eastAsia" w:ascii="宋体" w:hAnsi="宋体" w:cs="宋体"/>
          <w:sz w:val="24"/>
        </w:rPr>
        <w:t>（6）不同投标人的投标保证金从同一单位或者个人的账户转出。</w:t>
      </w:r>
    </w:p>
    <w:bookmarkEnd w:id="180"/>
    <w:p>
      <w:pPr>
        <w:pStyle w:val="5"/>
        <w:ind w:firstLine="0" w:firstLineChars="0"/>
        <w:jc w:val="both"/>
        <w:rPr>
          <w:rFonts w:asciiTheme="minorEastAsia" w:hAnsiTheme="minorEastAsia" w:eastAsiaTheme="minorEastAsia"/>
          <w:sz w:val="24"/>
          <w:szCs w:val="24"/>
        </w:rPr>
      </w:pPr>
      <w:bookmarkStart w:id="191" w:name="_Toc532473476"/>
      <w:bookmarkStart w:id="192" w:name="_Toc515647784"/>
      <w:bookmarkStart w:id="193" w:name="_Toc22941"/>
      <w:bookmarkStart w:id="194" w:name="_Toc108721117"/>
      <w:bookmarkStart w:id="195" w:name="_Toc13652"/>
      <w:r>
        <w:rPr>
          <w:rFonts w:asciiTheme="minorEastAsia" w:hAnsiTheme="minorEastAsia" w:eastAsiaTheme="minorEastAsia"/>
          <w:sz w:val="24"/>
          <w:szCs w:val="24"/>
        </w:rPr>
        <w:t>23.    比较与评价</w:t>
      </w:r>
      <w:bookmarkEnd w:id="191"/>
      <w:bookmarkEnd w:id="192"/>
      <w:bookmarkEnd w:id="193"/>
      <w:bookmarkEnd w:id="194"/>
      <w:bookmarkEnd w:id="195"/>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23.1   经符合性审查合格的投标文件，评标委员会将根据招标文件确定的评标方法和标准，对其技术部分和商务部分作进一步的比较和评价。</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23.2   评标严格按照招标文件的要求和条件进行。根据实际情况，在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中规定采用下列一种评标方法，详细评标标准见招标文件第三章：</w:t>
      </w:r>
    </w:p>
    <w:p>
      <w:pPr>
        <w:pStyle w:val="16"/>
        <w:spacing w:line="360" w:lineRule="auto"/>
        <w:ind w:left="840" w:leftChars="400"/>
        <w:rPr>
          <w:rFonts w:asciiTheme="minorEastAsia" w:hAnsiTheme="minorEastAsia" w:eastAsiaTheme="minorEastAsia"/>
          <w:sz w:val="24"/>
          <w:szCs w:val="24"/>
        </w:rPr>
      </w:pPr>
      <w:r>
        <w:rPr>
          <w:rFonts w:asciiTheme="minorEastAsia" w:hAnsiTheme="minorEastAsia" w:eastAsiaTheme="minorEastAsia"/>
          <w:sz w:val="24"/>
          <w:szCs w:val="24"/>
        </w:rPr>
        <w:t>（1）最低评标价法，是指投标文件满足招标文件全部要求，且投标报价最低的投标人为中标候选人的评标方法。</w:t>
      </w:r>
    </w:p>
    <w:p>
      <w:pPr>
        <w:pStyle w:val="16"/>
        <w:spacing w:line="360" w:lineRule="auto"/>
        <w:ind w:left="840" w:leftChars="400"/>
        <w:rPr>
          <w:rFonts w:asciiTheme="minorEastAsia" w:hAnsiTheme="minorEastAsia" w:eastAsiaTheme="minorEastAsia"/>
          <w:sz w:val="24"/>
          <w:szCs w:val="24"/>
        </w:rPr>
      </w:pPr>
      <w:r>
        <w:rPr>
          <w:rFonts w:asciiTheme="minorEastAsia" w:hAnsiTheme="minorEastAsia" w:eastAsiaTheme="minorEastAsia"/>
          <w:sz w:val="24"/>
          <w:szCs w:val="24"/>
        </w:rPr>
        <w:t>（2）综合评分法，是指投标文件满足招标文件全部要求，且按照评审因素的量</w:t>
      </w:r>
    </w:p>
    <w:p>
      <w:pPr>
        <w:pStyle w:val="16"/>
        <w:spacing w:line="360" w:lineRule="auto"/>
        <w:ind w:left="840" w:leftChars="400"/>
        <w:rPr>
          <w:rFonts w:asciiTheme="minorEastAsia" w:hAnsiTheme="minorEastAsia" w:eastAsiaTheme="minorEastAsia"/>
          <w:sz w:val="24"/>
          <w:szCs w:val="24"/>
        </w:rPr>
      </w:pPr>
      <w:r>
        <w:rPr>
          <w:rFonts w:asciiTheme="minorEastAsia" w:hAnsiTheme="minorEastAsia" w:eastAsiaTheme="minorEastAsia"/>
          <w:sz w:val="24"/>
          <w:szCs w:val="24"/>
        </w:rPr>
        <w:t>化指标评审得分最高的投标人为中标候选人的评标方法。</w:t>
      </w:r>
    </w:p>
    <w:p>
      <w:pPr>
        <w:pStyle w:val="16"/>
        <w:spacing w:line="360" w:lineRule="auto"/>
        <w:ind w:left="900" w:hanging="900" w:hangingChars="375"/>
        <w:rPr>
          <w:rFonts w:asciiTheme="minorEastAsia" w:hAnsiTheme="minorEastAsia" w:eastAsiaTheme="minorEastAsia"/>
          <w:sz w:val="24"/>
          <w:szCs w:val="24"/>
        </w:rPr>
      </w:pPr>
      <w:r>
        <w:rPr>
          <w:rFonts w:asciiTheme="minorEastAsia" w:hAnsiTheme="minorEastAsia" w:eastAsiaTheme="minorEastAsia"/>
          <w:sz w:val="24"/>
          <w:szCs w:val="24"/>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bookmarkStart w:id="196" w:name="sendNo"/>
      <w:r>
        <w:rPr>
          <w:rFonts w:asciiTheme="minorEastAsia" w:hAnsiTheme="minorEastAsia" w:eastAsiaTheme="minorEastAsia"/>
          <w:bCs/>
          <w:sz w:val="24"/>
          <w:szCs w:val="24"/>
        </w:rPr>
        <w:t>财库〔</w:t>
      </w:r>
      <w:bookmarkEnd w:id="196"/>
      <w:r>
        <w:rPr>
          <w:rFonts w:asciiTheme="minorEastAsia" w:hAnsiTheme="minorEastAsia" w:eastAsiaTheme="minorEastAsia"/>
          <w:bCs/>
          <w:sz w:val="24"/>
          <w:szCs w:val="24"/>
        </w:rPr>
        <w:t>2017〕141号</w:t>
      </w:r>
      <w:r>
        <w:rPr>
          <w:rFonts w:asciiTheme="minorEastAsia" w:hAnsiTheme="minorEastAsia" w:eastAsiaTheme="minorEastAsia"/>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asciiTheme="minorEastAsia" w:hAnsiTheme="minorEastAsia" w:eastAsiaTheme="minorEastAsia"/>
          <w:sz w:val="24"/>
        </w:rPr>
        <w:t>其投标报价按规定扣除后参与评审</w:t>
      </w:r>
      <w:r>
        <w:rPr>
          <w:rFonts w:hint="eastAsia" w:asciiTheme="minorEastAsia" w:hAnsiTheme="minorEastAsia" w:eastAsiaTheme="minorEastAsia"/>
          <w:sz w:val="24"/>
          <w:szCs w:val="24"/>
        </w:rPr>
        <w:t>(如为专门面向中小企业的采购项目（或采购包），不执行价格扣除或加分)</w:t>
      </w:r>
      <w:r>
        <w:rPr>
          <w:rFonts w:asciiTheme="minorEastAsia" w:hAnsiTheme="minorEastAsia" w:eastAsiaTheme="minorEastAsia"/>
          <w:sz w:val="24"/>
          <w:szCs w:val="24"/>
        </w:rPr>
        <w:t>。具体办法详见招标文件第三章。</w:t>
      </w:r>
    </w:p>
    <w:p>
      <w:pPr>
        <w:pStyle w:val="16"/>
        <w:spacing w:line="360" w:lineRule="auto"/>
        <w:ind w:left="900" w:hanging="900" w:hangingChars="375"/>
        <w:rPr>
          <w:rFonts w:asciiTheme="minorEastAsia" w:hAnsiTheme="minorEastAsia" w:eastAsiaTheme="minorEastAsia"/>
          <w:sz w:val="24"/>
          <w:szCs w:val="24"/>
        </w:rPr>
      </w:pPr>
      <w:r>
        <w:rPr>
          <w:rFonts w:asciiTheme="minorEastAsia" w:hAnsiTheme="minorEastAsia" w:eastAsiaTheme="minorEastAsia"/>
          <w:sz w:val="24"/>
          <w:szCs w:val="24"/>
        </w:rPr>
        <w:t>23.4   落实其他政府采购政策条款。具体办法详见招标文件第三章。</w:t>
      </w:r>
    </w:p>
    <w:p>
      <w:pPr>
        <w:pStyle w:val="5"/>
        <w:ind w:firstLine="0" w:firstLineChars="0"/>
        <w:jc w:val="both"/>
        <w:rPr>
          <w:rFonts w:asciiTheme="minorEastAsia" w:hAnsiTheme="minorEastAsia" w:eastAsiaTheme="minorEastAsia"/>
          <w:sz w:val="24"/>
          <w:szCs w:val="24"/>
        </w:rPr>
      </w:pPr>
      <w:bookmarkStart w:id="197" w:name="_Toc520356168"/>
      <w:bookmarkStart w:id="198" w:name="_Toc532473477"/>
      <w:bookmarkStart w:id="199" w:name="_Toc108721118"/>
      <w:bookmarkStart w:id="200" w:name="_Toc515647785"/>
      <w:bookmarkStart w:id="201" w:name="_Toc9378"/>
      <w:bookmarkStart w:id="202" w:name="_Toc20227"/>
      <w:r>
        <w:rPr>
          <w:rFonts w:asciiTheme="minorEastAsia" w:hAnsiTheme="minorEastAsia" w:eastAsiaTheme="minorEastAsia"/>
          <w:sz w:val="24"/>
          <w:szCs w:val="24"/>
        </w:rPr>
        <w:t>24</w:t>
      </w:r>
      <w:bookmarkEnd w:id="197"/>
      <w:r>
        <w:rPr>
          <w:rFonts w:asciiTheme="minorEastAsia" w:hAnsiTheme="minorEastAsia" w:eastAsiaTheme="minorEastAsia"/>
          <w:sz w:val="24"/>
          <w:szCs w:val="24"/>
        </w:rPr>
        <w:t>.    废标</w:t>
      </w:r>
      <w:bookmarkEnd w:id="198"/>
      <w:bookmarkEnd w:id="199"/>
      <w:bookmarkEnd w:id="200"/>
      <w:bookmarkEnd w:id="201"/>
      <w:bookmarkEnd w:id="202"/>
    </w:p>
    <w:p>
      <w:pPr>
        <w:spacing w:line="360" w:lineRule="auto"/>
        <w:ind w:left="897" w:leftChars="399" w:hanging="60" w:hangingChars="25"/>
        <w:rPr>
          <w:rFonts w:asciiTheme="minorEastAsia" w:hAnsiTheme="minorEastAsia" w:eastAsiaTheme="minorEastAsia"/>
          <w:sz w:val="24"/>
        </w:rPr>
      </w:pPr>
      <w:r>
        <w:rPr>
          <w:rFonts w:asciiTheme="minorEastAsia" w:hAnsiTheme="minorEastAsia" w:eastAsiaTheme="minorEastAsia"/>
          <w:sz w:val="24"/>
        </w:rPr>
        <w:t>出现下列情形之一，将导致项目废标：</w:t>
      </w:r>
    </w:p>
    <w:p>
      <w:pPr>
        <w:spacing w:line="360" w:lineRule="auto"/>
        <w:ind w:left="837" w:leftChars="399"/>
        <w:rPr>
          <w:rFonts w:asciiTheme="minorEastAsia" w:hAnsiTheme="minorEastAsia" w:eastAsiaTheme="minorEastAsia"/>
          <w:sz w:val="24"/>
        </w:rPr>
      </w:pPr>
      <w:r>
        <w:rPr>
          <w:rFonts w:asciiTheme="minorEastAsia" w:hAnsiTheme="minorEastAsia" w:eastAsiaTheme="minorEastAsia"/>
          <w:sz w:val="24"/>
        </w:rPr>
        <w:t>（1）符合专业条件的供应商或者对招标文件做实质性响应的供应商不足三家；</w:t>
      </w:r>
    </w:p>
    <w:p>
      <w:pPr>
        <w:spacing w:line="360" w:lineRule="auto"/>
        <w:ind w:left="837" w:leftChars="399"/>
        <w:rPr>
          <w:rFonts w:asciiTheme="minorEastAsia" w:hAnsiTheme="minorEastAsia" w:eastAsiaTheme="minorEastAsia"/>
          <w:sz w:val="24"/>
        </w:rPr>
      </w:pPr>
      <w:r>
        <w:rPr>
          <w:rFonts w:asciiTheme="minorEastAsia" w:hAnsiTheme="minorEastAsia" w:eastAsiaTheme="minorEastAsia"/>
          <w:sz w:val="24"/>
        </w:rPr>
        <w:t>（2）出现影响采购公正的违法、违规行为的；</w:t>
      </w:r>
    </w:p>
    <w:p>
      <w:pPr>
        <w:spacing w:line="360" w:lineRule="auto"/>
        <w:ind w:left="837" w:leftChars="399"/>
        <w:rPr>
          <w:rFonts w:asciiTheme="minorEastAsia" w:hAnsiTheme="minorEastAsia" w:eastAsiaTheme="minorEastAsia"/>
          <w:sz w:val="24"/>
        </w:rPr>
      </w:pPr>
      <w:r>
        <w:rPr>
          <w:rFonts w:asciiTheme="minorEastAsia" w:hAnsiTheme="minorEastAsia" w:eastAsiaTheme="minorEastAsia"/>
          <w:sz w:val="24"/>
        </w:rPr>
        <w:t>（3）投标人的报价均超过了采购预算，采购人不能支付的；</w:t>
      </w:r>
    </w:p>
    <w:p>
      <w:pPr>
        <w:spacing w:line="360" w:lineRule="auto"/>
        <w:ind w:left="837" w:leftChars="399"/>
        <w:rPr>
          <w:rFonts w:asciiTheme="minorEastAsia" w:hAnsiTheme="minorEastAsia" w:eastAsiaTheme="minorEastAsia"/>
          <w:sz w:val="24"/>
        </w:rPr>
      </w:pPr>
      <w:r>
        <w:rPr>
          <w:rFonts w:asciiTheme="minorEastAsia" w:hAnsiTheme="minorEastAsia" w:eastAsiaTheme="minorEastAsia"/>
          <w:sz w:val="24"/>
        </w:rPr>
        <w:t>（4）因重大变故，采购任务取消的。</w:t>
      </w:r>
    </w:p>
    <w:p>
      <w:pPr>
        <w:pStyle w:val="5"/>
        <w:ind w:firstLine="0" w:firstLineChars="0"/>
        <w:jc w:val="both"/>
        <w:rPr>
          <w:rFonts w:asciiTheme="minorEastAsia" w:hAnsiTheme="minorEastAsia" w:eastAsiaTheme="minorEastAsia"/>
          <w:sz w:val="24"/>
          <w:szCs w:val="24"/>
        </w:rPr>
      </w:pPr>
      <w:bookmarkStart w:id="203" w:name="_Toc515647786"/>
      <w:bookmarkStart w:id="204" w:name="_Toc31289"/>
      <w:bookmarkStart w:id="205" w:name="_Toc24972"/>
      <w:bookmarkStart w:id="206" w:name="_Toc532473478"/>
      <w:bookmarkStart w:id="207" w:name="_Toc108721119"/>
      <w:bookmarkStart w:id="208" w:name="_Toc520356169"/>
      <w:r>
        <w:rPr>
          <w:rFonts w:asciiTheme="minorEastAsia" w:hAnsiTheme="minorEastAsia" w:eastAsiaTheme="minorEastAsia"/>
          <w:sz w:val="24"/>
          <w:szCs w:val="24"/>
        </w:rPr>
        <w:t>25.    保密</w:t>
      </w:r>
      <w:bookmarkEnd w:id="203"/>
      <w:bookmarkEnd w:id="204"/>
      <w:bookmarkEnd w:id="205"/>
      <w:r>
        <w:rPr>
          <w:rFonts w:asciiTheme="minorEastAsia" w:hAnsiTheme="minorEastAsia" w:eastAsiaTheme="minorEastAsia"/>
          <w:sz w:val="24"/>
          <w:szCs w:val="24"/>
        </w:rPr>
        <w:t>要求</w:t>
      </w:r>
      <w:bookmarkEnd w:id="206"/>
      <w:bookmarkEnd w:id="207"/>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25.1   评标将在严格保密的情况下进行。</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25.2   有关人员应当遵守评标工作纪律，不得泄露评标文件、评标情况和评标中获悉的国家秘密、商业秘密。</w:t>
      </w:r>
    </w:p>
    <w:p>
      <w:pPr>
        <w:pStyle w:val="4"/>
        <w:rPr>
          <w:rFonts w:asciiTheme="minorEastAsia" w:hAnsiTheme="minorEastAsia" w:eastAsiaTheme="minorEastAsia"/>
          <w:sz w:val="28"/>
          <w:szCs w:val="18"/>
        </w:rPr>
      </w:pPr>
      <w:bookmarkStart w:id="209" w:name="_Toc108721120"/>
      <w:bookmarkStart w:id="210" w:name="_Toc23904"/>
      <w:bookmarkStart w:id="211" w:name="_Toc515647787"/>
      <w:bookmarkStart w:id="212" w:name="_Toc12143"/>
      <w:bookmarkStart w:id="213" w:name="_Toc532473479"/>
      <w:bookmarkStart w:id="214" w:name="_Toc216582810"/>
      <w:r>
        <w:rPr>
          <w:rFonts w:asciiTheme="minorEastAsia" w:hAnsiTheme="minorEastAsia" w:eastAsiaTheme="minorEastAsia"/>
          <w:sz w:val="28"/>
          <w:szCs w:val="18"/>
        </w:rPr>
        <w:t>六</w:t>
      </w:r>
      <w:bookmarkEnd w:id="208"/>
      <w:r>
        <w:rPr>
          <w:rFonts w:asciiTheme="minorEastAsia" w:hAnsiTheme="minorEastAsia" w:eastAsiaTheme="minorEastAsia"/>
          <w:sz w:val="28"/>
          <w:szCs w:val="18"/>
        </w:rPr>
        <w:t>、确定中标</w:t>
      </w:r>
      <w:bookmarkEnd w:id="209"/>
      <w:bookmarkEnd w:id="210"/>
      <w:bookmarkEnd w:id="211"/>
      <w:bookmarkEnd w:id="212"/>
      <w:bookmarkEnd w:id="213"/>
      <w:bookmarkEnd w:id="214"/>
    </w:p>
    <w:p>
      <w:pPr>
        <w:pStyle w:val="5"/>
        <w:ind w:firstLine="0" w:firstLineChars="0"/>
        <w:jc w:val="both"/>
        <w:rPr>
          <w:rFonts w:asciiTheme="minorEastAsia" w:hAnsiTheme="minorEastAsia" w:eastAsiaTheme="minorEastAsia"/>
          <w:sz w:val="24"/>
          <w:szCs w:val="24"/>
        </w:rPr>
      </w:pPr>
      <w:bookmarkStart w:id="215" w:name="_Toc532473480"/>
      <w:bookmarkStart w:id="216" w:name="_Ref467307010"/>
      <w:bookmarkStart w:id="217" w:name="_Toc108721121"/>
      <w:bookmarkStart w:id="218" w:name="_Toc520356170"/>
      <w:bookmarkStart w:id="219" w:name="_Toc23762"/>
      <w:bookmarkStart w:id="220" w:name="_Toc515647788"/>
      <w:bookmarkStart w:id="221" w:name="_Toc23617"/>
      <w:r>
        <w:rPr>
          <w:rFonts w:asciiTheme="minorEastAsia" w:hAnsiTheme="minorEastAsia" w:eastAsiaTheme="minorEastAsia"/>
          <w:sz w:val="24"/>
          <w:szCs w:val="24"/>
        </w:rPr>
        <w:t>26.    中标候选人的确定原则及标准</w:t>
      </w:r>
      <w:bookmarkEnd w:id="215"/>
      <w:bookmarkEnd w:id="216"/>
      <w:bookmarkEnd w:id="217"/>
      <w:bookmarkEnd w:id="218"/>
      <w:bookmarkEnd w:id="219"/>
      <w:bookmarkEnd w:id="220"/>
      <w:bookmarkEnd w:id="221"/>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除评标委员会受采购人委托直接确定中标人的情形外，对实质上响应招标文件的投标人按下列方法进行排序，确定中标候选人：</w:t>
      </w:r>
    </w:p>
    <w:p>
      <w:pPr>
        <w:spacing w:line="360" w:lineRule="auto"/>
        <w:ind w:left="840" w:leftChars="400"/>
        <w:rPr>
          <w:rFonts w:asciiTheme="minorEastAsia" w:hAnsiTheme="minorEastAsia" w:eastAsiaTheme="minorEastAsia"/>
          <w:sz w:val="24"/>
        </w:rPr>
      </w:pPr>
      <w:bookmarkStart w:id="222" w:name="_Toc520356171"/>
      <w:bookmarkStart w:id="223" w:name="_Toc515647789"/>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（2）采用综合评分法的，评标结果按评审后得分由高到低顺序排列。得分相同的，按修正和扣除后的投标报价由低到高顺序排列。得分与投标报价均相同的处理方式详见招标文件第三章。</w:t>
      </w:r>
    </w:p>
    <w:p>
      <w:pPr>
        <w:pStyle w:val="5"/>
        <w:ind w:left="843" w:hanging="840" w:hangingChars="350"/>
        <w:jc w:val="both"/>
        <w:rPr>
          <w:rFonts w:asciiTheme="minorEastAsia" w:hAnsiTheme="minorEastAsia" w:eastAsiaTheme="minorEastAsia"/>
          <w:sz w:val="24"/>
          <w:szCs w:val="24"/>
        </w:rPr>
      </w:pPr>
      <w:bookmarkStart w:id="224" w:name="_Toc23951"/>
      <w:bookmarkStart w:id="225" w:name="_Toc9653"/>
      <w:bookmarkStart w:id="226" w:name="_Toc532473481"/>
      <w:bookmarkStart w:id="227" w:name="_Toc108721122"/>
      <w:r>
        <w:rPr>
          <w:rFonts w:asciiTheme="minorEastAsia" w:hAnsiTheme="minorEastAsia" w:eastAsiaTheme="minorEastAsia"/>
          <w:sz w:val="24"/>
          <w:szCs w:val="24"/>
        </w:rPr>
        <w:t>27</w:t>
      </w:r>
      <w:bookmarkEnd w:id="222"/>
      <w:r>
        <w:rPr>
          <w:rFonts w:asciiTheme="minorEastAsia" w:hAnsiTheme="minorEastAsia" w:eastAsiaTheme="minorEastAsia"/>
          <w:sz w:val="24"/>
          <w:szCs w:val="24"/>
        </w:rPr>
        <w:t>.</w:t>
      </w:r>
      <w:bookmarkEnd w:id="223"/>
      <w:bookmarkEnd w:id="224"/>
      <w:bookmarkEnd w:id="225"/>
      <w:bookmarkEnd w:id="226"/>
      <w:r>
        <w:rPr>
          <w:rFonts w:asciiTheme="minorEastAsia" w:hAnsiTheme="minorEastAsia" w:eastAsiaTheme="minorEastAsia"/>
          <w:sz w:val="24"/>
          <w:szCs w:val="24"/>
        </w:rPr>
        <w:t xml:space="preserve">    确定中标候选人和中标人</w:t>
      </w:r>
      <w:bookmarkEnd w:id="227"/>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27.1   评标委员会将根据评标标准，按</w:t>
      </w:r>
      <w:r>
        <w:rPr>
          <w:rFonts w:asciiTheme="minorEastAsia" w:hAnsiTheme="minorEastAsia" w:eastAsiaTheme="minorEastAsia"/>
          <w:sz w:val="24"/>
          <w:u w:val="single"/>
        </w:rPr>
        <w:t>投标人须知前附表</w:t>
      </w:r>
      <w:r>
        <w:rPr>
          <w:rFonts w:asciiTheme="minorEastAsia" w:hAnsiTheme="minorEastAsia" w:eastAsiaTheme="minorEastAsia"/>
          <w:sz w:val="24"/>
        </w:rPr>
        <w:t>中规定数量推荐中标候选人。</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27.2   按</w:t>
      </w:r>
      <w:r>
        <w:rPr>
          <w:rFonts w:asciiTheme="minorEastAsia" w:hAnsiTheme="minorEastAsia" w:eastAsiaTheme="minorEastAsia"/>
          <w:sz w:val="24"/>
          <w:u w:val="single"/>
        </w:rPr>
        <w:t>投标人须知前附表</w:t>
      </w:r>
      <w:r>
        <w:rPr>
          <w:rFonts w:asciiTheme="minorEastAsia" w:hAnsiTheme="minorEastAsia" w:eastAsiaTheme="minorEastAsia"/>
          <w:sz w:val="24"/>
        </w:rPr>
        <w:t>中规定，由评标委员会直接确定中标人。</w:t>
      </w:r>
    </w:p>
    <w:p>
      <w:pPr>
        <w:pStyle w:val="5"/>
        <w:ind w:firstLine="0" w:firstLineChars="0"/>
        <w:jc w:val="both"/>
        <w:rPr>
          <w:rFonts w:asciiTheme="minorEastAsia" w:hAnsiTheme="minorEastAsia" w:eastAsiaTheme="minorEastAsia"/>
          <w:sz w:val="24"/>
          <w:szCs w:val="24"/>
        </w:rPr>
      </w:pPr>
      <w:bookmarkStart w:id="228" w:name="_Toc108721123"/>
      <w:bookmarkStart w:id="229" w:name="_Toc532473483"/>
      <w:bookmarkStart w:id="230" w:name="_Toc515647791"/>
      <w:bookmarkStart w:id="231" w:name="_Toc520356174"/>
      <w:bookmarkStart w:id="232" w:name="_Toc30170"/>
      <w:bookmarkStart w:id="233" w:name="_Toc31099"/>
      <w:r>
        <w:rPr>
          <w:rFonts w:asciiTheme="minorEastAsia" w:hAnsiTheme="minorEastAsia" w:eastAsiaTheme="minorEastAsia"/>
          <w:sz w:val="24"/>
          <w:szCs w:val="24"/>
        </w:rPr>
        <w:t>28.    发出中标通知书</w:t>
      </w:r>
      <w:bookmarkEnd w:id="228"/>
    </w:p>
    <w:p>
      <w:pPr>
        <w:spacing w:line="360" w:lineRule="auto"/>
        <w:ind w:left="831" w:leftChars="396" w:firstLine="7"/>
        <w:rPr>
          <w:rFonts w:asciiTheme="minorEastAsia" w:hAnsiTheme="minorEastAsia" w:eastAsiaTheme="minorEastAsia"/>
          <w:sz w:val="24"/>
        </w:rPr>
      </w:pPr>
      <w:r>
        <w:rPr>
          <w:rFonts w:asciiTheme="minorEastAsia" w:hAnsiTheme="minorEastAsia" w:eastAsiaTheme="minorEastAsia"/>
          <w:sz w:val="24"/>
        </w:rPr>
        <w:t>在投标有效期内，中标人确定后，采购人或者采购代理机构发布中标公告。在公告中标结果的同时，向中标人发出中标通知书，中标通知书是合同的组成部分。</w:t>
      </w:r>
    </w:p>
    <w:p>
      <w:pPr>
        <w:pStyle w:val="5"/>
        <w:ind w:firstLine="0" w:firstLineChars="0"/>
        <w:jc w:val="both"/>
        <w:rPr>
          <w:rFonts w:asciiTheme="minorEastAsia" w:hAnsiTheme="minorEastAsia" w:eastAsiaTheme="minorEastAsia"/>
          <w:sz w:val="24"/>
          <w:szCs w:val="24"/>
        </w:rPr>
      </w:pPr>
      <w:bookmarkStart w:id="234" w:name="_Toc108721124"/>
      <w:r>
        <w:rPr>
          <w:rFonts w:asciiTheme="minorEastAsia" w:hAnsiTheme="minorEastAsia" w:eastAsiaTheme="minorEastAsia"/>
          <w:sz w:val="24"/>
          <w:szCs w:val="24"/>
        </w:rPr>
        <w:t>29.    告知招标结果</w:t>
      </w:r>
      <w:bookmarkEnd w:id="234"/>
    </w:p>
    <w:p>
      <w:pPr>
        <w:pStyle w:val="16"/>
        <w:spacing w:line="360" w:lineRule="auto"/>
        <w:ind w:left="854" w:leftChars="400" w:hanging="14" w:hangingChars="6"/>
        <w:rPr>
          <w:rFonts w:asciiTheme="minorEastAsia" w:hAnsiTheme="minorEastAsia" w:eastAsiaTheme="minorEastAsia"/>
          <w:sz w:val="24"/>
        </w:rPr>
      </w:pPr>
      <w:r>
        <w:rPr>
          <w:rFonts w:asciiTheme="minorEastAsia" w:hAnsiTheme="minorEastAsia" w:eastAsiaTheme="minorEastAsia"/>
          <w:sz w:val="24"/>
        </w:rPr>
        <w:t>在公告中标结果的同时，告知未通过资格审查投标人未通过的原因；采用综合评分法评审的，还将告知未中标人本人的评审得分和排序。</w:t>
      </w:r>
      <w:bookmarkEnd w:id="229"/>
      <w:bookmarkEnd w:id="230"/>
      <w:bookmarkEnd w:id="231"/>
      <w:bookmarkEnd w:id="232"/>
      <w:bookmarkEnd w:id="233"/>
    </w:p>
    <w:p>
      <w:pPr>
        <w:pStyle w:val="5"/>
        <w:ind w:firstLine="0" w:firstLineChars="0"/>
        <w:jc w:val="both"/>
        <w:rPr>
          <w:rFonts w:asciiTheme="minorEastAsia" w:hAnsiTheme="minorEastAsia" w:eastAsiaTheme="minorEastAsia"/>
          <w:sz w:val="24"/>
          <w:szCs w:val="24"/>
        </w:rPr>
      </w:pPr>
      <w:bookmarkStart w:id="235" w:name="_Toc515647792"/>
      <w:bookmarkStart w:id="236" w:name="_Ref467306377"/>
      <w:bookmarkStart w:id="237" w:name="_Toc7779"/>
      <w:bookmarkStart w:id="238" w:name="_Toc790"/>
      <w:bookmarkStart w:id="239" w:name="_Ref467307204"/>
      <w:bookmarkStart w:id="240" w:name="_Ref467306978"/>
      <w:bookmarkStart w:id="241" w:name="_Toc108721125"/>
      <w:bookmarkStart w:id="242" w:name="_Toc532473484"/>
      <w:bookmarkStart w:id="243" w:name="_Toc520356175"/>
      <w:bookmarkStart w:id="244" w:name="_Ref467307062"/>
      <w:r>
        <w:rPr>
          <w:rFonts w:asciiTheme="minorEastAsia" w:hAnsiTheme="minorEastAsia" w:eastAsiaTheme="minorEastAsia"/>
          <w:sz w:val="24"/>
          <w:szCs w:val="24"/>
        </w:rPr>
        <w:t>30.    签订合同</w:t>
      </w:r>
      <w:bookmarkEnd w:id="235"/>
      <w:bookmarkEnd w:id="236"/>
      <w:bookmarkEnd w:id="237"/>
      <w:bookmarkEnd w:id="238"/>
      <w:bookmarkEnd w:id="239"/>
      <w:bookmarkEnd w:id="240"/>
      <w:bookmarkEnd w:id="241"/>
      <w:bookmarkEnd w:id="242"/>
      <w:bookmarkEnd w:id="243"/>
      <w:bookmarkEnd w:id="244"/>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30.1   中标人应当自发出中标通知书之日起30日内，与采购人签订合同。</w:t>
      </w:r>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30</w:t>
      </w:r>
      <w:bookmarkStart w:id="245" w:name="_Ref467307090"/>
      <w:bookmarkStart w:id="246" w:name="_Ref467306425"/>
      <w:bookmarkStart w:id="247" w:name="_Toc520356176"/>
      <w:r>
        <w:rPr>
          <w:rFonts w:asciiTheme="minorEastAsia" w:hAnsiTheme="minorEastAsia" w:eastAsiaTheme="minorEastAsia"/>
          <w:sz w:val="24"/>
        </w:rPr>
        <w:t>.2   招标文件、中标人的投标文件及其澄清文件等，均为签订合同的依据。</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30.3   如中标人拒绝与采购人签订合同的，采购人或者采购代理机构可以不退还其投标保证金，并上报行政监督管理部门记入不良行为记录；采购人可以按照评标报告推荐的中标候选人排序，确定下一中标候选人为中标人，也可以重新开展采购活动。</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30.4   当出现法规规定的中标无效或中标结果无效情形时，采购人可与排名下一位的中标候选人另行签订合同，或依法重新开展采购活动。</w:t>
      </w:r>
    </w:p>
    <w:p>
      <w:pPr>
        <w:pStyle w:val="5"/>
        <w:ind w:firstLine="0" w:firstLineChars="0"/>
        <w:rPr>
          <w:rFonts w:asciiTheme="minorEastAsia" w:hAnsiTheme="minorEastAsia" w:eastAsiaTheme="minorEastAsia"/>
          <w:sz w:val="24"/>
          <w:szCs w:val="24"/>
        </w:rPr>
      </w:pPr>
      <w:bookmarkStart w:id="248" w:name="_Toc515647793"/>
      <w:bookmarkStart w:id="249" w:name="_Toc532473485"/>
      <w:bookmarkStart w:id="250" w:name="_Toc14080"/>
      <w:bookmarkStart w:id="251" w:name="_Toc108721126"/>
      <w:bookmarkStart w:id="252" w:name="_Toc22555"/>
      <w:r>
        <w:rPr>
          <w:rFonts w:asciiTheme="minorEastAsia" w:hAnsiTheme="minorEastAsia" w:eastAsiaTheme="minorEastAsia"/>
          <w:sz w:val="24"/>
          <w:szCs w:val="24"/>
        </w:rPr>
        <w:t>31.    履约保证金</w:t>
      </w:r>
      <w:bookmarkEnd w:id="245"/>
      <w:bookmarkEnd w:id="246"/>
      <w:bookmarkEnd w:id="247"/>
      <w:bookmarkEnd w:id="248"/>
      <w:bookmarkEnd w:id="249"/>
      <w:bookmarkEnd w:id="250"/>
      <w:bookmarkEnd w:id="251"/>
      <w:bookmarkEnd w:id="252"/>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31.1   如果需要履约保证金，中标人应按照</w:t>
      </w:r>
      <w:r>
        <w:rPr>
          <w:rFonts w:asciiTheme="minorEastAsia" w:hAnsiTheme="minorEastAsia" w:eastAsiaTheme="minorEastAsia"/>
          <w:sz w:val="24"/>
          <w:u w:val="single"/>
        </w:rPr>
        <w:t>投标人须知前附表</w:t>
      </w:r>
      <w:r>
        <w:rPr>
          <w:rFonts w:asciiTheme="minorEastAsia" w:hAnsiTheme="minorEastAsia" w:eastAsiaTheme="minorEastAsia"/>
          <w:sz w:val="24"/>
        </w:rPr>
        <w:t>规定向采购人提交履约保证金保函（如格式见本章附件2）。经采购人同意，中标人也可以自愿采用其他履约保证金的提供方式。</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31.2   政府采购利用担保试点范围内的项目，除31.1规定的情形外，中标人也可以按照财政部门的规定，向采购人提供合格的履约担保函。</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pPr>
        <w:pStyle w:val="5"/>
        <w:ind w:firstLine="0" w:firstLineChars="0"/>
        <w:rPr>
          <w:rFonts w:asciiTheme="minorEastAsia" w:hAnsiTheme="minorEastAsia" w:eastAsiaTheme="minorEastAsia"/>
          <w:sz w:val="24"/>
          <w:szCs w:val="24"/>
        </w:rPr>
      </w:pPr>
      <w:bookmarkStart w:id="253" w:name="_Toc518923098"/>
      <w:bookmarkStart w:id="254" w:name="_Toc108721127"/>
      <w:bookmarkStart w:id="255" w:name="_Toc2583659"/>
      <w:bookmarkStart w:id="256" w:name="_Toc532473486"/>
      <w:bookmarkStart w:id="257" w:name="_Toc2582300"/>
      <w:bookmarkStart w:id="258" w:name="_Toc3090"/>
      <w:bookmarkStart w:id="259" w:name="_Toc29408"/>
      <w:bookmarkStart w:id="260" w:name="_Toc515647794"/>
      <w:r>
        <w:rPr>
          <w:rFonts w:asciiTheme="minorEastAsia" w:hAnsiTheme="minorEastAsia" w:eastAsiaTheme="minorEastAsia"/>
          <w:sz w:val="24"/>
          <w:szCs w:val="24"/>
        </w:rPr>
        <w:t>32.</w:t>
      </w:r>
      <w:bookmarkEnd w:id="253"/>
      <w:r>
        <w:rPr>
          <w:rFonts w:asciiTheme="minorEastAsia" w:hAnsiTheme="minorEastAsia" w:eastAsiaTheme="minorEastAsia"/>
          <w:sz w:val="24"/>
          <w:szCs w:val="24"/>
        </w:rPr>
        <w:t xml:space="preserve">    预付款</w:t>
      </w:r>
      <w:bookmarkEnd w:id="254"/>
      <w:r>
        <w:rPr>
          <w:rFonts w:hint="eastAsia" w:asciiTheme="minorEastAsia" w:hAnsiTheme="minorEastAsia" w:eastAsiaTheme="minorEastAsia"/>
          <w:sz w:val="24"/>
          <w:szCs w:val="24"/>
        </w:rPr>
        <w:t>（如有）</w:t>
      </w:r>
    </w:p>
    <w:p>
      <w:pPr>
        <w:spacing w:line="360" w:lineRule="auto"/>
        <w:ind w:left="847" w:hanging="847" w:hangingChars="353"/>
        <w:rPr>
          <w:rFonts w:asciiTheme="minorEastAsia" w:hAnsiTheme="minorEastAsia" w:eastAsiaTheme="minorEastAsia"/>
          <w:sz w:val="24"/>
        </w:rPr>
      </w:pPr>
      <w:r>
        <w:rPr>
          <w:rFonts w:asciiTheme="minorEastAsia" w:hAnsiTheme="minorEastAsia" w:eastAsiaTheme="minorEastAsia"/>
          <w:sz w:val="24"/>
        </w:rPr>
        <w:t>32.1   预付款是在指政府采购合同签订后、履行前，采购人向中标人预先支付部分合同款项，预付款比例按照投标人须知前附表规定执行。</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pacing w:line="360" w:lineRule="auto"/>
        <w:ind w:left="850" w:hanging="849" w:hangingChars="354"/>
        <w:rPr>
          <w:rFonts w:asciiTheme="minorEastAsia" w:hAnsiTheme="minorEastAsia" w:eastAsiaTheme="minorEastAsia"/>
          <w:sz w:val="24"/>
          <w:u w:val="single"/>
        </w:rPr>
      </w:pPr>
      <w:r>
        <w:rPr>
          <w:rFonts w:asciiTheme="minorEastAsia" w:hAnsiTheme="minorEastAsia" w:eastAsiaTheme="minorEastAsia"/>
          <w:sz w:val="24"/>
        </w:rPr>
        <w:t>32.3   本项目采购人不需要支付预付款的情形，见</w:t>
      </w:r>
      <w:r>
        <w:rPr>
          <w:rFonts w:asciiTheme="minorEastAsia" w:hAnsiTheme="minorEastAsia" w:eastAsiaTheme="minorEastAsia"/>
          <w:sz w:val="24"/>
          <w:u w:val="single"/>
        </w:rPr>
        <w:t>投标人须知前附表。</w:t>
      </w:r>
    </w:p>
    <w:p>
      <w:pPr>
        <w:pStyle w:val="5"/>
        <w:ind w:firstLine="0" w:firstLineChars="0"/>
        <w:rPr>
          <w:rFonts w:asciiTheme="minorEastAsia" w:hAnsiTheme="minorEastAsia" w:eastAsiaTheme="minorEastAsia"/>
          <w:sz w:val="24"/>
          <w:szCs w:val="24"/>
        </w:rPr>
      </w:pPr>
      <w:bookmarkStart w:id="261" w:name="_Toc108721128"/>
      <w:r>
        <w:rPr>
          <w:rFonts w:asciiTheme="minorEastAsia" w:hAnsiTheme="minorEastAsia" w:eastAsiaTheme="minorEastAsia"/>
          <w:sz w:val="24"/>
          <w:szCs w:val="24"/>
        </w:rPr>
        <w:t>33.    招标代理服务费</w:t>
      </w:r>
      <w:bookmarkEnd w:id="255"/>
      <w:bookmarkEnd w:id="261"/>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本项目向采购代理机构支付招标代理服务费，按照</w:t>
      </w:r>
      <w:r>
        <w:rPr>
          <w:rFonts w:asciiTheme="minorEastAsia" w:hAnsiTheme="minorEastAsia" w:eastAsiaTheme="minorEastAsia"/>
          <w:sz w:val="24"/>
          <w:u w:val="single"/>
        </w:rPr>
        <w:t>投标人须知前附表</w:t>
      </w:r>
      <w:r>
        <w:rPr>
          <w:rFonts w:asciiTheme="minorEastAsia" w:hAnsiTheme="minorEastAsia" w:eastAsiaTheme="minorEastAsia"/>
          <w:sz w:val="24"/>
        </w:rPr>
        <w:t>规定执行。</w:t>
      </w:r>
    </w:p>
    <w:p>
      <w:pPr>
        <w:pStyle w:val="5"/>
        <w:ind w:firstLine="0" w:firstLineChars="0"/>
        <w:rPr>
          <w:rFonts w:asciiTheme="minorEastAsia" w:hAnsiTheme="minorEastAsia" w:eastAsiaTheme="minorEastAsia"/>
          <w:sz w:val="24"/>
          <w:szCs w:val="24"/>
        </w:rPr>
      </w:pPr>
      <w:bookmarkStart w:id="262" w:name="_Toc518923099"/>
      <w:bookmarkStart w:id="263" w:name="_Toc2583660"/>
      <w:bookmarkStart w:id="264" w:name="_Toc108721129"/>
      <w:r>
        <w:rPr>
          <w:rFonts w:asciiTheme="minorEastAsia" w:hAnsiTheme="minorEastAsia" w:eastAsiaTheme="minorEastAsia"/>
          <w:sz w:val="24"/>
          <w:szCs w:val="24"/>
        </w:rPr>
        <w:t>34.    政府采购信用担保</w:t>
      </w:r>
      <w:bookmarkEnd w:id="262"/>
      <w:bookmarkEnd w:id="263"/>
      <w:r>
        <w:rPr>
          <w:rFonts w:asciiTheme="minorEastAsia" w:hAnsiTheme="minorEastAsia" w:eastAsiaTheme="minorEastAsia"/>
          <w:sz w:val="24"/>
          <w:szCs w:val="24"/>
        </w:rPr>
        <w:t>及融资</w:t>
      </w:r>
      <w:bookmarkEnd w:id="264"/>
    </w:p>
    <w:p>
      <w:pPr>
        <w:spacing w:line="360" w:lineRule="auto"/>
        <w:ind w:left="900" w:hanging="900" w:hangingChars="375"/>
        <w:rPr>
          <w:rFonts w:asciiTheme="minorEastAsia" w:hAnsiTheme="minorEastAsia" w:eastAsiaTheme="minorEastAsia"/>
          <w:sz w:val="24"/>
        </w:rPr>
      </w:pPr>
      <w:r>
        <w:rPr>
          <w:rFonts w:asciiTheme="minorEastAsia" w:hAnsiTheme="minorEastAsia" w:eastAsiaTheme="minorEastAsia"/>
          <w:sz w:val="24"/>
        </w:rPr>
        <w:t>34.1   投标人递交的履约担保函应符合本招标文件的规定。</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34.2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Theme="minorEastAsia" w:hAnsiTheme="minorEastAsia" w:eastAsiaTheme="minorEastAsia"/>
          <w:sz w:val="24"/>
        </w:rPr>
        <w:t>（http://www.ccgp-shaanxi.gov.cn/zcdservice/zcd/shanxi/）</w:t>
      </w:r>
      <w:r>
        <w:rPr>
          <w:rFonts w:asciiTheme="minorEastAsia" w:hAnsiTheme="minorEastAsia" w:eastAsiaTheme="minorEastAsia"/>
          <w:sz w:val="24"/>
        </w:rPr>
        <w:t>”了解详情。</w:t>
      </w:r>
    </w:p>
    <w:p>
      <w:pPr>
        <w:pStyle w:val="12"/>
        <w:spacing w:line="360" w:lineRule="auto"/>
        <w:ind w:left="840" w:leftChars="400"/>
        <w:rPr>
          <w:rFonts w:asciiTheme="minorEastAsia" w:hAnsiTheme="minorEastAsia" w:eastAsiaTheme="minorEastAsia"/>
        </w:rPr>
      </w:pPr>
      <w:r>
        <w:rPr>
          <w:rFonts w:hint="eastAsia" w:asciiTheme="minorEastAsia" w:hAnsiTheme="minorEastAsia" w:eastAsiaTheme="minorEastAsi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12"/>
        <w:spacing w:line="360" w:lineRule="auto"/>
        <w:ind w:left="840" w:leftChars="400"/>
        <w:rPr>
          <w:rFonts w:asciiTheme="minorEastAsia" w:hAnsiTheme="minorEastAsia" w:eastAsiaTheme="minorEastAsia"/>
        </w:rPr>
      </w:pPr>
      <w:r>
        <w:rPr>
          <w:rFonts w:asciiTheme="minorEastAsia" w:hAnsiTheme="minorEastAsia" w:eastAsiaTheme="minorEastAsi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12"/>
        <w:spacing w:line="360" w:lineRule="auto"/>
        <w:ind w:left="840" w:leftChars="400"/>
        <w:rPr>
          <w:rFonts w:asciiTheme="minorEastAsia" w:hAnsiTheme="minorEastAsia" w:eastAsiaTheme="minorEastAsia"/>
        </w:rPr>
      </w:pPr>
      <w:r>
        <w:rPr>
          <w:rFonts w:asciiTheme="minorEastAsia" w:hAnsiTheme="minorEastAsia" w:eastAsiaTheme="minorEastAsi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12"/>
        <w:spacing w:line="360" w:lineRule="auto"/>
        <w:ind w:left="840" w:leftChars="400"/>
        <w:rPr>
          <w:rFonts w:asciiTheme="minorEastAsia" w:hAnsiTheme="minorEastAsia" w:eastAsiaTheme="minorEastAsia"/>
        </w:rPr>
      </w:pPr>
      <w:r>
        <w:rPr>
          <w:rFonts w:asciiTheme="minorEastAsia" w:hAnsiTheme="minorEastAsia" w:eastAsiaTheme="minorEastAsi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12"/>
        <w:spacing w:line="360" w:lineRule="auto"/>
        <w:ind w:left="840" w:leftChars="400"/>
        <w:rPr>
          <w:rFonts w:asciiTheme="minorEastAsia" w:hAnsiTheme="minorEastAsia" w:eastAsiaTheme="minorEastAsia"/>
        </w:rPr>
      </w:pPr>
      <w:r>
        <w:rPr>
          <w:rFonts w:asciiTheme="minorEastAsia" w:hAnsiTheme="minorEastAsia" w:eastAsiaTheme="minorEastAsi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12"/>
        <w:spacing w:line="360" w:lineRule="auto"/>
        <w:ind w:left="840" w:leftChars="400"/>
        <w:rPr>
          <w:rFonts w:asciiTheme="minorEastAsia" w:hAnsiTheme="minorEastAsia" w:eastAsiaTheme="minorEastAsia"/>
        </w:rPr>
      </w:pPr>
      <w:r>
        <w:rPr>
          <w:rFonts w:hint="eastAsia" w:asciiTheme="minorEastAsia" w:hAnsiTheme="minorEastAsia" w:eastAsiaTheme="minorEastAsia"/>
        </w:rPr>
        <w:t>业务流程简图如下：</w:t>
      </w:r>
    </w:p>
    <w:p>
      <w:pPr>
        <w:pStyle w:val="12"/>
        <w:spacing w:line="360" w:lineRule="auto"/>
        <w:ind w:left="840" w:leftChars="400"/>
        <w:rPr>
          <w:rFonts w:asciiTheme="minorEastAsia" w:hAnsiTheme="minorEastAsia" w:eastAsiaTheme="minorEastAsia"/>
        </w:rPr>
      </w:pPr>
      <w:r>
        <w:rPr>
          <w:rFonts w:asciiTheme="minorEastAsia" w:hAnsiTheme="minorEastAsia" w:eastAsiaTheme="minorEastAsia"/>
        </w:rPr>
        <w:drawing>
          <wp:inline distT="0" distB="0" distL="0" distR="0">
            <wp:extent cx="5752465" cy="330644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52465" cy="3306445"/>
                    </a:xfrm>
                    <a:prstGeom prst="rect">
                      <a:avLst/>
                    </a:prstGeom>
                    <a:noFill/>
                    <a:ln>
                      <a:noFill/>
                    </a:ln>
                  </pic:spPr>
                </pic:pic>
              </a:graphicData>
            </a:graphic>
          </wp:inline>
        </w:drawing>
      </w:r>
    </w:p>
    <w:p>
      <w:pPr>
        <w:pStyle w:val="12"/>
        <w:spacing w:line="360" w:lineRule="auto"/>
        <w:ind w:left="840" w:leftChars="400"/>
        <w:rPr>
          <w:rFonts w:asciiTheme="minorEastAsia" w:hAnsiTheme="minorEastAsia" w:eastAsiaTheme="minorEastAsia"/>
        </w:rPr>
      </w:pPr>
      <w:r>
        <w:rPr>
          <w:rFonts w:asciiTheme="minorEastAsia" w:hAnsiTheme="minorEastAsia" w:eastAsiaTheme="minorEastAsia"/>
        </w:rPr>
        <w:drawing>
          <wp:inline distT="0" distB="0" distL="0" distR="0">
            <wp:extent cx="5762625" cy="324294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62625" cy="3242945"/>
                    </a:xfrm>
                    <a:prstGeom prst="rect">
                      <a:avLst/>
                    </a:prstGeom>
                    <a:noFill/>
                    <a:ln>
                      <a:noFill/>
                    </a:ln>
                  </pic:spPr>
                </pic:pic>
              </a:graphicData>
            </a:graphic>
          </wp:inline>
        </w:drawing>
      </w:r>
    </w:p>
    <w:p>
      <w:pPr>
        <w:pStyle w:val="12"/>
        <w:spacing w:line="360" w:lineRule="auto"/>
        <w:rPr>
          <w:rFonts w:asciiTheme="minorEastAsia" w:hAnsiTheme="minorEastAsia" w:eastAsiaTheme="minorEastAsia"/>
        </w:rPr>
      </w:pPr>
      <w:r>
        <w:rPr>
          <w:rFonts w:hint="eastAsia" w:asciiTheme="minorEastAsia" w:hAnsiTheme="minorEastAsia" w:eastAsiaTheme="minorEastAsia"/>
        </w:rPr>
        <w:t xml:space="preserve">     </w:t>
      </w:r>
    </w:p>
    <w:p>
      <w:pPr>
        <w:pStyle w:val="5"/>
        <w:ind w:firstLine="0" w:firstLineChars="0"/>
        <w:rPr>
          <w:rFonts w:asciiTheme="minorEastAsia" w:hAnsiTheme="minorEastAsia" w:eastAsiaTheme="minorEastAsia"/>
          <w:sz w:val="24"/>
          <w:szCs w:val="24"/>
        </w:rPr>
      </w:pPr>
      <w:bookmarkStart w:id="265" w:name="_Toc2583661"/>
      <w:bookmarkStart w:id="266" w:name="_Toc108721130"/>
      <w:bookmarkStart w:id="267" w:name="_Toc518923100"/>
      <w:r>
        <w:rPr>
          <w:rFonts w:asciiTheme="minorEastAsia" w:hAnsiTheme="minorEastAsia" w:eastAsiaTheme="minorEastAsia"/>
          <w:sz w:val="24"/>
          <w:szCs w:val="24"/>
        </w:rPr>
        <w:t>35.    廉洁自律规定</w:t>
      </w:r>
      <w:bookmarkEnd w:id="265"/>
      <w:bookmarkEnd w:id="266"/>
      <w:bookmarkEnd w:id="267"/>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35.1   采购代理机构工作人员不得以不正当手段获取政府采购代理业务，不得与采购人、供应商恶意串通。</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35.2   采购代理机构工作人员不得接受采购人或者供应商组织的宴请、旅游、娱乐，不得收受礼品、现金、有价证券等，不得向采购人或者供应商报销应当由个人承担的费用。</w:t>
      </w:r>
    </w:p>
    <w:p>
      <w:pPr>
        <w:pStyle w:val="5"/>
        <w:ind w:firstLine="0" w:firstLineChars="0"/>
        <w:rPr>
          <w:rFonts w:asciiTheme="minorEastAsia" w:hAnsiTheme="minorEastAsia" w:eastAsiaTheme="minorEastAsia"/>
          <w:sz w:val="24"/>
          <w:szCs w:val="24"/>
        </w:rPr>
      </w:pPr>
      <w:bookmarkStart w:id="268" w:name="_Toc518923101"/>
      <w:bookmarkStart w:id="269" w:name="_Toc2583662"/>
      <w:bookmarkStart w:id="270" w:name="_Toc108721131"/>
      <w:r>
        <w:rPr>
          <w:rFonts w:asciiTheme="minorEastAsia" w:hAnsiTheme="minorEastAsia" w:eastAsiaTheme="minorEastAsia"/>
          <w:sz w:val="24"/>
          <w:szCs w:val="24"/>
        </w:rPr>
        <w:t>36.    人员回避</w:t>
      </w:r>
      <w:bookmarkEnd w:id="268"/>
      <w:bookmarkEnd w:id="269"/>
      <w:bookmarkEnd w:id="270"/>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潜在投标人认为招标文件使自己的权益受到损害的，投标人认为采购人员及其相关人员有法律法规所列与其他供应商有利害关系的，均可以向采购人或采购代理机构书面提出回避申请，并说明理由。</w:t>
      </w:r>
    </w:p>
    <w:p>
      <w:pPr>
        <w:pStyle w:val="5"/>
        <w:ind w:firstLine="0" w:firstLineChars="0"/>
        <w:rPr>
          <w:rFonts w:asciiTheme="minorEastAsia" w:hAnsiTheme="minorEastAsia" w:eastAsiaTheme="minorEastAsia"/>
          <w:sz w:val="24"/>
          <w:szCs w:val="24"/>
        </w:rPr>
      </w:pPr>
      <w:bookmarkStart w:id="271" w:name="_Toc2583663"/>
      <w:bookmarkStart w:id="272" w:name="_Toc108721132"/>
      <w:bookmarkStart w:id="273" w:name="_Toc518923102"/>
      <w:r>
        <w:rPr>
          <w:rFonts w:asciiTheme="minorEastAsia" w:hAnsiTheme="minorEastAsia" w:eastAsiaTheme="minorEastAsia"/>
          <w:sz w:val="24"/>
          <w:szCs w:val="24"/>
        </w:rPr>
        <w:t>37.    质疑的提出与接收</w:t>
      </w:r>
      <w:bookmarkEnd w:id="271"/>
      <w:bookmarkEnd w:id="272"/>
      <w:bookmarkEnd w:id="273"/>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37.2   质疑供应商应按照财政部制定的《政府采购质疑函范本》格式（可从财政部官方网站下载）和《政府采购质疑和投诉办法》的要求，在法定质疑期内以书面形式提出质疑，针对同一采购程序环节的质疑应一次性提出。</w:t>
      </w:r>
    </w:p>
    <w:p>
      <w:pPr>
        <w:spacing w:line="360" w:lineRule="auto"/>
        <w:ind w:left="840" w:leftChars="400"/>
        <w:rPr>
          <w:rFonts w:asciiTheme="minorEastAsia" w:hAnsiTheme="minorEastAsia" w:eastAsiaTheme="minorEastAsia"/>
          <w:sz w:val="24"/>
        </w:rPr>
      </w:pPr>
      <w:r>
        <w:rPr>
          <w:rFonts w:asciiTheme="minorEastAsia" w:hAnsiTheme="minorEastAsia" w:eastAsiaTheme="minorEastAsia"/>
          <w:sz w:val="24"/>
        </w:rPr>
        <w:t>超出法定质疑期提交的质疑将被拒绝。</w:t>
      </w:r>
    </w:p>
    <w:p>
      <w:pPr>
        <w:spacing w:line="360" w:lineRule="auto"/>
        <w:ind w:left="851" w:leftChars="405" w:hanging="1"/>
        <w:rPr>
          <w:rFonts w:asciiTheme="minorEastAsia" w:hAnsiTheme="minorEastAsia" w:eastAsiaTheme="minorEastAsia"/>
          <w:sz w:val="24"/>
        </w:rPr>
      </w:pPr>
      <w:r>
        <w:rPr>
          <w:rFonts w:asciiTheme="minorEastAsia" w:hAnsiTheme="minorEastAsia" w:eastAsiaTheme="minorEastAsia"/>
          <w:sz w:val="24"/>
        </w:rPr>
        <w:t>重复或分次提出的、内容或形式不符合《政府采购质疑和投诉办法》的，质疑供应商将依法承担不利后果。</w:t>
      </w:r>
    </w:p>
    <w:p>
      <w:pPr>
        <w:spacing w:line="360" w:lineRule="auto"/>
        <w:rPr>
          <w:rFonts w:asciiTheme="minorEastAsia" w:hAnsiTheme="minorEastAsia" w:eastAsiaTheme="minorEastAsia"/>
          <w:sz w:val="24"/>
        </w:rPr>
      </w:pPr>
      <w:r>
        <w:rPr>
          <w:rFonts w:asciiTheme="minorEastAsia" w:hAnsiTheme="minorEastAsia" w:eastAsiaTheme="minorEastAsia"/>
          <w:sz w:val="24"/>
        </w:rPr>
        <w:t>37.3   供应商提交质疑函的要求</w:t>
      </w:r>
    </w:p>
    <w:p>
      <w:pPr>
        <w:spacing w:line="360" w:lineRule="auto"/>
        <w:rPr>
          <w:rFonts w:asciiTheme="minorEastAsia" w:hAnsiTheme="minorEastAsia" w:eastAsiaTheme="minorEastAsia"/>
          <w:sz w:val="24"/>
        </w:rPr>
      </w:pPr>
      <w:r>
        <w:rPr>
          <w:rFonts w:asciiTheme="minorEastAsia" w:hAnsiTheme="minorEastAsia" w:eastAsiaTheme="minorEastAsia"/>
          <w:sz w:val="24"/>
        </w:rPr>
        <w:t>37.3.1 供应商提出质疑时，应提交质疑函和必要的证明材料。</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37.3.2 质疑供应商若委托代理人进行质疑的，质疑函应按要求列明“授权代表”的有关内容，并在附件中提交由质疑供应商签署的授权委托书。授权委托书应载明代理人的姓名、代理事项、具体权限、期限和相关事项。</w:t>
      </w:r>
    </w:p>
    <w:p>
      <w:pPr>
        <w:spacing w:line="360" w:lineRule="auto"/>
        <w:rPr>
          <w:rFonts w:asciiTheme="minorEastAsia" w:hAnsiTheme="minorEastAsia" w:eastAsiaTheme="minorEastAsia"/>
          <w:sz w:val="24"/>
        </w:rPr>
      </w:pPr>
      <w:r>
        <w:rPr>
          <w:rFonts w:asciiTheme="minorEastAsia" w:hAnsiTheme="minorEastAsia" w:eastAsiaTheme="minorEastAsia"/>
          <w:sz w:val="24"/>
        </w:rPr>
        <w:t>37.3.3 质疑供应商若对项目的某一分包进行质疑，质疑函中应列明具体分包号。</w:t>
      </w:r>
    </w:p>
    <w:p>
      <w:pPr>
        <w:spacing w:line="360" w:lineRule="auto"/>
        <w:rPr>
          <w:rFonts w:asciiTheme="minorEastAsia" w:hAnsiTheme="minorEastAsia" w:eastAsiaTheme="minorEastAsia"/>
          <w:sz w:val="24"/>
        </w:rPr>
      </w:pPr>
      <w:r>
        <w:rPr>
          <w:rFonts w:asciiTheme="minorEastAsia" w:hAnsiTheme="minorEastAsia" w:eastAsiaTheme="minorEastAsia"/>
          <w:sz w:val="24"/>
        </w:rPr>
        <w:t>37.3.4 质疑函的质疑请求应与质疑事项相关。</w:t>
      </w:r>
    </w:p>
    <w:p>
      <w:pPr>
        <w:spacing w:line="360" w:lineRule="auto"/>
        <w:rPr>
          <w:rFonts w:asciiTheme="minorEastAsia" w:hAnsiTheme="minorEastAsia" w:eastAsiaTheme="minorEastAsia"/>
          <w:sz w:val="24"/>
        </w:rPr>
      </w:pPr>
      <w:r>
        <w:rPr>
          <w:rFonts w:asciiTheme="minorEastAsia" w:hAnsiTheme="minorEastAsia" w:eastAsiaTheme="minorEastAsia"/>
          <w:sz w:val="24"/>
        </w:rPr>
        <w:t>37.3.5 质疑函的质疑事项应具体、明确，并有必要的事实依据。</w:t>
      </w:r>
    </w:p>
    <w:p>
      <w:pPr>
        <w:spacing w:line="360" w:lineRule="auto"/>
        <w:ind w:left="840" w:hanging="840" w:hangingChars="350"/>
        <w:rPr>
          <w:rFonts w:asciiTheme="minorEastAsia" w:hAnsiTheme="minorEastAsia" w:eastAsiaTheme="minorEastAsia"/>
          <w:sz w:val="24"/>
        </w:rPr>
      </w:pPr>
      <w:r>
        <w:rPr>
          <w:rFonts w:asciiTheme="minorEastAsia" w:hAnsiTheme="minorEastAsia" w:eastAsiaTheme="minorEastAsia"/>
          <w:sz w:val="24"/>
        </w:rPr>
        <w:t>37.3.6 质疑供应商为自然人的，质疑函应由本人签字，质疑供应商为法人或其他组织的，质疑函应由法定代表人、主要负责人，或者其授权代表签字或盖章，并加盖公章。授权代表签字的需提供相应的授权书。</w:t>
      </w:r>
    </w:p>
    <w:p>
      <w:pPr>
        <w:spacing w:line="360" w:lineRule="auto"/>
        <w:rPr>
          <w:rFonts w:asciiTheme="minorEastAsia" w:hAnsiTheme="minorEastAsia" w:eastAsiaTheme="minorEastAsia"/>
          <w:sz w:val="24"/>
          <w:u w:val="single"/>
        </w:rPr>
        <w:sectPr>
          <w:pgSz w:w="11906" w:h="16838"/>
          <w:pgMar w:top="1418" w:right="1418" w:bottom="1418" w:left="1418" w:header="1020" w:footer="992" w:gutter="0"/>
          <w:pgNumType w:start="1"/>
          <w:cols w:space="720" w:num="1"/>
          <w:docGrid w:type="linesAndChars" w:linePitch="312" w:charSpace="0"/>
        </w:sectPr>
      </w:pPr>
      <w:r>
        <w:rPr>
          <w:rFonts w:asciiTheme="minorEastAsia" w:hAnsiTheme="minorEastAsia" w:eastAsiaTheme="minorEastAsia"/>
          <w:sz w:val="24"/>
        </w:rPr>
        <w:t>37.4   质疑函接收部门、联系电话和通讯地址, 见</w:t>
      </w:r>
      <w:r>
        <w:rPr>
          <w:rFonts w:asciiTheme="minorEastAsia" w:hAnsiTheme="minorEastAsia" w:eastAsiaTheme="minorEastAsia"/>
          <w:sz w:val="24"/>
          <w:u w:val="single"/>
        </w:rPr>
        <w:t>投标人须知前附表。</w:t>
      </w:r>
      <w:bookmarkEnd w:id="256"/>
      <w:bookmarkEnd w:id="257"/>
      <w:bookmarkEnd w:id="258"/>
      <w:bookmarkEnd w:id="259"/>
      <w:bookmarkEnd w:id="260"/>
    </w:p>
    <w:p>
      <w:pPr>
        <w:pStyle w:val="4"/>
        <w:jc w:val="both"/>
        <w:rPr>
          <w:rFonts w:asciiTheme="minorEastAsia" w:hAnsiTheme="minorEastAsia" w:eastAsiaTheme="minorEastAsia"/>
          <w:szCs w:val="24"/>
        </w:rPr>
      </w:pPr>
      <w:bookmarkStart w:id="274" w:name="_Toc108721133"/>
      <w:r>
        <w:rPr>
          <w:rStyle w:val="56"/>
          <w:rFonts w:asciiTheme="minorEastAsia" w:hAnsiTheme="minorEastAsia" w:eastAsiaTheme="minorEastAsia"/>
          <w:b w:val="0"/>
          <w:bCs/>
          <w:sz w:val="28"/>
          <w:szCs w:val="22"/>
        </w:rPr>
        <w:t>附件1：投标担保函</w:t>
      </w:r>
      <w:bookmarkEnd w:id="274"/>
    </w:p>
    <w:p>
      <w:pPr>
        <w:pStyle w:val="8"/>
        <w:snapToGrid w:val="0"/>
        <w:spacing w:line="288" w:lineRule="auto"/>
        <w:jc w:val="center"/>
        <w:rPr>
          <w:rFonts w:asciiTheme="minorEastAsia" w:hAnsiTheme="minorEastAsia" w:eastAsiaTheme="minorEastAsia"/>
          <w:szCs w:val="24"/>
        </w:rPr>
      </w:pPr>
      <w:r>
        <w:rPr>
          <w:rFonts w:asciiTheme="minorEastAsia" w:hAnsiTheme="minorEastAsia" w:eastAsiaTheme="minorEastAsia"/>
          <w:bCs/>
          <w:szCs w:val="24"/>
        </w:rPr>
        <w:t>（适用于投标保证金保函）</w:t>
      </w:r>
    </w:p>
    <w:p>
      <w:pPr>
        <w:snapToGrid w:val="0"/>
        <w:spacing w:line="288" w:lineRule="auto"/>
        <w:ind w:right="480"/>
        <w:jc w:val="center"/>
        <w:rPr>
          <w:rFonts w:asciiTheme="minorEastAsia" w:hAnsiTheme="minorEastAsia" w:eastAsiaTheme="minorEastAsia"/>
          <w:sz w:val="24"/>
        </w:rPr>
      </w:pPr>
      <w:r>
        <w:rPr>
          <w:rFonts w:asciiTheme="minorEastAsia" w:hAnsiTheme="minorEastAsia" w:eastAsiaTheme="minorEastAsia"/>
          <w:sz w:val="24"/>
        </w:rPr>
        <w:t xml:space="preserve">                                             保函编号:</w:t>
      </w:r>
    </w:p>
    <w:p>
      <w:pPr>
        <w:snapToGrid w:val="0"/>
        <w:spacing w:line="288" w:lineRule="auto"/>
        <w:jc w:val="left"/>
        <w:rPr>
          <w:rFonts w:asciiTheme="minorEastAsia" w:hAnsiTheme="minorEastAsia" w:eastAsiaTheme="minorEastAsia"/>
          <w:sz w:val="24"/>
          <w:u w:val="single"/>
        </w:rPr>
      </w:pPr>
    </w:p>
    <w:p>
      <w:pPr>
        <w:snapToGrid w:val="0"/>
        <w:spacing w:line="288" w:lineRule="auto"/>
        <w:jc w:val="left"/>
        <w:rPr>
          <w:rFonts w:asciiTheme="minorEastAsia" w:hAnsiTheme="minorEastAsia" w:eastAsiaTheme="minorEastAsia"/>
          <w:sz w:val="24"/>
        </w:rPr>
      </w:pPr>
      <w:r>
        <w:rPr>
          <w:rFonts w:hint="eastAsia" w:asciiTheme="minorEastAsia" w:hAnsiTheme="minorEastAsia" w:eastAsiaTheme="minorEastAsia"/>
          <w:sz w:val="24"/>
          <w:u w:val="single"/>
        </w:rPr>
        <w:t>陕西诺尔信项目管理有限公司</w:t>
      </w:r>
      <w:r>
        <w:rPr>
          <w:rFonts w:asciiTheme="minorEastAsia" w:hAnsiTheme="minorEastAsia" w:eastAsiaTheme="minorEastAsia"/>
          <w:sz w:val="24"/>
        </w:rPr>
        <w:t>(下称受益人):</w:t>
      </w:r>
    </w:p>
    <w:p>
      <w:pPr>
        <w:snapToGrid w:val="0"/>
        <w:spacing w:line="288" w:lineRule="auto"/>
        <w:jc w:val="left"/>
        <w:rPr>
          <w:rFonts w:asciiTheme="minorEastAsia" w:hAnsiTheme="minorEastAsia" w:eastAsiaTheme="minorEastAsia"/>
          <w:sz w:val="24"/>
        </w:rPr>
      </w:pPr>
      <w:r>
        <w:rPr>
          <w:rFonts w:asciiTheme="minorEastAsia" w:hAnsiTheme="minorEastAsia" w:eastAsiaTheme="minorEastAsia"/>
          <w:sz w:val="24"/>
        </w:rPr>
        <w:t xml:space="preserve">    鉴于</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(下称被保证人)将于</w:t>
      </w:r>
      <w:r>
        <w:rPr>
          <w:rFonts w:asciiTheme="minorEastAsia" w:hAnsiTheme="minorEastAsia" w:eastAsiaTheme="minorEastAsia"/>
          <w:sz w:val="24"/>
          <w:u w:val="single"/>
        </w:rPr>
        <w:t>    年 月 日</w:t>
      </w:r>
      <w:r>
        <w:rPr>
          <w:rFonts w:asciiTheme="minorEastAsia" w:hAnsiTheme="minorEastAsia" w:eastAsiaTheme="minorEastAsia"/>
          <w:sz w:val="24"/>
        </w:rPr>
        <w:t>参加贵方招标编号为</w:t>
      </w:r>
      <w:r>
        <w:rPr>
          <w:rFonts w:asciiTheme="minorEastAsia" w:hAnsiTheme="minorEastAsia" w:eastAsiaTheme="minorEastAsia"/>
          <w:sz w:val="24"/>
          <w:u w:val="single"/>
        </w:rPr>
        <w:t> （采购项目编号）</w:t>
      </w:r>
      <w:r>
        <w:rPr>
          <w:rFonts w:asciiTheme="minorEastAsia" w:hAnsiTheme="minorEastAsia" w:eastAsiaTheme="minorEastAsia"/>
          <w:sz w:val="24"/>
        </w:rPr>
        <w:t>的</w:t>
      </w:r>
      <w:r>
        <w:rPr>
          <w:rFonts w:asciiTheme="minorEastAsia" w:hAnsiTheme="minorEastAsia" w:eastAsiaTheme="minorEastAsia"/>
          <w:sz w:val="24"/>
          <w:u w:val="single"/>
        </w:rPr>
        <w:t xml:space="preserve"> （项目名称） </w:t>
      </w:r>
      <w:r>
        <w:rPr>
          <w:rFonts w:asciiTheme="minorEastAsia" w:hAnsiTheme="minorEastAsia" w:eastAsiaTheme="minorEastAsia"/>
          <w:sz w:val="24"/>
        </w:rPr>
        <w:t>的投标,我方接受被保证人的委托,在此向受益人提供不可撤销的投标保证：</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本保证担保的担保金额为</w:t>
      </w:r>
      <w:r>
        <w:rPr>
          <w:rFonts w:asciiTheme="minorEastAsia" w:hAnsiTheme="minorEastAsia" w:eastAsiaTheme="minorEastAsia"/>
          <w:sz w:val="24"/>
          <w:u w:val="single"/>
        </w:rPr>
        <w:t>人民币</w:t>
      </w:r>
      <w:r>
        <w:rPr>
          <w:rFonts w:asciiTheme="minorEastAsia" w:hAnsiTheme="minorEastAsia" w:eastAsiaTheme="minorEastAsia"/>
          <w:sz w:val="24"/>
        </w:rPr>
        <w:t>(币种</w:t>
      </w:r>
      <w:r>
        <w:rPr>
          <w:rFonts w:asciiTheme="minorEastAsia" w:hAnsiTheme="minorEastAsia" w:eastAsiaTheme="minorEastAsia"/>
          <w:sz w:val="24"/>
          <w:u w:val="single"/>
        </w:rPr>
        <w:t>)     </w:t>
      </w:r>
      <w:r>
        <w:rPr>
          <w:rFonts w:asciiTheme="minorEastAsia" w:hAnsiTheme="minorEastAsia" w:eastAsiaTheme="minorEastAsia"/>
          <w:sz w:val="24"/>
        </w:rPr>
        <w:t>元(小写)</w:t>
      </w:r>
      <w:r>
        <w:rPr>
          <w:rFonts w:asciiTheme="minorEastAsia" w:hAnsiTheme="minorEastAsia" w:eastAsiaTheme="minorEastAsia"/>
          <w:sz w:val="24"/>
          <w:u w:val="single"/>
        </w:rPr>
        <w:t xml:space="preserve">     元整</w:t>
      </w:r>
      <w:r>
        <w:rPr>
          <w:rFonts w:asciiTheme="minorEastAsia" w:hAnsiTheme="minorEastAsia" w:eastAsiaTheme="minorEastAsia"/>
          <w:sz w:val="24"/>
        </w:rPr>
        <w:t>(大写）。</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本保证担保的保证期间为该项目的投标有效期(或延长的投标有效期)后28日(含28日),延长投标有效期无须通知我方。</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 在本保证担保的保证期间内,如果被保证人出现下列情形之一,受益人可以向我方提起索赔：</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被保证人在招标文件规定的投标有效期内撤回其投标；</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被保证人在投标有效期内收到受益人发出的中标通知书后,不能或拒绝按招标文件的要求签署合同；</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被保证人在投标有效期内收到受益人发出的中标通知书后,不能或拒绝按招标文件的规定提交履约担保；</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被保证人中标后未按照招标文件规定交纳招标代理服务费。</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受益人的索赔通知应当说明索赔理由,并必须在本保证担保的保证期间内送达我方。</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本保证担保项下的权利不得转让。</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本保证担保的保证期间届满,或我方已向受益人支付本保证担保的担保金额,我方的保证责任免除。</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本保证担保适用中华人民共和国法律。</w:t>
      </w:r>
    </w:p>
    <w:p>
      <w:pPr>
        <w:numPr>
          <w:ilvl w:val="0"/>
          <w:numId w:val="3"/>
        </w:numPr>
        <w:snapToGrid w:val="0"/>
        <w:spacing w:line="288"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本保证担保以中文文本为准,涂改无效。</w:t>
      </w:r>
    </w:p>
    <w:p>
      <w:pPr>
        <w:snapToGrid w:val="0"/>
        <w:spacing w:line="288" w:lineRule="auto"/>
        <w:rPr>
          <w:rFonts w:asciiTheme="minorEastAsia" w:hAnsiTheme="minorEastAsia" w:eastAsiaTheme="minorEastAsia"/>
          <w:sz w:val="24"/>
        </w:rPr>
      </w:pPr>
    </w:p>
    <w:p>
      <w:pPr>
        <w:snapToGrid w:val="0"/>
        <w:spacing w:line="288" w:lineRule="auto"/>
        <w:rPr>
          <w:rFonts w:asciiTheme="minorEastAsia" w:hAnsiTheme="minorEastAsia" w:eastAsiaTheme="minorEastAsia"/>
          <w:sz w:val="24"/>
          <w:u w:val="single"/>
        </w:rPr>
      </w:pPr>
      <w:r>
        <w:rPr>
          <w:rFonts w:asciiTheme="minorEastAsia" w:hAnsiTheme="minorEastAsia" w:eastAsiaTheme="minorEastAsia"/>
          <w:sz w:val="24"/>
        </w:rPr>
        <w:t>保证人(盖章):</w:t>
      </w:r>
      <w:r>
        <w:rPr>
          <w:rFonts w:asciiTheme="minorEastAsia" w:hAnsiTheme="minorEastAsia" w:eastAsiaTheme="minorEastAsia"/>
          <w:sz w:val="24"/>
          <w:u w:val="single"/>
        </w:rPr>
        <w:t xml:space="preserve">     </w:t>
      </w:r>
    </w:p>
    <w:p>
      <w:pPr>
        <w:snapToGrid w:val="0"/>
        <w:spacing w:line="288" w:lineRule="auto"/>
        <w:rPr>
          <w:rFonts w:asciiTheme="minorEastAsia" w:hAnsiTheme="minorEastAsia" w:eastAsiaTheme="minorEastAsia"/>
          <w:sz w:val="24"/>
          <w:u w:val="single"/>
        </w:rPr>
      </w:pPr>
      <w:r>
        <w:rPr>
          <w:rFonts w:asciiTheme="minorEastAsia" w:hAnsiTheme="minorEastAsia" w:eastAsiaTheme="minorEastAsia"/>
          <w:sz w:val="24"/>
        </w:rPr>
        <w:t xml:space="preserve">法定代表人或其授权委托代理人(签字）： </w:t>
      </w:r>
      <w:r>
        <w:rPr>
          <w:rFonts w:asciiTheme="minorEastAsia" w:hAnsiTheme="minorEastAsia" w:eastAsiaTheme="minorEastAsia"/>
          <w:sz w:val="24"/>
          <w:u w:val="single"/>
        </w:rPr>
        <w:t xml:space="preserve">               </w:t>
      </w:r>
    </w:p>
    <w:p>
      <w:pPr>
        <w:snapToGrid w:val="0"/>
        <w:spacing w:line="288" w:lineRule="auto"/>
        <w:rPr>
          <w:rFonts w:asciiTheme="minorEastAsia" w:hAnsiTheme="minorEastAsia" w:eastAsiaTheme="minorEastAsia"/>
          <w:sz w:val="24"/>
          <w:u w:val="single"/>
        </w:rPr>
      </w:pPr>
      <w:r>
        <w:rPr>
          <w:rFonts w:asciiTheme="minorEastAsia" w:hAnsiTheme="minorEastAsia" w:eastAsiaTheme="minorEastAsia"/>
          <w:sz w:val="24"/>
        </w:rPr>
        <w:t>单位地址:</w:t>
      </w:r>
      <w:r>
        <w:rPr>
          <w:rFonts w:asciiTheme="minorEastAsia" w:hAnsiTheme="minorEastAsia" w:eastAsiaTheme="minorEastAsia"/>
          <w:sz w:val="24"/>
          <w:u w:val="single"/>
        </w:rPr>
        <w:t xml:space="preserve">     </w:t>
      </w:r>
    </w:p>
    <w:p>
      <w:pPr>
        <w:snapToGrid w:val="0"/>
        <w:spacing w:line="288" w:lineRule="auto"/>
        <w:rPr>
          <w:rFonts w:asciiTheme="minorEastAsia" w:hAnsiTheme="minorEastAsia" w:eastAsiaTheme="minorEastAsia"/>
          <w:sz w:val="24"/>
          <w:u w:val="single"/>
        </w:rPr>
      </w:pPr>
      <w:r>
        <w:rPr>
          <w:rFonts w:asciiTheme="minorEastAsia" w:hAnsiTheme="minorEastAsia" w:eastAsiaTheme="minorEastAsia"/>
          <w:sz w:val="24"/>
        </w:rPr>
        <w:t>电话:</w:t>
      </w:r>
      <w:r>
        <w:rPr>
          <w:rFonts w:asciiTheme="minorEastAsia" w:hAnsiTheme="minorEastAsia" w:eastAsiaTheme="minorEastAsia"/>
          <w:sz w:val="24"/>
          <w:u w:val="single"/>
        </w:rPr>
        <w:t xml:space="preserve">     </w:t>
      </w:r>
    </w:p>
    <w:p>
      <w:pPr>
        <w:pStyle w:val="29"/>
        <w:snapToGrid w:val="0"/>
        <w:spacing w:before="0" w:beforeAutospacing="0" w:after="0" w:afterAutospacing="0" w:line="288" w:lineRule="auto"/>
        <w:jc w:val="both"/>
        <w:rPr>
          <w:rFonts w:cs="Times New Roman" w:asciiTheme="minorEastAsia" w:hAnsiTheme="minorEastAsia" w:eastAsiaTheme="minorEastAsia"/>
          <w:u w:val="single"/>
        </w:rPr>
      </w:pPr>
      <w:r>
        <w:rPr>
          <w:rFonts w:cs="Times New Roman" w:asciiTheme="minorEastAsia" w:hAnsiTheme="minorEastAsia" w:eastAsiaTheme="minorEastAsia"/>
        </w:rPr>
        <w:t>日期:</w:t>
      </w:r>
      <w:r>
        <w:rPr>
          <w:rFonts w:cs="Times New Roman" w:asciiTheme="minorEastAsia" w:hAnsiTheme="minorEastAsia" w:eastAsiaTheme="minorEastAsia"/>
          <w:u w:val="single"/>
        </w:rPr>
        <w:t xml:space="preserve">     年    月    日</w:t>
      </w:r>
    </w:p>
    <w:p>
      <w:pPr>
        <w:rPr>
          <w:rFonts w:asciiTheme="minorEastAsia" w:hAnsiTheme="minorEastAsia" w:eastAsiaTheme="minorEastAsia"/>
          <w:u w:val="single"/>
        </w:rPr>
      </w:pPr>
      <w:r>
        <w:rPr>
          <w:rFonts w:asciiTheme="minorEastAsia" w:hAnsiTheme="minorEastAsia" w:eastAsiaTheme="minorEastAsia"/>
          <w:u w:val="single"/>
        </w:rPr>
        <w:br w:type="page"/>
      </w:r>
    </w:p>
    <w:p>
      <w:pPr>
        <w:pStyle w:val="4"/>
        <w:spacing w:before="0" w:line="360" w:lineRule="auto"/>
        <w:jc w:val="both"/>
        <w:rPr>
          <w:rFonts w:asciiTheme="minorEastAsia" w:hAnsiTheme="minorEastAsia" w:eastAsiaTheme="minorEastAsia"/>
          <w:szCs w:val="24"/>
        </w:rPr>
      </w:pPr>
      <w:bookmarkStart w:id="275" w:name="_Toc6548"/>
      <w:bookmarkStart w:id="276" w:name="_Toc532473492"/>
      <w:bookmarkStart w:id="277" w:name="_Toc10951"/>
      <w:bookmarkStart w:id="278" w:name="_Toc108721134"/>
      <w:bookmarkStart w:id="279" w:name="_Toc515647800"/>
      <w:r>
        <w:rPr>
          <w:rFonts w:asciiTheme="minorEastAsia" w:hAnsiTheme="minorEastAsia" w:eastAsiaTheme="minorEastAsia"/>
          <w:b w:val="0"/>
          <w:bCs/>
          <w:sz w:val="28"/>
          <w:szCs w:val="22"/>
        </w:rPr>
        <w:t>附件2：履约担保函格式</w:t>
      </w:r>
      <w:bookmarkEnd w:id="275"/>
      <w:bookmarkEnd w:id="276"/>
      <w:bookmarkEnd w:id="277"/>
      <w:bookmarkEnd w:id="278"/>
      <w:bookmarkEnd w:id="279"/>
    </w:p>
    <w:p>
      <w:pPr>
        <w:ind w:firstLine="480" w:firstLineChars="200"/>
        <w:rPr>
          <w:rFonts w:asciiTheme="minorEastAsia" w:hAnsiTheme="minorEastAsia" w:eastAsiaTheme="minorEastAsia"/>
          <w:b/>
          <w:bCs/>
          <w:sz w:val="24"/>
          <w:u w:val="single"/>
        </w:rPr>
      </w:pPr>
      <w:r>
        <w:rPr>
          <w:rFonts w:asciiTheme="minorEastAsia" w:hAnsiTheme="minorEastAsia" w:eastAsiaTheme="minorEastAsia"/>
          <w:sz w:val="24"/>
        </w:rPr>
        <w:t xml:space="preserve">               </w:t>
      </w:r>
      <w:r>
        <w:rPr>
          <w:rFonts w:hint="eastAsia" w:asciiTheme="minorEastAsia" w:hAnsiTheme="minorEastAsia" w:eastAsiaTheme="minorEastAsia"/>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b/>
          <w:bCs/>
          <w:sz w:val="24"/>
        </w:rPr>
        <w:t>履约保函             编号：</w:t>
      </w:r>
      <w:r>
        <w:rPr>
          <w:rFonts w:hint="eastAsia" w:asciiTheme="minorEastAsia" w:hAnsiTheme="minorEastAsia" w:eastAsiaTheme="minorEastAsia"/>
          <w:b/>
          <w:bCs/>
          <w:sz w:val="24"/>
          <w:u w:val="single"/>
        </w:rPr>
        <w:t xml:space="preserve">        </w:t>
      </w:r>
    </w:p>
    <w:p>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鉴于你方与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（下称“供应商”）2022年   月</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日签定编号为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号的《供货合同》(以下简称主合同)，且依据该合同的约定，供应商应在你方支付预付款前，提供同等金额的履约保函。</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根据保函申请人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申请，我行(下称“保证人”)在此向贵方(下称“受益人”)开立不可撤销的履约保函(下称“本保函”)。</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w:t>
      </w:r>
      <w:r>
        <w:rPr>
          <w:rFonts w:hint="eastAsia" w:asciiTheme="minorEastAsia" w:hAnsiTheme="minorEastAsia" w:eastAsiaTheme="minorEastAsia"/>
          <w:b/>
          <w:bCs/>
          <w:sz w:val="24"/>
        </w:rPr>
        <w:t>本保函为独立保函，见索即付</w:t>
      </w:r>
      <w:r>
        <w:rPr>
          <w:rFonts w:hint="eastAsia" w:asciiTheme="minorEastAsia" w:hAnsiTheme="minorEastAsia" w:eastAsiaTheme="minorEastAsia"/>
          <w:sz w:val="24"/>
        </w:rPr>
        <w:t>。保证人承诺，在本保函有效期内收到受益人提交的索赔文件且符合本保函约定的，保证人将在收到索赔文件次日起十个工作日内在担保金额内向受益人付款。</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（一）在供应商出现下列情形之一时，我方承担保函履约责任：</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（1）.将中标项目转让给他人，或者在投标文件中未说明，且未经采购招标机构人同意，将中标项目分包给他人的；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（2）.未按主合同约定的型号、数量、规格、安装、维修等条款供应货物的；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（3）.未按主合同约定的交货期内保质保量完成货物的供货、安装调试并保证设备运行正常的；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（4）.交付的货物存在法律纠纷、产权纠纷、质押抵押等情形的；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（5）.其它影响你方正常使用货物的情形。</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（二）我方的保证范围是主合同约定合同价款总额的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：数额为</w:t>
      </w:r>
      <w:r>
        <w:rPr>
          <w:rFonts w:hint="eastAsia" w:asciiTheme="minorEastAsia" w:hAnsiTheme="minorEastAsia" w:eastAsiaTheme="minorEastAsia"/>
          <w:sz w:val="24"/>
          <w:u w:val="single"/>
        </w:rPr>
        <w:t>￥      元</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整</w:t>
      </w:r>
      <w:r>
        <w:rPr>
          <w:rFonts w:hint="eastAsia" w:asciiTheme="minorEastAsia" w:hAnsiTheme="minorEastAsia" w:eastAsiaTheme="minorEastAsia"/>
          <w:sz w:val="24"/>
        </w:rPr>
        <w:t>)，币种为</w:t>
      </w:r>
      <w:r>
        <w:rPr>
          <w:rFonts w:hint="eastAsia" w:asciiTheme="minorEastAsia" w:hAnsiTheme="minorEastAsia" w:eastAsiaTheme="minorEastAsia"/>
          <w:sz w:val="24"/>
          <w:u w:val="single"/>
        </w:rPr>
        <w:t>人民币</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（三）承担保证责任的程序</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如果供应商未按主合同约定向贵方供应货物的，存在第一条第一款所列5种情形之一的，由我方在保证金额内向你方支付上述款项。</w:t>
      </w:r>
      <w:r>
        <w:rPr>
          <w:rFonts w:hint="eastAsia" w:asciiTheme="minorEastAsia" w:hAnsiTheme="minorEastAsia" w:eastAsiaTheme="minorEastAsia"/>
          <w:sz w:val="24"/>
        </w:rPr>
        <w:t>保证人承诺，在本保函有效期内收到受益人提交的索赔文件且符合本保函约定的，保证人将在收到索赔通知次日起十个工作日内在担保金额内向受益人付款。索赔通知应写明要求索赔的金额，支付款项应到达的账号。并附有证明供应商违约事实的证明材料。</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二、受益人将主合同项下债权转让第三人时需经保证人书面同意，否则保证人在本保函项下的担保责任自动解除。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三、未经保证人书面同意，本保函不得转让、质押。</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四、本保函一经开立盖章后立即生效，于 </w:t>
      </w:r>
      <w:r>
        <w:rPr>
          <w:rFonts w:hint="eastAsia" w:asciiTheme="minorEastAsia" w:hAnsiTheme="minorEastAsia" w:eastAsiaTheme="minorEastAsia"/>
          <w:sz w:val="24"/>
          <w:u w:val="single"/>
        </w:rPr>
        <w:t xml:space="preserve">       日</w:t>
      </w:r>
      <w:r>
        <w:rPr>
          <w:rFonts w:hint="eastAsia" w:asciiTheme="minorEastAsia" w:hAnsiTheme="minorEastAsia" w:eastAsiaTheme="minorEastAsia"/>
          <w:sz w:val="24"/>
        </w:rPr>
        <w:t>保证人对公营业时间结束时失效(若该日为非银行营业时间，则以该日之前的最后一个银行营业日为准)。本保函失效后，受益人应立即将本保函正本原件退回保证人，但无论是否退回，本保函自失效日起均视为自动失效，保证人在本保函项下的保证责任和义务自动解除。</w:t>
      </w:r>
    </w:p>
    <w:p>
      <w:pPr>
        <w:spacing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sz w:val="24"/>
        </w:rPr>
        <w:t>五、本保函适用中华人民共和国法律，受中华人民共和国法律管辖。在本保函履行期间，如发生争议，各当事人首先应协商解决。</w:t>
      </w:r>
      <w:r>
        <w:rPr>
          <w:rFonts w:hint="eastAsia" w:asciiTheme="minorEastAsia" w:hAnsiTheme="minorEastAsia" w:eastAsiaTheme="minorEastAsia"/>
          <w:b/>
          <w:bCs/>
          <w:sz w:val="24"/>
        </w:rPr>
        <w:t>协商不能解决的，任何一方应向保证人所在地有管辖权的法院提起诉讼。</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保证人：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行</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（银行签章）</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有权签字人：</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开具日期:</w:t>
      </w:r>
    </w:p>
    <w:p>
      <w:pPr>
        <w:spacing w:line="360" w:lineRule="auto"/>
        <w:ind w:firstLine="5520" w:firstLineChars="2300"/>
        <w:jc w:val="right"/>
        <w:rPr>
          <w:rFonts w:asciiTheme="minorEastAsia" w:hAnsiTheme="minorEastAsia" w:eastAsiaTheme="minorEastAsia"/>
          <w:sz w:val="24"/>
        </w:rPr>
      </w:pP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pPr>
        <w:pStyle w:val="8"/>
        <w:spacing w:line="360" w:lineRule="auto"/>
        <w:ind w:firstLine="0"/>
        <w:rPr>
          <w:rFonts w:asciiTheme="minorEastAsia" w:hAnsiTheme="minorEastAsia" w:eastAsiaTheme="minorEastAsia"/>
          <w:kern w:val="2"/>
          <w:szCs w:val="24"/>
        </w:rPr>
      </w:pPr>
    </w:p>
    <w:p>
      <w:pPr>
        <w:pStyle w:val="31"/>
        <w:rPr>
          <w:rFonts w:asciiTheme="minorEastAsia" w:hAnsiTheme="minorEastAsia" w:eastAsiaTheme="minorEastAsia"/>
        </w:rPr>
      </w:pPr>
      <w:bookmarkStart w:id="280" w:name="_Toc532044540"/>
      <w:bookmarkStart w:id="281" w:name="_Toc507399907"/>
      <w:bookmarkStart w:id="282" w:name="_Toc515647832"/>
      <w:bookmarkStart w:id="283" w:name="_Toc7971"/>
      <w:bookmarkStart w:id="284" w:name="_Toc532473756"/>
      <w:bookmarkStart w:id="285" w:name="_Toc32647"/>
      <w:bookmarkStart w:id="286" w:name="_Toc515647802"/>
      <w:bookmarkStart w:id="287" w:name="_Toc702"/>
      <w:bookmarkStart w:id="288" w:name="_Toc216582812"/>
      <w:bookmarkStart w:id="289" w:name="_Toc728"/>
      <w:bookmarkStart w:id="290" w:name="_Toc532473493"/>
      <w:r>
        <w:rPr>
          <w:rFonts w:asciiTheme="minorEastAsia" w:hAnsiTheme="minorEastAsia" w:eastAsiaTheme="minorEastAsia"/>
        </w:rPr>
        <w:br w:type="page"/>
      </w:r>
      <w:bookmarkStart w:id="291" w:name="_Toc23814"/>
      <w:bookmarkStart w:id="292" w:name="_Toc108721135"/>
      <w:r>
        <w:rPr>
          <w:rFonts w:asciiTheme="minorEastAsia" w:hAnsiTheme="minorEastAsia" w:eastAsiaTheme="minorEastAsia"/>
        </w:rPr>
        <w:t>第三章  评标方法和标准</w:t>
      </w:r>
      <w:bookmarkEnd w:id="280"/>
      <w:bookmarkEnd w:id="281"/>
      <w:bookmarkEnd w:id="282"/>
      <w:bookmarkEnd w:id="283"/>
      <w:bookmarkEnd w:id="284"/>
      <w:bookmarkEnd w:id="285"/>
      <w:bookmarkEnd w:id="291"/>
      <w:bookmarkEnd w:id="292"/>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采购人委托采购代理机构负责组织本项目的评标工作。资格审查由采购人或者采购代理机构负责，评标工作由评标委员会负责。工作程序如下：</w:t>
      </w:r>
    </w:p>
    <w:p>
      <w:pPr>
        <w:pStyle w:val="12"/>
        <w:tabs>
          <w:tab w:val="clear" w:pos="567"/>
        </w:tabs>
        <w:spacing w:before="0" w:line="360" w:lineRule="auto"/>
        <w:ind w:firstLine="540" w:firstLineChars="225"/>
        <w:outlineLvl w:val="1"/>
        <w:rPr>
          <w:rFonts w:asciiTheme="minorEastAsia" w:hAnsiTheme="minorEastAsia" w:eastAsiaTheme="minorEastAsia"/>
        </w:rPr>
      </w:pPr>
      <w:bookmarkStart w:id="293" w:name="_Toc108720991"/>
      <w:bookmarkStart w:id="294" w:name="_Toc108721136"/>
      <w:r>
        <w:rPr>
          <w:rFonts w:asciiTheme="minorEastAsia" w:hAnsiTheme="minorEastAsia" w:eastAsiaTheme="minorEastAsia"/>
        </w:rPr>
        <w:t>一、由</w:t>
      </w:r>
      <w:r>
        <w:rPr>
          <w:rFonts w:asciiTheme="minorEastAsia" w:hAnsiTheme="minorEastAsia" w:eastAsiaTheme="minorEastAsia"/>
          <w:b/>
        </w:rPr>
        <w:t>采购人或者采购代理机构</w:t>
      </w:r>
      <w:r>
        <w:rPr>
          <w:rFonts w:asciiTheme="minorEastAsia" w:hAnsiTheme="minorEastAsia" w:eastAsiaTheme="minorEastAsia"/>
        </w:rPr>
        <w:t>负责资格审查工作。</w:t>
      </w:r>
      <w:bookmarkEnd w:id="293"/>
      <w:bookmarkEnd w:id="294"/>
    </w:p>
    <w:p>
      <w:pPr>
        <w:pStyle w:val="12"/>
        <w:tabs>
          <w:tab w:val="clear" w:pos="567"/>
        </w:tabs>
        <w:spacing w:before="0" w:line="360" w:lineRule="auto"/>
        <w:ind w:firstLine="480" w:firstLineChars="200"/>
        <w:rPr>
          <w:rFonts w:asciiTheme="minorEastAsia" w:hAnsiTheme="minorEastAsia" w:eastAsiaTheme="minorEastAsia"/>
        </w:rPr>
      </w:pPr>
      <w:r>
        <w:rPr>
          <w:rFonts w:asciiTheme="minorEastAsia" w:hAnsiTheme="minorEastAsia" w:eastAsiaTheme="minorEastAsia"/>
        </w:rPr>
        <w:t>投标文件中的资格证明文件出现下列情况者（但不限于），按无效投标处理：</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1、投标人资格证明文件的完整性、有效性或符合性不符合要求的。</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2、投标人法定代表人授权书的完整性、有效性、符合性不符合要求的。</w:t>
      </w:r>
    </w:p>
    <w:p>
      <w:pPr>
        <w:pStyle w:val="12"/>
        <w:tabs>
          <w:tab w:val="clear" w:pos="567"/>
        </w:tabs>
        <w:spacing w:before="0" w:line="360" w:lineRule="auto"/>
        <w:ind w:firstLine="480" w:firstLineChars="200"/>
        <w:rPr>
          <w:rFonts w:asciiTheme="minorEastAsia" w:hAnsiTheme="minorEastAsia" w:eastAsiaTheme="minorEastAsia"/>
        </w:rPr>
      </w:pPr>
      <w:r>
        <w:rPr>
          <w:rFonts w:asciiTheme="minorEastAsia" w:hAnsiTheme="minorEastAsia" w:eastAsiaTheme="minorEastAsia"/>
        </w:rPr>
        <w:t>3、信用查询不符合要求的。</w:t>
      </w:r>
    </w:p>
    <w:p>
      <w:pPr>
        <w:pStyle w:val="12"/>
        <w:tabs>
          <w:tab w:val="clear" w:pos="567"/>
        </w:tabs>
        <w:spacing w:before="0" w:line="360" w:lineRule="auto"/>
        <w:ind w:firstLine="480" w:firstLineChars="200"/>
        <w:outlineLvl w:val="1"/>
        <w:rPr>
          <w:rFonts w:asciiTheme="minorEastAsia" w:hAnsiTheme="minorEastAsia" w:eastAsiaTheme="minorEastAsia"/>
        </w:rPr>
      </w:pPr>
      <w:bookmarkStart w:id="295" w:name="_Toc108720992"/>
      <w:bookmarkStart w:id="296" w:name="_Toc108721137"/>
      <w:r>
        <w:rPr>
          <w:rFonts w:asciiTheme="minorEastAsia" w:hAnsiTheme="minorEastAsia" w:eastAsiaTheme="minorEastAsia"/>
        </w:rPr>
        <w:t>二、由</w:t>
      </w:r>
      <w:r>
        <w:rPr>
          <w:rFonts w:asciiTheme="minorEastAsia" w:hAnsiTheme="minorEastAsia" w:eastAsiaTheme="minorEastAsia"/>
          <w:b/>
        </w:rPr>
        <w:t>评标委员会</w:t>
      </w:r>
      <w:r>
        <w:rPr>
          <w:rFonts w:asciiTheme="minorEastAsia" w:hAnsiTheme="minorEastAsia" w:eastAsiaTheme="minorEastAsia"/>
        </w:rPr>
        <w:t>负责的审查评审工作。</w:t>
      </w:r>
      <w:bookmarkEnd w:id="295"/>
      <w:bookmarkEnd w:id="296"/>
    </w:p>
    <w:p>
      <w:pPr>
        <w:pStyle w:val="12"/>
        <w:tabs>
          <w:tab w:val="clear" w:pos="567"/>
        </w:tabs>
        <w:spacing w:before="0" w:line="360" w:lineRule="auto"/>
        <w:ind w:firstLine="480" w:firstLineChars="200"/>
        <w:rPr>
          <w:rFonts w:asciiTheme="minorEastAsia" w:hAnsiTheme="minorEastAsia" w:eastAsiaTheme="minorEastAsia"/>
        </w:rPr>
      </w:pPr>
      <w:r>
        <w:rPr>
          <w:rFonts w:asciiTheme="minorEastAsia" w:hAnsiTheme="minorEastAsia" w:eastAsiaTheme="minorEastAsia"/>
        </w:rPr>
        <w:t>1、符合性审查是指评标委员会依据招标文件的规定，从商务和技术角度对投标文件的有效性和完整性进行审查，以确定是否对招标文件的实质性要求做出响应。出现下列情况者（但不限于），按无效投标处理。</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1.1 投标文件未按招标文件要求签署、盖章的。</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1.2 投标人投标报价超出采购预算</w:t>
      </w:r>
      <w:r>
        <w:rPr>
          <w:rFonts w:hint="eastAsia" w:asciiTheme="minorEastAsia" w:hAnsiTheme="minorEastAsia" w:eastAsiaTheme="minorEastAsia"/>
          <w:sz w:val="24"/>
        </w:rPr>
        <w:t>及分项预算</w:t>
      </w:r>
      <w:r>
        <w:rPr>
          <w:rFonts w:asciiTheme="minorEastAsia" w:hAnsiTheme="minorEastAsia" w:eastAsiaTheme="minorEastAsia"/>
          <w:sz w:val="24"/>
        </w:rPr>
        <w:t>或最高限价的。</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1.3 投标人的报价明显低于其他通过符合性审查投标人的报价，有可能影响产品质量或者不能诚信履约的，且投标人不能证明其报价合理性的。</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1.4 投标保证金未提交或金额、形式不符合招标文件要求的</w:t>
      </w:r>
      <w:r>
        <w:rPr>
          <w:rFonts w:hint="eastAsia" w:asciiTheme="minorEastAsia" w:hAnsiTheme="minorEastAsia" w:eastAsiaTheme="minorEastAsia"/>
          <w:sz w:val="24"/>
        </w:rPr>
        <w:t>（如有）</w:t>
      </w:r>
      <w:r>
        <w:rPr>
          <w:rFonts w:asciiTheme="minorEastAsia" w:hAnsiTheme="minorEastAsia" w:eastAsiaTheme="minorEastAsia"/>
          <w:sz w:val="24"/>
        </w:rPr>
        <w:t>。</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1.5 投标内容出现漏项或数量与要求不符或投标内容的技术指标达不到招标文件要求，造成采购档次降低或影响采购性能、功能。</w:t>
      </w:r>
    </w:p>
    <w:p>
      <w:pPr>
        <w:pStyle w:val="12"/>
        <w:tabs>
          <w:tab w:val="clear" w:pos="567"/>
        </w:tabs>
        <w:spacing w:before="0" w:line="360" w:lineRule="auto"/>
        <w:ind w:firstLine="360" w:firstLineChars="150"/>
        <w:rPr>
          <w:rFonts w:asciiTheme="minorEastAsia" w:hAnsiTheme="minorEastAsia" w:eastAsiaTheme="minorEastAsia"/>
        </w:rPr>
      </w:pPr>
      <w:r>
        <w:rPr>
          <w:rFonts w:asciiTheme="minorEastAsia" w:hAnsiTheme="minorEastAsia" w:eastAsiaTheme="minorEastAsia"/>
        </w:rPr>
        <w:t>2、如有必要，要求投标人对投标文件有关事项作出书面澄清或者说明。</w:t>
      </w:r>
    </w:p>
    <w:p>
      <w:pPr>
        <w:pStyle w:val="12"/>
        <w:tabs>
          <w:tab w:val="clear" w:pos="567"/>
        </w:tabs>
        <w:spacing w:before="0" w:line="360" w:lineRule="auto"/>
        <w:ind w:left="120" w:firstLine="240" w:firstLineChars="100"/>
        <w:rPr>
          <w:rFonts w:asciiTheme="minorEastAsia" w:hAnsiTheme="minorEastAsia" w:eastAsiaTheme="minorEastAsia"/>
        </w:rPr>
      </w:pPr>
      <w:r>
        <w:rPr>
          <w:rFonts w:asciiTheme="minorEastAsia" w:hAnsiTheme="minorEastAsia" w:eastAsiaTheme="minorEastAsia"/>
        </w:rPr>
        <w:t>3、对投标文件进行比较和评价</w:t>
      </w:r>
    </w:p>
    <w:p>
      <w:pPr>
        <w:pStyle w:val="12"/>
        <w:tabs>
          <w:tab w:val="clear" w:pos="567"/>
        </w:tabs>
        <w:spacing w:before="0" w:line="360" w:lineRule="auto"/>
        <w:ind w:firstLine="360" w:firstLineChars="150"/>
        <w:rPr>
          <w:rFonts w:asciiTheme="minorEastAsia" w:hAnsiTheme="minorEastAsia" w:eastAsiaTheme="minorEastAsia"/>
        </w:rPr>
      </w:pPr>
      <w:r>
        <w:rPr>
          <w:rFonts w:asciiTheme="minorEastAsia" w:hAnsiTheme="minorEastAsia" w:eastAsiaTheme="minorEastAsia"/>
        </w:rPr>
        <w:t>3.1 如本项目评标方法为最低评标价法，评标委员会在审查投标文件满足招标文件全部实质性要求后，按投标报价从低到高顺序确定中标候选人。</w:t>
      </w:r>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除了算术修正和落实政府采购政策需进行的价格扣除外，不得对投标人的投标价格进行任何调整。</w:t>
      </w:r>
    </w:p>
    <w:p>
      <w:pPr>
        <w:pStyle w:val="12"/>
        <w:tabs>
          <w:tab w:val="clear" w:pos="567"/>
        </w:tabs>
        <w:spacing w:before="0" w:line="360" w:lineRule="auto"/>
        <w:ind w:firstLine="480" w:firstLineChars="200"/>
        <w:rPr>
          <w:rFonts w:asciiTheme="minorEastAsia" w:hAnsiTheme="minorEastAsia" w:eastAsiaTheme="minorEastAsia"/>
        </w:rPr>
      </w:pPr>
      <w:r>
        <w:rPr>
          <w:rFonts w:asciiTheme="minorEastAsia" w:hAnsiTheme="minorEastAsia" w:eastAsiaTheme="minorEastAsia"/>
        </w:rPr>
        <w:t>3.2 如本项目评标方法为综合评分法，评标委员会对满足招标文件全部实质性要求的投标文件，按照招标文件规定的评审因素的量化指标进行评审打分，以评审得分从高到低顺序确定中标候选人。</w:t>
      </w:r>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12"/>
        <w:tabs>
          <w:tab w:val="clear" w:pos="567"/>
        </w:tabs>
        <w:spacing w:before="0" w:line="360" w:lineRule="auto"/>
        <w:ind w:firstLine="480" w:firstLineChars="200"/>
        <w:rPr>
          <w:rFonts w:asciiTheme="minorEastAsia" w:hAnsiTheme="minorEastAsia" w:eastAsiaTheme="minorEastAsia"/>
        </w:rPr>
      </w:pPr>
      <w:r>
        <w:rPr>
          <w:rFonts w:asciiTheme="minorEastAsia" w:hAnsiTheme="minorEastAsia" w:eastAsiaTheme="minorEastAsia"/>
        </w:rPr>
        <w:t>4、推荐中标候选人名单，或者根据采购人委托直接确定中标人。</w:t>
      </w:r>
    </w:p>
    <w:p>
      <w:pPr>
        <w:pStyle w:val="12"/>
        <w:tabs>
          <w:tab w:val="clear" w:pos="567"/>
        </w:tabs>
        <w:spacing w:before="0" w:line="360" w:lineRule="auto"/>
        <w:ind w:firstLine="360" w:firstLineChars="150"/>
        <w:rPr>
          <w:rFonts w:asciiTheme="minorEastAsia" w:hAnsiTheme="minorEastAsia" w:eastAsiaTheme="minorEastAsia"/>
        </w:rPr>
      </w:pPr>
      <w:r>
        <w:rPr>
          <w:rFonts w:asciiTheme="minorEastAsia" w:hAnsiTheme="minorEastAsia" w:eastAsiaTheme="minorEastAsia"/>
        </w:rPr>
        <w:t>5、采购代理机构核对评标结果。</w:t>
      </w:r>
    </w:p>
    <w:p>
      <w:pPr>
        <w:pStyle w:val="12"/>
        <w:tabs>
          <w:tab w:val="clear" w:pos="567"/>
        </w:tabs>
        <w:spacing w:before="0" w:line="360" w:lineRule="auto"/>
        <w:ind w:firstLine="360" w:firstLineChars="150"/>
        <w:rPr>
          <w:rFonts w:asciiTheme="minorEastAsia" w:hAnsiTheme="minorEastAsia" w:eastAsiaTheme="minorEastAsia"/>
        </w:rPr>
      </w:pPr>
      <w:bookmarkStart w:id="297" w:name="_Toc108721138"/>
      <w:bookmarkStart w:id="298" w:name="_Toc108720993"/>
      <w:r>
        <w:rPr>
          <w:rFonts w:asciiTheme="minorEastAsia" w:hAnsiTheme="minorEastAsia" w:eastAsiaTheme="minorEastAsia"/>
        </w:rPr>
        <w:t>三、评审标准中应考虑下列因素：</w:t>
      </w:r>
      <w:bookmarkEnd w:id="297"/>
      <w:bookmarkEnd w:id="298"/>
    </w:p>
    <w:p>
      <w:pPr>
        <w:pStyle w:val="12"/>
        <w:tabs>
          <w:tab w:val="clear" w:pos="567"/>
        </w:tabs>
        <w:spacing w:before="0" w:line="360" w:lineRule="auto"/>
        <w:ind w:firstLine="360" w:firstLineChars="150"/>
        <w:rPr>
          <w:rFonts w:cs="宋体"/>
        </w:rPr>
      </w:pPr>
      <w:r>
        <w:rPr>
          <w:rFonts w:asciiTheme="minorEastAsia" w:hAnsiTheme="minorEastAsia" w:eastAsiaTheme="minorEastAsia"/>
        </w:rPr>
        <w:t xml:space="preserve">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 </w:t>
      </w:r>
      <w:r>
        <w:rPr>
          <w:rFonts w:hint="eastAsia" w:asciiTheme="minorEastAsia" w:hAnsiTheme="minorEastAsia" w:eastAsiaTheme="minorEastAsia"/>
        </w:rPr>
        <w:t>11</w:t>
      </w:r>
      <w:r>
        <w:rPr>
          <w:rFonts w:asciiTheme="minorEastAsia" w:hAnsiTheme="minorEastAsia" w:eastAsiaTheme="minorEastAsia"/>
        </w:rPr>
        <w:t>% 后参与评审。对于同时属于小微企业、监狱企业或残疾人福利性单位的，不重复进行投标报价扣除。</w:t>
      </w:r>
      <w:r>
        <w:rPr>
          <w:rFonts w:hint="eastAsia" w:asciiTheme="minorEastAsia" w:hAnsiTheme="minorEastAsia" w:eastAsiaTheme="minorEastAsia"/>
        </w:rPr>
        <w:t>(</w:t>
      </w:r>
      <w:r>
        <w:rPr>
          <w:rFonts w:hint="eastAsia" w:asciiTheme="minorEastAsia" w:hAnsiTheme="minorEastAsia" w:eastAsiaTheme="minorEastAsia"/>
          <w:u w:val="single"/>
        </w:rPr>
        <w:t>如为专门面向中小企业的采购项目（或采购包），不执行价格扣除或加分。</w:t>
      </w:r>
      <w:r>
        <w:rPr>
          <w:rFonts w:hint="eastAsia" w:asciiTheme="minorEastAsia" w:hAnsiTheme="minorEastAsia" w:eastAsiaTheme="minorEastAsia"/>
        </w:rPr>
        <w:t>)</w:t>
      </w:r>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2、联合协议或分包意向协议（如有）中约定，小型、微型企业的合同金额占到合同总金额30%以上的，可给予联合体</w:t>
      </w:r>
      <w:r>
        <w:rPr>
          <w:rFonts w:asciiTheme="minorEastAsia" w:hAnsiTheme="minorEastAsia" w:eastAsiaTheme="minorEastAsia"/>
          <w:u w:val="single"/>
        </w:rPr>
        <w:t>4%</w:t>
      </w:r>
      <w:r>
        <w:rPr>
          <w:rFonts w:asciiTheme="minorEastAsia" w:hAnsiTheme="minorEastAsia" w:eastAsiaTheme="minorEastAsia"/>
        </w:rPr>
        <w:t>的价格扣除。</w:t>
      </w:r>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联合体各方均为小型、微型企业和监狱企业的，联合体视同为小型、微型企业和监狱企业。</w:t>
      </w:r>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3、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pStyle w:val="12"/>
        <w:tabs>
          <w:tab w:val="clear" w:pos="567"/>
        </w:tabs>
        <w:spacing w:before="0" w:line="360" w:lineRule="auto"/>
        <w:ind w:firstLine="540" w:firstLineChars="225"/>
        <w:rPr>
          <w:rFonts w:asciiTheme="minorEastAsia" w:hAnsiTheme="minorEastAsia" w:eastAsiaTheme="minorEastAsia"/>
        </w:rPr>
      </w:pPr>
      <w:r>
        <w:rPr>
          <w:rFonts w:asciiTheme="minorEastAsia" w:hAnsiTheme="minorEastAsia" w:eastAsiaTheme="minorEastAsia"/>
        </w:rPr>
        <w:t>4、如投标人为提供服务所伴随的货物为政府强制采购的节能产品，投标人所投产品的品牌及型号必须为清单中有效期内产品并提供证明文件，否则其投标将作为无效投标被拒绝。</w:t>
      </w:r>
    </w:p>
    <w:p>
      <w:pPr>
        <w:pStyle w:val="12"/>
        <w:spacing w:line="360" w:lineRule="auto"/>
        <w:ind w:firstLine="540" w:firstLineChars="225"/>
        <w:rPr>
          <w:rFonts w:asciiTheme="minorEastAsia" w:hAnsiTheme="minorEastAsia" w:eastAsiaTheme="minorEastAsia"/>
        </w:rPr>
      </w:pPr>
      <w:r>
        <w:rPr>
          <w:rFonts w:asciiTheme="minorEastAsia" w:hAnsiTheme="minorEastAsia" w:eastAsiaTheme="minorEastAsia"/>
        </w:rPr>
        <w:t>5、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2"/>
        <w:tabs>
          <w:tab w:val="clear" w:pos="567"/>
        </w:tabs>
        <w:spacing w:before="0" w:line="360" w:lineRule="auto"/>
        <w:ind w:firstLine="480" w:firstLineChars="200"/>
        <w:rPr>
          <w:rFonts w:asciiTheme="minorEastAsia" w:hAnsiTheme="minorEastAsia" w:eastAsiaTheme="minorEastAsia"/>
        </w:rPr>
      </w:pPr>
    </w:p>
    <w:p>
      <w:pPr>
        <w:pStyle w:val="12"/>
        <w:tabs>
          <w:tab w:val="clear" w:pos="567"/>
        </w:tabs>
        <w:spacing w:before="0" w:line="360" w:lineRule="auto"/>
        <w:ind w:firstLine="480" w:firstLineChars="200"/>
        <w:rPr>
          <w:rFonts w:asciiTheme="minorEastAsia" w:hAnsiTheme="minorEastAsia" w:eastAsiaTheme="minorEastAsia"/>
        </w:rPr>
      </w:pPr>
      <w:r>
        <w:rPr>
          <w:rFonts w:asciiTheme="minorEastAsia" w:hAnsiTheme="minorEastAsia" w:eastAsiaTheme="minor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2"/>
        <w:tabs>
          <w:tab w:val="clear" w:pos="567"/>
        </w:tabs>
        <w:spacing w:before="0" w:line="360" w:lineRule="auto"/>
        <w:ind w:left="-181" w:leftChars="-86" w:firstLine="660" w:firstLineChars="275"/>
        <w:rPr>
          <w:rFonts w:asciiTheme="minorEastAsia" w:hAnsiTheme="minorEastAsia" w:eastAsiaTheme="minorEastAsia"/>
        </w:rPr>
      </w:pPr>
      <w:r>
        <w:rPr>
          <w:rFonts w:asciiTheme="minorEastAsia" w:hAnsiTheme="minorEastAsia" w:eastAsiaTheme="minorEastAsia"/>
        </w:rPr>
        <w:t>6、中标候选人并列时的处理方式：</w:t>
      </w:r>
    </w:p>
    <w:p>
      <w:pPr>
        <w:autoSpaceDE w:val="0"/>
        <w:autoSpaceDN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如采用最低评标办法，则：在全部满足以上实质性要求前提下，依据统一的价格要素评定最低报价，以提出最低报价的投标人作为排名第一的中标候选人。投标报价相同的，按照技术指标优劣排序。</w:t>
      </w:r>
    </w:p>
    <w:p>
      <w:pPr>
        <w:pStyle w:val="12"/>
        <w:tabs>
          <w:tab w:val="clear" w:pos="567"/>
        </w:tabs>
        <w:spacing w:before="0" w:line="360" w:lineRule="auto"/>
        <w:ind w:left="-181" w:leftChars="-86" w:firstLine="660" w:firstLineChars="275"/>
        <w:rPr>
          <w:rFonts w:asciiTheme="minorEastAsia" w:hAnsiTheme="minorEastAsia" w:eastAsiaTheme="minorEastAsia"/>
        </w:rPr>
      </w:pPr>
      <w:r>
        <w:rPr>
          <w:rFonts w:asciiTheme="minorEastAsia" w:hAnsiTheme="minorEastAsia" w:eastAsiaTheme="minor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2"/>
        <w:tabs>
          <w:tab w:val="clear" w:pos="567"/>
        </w:tabs>
        <w:spacing w:before="0" w:line="360" w:lineRule="auto"/>
        <w:ind w:left="-181" w:leftChars="-86" w:firstLine="660" w:firstLineChars="275"/>
        <w:rPr>
          <w:rFonts w:asciiTheme="minorEastAsia" w:hAnsiTheme="minorEastAsia" w:eastAsiaTheme="minorEastAsia"/>
        </w:rPr>
      </w:pPr>
    </w:p>
    <w:p>
      <w:pPr>
        <w:pStyle w:val="12"/>
        <w:tabs>
          <w:tab w:val="clear" w:pos="567"/>
        </w:tabs>
        <w:spacing w:before="0" w:line="360" w:lineRule="auto"/>
        <w:ind w:left="-181" w:leftChars="-86" w:firstLine="660" w:firstLineChars="275"/>
        <w:rPr>
          <w:rFonts w:asciiTheme="minorEastAsia" w:hAnsiTheme="minorEastAsia" w:eastAsiaTheme="minorEastAsia"/>
        </w:rPr>
      </w:pPr>
    </w:p>
    <w:p>
      <w:pPr>
        <w:pStyle w:val="12"/>
        <w:tabs>
          <w:tab w:val="clear" w:pos="567"/>
        </w:tabs>
        <w:spacing w:before="0" w:line="320" w:lineRule="exact"/>
        <w:jc w:val="center"/>
        <w:rPr>
          <w:rFonts w:asciiTheme="minorEastAsia" w:hAnsiTheme="minorEastAsia" w:eastAsiaTheme="minorEastAsia"/>
        </w:rPr>
      </w:pPr>
      <w:r>
        <w:rPr>
          <w:rFonts w:asciiTheme="minorEastAsia" w:hAnsiTheme="minorEastAsia" w:eastAsiaTheme="minorEastAsia"/>
        </w:rPr>
        <w:br w:type="page"/>
      </w:r>
      <w:bookmarkStart w:id="299" w:name="_Toc108720994"/>
      <w:bookmarkStart w:id="300" w:name="_Toc108721139"/>
    </w:p>
    <w:p>
      <w:pPr>
        <w:pStyle w:val="12"/>
        <w:tabs>
          <w:tab w:val="clear" w:pos="567"/>
        </w:tabs>
        <w:spacing w:before="0" w:line="360" w:lineRule="auto"/>
        <w:jc w:val="center"/>
        <w:rPr>
          <w:rFonts w:cs="宋体"/>
          <w:b/>
        </w:rPr>
      </w:pPr>
      <w:r>
        <w:rPr>
          <w:rFonts w:hint="eastAsia" w:cs="宋体"/>
          <w:b/>
        </w:rPr>
        <w:t>评审因素和指标</w:t>
      </w:r>
    </w:p>
    <w:p>
      <w:pPr>
        <w:widowControl/>
        <w:spacing w:line="360" w:lineRule="auto"/>
        <w:rPr>
          <w:rFonts w:ascii="宋体" w:hAnsi="宋体" w:cs="宋体"/>
          <w:sz w:val="24"/>
        </w:rPr>
      </w:pPr>
      <w:r>
        <w:rPr>
          <w:rFonts w:hint="eastAsia" w:ascii="宋体" w:hAnsi="宋体" w:cs="宋体"/>
          <w:sz w:val="24"/>
        </w:rPr>
        <w:t>1、资格审查</w:t>
      </w:r>
      <w:r>
        <w:rPr>
          <w:rFonts w:hint="eastAsia" w:ascii="宋体" w:hAnsi="宋体" w:cs="宋体"/>
          <w:sz w:val="24"/>
          <w:lang w:eastAsia="zh-CN"/>
        </w:rPr>
        <w:t>（</w:t>
      </w:r>
      <w:r>
        <w:rPr>
          <w:rFonts w:hint="eastAsia" w:ascii="宋体" w:hAnsi="宋体" w:cs="宋体"/>
          <w:sz w:val="24"/>
          <w:lang w:val="en-US" w:eastAsia="zh-CN"/>
        </w:rPr>
        <w:t>第1包及第2包）</w:t>
      </w:r>
      <w:r>
        <w:rPr>
          <w:rFonts w:hint="eastAsia" w:ascii="宋体" w:hAnsi="宋体" w:cs="宋体"/>
          <w:sz w:val="24"/>
        </w:rPr>
        <w:t>：</w:t>
      </w:r>
    </w:p>
    <w:tbl>
      <w:tblPr>
        <w:tblStyle w:val="35"/>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56"/>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pStyle w:val="12"/>
              <w:tabs>
                <w:tab w:val="clear" w:pos="567"/>
              </w:tabs>
              <w:spacing w:before="0" w:line="380" w:lineRule="exact"/>
              <w:jc w:val="center"/>
              <w:rPr>
                <w:rFonts w:cs="宋体"/>
              </w:rPr>
            </w:pPr>
            <w:r>
              <w:rPr>
                <w:rFonts w:hint="eastAsia" w:cs="宋体"/>
              </w:rPr>
              <w:t>序号</w:t>
            </w:r>
          </w:p>
        </w:tc>
        <w:tc>
          <w:tcPr>
            <w:tcW w:w="1556" w:type="dxa"/>
            <w:vAlign w:val="center"/>
          </w:tcPr>
          <w:p>
            <w:pPr>
              <w:pStyle w:val="12"/>
              <w:tabs>
                <w:tab w:val="clear" w:pos="567"/>
              </w:tabs>
              <w:spacing w:before="0" w:line="380" w:lineRule="exact"/>
              <w:jc w:val="center"/>
              <w:rPr>
                <w:rFonts w:cs="宋体"/>
              </w:rPr>
            </w:pPr>
            <w:r>
              <w:rPr>
                <w:rFonts w:hint="eastAsia" w:cs="宋体"/>
              </w:rPr>
              <w:t>审查项目</w:t>
            </w:r>
          </w:p>
        </w:tc>
        <w:tc>
          <w:tcPr>
            <w:tcW w:w="6341" w:type="dxa"/>
            <w:vAlign w:val="center"/>
          </w:tcPr>
          <w:p>
            <w:pPr>
              <w:pStyle w:val="12"/>
              <w:tabs>
                <w:tab w:val="clear" w:pos="567"/>
              </w:tabs>
              <w:spacing w:before="0" w:line="380" w:lineRule="exact"/>
              <w:jc w:val="center"/>
              <w:rPr>
                <w:rFonts w:cs="宋体"/>
              </w:rPr>
            </w:pPr>
            <w:r>
              <w:rPr>
                <w:rFonts w:hint="eastAsia" w:cs="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61" w:type="dxa"/>
            <w:vAlign w:val="center"/>
          </w:tcPr>
          <w:p>
            <w:pPr>
              <w:pStyle w:val="12"/>
              <w:tabs>
                <w:tab w:val="clear" w:pos="567"/>
              </w:tabs>
              <w:spacing w:before="0" w:line="380" w:lineRule="exact"/>
              <w:jc w:val="center"/>
              <w:rPr>
                <w:rFonts w:cs="宋体"/>
              </w:rPr>
            </w:pPr>
            <w:r>
              <w:rPr>
                <w:rFonts w:hint="eastAsia" w:cs="宋体"/>
              </w:rPr>
              <w:t>1</w:t>
            </w:r>
          </w:p>
        </w:tc>
        <w:tc>
          <w:tcPr>
            <w:tcW w:w="1556" w:type="dxa"/>
            <w:vAlign w:val="center"/>
          </w:tcPr>
          <w:p>
            <w:pPr>
              <w:pStyle w:val="12"/>
              <w:tabs>
                <w:tab w:val="clear" w:pos="567"/>
              </w:tabs>
              <w:spacing w:before="0" w:line="380" w:lineRule="exact"/>
              <w:jc w:val="center"/>
              <w:rPr>
                <w:rFonts w:cs="宋体"/>
              </w:rPr>
            </w:pPr>
            <w:r>
              <w:rPr>
                <w:rFonts w:hint="eastAsia" w:cs="宋体"/>
              </w:rPr>
              <w:t>满足《中华人民共和国政府采购法》第二十二条规定</w:t>
            </w:r>
          </w:p>
        </w:tc>
        <w:tc>
          <w:tcPr>
            <w:tcW w:w="6341" w:type="dxa"/>
            <w:vAlign w:val="center"/>
          </w:tcPr>
          <w:p>
            <w:pPr>
              <w:spacing w:line="350" w:lineRule="exact"/>
              <w:rPr>
                <w:rFonts w:ascii="宋体" w:hAnsi="宋体" w:cs="宋体"/>
                <w:sz w:val="24"/>
              </w:rPr>
            </w:pPr>
            <w:r>
              <w:rPr>
                <w:rFonts w:hint="eastAsia" w:ascii="宋体" w:hAnsi="宋体" w:cs="宋体"/>
                <w:sz w:val="24"/>
              </w:rPr>
              <w:t>1.提供有效合格的具有社会统一信用代码的营业执照，其他组织经营的须提供合法凭证，自然人提供身份证明文件；</w:t>
            </w:r>
          </w:p>
          <w:p>
            <w:pPr>
              <w:spacing w:line="350" w:lineRule="exact"/>
              <w:rPr>
                <w:rFonts w:ascii="宋体" w:hAnsi="宋体" w:cs="宋体"/>
                <w:sz w:val="24"/>
              </w:rPr>
            </w:pPr>
            <w:r>
              <w:rPr>
                <w:rFonts w:hint="eastAsia" w:ascii="宋体" w:hAnsi="宋体" w:cs="宋体"/>
                <w:sz w:val="24"/>
              </w:rPr>
              <w:t>2.</w:t>
            </w:r>
            <w:r>
              <w:rPr>
                <w:rFonts w:hint="eastAsia" w:asciiTheme="minorEastAsia" w:hAnsiTheme="minorEastAsia" w:eastAsiaTheme="minorEastAsia"/>
                <w:sz w:val="24"/>
              </w:rPr>
              <w:t>财务状况报告：</w:t>
            </w:r>
            <w:r>
              <w:rPr>
                <w:rFonts w:hint="eastAsia" w:asciiTheme="minorEastAsia" w:hAnsiTheme="minorEastAsia" w:eastAsiaTheme="minorEastAsia"/>
                <w:sz w:val="24"/>
                <w:lang w:eastAsia="zh-CN"/>
              </w:rPr>
              <w:t>提供2021年度或2022年度经审计的财务报告</w:t>
            </w:r>
            <w:r>
              <w:rPr>
                <w:rFonts w:hint="eastAsia" w:asciiTheme="minorEastAsia" w:hAnsiTheme="minorEastAsia" w:eastAsiaTheme="minorEastAsia"/>
                <w:sz w:val="24"/>
              </w:rPr>
              <w:t>或开标日期前三个月内其基本存款账户开户银行出具的资信证明及基本存款账户开户许可证（基本账户信息表）或财政部门认可的政府采购专业担保机构出具的投标担保函</w:t>
            </w:r>
            <w:r>
              <w:rPr>
                <w:rFonts w:hint="eastAsia" w:ascii="宋体" w:hAnsi="宋体" w:cs="宋体"/>
                <w:sz w:val="24"/>
              </w:rPr>
              <w:t>；</w:t>
            </w:r>
          </w:p>
          <w:p>
            <w:pPr>
              <w:spacing w:line="350" w:lineRule="exact"/>
              <w:rPr>
                <w:rFonts w:ascii="宋体" w:hAnsi="宋体" w:cs="宋体"/>
                <w:sz w:val="24"/>
              </w:rPr>
            </w:pPr>
            <w:r>
              <w:rPr>
                <w:rFonts w:hint="eastAsia" w:ascii="宋体" w:hAnsi="宋体" w:cs="宋体"/>
                <w:sz w:val="24"/>
              </w:rPr>
              <w:t>3.</w:t>
            </w:r>
            <w:r>
              <w:rPr>
                <w:rFonts w:hint="eastAsia" w:asciiTheme="minorEastAsia" w:hAnsiTheme="minorEastAsia" w:eastAsiaTheme="minorEastAsia"/>
                <w:sz w:val="24"/>
              </w:rPr>
              <w:t>税收缴纳证明：提供2022年10月至今已缴纳的至少一个月的纳税证明(任意税种），依法免税的单位应提供相关证明材料</w:t>
            </w:r>
            <w:r>
              <w:rPr>
                <w:rFonts w:hint="eastAsia" w:ascii="宋体" w:hAnsi="宋体" w:cs="宋体"/>
                <w:sz w:val="24"/>
              </w:rPr>
              <w:t>；</w:t>
            </w:r>
          </w:p>
          <w:p>
            <w:pPr>
              <w:spacing w:line="350" w:lineRule="exact"/>
              <w:rPr>
                <w:rFonts w:ascii="宋体" w:hAnsi="宋体" w:cs="宋体"/>
                <w:sz w:val="24"/>
              </w:rPr>
            </w:pPr>
            <w:r>
              <w:rPr>
                <w:rFonts w:hint="eastAsia" w:ascii="宋体" w:hAnsi="宋体" w:cs="宋体"/>
                <w:sz w:val="24"/>
              </w:rPr>
              <w:t>4.</w:t>
            </w:r>
            <w:r>
              <w:rPr>
                <w:rFonts w:hint="eastAsia" w:asciiTheme="minorEastAsia" w:hAnsiTheme="minorEastAsia" w:eastAsiaTheme="minorEastAsia"/>
                <w:sz w:val="24"/>
              </w:rPr>
              <w:t>社会保障资金缴纳证明：提供2022年10月至今已缴存的至少一个月的社会保障资金缴存单据或社保机构开具的社会保险参保缴费情况证明，依法不需要缴纳社会保障资金的单位应提供相关证明材料</w:t>
            </w:r>
            <w:r>
              <w:rPr>
                <w:rFonts w:hint="eastAsia" w:ascii="宋体" w:hAnsi="宋体" w:cs="宋体"/>
                <w:sz w:val="24"/>
              </w:rPr>
              <w:t>；</w:t>
            </w:r>
          </w:p>
          <w:p>
            <w:pPr>
              <w:spacing w:line="350" w:lineRule="exact"/>
              <w:rPr>
                <w:rFonts w:ascii="宋体" w:hAnsi="宋体" w:cs="宋体"/>
                <w:sz w:val="24"/>
              </w:rPr>
            </w:pPr>
            <w:r>
              <w:rPr>
                <w:rFonts w:hint="eastAsia" w:ascii="宋体" w:hAnsi="宋体" w:cs="宋体"/>
                <w:sz w:val="24"/>
              </w:rPr>
              <w:t>5.</w:t>
            </w:r>
            <w:r>
              <w:rPr>
                <w:rFonts w:hint="eastAsia" w:asciiTheme="minorEastAsia" w:hAnsiTheme="minorEastAsia" w:eastAsiaTheme="minorEastAsia"/>
                <w:sz w:val="24"/>
              </w:rPr>
              <w:t>具备履行合同所必须的设备和专业技术能力的书面声明</w:t>
            </w:r>
            <w:r>
              <w:rPr>
                <w:rFonts w:hint="eastAsia" w:ascii="宋体" w:hAnsi="宋体" w:cs="宋体"/>
                <w:sz w:val="24"/>
              </w:rPr>
              <w:t>；</w:t>
            </w:r>
          </w:p>
          <w:p>
            <w:pPr>
              <w:spacing w:line="350" w:lineRule="exact"/>
              <w:rPr>
                <w:rFonts w:ascii="宋体" w:hAnsi="宋体" w:cs="宋体"/>
                <w:sz w:val="24"/>
              </w:rPr>
            </w:pPr>
            <w:r>
              <w:rPr>
                <w:rFonts w:hint="eastAsia" w:ascii="宋体" w:hAnsi="宋体" w:cs="宋体"/>
                <w:sz w:val="24"/>
              </w:rPr>
              <w:t>6.</w:t>
            </w:r>
            <w:r>
              <w:rPr>
                <w:rFonts w:hint="eastAsia" w:asciiTheme="minorEastAsia" w:hAnsiTheme="minorEastAsia" w:eastAsiaTheme="minorEastAsia"/>
                <w:sz w:val="24"/>
              </w:rPr>
              <w:t>参加政府采购活动前三年内，在经营活动中没有重大违法记录的书面声明</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1" w:type="dxa"/>
            <w:vAlign w:val="center"/>
          </w:tcPr>
          <w:p>
            <w:pPr>
              <w:pStyle w:val="12"/>
              <w:tabs>
                <w:tab w:val="clear" w:pos="567"/>
              </w:tabs>
              <w:spacing w:before="0" w:line="380" w:lineRule="exact"/>
              <w:jc w:val="center"/>
              <w:rPr>
                <w:rFonts w:cs="宋体"/>
              </w:rPr>
            </w:pPr>
            <w:r>
              <w:rPr>
                <w:rFonts w:hint="eastAsia" w:cs="宋体"/>
              </w:rPr>
              <w:t>2</w:t>
            </w:r>
          </w:p>
        </w:tc>
        <w:tc>
          <w:tcPr>
            <w:tcW w:w="1556" w:type="dxa"/>
            <w:vAlign w:val="center"/>
          </w:tcPr>
          <w:p>
            <w:pPr>
              <w:pStyle w:val="12"/>
              <w:tabs>
                <w:tab w:val="clear" w:pos="567"/>
              </w:tabs>
              <w:spacing w:before="0" w:line="380" w:lineRule="exact"/>
              <w:jc w:val="center"/>
              <w:rPr>
                <w:rFonts w:cs="宋体"/>
              </w:rPr>
            </w:pPr>
            <w:r>
              <w:rPr>
                <w:rFonts w:hint="eastAsia" w:cs="宋体"/>
              </w:rPr>
              <w:t>特定资格条件</w:t>
            </w:r>
          </w:p>
        </w:tc>
        <w:tc>
          <w:tcPr>
            <w:tcW w:w="6341" w:type="dxa"/>
            <w:vAlign w:val="center"/>
          </w:tcPr>
          <w:p>
            <w:pPr>
              <w:spacing w:line="350" w:lineRule="exact"/>
              <w:rPr>
                <w:rFonts w:ascii="宋体" w:hAnsi="宋体" w:cs="宋体"/>
                <w:sz w:val="24"/>
              </w:rPr>
            </w:pPr>
            <w:r>
              <w:rPr>
                <w:rFonts w:hint="eastAsia" w:ascii="宋体" w:hAnsi="宋体" w:cs="宋体"/>
                <w:sz w:val="24"/>
              </w:rPr>
              <w:t>1.</w:t>
            </w:r>
            <w:r>
              <w:rPr>
                <w:rFonts w:hint="eastAsia" w:asciiTheme="minorEastAsia" w:hAnsiTheme="minorEastAsia" w:eastAsiaTheme="minorEastAsia"/>
                <w:sz w:val="24"/>
              </w:rPr>
              <w:t>投标人未被列入“中国执行信息公开网”（http://zxgk.court.gov.cn/shixin/）失信被执行人名单，未被列入“信用中国”网站（www.creditchina.gov.cn）重大税收违法失信主体，未被列入“中国政府采购网”（www.ccgp.gov.cn）政府采购严重违法失信行为记录名单</w:t>
            </w:r>
            <w:r>
              <w:rPr>
                <w:rFonts w:hint="eastAsia" w:ascii="宋体" w:hAnsi="宋体" w:cs="宋体"/>
                <w:sz w:val="24"/>
              </w:rPr>
              <w:t>；</w:t>
            </w:r>
          </w:p>
          <w:p>
            <w:pPr>
              <w:spacing w:line="350" w:lineRule="exact"/>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.法定代表人（或单位负责人）直接参加投标的，须出具法定代表人（或单位负责人）身份证，非法定代表人（或单位负责人）参加投标，须出具法定代表人（或单位负责人）授权书及被授权人身份证；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61" w:type="dxa"/>
            <w:vAlign w:val="center"/>
          </w:tcPr>
          <w:p>
            <w:pPr>
              <w:pStyle w:val="12"/>
              <w:tabs>
                <w:tab w:val="clear" w:pos="567"/>
              </w:tabs>
              <w:spacing w:before="0" w:line="380" w:lineRule="exact"/>
              <w:jc w:val="center"/>
              <w:rPr>
                <w:rFonts w:cs="宋体"/>
              </w:rPr>
            </w:pPr>
            <w:r>
              <w:rPr>
                <w:rFonts w:hint="eastAsia" w:cs="宋体"/>
              </w:rPr>
              <w:t>3</w:t>
            </w:r>
          </w:p>
        </w:tc>
        <w:tc>
          <w:tcPr>
            <w:tcW w:w="1556" w:type="dxa"/>
            <w:vAlign w:val="center"/>
          </w:tcPr>
          <w:p>
            <w:pPr>
              <w:pStyle w:val="12"/>
              <w:tabs>
                <w:tab w:val="clear" w:pos="567"/>
              </w:tabs>
              <w:spacing w:before="0" w:line="380" w:lineRule="exact"/>
              <w:jc w:val="center"/>
              <w:rPr>
                <w:rFonts w:cs="宋体"/>
              </w:rPr>
            </w:pPr>
            <w:r>
              <w:rPr>
                <w:rFonts w:hint="eastAsia" w:cs="宋体"/>
              </w:rPr>
              <w:t>投标人不得存在的情形</w:t>
            </w:r>
          </w:p>
        </w:tc>
        <w:tc>
          <w:tcPr>
            <w:tcW w:w="6341" w:type="dxa"/>
            <w:vAlign w:val="center"/>
          </w:tcPr>
          <w:p>
            <w:pPr>
              <w:pStyle w:val="12"/>
              <w:tabs>
                <w:tab w:val="clear" w:pos="567"/>
              </w:tabs>
              <w:spacing w:before="0" w:line="380" w:lineRule="exact"/>
            </w:pPr>
            <w:r>
              <w:rPr>
                <w:rFonts w:hint="eastAsia"/>
              </w:rPr>
              <w:t>1、投标单位负责人为同一人或者存在控股、管理关系的不同单位，不得参加同一合同项下的政府采购活动；</w:t>
            </w:r>
          </w:p>
          <w:p>
            <w:pPr>
              <w:pStyle w:val="12"/>
              <w:tabs>
                <w:tab w:val="clear" w:pos="567"/>
              </w:tabs>
              <w:spacing w:before="0" w:line="380" w:lineRule="exact"/>
            </w:pPr>
            <w:r>
              <w:rPr>
                <w:rFonts w:hint="eastAsia"/>
              </w:rPr>
              <w:t>2、为本项目不允许联合体投标。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58" w:type="dxa"/>
            <w:gridSpan w:val="3"/>
            <w:vAlign w:val="center"/>
          </w:tcPr>
          <w:p>
            <w:pPr>
              <w:pStyle w:val="12"/>
              <w:tabs>
                <w:tab w:val="clear" w:pos="567"/>
              </w:tabs>
              <w:spacing w:before="0" w:line="380" w:lineRule="exact"/>
              <w:jc w:val="center"/>
              <w:rPr>
                <w:rFonts w:cs="宋体"/>
              </w:rPr>
            </w:pPr>
            <w:r>
              <w:rPr>
                <w:rFonts w:hint="eastAsia" w:cs="宋体"/>
                <w:b/>
                <w:bCs/>
              </w:rPr>
              <w:t>备注：以上资料的扫描件、复印件必须加盖投标人公章。</w:t>
            </w:r>
          </w:p>
        </w:tc>
      </w:tr>
    </w:tbl>
    <w:p>
      <w:pPr>
        <w:pStyle w:val="51"/>
        <w:rPr>
          <w:rFonts w:ascii="宋体" w:hAnsi="宋体" w:cs="宋体"/>
          <w:sz w:val="24"/>
          <w:szCs w:val="24"/>
        </w:rPr>
      </w:pPr>
    </w:p>
    <w:p>
      <w:pPr>
        <w:rPr>
          <w:rFonts w:ascii="宋体" w:hAnsi="宋体" w:cs="宋体"/>
          <w:sz w:val="24"/>
          <w:szCs w:val="24"/>
        </w:rPr>
      </w:pPr>
      <w:r>
        <w:rPr>
          <w:rFonts w:ascii="宋体" w:hAnsi="宋体" w:cs="宋体"/>
          <w:sz w:val="24"/>
          <w:szCs w:val="24"/>
        </w:rPr>
        <w:br w:type="page"/>
      </w:r>
    </w:p>
    <w:p>
      <w:pPr>
        <w:widowControl/>
        <w:spacing w:line="360" w:lineRule="auto"/>
        <w:rPr>
          <w:rFonts w:ascii="宋体" w:hAnsi="宋体" w:cs="宋体"/>
          <w:sz w:val="24"/>
        </w:rPr>
      </w:pPr>
      <w:r>
        <w:rPr>
          <w:rFonts w:hint="eastAsia" w:ascii="宋体" w:hAnsi="宋体" w:cs="宋体"/>
          <w:sz w:val="24"/>
        </w:rPr>
        <w:t>2、符合性审查</w:t>
      </w:r>
      <w:r>
        <w:rPr>
          <w:rFonts w:hint="eastAsia" w:ascii="宋体" w:hAnsi="宋体" w:cs="宋体"/>
          <w:sz w:val="24"/>
          <w:lang w:eastAsia="zh-CN"/>
        </w:rPr>
        <w:t>（</w:t>
      </w:r>
      <w:r>
        <w:rPr>
          <w:rFonts w:hint="eastAsia" w:ascii="宋体" w:hAnsi="宋体" w:cs="宋体"/>
          <w:sz w:val="24"/>
          <w:lang w:val="en-US" w:eastAsia="zh-CN"/>
        </w:rPr>
        <w:t>第1包及第2包）</w:t>
      </w:r>
      <w:r>
        <w:rPr>
          <w:rFonts w:hint="eastAsia" w:ascii="宋体" w:hAnsi="宋体" w:cs="宋体"/>
          <w:sz w:val="24"/>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376"/>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tabs>
                <w:tab w:val="clear" w:pos="567"/>
              </w:tabs>
              <w:spacing w:before="0" w:line="360" w:lineRule="auto"/>
              <w:jc w:val="center"/>
              <w:rPr>
                <w:rFonts w:cs="宋体"/>
              </w:rPr>
            </w:pPr>
            <w:r>
              <w:rPr>
                <w:rFonts w:hint="eastAsia" w:cs="宋体"/>
              </w:rPr>
              <w:t>序号</w:t>
            </w:r>
          </w:p>
        </w:tc>
        <w:tc>
          <w:tcPr>
            <w:tcW w:w="2376" w:type="dxa"/>
            <w:vAlign w:val="center"/>
          </w:tcPr>
          <w:p>
            <w:pPr>
              <w:pStyle w:val="12"/>
              <w:tabs>
                <w:tab w:val="clear" w:pos="567"/>
              </w:tabs>
              <w:spacing w:before="0" w:line="360" w:lineRule="auto"/>
              <w:jc w:val="center"/>
              <w:rPr>
                <w:rFonts w:cs="宋体"/>
              </w:rPr>
            </w:pPr>
            <w:r>
              <w:rPr>
                <w:rFonts w:hint="eastAsia" w:cs="宋体"/>
              </w:rPr>
              <w:t>审查项目</w:t>
            </w:r>
          </w:p>
        </w:tc>
        <w:tc>
          <w:tcPr>
            <w:tcW w:w="6093" w:type="dxa"/>
            <w:vAlign w:val="center"/>
          </w:tcPr>
          <w:p>
            <w:pPr>
              <w:pStyle w:val="12"/>
              <w:tabs>
                <w:tab w:val="clear" w:pos="567"/>
              </w:tabs>
              <w:spacing w:before="0" w:line="360" w:lineRule="auto"/>
              <w:jc w:val="center"/>
              <w:rPr>
                <w:rFonts w:cs="宋体"/>
              </w:rPr>
            </w:pPr>
            <w:r>
              <w:rPr>
                <w:rFonts w:hint="eastAsia" w:cs="宋体"/>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12"/>
              <w:tabs>
                <w:tab w:val="clear" w:pos="567"/>
              </w:tabs>
              <w:spacing w:before="0" w:line="360" w:lineRule="auto"/>
              <w:jc w:val="center"/>
              <w:rPr>
                <w:rFonts w:cs="宋体"/>
              </w:rPr>
            </w:pPr>
            <w:r>
              <w:rPr>
                <w:rFonts w:hint="eastAsia" w:cs="宋体"/>
              </w:rPr>
              <w:t>1</w:t>
            </w:r>
          </w:p>
        </w:tc>
        <w:tc>
          <w:tcPr>
            <w:tcW w:w="2376" w:type="dxa"/>
            <w:vAlign w:val="center"/>
          </w:tcPr>
          <w:p>
            <w:pPr>
              <w:pStyle w:val="12"/>
              <w:tabs>
                <w:tab w:val="clear" w:pos="567"/>
              </w:tabs>
              <w:spacing w:before="0" w:line="360" w:lineRule="auto"/>
              <w:jc w:val="center"/>
              <w:rPr>
                <w:rFonts w:cs="宋体"/>
              </w:rPr>
            </w:pPr>
            <w:r>
              <w:rPr>
                <w:rFonts w:hint="eastAsia" w:cs="宋体"/>
              </w:rPr>
              <w:t>签署、盖章</w:t>
            </w:r>
          </w:p>
        </w:tc>
        <w:tc>
          <w:tcPr>
            <w:tcW w:w="6093" w:type="dxa"/>
            <w:vAlign w:val="center"/>
          </w:tcPr>
          <w:p>
            <w:pPr>
              <w:pStyle w:val="12"/>
              <w:spacing w:line="360" w:lineRule="auto"/>
              <w:rPr>
                <w:rFonts w:cs="宋体"/>
              </w:rPr>
            </w:pPr>
            <w:r>
              <w:rPr>
                <w:rFonts w:hint="eastAsia" w:cs="宋体"/>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12"/>
              <w:tabs>
                <w:tab w:val="clear" w:pos="567"/>
              </w:tabs>
              <w:spacing w:before="0" w:line="360" w:lineRule="auto"/>
              <w:jc w:val="center"/>
              <w:rPr>
                <w:rFonts w:cs="宋体"/>
              </w:rPr>
            </w:pPr>
            <w:r>
              <w:rPr>
                <w:rFonts w:hint="eastAsia" w:cs="宋体"/>
              </w:rPr>
              <w:t>2</w:t>
            </w:r>
          </w:p>
        </w:tc>
        <w:tc>
          <w:tcPr>
            <w:tcW w:w="2376" w:type="dxa"/>
            <w:vAlign w:val="center"/>
          </w:tcPr>
          <w:p>
            <w:pPr>
              <w:pStyle w:val="12"/>
              <w:tabs>
                <w:tab w:val="clear" w:pos="567"/>
              </w:tabs>
              <w:spacing w:before="0" w:line="360" w:lineRule="auto"/>
              <w:jc w:val="center"/>
              <w:rPr>
                <w:rFonts w:cs="宋体"/>
              </w:rPr>
            </w:pPr>
            <w:r>
              <w:rPr>
                <w:rFonts w:hint="eastAsia" w:cs="宋体"/>
              </w:rPr>
              <w:t>投标报价</w:t>
            </w:r>
          </w:p>
        </w:tc>
        <w:tc>
          <w:tcPr>
            <w:tcW w:w="6093" w:type="dxa"/>
            <w:vAlign w:val="center"/>
          </w:tcPr>
          <w:p>
            <w:pPr>
              <w:pStyle w:val="12"/>
              <w:tabs>
                <w:tab w:val="clear" w:pos="567"/>
              </w:tabs>
              <w:spacing w:before="0" w:line="360" w:lineRule="auto"/>
              <w:rPr>
                <w:rFonts w:cs="宋体"/>
              </w:rPr>
            </w:pPr>
            <w:r>
              <w:rPr>
                <w:rFonts w:hint="eastAsia" w:cs="宋体"/>
              </w:rPr>
              <w:t>投标人投标报价超出采购预算或最高限价的；标产品分项报价超出分项采购预算或分项最高限价的。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12"/>
              <w:tabs>
                <w:tab w:val="clear" w:pos="567"/>
              </w:tabs>
              <w:spacing w:before="0" w:line="360" w:lineRule="auto"/>
              <w:jc w:val="center"/>
              <w:rPr>
                <w:rFonts w:cs="宋体"/>
              </w:rPr>
            </w:pPr>
            <w:r>
              <w:rPr>
                <w:rFonts w:hint="eastAsia" w:cs="宋体"/>
              </w:rPr>
              <w:t>3</w:t>
            </w:r>
          </w:p>
        </w:tc>
        <w:tc>
          <w:tcPr>
            <w:tcW w:w="2376" w:type="dxa"/>
            <w:vAlign w:val="center"/>
          </w:tcPr>
          <w:p>
            <w:pPr>
              <w:pStyle w:val="12"/>
              <w:tabs>
                <w:tab w:val="clear" w:pos="567"/>
              </w:tabs>
              <w:spacing w:before="0" w:line="360" w:lineRule="auto"/>
              <w:jc w:val="center"/>
              <w:rPr>
                <w:rFonts w:cs="宋体"/>
              </w:rPr>
            </w:pPr>
            <w:r>
              <w:rPr>
                <w:rFonts w:hint="eastAsia" w:cs="宋体"/>
              </w:rPr>
              <w:t>报价合理性</w:t>
            </w:r>
          </w:p>
        </w:tc>
        <w:tc>
          <w:tcPr>
            <w:tcW w:w="6093" w:type="dxa"/>
            <w:vAlign w:val="center"/>
          </w:tcPr>
          <w:p>
            <w:pPr>
              <w:pStyle w:val="12"/>
              <w:tabs>
                <w:tab w:val="clear" w:pos="567"/>
              </w:tabs>
              <w:spacing w:before="0" w:line="360" w:lineRule="auto"/>
              <w:rPr>
                <w:rFonts w:cs="宋体"/>
              </w:rPr>
            </w:pPr>
            <w:r>
              <w:rPr>
                <w:rFonts w:hint="eastAsia" w:cs="宋体"/>
              </w:rPr>
              <w:t>投标人的报价明显低于其他通过符合性审查投标人的报价，有可能影响服务质量或者不能诚信履约的，且投标人不能证明其报价合理性的。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12"/>
              <w:tabs>
                <w:tab w:val="clear" w:pos="567"/>
              </w:tabs>
              <w:spacing w:before="0" w:line="360" w:lineRule="auto"/>
              <w:jc w:val="center"/>
              <w:rPr>
                <w:rFonts w:cs="宋体"/>
              </w:rPr>
            </w:pPr>
            <w:r>
              <w:rPr>
                <w:rFonts w:hint="eastAsia" w:cs="宋体"/>
              </w:rPr>
              <w:t>4</w:t>
            </w:r>
          </w:p>
        </w:tc>
        <w:tc>
          <w:tcPr>
            <w:tcW w:w="2376" w:type="dxa"/>
            <w:vAlign w:val="center"/>
          </w:tcPr>
          <w:p>
            <w:pPr>
              <w:pStyle w:val="12"/>
              <w:tabs>
                <w:tab w:val="clear" w:pos="567"/>
              </w:tabs>
              <w:spacing w:before="0" w:line="360" w:lineRule="auto"/>
              <w:jc w:val="center"/>
              <w:rPr>
                <w:rFonts w:cs="宋体"/>
              </w:rPr>
            </w:pPr>
            <w:r>
              <w:rPr>
                <w:rFonts w:hint="eastAsia" w:cs="宋体"/>
              </w:rPr>
              <w:t>投标内容</w:t>
            </w:r>
          </w:p>
        </w:tc>
        <w:tc>
          <w:tcPr>
            <w:tcW w:w="6093" w:type="dxa"/>
            <w:vAlign w:val="center"/>
          </w:tcPr>
          <w:p>
            <w:pPr>
              <w:pStyle w:val="12"/>
              <w:tabs>
                <w:tab w:val="clear" w:pos="567"/>
              </w:tabs>
              <w:spacing w:before="0" w:line="360" w:lineRule="auto"/>
              <w:rPr>
                <w:rFonts w:cs="宋体"/>
              </w:rPr>
            </w:pPr>
            <w:r>
              <w:rPr>
                <w:rFonts w:hint="eastAsia" w:cs="宋体"/>
              </w:rPr>
              <w:t>投标内容出现漏项或与要求不符或投标内容的技术指标达不到招标文件要求，造成采购档次降低或影响服务实质性内容。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12"/>
              <w:tabs>
                <w:tab w:val="clear" w:pos="567"/>
              </w:tabs>
              <w:spacing w:before="0" w:line="360" w:lineRule="auto"/>
              <w:jc w:val="center"/>
              <w:rPr>
                <w:rFonts w:cs="宋体"/>
              </w:rPr>
            </w:pPr>
            <w:r>
              <w:rPr>
                <w:rFonts w:hint="eastAsia" w:cs="宋体"/>
              </w:rPr>
              <w:t>5</w:t>
            </w:r>
          </w:p>
        </w:tc>
        <w:tc>
          <w:tcPr>
            <w:tcW w:w="2376" w:type="dxa"/>
            <w:vAlign w:val="center"/>
          </w:tcPr>
          <w:p>
            <w:pPr>
              <w:pStyle w:val="12"/>
              <w:tabs>
                <w:tab w:val="clear" w:pos="567"/>
              </w:tabs>
              <w:spacing w:before="0" w:line="360" w:lineRule="auto"/>
              <w:jc w:val="center"/>
              <w:rPr>
                <w:rFonts w:cs="宋体"/>
              </w:rPr>
            </w:pPr>
            <w:r>
              <w:rPr>
                <w:rFonts w:hint="eastAsia" w:cs="宋体"/>
              </w:rPr>
              <w:t>其它情形</w:t>
            </w:r>
          </w:p>
        </w:tc>
        <w:tc>
          <w:tcPr>
            <w:tcW w:w="6093" w:type="dxa"/>
            <w:vAlign w:val="center"/>
          </w:tcPr>
          <w:p>
            <w:pPr>
              <w:pStyle w:val="12"/>
              <w:tabs>
                <w:tab w:val="clear" w:pos="567"/>
              </w:tabs>
              <w:spacing w:before="0" w:line="360" w:lineRule="auto"/>
              <w:rPr>
                <w:rFonts w:cs="宋体"/>
              </w:rPr>
            </w:pPr>
            <w:r>
              <w:rPr>
                <w:rFonts w:hint="eastAsia" w:cs="宋体"/>
              </w:rPr>
              <w:t>存在其它不符合法律法规或招标文件规定的投标无效条款。</w:t>
            </w:r>
          </w:p>
        </w:tc>
      </w:tr>
    </w:tbl>
    <w:p>
      <w:pPr>
        <w:pStyle w:val="12"/>
        <w:tabs>
          <w:tab w:val="clear" w:pos="567"/>
        </w:tabs>
        <w:spacing w:before="0" w:line="320" w:lineRule="exact"/>
        <w:jc w:val="center"/>
        <w:rPr>
          <w:rFonts w:asciiTheme="minorEastAsia" w:hAnsiTheme="minorEastAsia" w:eastAsiaTheme="minorEastAsia"/>
          <w:b/>
          <w:sz w:val="28"/>
          <w:szCs w:val="28"/>
        </w:rPr>
      </w:pPr>
      <w:r>
        <w:rPr>
          <w:rFonts w:ascii="仿宋" w:hAnsi="仿宋" w:eastAsia="仿宋"/>
          <w:sz w:val="28"/>
          <w:szCs w:val="28"/>
        </w:rPr>
        <w:br w:type="page"/>
      </w:r>
    </w:p>
    <w:p>
      <w:pPr>
        <w:widowControl/>
        <w:spacing w:line="360" w:lineRule="auto"/>
        <w:rPr>
          <w:rFonts w:ascii="宋体" w:hAnsi="宋体" w:cs="宋体"/>
          <w:sz w:val="24"/>
        </w:rPr>
      </w:pPr>
      <w:r>
        <w:rPr>
          <w:rFonts w:hint="eastAsia" w:ascii="宋体" w:hAnsi="宋体" w:cs="宋体"/>
          <w:sz w:val="24"/>
        </w:rPr>
        <w:t>3、综合评价</w:t>
      </w:r>
      <w:r>
        <w:rPr>
          <w:rFonts w:hint="eastAsia" w:ascii="宋体" w:hAnsi="宋体" w:cs="宋体"/>
          <w:sz w:val="24"/>
          <w:lang w:eastAsia="zh-CN"/>
        </w:rPr>
        <w:t>（</w:t>
      </w:r>
      <w:r>
        <w:rPr>
          <w:rFonts w:hint="eastAsia" w:ascii="宋体" w:hAnsi="宋体" w:cs="宋体"/>
          <w:sz w:val="24"/>
          <w:lang w:val="en-US" w:eastAsia="zh-CN"/>
        </w:rPr>
        <w:t>第1包及第2包）</w:t>
      </w:r>
    </w:p>
    <w:p>
      <w:pPr>
        <w:pStyle w:val="12"/>
        <w:tabs>
          <w:tab w:val="clear" w:pos="567"/>
        </w:tabs>
        <w:spacing w:before="0" w:line="320" w:lineRule="exact"/>
        <w:jc w:val="center"/>
        <w:rPr>
          <w:rFonts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评审因素和指标</w:t>
      </w:r>
      <w:bookmarkEnd w:id="299"/>
      <w:bookmarkEnd w:id="300"/>
    </w:p>
    <w:p>
      <w:pPr>
        <w:widowControl/>
        <w:spacing w:line="320" w:lineRule="exact"/>
        <w:jc w:val="center"/>
        <w:rPr>
          <w:rFonts w:asciiTheme="minorEastAsia" w:hAnsiTheme="minorEastAsia" w:eastAsiaTheme="minorEastAsia"/>
          <w:b/>
          <w:sz w:val="28"/>
          <w:szCs w:val="28"/>
        </w:rPr>
      </w:pPr>
      <w:r>
        <w:rPr>
          <w:rFonts w:asciiTheme="minorEastAsia" w:hAnsiTheme="minorEastAsia" w:eastAsiaTheme="minorEastAsia"/>
          <w:b/>
          <w:sz w:val="28"/>
          <w:szCs w:val="28"/>
        </w:rPr>
        <w:t>（采用综合评分法时适用）</w:t>
      </w:r>
    </w:p>
    <w:tbl>
      <w:tblPr>
        <w:tblStyle w:val="35"/>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2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Cs w:val="21"/>
              </w:rPr>
            </w:pPr>
            <w:r>
              <w:rPr>
                <w:rFonts w:asciiTheme="minorEastAsia" w:hAnsiTheme="minorEastAsia" w:eastAsiaTheme="minorEastAsia"/>
                <w:szCs w:val="21"/>
              </w:rPr>
              <w:t>评标因素</w:t>
            </w:r>
          </w:p>
        </w:tc>
        <w:tc>
          <w:tcPr>
            <w:tcW w:w="924"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Cs w:val="21"/>
              </w:rPr>
            </w:pPr>
            <w:r>
              <w:rPr>
                <w:rFonts w:asciiTheme="minorEastAsia" w:hAnsiTheme="minorEastAsia" w:eastAsiaTheme="minorEastAsia"/>
                <w:szCs w:val="21"/>
              </w:rPr>
              <w:t>权值%</w:t>
            </w:r>
          </w:p>
        </w:tc>
        <w:tc>
          <w:tcPr>
            <w:tcW w:w="75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Cs w:val="21"/>
              </w:rPr>
            </w:pPr>
            <w:r>
              <w:rPr>
                <w:rFonts w:asciiTheme="minorEastAsia" w:hAnsiTheme="minorEastAsia" w:eastAsiaTheme="minorEastAsia"/>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30</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highlight w:val="none"/>
                <w:lang w:val="zh-CN"/>
              </w:rPr>
            </w:pPr>
            <w:r>
              <w:rPr>
                <w:rFonts w:asciiTheme="minorEastAsia" w:hAnsiTheme="minorEastAsia" w:eastAsiaTheme="minorEastAsia"/>
                <w:sz w:val="24"/>
                <w:highlight w:val="none"/>
                <w:lang w:val="zh-CN"/>
              </w:rPr>
              <w:t>满足招标文件要求且投标价格最低的投标报价为评标基准价，其价格分为满分。其他投标人的价格分统一按照下列公式计算：</w:t>
            </w:r>
          </w:p>
          <w:p>
            <w:pPr>
              <w:autoSpaceDE w:val="0"/>
              <w:autoSpaceDN w:val="0"/>
              <w:adjustRightInd w:val="0"/>
              <w:snapToGrid w:val="0"/>
              <w:spacing w:line="360" w:lineRule="exact"/>
              <w:rPr>
                <w:rFonts w:hint="eastAsia" w:asciiTheme="minorEastAsia" w:hAnsiTheme="minorEastAsia" w:eastAsiaTheme="minorEastAsia"/>
                <w:sz w:val="24"/>
                <w:highlight w:val="none"/>
              </w:rPr>
            </w:pPr>
            <w:r>
              <w:rPr>
                <w:rFonts w:asciiTheme="minorEastAsia" w:hAnsiTheme="minorEastAsia" w:eastAsiaTheme="minorEastAsia"/>
                <w:sz w:val="24"/>
                <w:highlight w:val="none"/>
                <w:lang w:val="zh-CN"/>
              </w:rPr>
              <w:t>投标报价得分=（评标基准价/投标报价）×</w:t>
            </w:r>
            <w:r>
              <w:rPr>
                <w:rFonts w:hint="eastAsia" w:asciiTheme="minorEastAsia" w:hAnsiTheme="minorEastAsia" w:eastAsiaTheme="minorEastAsia"/>
                <w:sz w:val="24"/>
                <w:highlight w:val="none"/>
                <w:lang w:val="zh-CN"/>
              </w:rPr>
              <w:t>3</w:t>
            </w:r>
            <w:r>
              <w:rPr>
                <w:rFonts w:hint="eastAsia" w:asciiTheme="minorEastAsia" w:hAnsiTheme="minorEastAsia" w:eastAsiaTheme="minorEastAsia"/>
                <w:sz w:val="24"/>
                <w:highlight w:val="none"/>
              </w:rPr>
              <w:t>0×100%</w:t>
            </w:r>
          </w:p>
          <w:p>
            <w:pPr>
              <w:autoSpaceDE w:val="0"/>
              <w:autoSpaceDN w:val="0"/>
              <w:adjustRightInd w:val="0"/>
              <w:snapToGrid w:val="0"/>
              <w:spacing w:line="360" w:lineRule="exact"/>
              <w:rPr>
                <w:rFonts w:asciiTheme="minorEastAsia" w:hAnsiTheme="minorEastAsia" w:eastAsiaTheme="minorEastAsia"/>
                <w:sz w:val="24"/>
                <w:highlight w:val="none"/>
                <w:u w:val="single"/>
              </w:rPr>
            </w:pPr>
            <w:r>
              <w:rPr>
                <w:rFonts w:ascii="宋体" w:hAnsi="宋体" w:eastAsia="宋体" w:cs="宋体"/>
                <w:sz w:val="24"/>
                <w:szCs w:val="24"/>
                <w:highlight w:val="none"/>
              </w:rPr>
              <w:t xml:space="preserve">符合招标文件规定的小微企业、监狱企业、残疾人福利性单位 优惠条件的投标人，价格给予 </w:t>
            </w:r>
            <w:r>
              <w:rPr>
                <w:rFonts w:hint="eastAsia" w:ascii="宋体" w:hAnsi="宋体" w:eastAsia="宋体" w:cs="宋体"/>
                <w:sz w:val="24"/>
                <w:szCs w:val="24"/>
                <w:highlight w:val="none"/>
                <w:lang w:val="en-US" w:eastAsia="zh-CN"/>
              </w:rPr>
              <w:t>11</w:t>
            </w:r>
            <w:r>
              <w:rPr>
                <w:rFonts w:ascii="宋体" w:hAnsi="宋体" w:eastAsia="宋体" w:cs="宋体"/>
                <w:sz w:val="24"/>
                <w:szCs w:val="24"/>
                <w:highlight w:val="none"/>
              </w:rPr>
              <w:t>%的扣除，用扣除后的价格参与 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技术响应</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7523"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spacing w:line="360" w:lineRule="exact"/>
              <w:jc w:val="left"/>
              <w:rPr>
                <w:rFonts w:asciiTheme="minorEastAsia" w:hAnsiTheme="minorEastAsia" w:eastAsiaTheme="minorEastAsia"/>
                <w:sz w:val="24"/>
                <w:lang w:val="zh-CN"/>
              </w:rPr>
            </w:pPr>
            <w:r>
              <w:rPr>
                <w:rFonts w:hint="eastAsia" w:asciiTheme="minorEastAsia" w:hAnsiTheme="minorEastAsia" w:eastAsiaTheme="minorEastAsia"/>
                <w:sz w:val="24"/>
                <w:lang w:val="zh-CN"/>
              </w:rPr>
              <w:t>节能、环保产品</w:t>
            </w:r>
          </w:p>
          <w:p>
            <w:pPr>
              <w:adjustRightInd w:val="0"/>
              <w:snapToGrid w:val="0"/>
              <w:spacing w:line="360" w:lineRule="exact"/>
              <w:jc w:val="left"/>
              <w:rPr>
                <w:rFonts w:asciiTheme="minorEastAsia" w:hAnsiTheme="minorEastAsia" w:eastAsiaTheme="minorEastAsia"/>
                <w:sz w:val="24"/>
                <w:lang w:val="zh-CN"/>
              </w:rPr>
            </w:pPr>
            <w:r>
              <w:rPr>
                <w:rFonts w:hint="eastAsia" w:asciiTheme="minorEastAsia" w:hAnsiTheme="minorEastAsia" w:eastAsiaTheme="minorEastAsia"/>
                <w:sz w:val="24"/>
                <w:lang w:val="zh-CN"/>
              </w:rPr>
              <w:t>认定为节能产品的（若项目为单一产品，得1 分；若非单一产品，每种产品得 0.5 分，最高得1分），得1分；</w:t>
            </w:r>
          </w:p>
          <w:p>
            <w:pPr>
              <w:adjustRightInd w:val="0"/>
              <w:snapToGrid w:val="0"/>
              <w:spacing w:line="360" w:lineRule="exact"/>
              <w:jc w:val="left"/>
              <w:rPr>
                <w:rFonts w:asciiTheme="minorEastAsia" w:hAnsiTheme="minorEastAsia" w:eastAsiaTheme="minorEastAsia"/>
                <w:sz w:val="24"/>
                <w:lang w:val="zh-CN"/>
              </w:rPr>
            </w:pPr>
            <w:r>
              <w:rPr>
                <w:rFonts w:hint="eastAsia" w:asciiTheme="minorEastAsia" w:hAnsiTheme="minorEastAsia" w:eastAsiaTheme="minorEastAsia"/>
                <w:sz w:val="24"/>
                <w:lang w:val="zh-CN"/>
              </w:rPr>
              <w:t>认定为环保产品的（若项目为单一产品，得1分；若非单一产品，每种产品得0.5 分，最高得 1 分），得 1 分；</w:t>
            </w:r>
          </w:p>
          <w:p>
            <w:pPr>
              <w:adjustRightInd w:val="0"/>
              <w:snapToGrid w:val="0"/>
              <w:spacing w:line="360" w:lineRule="exact"/>
              <w:jc w:val="left"/>
              <w:rPr>
                <w:rFonts w:asciiTheme="minorEastAsia" w:hAnsiTheme="minorEastAsia" w:eastAsiaTheme="minorEastAsia"/>
                <w:sz w:val="24"/>
                <w:lang w:val="zh-CN"/>
              </w:rPr>
            </w:pPr>
            <w:r>
              <w:rPr>
                <w:rFonts w:hint="eastAsia" w:asciiTheme="minorEastAsia" w:hAnsiTheme="minorEastAsia" w:eastAsiaTheme="minorEastAsia"/>
                <w:sz w:val="24"/>
                <w:lang w:val="zh-CN"/>
              </w:rPr>
              <w:t>节能产品、环境标志产品为品目清单中产品并取得认证证书；属于强制采购的产品，不再给予加分。</w:t>
            </w:r>
          </w:p>
          <w:p>
            <w:pPr>
              <w:adjustRightInd w:val="0"/>
              <w:snapToGrid w:val="0"/>
              <w:spacing w:line="360" w:lineRule="exact"/>
              <w:jc w:val="left"/>
              <w:rPr>
                <w:rFonts w:asciiTheme="minorEastAsia" w:hAnsiTheme="minorEastAsia" w:eastAsiaTheme="minorEastAsia"/>
                <w:sz w:val="24"/>
              </w:rPr>
            </w:pPr>
            <w:r>
              <w:rPr>
                <w:rFonts w:hint="eastAsia" w:asciiTheme="minorEastAsia" w:hAnsiTheme="minorEastAsia" w:eastAsiaTheme="minorEastAsia"/>
                <w:sz w:val="24"/>
                <w:lang w:val="zh-CN"/>
              </w:rPr>
              <w:t xml:space="preserve">既是节能产品又是环保产品可同时得分，非节能、环保产品的不得分。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lang w:val="zh-CN"/>
              </w:rPr>
            </w:pP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color w:val="FFFFFF" w:themeColor="background1"/>
                <w:sz w:val="24"/>
                <w14:textFill>
                  <w14:solidFill>
                    <w14:schemeClr w14:val="bg1"/>
                  </w14:solidFill>
                </w14:textFill>
              </w:rPr>
            </w:pPr>
            <w:r>
              <w:rPr>
                <w:rFonts w:hint="eastAsia" w:asciiTheme="minorEastAsia" w:hAnsiTheme="minorEastAsia" w:eastAsiaTheme="minorEastAsia"/>
                <w:sz w:val="24"/>
              </w:rPr>
              <w:t>25</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color w:val="FFFFFF" w:themeColor="background1"/>
                <w:sz w:val="24"/>
                <w:lang w:val="zh-CN"/>
                <w14:textFill>
                  <w14:solidFill>
                    <w14:schemeClr w14:val="bg1"/>
                  </w14:solidFill>
                </w14:textFill>
              </w:rPr>
            </w:pPr>
            <w:r>
              <w:rPr>
                <w:rFonts w:hint="eastAsia" w:asciiTheme="minorEastAsia" w:hAnsiTheme="minorEastAsia" w:eastAsiaTheme="minorEastAsia"/>
                <w:sz w:val="24"/>
              </w:rPr>
              <w:t>2</w:t>
            </w:r>
            <w:r>
              <w:rPr>
                <w:rFonts w:hint="eastAsia" w:asciiTheme="minorEastAsia" w:hAnsiTheme="minorEastAsia" w:eastAsiaTheme="minorEastAsia"/>
                <w:sz w:val="24"/>
                <w:lang w:val="zh-CN"/>
              </w:rPr>
              <w:t>、投标产品的技术指标评审</w:t>
            </w:r>
            <w:r>
              <w:rPr>
                <w:rFonts w:hint="eastAsia" w:asciiTheme="minorEastAsia" w:hAnsiTheme="minorEastAsia" w:eastAsiaTheme="minorEastAsia"/>
                <w:sz w:val="24"/>
                <w:highlight w:val="none"/>
                <w:lang w:val="zh-CN"/>
              </w:rPr>
              <w:t>：完全响应或优于得</w:t>
            </w:r>
            <w:r>
              <w:rPr>
                <w:rFonts w:hint="eastAsia" w:asciiTheme="minorEastAsia" w:hAnsiTheme="minorEastAsia" w:eastAsiaTheme="minorEastAsia"/>
                <w:sz w:val="24"/>
                <w:highlight w:val="none"/>
              </w:rPr>
              <w:t>25</w:t>
            </w:r>
            <w:r>
              <w:rPr>
                <w:rFonts w:hint="eastAsia" w:asciiTheme="minorEastAsia" w:hAnsiTheme="minorEastAsia" w:eastAsiaTheme="minorEastAsia"/>
                <w:sz w:val="24"/>
                <w:highlight w:val="none"/>
                <w:lang w:val="zh-CN"/>
              </w:rPr>
              <w:t>分，指标参数一项不满足扣</w:t>
            </w: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zh-CN"/>
              </w:rPr>
              <w:t>分，扣完为止（技术指标</w:t>
            </w:r>
            <w:r>
              <w:rPr>
                <w:rFonts w:asciiTheme="minorEastAsia" w:hAnsiTheme="minorEastAsia" w:eastAsiaTheme="minorEastAsia"/>
                <w:sz w:val="24"/>
                <w:highlight w:val="none"/>
                <w:lang w:val="zh-CN"/>
              </w:rPr>
              <w:t>提供技术支持资料，并在技术偏离表“说明”栏中标明页码，</w:t>
            </w:r>
            <w:r>
              <w:rPr>
                <w:rFonts w:hint="eastAsia" w:asciiTheme="minorEastAsia" w:hAnsiTheme="minorEastAsia" w:eastAsiaTheme="minorEastAsia"/>
                <w:sz w:val="24"/>
                <w:highlight w:val="none"/>
                <w:lang w:val="zh-CN"/>
              </w:rPr>
              <w:t>未提供不得分</w:t>
            </w:r>
            <w:r>
              <w:rPr>
                <w:rFonts w:asciiTheme="minorEastAsia" w:hAnsiTheme="minorEastAsia" w:eastAsiaTheme="minorEastAsia"/>
                <w:sz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lang w:val="zh-CN"/>
              </w:rPr>
            </w:pP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cs="___WRD_EMBED_SUB_38" w:asciiTheme="minorEastAsia" w:hAnsiTheme="minorEastAsia" w:eastAsiaTheme="minorEastAsia"/>
                <w:sz w:val="24"/>
                <w:lang w:val="zh-CN"/>
              </w:rPr>
            </w:pPr>
            <w:r>
              <w:rPr>
                <w:rFonts w:hint="eastAsia" w:asciiTheme="minorEastAsia" w:hAnsiTheme="minorEastAsia" w:eastAsiaTheme="minorEastAsia"/>
                <w:sz w:val="24"/>
              </w:rPr>
              <w:t>3</w:t>
            </w:r>
            <w:r>
              <w:rPr>
                <w:rFonts w:hint="eastAsia" w:asciiTheme="minorEastAsia" w:hAnsiTheme="minorEastAsia" w:eastAsiaTheme="minorEastAsia"/>
                <w:sz w:val="24"/>
                <w:lang w:val="zh-CN"/>
              </w:rPr>
              <w:t>、投标产品附有完整的</w:t>
            </w:r>
            <w:r>
              <w:rPr>
                <w:rFonts w:hint="eastAsia" w:asciiTheme="minorEastAsia" w:hAnsiTheme="minorEastAsia" w:eastAsiaTheme="minorEastAsia"/>
                <w:sz w:val="24"/>
              </w:rPr>
              <w:t>证明材料</w:t>
            </w:r>
            <w:r>
              <w:rPr>
                <w:rFonts w:hint="eastAsia" w:asciiTheme="minorEastAsia" w:hAnsiTheme="minorEastAsia" w:eastAsiaTheme="minorEastAsia"/>
                <w:sz w:val="24"/>
                <w:lang w:val="zh-CN"/>
              </w:rPr>
              <w:t>（包括但不限于原厂印刷的产品说明书、实物图、宣传资料、质量证书、产品检测报告、产品合格证、官网和功能截图等），整体表述一致，技术资料</w:t>
            </w:r>
            <w:r>
              <w:rPr>
                <w:rFonts w:hint="eastAsia" w:cs="宋体" w:asciiTheme="minorEastAsia" w:hAnsiTheme="minorEastAsia" w:eastAsiaTheme="minorEastAsia"/>
                <w:sz w:val="24"/>
                <w:lang w:val="zh-CN"/>
              </w:rPr>
              <w:t>短</w:t>
            </w:r>
            <w:r>
              <w:rPr>
                <w:rFonts w:hint="eastAsia" w:cs="___WRD_EMBED_SUB_38" w:asciiTheme="minorEastAsia" w:hAnsiTheme="minorEastAsia" w:eastAsiaTheme="minorEastAsia"/>
                <w:sz w:val="24"/>
                <w:lang w:val="zh-CN"/>
              </w:rPr>
              <w:t>缺或表述不一致的扣</w:t>
            </w:r>
            <w:r>
              <w:rPr>
                <w:rFonts w:hint="eastAsia" w:cs="宋体" w:asciiTheme="minorEastAsia" w:hAnsiTheme="minorEastAsia" w:eastAsiaTheme="minorEastAsia"/>
                <w:sz w:val="24"/>
                <w:lang w:val="zh-CN"/>
              </w:rPr>
              <w:t>去</w:t>
            </w:r>
            <w:r>
              <w:rPr>
                <w:rFonts w:hint="eastAsia" w:cs="___WRD_EMBED_SUB_38" w:asciiTheme="minorEastAsia" w:hAnsiTheme="minorEastAsia" w:eastAsiaTheme="minorEastAsia"/>
                <w:sz w:val="24"/>
                <w:lang w:val="zh-CN"/>
              </w:rPr>
              <w:t>相应得分。</w:t>
            </w:r>
          </w:p>
          <w:p>
            <w:pPr>
              <w:autoSpaceDE w:val="0"/>
              <w:autoSpaceDN w:val="0"/>
              <w:adjustRightInd w:val="0"/>
              <w:snapToGrid w:val="0"/>
              <w:spacing w:line="360" w:lineRule="exact"/>
              <w:rPr>
                <w:rFonts w:ascii="宋体" w:hAnsi="宋体" w:cs="宋体"/>
                <w:sz w:val="24"/>
              </w:rPr>
            </w:pPr>
            <w:r>
              <w:rPr>
                <w:rFonts w:ascii="宋体" w:hAnsi="宋体" w:cs="宋体"/>
                <w:sz w:val="24"/>
              </w:rPr>
              <w:t>资料完整详细、明确具体；</w:t>
            </w:r>
            <w:r>
              <w:rPr>
                <w:rFonts w:hint="eastAsia" w:ascii="宋体" w:hAnsi="宋体" w:cs="宋体"/>
                <w:sz w:val="24"/>
              </w:rPr>
              <w:t>得</w:t>
            </w: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5</w:t>
            </w:r>
            <w:r>
              <w:rPr>
                <w:rFonts w:ascii="宋体" w:hAnsi="宋体" w:cs="宋体"/>
                <w:sz w:val="24"/>
              </w:rPr>
              <w:t xml:space="preserve"> 分］ </w:t>
            </w:r>
          </w:p>
          <w:p>
            <w:pPr>
              <w:autoSpaceDE w:val="0"/>
              <w:autoSpaceDN w:val="0"/>
              <w:adjustRightInd w:val="0"/>
              <w:snapToGrid w:val="0"/>
              <w:spacing w:line="360" w:lineRule="exact"/>
              <w:rPr>
                <w:rFonts w:ascii="宋体" w:hAnsi="宋体" w:cs="宋体"/>
                <w:sz w:val="24"/>
              </w:rPr>
            </w:pPr>
            <w:r>
              <w:rPr>
                <w:rFonts w:ascii="宋体" w:hAnsi="宋体" w:cs="宋体"/>
                <w:sz w:val="24"/>
              </w:rPr>
              <w:t>资料</w:t>
            </w:r>
            <w:r>
              <w:rPr>
                <w:rFonts w:hint="eastAsia" w:ascii="宋体" w:hAnsi="宋体" w:cs="宋体"/>
                <w:sz w:val="24"/>
                <w:lang w:val="en-US" w:eastAsia="zh-CN"/>
              </w:rPr>
              <w:t>较</w:t>
            </w:r>
            <w:r>
              <w:rPr>
                <w:rFonts w:ascii="宋体" w:hAnsi="宋体" w:cs="宋体"/>
                <w:sz w:val="24"/>
              </w:rPr>
              <w:t>完整详细、较明确具体；</w:t>
            </w:r>
            <w:r>
              <w:rPr>
                <w:rFonts w:hint="eastAsia" w:ascii="宋体" w:hAnsi="宋体" w:cs="宋体"/>
                <w:sz w:val="24"/>
              </w:rPr>
              <w:t>得</w:t>
            </w:r>
            <w:r>
              <w:rPr>
                <w:rFonts w:ascii="宋体" w:hAnsi="宋体" w:cs="宋体"/>
                <w:sz w:val="24"/>
              </w:rPr>
              <w:t>［</w:t>
            </w:r>
            <w:r>
              <w:rPr>
                <w:rFonts w:hint="eastAsia" w:ascii="宋体" w:hAnsi="宋体" w:cs="宋体"/>
                <w:sz w:val="24"/>
              </w:rPr>
              <w:t>1</w:t>
            </w:r>
            <w:r>
              <w:rPr>
                <w:rFonts w:ascii="宋体" w:hAnsi="宋体" w:cs="宋体"/>
                <w:sz w:val="24"/>
              </w:rPr>
              <w:t>-</w:t>
            </w:r>
            <w:r>
              <w:rPr>
                <w:rFonts w:hint="eastAsia" w:ascii="宋体" w:hAnsi="宋体" w:cs="宋体"/>
                <w:sz w:val="24"/>
              </w:rPr>
              <w:t>3</w:t>
            </w:r>
            <w:r>
              <w:rPr>
                <w:rFonts w:ascii="宋体" w:hAnsi="宋体" w:cs="宋体"/>
                <w:sz w:val="24"/>
              </w:rPr>
              <w:t>分）</w:t>
            </w:r>
          </w:p>
          <w:p>
            <w:pPr>
              <w:autoSpaceDE w:val="0"/>
              <w:autoSpaceDN w:val="0"/>
              <w:adjustRightInd w:val="0"/>
              <w:snapToGrid w:val="0"/>
              <w:spacing w:line="360" w:lineRule="exact"/>
              <w:rPr>
                <w:rFonts w:ascii="宋体" w:hAnsi="宋体" w:cs="宋体"/>
                <w:sz w:val="24"/>
              </w:rPr>
            </w:pPr>
            <w:r>
              <w:rPr>
                <w:rFonts w:hint="eastAsia" w:ascii="宋体" w:hAnsi="宋体" w:cs="宋体"/>
                <w:sz w:val="24"/>
              </w:rPr>
              <w:t>不提供不得分</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lang w:val="zh-CN"/>
              </w:rPr>
            </w:pP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7523" w:type="dxa"/>
            <w:tcBorders>
              <w:top w:val="single" w:color="auto" w:sz="4" w:space="0"/>
              <w:left w:val="single" w:color="auto" w:sz="4" w:space="0"/>
              <w:bottom w:val="single" w:color="auto" w:sz="4" w:space="0"/>
              <w:right w:val="single" w:color="auto" w:sz="4" w:space="0"/>
            </w:tcBorders>
            <w:vAlign w:val="center"/>
          </w:tcPr>
          <w:p>
            <w:pPr>
              <w:numPr>
                <w:ilvl w:val="0"/>
                <w:numId w:val="5"/>
              </w:numPr>
              <w:autoSpaceDE w:val="0"/>
              <w:autoSpaceDN w:val="0"/>
              <w:adjustRightInd w:val="0"/>
              <w:snapToGrid w:val="0"/>
              <w:spacing w:line="360" w:lineRule="exact"/>
              <w:rPr>
                <w:rFonts w:ascii="宋体" w:hAnsi="宋体" w:cs="宋体"/>
                <w:sz w:val="24"/>
              </w:rPr>
            </w:pPr>
            <w:r>
              <w:rPr>
                <w:rFonts w:ascii="宋体" w:hAnsi="宋体" w:cs="宋体"/>
                <w:sz w:val="24"/>
              </w:rPr>
              <w:t>实施方案：提供周密的实施方案，人员配置合理、分工明确，时间进度安排得当、满足招标文件时限要求，配套质量管理、安全管理等各项措施完善。</w:t>
            </w:r>
          </w:p>
          <w:p>
            <w:pPr>
              <w:autoSpaceDE w:val="0"/>
              <w:autoSpaceDN w:val="0"/>
              <w:adjustRightInd w:val="0"/>
              <w:snapToGrid w:val="0"/>
              <w:spacing w:line="360" w:lineRule="exact"/>
              <w:rPr>
                <w:rFonts w:ascii="宋体" w:hAnsi="宋体" w:cs="宋体"/>
                <w:sz w:val="24"/>
              </w:rPr>
            </w:pPr>
            <w:r>
              <w:rPr>
                <w:rFonts w:ascii="宋体" w:hAnsi="宋体" w:cs="宋体"/>
                <w:sz w:val="24"/>
              </w:rPr>
              <w:t>实施方案科学详细、明确具体；</w:t>
            </w:r>
            <w:r>
              <w:rPr>
                <w:rFonts w:hint="eastAsia" w:ascii="宋体" w:hAnsi="宋体" w:cs="宋体"/>
                <w:sz w:val="24"/>
              </w:rPr>
              <w:t>得</w:t>
            </w: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10</w:t>
            </w:r>
            <w:r>
              <w:rPr>
                <w:rFonts w:ascii="宋体" w:hAnsi="宋体" w:cs="宋体"/>
                <w:sz w:val="24"/>
              </w:rPr>
              <w:t xml:space="preserve"> 分］</w:t>
            </w:r>
          </w:p>
          <w:p>
            <w:pPr>
              <w:autoSpaceDE w:val="0"/>
              <w:autoSpaceDN w:val="0"/>
              <w:adjustRightInd w:val="0"/>
              <w:snapToGrid w:val="0"/>
              <w:spacing w:line="360" w:lineRule="exact"/>
              <w:rPr>
                <w:rFonts w:ascii="宋体" w:hAnsi="宋体" w:cs="宋体"/>
                <w:sz w:val="24"/>
              </w:rPr>
            </w:pPr>
            <w:r>
              <w:rPr>
                <w:rFonts w:ascii="宋体" w:hAnsi="宋体" w:cs="宋体"/>
                <w:sz w:val="24"/>
              </w:rPr>
              <w:t>实施方案较科学详细、较明确具体；</w:t>
            </w:r>
            <w:r>
              <w:rPr>
                <w:rFonts w:hint="eastAsia" w:ascii="宋体" w:hAnsi="宋体" w:cs="宋体"/>
                <w:sz w:val="24"/>
              </w:rPr>
              <w:t>得</w:t>
            </w: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7</w:t>
            </w:r>
            <w:r>
              <w:rPr>
                <w:rFonts w:ascii="宋体" w:hAnsi="宋体" w:cs="宋体"/>
                <w:sz w:val="24"/>
              </w:rPr>
              <w:t>分）</w:t>
            </w:r>
          </w:p>
          <w:p>
            <w:pPr>
              <w:autoSpaceDE w:val="0"/>
              <w:autoSpaceDN w:val="0"/>
              <w:adjustRightInd w:val="0"/>
              <w:snapToGrid w:val="0"/>
              <w:spacing w:line="360" w:lineRule="exact"/>
              <w:rPr>
                <w:rFonts w:hint="eastAsia" w:ascii="宋体" w:hAnsi="宋体" w:cs="宋体"/>
                <w:sz w:val="24"/>
              </w:rPr>
            </w:pPr>
            <w:r>
              <w:rPr>
                <w:rFonts w:ascii="宋体" w:hAnsi="宋体" w:cs="宋体"/>
                <w:sz w:val="24"/>
              </w:rPr>
              <w:t>实施方案缺失或者描述不详细不具体。</w:t>
            </w:r>
            <w:r>
              <w:rPr>
                <w:rFonts w:hint="eastAsia" w:ascii="宋体" w:hAnsi="宋体" w:cs="宋体"/>
                <w:sz w:val="24"/>
              </w:rPr>
              <w:t>得</w:t>
            </w:r>
            <w:r>
              <w:rPr>
                <w:rFonts w:ascii="宋体" w:hAnsi="宋体" w:cs="宋体"/>
                <w:sz w:val="24"/>
              </w:rPr>
              <w:t>［</w:t>
            </w:r>
            <w:r>
              <w:rPr>
                <w:rFonts w:hint="eastAsia" w:ascii="宋体" w:hAnsi="宋体" w:cs="宋体"/>
                <w:sz w:val="24"/>
              </w:rPr>
              <w:t>1</w:t>
            </w:r>
            <w:r>
              <w:rPr>
                <w:rFonts w:ascii="宋体" w:hAnsi="宋体" w:cs="宋体"/>
                <w:sz w:val="24"/>
              </w:rPr>
              <w:t>-</w:t>
            </w:r>
            <w:r>
              <w:rPr>
                <w:rFonts w:hint="eastAsia" w:ascii="宋体" w:hAnsi="宋体" w:cs="宋体"/>
                <w:sz w:val="24"/>
              </w:rPr>
              <w:t>4</w:t>
            </w:r>
            <w:r>
              <w:rPr>
                <w:rFonts w:ascii="宋体" w:hAnsi="宋体" w:cs="宋体"/>
                <w:sz w:val="24"/>
              </w:rPr>
              <w:t>分）</w:t>
            </w:r>
          </w:p>
          <w:p>
            <w:pPr>
              <w:autoSpaceDE w:val="0"/>
              <w:autoSpaceDN w:val="0"/>
              <w:adjustRightInd w:val="0"/>
              <w:snapToGrid w:val="0"/>
              <w:spacing w:line="360" w:lineRule="exact"/>
              <w:rPr>
                <w:sz w:val="24"/>
              </w:rPr>
            </w:pPr>
            <w:r>
              <w:rPr>
                <w:rFonts w:hint="eastAsia" w:ascii="宋体" w:hAnsi="宋体" w:cs="宋体"/>
                <w:sz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lang w:val="zh-CN"/>
              </w:rPr>
            </w:pP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240" w:firstLineChars="100"/>
              <w:rPr>
                <w:rFonts w:asciiTheme="minorEastAsia" w:hAnsiTheme="minorEastAsia" w:eastAsiaTheme="minorEastAsia"/>
                <w:color w:val="FFFFFF" w:themeColor="background1"/>
                <w:sz w:val="24"/>
                <w14:textFill>
                  <w14:solidFill>
                    <w14:schemeClr w14:val="bg1"/>
                  </w14:solidFill>
                </w14:textFill>
              </w:rPr>
            </w:pPr>
            <w:r>
              <w:rPr>
                <w:rFonts w:hint="eastAsia" w:asciiTheme="minorEastAsia" w:hAnsiTheme="minorEastAsia" w:eastAsiaTheme="minorEastAsia"/>
                <w:sz w:val="24"/>
              </w:rPr>
              <w:t>5</w:t>
            </w:r>
          </w:p>
        </w:tc>
        <w:tc>
          <w:tcPr>
            <w:tcW w:w="7523" w:type="dxa"/>
            <w:tcBorders>
              <w:top w:val="single" w:color="auto" w:sz="4" w:space="0"/>
              <w:left w:val="single" w:color="auto" w:sz="4" w:space="0"/>
              <w:bottom w:val="single" w:color="auto" w:sz="4" w:space="0"/>
              <w:right w:val="single" w:color="auto" w:sz="4" w:space="0"/>
            </w:tcBorders>
            <w:vAlign w:val="center"/>
          </w:tcPr>
          <w:p>
            <w:pPr>
              <w:numPr>
                <w:ilvl w:val="0"/>
                <w:numId w:val="6"/>
              </w:numPr>
              <w:autoSpaceDE w:val="0"/>
              <w:autoSpaceDN w:val="0"/>
              <w:adjustRightInd w:val="0"/>
              <w:spacing w:line="360" w:lineRule="exact"/>
              <w:rPr>
                <w:rFonts w:ascii="宋体" w:hAnsi="宋体" w:cs="宋体"/>
                <w:sz w:val="24"/>
              </w:rPr>
            </w:pPr>
            <w:r>
              <w:rPr>
                <w:rFonts w:ascii="宋体" w:hAnsi="宋体" w:cs="宋体"/>
                <w:sz w:val="24"/>
              </w:rPr>
              <w:t xml:space="preserve">产品来源渠道：产品供应渠道正常，检验手续合法有效、无产权纠纷。提供产品渠道来源合法的证明文件（提供销售协议、代理协议、原厂授权、原厂售后服务等）。 </w:t>
            </w:r>
          </w:p>
          <w:p>
            <w:pPr>
              <w:autoSpaceDE w:val="0"/>
              <w:autoSpaceDN w:val="0"/>
              <w:adjustRightInd w:val="0"/>
              <w:spacing w:line="360" w:lineRule="exact"/>
              <w:rPr>
                <w:rFonts w:ascii="宋体" w:hAnsi="宋体" w:cs="宋体"/>
                <w:sz w:val="24"/>
              </w:rPr>
            </w:pPr>
            <w:r>
              <w:rPr>
                <w:rFonts w:ascii="宋体" w:hAnsi="宋体" w:cs="宋体"/>
                <w:sz w:val="24"/>
              </w:rPr>
              <w:t>资料完整详细、明确具体；</w:t>
            </w:r>
            <w:r>
              <w:rPr>
                <w:rFonts w:hint="eastAsia" w:ascii="宋体" w:hAnsi="宋体" w:cs="宋体"/>
                <w:sz w:val="24"/>
              </w:rPr>
              <w:t>得</w:t>
            </w: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5</w:t>
            </w:r>
            <w:r>
              <w:rPr>
                <w:rFonts w:ascii="宋体" w:hAnsi="宋体" w:cs="宋体"/>
                <w:sz w:val="24"/>
              </w:rPr>
              <w:t xml:space="preserve"> 分］ </w:t>
            </w:r>
          </w:p>
          <w:p>
            <w:pPr>
              <w:autoSpaceDE w:val="0"/>
              <w:autoSpaceDN w:val="0"/>
              <w:adjustRightInd w:val="0"/>
              <w:spacing w:line="360" w:lineRule="exact"/>
              <w:rPr>
                <w:rFonts w:ascii="宋体" w:hAnsi="宋体" w:cs="宋体"/>
                <w:sz w:val="24"/>
              </w:rPr>
            </w:pPr>
            <w:r>
              <w:rPr>
                <w:rFonts w:ascii="宋体" w:hAnsi="宋体" w:cs="宋体"/>
                <w:sz w:val="24"/>
              </w:rPr>
              <w:t>资料完整详细、较明确具体；</w:t>
            </w:r>
            <w:r>
              <w:rPr>
                <w:rFonts w:hint="eastAsia" w:ascii="宋体" w:hAnsi="宋体" w:cs="宋体"/>
                <w:sz w:val="24"/>
              </w:rPr>
              <w:t>得</w:t>
            </w:r>
            <w:r>
              <w:rPr>
                <w:rFonts w:ascii="宋体" w:hAnsi="宋体" w:cs="宋体"/>
                <w:sz w:val="24"/>
              </w:rPr>
              <w:t>［</w:t>
            </w:r>
            <w:r>
              <w:rPr>
                <w:rFonts w:hint="eastAsia" w:ascii="宋体" w:hAnsi="宋体" w:cs="宋体"/>
                <w:sz w:val="24"/>
              </w:rPr>
              <w:t>1</w:t>
            </w:r>
            <w:r>
              <w:rPr>
                <w:rFonts w:ascii="宋体" w:hAnsi="宋体" w:cs="宋体"/>
                <w:sz w:val="24"/>
              </w:rPr>
              <w:t>-</w:t>
            </w:r>
            <w:r>
              <w:rPr>
                <w:rFonts w:hint="eastAsia" w:ascii="宋体" w:hAnsi="宋体" w:cs="宋体"/>
                <w:sz w:val="24"/>
              </w:rPr>
              <w:t>3</w:t>
            </w:r>
            <w:r>
              <w:rPr>
                <w:rFonts w:ascii="宋体" w:hAnsi="宋体" w:cs="宋体"/>
                <w:sz w:val="24"/>
              </w:rPr>
              <w:t>分）</w:t>
            </w:r>
          </w:p>
          <w:p>
            <w:pPr>
              <w:autoSpaceDE w:val="0"/>
              <w:autoSpaceDN w:val="0"/>
              <w:adjustRightInd w:val="0"/>
              <w:spacing w:line="360" w:lineRule="exact"/>
              <w:rPr>
                <w:rFonts w:asciiTheme="minorEastAsia" w:hAnsiTheme="minorEastAsia" w:eastAsiaTheme="minorEastAsia"/>
                <w:color w:val="FFFFFF" w:themeColor="background1"/>
                <w:sz w:val="24"/>
                <w:lang w:val="zh-CN"/>
                <w14:textFill>
                  <w14:solidFill>
                    <w14:schemeClr w14:val="bg1"/>
                  </w14:solidFill>
                </w14:textFill>
              </w:rPr>
            </w:pPr>
            <w:r>
              <w:rPr>
                <w:rFonts w:hint="eastAsia" w:ascii="宋体" w:hAnsi="宋体" w:cs="宋体"/>
                <w:sz w:val="24"/>
              </w:rPr>
              <w:t>不提供不得分</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售后服务</w:t>
            </w: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color w:val="FFFFFF" w:themeColor="background1"/>
                <w:sz w:val="24"/>
                <w:lang w:val="zh-CN"/>
                <w14:textFill>
                  <w14:solidFill>
                    <w14:schemeClr w14:val="bg1"/>
                  </w14:solidFill>
                </w14:textFill>
              </w:rPr>
            </w:pPr>
            <w:r>
              <w:rPr>
                <w:rFonts w:hint="eastAsia" w:asciiTheme="minorEastAsia" w:hAnsiTheme="minorEastAsia" w:eastAsiaTheme="minorEastAsia"/>
                <w:sz w:val="24"/>
              </w:rPr>
              <w:t>8</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cs="宋体"/>
                <w:sz w:val="24"/>
              </w:rPr>
            </w:pPr>
            <w:r>
              <w:rPr>
                <w:rFonts w:hint="eastAsia" w:ascii="宋体" w:hAnsi="宋体" w:cs="宋体"/>
                <w:sz w:val="24"/>
              </w:rPr>
              <w:t>针对该项目有售后服务计划、售后服务措施，其他附带产品服务承诺等；</w:t>
            </w:r>
          </w:p>
          <w:p>
            <w:pPr>
              <w:autoSpaceDE w:val="0"/>
              <w:autoSpaceDN w:val="0"/>
              <w:adjustRightInd w:val="0"/>
              <w:spacing w:line="360" w:lineRule="exact"/>
              <w:rPr>
                <w:rFonts w:hint="eastAsia" w:ascii="宋体" w:hAnsi="宋体" w:cs="宋体"/>
                <w:sz w:val="24"/>
              </w:rPr>
            </w:pPr>
            <w:r>
              <w:rPr>
                <w:rFonts w:hint="eastAsia" w:ascii="宋体" w:hAnsi="宋体" w:cs="宋体"/>
                <w:sz w:val="24"/>
                <w:lang w:val="en-US" w:eastAsia="zh-CN"/>
              </w:rPr>
              <w:t>售后服务</w:t>
            </w:r>
            <w:r>
              <w:rPr>
                <w:rFonts w:hint="eastAsia" w:ascii="宋体" w:hAnsi="宋体" w:cs="宋体"/>
                <w:sz w:val="24"/>
              </w:rPr>
              <w:t>完整详细，明确具体；得[6-8分]</w:t>
            </w:r>
          </w:p>
          <w:p>
            <w:pPr>
              <w:autoSpaceDE w:val="0"/>
              <w:autoSpaceDN w:val="0"/>
              <w:adjustRightInd w:val="0"/>
              <w:spacing w:line="360" w:lineRule="exact"/>
              <w:rPr>
                <w:rFonts w:hint="eastAsia" w:ascii="宋体" w:hAnsi="宋体" w:cs="宋体"/>
                <w:sz w:val="24"/>
              </w:rPr>
            </w:pPr>
            <w:r>
              <w:rPr>
                <w:rFonts w:hint="eastAsia" w:ascii="宋体" w:hAnsi="宋体" w:cs="宋体"/>
                <w:sz w:val="24"/>
                <w:lang w:val="en-US" w:eastAsia="zh-CN"/>
              </w:rPr>
              <w:t>售后服务</w:t>
            </w:r>
            <w:r>
              <w:rPr>
                <w:rFonts w:hint="eastAsia" w:ascii="宋体" w:hAnsi="宋体" w:cs="宋体"/>
                <w:sz w:val="24"/>
              </w:rPr>
              <w:t>完整详细，比较明确具体；得[3-6分）</w:t>
            </w:r>
          </w:p>
          <w:p>
            <w:pPr>
              <w:autoSpaceDE w:val="0"/>
              <w:autoSpaceDN w:val="0"/>
              <w:adjustRightInd w:val="0"/>
              <w:spacing w:line="360" w:lineRule="exact"/>
              <w:rPr>
                <w:sz w:val="24"/>
                <w:lang w:val="zh-CN"/>
              </w:rPr>
            </w:pPr>
            <w:r>
              <w:rPr>
                <w:rFonts w:hint="eastAsia" w:ascii="宋体" w:hAnsi="宋体" w:cs="宋体"/>
                <w:sz w:val="24"/>
                <w:lang w:val="en-US" w:eastAsia="zh-CN"/>
              </w:rPr>
              <w:t>售后服务</w:t>
            </w:r>
            <w:r>
              <w:rPr>
                <w:rFonts w:hint="eastAsia" w:ascii="宋体" w:hAnsi="宋体" w:cs="宋体"/>
                <w:sz w:val="24"/>
              </w:rPr>
              <w:t>不完整或者不明确或者不具体；得[0-3分）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培训方案</w:t>
            </w: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lang w:val="zh-CN"/>
              </w:rPr>
            </w:pPr>
            <w:r>
              <w:rPr>
                <w:rFonts w:ascii="宋体" w:hAnsi="宋体" w:cs="宋体"/>
                <w:sz w:val="24"/>
              </w:rPr>
              <w:t>具有可行的技术培训措施，保证使用单位能熟练操作、维护和正常使用；根据响应程度计 0</w:t>
            </w:r>
            <w:r>
              <w:rPr>
                <w:rFonts w:hint="eastAsia" w:asciiTheme="minorEastAsia" w:hAnsiTheme="minorEastAsia" w:eastAsiaTheme="minorEastAsia"/>
                <w:sz w:val="24"/>
                <w:lang w:val="zh-CN"/>
              </w:rPr>
              <w:t>～</w:t>
            </w:r>
            <w:r>
              <w:rPr>
                <w:rFonts w:ascii="宋体" w:hAnsi="宋体" w:cs="宋体"/>
                <w:sz w:val="24"/>
              </w:rPr>
              <w:t>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维护保养及应急预案</w:t>
            </w: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2</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宋体"/>
                <w:sz w:val="24"/>
              </w:rPr>
            </w:pPr>
            <w:r>
              <w:rPr>
                <w:rFonts w:hint="eastAsia" w:asciiTheme="minorEastAsia" w:hAnsiTheme="minorEastAsia" w:eastAsiaTheme="minorEastAsia"/>
                <w:sz w:val="24"/>
                <w:lang w:val="zh-CN"/>
              </w:rPr>
              <w:t>针对投标人所做出维护保养及应急方案，包括但不限于设备（产品）出现问题的及时处理预案等，不能影响及延误使用单位的正常使用承诺进行描述，按其响应程度计</w:t>
            </w:r>
            <w:r>
              <w:rPr>
                <w:rFonts w:asciiTheme="minorEastAsia" w:hAnsiTheme="minorEastAsia" w:eastAsiaTheme="minorEastAsia"/>
                <w:sz w:val="24"/>
                <w:lang w:val="zh-CN"/>
              </w:rPr>
              <w:t>0</w:t>
            </w:r>
            <w:r>
              <w:rPr>
                <w:rFonts w:hint="eastAsia" w:asciiTheme="minorEastAsia" w:hAnsiTheme="minorEastAsia" w:eastAsiaTheme="minorEastAsia"/>
                <w:sz w:val="24"/>
                <w:lang w:val="zh-CN"/>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lang w:val="zh-CN"/>
              </w:rPr>
              <w:t>分</w:t>
            </w:r>
            <w:r>
              <w:rPr>
                <w:rFonts w:hint="eastAsia" w:asciiTheme="minorEastAsia" w:hAnsiTheme="minorEastAsia" w:eastAsiaTheme="minorEastAsia"/>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Theme="minorEastAsia" w:hAnsiTheme="minorEastAsia" w:eastAsiaTheme="minorEastAsia"/>
                <w:sz w:val="24"/>
              </w:rPr>
            </w:pPr>
            <w:r>
              <w:rPr>
                <w:rFonts w:hint="eastAsia" w:asciiTheme="minorEastAsia" w:hAnsiTheme="minorEastAsia" w:eastAsiaTheme="minorEastAsia"/>
                <w:sz w:val="24"/>
              </w:rPr>
              <w:t>备品配件</w:t>
            </w: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 xml:space="preserve"> </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Theme="minorEastAsia" w:hAnsiTheme="minorEastAsia" w:eastAsiaTheme="minorEastAsia"/>
                <w:sz w:val="24"/>
                <w:lang w:val="zh-CN"/>
              </w:rPr>
            </w:pPr>
            <w:r>
              <w:rPr>
                <w:rFonts w:ascii="宋体" w:hAnsi="宋体" w:cs="宋体"/>
                <w:sz w:val="24"/>
              </w:rPr>
              <w:t>根据投标人提供的备品、配件情况，备品、配件供应有保障，兼容性、可替代性强，且价格合理；根据其响应程度计 0</w:t>
            </w:r>
            <w:r>
              <w:rPr>
                <w:rFonts w:hint="eastAsia" w:asciiTheme="minorEastAsia" w:hAnsiTheme="minorEastAsia" w:eastAsiaTheme="minorEastAsia"/>
                <w:sz w:val="24"/>
                <w:lang w:val="zh-CN"/>
              </w:rPr>
              <w:t>～</w:t>
            </w:r>
            <w:r>
              <w:rPr>
                <w:rFonts w:hint="eastAsia" w:ascii="宋体" w:hAnsi="宋体" w:cs="宋体"/>
                <w:sz w:val="24"/>
              </w:rPr>
              <w:t>2</w:t>
            </w:r>
            <w:r>
              <w:rPr>
                <w:rFonts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类似业绩</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heme="minorEastAsia" w:hAnsiTheme="minorEastAsia" w:eastAsiaTheme="minorEastAsia"/>
                <w:color w:val="FFFFFF" w:themeColor="background1"/>
                <w:sz w:val="24"/>
                <w:highlight w:val="none"/>
                <w:lang w:eastAsia="zh-CN"/>
                <w14:textFill>
                  <w14:solidFill>
                    <w14:schemeClr w14:val="bg1"/>
                  </w14:solidFill>
                </w14:textFill>
              </w:rPr>
            </w:pPr>
            <w:r>
              <w:rPr>
                <w:rFonts w:hint="eastAsia" w:asciiTheme="minorEastAsia" w:hAnsiTheme="minorEastAsia" w:eastAsiaTheme="minorEastAsia"/>
                <w:sz w:val="24"/>
                <w:highlight w:val="none"/>
                <w:lang w:val="en-US" w:eastAsia="zh-CN"/>
              </w:rPr>
              <w:t>6</w:t>
            </w:r>
          </w:p>
        </w:tc>
        <w:tc>
          <w:tcPr>
            <w:tcW w:w="75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供应商20</w:t>
            </w:r>
            <w:r>
              <w:rPr>
                <w:rFonts w:hint="eastAsia" w:ascii="宋体" w:hAnsi="宋体" w:cs="宋体"/>
                <w:sz w:val="24"/>
                <w:highlight w:val="none"/>
                <w:lang w:val="en-US" w:eastAsia="zh-CN"/>
              </w:rPr>
              <w:t>20</w:t>
            </w:r>
            <w:r>
              <w:rPr>
                <w:rFonts w:hint="eastAsia" w:ascii="宋体" w:hAnsi="宋体" w:cs="宋体"/>
                <w:sz w:val="24"/>
                <w:highlight w:val="none"/>
              </w:rPr>
              <w:t>年至今</w:t>
            </w:r>
            <w:r>
              <w:rPr>
                <w:rFonts w:hint="eastAsia" w:ascii="宋体" w:hAnsi="宋体" w:cs="宋体"/>
                <w:sz w:val="24"/>
                <w:highlight w:val="none"/>
                <w:lang w:eastAsia="zh-CN"/>
              </w:rPr>
              <w:t>（</w:t>
            </w:r>
            <w:r>
              <w:rPr>
                <w:rFonts w:hint="eastAsia" w:ascii="宋体" w:hAnsi="宋体" w:cs="宋体"/>
                <w:sz w:val="24"/>
                <w:highlight w:val="none"/>
                <w:lang w:val="en-US" w:eastAsia="zh-CN"/>
              </w:rPr>
              <w:t>以合同签订时间为准</w:t>
            </w:r>
            <w:r>
              <w:rPr>
                <w:rFonts w:hint="eastAsia" w:ascii="宋体" w:hAnsi="宋体" w:cs="宋体"/>
                <w:sz w:val="24"/>
                <w:highlight w:val="none"/>
                <w:lang w:eastAsia="zh-CN"/>
              </w:rPr>
              <w:t>）</w:t>
            </w:r>
            <w:r>
              <w:rPr>
                <w:rFonts w:hint="eastAsia" w:ascii="宋体" w:hAnsi="宋体" w:cs="宋体"/>
                <w:sz w:val="24"/>
                <w:highlight w:val="none"/>
                <w:lang w:val="en-US" w:eastAsia="zh-CN"/>
              </w:rPr>
              <w:t>类似</w:t>
            </w:r>
            <w:r>
              <w:rPr>
                <w:rFonts w:hint="eastAsia" w:ascii="宋体" w:hAnsi="宋体" w:cs="宋体"/>
                <w:sz w:val="24"/>
                <w:highlight w:val="none"/>
                <w:lang w:eastAsia="zh-CN"/>
              </w:rPr>
              <w:t>项目</w:t>
            </w:r>
            <w:r>
              <w:rPr>
                <w:rFonts w:hint="eastAsia" w:ascii="宋体" w:hAnsi="宋体" w:cs="宋体"/>
                <w:sz w:val="24"/>
                <w:highlight w:val="none"/>
              </w:rPr>
              <w:t>业绩，每提供1份得</w:t>
            </w:r>
            <w:r>
              <w:rPr>
                <w:rFonts w:hint="eastAsia" w:ascii="宋体" w:hAnsi="宋体" w:cs="宋体"/>
                <w:sz w:val="24"/>
                <w:highlight w:val="none"/>
                <w:lang w:val="en-US" w:eastAsia="zh-CN"/>
              </w:rPr>
              <w:t>2</w:t>
            </w:r>
            <w:r>
              <w:rPr>
                <w:rFonts w:hint="eastAsia" w:ascii="宋体" w:hAnsi="宋体" w:cs="宋体"/>
                <w:sz w:val="24"/>
                <w:highlight w:val="none"/>
              </w:rPr>
              <w:t>分，最高得</w:t>
            </w:r>
            <w:r>
              <w:rPr>
                <w:rFonts w:hint="eastAsia" w:ascii="宋体" w:hAnsi="宋体" w:cs="宋体"/>
                <w:sz w:val="24"/>
                <w:highlight w:val="none"/>
                <w:lang w:val="en-US" w:eastAsia="zh-CN"/>
              </w:rPr>
              <w:t>6</w:t>
            </w:r>
            <w:r>
              <w:rPr>
                <w:rFonts w:hint="eastAsia" w:ascii="宋体" w:hAnsi="宋体" w:cs="宋体"/>
                <w:sz w:val="24"/>
                <w:highlight w:val="none"/>
              </w:rPr>
              <w:t>分；</w:t>
            </w:r>
          </w:p>
          <w:p>
            <w:pPr>
              <w:autoSpaceDE w:val="0"/>
              <w:autoSpaceDN w:val="0"/>
              <w:adjustRightInd w:val="0"/>
              <w:snapToGrid w:val="0"/>
              <w:spacing w:line="360" w:lineRule="exact"/>
              <w:rPr>
                <w:rFonts w:ascii="宋体" w:hAnsi="宋体" w:cs="宋体"/>
                <w:sz w:val="24"/>
                <w:highlight w:val="none"/>
                <w:lang w:val="zh-CN"/>
              </w:rPr>
            </w:pPr>
            <w:r>
              <w:rPr>
                <w:rFonts w:hint="eastAsia" w:ascii="宋体" w:hAnsi="宋体" w:cs="宋体"/>
                <w:sz w:val="24"/>
                <w:highlight w:val="none"/>
              </w:rPr>
              <w:t>业绩证明</w:t>
            </w:r>
            <w:r>
              <w:rPr>
                <w:rFonts w:hint="eastAsia" w:ascii="宋体" w:hAnsi="宋体" w:cs="宋体"/>
                <w:sz w:val="24"/>
                <w:highlight w:val="none"/>
                <w:lang w:val="en-US" w:eastAsia="zh-CN"/>
              </w:rPr>
              <w:t>文件</w:t>
            </w:r>
            <w:r>
              <w:rPr>
                <w:rFonts w:hint="eastAsia" w:ascii="宋体" w:hAnsi="宋体" w:cs="宋体"/>
                <w:sz w:val="24"/>
                <w:highlight w:val="none"/>
              </w:rPr>
              <w:t>（</w:t>
            </w:r>
            <w:r>
              <w:rPr>
                <w:rFonts w:hint="eastAsia" w:ascii="宋体" w:hAnsi="宋体" w:cs="宋体"/>
                <w:sz w:val="24"/>
                <w:highlight w:val="none"/>
                <w:lang w:val="en-US" w:eastAsia="zh-CN"/>
              </w:rPr>
              <w:t>提供</w:t>
            </w:r>
            <w:r>
              <w:rPr>
                <w:rFonts w:hint="eastAsia" w:ascii="宋体" w:hAnsi="宋体" w:cs="宋体"/>
                <w:sz w:val="24"/>
                <w:highlight w:val="none"/>
              </w:rPr>
              <w:t>合同</w:t>
            </w:r>
            <w:r>
              <w:rPr>
                <w:rFonts w:hint="eastAsia" w:ascii="宋体" w:hAnsi="宋体" w:cs="宋体"/>
                <w:sz w:val="24"/>
                <w:highlight w:val="none"/>
                <w:lang w:val="en-US" w:eastAsia="zh-CN"/>
              </w:rPr>
              <w:t>及</w:t>
            </w:r>
            <w:r>
              <w:rPr>
                <w:rFonts w:hint="eastAsia" w:ascii="宋体" w:hAnsi="宋体" w:cs="宋体"/>
                <w:sz w:val="24"/>
                <w:highlight w:val="none"/>
              </w:rPr>
              <w:t>中标通知书扫描件加盖单位公章</w:t>
            </w:r>
            <w:r>
              <w:rPr>
                <w:rFonts w:hint="eastAsia" w:ascii="宋体" w:hAnsi="宋体" w:cs="宋体"/>
                <w:sz w:val="24"/>
                <w:highlight w:val="none"/>
                <w:lang w:val="en-US" w:eastAsia="zh-CN"/>
              </w:rPr>
              <w:t>装订于投标文件中</w:t>
            </w:r>
            <w:r>
              <w:rPr>
                <w:rFonts w:hint="eastAsia" w:ascii="宋体" w:hAnsi="宋体" w:cs="宋体"/>
                <w:sz w:val="24"/>
                <w:highlight w:val="none"/>
                <w:lang w:eastAsia="zh-CN"/>
              </w:rPr>
              <w:t>。</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Cs w:val="21"/>
              </w:rPr>
            </w:pPr>
            <w:r>
              <w:rPr>
                <w:rFonts w:asciiTheme="minorEastAsia" w:hAnsiTheme="minorEastAsia" w:eastAsiaTheme="minorEastAsia"/>
                <w:szCs w:val="21"/>
              </w:rPr>
              <w:t>总分</w:t>
            </w:r>
          </w:p>
        </w:tc>
        <w:tc>
          <w:tcPr>
            <w:tcW w:w="75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szCs w:val="21"/>
                <w:lang w:val="zh-CN"/>
              </w:rPr>
            </w:pPr>
            <w:r>
              <w:rPr>
                <w:rFonts w:asciiTheme="minorEastAsia" w:hAnsiTheme="minorEastAsia" w:eastAsiaTheme="minorEastAsia"/>
                <w:szCs w:val="21"/>
                <w:lang w:val="zh-CN"/>
              </w:rPr>
              <w:t>100分</w:t>
            </w:r>
          </w:p>
        </w:tc>
      </w:tr>
    </w:tbl>
    <w:p>
      <w:pPr>
        <w:numPr>
          <w:ilvl w:val="0"/>
          <w:numId w:val="7"/>
        </w:numPr>
        <w:spacing w:line="360" w:lineRule="auto"/>
        <w:ind w:left="1080" w:leftChars="257" w:hanging="540"/>
        <w:jc w:val="center"/>
        <w:outlineLvl w:val="0"/>
        <w:rPr>
          <w:rStyle w:val="55"/>
          <w:rFonts w:asciiTheme="minorEastAsia" w:hAnsiTheme="minorEastAsia" w:eastAsiaTheme="minorEastAsia"/>
          <w:szCs w:val="32"/>
        </w:rPr>
      </w:pPr>
      <w:r>
        <w:rPr>
          <w:rFonts w:asciiTheme="minorEastAsia" w:hAnsiTheme="minorEastAsia" w:eastAsiaTheme="minorEastAsia"/>
        </w:rPr>
        <w:br w:type="page"/>
      </w:r>
      <w:bookmarkStart w:id="301" w:name="_Toc515647833"/>
      <w:bookmarkStart w:id="302" w:name="_Toc532044541"/>
      <w:bookmarkStart w:id="303" w:name="_Toc6865"/>
      <w:bookmarkStart w:id="304" w:name="_Toc4796"/>
      <w:bookmarkStart w:id="305" w:name="_Toc532473757"/>
      <w:bookmarkStart w:id="306" w:name="_Toc108721140"/>
      <w:r>
        <w:rPr>
          <w:rStyle w:val="55"/>
          <w:rFonts w:asciiTheme="minorEastAsia" w:hAnsiTheme="minorEastAsia" w:eastAsiaTheme="minorEastAsia"/>
          <w:szCs w:val="32"/>
        </w:rPr>
        <w:t xml:space="preserve"> </w:t>
      </w:r>
      <w:bookmarkStart w:id="307" w:name="_Toc23716"/>
      <w:r>
        <w:rPr>
          <w:rStyle w:val="55"/>
          <w:rFonts w:asciiTheme="minorEastAsia" w:hAnsiTheme="minorEastAsia" w:eastAsiaTheme="minorEastAsia"/>
          <w:szCs w:val="32"/>
        </w:rPr>
        <w:t>拟签订的合同</w:t>
      </w:r>
      <w:bookmarkEnd w:id="301"/>
      <w:bookmarkEnd w:id="302"/>
      <w:bookmarkEnd w:id="303"/>
      <w:bookmarkEnd w:id="304"/>
      <w:bookmarkEnd w:id="305"/>
      <w:bookmarkStart w:id="308" w:name="_Hlt487972895"/>
      <w:bookmarkEnd w:id="308"/>
      <w:bookmarkStart w:id="309" w:name="_Toc487900382"/>
      <w:bookmarkStart w:id="310" w:name="_Toc216513788"/>
      <w:r>
        <w:rPr>
          <w:rStyle w:val="55"/>
          <w:rFonts w:asciiTheme="minorEastAsia" w:hAnsiTheme="minorEastAsia" w:eastAsiaTheme="minorEastAsia"/>
          <w:szCs w:val="32"/>
        </w:rPr>
        <w:t>文本</w:t>
      </w:r>
      <w:bookmarkEnd w:id="306"/>
      <w:bookmarkEnd w:id="307"/>
    </w:p>
    <w:p>
      <w:pPr>
        <w:pStyle w:val="51"/>
      </w:pPr>
    </w:p>
    <w:p>
      <w:pPr>
        <w:tabs>
          <w:tab w:val="left" w:pos="5670"/>
        </w:tabs>
        <w:autoSpaceDE w:val="0"/>
        <w:autoSpaceDN w:val="0"/>
        <w:adjustRightInd w:val="0"/>
        <w:snapToGrid w:val="0"/>
        <w:spacing w:line="360" w:lineRule="auto"/>
        <w:jc w:val="center"/>
        <w:rPr>
          <w:rFonts w:ascii="仿宋" w:hAnsi="仿宋" w:eastAsia="仿宋"/>
          <w:b/>
          <w:bCs/>
          <w:sz w:val="36"/>
          <w:szCs w:val="36"/>
        </w:rPr>
      </w:pPr>
    </w:p>
    <w:p>
      <w:pPr>
        <w:tabs>
          <w:tab w:val="left" w:pos="5670"/>
        </w:tabs>
        <w:autoSpaceDE w:val="0"/>
        <w:autoSpaceDN w:val="0"/>
        <w:adjustRightInd w:val="0"/>
        <w:snapToGrid w:val="0"/>
        <w:spacing w:line="360" w:lineRule="auto"/>
        <w:jc w:val="center"/>
        <w:rPr>
          <w:rFonts w:ascii="仿宋" w:hAnsi="仿宋" w:eastAsia="仿宋"/>
          <w:b/>
          <w:bCs/>
          <w:sz w:val="36"/>
          <w:szCs w:val="36"/>
        </w:rPr>
      </w:pPr>
    </w:p>
    <w:p>
      <w:pPr>
        <w:tabs>
          <w:tab w:val="left" w:pos="5670"/>
        </w:tabs>
        <w:autoSpaceDE w:val="0"/>
        <w:autoSpaceDN w:val="0"/>
        <w:adjustRightInd w:val="0"/>
        <w:snapToGrid w:val="0"/>
        <w:spacing w:line="360" w:lineRule="auto"/>
        <w:jc w:val="center"/>
        <w:rPr>
          <w:rFonts w:ascii="仿宋" w:hAnsi="仿宋" w:eastAsia="仿宋"/>
          <w:b/>
          <w:bCs/>
          <w:sz w:val="36"/>
          <w:szCs w:val="36"/>
        </w:rPr>
      </w:pPr>
    </w:p>
    <w:p>
      <w:pPr>
        <w:pStyle w:val="51"/>
      </w:pPr>
    </w:p>
    <w:p>
      <w:pPr>
        <w:tabs>
          <w:tab w:val="left" w:pos="5670"/>
        </w:tabs>
        <w:autoSpaceDE w:val="0"/>
        <w:autoSpaceDN w:val="0"/>
        <w:adjustRightInd w:val="0"/>
        <w:snapToGrid w:val="0"/>
        <w:spacing w:line="360" w:lineRule="auto"/>
        <w:jc w:val="center"/>
      </w:pPr>
      <w:r>
        <w:rPr>
          <w:rFonts w:hint="eastAsia" w:ascii="仿宋" w:hAnsi="仿宋" w:eastAsia="仿宋"/>
          <w:b/>
          <w:bCs/>
          <w:sz w:val="36"/>
          <w:szCs w:val="36"/>
        </w:rPr>
        <w:t>2023年莲湖疾控区域中心实验室仪器设备采购项目</w:t>
      </w:r>
    </w:p>
    <w:p>
      <w:pPr>
        <w:pStyle w:val="51"/>
        <w:jc w:val="center"/>
        <w:rPr>
          <w:rFonts w:ascii="仿宋" w:hAnsi="仿宋" w:eastAsia="仿宋"/>
          <w:b/>
          <w:bCs/>
          <w:sz w:val="36"/>
          <w:szCs w:val="36"/>
        </w:rPr>
      </w:pPr>
      <w:r>
        <w:rPr>
          <w:rFonts w:hint="eastAsia" w:ascii="仿宋" w:hAnsi="仿宋" w:eastAsia="仿宋"/>
          <w:b/>
          <w:bCs/>
          <w:sz w:val="36"/>
          <w:szCs w:val="36"/>
        </w:rPr>
        <w:t>第（    ）包</w:t>
      </w:r>
    </w:p>
    <w:p>
      <w:pPr>
        <w:pStyle w:val="51"/>
      </w:pPr>
    </w:p>
    <w:p>
      <w:pPr>
        <w:pStyle w:val="51"/>
      </w:pPr>
    </w:p>
    <w:p>
      <w:pPr>
        <w:pStyle w:val="51"/>
      </w:pPr>
    </w:p>
    <w:p>
      <w:pPr>
        <w:pStyle w:val="51"/>
      </w:pPr>
    </w:p>
    <w:p>
      <w:pPr>
        <w:spacing w:line="800" w:lineRule="exact"/>
        <w:jc w:val="center"/>
        <w:rPr>
          <w:rFonts w:ascii="仿宋" w:hAnsi="仿宋" w:eastAsia="仿宋" w:cs="宋体"/>
          <w:b/>
          <w:sz w:val="36"/>
          <w:szCs w:val="36"/>
        </w:rPr>
      </w:pPr>
      <w:r>
        <w:rPr>
          <w:rFonts w:hint="eastAsia" w:ascii="仿宋" w:hAnsi="仿宋" w:eastAsia="仿宋" w:cs="宋体"/>
          <w:b/>
          <w:sz w:val="36"/>
          <w:szCs w:val="36"/>
        </w:rPr>
        <w:t>供 货 合 同</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ind w:firstLine="2080" w:firstLineChars="650"/>
        <w:rPr>
          <w:rFonts w:ascii="宋体" w:hAnsi="宋体" w:cs="宋体"/>
          <w:sz w:val="32"/>
          <w:szCs w:val="32"/>
        </w:rPr>
      </w:pPr>
      <w:r>
        <w:rPr>
          <w:rFonts w:hint="eastAsia" w:ascii="宋体" w:hAnsi="宋体" w:cs="宋体"/>
          <w:sz w:val="32"/>
          <w:szCs w:val="32"/>
        </w:rPr>
        <w:t>甲  方：</w:t>
      </w:r>
    </w:p>
    <w:p>
      <w:pPr>
        <w:tabs>
          <w:tab w:val="left" w:pos="480"/>
        </w:tabs>
        <w:ind w:firstLine="640" w:firstLineChars="200"/>
        <w:rPr>
          <w:rFonts w:ascii="宋体" w:hAnsi="宋体" w:cs="宋体"/>
          <w:sz w:val="32"/>
          <w:szCs w:val="32"/>
        </w:rPr>
      </w:pPr>
      <w:r>
        <w:rPr>
          <w:rFonts w:hint="eastAsia" w:ascii="宋体" w:hAnsi="宋体" w:cs="宋体"/>
          <w:sz w:val="32"/>
          <w:szCs w:val="32"/>
        </w:rPr>
        <w:t xml:space="preserve">         乙  方：</w:t>
      </w:r>
    </w:p>
    <w:p>
      <w:pPr>
        <w:rPr>
          <w:rFonts w:ascii="宋体" w:hAnsi="宋体" w:cs="宋体"/>
          <w:sz w:val="32"/>
          <w:szCs w:val="32"/>
        </w:rPr>
      </w:pPr>
      <w:r>
        <w:rPr>
          <w:rFonts w:hint="eastAsia" w:ascii="宋体" w:hAnsi="宋体" w:cs="宋体"/>
          <w:sz w:val="32"/>
          <w:szCs w:val="32"/>
        </w:rPr>
        <w:t xml:space="preserve">             </w:t>
      </w:r>
    </w:p>
    <w:p>
      <w:pPr>
        <w:jc w:val="center"/>
        <w:rPr>
          <w:rFonts w:ascii="宋体" w:hAnsi="宋体" w:cs="宋体"/>
          <w:sz w:val="30"/>
          <w:szCs w:val="30"/>
        </w:rPr>
      </w:pPr>
    </w:p>
    <w:p>
      <w:pPr>
        <w:jc w:val="center"/>
        <w:rPr>
          <w:rFonts w:ascii="宋体" w:hAnsi="宋体" w:cs="宋体"/>
          <w:sz w:val="32"/>
          <w:szCs w:val="32"/>
        </w:rPr>
      </w:pPr>
      <w:r>
        <w:rPr>
          <w:rFonts w:hint="eastAsia" w:ascii="宋体" w:hAnsi="宋体" w:cs="宋体"/>
          <w:sz w:val="32"/>
          <w:szCs w:val="32"/>
        </w:rPr>
        <w:t>2023年  月</w:t>
      </w:r>
    </w:p>
    <w:p>
      <w:pPr>
        <w:jc w:val="center"/>
        <w:rPr>
          <w:rFonts w:ascii="宋体" w:hAnsi="宋体" w:cs="宋体"/>
          <w:sz w:val="32"/>
          <w:szCs w:val="32"/>
        </w:rPr>
      </w:pPr>
      <w:r>
        <w:rPr>
          <w:rFonts w:hint="eastAsia" w:ascii="宋体" w:hAnsi="宋体" w:cs="宋体"/>
          <w:sz w:val="32"/>
          <w:szCs w:val="32"/>
        </w:rPr>
        <w:t>中国  西安</w:t>
      </w:r>
    </w:p>
    <w:p>
      <w:pPr>
        <w:spacing w:line="440" w:lineRule="exact"/>
        <w:rPr>
          <w:rFonts w:ascii="仿宋" w:hAnsi="仿宋" w:eastAsia="仿宋"/>
          <w:sz w:val="24"/>
        </w:rPr>
      </w:pPr>
    </w:p>
    <w:p>
      <w:r>
        <w:rPr>
          <w:rFonts w:hint="eastAsia"/>
        </w:rPr>
        <w:br w:type="page"/>
      </w:r>
    </w:p>
    <w:p>
      <w:pPr>
        <w:pStyle w:val="51"/>
      </w:pPr>
    </w:p>
    <w:p>
      <w:pPr>
        <w:pStyle w:val="51"/>
      </w:pPr>
    </w:p>
    <w:p>
      <w:pPr>
        <w:spacing w:line="460" w:lineRule="exact"/>
        <w:ind w:firstLine="420" w:firstLineChars="200"/>
        <w:rPr>
          <w:rFonts w:ascii="宋体" w:hAnsi="宋体" w:cs="宋体"/>
          <w:szCs w:val="21"/>
        </w:rPr>
      </w:pPr>
      <w:r>
        <w:rPr>
          <w:rFonts w:hint="eastAsia" w:ascii="宋体" w:hAnsi="宋体" w:cs="宋体"/>
          <w:szCs w:val="21"/>
        </w:rPr>
        <w:t>甲方：</w:t>
      </w:r>
    </w:p>
    <w:p>
      <w:pPr>
        <w:spacing w:line="460" w:lineRule="exact"/>
        <w:ind w:firstLine="420" w:firstLineChars="200"/>
        <w:rPr>
          <w:rFonts w:ascii="宋体" w:hAnsi="宋体" w:cs="宋体"/>
          <w:szCs w:val="21"/>
        </w:rPr>
      </w:pPr>
      <w:r>
        <w:rPr>
          <w:rFonts w:hint="eastAsia" w:ascii="宋体" w:hAnsi="宋体" w:cs="宋体"/>
          <w:szCs w:val="21"/>
        </w:rPr>
        <w:t>住所地：</w:t>
      </w:r>
    </w:p>
    <w:p>
      <w:pPr>
        <w:spacing w:line="460" w:lineRule="exact"/>
        <w:ind w:firstLine="420" w:firstLineChars="200"/>
        <w:rPr>
          <w:rFonts w:ascii="宋体" w:hAnsi="宋体" w:cs="宋体"/>
          <w:szCs w:val="21"/>
        </w:rPr>
      </w:pPr>
      <w:r>
        <w:rPr>
          <w:rFonts w:hint="eastAsia" w:ascii="宋体" w:hAnsi="宋体" w:cs="宋体"/>
          <w:szCs w:val="21"/>
        </w:rPr>
        <w:t xml:space="preserve">法定代表人： </w:t>
      </w:r>
    </w:p>
    <w:p>
      <w:pPr>
        <w:spacing w:line="460" w:lineRule="exact"/>
        <w:ind w:firstLine="420" w:firstLineChars="200"/>
        <w:rPr>
          <w:rFonts w:ascii="宋体" w:hAnsi="宋体" w:cs="宋体"/>
          <w:szCs w:val="21"/>
        </w:rPr>
      </w:pPr>
      <w:r>
        <w:rPr>
          <w:rFonts w:hint="eastAsia" w:ascii="宋体" w:hAnsi="宋体" w:cs="宋体"/>
          <w:szCs w:val="21"/>
        </w:rPr>
        <w:t>联系方式</w:t>
      </w:r>
    </w:p>
    <w:p>
      <w:pPr>
        <w:spacing w:line="460" w:lineRule="exact"/>
        <w:ind w:firstLine="420" w:firstLineChars="200"/>
        <w:rPr>
          <w:rFonts w:ascii="宋体" w:hAnsi="宋体" w:cs="宋体"/>
          <w:szCs w:val="21"/>
        </w:rPr>
      </w:pPr>
      <w:r>
        <w:rPr>
          <w:rFonts w:hint="eastAsia" w:ascii="宋体" w:hAnsi="宋体" w:cs="宋体"/>
          <w:szCs w:val="21"/>
        </w:rPr>
        <w:t>乙方：</w:t>
      </w:r>
    </w:p>
    <w:p>
      <w:pPr>
        <w:spacing w:line="460" w:lineRule="exact"/>
        <w:ind w:firstLine="420" w:firstLineChars="200"/>
        <w:rPr>
          <w:rFonts w:ascii="宋体" w:hAnsi="宋体" w:cs="宋体"/>
          <w:szCs w:val="21"/>
        </w:rPr>
      </w:pPr>
      <w:r>
        <w:rPr>
          <w:rFonts w:hint="eastAsia" w:ascii="宋体" w:hAnsi="宋体" w:cs="宋体"/>
          <w:szCs w:val="21"/>
        </w:rPr>
        <w:t>住所地：</w:t>
      </w:r>
    </w:p>
    <w:p>
      <w:pPr>
        <w:spacing w:line="460" w:lineRule="exact"/>
        <w:ind w:firstLine="420" w:firstLineChars="200"/>
        <w:rPr>
          <w:rFonts w:ascii="宋体" w:hAnsi="宋体" w:cs="宋体"/>
          <w:szCs w:val="21"/>
        </w:rPr>
      </w:pPr>
      <w:r>
        <w:rPr>
          <w:rFonts w:hint="eastAsia" w:ascii="宋体" w:hAnsi="宋体" w:cs="宋体"/>
          <w:szCs w:val="21"/>
        </w:rPr>
        <w:t>法定代表人：</w:t>
      </w:r>
    </w:p>
    <w:p>
      <w:pPr>
        <w:spacing w:line="460" w:lineRule="exact"/>
        <w:ind w:firstLine="420" w:firstLineChars="200"/>
        <w:rPr>
          <w:rFonts w:ascii="宋体" w:hAnsi="宋体" w:cs="宋体"/>
          <w:szCs w:val="21"/>
        </w:rPr>
      </w:pPr>
      <w:r>
        <w:rPr>
          <w:rFonts w:hint="eastAsia" w:ascii="宋体" w:hAnsi="宋体" w:cs="宋体"/>
          <w:szCs w:val="21"/>
        </w:rPr>
        <w:t>联系方式：</w:t>
      </w:r>
    </w:p>
    <w:p>
      <w:pPr>
        <w:spacing w:line="46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（以下简称甲方）所需本合同项目下的医疗设备，</w:t>
      </w:r>
      <w:r>
        <w:rPr>
          <w:rFonts w:hint="eastAsia" w:ascii="宋体" w:hAnsi="宋体" w:cs="宋体"/>
          <w:szCs w:val="21"/>
          <w:highlight w:val="none"/>
        </w:rPr>
        <w:t>在西安市莲湖区财政局政府采购管理处的监督管理下，由</w:t>
      </w:r>
      <w:r>
        <w:rPr>
          <w:rFonts w:hint="eastAsia" w:ascii="宋体" w:hAnsi="宋体" w:cs="宋体"/>
          <w:szCs w:val="21"/>
          <w:highlight w:val="none"/>
          <w:u w:val="single"/>
        </w:rPr>
        <w:t>陕西诺尔信项目管理有限公司</w:t>
      </w:r>
      <w:r>
        <w:rPr>
          <w:rFonts w:hint="eastAsia" w:ascii="宋体" w:hAnsi="宋体" w:cs="宋体"/>
          <w:szCs w:val="21"/>
          <w:highlight w:val="none"/>
        </w:rPr>
        <w:t>（以下简称见证方）按</w:t>
      </w:r>
      <w:r>
        <w:rPr>
          <w:rFonts w:hint="eastAsia" w:ascii="宋体" w:hAnsi="宋体" w:cs="宋体"/>
          <w:szCs w:val="21"/>
        </w:rPr>
        <w:t>照政府采购程序组织公开招标，确定</w:t>
      </w:r>
      <w:r>
        <w:rPr>
          <w:rFonts w:hint="eastAsia" w:ascii="宋体" w:hAnsi="宋体" w:cs="宋体"/>
          <w:szCs w:val="21"/>
          <w:u w:val="single"/>
        </w:rPr>
        <w:t xml:space="preserve">         </w:t>
      </w:r>
      <w:r>
        <w:rPr>
          <w:rFonts w:hint="eastAsia" w:ascii="宋体" w:hAnsi="宋体" w:cs="宋体"/>
          <w:szCs w:val="21"/>
        </w:rPr>
        <w:t>（以下简称乙方）为成交供应商。依据《中华人民共和国政府采购法》、《中华人民共和国政府采购法实施条例》、《中华人民共和国民法典》以及招标文件、中标人投标文件正本和澄清表（函）、中标通知书，经甲、乙双方协商，达成如下条款。</w:t>
      </w:r>
    </w:p>
    <w:p>
      <w:pPr>
        <w:spacing w:line="460" w:lineRule="exact"/>
        <w:ind w:firstLine="420" w:firstLineChars="200"/>
        <w:rPr>
          <w:rFonts w:ascii="宋体" w:hAnsi="宋体" w:cs="宋体"/>
          <w:szCs w:val="21"/>
        </w:rPr>
      </w:pPr>
      <w:r>
        <w:rPr>
          <w:rFonts w:hint="eastAsia" w:ascii="宋体" w:hAnsi="宋体" w:cs="宋体"/>
          <w:szCs w:val="21"/>
        </w:rPr>
        <w:t>一、合同标的物内容及数量（以投标文件正本和澄清表〈函〉为准，标的物规格标准详见附件一、附件二）</w:t>
      </w:r>
    </w:p>
    <w:tbl>
      <w:tblPr>
        <w:tblStyle w:val="3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77"/>
        <w:gridCol w:w="1154"/>
        <w:gridCol w:w="637"/>
        <w:gridCol w:w="676"/>
        <w:gridCol w:w="1521"/>
        <w:gridCol w:w="144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460" w:lineRule="exact"/>
              <w:ind w:right="-38" w:rightChars="-18"/>
              <w:rPr>
                <w:rFonts w:ascii="宋体" w:hAnsi="宋体" w:cs="宋体"/>
                <w:szCs w:val="21"/>
              </w:rPr>
            </w:pPr>
            <w:r>
              <w:rPr>
                <w:rFonts w:hint="eastAsia" w:ascii="宋体" w:hAnsi="宋体" w:cs="宋体"/>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产品名称</w:t>
            </w:r>
          </w:p>
        </w:tc>
        <w:tc>
          <w:tcPr>
            <w:tcW w:w="115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型号规格</w:t>
            </w:r>
          </w:p>
        </w:tc>
        <w:tc>
          <w:tcPr>
            <w:tcW w:w="63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产地</w:t>
            </w:r>
          </w:p>
        </w:tc>
        <w:tc>
          <w:tcPr>
            <w:tcW w:w="67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数量</w:t>
            </w: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单价（万元）</w:t>
            </w:r>
          </w:p>
        </w:tc>
        <w:tc>
          <w:tcPr>
            <w:tcW w:w="14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总价（万元）</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1</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c>
          <w:tcPr>
            <w:tcW w:w="637"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c>
          <w:tcPr>
            <w:tcW w:w="131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487" w:type="dxa"/>
            <w:gridSpan w:val="8"/>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货物价款合计（万元）：     ¥：（万元）</w:t>
            </w:r>
          </w:p>
        </w:tc>
      </w:tr>
    </w:tbl>
    <w:p>
      <w:pPr>
        <w:spacing w:line="460" w:lineRule="exact"/>
        <w:ind w:firstLine="420" w:firstLineChars="200"/>
        <w:rPr>
          <w:rFonts w:ascii="宋体" w:hAnsi="宋体" w:cs="宋体"/>
          <w:szCs w:val="21"/>
        </w:rPr>
      </w:pPr>
      <w:r>
        <w:rPr>
          <w:rFonts w:hint="eastAsia" w:ascii="宋体" w:hAnsi="宋体" w:cs="宋体"/>
          <w:szCs w:val="21"/>
        </w:rPr>
        <w:t>二、合同价款</w:t>
      </w:r>
    </w:p>
    <w:p>
      <w:pPr>
        <w:spacing w:line="460" w:lineRule="exact"/>
        <w:ind w:firstLine="420" w:firstLineChars="200"/>
        <w:rPr>
          <w:rFonts w:ascii="宋体" w:hAnsi="宋体" w:cs="宋体"/>
          <w:szCs w:val="21"/>
        </w:rPr>
      </w:pPr>
      <w:r>
        <w:rPr>
          <w:rFonts w:hint="eastAsia" w:ascii="宋体" w:hAnsi="宋体" w:cs="宋体"/>
          <w:szCs w:val="21"/>
        </w:rPr>
        <w:t>（一）合同总价款为人民币（大写）XXXXXXXXXXXXX（￥XXXX万元）。</w:t>
      </w:r>
    </w:p>
    <w:p>
      <w:pPr>
        <w:spacing w:line="460" w:lineRule="exact"/>
        <w:ind w:firstLine="420" w:firstLineChars="200"/>
        <w:rPr>
          <w:rFonts w:ascii="宋体" w:hAnsi="宋体" w:cs="宋体"/>
          <w:szCs w:val="21"/>
        </w:rPr>
      </w:pPr>
      <w:r>
        <w:rPr>
          <w:rFonts w:hint="eastAsia" w:ascii="宋体" w:hAnsi="宋体" w:cs="宋体"/>
          <w:szCs w:val="21"/>
        </w:rPr>
        <w:t>（二）合同总价包括：货物费、运输费（含保险费）、装卸、安装调试费、检测验收、培训、技术服务及其它费用。</w:t>
      </w:r>
    </w:p>
    <w:p>
      <w:pPr>
        <w:spacing w:line="460" w:lineRule="exact"/>
        <w:ind w:firstLine="420" w:firstLineChars="200"/>
        <w:rPr>
          <w:rFonts w:ascii="宋体" w:hAnsi="宋体" w:cs="宋体"/>
          <w:szCs w:val="21"/>
        </w:rPr>
      </w:pPr>
      <w:r>
        <w:rPr>
          <w:rFonts w:hint="eastAsia" w:ascii="宋体" w:hAnsi="宋体" w:cs="宋体"/>
          <w:szCs w:val="21"/>
        </w:rPr>
        <w:t>（三）合同总价一次性包死，不受市场价格变化因素的影响。</w:t>
      </w:r>
    </w:p>
    <w:p>
      <w:pPr>
        <w:spacing w:line="460" w:lineRule="exact"/>
        <w:ind w:firstLine="420" w:firstLineChars="200"/>
        <w:rPr>
          <w:rFonts w:ascii="宋体" w:hAnsi="宋体" w:cs="宋体"/>
          <w:b/>
          <w:szCs w:val="21"/>
        </w:rPr>
      </w:pPr>
      <w:r>
        <w:rPr>
          <w:rFonts w:hint="eastAsia" w:ascii="宋体" w:hAnsi="宋体" w:cs="宋体"/>
          <w:szCs w:val="21"/>
        </w:rPr>
        <w:t>三、款项结算</w:t>
      </w:r>
    </w:p>
    <w:p>
      <w:pPr>
        <w:spacing w:line="460" w:lineRule="exact"/>
        <w:ind w:firstLine="420" w:firstLineChars="200"/>
        <w:rPr>
          <w:rFonts w:ascii="宋体" w:hAnsi="宋体" w:cs="宋体"/>
          <w:szCs w:val="21"/>
          <w:highlight w:val="none"/>
        </w:rPr>
      </w:pPr>
      <w:r>
        <w:rPr>
          <w:rFonts w:hint="eastAsia" w:ascii="宋体" w:hAnsi="宋体" w:cs="宋体"/>
          <w:szCs w:val="21"/>
        </w:rPr>
        <w:t>1、合同签订后，</w:t>
      </w:r>
      <w:r>
        <w:rPr>
          <w:rFonts w:hint="eastAsia" w:ascii="宋体" w:hAnsi="宋体" w:cs="宋体"/>
          <w:szCs w:val="21"/>
          <w:highlight w:val="none"/>
        </w:rPr>
        <w:t>乙方须按其投标文件中响应的交货期按时交货并提供全额合规发票保证“货票同行”，到达甲方指定地点，安装、调试完毕并验收合格后，甲方支付合同总价款的</w:t>
      </w:r>
      <w:r>
        <w:rPr>
          <w:rFonts w:hint="eastAsia" w:ascii="宋体" w:hAnsi="宋体" w:cs="宋体"/>
          <w:szCs w:val="21"/>
          <w:highlight w:val="none"/>
          <w:lang w:val="en-US" w:eastAsia="zh-CN"/>
        </w:rPr>
        <w:t>90</w:t>
      </w:r>
      <w:r>
        <w:rPr>
          <w:rFonts w:hint="eastAsia" w:ascii="宋体" w:hAnsi="宋体" w:cs="宋体"/>
          <w:szCs w:val="21"/>
          <w:highlight w:val="none"/>
        </w:rPr>
        <w:t>%。</w:t>
      </w:r>
    </w:p>
    <w:p>
      <w:pPr>
        <w:spacing w:line="460" w:lineRule="exact"/>
        <w:ind w:firstLine="420" w:firstLineChars="200"/>
        <w:rPr>
          <w:rFonts w:ascii="宋体" w:hAnsi="宋体" w:cs="宋体"/>
          <w:szCs w:val="21"/>
          <w:highlight w:val="none"/>
        </w:rPr>
      </w:pPr>
      <w:r>
        <w:rPr>
          <w:rFonts w:hint="eastAsia" w:ascii="宋体" w:hAnsi="宋体" w:cs="宋体"/>
          <w:szCs w:val="21"/>
          <w:highlight w:val="none"/>
        </w:rPr>
        <w:t>2、维保期期满后，乙方需全面对产品进行全面维护保养，保证正常使用。甲方支付合同总价款</w:t>
      </w:r>
      <w:r>
        <w:rPr>
          <w:rFonts w:hint="eastAsia" w:ascii="宋体" w:hAnsi="宋体" w:cs="宋体"/>
          <w:szCs w:val="21"/>
          <w:highlight w:val="none"/>
          <w:lang w:val="en-US" w:eastAsia="zh-CN"/>
        </w:rPr>
        <w:t>剩余</w:t>
      </w:r>
      <w:r>
        <w:rPr>
          <w:rFonts w:hint="eastAsia" w:ascii="宋体" w:hAnsi="宋体" w:cs="宋体"/>
          <w:szCs w:val="21"/>
          <w:highlight w:val="none"/>
        </w:rPr>
        <w:t>的</w:t>
      </w:r>
      <w:r>
        <w:rPr>
          <w:rFonts w:hint="eastAsia" w:ascii="宋体" w:hAnsi="宋体" w:cs="宋体"/>
          <w:szCs w:val="21"/>
          <w:highlight w:val="none"/>
          <w:lang w:val="en-US" w:eastAsia="zh-CN"/>
        </w:rPr>
        <w:t>10</w:t>
      </w:r>
      <w:r>
        <w:rPr>
          <w:rFonts w:hint="eastAsia" w:ascii="宋体" w:hAnsi="宋体" w:cs="宋体"/>
          <w:szCs w:val="21"/>
          <w:highlight w:val="none"/>
        </w:rPr>
        <w:t>%。</w:t>
      </w:r>
    </w:p>
    <w:p>
      <w:pPr>
        <w:spacing w:line="460" w:lineRule="exact"/>
        <w:ind w:firstLine="420" w:firstLineChars="200"/>
        <w:rPr>
          <w:rFonts w:ascii="宋体" w:hAnsi="宋体" w:cs="宋体"/>
          <w:szCs w:val="21"/>
        </w:rPr>
      </w:pPr>
      <w:r>
        <w:rPr>
          <w:rFonts w:hint="eastAsia" w:ascii="宋体" w:hAnsi="宋体" w:cs="宋体"/>
          <w:szCs w:val="21"/>
        </w:rPr>
        <w:t>3、支付方式：银行转帐。</w:t>
      </w:r>
    </w:p>
    <w:p>
      <w:pPr>
        <w:spacing w:line="460" w:lineRule="exact"/>
        <w:ind w:firstLine="420" w:firstLineChars="200"/>
        <w:rPr>
          <w:rFonts w:ascii="宋体" w:hAnsi="宋体" w:cs="宋体"/>
          <w:szCs w:val="21"/>
        </w:rPr>
      </w:pPr>
      <w:r>
        <w:rPr>
          <w:rFonts w:hint="eastAsia" w:ascii="宋体" w:hAnsi="宋体" w:cs="宋体"/>
          <w:szCs w:val="21"/>
        </w:rPr>
        <w:t>4、结算方式：乙方持验收合格单，全额合规发票（按合同总价值开甲方），中标通知书、供货合同，与甲方结算。</w:t>
      </w:r>
    </w:p>
    <w:p>
      <w:pPr>
        <w:spacing w:line="460" w:lineRule="exact"/>
        <w:ind w:firstLine="420" w:firstLineChars="200"/>
        <w:rPr>
          <w:rFonts w:ascii="宋体" w:hAnsi="宋体" w:cs="宋体"/>
          <w:szCs w:val="21"/>
        </w:rPr>
      </w:pPr>
      <w:r>
        <w:rPr>
          <w:rFonts w:hint="eastAsia" w:ascii="宋体" w:hAnsi="宋体" w:cs="宋体"/>
          <w:szCs w:val="21"/>
        </w:rPr>
        <w:t>四、交货条件：</w:t>
      </w:r>
    </w:p>
    <w:p>
      <w:pPr>
        <w:spacing w:line="460" w:lineRule="exact"/>
        <w:ind w:firstLine="420" w:firstLineChars="200"/>
        <w:rPr>
          <w:rFonts w:ascii="宋体" w:hAnsi="宋体" w:cs="宋体"/>
          <w:szCs w:val="21"/>
        </w:rPr>
      </w:pPr>
      <w:r>
        <w:rPr>
          <w:rFonts w:hint="eastAsia" w:ascii="宋体" w:hAnsi="宋体" w:cs="宋体"/>
          <w:szCs w:val="21"/>
        </w:rPr>
        <w:t>（一）交货地点：甲方指定地点。</w:t>
      </w:r>
    </w:p>
    <w:p>
      <w:pPr>
        <w:spacing w:line="460" w:lineRule="exact"/>
        <w:ind w:firstLine="420" w:firstLineChars="200"/>
        <w:rPr>
          <w:rFonts w:ascii="宋体" w:hAnsi="宋体" w:cs="宋体"/>
          <w:szCs w:val="21"/>
        </w:rPr>
      </w:pPr>
      <w:r>
        <w:rPr>
          <w:rFonts w:hint="eastAsia" w:ascii="宋体" w:hAnsi="宋体" w:cs="宋体"/>
          <w:szCs w:val="21"/>
        </w:rPr>
        <w:t>（二）交货期：</w:t>
      </w:r>
    </w:p>
    <w:p>
      <w:pPr>
        <w:spacing w:line="460" w:lineRule="exact"/>
        <w:ind w:firstLine="840" w:firstLineChars="400"/>
        <w:rPr>
          <w:rFonts w:ascii="宋体" w:hAnsi="宋体" w:cs="宋体"/>
          <w:szCs w:val="21"/>
        </w:rPr>
      </w:pPr>
      <w:r>
        <w:rPr>
          <w:rFonts w:hint="eastAsia" w:ascii="宋体" w:hAnsi="宋体" w:cs="宋体"/>
          <w:szCs w:val="21"/>
        </w:rPr>
        <w:t>1、交货期：</w:t>
      </w:r>
      <w:r>
        <w:rPr>
          <w:rFonts w:hint="eastAsia" w:ascii="宋体" w:hAnsi="宋体" w:cs="宋体"/>
          <w:szCs w:val="21"/>
          <w:highlight w:val="none"/>
        </w:rPr>
        <w:t>自合同签订之日起</w:t>
      </w:r>
      <w:r>
        <w:rPr>
          <w:rFonts w:hint="eastAsia" w:ascii="宋体" w:hAnsi="宋体" w:cs="宋体"/>
          <w:szCs w:val="21"/>
          <w:highlight w:val="none"/>
          <w:lang w:val="en-US" w:eastAsia="zh-CN"/>
        </w:rPr>
        <w:t>60</w:t>
      </w:r>
      <w:r>
        <w:rPr>
          <w:rFonts w:hint="eastAsia" w:ascii="宋体" w:hAnsi="宋体" w:cs="宋体"/>
          <w:szCs w:val="21"/>
          <w:highlight w:val="none"/>
        </w:rPr>
        <w:t>个日历日完成全部项目内容，并交付采</w:t>
      </w:r>
      <w:r>
        <w:rPr>
          <w:rFonts w:hint="eastAsia" w:ascii="宋体" w:hAnsi="宋体" w:cs="宋体"/>
          <w:szCs w:val="21"/>
        </w:rPr>
        <w:t>购人验收合格。</w:t>
      </w:r>
    </w:p>
    <w:p>
      <w:pPr>
        <w:spacing w:line="460" w:lineRule="exact"/>
        <w:ind w:firstLine="420" w:firstLineChars="200"/>
        <w:rPr>
          <w:rFonts w:ascii="宋体" w:hAnsi="宋体" w:cs="宋体"/>
          <w:szCs w:val="21"/>
        </w:rPr>
      </w:pPr>
      <w:r>
        <w:rPr>
          <w:rFonts w:hint="eastAsia" w:ascii="宋体" w:hAnsi="宋体" w:cs="宋体"/>
          <w:szCs w:val="21"/>
        </w:rPr>
        <w:t xml:space="preserve">    2、合同签订后，乙方即刻派遣场地工程师到达安装现场勘察，按照供货期要求组织货物到达、安装事宜。场地不满足安装验收条件时，由乙方保存货物，费用由乙方承担。</w:t>
      </w:r>
    </w:p>
    <w:p>
      <w:pPr>
        <w:spacing w:line="460" w:lineRule="exact"/>
        <w:ind w:firstLine="420" w:firstLineChars="200"/>
        <w:rPr>
          <w:rFonts w:ascii="宋体" w:hAnsi="宋体" w:cs="宋体"/>
          <w:szCs w:val="21"/>
        </w:rPr>
      </w:pPr>
      <w:r>
        <w:rPr>
          <w:rFonts w:hint="eastAsia" w:ascii="宋体" w:hAnsi="宋体" w:cs="宋体"/>
          <w:szCs w:val="21"/>
        </w:rPr>
        <w:t>3、如果乙方交货时间比合同约定的供货时间延迟，每推迟一天扣除合同总价款的1%；如果交货时间超过合同约定的供货时间十五天，视乙方根本违约，甲方享有单方解除合同权，合同自甲方书面解除通知送达乙方之日起解除。乙方还应按照本供货合同第九条第二款之约定承担违约责任。</w:t>
      </w:r>
    </w:p>
    <w:p>
      <w:pPr>
        <w:spacing w:line="460" w:lineRule="exact"/>
        <w:ind w:firstLine="420" w:firstLineChars="200"/>
        <w:rPr>
          <w:rFonts w:ascii="宋体" w:hAnsi="宋体" w:cs="宋体"/>
          <w:szCs w:val="21"/>
        </w:rPr>
      </w:pPr>
      <w:r>
        <w:rPr>
          <w:rFonts w:hint="eastAsia" w:ascii="宋体" w:hAnsi="宋体" w:cs="宋体"/>
          <w:szCs w:val="21"/>
        </w:rPr>
        <w:t>五、运输</w:t>
      </w:r>
    </w:p>
    <w:p>
      <w:pPr>
        <w:spacing w:line="460" w:lineRule="exact"/>
        <w:ind w:firstLine="420" w:firstLineChars="200"/>
        <w:rPr>
          <w:rFonts w:ascii="宋体" w:hAnsi="宋体" w:cs="宋体"/>
          <w:szCs w:val="21"/>
        </w:rPr>
      </w:pPr>
      <w:r>
        <w:rPr>
          <w:rFonts w:hint="eastAsia" w:ascii="宋体" w:hAnsi="宋体" w:cs="宋体"/>
          <w:szCs w:val="21"/>
        </w:rPr>
        <w:t>（一）运输由乙方负责，运杂费已包含在合同总价内，包括从货物供应地点至交货地点所含的运输费、装卸费、仓储费、保险费等。</w:t>
      </w:r>
    </w:p>
    <w:p>
      <w:pPr>
        <w:spacing w:line="460" w:lineRule="exact"/>
        <w:ind w:firstLine="420" w:firstLineChars="200"/>
        <w:rPr>
          <w:rFonts w:ascii="宋体" w:hAnsi="宋体" w:cs="宋体"/>
          <w:szCs w:val="21"/>
        </w:rPr>
      </w:pPr>
      <w:r>
        <w:rPr>
          <w:rFonts w:hint="eastAsia" w:ascii="宋体" w:hAnsi="宋体" w:cs="宋体"/>
          <w:szCs w:val="21"/>
        </w:rPr>
        <w:t>（二）运输方式由乙方自行选择，但必须保证按期交货。</w:t>
      </w:r>
    </w:p>
    <w:p>
      <w:pPr>
        <w:spacing w:line="460" w:lineRule="exact"/>
        <w:ind w:firstLine="420" w:firstLineChars="200"/>
        <w:rPr>
          <w:rFonts w:ascii="宋体" w:hAnsi="宋体" w:cs="宋体"/>
          <w:szCs w:val="21"/>
        </w:rPr>
      </w:pPr>
      <w:r>
        <w:rPr>
          <w:rFonts w:hint="eastAsia" w:ascii="宋体" w:hAnsi="宋体" w:cs="宋体"/>
          <w:szCs w:val="21"/>
        </w:rPr>
        <w:t>（三）因运输产生的一切风险及质量问题均由乙方承担。</w:t>
      </w:r>
    </w:p>
    <w:p>
      <w:pPr>
        <w:spacing w:line="460" w:lineRule="exact"/>
        <w:ind w:firstLine="420" w:firstLineChars="200"/>
        <w:rPr>
          <w:rFonts w:ascii="宋体" w:hAnsi="宋体" w:cs="宋体"/>
          <w:szCs w:val="21"/>
        </w:rPr>
      </w:pPr>
      <w:r>
        <w:rPr>
          <w:rFonts w:hint="eastAsia" w:ascii="宋体" w:hAnsi="宋体" w:cs="宋体"/>
          <w:szCs w:val="21"/>
        </w:rPr>
        <w:t>六、安装调试和培训：</w:t>
      </w:r>
    </w:p>
    <w:p>
      <w:pPr>
        <w:spacing w:line="460" w:lineRule="exact"/>
        <w:ind w:firstLine="420" w:firstLineChars="200"/>
        <w:rPr>
          <w:rFonts w:ascii="宋体" w:hAnsi="宋体" w:cs="宋体"/>
          <w:szCs w:val="21"/>
        </w:rPr>
      </w:pPr>
      <w:r>
        <w:rPr>
          <w:rFonts w:hint="eastAsia" w:ascii="宋体" w:hAnsi="宋体" w:cs="宋体"/>
          <w:szCs w:val="21"/>
        </w:rPr>
        <w:t>（一）供应商必须保证足够的技术人员和时间投入系统安装实施中，在项目建设过程中，项目负责人和主要实施人员需常驻用户所在地，且未经用户许可，不得变更项目负责人。该项目的负责人，负责与用户接洽工作。</w:t>
      </w:r>
    </w:p>
    <w:p>
      <w:pPr>
        <w:spacing w:line="460" w:lineRule="exact"/>
        <w:ind w:firstLine="420" w:firstLineChars="200"/>
        <w:rPr>
          <w:rFonts w:ascii="宋体" w:hAnsi="宋体" w:cs="宋体"/>
          <w:szCs w:val="21"/>
        </w:rPr>
      </w:pPr>
      <w:r>
        <w:rPr>
          <w:rFonts w:hint="eastAsia" w:ascii="宋体" w:hAnsi="宋体" w:cs="宋体"/>
          <w:szCs w:val="21"/>
        </w:rPr>
        <w:t>（二）根据用户计算机操作水平的高低、特殊职能科室的业务需求等用户实际需要，有针对性地开展集中的用户培训，初步实现知识与技能的转移。投标人根据项目整体要求制订详细的培训计划。中标人在项目建设前后除了对业务经办人员的专项培训以外，应对甲方的系统维护人员进行系统维护培训。</w:t>
      </w:r>
    </w:p>
    <w:p>
      <w:pPr>
        <w:spacing w:line="460" w:lineRule="exact"/>
        <w:ind w:firstLine="420" w:firstLineChars="200"/>
        <w:rPr>
          <w:rFonts w:ascii="宋体" w:hAnsi="宋体" w:cs="宋体"/>
          <w:szCs w:val="21"/>
        </w:rPr>
      </w:pPr>
      <w:r>
        <w:rPr>
          <w:rFonts w:hint="eastAsia" w:ascii="宋体" w:hAnsi="宋体" w:cs="宋体"/>
          <w:szCs w:val="21"/>
        </w:rPr>
        <w:t>七、售后服务</w:t>
      </w:r>
    </w:p>
    <w:p>
      <w:pPr>
        <w:spacing w:line="460" w:lineRule="exact"/>
        <w:ind w:firstLine="420" w:firstLineChars="200"/>
        <w:rPr>
          <w:rFonts w:ascii="宋体" w:hAnsi="宋体" w:cs="宋体"/>
          <w:szCs w:val="21"/>
        </w:rPr>
      </w:pPr>
      <w:r>
        <w:rPr>
          <w:rFonts w:hint="eastAsia" w:ascii="宋体" w:hAnsi="宋体" w:cs="宋体"/>
          <w:szCs w:val="21"/>
        </w:rPr>
        <w:t>（一）质</w:t>
      </w:r>
      <w:r>
        <w:rPr>
          <w:rFonts w:hint="eastAsia" w:ascii="宋体" w:hAnsi="宋体" w:cs="宋体"/>
          <w:szCs w:val="21"/>
          <w:highlight w:val="none"/>
        </w:rPr>
        <w:t>保期：从装机验收之日起整机保修</w:t>
      </w:r>
      <w:r>
        <w:rPr>
          <w:rFonts w:hint="eastAsia" w:ascii="宋体" w:hAnsi="宋体" w:cs="宋体"/>
          <w:szCs w:val="21"/>
          <w:highlight w:val="none"/>
          <w:lang w:val="en-US" w:eastAsia="zh-CN"/>
        </w:rPr>
        <w:t>1</w:t>
      </w:r>
      <w:r>
        <w:rPr>
          <w:rFonts w:hint="eastAsia" w:ascii="宋体" w:hAnsi="宋体" w:cs="宋体"/>
          <w:szCs w:val="21"/>
          <w:highlight w:val="none"/>
        </w:rPr>
        <w:t>年，并提供终身维修服务。保修期</w:t>
      </w:r>
      <w:r>
        <w:rPr>
          <w:rFonts w:hint="eastAsia" w:ascii="宋体" w:hAnsi="宋体" w:cs="宋体"/>
          <w:szCs w:val="21"/>
        </w:rPr>
        <w:t>内，所有服务及配件全部免费。保修期后设备维修配件更换只收取成本费用。</w:t>
      </w:r>
    </w:p>
    <w:p>
      <w:pPr>
        <w:spacing w:line="460" w:lineRule="exact"/>
        <w:ind w:firstLine="420" w:firstLineChars="200"/>
        <w:rPr>
          <w:rFonts w:ascii="宋体" w:hAnsi="宋体" w:cs="宋体"/>
          <w:szCs w:val="21"/>
        </w:rPr>
      </w:pPr>
      <w:r>
        <w:rPr>
          <w:rFonts w:hint="eastAsia" w:ascii="宋体" w:hAnsi="宋体" w:cs="宋体"/>
          <w:szCs w:val="21"/>
        </w:rPr>
        <w:t>（二）厂家在西安设有售后服务机构或有派驻工程师；</w:t>
      </w:r>
    </w:p>
    <w:p>
      <w:pPr>
        <w:spacing w:line="460" w:lineRule="exact"/>
        <w:ind w:firstLine="420" w:firstLineChars="200"/>
        <w:rPr>
          <w:rFonts w:ascii="宋体" w:hAnsi="宋体" w:cs="宋体"/>
          <w:szCs w:val="21"/>
        </w:rPr>
      </w:pPr>
      <w:r>
        <w:rPr>
          <w:rFonts w:hint="eastAsia" w:ascii="宋体" w:hAnsi="宋体" w:cs="宋体"/>
          <w:szCs w:val="21"/>
        </w:rPr>
        <w:t>（三）质保期内接到报修，2小时电话响应，4 小时内到达现场，48 小时内处理完毕。质量保修期内每半年工程师免费对仪器进行维护保养一次。</w:t>
      </w:r>
    </w:p>
    <w:p>
      <w:pPr>
        <w:spacing w:line="460" w:lineRule="exact"/>
        <w:ind w:firstLine="420" w:firstLineChars="200"/>
        <w:rPr>
          <w:rFonts w:ascii="宋体" w:hAnsi="宋体" w:cs="宋体"/>
          <w:szCs w:val="21"/>
        </w:rPr>
      </w:pPr>
      <w:r>
        <w:rPr>
          <w:rFonts w:hint="eastAsia" w:ascii="宋体" w:hAnsi="宋体" w:cs="宋体"/>
          <w:szCs w:val="21"/>
        </w:rPr>
        <w:t>（四）原厂技术工程师提供安装，培训，维修技术服务。</w:t>
      </w:r>
    </w:p>
    <w:p>
      <w:pPr>
        <w:spacing w:line="460" w:lineRule="exact"/>
        <w:ind w:firstLine="420" w:firstLineChars="200"/>
        <w:rPr>
          <w:rFonts w:ascii="宋体" w:hAnsi="宋体" w:cs="宋体"/>
          <w:szCs w:val="21"/>
        </w:rPr>
      </w:pPr>
      <w:r>
        <w:rPr>
          <w:rFonts w:hint="eastAsia" w:ascii="宋体" w:hAnsi="宋体" w:cs="宋体"/>
          <w:szCs w:val="21"/>
        </w:rPr>
        <w:t>（五）如遇该型号设备软件在1年内升级，中标人应为采购人提供更换或升级。</w:t>
      </w:r>
    </w:p>
    <w:p>
      <w:pPr>
        <w:spacing w:line="460" w:lineRule="exact"/>
        <w:ind w:firstLine="420" w:firstLineChars="200"/>
        <w:rPr>
          <w:rFonts w:ascii="宋体" w:hAnsi="宋体" w:cs="宋体"/>
          <w:szCs w:val="21"/>
        </w:rPr>
      </w:pPr>
      <w:r>
        <w:rPr>
          <w:rFonts w:hint="eastAsia" w:ascii="宋体" w:hAnsi="宋体" w:cs="宋体"/>
          <w:szCs w:val="21"/>
        </w:rPr>
        <w:t>八、验收</w:t>
      </w:r>
    </w:p>
    <w:p>
      <w:pPr>
        <w:spacing w:line="460" w:lineRule="exact"/>
        <w:ind w:firstLine="420" w:firstLineChars="200"/>
        <w:rPr>
          <w:rFonts w:ascii="宋体" w:hAnsi="宋体" w:cs="宋体"/>
          <w:szCs w:val="21"/>
        </w:rPr>
      </w:pPr>
      <w:r>
        <w:rPr>
          <w:rFonts w:hint="eastAsia" w:ascii="宋体" w:hAnsi="宋体" w:cs="宋体"/>
          <w:szCs w:val="21"/>
        </w:rPr>
        <w:t>（一）验收要求：验收按相关规定、规范进行。验收时如发现所交付的成果有不符合招标文件规定之情形者，甲方应做出详尽的现场记录，或由甲方和乙方双方签署备忘录。此现场记录或备忘录可用作补充、缺失和更换的有效证据。由此产生的有关费用由乙方承担。</w:t>
      </w:r>
    </w:p>
    <w:p>
      <w:pPr>
        <w:spacing w:line="460" w:lineRule="exact"/>
        <w:ind w:firstLine="420" w:firstLineChars="200"/>
        <w:rPr>
          <w:rFonts w:ascii="宋体" w:hAnsi="宋体" w:cs="宋体"/>
          <w:szCs w:val="21"/>
        </w:rPr>
      </w:pPr>
      <w:r>
        <w:rPr>
          <w:rFonts w:hint="eastAsia" w:ascii="宋体" w:hAnsi="宋体" w:cs="宋体"/>
          <w:szCs w:val="21"/>
        </w:rPr>
        <w:t>（二）验收依据：</w:t>
      </w:r>
    </w:p>
    <w:p>
      <w:pPr>
        <w:spacing w:line="460" w:lineRule="exact"/>
        <w:ind w:firstLine="420" w:firstLineChars="200"/>
        <w:rPr>
          <w:rFonts w:ascii="宋体" w:hAnsi="宋体" w:cs="宋体"/>
          <w:szCs w:val="21"/>
        </w:rPr>
      </w:pPr>
      <w:r>
        <w:rPr>
          <w:rFonts w:hint="eastAsia" w:ascii="宋体" w:hAnsi="宋体" w:cs="宋体"/>
          <w:szCs w:val="21"/>
        </w:rPr>
        <w:t>（1）合同约定的质量和技术要求。</w:t>
      </w:r>
    </w:p>
    <w:p>
      <w:pPr>
        <w:spacing w:line="460" w:lineRule="exact"/>
        <w:ind w:firstLine="420" w:firstLineChars="200"/>
        <w:rPr>
          <w:rFonts w:ascii="宋体" w:hAnsi="宋体" w:cs="宋体"/>
          <w:szCs w:val="21"/>
        </w:rPr>
      </w:pPr>
      <w:r>
        <w:rPr>
          <w:rFonts w:hint="eastAsia" w:ascii="宋体" w:hAnsi="宋体" w:cs="宋体"/>
          <w:szCs w:val="21"/>
        </w:rPr>
        <w:t>（2）货物原产地证明和出厂质量检验合格证书以及质量保修证书等和产品相关的证书。</w:t>
      </w:r>
    </w:p>
    <w:p>
      <w:pPr>
        <w:spacing w:line="460" w:lineRule="exact"/>
        <w:ind w:firstLine="420" w:firstLineChars="200"/>
        <w:rPr>
          <w:rFonts w:ascii="宋体" w:hAnsi="宋体" w:cs="宋体"/>
          <w:szCs w:val="21"/>
        </w:rPr>
      </w:pPr>
      <w:r>
        <w:rPr>
          <w:rFonts w:hint="eastAsia" w:ascii="宋体" w:hAnsi="宋体" w:cs="宋体"/>
          <w:szCs w:val="21"/>
        </w:rPr>
        <w:t>（3）乙方应向甲方提供设备性能的测试程序、测试手段和测试标准。</w:t>
      </w:r>
    </w:p>
    <w:p>
      <w:pPr>
        <w:spacing w:line="460" w:lineRule="exact"/>
        <w:ind w:firstLine="420" w:firstLineChars="200"/>
        <w:rPr>
          <w:rFonts w:ascii="宋体" w:hAnsi="宋体" w:cs="宋体"/>
          <w:szCs w:val="21"/>
        </w:rPr>
      </w:pPr>
      <w:r>
        <w:rPr>
          <w:rFonts w:hint="eastAsia" w:ascii="宋体" w:hAnsi="宋体" w:cs="宋体"/>
          <w:szCs w:val="21"/>
        </w:rPr>
        <w:t>（4）安装调试、技术培训完成后，填写货物验收单。</w:t>
      </w:r>
    </w:p>
    <w:p>
      <w:pPr>
        <w:spacing w:line="460" w:lineRule="exact"/>
        <w:ind w:firstLine="420" w:firstLineChars="200"/>
        <w:rPr>
          <w:rFonts w:ascii="宋体" w:hAnsi="宋体" w:cs="宋体"/>
          <w:szCs w:val="21"/>
        </w:rPr>
      </w:pPr>
      <w:r>
        <w:rPr>
          <w:rFonts w:hint="eastAsia" w:ascii="宋体" w:hAnsi="宋体" w:cs="宋体"/>
          <w:szCs w:val="21"/>
        </w:rPr>
        <w:t>（三）验收方式：</w:t>
      </w:r>
    </w:p>
    <w:p>
      <w:pPr>
        <w:spacing w:line="460" w:lineRule="exact"/>
        <w:ind w:firstLine="420" w:firstLineChars="200"/>
        <w:rPr>
          <w:rFonts w:ascii="宋体" w:hAnsi="宋体" w:cs="宋体"/>
          <w:szCs w:val="21"/>
        </w:rPr>
      </w:pPr>
      <w:r>
        <w:rPr>
          <w:rFonts w:hint="eastAsia" w:ascii="宋体" w:hAnsi="宋体" w:cs="宋体"/>
          <w:szCs w:val="21"/>
        </w:rPr>
        <w:t>1、到货后由采购人、成交单位双方共同核对单据、检查外包装、开箱清点数量等，经检验无误共同签署货物交接单。</w:t>
      </w:r>
    </w:p>
    <w:p>
      <w:pPr>
        <w:spacing w:line="460" w:lineRule="exact"/>
        <w:ind w:firstLine="420" w:firstLineChars="200"/>
        <w:rPr>
          <w:rFonts w:ascii="宋体" w:hAnsi="宋体" w:cs="宋体"/>
          <w:szCs w:val="21"/>
        </w:rPr>
      </w:pPr>
      <w:r>
        <w:rPr>
          <w:rFonts w:hint="eastAsia" w:ascii="宋体" w:hAnsi="宋体" w:cs="宋体"/>
          <w:szCs w:val="21"/>
        </w:rPr>
        <w:t>2、安装调试、技术培训完成后，填写货物验收单。</w:t>
      </w:r>
    </w:p>
    <w:p>
      <w:pPr>
        <w:spacing w:line="460" w:lineRule="exact"/>
        <w:ind w:firstLine="420" w:firstLineChars="200"/>
        <w:rPr>
          <w:rFonts w:ascii="宋体" w:hAnsi="宋体" w:cs="宋体"/>
          <w:szCs w:val="21"/>
        </w:rPr>
      </w:pPr>
      <w:r>
        <w:rPr>
          <w:rFonts w:hint="eastAsia" w:ascii="宋体" w:hAnsi="宋体" w:cs="宋体"/>
          <w:szCs w:val="21"/>
        </w:rPr>
        <w:t>九、违约责任</w:t>
      </w:r>
    </w:p>
    <w:p>
      <w:pPr>
        <w:spacing w:line="460" w:lineRule="exact"/>
        <w:ind w:firstLine="420" w:firstLineChars="200"/>
        <w:rPr>
          <w:rFonts w:ascii="宋体" w:hAnsi="宋体" w:cs="宋体"/>
          <w:szCs w:val="21"/>
        </w:rPr>
      </w:pPr>
      <w:r>
        <w:rPr>
          <w:rFonts w:hint="eastAsia" w:ascii="宋体" w:hAnsi="宋体" w:cs="宋体"/>
          <w:szCs w:val="21"/>
        </w:rPr>
        <w:t>（一）按《政府采购法》、《中华人民共和国民法典》中的相关条款执行。</w:t>
      </w:r>
    </w:p>
    <w:p>
      <w:pPr>
        <w:spacing w:line="460" w:lineRule="exact"/>
        <w:ind w:firstLine="420" w:firstLineChars="200"/>
        <w:rPr>
          <w:rFonts w:ascii="宋体" w:hAnsi="宋体" w:cs="宋体"/>
          <w:szCs w:val="21"/>
        </w:rPr>
      </w:pPr>
      <w:r>
        <w:rPr>
          <w:rFonts w:hint="eastAsia" w:ascii="宋体" w:hAnsi="宋体" w:cs="宋体"/>
          <w:szCs w:val="21"/>
        </w:rPr>
        <w:t>（二）未按合同要求提供货物、质保服务或质量不能满足招标文件技术要求，在约定的条件下，乙方必须无条件更换，提高技术，完善质量，提供质保服务，否则，甲方有权解除合同，解除合同书面通知书到达乙方之日视为合同已解除，并按以下两种方式追究乙方的违约责任：</w:t>
      </w:r>
    </w:p>
    <w:p>
      <w:pPr>
        <w:spacing w:line="460" w:lineRule="exact"/>
        <w:ind w:firstLine="420" w:firstLineChars="200"/>
        <w:rPr>
          <w:rFonts w:ascii="宋体" w:hAnsi="宋体" w:cs="宋体"/>
          <w:szCs w:val="21"/>
        </w:rPr>
      </w:pPr>
      <w:r>
        <w:rPr>
          <w:rFonts w:hint="eastAsia" w:ascii="宋体" w:hAnsi="宋体" w:cs="宋体"/>
          <w:szCs w:val="21"/>
        </w:rPr>
        <w:t>1、乙方赔偿甲方解除合同的全部损失（包括但不限于重新采购产生的费用、合同未履行导致设备不能按规划交付使用可能产生的租赁费用及其它由此造成的甲方对第三方的违约损失）；</w:t>
      </w:r>
    </w:p>
    <w:p>
      <w:pPr>
        <w:spacing w:line="460" w:lineRule="exact"/>
        <w:ind w:firstLine="420" w:firstLineChars="200"/>
        <w:rPr>
          <w:rFonts w:ascii="宋体" w:hAnsi="宋体" w:cs="宋体"/>
          <w:szCs w:val="21"/>
        </w:rPr>
      </w:pPr>
      <w:r>
        <w:rPr>
          <w:rFonts w:hint="eastAsia" w:ascii="宋体" w:hAnsi="宋体" w:cs="宋体"/>
          <w:szCs w:val="21"/>
        </w:rPr>
        <w:t>2、乙方支付甲方违约金，违约金计算方法：以合同总价为基数，支付甲方合同总价的30%为违约金），同时，对乙方的违约行为报监管机构进行相应的处罚。</w:t>
      </w:r>
    </w:p>
    <w:p>
      <w:pPr>
        <w:spacing w:line="460" w:lineRule="exact"/>
        <w:ind w:firstLine="420" w:firstLineChars="200"/>
        <w:rPr>
          <w:rFonts w:ascii="宋体" w:hAnsi="宋体" w:cs="宋体"/>
          <w:szCs w:val="21"/>
        </w:rPr>
      </w:pPr>
      <w:r>
        <w:rPr>
          <w:rFonts w:hint="eastAsia" w:ascii="宋体" w:hAnsi="宋体" w:cs="宋体"/>
          <w:szCs w:val="21"/>
        </w:rPr>
        <w:t>十、合同争议解决的方式</w:t>
      </w:r>
    </w:p>
    <w:p>
      <w:pPr>
        <w:spacing w:line="460" w:lineRule="exact"/>
        <w:ind w:firstLine="420" w:firstLineChars="200"/>
        <w:rPr>
          <w:rFonts w:ascii="宋体" w:hAnsi="宋体" w:cs="宋体"/>
          <w:szCs w:val="21"/>
        </w:rPr>
      </w:pPr>
      <w:r>
        <w:rPr>
          <w:rFonts w:hint="eastAsia" w:ascii="宋体" w:hAnsi="宋体" w:cs="宋体"/>
          <w:szCs w:val="21"/>
        </w:rPr>
        <w:t>本合同在履行过程中发生的争议，由甲、乙双方当事人协商解决，协商不成的依法向甲方所在地人民法院起诉。</w:t>
      </w:r>
    </w:p>
    <w:p>
      <w:pPr>
        <w:spacing w:line="460" w:lineRule="exact"/>
        <w:ind w:firstLine="420" w:firstLineChars="200"/>
        <w:rPr>
          <w:rFonts w:ascii="宋体" w:hAnsi="宋体" w:cs="宋体"/>
          <w:szCs w:val="21"/>
        </w:rPr>
      </w:pPr>
      <w:r>
        <w:rPr>
          <w:rFonts w:hint="eastAsia" w:ascii="宋体" w:hAnsi="宋体" w:cs="宋体"/>
          <w:szCs w:val="21"/>
        </w:rPr>
        <w:t>十一、合同生效</w:t>
      </w:r>
    </w:p>
    <w:p>
      <w:pPr>
        <w:spacing w:line="46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份，甲方</w:t>
      </w:r>
      <w:r>
        <w:rPr>
          <w:rFonts w:hint="eastAsia" w:ascii="宋体" w:hAnsi="宋体" w:cs="宋体"/>
          <w:szCs w:val="21"/>
          <w:u w:val="single"/>
        </w:rPr>
        <w:t xml:space="preserve">   </w:t>
      </w:r>
      <w:r>
        <w:rPr>
          <w:rFonts w:hint="eastAsia" w:ascii="宋体" w:hAnsi="宋体" w:cs="宋体"/>
          <w:szCs w:val="21"/>
        </w:rPr>
        <w:t>份，乙方</w:t>
      </w:r>
      <w:r>
        <w:rPr>
          <w:rFonts w:hint="eastAsia" w:ascii="宋体" w:hAnsi="宋体" w:cs="宋体"/>
          <w:szCs w:val="21"/>
          <w:u w:val="single"/>
        </w:rPr>
        <w:t xml:space="preserve">   </w:t>
      </w:r>
      <w:r>
        <w:rPr>
          <w:rFonts w:hint="eastAsia" w:ascii="宋体" w:hAnsi="宋体" w:cs="宋体"/>
          <w:szCs w:val="21"/>
        </w:rPr>
        <w:t>份</w:t>
      </w:r>
      <w:r>
        <w:rPr>
          <w:rFonts w:hint="eastAsia" w:ascii="宋体" w:hAnsi="宋体" w:cs="宋体"/>
          <w:szCs w:val="21"/>
          <w:highlight w:val="none"/>
        </w:rPr>
        <w:t>，西安市莲湖区财政局政府采购管理处备案贰份，本</w:t>
      </w:r>
      <w:r>
        <w:rPr>
          <w:rFonts w:hint="eastAsia" w:ascii="宋体" w:hAnsi="宋体" w:cs="宋体"/>
          <w:szCs w:val="21"/>
        </w:rPr>
        <w:t>合同自签字盖章之日起生效，质保期结束后，自动终止（但合同的服务承诺除外）。</w:t>
      </w:r>
    </w:p>
    <w:p>
      <w:pPr>
        <w:spacing w:line="460" w:lineRule="exact"/>
        <w:ind w:firstLine="420" w:firstLineChars="200"/>
        <w:rPr>
          <w:rFonts w:ascii="宋体" w:hAnsi="宋体" w:cs="宋体"/>
          <w:szCs w:val="21"/>
        </w:rPr>
      </w:pPr>
      <w:r>
        <w:rPr>
          <w:rFonts w:hint="eastAsia" w:ascii="宋体" w:hAnsi="宋体" w:cs="宋体"/>
          <w:szCs w:val="21"/>
        </w:rPr>
        <w:t>十三、其他事项</w:t>
      </w:r>
    </w:p>
    <w:p>
      <w:pPr>
        <w:spacing w:line="460" w:lineRule="exact"/>
        <w:ind w:firstLine="420" w:firstLineChars="200"/>
        <w:rPr>
          <w:rFonts w:ascii="宋体" w:hAnsi="宋体" w:cs="宋体"/>
          <w:szCs w:val="21"/>
        </w:rPr>
      </w:pPr>
      <w:r>
        <w:rPr>
          <w:rFonts w:hint="eastAsia" w:ascii="宋体" w:hAnsi="宋体" w:cs="宋体"/>
          <w:szCs w:val="21"/>
        </w:rPr>
        <w:t>（一）招标文件、投标文件、澄清表（函）、中标通知书、合同附件均成为合同不可分割的部分。</w:t>
      </w:r>
    </w:p>
    <w:p>
      <w:pPr>
        <w:spacing w:line="460" w:lineRule="exact"/>
        <w:ind w:firstLine="420" w:firstLineChars="200"/>
        <w:rPr>
          <w:rFonts w:ascii="宋体" w:hAnsi="宋体" w:cs="宋体"/>
          <w:szCs w:val="21"/>
        </w:rPr>
      </w:pPr>
      <w:r>
        <w:rPr>
          <w:rFonts w:hint="eastAsia" w:ascii="宋体" w:hAnsi="宋体" w:cs="宋体"/>
          <w:szCs w:val="21"/>
        </w:rPr>
        <w:t>（二）合同未尽事宜，由甲、乙双方协商，签订补充协议，与本合同具有同等法律效力。补充协议与本协议不一致的，以补充协议为准。</w:t>
      </w:r>
    </w:p>
    <w:p>
      <w:pPr>
        <w:spacing w:line="460" w:lineRule="exact"/>
        <w:ind w:firstLine="420" w:firstLineChars="200"/>
        <w:rPr>
          <w:rFonts w:ascii="宋体" w:hAnsi="宋体" w:cs="宋体"/>
          <w:szCs w:val="21"/>
        </w:rPr>
      </w:pPr>
      <w:r>
        <w:rPr>
          <w:rFonts w:hint="eastAsia" w:ascii="宋体" w:hAnsi="宋体" w:cs="宋体"/>
          <w:szCs w:val="21"/>
        </w:rPr>
        <w:t>（三）合同一经签订，不得擅自变更、中止或终止合同。对确需变更、调整或中止、终止合同的，有法律规定的按照法律规定，除合同约定外，由甲乙双方再行协商，协商一致前，原合同或条款继续履行。</w:t>
      </w:r>
    </w:p>
    <w:p>
      <w:pPr>
        <w:autoSpaceDE w:val="0"/>
        <w:autoSpaceDN w:val="0"/>
        <w:adjustRightInd w:val="0"/>
        <w:rPr>
          <w:rFonts w:hint="eastAsia" w:ascii="仿宋" w:hAnsi="仿宋" w:eastAsia="宋体"/>
          <w:b/>
          <w:bCs/>
          <w:sz w:val="24"/>
          <w:lang w:val="zh-CN" w:eastAsia="zh-CN"/>
        </w:rPr>
        <w:sectPr>
          <w:footerReference r:id="rId7" w:type="default"/>
          <w:pgSz w:w="11906" w:h="16838"/>
          <w:pgMar w:top="1418" w:right="1418" w:bottom="1418" w:left="1418" w:header="1020" w:footer="992" w:gutter="0"/>
          <w:cols w:space="720" w:num="1"/>
          <w:docGrid w:linePitch="312" w:charSpace="0"/>
        </w:sectPr>
      </w:pPr>
      <w:r>
        <w:rPr>
          <w:rFonts w:hint="eastAsia" w:ascii="宋体" w:hAnsi="宋体" w:cs="宋体"/>
          <w:szCs w:val="21"/>
        </w:rPr>
        <w:t>（四）本合同按照中华人民共和国的现行法律进行解释。</w:t>
      </w:r>
    </w:p>
    <w:bookmarkEnd w:id="309"/>
    <w:bookmarkEnd w:id="310"/>
    <w:p>
      <w:pPr>
        <w:adjustRightInd w:val="0"/>
        <w:snapToGrid w:val="0"/>
        <w:spacing w:line="300" w:lineRule="auto"/>
        <w:rPr>
          <w:rFonts w:asciiTheme="minorEastAsia" w:hAnsiTheme="minorEastAsia" w:eastAsiaTheme="minorEastAsia"/>
          <w:bCs/>
          <w:sz w:val="28"/>
          <w:szCs w:val="28"/>
        </w:rPr>
      </w:pPr>
      <w:r>
        <w:rPr>
          <w:rFonts w:asciiTheme="minorEastAsia" w:hAnsiTheme="minorEastAsia" w:eastAsiaTheme="minorEastAsia"/>
          <w:bCs/>
          <w:sz w:val="28"/>
          <w:szCs w:val="28"/>
        </w:rPr>
        <w:t>附表一</w:t>
      </w:r>
    </w:p>
    <w:p>
      <w:pPr>
        <w:adjustRightInd w:val="0"/>
        <w:snapToGrid w:val="0"/>
        <w:spacing w:line="300" w:lineRule="auto"/>
        <w:ind w:left="362" w:leftChars="-42" w:hanging="45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XXXXXXXXXX</w:t>
      </w:r>
      <w:r>
        <w:rPr>
          <w:rFonts w:asciiTheme="minorEastAsia" w:hAnsiTheme="minorEastAsia" w:eastAsiaTheme="minorEastAsia"/>
          <w:b/>
          <w:sz w:val="30"/>
          <w:szCs w:val="30"/>
        </w:rPr>
        <w:t>配置清单明细</w:t>
      </w:r>
    </w:p>
    <w:tbl>
      <w:tblPr>
        <w:tblStyle w:val="35"/>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37"/>
        <w:gridCol w:w="1775"/>
        <w:gridCol w:w="1975"/>
        <w:gridCol w:w="913"/>
        <w:gridCol w:w="90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序号</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产品名称</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规格型号</w:t>
            </w: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品牌及产地</w:t>
            </w:r>
          </w:p>
        </w:tc>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数量</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单位</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r>
              <w:rPr>
                <w:rFonts w:asciiTheme="minorEastAsia" w:hAnsiTheme="minorEastAsia" w:eastAsiaTheme="minorEastAsia"/>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4</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7</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8</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9</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10</w:t>
            </w:r>
          </w:p>
        </w:tc>
        <w:tc>
          <w:tcPr>
            <w:tcW w:w="32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11</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12</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13</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14</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15</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16</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17</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18</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kern w:val="0"/>
                <w:sz w:val="24"/>
              </w:rPr>
              <w:t>19</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0"/>
              </w:rPr>
            </w:pPr>
          </w:p>
        </w:tc>
      </w:tr>
    </w:tbl>
    <w:p>
      <w:pPr>
        <w:rPr>
          <w:rFonts w:asciiTheme="minorEastAsia" w:hAnsiTheme="minorEastAsia" w:eastAsiaTheme="minorEastAsia"/>
        </w:rPr>
      </w:pPr>
      <w:r>
        <w:rPr>
          <w:rFonts w:asciiTheme="minorEastAsia" w:hAnsiTheme="minorEastAsia" w:eastAsiaTheme="minorEastAsia"/>
        </w:rPr>
        <w:br w:type="page"/>
      </w:r>
    </w:p>
    <w:tbl>
      <w:tblPr>
        <w:tblStyle w:val="35"/>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asciiTheme="minorEastAsia" w:hAnsiTheme="minorEastAsia" w:eastAsiaTheme="minorEastAsia"/>
                <w:b/>
                <w:bCs/>
                <w:kern w:val="0"/>
                <w:sz w:val="32"/>
                <w:szCs w:val="32"/>
              </w:rPr>
            </w:pPr>
            <w:r>
              <w:rPr>
                <w:rFonts w:asciiTheme="minorEastAsia" w:hAnsiTheme="minorEastAsia" w:eastAsiaTheme="minorEastAsia"/>
                <w:kern w:val="0"/>
                <w:sz w:val="28"/>
                <w:szCs w:val="28"/>
              </w:rPr>
              <w:t>政府采购项目货物（服务）验收入库报告单</w:t>
            </w:r>
          </w:p>
        </w:tc>
      </w:tr>
      <w:tr>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r>
      <w:tr>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w:t>
            </w:r>
          </w:p>
        </w:tc>
      </w:tr>
      <w:tr>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r>
      <w:tr>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联系人</w:t>
            </w:r>
          </w:p>
        </w:tc>
        <w:tc>
          <w:tcPr>
            <w:tcW w:w="1349" w:type="pct"/>
            <w:tcBorders>
              <w:top w:val="nil"/>
              <w:left w:val="nil"/>
              <w:bottom w:val="nil"/>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c>
          <w:tcPr>
            <w:tcW w:w="1481" w:type="pct"/>
            <w:tcBorders>
              <w:top w:val="nil"/>
              <w:left w:val="nil"/>
              <w:bottom w:val="nil"/>
              <w:right w:val="single" w:color="auto" w:sz="4"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电话</w:t>
            </w:r>
          </w:p>
        </w:tc>
        <w:tc>
          <w:tcPr>
            <w:tcW w:w="1248" w:type="pct"/>
            <w:tcBorders>
              <w:top w:val="nil"/>
              <w:left w:val="nil"/>
              <w:bottom w:val="nil"/>
              <w:right w:val="single" w:color="auto" w:sz="8" w:space="0"/>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w:t>
            </w:r>
          </w:p>
        </w:tc>
      </w:tr>
      <w:tr>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 xml:space="preserve">   使用单位验收意见：（盖章）</w:t>
            </w:r>
          </w:p>
          <w:p>
            <w:pPr>
              <w:rPr>
                <w:rFonts w:asciiTheme="minorEastAsia" w:hAnsiTheme="minorEastAsia" w:eastAsiaTheme="minorEastAsia"/>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 xml:space="preserve"> 签字：</w:t>
            </w:r>
          </w:p>
        </w:tc>
        <w:tc>
          <w:tcPr>
            <w:tcW w:w="1349" w:type="pct"/>
            <w:tcBorders>
              <w:top w:val="nil"/>
              <w:left w:val="nil"/>
              <w:bottom w:val="nil"/>
              <w:right w:val="nil"/>
            </w:tcBorders>
            <w:noWrap/>
            <w:vAlign w:val="center"/>
          </w:tcPr>
          <w:p>
            <w:pPr>
              <w:widowControl/>
              <w:jc w:val="center"/>
              <w:rPr>
                <w:rFonts w:asciiTheme="minorEastAsia" w:hAnsiTheme="minorEastAsia" w:eastAsiaTheme="minorEastAsia"/>
                <w:kern w:val="0"/>
                <w:sz w:val="24"/>
              </w:rPr>
            </w:pPr>
          </w:p>
        </w:tc>
        <w:tc>
          <w:tcPr>
            <w:tcW w:w="1481" w:type="pct"/>
            <w:tcBorders>
              <w:top w:val="nil"/>
              <w:left w:val="single" w:color="auto" w:sz="4" w:space="0"/>
              <w:bottom w:val="nil"/>
              <w:right w:val="nil"/>
            </w:tcBorders>
            <w:noWrap/>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签字：</w:t>
            </w:r>
          </w:p>
        </w:tc>
        <w:tc>
          <w:tcPr>
            <w:tcW w:w="1248" w:type="pct"/>
            <w:tcBorders>
              <w:top w:val="nil"/>
              <w:left w:val="nil"/>
              <w:bottom w:val="nil"/>
              <w:right w:val="single" w:color="auto" w:sz="8" w:space="0"/>
            </w:tcBorders>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　</w:t>
            </w:r>
          </w:p>
        </w:tc>
      </w:tr>
      <w:tr>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asciiTheme="minorEastAsia" w:hAnsiTheme="minorEastAsia" w:eastAsiaTheme="minorEastAsia"/>
                <w:kern w:val="0"/>
                <w:sz w:val="22"/>
                <w:szCs w:val="22"/>
              </w:rPr>
            </w:pPr>
            <w:r>
              <w:rPr>
                <w:rFonts w:asciiTheme="minorEastAsia" w:hAnsiTheme="minorEastAsia" w:eastAsiaTheme="minorEastAsia"/>
                <w:kern w:val="0"/>
                <w:sz w:val="22"/>
                <w:szCs w:val="22"/>
              </w:rPr>
              <w:t>　</w:t>
            </w:r>
          </w:p>
        </w:tc>
        <w:tc>
          <w:tcPr>
            <w:tcW w:w="1349" w:type="pct"/>
            <w:tcBorders>
              <w:top w:val="nil"/>
              <w:left w:val="nil"/>
              <w:bottom w:val="single" w:color="auto" w:sz="4" w:space="0"/>
              <w:right w:val="nil"/>
            </w:tcBorders>
            <w:vAlign w:val="bottom"/>
          </w:tcPr>
          <w:p>
            <w:pPr>
              <w:widowControl/>
              <w:jc w:val="right"/>
              <w:rPr>
                <w:rFonts w:asciiTheme="minorEastAsia" w:hAnsiTheme="minorEastAsia" w:eastAsiaTheme="minorEastAsia"/>
                <w:kern w:val="0"/>
                <w:sz w:val="22"/>
                <w:szCs w:val="22"/>
              </w:rPr>
            </w:pPr>
            <w:r>
              <w:rPr>
                <w:rFonts w:asciiTheme="minorEastAsia" w:hAnsiTheme="minorEastAsia" w:eastAsiaTheme="minorEastAsia"/>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asciiTheme="minorEastAsia" w:hAnsiTheme="minorEastAsia" w:eastAsiaTheme="minorEastAsia"/>
                <w:kern w:val="0"/>
                <w:sz w:val="22"/>
                <w:szCs w:val="22"/>
              </w:rPr>
            </w:pPr>
            <w:r>
              <w:rPr>
                <w:rFonts w:asciiTheme="minorEastAsia" w:hAnsiTheme="minorEastAsia" w:eastAsiaTheme="minorEastAsia"/>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asciiTheme="minorEastAsia" w:hAnsiTheme="minorEastAsia" w:eastAsiaTheme="minorEastAsia"/>
                <w:kern w:val="0"/>
                <w:sz w:val="22"/>
                <w:szCs w:val="22"/>
              </w:rPr>
            </w:pPr>
            <w:r>
              <w:rPr>
                <w:rFonts w:asciiTheme="minorEastAsia" w:hAnsiTheme="minorEastAsia" w:eastAsiaTheme="minorEastAsia"/>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asciiTheme="minorEastAsia" w:hAnsiTheme="minorEastAsia" w:eastAsiaTheme="minorEastAsia"/>
                <w:kern w:val="0"/>
                <w:sz w:val="28"/>
                <w:szCs w:val="28"/>
              </w:rPr>
            </w:pPr>
            <w:r>
              <w:rPr>
                <w:rFonts w:asciiTheme="minorEastAsia" w:hAnsiTheme="minorEastAsia" w:eastAsiaTheme="minorEastAsia"/>
                <w:kern w:val="0"/>
                <w:sz w:val="28"/>
                <w:szCs w:val="28"/>
              </w:rPr>
              <w:t>采购内容请列明品目、规格、型号、数量、单价、总价</w:t>
            </w:r>
          </w:p>
        </w:tc>
      </w:tr>
    </w:tbl>
    <w:p>
      <w:pPr>
        <w:rPr>
          <w:rFonts w:asciiTheme="minorEastAsia" w:hAnsiTheme="minorEastAsia" w:eastAsiaTheme="minorEastAsia"/>
        </w:rPr>
      </w:pPr>
      <w:r>
        <w:rPr>
          <w:rFonts w:asciiTheme="minorEastAsia" w:hAnsiTheme="minorEastAsia" w:eastAsiaTheme="minorEastAsia"/>
        </w:rPr>
        <w:br w:type="page"/>
      </w:r>
    </w:p>
    <w:p>
      <w:pPr>
        <w:pStyle w:val="31"/>
        <w:numPr>
          <w:ilvl w:val="0"/>
          <w:numId w:val="7"/>
        </w:numPr>
        <w:ind w:left="1079" w:leftChars="257" w:hanging="540"/>
      </w:pPr>
      <w:bookmarkStart w:id="311" w:name="_Toc4762"/>
      <w:bookmarkStart w:id="312" w:name="_Toc108721141"/>
      <w:r>
        <w:rPr>
          <w:rFonts w:asciiTheme="minorEastAsia" w:hAnsiTheme="minorEastAsia" w:eastAsiaTheme="minorEastAsia"/>
        </w:rPr>
        <w:t xml:space="preserve"> 采购需求及要求</w:t>
      </w:r>
      <w:bookmarkEnd w:id="311"/>
      <w:bookmarkEnd w:id="312"/>
    </w:p>
    <w:p>
      <w:pPr>
        <w:pStyle w:val="51"/>
        <w:jc w:val="center"/>
        <w:outlineLvl w:val="1"/>
        <w:rPr>
          <w:rFonts w:asciiTheme="minorEastAsia" w:hAnsiTheme="minorEastAsia" w:eastAsiaTheme="minorEastAsia"/>
          <w:b/>
          <w:bCs/>
          <w:sz w:val="36"/>
          <w:szCs w:val="40"/>
        </w:rPr>
      </w:pPr>
      <w:r>
        <w:rPr>
          <w:rFonts w:hint="eastAsia" w:asciiTheme="minorEastAsia" w:hAnsiTheme="minorEastAsia" w:eastAsiaTheme="minorEastAsia"/>
          <w:b/>
          <w:bCs/>
          <w:sz w:val="36"/>
          <w:szCs w:val="40"/>
        </w:rPr>
        <w:t>一、采购需求及数量</w:t>
      </w:r>
    </w:p>
    <w:tbl>
      <w:tblPr>
        <w:tblStyle w:val="36"/>
        <w:tblpPr w:leftFromText="180" w:rightFromText="180" w:vertAnchor="text" w:horzAnchor="page" w:tblpX="1222" w:tblpY="4"/>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7"/>
        <w:gridCol w:w="2576"/>
        <w:gridCol w:w="886"/>
        <w:gridCol w:w="698"/>
        <w:gridCol w:w="2120"/>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62" w:type="dxa"/>
            <w:vAlign w:val="center"/>
          </w:tcPr>
          <w:p>
            <w:pPr>
              <w:spacing w:line="0" w:lineRule="atLeast"/>
              <w:jc w:val="center"/>
              <w:rPr>
                <w:rFonts w:ascii="仿宋" w:hAnsi="仿宋" w:eastAsia="仿宋"/>
                <w:b/>
                <w:sz w:val="24"/>
              </w:rPr>
            </w:pPr>
            <w:r>
              <w:rPr>
                <w:rFonts w:hint="eastAsia" w:ascii="仿宋" w:hAnsi="仿宋" w:eastAsia="仿宋"/>
                <w:b/>
                <w:sz w:val="24"/>
              </w:rPr>
              <w:t>包号</w:t>
            </w:r>
          </w:p>
        </w:tc>
        <w:tc>
          <w:tcPr>
            <w:tcW w:w="657" w:type="dxa"/>
            <w:vAlign w:val="center"/>
          </w:tcPr>
          <w:p>
            <w:pPr>
              <w:spacing w:line="0" w:lineRule="atLeast"/>
              <w:jc w:val="center"/>
              <w:rPr>
                <w:rFonts w:ascii="仿宋" w:hAnsi="仿宋" w:eastAsia="仿宋"/>
                <w:b/>
                <w:sz w:val="24"/>
              </w:rPr>
            </w:pPr>
            <w:r>
              <w:rPr>
                <w:rFonts w:hint="eastAsia" w:ascii="仿宋" w:hAnsi="仿宋" w:eastAsia="仿宋"/>
                <w:b/>
                <w:sz w:val="24"/>
              </w:rPr>
              <w:t>序号</w:t>
            </w:r>
          </w:p>
        </w:tc>
        <w:tc>
          <w:tcPr>
            <w:tcW w:w="2576" w:type="dxa"/>
            <w:vAlign w:val="center"/>
          </w:tcPr>
          <w:p>
            <w:pPr>
              <w:spacing w:line="0" w:lineRule="atLeast"/>
              <w:jc w:val="center"/>
              <w:rPr>
                <w:rFonts w:ascii="仿宋" w:hAnsi="仿宋" w:eastAsia="仿宋"/>
                <w:b/>
                <w:sz w:val="24"/>
              </w:rPr>
            </w:pPr>
            <w:r>
              <w:rPr>
                <w:rFonts w:hint="eastAsia" w:ascii="仿宋" w:hAnsi="仿宋" w:eastAsia="仿宋"/>
                <w:b/>
                <w:sz w:val="24"/>
              </w:rPr>
              <w:t>设备名称</w:t>
            </w:r>
          </w:p>
        </w:tc>
        <w:tc>
          <w:tcPr>
            <w:tcW w:w="886" w:type="dxa"/>
            <w:vAlign w:val="center"/>
          </w:tcPr>
          <w:p>
            <w:pPr>
              <w:spacing w:line="0" w:lineRule="atLeast"/>
              <w:jc w:val="center"/>
              <w:rPr>
                <w:rFonts w:ascii="仿宋" w:hAnsi="仿宋" w:eastAsia="仿宋"/>
                <w:b/>
                <w:sz w:val="24"/>
              </w:rPr>
            </w:pPr>
            <w:r>
              <w:rPr>
                <w:rFonts w:hint="eastAsia" w:ascii="仿宋" w:hAnsi="仿宋" w:eastAsia="仿宋"/>
                <w:b/>
                <w:sz w:val="24"/>
              </w:rPr>
              <w:t>数量</w:t>
            </w:r>
          </w:p>
        </w:tc>
        <w:tc>
          <w:tcPr>
            <w:tcW w:w="698" w:type="dxa"/>
            <w:vAlign w:val="center"/>
          </w:tcPr>
          <w:p>
            <w:pPr>
              <w:spacing w:line="0" w:lineRule="atLeast"/>
              <w:jc w:val="center"/>
              <w:rPr>
                <w:rFonts w:ascii="仿宋" w:hAnsi="仿宋" w:eastAsia="仿宋"/>
                <w:b/>
                <w:sz w:val="24"/>
              </w:rPr>
            </w:pPr>
            <w:r>
              <w:rPr>
                <w:rFonts w:hint="eastAsia" w:ascii="仿宋" w:hAnsi="仿宋" w:eastAsia="仿宋"/>
                <w:b/>
                <w:sz w:val="24"/>
              </w:rPr>
              <w:t>单位</w:t>
            </w:r>
          </w:p>
        </w:tc>
        <w:tc>
          <w:tcPr>
            <w:tcW w:w="2120" w:type="dxa"/>
            <w:vAlign w:val="center"/>
          </w:tcPr>
          <w:p>
            <w:pPr>
              <w:spacing w:line="0" w:lineRule="atLeast"/>
              <w:jc w:val="center"/>
              <w:rPr>
                <w:rFonts w:ascii="仿宋" w:hAnsi="仿宋" w:eastAsia="仿宋"/>
                <w:b/>
                <w:sz w:val="24"/>
              </w:rPr>
            </w:pPr>
            <w:r>
              <w:rPr>
                <w:rFonts w:ascii="仿宋" w:hAnsi="仿宋" w:eastAsia="仿宋"/>
                <w:b/>
                <w:sz w:val="24"/>
              </w:rPr>
              <w:t>测定项目</w:t>
            </w:r>
          </w:p>
        </w:tc>
        <w:tc>
          <w:tcPr>
            <w:tcW w:w="1871" w:type="dxa"/>
            <w:vAlign w:val="center"/>
          </w:tcPr>
          <w:p>
            <w:pPr>
              <w:spacing w:line="0" w:lineRule="atLeast"/>
              <w:jc w:val="center"/>
              <w:rPr>
                <w:rFonts w:hint="eastAsia" w:ascii="仿宋" w:hAnsi="仿宋" w:eastAsia="仿宋"/>
                <w:b/>
                <w:sz w:val="24"/>
                <w:lang w:val="en-US" w:eastAsia="zh-CN"/>
              </w:rPr>
            </w:pPr>
            <w:r>
              <w:rPr>
                <w:rFonts w:hint="eastAsia" w:ascii="仿宋" w:hAnsi="仿宋" w:eastAsia="仿宋"/>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restart"/>
            <w:vAlign w:val="center"/>
          </w:tcPr>
          <w:p>
            <w:pPr>
              <w:spacing w:line="0" w:lineRule="atLeast"/>
              <w:jc w:val="center"/>
              <w:rPr>
                <w:rFonts w:ascii="仿宋" w:hAnsi="仿宋" w:eastAsia="仿宋"/>
                <w:sz w:val="24"/>
              </w:rPr>
            </w:pPr>
            <w:r>
              <w:rPr>
                <w:rFonts w:hint="eastAsia" w:ascii="仿宋" w:hAnsi="仿宋" w:eastAsia="仿宋"/>
                <w:sz w:val="24"/>
              </w:rPr>
              <w:t>第一包</w:t>
            </w: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1</w:t>
            </w:r>
          </w:p>
        </w:tc>
        <w:tc>
          <w:tcPr>
            <w:tcW w:w="2576" w:type="dxa"/>
            <w:vAlign w:val="center"/>
          </w:tcPr>
          <w:p>
            <w:pPr>
              <w:spacing w:line="0" w:lineRule="atLeast"/>
              <w:jc w:val="center"/>
              <w:rPr>
                <w:rFonts w:ascii="仿宋" w:hAnsi="仿宋" w:eastAsia="仿宋"/>
                <w:sz w:val="24"/>
              </w:rPr>
            </w:pPr>
            <w:r>
              <w:rPr>
                <w:rFonts w:hint="eastAsia" w:ascii="仿宋" w:hAnsi="仿宋" w:eastAsia="仿宋"/>
                <w:sz w:val="24"/>
                <w:highlight w:val="none"/>
              </w:rPr>
              <w:t>自动</w:t>
            </w:r>
            <w:r>
              <w:rPr>
                <w:rFonts w:hint="eastAsia" w:ascii="仿宋" w:hAnsi="仿宋" w:eastAsia="仿宋"/>
                <w:sz w:val="24"/>
                <w:highlight w:val="none"/>
                <w:lang w:val="en-US" w:eastAsia="zh-CN"/>
              </w:rPr>
              <w:t>顶空</w:t>
            </w:r>
            <w:r>
              <w:rPr>
                <w:rFonts w:hint="eastAsia" w:ascii="仿宋" w:hAnsi="仿宋" w:eastAsia="仿宋"/>
                <w:sz w:val="24"/>
                <w:highlight w:val="none"/>
              </w:rPr>
              <w:t>进样器</w:t>
            </w:r>
          </w:p>
        </w:tc>
        <w:tc>
          <w:tcPr>
            <w:tcW w:w="886" w:type="dxa"/>
            <w:vAlign w:val="center"/>
          </w:tcPr>
          <w:p>
            <w:pPr>
              <w:spacing w:line="0" w:lineRule="atLeast"/>
              <w:jc w:val="center"/>
              <w:rPr>
                <w:rFonts w:ascii="仿宋" w:hAnsi="仿宋" w:eastAsia="仿宋"/>
                <w:sz w:val="24"/>
              </w:rPr>
            </w:pPr>
            <w:r>
              <w:rPr>
                <w:rFonts w:hint="eastAsia" w:ascii="仿宋" w:hAnsi="仿宋" w:eastAsia="仿宋"/>
                <w:sz w:val="24"/>
              </w:rPr>
              <w:t>1</w:t>
            </w:r>
          </w:p>
        </w:tc>
        <w:tc>
          <w:tcPr>
            <w:tcW w:w="698" w:type="dxa"/>
            <w:vAlign w:val="center"/>
          </w:tcPr>
          <w:p>
            <w:pPr>
              <w:spacing w:line="0" w:lineRule="atLeast"/>
              <w:jc w:val="center"/>
              <w:rPr>
                <w:rFonts w:ascii="仿宋" w:hAnsi="仿宋" w:eastAsia="仿宋"/>
                <w:sz w:val="24"/>
              </w:rPr>
            </w:pPr>
            <w:r>
              <w:rPr>
                <w:rFonts w:hint="eastAsia" w:ascii="仿宋" w:hAnsi="仿宋" w:eastAsia="仿宋"/>
                <w:sz w:val="24"/>
              </w:rPr>
              <w:t>个</w:t>
            </w:r>
          </w:p>
        </w:tc>
        <w:tc>
          <w:tcPr>
            <w:tcW w:w="2120" w:type="dxa"/>
            <w:vAlign w:val="center"/>
          </w:tcPr>
          <w:p>
            <w:pPr>
              <w:spacing w:line="0" w:lineRule="atLeast"/>
              <w:jc w:val="center"/>
              <w:rPr>
                <w:rFonts w:ascii="仿宋" w:hAnsi="仿宋" w:eastAsia="仿宋"/>
                <w:sz w:val="24"/>
              </w:rPr>
            </w:pPr>
            <w:r>
              <w:rPr>
                <w:rFonts w:ascii="仿宋" w:hAnsi="仿宋" w:eastAsia="仿宋"/>
                <w:sz w:val="24"/>
              </w:rPr>
              <w:t>三氯甲烷、四氯化碳等</w:t>
            </w:r>
          </w:p>
        </w:tc>
        <w:tc>
          <w:tcPr>
            <w:tcW w:w="1871" w:type="dxa"/>
            <w:vAlign w:val="center"/>
          </w:tcPr>
          <w:p>
            <w:pPr>
              <w:spacing w:line="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2</w:t>
            </w:r>
          </w:p>
        </w:tc>
        <w:tc>
          <w:tcPr>
            <w:tcW w:w="2576" w:type="dxa"/>
            <w:shd w:val="clear" w:color="auto" w:fill="FFFFFF" w:themeFill="background1"/>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eastAsia="zh-CN"/>
              </w:rPr>
              <w:t>单道移液器（</w:t>
            </w:r>
            <w:r>
              <w:rPr>
                <w:rFonts w:hint="eastAsia" w:ascii="仿宋" w:hAnsi="仿宋" w:eastAsia="仿宋"/>
                <w:sz w:val="24"/>
                <w:lang w:val="en-US" w:eastAsia="zh-CN"/>
              </w:rPr>
              <w:t>微生物实验用）</w:t>
            </w:r>
          </w:p>
        </w:tc>
        <w:tc>
          <w:tcPr>
            <w:tcW w:w="886"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10</w:t>
            </w:r>
          </w:p>
        </w:tc>
        <w:tc>
          <w:tcPr>
            <w:tcW w:w="698"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支</w:t>
            </w:r>
          </w:p>
        </w:tc>
        <w:tc>
          <w:tcPr>
            <w:tcW w:w="2120"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微生物分离鉴定</w:t>
            </w:r>
          </w:p>
        </w:tc>
        <w:tc>
          <w:tcPr>
            <w:tcW w:w="1871" w:type="dxa"/>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-10ul  2支</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10-100ul  4支</w:t>
            </w:r>
          </w:p>
          <w:p>
            <w:pPr>
              <w:spacing w:line="0" w:lineRule="atLeast"/>
              <w:jc w:val="both"/>
              <w:rPr>
                <w:rFonts w:hint="eastAsia" w:ascii="仿宋" w:hAnsi="仿宋" w:eastAsia="仿宋"/>
                <w:sz w:val="24"/>
              </w:rPr>
            </w:pPr>
            <w:r>
              <w:rPr>
                <w:rFonts w:hint="eastAsia" w:ascii="宋体" w:hAnsi="宋体" w:eastAsia="宋体" w:cs="宋体"/>
                <w:sz w:val="21"/>
                <w:szCs w:val="21"/>
                <w:lang w:val="en-US" w:eastAsia="zh-CN"/>
              </w:rPr>
              <w:t>100-1000ul 4支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3</w:t>
            </w:r>
          </w:p>
        </w:tc>
        <w:tc>
          <w:tcPr>
            <w:tcW w:w="2576"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highlight w:val="none"/>
              </w:rPr>
              <w:t>多道移液器（8通量）</w:t>
            </w:r>
          </w:p>
        </w:tc>
        <w:tc>
          <w:tcPr>
            <w:tcW w:w="886"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2</w:t>
            </w:r>
          </w:p>
        </w:tc>
        <w:tc>
          <w:tcPr>
            <w:tcW w:w="698" w:type="dxa"/>
            <w:shd w:val="clear" w:color="auto" w:fill="FFFFFF" w:themeFill="background1"/>
            <w:vAlign w:val="center"/>
          </w:tcPr>
          <w:p>
            <w:pPr>
              <w:spacing w:line="0" w:lineRule="atLeast"/>
              <w:jc w:val="center"/>
              <w:rPr>
                <w:rFonts w:hint="eastAsia" w:ascii="仿宋" w:hAnsi="仿宋" w:eastAsia="仿宋"/>
                <w:sz w:val="24"/>
                <w:lang w:eastAsia="zh-CN"/>
              </w:rPr>
            </w:pPr>
            <w:r>
              <w:rPr>
                <w:rFonts w:hint="eastAsia" w:ascii="仿宋" w:hAnsi="仿宋" w:eastAsia="仿宋"/>
                <w:sz w:val="24"/>
                <w:lang w:val="en-US" w:eastAsia="zh-CN"/>
              </w:rPr>
              <w:t>支</w:t>
            </w:r>
          </w:p>
        </w:tc>
        <w:tc>
          <w:tcPr>
            <w:tcW w:w="2120"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微生物分离鉴定</w:t>
            </w:r>
          </w:p>
        </w:tc>
        <w:tc>
          <w:tcPr>
            <w:tcW w:w="1871" w:type="dxa"/>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40" w:lineRule="auto"/>
              <w:ind w:left="420" w:leftChars="0" w:hanging="420" w:hanging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 xml:space="preserve">-10ul  1支 </w:t>
            </w:r>
          </w:p>
          <w:p>
            <w:pPr>
              <w:spacing w:line="0" w:lineRule="atLeast"/>
              <w:jc w:val="both"/>
              <w:rPr>
                <w:rFonts w:hint="eastAsia" w:ascii="仿宋" w:hAnsi="仿宋" w:eastAsia="仿宋"/>
                <w:sz w:val="24"/>
              </w:rPr>
            </w:pPr>
            <w:r>
              <w:rPr>
                <w:rFonts w:hint="eastAsia" w:ascii="宋体" w:hAnsi="宋体" w:eastAsia="宋体" w:cs="宋体"/>
                <w:sz w:val="21"/>
                <w:szCs w:val="21"/>
                <w:lang w:val="en-US" w:eastAsia="zh-CN"/>
              </w:rPr>
              <w:t>10-100ul  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4</w:t>
            </w:r>
          </w:p>
        </w:tc>
        <w:tc>
          <w:tcPr>
            <w:tcW w:w="2576" w:type="dxa"/>
            <w:vAlign w:val="center"/>
          </w:tcPr>
          <w:p>
            <w:pPr>
              <w:spacing w:line="0" w:lineRule="atLeast"/>
              <w:jc w:val="center"/>
              <w:rPr>
                <w:rFonts w:hint="eastAsia" w:ascii="仿宋" w:hAnsi="仿宋" w:eastAsia="仿宋"/>
                <w:color w:val="C0504D" w:themeColor="accent2"/>
                <w:sz w:val="24"/>
                <w:lang w:val="en-US" w:eastAsia="zh-CN"/>
                <w14:textFill>
                  <w14:solidFill>
                    <w14:schemeClr w14:val="accent2"/>
                  </w14:solidFill>
                </w14:textFill>
              </w:rPr>
            </w:pPr>
            <w:r>
              <w:rPr>
                <w:rFonts w:hint="eastAsia" w:ascii="仿宋" w:hAnsi="仿宋" w:eastAsia="仿宋"/>
                <w:color w:val="C0504D" w:themeColor="accent2"/>
                <w:sz w:val="24"/>
                <w:highlight w:val="none"/>
                <w:lang w:val="en-US" w:eastAsia="zh-CN"/>
                <w14:textFill>
                  <w14:solidFill>
                    <w14:schemeClr w14:val="accent2"/>
                  </w14:solidFill>
                </w14:textFill>
              </w:rPr>
              <w:t>*</w:t>
            </w:r>
            <w:r>
              <w:rPr>
                <w:rFonts w:hint="eastAsia" w:ascii="仿宋" w:hAnsi="仿宋" w:eastAsia="仿宋"/>
                <w:color w:val="C0504D" w:themeColor="accent2"/>
                <w:sz w:val="24"/>
                <w:highlight w:val="none"/>
                <w14:textFill>
                  <w14:solidFill>
                    <w14:schemeClr w14:val="accent2"/>
                  </w14:solidFill>
                </w14:textFill>
              </w:rPr>
              <w:t>气相色谱-质谱联用仪</w:t>
            </w:r>
          </w:p>
        </w:tc>
        <w:tc>
          <w:tcPr>
            <w:tcW w:w="886"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w:t>
            </w:r>
          </w:p>
        </w:tc>
        <w:tc>
          <w:tcPr>
            <w:tcW w:w="698" w:type="dxa"/>
            <w:vAlign w:val="center"/>
          </w:tcPr>
          <w:p>
            <w:pPr>
              <w:spacing w:line="0" w:lineRule="atLeast"/>
              <w:jc w:val="center"/>
              <w:rPr>
                <w:color w:val="auto"/>
                <w:sz w:val="24"/>
              </w:rPr>
            </w:pPr>
            <w:r>
              <w:rPr>
                <w:rFonts w:hint="eastAsia" w:ascii="仿宋" w:hAnsi="仿宋" w:eastAsia="仿宋"/>
                <w:color w:val="auto"/>
                <w:sz w:val="24"/>
              </w:rPr>
              <w:t>台</w:t>
            </w:r>
          </w:p>
        </w:tc>
        <w:tc>
          <w:tcPr>
            <w:tcW w:w="2120"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水质全分析60项</w:t>
            </w:r>
            <w:r>
              <w:rPr>
                <w:rFonts w:ascii="仿宋" w:hAnsi="仿宋" w:eastAsia="仿宋"/>
                <w:color w:val="auto"/>
                <w:sz w:val="24"/>
              </w:rPr>
              <w:t>等</w:t>
            </w:r>
          </w:p>
        </w:tc>
        <w:tc>
          <w:tcPr>
            <w:tcW w:w="1871" w:type="dxa"/>
            <w:vAlign w:val="center"/>
          </w:tcPr>
          <w:p>
            <w:pPr>
              <w:spacing w:line="0" w:lineRule="atLeas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5</w:t>
            </w:r>
          </w:p>
        </w:tc>
        <w:tc>
          <w:tcPr>
            <w:tcW w:w="2576" w:type="dxa"/>
            <w:vAlign w:val="center"/>
          </w:tcPr>
          <w:p>
            <w:pPr>
              <w:spacing w:line="0" w:lineRule="atLeast"/>
              <w:jc w:val="center"/>
              <w:rPr>
                <w:rFonts w:ascii="仿宋" w:hAnsi="仿宋" w:eastAsia="仿宋"/>
                <w:sz w:val="24"/>
              </w:rPr>
            </w:pPr>
            <w:r>
              <w:rPr>
                <w:rFonts w:hint="eastAsia" w:ascii="仿宋" w:hAnsi="仿宋" w:eastAsia="仿宋"/>
                <w:sz w:val="24"/>
              </w:rPr>
              <w:t>原子荧光分光光度计</w:t>
            </w:r>
          </w:p>
        </w:tc>
        <w:tc>
          <w:tcPr>
            <w:tcW w:w="886"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w:t>
            </w:r>
          </w:p>
        </w:tc>
        <w:tc>
          <w:tcPr>
            <w:tcW w:w="698"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台</w:t>
            </w:r>
          </w:p>
        </w:tc>
        <w:tc>
          <w:tcPr>
            <w:tcW w:w="2120" w:type="dxa"/>
            <w:vAlign w:val="center"/>
          </w:tcPr>
          <w:p>
            <w:pPr>
              <w:spacing w:line="0" w:lineRule="atLeast"/>
              <w:jc w:val="center"/>
              <w:rPr>
                <w:rFonts w:ascii="仿宋" w:hAnsi="仿宋" w:eastAsia="仿宋"/>
                <w:color w:val="auto"/>
                <w:sz w:val="24"/>
              </w:rPr>
            </w:pPr>
            <w:r>
              <w:rPr>
                <w:rFonts w:ascii="仿宋" w:hAnsi="仿宋" w:eastAsia="仿宋"/>
                <w:color w:val="auto"/>
                <w:sz w:val="24"/>
              </w:rPr>
              <w:t>As、Hg、Ge、Pb等</w:t>
            </w:r>
          </w:p>
        </w:tc>
        <w:tc>
          <w:tcPr>
            <w:tcW w:w="1871" w:type="dxa"/>
            <w:vAlign w:val="center"/>
          </w:tcPr>
          <w:p>
            <w:pPr>
              <w:spacing w:line="0" w:lineRule="atLeas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6</w:t>
            </w:r>
          </w:p>
        </w:tc>
        <w:tc>
          <w:tcPr>
            <w:tcW w:w="2576" w:type="dxa"/>
            <w:vAlign w:val="center"/>
          </w:tcPr>
          <w:p>
            <w:pPr>
              <w:spacing w:line="0" w:lineRule="atLeast"/>
              <w:jc w:val="center"/>
              <w:rPr>
                <w:rFonts w:ascii="仿宋" w:hAnsi="仿宋" w:eastAsia="仿宋"/>
                <w:sz w:val="24"/>
              </w:rPr>
            </w:pPr>
            <w:r>
              <w:rPr>
                <w:rFonts w:hint="eastAsia" w:ascii="仿宋" w:hAnsi="仿宋" w:eastAsia="仿宋"/>
                <w:sz w:val="24"/>
                <w:highlight w:val="none"/>
              </w:rPr>
              <w:t>余氯测定仪（便携式）</w:t>
            </w:r>
          </w:p>
        </w:tc>
        <w:tc>
          <w:tcPr>
            <w:tcW w:w="886"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w:t>
            </w:r>
          </w:p>
        </w:tc>
        <w:tc>
          <w:tcPr>
            <w:tcW w:w="698" w:type="dxa"/>
            <w:vAlign w:val="center"/>
          </w:tcPr>
          <w:p>
            <w:pPr>
              <w:spacing w:line="0" w:lineRule="atLeast"/>
              <w:jc w:val="center"/>
              <w:rPr>
                <w:color w:val="auto"/>
                <w:sz w:val="24"/>
              </w:rPr>
            </w:pPr>
            <w:r>
              <w:rPr>
                <w:rFonts w:hint="eastAsia" w:ascii="仿宋" w:hAnsi="仿宋" w:eastAsia="仿宋"/>
                <w:color w:val="auto"/>
                <w:sz w:val="24"/>
              </w:rPr>
              <w:t>台</w:t>
            </w:r>
          </w:p>
        </w:tc>
        <w:tc>
          <w:tcPr>
            <w:tcW w:w="2120"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水中余氯测定</w:t>
            </w:r>
          </w:p>
        </w:tc>
        <w:tc>
          <w:tcPr>
            <w:tcW w:w="1871" w:type="dxa"/>
            <w:vAlign w:val="center"/>
          </w:tcPr>
          <w:p>
            <w:pPr>
              <w:spacing w:line="0" w:lineRule="atLeas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7</w:t>
            </w:r>
          </w:p>
        </w:tc>
        <w:tc>
          <w:tcPr>
            <w:tcW w:w="2576" w:type="dxa"/>
            <w:vAlign w:val="center"/>
          </w:tcPr>
          <w:p>
            <w:pPr>
              <w:spacing w:line="0" w:lineRule="atLeast"/>
              <w:jc w:val="center"/>
              <w:rPr>
                <w:rFonts w:ascii="仿宋" w:hAnsi="仿宋" w:eastAsia="仿宋"/>
                <w:sz w:val="24"/>
              </w:rPr>
            </w:pPr>
            <w:r>
              <w:rPr>
                <w:rFonts w:hint="eastAsia" w:ascii="仿宋" w:hAnsi="仿宋" w:eastAsia="仿宋"/>
                <w:sz w:val="24"/>
                <w:lang w:val="en-US" w:eastAsia="zh-CN"/>
              </w:rPr>
              <w:t>紫外可见</w:t>
            </w:r>
            <w:r>
              <w:rPr>
                <w:rFonts w:hint="eastAsia" w:ascii="仿宋" w:hAnsi="仿宋" w:eastAsia="仿宋"/>
                <w:sz w:val="24"/>
              </w:rPr>
              <w:t>分光光度计</w:t>
            </w:r>
          </w:p>
        </w:tc>
        <w:tc>
          <w:tcPr>
            <w:tcW w:w="886"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w:t>
            </w:r>
          </w:p>
        </w:tc>
        <w:tc>
          <w:tcPr>
            <w:tcW w:w="698" w:type="dxa"/>
            <w:vAlign w:val="center"/>
          </w:tcPr>
          <w:p>
            <w:pPr>
              <w:spacing w:line="0" w:lineRule="atLeast"/>
              <w:jc w:val="center"/>
              <w:rPr>
                <w:color w:val="auto"/>
                <w:sz w:val="24"/>
              </w:rPr>
            </w:pPr>
            <w:r>
              <w:rPr>
                <w:rFonts w:hint="eastAsia" w:ascii="仿宋" w:hAnsi="仿宋" w:eastAsia="仿宋"/>
                <w:color w:val="auto"/>
                <w:sz w:val="24"/>
              </w:rPr>
              <w:t>个</w:t>
            </w:r>
          </w:p>
        </w:tc>
        <w:tc>
          <w:tcPr>
            <w:tcW w:w="2120"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尿碘、硫酸盐等</w:t>
            </w:r>
          </w:p>
        </w:tc>
        <w:tc>
          <w:tcPr>
            <w:tcW w:w="1871" w:type="dxa"/>
            <w:vAlign w:val="center"/>
          </w:tcPr>
          <w:p>
            <w:pPr>
              <w:spacing w:line="0" w:lineRule="atLeas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8</w:t>
            </w:r>
          </w:p>
        </w:tc>
        <w:tc>
          <w:tcPr>
            <w:tcW w:w="2576" w:type="dxa"/>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rPr>
              <w:t>单道移液器</w:t>
            </w:r>
            <w:r>
              <w:rPr>
                <w:rFonts w:hint="eastAsia" w:ascii="仿宋" w:hAnsi="仿宋" w:eastAsia="仿宋"/>
                <w:sz w:val="24"/>
                <w:lang w:eastAsia="zh-CN"/>
              </w:rPr>
              <w:t>（</w:t>
            </w:r>
            <w:r>
              <w:rPr>
                <w:rFonts w:hint="eastAsia" w:ascii="仿宋" w:hAnsi="仿宋" w:eastAsia="仿宋"/>
                <w:sz w:val="24"/>
                <w:lang w:val="en-US" w:eastAsia="zh-CN"/>
              </w:rPr>
              <w:t>理化实验用）</w:t>
            </w:r>
          </w:p>
        </w:tc>
        <w:tc>
          <w:tcPr>
            <w:tcW w:w="886"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10</w:t>
            </w:r>
          </w:p>
        </w:tc>
        <w:tc>
          <w:tcPr>
            <w:tcW w:w="698"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支</w:t>
            </w:r>
          </w:p>
        </w:tc>
        <w:tc>
          <w:tcPr>
            <w:tcW w:w="2120" w:type="dxa"/>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实验室加样及试剂配制</w:t>
            </w:r>
          </w:p>
        </w:tc>
        <w:tc>
          <w:tcPr>
            <w:tcW w:w="1871"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b w:val="0"/>
                <w:bCs w:val="0"/>
                <w:color w:val="000000"/>
                <w:sz w:val="21"/>
                <w:szCs w:val="21"/>
                <w:lang w:val="en-US" w:eastAsia="zh-CN"/>
              </w:rPr>
            </w:pPr>
            <w:r>
              <w:rPr>
                <w:rFonts w:hint="eastAsia" w:ascii="宋体" w:hAnsi="宋体" w:eastAsia="宋体" w:cs="宋体"/>
                <w:sz w:val="21"/>
                <w:szCs w:val="21"/>
              </w:rPr>
              <w:t>500 - 5000</w:t>
            </w:r>
            <w:r>
              <w:rPr>
                <w:rFonts w:hint="eastAsia" w:ascii="宋体" w:hAnsi="宋体" w:eastAsia="宋体" w:cs="宋体"/>
                <w:b w:val="0"/>
                <w:bCs w:val="0"/>
                <w:color w:val="000000"/>
                <w:sz w:val="21"/>
                <w:szCs w:val="21"/>
                <w:lang w:val="en-US" w:eastAsia="zh-CN"/>
              </w:rPr>
              <w:t>ul 5</w:t>
            </w:r>
            <w:r>
              <w:rPr>
                <w:rFonts w:hint="eastAsia" w:ascii="宋体" w:hAnsi="宋体" w:eastAsia="宋体" w:cs="宋体"/>
                <w:i w:val="0"/>
                <w:iCs w:val="0"/>
                <w:color w:val="000000"/>
                <w:kern w:val="0"/>
                <w:sz w:val="21"/>
                <w:szCs w:val="21"/>
                <w:u w:val="none"/>
                <w:lang w:val="en-US" w:eastAsia="zh-CN" w:bidi="ar"/>
              </w:rPr>
              <w:t>支</w:t>
            </w:r>
          </w:p>
          <w:p>
            <w:pPr>
              <w:spacing w:line="0" w:lineRule="atLeast"/>
              <w:jc w:val="both"/>
              <w:rPr>
                <w:rFonts w:hint="eastAsia" w:ascii="宋体" w:hAnsi="宋体" w:eastAsia="宋体" w:cs="宋体"/>
                <w:b w:val="0"/>
                <w:bCs w:val="0"/>
                <w:color w:val="000000"/>
                <w:sz w:val="21"/>
                <w:szCs w:val="21"/>
                <w:lang w:val="en-US" w:eastAsia="zh-CN"/>
              </w:rPr>
            </w:pPr>
            <w:r>
              <w:rPr>
                <w:rFonts w:hint="eastAsia" w:ascii="宋体" w:hAnsi="宋体" w:eastAsia="宋体" w:cs="宋体"/>
                <w:sz w:val="21"/>
                <w:szCs w:val="21"/>
              </w:rPr>
              <w:t>1000 - 10000</w:t>
            </w:r>
            <w:r>
              <w:rPr>
                <w:rFonts w:hint="eastAsia" w:ascii="宋体" w:hAnsi="宋体" w:eastAsia="宋体" w:cs="宋体"/>
                <w:b w:val="0"/>
                <w:bCs w:val="0"/>
                <w:color w:val="000000"/>
                <w:sz w:val="21"/>
                <w:szCs w:val="21"/>
                <w:lang w:val="en-US" w:eastAsia="zh-CN"/>
              </w:rPr>
              <w:t xml:space="preserve">ul </w:t>
            </w:r>
          </w:p>
          <w:p>
            <w:pPr>
              <w:spacing w:line="0" w:lineRule="atLeast"/>
              <w:jc w:val="center"/>
              <w:rPr>
                <w:rFonts w:hint="eastAsia" w:ascii="仿宋" w:hAnsi="仿宋" w:eastAsia="仿宋"/>
                <w:color w:val="auto"/>
                <w:sz w:val="24"/>
              </w:rPr>
            </w:pPr>
            <w:r>
              <w:rPr>
                <w:rFonts w:hint="eastAsia" w:ascii="宋体" w:hAnsi="宋体" w:eastAsia="宋体" w:cs="宋体"/>
                <w:b w:val="0"/>
                <w:bCs w:val="0"/>
                <w:color w:val="000000"/>
                <w:sz w:val="21"/>
                <w:szCs w:val="21"/>
                <w:lang w:val="en-US" w:eastAsia="zh-CN"/>
              </w:rPr>
              <w:t>5</w:t>
            </w:r>
            <w:r>
              <w:rPr>
                <w:rFonts w:hint="eastAsia" w:ascii="宋体" w:hAnsi="宋体" w:eastAsia="宋体" w:cs="宋体"/>
                <w:i w:val="0"/>
                <w:iCs w:val="0"/>
                <w:color w:val="000000"/>
                <w:kern w:val="0"/>
                <w:sz w:val="21"/>
                <w:szCs w:val="21"/>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restart"/>
            <w:vAlign w:val="center"/>
          </w:tcPr>
          <w:p>
            <w:pPr>
              <w:spacing w:line="0" w:lineRule="atLeast"/>
              <w:jc w:val="center"/>
              <w:rPr>
                <w:rFonts w:ascii="仿宋" w:hAnsi="仿宋" w:eastAsia="仿宋"/>
                <w:sz w:val="24"/>
              </w:rPr>
            </w:pPr>
            <w:r>
              <w:rPr>
                <w:rFonts w:hint="eastAsia" w:ascii="仿宋" w:hAnsi="仿宋" w:eastAsia="仿宋"/>
                <w:sz w:val="24"/>
              </w:rPr>
              <w:t>第二包</w:t>
            </w:r>
          </w:p>
        </w:tc>
        <w:tc>
          <w:tcPr>
            <w:tcW w:w="657"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1</w:t>
            </w:r>
          </w:p>
        </w:tc>
        <w:tc>
          <w:tcPr>
            <w:tcW w:w="2576"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highlight w:val="none"/>
              </w:rPr>
              <w:t>离子色谱仪</w:t>
            </w:r>
          </w:p>
        </w:tc>
        <w:tc>
          <w:tcPr>
            <w:tcW w:w="886" w:type="dxa"/>
            <w:shd w:val="clear" w:color="auto" w:fill="FFFFFF" w:themeFill="background1"/>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w:t>
            </w:r>
          </w:p>
        </w:tc>
        <w:tc>
          <w:tcPr>
            <w:tcW w:w="698" w:type="dxa"/>
            <w:shd w:val="clear" w:color="auto" w:fill="FFFFFF" w:themeFill="background1"/>
            <w:vAlign w:val="center"/>
          </w:tcPr>
          <w:p>
            <w:pPr>
              <w:spacing w:line="0" w:lineRule="atLeast"/>
              <w:jc w:val="center"/>
              <w:rPr>
                <w:color w:val="auto"/>
                <w:sz w:val="24"/>
              </w:rPr>
            </w:pPr>
            <w:r>
              <w:rPr>
                <w:rFonts w:hint="eastAsia" w:ascii="仿宋" w:hAnsi="仿宋" w:eastAsia="仿宋"/>
                <w:color w:val="auto"/>
                <w:sz w:val="24"/>
              </w:rPr>
              <w:t>台</w:t>
            </w:r>
          </w:p>
        </w:tc>
        <w:tc>
          <w:tcPr>
            <w:tcW w:w="2120" w:type="dxa"/>
            <w:shd w:val="clear" w:color="auto" w:fill="FFFFFF" w:themeFill="background1"/>
            <w:vAlign w:val="center"/>
          </w:tcPr>
          <w:p>
            <w:pPr>
              <w:spacing w:line="0" w:lineRule="atLeast"/>
              <w:jc w:val="center"/>
              <w:rPr>
                <w:rFonts w:ascii="仿宋" w:hAnsi="仿宋" w:eastAsia="仿宋"/>
                <w:color w:val="auto"/>
                <w:sz w:val="24"/>
              </w:rPr>
            </w:pPr>
            <w:r>
              <w:rPr>
                <w:rFonts w:ascii="仿宋" w:hAnsi="仿宋" w:eastAsia="仿宋"/>
                <w:color w:val="auto"/>
                <w:sz w:val="24"/>
              </w:rPr>
              <w:t>F⁻, Cl⁻, Br⁻, NO等</w:t>
            </w:r>
          </w:p>
        </w:tc>
        <w:tc>
          <w:tcPr>
            <w:tcW w:w="1871" w:type="dxa"/>
            <w:shd w:val="clear" w:color="auto" w:fill="FFFFFF" w:themeFill="background1"/>
            <w:vAlign w:val="center"/>
          </w:tcPr>
          <w:p>
            <w:pPr>
              <w:spacing w:line="0" w:lineRule="atLeas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shd w:val="clear" w:color="auto" w:fill="FFFFFF" w:themeFill="background1"/>
            <w:vAlign w:val="center"/>
          </w:tcPr>
          <w:p>
            <w:pPr>
              <w:spacing w:line="0" w:lineRule="atLeast"/>
              <w:jc w:val="center"/>
              <w:rPr>
                <w:rFonts w:ascii="仿宋" w:hAnsi="仿宋" w:eastAsia="仿宋"/>
                <w:sz w:val="24"/>
              </w:rPr>
            </w:pPr>
            <w:r>
              <w:rPr>
                <w:rFonts w:hint="eastAsia" w:ascii="仿宋" w:hAnsi="仿宋" w:eastAsia="仿宋"/>
                <w:sz w:val="24"/>
              </w:rPr>
              <w:t>2</w:t>
            </w:r>
          </w:p>
        </w:tc>
        <w:tc>
          <w:tcPr>
            <w:tcW w:w="2576" w:type="dxa"/>
            <w:shd w:val="clear" w:color="auto" w:fill="FFFFFF" w:themeFill="background1"/>
            <w:vAlign w:val="center"/>
          </w:tcPr>
          <w:p>
            <w:pPr>
              <w:spacing w:line="0" w:lineRule="atLeast"/>
              <w:jc w:val="center"/>
              <w:rPr>
                <w:rFonts w:hint="default" w:ascii="仿宋" w:hAnsi="仿宋" w:eastAsia="仿宋"/>
                <w:color w:val="C0504D" w:themeColor="accent2"/>
                <w:sz w:val="24"/>
                <w:lang w:val="en-US" w:eastAsia="zh-CN"/>
                <w14:textFill>
                  <w14:solidFill>
                    <w14:schemeClr w14:val="accent2"/>
                  </w14:solidFill>
                </w14:textFill>
              </w:rPr>
            </w:pPr>
            <w:r>
              <w:rPr>
                <w:rFonts w:hint="eastAsia" w:ascii="仿宋" w:hAnsi="仿宋" w:eastAsia="仿宋"/>
                <w:color w:val="C0504D" w:themeColor="accent2"/>
                <w:sz w:val="24"/>
                <w:highlight w:val="none"/>
                <w:lang w:val="en-US" w:eastAsia="zh-CN"/>
                <w14:textFill>
                  <w14:solidFill>
                    <w14:schemeClr w14:val="accent2"/>
                  </w14:solidFill>
                </w14:textFill>
              </w:rPr>
              <w:t>*</w:t>
            </w:r>
            <w:r>
              <w:rPr>
                <w:rFonts w:hint="eastAsia" w:ascii="仿宋" w:hAnsi="仿宋" w:eastAsia="仿宋"/>
                <w:color w:val="C0504D" w:themeColor="accent2"/>
                <w:sz w:val="24"/>
                <w:highlight w:val="none"/>
                <w14:textFill>
                  <w14:solidFill>
                    <w14:schemeClr w14:val="accent2"/>
                  </w14:solidFill>
                </w14:textFill>
              </w:rPr>
              <w:t>全自动微生物生化鉴定</w:t>
            </w:r>
            <w:r>
              <w:rPr>
                <w:rFonts w:hint="eastAsia" w:ascii="仿宋" w:hAnsi="仿宋" w:eastAsia="仿宋"/>
                <w:color w:val="C0504D" w:themeColor="accent2"/>
                <w:sz w:val="24"/>
                <w:highlight w:val="none"/>
                <w:lang w:val="en-US" w:eastAsia="zh-CN"/>
                <w14:textFill>
                  <w14:solidFill>
                    <w14:schemeClr w14:val="accent2"/>
                  </w14:solidFill>
                </w14:textFill>
              </w:rPr>
              <w:t>仪</w:t>
            </w:r>
          </w:p>
        </w:tc>
        <w:tc>
          <w:tcPr>
            <w:tcW w:w="886" w:type="dxa"/>
            <w:shd w:val="clear" w:color="auto" w:fill="FFFFFF" w:themeFill="background1"/>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1</w:t>
            </w:r>
          </w:p>
        </w:tc>
        <w:tc>
          <w:tcPr>
            <w:tcW w:w="698" w:type="dxa"/>
            <w:shd w:val="clear" w:color="auto" w:fill="FFFFFF" w:themeFill="background1"/>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套</w:t>
            </w:r>
          </w:p>
        </w:tc>
        <w:tc>
          <w:tcPr>
            <w:tcW w:w="2120" w:type="dxa"/>
            <w:shd w:val="clear" w:color="auto" w:fill="FFFFFF" w:themeFill="background1"/>
            <w:vAlign w:val="center"/>
          </w:tcPr>
          <w:p>
            <w:pPr>
              <w:spacing w:line="0" w:lineRule="atLeast"/>
              <w:jc w:val="center"/>
              <w:rPr>
                <w:rFonts w:ascii="仿宋" w:hAnsi="仿宋" w:eastAsia="仿宋"/>
                <w:color w:val="auto"/>
                <w:sz w:val="24"/>
              </w:rPr>
            </w:pPr>
            <w:r>
              <w:rPr>
                <w:rFonts w:hint="eastAsia" w:ascii="仿宋" w:hAnsi="仿宋" w:eastAsia="仿宋"/>
                <w:color w:val="auto"/>
                <w:sz w:val="24"/>
              </w:rPr>
              <w:t>微生物生化鉴定</w:t>
            </w:r>
          </w:p>
        </w:tc>
        <w:tc>
          <w:tcPr>
            <w:tcW w:w="1871" w:type="dxa"/>
            <w:shd w:val="clear" w:color="auto" w:fill="FFFFFF" w:themeFill="background1"/>
            <w:vAlign w:val="center"/>
          </w:tcPr>
          <w:p>
            <w:pPr>
              <w:spacing w:line="0" w:lineRule="atLeas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62" w:type="dxa"/>
            <w:vMerge w:val="continue"/>
            <w:vAlign w:val="center"/>
          </w:tcPr>
          <w:p>
            <w:pPr>
              <w:spacing w:line="0" w:lineRule="atLeast"/>
              <w:jc w:val="center"/>
              <w:rPr>
                <w:rFonts w:ascii="仿宋" w:hAnsi="仿宋" w:eastAsia="仿宋"/>
                <w:sz w:val="24"/>
              </w:rPr>
            </w:pPr>
          </w:p>
        </w:tc>
        <w:tc>
          <w:tcPr>
            <w:tcW w:w="657" w:type="dxa"/>
            <w:vAlign w:val="center"/>
          </w:tcPr>
          <w:p>
            <w:pPr>
              <w:spacing w:line="0" w:lineRule="atLeast"/>
              <w:jc w:val="center"/>
              <w:rPr>
                <w:rFonts w:ascii="仿宋" w:hAnsi="仿宋" w:eastAsia="仿宋"/>
                <w:sz w:val="24"/>
              </w:rPr>
            </w:pPr>
            <w:r>
              <w:rPr>
                <w:rFonts w:hint="eastAsia" w:ascii="仿宋" w:hAnsi="仿宋" w:eastAsia="仿宋"/>
                <w:sz w:val="24"/>
              </w:rPr>
              <w:t>3</w:t>
            </w:r>
          </w:p>
        </w:tc>
        <w:tc>
          <w:tcPr>
            <w:tcW w:w="2576" w:type="dxa"/>
            <w:vAlign w:val="center"/>
          </w:tcPr>
          <w:p>
            <w:pPr>
              <w:spacing w:line="0" w:lineRule="atLeast"/>
              <w:jc w:val="center"/>
              <w:rPr>
                <w:rFonts w:ascii="仿宋" w:hAnsi="仿宋" w:eastAsia="仿宋"/>
                <w:sz w:val="24"/>
              </w:rPr>
            </w:pPr>
            <w:r>
              <w:rPr>
                <w:rFonts w:hint="eastAsia" w:ascii="仿宋" w:hAnsi="仿宋" w:eastAsia="仿宋"/>
                <w:sz w:val="24"/>
                <w:highlight w:val="none"/>
              </w:rPr>
              <w:t>生物安全柜</w:t>
            </w:r>
          </w:p>
        </w:tc>
        <w:tc>
          <w:tcPr>
            <w:tcW w:w="886" w:type="dxa"/>
            <w:vAlign w:val="center"/>
          </w:tcPr>
          <w:p>
            <w:pPr>
              <w:spacing w:line="0" w:lineRule="atLeast"/>
              <w:jc w:val="center"/>
              <w:rPr>
                <w:rFonts w:ascii="仿宋" w:hAnsi="仿宋" w:eastAsia="仿宋"/>
                <w:sz w:val="24"/>
              </w:rPr>
            </w:pPr>
            <w:r>
              <w:rPr>
                <w:rFonts w:hint="eastAsia" w:ascii="仿宋" w:hAnsi="仿宋" w:eastAsia="仿宋"/>
                <w:sz w:val="24"/>
              </w:rPr>
              <w:t>3</w:t>
            </w:r>
          </w:p>
        </w:tc>
        <w:tc>
          <w:tcPr>
            <w:tcW w:w="698" w:type="dxa"/>
            <w:vAlign w:val="center"/>
          </w:tcPr>
          <w:p>
            <w:pPr>
              <w:spacing w:line="0" w:lineRule="atLeast"/>
              <w:jc w:val="center"/>
              <w:rPr>
                <w:rFonts w:ascii="仿宋" w:hAnsi="仿宋" w:eastAsia="仿宋"/>
                <w:sz w:val="24"/>
              </w:rPr>
            </w:pPr>
            <w:r>
              <w:rPr>
                <w:rFonts w:hint="eastAsia" w:ascii="仿宋" w:hAnsi="仿宋" w:eastAsia="仿宋"/>
                <w:sz w:val="24"/>
              </w:rPr>
              <w:t>台</w:t>
            </w:r>
          </w:p>
        </w:tc>
        <w:tc>
          <w:tcPr>
            <w:tcW w:w="2120" w:type="dxa"/>
            <w:vAlign w:val="center"/>
          </w:tcPr>
          <w:p>
            <w:pPr>
              <w:spacing w:line="0" w:lineRule="atLeast"/>
              <w:jc w:val="center"/>
              <w:rPr>
                <w:rFonts w:ascii="仿宋" w:hAnsi="仿宋" w:eastAsia="仿宋"/>
                <w:sz w:val="24"/>
              </w:rPr>
            </w:pPr>
            <w:r>
              <w:rPr>
                <w:rFonts w:hint="eastAsia" w:ascii="仿宋" w:hAnsi="仿宋" w:eastAsia="仿宋"/>
                <w:sz w:val="24"/>
              </w:rPr>
              <w:t>生物安全</w:t>
            </w:r>
          </w:p>
        </w:tc>
        <w:tc>
          <w:tcPr>
            <w:tcW w:w="1871" w:type="dxa"/>
            <w:vAlign w:val="center"/>
          </w:tcPr>
          <w:p>
            <w:pPr>
              <w:spacing w:line="0" w:lineRule="atLeast"/>
              <w:jc w:val="center"/>
              <w:rPr>
                <w:rFonts w:hint="eastAsia" w:ascii="仿宋" w:hAnsi="仿宋" w:eastAsia="仿宋"/>
                <w:sz w:val="24"/>
              </w:rPr>
            </w:pPr>
          </w:p>
        </w:tc>
      </w:tr>
    </w:tbl>
    <w:p>
      <w:pPr>
        <w:pStyle w:val="209"/>
        <w:ind w:left="0" w:leftChars="0"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其中气相色谱-质谱联用仪</w:t>
      </w:r>
      <w:r>
        <w:rPr>
          <w:rFonts w:hint="eastAsia" w:ascii="仿宋" w:hAnsi="仿宋" w:eastAsia="仿宋" w:cs="仿宋"/>
          <w:b/>
          <w:bCs/>
          <w:sz w:val="24"/>
          <w:szCs w:val="24"/>
          <w:lang w:eastAsia="zh-CN"/>
        </w:rPr>
        <w:t>、</w:t>
      </w:r>
      <w:r>
        <w:rPr>
          <w:rFonts w:hint="eastAsia" w:ascii="仿宋" w:hAnsi="仿宋" w:eastAsia="仿宋" w:cs="仿宋"/>
          <w:b/>
          <w:bCs/>
          <w:sz w:val="24"/>
          <w:szCs w:val="24"/>
          <w:highlight w:val="none"/>
        </w:rPr>
        <w:t>全自动微生物生化鉴定仪为核心产品。</w:t>
      </w:r>
    </w:p>
    <w:p>
      <w:pPr>
        <w:rPr>
          <w:rFonts w:asciiTheme="minorEastAsia" w:hAnsiTheme="minorEastAsia" w:eastAsiaTheme="minorEastAsia"/>
          <w:b/>
          <w:bCs/>
          <w:sz w:val="36"/>
          <w:szCs w:val="40"/>
        </w:rPr>
      </w:pPr>
    </w:p>
    <w:p>
      <w:pPr>
        <w:rPr>
          <w:rFonts w:hint="eastAsia" w:asciiTheme="minorEastAsia" w:hAnsiTheme="minorEastAsia" w:eastAsiaTheme="minorEastAsia"/>
          <w:b/>
          <w:bCs/>
          <w:sz w:val="36"/>
          <w:szCs w:val="40"/>
          <w:lang w:val="en-US" w:eastAsia="zh-CN"/>
        </w:rPr>
      </w:pPr>
      <w:r>
        <w:rPr>
          <w:rFonts w:hint="eastAsia" w:asciiTheme="minorEastAsia" w:hAnsiTheme="minorEastAsia" w:eastAsiaTheme="minorEastAsia"/>
          <w:b/>
          <w:bCs/>
          <w:sz w:val="36"/>
          <w:szCs w:val="40"/>
          <w:lang w:val="en-US" w:eastAsia="zh-CN"/>
        </w:rPr>
        <w:br w:type="page"/>
      </w:r>
    </w:p>
    <w:p>
      <w:pPr>
        <w:pBdr>
          <w:bottom w:val="single" w:color="auto" w:sz="4" w:space="1"/>
        </w:pBdr>
        <w:spacing w:before="312" w:beforeLines="100"/>
        <w:ind w:left="420" w:hanging="420"/>
        <w:rPr>
          <w:rFonts w:hint="eastAsia" w:ascii="宋体" w:hAnsi="宋体" w:eastAsia="宋体" w:cs="宋体"/>
          <w:color w:val="000000"/>
          <w:sz w:val="24"/>
          <w:szCs w:val="24"/>
          <w:highlight w:val="none"/>
        </w:rPr>
      </w:pPr>
      <w:r>
        <w:rPr>
          <w:rFonts w:hint="eastAsia" w:asciiTheme="minorEastAsia" w:hAnsiTheme="minorEastAsia" w:eastAsiaTheme="minorEastAsia"/>
          <w:b/>
          <w:bCs/>
          <w:color w:val="auto"/>
          <w:sz w:val="36"/>
          <w:szCs w:val="40"/>
          <w:highlight w:val="none"/>
          <w:lang w:val="en-US" w:eastAsia="zh-CN"/>
        </w:rPr>
        <w:t>二、服务要求</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协助</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进行安装前的准备工作。</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到货后，</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免费提供全面安装工具、并由仪器工程师免费安装。仪器安装后，安装工程师为用户进行现场培训。</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3.供应商</w:t>
      </w:r>
      <w:r>
        <w:rPr>
          <w:rFonts w:hint="eastAsia" w:ascii="宋体" w:hAnsi="宋体" w:eastAsia="宋体" w:cs="宋体"/>
          <w:color w:val="000000"/>
          <w:sz w:val="24"/>
          <w:szCs w:val="24"/>
          <w:highlight w:val="none"/>
        </w:rPr>
        <w:t>为</w:t>
      </w:r>
      <w:r>
        <w:rPr>
          <w:rFonts w:hint="eastAsia" w:ascii="宋体" w:hAnsi="宋体" w:cs="宋体"/>
          <w:color w:val="000000"/>
          <w:sz w:val="24"/>
          <w:szCs w:val="24"/>
          <w:highlight w:val="none"/>
          <w:lang w:val="en-US" w:eastAsia="zh-CN"/>
        </w:rPr>
        <w:t>采购人安装调试完后进行现场培训</w:t>
      </w:r>
      <w:r>
        <w:rPr>
          <w:rFonts w:hint="eastAsia" w:ascii="宋体" w:hAnsi="宋体" w:eastAsia="宋体" w:cs="宋体"/>
          <w:color w:val="000000"/>
          <w:sz w:val="24"/>
          <w:szCs w:val="24"/>
          <w:highlight w:val="none"/>
        </w:rPr>
        <w:t>。</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安装验收后1年内，全机免费保修；</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负责工作站软件终身免费升级。</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如果仪器出现故障，在接到</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维修服务的请求后，</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应在</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小时内作出应答，进行电话指导、网上诊断协助排除故障。必要时，在</w:t>
      </w:r>
      <w:r>
        <w:rPr>
          <w:rFonts w:hint="eastAsia" w:ascii="宋体" w:hAnsi="宋体" w:cs="宋体"/>
          <w:color w:val="000000"/>
          <w:sz w:val="24"/>
          <w:szCs w:val="24"/>
          <w:highlight w:val="none"/>
          <w:lang w:val="en-US" w:eastAsia="zh-CN"/>
        </w:rPr>
        <w:t>24</w:t>
      </w:r>
      <w:r>
        <w:rPr>
          <w:rFonts w:hint="eastAsia" w:ascii="宋体" w:hAnsi="宋体" w:eastAsia="宋体" w:cs="宋体"/>
          <w:color w:val="000000"/>
          <w:sz w:val="24"/>
          <w:szCs w:val="24"/>
          <w:highlight w:val="none"/>
        </w:rPr>
        <w:t>小时内到达现场。</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提供配套的调试工具和其他专用工具，提供全套仪器操作说明书。</w:t>
      </w:r>
    </w:p>
    <w:p>
      <w:pPr>
        <w:spacing w:line="360" w:lineRule="auto"/>
        <w:outlineLvl w:val="9"/>
        <w:rPr>
          <w:rFonts w:hint="eastAsia" w:ascii="宋体" w:hAnsi="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rPr>
        <w:t>需提供在售全新仪器，不得为停产型号或翻新仪器</w:t>
      </w:r>
      <w:r>
        <w:rPr>
          <w:rFonts w:hint="eastAsia" w:ascii="宋体" w:hAnsi="宋体" w:cs="宋体"/>
          <w:b w:val="0"/>
          <w:bCs/>
          <w:color w:val="000000"/>
          <w:sz w:val="24"/>
          <w:szCs w:val="24"/>
          <w:highlight w:val="none"/>
          <w:lang w:eastAsia="zh-CN"/>
        </w:rPr>
        <w:t>。</w:t>
      </w:r>
    </w:p>
    <w:p>
      <w:pPr>
        <w:spacing w:line="360" w:lineRule="auto"/>
        <w:outlineLvl w:val="9"/>
        <w:rPr>
          <w:rFonts w:hint="eastAsia"/>
          <w:lang w:eastAsia="zh-CN"/>
        </w:rPr>
      </w:pPr>
      <w:r>
        <w:rPr>
          <w:rFonts w:hint="eastAsia" w:ascii="宋体" w:hAnsi="宋体" w:cs="宋体"/>
          <w:b w:val="0"/>
          <w:bCs/>
          <w:color w:val="000000"/>
          <w:sz w:val="24"/>
          <w:szCs w:val="24"/>
          <w:highlight w:val="none"/>
          <w:lang w:val="en-US" w:eastAsia="zh-CN"/>
        </w:rPr>
        <w:t>8.供应商</w:t>
      </w:r>
      <w:r>
        <w:rPr>
          <w:rFonts w:hint="eastAsia" w:ascii="宋体" w:hAnsi="宋体" w:eastAsia="宋体" w:cs="宋体"/>
          <w:b w:val="0"/>
          <w:bCs/>
          <w:color w:val="000000"/>
          <w:sz w:val="24"/>
          <w:szCs w:val="24"/>
          <w:highlight w:val="none"/>
        </w:rPr>
        <w:t>每年派驻地服务工程师免费上门的不定期巡检，次数为2-3次。</w:t>
      </w:r>
    </w:p>
    <w:p>
      <w:pPr>
        <w:pBdr>
          <w:bottom w:val="single" w:color="auto" w:sz="4" w:space="1"/>
        </w:pBdr>
        <w:spacing w:before="312" w:beforeLines="100"/>
        <w:ind w:left="420" w:hanging="420"/>
        <w:rPr>
          <w:rFonts w:hint="eastAsia" w:asciiTheme="minorEastAsia" w:hAnsiTheme="minorEastAsia" w:eastAsiaTheme="minorEastAsia"/>
          <w:b/>
          <w:bCs/>
          <w:sz w:val="36"/>
          <w:szCs w:val="40"/>
          <w:highlight w:val="none"/>
          <w:lang w:val="en-US" w:eastAsia="zh-CN"/>
        </w:rPr>
      </w:pPr>
      <w:r>
        <w:rPr>
          <w:rFonts w:hint="eastAsia" w:asciiTheme="minorEastAsia" w:hAnsiTheme="minorEastAsia" w:eastAsiaTheme="minorEastAsia"/>
          <w:b/>
          <w:bCs/>
          <w:sz w:val="36"/>
          <w:szCs w:val="40"/>
          <w:highlight w:val="none"/>
          <w:lang w:val="en-US" w:eastAsia="zh-CN"/>
        </w:rPr>
        <w:t>三、商务要求</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一</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、交货期：自合同签订之日起</w:t>
      </w:r>
      <w:r>
        <w:rPr>
          <w:rFonts w:hint="eastAsia" w:ascii="宋体" w:hAnsi="宋体" w:cs="宋体"/>
          <w:color w:val="000000"/>
          <w:sz w:val="24"/>
          <w:szCs w:val="24"/>
          <w:highlight w:val="none"/>
          <w:lang w:val="en-US" w:eastAsia="zh-CN"/>
        </w:rPr>
        <w:t>60</w:t>
      </w:r>
      <w:r>
        <w:rPr>
          <w:rFonts w:hint="eastAsia" w:ascii="宋体" w:hAnsi="宋体" w:eastAsia="宋体" w:cs="宋体"/>
          <w:color w:val="000000"/>
          <w:sz w:val="24"/>
          <w:szCs w:val="24"/>
          <w:highlight w:val="none"/>
        </w:rPr>
        <w:t>个日历日</w:t>
      </w:r>
      <w:r>
        <w:rPr>
          <w:rFonts w:hint="eastAsia" w:ascii="宋体" w:hAnsi="宋体" w:eastAsia="宋体" w:cs="宋体"/>
          <w:color w:val="000000"/>
          <w:sz w:val="24"/>
          <w:szCs w:val="24"/>
          <w:highlight w:val="none"/>
          <w:lang w:val="en-US" w:eastAsia="zh-CN"/>
        </w:rPr>
        <w:t>内</w:t>
      </w:r>
      <w:r>
        <w:rPr>
          <w:rFonts w:hint="eastAsia" w:ascii="宋体" w:hAnsi="宋体" w:eastAsia="宋体" w:cs="宋体"/>
          <w:color w:val="000000"/>
          <w:sz w:val="24"/>
          <w:szCs w:val="24"/>
          <w:highlight w:val="none"/>
        </w:rPr>
        <w:t>完成</w:t>
      </w:r>
      <w:r>
        <w:rPr>
          <w:rFonts w:hint="eastAsia" w:ascii="宋体" w:hAnsi="宋体" w:eastAsia="宋体" w:cs="宋体"/>
          <w:color w:val="000000"/>
          <w:sz w:val="24"/>
          <w:szCs w:val="24"/>
          <w:highlight w:val="none"/>
          <w:lang w:val="en-US" w:eastAsia="zh-CN"/>
        </w:rPr>
        <w:t>安装调试。</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二</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、款项结算</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、全部</w:t>
      </w:r>
      <w:r>
        <w:rPr>
          <w:rFonts w:hint="eastAsia" w:ascii="宋体" w:hAnsi="宋体" w:eastAsia="宋体" w:cs="宋体"/>
          <w:color w:val="000000"/>
          <w:sz w:val="24"/>
          <w:szCs w:val="24"/>
          <w:highlight w:val="none"/>
          <w:lang w:val="en-US" w:eastAsia="zh-CN"/>
        </w:rPr>
        <w:t>设备</w:t>
      </w:r>
      <w:r>
        <w:rPr>
          <w:rFonts w:hint="eastAsia" w:ascii="宋体" w:hAnsi="宋体" w:eastAsia="宋体" w:cs="宋体"/>
          <w:color w:val="000000"/>
          <w:sz w:val="24"/>
          <w:szCs w:val="24"/>
          <w:highlight w:val="none"/>
        </w:rPr>
        <w:t>到达采购人指定地点</w:t>
      </w:r>
      <w:r>
        <w:rPr>
          <w:rFonts w:hint="eastAsia" w:ascii="宋体" w:hAnsi="宋体" w:eastAsia="宋体" w:cs="宋体"/>
          <w:color w:val="000000"/>
          <w:sz w:val="24"/>
          <w:szCs w:val="24"/>
          <w:highlight w:val="none"/>
          <w:lang w:val="en-US" w:eastAsia="zh-CN"/>
        </w:rPr>
        <w:t>安装调试，</w:t>
      </w:r>
      <w:r>
        <w:rPr>
          <w:rFonts w:hint="eastAsia" w:ascii="宋体" w:hAnsi="宋体" w:eastAsia="宋体" w:cs="宋体"/>
          <w:color w:val="000000"/>
          <w:sz w:val="24"/>
          <w:szCs w:val="24"/>
          <w:highlight w:val="none"/>
        </w:rPr>
        <w:t>验收合格后支付合同总价款的</w:t>
      </w:r>
      <w:r>
        <w:rPr>
          <w:rFonts w:hint="eastAsia" w:ascii="宋体" w:hAnsi="宋体" w:eastAsia="宋体" w:cs="宋体"/>
          <w:color w:val="000000"/>
          <w:sz w:val="24"/>
          <w:szCs w:val="24"/>
          <w:highlight w:val="none"/>
          <w:lang w:val="en-US" w:eastAsia="zh-CN"/>
        </w:rPr>
        <w:t>90</w:t>
      </w:r>
      <w:r>
        <w:rPr>
          <w:rFonts w:hint="eastAsia" w:ascii="宋体" w:hAnsi="宋体" w:eastAsia="宋体" w:cs="宋体"/>
          <w:color w:val="000000"/>
          <w:sz w:val="24"/>
          <w:szCs w:val="24"/>
          <w:highlight w:val="none"/>
        </w:rPr>
        <w:t>％。</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、从验收合格之日起1年</w:t>
      </w:r>
      <w:r>
        <w:rPr>
          <w:rFonts w:hint="eastAsia" w:ascii="宋体" w:hAnsi="宋体" w:eastAsia="宋体" w:cs="宋体"/>
          <w:color w:val="000000"/>
          <w:sz w:val="24"/>
          <w:szCs w:val="24"/>
          <w:highlight w:val="none"/>
          <w:lang w:val="en-US" w:eastAsia="zh-CN"/>
        </w:rPr>
        <w:t>质保期满</w:t>
      </w:r>
      <w:r>
        <w:rPr>
          <w:rFonts w:hint="eastAsia" w:ascii="宋体" w:hAnsi="宋体" w:eastAsia="宋体" w:cs="宋体"/>
          <w:color w:val="000000"/>
          <w:sz w:val="24"/>
          <w:szCs w:val="24"/>
          <w:highlight w:val="none"/>
        </w:rPr>
        <w:t>后，如无质量等问题，</w:t>
      </w:r>
      <w:r>
        <w:rPr>
          <w:rFonts w:hint="eastAsia" w:ascii="宋体" w:hAnsi="宋体" w:eastAsia="宋体" w:cs="宋体"/>
          <w:color w:val="000000"/>
          <w:sz w:val="24"/>
          <w:szCs w:val="24"/>
          <w:highlight w:val="none"/>
          <w:lang w:val="en-US" w:eastAsia="zh-CN"/>
        </w:rPr>
        <w:t>剩余合同价的10%</w:t>
      </w:r>
      <w:r>
        <w:rPr>
          <w:rFonts w:hint="eastAsia" w:ascii="宋体" w:hAnsi="宋体" w:eastAsia="宋体" w:cs="宋体"/>
          <w:color w:val="000000"/>
          <w:sz w:val="24"/>
          <w:szCs w:val="24"/>
          <w:highlight w:val="none"/>
        </w:rPr>
        <w:t>一次付清。</w:t>
      </w:r>
    </w:p>
    <w:p>
      <w:pPr>
        <w:spacing w:line="360" w:lineRule="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产品质保期</w:t>
      </w:r>
    </w:p>
    <w:p>
      <w:pPr>
        <w:spacing w:line="360" w:lineRule="auto"/>
        <w:outlineLvl w:val="9"/>
        <w:rPr>
          <w:rFonts w:hint="eastAsia"/>
        </w:rPr>
      </w:pPr>
      <w:r>
        <w:rPr>
          <w:rFonts w:hint="eastAsia" w:ascii="宋体" w:hAnsi="宋体" w:eastAsia="宋体" w:cs="宋体"/>
          <w:color w:val="000000"/>
          <w:sz w:val="24"/>
          <w:szCs w:val="24"/>
          <w:highlight w:val="none"/>
        </w:rPr>
        <w:t>验收合格之日起</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eastAsia="zh-CN"/>
        </w:rPr>
        <w:t>。（中标人承诺超过招标文件要求的，按其承诺的质保期进行质保）</w:t>
      </w:r>
      <w:r>
        <w:rPr>
          <w:rFonts w:hint="eastAsia" w:ascii="宋体" w:hAnsi="宋体" w:eastAsia="宋体" w:cs="宋体"/>
          <w:color w:val="000000"/>
          <w:sz w:val="24"/>
          <w:szCs w:val="24"/>
          <w:highlight w:val="none"/>
          <w:lang w:val="en-US" w:eastAsia="zh-CN"/>
        </w:rPr>
        <w:t>供应商负责工作站软件终身免费升级，在仪器停产后，提供5年的零配件供应和仪器维护。</w:t>
      </w:r>
    </w:p>
    <w:p>
      <w:pPr>
        <w:pStyle w:val="51"/>
        <w:jc w:val="both"/>
        <w:outlineLvl w:val="1"/>
        <w:rPr>
          <w:rFonts w:asciiTheme="minorEastAsia" w:hAnsiTheme="minorEastAsia" w:eastAsiaTheme="minorEastAsia"/>
          <w:b/>
          <w:bCs/>
          <w:sz w:val="36"/>
          <w:szCs w:val="40"/>
        </w:rPr>
      </w:pPr>
      <w:r>
        <w:rPr>
          <w:rFonts w:hint="eastAsia" w:asciiTheme="minorEastAsia" w:hAnsiTheme="minorEastAsia" w:eastAsiaTheme="minorEastAsia"/>
          <w:b/>
          <w:bCs/>
          <w:sz w:val="36"/>
          <w:szCs w:val="40"/>
          <w:lang w:val="en-US" w:eastAsia="zh-CN"/>
        </w:rPr>
        <w:t>四</w:t>
      </w:r>
      <w:r>
        <w:rPr>
          <w:rFonts w:hint="eastAsia" w:asciiTheme="minorEastAsia" w:hAnsiTheme="minorEastAsia" w:eastAsiaTheme="minorEastAsia"/>
          <w:b/>
          <w:bCs/>
          <w:sz w:val="36"/>
          <w:szCs w:val="40"/>
        </w:rPr>
        <w:t>、设备具体参数</w:t>
      </w:r>
    </w:p>
    <w:p>
      <w:pPr>
        <w:pStyle w:val="51"/>
        <w:jc w:val="center"/>
        <w:rPr>
          <w:rFonts w:asciiTheme="minorEastAsia" w:hAnsiTheme="minorEastAsia" w:eastAsiaTheme="minorEastAsia"/>
          <w:b/>
          <w:bCs/>
          <w:sz w:val="36"/>
          <w:szCs w:val="40"/>
        </w:rPr>
      </w:pPr>
      <w:r>
        <w:rPr>
          <w:rFonts w:hint="eastAsia" w:asciiTheme="minorEastAsia" w:hAnsiTheme="minorEastAsia" w:eastAsiaTheme="minorEastAsia"/>
          <w:b/>
          <w:bCs/>
          <w:sz w:val="36"/>
          <w:szCs w:val="40"/>
        </w:rPr>
        <w:t>第一包</w:t>
      </w:r>
      <w:bookmarkStart w:id="313" w:name="_Toc7625"/>
    </w:p>
    <w:bookmarkEnd w:id="313"/>
    <w:p>
      <w:pPr>
        <w:pStyle w:val="51"/>
        <w:keepNext w:val="0"/>
        <w:keepLines w:val="0"/>
        <w:pageBreakBefore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000000"/>
          <w:kern w:val="44"/>
          <w:sz w:val="24"/>
          <w:szCs w:val="24"/>
        </w:rPr>
      </w:pPr>
      <w:r>
        <w:rPr>
          <w:rFonts w:hint="eastAsia" w:ascii="宋体" w:hAnsi="宋体" w:eastAsia="宋体" w:cs="宋体"/>
          <w:sz w:val="24"/>
          <w:szCs w:val="24"/>
          <w:lang w:val="en-US" w:eastAsia="zh-CN"/>
        </w:rPr>
        <w:t>一、</w:t>
      </w:r>
      <w:r>
        <w:rPr>
          <w:rFonts w:hint="eastAsia" w:ascii="宋体" w:hAnsi="宋体" w:eastAsia="宋体" w:cs="宋体"/>
          <w:b/>
          <w:bCs/>
          <w:color w:val="000000"/>
          <w:kern w:val="44"/>
          <w:sz w:val="24"/>
          <w:szCs w:val="24"/>
        </w:rPr>
        <w:t>自动顶空进样器技术参数&amp;配置清单</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eastAsia="宋体"/>
          <w:b/>
          <w:bCs/>
          <w:sz w:val="24"/>
        </w:rPr>
      </w:pPr>
      <w:r>
        <w:rPr>
          <w:rFonts w:hint="eastAsia" w:ascii="宋体" w:hAnsi="宋体" w:eastAsia="宋体"/>
          <w:b/>
          <w:bCs/>
          <w:sz w:val="24"/>
          <w:lang w:val="en-US" w:eastAsia="zh-CN"/>
        </w:rPr>
        <w:t>1</w:t>
      </w:r>
      <w:r>
        <w:rPr>
          <w:rFonts w:hint="eastAsia" w:ascii="宋体" w:hAnsi="宋体" w:eastAsia="宋体"/>
          <w:b/>
          <w:bCs/>
          <w:sz w:val="24"/>
        </w:rPr>
        <w:t>、设备基本概况：</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1</w:t>
      </w:r>
      <w:r>
        <w:rPr>
          <w:rFonts w:ascii="宋体" w:hAnsi="宋体"/>
          <w:sz w:val="24"/>
        </w:rPr>
        <w:t xml:space="preserve"> 设备名称：自动顶空进样器</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2</w:t>
      </w:r>
      <w:r>
        <w:rPr>
          <w:rFonts w:ascii="宋体" w:hAnsi="宋体"/>
          <w:sz w:val="24"/>
        </w:rPr>
        <w:t xml:space="preserve"> 数量： 1套</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eastAsia="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3</w:t>
      </w:r>
      <w:r>
        <w:rPr>
          <w:rFonts w:ascii="宋体" w:hAnsi="宋体"/>
          <w:sz w:val="24"/>
        </w:rPr>
        <w:t xml:space="preserve"> </w:t>
      </w:r>
      <w:r>
        <w:rPr>
          <w:rFonts w:hint="eastAsia" w:ascii="宋体" w:hAnsi="宋体"/>
          <w:sz w:val="24"/>
        </w:rPr>
        <w:t>用途说明：检测生活饮用水中有机挥发物、食品中溶剂残留和水果蔬菜中农药残留，食品包材中的溶剂残留，化肥中的有机物的检测。</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eastAsia="宋体"/>
          <w:b/>
          <w:bCs/>
          <w:sz w:val="24"/>
        </w:rPr>
      </w:pPr>
      <w:r>
        <w:rPr>
          <w:rFonts w:hint="eastAsia" w:ascii="宋体" w:hAnsi="宋体" w:eastAsia="宋体"/>
          <w:b/>
          <w:bCs/>
          <w:sz w:val="24"/>
          <w:lang w:val="en-US" w:eastAsia="zh-CN"/>
        </w:rPr>
        <w:t>2</w:t>
      </w:r>
      <w:r>
        <w:rPr>
          <w:rFonts w:hint="eastAsia" w:ascii="宋体" w:hAnsi="宋体" w:eastAsia="宋体"/>
          <w:b/>
          <w:bCs/>
          <w:sz w:val="24"/>
        </w:rPr>
        <w:t>、</w:t>
      </w:r>
      <w:r>
        <w:rPr>
          <w:rFonts w:ascii="宋体" w:hAnsi="宋体" w:eastAsia="宋体"/>
          <w:b/>
          <w:bCs/>
          <w:sz w:val="24"/>
        </w:rPr>
        <w:t>性能规格及要求：</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 xml:space="preserve">1 </w:t>
      </w:r>
      <w:r>
        <w:rPr>
          <w:rFonts w:hint="eastAsia" w:ascii="宋体" w:hAnsi="宋体"/>
          <w:sz w:val="24"/>
        </w:rPr>
        <w:t>样品容量：≥</w:t>
      </w:r>
      <w:r>
        <w:rPr>
          <w:rFonts w:hint="eastAsia" w:ascii="宋体" w:hAnsi="宋体"/>
          <w:snapToGrid w:val="0"/>
          <w:kern w:val="0"/>
          <w:sz w:val="24"/>
        </w:rPr>
        <w:t>20</w:t>
      </w:r>
      <w:r>
        <w:rPr>
          <w:rFonts w:hint="eastAsia" w:ascii="宋体" w:hAnsi="宋体"/>
          <w:sz w:val="24"/>
        </w:rPr>
        <w:t>样品位的样品盘；</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顶空瓶体积：20ml；</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 xml:space="preserve">3 </w:t>
      </w:r>
      <w:r>
        <w:rPr>
          <w:rFonts w:hint="eastAsia" w:ascii="宋体" w:hAnsi="宋体"/>
          <w:sz w:val="24"/>
        </w:rPr>
        <w:t>样品恒温器：</w:t>
      </w:r>
      <w:r>
        <w:rPr>
          <w:rFonts w:hint="eastAsia" w:ascii="宋体" w:hAnsi="宋体" w:eastAsia="宋体" w:cs="Courier New"/>
          <w:bCs/>
          <w:kern w:val="2"/>
          <w:sz w:val="24"/>
          <w:szCs w:val="24"/>
          <w:lang w:val="en-US" w:eastAsia="zh-CN" w:bidi="ar-SA"/>
        </w:rPr>
        <w:t>≥5位智能重叠</w:t>
      </w:r>
      <w:r>
        <w:rPr>
          <w:rFonts w:hint="eastAsia" w:ascii="宋体" w:hAnsi="宋体"/>
          <w:sz w:val="24"/>
        </w:rPr>
        <w:t>加热位；</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 xml:space="preserve">4 </w:t>
      </w:r>
      <w:r>
        <w:rPr>
          <w:rFonts w:hint="eastAsia" w:ascii="宋体" w:hAnsi="宋体"/>
          <w:sz w:val="24"/>
        </w:rPr>
        <w:t>样品温度：</w:t>
      </w:r>
      <w:r>
        <w:rPr>
          <w:rFonts w:ascii="宋体" w:hAnsi="宋体"/>
          <w:sz w:val="24"/>
        </w:rPr>
        <w:t>40</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至19</w:t>
      </w:r>
      <w:r>
        <w:rPr>
          <w:rFonts w:ascii="宋体" w:hAnsi="宋体"/>
          <w:sz w:val="24"/>
        </w:rPr>
        <w:t>0</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间设定，</w:t>
      </w:r>
      <w:r>
        <w:rPr>
          <w:rFonts w:ascii="宋体" w:hAnsi="宋体"/>
          <w:sz w:val="24"/>
        </w:rPr>
        <w:t>1</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变化；</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 xml:space="preserve">5 </w:t>
      </w:r>
      <w:r>
        <w:rPr>
          <w:rFonts w:hint="eastAsia" w:ascii="宋体" w:hAnsi="宋体"/>
          <w:sz w:val="24"/>
        </w:rPr>
        <w:t>样品加热：整体铝块加热炉。能精确地控制对每个样品的加热温度和时间。软件自动计算优化样品的重叠加热及平衡时间，保证每一个样品被提取前加热恒温</w:t>
      </w:r>
      <w:r>
        <w:rPr>
          <w:rFonts w:hint="eastAsia" w:ascii="宋体" w:hAnsi="宋体"/>
          <w:sz w:val="24"/>
          <w:lang w:val="en-US" w:eastAsia="zh-CN"/>
        </w:rPr>
        <w:t>时间</w:t>
      </w:r>
      <w:r>
        <w:rPr>
          <w:rFonts w:hint="eastAsia" w:ascii="宋体" w:hAnsi="宋体"/>
          <w:sz w:val="24"/>
        </w:rPr>
        <w:t>一致，具有极好的重现性；</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2.7提取温度（进样针）：</w:t>
      </w:r>
      <w:r>
        <w:rPr>
          <w:rFonts w:ascii="宋体" w:hAnsi="宋体"/>
          <w:sz w:val="24"/>
        </w:rPr>
        <w:t>40</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至</w:t>
      </w:r>
      <w:r>
        <w:rPr>
          <w:rFonts w:ascii="宋体" w:hAnsi="宋体"/>
          <w:sz w:val="24"/>
        </w:rPr>
        <w:t>2</w:t>
      </w:r>
      <w:r>
        <w:rPr>
          <w:rFonts w:hint="eastAsia" w:ascii="宋体" w:hAnsi="宋体"/>
          <w:sz w:val="24"/>
        </w:rPr>
        <w:t>1</w:t>
      </w:r>
      <w:r>
        <w:rPr>
          <w:rFonts w:ascii="宋体" w:hAnsi="宋体"/>
          <w:sz w:val="24"/>
        </w:rPr>
        <w:t>0</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间设定，</w:t>
      </w:r>
      <w:r>
        <w:rPr>
          <w:rFonts w:ascii="宋体" w:hAnsi="宋体"/>
          <w:sz w:val="24"/>
        </w:rPr>
        <w:t>1</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变化；</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宋体" w:hAnsi="宋体" w:eastAsia="宋体"/>
          <w:sz w:val="24"/>
          <w:lang w:val="en-US" w:eastAsia="zh-CN"/>
        </w:rPr>
      </w:pPr>
      <w:r>
        <w:rPr>
          <w:rFonts w:hint="eastAsia" w:ascii="宋体" w:hAnsi="宋体"/>
          <w:sz w:val="24"/>
        </w:rPr>
        <w:t>2.8传输线长度：1m</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2.9传输线温度：</w:t>
      </w:r>
      <w:r>
        <w:rPr>
          <w:rFonts w:ascii="宋体" w:hAnsi="宋体"/>
          <w:sz w:val="24"/>
        </w:rPr>
        <w:t>40</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至</w:t>
      </w:r>
      <w:r>
        <w:rPr>
          <w:rFonts w:ascii="宋体" w:hAnsi="宋体"/>
          <w:sz w:val="24"/>
        </w:rPr>
        <w:t>2</w:t>
      </w:r>
      <w:r>
        <w:rPr>
          <w:rFonts w:hint="eastAsia" w:ascii="宋体" w:hAnsi="宋体"/>
          <w:sz w:val="24"/>
        </w:rPr>
        <w:t>1</w:t>
      </w:r>
      <w:r>
        <w:rPr>
          <w:rFonts w:ascii="宋体" w:hAnsi="宋体"/>
          <w:sz w:val="24"/>
        </w:rPr>
        <w:t>0</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间设定，</w:t>
      </w:r>
      <w:r>
        <w:rPr>
          <w:rFonts w:ascii="宋体" w:hAnsi="宋体"/>
          <w:sz w:val="24"/>
        </w:rPr>
        <w:t>1</w:t>
      </w:r>
      <w:r>
        <w:rPr>
          <w:rFonts w:hint="eastAsia" w:ascii="微软雅黑" w:hAnsi="微软雅黑" w:eastAsia="微软雅黑" w:cs="微软雅黑"/>
          <w:sz w:val="24"/>
        </w:rPr>
        <w:t>˚</w:t>
      </w:r>
      <w:r>
        <w:rPr>
          <w:rFonts w:hint="eastAsia" w:ascii="宋体" w:hAnsi="宋体" w:cs="宋体"/>
          <w:sz w:val="24"/>
        </w:rPr>
        <w:t>C</w:t>
      </w:r>
      <w:r>
        <w:rPr>
          <w:rFonts w:hint="eastAsia" w:ascii="宋体" w:hAnsi="宋体"/>
          <w:sz w:val="24"/>
        </w:rPr>
        <w:t>变化，也可于常温运行；</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2.10 进样量：时间控制进样量；</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2.12高压进样功能：通过参数设定（无需增加硬件）即可实现高压进样方式，避免二次进样的可能；</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2.13操作模式</w:t>
      </w:r>
    </w:p>
    <w:p>
      <w:pPr>
        <w:pStyle w:val="88"/>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ascii="宋体" w:hAnsi="宋体"/>
          <w:b/>
          <w:sz w:val="24"/>
        </w:rPr>
        <w:t>恒定模式</w:t>
      </w:r>
      <w:r>
        <w:rPr>
          <w:rFonts w:hint="eastAsia" w:ascii="宋体" w:hAnsi="宋体"/>
        </w:rPr>
        <w:t>:</w:t>
      </w:r>
      <w:r>
        <w:rPr>
          <w:rFonts w:hint="eastAsia" w:ascii="宋体" w:hAnsi="宋体"/>
          <w:sz w:val="24"/>
        </w:rPr>
        <w:t>恒温时间恒定模式。样品在被分析之前被加热恒温相同的时间。</w:t>
      </w:r>
      <w:r>
        <w:rPr>
          <w:rFonts w:hint="eastAsia" w:ascii="宋体" w:hAnsi="宋体"/>
          <w:bCs/>
          <w:sz w:val="24"/>
        </w:rPr>
        <w:t>通过</w:t>
      </w:r>
      <w:r>
        <w:rPr>
          <w:rFonts w:hint="eastAsia" w:ascii="宋体" w:hAnsi="宋体"/>
          <w:b/>
          <w:sz w:val="24"/>
        </w:rPr>
        <w:t>计算机软件</w:t>
      </w:r>
      <w:r>
        <w:rPr>
          <w:rFonts w:hint="eastAsia" w:ascii="宋体" w:hAnsi="宋体"/>
          <w:bCs/>
          <w:sz w:val="24"/>
        </w:rPr>
        <w:t>控制顶空的运行以及实时监测顶空的运行状态；</w:t>
      </w:r>
    </w:p>
    <w:p>
      <w:pPr>
        <w:keepNext w:val="0"/>
        <w:keepLines w:val="0"/>
        <w:pageBreakBefore w:val="0"/>
        <w:tabs>
          <w:tab w:val="left" w:pos="360"/>
        </w:tabs>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2.14样品适应性：具有抗酸碱腐蚀的能力，</w:t>
      </w:r>
      <w:r>
        <w:rPr>
          <w:rFonts w:hint="eastAsia" w:ascii="宋体" w:hAnsi="宋体"/>
          <w:sz w:val="24"/>
          <w:lang w:val="en-US" w:eastAsia="zh-CN"/>
        </w:rPr>
        <w:t>可</w:t>
      </w:r>
      <w:r>
        <w:rPr>
          <w:rFonts w:hint="eastAsia" w:ascii="宋体" w:hAnsi="宋体"/>
          <w:sz w:val="24"/>
        </w:rPr>
        <w:t>分析极性物质和非极性</w:t>
      </w:r>
      <w:r>
        <w:rPr>
          <w:rFonts w:hint="eastAsia" w:ascii="宋体" w:hAnsi="宋体"/>
          <w:sz w:val="24"/>
          <w:lang w:val="en-US" w:eastAsia="zh-CN"/>
        </w:rPr>
        <w:t>物质</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2.15全流路自动泄漏测试：用户选定泄漏测试，仪器进入全流路泄漏测试（包括样品瓶在内），最大限度地保证仪器的可靠性；</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2.16具有通用的接口，可与任何气相色谱连接；</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sz w:val="24"/>
        </w:rPr>
      </w:pPr>
      <w:r>
        <w:rPr>
          <w:rFonts w:hint="eastAsia" w:ascii="宋体" w:hAnsi="宋体"/>
          <w:sz w:val="24"/>
        </w:rPr>
        <w:t xml:space="preserve">2.16 </w:t>
      </w:r>
      <w:r>
        <w:rPr>
          <w:rFonts w:ascii="宋体" w:hAnsi="宋体"/>
          <w:sz w:val="24"/>
        </w:rPr>
        <w:t>分析重复性：RSD≤1.5%（200ppm 乙醇水溶液，与 GC 性 能有关）</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ascii="宋体" w:hAnsi="宋体" w:eastAsia="宋体"/>
          <w:sz w:val="24"/>
          <w:szCs w:val="24"/>
        </w:rPr>
      </w:pPr>
      <w:r>
        <w:rPr>
          <w:rFonts w:hint="eastAsia" w:ascii="宋体" w:hAnsi="宋体"/>
          <w:sz w:val="24"/>
        </w:rPr>
        <w:t>2.17</w:t>
      </w:r>
      <w:r>
        <w:rPr>
          <w:rFonts w:ascii="宋体" w:hAnsi="宋体"/>
          <w:sz w:val="24"/>
        </w:rPr>
        <w:t>能使气相色谱仪 FID 检测出水中 1ppb 苯</w:t>
      </w:r>
      <w:r>
        <w:rPr>
          <w:rFonts w:hint="eastAsia" w:ascii="宋体" w:hAnsi="宋体"/>
          <w:sz w:val="24"/>
        </w:rPr>
        <w:t>，并提供检测报告（气相色谱仪必须有合格的最低检出限</w:t>
      </w:r>
      <w:r>
        <w:rPr>
          <w:rFonts w:ascii="宋体" w:hAnsi="宋体"/>
          <w:sz w:val="24"/>
        </w:rPr>
        <w:t>-正十三烷≤1.5pg C/S）</w:t>
      </w:r>
      <w:r>
        <w:rPr>
          <w:rFonts w:hint="eastAsia" w:ascii="宋体" w:hAnsi="宋体"/>
          <w:sz w:val="24"/>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hAnsi="宋体"/>
          <w:b/>
          <w:sz w:val="24"/>
          <w:szCs w:val="24"/>
        </w:rPr>
      </w:pPr>
      <w:bookmarkStart w:id="314" w:name="OLE_LINK2"/>
      <w:r>
        <w:rPr>
          <w:rFonts w:hint="eastAsia" w:hAnsi="宋体"/>
          <w:b/>
          <w:sz w:val="24"/>
          <w:szCs w:val="24"/>
          <w:lang w:val="en-US" w:eastAsia="zh-CN"/>
        </w:rPr>
        <w:t>3</w:t>
      </w:r>
      <w:r>
        <w:rPr>
          <w:rFonts w:hAnsi="宋体"/>
          <w:b/>
          <w:sz w:val="24"/>
          <w:szCs w:val="24"/>
        </w:rPr>
        <w:t>、配置要求</w:t>
      </w:r>
      <w:bookmarkEnd w:id="314"/>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hAnsi="宋体"/>
          <w:bCs/>
          <w:sz w:val="24"/>
          <w:szCs w:val="24"/>
        </w:rPr>
      </w:pPr>
      <w:r>
        <w:rPr>
          <w:rFonts w:hint="eastAsia" w:hAnsi="宋体"/>
          <w:bCs/>
          <w:sz w:val="24"/>
          <w:szCs w:val="24"/>
          <w:lang w:val="en-US" w:eastAsia="zh-CN"/>
        </w:rPr>
        <w:t>3.</w:t>
      </w:r>
      <w:r>
        <w:rPr>
          <w:rFonts w:hAnsi="宋体"/>
          <w:bCs/>
          <w:sz w:val="24"/>
          <w:szCs w:val="24"/>
        </w:rPr>
        <w:t>1自动顶空进样器（≥20位样品位，计算机软件控制）</w:t>
      </w:r>
      <w:r>
        <w:rPr>
          <w:rFonts w:hint="default" w:hAnsi="宋体"/>
          <w:bCs/>
          <w:sz w:val="24"/>
          <w:szCs w:val="24"/>
        </w:rPr>
        <w:t xml:space="preserve"> </w:t>
      </w:r>
      <w:r>
        <w:rPr>
          <w:rFonts w:hAnsi="宋体"/>
          <w:bCs/>
          <w:sz w:val="24"/>
          <w:szCs w:val="24"/>
        </w:rPr>
        <w:t>1台</w:t>
      </w:r>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hAnsi="宋体"/>
          <w:bCs/>
          <w:sz w:val="24"/>
          <w:szCs w:val="24"/>
        </w:rPr>
      </w:pPr>
      <w:r>
        <w:rPr>
          <w:rFonts w:hint="eastAsia" w:hAnsi="宋体"/>
          <w:bCs/>
          <w:sz w:val="24"/>
          <w:szCs w:val="24"/>
          <w:lang w:val="en-US" w:eastAsia="zh-CN"/>
        </w:rPr>
        <w:t>3.</w:t>
      </w:r>
      <w:r>
        <w:rPr>
          <w:rFonts w:hAnsi="宋体"/>
          <w:bCs/>
          <w:sz w:val="24"/>
          <w:szCs w:val="24"/>
        </w:rPr>
        <w:t>2加热传输线 1根</w:t>
      </w:r>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宋体" w:hAnsi="宋体" w:eastAsia="宋体"/>
          <w:bCs/>
          <w:sz w:val="24"/>
          <w:szCs w:val="24"/>
        </w:rPr>
      </w:pPr>
      <w:r>
        <w:rPr>
          <w:rFonts w:hint="eastAsia" w:hAnsi="宋体"/>
          <w:bCs/>
          <w:sz w:val="24"/>
          <w:szCs w:val="24"/>
          <w:lang w:val="en-US" w:eastAsia="zh-CN"/>
        </w:rPr>
        <w:t>3.</w:t>
      </w:r>
      <w:r>
        <w:rPr>
          <w:rFonts w:ascii="宋体" w:hAnsi="宋体" w:eastAsia="宋体"/>
          <w:bCs/>
          <w:sz w:val="24"/>
          <w:szCs w:val="24"/>
        </w:rPr>
        <w:t>3样品瓶（100个/包） 1包</w:t>
      </w:r>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宋体" w:hAnsi="宋体" w:eastAsia="宋体"/>
          <w:bCs/>
          <w:sz w:val="24"/>
          <w:szCs w:val="24"/>
        </w:rPr>
      </w:pPr>
      <w:r>
        <w:rPr>
          <w:rFonts w:hint="eastAsia" w:hAnsi="宋体"/>
          <w:bCs/>
          <w:sz w:val="24"/>
          <w:szCs w:val="24"/>
          <w:lang w:val="en-US" w:eastAsia="zh-CN"/>
        </w:rPr>
        <w:t>3.</w:t>
      </w:r>
      <w:r>
        <w:rPr>
          <w:rFonts w:ascii="宋体" w:hAnsi="宋体" w:eastAsia="宋体"/>
          <w:bCs/>
          <w:sz w:val="24"/>
          <w:szCs w:val="24"/>
        </w:rPr>
        <w:t>4瓶垫和铝盖（100个/包） 各1包</w:t>
      </w:r>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宋体" w:hAnsi="宋体" w:eastAsia="宋体"/>
          <w:bCs/>
          <w:sz w:val="24"/>
          <w:szCs w:val="24"/>
        </w:rPr>
      </w:pPr>
      <w:r>
        <w:rPr>
          <w:rFonts w:hint="eastAsia" w:hAnsi="宋体"/>
          <w:bCs/>
          <w:sz w:val="24"/>
          <w:szCs w:val="24"/>
          <w:lang w:val="en-US" w:eastAsia="zh-CN"/>
        </w:rPr>
        <w:t>3.</w:t>
      </w:r>
      <w:r>
        <w:rPr>
          <w:rFonts w:ascii="宋体" w:hAnsi="宋体" w:eastAsia="宋体"/>
          <w:bCs/>
          <w:sz w:val="24"/>
          <w:szCs w:val="24"/>
        </w:rPr>
        <w:t>5顶空-气相色谱仪电缆 1根</w:t>
      </w:r>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hAnsi="宋体"/>
          <w:bCs/>
          <w:color w:val="000000"/>
          <w:kern w:val="0"/>
          <w:sz w:val="24"/>
        </w:rPr>
      </w:pPr>
      <w:r>
        <w:rPr>
          <w:rFonts w:hint="eastAsia" w:hAnsi="宋体"/>
          <w:bCs/>
          <w:sz w:val="24"/>
          <w:szCs w:val="24"/>
          <w:lang w:val="en-US" w:eastAsia="zh-CN"/>
        </w:rPr>
        <w:t>3.</w:t>
      </w:r>
      <w:r>
        <w:rPr>
          <w:bCs/>
          <w:color w:val="000000"/>
          <w:kern w:val="0"/>
          <w:sz w:val="24"/>
        </w:rPr>
        <w:t>6与气相色谱相匹配的</w:t>
      </w:r>
      <w:r>
        <w:rPr>
          <w:rFonts w:hAnsi="宋体"/>
          <w:bCs/>
          <w:color w:val="000000"/>
          <w:kern w:val="0"/>
          <w:sz w:val="24"/>
        </w:rPr>
        <w:t>接口 1个</w:t>
      </w:r>
    </w:p>
    <w:p>
      <w:pPr>
        <w:pStyle w:val="16"/>
        <w:keepNext w:val="0"/>
        <w:keepLines w:val="0"/>
        <w:pageBreakBefore w:val="0"/>
        <w:kinsoku/>
        <w:wordWrap/>
        <w:overflowPunct/>
        <w:topLinePunct w:val="0"/>
        <w:autoSpaceDE/>
        <w:autoSpaceDN/>
        <w:bidi w:val="0"/>
        <w:adjustRightInd/>
        <w:snapToGrid/>
        <w:spacing w:line="440" w:lineRule="exact"/>
        <w:textAlignment w:val="auto"/>
        <w:outlineLvl w:val="9"/>
        <w:rPr>
          <w:rFonts w:hint="default" w:hAnsi="宋体" w:cs="宋体"/>
          <w:bCs/>
          <w:color w:val="000000"/>
          <w:kern w:val="0"/>
          <w:sz w:val="24"/>
        </w:rPr>
      </w:pPr>
      <w:r>
        <w:rPr>
          <w:rFonts w:hint="eastAsia" w:hAnsi="宋体"/>
          <w:bCs/>
          <w:sz w:val="24"/>
          <w:szCs w:val="24"/>
          <w:lang w:val="en-US" w:eastAsia="zh-CN"/>
        </w:rPr>
        <w:t>3.</w:t>
      </w:r>
      <w:r>
        <w:rPr>
          <w:rFonts w:hAnsi="宋体"/>
          <w:bCs/>
          <w:color w:val="000000"/>
          <w:kern w:val="0"/>
          <w:sz w:val="24"/>
        </w:rPr>
        <w:t>7</w:t>
      </w:r>
      <w:r>
        <w:rPr>
          <w:rFonts w:hAnsi="宋体" w:cs="宋体"/>
          <w:bCs/>
          <w:color w:val="000000"/>
          <w:kern w:val="0"/>
          <w:sz w:val="24"/>
        </w:rPr>
        <w:t>压盖器和开口钳 各1个</w:t>
      </w:r>
    </w:p>
    <w:p>
      <w:pPr>
        <w:spacing w:line="360" w:lineRule="auto"/>
        <w:outlineLvl w:val="9"/>
        <w:rPr>
          <w:rFonts w:hint="eastAsia" w:ascii="宋体" w:hAnsi="宋体" w:eastAsia="宋体" w:cs="宋体"/>
          <w:b/>
          <w:bCs/>
          <w:sz w:val="24"/>
          <w:szCs w:val="24"/>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气相色谱质谱联用仪技术参数</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、质谱部分</w:t>
      </w:r>
    </w:p>
    <w:p>
      <w:pPr>
        <w:spacing w:line="360" w:lineRule="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基本性能</w:t>
      </w:r>
    </w:p>
    <w:p>
      <w:pPr>
        <w:numPr>
          <w:ilvl w:val="0"/>
          <w:numId w:val="0"/>
        </w:numPr>
        <w:spacing w:line="360" w:lineRule="auto"/>
        <w:ind w:leftChars="0"/>
        <w:outlineLvl w:val="9"/>
        <w:rPr>
          <w:rFonts w:hint="default" w:ascii="宋体" w:hAnsi="宋体" w:eastAsia="宋体" w:cs="宋体"/>
          <w:bCs/>
          <w:color w:val="000000"/>
          <w:sz w:val="24"/>
          <w:szCs w:val="24"/>
          <w:lang w:val="en-US"/>
        </w:rPr>
      </w:pP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质量数范围:</w:t>
      </w:r>
      <w:r>
        <w:rPr>
          <w:rFonts w:hint="eastAsia" w:ascii="宋体" w:hAnsi="宋体" w:eastAsia="宋体" w:cs="宋体"/>
          <w:bCs/>
          <w:color w:val="000000"/>
          <w:sz w:val="24"/>
          <w:szCs w:val="24"/>
        </w:rPr>
        <w:t xml:space="preserve"> 1.5 </w:t>
      </w:r>
      <w:r>
        <w:rPr>
          <w:rFonts w:hint="eastAsia" w:ascii="宋体" w:hAnsi="宋体" w:eastAsia="宋体" w:cs="宋体"/>
          <w:color w:val="000000"/>
          <w:sz w:val="24"/>
          <w:szCs w:val="24"/>
        </w:rPr>
        <w:t xml:space="preserve">～ </w:t>
      </w:r>
      <w:r>
        <w:rPr>
          <w:rFonts w:hint="eastAsia" w:ascii="宋体" w:hAnsi="宋体" w:eastAsia="宋体" w:cs="宋体"/>
          <w:bCs/>
          <w:color w:val="000000"/>
          <w:sz w:val="24"/>
          <w:szCs w:val="24"/>
        </w:rPr>
        <w:t>1080</w:t>
      </w:r>
      <w:r>
        <w:rPr>
          <w:rFonts w:hint="eastAsia" w:ascii="宋体" w:hAnsi="宋体" w:cs="宋体"/>
          <w:bCs/>
          <w:color w:val="000000"/>
          <w:sz w:val="24"/>
          <w:szCs w:val="24"/>
          <w:lang w:val="en-US" w:eastAsia="zh-CN"/>
        </w:rPr>
        <w:t>μ</w:t>
      </w:r>
    </w:p>
    <w:p>
      <w:pPr>
        <w:numPr>
          <w:ilvl w:val="0"/>
          <w:numId w:val="0"/>
        </w:numPr>
        <w:spacing w:line="360" w:lineRule="auto"/>
        <w:ind w:leftChars="0"/>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w:t>
      </w:r>
      <w:r>
        <w:rPr>
          <w:rFonts w:hint="eastAsia" w:ascii="宋体" w:hAnsi="宋体" w:cs="宋体"/>
          <w:bCs/>
          <w:color w:val="000000"/>
          <w:sz w:val="24"/>
          <w:szCs w:val="24"/>
          <w:lang w:val="en-US" w:eastAsia="zh-CN"/>
        </w:rPr>
        <w:t>2</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 xml:space="preserve">灵敏度: </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sz w:val="24"/>
          <w:lang w:eastAsia="zh-CN"/>
        </w:rPr>
        <w:t>（</w:t>
      </w:r>
      <w:r>
        <w:rPr>
          <w:rFonts w:hint="eastAsia" w:ascii="宋体" w:hAnsi="宋体"/>
          <w:sz w:val="24"/>
          <w:lang w:val="en-US" w:eastAsia="zh-CN"/>
        </w:rPr>
        <w:t>2.1）</w:t>
      </w:r>
      <w:r>
        <w:rPr>
          <w:rFonts w:hint="eastAsia" w:ascii="宋体" w:hAnsi="宋体" w:eastAsia="宋体" w:cs="宋体"/>
          <w:color w:val="000000"/>
          <w:sz w:val="24"/>
          <w:szCs w:val="24"/>
          <w:lang w:val="pt-BR"/>
        </w:rPr>
        <w:t>EI Scan(氦气)：1pg，八氟萘 OFN ，m/z 272，S/N ≥ 1800；须采用30米毛细柱进行验收。</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eastAsia="宋体" w:cs="宋体"/>
          <w:color w:val="000000"/>
          <w:sz w:val="24"/>
          <w:szCs w:val="24"/>
          <w:lang w:val="pt-BR"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pt-BR"/>
        </w:rPr>
        <w:t xml:space="preserve"> EI Scan（氢气）：1pg，八氟萘 OFN，m/z 272，S/N≥300；</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eastAsia="宋体" w:cs="宋体"/>
          <w:color w:val="000000"/>
          <w:sz w:val="24"/>
          <w:szCs w:val="24"/>
          <w:lang w:val="pt-BR"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pt-BR"/>
        </w:rPr>
        <w:t xml:space="preserve"> IDL（SIM）：IDL ≤10 fg（100 fg，OFN， 8次连续进样，272m/z，峰面积RSD 3.4%），</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eastAsia="宋体" w:cs="宋体"/>
          <w:color w:val="000000"/>
          <w:sz w:val="24"/>
          <w:szCs w:val="24"/>
          <w:lang w:val="pt-BR"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pt-BR"/>
        </w:rPr>
        <w:t xml:space="preserve"> IDL（高速扫描Scan）：IDL ≤500 fg（1pg，OFN，8次连续进样，272m/z，扫描速度20,000 </w:t>
      </w:r>
      <w:r>
        <w:rPr>
          <w:rFonts w:hint="eastAsia" w:ascii="宋体" w:hAnsi="宋体" w:cs="宋体"/>
          <w:color w:val="000000"/>
          <w:sz w:val="24"/>
          <w:szCs w:val="24"/>
          <w:lang w:val="en-US" w:eastAsia="zh-CN"/>
        </w:rPr>
        <w:t>μ</w:t>
      </w:r>
      <w:r>
        <w:rPr>
          <w:rFonts w:hint="eastAsia" w:ascii="宋体" w:hAnsi="宋体" w:eastAsia="宋体" w:cs="宋体"/>
          <w:color w:val="000000"/>
          <w:sz w:val="24"/>
          <w:szCs w:val="24"/>
          <w:lang w:val="pt-BR"/>
        </w:rPr>
        <w:t>/sec）</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eastAsia="宋体" w:cs="宋体"/>
          <w:color w:val="000000"/>
          <w:sz w:val="24"/>
          <w:szCs w:val="24"/>
          <w:lang w:val="pt-BR"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pt-BR"/>
        </w:rPr>
        <w:t>分辨率：单位分辨率</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eastAsia="宋体" w:cs="宋体"/>
          <w:color w:val="000000"/>
          <w:sz w:val="24"/>
          <w:szCs w:val="24"/>
          <w:lang w:val="pt-BR" w:eastAsia="zh-CN"/>
        </w:rPr>
        <w:t>（</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pt-BR"/>
        </w:rPr>
        <w:t>质量稳定性：≤±0.1</w:t>
      </w:r>
      <w:r>
        <w:rPr>
          <w:rFonts w:hint="eastAsia" w:ascii="宋体" w:hAnsi="宋体" w:cs="宋体"/>
          <w:color w:val="000000"/>
          <w:sz w:val="24"/>
          <w:szCs w:val="24"/>
          <w:lang w:val="en-US" w:eastAsia="zh-CN"/>
        </w:rPr>
        <w:t>μ</w:t>
      </w:r>
      <w:r>
        <w:rPr>
          <w:rFonts w:hint="eastAsia" w:ascii="宋体" w:hAnsi="宋体" w:eastAsia="宋体" w:cs="宋体"/>
          <w:color w:val="000000"/>
          <w:sz w:val="24"/>
          <w:szCs w:val="24"/>
          <w:lang w:val="pt-BR"/>
        </w:rPr>
        <w:t>/48小时 (恒温)</w:t>
      </w:r>
    </w:p>
    <w:p>
      <w:pPr>
        <w:numPr>
          <w:ilvl w:val="0"/>
          <w:numId w:val="0"/>
        </w:numPr>
        <w:spacing w:line="360" w:lineRule="auto"/>
        <w:ind w:leftChars="0"/>
        <w:outlineLvl w:val="9"/>
        <w:rPr>
          <w:rFonts w:hint="eastAsia" w:ascii="宋体" w:hAnsi="宋体" w:eastAsia="宋体" w:cs="宋体"/>
          <w:color w:val="000000"/>
          <w:sz w:val="24"/>
          <w:szCs w:val="24"/>
          <w:lang w:val="pt-BR"/>
        </w:rPr>
      </w:pPr>
      <w:r>
        <w:rPr>
          <w:rFonts w:hint="eastAsia" w:ascii="宋体" w:hAnsi="宋体" w:eastAsia="宋体" w:cs="宋体"/>
          <w:color w:val="000000"/>
          <w:sz w:val="24"/>
          <w:szCs w:val="24"/>
          <w:lang w:val="pt-BR" w:eastAsia="zh-CN"/>
        </w:rPr>
        <w:t>（</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pt-BR"/>
        </w:rPr>
        <w:t xml:space="preserve">最大扫描速度：18,000 </w:t>
      </w:r>
      <w:r>
        <w:rPr>
          <w:rFonts w:hint="eastAsia" w:ascii="宋体" w:hAnsi="宋体" w:cs="宋体"/>
          <w:color w:val="000000"/>
          <w:sz w:val="24"/>
          <w:szCs w:val="24"/>
          <w:lang w:val="en-US" w:eastAsia="zh-CN"/>
        </w:rPr>
        <w:t>μ</w:t>
      </w:r>
      <w:r>
        <w:rPr>
          <w:rFonts w:hint="eastAsia" w:ascii="宋体" w:hAnsi="宋体" w:eastAsia="宋体" w:cs="宋体"/>
          <w:color w:val="000000"/>
          <w:sz w:val="24"/>
          <w:szCs w:val="24"/>
          <w:lang w:val="pt-BR"/>
        </w:rPr>
        <w:t xml:space="preserve">/sec </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离子源</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EI源</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离子源材质：</w:t>
      </w:r>
      <w:r>
        <w:rPr>
          <w:rFonts w:hint="eastAsia" w:ascii="宋体" w:hAnsi="宋体" w:cs="宋体"/>
          <w:color w:val="000000"/>
          <w:sz w:val="24"/>
          <w:szCs w:val="24"/>
          <w:lang w:val="en-US" w:eastAsia="zh-CN"/>
        </w:rPr>
        <w:t>具有</w:t>
      </w:r>
      <w:r>
        <w:rPr>
          <w:rFonts w:hint="eastAsia" w:ascii="宋体" w:hAnsi="宋体" w:eastAsia="宋体" w:cs="宋体"/>
          <w:color w:val="000000"/>
          <w:sz w:val="24"/>
          <w:szCs w:val="24"/>
        </w:rPr>
        <w:t>屏蔽板设计的整体惰性化高灵敏度离子源</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离子化能量：10 ～ 180eV</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离子源温度：独立控温，140 ～ 300℃</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灯丝电流：5 ～ 200μA（发射电流）</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双灯丝设计</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GCMS 接口温度：50 ～ 300℃</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支持高灵敏度Smart EI/CI 复合离子源，无需更换离子源，即可获得EI质谱图和PCI质谱图；同时满足高灵敏度的EI模式下，实际目标物浓度10 ng/mL的痕量分析。</w:t>
      </w:r>
      <w:r>
        <w:rPr>
          <w:rFonts w:hint="eastAsia" w:ascii="宋体" w:hAnsi="宋体" w:cs="宋体"/>
          <w:color w:val="000000"/>
          <w:sz w:val="24"/>
          <w:szCs w:val="24"/>
          <w:lang w:eastAsia="zh-CN"/>
        </w:rPr>
        <w:t>（</w:t>
      </w:r>
      <w:r>
        <w:rPr>
          <w:rFonts w:hint="eastAsia" w:ascii="宋体" w:hAnsi="宋体" w:eastAsia="宋体" w:cs="宋体"/>
          <w:color w:val="000000"/>
          <w:sz w:val="24"/>
          <w:szCs w:val="24"/>
        </w:rPr>
        <w:t>提供证明</w:t>
      </w:r>
      <w:r>
        <w:rPr>
          <w:rFonts w:hint="eastAsia" w:ascii="宋体" w:hAnsi="宋体" w:cs="宋体"/>
          <w:color w:val="000000"/>
          <w:sz w:val="24"/>
          <w:szCs w:val="24"/>
          <w:lang w:val="en-US" w:eastAsia="zh-CN"/>
        </w:rPr>
        <w:t>材料）</w:t>
      </w:r>
      <w:r>
        <w:rPr>
          <w:rFonts w:hint="eastAsia" w:ascii="宋体" w:hAnsi="宋体" w:eastAsia="宋体" w:cs="宋体"/>
          <w:color w:val="000000"/>
          <w:sz w:val="24"/>
          <w:szCs w:val="24"/>
        </w:rPr>
        <w:t>。</w:t>
      </w:r>
    </w:p>
    <w:p>
      <w:pPr>
        <w:spacing w:line="360" w:lineRule="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质量分析器</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配备预四极的高精度全金属四极杆。</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eastAsia="宋体" w:cs="宋体"/>
          <w:color w:val="000000"/>
          <w:sz w:val="24"/>
          <w:szCs w:val="24"/>
        </w:rPr>
        <w:t>预四极可转动可清洗打磨，主四极杆可清洗打磨，预四极杆</w:t>
      </w:r>
      <w:r>
        <w:rPr>
          <w:rFonts w:hint="eastAsia" w:ascii="宋体" w:hAnsi="宋体" w:cs="宋体"/>
          <w:color w:val="000000"/>
          <w:sz w:val="24"/>
          <w:szCs w:val="24"/>
          <w:lang w:val="en-US" w:eastAsia="zh-CN"/>
        </w:rPr>
        <w:t>可</w:t>
      </w:r>
      <w:r>
        <w:rPr>
          <w:rFonts w:hint="eastAsia" w:ascii="宋体" w:hAnsi="宋体" w:eastAsia="宋体" w:cs="宋体"/>
          <w:color w:val="000000"/>
          <w:sz w:val="24"/>
          <w:szCs w:val="24"/>
        </w:rPr>
        <w:t>避免主四极杆及检测器的污染。</w:t>
      </w:r>
    </w:p>
    <w:p>
      <w:pPr>
        <w:widowControl w:val="0"/>
        <w:numPr>
          <w:ilvl w:val="0"/>
          <w:numId w:val="0"/>
        </w:numPr>
        <w:overflowPunct/>
        <w:autoSpaceDE/>
        <w:autoSpaceDN/>
        <w:adjustRightInd/>
        <w:spacing w:line="360" w:lineRule="auto"/>
        <w:ind w:leftChars="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四极杆具有自动优化加速功能：</w:t>
      </w:r>
      <w:r>
        <w:rPr>
          <w:rFonts w:hint="eastAsia" w:ascii="宋体" w:hAnsi="宋体" w:cs="宋体"/>
          <w:color w:val="000000"/>
          <w:sz w:val="24"/>
          <w:szCs w:val="24"/>
          <w:lang w:val="en-US" w:eastAsia="zh-CN"/>
        </w:rPr>
        <w:t>具有</w:t>
      </w:r>
      <w:r>
        <w:rPr>
          <w:rFonts w:hint="eastAsia" w:ascii="宋体" w:hAnsi="宋体" w:eastAsia="宋体" w:cs="宋体"/>
          <w:color w:val="000000"/>
          <w:sz w:val="24"/>
          <w:szCs w:val="24"/>
        </w:rPr>
        <w:t>高质量端离子的自动电场补偿技术，提升离子通过四极杆的速度</w:t>
      </w:r>
      <w:r>
        <w:rPr>
          <w:rFonts w:hint="eastAsia" w:ascii="宋体" w:hAnsi="宋体" w:eastAsia="宋体" w:cs="宋体"/>
          <w:color w:val="000000"/>
          <w:sz w:val="24"/>
          <w:szCs w:val="24"/>
          <w:lang w:eastAsia="zh-CN"/>
        </w:rPr>
        <w:t>。</w:t>
      </w:r>
    </w:p>
    <w:p>
      <w:pPr>
        <w:widowControl w:val="0"/>
        <w:numPr>
          <w:ilvl w:val="0"/>
          <w:numId w:val="0"/>
        </w:numPr>
        <w:overflowPunct/>
        <w:autoSpaceDE/>
        <w:autoSpaceDN/>
        <w:adjustRightInd/>
        <w:spacing w:line="360" w:lineRule="auto"/>
        <w:ind w:left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四极杆无需控温即可实现0.1amu/48h稳定。</w:t>
      </w:r>
    </w:p>
    <w:p>
      <w:pPr>
        <w:spacing w:line="360" w:lineRule="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扫描功能:</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扫描功能：支持全扫描模式(Scan)、选择离子扫描模式(SIM)以及Scan/SIM同时扫描模式。</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在SIM模式下，支持</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64通道 x 128 组。</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检测系统</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二次电子倍增管，配备偏转透镜（Overdrive Lens）和±10kV转换打拿。</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cs="宋体"/>
          <w:color w:val="000000"/>
          <w:sz w:val="24"/>
          <w:szCs w:val="24"/>
          <w:lang w:val="en-US" w:eastAsia="zh-CN"/>
        </w:rPr>
        <w:t>（2）具有</w:t>
      </w:r>
      <w:r>
        <w:rPr>
          <w:rFonts w:hint="eastAsia" w:ascii="宋体" w:hAnsi="宋体" w:eastAsia="宋体" w:cs="宋体"/>
          <w:color w:val="000000"/>
          <w:sz w:val="24"/>
          <w:szCs w:val="24"/>
        </w:rPr>
        <w:t>离轴连续打拿电子倍增器</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动态范围：</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5×10</w:t>
      </w:r>
      <w:r>
        <w:rPr>
          <w:rFonts w:hint="eastAsia" w:ascii="宋体" w:hAnsi="宋体" w:eastAsia="宋体" w:cs="宋体"/>
          <w:color w:val="000000"/>
          <w:sz w:val="24"/>
          <w:szCs w:val="24"/>
          <w:vertAlign w:val="superscript"/>
        </w:rPr>
        <w:t>6</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真空系统</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eastAsia="宋体" w:cs="宋体"/>
          <w:color w:val="000000"/>
          <w:sz w:val="24"/>
          <w:szCs w:val="24"/>
        </w:rPr>
        <w:t xml:space="preserve">高真空：双入口差动式涡轮分子泵排气系统，180L/sec +180L/sec </w:t>
      </w:r>
      <w:r>
        <w:rPr>
          <w:rFonts w:hint="eastAsia" w:ascii="宋体" w:hAnsi="宋体" w:cs="宋体"/>
          <w:color w:val="000000"/>
          <w:sz w:val="24"/>
          <w:szCs w:val="24"/>
          <w:lang w:eastAsia="zh-CN"/>
        </w:rPr>
        <w:t>（</w:t>
      </w:r>
      <w:r>
        <w:rPr>
          <w:rFonts w:hint="eastAsia" w:ascii="宋体" w:hAnsi="宋体" w:eastAsia="宋体" w:cs="宋体"/>
          <w:color w:val="000000"/>
          <w:sz w:val="24"/>
          <w:szCs w:val="24"/>
        </w:rPr>
        <w:t>提供涡轮分子泵抽力的证明图片</w:t>
      </w:r>
      <w:r>
        <w:rPr>
          <w:rFonts w:hint="eastAsia" w:ascii="宋体" w:hAnsi="宋体" w:cs="宋体"/>
          <w:color w:val="000000"/>
          <w:sz w:val="24"/>
          <w:szCs w:val="24"/>
          <w:lang w:eastAsia="zh-CN"/>
        </w:rPr>
        <w:t>）</w:t>
      </w:r>
      <w:r>
        <w:rPr>
          <w:rFonts w:hint="eastAsia" w:ascii="宋体" w:hAnsi="宋体" w:eastAsia="宋体" w:cs="宋体"/>
          <w:color w:val="000000"/>
          <w:sz w:val="24"/>
          <w:szCs w:val="24"/>
        </w:rPr>
        <w:t>，以及应用证明（更换离子源后抽真空50分钟后，仪器恢复到分析状态）</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低真空：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30L/min（60Hz）机械泵。</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标准配备皮拉尼真空规、离子规（软件直接监测高真空和低真空）。</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柱流量</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15mL/min（He），可直接连接</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0.5mm内径的色谱柱。</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支持双柱双流路系统（Twin Line system），两个柱流量控制系统均采用流量控制单元。</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eastAsia="宋体" w:cs="宋体"/>
          <w:color w:val="000000"/>
          <w:sz w:val="24"/>
          <w:szCs w:val="24"/>
        </w:rPr>
        <w:t>支持使用氢气、氮气作为载气，无需更换任何部件。</w:t>
      </w:r>
    </w:p>
    <w:p>
      <w:pPr>
        <w:spacing w:line="360" w:lineRule="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  气相色谱部分</w:t>
      </w:r>
    </w:p>
    <w:p>
      <w:pPr>
        <w:numPr>
          <w:ilvl w:val="0"/>
          <w:numId w:val="0"/>
        </w:numPr>
        <w:spacing w:line="360" w:lineRule="auto"/>
        <w:ind w:leftChars="0"/>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2.1</w:t>
      </w:r>
      <w:r>
        <w:rPr>
          <w:rFonts w:hint="eastAsia" w:ascii="宋体" w:hAnsi="宋体" w:eastAsia="宋体" w:cs="宋体"/>
          <w:bCs/>
          <w:color w:val="000000"/>
          <w:sz w:val="24"/>
          <w:szCs w:val="24"/>
        </w:rPr>
        <w:t xml:space="preserve">  快速加热和冷却的柱温箱</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2.1.1</w:t>
      </w:r>
      <w:r>
        <w:rPr>
          <w:rFonts w:hint="eastAsia" w:ascii="宋体" w:hAnsi="宋体" w:eastAsia="宋体" w:cs="宋体"/>
          <w:color w:val="000000"/>
          <w:sz w:val="24"/>
          <w:szCs w:val="24"/>
        </w:rPr>
        <w:t>柱箱温度：室温以上3℃ ～ 450℃（使用液态CO</w:t>
      </w:r>
      <w:r>
        <w:rPr>
          <w:rFonts w:hint="eastAsia" w:ascii="宋体" w:hAnsi="宋体" w:cs="宋体"/>
          <w:color w:val="000000"/>
          <w:sz w:val="24"/>
          <w:szCs w:val="24"/>
          <w:lang w:val="en-US" w:eastAsia="zh-CN"/>
        </w:rPr>
        <w:t>²</w:t>
      </w:r>
      <w:r>
        <w:rPr>
          <w:rFonts w:hint="eastAsia" w:ascii="宋体" w:hAnsi="宋体" w:eastAsia="宋体" w:cs="宋体"/>
          <w:color w:val="000000"/>
          <w:sz w:val="24"/>
          <w:szCs w:val="24"/>
        </w:rPr>
        <w:t>时可达-45℃）；</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 xml:space="preserve"> 程序升温：27阶28平台；</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 xml:space="preserve"> 可设定升温速率：</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±180℃/min；</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2.1.4</w:t>
      </w:r>
      <w:r>
        <w:rPr>
          <w:rFonts w:hint="eastAsia" w:ascii="宋体" w:hAnsi="宋体" w:eastAsia="宋体" w:cs="宋体"/>
          <w:color w:val="000000"/>
          <w:sz w:val="24"/>
          <w:szCs w:val="24"/>
        </w:rPr>
        <w:t>温度设定精度：0.1℃；</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2.1.5</w:t>
      </w:r>
      <w:r>
        <w:rPr>
          <w:rFonts w:hint="eastAsia" w:ascii="宋体" w:hAnsi="宋体" w:eastAsia="宋体" w:cs="宋体"/>
          <w:color w:val="000000"/>
          <w:sz w:val="24"/>
          <w:szCs w:val="24"/>
        </w:rPr>
        <w:t xml:space="preserve"> 控温精度：设定值(K) ± 1% (可校准至0.01℃)；</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1.6  温度稳定性：周围温度每变化1℃，柱温箱温度变化</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0.01℃；</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.1.7  冷却速度：从 450 降到 50℃ ≤3.5min（210s）；</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.1.8  具有柱温箱温度的自动保护功能；</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.1.9  最大运行时间：</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9000分钟；</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.1.10 气相色谱主机采用</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7英寸的彩色触摸屏进行操控。</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.1.11 柱温箱可升级配置氢气传感器，其具有氢气漏气报警功能，可实时监控泄漏。</w:t>
      </w:r>
    </w:p>
    <w:p>
      <w:pPr>
        <w:spacing w:line="360" w:lineRule="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.1.12 具有一键设置柱温箱降温速率功能，可依据不同色谱柱自由设置降温速率</w:t>
      </w:r>
      <w:r>
        <w:rPr>
          <w:rFonts w:hint="eastAsia" w:ascii="宋体" w:hAnsi="宋体" w:cs="宋体"/>
          <w:color w:val="000000"/>
          <w:sz w:val="24"/>
          <w:szCs w:val="24"/>
          <w:lang w:eastAsia="zh-CN"/>
        </w:rPr>
        <w:t>。</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.1.13 柱温箱内置耐高温智能灯，柱箱门开启时自动点亮，照亮柱箱内空间方便安装和更换色谱柱。</w:t>
      </w:r>
    </w:p>
    <w:p>
      <w:pPr>
        <w:spacing w:line="360" w:lineRule="auto"/>
        <w:outlineLvl w:val="9"/>
        <w:rPr>
          <w:rFonts w:hint="eastAsia" w:ascii="宋体" w:hAnsi="宋体" w:eastAsia="宋体" w:cs="宋体"/>
          <w:bCs/>
          <w:color w:val="000000"/>
          <w:sz w:val="24"/>
          <w:szCs w:val="24"/>
        </w:rPr>
      </w:pPr>
      <w:r>
        <w:rPr>
          <w:rFonts w:hint="eastAsia" w:ascii="宋体" w:hAnsi="宋体" w:eastAsia="宋体" w:cs="宋体"/>
          <w:color w:val="000000"/>
          <w:sz w:val="24"/>
          <w:szCs w:val="24"/>
          <w:lang w:val="en-US" w:eastAsia="zh-CN"/>
        </w:rPr>
        <w:t>2.2</w:t>
      </w:r>
      <w:r>
        <w:rPr>
          <w:rFonts w:hint="eastAsia" w:ascii="宋体" w:hAnsi="宋体" w:eastAsia="宋体" w:cs="宋体"/>
          <w:bCs/>
          <w:color w:val="000000"/>
          <w:sz w:val="24"/>
          <w:szCs w:val="24"/>
        </w:rPr>
        <w:t xml:space="preserve">   </w:t>
      </w:r>
      <w:r>
        <w:rPr>
          <w:rFonts w:hint="eastAsia" w:ascii="宋体" w:hAnsi="宋体" w:cs="宋体"/>
          <w:bCs/>
          <w:color w:val="000000"/>
          <w:sz w:val="24"/>
          <w:szCs w:val="24"/>
          <w:lang w:val="en-US" w:eastAsia="zh-CN"/>
        </w:rPr>
        <w:t>具有</w:t>
      </w:r>
      <w:r>
        <w:rPr>
          <w:rFonts w:hint="eastAsia" w:ascii="宋体" w:hAnsi="宋体" w:eastAsia="宋体" w:cs="宋体"/>
          <w:bCs/>
          <w:color w:val="000000"/>
          <w:sz w:val="24"/>
          <w:szCs w:val="24"/>
        </w:rPr>
        <w:t>分流/不分流进样口</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最高温度：</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4</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0℃；</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(2) </w:t>
      </w:r>
      <w:r>
        <w:rPr>
          <w:rFonts w:hint="eastAsia" w:ascii="宋体" w:hAnsi="宋体" w:eastAsia="宋体" w:cs="宋体"/>
          <w:color w:val="000000"/>
          <w:sz w:val="24"/>
          <w:szCs w:val="24"/>
        </w:rPr>
        <w:t>配备全自动电子流量控制系统，具备室温补偿和自动环境补偿功能；支持恒流，恒</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压，程序增加流速，程序升压及压力脉冲等操作模式以及恒线速度控制功能</w:t>
      </w:r>
      <w:r>
        <w:rPr>
          <w:rFonts w:hint="eastAsia" w:ascii="宋体" w:hAnsi="宋体" w:cs="宋体"/>
          <w:color w:val="000000"/>
          <w:sz w:val="24"/>
          <w:szCs w:val="24"/>
          <w:lang w:eastAsia="zh-CN"/>
        </w:rPr>
        <w:t>。</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标准配备载气节省模式；</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进样口标配徒手无需任何工具1秒内即可完成进样口的打开或关闭，仪器自动感知最佳气密位置；</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压力设定范围：0 ～ </w:t>
      </w:r>
      <w:r>
        <w:rPr>
          <w:rFonts w:hint="eastAsia" w:ascii="宋体" w:hAnsi="宋体" w:cs="宋体"/>
          <w:color w:val="000000"/>
          <w:sz w:val="24"/>
          <w:szCs w:val="24"/>
          <w:lang w:val="en-US" w:eastAsia="zh-CN"/>
        </w:rPr>
        <w:t>1000</w:t>
      </w:r>
      <w:r>
        <w:rPr>
          <w:rFonts w:hint="eastAsia" w:ascii="宋体" w:hAnsi="宋体" w:eastAsia="宋体" w:cs="宋体"/>
          <w:color w:val="000000"/>
          <w:sz w:val="24"/>
          <w:szCs w:val="24"/>
        </w:rPr>
        <w:t>kPa；</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压力控制精度：0.001psi；</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压力程序比率设定范围：-400 ～ 400kPa/min；</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压力程序：</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6阶；</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分流比设定范围：0 ～ 9000；</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流量设定范围：0 ～ 1280mL/min，He；0 ～ 550mL/min，N</w:t>
      </w:r>
      <w:r>
        <w:rPr>
          <w:rFonts w:hint="eastAsia" w:ascii="宋体" w:hAnsi="宋体" w:eastAsia="宋体" w:cs="宋体"/>
          <w:color w:val="000000"/>
          <w:sz w:val="24"/>
          <w:szCs w:val="24"/>
          <w:vertAlign w:val="subscript"/>
        </w:rPr>
        <w:t>2</w:t>
      </w:r>
    </w:p>
    <w:p>
      <w:pPr>
        <w:numPr>
          <w:ilvl w:val="0"/>
          <w:numId w:val="0"/>
        </w:numPr>
        <w:spacing w:line="360" w:lineRule="auto"/>
        <w:ind w:leftChars="0"/>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2.3  </w:t>
      </w:r>
      <w:r>
        <w:rPr>
          <w:rFonts w:hint="eastAsia" w:ascii="宋体" w:hAnsi="宋体" w:eastAsia="宋体" w:cs="宋体"/>
          <w:bCs/>
          <w:color w:val="000000"/>
          <w:sz w:val="24"/>
          <w:szCs w:val="24"/>
        </w:rPr>
        <w:t>自动进样器单元</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样品位：≥150位样品盘；</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xml:space="preserve">进样量范围：0.1~150 </w:t>
      </w:r>
      <w:r>
        <w:rPr>
          <w:rFonts w:hint="eastAsia" w:ascii="宋体" w:hAnsi="宋体" w:cs="宋体"/>
          <w:color w:val="000000"/>
          <w:sz w:val="24"/>
          <w:szCs w:val="24"/>
          <w:lang w:val="en-US" w:eastAsia="zh-CN"/>
        </w:rPr>
        <w:t>μ</w:t>
      </w:r>
      <w:r>
        <w:rPr>
          <w:rFonts w:hint="eastAsia" w:ascii="宋体" w:hAnsi="宋体" w:eastAsia="宋体" w:cs="宋体"/>
          <w:color w:val="000000"/>
          <w:sz w:val="24"/>
          <w:szCs w:val="24"/>
        </w:rPr>
        <w:t>L，10μl 注射器以0.1μl 步进；</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交叉污染：</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10</w:t>
      </w:r>
      <w:r>
        <w:rPr>
          <w:rFonts w:hint="eastAsia" w:ascii="宋体" w:hAnsi="宋体" w:eastAsia="宋体" w:cs="宋体"/>
          <w:color w:val="000000"/>
          <w:sz w:val="24"/>
          <w:szCs w:val="24"/>
          <w:vertAlign w:val="superscript"/>
        </w:rPr>
        <w:t>-4</w:t>
      </w:r>
      <w:r>
        <w:rPr>
          <w:rFonts w:hint="eastAsia" w:ascii="宋体" w:hAnsi="宋体" w:eastAsia="宋体" w:cs="宋体"/>
          <w:color w:val="000000"/>
          <w:sz w:val="24"/>
          <w:szCs w:val="24"/>
        </w:rPr>
        <w:t xml:space="preserve"> (使用4种溶剂清洗, 测定正己烷中1% 联苯)</w:t>
      </w:r>
    </w:p>
    <w:p>
      <w:pPr>
        <w:numPr>
          <w:ilvl w:val="0"/>
          <w:numId w:val="0"/>
        </w:numPr>
        <w:spacing w:line="360" w:lineRule="auto"/>
        <w:ind w:leftChars="0"/>
        <w:outlineLvl w:val="9"/>
        <w:rPr>
          <w:rFonts w:hint="eastAsia" w:ascii="宋体" w:hAnsi="宋体" w:eastAsia="宋体" w:cs="宋体"/>
          <w:strike/>
          <w:dstrike w:val="0"/>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具有样品优先模式：当进行样品批处理进样时, 可对某样品进行优先进样设定</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完成批处理设定。</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保留时间重复性：</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0.001min</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峰面积重复性：</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 RSD</w:t>
      </w:r>
    </w:p>
    <w:p>
      <w:pPr>
        <w:spacing w:line="360" w:lineRule="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、数据处理系统</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color w:val="000000"/>
          <w:sz w:val="24"/>
          <w:szCs w:val="24"/>
        </w:rPr>
        <w:t>数据处理系统支持Scan，SIM和FASST（快速自动Scan/SIM同时扫描）数据采集方式。采用一体化的数据结构，利用定量浏览器和数据浏览器可方便的进行分析操作和信息追溯，满足GLP操作规范。</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3.2</w:t>
      </w:r>
      <w:r>
        <w:rPr>
          <w:rFonts w:hint="eastAsia" w:ascii="宋体" w:hAnsi="宋体" w:eastAsia="宋体" w:cs="宋体"/>
          <w:color w:val="000000"/>
          <w:sz w:val="24"/>
          <w:szCs w:val="24"/>
        </w:rPr>
        <w:t xml:space="preserve"> 支持自动创建SIM表和基于保留指数的保留时间自动校正功能，支持单次分析</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400种化合物。以提供一针分析400种以上的应用文献为优。</w:t>
      </w:r>
    </w:p>
    <w:p>
      <w:pPr>
        <w:pStyle w:val="88"/>
        <w:numPr>
          <w:ilvl w:val="0"/>
          <w:numId w:val="0"/>
        </w:numPr>
        <w:overflowPunct/>
        <w:autoSpaceDE/>
        <w:autoSpaceDN/>
        <w:adjustRightInd/>
        <w:snapToGrid w:val="0"/>
        <w:spacing w:line="360" w:lineRule="auto"/>
        <w:ind w:leftChars="0"/>
        <w:jc w:val="both"/>
        <w:textAlignment w:val="auto"/>
        <w:outlineLvl w:val="9"/>
        <w:rPr>
          <w:rFonts w:hint="eastAsia" w:ascii="宋体" w:hAnsi="宋体" w:eastAsia="宋体" w:cs="宋体"/>
          <w:color w:val="000000"/>
          <w:sz w:val="24"/>
          <w:szCs w:val="24"/>
        </w:rPr>
      </w:pPr>
      <w:r>
        <w:rPr>
          <w:rFonts w:hint="eastAsia" w:ascii="宋体" w:hAnsi="宋体"/>
          <w:sz w:val="24"/>
          <w:lang w:val="en-US" w:eastAsia="zh-CN"/>
        </w:rPr>
        <w:t>3.3</w:t>
      </w:r>
      <w:r>
        <w:rPr>
          <w:rFonts w:hint="eastAsia" w:ascii="宋体" w:hAnsi="宋体" w:eastAsia="宋体" w:cs="宋体"/>
          <w:color w:val="000000"/>
          <w:sz w:val="24"/>
          <w:szCs w:val="24"/>
        </w:rPr>
        <w:t>提供农药残留、邻苯二甲酸酯、多环芳烃等3个版本的Smart SIM分析方法包，涵盖</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12个方法条件、</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540种化合物的中英文名称、CAS号和保留指数、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1700个SIM参数、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个分组，完美应对食品、纺织品、环境、玩具检测中的11个国家/行业标准。可提供Smart SIM数据库光盘，提供Smart SIM数据库证明材料</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rPr>
        <w:t xml:space="preserve"> 支持NIST库，Wiley库，同时还有多种基于保留指数开发的方法包和数据库，如Compound Composer快速筛查数据库，代谢物分析数据库，农药分析方法包，水质分析方法包，农药谱库，香精香料谱库，法医毒品数据库，EPA分析软件，VOC分析软件等。以上谱库均支持带保留指数的相似度检索（LRI），帮助用户在没有标准品的情况下对未知物进行更为准确的定性。支持通用谱库和自建谱库功能。</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 xml:space="preserve"> 具有相似度检索，指定条件的相似度检索，反检索，索引查询等功能。</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3.6</w:t>
      </w:r>
      <w:r>
        <w:rPr>
          <w:rFonts w:hint="eastAsia" w:ascii="宋体" w:hAnsi="宋体" w:eastAsia="宋体" w:cs="宋体"/>
          <w:color w:val="000000"/>
          <w:sz w:val="24"/>
          <w:szCs w:val="24"/>
        </w:rPr>
        <w:t xml:space="preserve"> 具有高度灵活的报告制作功能，各种类型的模板文件快捷选用，并支持自建模板。测定数据能够以AIA，JCAMP，ASCII，mzData或mzXML形式转换输出，自建谱库也可转换为JCAMP格式，强化与NIST提供的AMDIS程序的联合使用。</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3.7</w:t>
      </w:r>
      <w:r>
        <w:rPr>
          <w:rFonts w:hint="eastAsia" w:ascii="宋体" w:hAnsi="宋体" w:eastAsia="宋体" w:cs="宋体"/>
          <w:color w:val="000000"/>
          <w:sz w:val="24"/>
          <w:szCs w:val="24"/>
        </w:rPr>
        <w:t xml:space="preserve"> 具有高精度控制QA/QC功能，支持自动计算信噪比、精密度、回收率、检出限等方法学指标，仪器系统检查功能和用户安全管理功能。</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3.8</w:t>
      </w:r>
      <w:r>
        <w:rPr>
          <w:rFonts w:hint="eastAsia" w:ascii="宋体" w:hAnsi="宋体" w:eastAsia="宋体" w:cs="宋体"/>
          <w:color w:val="000000"/>
          <w:sz w:val="24"/>
          <w:szCs w:val="24"/>
        </w:rPr>
        <w:t xml:space="preserve"> 可通过网络式CDS（数据管理系统）进行软件远程控制和人机分离模式操作。</w:t>
      </w:r>
    </w:p>
    <w:p>
      <w:pPr>
        <w:numPr>
          <w:ilvl w:val="0"/>
          <w:numId w:val="0"/>
        </w:numPr>
        <w:spacing w:line="360" w:lineRule="auto"/>
        <w:ind w:leftChars="0"/>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3.9</w:t>
      </w:r>
      <w:r>
        <w:rPr>
          <w:rFonts w:hint="eastAsia" w:ascii="宋体" w:hAnsi="宋体" w:eastAsia="宋体" w:cs="宋体"/>
          <w:color w:val="000000"/>
          <w:sz w:val="24"/>
          <w:szCs w:val="24"/>
        </w:rPr>
        <w:t xml:space="preserve"> 具有安全性策略、系统策略、用户权限和用户管理、审核追踪等功能，完全符合GXP和FDA 21 CFR Part11或厚生劳动省相关法规的要求。</w:t>
      </w:r>
    </w:p>
    <w:p>
      <w:pPr>
        <w:spacing w:line="360" w:lineRule="auto"/>
        <w:outlineLvl w:val="9"/>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10 支持不停机进样口维护功能（用户无需停止真空系统即可进行进样口的维护）。</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11快速进样口维护功能：与质谱联机时可以在不卸真空的情况下更换进样垫和衬管，进行进样口维护。配备生态学模式，有效降低耗电量与装置的运行成本，并可在批处理完成后自动运行。</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12支持智能钟功能。系统启动后真空状态、调谐结果自动判定，无需人为确认即可直接开始分析工作，序列运行、维护时间直观显示，便于用户合理工作时间，提升工作效率。</w:t>
      </w:r>
    </w:p>
    <w:p>
      <w:pPr>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.13 多种附件可供选择，可接入吹扫捕集仪、固相萃取仪（可大体积上样）、顶空自动进样器、热解吸仪等前处理设备。</w:t>
      </w:r>
    </w:p>
    <w:p>
      <w:pPr>
        <w:spacing w:line="360" w:lineRule="auto"/>
        <w:outlineLvl w:val="9"/>
        <w:rPr>
          <w:rFonts w:hint="eastAsia" w:ascii="宋体" w:hAnsi="宋体" w:eastAsia="宋体" w:cs="宋体"/>
          <w:bCs/>
          <w:iCs/>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bCs/>
          <w:iCs/>
          <w:color w:val="000000"/>
          <w:sz w:val="24"/>
          <w:szCs w:val="24"/>
        </w:rPr>
        <w:t>计算机系统：电脑配置：CPU性能≥Intel 酷睿 i5 10代，≥16G内存，硬盘≥1TB，显示器≥27英寸，网口数量≥2个，USB3.0≥2个，USB2.0≥4个，键盘：标准键盘，具有防水功能，操作系统：预装Windows 10正版；</w:t>
      </w:r>
      <w:r>
        <w:rPr>
          <w:rFonts w:hint="eastAsia" w:ascii="宋体" w:hAnsi="宋体" w:eastAsia="宋体" w:cs="宋体"/>
          <w:bCs/>
          <w:color w:val="000000"/>
          <w:sz w:val="24"/>
          <w:szCs w:val="24"/>
        </w:rPr>
        <w:t>A4黑白激光打印机</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可双面打印）</w:t>
      </w:r>
      <w:r>
        <w:rPr>
          <w:rFonts w:hint="eastAsia" w:ascii="宋体" w:hAnsi="宋体" w:eastAsia="宋体" w:cs="宋体"/>
          <w:bCs/>
          <w:color w:val="000000"/>
          <w:sz w:val="24"/>
          <w:szCs w:val="24"/>
        </w:rPr>
        <w:t>。</w:t>
      </w:r>
    </w:p>
    <w:p>
      <w:pPr>
        <w:spacing w:line="360" w:lineRule="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  基本配置</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GC主机1套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MS主机 1套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质谱用毛细管-5ms 0.25mmx0.25umx30m1根 </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最新2020版NIST谱库1套</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50位自动进样器1套</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两年用消耗品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双头扳手 4只</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镊子1只</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螺丝刀2只</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毛细管柱切割工具1只</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柱接头G 型空螺母 （2个包装）1包</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自动进样器微量注射针1只</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最低流失进样垫 （50个包装）1包</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聚胺酯压环，0.25mm柱用 （10个包装）1包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聚胺酯压环，0.32mm柱用 （10个包装）1包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氟橡胶O型圈 衬管用（10个包装）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最高使用温度为300℃1包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惰性化带石英棉分流衬管 （5个包装）1包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惰性化带石英棉不分流衬管（5个包装）1包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柱接头螺母 （5个包装）1包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用分流流路过滤器1套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金垫片（1个包装）1包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灯丝2只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铝垫片 （100个包装）1包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离子源清洗砂布，带切口1包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氦气过滤装置1套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1ml样品瓶100只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4ml样品瓶50只</w:t>
      </w:r>
    </w:p>
    <w:p>
      <w:pPr>
        <w:numPr>
          <w:ilvl w:val="0"/>
          <w:numId w:val="0"/>
        </w:numPr>
        <w:spacing w:line="360" w:lineRule="auto"/>
        <w:ind w:left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原厂软件1套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电脑及打印机1套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氦气钢瓶及减压阀 1套</w:t>
      </w:r>
    </w:p>
    <w:p>
      <w:pPr>
        <w:spacing w:line="360" w:lineRule="auto"/>
        <w:outlineLvl w:val="9"/>
        <w:rPr>
          <w:rFonts w:hint="eastAsia" w:ascii="宋体" w:hAnsi="宋体" w:eastAsia="宋体" w:cs="宋体"/>
          <w:strike/>
          <w:dstrike w:val="0"/>
          <w:color w:val="000000"/>
          <w:sz w:val="24"/>
          <w:szCs w:val="24"/>
        </w:rPr>
      </w:pPr>
    </w:p>
    <w:p>
      <w:pPr>
        <w:pStyle w:val="33"/>
        <w:spacing w:line="360" w:lineRule="auto"/>
        <w:ind w:firstLine="0" w:firstLineChars="0"/>
        <w:jc w:val="both"/>
        <w:outlineLvl w:val="9"/>
        <w:rPr>
          <w:rFonts w:hint="eastAsia" w:ascii="宋体" w:hAnsi="宋体" w:eastAsia="宋体" w:cs="宋体"/>
          <w:bCs/>
          <w:strike/>
          <w:dstrike w:val="0"/>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原子荧光分光光度计技术参数</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、主要技术参数</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.1用于样品中 As、Sb、Bi、Se、Te、Sn、Pb、Hg、Cd、Ge、Zn、Au十二种元素的痕量分析。</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.2检出限（DL）：As、Se、Pb、Bi、Sb、Te、Sn:</w:t>
      </w:r>
      <w:r>
        <w:rPr>
          <w:rFonts w:hint="eastAsia" w:ascii="宋体" w:hAnsi="宋体" w:cs="宋体"/>
          <w:bCs/>
          <w:sz w:val="24"/>
          <w:szCs w:val="24"/>
          <w:lang w:val="en-US" w:eastAsia="zh-CN"/>
        </w:rPr>
        <w:t>≤</w:t>
      </w:r>
      <w:r>
        <w:rPr>
          <w:rFonts w:hint="eastAsia" w:ascii="宋体" w:hAnsi="宋体" w:eastAsia="宋体" w:cs="宋体"/>
          <w:bCs/>
          <w:sz w:val="24"/>
          <w:szCs w:val="24"/>
        </w:rPr>
        <w:t>0.01µg/L；</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 xml:space="preserve">  Hg、Cd: </w:t>
      </w:r>
      <w:r>
        <w:rPr>
          <w:rFonts w:hint="eastAsia" w:ascii="宋体" w:hAnsi="宋体" w:cs="宋体"/>
          <w:bCs/>
          <w:sz w:val="24"/>
          <w:szCs w:val="24"/>
          <w:lang w:val="en-US" w:eastAsia="zh-CN"/>
        </w:rPr>
        <w:t>≤</w:t>
      </w:r>
      <w:r>
        <w:rPr>
          <w:rFonts w:hint="eastAsia" w:ascii="宋体" w:hAnsi="宋体" w:eastAsia="宋体" w:cs="宋体"/>
          <w:bCs/>
          <w:sz w:val="24"/>
          <w:szCs w:val="24"/>
        </w:rPr>
        <w:t xml:space="preserve">0.001µg/L；  Ge: </w:t>
      </w:r>
      <w:r>
        <w:rPr>
          <w:rFonts w:hint="eastAsia" w:ascii="宋体" w:hAnsi="宋体" w:cs="宋体"/>
          <w:bCs/>
          <w:sz w:val="24"/>
          <w:szCs w:val="24"/>
          <w:lang w:val="en-US" w:eastAsia="zh-CN"/>
        </w:rPr>
        <w:t>≤</w:t>
      </w:r>
      <w:r>
        <w:rPr>
          <w:rFonts w:hint="eastAsia" w:ascii="宋体" w:hAnsi="宋体" w:eastAsia="宋体" w:cs="宋体"/>
          <w:bCs/>
          <w:sz w:val="24"/>
          <w:szCs w:val="24"/>
        </w:rPr>
        <w:t xml:space="preserve">0.05µg/L； Zn: </w:t>
      </w:r>
      <w:r>
        <w:rPr>
          <w:rFonts w:hint="eastAsia" w:ascii="宋体" w:hAnsi="宋体" w:cs="宋体"/>
          <w:bCs/>
          <w:sz w:val="24"/>
          <w:szCs w:val="24"/>
          <w:lang w:val="en-US" w:eastAsia="zh-CN"/>
        </w:rPr>
        <w:t>≤</w:t>
      </w:r>
      <w:r>
        <w:rPr>
          <w:rFonts w:hint="eastAsia" w:ascii="宋体" w:hAnsi="宋体" w:eastAsia="宋体" w:cs="宋体"/>
          <w:bCs/>
          <w:sz w:val="24"/>
          <w:szCs w:val="24"/>
        </w:rPr>
        <w:t>&lt;1.0µg/L；   Au:</w:t>
      </w:r>
      <w:r>
        <w:rPr>
          <w:rFonts w:hint="eastAsia" w:ascii="宋体" w:hAnsi="宋体" w:cs="宋体"/>
          <w:bCs/>
          <w:sz w:val="24"/>
          <w:szCs w:val="24"/>
          <w:lang w:val="en-US" w:eastAsia="zh-CN"/>
        </w:rPr>
        <w:t>≤</w:t>
      </w:r>
      <w:r>
        <w:rPr>
          <w:rFonts w:hint="eastAsia" w:ascii="宋体" w:hAnsi="宋体" w:eastAsia="宋体" w:cs="宋体"/>
          <w:bCs/>
          <w:sz w:val="24"/>
          <w:szCs w:val="24"/>
        </w:rPr>
        <w:t>3.0µg/L；</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.3测量精度： RSD≤0.7％</w:t>
      </w:r>
    </w:p>
    <w:p>
      <w:pPr>
        <w:tabs>
          <w:tab w:val="left" w:pos="997"/>
          <w:tab w:val="left" w:pos="8522"/>
        </w:tabs>
        <w:adjustRightInd w:val="0"/>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.4灯位设计：固定式，平面三灯位设计，免调灯设计。</w:t>
      </w:r>
    </w:p>
    <w:p>
      <w:pPr>
        <w:tabs>
          <w:tab w:val="left" w:pos="997"/>
          <w:tab w:val="left" w:pos="8522"/>
        </w:tabs>
        <w:adjustRightInd w:val="0"/>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.5自动进样器：单个样品盘</w:t>
      </w:r>
      <w:r>
        <w:rPr>
          <w:rFonts w:hint="eastAsia" w:ascii="宋体" w:hAnsi="宋体" w:eastAsia="宋体" w:cs="宋体"/>
          <w:bCs/>
          <w:kern w:val="21"/>
          <w:sz w:val="24"/>
          <w:szCs w:val="24"/>
        </w:rPr>
        <w:t>≧25</w:t>
      </w:r>
      <w:r>
        <w:rPr>
          <w:rFonts w:hint="eastAsia" w:ascii="宋体" w:hAnsi="宋体" w:eastAsia="宋体" w:cs="宋体"/>
          <w:bCs/>
          <w:kern w:val="21"/>
          <w:sz w:val="24"/>
          <w:szCs w:val="24"/>
          <w:lang w:val="en-US" w:eastAsia="zh-CN"/>
        </w:rPr>
        <w:t>0</w:t>
      </w:r>
      <w:r>
        <w:rPr>
          <w:rFonts w:hint="eastAsia" w:ascii="宋体" w:hAnsi="宋体" w:eastAsia="宋体" w:cs="宋体"/>
          <w:bCs/>
          <w:sz w:val="24"/>
          <w:szCs w:val="24"/>
        </w:rPr>
        <w:t>位，单盘兼容10/15mL样品管，碳纤维进样针，防折断、并支持半自动测定方式。进样器须满足调节流量的实时控制系统，可调节自动补液速率。</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.6通道数：三通道三灯位设计，可根据不同的样品</w:t>
      </w:r>
      <w:r>
        <w:rPr>
          <w:rFonts w:hint="eastAsia" w:ascii="宋体" w:hAnsi="宋体" w:eastAsia="宋体" w:cs="宋体"/>
          <w:bCs/>
          <w:sz w:val="24"/>
          <w:szCs w:val="24"/>
        </w:rPr>
        <w:t>和元素分析种类，单、双、四通道灵活选择，可采用多通道合并。</w:t>
      </w:r>
    </w:p>
    <w:p>
      <w:pPr>
        <w:tabs>
          <w:tab w:val="left" w:pos="997"/>
          <w:tab w:val="left" w:pos="8522"/>
        </w:tabs>
        <w:adjustRightInd w:val="0"/>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.7进样系统：</w:t>
      </w:r>
      <w:r>
        <w:rPr>
          <w:rFonts w:hint="eastAsia" w:ascii="宋体" w:hAnsi="宋体" w:eastAsia="宋体" w:cs="宋体"/>
          <w:bCs/>
          <w:kern w:val="21"/>
          <w:sz w:val="24"/>
          <w:szCs w:val="24"/>
        </w:rPr>
        <w:t>注射泵和蠕动泵联合进样系统，蠕动泵加注射泵和单蠕动泵两种分析模式全自动切换与兼容，满足对相对污浊水体分析需求；</w:t>
      </w:r>
    </w:p>
    <w:p>
      <w:pPr>
        <w:tabs>
          <w:tab w:val="left" w:pos="997"/>
          <w:tab w:val="left" w:pos="8522"/>
        </w:tabs>
        <w:adjustRightInd w:val="0"/>
        <w:snapToGrid w:val="0"/>
        <w:spacing w:line="360" w:lineRule="auto"/>
        <w:jc w:val="left"/>
        <w:outlineLvl w:val="9"/>
        <w:rPr>
          <w:rFonts w:hint="eastAsia" w:ascii="宋体" w:hAnsi="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.8 流路系统:具有极简管路的连接，易于观察液体传输状态，同时具有40～60℃恒温加热的存样环</w:t>
      </w:r>
      <w:r>
        <w:rPr>
          <w:rFonts w:hint="eastAsia" w:ascii="宋体" w:hAnsi="宋体" w:cs="宋体"/>
          <w:bCs/>
          <w:sz w:val="24"/>
          <w:szCs w:val="24"/>
          <w:lang w:eastAsia="zh-CN"/>
        </w:rPr>
        <w:t>。</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.9光源系统：采用直插式免调节空芯阴极灯，自动对准光路，仪器自动识别待测元素并给出元素的最佳分析条件，并可监控其使用寿命。</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.10光学系统：三通道灯位短焦距无色散光路系统，免调灯和自动对光设计，自动对准光路，无需调节，实现三个元素的同时测量。</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.11气路系统：独立三通道(载气、屏蔽气、辅助气)数字化高精度电子(质量)流量气路系统，配备高精度数字化压力监控系统；全面兼容并支持氩气、氦气和空气(仅限冷原子法)三种气源；</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.12汞漂移校准：双光束光源漂移校准系统，不使用光纤和运动部件，汞灯光源能量</w:t>
      </w:r>
      <w:r>
        <w:rPr>
          <w:rFonts w:hint="eastAsia" w:ascii="宋体" w:hAnsi="宋体" w:cs="宋体"/>
          <w:bCs/>
          <w:sz w:val="24"/>
          <w:szCs w:val="24"/>
          <w:lang w:val="en-US" w:eastAsia="zh-CN"/>
        </w:rPr>
        <w:t>具有</w:t>
      </w:r>
      <w:r>
        <w:rPr>
          <w:rFonts w:hint="eastAsia" w:ascii="宋体" w:hAnsi="宋体" w:eastAsia="宋体" w:cs="宋体"/>
          <w:bCs/>
          <w:sz w:val="24"/>
          <w:szCs w:val="24"/>
        </w:rPr>
        <w:t>实时校准与动态调节技术。</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.13具有内置式氩氢火焰在线软件观察，可实时监控火焰状态，软件进行控制。</w:t>
      </w:r>
    </w:p>
    <w:p>
      <w:pPr>
        <w:tabs>
          <w:tab w:val="left" w:pos="997"/>
          <w:tab w:val="left" w:pos="8522"/>
        </w:tabs>
        <w:adjustRightInd w:val="0"/>
        <w:snapToGrid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.14气液分离器：三级可水冷式气液分离系统，自动抑制泡沫生成。</w:t>
      </w:r>
    </w:p>
    <w:p>
      <w:pPr>
        <w:tabs>
          <w:tab w:val="left" w:pos="997"/>
          <w:tab w:val="left" w:pos="8522"/>
        </w:tabs>
        <w:adjustRightInd w:val="0"/>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.15原子化器：智能化自适应点火技术，系统根据海拔高度和环境温度自动优化点火，原子化器高精度控温算法，室温～450℃之间连续可调，</w:t>
      </w:r>
      <w:r>
        <w:rPr>
          <w:rFonts w:hint="eastAsia" w:ascii="宋体" w:hAnsi="宋体" w:eastAsia="宋体" w:cs="宋体"/>
          <w:bCs/>
          <w:kern w:val="21"/>
          <w:sz w:val="24"/>
          <w:szCs w:val="24"/>
        </w:rPr>
        <w:t>温度控制精度：±0.5℃。并且原子化器高度免调节设计，免维护，软件显示实时海拔、实时原子化温度以及点火电流源等。</w:t>
      </w:r>
    </w:p>
    <w:p>
      <w:pPr>
        <w:tabs>
          <w:tab w:val="left" w:pos="997"/>
          <w:tab w:val="left" w:pos="8522"/>
        </w:tabs>
        <w:adjustRightInd w:val="0"/>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.16软件实现系统自动诊断、自动样品测量、自动清洗、单标准自动配制标准曲线,自动稀释和超限自动标记；。</w:t>
      </w:r>
    </w:p>
    <w:p>
      <w:pPr>
        <w:tabs>
          <w:tab w:val="left" w:pos="997"/>
          <w:tab w:val="left" w:pos="8522"/>
        </w:tabs>
        <w:adjustRightInd w:val="0"/>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.17软件系统：全面兼容Windows 中文软件操作系统。针对选择测量的元素，自动设置与优化仪器条件；专家系统：各元素的物理参数，标准溶液的配制，样品预处理、干扰消除及自动推荐最佳仪器条件和优选方法等；实现网络资源共享。</w:t>
      </w:r>
    </w:p>
    <w:p>
      <w:pPr>
        <w:widowControl/>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spacing w:val="20"/>
          <w:kern w:val="0"/>
          <w:sz w:val="24"/>
          <w:szCs w:val="24"/>
          <w:lang w:val="en-US" w:eastAsia="zh-CN"/>
        </w:rPr>
        <w:t>1</w:t>
      </w:r>
      <w:r>
        <w:rPr>
          <w:rFonts w:hint="eastAsia" w:ascii="宋体" w:hAnsi="宋体" w:eastAsia="宋体" w:cs="宋体"/>
          <w:bCs/>
          <w:spacing w:val="20"/>
          <w:kern w:val="0"/>
          <w:sz w:val="24"/>
          <w:szCs w:val="24"/>
        </w:rPr>
        <w:t>.18</w:t>
      </w:r>
      <w:r>
        <w:rPr>
          <w:rFonts w:hint="eastAsia" w:ascii="宋体" w:hAnsi="宋体" w:eastAsia="宋体" w:cs="宋体"/>
          <w:bCs/>
          <w:kern w:val="21"/>
          <w:sz w:val="24"/>
          <w:szCs w:val="24"/>
        </w:rPr>
        <w:t>预留形态价态接口，直接联用液相色谱部分，增加色谱分析单元（实现自动切换）。</w:t>
      </w:r>
    </w:p>
    <w:p>
      <w:pPr>
        <w:widowControl/>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.19设备配置专门的废液收集器，具有液位报警以及挥发物吸附除害功能。</w:t>
      </w:r>
    </w:p>
    <w:p>
      <w:pPr>
        <w:widowControl/>
        <w:snapToGrid w:val="0"/>
        <w:spacing w:line="360" w:lineRule="auto"/>
        <w:jc w:val="left"/>
        <w:outlineLvl w:val="9"/>
        <w:rPr>
          <w:rFonts w:hint="eastAsia" w:ascii="宋体" w:hAnsi="宋体" w:eastAsia="宋体" w:cs="宋体"/>
          <w:bCs/>
          <w:kern w:val="21"/>
          <w:sz w:val="24"/>
          <w:szCs w:val="24"/>
          <w:lang w:eastAsia="zh-CN"/>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.20可升级条码扫描枪样品识别并输入，兼容主流一维及二维条码</w:t>
      </w:r>
      <w:r>
        <w:rPr>
          <w:rFonts w:hint="eastAsia" w:ascii="宋体" w:hAnsi="宋体" w:cs="宋体"/>
          <w:bCs/>
          <w:kern w:val="21"/>
          <w:sz w:val="24"/>
          <w:szCs w:val="24"/>
          <w:lang w:eastAsia="zh-CN"/>
        </w:rPr>
        <w:t>。</w:t>
      </w:r>
    </w:p>
    <w:p>
      <w:pPr>
        <w:widowControl/>
        <w:snapToGrid w:val="0"/>
        <w:spacing w:line="360" w:lineRule="auto"/>
        <w:jc w:val="left"/>
        <w:outlineLvl w:val="9"/>
        <w:rPr>
          <w:rFonts w:hint="eastAsia" w:ascii="宋体" w:hAnsi="宋体" w:eastAsia="宋体" w:cs="宋体"/>
          <w:bCs/>
          <w:kern w:val="21"/>
          <w:sz w:val="24"/>
          <w:szCs w:val="24"/>
        </w:rPr>
      </w:pPr>
      <w:r>
        <w:rPr>
          <w:rFonts w:hint="eastAsia" w:ascii="宋体" w:hAnsi="宋体" w:eastAsia="宋体" w:cs="宋体"/>
          <w:bCs/>
          <w:kern w:val="21"/>
          <w:sz w:val="24"/>
          <w:szCs w:val="24"/>
          <w:lang w:val="en-US" w:eastAsia="zh-CN"/>
        </w:rPr>
        <w:t>1</w:t>
      </w:r>
      <w:r>
        <w:rPr>
          <w:rFonts w:hint="eastAsia" w:ascii="宋体" w:hAnsi="宋体" w:eastAsia="宋体" w:cs="宋体"/>
          <w:bCs/>
          <w:kern w:val="21"/>
          <w:sz w:val="24"/>
          <w:szCs w:val="24"/>
        </w:rPr>
        <w:t>.21 满足GLP、GMP、21CFR Part11数据完整性和审计追踪-电子签名的规范要求；</w:t>
      </w:r>
    </w:p>
    <w:p>
      <w:pPr>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 </w:t>
      </w:r>
      <w:r>
        <w:rPr>
          <w:rFonts w:hint="eastAsia" w:ascii="宋体" w:hAnsi="宋体" w:eastAsia="宋体" w:cs="宋体"/>
          <w:bCs/>
          <w:sz w:val="24"/>
          <w:szCs w:val="24"/>
          <w:lang w:val="en-US" w:eastAsia="zh-CN"/>
        </w:rPr>
        <w:t>3</w:t>
      </w:r>
      <w:r>
        <w:rPr>
          <w:rFonts w:hint="eastAsia" w:ascii="宋体" w:hAnsi="宋体" w:eastAsia="宋体" w:cs="宋体"/>
          <w:bCs/>
          <w:sz w:val="24"/>
          <w:szCs w:val="24"/>
        </w:rPr>
        <w:t>、配置清单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740"/>
        <w:gridCol w:w="96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序号</w:t>
            </w:r>
          </w:p>
        </w:tc>
        <w:tc>
          <w:tcPr>
            <w:tcW w:w="47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仪器名称</w:t>
            </w:r>
          </w:p>
        </w:tc>
        <w:tc>
          <w:tcPr>
            <w:tcW w:w="965" w:type="dxa"/>
            <w:noWrap w:val="0"/>
            <w:vAlign w:val="center"/>
          </w:tcPr>
          <w:p>
            <w:pPr>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数量</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47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原子荧光光度计</w:t>
            </w:r>
          </w:p>
        </w:tc>
        <w:tc>
          <w:tcPr>
            <w:tcW w:w="96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2</w:t>
            </w:r>
          </w:p>
        </w:tc>
        <w:tc>
          <w:tcPr>
            <w:tcW w:w="47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全自动外置式进样装置</w:t>
            </w:r>
          </w:p>
        </w:tc>
        <w:tc>
          <w:tcPr>
            <w:tcW w:w="96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3</w:t>
            </w:r>
          </w:p>
        </w:tc>
        <w:tc>
          <w:tcPr>
            <w:tcW w:w="4740" w:type="dxa"/>
            <w:noWrap w:val="0"/>
            <w:vAlign w:val="center"/>
          </w:tcPr>
          <w:p>
            <w:pPr>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商用品牌计算机</w:t>
            </w:r>
          </w:p>
          <w:p>
            <w:pPr>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激光打印机</w:t>
            </w:r>
          </w:p>
        </w:tc>
        <w:tc>
          <w:tcPr>
            <w:tcW w:w="96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4</w:t>
            </w:r>
          </w:p>
        </w:tc>
        <w:tc>
          <w:tcPr>
            <w:tcW w:w="47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特制免调空心阴极灯（砷汞硒铅）</w:t>
            </w:r>
          </w:p>
        </w:tc>
        <w:tc>
          <w:tcPr>
            <w:tcW w:w="96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各1</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5</w:t>
            </w:r>
          </w:p>
        </w:tc>
        <w:tc>
          <w:tcPr>
            <w:tcW w:w="47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新断续流动氢化物发生装置</w:t>
            </w:r>
          </w:p>
        </w:tc>
        <w:tc>
          <w:tcPr>
            <w:tcW w:w="96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6</w:t>
            </w:r>
          </w:p>
        </w:tc>
        <w:tc>
          <w:tcPr>
            <w:tcW w:w="4740"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ab/>
            </w:r>
            <w:r>
              <w:rPr>
                <w:rFonts w:hint="eastAsia" w:ascii="宋体" w:hAnsi="宋体" w:eastAsia="宋体" w:cs="宋体"/>
                <w:bCs/>
                <w:sz w:val="24"/>
                <w:szCs w:val="24"/>
              </w:rPr>
              <w:t>其他备件等工具包等</w:t>
            </w:r>
          </w:p>
        </w:tc>
        <w:tc>
          <w:tcPr>
            <w:tcW w:w="96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1675" w:type="dxa"/>
            <w:noWrap w:val="0"/>
            <w:vAlign w:val="center"/>
          </w:tcPr>
          <w:p>
            <w:pPr>
              <w:spacing w:line="36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spacing w:line="360" w:lineRule="auto"/>
              <w:jc w:val="center"/>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4740" w:type="dxa"/>
            <w:noWrap w:val="0"/>
            <w:vAlign w:val="center"/>
          </w:tcPr>
          <w:p>
            <w:pPr>
              <w:spacing w:line="360" w:lineRule="auto"/>
              <w:jc w:val="center"/>
              <w:outlineLvl w:val="9"/>
              <w:rPr>
                <w:rFonts w:hint="default" w:ascii="宋体" w:hAnsi="宋体" w:eastAsia="宋体" w:cs="宋体"/>
                <w:bCs/>
                <w:sz w:val="24"/>
                <w:szCs w:val="24"/>
                <w:lang w:val="en-US" w:eastAsia="zh-CN"/>
              </w:rPr>
            </w:pPr>
            <w:r>
              <w:rPr>
                <w:rFonts w:hint="eastAsia" w:ascii="宋体" w:hAnsi="宋体" w:cs="宋体"/>
                <w:bCs/>
                <w:sz w:val="24"/>
                <w:szCs w:val="24"/>
                <w:lang w:val="en-US" w:eastAsia="zh-CN"/>
              </w:rPr>
              <w:t>高纯氩气及减压阀</w:t>
            </w:r>
          </w:p>
        </w:tc>
        <w:tc>
          <w:tcPr>
            <w:tcW w:w="965" w:type="dxa"/>
            <w:noWrap w:val="0"/>
            <w:vAlign w:val="center"/>
          </w:tcPr>
          <w:p>
            <w:pPr>
              <w:spacing w:line="360" w:lineRule="auto"/>
              <w:jc w:val="center"/>
              <w:outlineLvl w:val="9"/>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1</w:t>
            </w:r>
          </w:p>
        </w:tc>
        <w:tc>
          <w:tcPr>
            <w:tcW w:w="1675" w:type="dxa"/>
            <w:noWrap w:val="0"/>
            <w:vAlign w:val="center"/>
          </w:tcPr>
          <w:p>
            <w:pPr>
              <w:spacing w:line="360" w:lineRule="auto"/>
              <w:jc w:val="center"/>
              <w:outlineLvl w:val="9"/>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套</w:t>
            </w:r>
          </w:p>
        </w:tc>
      </w:tr>
    </w:tbl>
    <w:p>
      <w:pPr>
        <w:spacing w:line="360" w:lineRule="auto"/>
        <w:jc w:val="center"/>
        <w:outlineLvl w:val="9"/>
        <w:rPr>
          <w:rFonts w:hint="eastAsia" w:ascii="宋体" w:hAnsi="宋体" w:eastAsia="宋体" w:cs="宋体"/>
          <w:sz w:val="24"/>
          <w:szCs w:val="24"/>
        </w:rPr>
      </w:pPr>
    </w:p>
    <w:p>
      <w:pPr>
        <w:numPr>
          <w:ilvl w:val="0"/>
          <w:numId w:val="8"/>
        </w:numPr>
        <w:spacing w:line="360" w:lineRule="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rPr>
        <w:t>便携式余氯/总氯测定仪</w:t>
      </w:r>
      <w:r>
        <w:rPr>
          <w:rFonts w:hint="eastAsia" w:ascii="宋体" w:hAnsi="宋体" w:eastAsia="宋体" w:cs="宋体"/>
          <w:b/>
          <w:bCs/>
          <w:sz w:val="24"/>
          <w:szCs w:val="24"/>
        </w:rPr>
        <w:t>技术参数</w:t>
      </w:r>
      <w:r>
        <w:rPr>
          <w:rFonts w:hint="eastAsia" w:ascii="宋体" w:hAnsi="宋体" w:eastAsia="宋体" w:cs="宋体"/>
          <w:b/>
          <w:bCs/>
          <w:sz w:val="24"/>
          <w:szCs w:val="24"/>
          <w:lang w:eastAsia="zh-CN"/>
        </w:rPr>
        <w:t>（</w:t>
      </w:r>
      <w:r>
        <w:rPr>
          <w:rFonts w:hint="eastAsia" w:ascii="宋体" w:hAnsi="宋体" w:eastAsia="宋体" w:cs="宋体"/>
          <w:b/>
          <w:bCs/>
          <w:kern w:val="21"/>
          <w:sz w:val="24"/>
          <w:szCs w:val="24"/>
          <w:lang w:val="en-US" w:eastAsia="zh-CN"/>
        </w:rPr>
        <w:t>便携式比色计）</w:t>
      </w:r>
      <w:r>
        <w:rPr>
          <w:rFonts w:hint="eastAsia" w:ascii="宋体" w:hAnsi="宋体" w:eastAsia="宋体" w:cs="宋体"/>
          <w:i w:val="0"/>
          <w:caps w:val="0"/>
          <w:color w:val="000000"/>
          <w:spacing w:val="0"/>
          <w:sz w:val="24"/>
          <w:szCs w:val="24"/>
          <w:shd w:val="clear" w:color="auto" w:fill="FFFFFF"/>
        </w:rPr>
        <w:br w:type="textWrapping"/>
      </w:r>
      <w:r>
        <w:rPr>
          <w:rFonts w:hint="eastAsia" w:ascii="宋体" w:hAnsi="宋体" w:eastAsia="宋体" w:cs="宋体"/>
          <w:sz w:val="24"/>
          <w:szCs w:val="24"/>
          <w:lang w:val="en-US" w:eastAsia="zh-CN"/>
        </w:rPr>
        <w:t>1、光源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发光二极管</w:t>
      </w:r>
    </w:p>
    <w:p>
      <w:pPr>
        <w:numPr>
          <w:ilvl w:val="0"/>
          <w:numId w:val="0"/>
        </w:num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2、检测器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硅光电二极管</w:t>
      </w:r>
    </w:p>
    <w:p>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3、显示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LCD背光显示</w:t>
      </w:r>
    </w:p>
    <w:p>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4、防护等级</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IP6</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p>
      <w:pPr>
        <w:spacing w:line="360" w:lineRule="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、测量范围（0.02～5）mg/L</w:t>
      </w:r>
    </w:p>
    <w:p>
      <w:pPr>
        <w:spacing w:line="360" w:lineRule="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、电源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4节AAA电池；</w:t>
      </w:r>
      <w:r>
        <w:rPr>
          <w:rFonts w:hint="eastAsia" w:ascii="宋体" w:hAnsi="宋体" w:cs="宋体"/>
          <w:sz w:val="24"/>
          <w:szCs w:val="24"/>
          <w:lang w:val="en-US" w:eastAsia="zh-CN"/>
        </w:rPr>
        <w:t>测试次数≥200</w:t>
      </w:r>
      <w:r>
        <w:rPr>
          <w:rFonts w:hint="eastAsia" w:ascii="宋体" w:hAnsi="宋体" w:eastAsia="宋体" w:cs="宋体"/>
          <w:sz w:val="24"/>
          <w:szCs w:val="24"/>
          <w:lang w:val="en-US" w:eastAsia="zh-CN"/>
        </w:rPr>
        <w:t>次</w:t>
      </w:r>
    </w:p>
    <w:p>
      <w:pPr>
        <w:spacing w:line="360" w:lineRule="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、数据存储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50次测量值</w:t>
      </w:r>
    </w:p>
    <w:p>
      <w:pPr>
        <w:spacing w:line="360" w:lineRule="auto"/>
        <w:outlineLvl w:val="9"/>
        <w:rPr>
          <w:rFonts w:hint="eastAsia"/>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、包含配套试剂。</w:t>
      </w:r>
    </w:p>
    <w:p>
      <w:pPr>
        <w:spacing w:line="360" w:lineRule="auto"/>
        <w:jc w:val="both"/>
        <w:outlineLvl w:val="9"/>
        <w:rPr>
          <w:rFonts w:hint="eastAsia" w:ascii="宋体" w:hAnsi="宋体" w:eastAsia="宋体" w:cs="宋体"/>
          <w:b/>
          <w:bCs/>
          <w:sz w:val="24"/>
          <w:szCs w:val="24"/>
          <w:lang w:val="en-US" w:eastAsia="zh-CN"/>
        </w:rPr>
      </w:pPr>
    </w:p>
    <w:p>
      <w:pPr>
        <w:spacing w:line="360" w:lineRule="auto"/>
        <w:jc w:val="both"/>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紫外可见分光光度计技术参数</w:t>
      </w:r>
    </w:p>
    <w:p>
      <w:pPr>
        <w:spacing w:line="360" w:lineRule="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要求</w:t>
      </w:r>
      <w:r>
        <w:rPr>
          <w:rFonts w:hint="eastAsia" w:ascii="宋体" w:hAnsi="宋体" w:eastAsia="宋体" w:cs="宋体"/>
          <w:sz w:val="24"/>
          <w:szCs w:val="24"/>
          <w:lang w:val="en-US" w:eastAsia="zh-CN"/>
        </w:rPr>
        <w:t>性能</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2nm光谱带宽。</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手动宽大四连池，可满足各种应用对宽大比色皿的特殊要求，最大样品池</w:t>
      </w:r>
      <w:r>
        <w:rPr>
          <w:rFonts w:hint="eastAsia" w:ascii="宋体" w:hAnsi="宋体" w:cs="宋体"/>
          <w:sz w:val="24"/>
          <w:szCs w:val="24"/>
          <w:lang w:val="en-US" w:eastAsia="zh-CN"/>
        </w:rPr>
        <w:t>≥</w:t>
      </w:r>
      <w:r>
        <w:rPr>
          <w:rFonts w:hint="eastAsia" w:ascii="宋体" w:hAnsi="宋体" w:eastAsia="宋体" w:cs="宋体"/>
          <w:sz w:val="24"/>
          <w:szCs w:val="24"/>
        </w:rPr>
        <w:t>100mm</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具有波长扫描、时间扫描、多波长测定、定量分析、双波长、三波长，DNA蛋白质测量等多种测量方法。</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测量数据可通过打印机输出，USB接口</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可断电保存测量参数和数据，</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技术指标及基本参数</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波长范围：</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190～1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00nm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光谱带宽：</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2.0nm(5nm、1nm可选）</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波长准确度：</w:t>
      </w:r>
      <w:r>
        <w:rPr>
          <w:rFonts w:hint="eastAsia" w:ascii="宋体" w:hAnsi="宋体" w:eastAsia="宋体" w:cs="宋体"/>
          <w:sz w:val="24"/>
          <w:szCs w:val="24"/>
        </w:rPr>
        <w:tab/>
      </w:r>
      <w:r>
        <w:rPr>
          <w:rFonts w:hint="eastAsia" w:ascii="宋体" w:hAnsi="宋体" w:eastAsia="宋体" w:cs="宋体"/>
          <w:sz w:val="24"/>
          <w:szCs w:val="24"/>
        </w:rPr>
        <w:t xml:space="preserve"> ±0.5nm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波长重现性：</w:t>
      </w:r>
      <w:r>
        <w:rPr>
          <w:rFonts w:hint="eastAsia" w:ascii="宋体" w:hAnsi="宋体" w:eastAsia="宋体" w:cs="宋体"/>
          <w:sz w:val="24"/>
          <w:szCs w:val="24"/>
        </w:rPr>
        <w:tab/>
      </w:r>
      <w:r>
        <w:rPr>
          <w:rFonts w:hint="eastAsia" w:ascii="宋体" w:hAnsi="宋体" w:eastAsia="宋体" w:cs="宋体"/>
          <w:sz w:val="24"/>
          <w:szCs w:val="24"/>
        </w:rPr>
        <w:t xml:space="preserve"> ≤0.2nm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透射比准确度：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±0.3% τ (0～100% τ)</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±0.002A(0～0.5A)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±0.004A(0.5A～1A)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 xml:space="preserve">透射比重复性：≤0.15% τ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测光方式：</w:t>
      </w:r>
      <w:r>
        <w:rPr>
          <w:rFonts w:hint="eastAsia" w:ascii="宋体" w:hAnsi="宋体" w:eastAsia="宋体" w:cs="宋体"/>
          <w:sz w:val="24"/>
          <w:szCs w:val="24"/>
        </w:rPr>
        <w:tab/>
      </w:r>
      <w:r>
        <w:rPr>
          <w:rFonts w:hint="eastAsia" w:ascii="宋体" w:hAnsi="宋体" w:eastAsia="宋体" w:cs="宋体"/>
          <w:sz w:val="24"/>
          <w:szCs w:val="24"/>
        </w:rPr>
        <w:t xml:space="preserve"> 透过率、吸光度、浓度、能量</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光度范围：</w:t>
      </w:r>
      <w:r>
        <w:rPr>
          <w:rFonts w:hint="eastAsia" w:ascii="宋体" w:hAnsi="宋体" w:eastAsia="宋体" w:cs="宋体"/>
          <w:sz w:val="24"/>
          <w:szCs w:val="24"/>
        </w:rPr>
        <w:tab/>
      </w:r>
      <w:r>
        <w:rPr>
          <w:rFonts w:hint="eastAsia" w:ascii="宋体" w:hAnsi="宋体" w:eastAsia="宋体" w:cs="宋体"/>
          <w:sz w:val="24"/>
          <w:szCs w:val="24"/>
        </w:rPr>
        <w:t xml:space="preserve"> -0.3A～3A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杂散光：</w:t>
      </w:r>
      <w:r>
        <w:rPr>
          <w:rFonts w:hint="eastAsia" w:ascii="宋体" w:hAnsi="宋体" w:eastAsia="宋体" w:cs="宋体"/>
          <w:sz w:val="24"/>
          <w:szCs w:val="24"/>
        </w:rPr>
        <w:tab/>
      </w:r>
      <w:r>
        <w:rPr>
          <w:rFonts w:hint="eastAsia" w:ascii="宋体" w:hAnsi="宋体" w:eastAsia="宋体" w:cs="宋体"/>
          <w:sz w:val="24"/>
          <w:szCs w:val="24"/>
        </w:rPr>
        <w:t xml:space="preserve"> ≤0.05% τ(220nm NaI溶液，340nm NaNO</w:t>
      </w:r>
      <w:r>
        <w:rPr>
          <w:rFonts w:hint="eastAsia" w:ascii="宋体" w:hAnsi="宋体" w:eastAsia="宋体" w:cs="宋体"/>
          <w:sz w:val="24"/>
          <w:szCs w:val="24"/>
          <w:vertAlign w:val="subscript"/>
        </w:rPr>
        <w:t>2</w:t>
      </w:r>
      <w:r>
        <w:rPr>
          <w:rFonts w:hint="eastAsia" w:ascii="宋体" w:hAnsi="宋体" w:eastAsia="宋体" w:cs="宋体"/>
          <w:sz w:val="24"/>
          <w:szCs w:val="24"/>
        </w:rPr>
        <w:t>)</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2.10</w:t>
      </w:r>
      <w:r>
        <w:rPr>
          <w:rFonts w:hint="eastAsia" w:ascii="宋体" w:hAnsi="宋体" w:eastAsia="宋体" w:cs="宋体"/>
          <w:sz w:val="24"/>
          <w:szCs w:val="24"/>
        </w:rPr>
        <w:t>基线平直度：±0.002A</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稳定性：</w:t>
      </w:r>
      <w:r>
        <w:rPr>
          <w:rFonts w:hint="eastAsia" w:ascii="宋体" w:hAnsi="宋体" w:eastAsia="宋体" w:cs="宋体"/>
          <w:sz w:val="24"/>
          <w:szCs w:val="24"/>
        </w:rPr>
        <w:tab/>
      </w:r>
      <w:r>
        <w:rPr>
          <w:rFonts w:hint="eastAsia" w:ascii="宋体" w:hAnsi="宋体" w:eastAsia="宋体" w:cs="宋体"/>
          <w:sz w:val="24"/>
          <w:szCs w:val="24"/>
        </w:rPr>
        <w:t xml:space="preserve"> ≤0.002A/h(500nm预热后)</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噪声：</w:t>
      </w:r>
      <w:r>
        <w:rPr>
          <w:rFonts w:hint="eastAsia" w:ascii="宋体" w:hAnsi="宋体" w:eastAsia="宋体" w:cs="宋体"/>
          <w:sz w:val="24"/>
          <w:szCs w:val="24"/>
        </w:rPr>
        <w:tab/>
      </w:r>
      <w:r>
        <w:rPr>
          <w:rFonts w:hint="eastAsia" w:ascii="宋体" w:hAnsi="宋体" w:eastAsia="宋体" w:cs="宋体"/>
          <w:sz w:val="24"/>
          <w:szCs w:val="24"/>
        </w:rPr>
        <w:t xml:space="preserve"> ±0.001A (500nm预热后)</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2.13</w:t>
      </w:r>
      <w:r>
        <w:rPr>
          <w:rFonts w:hint="eastAsia" w:ascii="宋体" w:hAnsi="宋体" w:eastAsia="宋体" w:cs="宋体"/>
          <w:sz w:val="24"/>
          <w:szCs w:val="24"/>
        </w:rPr>
        <w:t>显示方式：</w:t>
      </w:r>
      <w:r>
        <w:rPr>
          <w:rFonts w:hint="eastAsia" w:ascii="Arial" w:hAnsi="Arial" w:cs="Arial"/>
          <w:sz w:val="24"/>
          <w:szCs w:val="24"/>
          <w:lang w:val="en-US"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rPr>
        <w:t>英寸高亮度蓝色液晶显示屏</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2.14</w:t>
      </w:r>
      <w:r>
        <w:rPr>
          <w:rFonts w:hint="eastAsia" w:ascii="宋体" w:hAnsi="宋体" w:eastAsia="宋体" w:cs="宋体"/>
          <w:sz w:val="24"/>
          <w:szCs w:val="24"/>
        </w:rPr>
        <w:t>检测器：</w:t>
      </w:r>
      <w:r>
        <w:rPr>
          <w:rFonts w:hint="eastAsia" w:ascii="宋体" w:hAnsi="宋体" w:eastAsia="宋体" w:cs="宋体"/>
          <w:sz w:val="24"/>
          <w:szCs w:val="24"/>
        </w:rPr>
        <w:tab/>
      </w:r>
      <w:r>
        <w:rPr>
          <w:rFonts w:hint="eastAsia" w:ascii="宋体" w:hAnsi="宋体" w:eastAsia="宋体" w:cs="宋体"/>
          <w:sz w:val="24"/>
          <w:szCs w:val="24"/>
        </w:rPr>
        <w:t xml:space="preserve"> 进口硅光二极管</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2.15</w:t>
      </w:r>
      <w:r>
        <w:rPr>
          <w:rFonts w:hint="eastAsia" w:ascii="宋体" w:hAnsi="宋体" w:eastAsia="宋体" w:cs="宋体"/>
          <w:sz w:val="24"/>
          <w:szCs w:val="24"/>
        </w:rPr>
        <w:t>光源：</w:t>
      </w:r>
      <w:r>
        <w:rPr>
          <w:rFonts w:hint="eastAsia" w:ascii="宋体" w:hAnsi="宋体" w:eastAsia="宋体" w:cs="宋体"/>
          <w:sz w:val="24"/>
          <w:szCs w:val="24"/>
        </w:rPr>
        <w:tab/>
      </w:r>
      <w:r>
        <w:rPr>
          <w:rFonts w:hint="eastAsia" w:ascii="宋体" w:hAnsi="宋体" w:eastAsia="宋体" w:cs="宋体"/>
          <w:sz w:val="24"/>
          <w:szCs w:val="24"/>
        </w:rPr>
        <w:t xml:space="preserve"> 进口插座式氘灯，进口钨灯</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2.17</w:t>
      </w:r>
      <w:r>
        <w:rPr>
          <w:rFonts w:hint="eastAsia" w:ascii="宋体" w:hAnsi="宋体" w:eastAsia="宋体" w:cs="宋体"/>
          <w:sz w:val="24"/>
          <w:szCs w:val="24"/>
        </w:rPr>
        <w:t>功率：</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default" w:ascii="Arial" w:hAnsi="Arial" w:eastAsia="宋体" w:cs="Arial"/>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0W</w:t>
      </w:r>
    </w:p>
    <w:p>
      <w:pPr>
        <w:pStyle w:val="34"/>
        <w:spacing w:line="360" w:lineRule="auto"/>
        <w:ind w:left="0" w:leftChars="0" w:firstLine="0" w:firstLine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3、配置清单：</w:t>
      </w:r>
    </w:p>
    <w:p>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3.1 </w:t>
      </w:r>
      <w:r>
        <w:rPr>
          <w:rFonts w:hint="eastAsia" w:ascii="宋体" w:hAnsi="宋体" w:eastAsia="宋体" w:cs="宋体"/>
          <w:spacing w:val="10"/>
          <w:sz w:val="24"/>
          <w:szCs w:val="24"/>
        </w:rPr>
        <w:t>主机</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5"/>
          <w:sz w:val="24"/>
          <w:szCs w:val="24"/>
        </w:rPr>
        <w:t>1</w:t>
      </w:r>
      <w:r>
        <w:rPr>
          <w:rFonts w:hint="eastAsia" w:ascii="宋体" w:hAnsi="宋体" w:eastAsia="宋体" w:cs="宋体"/>
          <w:spacing w:val="4"/>
          <w:sz w:val="24"/>
          <w:szCs w:val="24"/>
        </w:rPr>
        <w:t xml:space="preserve"> 台</w:t>
      </w:r>
    </w:p>
    <w:p>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3.2 </w:t>
      </w:r>
      <w:r>
        <w:rPr>
          <w:rFonts w:hint="eastAsia" w:ascii="宋体" w:hAnsi="宋体" w:eastAsia="宋体" w:cs="宋体"/>
          <w:spacing w:val="-1"/>
          <w:sz w:val="24"/>
          <w:szCs w:val="24"/>
        </w:rPr>
        <w:t>计算机反控软件</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1 </w:t>
      </w:r>
      <w:r>
        <w:rPr>
          <w:rFonts w:hint="eastAsia" w:ascii="宋体" w:hAnsi="宋体" w:eastAsia="宋体" w:cs="宋体"/>
          <w:sz w:val="24"/>
          <w:szCs w:val="24"/>
        </w:rPr>
        <w:t>套</w:t>
      </w:r>
    </w:p>
    <w:p>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玻璃比色皿  1盒（0.5cm 4只、1cm 4 只、2cm 4 只、3cm 4 只）</w:t>
      </w:r>
    </w:p>
    <w:p>
      <w:pPr>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 石英比色皿  1cm 2 只</w:t>
      </w:r>
    </w:p>
    <w:p>
      <w:pPr>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 激光打印机  1 台</w:t>
      </w:r>
    </w:p>
    <w:p>
      <w:pPr>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3.6计算机  1 台</w:t>
      </w:r>
    </w:p>
    <w:p>
      <w:pPr>
        <w:pStyle w:val="3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Style w:val="3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highlight w:val="none"/>
        </w:rPr>
        <w:t>单道移液器</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理化实验用）</w:t>
      </w:r>
      <w:r>
        <w:rPr>
          <w:rFonts w:hint="eastAsia" w:ascii="宋体" w:hAnsi="宋体" w:eastAsia="宋体" w:cs="宋体"/>
          <w:b/>
          <w:bCs/>
          <w:sz w:val="24"/>
          <w:szCs w:val="24"/>
          <w:highlight w:val="none"/>
        </w:rPr>
        <w:t>参数</w:t>
      </w:r>
    </w:p>
    <w:p>
      <w:pPr>
        <w:pStyle w:val="88"/>
        <w:numPr>
          <w:ilvl w:val="0"/>
          <w:numId w:val="9"/>
        </w:num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可高温高压灭菌和紫外线灭菌</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带微量刻度尺，</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配校准保养工具，易</w:t>
      </w:r>
      <w:r>
        <w:rPr>
          <w:rFonts w:hint="eastAsia" w:ascii="宋体" w:hAnsi="宋体" w:cs="宋体"/>
          <w:color w:val="auto"/>
          <w:sz w:val="24"/>
          <w:szCs w:val="24"/>
          <w:lang w:val="en-US" w:eastAsia="zh-CN"/>
        </w:rPr>
        <w:t>便于</w:t>
      </w:r>
      <w:r>
        <w:rPr>
          <w:rFonts w:hint="eastAsia" w:ascii="宋体" w:hAnsi="宋体" w:eastAsia="宋体" w:cs="宋体"/>
          <w:color w:val="auto"/>
          <w:sz w:val="24"/>
          <w:szCs w:val="24"/>
        </w:rPr>
        <w:t>维修保养</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颜色标识移液器量程</w:t>
      </w:r>
    </w:p>
    <w:p>
      <w:pPr>
        <w:pStyle w:val="88"/>
        <w:spacing w:line="360" w:lineRule="auto"/>
        <w:outlineLvl w:val="9"/>
        <w:rPr>
          <w:rFonts w:hint="eastAsia" w:ascii="宋体" w:hAnsi="宋体" w:eastAsia="宋体" w:cs="宋体"/>
          <w:color w:val="auto"/>
          <w:sz w:val="24"/>
          <w:szCs w:val="24"/>
        </w:rPr>
      </w:pPr>
    </w:p>
    <w:tbl>
      <w:tblPr>
        <w:tblStyle w:val="36"/>
        <w:tblW w:w="7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394"/>
        <w:gridCol w:w="2354"/>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37" w:type="dxa"/>
            <w:noWrap w:val="0"/>
            <w:vAlign w:val="center"/>
          </w:tcPr>
          <w:p>
            <w:pPr>
              <w:pStyle w:val="88"/>
              <w:spacing w:after="0" w:line="240" w:lineRule="auto"/>
              <w:ind w:left="0" w:leftChars="0" w:firstLine="420" w:firstLineChars="200"/>
              <w:jc w:val="both"/>
              <w:rPr>
                <w:rFonts w:hint="eastAsia" w:ascii="宋体" w:hAnsi="宋体" w:eastAsia="宋体" w:cs="宋体"/>
                <w:sz w:val="21"/>
                <w:szCs w:val="21"/>
              </w:rPr>
            </w:pPr>
            <w:r>
              <w:rPr>
                <w:rFonts w:hint="eastAsia" w:ascii="宋体" w:hAnsi="宋体" w:eastAsia="宋体" w:cs="宋体"/>
                <w:sz w:val="21"/>
                <w:szCs w:val="21"/>
              </w:rPr>
              <w:t>量程 ul</w:t>
            </w:r>
          </w:p>
        </w:tc>
        <w:tc>
          <w:tcPr>
            <w:tcW w:w="1394" w:type="dxa"/>
            <w:noWrap w:val="0"/>
            <w:vAlign w:val="center"/>
          </w:tcPr>
          <w:p>
            <w:pPr>
              <w:pStyle w:val="88"/>
              <w:spacing w:after="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液量</w:t>
            </w:r>
            <w:r>
              <w:rPr>
                <w:rFonts w:hint="eastAsia" w:ascii="宋体" w:hAnsi="宋体" w:eastAsia="宋体" w:cs="宋体"/>
                <w:sz w:val="21"/>
                <w:szCs w:val="21"/>
              </w:rPr>
              <w:t>体积μl</w:t>
            </w:r>
          </w:p>
        </w:tc>
        <w:tc>
          <w:tcPr>
            <w:tcW w:w="2354" w:type="dxa"/>
            <w:noWrap/>
            <w:vAlign w:val="top"/>
          </w:tcPr>
          <w:p>
            <w:pPr>
              <w:pStyle w:val="88"/>
              <w:spacing w:after="0" w:line="240" w:lineRule="auto"/>
              <w:ind w:firstLine="630" w:firstLineChars="3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错误率</w:t>
            </w:r>
          </w:p>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ul</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p>
        </w:tc>
        <w:tc>
          <w:tcPr>
            <w:tcW w:w="2169" w:type="dxa"/>
            <w:noWrap/>
            <w:vAlign w:val="top"/>
          </w:tcPr>
          <w:p>
            <w:pPr>
              <w:pStyle w:val="88"/>
              <w:spacing w:after="0" w:line="240" w:lineRule="auto"/>
              <w:ind w:firstLine="630" w:firstLineChars="3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不精确率</w:t>
            </w:r>
          </w:p>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S.d. </w:t>
            </w:r>
            <w:r>
              <w:rPr>
                <w:rFonts w:hint="eastAsia" w:ascii="宋体" w:hAnsi="宋体" w:eastAsia="宋体" w:cs="宋体"/>
                <w:sz w:val="21"/>
                <w:szCs w:val="21"/>
              </w:rPr>
              <w:t>ul</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37" w:type="dxa"/>
            <w:vMerge w:val="restart"/>
            <w:noWrap/>
            <w:vAlign w:val="center"/>
          </w:tcPr>
          <w:p>
            <w:pPr>
              <w:pStyle w:val="88"/>
              <w:spacing w:after="0" w:line="240" w:lineRule="auto"/>
              <w:ind w:left="0" w:leftChars="0" w:firstLine="210" w:firstLineChars="100"/>
              <w:jc w:val="center"/>
              <w:rPr>
                <w:rFonts w:hint="eastAsia" w:ascii="宋体" w:hAnsi="宋体" w:eastAsia="宋体" w:cs="宋体"/>
                <w:sz w:val="21"/>
                <w:szCs w:val="21"/>
              </w:rPr>
            </w:pPr>
            <w:r>
              <w:rPr>
                <w:rFonts w:hint="eastAsia" w:ascii="宋体" w:hAnsi="宋体" w:eastAsia="宋体" w:cs="宋体"/>
                <w:sz w:val="21"/>
                <w:szCs w:val="21"/>
              </w:rPr>
              <w:t>500 - 5000</w:t>
            </w:r>
          </w:p>
        </w:tc>
        <w:tc>
          <w:tcPr>
            <w:tcW w:w="1394" w:type="dxa"/>
            <w:noWrap/>
            <w:vAlign w:val="top"/>
          </w:tcPr>
          <w:p>
            <w:pPr>
              <w:pStyle w:val="88"/>
              <w:spacing w:after="0" w:line="240" w:lineRule="auto"/>
              <w:jc w:val="both"/>
              <w:rPr>
                <w:rFonts w:hint="eastAsia" w:ascii="宋体" w:hAnsi="宋体" w:eastAsia="宋体" w:cs="宋体"/>
                <w:sz w:val="21"/>
                <w:szCs w:val="21"/>
              </w:rPr>
            </w:pPr>
            <w:r>
              <w:rPr>
                <w:rFonts w:hint="eastAsia" w:ascii="宋体" w:hAnsi="宋体" w:eastAsia="宋体" w:cs="宋体"/>
                <w:sz w:val="21"/>
                <w:szCs w:val="21"/>
              </w:rPr>
              <w:t>5000</w:t>
            </w:r>
          </w:p>
        </w:tc>
        <w:tc>
          <w:tcPr>
            <w:tcW w:w="2354"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±25</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50</w:t>
            </w:r>
          </w:p>
        </w:tc>
        <w:tc>
          <w:tcPr>
            <w:tcW w:w="2169"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37" w:type="dxa"/>
            <w:vMerge w:val="continue"/>
            <w:noWrap/>
            <w:vAlign w:val="center"/>
          </w:tcPr>
          <w:p>
            <w:pPr>
              <w:pStyle w:val="88"/>
              <w:spacing w:after="0" w:line="240" w:lineRule="auto"/>
              <w:ind w:left="360" w:firstLine="440"/>
              <w:jc w:val="center"/>
              <w:rPr>
                <w:rFonts w:hint="eastAsia" w:ascii="宋体" w:hAnsi="宋体" w:eastAsia="宋体" w:cs="宋体"/>
                <w:sz w:val="21"/>
                <w:szCs w:val="21"/>
              </w:rPr>
            </w:pPr>
          </w:p>
        </w:tc>
        <w:tc>
          <w:tcPr>
            <w:tcW w:w="1394" w:type="dxa"/>
            <w:noWrap/>
            <w:vAlign w:val="top"/>
          </w:tcPr>
          <w:p>
            <w:pPr>
              <w:pStyle w:val="88"/>
              <w:spacing w:after="0" w:line="240" w:lineRule="auto"/>
              <w:jc w:val="both"/>
              <w:rPr>
                <w:rFonts w:hint="eastAsia" w:ascii="宋体" w:hAnsi="宋体" w:eastAsia="宋体" w:cs="宋体"/>
                <w:sz w:val="21"/>
                <w:szCs w:val="21"/>
              </w:rPr>
            </w:pPr>
            <w:r>
              <w:rPr>
                <w:rFonts w:hint="eastAsia" w:ascii="宋体" w:hAnsi="宋体" w:eastAsia="宋体" w:cs="宋体"/>
                <w:sz w:val="21"/>
                <w:szCs w:val="21"/>
              </w:rPr>
              <w:t>500</w:t>
            </w:r>
          </w:p>
        </w:tc>
        <w:tc>
          <w:tcPr>
            <w:tcW w:w="2354"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2.00</w:t>
            </w:r>
          </w:p>
        </w:tc>
        <w:tc>
          <w:tcPr>
            <w:tcW w:w="2169"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37" w:type="dxa"/>
            <w:vMerge w:val="restart"/>
            <w:noWrap/>
            <w:vAlign w:val="center"/>
          </w:tcPr>
          <w:p>
            <w:pPr>
              <w:pStyle w:val="88"/>
              <w:spacing w:after="0" w:line="240" w:lineRule="auto"/>
              <w:ind w:left="0" w:leftChars="0" w:firstLine="210" w:firstLineChars="100"/>
              <w:jc w:val="center"/>
              <w:rPr>
                <w:rFonts w:hint="eastAsia" w:ascii="宋体" w:hAnsi="宋体" w:eastAsia="宋体" w:cs="宋体"/>
                <w:sz w:val="21"/>
                <w:szCs w:val="21"/>
              </w:rPr>
            </w:pPr>
            <w:r>
              <w:rPr>
                <w:rFonts w:hint="eastAsia" w:ascii="宋体" w:hAnsi="宋体" w:eastAsia="宋体" w:cs="宋体"/>
                <w:sz w:val="21"/>
                <w:szCs w:val="21"/>
              </w:rPr>
              <w:t>1000 - 10000</w:t>
            </w:r>
          </w:p>
        </w:tc>
        <w:tc>
          <w:tcPr>
            <w:tcW w:w="1394" w:type="dxa"/>
            <w:noWrap/>
            <w:vAlign w:val="top"/>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10000</w:t>
            </w:r>
          </w:p>
        </w:tc>
        <w:tc>
          <w:tcPr>
            <w:tcW w:w="2354"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±50</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0.50</w:t>
            </w:r>
          </w:p>
        </w:tc>
        <w:tc>
          <w:tcPr>
            <w:tcW w:w="2169"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37" w:type="dxa"/>
            <w:vMerge w:val="continue"/>
            <w:noWrap/>
            <w:vAlign w:val="top"/>
          </w:tcPr>
          <w:p>
            <w:pPr>
              <w:pStyle w:val="88"/>
              <w:spacing w:after="0" w:line="240" w:lineRule="auto"/>
              <w:ind w:left="360" w:firstLine="440"/>
              <w:jc w:val="center"/>
              <w:rPr>
                <w:rFonts w:hint="eastAsia" w:ascii="宋体" w:hAnsi="宋体" w:eastAsia="宋体" w:cs="宋体"/>
                <w:sz w:val="21"/>
                <w:szCs w:val="21"/>
              </w:rPr>
            </w:pPr>
          </w:p>
        </w:tc>
        <w:tc>
          <w:tcPr>
            <w:tcW w:w="1394" w:type="dxa"/>
            <w:noWrap/>
            <w:vAlign w:val="top"/>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c>
          <w:tcPr>
            <w:tcW w:w="2354"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2.00</w:t>
            </w:r>
          </w:p>
        </w:tc>
        <w:tc>
          <w:tcPr>
            <w:tcW w:w="2169"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80</w:t>
            </w:r>
          </w:p>
        </w:tc>
      </w:tr>
    </w:tbl>
    <w:p>
      <w:pPr>
        <w:numPr>
          <w:ilvl w:val="0"/>
          <w:numId w:val="0"/>
        </w:numPr>
        <w:spacing w:line="360" w:lineRule="auto"/>
        <w:jc w:val="left"/>
        <w:outlineLvl w:val="9"/>
        <w:rPr>
          <w:rFonts w:hint="eastAsia" w:ascii="宋体" w:hAnsi="宋体" w:eastAsia="宋体" w:cs="宋体"/>
          <w:b/>
          <w:bCs/>
          <w:sz w:val="24"/>
          <w:szCs w:val="24"/>
          <w:lang w:val="en-US" w:eastAsia="zh-CN"/>
        </w:rPr>
      </w:pPr>
    </w:p>
    <w:p>
      <w:pPr>
        <w:numPr>
          <w:ilvl w:val="0"/>
          <w:numId w:val="0"/>
        </w:numPr>
        <w:spacing w:line="360" w:lineRule="auto"/>
        <w:jc w:val="left"/>
        <w:outlineLvl w:val="9"/>
        <w:rPr>
          <w:rFonts w:hint="eastAsia" w:ascii="宋体" w:hAnsi="宋体" w:eastAsia="宋体" w:cs="宋体"/>
          <w:sz w:val="24"/>
          <w:szCs w:val="24"/>
          <w:highlight w:val="gree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highlight w:val="none"/>
        </w:rPr>
        <w:t>单道移液器</w:t>
      </w:r>
      <w:r>
        <w:rPr>
          <w:rFonts w:hint="eastAsia" w:ascii="宋体" w:hAnsi="宋体" w:cs="宋体"/>
          <w:b/>
          <w:bCs/>
          <w:sz w:val="24"/>
          <w:szCs w:val="24"/>
          <w:highlight w:val="none"/>
          <w:lang w:eastAsia="zh-CN"/>
        </w:rPr>
        <w:t>（微生物实验用）</w:t>
      </w:r>
      <w:r>
        <w:rPr>
          <w:rFonts w:hint="eastAsia" w:ascii="宋体" w:hAnsi="宋体" w:eastAsia="宋体" w:cs="宋体"/>
          <w:b/>
          <w:bCs/>
          <w:sz w:val="24"/>
          <w:szCs w:val="24"/>
          <w:highlight w:val="none"/>
        </w:rPr>
        <w:t>参数</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可高温高压灭菌和紫外线灭菌</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带微量刻度尺</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颜色标识移液器量程</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配校准保养工具，易便于维修保养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394"/>
        <w:gridCol w:w="2298"/>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09" w:type="dxa"/>
            <w:noWrap w:val="0"/>
            <w:vAlign w:val="center"/>
          </w:tcPr>
          <w:p>
            <w:pPr>
              <w:pStyle w:val="88"/>
              <w:spacing w:after="0" w:line="240" w:lineRule="auto"/>
              <w:ind w:left="0" w:leftChars="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量程 </w:t>
            </w:r>
            <w:r>
              <w:rPr>
                <w:rFonts w:hint="eastAsia" w:ascii="宋体" w:hAnsi="宋体" w:eastAsia="宋体" w:cs="宋体"/>
                <w:sz w:val="21"/>
                <w:szCs w:val="21"/>
                <w:lang w:val="en-US" w:eastAsia="zh-CN"/>
              </w:rPr>
              <w:t>μl</w:t>
            </w:r>
          </w:p>
        </w:tc>
        <w:tc>
          <w:tcPr>
            <w:tcW w:w="1394" w:type="dxa"/>
            <w:noWrap w:val="0"/>
            <w:vAlign w:val="center"/>
          </w:tcPr>
          <w:p>
            <w:pPr>
              <w:pStyle w:val="88"/>
              <w:spacing w:after="0"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液量体积μl</w:t>
            </w:r>
          </w:p>
        </w:tc>
        <w:tc>
          <w:tcPr>
            <w:tcW w:w="2298" w:type="dxa"/>
            <w:noWrap/>
            <w:vAlign w:val="top"/>
          </w:tcPr>
          <w:p>
            <w:pPr>
              <w:pStyle w:val="88"/>
              <w:spacing w:after="0" w:line="240" w:lineRule="auto"/>
              <w:ind w:left="360" w:firstLine="44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错误率</w:t>
            </w:r>
          </w:p>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ul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p>
        </w:tc>
        <w:tc>
          <w:tcPr>
            <w:tcW w:w="2234" w:type="dxa"/>
            <w:noWrap/>
            <w:vAlign w:val="top"/>
          </w:tcPr>
          <w:p>
            <w:pPr>
              <w:pStyle w:val="88"/>
              <w:spacing w:after="0"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不精确率</w:t>
            </w:r>
          </w:p>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S.d.ul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09" w:type="dxa"/>
            <w:vMerge w:val="restart"/>
            <w:noWrap/>
            <w:vAlign w:val="center"/>
          </w:tcPr>
          <w:p>
            <w:pPr>
              <w:pStyle w:val="88"/>
              <w:spacing w:after="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1 - 10ul</w:t>
            </w:r>
          </w:p>
        </w:tc>
        <w:tc>
          <w:tcPr>
            <w:tcW w:w="1394" w:type="dxa"/>
            <w:noWrap/>
            <w:vAlign w:val="center"/>
          </w:tcPr>
          <w:p>
            <w:pPr>
              <w:pStyle w:val="88"/>
              <w:spacing w:after="0"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2298"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100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00</w:t>
            </w:r>
          </w:p>
        </w:tc>
        <w:tc>
          <w:tcPr>
            <w:tcW w:w="2234"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050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09" w:type="dxa"/>
            <w:vMerge w:val="continue"/>
            <w:noWrap/>
            <w:vAlign w:val="center"/>
          </w:tcPr>
          <w:p>
            <w:pPr>
              <w:pStyle w:val="88"/>
              <w:spacing w:after="0" w:line="240" w:lineRule="auto"/>
              <w:ind w:left="360" w:firstLine="440"/>
              <w:jc w:val="center"/>
              <w:rPr>
                <w:rFonts w:hint="eastAsia" w:ascii="宋体" w:hAnsi="宋体" w:eastAsia="宋体" w:cs="宋体"/>
                <w:sz w:val="21"/>
                <w:szCs w:val="21"/>
              </w:rPr>
            </w:pPr>
          </w:p>
        </w:tc>
        <w:tc>
          <w:tcPr>
            <w:tcW w:w="1394" w:type="dxa"/>
            <w:noWrap/>
            <w:vAlign w:val="center"/>
          </w:tcPr>
          <w:p>
            <w:pPr>
              <w:pStyle w:val="88"/>
              <w:spacing w:after="0"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298"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025</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50</w:t>
            </w:r>
          </w:p>
        </w:tc>
        <w:tc>
          <w:tcPr>
            <w:tcW w:w="2234"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020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09" w:type="dxa"/>
            <w:vMerge w:val="restart"/>
            <w:noWrap/>
            <w:vAlign w:val="center"/>
          </w:tcPr>
          <w:p>
            <w:pPr>
              <w:pStyle w:val="88"/>
              <w:spacing w:after="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10 - 100</w:t>
            </w:r>
            <w:bookmarkStart w:id="315" w:name="OLE_LINK3"/>
            <w:r>
              <w:rPr>
                <w:rFonts w:hint="eastAsia" w:ascii="宋体" w:hAnsi="宋体" w:eastAsia="宋体" w:cs="宋体"/>
                <w:sz w:val="21"/>
                <w:szCs w:val="21"/>
              </w:rPr>
              <w:t>ul</w:t>
            </w:r>
            <w:bookmarkEnd w:id="315"/>
          </w:p>
        </w:tc>
        <w:tc>
          <w:tcPr>
            <w:tcW w:w="1394" w:type="dxa"/>
            <w:noWrap/>
            <w:vAlign w:val="center"/>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2298"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80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80</w:t>
            </w:r>
          </w:p>
        </w:tc>
        <w:tc>
          <w:tcPr>
            <w:tcW w:w="2234"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09" w:type="dxa"/>
            <w:vMerge w:val="continue"/>
            <w:noWrap/>
            <w:vAlign w:val="center"/>
          </w:tcPr>
          <w:p>
            <w:pPr>
              <w:pStyle w:val="88"/>
              <w:spacing w:after="0" w:line="240" w:lineRule="auto"/>
              <w:ind w:left="360" w:firstLine="440"/>
              <w:jc w:val="center"/>
              <w:rPr>
                <w:rFonts w:hint="eastAsia" w:ascii="宋体" w:hAnsi="宋体" w:eastAsia="宋体" w:cs="宋体"/>
                <w:sz w:val="21"/>
                <w:szCs w:val="21"/>
              </w:rPr>
            </w:pPr>
          </w:p>
        </w:tc>
        <w:tc>
          <w:tcPr>
            <w:tcW w:w="1394" w:type="dxa"/>
            <w:noWrap/>
            <w:vAlign w:val="center"/>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298"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30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00</w:t>
            </w:r>
          </w:p>
        </w:tc>
        <w:tc>
          <w:tcPr>
            <w:tcW w:w="2234"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09" w:type="dxa"/>
            <w:vMerge w:val="restart"/>
            <w:noWrap/>
            <w:vAlign w:val="center"/>
          </w:tcPr>
          <w:p>
            <w:pPr>
              <w:pStyle w:val="88"/>
              <w:spacing w:after="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100 - 1000</w:t>
            </w:r>
            <w:r>
              <w:rPr>
                <w:rFonts w:hint="eastAsia" w:ascii="宋体" w:hAnsi="宋体" w:eastAsia="宋体" w:cs="宋体"/>
                <w:sz w:val="21"/>
                <w:szCs w:val="21"/>
              </w:rPr>
              <w:t>ul</w:t>
            </w:r>
          </w:p>
        </w:tc>
        <w:tc>
          <w:tcPr>
            <w:tcW w:w="1394" w:type="dxa"/>
            <w:noWrap/>
            <w:vAlign w:val="center"/>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c>
          <w:tcPr>
            <w:tcW w:w="2298"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60</w:t>
            </w:r>
          </w:p>
        </w:tc>
        <w:tc>
          <w:tcPr>
            <w:tcW w:w="2234" w:type="dxa"/>
            <w:noWrap/>
            <w:vAlign w:val="top"/>
          </w:tcPr>
          <w:p>
            <w:pPr>
              <w:pStyle w:val="88"/>
              <w:spacing w:after="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09" w:type="dxa"/>
            <w:vMerge w:val="continue"/>
            <w:noWrap/>
            <w:vAlign w:val="top"/>
          </w:tcPr>
          <w:p>
            <w:pPr>
              <w:pStyle w:val="88"/>
              <w:spacing w:after="0" w:line="240" w:lineRule="auto"/>
              <w:ind w:left="360" w:firstLine="440"/>
              <w:jc w:val="center"/>
              <w:rPr>
                <w:rFonts w:hint="eastAsia" w:ascii="宋体" w:hAnsi="宋体" w:eastAsia="宋体" w:cs="宋体"/>
                <w:sz w:val="21"/>
                <w:szCs w:val="21"/>
              </w:rPr>
            </w:pPr>
          </w:p>
        </w:tc>
        <w:tc>
          <w:tcPr>
            <w:tcW w:w="1394" w:type="dxa"/>
            <w:noWrap/>
            <w:vAlign w:val="center"/>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2298" w:type="dxa"/>
            <w:noWrap/>
            <w:vAlign w:val="top"/>
          </w:tcPr>
          <w:p>
            <w:pPr>
              <w:pStyle w:val="88"/>
              <w:spacing w:after="0" w:line="240" w:lineRule="auto"/>
              <w:ind w:left="0" w:leftChars="0" w:firstLine="0"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±1.0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±1.00</w:t>
            </w:r>
          </w:p>
        </w:tc>
        <w:tc>
          <w:tcPr>
            <w:tcW w:w="2234" w:type="dxa"/>
            <w:noWrap/>
            <w:vAlign w:val="top"/>
          </w:tcPr>
          <w:p>
            <w:pPr>
              <w:pStyle w:val="88"/>
              <w:spacing w:after="0"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0.6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0.60</w:t>
            </w:r>
          </w:p>
        </w:tc>
      </w:tr>
    </w:tbl>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八、</w:t>
      </w:r>
      <w:r>
        <w:rPr>
          <w:rFonts w:hint="eastAsia" w:ascii="宋体" w:hAnsi="宋体" w:eastAsia="宋体" w:cs="宋体"/>
          <w:b/>
          <w:bCs/>
          <w:sz w:val="24"/>
          <w:szCs w:val="24"/>
          <w:highlight w:val="none"/>
        </w:rPr>
        <w:t>多道移液器参数(8道)</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可高温高压灭菌和紫外线灭菌</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带微量刻度尺</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颜色标识移液器量程</w:t>
      </w:r>
    </w:p>
    <w:p>
      <w:pPr>
        <w:pStyle w:val="88"/>
        <w:spacing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配校准保养工具，易便于维修保养</w:t>
      </w:r>
    </w:p>
    <w:p>
      <w:pPr>
        <w:pStyle w:val="88"/>
        <w:spacing w:line="360" w:lineRule="auto"/>
        <w:outlineLvl w:val="9"/>
        <w:rPr>
          <w:rFonts w:hint="eastAsia" w:ascii="宋体" w:hAnsi="宋体" w:eastAsia="宋体" w:cs="宋体"/>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03"/>
        <w:gridCol w:w="233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23" w:type="dxa"/>
            <w:noWrap w:val="0"/>
            <w:vAlign w:val="center"/>
          </w:tcPr>
          <w:p>
            <w:pPr>
              <w:pStyle w:val="88"/>
              <w:spacing w:after="0" w:line="240" w:lineRule="auto"/>
              <w:ind w:left="0" w:leftChars="0" w:firstLine="210" w:firstLineChars="1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量程 ul</w:t>
            </w:r>
          </w:p>
        </w:tc>
        <w:tc>
          <w:tcPr>
            <w:tcW w:w="1403" w:type="dxa"/>
            <w:noWrap w:val="0"/>
            <w:vAlign w:val="center"/>
          </w:tcPr>
          <w:p>
            <w:pPr>
              <w:pStyle w:val="88"/>
              <w:spacing w:after="0" w:line="240" w:lineRule="auto"/>
              <w:ind w:left="0" w:leftChars="0" w:firstLine="0" w:firstLineChars="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液量</w:t>
            </w:r>
            <w:r>
              <w:rPr>
                <w:rFonts w:hint="eastAsia" w:ascii="宋体" w:hAnsi="宋体" w:eastAsia="宋体" w:cs="宋体"/>
                <w:b w:val="0"/>
                <w:bCs w:val="0"/>
                <w:color w:val="auto"/>
                <w:sz w:val="21"/>
                <w:szCs w:val="21"/>
              </w:rPr>
              <w:t>体积μl</w:t>
            </w:r>
          </w:p>
        </w:tc>
        <w:tc>
          <w:tcPr>
            <w:tcW w:w="2335" w:type="dxa"/>
            <w:noWrap/>
            <w:vAlign w:val="top"/>
          </w:tcPr>
          <w:p>
            <w:pPr>
              <w:pStyle w:val="88"/>
              <w:spacing w:after="0" w:line="24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错误率</w:t>
            </w:r>
          </w:p>
          <w:p>
            <w:pPr>
              <w:pStyle w:val="88"/>
              <w:spacing w:after="0" w:line="240" w:lineRule="auto"/>
              <w:ind w:left="0" w:leftChars="0" w:firstLine="210" w:firstLineChars="1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ul</w:t>
            </w: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w:t>
            </w:r>
          </w:p>
        </w:tc>
        <w:tc>
          <w:tcPr>
            <w:tcW w:w="2280" w:type="dxa"/>
            <w:noWrap/>
            <w:vAlign w:val="top"/>
          </w:tcPr>
          <w:p>
            <w:pPr>
              <w:pStyle w:val="88"/>
              <w:spacing w:after="0" w:line="240" w:lineRule="auto"/>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不精确率</w:t>
            </w:r>
          </w:p>
          <w:p>
            <w:pPr>
              <w:pStyle w:val="88"/>
              <w:spacing w:after="0" w:line="240" w:lineRule="auto"/>
              <w:ind w:left="0" w:leftChars="0" w:firstLine="210" w:firstLineChars="1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S.d. </w:t>
            </w:r>
            <w:r>
              <w:rPr>
                <w:rFonts w:hint="eastAsia" w:ascii="宋体" w:hAnsi="宋体" w:eastAsia="宋体" w:cs="宋体"/>
                <w:b w:val="0"/>
                <w:bCs w:val="0"/>
                <w:color w:val="auto"/>
                <w:sz w:val="21"/>
                <w:szCs w:val="21"/>
              </w:rPr>
              <w:t>ul</w:t>
            </w: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23" w:type="dxa"/>
            <w:vMerge w:val="restart"/>
            <w:noWrap/>
            <w:vAlign w:val="center"/>
          </w:tcPr>
          <w:p>
            <w:pPr>
              <w:pStyle w:val="88"/>
              <w:spacing w:after="0" w:line="240" w:lineRule="auto"/>
              <w:jc w:val="both"/>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- 10</w:t>
            </w:r>
          </w:p>
        </w:tc>
        <w:tc>
          <w:tcPr>
            <w:tcW w:w="1403" w:type="dxa"/>
            <w:noWrap/>
            <w:vAlign w:val="center"/>
          </w:tcPr>
          <w:p>
            <w:pPr>
              <w:pStyle w:val="88"/>
              <w:spacing w:after="0" w:line="24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2335" w:type="dxa"/>
            <w:noWrap/>
            <w:vAlign w:val="top"/>
          </w:tcPr>
          <w:p>
            <w:pPr>
              <w:pStyle w:val="88"/>
              <w:spacing w:after="0"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±0.100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±1.00</w:t>
            </w:r>
          </w:p>
        </w:tc>
        <w:tc>
          <w:tcPr>
            <w:tcW w:w="2280" w:type="dxa"/>
            <w:noWrap/>
            <w:vAlign w:val="top"/>
          </w:tcPr>
          <w:p>
            <w:pPr>
              <w:pStyle w:val="88"/>
              <w:spacing w:after="0" w:line="240" w:lineRule="auto"/>
              <w:ind w:left="0" w:leftChars="0" w:firstLine="210" w:firstLineChars="1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050</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23" w:type="dxa"/>
            <w:vMerge w:val="continue"/>
            <w:noWrap/>
            <w:vAlign w:val="center"/>
          </w:tcPr>
          <w:p>
            <w:pPr>
              <w:pStyle w:val="88"/>
              <w:spacing w:after="0" w:line="240" w:lineRule="auto"/>
              <w:ind w:left="360" w:firstLine="440"/>
              <w:jc w:val="center"/>
              <w:rPr>
                <w:rFonts w:hint="eastAsia" w:ascii="宋体" w:hAnsi="宋体" w:eastAsia="宋体" w:cs="宋体"/>
                <w:b w:val="0"/>
                <w:bCs w:val="0"/>
                <w:color w:val="auto"/>
                <w:sz w:val="21"/>
                <w:szCs w:val="21"/>
              </w:rPr>
            </w:pPr>
          </w:p>
        </w:tc>
        <w:tc>
          <w:tcPr>
            <w:tcW w:w="1403" w:type="dxa"/>
            <w:noWrap/>
            <w:vAlign w:val="center"/>
          </w:tcPr>
          <w:p>
            <w:pPr>
              <w:pStyle w:val="88"/>
              <w:spacing w:after="0" w:line="24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335" w:type="dxa"/>
            <w:noWrap/>
            <w:vAlign w:val="top"/>
          </w:tcPr>
          <w:p>
            <w:pPr>
              <w:pStyle w:val="88"/>
              <w:spacing w:after="0"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±0.025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±2.50</w:t>
            </w:r>
          </w:p>
        </w:tc>
        <w:tc>
          <w:tcPr>
            <w:tcW w:w="2280" w:type="dxa"/>
            <w:noWrap/>
            <w:vAlign w:val="top"/>
          </w:tcPr>
          <w:p>
            <w:pPr>
              <w:pStyle w:val="88"/>
              <w:spacing w:after="0" w:line="240" w:lineRule="auto"/>
              <w:ind w:left="0" w:leftChars="0" w:firstLine="210" w:firstLineChars="1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020</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3" w:type="dxa"/>
            <w:vMerge w:val="restart"/>
            <w:noWrap/>
            <w:vAlign w:val="center"/>
          </w:tcPr>
          <w:p>
            <w:pPr>
              <w:pStyle w:val="88"/>
              <w:spacing w:after="0" w:line="240" w:lineRule="auto"/>
              <w:ind w:left="0" w:lef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10 - 100</w:t>
            </w:r>
          </w:p>
        </w:tc>
        <w:tc>
          <w:tcPr>
            <w:tcW w:w="1403" w:type="dxa"/>
            <w:noWrap/>
            <w:vAlign w:val="center"/>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2335" w:type="dxa"/>
            <w:noWrap/>
            <w:vAlign w:val="top"/>
          </w:tcPr>
          <w:p>
            <w:pPr>
              <w:pStyle w:val="88"/>
              <w:spacing w:after="0"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±0.80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±0.80</w:t>
            </w:r>
          </w:p>
        </w:tc>
        <w:tc>
          <w:tcPr>
            <w:tcW w:w="2280" w:type="dxa"/>
            <w:noWrap/>
            <w:vAlign w:val="top"/>
          </w:tcPr>
          <w:p>
            <w:pPr>
              <w:pStyle w:val="88"/>
              <w:spacing w:after="0" w:line="240" w:lineRule="auto"/>
              <w:ind w:left="0" w:lef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23" w:type="dxa"/>
            <w:vMerge w:val="continue"/>
            <w:noWrap/>
            <w:vAlign w:val="center"/>
          </w:tcPr>
          <w:p>
            <w:pPr>
              <w:pStyle w:val="88"/>
              <w:spacing w:after="0" w:line="240" w:lineRule="auto"/>
              <w:ind w:left="360" w:firstLine="440"/>
              <w:jc w:val="center"/>
              <w:rPr>
                <w:rFonts w:hint="eastAsia" w:ascii="宋体" w:hAnsi="宋体" w:eastAsia="宋体" w:cs="宋体"/>
                <w:sz w:val="21"/>
                <w:szCs w:val="21"/>
              </w:rPr>
            </w:pPr>
          </w:p>
        </w:tc>
        <w:tc>
          <w:tcPr>
            <w:tcW w:w="1403" w:type="dxa"/>
            <w:noWrap/>
            <w:vAlign w:val="center"/>
          </w:tcPr>
          <w:p>
            <w:pPr>
              <w:pStyle w:val="88"/>
              <w:spacing w:after="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335" w:type="dxa"/>
            <w:noWrap/>
            <w:vAlign w:val="top"/>
          </w:tcPr>
          <w:p>
            <w:pPr>
              <w:pStyle w:val="88"/>
              <w:spacing w:after="0" w:line="24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±0.30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±3.00</w:t>
            </w:r>
          </w:p>
        </w:tc>
        <w:tc>
          <w:tcPr>
            <w:tcW w:w="2280" w:type="dxa"/>
            <w:noWrap/>
            <w:vAlign w:val="top"/>
          </w:tcPr>
          <w:p>
            <w:pPr>
              <w:pStyle w:val="88"/>
              <w:spacing w:after="0" w:line="240" w:lineRule="auto"/>
              <w:ind w:left="0" w:lef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00</w:t>
            </w:r>
          </w:p>
        </w:tc>
      </w:tr>
    </w:tbl>
    <w:p>
      <w:pPr>
        <w:pStyle w:val="34"/>
        <w:spacing w:line="360" w:lineRule="auto"/>
        <w:ind w:left="0" w:leftChars="0" w:firstLine="0" w:firstLineChars="0"/>
        <w:outlineLvl w:val="9"/>
        <w:rPr>
          <w:rFonts w:hint="eastAsia" w:ascii="宋体" w:hAnsi="宋体" w:eastAsia="宋体" w:cs="宋体"/>
          <w:sz w:val="24"/>
          <w:szCs w:val="24"/>
        </w:rPr>
      </w:pPr>
    </w:p>
    <w:p>
      <w:pPr>
        <w:pStyle w:val="34"/>
        <w:spacing w:line="360" w:lineRule="auto"/>
        <w:ind w:left="0" w:leftChars="0" w:firstLine="0" w:firstLineChars="0"/>
        <w:outlineLvl w:val="9"/>
        <w:rPr>
          <w:rFonts w:hint="eastAsia" w:ascii="宋体" w:hAnsi="宋体" w:eastAsia="宋体" w:cs="宋体"/>
          <w:sz w:val="24"/>
          <w:szCs w:val="24"/>
          <w:lang w:val="en-US" w:eastAsia="zh-CN"/>
        </w:rPr>
      </w:pPr>
    </w:p>
    <w:p>
      <w:pPr>
        <w:spacing w:line="360" w:lineRule="auto"/>
        <w:outlineLvl w:val="9"/>
        <w:rPr>
          <w:rFonts w:hint="eastAsia" w:ascii="宋体" w:hAnsi="宋体" w:eastAsia="宋体" w:cs="宋体"/>
          <w:sz w:val="24"/>
          <w:szCs w:val="24"/>
        </w:rPr>
      </w:pPr>
    </w:p>
    <w:p>
      <w:pPr>
        <w:pStyle w:val="34"/>
        <w:spacing w:line="360" w:lineRule="auto"/>
        <w:outlineLvl w:val="9"/>
        <w:rPr>
          <w:rFonts w:hint="eastAsia" w:ascii="宋体" w:hAnsi="宋体" w:eastAsia="宋体" w:cs="宋体"/>
          <w:sz w:val="24"/>
          <w:szCs w:val="24"/>
          <w:lang w:val="en-US" w:eastAsia="zh-CN"/>
        </w:rPr>
      </w:pPr>
    </w:p>
    <w:p>
      <w:pPr>
        <w:pStyle w:val="34"/>
        <w:spacing w:line="360" w:lineRule="auto"/>
        <w:ind w:left="0" w:leftChars="0" w:firstLine="0" w:firstLineChars="0"/>
        <w:outlineLvl w:val="9"/>
        <w:rPr>
          <w:rFonts w:hint="eastAsia" w:ascii="宋体" w:hAnsi="宋体" w:eastAsia="宋体" w:cs="宋体"/>
          <w:sz w:val="24"/>
          <w:szCs w:val="24"/>
        </w:rPr>
      </w:pPr>
    </w:p>
    <w:p/>
    <w:tbl>
      <w:tblPr>
        <w:tblStyle w:val="35"/>
        <w:tblW w:w="501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91"/>
        <w:gridCol w:w="713"/>
        <w:gridCol w:w="398"/>
        <w:gridCol w:w="72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nil"/>
              <w:left w:val="nil"/>
              <w:bottom w:val="single" w:color="000000" w:sz="8" w:space="0"/>
              <w:right w:val="nil"/>
            </w:tcBorders>
            <w:vAlign w:val="center"/>
          </w:tcPr>
          <w:p>
            <w:pPr>
              <w:keepNext/>
              <w:jc w:val="center"/>
              <w:rPr>
                <w:rFonts w:ascii="宋体" w:hAnsi="宋体" w:cs="宋体"/>
                <w:sz w:val="40"/>
                <w:szCs w:val="40"/>
                <w:lang w:bidi="zh-CN"/>
              </w:rPr>
            </w:pPr>
            <w:bookmarkStart w:id="316" w:name="_Toc108721142"/>
            <w:r>
              <w:rPr>
                <w:rFonts w:hint="eastAsia" w:ascii="宋体" w:hAnsi="宋体" w:cs="宋体"/>
                <w:sz w:val="40"/>
                <w:szCs w:val="40"/>
                <w:lang w:bidi="zh-CN"/>
              </w:rPr>
              <w:t>第二包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380" w:type="pct"/>
            <w:tcBorders>
              <w:top w:val="single" w:color="000000" w:sz="8" w:space="0"/>
            </w:tcBorders>
            <w:vAlign w:val="center"/>
          </w:tcPr>
          <w:p>
            <w:pPr>
              <w:keepNext/>
              <w:rPr>
                <w:rFonts w:ascii="宋体" w:hAnsi="宋体" w:cs="宋体"/>
                <w:sz w:val="24"/>
                <w:lang w:val="zh-CN" w:bidi="zh-CN"/>
              </w:rPr>
            </w:pPr>
            <w:r>
              <w:rPr>
                <w:rFonts w:hint="eastAsia" w:ascii="宋体" w:hAnsi="宋体" w:cs="宋体"/>
                <w:sz w:val="24"/>
                <w:lang w:val="zh-CN" w:bidi="zh-CN"/>
              </w:rPr>
              <w:t>序号</w:t>
            </w:r>
          </w:p>
        </w:tc>
        <w:tc>
          <w:tcPr>
            <w:tcW w:w="392" w:type="pct"/>
            <w:tcBorders>
              <w:top w:val="single" w:color="000000" w:sz="8" w:space="0"/>
            </w:tcBorders>
            <w:vAlign w:val="center"/>
          </w:tcPr>
          <w:p>
            <w:pPr>
              <w:keepNext/>
              <w:rPr>
                <w:rFonts w:ascii="宋体" w:hAnsi="宋体" w:cs="宋体"/>
                <w:sz w:val="24"/>
                <w:lang w:val="zh-CN" w:bidi="zh-CN"/>
              </w:rPr>
            </w:pPr>
            <w:r>
              <w:rPr>
                <w:rFonts w:hint="eastAsia" w:ascii="宋体" w:hAnsi="宋体" w:cs="宋体"/>
                <w:sz w:val="24"/>
                <w:lang w:val="zh-CN" w:bidi="zh-CN"/>
              </w:rPr>
              <w:t>设备名称</w:t>
            </w:r>
          </w:p>
        </w:tc>
        <w:tc>
          <w:tcPr>
            <w:tcW w:w="219" w:type="pct"/>
            <w:tcBorders>
              <w:top w:val="single" w:color="000000" w:sz="8" w:space="0"/>
            </w:tcBorders>
            <w:vAlign w:val="center"/>
          </w:tcPr>
          <w:p>
            <w:pPr>
              <w:keepNext/>
              <w:rPr>
                <w:rFonts w:ascii="宋体" w:hAnsi="宋体" w:cs="宋体"/>
                <w:sz w:val="24"/>
                <w:lang w:bidi="zh-CN"/>
              </w:rPr>
            </w:pPr>
            <w:r>
              <w:rPr>
                <w:rFonts w:hint="eastAsia" w:ascii="宋体" w:hAnsi="宋体" w:cs="宋体"/>
                <w:sz w:val="24"/>
                <w:lang w:bidi="zh-CN"/>
              </w:rPr>
              <w:t>数量</w:t>
            </w:r>
          </w:p>
        </w:tc>
        <w:tc>
          <w:tcPr>
            <w:tcW w:w="4006" w:type="pct"/>
            <w:tcBorders>
              <w:top w:val="single" w:color="000000" w:sz="8" w:space="0"/>
            </w:tcBorders>
            <w:vAlign w:val="center"/>
          </w:tcPr>
          <w:p>
            <w:pPr>
              <w:keepNext/>
              <w:rPr>
                <w:rFonts w:ascii="宋体" w:hAnsi="宋体" w:cs="宋体"/>
                <w:sz w:val="24"/>
                <w:lang w:bidi="zh-CN"/>
              </w:rPr>
            </w:pPr>
            <w:r>
              <w:rPr>
                <w:rFonts w:hint="eastAsia" w:ascii="宋体" w:hAnsi="宋体" w:cs="宋体"/>
                <w:sz w:val="24"/>
                <w:lang w:bidi="zh-CN"/>
              </w:rPr>
              <w:t>技术参数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49" w:hRule="atLeast"/>
        </w:trPr>
        <w:tc>
          <w:tcPr>
            <w:tcW w:w="380" w:type="pct"/>
            <w:vAlign w:val="center"/>
          </w:tcPr>
          <w:p>
            <w:pPr>
              <w:keepNext/>
              <w:rPr>
                <w:rFonts w:ascii="宋体" w:hAnsi="宋体" w:cs="宋体"/>
                <w:sz w:val="24"/>
              </w:rPr>
            </w:pPr>
            <w:r>
              <w:rPr>
                <w:rFonts w:hint="eastAsia" w:ascii="宋体" w:hAnsi="宋体" w:cs="宋体"/>
                <w:sz w:val="24"/>
              </w:rPr>
              <w:t xml:space="preserve"> 1</w:t>
            </w:r>
          </w:p>
        </w:tc>
        <w:tc>
          <w:tcPr>
            <w:tcW w:w="392" w:type="pct"/>
            <w:vAlign w:val="center"/>
          </w:tcPr>
          <w:p>
            <w:pPr>
              <w:keepNext/>
              <w:rPr>
                <w:rFonts w:ascii="宋体" w:hAnsi="宋体" w:cs="宋体"/>
                <w:sz w:val="24"/>
                <w:lang w:val="zh-CN"/>
              </w:rPr>
            </w:pPr>
            <w:r>
              <w:rPr>
                <w:rFonts w:hint="eastAsia" w:ascii="宋体" w:hAnsi="宋体" w:cs="宋体"/>
                <w:sz w:val="24"/>
                <w:lang w:val="zh-CN"/>
              </w:rPr>
              <w:t>离子色谱仪</w:t>
            </w:r>
          </w:p>
        </w:tc>
        <w:tc>
          <w:tcPr>
            <w:tcW w:w="219" w:type="pct"/>
            <w:vAlign w:val="center"/>
          </w:tcPr>
          <w:p>
            <w:pPr>
              <w:keepNext/>
              <w:rPr>
                <w:rFonts w:ascii="宋体" w:hAnsi="宋体" w:cs="宋体"/>
                <w:sz w:val="24"/>
              </w:rPr>
            </w:pPr>
            <w:r>
              <w:rPr>
                <w:rFonts w:hint="eastAsia" w:ascii="宋体" w:hAnsi="宋体" w:cs="宋体"/>
                <w:sz w:val="24"/>
              </w:rPr>
              <w:t xml:space="preserve"> 1</w:t>
            </w:r>
          </w:p>
        </w:tc>
        <w:tc>
          <w:tcPr>
            <w:tcW w:w="4006" w:type="pct"/>
            <w:vAlign w:val="center"/>
          </w:tcPr>
          <w:p>
            <w:pPr>
              <w:pStyle w:val="33"/>
              <w:keepNext/>
              <w:spacing w:after="120"/>
              <w:ind w:firstLine="240"/>
              <w:jc w:val="left"/>
              <w:rPr>
                <w:rFonts w:cs="宋体"/>
              </w:rPr>
            </w:pPr>
            <w:r>
              <w:rPr>
                <w:rFonts w:hint="eastAsia" w:cs="宋体"/>
              </w:rPr>
              <w:t>1 用途</w:t>
            </w:r>
          </w:p>
          <w:p>
            <w:pPr>
              <w:pStyle w:val="33"/>
              <w:keepNext/>
              <w:spacing w:after="120"/>
              <w:ind w:firstLine="240"/>
              <w:jc w:val="left"/>
              <w:rPr>
                <w:rFonts w:cs="宋体"/>
              </w:rPr>
            </w:pPr>
            <w:r>
              <w:rPr>
                <w:rFonts w:hint="eastAsia" w:cs="宋体"/>
              </w:rPr>
              <w:t>1.1 用途：可用于阴离子（如：F-、Cl-、Br-、BrO3-、NO3-、NO2-、SO42- 、PO43-、消毒副产物等）的检测分析。</w:t>
            </w:r>
          </w:p>
          <w:p>
            <w:pPr>
              <w:pStyle w:val="33"/>
              <w:keepNext/>
              <w:spacing w:after="120"/>
              <w:ind w:firstLine="240"/>
              <w:jc w:val="left"/>
              <w:rPr>
                <w:rFonts w:cs="宋体"/>
              </w:rPr>
            </w:pPr>
            <w:r>
              <w:rPr>
                <w:rFonts w:hint="eastAsia" w:cs="宋体"/>
              </w:rPr>
              <w:t>2 整机参数</w:t>
            </w:r>
          </w:p>
          <w:p>
            <w:pPr>
              <w:pStyle w:val="33"/>
              <w:keepNext/>
              <w:spacing w:after="120"/>
              <w:ind w:firstLine="240"/>
              <w:jc w:val="left"/>
              <w:rPr>
                <w:rFonts w:cs="宋体"/>
              </w:rPr>
            </w:pPr>
            <w:r>
              <w:rPr>
                <w:rFonts w:hint="eastAsia" w:cs="宋体"/>
              </w:rPr>
              <w:t>2.1系统参数</w:t>
            </w:r>
          </w:p>
          <w:p>
            <w:pPr>
              <w:pStyle w:val="33"/>
              <w:keepNext/>
              <w:spacing w:after="120"/>
              <w:ind w:firstLine="240"/>
              <w:jc w:val="left"/>
              <w:rPr>
                <w:rFonts w:cs="宋体"/>
              </w:rPr>
            </w:pPr>
            <w:r>
              <w:rPr>
                <w:rFonts w:hint="eastAsia" w:cs="宋体"/>
              </w:rPr>
              <w:t>2.1.1定性重复性：≤0.5%</w:t>
            </w:r>
          </w:p>
          <w:p>
            <w:pPr>
              <w:pStyle w:val="33"/>
              <w:keepNext/>
              <w:spacing w:after="120"/>
              <w:ind w:firstLine="240"/>
              <w:jc w:val="left"/>
              <w:rPr>
                <w:rFonts w:cs="宋体"/>
              </w:rPr>
            </w:pPr>
            <w:r>
              <w:rPr>
                <w:rFonts w:hint="eastAsia" w:cs="宋体"/>
              </w:rPr>
              <w:t>2.1.2定量重复性：≤1.0%</w:t>
            </w:r>
          </w:p>
          <w:p>
            <w:pPr>
              <w:pStyle w:val="33"/>
              <w:keepNext/>
              <w:spacing w:after="120"/>
              <w:ind w:firstLine="240"/>
              <w:jc w:val="left"/>
              <w:rPr>
                <w:rFonts w:cs="宋体"/>
              </w:rPr>
            </w:pPr>
            <w:r>
              <w:rPr>
                <w:rFonts w:hint="eastAsia" w:cs="宋体"/>
              </w:rPr>
              <w:t>2.1.3所有的离子色谱流路均标配采用原厂提供的PEEK及PTFE材质，包括分析泵本身及分析泵后至六通阀、色谱柱、抑制器、检测器之间的所有管路</w:t>
            </w:r>
          </w:p>
          <w:p>
            <w:pPr>
              <w:pStyle w:val="33"/>
              <w:keepNext/>
              <w:spacing w:after="120"/>
              <w:ind w:firstLine="240"/>
              <w:jc w:val="left"/>
              <w:rPr>
                <w:rFonts w:cs="宋体"/>
              </w:rPr>
            </w:pPr>
            <w:r>
              <w:rPr>
                <w:rFonts w:hint="eastAsia" w:cs="宋体"/>
              </w:rPr>
              <w:t>2.2 色谱泵系统</w:t>
            </w:r>
          </w:p>
          <w:p>
            <w:pPr>
              <w:pStyle w:val="33"/>
              <w:keepNext/>
              <w:spacing w:after="120"/>
              <w:ind w:firstLine="240"/>
              <w:jc w:val="left"/>
              <w:rPr>
                <w:rFonts w:cs="宋体"/>
              </w:rPr>
            </w:pPr>
            <w:r>
              <w:rPr>
                <w:rFonts w:hint="eastAsia" w:cs="宋体"/>
              </w:rPr>
              <w:t>2.2.1 高性能/低脉冲双柱塞泵，采用惰性全PEEK泵头、PEEK管路，适合于pH为0~14的淋洗液及反相有机溶剂</w:t>
            </w:r>
          </w:p>
          <w:p>
            <w:pPr>
              <w:pStyle w:val="33"/>
              <w:keepNext/>
              <w:spacing w:after="120"/>
              <w:ind w:firstLine="240"/>
              <w:jc w:val="left"/>
              <w:rPr>
                <w:rFonts w:hint="eastAsia" w:cs="宋体"/>
              </w:rPr>
            </w:pPr>
            <w:r>
              <w:rPr>
                <w:rFonts w:hint="eastAsia" w:cs="宋体"/>
              </w:rPr>
              <w:t>2.2.2全PEEK泵流量：（0.001～10.000）mL/min；</w:t>
            </w:r>
          </w:p>
          <w:p>
            <w:pPr>
              <w:pStyle w:val="33"/>
              <w:keepNext/>
              <w:spacing w:after="120"/>
              <w:ind w:firstLine="240"/>
              <w:jc w:val="left"/>
              <w:rPr>
                <w:rFonts w:cs="宋体"/>
              </w:rPr>
            </w:pPr>
            <w:r>
              <w:rPr>
                <w:rFonts w:hint="eastAsia" w:cs="宋体"/>
              </w:rPr>
              <w:t xml:space="preserve">2.2.3泵头耐压：（0～35）MPa； </w:t>
            </w:r>
          </w:p>
          <w:p>
            <w:pPr>
              <w:pStyle w:val="33"/>
              <w:keepNext/>
              <w:spacing w:after="120"/>
              <w:ind w:firstLine="240"/>
              <w:jc w:val="left"/>
              <w:rPr>
                <w:rFonts w:cs="宋体"/>
              </w:rPr>
            </w:pPr>
            <w:r>
              <w:rPr>
                <w:rFonts w:hint="eastAsia" w:cs="宋体"/>
              </w:rPr>
              <w:t>2.2.4 流量设定误差：≤0.1%</w:t>
            </w:r>
          </w:p>
          <w:p>
            <w:pPr>
              <w:pStyle w:val="33"/>
              <w:keepNext/>
              <w:spacing w:after="120"/>
              <w:ind w:firstLine="240"/>
              <w:jc w:val="left"/>
              <w:rPr>
                <w:rFonts w:cs="宋体"/>
              </w:rPr>
            </w:pPr>
            <w:r>
              <w:rPr>
                <w:rFonts w:hint="eastAsia" w:cs="宋体"/>
              </w:rPr>
              <w:t>2.2.5 流量稳定性：≤0.1%</w:t>
            </w:r>
          </w:p>
          <w:p>
            <w:pPr>
              <w:pStyle w:val="33"/>
              <w:keepNext/>
              <w:spacing w:after="120"/>
              <w:ind w:firstLine="240"/>
              <w:jc w:val="left"/>
              <w:rPr>
                <w:rFonts w:cs="宋体"/>
              </w:rPr>
            </w:pPr>
            <w:r>
              <w:rPr>
                <w:rFonts w:hint="eastAsia" w:cs="宋体"/>
              </w:rPr>
              <w:t>2.2.6 压力显示精度：0.01Mpa</w:t>
            </w:r>
          </w:p>
          <w:p>
            <w:pPr>
              <w:pStyle w:val="33"/>
              <w:keepNext/>
              <w:spacing w:after="120"/>
              <w:ind w:firstLine="240"/>
              <w:jc w:val="left"/>
              <w:rPr>
                <w:rFonts w:cs="宋体"/>
              </w:rPr>
            </w:pPr>
            <w:r>
              <w:rPr>
                <w:rFonts w:hint="eastAsia" w:cs="宋体"/>
              </w:rPr>
              <w:t>2.2.7压力脉动：≤0.5%</w:t>
            </w:r>
          </w:p>
          <w:p>
            <w:pPr>
              <w:pStyle w:val="33"/>
              <w:keepNext/>
              <w:spacing w:after="120"/>
              <w:ind w:firstLine="240"/>
              <w:jc w:val="left"/>
              <w:rPr>
                <w:rFonts w:cs="宋体"/>
              </w:rPr>
            </w:pPr>
            <w:r>
              <w:rPr>
                <w:rFonts w:hint="eastAsia" w:cs="宋体"/>
              </w:rPr>
              <w:t>2.3 电导检测器</w:t>
            </w:r>
          </w:p>
          <w:p>
            <w:pPr>
              <w:pStyle w:val="33"/>
              <w:keepNext/>
              <w:spacing w:after="120"/>
              <w:ind w:firstLine="240"/>
              <w:jc w:val="left"/>
              <w:rPr>
                <w:rFonts w:cs="宋体"/>
              </w:rPr>
            </w:pPr>
            <w:r>
              <w:rPr>
                <w:rFonts w:hint="eastAsia" w:cs="宋体"/>
              </w:rPr>
              <w:t>2.3.1基线噪声：≤0.1%FS</w:t>
            </w:r>
          </w:p>
          <w:p>
            <w:pPr>
              <w:pStyle w:val="33"/>
              <w:keepNext/>
              <w:spacing w:after="120"/>
              <w:ind w:firstLine="240"/>
              <w:jc w:val="left"/>
              <w:rPr>
                <w:rFonts w:cs="宋体"/>
              </w:rPr>
            </w:pPr>
            <w:r>
              <w:rPr>
                <w:rFonts w:hint="eastAsia" w:cs="宋体"/>
              </w:rPr>
              <w:t>2.3.2基线漂移：≤0.5%FS</w:t>
            </w:r>
          </w:p>
          <w:p>
            <w:pPr>
              <w:pStyle w:val="33"/>
              <w:keepNext/>
              <w:spacing w:after="120"/>
              <w:ind w:firstLine="240"/>
              <w:jc w:val="left"/>
              <w:rPr>
                <w:rFonts w:hint="eastAsia" w:cs="宋体"/>
              </w:rPr>
            </w:pPr>
            <w:r>
              <w:rPr>
                <w:rFonts w:hint="eastAsia" w:cs="宋体"/>
              </w:rPr>
              <w:t>2.3.3最小检出浓度（Cl）：≤0.0002μg/mL</w:t>
            </w:r>
          </w:p>
          <w:p>
            <w:pPr>
              <w:pStyle w:val="33"/>
              <w:keepNext/>
              <w:spacing w:after="120"/>
              <w:ind w:firstLine="240"/>
              <w:jc w:val="left"/>
              <w:rPr>
                <w:rFonts w:cs="宋体"/>
              </w:rPr>
            </w:pPr>
            <w:r>
              <w:rPr>
                <w:rFonts w:hint="eastAsia" w:cs="宋体"/>
              </w:rPr>
              <w:t>2.3.4最小检出浓度（Li）：≤0.0001μg/mL</w:t>
            </w:r>
          </w:p>
          <w:p>
            <w:pPr>
              <w:pStyle w:val="33"/>
              <w:keepNext/>
              <w:spacing w:after="120"/>
              <w:ind w:firstLine="240"/>
              <w:jc w:val="left"/>
              <w:rPr>
                <w:rFonts w:cs="宋体"/>
              </w:rPr>
            </w:pPr>
            <w:r>
              <w:rPr>
                <w:rFonts w:hint="eastAsia" w:cs="宋体"/>
              </w:rPr>
              <w:t>2.3.5 数字电导检测器,输出值为电导率值，单位为μS/cm。</w:t>
            </w:r>
          </w:p>
          <w:p>
            <w:pPr>
              <w:pStyle w:val="33"/>
              <w:keepNext/>
              <w:spacing w:after="120"/>
              <w:ind w:firstLine="240"/>
              <w:jc w:val="left"/>
              <w:rPr>
                <w:rFonts w:cs="宋体"/>
              </w:rPr>
            </w:pPr>
            <w:r>
              <w:rPr>
                <w:rFonts w:hint="eastAsia" w:cs="宋体"/>
              </w:rPr>
              <w:t>2.3.6 电导池体积：≤0.</w:t>
            </w:r>
            <w:r>
              <w:rPr>
                <w:rFonts w:hint="eastAsia" w:cs="宋体"/>
                <w:lang w:val="en-US" w:eastAsia="zh-CN"/>
              </w:rPr>
              <w:t>8</w:t>
            </w:r>
            <w:r>
              <w:rPr>
                <w:rFonts w:hint="eastAsia" w:cs="宋体"/>
              </w:rPr>
              <w:t>μL</w:t>
            </w:r>
          </w:p>
          <w:p>
            <w:pPr>
              <w:pStyle w:val="33"/>
              <w:keepNext/>
              <w:spacing w:after="120"/>
              <w:ind w:firstLine="240"/>
              <w:jc w:val="left"/>
              <w:rPr>
                <w:rFonts w:cs="宋体"/>
              </w:rPr>
            </w:pPr>
            <w:r>
              <w:rPr>
                <w:rFonts w:hint="eastAsia" w:cs="宋体"/>
              </w:rPr>
              <w:t>2.3.7电导检测范围：0-</w:t>
            </w:r>
            <w:r>
              <w:rPr>
                <w:rFonts w:hint="eastAsia" w:cs="宋体"/>
                <w:lang w:val="en-US" w:eastAsia="zh-CN"/>
              </w:rPr>
              <w:t>1</w:t>
            </w:r>
            <w:bookmarkStart w:id="329" w:name="_GoBack"/>
            <w:bookmarkEnd w:id="329"/>
            <w:r>
              <w:rPr>
                <w:rFonts w:hint="eastAsia" w:cs="宋体"/>
              </w:rPr>
              <w:t xml:space="preserve">5000μS/cm </w:t>
            </w:r>
          </w:p>
          <w:p>
            <w:pPr>
              <w:pStyle w:val="33"/>
              <w:keepNext/>
              <w:spacing w:after="120"/>
              <w:ind w:firstLine="240"/>
              <w:jc w:val="left"/>
              <w:rPr>
                <w:rFonts w:cs="宋体"/>
              </w:rPr>
            </w:pPr>
            <w:r>
              <w:rPr>
                <w:rFonts w:hint="eastAsia" w:cs="宋体"/>
              </w:rPr>
              <w:t xml:space="preserve">2.3.6检测器分辨率：0.00238nS/cm </w:t>
            </w:r>
          </w:p>
          <w:p>
            <w:pPr>
              <w:pStyle w:val="33"/>
              <w:keepNext/>
              <w:spacing w:after="120"/>
              <w:ind w:firstLine="240"/>
              <w:jc w:val="left"/>
              <w:rPr>
                <w:rFonts w:cs="宋体"/>
              </w:rPr>
            </w:pPr>
            <w:r>
              <w:rPr>
                <w:rFonts w:hint="eastAsia" w:cs="宋体"/>
              </w:rPr>
              <w:t>2.4 抑制器</w:t>
            </w:r>
          </w:p>
          <w:p>
            <w:pPr>
              <w:pStyle w:val="33"/>
              <w:keepNext/>
              <w:spacing w:after="120"/>
              <w:ind w:firstLine="240"/>
              <w:jc w:val="left"/>
              <w:rPr>
                <w:rFonts w:cs="宋体"/>
              </w:rPr>
            </w:pPr>
            <w:r>
              <w:rPr>
                <w:rFonts w:hint="eastAsia" w:cs="宋体"/>
              </w:rPr>
              <w:t>2.4.1具备原厂生产的电解自动再生膜抑制器，无需外加硫酸进行轮流再生。具有高容量，免维护，低背景电导，低背景噪声和稳定的基线，无需蠕动泵等其他辅助设备。</w:t>
            </w:r>
          </w:p>
          <w:p>
            <w:pPr>
              <w:pStyle w:val="33"/>
              <w:keepNext/>
              <w:spacing w:after="120"/>
              <w:ind w:firstLine="240"/>
              <w:jc w:val="left"/>
              <w:rPr>
                <w:rFonts w:cs="宋体"/>
              </w:rPr>
            </w:pPr>
            <w:r>
              <w:rPr>
                <w:rFonts w:hint="eastAsia" w:cs="宋体"/>
              </w:rPr>
              <w:t>2.4.2 配置电解自再生膜抑制器</w:t>
            </w:r>
          </w:p>
          <w:p>
            <w:pPr>
              <w:pStyle w:val="33"/>
              <w:keepNext/>
              <w:spacing w:after="120"/>
              <w:ind w:firstLine="240"/>
              <w:jc w:val="left"/>
              <w:rPr>
                <w:rFonts w:cs="宋体"/>
              </w:rPr>
            </w:pPr>
            <w:r>
              <w:rPr>
                <w:rFonts w:hint="eastAsia" w:cs="宋体"/>
              </w:rPr>
              <w:t>2.4.3 恒流源范围：0-500mA，增量0.1mA。</w:t>
            </w:r>
          </w:p>
          <w:p>
            <w:pPr>
              <w:pStyle w:val="33"/>
              <w:keepNext/>
              <w:spacing w:after="120"/>
              <w:ind w:firstLine="240"/>
              <w:jc w:val="left"/>
              <w:rPr>
                <w:rFonts w:cs="宋体"/>
              </w:rPr>
            </w:pPr>
            <w:r>
              <w:rPr>
                <w:rFonts w:hint="eastAsia" w:cs="宋体"/>
              </w:rPr>
              <w:t>2.5 柱温箱</w:t>
            </w:r>
          </w:p>
          <w:p>
            <w:pPr>
              <w:pStyle w:val="33"/>
              <w:keepNext/>
              <w:spacing w:after="120"/>
              <w:ind w:firstLine="240"/>
              <w:jc w:val="left"/>
              <w:rPr>
                <w:rFonts w:hint="eastAsia" w:cs="宋体"/>
              </w:rPr>
            </w:pPr>
            <w:r>
              <w:rPr>
                <w:rFonts w:hint="eastAsia" w:cs="宋体"/>
              </w:rPr>
              <w:t>2.5.1 内置色谱柱温箱，具有淋洗液预加热功能，可使淋洗液的温度在进入色谱柱前已和色谱柱的柱温保持一致</w:t>
            </w:r>
          </w:p>
          <w:p>
            <w:pPr>
              <w:pStyle w:val="33"/>
              <w:keepNext/>
              <w:spacing w:after="120"/>
              <w:ind w:firstLine="240"/>
              <w:jc w:val="left"/>
              <w:rPr>
                <w:rFonts w:cs="宋体"/>
              </w:rPr>
            </w:pPr>
            <w:r>
              <w:rPr>
                <w:rFonts w:hint="eastAsia" w:cs="宋体"/>
              </w:rPr>
              <w:t>2.5.2 温度范围：室温＋5℃~85℃</w:t>
            </w:r>
          </w:p>
          <w:p>
            <w:pPr>
              <w:pStyle w:val="33"/>
              <w:keepNext/>
              <w:spacing w:after="120"/>
              <w:ind w:firstLine="240"/>
              <w:jc w:val="left"/>
              <w:rPr>
                <w:rFonts w:cs="宋体"/>
              </w:rPr>
            </w:pPr>
            <w:r>
              <w:rPr>
                <w:rFonts w:hint="eastAsia" w:cs="宋体"/>
              </w:rPr>
              <w:t>2.5.3控温度稳定性：≤0.1℃</w:t>
            </w:r>
          </w:p>
          <w:p>
            <w:pPr>
              <w:pStyle w:val="33"/>
              <w:keepNext/>
              <w:spacing w:after="120"/>
              <w:ind w:firstLine="240"/>
              <w:jc w:val="left"/>
              <w:rPr>
                <w:rFonts w:cs="宋体"/>
              </w:rPr>
            </w:pPr>
            <w:r>
              <w:rPr>
                <w:rFonts w:hint="eastAsia" w:cs="宋体"/>
              </w:rPr>
              <w:t>2.5.4 可兼容长度为250mm和150mm色谱柱</w:t>
            </w:r>
          </w:p>
          <w:p>
            <w:pPr>
              <w:pStyle w:val="33"/>
              <w:keepNext/>
              <w:spacing w:after="120"/>
              <w:ind w:firstLine="240"/>
              <w:jc w:val="left"/>
              <w:rPr>
                <w:rFonts w:cs="宋体"/>
              </w:rPr>
            </w:pPr>
            <w:r>
              <w:rPr>
                <w:rFonts w:hint="eastAsia" w:cs="宋体"/>
              </w:rPr>
              <w:t>2.6 离子色谱柱</w:t>
            </w:r>
          </w:p>
          <w:p>
            <w:pPr>
              <w:pStyle w:val="33"/>
              <w:keepNext/>
              <w:spacing w:after="120"/>
              <w:ind w:firstLine="240"/>
              <w:jc w:val="left"/>
              <w:rPr>
                <w:rFonts w:cs="宋体"/>
              </w:rPr>
            </w:pPr>
            <w:r>
              <w:rPr>
                <w:rFonts w:hint="eastAsia" w:cs="宋体"/>
              </w:rPr>
              <w:t>2.6.1原厂生产阴离子色谱柱，色谱填料为聚合物材料，管为PEEK材质；可用于食品、药品、环境、水质等样品中常规阴离子和消毒副属产物的检测。</w:t>
            </w:r>
          </w:p>
          <w:p>
            <w:pPr>
              <w:pStyle w:val="33"/>
              <w:keepNext/>
              <w:spacing w:after="120"/>
              <w:ind w:firstLine="240"/>
              <w:jc w:val="left"/>
              <w:rPr>
                <w:rFonts w:cs="宋体"/>
              </w:rPr>
            </w:pPr>
            <w:r>
              <w:rPr>
                <w:rFonts w:hint="eastAsia" w:cs="宋体"/>
              </w:rPr>
              <w:t>2.7 自动进样器</w:t>
            </w:r>
          </w:p>
          <w:p>
            <w:pPr>
              <w:pStyle w:val="207"/>
              <w:keepNext/>
              <w:spacing w:line="360" w:lineRule="auto"/>
              <w:ind w:firstLine="240" w:firstLineChars="100"/>
              <w:jc w:val="left"/>
              <w:rPr>
                <w:rFonts w:ascii="宋体" w:hAnsi="宋体" w:cs="宋体"/>
                <w:sz w:val="24"/>
                <w:szCs w:val="24"/>
              </w:rPr>
            </w:pPr>
            <w:r>
              <w:rPr>
                <w:rFonts w:hint="eastAsia" w:ascii="宋体" w:hAnsi="宋体" w:cs="宋体"/>
                <w:sz w:val="24"/>
                <w:szCs w:val="24"/>
              </w:rPr>
              <w:t>2.7.1具备满环进样功能，预留两个六端口或十端口高压切换阀</w:t>
            </w:r>
          </w:p>
          <w:p>
            <w:pPr>
              <w:pStyle w:val="207"/>
              <w:keepNext/>
              <w:spacing w:line="360" w:lineRule="auto"/>
              <w:ind w:firstLine="240" w:firstLineChars="100"/>
              <w:jc w:val="left"/>
              <w:rPr>
                <w:rFonts w:ascii="宋体" w:hAnsi="宋体" w:cs="宋体"/>
                <w:sz w:val="24"/>
                <w:szCs w:val="24"/>
              </w:rPr>
            </w:pPr>
            <w:r>
              <w:rPr>
                <w:rFonts w:hint="eastAsia" w:ascii="宋体" w:hAnsi="宋体" w:cs="宋体"/>
                <w:sz w:val="24"/>
                <w:szCs w:val="24"/>
              </w:rPr>
              <w:t xml:space="preserve">2.7.2 物理样品位位置数：≥40位； </w:t>
            </w:r>
          </w:p>
          <w:p>
            <w:pPr>
              <w:pStyle w:val="207"/>
              <w:keepNext/>
              <w:spacing w:line="360" w:lineRule="auto"/>
              <w:jc w:val="left"/>
              <w:rPr>
                <w:rFonts w:ascii="宋体" w:hAnsi="宋体" w:cs="宋体"/>
                <w:sz w:val="24"/>
                <w:szCs w:val="24"/>
              </w:rPr>
            </w:pPr>
            <w:r>
              <w:rPr>
                <w:rFonts w:hint="eastAsia" w:ascii="宋体" w:hAnsi="宋体" w:cs="宋体"/>
                <w:sz w:val="24"/>
                <w:szCs w:val="24"/>
              </w:rPr>
              <w:t xml:space="preserve">  2.7.3 样品瓶体积：10ml；</w:t>
            </w:r>
          </w:p>
          <w:p>
            <w:pPr>
              <w:pStyle w:val="207"/>
              <w:keepNext/>
              <w:spacing w:line="360" w:lineRule="auto"/>
              <w:jc w:val="left"/>
              <w:rPr>
                <w:rFonts w:ascii="宋体" w:hAnsi="宋体" w:cs="宋体"/>
                <w:sz w:val="24"/>
                <w:szCs w:val="24"/>
              </w:rPr>
            </w:pPr>
            <w:r>
              <w:rPr>
                <w:rFonts w:hint="eastAsia" w:ascii="宋体" w:hAnsi="宋体" w:cs="宋体"/>
                <w:sz w:val="24"/>
                <w:szCs w:val="24"/>
              </w:rPr>
              <w:t xml:space="preserve">  2.7.4  进样定量管体积:10uL-75uL；</w:t>
            </w:r>
          </w:p>
          <w:p>
            <w:pPr>
              <w:pStyle w:val="207"/>
              <w:keepNext/>
              <w:spacing w:line="360" w:lineRule="auto"/>
              <w:jc w:val="left"/>
              <w:rPr>
                <w:rFonts w:ascii="宋体" w:hAnsi="宋体" w:cs="宋体"/>
                <w:sz w:val="24"/>
                <w:szCs w:val="24"/>
              </w:rPr>
            </w:pPr>
            <w:r>
              <w:rPr>
                <w:rFonts w:hint="eastAsia" w:ascii="宋体" w:hAnsi="宋体" w:cs="宋体"/>
                <w:sz w:val="24"/>
                <w:szCs w:val="24"/>
              </w:rPr>
              <w:t xml:space="preserve">  2.7.5 保留时间重复性：0.5％RSD；</w:t>
            </w:r>
          </w:p>
          <w:p>
            <w:pPr>
              <w:pStyle w:val="207"/>
              <w:keepNext/>
              <w:spacing w:line="360" w:lineRule="auto"/>
              <w:ind w:firstLine="240" w:firstLineChars="100"/>
              <w:jc w:val="left"/>
              <w:rPr>
                <w:rFonts w:ascii="宋体" w:hAnsi="宋体" w:cs="宋体"/>
                <w:sz w:val="24"/>
                <w:szCs w:val="24"/>
              </w:rPr>
            </w:pPr>
            <w:r>
              <w:rPr>
                <w:rFonts w:hint="eastAsia" w:ascii="宋体" w:hAnsi="宋体" w:cs="宋体"/>
                <w:sz w:val="24"/>
                <w:szCs w:val="24"/>
              </w:rPr>
              <w:t>2.7.6 针清洗方式：多级内外壁清洗设置；</w:t>
            </w:r>
          </w:p>
          <w:p>
            <w:pPr>
              <w:pStyle w:val="207"/>
              <w:keepNext/>
              <w:spacing w:line="360" w:lineRule="auto"/>
              <w:jc w:val="left"/>
              <w:rPr>
                <w:rFonts w:ascii="宋体" w:hAnsi="宋体" w:cs="宋体"/>
                <w:sz w:val="24"/>
                <w:szCs w:val="24"/>
              </w:rPr>
            </w:pPr>
            <w:r>
              <w:rPr>
                <w:rFonts w:hint="eastAsia" w:ascii="宋体" w:hAnsi="宋体" w:cs="宋体"/>
                <w:sz w:val="24"/>
                <w:szCs w:val="24"/>
              </w:rPr>
              <w:t xml:space="preserve">  2.7.7 进样器具有进样针干燥装置； </w:t>
            </w:r>
          </w:p>
          <w:p>
            <w:pPr>
              <w:pStyle w:val="33"/>
              <w:keepNext/>
              <w:spacing w:after="120"/>
              <w:ind w:firstLine="240"/>
              <w:jc w:val="left"/>
              <w:rPr>
                <w:rFonts w:cs="宋体"/>
              </w:rPr>
            </w:pPr>
            <w:r>
              <w:rPr>
                <w:rFonts w:hint="eastAsia" w:cs="宋体"/>
              </w:rPr>
              <w:t>2.8 软件</w:t>
            </w:r>
          </w:p>
          <w:p>
            <w:pPr>
              <w:pStyle w:val="33"/>
              <w:keepNext/>
              <w:spacing w:after="120"/>
              <w:ind w:firstLine="240"/>
              <w:jc w:val="left"/>
              <w:rPr>
                <w:rFonts w:cs="宋体"/>
              </w:rPr>
            </w:pPr>
            <w:r>
              <w:rPr>
                <w:rFonts w:hint="eastAsia" w:cs="宋体"/>
              </w:rPr>
              <w:t>2.8.1自主研发，具有软件著作权</w:t>
            </w:r>
          </w:p>
          <w:p>
            <w:pPr>
              <w:pStyle w:val="33"/>
              <w:keepNext/>
              <w:spacing w:after="120"/>
              <w:ind w:firstLine="240"/>
              <w:jc w:val="left"/>
              <w:rPr>
                <w:rFonts w:cs="宋体"/>
              </w:rPr>
            </w:pPr>
            <w:r>
              <w:rPr>
                <w:rFonts w:hint="eastAsia" w:cs="宋体"/>
              </w:rPr>
              <w:t>2.8.2 工作站界面具有完善的审计追踪及权限管理功能</w:t>
            </w:r>
          </w:p>
          <w:p>
            <w:pPr>
              <w:pStyle w:val="33"/>
              <w:keepNext/>
              <w:spacing w:after="120"/>
              <w:ind w:firstLine="240"/>
              <w:jc w:val="left"/>
              <w:rPr>
                <w:rFonts w:cs="宋体"/>
              </w:rPr>
            </w:pPr>
            <w:r>
              <w:rPr>
                <w:rFonts w:hint="eastAsia" w:cs="宋体"/>
              </w:rPr>
              <w:t>2.8.3 图形化全反控界面，提供适实时分析条件参数和分析结果，在线修改和采集各部件工作参数，可自动进行快速数据采集和后处理，具有仪器相关数据与运行状况溯源功能。</w:t>
            </w:r>
          </w:p>
          <w:p>
            <w:pPr>
              <w:pStyle w:val="33"/>
              <w:keepNext/>
              <w:spacing w:after="120"/>
              <w:ind w:firstLine="240"/>
              <w:jc w:val="left"/>
              <w:rPr>
                <w:rFonts w:cs="宋体"/>
              </w:rPr>
            </w:pPr>
            <w:r>
              <w:rPr>
                <w:rFonts w:hint="eastAsia" w:cs="宋体"/>
              </w:rPr>
              <w:t>2.8.4 实现系统部件的有效集成和控制，对气相、液相色谱类及检测器，自动进样器等升级部件可无缝式增加。</w:t>
            </w:r>
          </w:p>
          <w:p>
            <w:pPr>
              <w:pStyle w:val="33"/>
              <w:keepNext/>
              <w:spacing w:after="120"/>
              <w:ind w:firstLine="241"/>
              <w:jc w:val="left"/>
              <w:rPr>
                <w:rFonts w:cs="宋体"/>
                <w:b/>
                <w:bCs/>
              </w:rPr>
            </w:pPr>
            <w:r>
              <w:rPr>
                <w:rFonts w:hint="eastAsia" w:cs="宋体"/>
                <w:b/>
                <w:bCs/>
              </w:rPr>
              <w:t>2.9淋洗液发生器</w:t>
            </w:r>
          </w:p>
          <w:p>
            <w:pPr>
              <w:pStyle w:val="33"/>
              <w:keepNext/>
              <w:spacing w:after="120"/>
              <w:ind w:firstLine="240"/>
              <w:jc w:val="left"/>
              <w:rPr>
                <w:rFonts w:cs="宋体"/>
              </w:rPr>
            </w:pPr>
            <w:r>
              <w:rPr>
                <w:rFonts w:hint="eastAsia" w:cs="宋体"/>
              </w:rPr>
              <w:t>2.9.1流量范围:0.001～</w:t>
            </w:r>
            <w:r>
              <w:rPr>
                <w:rFonts w:hint="eastAsia" w:cs="宋体"/>
                <w:lang w:val="en-US" w:eastAsia="zh-CN"/>
              </w:rPr>
              <w:t>5</w:t>
            </w:r>
            <w:r>
              <w:rPr>
                <w:rFonts w:hint="eastAsia" w:cs="宋体"/>
              </w:rPr>
              <w:t>.000ml/min</w:t>
            </w:r>
          </w:p>
          <w:p>
            <w:pPr>
              <w:pStyle w:val="33"/>
              <w:keepNext/>
              <w:spacing w:after="120"/>
              <w:ind w:firstLine="240"/>
              <w:jc w:val="left"/>
              <w:rPr>
                <w:rFonts w:cs="宋体"/>
              </w:rPr>
            </w:pPr>
            <w:r>
              <w:rPr>
                <w:rFonts w:hint="eastAsia" w:cs="宋体"/>
              </w:rPr>
              <w:t>2.9.2 淋洗液浓度范围:KOH0.1～100.0mM</w:t>
            </w:r>
          </w:p>
          <w:p>
            <w:pPr>
              <w:pStyle w:val="33"/>
              <w:keepNext/>
              <w:spacing w:after="120"/>
              <w:ind w:firstLine="240"/>
              <w:jc w:val="left"/>
              <w:rPr>
                <w:rFonts w:cs="宋体"/>
              </w:rPr>
            </w:pPr>
            <w:r>
              <w:rPr>
                <w:rFonts w:hint="eastAsia" w:cs="宋体"/>
              </w:rPr>
              <w:t>2.9.3浓度准确度:0.1mM</w:t>
            </w:r>
          </w:p>
          <w:p>
            <w:pPr>
              <w:pStyle w:val="33"/>
              <w:keepNext/>
              <w:spacing w:after="120"/>
              <w:ind w:firstLine="240"/>
              <w:jc w:val="left"/>
              <w:rPr>
                <w:rFonts w:cs="宋体"/>
              </w:rPr>
            </w:pPr>
            <w:r>
              <w:rPr>
                <w:rFonts w:hint="eastAsia" w:cs="宋体"/>
              </w:rPr>
              <w:t>2.9.4 电解液原始浓度:25% KOH/MSA</w:t>
            </w:r>
          </w:p>
          <w:p>
            <w:pPr>
              <w:pStyle w:val="33"/>
              <w:keepNext/>
              <w:spacing w:after="120"/>
              <w:ind w:firstLine="240"/>
              <w:jc w:val="left"/>
              <w:rPr>
                <w:rFonts w:cs="宋体"/>
              </w:rPr>
            </w:pPr>
            <w:r>
              <w:rPr>
                <w:rFonts w:hint="eastAsia" w:cs="宋体"/>
              </w:rPr>
              <w:t>2.9.5 电解液体积:1000mL</w:t>
            </w:r>
          </w:p>
          <w:p>
            <w:pPr>
              <w:pStyle w:val="33"/>
              <w:keepNext/>
              <w:spacing w:after="120"/>
              <w:ind w:firstLine="240"/>
              <w:jc w:val="left"/>
              <w:rPr>
                <w:rFonts w:cs="宋体"/>
              </w:rPr>
            </w:pPr>
            <w:r>
              <w:rPr>
                <w:rFonts w:hint="eastAsia" w:cs="宋体"/>
              </w:rPr>
              <w:t>2.9.6 最大工作压强:21MPa（3000psi）</w:t>
            </w:r>
          </w:p>
          <w:p>
            <w:pPr>
              <w:pStyle w:val="33"/>
              <w:keepNext/>
              <w:spacing w:after="120"/>
              <w:ind w:firstLine="240"/>
              <w:jc w:val="left"/>
              <w:rPr>
                <w:rFonts w:cs="宋体"/>
              </w:rPr>
            </w:pPr>
            <w:r>
              <w:rPr>
                <w:rFonts w:hint="eastAsia" w:cs="宋体"/>
              </w:rPr>
              <w:t>3 配置要求</w:t>
            </w:r>
          </w:p>
          <w:p>
            <w:pPr>
              <w:pStyle w:val="33"/>
              <w:keepNext/>
              <w:spacing w:after="120"/>
              <w:ind w:firstLine="240"/>
              <w:jc w:val="left"/>
              <w:rPr>
                <w:rFonts w:cs="宋体"/>
              </w:rPr>
            </w:pPr>
            <w:r>
              <w:rPr>
                <w:rFonts w:hint="eastAsia" w:cs="宋体"/>
              </w:rPr>
              <w:t>离子色谱主机  1个；</w:t>
            </w:r>
          </w:p>
          <w:p>
            <w:pPr>
              <w:pStyle w:val="33"/>
              <w:keepNext/>
              <w:spacing w:after="120"/>
              <w:ind w:firstLine="240"/>
              <w:jc w:val="left"/>
              <w:rPr>
                <w:rFonts w:cs="宋体"/>
              </w:rPr>
            </w:pPr>
            <w:r>
              <w:rPr>
                <w:rFonts w:hint="eastAsia" w:cs="宋体"/>
              </w:rPr>
              <w:t>高压输液泵   1套；</w:t>
            </w:r>
          </w:p>
          <w:p>
            <w:pPr>
              <w:pStyle w:val="33"/>
              <w:keepNext/>
              <w:spacing w:after="120"/>
              <w:ind w:firstLine="240"/>
              <w:jc w:val="left"/>
              <w:rPr>
                <w:rFonts w:cs="宋体"/>
              </w:rPr>
            </w:pPr>
            <w:r>
              <w:rPr>
                <w:rFonts w:hint="eastAsia" w:cs="宋体"/>
              </w:rPr>
              <w:t>阴离子分析色谱柱  1套；</w:t>
            </w:r>
          </w:p>
          <w:p>
            <w:pPr>
              <w:pStyle w:val="33"/>
              <w:keepNext/>
              <w:spacing w:after="120"/>
              <w:ind w:firstLine="240"/>
              <w:jc w:val="left"/>
              <w:rPr>
                <w:rFonts w:cs="宋体"/>
              </w:rPr>
            </w:pPr>
            <w:r>
              <w:rPr>
                <w:rFonts w:hint="eastAsia" w:cs="宋体"/>
              </w:rPr>
              <w:t>恒温柱温箱1套；</w:t>
            </w:r>
          </w:p>
          <w:p>
            <w:pPr>
              <w:pStyle w:val="33"/>
              <w:keepNext/>
              <w:spacing w:after="120"/>
              <w:ind w:firstLine="240"/>
              <w:jc w:val="left"/>
              <w:rPr>
                <w:rFonts w:cs="宋体"/>
              </w:rPr>
            </w:pPr>
            <w:r>
              <w:rPr>
                <w:rFonts w:hint="eastAsia" w:cs="宋体"/>
              </w:rPr>
              <w:t>阴离子保护住 1套</w:t>
            </w:r>
          </w:p>
          <w:p>
            <w:pPr>
              <w:pStyle w:val="33"/>
              <w:keepNext/>
              <w:spacing w:after="120"/>
              <w:ind w:firstLine="240"/>
              <w:jc w:val="left"/>
              <w:rPr>
                <w:rFonts w:cs="宋体"/>
              </w:rPr>
            </w:pPr>
            <w:r>
              <w:rPr>
                <w:rFonts w:hint="eastAsia" w:cs="宋体"/>
              </w:rPr>
              <w:t xml:space="preserve">阴离子抑制器  1套； </w:t>
            </w:r>
          </w:p>
          <w:p>
            <w:pPr>
              <w:pStyle w:val="33"/>
              <w:keepNext/>
              <w:spacing w:after="120"/>
              <w:ind w:firstLine="240"/>
              <w:jc w:val="left"/>
              <w:rPr>
                <w:rFonts w:cs="宋体"/>
              </w:rPr>
            </w:pPr>
            <w:r>
              <w:rPr>
                <w:rFonts w:hint="eastAsia" w:cs="宋体"/>
              </w:rPr>
              <w:t>控温数字电导检测器1套；</w:t>
            </w:r>
          </w:p>
          <w:p>
            <w:pPr>
              <w:pStyle w:val="33"/>
              <w:keepNext/>
              <w:spacing w:after="120"/>
              <w:ind w:firstLine="240"/>
              <w:jc w:val="left"/>
              <w:rPr>
                <w:rFonts w:cs="宋体"/>
              </w:rPr>
            </w:pPr>
            <w:r>
              <w:rPr>
                <w:rFonts w:hint="eastAsia" w:cs="宋体"/>
              </w:rPr>
              <w:t>自动进样器   1套</w:t>
            </w:r>
          </w:p>
          <w:p>
            <w:pPr>
              <w:pStyle w:val="33"/>
              <w:keepNext/>
              <w:spacing w:after="120"/>
              <w:ind w:firstLine="240"/>
              <w:jc w:val="left"/>
              <w:rPr>
                <w:rFonts w:cs="宋体"/>
              </w:rPr>
            </w:pPr>
            <w:r>
              <w:rPr>
                <w:rFonts w:hint="eastAsia" w:cs="宋体"/>
              </w:rPr>
              <w:t>工作站   1套</w:t>
            </w:r>
          </w:p>
          <w:p>
            <w:pPr>
              <w:pStyle w:val="33"/>
              <w:keepNext/>
              <w:spacing w:after="120"/>
              <w:ind w:firstLine="240"/>
              <w:jc w:val="left"/>
              <w:rPr>
                <w:rFonts w:cs="宋体"/>
              </w:rPr>
            </w:pPr>
            <w:r>
              <w:rPr>
                <w:rFonts w:hint="eastAsia" w:cs="宋体"/>
                <w:highlight w:val="none"/>
              </w:rPr>
              <w:t xml:space="preserve">电脑 </w:t>
            </w:r>
            <w:r>
              <w:rPr>
                <w:rFonts w:hint="eastAsia" w:cs="宋体"/>
              </w:rPr>
              <w:t xml:space="preserve"> 1套</w:t>
            </w:r>
          </w:p>
          <w:p>
            <w:pPr>
              <w:pStyle w:val="33"/>
              <w:keepNext/>
              <w:spacing w:after="120"/>
              <w:ind w:firstLine="240"/>
              <w:jc w:val="left"/>
              <w:rPr>
                <w:rFonts w:cs="宋体"/>
              </w:rPr>
            </w:pPr>
            <w:r>
              <w:rPr>
                <w:rFonts w:hint="eastAsia" w:cs="宋体"/>
                <w:lang w:val="en-US" w:eastAsia="zh-CN"/>
              </w:rPr>
              <w:t>激光</w:t>
            </w:r>
            <w:r>
              <w:rPr>
                <w:rFonts w:hint="eastAsia" w:cs="宋体"/>
              </w:rPr>
              <w:t>打印机（可双面打印） 1套</w:t>
            </w:r>
          </w:p>
          <w:p>
            <w:pPr>
              <w:pStyle w:val="33"/>
              <w:keepNext/>
              <w:spacing w:after="120"/>
              <w:ind w:firstLine="240"/>
              <w:jc w:val="left"/>
              <w:rPr>
                <w:rFonts w:cs="宋体"/>
              </w:rPr>
            </w:pPr>
            <w:r>
              <w:rPr>
                <w:rFonts w:hint="eastAsia" w:cs="宋体"/>
              </w:rPr>
              <w:t>淋洗液发生器 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0" w:hRule="atLeast"/>
        </w:trPr>
        <w:tc>
          <w:tcPr>
            <w:tcW w:w="380" w:type="pct"/>
            <w:vAlign w:val="center"/>
          </w:tcPr>
          <w:p>
            <w:pPr>
              <w:keepNext/>
              <w:rPr>
                <w:rFonts w:ascii="宋体" w:hAnsi="宋体" w:cs="宋体"/>
                <w:sz w:val="24"/>
              </w:rPr>
            </w:pPr>
            <w:r>
              <w:rPr>
                <w:rFonts w:hint="eastAsia" w:ascii="宋体" w:hAnsi="宋体" w:cs="宋体"/>
                <w:sz w:val="24"/>
              </w:rPr>
              <w:t>2</w:t>
            </w:r>
          </w:p>
        </w:tc>
        <w:tc>
          <w:tcPr>
            <w:tcW w:w="392" w:type="pct"/>
            <w:vAlign w:val="center"/>
          </w:tcPr>
          <w:p>
            <w:pPr>
              <w:keepNext/>
              <w:rPr>
                <w:rFonts w:ascii="宋体" w:hAnsi="宋体" w:cs="宋体"/>
                <w:sz w:val="24"/>
                <w:lang w:val="zh-CN"/>
              </w:rPr>
            </w:pPr>
            <w:r>
              <w:rPr>
                <w:rFonts w:hint="eastAsia" w:ascii="宋体" w:hAnsi="宋体" w:cs="宋体"/>
                <w:sz w:val="24"/>
                <w:lang w:val="zh-CN"/>
              </w:rPr>
              <w:t>生物安全柜</w:t>
            </w:r>
          </w:p>
        </w:tc>
        <w:tc>
          <w:tcPr>
            <w:tcW w:w="219" w:type="pct"/>
            <w:vAlign w:val="center"/>
          </w:tcPr>
          <w:p>
            <w:pPr>
              <w:keepNext/>
              <w:rPr>
                <w:rFonts w:ascii="宋体" w:hAnsi="宋体" w:cs="宋体"/>
                <w:sz w:val="24"/>
              </w:rPr>
            </w:pPr>
            <w:r>
              <w:rPr>
                <w:rFonts w:hint="eastAsia" w:ascii="宋体" w:hAnsi="宋体" w:cs="宋体"/>
                <w:sz w:val="24"/>
              </w:rPr>
              <w:t>3</w:t>
            </w:r>
          </w:p>
        </w:tc>
        <w:tc>
          <w:tcPr>
            <w:tcW w:w="4006" w:type="pct"/>
            <w:vAlign w:val="center"/>
          </w:tcPr>
          <w:p>
            <w:pPr>
              <w:pStyle w:val="33"/>
              <w:keepNext/>
              <w:spacing w:after="120"/>
              <w:ind w:firstLine="240"/>
              <w:jc w:val="left"/>
              <w:rPr>
                <w:rFonts w:cs="宋体"/>
              </w:rPr>
            </w:pPr>
            <w:r>
              <w:rPr>
                <w:rFonts w:hint="eastAsia" w:cs="宋体"/>
              </w:rPr>
              <w:t xml:space="preserve">1、A2型，30%外排，70%循环  </w:t>
            </w:r>
          </w:p>
          <w:p>
            <w:pPr>
              <w:pStyle w:val="33"/>
              <w:keepNext/>
              <w:spacing w:after="120"/>
              <w:ind w:firstLine="240"/>
              <w:jc w:val="left"/>
              <w:rPr>
                <w:rFonts w:cs="宋体"/>
              </w:rPr>
            </w:pPr>
            <w:r>
              <w:rPr>
                <w:rFonts w:hint="eastAsia" w:cs="宋体"/>
              </w:rPr>
              <w:t>2、外部尺寸≥1500×7</w:t>
            </w:r>
            <w:r>
              <w:rPr>
                <w:rFonts w:hint="eastAsia" w:cs="宋体"/>
                <w:lang w:val="en-US" w:eastAsia="zh-CN"/>
              </w:rPr>
              <w:t>5</w:t>
            </w:r>
            <w:r>
              <w:rPr>
                <w:rFonts w:hint="eastAsia" w:cs="宋体"/>
              </w:rPr>
              <w:t>0×2250mm；</w:t>
            </w:r>
          </w:p>
          <w:p>
            <w:pPr>
              <w:pStyle w:val="33"/>
              <w:keepNext/>
              <w:spacing w:after="120"/>
              <w:ind w:firstLine="240"/>
              <w:jc w:val="left"/>
              <w:rPr>
                <w:rFonts w:cs="宋体"/>
              </w:rPr>
            </w:pPr>
            <w:r>
              <w:rPr>
                <w:rFonts w:hint="eastAsia" w:cs="宋体"/>
              </w:rPr>
              <w:t>3、内部尺寸≥1350×600×660mm 。</w:t>
            </w:r>
          </w:p>
          <w:p>
            <w:pPr>
              <w:pStyle w:val="33"/>
              <w:keepNext/>
              <w:spacing w:after="120"/>
              <w:ind w:firstLine="240"/>
              <w:jc w:val="left"/>
              <w:rPr>
                <w:rFonts w:cs="宋体"/>
              </w:rPr>
            </w:pPr>
            <w:r>
              <w:rPr>
                <w:rFonts w:hint="eastAsia" w:cs="宋体"/>
              </w:rPr>
              <w:t>4</w:t>
            </w:r>
            <w:r>
              <w:rPr>
                <w:rFonts w:hint="eastAsia" w:cs="宋体"/>
                <w:highlight w:val="none"/>
              </w:rPr>
              <w:t>、台面距离地面高度：≥7</w:t>
            </w:r>
            <w:r>
              <w:rPr>
                <w:rFonts w:hint="eastAsia" w:cs="宋体"/>
              </w:rPr>
              <w:t>50mm</w:t>
            </w:r>
          </w:p>
          <w:p>
            <w:pPr>
              <w:pStyle w:val="33"/>
              <w:keepNext/>
              <w:spacing w:after="120"/>
              <w:ind w:firstLine="240"/>
              <w:jc w:val="left"/>
              <w:rPr>
                <w:rFonts w:cs="宋体"/>
                <w:highlight w:val="none"/>
              </w:rPr>
            </w:pPr>
            <w:r>
              <w:rPr>
                <w:rFonts w:hint="eastAsia" w:cs="宋体"/>
              </w:rPr>
              <w:t>5、平均下降风速：0.33±0.025m/s；平均吸入口风速0.53±0.025m/s</w:t>
            </w:r>
          </w:p>
          <w:p>
            <w:pPr>
              <w:pStyle w:val="33"/>
              <w:keepNext/>
              <w:spacing w:after="120"/>
              <w:ind w:firstLine="240"/>
              <w:jc w:val="left"/>
              <w:rPr>
                <w:rFonts w:cs="宋体"/>
                <w:highlight w:val="none"/>
              </w:rPr>
            </w:pPr>
            <w:r>
              <w:rPr>
                <w:rFonts w:hint="eastAsia" w:cs="宋体"/>
                <w:highlight w:val="none"/>
              </w:rPr>
              <w:t>6、系统排风总量：≥500m³/h</w:t>
            </w:r>
          </w:p>
          <w:p>
            <w:pPr>
              <w:pStyle w:val="33"/>
              <w:keepNext/>
              <w:spacing w:after="120"/>
              <w:ind w:firstLine="240"/>
              <w:jc w:val="left"/>
              <w:rPr>
                <w:rFonts w:hint="eastAsia" w:eastAsia="宋体" w:cs="宋体"/>
                <w:lang w:eastAsia="zh-CN"/>
              </w:rPr>
            </w:pPr>
            <w:r>
              <w:rPr>
                <w:rFonts w:hint="eastAsia" w:cs="宋体"/>
              </w:rPr>
              <w:t>7、额定功率：18</w:t>
            </w:r>
            <w:r>
              <w:rPr>
                <w:rFonts w:hint="eastAsia" w:cs="宋体"/>
                <w:lang w:val="en-US" w:eastAsia="zh-CN"/>
              </w:rPr>
              <w:t>5</w:t>
            </w:r>
            <w:r>
              <w:rPr>
                <w:rFonts w:hint="eastAsia" w:cs="宋体"/>
              </w:rPr>
              <w:t>0W（包含操作区插座负载500W）</w:t>
            </w:r>
            <w:r>
              <w:rPr>
                <w:rFonts w:hint="eastAsia" w:cs="宋体"/>
                <w:lang w:eastAsia="zh-CN"/>
              </w:rPr>
              <w:t>（</w:t>
            </w:r>
            <w:r>
              <w:rPr>
                <w:rFonts w:hint="eastAsia" w:cs="宋体"/>
              </w:rPr>
              <w:t>±50w</w:t>
            </w:r>
            <w:r>
              <w:rPr>
                <w:rFonts w:hint="eastAsia" w:cs="宋体"/>
                <w:lang w:eastAsia="zh-CN"/>
              </w:rPr>
              <w:t>）</w:t>
            </w:r>
          </w:p>
          <w:p>
            <w:pPr>
              <w:pStyle w:val="33"/>
              <w:keepNext/>
              <w:spacing w:after="120"/>
              <w:ind w:firstLine="240"/>
              <w:jc w:val="left"/>
              <w:rPr>
                <w:rFonts w:cs="宋体"/>
              </w:rPr>
            </w:pPr>
            <w:r>
              <w:rPr>
                <w:rFonts w:hint="eastAsia" w:cs="宋体"/>
              </w:rPr>
              <w:t>8、噪音等级：≤6</w:t>
            </w:r>
            <w:r>
              <w:rPr>
                <w:rFonts w:hint="eastAsia" w:cs="宋体"/>
                <w:lang w:val="en-US" w:eastAsia="zh-CN"/>
              </w:rPr>
              <w:t>7</w:t>
            </w:r>
            <w:r>
              <w:rPr>
                <w:rFonts w:hint="eastAsia" w:cs="宋体"/>
              </w:rPr>
              <w:t>dB（A）</w:t>
            </w:r>
          </w:p>
          <w:p>
            <w:pPr>
              <w:pStyle w:val="33"/>
              <w:keepNext/>
              <w:spacing w:after="120"/>
              <w:ind w:firstLine="240"/>
              <w:jc w:val="left"/>
              <w:rPr>
                <w:rFonts w:cs="宋体"/>
              </w:rPr>
            </w:pPr>
            <w:r>
              <w:rPr>
                <w:rFonts w:hint="eastAsia" w:cs="宋体"/>
              </w:rPr>
              <w:t>9、照明：≥1000lx</w:t>
            </w:r>
          </w:p>
          <w:p>
            <w:pPr>
              <w:pStyle w:val="33"/>
              <w:keepNext/>
              <w:spacing w:after="120"/>
              <w:ind w:firstLine="240"/>
              <w:jc w:val="left"/>
              <w:rPr>
                <w:rFonts w:cs="宋体"/>
              </w:rPr>
            </w:pPr>
            <w:r>
              <w:rPr>
                <w:rFonts w:hint="eastAsia" w:cs="宋体"/>
              </w:rPr>
              <w:t>10、过滤效率:送风和排风过滤器均采用硼硅酸盐玻璃纤维材质的ULPA高效过滤器，对0.12μm颗粒过滤效率≥99.9995%</w:t>
            </w:r>
          </w:p>
          <w:p>
            <w:pPr>
              <w:pStyle w:val="33"/>
              <w:keepNext/>
              <w:spacing w:after="120"/>
              <w:ind w:firstLine="240"/>
              <w:jc w:val="left"/>
              <w:rPr>
                <w:rFonts w:cs="宋体"/>
              </w:rPr>
            </w:pPr>
            <w:r>
              <w:rPr>
                <w:rFonts w:hint="eastAsia" w:cs="宋体"/>
              </w:rPr>
              <w:t>11、脚轮与支架一体化设计，安全柜即可通过脚轮安全移动，也可以通过调节脚轮支脚进行固定和调平；</w:t>
            </w:r>
          </w:p>
          <w:p>
            <w:pPr>
              <w:pStyle w:val="33"/>
              <w:keepNext/>
              <w:spacing w:after="120"/>
              <w:ind w:firstLine="240"/>
              <w:jc w:val="left"/>
              <w:rPr>
                <w:rFonts w:hint="eastAsia" w:cs="宋体"/>
              </w:rPr>
            </w:pPr>
            <w:r>
              <w:rPr>
                <w:rFonts w:hint="eastAsia" w:cs="宋体"/>
              </w:rPr>
              <w:t>12、前窗玻璃采用双层夹胶防爆安全玻璃；</w:t>
            </w:r>
          </w:p>
          <w:p>
            <w:pPr>
              <w:pStyle w:val="33"/>
              <w:keepNext/>
              <w:spacing w:after="120"/>
              <w:ind w:firstLine="240"/>
              <w:jc w:val="left"/>
              <w:rPr>
                <w:rFonts w:cs="宋体"/>
              </w:rPr>
            </w:pPr>
            <w:r>
              <w:rPr>
                <w:rFonts w:hint="eastAsia" w:cs="宋体"/>
              </w:rPr>
              <w:t>13、脚踏电动、手动按键、遥控电动三种方式控制玻璃门升降，玻璃门升降到安全操作高度时，自动停止升降，且玻璃门升降时不用直接接触玻璃；</w:t>
            </w:r>
          </w:p>
          <w:p>
            <w:pPr>
              <w:pStyle w:val="33"/>
              <w:keepNext/>
              <w:spacing w:after="120"/>
              <w:ind w:firstLine="240"/>
              <w:jc w:val="left"/>
              <w:rPr>
                <w:rFonts w:hint="eastAsia" w:eastAsia="宋体" w:cs="宋体"/>
                <w:lang w:eastAsia="zh-CN"/>
              </w:rPr>
            </w:pPr>
            <w:r>
              <w:rPr>
                <w:rFonts w:hint="eastAsia" w:cs="宋体"/>
              </w:rPr>
              <w:t>14、遥控控制：安全柜的所有按键操作，都可通过遥控控制实现</w:t>
            </w:r>
            <w:r>
              <w:rPr>
                <w:rFonts w:hint="eastAsia" w:cs="宋体"/>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2" w:hRule="atLeast"/>
        </w:trPr>
        <w:tc>
          <w:tcPr>
            <w:tcW w:w="380" w:type="pct"/>
            <w:vAlign w:val="center"/>
          </w:tcPr>
          <w:p>
            <w:pPr>
              <w:keepNext/>
              <w:rPr>
                <w:rFonts w:hint="eastAsia" w:ascii="宋体" w:hAnsi="宋体" w:eastAsia="宋体" w:cs="宋体"/>
                <w:sz w:val="24"/>
                <w:lang w:eastAsia="zh-CN"/>
              </w:rPr>
            </w:pPr>
            <w:r>
              <w:rPr>
                <w:rFonts w:hint="eastAsia" w:ascii="宋体" w:hAnsi="宋体" w:cs="宋体"/>
                <w:sz w:val="24"/>
                <w:lang w:val="en-US" w:eastAsia="zh-CN"/>
              </w:rPr>
              <w:t>3</w:t>
            </w:r>
          </w:p>
        </w:tc>
        <w:tc>
          <w:tcPr>
            <w:tcW w:w="392" w:type="pct"/>
            <w:vAlign w:val="center"/>
          </w:tcPr>
          <w:p>
            <w:pPr>
              <w:keepNext/>
              <w:rPr>
                <w:rFonts w:ascii="宋体" w:hAnsi="宋体" w:cs="宋体"/>
                <w:sz w:val="24"/>
                <w:lang w:val="zh-CN"/>
              </w:rPr>
            </w:pPr>
            <w:r>
              <w:rPr>
                <w:rFonts w:hint="eastAsia" w:ascii="宋体" w:hAnsi="宋体" w:cs="宋体"/>
                <w:sz w:val="24"/>
                <w:lang w:val="zh-CN"/>
              </w:rPr>
              <w:t>全自动微生物生化鉴定仪</w:t>
            </w:r>
          </w:p>
        </w:tc>
        <w:tc>
          <w:tcPr>
            <w:tcW w:w="219" w:type="pct"/>
            <w:vAlign w:val="center"/>
          </w:tcPr>
          <w:p>
            <w:pPr>
              <w:keepNext/>
              <w:rPr>
                <w:rFonts w:ascii="宋体" w:hAnsi="宋体" w:cs="宋体"/>
                <w:sz w:val="24"/>
              </w:rPr>
            </w:pPr>
            <w:r>
              <w:rPr>
                <w:rFonts w:hint="eastAsia" w:ascii="宋体" w:hAnsi="宋体" w:cs="宋体"/>
                <w:sz w:val="24"/>
              </w:rPr>
              <w:t>1</w:t>
            </w:r>
          </w:p>
        </w:tc>
        <w:tc>
          <w:tcPr>
            <w:tcW w:w="4006" w:type="pct"/>
            <w:vAlign w:val="center"/>
          </w:tcPr>
          <w:p>
            <w:pPr>
              <w:pStyle w:val="33"/>
              <w:keepNext/>
              <w:spacing w:after="120"/>
              <w:ind w:firstLine="240"/>
              <w:jc w:val="left"/>
              <w:rPr>
                <w:rFonts w:hint="eastAsia" w:eastAsia="宋体" w:cs="宋体"/>
                <w:lang w:val="en-US" w:eastAsia="zh-CN"/>
              </w:rPr>
            </w:pPr>
            <w:r>
              <w:rPr>
                <w:rFonts w:hint="eastAsia" w:cs="宋体"/>
              </w:rPr>
              <w:t>1、设备功能</w:t>
            </w:r>
            <w:r>
              <w:rPr>
                <w:rFonts w:hint="eastAsia" w:cs="宋体"/>
                <w:lang w:val="en-US" w:eastAsia="zh-CN"/>
              </w:rPr>
              <w:t>要求</w:t>
            </w:r>
          </w:p>
          <w:p>
            <w:pPr>
              <w:pStyle w:val="33"/>
              <w:keepNext/>
              <w:spacing w:after="120"/>
              <w:ind w:firstLine="240"/>
              <w:jc w:val="left"/>
              <w:rPr>
                <w:rFonts w:cs="宋体"/>
              </w:rPr>
            </w:pPr>
            <w:r>
              <w:rPr>
                <w:rFonts w:hint="eastAsia" w:cs="宋体"/>
              </w:rPr>
              <w:t>1.1、具有全自动化工作功能：鉴定药敏仪具有全自动加样一体化装置，无需外用独立的加样仪，仪器通过内部传动系统，自动完成板卡的传送、样本添加、温育检测，判读分析等功能；板卡不间断检测，实时监控细菌生长状况，及时报告结果。</w:t>
            </w:r>
          </w:p>
          <w:p>
            <w:pPr>
              <w:pStyle w:val="33"/>
              <w:keepNext/>
              <w:spacing w:after="120"/>
              <w:ind w:firstLine="240"/>
              <w:jc w:val="left"/>
              <w:rPr>
                <w:rFonts w:cs="宋体"/>
              </w:rPr>
            </w:pPr>
            <w:r>
              <w:rPr>
                <w:rFonts w:hint="eastAsia" w:cs="宋体"/>
              </w:rPr>
              <w:t>1.2、加样装置采用一次性枪头自动加样；样本自动吸打混匀，无需人工震荡；加样装置与孵育判读模块为全自动一体机；</w:t>
            </w:r>
          </w:p>
          <w:p>
            <w:pPr>
              <w:pStyle w:val="33"/>
              <w:keepNext/>
              <w:spacing w:after="120"/>
              <w:ind w:firstLine="240"/>
              <w:jc w:val="left"/>
              <w:rPr>
                <w:rFonts w:hint="eastAsia" w:eastAsia="宋体" w:cs="宋体"/>
                <w:lang w:val="en-US" w:eastAsia="zh-CN"/>
              </w:rPr>
            </w:pPr>
            <w:r>
              <w:rPr>
                <w:rFonts w:hint="eastAsia" w:cs="宋体"/>
              </w:rPr>
              <w:t>1.3、标本和板卡独立条码识别系统，可实现标本和板卡的双向智能识别匹配；</w:t>
            </w:r>
          </w:p>
          <w:p>
            <w:pPr>
              <w:pStyle w:val="33"/>
              <w:keepNext/>
              <w:spacing w:after="120"/>
              <w:ind w:firstLine="240"/>
              <w:jc w:val="left"/>
              <w:rPr>
                <w:rFonts w:cs="宋体"/>
              </w:rPr>
            </w:pPr>
            <w:r>
              <w:rPr>
                <w:rFonts w:hint="eastAsia" w:cs="宋体"/>
              </w:rPr>
              <w:t>1.4、具备消毒功能</w:t>
            </w:r>
          </w:p>
          <w:p>
            <w:pPr>
              <w:pStyle w:val="33"/>
              <w:keepNext/>
              <w:spacing w:after="120"/>
              <w:ind w:firstLine="240"/>
              <w:jc w:val="left"/>
              <w:rPr>
                <w:rFonts w:cs="宋体"/>
              </w:rPr>
            </w:pPr>
            <w:r>
              <w:rPr>
                <w:rFonts w:hint="eastAsia" w:cs="宋体"/>
              </w:rPr>
              <w:t>1.5、具有开机自检功能和一键启动功能，支持自定义时间和预约功能;</w:t>
            </w:r>
          </w:p>
          <w:p>
            <w:pPr>
              <w:pStyle w:val="33"/>
              <w:keepNext/>
              <w:spacing w:after="120"/>
              <w:ind w:firstLine="240"/>
              <w:jc w:val="left"/>
              <w:rPr>
                <w:rFonts w:cs="宋体"/>
              </w:rPr>
            </w:pPr>
            <w:r>
              <w:rPr>
                <w:rFonts w:hint="eastAsia" w:cs="宋体"/>
              </w:rPr>
              <w:t>1.6、支持全自动模式和半自动模式操作，实验室无样本条码时支持手工录入或人工加样后由仪器完成孵育、检测并出具实验报告。</w:t>
            </w:r>
          </w:p>
          <w:p>
            <w:pPr>
              <w:pStyle w:val="33"/>
              <w:keepNext/>
              <w:spacing w:after="120"/>
              <w:ind w:firstLine="240"/>
              <w:jc w:val="left"/>
              <w:rPr>
                <w:rFonts w:cs="宋体"/>
              </w:rPr>
            </w:pPr>
            <w:r>
              <w:rPr>
                <w:rFonts w:hint="eastAsia" w:cs="宋体"/>
              </w:rPr>
              <w:t>1.7、仪器容量：样本放置区最大可同时容纳≥28个测试板卡，孵育区一次培养≥60测试。</w:t>
            </w:r>
          </w:p>
          <w:p>
            <w:pPr>
              <w:pStyle w:val="33"/>
              <w:keepNext/>
              <w:spacing w:after="120"/>
              <w:ind w:firstLine="240"/>
              <w:jc w:val="left"/>
              <w:rPr>
                <w:rFonts w:cs="宋体"/>
              </w:rPr>
            </w:pPr>
            <w:r>
              <w:rPr>
                <w:rFonts w:hint="eastAsia" w:cs="宋体"/>
              </w:rPr>
              <w:t>1.8、比浊法和比色法相结合的连续监测判读的动态分析方法分析进行鉴定分析。</w:t>
            </w:r>
          </w:p>
          <w:p>
            <w:pPr>
              <w:pStyle w:val="33"/>
              <w:keepNext/>
              <w:spacing w:after="120"/>
              <w:ind w:firstLine="240"/>
              <w:jc w:val="left"/>
              <w:rPr>
                <w:rFonts w:cs="宋体"/>
              </w:rPr>
            </w:pPr>
            <w:r>
              <w:rPr>
                <w:rFonts w:hint="eastAsia" w:cs="宋体"/>
              </w:rPr>
              <w:t>1.9、鉴定支持自建库功能，药敏选用连续浓度显色。</w:t>
            </w:r>
          </w:p>
          <w:p>
            <w:pPr>
              <w:pStyle w:val="33"/>
              <w:keepNext/>
              <w:spacing w:after="120"/>
              <w:ind w:firstLine="240"/>
              <w:jc w:val="left"/>
              <w:rPr>
                <w:rFonts w:cs="宋体"/>
              </w:rPr>
            </w:pPr>
            <w:r>
              <w:rPr>
                <w:rFonts w:hint="eastAsia" w:cs="宋体"/>
              </w:rPr>
              <w:t>1.10、Windows系统，全中文操作界面，主机和计算机控制分析系统单独配备；具有专家库自定义功能，满足不同用户精准化、个性化的专家系统建设需求；</w:t>
            </w:r>
          </w:p>
          <w:p>
            <w:pPr>
              <w:pStyle w:val="33"/>
              <w:keepNext/>
              <w:spacing w:after="120"/>
              <w:ind w:firstLine="240"/>
              <w:jc w:val="left"/>
              <w:rPr>
                <w:rFonts w:cs="宋体"/>
              </w:rPr>
            </w:pPr>
            <w:r>
              <w:rPr>
                <w:rFonts w:hint="eastAsia" w:cs="宋体"/>
              </w:rPr>
              <w:t>1.11、软件升级：鉴定项目可以增加，软件版本不定期免费升级，数据库可扩充；</w:t>
            </w:r>
          </w:p>
          <w:p>
            <w:pPr>
              <w:pStyle w:val="33"/>
              <w:keepNext/>
              <w:spacing w:after="120"/>
              <w:ind w:firstLine="240"/>
              <w:jc w:val="left"/>
              <w:rPr>
                <w:rFonts w:cs="宋体"/>
              </w:rPr>
            </w:pPr>
            <w:r>
              <w:rPr>
                <w:rFonts w:hint="eastAsia" w:cs="宋体"/>
              </w:rPr>
              <w:t>2、试剂要求</w:t>
            </w:r>
          </w:p>
          <w:p>
            <w:pPr>
              <w:pStyle w:val="33"/>
              <w:keepNext/>
              <w:spacing w:after="120"/>
              <w:ind w:firstLine="240"/>
              <w:jc w:val="left"/>
              <w:rPr>
                <w:rFonts w:cs="宋体"/>
              </w:rPr>
            </w:pPr>
            <w:r>
              <w:rPr>
                <w:rFonts w:hint="eastAsia" w:cs="宋体"/>
              </w:rPr>
              <w:t>2.1、检测方法：≥100孔微孔板，且可提供鉴定药敏一体式卡板,采用比色/比浊法；</w:t>
            </w:r>
          </w:p>
          <w:p>
            <w:pPr>
              <w:pStyle w:val="33"/>
              <w:keepNext/>
              <w:spacing w:after="120"/>
              <w:ind w:firstLine="240"/>
              <w:jc w:val="left"/>
              <w:rPr>
                <w:rFonts w:cs="宋体"/>
              </w:rPr>
            </w:pPr>
            <w:r>
              <w:rPr>
                <w:rFonts w:hint="eastAsia" w:cs="宋体"/>
              </w:rPr>
              <w:t>2.2、能够鉴定菌株种类数目≥480种细菌，整体鉴定准确率≥90%，涵盖革兰阴性菌、革兰阳性球菌和革兰阳性杆菌、各种链球菌、酵母菌、隐球菌、曲霉菌、芽孢杆菌、棒状杆菌等菌株种类的鉴定，且鉴定结果能够显示其鉴定质量评价。</w:t>
            </w:r>
          </w:p>
          <w:p>
            <w:pPr>
              <w:pStyle w:val="33"/>
              <w:keepNext/>
              <w:spacing w:after="120"/>
              <w:ind w:firstLine="240"/>
              <w:jc w:val="left"/>
              <w:rPr>
                <w:rFonts w:cs="宋体"/>
              </w:rPr>
            </w:pPr>
            <w:r>
              <w:rPr>
                <w:rFonts w:hint="eastAsia" w:cs="宋体"/>
              </w:rPr>
              <w:t>2.3、革兰阴性菌鉴定时间6-13小时，革兰阳性菌鉴定时间约6小时，酵母菌鉴定时间约18小时；能够实现对于≥95%常见细菌在≤13小时内报告菌种鉴定结果；具备快速菌种鉴定和自动鉴定双功能，三种菌种鉴定/药敏复合板卡，</w:t>
            </w:r>
          </w:p>
          <w:p>
            <w:pPr>
              <w:pStyle w:val="33"/>
              <w:keepNext/>
              <w:spacing w:after="120"/>
              <w:ind w:firstLine="240"/>
              <w:jc w:val="left"/>
              <w:rPr>
                <w:rFonts w:cs="宋体"/>
              </w:rPr>
            </w:pPr>
            <w:r>
              <w:rPr>
                <w:rFonts w:hint="eastAsia" w:cs="宋体"/>
              </w:rPr>
              <w:t>2.4、鉴定/药敏复合板卡和药敏板卡采用板盖和板底设计；</w:t>
            </w:r>
          </w:p>
          <w:p>
            <w:pPr>
              <w:pStyle w:val="33"/>
              <w:keepNext/>
              <w:spacing w:after="120"/>
              <w:ind w:firstLine="240"/>
              <w:jc w:val="left"/>
              <w:rPr>
                <w:rFonts w:cs="宋体"/>
              </w:rPr>
            </w:pPr>
            <w:r>
              <w:rPr>
                <w:rFonts w:hint="eastAsia" w:cs="宋体"/>
              </w:rPr>
              <w:t>2.5、可提供国家致病菌识别网耐药要求药敏试剂，同时可为客户定制药敏试剂，并包含如下药物：替加环素、头孢洛林、头孢他啶/阿维巴坦、多粘菌素B、达托霉素、替加环素、莫西沙星。</w:t>
            </w:r>
          </w:p>
          <w:p>
            <w:pPr>
              <w:pStyle w:val="33"/>
              <w:keepNext/>
              <w:spacing w:after="120"/>
              <w:ind w:firstLine="240"/>
              <w:jc w:val="left"/>
              <w:rPr>
                <w:rFonts w:cs="宋体"/>
              </w:rPr>
            </w:pPr>
            <w:r>
              <w:rPr>
                <w:rFonts w:hint="eastAsia" w:cs="宋体"/>
              </w:rPr>
              <w:t>2.6、真菌板卡可检测假丝酵母属、隐球菌属和曲霉菌属，且包含11个以上浓度梯度，定量检测。</w:t>
            </w:r>
          </w:p>
          <w:p>
            <w:pPr>
              <w:pStyle w:val="33"/>
              <w:keepNext/>
              <w:spacing w:after="120"/>
              <w:ind w:firstLine="240"/>
              <w:jc w:val="left"/>
              <w:rPr>
                <w:rFonts w:cs="宋体"/>
              </w:rPr>
            </w:pPr>
            <w:r>
              <w:rPr>
                <w:rFonts w:hint="eastAsia" w:cs="宋体"/>
              </w:rPr>
              <w:t>2.7、鉴定卡选择时只需要进行革兰氏染色即可确定板卡类型，无需做氧化酶/触酶试验区分到非发酵或肠杆菌，链球菌或葡萄球菌等。</w:t>
            </w:r>
          </w:p>
          <w:p>
            <w:pPr>
              <w:pStyle w:val="33"/>
              <w:keepNext/>
              <w:spacing w:after="120"/>
              <w:ind w:firstLine="240"/>
              <w:jc w:val="left"/>
              <w:rPr>
                <w:rFonts w:cs="宋体"/>
              </w:rPr>
            </w:pPr>
            <w:r>
              <w:rPr>
                <w:rFonts w:hint="eastAsia" w:cs="宋体"/>
              </w:rPr>
              <w:t>2.8、鉴定结果可以和质谱仪结果互联评价。</w:t>
            </w:r>
          </w:p>
          <w:p>
            <w:pPr>
              <w:pStyle w:val="33"/>
              <w:keepNext/>
              <w:spacing w:after="120"/>
              <w:ind w:firstLine="240"/>
              <w:jc w:val="left"/>
              <w:rPr>
                <w:rFonts w:cs="宋体"/>
              </w:rPr>
            </w:pPr>
            <w:r>
              <w:rPr>
                <w:rFonts w:hint="eastAsia" w:cs="宋体"/>
              </w:rPr>
              <w:t>3、配置要求：主机1台、比浊仪1台。</w:t>
            </w:r>
          </w:p>
        </w:tc>
      </w:tr>
    </w:tbl>
    <w:p>
      <w:pPr>
        <w:rPr>
          <w:rFonts w:asciiTheme="minorEastAsia" w:hAnsiTheme="minorEastAsia" w:eastAsiaTheme="minorEastAsia"/>
        </w:rPr>
      </w:pPr>
      <w:r>
        <w:rPr>
          <w:rFonts w:hint="eastAsia" w:asciiTheme="minorEastAsia" w:hAnsiTheme="minorEastAsia" w:eastAsiaTheme="minorEastAsia"/>
        </w:rPr>
        <w:br w:type="page"/>
      </w:r>
    </w:p>
    <w:p>
      <w:pPr>
        <w:pStyle w:val="31"/>
        <w:rPr>
          <w:rFonts w:asciiTheme="minorEastAsia" w:hAnsiTheme="minorEastAsia" w:eastAsiaTheme="minorEastAsia"/>
        </w:rPr>
      </w:pPr>
      <w:bookmarkStart w:id="317" w:name="_Toc10739"/>
      <w:r>
        <w:rPr>
          <w:rFonts w:asciiTheme="minorEastAsia" w:hAnsiTheme="minorEastAsia" w:eastAsiaTheme="minorEastAsia"/>
        </w:rPr>
        <w:t>第六章  投标文件格式</w:t>
      </w:r>
      <w:bookmarkEnd w:id="286"/>
      <w:bookmarkEnd w:id="287"/>
      <w:bookmarkEnd w:id="288"/>
      <w:bookmarkEnd w:id="289"/>
      <w:bookmarkEnd w:id="290"/>
      <w:bookmarkEnd w:id="316"/>
      <w:bookmarkEnd w:id="317"/>
    </w:p>
    <w:p/>
    <w:p>
      <w:pPr>
        <w:autoSpaceDE w:val="0"/>
        <w:autoSpaceDN w:val="0"/>
        <w:adjustRightInd w:val="0"/>
        <w:snapToGrid w:val="0"/>
        <w:spacing w:line="360" w:lineRule="auto"/>
        <w:jc w:val="right"/>
        <w:rPr>
          <w:rFonts w:ascii="仿宋" w:hAnsi="仿宋" w:eastAsia="仿宋"/>
          <w:b/>
          <w:bCs/>
          <w:sz w:val="30"/>
          <w:szCs w:val="30"/>
          <w:lang w:val="zh-CN"/>
        </w:rPr>
      </w:pPr>
      <w:r>
        <w:rPr>
          <w:rFonts w:ascii="仿宋" w:hAnsi="仿宋" w:eastAsia="仿宋"/>
          <w:b/>
          <w:bCs/>
          <w:sz w:val="30"/>
          <w:szCs w:val="30"/>
          <w:lang w:val="zh-CN"/>
        </w:rPr>
        <w:t>正本/副本</w:t>
      </w:r>
    </w:p>
    <w:p>
      <w:pPr>
        <w:autoSpaceDE w:val="0"/>
        <w:autoSpaceDN w:val="0"/>
        <w:adjustRightInd w:val="0"/>
        <w:snapToGrid w:val="0"/>
        <w:spacing w:line="360" w:lineRule="auto"/>
        <w:jc w:val="right"/>
        <w:rPr>
          <w:rFonts w:ascii="仿宋" w:hAnsi="仿宋" w:eastAsia="仿宋"/>
          <w:b/>
          <w:bCs/>
          <w:sz w:val="30"/>
          <w:szCs w:val="30"/>
          <w:lang w:val="zh-CN"/>
        </w:rPr>
      </w:pPr>
    </w:p>
    <w:p>
      <w:pPr>
        <w:autoSpaceDE w:val="0"/>
        <w:autoSpaceDN w:val="0"/>
        <w:adjustRightInd w:val="0"/>
        <w:snapToGrid w:val="0"/>
        <w:spacing w:line="360" w:lineRule="auto"/>
        <w:rPr>
          <w:rFonts w:ascii="仿宋" w:hAnsi="仿宋" w:eastAsia="仿宋"/>
          <w:b/>
          <w:bCs/>
          <w:sz w:val="30"/>
          <w:szCs w:val="30"/>
          <w:lang w:val="zh-CN"/>
        </w:rPr>
      </w:pPr>
      <w:r>
        <w:rPr>
          <w:rFonts w:ascii="仿宋" w:hAnsi="仿宋" w:eastAsia="仿宋"/>
          <w:b/>
          <w:bCs/>
          <w:sz w:val="30"/>
          <w:szCs w:val="30"/>
          <w:lang w:val="zh-CN"/>
        </w:rPr>
        <w:t>政府采购项目</w:t>
      </w:r>
    </w:p>
    <w:p>
      <w:pPr>
        <w:autoSpaceDE w:val="0"/>
        <w:autoSpaceDN w:val="0"/>
        <w:adjustRightInd w:val="0"/>
        <w:snapToGrid w:val="0"/>
        <w:spacing w:line="360" w:lineRule="auto"/>
        <w:rPr>
          <w:rFonts w:ascii="仿宋" w:hAnsi="仿宋" w:eastAsia="仿宋"/>
          <w:b/>
          <w:bCs/>
          <w:sz w:val="30"/>
          <w:szCs w:val="30"/>
          <w:lang w:val="zh-CN"/>
        </w:rPr>
      </w:pPr>
      <w:r>
        <w:rPr>
          <w:rFonts w:ascii="仿宋" w:hAnsi="仿宋" w:eastAsia="仿宋"/>
          <w:b/>
          <w:bCs/>
          <w:sz w:val="30"/>
          <w:szCs w:val="30"/>
          <w:lang w:val="zh-CN"/>
        </w:rPr>
        <w:t>采购项目编号：</w:t>
      </w:r>
    </w:p>
    <w:p>
      <w:pPr>
        <w:spacing w:line="240" w:lineRule="atLeast"/>
        <w:ind w:left="1079" w:leftChars="257" w:hanging="540"/>
        <w:jc w:val="center"/>
        <w:rPr>
          <w:rFonts w:ascii="仿宋" w:hAnsi="仿宋" w:eastAsia="仿宋"/>
          <w:b/>
          <w:sz w:val="52"/>
          <w:szCs w:val="52"/>
        </w:rPr>
      </w:pPr>
    </w:p>
    <w:p>
      <w:pPr>
        <w:tabs>
          <w:tab w:val="left" w:pos="5670"/>
        </w:tabs>
        <w:autoSpaceDE w:val="0"/>
        <w:autoSpaceDN w:val="0"/>
        <w:adjustRightInd w:val="0"/>
        <w:snapToGrid w:val="0"/>
        <w:spacing w:line="360" w:lineRule="auto"/>
        <w:jc w:val="center"/>
        <w:rPr>
          <w:rFonts w:ascii="仿宋" w:hAnsi="仿宋" w:eastAsia="仿宋"/>
          <w:b/>
          <w:bCs/>
          <w:sz w:val="36"/>
          <w:szCs w:val="36"/>
          <w:lang w:val="zh-CN"/>
        </w:rPr>
      </w:pPr>
      <w:r>
        <w:rPr>
          <w:rFonts w:hint="eastAsia" w:ascii="仿宋" w:hAnsi="仿宋" w:eastAsia="仿宋"/>
          <w:b/>
          <w:bCs/>
          <w:sz w:val="36"/>
          <w:szCs w:val="36"/>
          <w:lang w:val="zh-CN"/>
        </w:rPr>
        <w:t>2023年莲湖疾控区域中心实验室仪器设备采购项目</w:t>
      </w:r>
    </w:p>
    <w:p>
      <w:pPr>
        <w:tabs>
          <w:tab w:val="left" w:pos="5670"/>
        </w:tabs>
        <w:autoSpaceDE w:val="0"/>
        <w:autoSpaceDN w:val="0"/>
        <w:adjustRightInd w:val="0"/>
        <w:snapToGrid w:val="0"/>
        <w:spacing w:line="360" w:lineRule="auto"/>
        <w:jc w:val="center"/>
        <w:rPr>
          <w:rFonts w:ascii="仿宋" w:hAnsi="仿宋" w:eastAsia="仿宋"/>
          <w:b/>
          <w:bCs/>
          <w:sz w:val="52"/>
          <w:szCs w:val="52"/>
          <w:lang w:val="zh-CN"/>
        </w:rPr>
      </w:pPr>
      <w:r>
        <w:rPr>
          <w:rFonts w:ascii="仿宋" w:hAnsi="仿宋" w:eastAsia="仿宋"/>
          <w:b/>
          <w:bCs/>
          <w:sz w:val="52"/>
          <w:szCs w:val="52"/>
          <w:lang w:val="zh-CN"/>
        </w:rPr>
        <w:t>投 标 文 件</w:t>
      </w:r>
    </w:p>
    <w:p>
      <w:pPr>
        <w:spacing w:line="240" w:lineRule="atLeast"/>
        <w:jc w:val="center"/>
        <w:rPr>
          <w:rFonts w:ascii="仿宋" w:hAnsi="仿宋" w:eastAsia="仿宋"/>
          <w:b/>
          <w:sz w:val="32"/>
          <w:szCs w:val="32"/>
        </w:rPr>
      </w:pPr>
      <w:r>
        <w:rPr>
          <w:rFonts w:ascii="仿宋" w:hAnsi="仿宋" w:eastAsia="仿宋"/>
          <w:b/>
          <w:bCs/>
          <w:sz w:val="32"/>
          <w:szCs w:val="32"/>
        </w:rPr>
        <w:t>（资格证明文件）</w:t>
      </w:r>
    </w:p>
    <w:p>
      <w:pPr>
        <w:spacing w:line="240" w:lineRule="atLeast"/>
        <w:ind w:left="1079" w:leftChars="257" w:hanging="540"/>
        <w:jc w:val="center"/>
        <w:rPr>
          <w:rFonts w:ascii="仿宋" w:hAnsi="仿宋" w:eastAsia="仿宋"/>
          <w:b/>
          <w:sz w:val="32"/>
          <w:szCs w:val="32"/>
          <w:u w:val="single"/>
        </w:rPr>
      </w:pPr>
      <w:r>
        <w:rPr>
          <w:rFonts w:hint="eastAsia" w:ascii="仿宋" w:hAnsi="仿宋" w:eastAsia="仿宋"/>
          <w:b/>
          <w:sz w:val="32"/>
          <w:szCs w:val="32"/>
        </w:rPr>
        <w:t>第</w:t>
      </w:r>
      <w:r>
        <w:rPr>
          <w:rFonts w:hint="eastAsia" w:ascii="仿宋" w:hAnsi="仿宋" w:eastAsia="仿宋"/>
          <w:b/>
          <w:sz w:val="32"/>
          <w:szCs w:val="32"/>
          <w:u w:val="single"/>
        </w:rPr>
        <w:t xml:space="preserve">    </w:t>
      </w:r>
      <w:r>
        <w:rPr>
          <w:rFonts w:hint="eastAsia" w:ascii="仿宋" w:hAnsi="仿宋" w:eastAsia="仿宋"/>
          <w:b/>
          <w:sz w:val="32"/>
          <w:szCs w:val="32"/>
        </w:rPr>
        <w:t>包</w:t>
      </w:r>
    </w:p>
    <w:p>
      <w:pPr>
        <w:autoSpaceDE w:val="0"/>
        <w:autoSpaceDN w:val="0"/>
        <w:adjustRightInd w:val="0"/>
        <w:snapToGrid w:val="0"/>
        <w:spacing w:line="360" w:lineRule="auto"/>
        <w:jc w:val="center"/>
        <w:rPr>
          <w:rFonts w:ascii="仿宋" w:hAnsi="仿宋" w:eastAsia="仿宋"/>
          <w:b/>
          <w:bCs/>
          <w:sz w:val="32"/>
          <w:szCs w:val="32"/>
        </w:rPr>
      </w:pPr>
    </w:p>
    <w:p>
      <w:pPr>
        <w:pStyle w:val="12"/>
        <w:rPr>
          <w:rFonts w:ascii="仿宋" w:hAnsi="仿宋" w:eastAsia="仿宋"/>
          <w:b/>
          <w:bCs/>
          <w:sz w:val="32"/>
          <w:szCs w:val="32"/>
        </w:rPr>
      </w:pPr>
    </w:p>
    <w:p>
      <w:pPr>
        <w:pStyle w:val="12"/>
        <w:rPr>
          <w:rFonts w:ascii="仿宋" w:hAnsi="仿宋" w:eastAsia="仿宋"/>
          <w:b/>
          <w:bCs/>
          <w:sz w:val="32"/>
          <w:szCs w:val="32"/>
        </w:rPr>
      </w:pPr>
    </w:p>
    <w:p>
      <w:pPr>
        <w:pStyle w:val="12"/>
        <w:rPr>
          <w:rFonts w:ascii="仿宋" w:hAnsi="仿宋" w:eastAsia="仿宋"/>
          <w:sz w:val="30"/>
          <w:szCs w:val="30"/>
        </w:rPr>
      </w:pPr>
    </w:p>
    <w:p/>
    <w:p>
      <w:pPr>
        <w:autoSpaceDE w:val="0"/>
        <w:autoSpaceDN w:val="0"/>
        <w:adjustRightInd w:val="0"/>
        <w:snapToGrid w:val="0"/>
        <w:spacing w:line="360" w:lineRule="auto"/>
        <w:rPr>
          <w:rFonts w:ascii="仿宋" w:hAnsi="仿宋" w:eastAsia="仿宋"/>
          <w:b/>
          <w:bCs/>
          <w:sz w:val="32"/>
          <w:szCs w:val="32"/>
          <w:u w:val="single"/>
        </w:rPr>
      </w:pPr>
      <w:r>
        <w:rPr>
          <w:rFonts w:ascii="仿宋" w:hAnsi="仿宋" w:eastAsia="仿宋"/>
          <w:sz w:val="30"/>
          <w:szCs w:val="30"/>
        </w:rPr>
        <w:t xml:space="preserve">                 </w:t>
      </w:r>
      <w:r>
        <w:rPr>
          <w:rFonts w:ascii="仿宋" w:hAnsi="仿宋" w:eastAsia="仿宋"/>
          <w:b/>
          <w:bCs/>
          <w:sz w:val="32"/>
          <w:szCs w:val="32"/>
          <w:lang w:val="zh-CN"/>
        </w:rPr>
        <w:t>投</w:t>
      </w:r>
      <w:r>
        <w:rPr>
          <w:rFonts w:ascii="仿宋" w:hAnsi="仿宋" w:eastAsia="仿宋"/>
          <w:b/>
          <w:bCs/>
          <w:sz w:val="32"/>
          <w:szCs w:val="32"/>
        </w:rPr>
        <w:t xml:space="preserve"> </w:t>
      </w:r>
      <w:r>
        <w:rPr>
          <w:rFonts w:ascii="仿宋" w:hAnsi="仿宋" w:eastAsia="仿宋"/>
          <w:b/>
          <w:bCs/>
          <w:sz w:val="32"/>
          <w:szCs w:val="32"/>
          <w:lang w:val="zh-CN"/>
        </w:rPr>
        <w:t>标</w:t>
      </w:r>
      <w:r>
        <w:rPr>
          <w:rFonts w:ascii="仿宋" w:hAnsi="仿宋" w:eastAsia="仿宋"/>
          <w:b/>
          <w:bCs/>
          <w:sz w:val="32"/>
          <w:szCs w:val="32"/>
        </w:rPr>
        <w:t xml:space="preserve"> </w:t>
      </w:r>
      <w:r>
        <w:rPr>
          <w:rFonts w:ascii="仿宋" w:hAnsi="仿宋" w:eastAsia="仿宋"/>
          <w:b/>
          <w:bCs/>
          <w:sz w:val="32"/>
          <w:szCs w:val="32"/>
          <w:lang w:val="zh-CN"/>
        </w:rPr>
        <w:t>人：</w:t>
      </w:r>
      <w:r>
        <w:rPr>
          <w:rFonts w:ascii="仿宋" w:hAnsi="仿宋" w:eastAsia="仿宋"/>
          <w:b/>
          <w:bCs/>
          <w:sz w:val="32"/>
          <w:szCs w:val="32"/>
          <w:u w:val="single"/>
        </w:rPr>
        <w:t xml:space="preserve">                   </w:t>
      </w:r>
    </w:p>
    <w:p>
      <w:pPr>
        <w:autoSpaceDE w:val="0"/>
        <w:autoSpaceDN w:val="0"/>
        <w:adjustRightInd w:val="0"/>
        <w:snapToGrid w:val="0"/>
        <w:spacing w:line="360" w:lineRule="auto"/>
        <w:ind w:firstLine="2560" w:firstLineChars="800"/>
        <w:rPr>
          <w:rFonts w:ascii="仿宋" w:hAnsi="仿宋" w:eastAsia="仿宋"/>
          <w:b/>
          <w:bCs/>
          <w:sz w:val="32"/>
          <w:szCs w:val="32"/>
        </w:rPr>
      </w:pPr>
      <w:r>
        <w:rPr>
          <w:rFonts w:ascii="仿宋" w:hAnsi="仿宋" w:eastAsia="仿宋"/>
          <w:b/>
          <w:bCs/>
          <w:sz w:val="32"/>
          <w:szCs w:val="32"/>
          <w:lang w:val="zh-CN"/>
        </w:rPr>
        <w:t>时</w:t>
      </w:r>
      <w:r>
        <w:rPr>
          <w:rFonts w:ascii="仿宋" w:hAnsi="仿宋" w:eastAsia="仿宋"/>
          <w:b/>
          <w:bCs/>
          <w:sz w:val="32"/>
          <w:szCs w:val="32"/>
        </w:rPr>
        <w:t xml:space="preserve">    </w:t>
      </w:r>
      <w:r>
        <w:rPr>
          <w:rFonts w:ascii="仿宋" w:hAnsi="仿宋" w:eastAsia="仿宋"/>
          <w:b/>
          <w:bCs/>
          <w:sz w:val="32"/>
          <w:szCs w:val="32"/>
          <w:lang w:val="zh-CN"/>
        </w:rPr>
        <w:t>间：</w:t>
      </w:r>
      <w:r>
        <w:rPr>
          <w:rFonts w:ascii="仿宋" w:hAnsi="仿宋" w:eastAsia="仿宋"/>
          <w:b/>
          <w:bCs/>
          <w:sz w:val="32"/>
          <w:szCs w:val="32"/>
          <w:u w:val="single"/>
        </w:rPr>
        <w:t xml:space="preserve">                   </w:t>
      </w:r>
    </w:p>
    <w:p>
      <w:pPr>
        <w:spacing w:line="360" w:lineRule="auto"/>
        <w:ind w:left="735" w:leftChars="350" w:firstLine="120" w:firstLineChars="50"/>
        <w:rPr>
          <w:rFonts w:ascii="仿宋" w:hAnsi="仿宋" w:eastAsia="仿宋"/>
          <w:color w:val="00B0F0"/>
          <w:sz w:val="24"/>
        </w:rPr>
      </w:pPr>
    </w:p>
    <w:p>
      <w:pPr>
        <w:jc w:val="center"/>
        <w:rPr>
          <w:rFonts w:ascii="仿宋" w:hAnsi="仿宋" w:eastAsia="仿宋" w:cs="仿宋"/>
          <w:b/>
          <w:sz w:val="44"/>
        </w:rPr>
      </w:pPr>
      <w:r>
        <w:rPr>
          <w:rFonts w:ascii="仿宋" w:hAnsi="仿宋" w:eastAsia="仿宋"/>
          <w:color w:val="00B0F0"/>
          <w:sz w:val="24"/>
        </w:rPr>
        <w:br w:type="page"/>
      </w:r>
      <w:r>
        <w:rPr>
          <w:rFonts w:hint="eastAsia" w:ascii="仿宋" w:hAnsi="仿宋" w:eastAsia="仿宋" w:cs="仿宋"/>
          <w:b/>
          <w:sz w:val="44"/>
        </w:rPr>
        <w:t>目  录</w:t>
      </w:r>
    </w:p>
    <w:p>
      <w:pPr>
        <w:jc w:val="center"/>
        <w:rPr>
          <w:rFonts w:ascii="仿宋" w:hAnsi="仿宋" w:eastAsia="仿宋" w:cs="仿宋"/>
          <w:b/>
          <w:sz w:val="44"/>
        </w:rPr>
      </w:pPr>
    </w:p>
    <w:p>
      <w:pPr>
        <w:spacing w:line="360" w:lineRule="auto"/>
        <w:ind w:left="735" w:leftChars="350" w:firstLine="160" w:firstLineChars="50"/>
        <w:jc w:val="center"/>
        <w:rPr>
          <w:rFonts w:ascii="楷体" w:hAnsi="楷体" w:eastAsia="楷体" w:cs="楷体"/>
          <w:sz w:val="32"/>
          <w:szCs w:val="32"/>
        </w:rPr>
      </w:pPr>
      <w:r>
        <w:rPr>
          <w:rFonts w:hint="eastAsia" w:ascii="仿宋" w:hAnsi="仿宋" w:eastAsia="仿宋" w:cs="仿宋"/>
          <w:sz w:val="32"/>
          <w:szCs w:val="32"/>
        </w:rPr>
        <w:t>（格式自拟）</w:t>
      </w:r>
    </w:p>
    <w:p>
      <w:pPr>
        <w:spacing w:line="360" w:lineRule="auto"/>
        <w:ind w:left="735" w:leftChars="350" w:firstLine="160" w:firstLineChars="50"/>
        <w:rPr>
          <w:rFonts w:ascii="仿宋" w:hAnsi="仿宋" w:eastAsia="仿宋"/>
          <w:color w:val="00B0F0"/>
          <w:sz w:val="24"/>
        </w:rPr>
      </w:pPr>
      <w:r>
        <w:rPr>
          <w:rFonts w:hint="eastAsia" w:ascii="楷体" w:hAnsi="楷体" w:eastAsia="楷体" w:cs="楷体"/>
          <w:sz w:val="32"/>
          <w:szCs w:val="32"/>
        </w:rPr>
        <w:br w:type="page"/>
      </w:r>
    </w:p>
    <w:p>
      <w:pPr>
        <w:snapToGrid w:val="0"/>
        <w:spacing w:line="360" w:lineRule="auto"/>
        <w:ind w:left="1079" w:leftChars="257" w:hanging="540"/>
        <w:jc w:val="center"/>
        <w:rPr>
          <w:rFonts w:ascii="宋体" w:hAnsi="宋体" w:cs="宋体"/>
          <w:sz w:val="24"/>
        </w:rPr>
      </w:pPr>
      <w:bookmarkStart w:id="318" w:name="_Toc45196827"/>
      <w:r>
        <w:rPr>
          <w:rFonts w:hint="eastAsia" w:ascii="宋体" w:hAnsi="宋体" w:cs="宋体"/>
          <w:sz w:val="24"/>
        </w:rPr>
        <w:t>资格证明文件</w:t>
      </w:r>
      <w:bookmarkEnd w:id="318"/>
    </w:p>
    <w:p>
      <w:pPr>
        <w:spacing w:line="360" w:lineRule="auto"/>
        <w:rPr>
          <w:rFonts w:ascii="宋体" w:hAnsi="宋体" w:cs="宋体"/>
          <w:sz w:val="24"/>
        </w:rPr>
      </w:pPr>
      <w:r>
        <w:rPr>
          <w:rFonts w:hint="eastAsia" w:ascii="宋体" w:hAnsi="宋体" w:cs="宋体"/>
          <w:b/>
          <w:bCs/>
          <w:sz w:val="24"/>
        </w:rPr>
        <w:t>（一）资格审查文件</w:t>
      </w:r>
      <w:r>
        <w:rPr>
          <w:rFonts w:hint="eastAsia" w:ascii="宋体" w:hAnsi="宋体" w:cs="宋体"/>
          <w:sz w:val="24"/>
        </w:rPr>
        <w:t>（以下相关资料须按招标文件要求提供，内容须清晰可见）</w:t>
      </w:r>
    </w:p>
    <w:p>
      <w:pPr>
        <w:spacing w:line="360" w:lineRule="auto"/>
        <w:rPr>
          <w:rFonts w:ascii="宋体" w:hAnsi="宋体" w:cs="宋体"/>
          <w:sz w:val="24"/>
        </w:rPr>
      </w:pPr>
      <w:r>
        <w:rPr>
          <w:rFonts w:hint="eastAsia" w:ascii="宋体" w:hAnsi="宋体" w:cs="宋体"/>
          <w:sz w:val="24"/>
        </w:rPr>
        <w:t>1、投标人具备《中华人民共和国政府采购法》第二十二条规定之资格条件。须提供的证明材料有：</w:t>
      </w:r>
    </w:p>
    <w:p>
      <w:pPr>
        <w:pStyle w:val="29"/>
        <w:spacing w:before="0" w:beforeAutospacing="0" w:after="0" w:afterAutospacing="0" w:line="360" w:lineRule="auto"/>
      </w:pPr>
      <w:r>
        <w:rPr>
          <w:rFonts w:hint="eastAsia"/>
        </w:rPr>
        <w:t>1.1提供有效合格的具有社会统一信用代码的营业执照，其他组织经营的须提供合法凭证，自然人提供身份证明文件;</w:t>
      </w:r>
    </w:p>
    <w:p>
      <w:pPr>
        <w:pStyle w:val="29"/>
        <w:spacing w:before="0" w:beforeAutospacing="0" w:after="0" w:afterAutospacing="0" w:line="360" w:lineRule="auto"/>
      </w:pPr>
      <w:r>
        <w:rPr>
          <w:rFonts w:hint="eastAsia"/>
        </w:rPr>
        <w:t>1.2财务状况报告：</w:t>
      </w:r>
      <w:r>
        <w:rPr>
          <w:rFonts w:hint="eastAsia"/>
          <w:lang w:eastAsia="zh-CN"/>
        </w:rPr>
        <w:t>提供2021年度或2022年度经审计的财务报告</w:t>
      </w:r>
      <w:r>
        <w:rPr>
          <w:rFonts w:hint="eastAsia"/>
        </w:rPr>
        <w:t>或开标日期前三个月内其基本存款账户开户银行出具的资信证明及基本存款账户开户许可证（基本账户信息表）；</w:t>
      </w:r>
    </w:p>
    <w:p>
      <w:pPr>
        <w:pStyle w:val="29"/>
        <w:spacing w:before="0" w:beforeAutospacing="0" w:after="0" w:afterAutospacing="0" w:line="360" w:lineRule="auto"/>
      </w:pPr>
      <w:r>
        <w:rPr>
          <w:rFonts w:hint="eastAsia"/>
        </w:rPr>
        <w:t>1.3税收缴纳证明：提供2022年10月至今已缴纳的至少一个月的纳税证明(任意税种），依法免税的单位应提供相关证明材料；</w:t>
      </w:r>
    </w:p>
    <w:p>
      <w:pPr>
        <w:pStyle w:val="29"/>
        <w:spacing w:before="0" w:beforeAutospacing="0" w:after="0" w:afterAutospacing="0" w:line="360" w:lineRule="auto"/>
      </w:pPr>
      <w:r>
        <w:rPr>
          <w:rFonts w:hint="eastAsia"/>
        </w:rPr>
        <w:t>1.4社会保障资金缴纳证明：提供2022年10月至今已缴存的至少一个月的社会保障资金缴存单据或社保机构开具的社会保险参保缴费情况证明，依法不需要缴纳社会保障资金的单位应提供相关证明材料；</w:t>
      </w:r>
    </w:p>
    <w:p>
      <w:pPr>
        <w:pStyle w:val="29"/>
        <w:spacing w:before="0" w:beforeAutospacing="0" w:after="0" w:afterAutospacing="0" w:line="360" w:lineRule="auto"/>
      </w:pPr>
      <w:r>
        <w:rPr>
          <w:rFonts w:hint="eastAsia"/>
        </w:rPr>
        <w:t>1.5具备履行合同所必须的设备和专业技术能力的书面声明（见格式一）;</w:t>
      </w:r>
    </w:p>
    <w:p>
      <w:pPr>
        <w:pStyle w:val="29"/>
        <w:spacing w:before="0" w:beforeAutospacing="0" w:after="0" w:afterAutospacing="0" w:line="360" w:lineRule="auto"/>
      </w:pPr>
      <w:r>
        <w:rPr>
          <w:rFonts w:hint="eastAsia"/>
        </w:rPr>
        <w:t>1.6参加政府采购活动前三年内，在经营活动中没有重大违法记录的书面声明（见格式二）。</w:t>
      </w:r>
    </w:p>
    <w:p>
      <w:pPr>
        <w:pStyle w:val="29"/>
        <w:spacing w:before="0" w:beforeAutospacing="0" w:after="0" w:afterAutospacing="0" w:line="360" w:lineRule="auto"/>
      </w:pPr>
      <w:r>
        <w:rPr>
          <w:rFonts w:hint="eastAsia"/>
        </w:rPr>
        <w:t>2.特定资格条件</w:t>
      </w:r>
    </w:p>
    <w:p>
      <w:pPr>
        <w:tabs>
          <w:tab w:val="left" w:pos="5580"/>
        </w:tabs>
        <w:snapToGrid w:val="0"/>
        <w:spacing w:line="360" w:lineRule="auto"/>
        <w:rPr>
          <w:rFonts w:ascii="宋体" w:hAnsi="宋体" w:cs="宋体"/>
          <w:sz w:val="24"/>
        </w:rPr>
      </w:pPr>
      <w:r>
        <w:rPr>
          <w:rFonts w:hint="eastAsia" w:ascii="宋体" w:hAnsi="宋体" w:cs="宋体"/>
          <w:sz w:val="24"/>
        </w:rPr>
        <w:t>2.1投标人未被列入“中国执行信息公开网”（http://zxgk.court.gov.cn/shixin/）失信被执行人名单，未被列入“信用中国”网站（www.creditchina.gov.cn）重大税收违法失信主体，未被列入“中国政府采购网”（www.ccgp.gov.cn）政府采购严重违法失信行为记录名单；</w:t>
      </w:r>
    </w:p>
    <w:p>
      <w:pPr>
        <w:tabs>
          <w:tab w:val="left" w:pos="5580"/>
        </w:tabs>
        <w:snapToGrid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法定代表人（或单位负责人）直接参加投标的，须出具法定代表人（或单位负责人）身份证，非法定代表人（或单位负责人）参加投标，须出具法定代表人（或单位负责人）授权书及被授权人身份证（见格式三）；</w:t>
      </w:r>
    </w:p>
    <w:p>
      <w:pPr>
        <w:tabs>
          <w:tab w:val="left" w:pos="5580"/>
        </w:tabs>
        <w:snapToGrid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投标单位负责人为同一人或者存在控股、管理关系的不同单位，不得参加同一合同项下的政府采购活动（见格式四）；</w:t>
      </w:r>
    </w:p>
    <w:p>
      <w:pPr>
        <w:tabs>
          <w:tab w:val="left" w:pos="5580"/>
        </w:tabs>
        <w:snapToGrid w:val="0"/>
        <w:spacing w:line="360" w:lineRule="auto"/>
        <w:rPr>
          <w:rFonts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本项目不允许联合体投标（见格式四）；</w:t>
      </w:r>
      <w:r>
        <w:rPr>
          <w:rFonts w:hint="eastAsia" w:hAnsi="宋体" w:cs="宋体"/>
          <w:sz w:val="24"/>
        </w:rPr>
        <w:br w:type="page"/>
      </w:r>
    </w:p>
    <w:p>
      <w:pPr>
        <w:spacing w:line="360" w:lineRule="auto"/>
        <w:ind w:left="1"/>
        <w:rPr>
          <w:rFonts w:ascii="宋体" w:hAnsi="宋体" w:cs="宋体"/>
          <w:sz w:val="24"/>
        </w:rPr>
      </w:pPr>
      <w:bookmarkStart w:id="319" w:name="_Toc45196828"/>
      <w:r>
        <w:rPr>
          <w:rFonts w:hint="eastAsia" w:ascii="宋体" w:hAnsi="宋体" w:cs="宋体"/>
          <w:sz w:val="24"/>
        </w:rPr>
        <w:t>格式一：</w:t>
      </w:r>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具备履行合同所必须的设备和专业技术能力的书面声明</w:t>
      </w:r>
    </w:p>
    <w:p>
      <w:pPr>
        <w:spacing w:line="720" w:lineRule="auto"/>
        <w:jc w:val="left"/>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 xml:space="preserve">            </w:t>
      </w:r>
    </w:p>
    <w:p>
      <w:pPr>
        <w:spacing w:line="720" w:lineRule="auto"/>
        <w:ind w:firstLine="480" w:firstLineChars="200"/>
        <w:jc w:val="left"/>
        <w:rPr>
          <w:rFonts w:ascii="宋体" w:hAnsi="宋体" w:cs="宋体"/>
          <w:sz w:val="24"/>
        </w:rPr>
      </w:pPr>
      <w:r>
        <w:rPr>
          <w:rFonts w:hint="eastAsia" w:ascii="宋体" w:hAnsi="宋体" w:cs="宋体"/>
          <w:sz w:val="24"/>
        </w:rPr>
        <w:t>作为参加贵公司组织的</w:t>
      </w:r>
      <w:r>
        <w:rPr>
          <w:rFonts w:hint="eastAsia" w:ascii="宋体" w:hAnsi="宋体" w:cs="宋体"/>
          <w:sz w:val="24"/>
          <w:u w:val="single"/>
        </w:rPr>
        <w:t xml:space="preserve">          （项目名称、包号）</w:t>
      </w:r>
      <w:r>
        <w:rPr>
          <w:rFonts w:hint="eastAsia" w:ascii="宋体" w:hAnsi="宋体" w:cs="宋体"/>
          <w:sz w:val="24"/>
        </w:rPr>
        <w:t>的投标人，本公司郑重申告并承诺：我公司（</w:t>
      </w:r>
      <w:r>
        <w:rPr>
          <w:rFonts w:hint="eastAsia" w:ascii="宋体" w:hAnsi="宋体" w:cs="宋体"/>
          <w:sz w:val="24"/>
          <w:u w:val="single"/>
        </w:rPr>
        <w:t>具备/不具备</w:t>
      </w:r>
      <w:r>
        <w:rPr>
          <w:rFonts w:hint="eastAsia" w:ascii="宋体" w:hAnsi="宋体" w:cs="宋体"/>
          <w:sz w:val="24"/>
        </w:rPr>
        <w:t>）履行合同所必须的设备和专业技术能力，如有隐瞒或违反，同意接受业主及行政主管部门处理和处罚决定。</w:t>
      </w:r>
    </w:p>
    <w:p>
      <w:pPr>
        <w:spacing w:line="72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投标人名称（公章）：</w:t>
      </w:r>
    </w:p>
    <w:p>
      <w:pPr>
        <w:spacing w:line="360" w:lineRule="auto"/>
        <w:jc w:val="left"/>
        <w:rPr>
          <w:rFonts w:ascii="宋体" w:hAnsi="宋体" w:cs="宋体"/>
          <w:b/>
          <w:sz w:val="24"/>
        </w:rPr>
      </w:pPr>
      <w:r>
        <w:rPr>
          <w:rFonts w:hint="eastAsia" w:ascii="宋体" w:hAnsi="宋体" w:cs="宋体"/>
          <w:sz w:val="24"/>
        </w:rPr>
        <w:t>法定代表人（负责人）/被授权人（</w:t>
      </w:r>
      <w:r>
        <w:rPr>
          <w:rFonts w:hint="eastAsia" w:ascii="宋体" w:hAnsi="宋体" w:cs="宋体"/>
          <w:spacing w:val="4"/>
          <w:sz w:val="24"/>
        </w:rPr>
        <w:t>签字或盖章</w:t>
      </w:r>
      <w:r>
        <w:rPr>
          <w:rFonts w:hint="eastAsia" w:ascii="宋体" w:hAnsi="宋体" w:cs="宋体"/>
          <w:sz w:val="24"/>
        </w:rPr>
        <w:t>）：</w:t>
      </w:r>
      <w:r>
        <w:rPr>
          <w:rFonts w:hint="eastAsia" w:ascii="宋体" w:hAnsi="宋体" w:cs="宋体"/>
          <w:b/>
          <w:sz w:val="24"/>
          <w:u w:val="single"/>
        </w:rPr>
        <w:t xml:space="preserve">                </w:t>
      </w:r>
    </w:p>
    <w:p>
      <w:pPr>
        <w:spacing w:line="360" w:lineRule="auto"/>
        <w:rPr>
          <w:rFonts w:ascii="宋体" w:hAnsi="宋体" w:cs="宋体"/>
          <w:sz w:val="24"/>
        </w:rPr>
      </w:pPr>
      <w:r>
        <w:rPr>
          <w:rFonts w:hint="eastAsia" w:ascii="宋体" w:hAnsi="宋体" w:cs="宋体"/>
          <w:sz w:val="24"/>
        </w:rPr>
        <w:t>日    期：</w:t>
      </w:r>
    </w:p>
    <w:p>
      <w:pPr>
        <w:adjustRightInd w:val="0"/>
        <w:snapToGrid w:val="0"/>
        <w:spacing w:line="360" w:lineRule="auto"/>
        <w:jc w:val="left"/>
        <w:rPr>
          <w:rFonts w:ascii="宋体" w:hAnsi="宋体" w:cs="宋体"/>
        </w:rPr>
      </w:pPr>
    </w:p>
    <w:p>
      <w:pPr>
        <w:pStyle w:val="76"/>
        <w:ind w:firstLine="480"/>
        <w:rPr>
          <w:rFonts w:hAnsi="宋体" w:eastAsia="宋体" w:cs="宋体"/>
        </w:rPr>
      </w:pPr>
    </w:p>
    <w:p>
      <w:pPr>
        <w:pStyle w:val="76"/>
        <w:ind w:firstLine="0"/>
        <w:rPr>
          <w:rFonts w:hAnsi="宋体" w:eastAsia="宋体" w:cs="宋体"/>
          <w:b/>
          <w:bCs/>
        </w:rPr>
      </w:pPr>
      <w:r>
        <w:rPr>
          <w:rFonts w:hint="eastAsia" w:hAnsi="宋体" w:eastAsia="宋体" w:cs="宋体"/>
          <w:b/>
          <w:bCs/>
        </w:rPr>
        <w:t>备注：投标人须根据自身实际情况作出真实声明。</w:t>
      </w:r>
    </w:p>
    <w:p>
      <w:pPr>
        <w:adjustRightInd w:val="0"/>
        <w:snapToGrid w:val="0"/>
        <w:spacing w:line="360" w:lineRule="auto"/>
        <w:jc w:val="left"/>
        <w:rPr>
          <w:rFonts w:ascii="宋体" w:hAnsi="宋体" w:cs="宋体"/>
        </w:rPr>
      </w:pPr>
    </w:p>
    <w:p>
      <w:pPr>
        <w:rPr>
          <w:rFonts w:ascii="宋体" w:hAnsi="宋体" w:cs="宋体"/>
        </w:rPr>
      </w:pPr>
      <w:r>
        <w:rPr>
          <w:rFonts w:hint="eastAsia" w:ascii="宋体" w:hAnsi="宋体" w:cs="宋体"/>
        </w:rPr>
        <w:br w:type="page"/>
      </w:r>
    </w:p>
    <w:p>
      <w:pPr>
        <w:pStyle w:val="52"/>
        <w:rPr>
          <w:rFonts w:hAnsi="宋体" w:cs="宋体"/>
        </w:rPr>
      </w:pPr>
      <w:r>
        <w:rPr>
          <w:rFonts w:hint="eastAsia" w:hAnsi="宋体" w:cs="宋体"/>
        </w:rPr>
        <w:t>格式二：</w:t>
      </w:r>
    </w:p>
    <w:p>
      <w:pPr>
        <w:spacing w:line="360" w:lineRule="auto"/>
        <w:jc w:val="center"/>
        <w:rPr>
          <w:rFonts w:ascii="宋体" w:hAnsi="宋体" w:cs="宋体"/>
          <w:b/>
          <w:bCs/>
          <w:sz w:val="32"/>
          <w:szCs w:val="32"/>
        </w:rPr>
      </w:pPr>
      <w:r>
        <w:rPr>
          <w:rFonts w:hint="eastAsia" w:ascii="宋体" w:hAnsi="宋体" w:cs="宋体"/>
          <w:b/>
          <w:bCs/>
          <w:sz w:val="32"/>
          <w:szCs w:val="32"/>
        </w:rPr>
        <w:t>参加政府采购活动前三年内，在经营活动中</w:t>
      </w:r>
    </w:p>
    <w:p>
      <w:pPr>
        <w:spacing w:line="360" w:lineRule="auto"/>
        <w:jc w:val="center"/>
        <w:rPr>
          <w:rFonts w:ascii="宋体" w:hAnsi="宋体" w:cs="宋体"/>
          <w:b/>
          <w:bCs/>
          <w:sz w:val="32"/>
          <w:szCs w:val="32"/>
        </w:rPr>
      </w:pPr>
      <w:r>
        <w:rPr>
          <w:rFonts w:hint="eastAsia" w:ascii="宋体" w:hAnsi="宋体" w:cs="宋体"/>
          <w:b/>
          <w:bCs/>
          <w:sz w:val="32"/>
          <w:szCs w:val="32"/>
        </w:rPr>
        <w:t>没有重大违法记录书面声明</w:t>
      </w:r>
    </w:p>
    <w:p>
      <w:pPr>
        <w:spacing w:line="720" w:lineRule="auto"/>
        <w:jc w:val="left"/>
        <w:rPr>
          <w:rFonts w:ascii="宋体" w:hAnsi="宋体" w:cs="宋体"/>
          <w:b/>
          <w:sz w:val="24"/>
          <w:u w:val="single"/>
        </w:rPr>
      </w:pPr>
      <w:r>
        <w:rPr>
          <w:rFonts w:hint="eastAsia" w:ascii="宋体" w:hAnsi="宋体" w:cs="宋体"/>
          <w:b/>
          <w:sz w:val="24"/>
        </w:rPr>
        <w:t>致：</w:t>
      </w:r>
      <w:r>
        <w:rPr>
          <w:rFonts w:hint="eastAsia" w:ascii="宋体" w:hAnsi="宋体" w:cs="宋体"/>
          <w:b/>
          <w:sz w:val="24"/>
          <w:u w:val="single"/>
        </w:rPr>
        <w:t xml:space="preserve">                 </w:t>
      </w:r>
    </w:p>
    <w:p>
      <w:pPr>
        <w:spacing w:line="720" w:lineRule="auto"/>
        <w:ind w:firstLine="480" w:firstLineChars="200"/>
        <w:jc w:val="left"/>
        <w:rPr>
          <w:rFonts w:ascii="宋体" w:hAnsi="宋体" w:cs="宋体"/>
          <w:sz w:val="24"/>
        </w:rPr>
      </w:pPr>
      <w:r>
        <w:rPr>
          <w:rFonts w:hint="eastAsia" w:ascii="宋体" w:hAnsi="宋体" w:cs="宋体"/>
          <w:sz w:val="24"/>
        </w:rPr>
        <w:t>作为参加贵公司组织的招标项目的投标人，本公司郑重声明：近三年未受到有关行政主管部门的行政处理、无不良行为，产生的重大违法记录为</w:t>
      </w:r>
      <w:r>
        <w:rPr>
          <w:rFonts w:hint="eastAsia" w:ascii="宋体" w:hAnsi="宋体" w:cs="宋体"/>
          <w:sz w:val="24"/>
          <w:u w:val="single"/>
        </w:rPr>
        <w:t xml:space="preserve">    </w:t>
      </w:r>
      <w:r>
        <w:rPr>
          <w:rFonts w:hint="eastAsia" w:ascii="宋体" w:hAnsi="宋体" w:cs="宋体"/>
          <w:sz w:val="24"/>
        </w:rPr>
        <w:t>（没有填“零”）次。如有隐瞒或违反，同意接受业主及行政主管部门处理和处罚决定。</w:t>
      </w: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投标人名称（公章）：</w:t>
      </w:r>
    </w:p>
    <w:p>
      <w:pPr>
        <w:spacing w:line="360" w:lineRule="auto"/>
        <w:jc w:val="left"/>
        <w:rPr>
          <w:rFonts w:ascii="宋体" w:hAnsi="宋体" w:cs="宋体"/>
          <w:b/>
          <w:sz w:val="24"/>
        </w:rPr>
      </w:pPr>
      <w:r>
        <w:rPr>
          <w:rFonts w:hint="eastAsia" w:ascii="宋体" w:hAnsi="宋体" w:cs="宋体"/>
          <w:sz w:val="24"/>
        </w:rPr>
        <w:t>法定代表人（负责人）/被授权人（</w:t>
      </w:r>
      <w:r>
        <w:rPr>
          <w:rFonts w:hint="eastAsia" w:ascii="宋体" w:hAnsi="宋体" w:cs="宋体"/>
          <w:spacing w:val="4"/>
          <w:sz w:val="24"/>
        </w:rPr>
        <w:t>签字或盖章</w:t>
      </w:r>
      <w:r>
        <w:rPr>
          <w:rFonts w:hint="eastAsia" w:ascii="宋体" w:hAnsi="宋体" w:cs="宋体"/>
          <w:sz w:val="24"/>
        </w:rPr>
        <w:t>）：</w:t>
      </w:r>
    </w:p>
    <w:p>
      <w:pPr>
        <w:pStyle w:val="12"/>
        <w:jc w:val="left"/>
        <w:rPr>
          <w:rFonts w:cs="宋体"/>
        </w:rPr>
      </w:pPr>
      <w:r>
        <w:rPr>
          <w:rFonts w:hint="eastAsia" w:cs="宋体"/>
        </w:rPr>
        <w:t>日    期：</w:t>
      </w:r>
    </w:p>
    <w:p>
      <w:pPr>
        <w:rPr>
          <w:rFonts w:ascii="宋体" w:hAnsi="宋体" w:cs="宋体"/>
          <w:sz w:val="24"/>
        </w:rPr>
      </w:pPr>
    </w:p>
    <w:p>
      <w:pPr>
        <w:pStyle w:val="12"/>
        <w:rPr>
          <w:rFonts w:cs="宋体"/>
        </w:rPr>
      </w:pPr>
    </w:p>
    <w:p>
      <w:pPr>
        <w:rPr>
          <w:rFonts w:ascii="宋体" w:hAnsi="宋体" w:cs="宋体"/>
        </w:rPr>
      </w:pPr>
      <w:r>
        <w:rPr>
          <w:rFonts w:hint="eastAsia" w:ascii="宋体" w:hAnsi="宋体" w:cs="宋体"/>
        </w:rPr>
        <w:br w:type="page"/>
      </w:r>
    </w:p>
    <w:p>
      <w:pPr>
        <w:rPr>
          <w:rFonts w:ascii="宋体" w:hAnsi="宋体" w:cs="宋体"/>
          <w:sz w:val="30"/>
          <w:szCs w:val="30"/>
        </w:rPr>
      </w:pPr>
      <w:r>
        <w:rPr>
          <w:rFonts w:hint="eastAsia" w:ascii="宋体" w:hAnsi="宋体" w:cs="宋体"/>
          <w:sz w:val="30"/>
          <w:szCs w:val="30"/>
        </w:rPr>
        <w:t>格式三：</w:t>
      </w:r>
    </w:p>
    <w:p>
      <w:pPr>
        <w:rPr>
          <w:rFonts w:ascii="宋体" w:hAnsi="宋体" w:cs="宋体"/>
        </w:rPr>
      </w:pPr>
    </w:p>
    <w:p>
      <w:pPr>
        <w:spacing w:line="360" w:lineRule="auto"/>
        <w:ind w:left="1"/>
        <w:jc w:val="center"/>
        <w:rPr>
          <w:rFonts w:ascii="宋体" w:hAnsi="宋体" w:cs="宋体"/>
          <w:sz w:val="28"/>
          <w:szCs w:val="28"/>
        </w:rPr>
      </w:pPr>
      <w:r>
        <w:rPr>
          <w:rFonts w:hint="eastAsia" w:ascii="宋体" w:hAnsi="宋体" w:cs="宋体"/>
          <w:sz w:val="28"/>
          <w:szCs w:val="28"/>
        </w:rPr>
        <w:t>法定代表人（负责人）身份证明书</w:t>
      </w:r>
      <w:bookmarkEnd w:id="319"/>
    </w:p>
    <w:p>
      <w:pPr>
        <w:spacing w:line="360" w:lineRule="auto"/>
        <w:rPr>
          <w:rFonts w:ascii="宋体" w:hAnsi="宋体" w:cs="宋体"/>
          <w:sz w:val="24"/>
          <w:u w:val="single"/>
        </w:rPr>
      </w:pPr>
    </w:p>
    <w:p>
      <w:pPr>
        <w:spacing w:line="360" w:lineRule="auto"/>
        <w:rPr>
          <w:rFonts w:ascii="宋体" w:hAnsi="宋体" w:cs="宋体"/>
          <w:color w:val="333333"/>
          <w:shd w:val="clear" w:color="auto" w:fill="FFFFFF"/>
        </w:rPr>
      </w:pPr>
    </w:p>
    <w:p>
      <w:pPr>
        <w:spacing w:line="360" w:lineRule="auto"/>
        <w:rPr>
          <w:rFonts w:ascii="宋体" w:hAnsi="宋体" w:cs="宋体"/>
          <w:sz w:val="24"/>
        </w:rPr>
      </w:pPr>
      <w:r>
        <w:rPr>
          <w:rFonts w:hint="eastAsia" w:ascii="宋体" w:hAnsi="宋体" w:cs="宋体"/>
          <w:sz w:val="24"/>
          <w:u w:val="none"/>
        </w:rPr>
        <w:t>致</w:t>
      </w:r>
      <w:r>
        <w:rPr>
          <w:rFonts w:hint="eastAsia" w:ascii="宋体" w:hAnsi="宋体" w:cs="宋体"/>
          <w:sz w:val="24"/>
          <w:u w:val="single"/>
        </w:rPr>
        <w:t>（采购代理机构名称）</w:t>
      </w:r>
      <w:r>
        <w:rPr>
          <w:rFonts w:hint="eastAsia" w:ascii="宋体" w:hAnsi="宋体" w:cs="宋体"/>
          <w:sz w:val="24"/>
        </w:rPr>
        <w:t>：</w:t>
      </w:r>
    </w:p>
    <w:p>
      <w:pPr>
        <w:spacing w:line="360" w:lineRule="auto"/>
        <w:ind w:firstLine="600" w:firstLineChars="250"/>
        <w:rPr>
          <w:rFonts w:ascii="宋体" w:hAnsi="宋体" w:cs="宋体"/>
          <w:sz w:val="24"/>
        </w:rPr>
      </w:pPr>
      <w:r>
        <w:rPr>
          <w:rFonts w:hint="eastAsia" w:ascii="宋体" w:hAnsi="宋体" w:cs="宋体"/>
          <w:sz w:val="24"/>
          <w:u w:val="single"/>
        </w:rPr>
        <w:t xml:space="preserve">        </w:t>
      </w:r>
      <w:r>
        <w:rPr>
          <w:rFonts w:hint="eastAsia" w:ascii="宋体" w:hAnsi="宋体" w:cs="宋体"/>
          <w:sz w:val="24"/>
        </w:rPr>
        <w:t>（姓名、性别、年龄、身份证号码）在我</w:t>
      </w:r>
      <w:r>
        <w:fldChar w:fldCharType="begin"/>
      </w:r>
      <w:r>
        <w:instrText xml:space="preserve"> HYPERLINK "https://baike.baidu.com/item/%E5%8D%95%E4%BD%8D/32292" \t "_blank" </w:instrText>
      </w:r>
      <w:r>
        <w:fldChar w:fldCharType="separate"/>
      </w:r>
      <w:r>
        <w:rPr>
          <w:rFonts w:hint="eastAsia" w:ascii="宋体" w:hAnsi="宋体" w:cs="宋体"/>
          <w:sz w:val="24"/>
        </w:rPr>
        <w:t>单位</w:t>
      </w:r>
      <w:r>
        <w:rPr>
          <w:rFonts w:hint="eastAsia" w:ascii="宋体" w:hAnsi="宋体" w:cs="宋体"/>
          <w:sz w:val="24"/>
        </w:rPr>
        <w:fldChar w:fldCharType="end"/>
      </w:r>
      <w:r>
        <w:rPr>
          <w:rFonts w:hint="eastAsia" w:ascii="宋体" w:hAnsi="宋体" w:cs="宋体"/>
          <w:sz w:val="24"/>
        </w:rPr>
        <w:t>任</w:t>
      </w:r>
      <w:r>
        <w:rPr>
          <w:rFonts w:hint="eastAsia" w:ascii="宋体" w:hAnsi="宋体" w:cs="宋体"/>
          <w:sz w:val="24"/>
          <w:u w:val="single"/>
        </w:rPr>
        <w:t xml:space="preserve">       </w:t>
      </w:r>
      <w:r>
        <w:rPr>
          <w:rFonts w:hint="eastAsia" w:ascii="宋体" w:hAnsi="宋体" w:cs="宋体"/>
          <w:sz w:val="24"/>
        </w:rPr>
        <w:t>（董事长、总经理等）职务，是我单位的法定代表人（负责人）。</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特此证明。</w:t>
      </w:r>
    </w:p>
    <w:p>
      <w:pPr>
        <w:autoSpaceDE w:val="0"/>
        <w:autoSpaceDN w:val="0"/>
        <w:adjustRightInd w:val="0"/>
        <w:spacing w:line="360" w:lineRule="auto"/>
        <w:ind w:firstLine="360" w:firstLineChars="150"/>
        <w:rPr>
          <w:rFonts w:ascii="宋体" w:hAnsi="宋体" w:cs="宋体"/>
          <w:sz w:val="24"/>
          <w:lang w:val="zh-CN"/>
        </w:rPr>
      </w:pPr>
    </w:p>
    <w:p>
      <w:pPr>
        <w:autoSpaceDE w:val="0"/>
        <w:autoSpaceDN w:val="0"/>
        <w:adjustRightInd w:val="0"/>
        <w:spacing w:line="360" w:lineRule="auto"/>
        <w:ind w:firstLine="360" w:firstLineChars="150"/>
        <w:jc w:val="center"/>
        <w:rPr>
          <w:rFonts w:ascii="宋体" w:hAnsi="宋体" w:cs="宋体"/>
          <w:sz w:val="24"/>
        </w:rPr>
      </w:pPr>
      <w:r>
        <w:rPr>
          <w:rFonts w:hint="eastAsia" w:ascii="宋体" w:hAnsi="宋体" w:cs="宋体"/>
          <w:sz w:val="24"/>
          <w:lang w:val="zh-CN"/>
        </w:rPr>
        <w:t>法定代表人（负责人）身份证复印件</w:t>
      </w:r>
    </w:p>
    <w:tbl>
      <w:tblPr>
        <w:tblStyle w:val="35"/>
        <w:tblW w:w="0" w:type="auto"/>
        <w:tblInd w:w="679" w:type="dxa"/>
        <w:tblLayout w:type="fixed"/>
        <w:tblCellMar>
          <w:top w:w="0" w:type="dxa"/>
          <w:left w:w="108" w:type="dxa"/>
          <w:bottom w:w="0" w:type="dxa"/>
          <w:right w:w="108" w:type="dxa"/>
        </w:tblCellMar>
      </w:tblPr>
      <w:tblGrid>
        <w:gridCol w:w="7500"/>
      </w:tblGrid>
      <w:tr>
        <w:tblPrEx>
          <w:tblCellMar>
            <w:top w:w="0" w:type="dxa"/>
            <w:left w:w="108" w:type="dxa"/>
            <w:bottom w:w="0" w:type="dxa"/>
            <w:right w:w="108" w:type="dxa"/>
          </w:tblCellMar>
        </w:tblPrEx>
        <w:trPr>
          <w:trHeight w:val="3550" w:hRule="atLeast"/>
        </w:trPr>
        <w:tc>
          <w:tcPr>
            <w:tcW w:w="7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法定代表人（负责人）身份证复印件</w:t>
            </w:r>
          </w:p>
          <w:p>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r>
    </w:tbl>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16"/>
        <w:tabs>
          <w:tab w:val="left" w:pos="5580"/>
        </w:tabs>
        <w:spacing w:line="360" w:lineRule="auto"/>
        <w:ind w:left="-539" w:leftChars="-257" w:firstLine="900" w:firstLineChars="375"/>
        <w:rPr>
          <w:rFonts w:hAnsi="宋体" w:cs="宋体"/>
          <w:sz w:val="24"/>
        </w:rPr>
      </w:pPr>
      <w:r>
        <w:rPr>
          <w:rFonts w:hint="eastAsia" w:hAnsi="宋体" w:cs="宋体"/>
          <w:sz w:val="24"/>
        </w:rPr>
        <w:t>投标人（盖公章）：</w:t>
      </w:r>
      <w:r>
        <w:rPr>
          <w:rFonts w:hint="eastAsia" w:hAnsi="宋体" w:cs="宋体"/>
          <w:sz w:val="24"/>
          <w:u w:val="single"/>
        </w:rPr>
        <w:t xml:space="preserve">                             </w:t>
      </w:r>
    </w:p>
    <w:p>
      <w:pPr>
        <w:pStyle w:val="16"/>
        <w:tabs>
          <w:tab w:val="left" w:pos="5580"/>
        </w:tabs>
        <w:spacing w:line="360" w:lineRule="auto"/>
        <w:ind w:left="268" w:leftChars="128" w:firstLine="120" w:firstLineChars="50"/>
        <w:rPr>
          <w:rFonts w:hAnsi="宋体" w:cs="宋体"/>
          <w:sz w:val="24"/>
        </w:rPr>
      </w:pPr>
      <w:r>
        <w:rPr>
          <w:rFonts w:hint="eastAsia" w:hAnsi="宋体" w:cs="宋体"/>
          <w:sz w:val="24"/>
        </w:rPr>
        <w:t>详细通讯地址：</w:t>
      </w:r>
      <w:r>
        <w:rPr>
          <w:rFonts w:hint="eastAsia" w:hAnsi="宋体" w:cs="宋体"/>
          <w:sz w:val="24"/>
          <w:u w:val="single"/>
        </w:rPr>
        <w:t xml:space="preserve">                                </w:t>
      </w:r>
    </w:p>
    <w:p>
      <w:pPr>
        <w:pStyle w:val="16"/>
        <w:tabs>
          <w:tab w:val="left" w:pos="5580"/>
        </w:tabs>
        <w:spacing w:line="360" w:lineRule="auto"/>
        <w:ind w:firstLine="360" w:firstLineChars="150"/>
        <w:rPr>
          <w:rFonts w:hAnsi="宋体" w:cs="宋体"/>
          <w:sz w:val="24"/>
        </w:rPr>
      </w:pPr>
      <w:r>
        <w:rPr>
          <w:rFonts w:hint="eastAsia" w:hAnsi="宋体" w:cs="宋体"/>
          <w:sz w:val="24"/>
        </w:rPr>
        <w:t>邮 政 编 码 ：</w:t>
      </w:r>
      <w:r>
        <w:rPr>
          <w:rFonts w:hint="eastAsia" w:hAnsi="宋体" w:cs="宋体"/>
          <w:sz w:val="24"/>
          <w:u w:val="single"/>
        </w:rPr>
        <w:t xml:space="preserve">                                </w:t>
      </w:r>
    </w:p>
    <w:p>
      <w:pPr>
        <w:pStyle w:val="16"/>
        <w:tabs>
          <w:tab w:val="left" w:pos="5580"/>
        </w:tabs>
        <w:spacing w:line="360" w:lineRule="auto"/>
        <w:ind w:firstLine="360" w:firstLineChars="150"/>
        <w:rPr>
          <w:rFonts w:hAnsi="宋体" w:cs="宋体"/>
          <w:sz w:val="24"/>
        </w:rPr>
      </w:pPr>
      <w:r>
        <w:rPr>
          <w:rFonts w:hint="eastAsia" w:hAnsi="宋体" w:cs="宋体"/>
          <w:sz w:val="24"/>
        </w:rPr>
        <w:t>电　　　　话：</w:t>
      </w:r>
      <w:r>
        <w:rPr>
          <w:rFonts w:hint="eastAsia" w:hAnsi="宋体" w:cs="宋体"/>
          <w:sz w:val="24"/>
          <w:u w:val="single"/>
        </w:rPr>
        <w:t xml:space="preserve">                                </w:t>
      </w:r>
    </w:p>
    <w:p>
      <w:pPr>
        <w:spacing w:line="360" w:lineRule="auto"/>
        <w:rPr>
          <w:rFonts w:ascii="宋体" w:hAnsi="宋体" w:cs="宋体"/>
        </w:rPr>
      </w:pPr>
      <w:r>
        <w:rPr>
          <w:rFonts w:hint="eastAsia" w:ascii="宋体" w:hAnsi="宋体" w:cs="宋体"/>
        </w:rPr>
        <w:br w:type="page"/>
      </w:r>
    </w:p>
    <w:p>
      <w:pPr>
        <w:spacing w:line="360" w:lineRule="auto"/>
        <w:jc w:val="center"/>
        <w:rPr>
          <w:rFonts w:ascii="宋体" w:hAnsi="宋体" w:cs="宋体"/>
          <w:sz w:val="24"/>
        </w:rPr>
      </w:pPr>
      <w:bookmarkStart w:id="320" w:name="_Toc45196829"/>
      <w:bookmarkStart w:id="321" w:name="_Toc532473498"/>
      <w:r>
        <w:rPr>
          <w:rFonts w:hint="eastAsia" w:ascii="宋体" w:hAnsi="宋体" w:cs="宋体"/>
          <w:sz w:val="30"/>
          <w:szCs w:val="30"/>
        </w:rPr>
        <w:t>法定代表人（负责人）授权委托书</w:t>
      </w:r>
      <w:bookmarkEnd w:id="320"/>
    </w:p>
    <w:bookmarkEnd w:id="321"/>
    <w:p>
      <w:pPr>
        <w:pStyle w:val="16"/>
        <w:tabs>
          <w:tab w:val="left" w:pos="5580"/>
        </w:tabs>
        <w:spacing w:line="360" w:lineRule="auto"/>
        <w:ind w:left="-539" w:leftChars="-257" w:firstLine="900" w:firstLineChars="375"/>
        <w:jc w:val="center"/>
        <w:rPr>
          <w:rFonts w:hAnsi="宋体" w:cs="宋体"/>
          <w:sz w:val="24"/>
        </w:rPr>
      </w:pPr>
    </w:p>
    <w:p>
      <w:pPr>
        <w:pStyle w:val="16"/>
        <w:tabs>
          <w:tab w:val="left" w:pos="5580"/>
        </w:tabs>
        <w:spacing w:line="360" w:lineRule="auto"/>
        <w:rPr>
          <w:rFonts w:hAnsi="宋体" w:cs="宋体"/>
          <w:sz w:val="24"/>
        </w:rPr>
      </w:pPr>
      <w:r>
        <w:rPr>
          <w:rFonts w:hint="eastAsia" w:hAnsi="宋体" w:cs="宋体"/>
          <w:sz w:val="24"/>
        </w:rPr>
        <w:cr/>
      </w:r>
      <w:r>
        <w:rPr>
          <w:rFonts w:hint="eastAsia" w:hAnsi="宋体" w:cs="宋体"/>
          <w:sz w:val="24"/>
        </w:rPr>
        <w:t xml:space="preserve">    本授权书声明：注册于</w:t>
      </w:r>
      <w:r>
        <w:rPr>
          <w:rFonts w:hint="eastAsia" w:hAnsi="宋体" w:cs="宋体"/>
          <w:sz w:val="24"/>
          <w:u w:val="single"/>
        </w:rPr>
        <w:t>（国家或地区的名称）</w:t>
      </w:r>
      <w:r>
        <w:rPr>
          <w:rFonts w:hint="eastAsia" w:hAnsi="宋体" w:cs="宋体"/>
          <w:sz w:val="24"/>
        </w:rPr>
        <w:t>的（</w:t>
      </w:r>
      <w:r>
        <w:rPr>
          <w:rFonts w:hint="eastAsia" w:hAnsi="宋体" w:cs="宋体"/>
          <w:sz w:val="24"/>
          <w:u w:val="single"/>
        </w:rPr>
        <w:t>投标人</w:t>
      </w:r>
      <w:r>
        <w:rPr>
          <w:rFonts w:hint="eastAsia" w:hAnsi="宋体" w:cs="宋体"/>
          <w:sz w:val="24"/>
        </w:rPr>
        <w:t>）的在下面签字的（</w:t>
      </w:r>
      <w:r>
        <w:rPr>
          <w:rFonts w:hint="eastAsia" w:hAnsi="宋体" w:cs="宋体"/>
          <w:sz w:val="24"/>
          <w:u w:val="single"/>
        </w:rPr>
        <w:t>法人代表姓名、职务</w:t>
      </w:r>
      <w:r>
        <w:rPr>
          <w:rFonts w:hint="eastAsia" w:hAnsi="宋体" w:cs="宋体"/>
          <w:sz w:val="24"/>
        </w:rPr>
        <w:t>）代表我单位授权在下面签字的（</w:t>
      </w:r>
      <w:r>
        <w:rPr>
          <w:rFonts w:hint="eastAsia" w:hAnsi="宋体" w:cs="宋体"/>
          <w:sz w:val="24"/>
          <w:u w:val="single"/>
        </w:rPr>
        <w:t>被授权人的姓名</w:t>
      </w:r>
      <w:r>
        <w:rPr>
          <w:rFonts w:hint="eastAsia" w:hAnsi="宋体" w:cs="宋体"/>
          <w:sz w:val="24"/>
        </w:rPr>
        <w:t>）为我单位的合法代理人，就（</w:t>
      </w:r>
      <w:r>
        <w:rPr>
          <w:rFonts w:hint="eastAsia" w:hAnsi="宋体" w:cs="宋体"/>
          <w:sz w:val="24"/>
          <w:u w:val="single"/>
        </w:rPr>
        <w:t>项目名称、采购项目编号、包号</w:t>
      </w:r>
      <w:r>
        <w:rPr>
          <w:rFonts w:hint="eastAsia" w:hAnsi="宋体" w:cs="宋体"/>
          <w:sz w:val="24"/>
        </w:rPr>
        <w:t>）投标，以我单位名义处理一切与之有关的事务。</w:t>
      </w:r>
      <w:r>
        <w:rPr>
          <w:rFonts w:hint="eastAsia" w:hAnsi="宋体" w:cs="宋体"/>
          <w:sz w:val="24"/>
        </w:rPr>
        <w:cr/>
      </w:r>
      <w:r>
        <w:rPr>
          <w:rFonts w:hint="eastAsia" w:hAnsi="宋体" w:cs="宋体"/>
          <w:sz w:val="24"/>
        </w:rPr>
        <w:t>　　</w:t>
      </w:r>
    </w:p>
    <w:p>
      <w:pPr>
        <w:autoSpaceDE w:val="0"/>
        <w:autoSpaceDN w:val="0"/>
        <w:adjustRightInd w:val="0"/>
        <w:spacing w:line="360" w:lineRule="auto"/>
        <w:ind w:firstLine="630"/>
        <w:rPr>
          <w:rFonts w:ascii="宋体" w:hAnsi="宋体" w:cs="宋体"/>
          <w:sz w:val="24"/>
          <w:lang w:val="zh-CN"/>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r>
        <w:rPr>
          <w:rFonts w:hint="eastAsia" w:ascii="宋体" w:hAnsi="宋体" w:cs="宋体"/>
          <w:sz w:val="24"/>
        </w:rPr>
        <w:cr/>
      </w:r>
      <w:r>
        <w:rPr>
          <w:rFonts w:hint="eastAsia" w:ascii="宋体" w:hAnsi="宋体" w:cs="宋体"/>
          <w:sz w:val="24"/>
        </w:rPr>
        <w:cr/>
      </w:r>
      <w:r>
        <w:rPr>
          <w:rFonts w:hint="eastAsia" w:ascii="宋体" w:hAnsi="宋体" w:cs="宋体"/>
          <w:sz w:val="24"/>
          <w:lang w:val="zh-CN"/>
        </w:rPr>
        <w:t xml:space="preserve">法定代表人（负责人）（签字或盖章）：               </w:t>
      </w:r>
      <w:r>
        <w:rPr>
          <w:rFonts w:hint="eastAsia" w:ascii="宋体" w:hAnsi="宋体" w:cs="宋体"/>
          <w:sz w:val="24"/>
          <w:lang w:val="zh-CN"/>
        </w:rPr>
        <w:tab/>
      </w:r>
      <w:r>
        <w:rPr>
          <w:rFonts w:hint="eastAsia" w:ascii="宋体" w:hAnsi="宋体" w:cs="宋体"/>
          <w:sz w:val="24"/>
          <w:lang w:val="zh-CN"/>
        </w:rPr>
        <w:t xml:space="preserve">被授权人（签字）：              </w:t>
      </w:r>
    </w:p>
    <w:p>
      <w:pPr>
        <w:autoSpaceDE w:val="0"/>
        <w:autoSpaceDN w:val="0"/>
        <w:adjustRightInd w:val="0"/>
        <w:spacing w:line="360" w:lineRule="auto"/>
        <w:ind w:firstLine="630"/>
        <w:rPr>
          <w:rFonts w:ascii="宋体" w:hAnsi="宋体" w:cs="宋体"/>
          <w:sz w:val="24"/>
          <w:u w:val="single"/>
        </w:rPr>
      </w:pPr>
      <w:r>
        <w:rPr>
          <w:rFonts w:hint="eastAsia" w:ascii="宋体" w:hAnsi="宋体" w:cs="宋体"/>
          <w:sz w:val="24"/>
          <w:lang w:val="zh-CN"/>
        </w:rPr>
        <w:t xml:space="preserve">身份证号：                          </w:t>
      </w:r>
      <w:r>
        <w:rPr>
          <w:rFonts w:hint="eastAsia" w:ascii="宋体" w:hAnsi="宋体" w:cs="宋体"/>
          <w:sz w:val="24"/>
          <w:lang w:val="zh-CN"/>
        </w:rPr>
        <w:tab/>
      </w:r>
      <w:r>
        <w:rPr>
          <w:rFonts w:hint="eastAsia" w:ascii="宋体" w:hAnsi="宋体" w:cs="宋体"/>
          <w:sz w:val="24"/>
          <w:lang w:val="zh-CN"/>
        </w:rPr>
        <w:t xml:space="preserve">身份证号：                  </w:t>
      </w:r>
    </w:p>
    <w:p>
      <w:pPr>
        <w:autoSpaceDE w:val="0"/>
        <w:autoSpaceDN w:val="0"/>
        <w:adjustRightInd w:val="0"/>
        <w:spacing w:line="360" w:lineRule="auto"/>
        <w:rPr>
          <w:rFonts w:ascii="宋体" w:hAnsi="宋体" w:cs="宋体"/>
          <w:sz w:val="24"/>
        </w:rPr>
      </w:pPr>
    </w:p>
    <w:p>
      <w:pPr>
        <w:autoSpaceDE w:val="0"/>
        <w:autoSpaceDN w:val="0"/>
        <w:adjustRightInd w:val="0"/>
        <w:spacing w:line="360" w:lineRule="auto"/>
        <w:ind w:firstLine="360" w:firstLineChars="150"/>
        <w:rPr>
          <w:rFonts w:ascii="宋体" w:hAnsi="宋体" w:cs="宋体"/>
          <w:sz w:val="24"/>
        </w:rPr>
      </w:pPr>
      <w:r>
        <w:rPr>
          <w:rFonts w:hint="eastAsia" w:ascii="宋体" w:hAnsi="宋体" w:cs="宋体"/>
          <w:sz w:val="24"/>
          <w:lang w:val="zh-CN"/>
        </w:rPr>
        <w:t>法定代表人（负责人）</w:t>
      </w:r>
      <w:r>
        <w:rPr>
          <w:rFonts w:hint="eastAsia" w:ascii="宋体" w:hAnsi="宋体" w:cs="宋体"/>
          <w:sz w:val="24"/>
        </w:rPr>
        <w:t>及</w:t>
      </w:r>
      <w:r>
        <w:rPr>
          <w:rFonts w:hint="eastAsia" w:ascii="宋体" w:hAnsi="宋体" w:cs="宋体"/>
          <w:sz w:val="24"/>
          <w:lang w:val="zh-CN"/>
        </w:rPr>
        <w:t>授权代表身份证复印件</w:t>
      </w:r>
    </w:p>
    <w:tbl>
      <w:tblPr>
        <w:tblStyle w:val="35"/>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法定代表人（负责人）身份证复印件</w:t>
            </w:r>
          </w:p>
          <w:p>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cs="宋体"/>
                <w:sz w:val="24"/>
                <w:lang w:val="zh-CN"/>
              </w:rPr>
            </w:pPr>
            <w:r>
              <w:rPr>
                <w:rFonts w:hint="eastAsia" w:ascii="宋体" w:hAnsi="宋体" w:cs="宋体"/>
                <w:sz w:val="24"/>
                <w:lang w:val="zh-CN"/>
              </w:rPr>
              <w:t>授权代表身份证复印件</w:t>
            </w:r>
          </w:p>
          <w:p>
            <w:pPr>
              <w:autoSpaceDE w:val="0"/>
              <w:autoSpaceDN w:val="0"/>
              <w:adjustRightInd w:val="0"/>
              <w:spacing w:line="312" w:lineRule="auto"/>
              <w:jc w:val="center"/>
              <w:rPr>
                <w:rFonts w:ascii="宋体" w:hAnsi="宋体" w:cs="宋体"/>
                <w:sz w:val="24"/>
                <w:u w:val="single"/>
              </w:rPr>
            </w:pPr>
            <w:r>
              <w:rPr>
                <w:rFonts w:hint="eastAsia" w:ascii="宋体" w:hAnsi="宋体" w:cs="宋体"/>
                <w:sz w:val="24"/>
                <w:lang w:val="zh-CN"/>
              </w:rPr>
              <w:t>（正反面）</w:t>
            </w:r>
          </w:p>
        </w:tc>
      </w:tr>
    </w:tbl>
    <w:p>
      <w:pPr>
        <w:adjustRightInd w:val="0"/>
        <w:snapToGrid w:val="0"/>
        <w:spacing w:line="360" w:lineRule="auto"/>
        <w:rPr>
          <w:rFonts w:ascii="宋体" w:hAnsi="宋体" w:cs="宋体"/>
          <w:sz w:val="24"/>
        </w:rPr>
      </w:pPr>
      <w:r>
        <w:rPr>
          <w:rFonts w:hint="eastAsia" w:ascii="宋体" w:hAnsi="宋体" w:cs="宋体"/>
          <w:sz w:val="24"/>
        </w:rPr>
        <w:t xml:space="preserve">   </w:t>
      </w:r>
    </w:p>
    <w:p>
      <w:pPr>
        <w:adjustRightInd w:val="0"/>
        <w:snapToGrid w:val="0"/>
        <w:spacing w:line="360" w:lineRule="auto"/>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（公章）</w:t>
      </w:r>
    </w:p>
    <w:p>
      <w:pPr>
        <w:adjustRightInd w:val="0"/>
        <w:snapToGrid w:val="0"/>
        <w:spacing w:line="360" w:lineRule="auto"/>
        <w:jc w:val="right"/>
        <w:rPr>
          <w:rFonts w:ascii="宋体" w:hAnsi="宋体" w:cs="宋体"/>
          <w:sz w:val="24"/>
          <w:u w:val="single"/>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6"/>
        <w:tabs>
          <w:tab w:val="left" w:pos="5580"/>
        </w:tabs>
        <w:spacing w:line="360" w:lineRule="auto"/>
        <w:ind w:firstLine="480" w:firstLineChars="200"/>
        <w:rPr>
          <w:rFonts w:hAnsi="宋体" w:cs="宋体"/>
          <w:sz w:val="24"/>
        </w:rPr>
      </w:pPr>
    </w:p>
    <w:p>
      <w:pPr>
        <w:spacing w:line="360" w:lineRule="auto"/>
        <w:ind w:firstLine="480"/>
        <w:rPr>
          <w:rFonts w:ascii="宋体" w:hAnsi="宋体" w:cs="宋体"/>
          <w:sz w:val="24"/>
        </w:rPr>
      </w:pPr>
      <w:r>
        <w:rPr>
          <w:rFonts w:hint="eastAsia" w:ascii="宋体" w:hAnsi="宋体" w:cs="宋体"/>
          <w:sz w:val="24"/>
        </w:rPr>
        <w:t>注：自然人投标的或法定代表人（负责人）投标的无需提供</w:t>
      </w:r>
    </w:p>
    <w:p>
      <w:pPr>
        <w:spacing w:line="360" w:lineRule="auto"/>
        <w:ind w:firstLine="480"/>
        <w:rPr>
          <w:rFonts w:ascii="宋体" w:hAnsi="宋体" w:cs="宋体"/>
          <w:sz w:val="24"/>
        </w:rPr>
      </w:pPr>
      <w:r>
        <w:rPr>
          <w:rFonts w:hint="eastAsia" w:ascii="宋体" w:hAnsi="宋体" w:cs="宋体"/>
          <w:sz w:val="24"/>
        </w:rPr>
        <w:br w:type="page"/>
      </w:r>
    </w:p>
    <w:p>
      <w:pPr>
        <w:spacing w:line="360" w:lineRule="auto"/>
        <w:jc w:val="center"/>
        <w:rPr>
          <w:rFonts w:ascii="宋体" w:hAnsi="宋体" w:cs="宋体"/>
          <w:sz w:val="24"/>
        </w:rPr>
      </w:pPr>
      <w:bookmarkStart w:id="322" w:name="_Toc45196830"/>
      <w:r>
        <w:rPr>
          <w:rFonts w:hint="eastAsia" w:ascii="宋体" w:hAnsi="宋体" w:cs="宋体"/>
          <w:b/>
          <w:bCs/>
          <w:sz w:val="30"/>
          <w:szCs w:val="30"/>
        </w:rPr>
        <w:t>授权代表本单位证明</w:t>
      </w:r>
      <w:bookmarkEnd w:id="322"/>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（须提供</w:t>
      </w:r>
      <w:r>
        <w:rPr>
          <w:rFonts w:hint="eastAsia" w:ascii="宋体" w:hAnsi="宋体" w:cs="宋体"/>
          <w:sz w:val="24"/>
        </w:rPr>
        <w:t>养老保险缴纳证明或劳动合同</w:t>
      </w:r>
      <w:r>
        <w:rPr>
          <w:rFonts w:hint="eastAsia" w:ascii="宋体" w:hAnsi="宋体" w:cs="宋体"/>
          <w:sz w:val="24"/>
          <w:lang w:val="zh-CN"/>
        </w:rPr>
        <w:t>）</w:t>
      </w:r>
    </w:p>
    <w:p>
      <w:pPr>
        <w:rPr>
          <w:rFonts w:ascii="宋体" w:hAnsi="宋体" w:cs="宋体"/>
          <w:sz w:val="24"/>
        </w:rPr>
      </w:pPr>
      <w:r>
        <w:rPr>
          <w:rFonts w:hint="eastAsia" w:ascii="宋体" w:hAnsi="宋体" w:cs="宋体"/>
          <w:sz w:val="24"/>
        </w:rPr>
        <w:br w:type="page"/>
      </w:r>
    </w:p>
    <w:p>
      <w:pPr>
        <w:pStyle w:val="52"/>
        <w:rPr>
          <w:rFonts w:hAnsi="宋体" w:cs="宋体"/>
        </w:rPr>
      </w:pPr>
      <w:r>
        <w:rPr>
          <w:rFonts w:hint="eastAsia" w:hAnsi="宋体" w:cs="宋体"/>
        </w:rPr>
        <w:t>格式四：</w:t>
      </w:r>
    </w:p>
    <w:p>
      <w:pPr>
        <w:rPr>
          <w:rFonts w:ascii="宋体" w:hAnsi="宋体" w:cs="宋体"/>
        </w:rPr>
      </w:pPr>
    </w:p>
    <w:p>
      <w:pPr>
        <w:spacing w:line="360" w:lineRule="auto"/>
        <w:jc w:val="center"/>
        <w:rPr>
          <w:rFonts w:ascii="宋体" w:hAnsi="宋体" w:cs="宋体"/>
          <w:b/>
          <w:sz w:val="24"/>
          <w:lang w:val="zh-CN"/>
        </w:rPr>
      </w:pPr>
      <w:r>
        <w:rPr>
          <w:rFonts w:hint="eastAsia" w:ascii="宋体" w:hAnsi="宋体" w:cs="宋体"/>
          <w:b/>
          <w:sz w:val="24"/>
          <w:lang w:val="zh-CN"/>
        </w:rPr>
        <w:t>投标人企业关系关联承诺书</w:t>
      </w:r>
    </w:p>
    <w:p>
      <w:pPr>
        <w:autoSpaceDE w:val="0"/>
        <w:autoSpaceDN w:val="0"/>
        <w:adjustRightInd w:val="0"/>
        <w:spacing w:line="360" w:lineRule="auto"/>
        <w:rPr>
          <w:rFonts w:ascii="宋体" w:hAnsi="宋体" w:cs="宋体"/>
          <w:sz w:val="32"/>
          <w:szCs w:val="32"/>
        </w:rPr>
      </w:pPr>
    </w:p>
    <w:p>
      <w:pPr>
        <w:numPr>
          <w:ilvl w:val="0"/>
          <w:numId w:val="10"/>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投标人股东及股权证明。</w:t>
      </w:r>
    </w:p>
    <w:p>
      <w:pPr>
        <w:snapToGrid w:val="0"/>
        <w:spacing w:line="360" w:lineRule="auto"/>
        <w:rPr>
          <w:rFonts w:ascii="宋体" w:hAnsi="宋体" w:cs="宋体"/>
          <w:sz w:val="24"/>
        </w:rPr>
      </w:pPr>
      <w:r>
        <w:rPr>
          <w:rFonts w:hint="eastAsia" w:ascii="宋体" w:hAnsi="宋体" w:cs="宋体"/>
          <w:sz w:val="24"/>
        </w:rPr>
        <w:t>2、管理关系说明：</w:t>
      </w:r>
    </w:p>
    <w:p>
      <w:pPr>
        <w:snapToGrid w:val="0"/>
        <w:spacing w:line="360" w:lineRule="auto"/>
        <w:ind w:firstLine="480" w:firstLineChars="200"/>
        <w:rPr>
          <w:rFonts w:ascii="宋体" w:hAnsi="宋体" w:cs="宋体"/>
          <w:sz w:val="24"/>
        </w:rPr>
      </w:pPr>
      <w:r>
        <w:rPr>
          <w:rFonts w:hint="eastAsia" w:ascii="宋体" w:hAnsi="宋体" w:cs="宋体"/>
          <w:sz w:val="24"/>
        </w:rPr>
        <w:t>我单位管理的具有独立法人的下属单位有：</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我单位的上级管理单位有</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rPr>
          <w:rFonts w:ascii="宋体" w:hAnsi="宋体" w:cs="宋体"/>
          <w:sz w:val="24"/>
        </w:rPr>
      </w:pPr>
      <w:r>
        <w:rPr>
          <w:rFonts w:hint="eastAsia" w:ascii="宋体" w:hAnsi="宋体" w:cs="宋体"/>
          <w:sz w:val="24"/>
        </w:rPr>
        <w:t>3、股权关系说明：</w:t>
      </w:r>
    </w:p>
    <w:p>
      <w:pPr>
        <w:snapToGrid w:val="0"/>
        <w:spacing w:line="360" w:lineRule="auto"/>
        <w:ind w:firstLine="480" w:firstLineChars="200"/>
        <w:rPr>
          <w:rFonts w:ascii="宋体" w:hAnsi="宋体" w:cs="宋体"/>
          <w:sz w:val="24"/>
        </w:rPr>
      </w:pPr>
      <w:r>
        <w:rPr>
          <w:rFonts w:hint="eastAsia" w:ascii="宋体" w:hAnsi="宋体" w:cs="宋体"/>
          <w:sz w:val="24"/>
        </w:rPr>
        <w:t>我单位控股的单位有</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我单位被</w:t>
      </w:r>
      <w:r>
        <w:rPr>
          <w:rFonts w:hint="eastAsia" w:ascii="宋体" w:hAnsi="宋体" w:cs="宋体"/>
          <w:i/>
          <w:sz w:val="24"/>
          <w:u w:val="single"/>
        </w:rPr>
        <w:t xml:space="preserve">             </w:t>
      </w:r>
      <w:r>
        <w:rPr>
          <w:rFonts w:hint="eastAsia" w:ascii="宋体" w:hAnsi="宋体" w:cs="宋体"/>
          <w:sz w:val="24"/>
          <w:u w:val="single"/>
        </w:rPr>
        <w:t xml:space="preserve"> </w:t>
      </w:r>
      <w:r>
        <w:rPr>
          <w:rFonts w:hint="eastAsia" w:ascii="宋体" w:hAnsi="宋体" w:cs="宋体"/>
          <w:sz w:val="24"/>
        </w:rPr>
        <w:t>单位控股。</w:t>
      </w:r>
    </w:p>
    <w:p>
      <w:pPr>
        <w:autoSpaceDE w:val="0"/>
        <w:autoSpaceDN w:val="0"/>
        <w:adjustRightInd w:val="0"/>
        <w:snapToGrid w:val="0"/>
        <w:spacing w:line="360" w:lineRule="auto"/>
        <w:rPr>
          <w:rFonts w:ascii="宋体" w:hAnsi="宋体" w:cs="宋体"/>
          <w:sz w:val="24"/>
          <w:u w:val="single"/>
        </w:rPr>
      </w:pPr>
      <w:r>
        <w:rPr>
          <w:rFonts w:hint="eastAsia" w:ascii="宋体" w:hAnsi="宋体" w:cs="宋体"/>
          <w:sz w:val="24"/>
        </w:rPr>
        <w:t>4、单位负责人：</w:t>
      </w:r>
      <w:r>
        <w:rPr>
          <w:rFonts w:hint="eastAsia" w:ascii="宋体" w:hAnsi="宋体" w:cs="宋体"/>
          <w:sz w:val="24"/>
          <w:u w:val="single"/>
        </w:rPr>
        <w:t xml:space="preserve">         </w:t>
      </w:r>
    </w:p>
    <w:p>
      <w:pPr>
        <w:autoSpaceDE w:val="0"/>
        <w:autoSpaceDN w:val="0"/>
        <w:adjustRightInd w:val="0"/>
        <w:spacing w:line="360" w:lineRule="auto"/>
        <w:rPr>
          <w:rFonts w:ascii="宋体" w:hAnsi="宋体" w:cs="宋体"/>
          <w:bCs/>
          <w:sz w:val="24"/>
        </w:rPr>
      </w:pPr>
      <w:r>
        <w:rPr>
          <w:rFonts w:hint="eastAsia" w:ascii="宋体" w:hAnsi="宋体" w:cs="宋体"/>
          <w:bCs/>
          <w:sz w:val="24"/>
        </w:rPr>
        <w:t>5、我单位</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（是或不是）</w:t>
      </w:r>
      <w:r>
        <w:rPr>
          <w:rFonts w:hint="eastAsia" w:ascii="宋体" w:hAnsi="宋体" w:cs="宋体"/>
          <w:bCs/>
          <w:sz w:val="24"/>
        </w:rPr>
        <w:t>为采购项目提供整体设计、规范编制或者项目管理、监理、检测等服务的投标人。</w:t>
      </w:r>
    </w:p>
    <w:p>
      <w:pPr>
        <w:autoSpaceDE w:val="0"/>
        <w:autoSpaceDN w:val="0"/>
        <w:adjustRightInd w:val="0"/>
        <w:snapToGrid w:val="0"/>
        <w:spacing w:line="360" w:lineRule="auto"/>
        <w:rPr>
          <w:rFonts w:ascii="宋体" w:hAnsi="宋体" w:cs="宋体"/>
          <w:sz w:val="24"/>
          <w:u w:val="single"/>
        </w:rPr>
      </w:pPr>
      <w:r>
        <w:rPr>
          <w:rFonts w:hint="eastAsia" w:ascii="宋体" w:hAnsi="宋体" w:cs="宋体"/>
          <w:sz w:val="24"/>
        </w:rPr>
        <w:t>6、其他与本项目有关的利害关系说明：</w:t>
      </w:r>
      <w:r>
        <w:rPr>
          <w:rFonts w:hint="eastAsia" w:ascii="宋体" w:hAnsi="宋体" w:cs="宋体"/>
          <w:sz w:val="24"/>
          <w:u w:val="single"/>
        </w:rPr>
        <w:t xml:space="preserve">             </w:t>
      </w:r>
    </w:p>
    <w:p>
      <w:pPr>
        <w:autoSpaceDE w:val="0"/>
        <w:autoSpaceDN w:val="0"/>
        <w:adjustRightInd w:val="0"/>
        <w:spacing w:line="360" w:lineRule="auto"/>
        <w:rPr>
          <w:rFonts w:ascii="宋体" w:hAnsi="宋体" w:cs="宋体"/>
          <w:sz w:val="24"/>
        </w:rPr>
      </w:pPr>
      <w:r>
        <w:rPr>
          <w:rFonts w:hint="eastAsia" w:ascii="宋体" w:hAnsi="宋体" w:cs="宋体"/>
          <w:sz w:val="24"/>
        </w:rPr>
        <w:t>7、</w:t>
      </w:r>
      <w:r>
        <w:rPr>
          <w:rFonts w:hint="eastAsia" w:ascii="宋体" w:hAnsi="宋体" w:cs="宋体"/>
          <w:b/>
          <w:bCs/>
          <w:sz w:val="24"/>
        </w:rPr>
        <w:t>本次投标我公司为非联合体投标</w:t>
      </w:r>
      <w:r>
        <w:rPr>
          <w:rFonts w:hint="eastAsia" w:ascii="宋体" w:hAnsi="宋体" w:cs="宋体"/>
          <w:sz w:val="24"/>
        </w:rPr>
        <w:t>。</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我单位承诺以上说明真实有效，无虚假内容或隐瞒。</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投标人                    法定代表人（负责人）或授权代表</w:t>
      </w:r>
    </w:p>
    <w:p>
      <w:pPr>
        <w:adjustRightInd w:val="0"/>
        <w:snapToGrid w:val="0"/>
        <w:spacing w:line="360" w:lineRule="auto"/>
        <w:rPr>
          <w:rFonts w:ascii="宋体" w:hAnsi="宋体" w:cs="宋体"/>
          <w:sz w:val="24"/>
        </w:rPr>
      </w:pPr>
      <w:r>
        <w:rPr>
          <w:rFonts w:hint="eastAsia" w:ascii="宋体" w:hAnsi="宋体" w:cs="宋体"/>
          <w:sz w:val="24"/>
        </w:rPr>
        <w:t>（公章）：                     （签字或盖章）：</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 xml:space="preserve">                                年    月    日</w:t>
      </w:r>
    </w:p>
    <w:p>
      <w:pPr>
        <w:autoSpaceDE w:val="0"/>
        <w:autoSpaceDN w:val="0"/>
        <w:adjustRightInd w:val="0"/>
        <w:snapToGrid w:val="0"/>
        <w:spacing w:line="360" w:lineRule="auto"/>
        <w:jc w:val="center"/>
        <w:rPr>
          <w:rFonts w:ascii="宋体" w:hAnsi="宋体" w:cs="宋体"/>
          <w:b/>
          <w:sz w:val="10"/>
          <w:szCs w:val="10"/>
        </w:rPr>
      </w:pPr>
      <w:r>
        <w:rPr>
          <w:rFonts w:hint="eastAsia" w:ascii="宋体" w:hAnsi="宋体" w:cs="宋体"/>
          <w:b/>
          <w:sz w:val="10"/>
          <w:szCs w:val="10"/>
        </w:rPr>
        <w:br w:type="page"/>
      </w:r>
    </w:p>
    <w:p>
      <w:pPr>
        <w:rPr>
          <w:rFonts w:ascii="宋体" w:hAnsi="宋体" w:cs="宋体"/>
          <w:sz w:val="30"/>
          <w:szCs w:val="30"/>
        </w:rPr>
      </w:pPr>
      <w:r>
        <w:rPr>
          <w:rFonts w:hint="eastAsia" w:ascii="宋体" w:hAnsi="宋体" w:cs="宋体"/>
          <w:sz w:val="30"/>
          <w:szCs w:val="30"/>
        </w:rPr>
        <w:t>格式五：</w:t>
      </w:r>
    </w:p>
    <w:p>
      <w:pPr>
        <w:rPr>
          <w:rFonts w:ascii="宋体" w:hAnsi="宋体" w:cs="宋体"/>
        </w:rPr>
      </w:pPr>
    </w:p>
    <w:p>
      <w:pPr>
        <w:spacing w:line="360" w:lineRule="auto"/>
        <w:jc w:val="center"/>
        <w:rPr>
          <w:rFonts w:ascii="宋体" w:hAnsi="宋体" w:cs="宋体"/>
          <w:b/>
          <w:bCs/>
          <w:sz w:val="30"/>
          <w:szCs w:val="30"/>
        </w:rPr>
      </w:pPr>
      <w:r>
        <w:rPr>
          <w:rFonts w:hint="eastAsia" w:ascii="宋体" w:hAnsi="宋体" w:cs="宋体"/>
          <w:b/>
          <w:bCs/>
          <w:sz w:val="30"/>
          <w:szCs w:val="30"/>
        </w:rPr>
        <w:t>投标人单位类型声明函</w:t>
      </w:r>
    </w:p>
    <w:p>
      <w:pPr>
        <w:jc w:val="center"/>
        <w:rPr>
          <w:rFonts w:ascii="宋体" w:hAnsi="宋体" w:cs="宋体"/>
          <w:sz w:val="32"/>
          <w:szCs w:val="32"/>
        </w:rPr>
      </w:pPr>
      <w:r>
        <w:rPr>
          <w:rFonts w:hint="eastAsia" w:ascii="宋体" w:hAnsi="宋体" w:cs="宋体"/>
          <w:sz w:val="32"/>
          <w:szCs w:val="32"/>
        </w:rPr>
        <w:t>中小企业声明函(货物)</w:t>
      </w:r>
    </w:p>
    <w:p>
      <w:pPr>
        <w:jc w:val="center"/>
        <w:rPr>
          <w:rFonts w:ascii="宋体" w:hAnsi="宋体" w:cs="宋体"/>
          <w:sz w:val="24"/>
          <w:szCs w:val="22"/>
        </w:rPr>
      </w:pPr>
      <w:r>
        <w:rPr>
          <w:rFonts w:hint="eastAsia" w:ascii="宋体" w:hAnsi="宋体" w:cs="宋体"/>
          <w:sz w:val="24"/>
          <w:szCs w:val="22"/>
        </w:rPr>
        <w:t>（注</w:t>
      </w:r>
      <w:r>
        <w:rPr>
          <w:rFonts w:hint="eastAsia" w:ascii="宋体" w:hAnsi="宋体" w:cs="宋体"/>
          <w:kern w:val="0"/>
          <w:sz w:val="24"/>
        </w:rPr>
        <w:t>(联合体)</w:t>
      </w:r>
      <w:r>
        <w:rPr>
          <w:rFonts w:hint="eastAsia" w:ascii="宋体" w:hAnsi="宋体" w:cs="宋体"/>
          <w:sz w:val="24"/>
          <w:szCs w:val="22"/>
        </w:rPr>
        <w:t>：符合中小企业划型标准的企业请提供本函，不符合的不提供本函）</w:t>
      </w:r>
    </w:p>
    <w:p>
      <w:pPr>
        <w:snapToGrid w:val="0"/>
        <w:spacing w:beforeLines="50"/>
        <w:ind w:firstLine="480" w:firstLineChars="200"/>
        <w:rPr>
          <w:rFonts w:ascii="宋体" w:hAnsi="宋体" w:cs="宋体"/>
          <w:sz w:val="24"/>
          <w:szCs w:val="22"/>
        </w:rPr>
      </w:pPr>
    </w:p>
    <w:p>
      <w:pPr>
        <w:spacing w:line="560" w:lineRule="exact"/>
        <w:ind w:firstLine="480" w:firstLineChars="200"/>
        <w:rPr>
          <w:rFonts w:ascii="宋体" w:hAnsi="宋体" w:cs="宋体"/>
          <w:kern w:val="0"/>
          <w:sz w:val="24"/>
        </w:rPr>
      </w:pPr>
      <w:r>
        <w:rPr>
          <w:rFonts w:hint="eastAsia" w:ascii="宋体" w:hAnsi="宋体" w:cs="宋体"/>
          <w:kern w:val="0"/>
          <w:sz w:val="24"/>
        </w:rPr>
        <w:t>本公司郑重声明，根据《政府采购促进中小企业发展管理办法》(财库(2020)46号)的规定，本公司(联合体)参加</w:t>
      </w:r>
      <w:r>
        <w:rPr>
          <w:rFonts w:hint="eastAsia" w:ascii="宋体" w:hAnsi="宋体" w:cs="宋体"/>
          <w:kern w:val="0"/>
          <w:sz w:val="24"/>
          <w:u w:val="single"/>
        </w:rPr>
        <w:t xml:space="preserve">  (单位名称) </w:t>
      </w:r>
      <w:r>
        <w:rPr>
          <w:rFonts w:hint="eastAsia" w:ascii="宋体" w:hAnsi="宋体" w:cs="宋体"/>
          <w:kern w:val="0"/>
          <w:sz w:val="24"/>
        </w:rPr>
        <w:t xml:space="preserve"> 的</w:t>
      </w:r>
      <w:r>
        <w:rPr>
          <w:rFonts w:hint="eastAsia" w:ascii="宋体" w:hAnsi="宋体" w:cs="宋体"/>
          <w:kern w:val="0"/>
          <w:sz w:val="24"/>
          <w:u w:val="single"/>
        </w:rPr>
        <w:t xml:space="preserve"> (项目名称) 采购</w:t>
      </w:r>
      <w:r>
        <w:rPr>
          <w:rFonts w:hint="eastAsia" w:ascii="宋体" w:hAnsi="宋体" w:cs="宋体"/>
          <w:kern w:val="0"/>
          <w:sz w:val="24"/>
        </w:rPr>
        <w:t>活动，提供的货物全部由符合政策要求的中小企业制造。相关企业(含联合体中的中小企业、签订分包意向协议的中小企业)的具体情况如下：</w:t>
      </w:r>
    </w:p>
    <w:p>
      <w:pPr>
        <w:numPr>
          <w:ilvl w:val="0"/>
          <w:numId w:val="11"/>
        </w:numPr>
        <w:spacing w:line="560" w:lineRule="exact"/>
        <w:ind w:left="720" w:hanging="720" w:hangingChars="300"/>
        <w:rPr>
          <w:rFonts w:ascii="宋体" w:hAnsi="宋体" w:cs="宋体"/>
          <w:kern w:val="0"/>
          <w:sz w:val="24"/>
        </w:rPr>
      </w:pPr>
      <w:r>
        <w:rPr>
          <w:rFonts w:hint="eastAsia" w:ascii="宋体" w:hAnsi="宋体" w:cs="宋体"/>
          <w:kern w:val="0"/>
          <w:sz w:val="24"/>
          <w:u w:val="single"/>
        </w:rPr>
        <w:t xml:space="preserve">  (标的名称)  </w:t>
      </w:r>
      <w:r>
        <w:rPr>
          <w:rFonts w:hint="eastAsia" w:ascii="宋体" w:hAnsi="宋体" w:cs="宋体"/>
          <w:kern w:val="0"/>
          <w:sz w:val="24"/>
        </w:rPr>
        <w:t>，属于</w:t>
      </w:r>
      <w:r>
        <w:rPr>
          <w:rFonts w:hint="eastAsia" w:ascii="宋体" w:hAnsi="宋体" w:cs="宋体"/>
          <w:kern w:val="0"/>
          <w:sz w:val="24"/>
          <w:u w:val="single"/>
        </w:rPr>
        <w:t xml:space="preserve">  ( 采购文件中明确的所属行业) 行业</w:t>
      </w:r>
      <w:r>
        <w:rPr>
          <w:rFonts w:hint="eastAsia" w:ascii="宋体" w:hAnsi="宋体" w:cs="宋体"/>
          <w:kern w:val="0"/>
          <w:sz w:val="24"/>
        </w:rPr>
        <w:t xml:space="preserve"> ；制造商为</w:t>
      </w:r>
      <w:r>
        <w:rPr>
          <w:rFonts w:hint="eastAsia" w:ascii="宋体" w:hAnsi="宋体" w:cs="宋体"/>
          <w:kern w:val="0"/>
          <w:sz w:val="24"/>
          <w:u w:val="single"/>
        </w:rPr>
        <w:t xml:space="preserve"> (企业名称)  </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 xml:space="preserve">万元，属于 </w:t>
      </w:r>
      <w:r>
        <w:rPr>
          <w:rFonts w:hint="eastAsia" w:ascii="宋体" w:hAnsi="宋体" w:cs="宋体"/>
          <w:kern w:val="0"/>
          <w:sz w:val="24"/>
          <w:u w:val="single"/>
        </w:rPr>
        <w:t>(中型企业、小型企业、微型企业）</w:t>
      </w:r>
      <w:r>
        <w:rPr>
          <w:rFonts w:hint="eastAsia" w:ascii="宋体" w:hAnsi="宋体" w:cs="宋体"/>
          <w:kern w:val="0"/>
          <w:sz w:val="24"/>
        </w:rPr>
        <w:t>；</w:t>
      </w:r>
    </w:p>
    <w:p>
      <w:pPr>
        <w:numPr>
          <w:ilvl w:val="0"/>
          <w:numId w:val="11"/>
        </w:numPr>
        <w:spacing w:line="560" w:lineRule="exact"/>
        <w:ind w:left="720" w:hanging="720" w:hangingChars="300"/>
        <w:rPr>
          <w:rFonts w:ascii="宋体" w:hAnsi="宋体" w:cs="宋体"/>
          <w:kern w:val="0"/>
          <w:sz w:val="24"/>
        </w:rPr>
      </w:pPr>
      <w:r>
        <w:rPr>
          <w:rFonts w:hint="eastAsia" w:ascii="宋体" w:hAnsi="宋体" w:cs="宋体"/>
          <w:kern w:val="0"/>
          <w:sz w:val="24"/>
          <w:u w:val="single"/>
        </w:rPr>
        <w:t xml:space="preserve">  (标的名称)  </w:t>
      </w:r>
      <w:r>
        <w:rPr>
          <w:rFonts w:hint="eastAsia" w:ascii="宋体" w:hAnsi="宋体" w:cs="宋体"/>
          <w:kern w:val="0"/>
          <w:sz w:val="24"/>
        </w:rPr>
        <w:t>，属于</w:t>
      </w:r>
      <w:r>
        <w:rPr>
          <w:rFonts w:hint="eastAsia" w:ascii="宋体" w:hAnsi="宋体" w:cs="宋体"/>
          <w:kern w:val="0"/>
          <w:sz w:val="24"/>
          <w:u w:val="single"/>
        </w:rPr>
        <w:t xml:space="preserve">  ( 采购文件中明确的所属行业) 行业</w:t>
      </w:r>
      <w:r>
        <w:rPr>
          <w:rFonts w:hint="eastAsia" w:ascii="宋体" w:hAnsi="宋体" w:cs="宋体"/>
          <w:kern w:val="0"/>
          <w:sz w:val="24"/>
        </w:rPr>
        <w:t xml:space="preserve"> ；制造商为</w:t>
      </w:r>
      <w:r>
        <w:rPr>
          <w:rFonts w:hint="eastAsia" w:ascii="宋体" w:hAnsi="宋体" w:cs="宋体"/>
          <w:kern w:val="0"/>
          <w:sz w:val="24"/>
          <w:u w:val="single"/>
        </w:rPr>
        <w:t xml:space="preserve"> (企业名称)  </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 xml:space="preserve">万元，属于 </w:t>
      </w:r>
      <w:r>
        <w:rPr>
          <w:rFonts w:hint="eastAsia" w:ascii="宋体" w:hAnsi="宋体" w:cs="宋体"/>
          <w:kern w:val="0"/>
          <w:sz w:val="24"/>
          <w:u w:val="single"/>
        </w:rPr>
        <w:t>(中型企业、小型企业、微型企业）</w:t>
      </w:r>
      <w:r>
        <w:rPr>
          <w:rFonts w:hint="eastAsia" w:ascii="宋体" w:hAnsi="宋体" w:cs="宋体"/>
          <w:kern w:val="0"/>
          <w:sz w:val="24"/>
        </w:rPr>
        <w:t>；</w:t>
      </w:r>
    </w:p>
    <w:p>
      <w:pPr>
        <w:spacing w:line="560" w:lineRule="exact"/>
        <w:ind w:firstLine="480" w:firstLineChars="200"/>
        <w:rPr>
          <w:rFonts w:ascii="宋体" w:hAnsi="宋体" w:cs="宋体"/>
          <w:kern w:val="0"/>
          <w:sz w:val="24"/>
        </w:rPr>
      </w:pPr>
      <w:r>
        <w:rPr>
          <w:rFonts w:hint="eastAsia" w:ascii="宋体" w:hAnsi="宋体" w:cs="宋体"/>
          <w:kern w:val="0"/>
          <w:sz w:val="24"/>
        </w:rPr>
        <w:t>……</w:t>
      </w:r>
    </w:p>
    <w:p>
      <w:pPr>
        <w:spacing w:line="560" w:lineRule="exact"/>
        <w:ind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pPr>
        <w:spacing w:line="560" w:lineRule="exact"/>
        <w:rPr>
          <w:rFonts w:ascii="宋体" w:hAnsi="宋体" w:cs="宋体"/>
          <w:kern w:val="0"/>
          <w:sz w:val="24"/>
        </w:rPr>
      </w:pPr>
    </w:p>
    <w:p>
      <w:pPr>
        <w:spacing w:line="560" w:lineRule="exact"/>
        <w:ind w:firstLine="3480" w:firstLineChars="1450"/>
        <w:rPr>
          <w:rFonts w:ascii="宋体" w:hAnsi="宋体" w:cs="宋体"/>
          <w:kern w:val="0"/>
          <w:sz w:val="24"/>
        </w:rPr>
      </w:pPr>
      <w:r>
        <w:rPr>
          <w:rFonts w:hint="eastAsia" w:ascii="宋体" w:hAnsi="宋体" w:cs="宋体"/>
          <w:kern w:val="0"/>
          <w:sz w:val="24"/>
        </w:rPr>
        <w:t>企业名称(盖章)：</w:t>
      </w:r>
    </w:p>
    <w:p>
      <w:pPr>
        <w:spacing w:line="560" w:lineRule="exact"/>
        <w:ind w:firstLine="3480" w:firstLineChars="1450"/>
        <w:rPr>
          <w:rFonts w:ascii="宋体" w:hAnsi="宋体" w:cs="宋体"/>
          <w:kern w:val="0"/>
          <w:sz w:val="24"/>
          <w:szCs w:val="22"/>
        </w:rPr>
      </w:pPr>
      <w:r>
        <w:rPr>
          <w:rFonts w:hint="eastAsia" w:ascii="宋体" w:hAnsi="宋体" w:cs="宋体"/>
          <w:kern w:val="0"/>
          <w:sz w:val="24"/>
        </w:rPr>
        <w:t>日期：</w:t>
      </w:r>
    </w:p>
    <w:p>
      <w:pPr>
        <w:spacing w:line="360" w:lineRule="auto"/>
        <w:rPr>
          <w:rFonts w:ascii="宋体" w:hAnsi="宋体" w:cs="宋体"/>
        </w:rPr>
      </w:pPr>
    </w:p>
    <w:p>
      <w:pPr>
        <w:ind w:left="450" w:hanging="450" w:hangingChars="150"/>
        <w:rPr>
          <w:rFonts w:ascii="宋体" w:hAnsi="宋体" w:cs="宋体"/>
          <w:kern w:val="0"/>
          <w:sz w:val="18"/>
          <w:szCs w:val="18"/>
        </w:rPr>
      </w:pPr>
      <w:r>
        <w:rPr>
          <w:rFonts w:hint="eastAsia" w:ascii="宋体" w:hAnsi="宋体" w:cs="宋体"/>
          <w:kern w:val="0"/>
          <w:sz w:val="30"/>
          <w:szCs w:val="30"/>
        </w:rPr>
        <w:t xml:space="preserve"> </w:t>
      </w:r>
      <w:r>
        <w:rPr>
          <w:rFonts w:hint="eastAsia" w:ascii="宋体" w:hAnsi="宋体" w:cs="宋体"/>
          <w:kern w:val="0"/>
          <w:sz w:val="30"/>
          <w:szCs w:val="30"/>
          <w:u w:val="single"/>
        </w:rPr>
        <w:t xml:space="preserve">                                                     </w:t>
      </w:r>
      <w:r>
        <w:rPr>
          <w:rFonts w:hint="eastAsia" w:ascii="宋体" w:hAnsi="宋体" w:cs="宋体"/>
          <w:kern w:val="0"/>
          <w:sz w:val="30"/>
          <w:szCs w:val="30"/>
        </w:rPr>
        <w:t xml:space="preserve">    </w:t>
      </w:r>
      <w:r>
        <w:rPr>
          <w:rFonts w:hint="eastAsia" w:ascii="宋体" w:hAnsi="宋体" w:cs="宋体"/>
          <w:kern w:val="0"/>
          <w:sz w:val="18"/>
          <w:szCs w:val="18"/>
        </w:rPr>
        <w:t xml:space="preserve"> </w:t>
      </w:r>
    </w:p>
    <w:p>
      <w:pPr>
        <w:ind w:left="315" w:leftChars="150" w:firstLine="270" w:firstLineChars="150"/>
        <w:rPr>
          <w:rFonts w:ascii="宋体" w:hAnsi="宋体" w:cs="宋体"/>
          <w:kern w:val="0"/>
          <w:sz w:val="18"/>
          <w:szCs w:val="18"/>
        </w:rPr>
      </w:pPr>
      <w:r>
        <w:rPr>
          <w:rFonts w:hint="eastAsia" w:ascii="宋体" w:hAnsi="宋体" w:cs="宋体"/>
          <w:kern w:val="0"/>
          <w:sz w:val="18"/>
          <w:szCs w:val="18"/>
        </w:rPr>
        <w:t>（从业人员、营业收入、资产总额填报上一年度数据，无上一年度数据的新成立企业可不填报）</w:t>
      </w:r>
    </w:p>
    <w:p>
      <w:pPr>
        <w:widowControl/>
        <w:spacing w:before="100" w:beforeAutospacing="1" w:after="100" w:afterAutospacing="1" w:line="360" w:lineRule="auto"/>
        <w:rPr>
          <w:rFonts w:ascii="宋体" w:hAnsi="宋体" w:cs="宋体"/>
          <w:bCs/>
          <w:kern w:val="0"/>
          <w:sz w:val="24"/>
          <w:szCs w:val="20"/>
        </w:rPr>
      </w:pPr>
      <w:r>
        <w:rPr>
          <w:rFonts w:hint="eastAsia" w:ascii="宋体" w:hAnsi="宋体" w:cs="宋体"/>
        </w:rPr>
        <w:br w:type="page"/>
      </w:r>
    </w:p>
    <w:p>
      <w:pPr>
        <w:jc w:val="center"/>
        <w:rPr>
          <w:rFonts w:ascii="宋体" w:hAnsi="宋体" w:cs="宋体"/>
          <w:sz w:val="32"/>
          <w:szCs w:val="32"/>
        </w:rPr>
      </w:pPr>
      <w:r>
        <w:rPr>
          <w:rFonts w:hint="eastAsia" w:ascii="宋体" w:hAnsi="宋体" w:cs="宋体"/>
          <w:sz w:val="32"/>
          <w:szCs w:val="32"/>
        </w:rPr>
        <w:t>投标人监狱企业声明函</w:t>
      </w:r>
    </w:p>
    <w:p>
      <w:pPr>
        <w:spacing w:line="360" w:lineRule="auto"/>
        <w:ind w:left="1079" w:leftChars="257" w:hanging="540"/>
        <w:jc w:val="center"/>
        <w:rPr>
          <w:rFonts w:ascii="宋体" w:hAnsi="宋体" w:cs="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本单位为直接投标人提供本单位制造的货物。</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（1）本企业（单位）</w:t>
      </w:r>
      <w:r>
        <w:rPr>
          <w:rFonts w:hint="eastAsia" w:ascii="宋体" w:hAnsi="宋体" w:cs="宋体"/>
          <w:kern w:val="0"/>
          <w:sz w:val="24"/>
          <w:u w:val="single"/>
        </w:rPr>
        <w:t xml:space="preserve">        </w:t>
      </w:r>
      <w:r>
        <w:rPr>
          <w:rFonts w:hint="eastAsia" w:ascii="宋体" w:hAnsi="宋体"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（2）本企业（单位）</w:t>
      </w:r>
      <w:r>
        <w:rPr>
          <w:rFonts w:hint="eastAsia" w:ascii="宋体" w:hAnsi="宋体" w:cs="宋体"/>
          <w:kern w:val="0"/>
          <w:sz w:val="24"/>
          <w:u w:val="single"/>
        </w:rPr>
        <w:t xml:space="preserve">        </w:t>
      </w:r>
      <w:r>
        <w:rPr>
          <w:rFonts w:hint="eastAsia" w:ascii="宋体" w:hAnsi="宋体"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宋体" w:hAnsi="宋体" w:cs="宋体"/>
          <w:b/>
          <w:kern w:val="0"/>
          <w:sz w:val="24"/>
          <w:szCs w:val="20"/>
        </w:rPr>
      </w:pPr>
      <w:r>
        <w:rPr>
          <w:rFonts w:hint="eastAsia" w:ascii="宋体" w:hAnsi="宋体" w:cs="宋体"/>
          <w:kern w:val="0"/>
          <w:sz w:val="24"/>
        </w:rPr>
        <w:t>　</w:t>
      </w:r>
      <w:r>
        <w:rPr>
          <w:rFonts w:hint="eastAsia" w:ascii="宋体" w:hAnsi="宋体" w:cs="宋体"/>
          <w:b/>
          <w:kern w:val="0"/>
          <w:sz w:val="24"/>
          <w:szCs w:val="20"/>
        </w:rPr>
        <w:t>　</w:t>
      </w:r>
    </w:p>
    <w:p>
      <w:pPr>
        <w:widowControl/>
        <w:spacing w:before="100" w:beforeAutospacing="1" w:after="100" w:afterAutospacing="1" w:line="360" w:lineRule="auto"/>
        <w:ind w:firstLine="480" w:firstLineChars="200"/>
        <w:jc w:val="left"/>
        <w:rPr>
          <w:rFonts w:ascii="宋体" w:hAnsi="宋体" w:cs="宋体"/>
          <w:kern w:val="0"/>
          <w:sz w:val="24"/>
          <w:u w:val="single"/>
        </w:rPr>
      </w:pPr>
      <w:r>
        <w:rPr>
          <w:rFonts w:hint="eastAsia" w:ascii="宋体" w:hAnsi="宋体" w:cs="宋体"/>
          <w:kern w:val="0"/>
          <w:sz w:val="24"/>
        </w:rPr>
        <w:t>投标人（盖公章）：</w:t>
      </w:r>
      <w:r>
        <w:rPr>
          <w:rFonts w:hint="eastAsia" w:ascii="宋体" w:hAnsi="宋体" w:cs="宋体"/>
          <w:kern w:val="0"/>
          <w:sz w:val="24"/>
          <w:u w:val="single"/>
        </w:rPr>
        <w:t xml:space="preserve">             </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 xml:space="preserve">法定代表人或授权代表（签字）:  </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before="100" w:beforeAutospacing="1" w:after="100" w:afterAutospacing="1" w:line="360" w:lineRule="auto"/>
        <w:ind w:firstLine="480" w:firstLineChars="200"/>
        <w:jc w:val="left"/>
        <w:rPr>
          <w:rFonts w:ascii="宋体" w:hAnsi="宋体" w:cs="宋体"/>
          <w:kern w:val="0"/>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p>
    <w:p>
      <w:pPr>
        <w:widowControl/>
        <w:spacing w:before="100" w:beforeAutospacing="1" w:after="100" w:afterAutospacing="1" w:line="360" w:lineRule="auto"/>
        <w:jc w:val="left"/>
        <w:rPr>
          <w:rFonts w:ascii="宋体" w:hAnsi="宋体" w:cs="宋体"/>
          <w:kern w:val="0"/>
          <w:sz w:val="24"/>
          <w:u w:val="single"/>
        </w:rPr>
      </w:pPr>
    </w:p>
    <w:p>
      <w:pPr>
        <w:widowControl/>
        <w:spacing w:before="100" w:beforeAutospacing="1" w:after="100" w:afterAutospacing="1" w:line="360" w:lineRule="auto"/>
        <w:jc w:val="left"/>
        <w:rPr>
          <w:rFonts w:ascii="宋体" w:hAnsi="宋体" w:cs="宋体"/>
          <w:kern w:val="0"/>
          <w:sz w:val="24"/>
          <w:u w:val="single"/>
        </w:rPr>
      </w:pPr>
      <w:r>
        <w:rPr>
          <w:rFonts w:hint="eastAsia" w:ascii="宋体" w:hAnsi="宋体" w:cs="宋体"/>
          <w:kern w:val="0"/>
          <w:sz w:val="24"/>
          <w:u w:val="single"/>
        </w:rPr>
        <w:t>注：符合《关于政府采购支持监狱企业发展有关问题的通知》价格扣减条件的供应商须提交。</w:t>
      </w:r>
    </w:p>
    <w:p>
      <w:pPr>
        <w:spacing w:line="360" w:lineRule="auto"/>
        <w:rPr>
          <w:rFonts w:ascii="宋体" w:hAnsi="宋体" w:cs="宋体"/>
          <w:kern w:val="0"/>
          <w:sz w:val="24"/>
          <w:szCs w:val="20"/>
        </w:rPr>
      </w:pPr>
      <w:r>
        <w:rPr>
          <w:rFonts w:hint="eastAsia" w:ascii="宋体" w:hAnsi="宋体" w:cs="宋体"/>
          <w:sz w:val="24"/>
        </w:rPr>
        <w:br w:type="page"/>
      </w:r>
    </w:p>
    <w:p>
      <w:pPr>
        <w:pStyle w:val="12"/>
        <w:rPr>
          <w:rFonts w:cs="宋体"/>
        </w:rPr>
      </w:pPr>
    </w:p>
    <w:p>
      <w:pPr>
        <w:jc w:val="center"/>
        <w:rPr>
          <w:rFonts w:ascii="宋体" w:hAnsi="宋体" w:cs="宋体"/>
          <w:sz w:val="32"/>
          <w:szCs w:val="32"/>
        </w:rPr>
      </w:pPr>
      <w:r>
        <w:rPr>
          <w:rFonts w:hint="eastAsia" w:ascii="宋体" w:hAnsi="宋体" w:cs="宋体"/>
          <w:sz w:val="32"/>
          <w:szCs w:val="32"/>
        </w:rPr>
        <w:t>残疾人福利性单位声明函</w:t>
      </w:r>
    </w:p>
    <w:p>
      <w:pPr>
        <w:spacing w:line="360" w:lineRule="auto"/>
        <w:ind w:left="1079" w:leftChars="257" w:hanging="540"/>
        <w:jc w:val="center"/>
        <w:rPr>
          <w:rFonts w:ascii="宋体" w:hAnsi="宋体" w:cs="宋体"/>
          <w:kern w:val="0"/>
          <w:sz w:val="24"/>
          <w:szCs w:val="20"/>
        </w:rPr>
      </w:pPr>
    </w:p>
    <w:p>
      <w:pPr>
        <w:spacing w:line="360" w:lineRule="auto"/>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（由本单位承担提供服务）</w:t>
      </w:r>
      <w:r>
        <w:rPr>
          <w:rFonts w:hint="eastAsia" w:ascii="宋体" w:hAnsi="宋体" w:cs="宋体"/>
          <w:kern w:val="0"/>
          <w:sz w:val="24"/>
          <w:szCs w:val="20"/>
        </w:rPr>
        <w:t>，或者提供其他残疾人福利性单位制造的货物（不包括使用非残疾人福利性单位注册商标的货物）。</w:t>
      </w:r>
    </w:p>
    <w:p>
      <w:pPr>
        <w:spacing w:line="360" w:lineRule="auto"/>
        <w:ind w:left="1079"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360" w:lineRule="auto"/>
        <w:ind w:left="1079" w:leftChars="257" w:hanging="540"/>
        <w:jc w:val="center"/>
        <w:rPr>
          <w:rFonts w:ascii="宋体" w:hAnsi="宋体" w:cs="宋体"/>
          <w:kern w:val="0"/>
          <w:sz w:val="24"/>
          <w:szCs w:val="20"/>
        </w:rPr>
      </w:pPr>
    </w:p>
    <w:p>
      <w:pPr>
        <w:spacing w:line="360" w:lineRule="auto"/>
        <w:ind w:left="1079" w:leftChars="257" w:hanging="540"/>
        <w:jc w:val="center"/>
        <w:rPr>
          <w:rFonts w:ascii="宋体" w:hAnsi="宋体" w:cs="宋体"/>
          <w:kern w:val="0"/>
          <w:sz w:val="24"/>
          <w:szCs w:val="20"/>
        </w:rPr>
      </w:pPr>
    </w:p>
    <w:p>
      <w:pPr>
        <w:spacing w:line="360" w:lineRule="auto"/>
        <w:ind w:left="1079" w:leftChars="257" w:hanging="540"/>
        <w:rPr>
          <w:rFonts w:ascii="宋体" w:hAnsi="宋体" w:cs="宋体"/>
          <w:kern w:val="0"/>
          <w:sz w:val="24"/>
          <w:szCs w:val="20"/>
          <w:u w:val="single"/>
        </w:rPr>
      </w:pPr>
      <w:r>
        <w:rPr>
          <w:rFonts w:hint="eastAsia" w:ascii="宋体" w:hAnsi="宋体" w:cs="宋体"/>
          <w:kern w:val="0"/>
          <w:sz w:val="24"/>
          <w:szCs w:val="20"/>
        </w:rPr>
        <w:t>残疾人福利性单位（盖公章）：</w:t>
      </w:r>
      <w:r>
        <w:rPr>
          <w:rFonts w:hint="eastAsia" w:ascii="宋体" w:hAnsi="宋体" w:cs="宋体"/>
          <w:kern w:val="0"/>
          <w:sz w:val="24"/>
          <w:szCs w:val="20"/>
          <w:u w:val="single"/>
        </w:rPr>
        <w:t xml:space="preserve">                  </w:t>
      </w:r>
    </w:p>
    <w:p>
      <w:pPr>
        <w:spacing w:line="360" w:lineRule="auto"/>
        <w:ind w:left="1079" w:leftChars="257" w:hanging="540"/>
        <w:rPr>
          <w:rFonts w:ascii="宋体" w:hAnsi="宋体" w:cs="宋体"/>
          <w:kern w:val="0"/>
          <w:sz w:val="24"/>
          <w:szCs w:val="20"/>
        </w:rPr>
      </w:pPr>
      <w:r>
        <w:rPr>
          <w:rFonts w:hint="eastAsia" w:ascii="宋体" w:hAnsi="宋体" w:cs="宋体"/>
          <w:kern w:val="0"/>
          <w:sz w:val="24"/>
        </w:rPr>
        <w:t xml:space="preserve">法定代表人或授权代表（签字）:  </w:t>
      </w:r>
      <w:r>
        <w:rPr>
          <w:rFonts w:hint="eastAsia" w:ascii="宋体" w:hAnsi="宋体" w:cs="宋体"/>
          <w:kern w:val="0"/>
          <w:sz w:val="24"/>
          <w:szCs w:val="20"/>
          <w:u w:val="single"/>
        </w:rPr>
        <w:t xml:space="preserve">             </w:t>
      </w:r>
      <w:r>
        <w:rPr>
          <w:rFonts w:hint="eastAsia" w:ascii="宋体" w:hAnsi="宋体" w:cs="宋体"/>
          <w:kern w:val="0"/>
          <w:sz w:val="24"/>
        </w:rPr>
        <w:t xml:space="preserve">         </w:t>
      </w:r>
    </w:p>
    <w:p>
      <w:pPr>
        <w:spacing w:line="360" w:lineRule="auto"/>
        <w:ind w:firstLine="600" w:firstLineChars="250"/>
        <w:rPr>
          <w:rFonts w:ascii="宋体" w:hAnsi="宋体" w:cs="宋体"/>
          <w:kern w:val="0"/>
          <w:sz w:val="24"/>
          <w:szCs w:val="20"/>
          <w:u w:val="single"/>
        </w:rPr>
      </w:pPr>
      <w:r>
        <w:rPr>
          <w:rFonts w:hint="eastAsia" w:ascii="宋体" w:hAnsi="宋体" w:cs="宋体"/>
          <w:kern w:val="0"/>
          <w:sz w:val="24"/>
          <w:szCs w:val="20"/>
        </w:rPr>
        <w:t>日  期：</w:t>
      </w:r>
      <w:r>
        <w:rPr>
          <w:rFonts w:hint="eastAsia" w:ascii="宋体" w:hAnsi="宋体" w:cs="宋体"/>
          <w:kern w:val="0"/>
          <w:sz w:val="24"/>
          <w:szCs w:val="20"/>
          <w:u w:val="single"/>
        </w:rPr>
        <w:t xml:space="preserve">                             </w:t>
      </w:r>
    </w:p>
    <w:p>
      <w:pPr>
        <w:spacing w:line="360" w:lineRule="auto"/>
        <w:ind w:firstLine="600" w:firstLineChars="250"/>
        <w:rPr>
          <w:rFonts w:ascii="宋体" w:hAnsi="宋体" w:cs="宋体"/>
          <w:kern w:val="0"/>
          <w:sz w:val="24"/>
          <w:szCs w:val="20"/>
          <w:u w:val="single"/>
        </w:rPr>
      </w:pPr>
    </w:p>
    <w:p>
      <w:pPr>
        <w:spacing w:line="360" w:lineRule="auto"/>
        <w:ind w:firstLine="600" w:firstLineChars="250"/>
        <w:rPr>
          <w:rFonts w:ascii="宋体" w:hAnsi="宋体" w:cs="宋体"/>
          <w:kern w:val="0"/>
          <w:sz w:val="24"/>
          <w:szCs w:val="20"/>
          <w:u w:val="single"/>
        </w:rPr>
      </w:pPr>
    </w:p>
    <w:p>
      <w:pPr>
        <w:spacing w:line="360" w:lineRule="auto"/>
        <w:ind w:firstLine="600" w:firstLineChars="250"/>
        <w:rPr>
          <w:rFonts w:ascii="宋体" w:hAnsi="宋体" w:cs="宋体"/>
          <w:kern w:val="0"/>
          <w:sz w:val="24"/>
          <w:szCs w:val="20"/>
          <w:u w:val="single"/>
        </w:rPr>
      </w:pPr>
    </w:p>
    <w:p>
      <w:pPr>
        <w:spacing w:line="360" w:lineRule="auto"/>
        <w:ind w:firstLine="600" w:firstLineChars="250"/>
        <w:rPr>
          <w:rFonts w:ascii="宋体" w:hAnsi="宋体" w:cs="宋体"/>
          <w:kern w:val="0"/>
          <w:sz w:val="24"/>
          <w:szCs w:val="20"/>
          <w:u w:val="single"/>
        </w:rPr>
      </w:pPr>
    </w:p>
    <w:p>
      <w:pPr>
        <w:spacing w:line="360" w:lineRule="auto"/>
        <w:ind w:firstLine="600" w:firstLineChars="250"/>
        <w:rPr>
          <w:rFonts w:ascii="宋体" w:hAnsi="宋体" w:cs="宋体"/>
          <w:kern w:val="0"/>
          <w:sz w:val="24"/>
          <w:szCs w:val="20"/>
          <w:u w:val="single"/>
        </w:rPr>
      </w:pPr>
    </w:p>
    <w:p>
      <w:pPr>
        <w:spacing w:line="360" w:lineRule="auto"/>
        <w:ind w:firstLine="600" w:firstLineChars="250"/>
        <w:rPr>
          <w:rFonts w:ascii="宋体" w:hAnsi="宋体" w:cs="宋体"/>
          <w:kern w:val="0"/>
          <w:sz w:val="24"/>
          <w:szCs w:val="20"/>
          <w:u w:val="single"/>
        </w:rPr>
      </w:pPr>
    </w:p>
    <w:p>
      <w:pPr>
        <w:autoSpaceDE w:val="0"/>
        <w:autoSpaceDN w:val="0"/>
        <w:adjustRightInd w:val="0"/>
        <w:snapToGrid w:val="0"/>
        <w:spacing w:line="360" w:lineRule="auto"/>
        <w:rPr>
          <w:rFonts w:ascii="宋体" w:hAnsi="宋体" w:cs="宋体"/>
          <w:b/>
          <w:bCs/>
          <w:color w:val="FF0000"/>
          <w:sz w:val="30"/>
          <w:szCs w:val="30"/>
          <w:lang w:val="zh-CN"/>
        </w:rPr>
      </w:pPr>
      <w:r>
        <w:rPr>
          <w:rFonts w:hint="eastAsia" w:ascii="宋体" w:hAnsi="宋体" w:cs="宋体"/>
          <w:kern w:val="0"/>
          <w:sz w:val="24"/>
          <w:szCs w:val="20"/>
          <w:u w:val="single"/>
        </w:rPr>
        <w:t>注：符合《三部门联合发布关于促进残疾人就业政府采购政策的通知》价格扣减条件的供应商须提交。</w:t>
      </w:r>
      <w:r>
        <w:rPr>
          <w:rFonts w:hint="eastAsia" w:ascii="宋体" w:hAnsi="宋体" w:cs="宋体"/>
          <w:b/>
          <w:bCs/>
          <w:color w:val="FF0000"/>
          <w:sz w:val="30"/>
          <w:szCs w:val="30"/>
          <w:lang w:val="zh-CN"/>
        </w:rPr>
        <w:br w:type="page"/>
      </w:r>
    </w:p>
    <w:p>
      <w:pPr>
        <w:autoSpaceDE w:val="0"/>
        <w:autoSpaceDN w:val="0"/>
        <w:adjustRightInd w:val="0"/>
        <w:snapToGrid w:val="0"/>
        <w:spacing w:line="360" w:lineRule="auto"/>
        <w:jc w:val="right"/>
        <w:rPr>
          <w:rFonts w:ascii="宋体" w:hAnsi="宋体" w:cs="宋体"/>
          <w:b/>
          <w:bCs/>
          <w:sz w:val="30"/>
          <w:szCs w:val="30"/>
          <w:lang w:val="zh-CN"/>
        </w:rPr>
      </w:pPr>
      <w:r>
        <w:rPr>
          <w:rFonts w:hint="eastAsia" w:ascii="宋体" w:hAnsi="宋体" w:cs="宋体"/>
          <w:b/>
          <w:bCs/>
          <w:sz w:val="30"/>
          <w:szCs w:val="30"/>
          <w:lang w:val="zh-CN"/>
        </w:rPr>
        <w:t>正本/副本</w:t>
      </w:r>
    </w:p>
    <w:p>
      <w:pPr>
        <w:autoSpaceDE w:val="0"/>
        <w:autoSpaceDN w:val="0"/>
        <w:adjustRightInd w:val="0"/>
        <w:snapToGrid w:val="0"/>
        <w:spacing w:line="360" w:lineRule="auto"/>
        <w:jc w:val="right"/>
        <w:rPr>
          <w:rFonts w:ascii="宋体" w:hAnsi="宋体" w:cs="宋体"/>
          <w:b/>
          <w:bCs/>
          <w:sz w:val="30"/>
          <w:szCs w:val="30"/>
          <w:lang w:val="zh-CN"/>
        </w:rPr>
      </w:pPr>
    </w:p>
    <w:p>
      <w:pPr>
        <w:autoSpaceDE w:val="0"/>
        <w:autoSpaceDN w:val="0"/>
        <w:adjustRightInd w:val="0"/>
        <w:snapToGrid w:val="0"/>
        <w:spacing w:line="360" w:lineRule="auto"/>
        <w:rPr>
          <w:rFonts w:ascii="宋体" w:hAnsi="宋体" w:cs="宋体"/>
          <w:b/>
          <w:bCs/>
          <w:sz w:val="30"/>
          <w:szCs w:val="30"/>
          <w:lang w:val="zh-CN"/>
        </w:rPr>
      </w:pPr>
      <w:r>
        <w:rPr>
          <w:rFonts w:hint="eastAsia" w:ascii="宋体" w:hAnsi="宋体" w:cs="宋体"/>
          <w:b/>
          <w:bCs/>
          <w:sz w:val="30"/>
          <w:szCs w:val="30"/>
          <w:lang w:val="zh-CN"/>
        </w:rPr>
        <w:t>政府采购项目</w:t>
      </w:r>
    </w:p>
    <w:p>
      <w:pPr>
        <w:autoSpaceDE w:val="0"/>
        <w:autoSpaceDN w:val="0"/>
        <w:adjustRightInd w:val="0"/>
        <w:snapToGrid w:val="0"/>
        <w:spacing w:line="360" w:lineRule="auto"/>
        <w:rPr>
          <w:rFonts w:ascii="宋体" w:hAnsi="宋体" w:cs="宋体"/>
          <w:b/>
          <w:bCs/>
          <w:sz w:val="30"/>
          <w:szCs w:val="30"/>
          <w:lang w:val="zh-CN"/>
        </w:rPr>
      </w:pPr>
      <w:r>
        <w:rPr>
          <w:rFonts w:hint="eastAsia" w:ascii="宋体" w:hAnsi="宋体" w:cs="宋体"/>
          <w:b/>
          <w:bCs/>
          <w:sz w:val="30"/>
          <w:szCs w:val="30"/>
          <w:lang w:val="zh-CN"/>
        </w:rPr>
        <w:t>采购项目编号：</w:t>
      </w:r>
    </w:p>
    <w:p>
      <w:pPr>
        <w:spacing w:line="240" w:lineRule="atLeast"/>
        <w:ind w:left="1079" w:leftChars="257" w:hanging="540"/>
        <w:jc w:val="center"/>
        <w:rPr>
          <w:rFonts w:ascii="宋体" w:hAnsi="宋体" w:cs="宋体"/>
          <w:b/>
          <w:sz w:val="52"/>
          <w:szCs w:val="52"/>
        </w:rPr>
      </w:pPr>
    </w:p>
    <w:p>
      <w:pPr>
        <w:tabs>
          <w:tab w:val="left" w:pos="5670"/>
        </w:tabs>
        <w:autoSpaceDE w:val="0"/>
        <w:autoSpaceDN w:val="0"/>
        <w:adjustRightInd w:val="0"/>
        <w:snapToGrid w:val="0"/>
        <w:spacing w:line="360" w:lineRule="auto"/>
        <w:jc w:val="center"/>
        <w:rPr>
          <w:rFonts w:ascii="宋体" w:hAnsi="宋体" w:cs="宋体"/>
          <w:b/>
          <w:bCs/>
          <w:sz w:val="36"/>
          <w:szCs w:val="36"/>
          <w:lang w:val="zh-CN"/>
        </w:rPr>
      </w:pPr>
      <w:r>
        <w:rPr>
          <w:rFonts w:hint="eastAsia" w:ascii="宋体" w:hAnsi="宋体" w:cs="宋体"/>
          <w:b/>
          <w:bCs/>
          <w:sz w:val="36"/>
          <w:szCs w:val="36"/>
          <w:lang w:val="zh-CN"/>
        </w:rPr>
        <w:t>2023年莲湖疾控区域中心实验室仪器设备采购项目</w:t>
      </w:r>
    </w:p>
    <w:p>
      <w:pPr>
        <w:tabs>
          <w:tab w:val="left" w:pos="5670"/>
        </w:tabs>
        <w:autoSpaceDE w:val="0"/>
        <w:autoSpaceDN w:val="0"/>
        <w:adjustRightInd w:val="0"/>
        <w:snapToGrid w:val="0"/>
        <w:spacing w:line="360" w:lineRule="auto"/>
        <w:jc w:val="center"/>
        <w:rPr>
          <w:rFonts w:ascii="宋体" w:hAnsi="宋体" w:cs="宋体"/>
          <w:b/>
          <w:bCs/>
          <w:sz w:val="52"/>
          <w:szCs w:val="52"/>
          <w:lang w:val="zh-CN"/>
        </w:rPr>
      </w:pPr>
      <w:r>
        <w:rPr>
          <w:rFonts w:hint="eastAsia" w:ascii="宋体" w:hAnsi="宋体" w:cs="宋体"/>
          <w:b/>
          <w:bCs/>
          <w:sz w:val="52"/>
          <w:szCs w:val="52"/>
          <w:lang w:val="zh-CN"/>
        </w:rPr>
        <w:t>投 标 文 件</w:t>
      </w:r>
    </w:p>
    <w:p>
      <w:pPr>
        <w:spacing w:line="240" w:lineRule="atLeast"/>
        <w:jc w:val="center"/>
        <w:rPr>
          <w:rFonts w:ascii="宋体" w:hAnsi="宋体" w:cs="宋体"/>
          <w:b/>
          <w:sz w:val="32"/>
          <w:szCs w:val="32"/>
        </w:rPr>
      </w:pPr>
      <w:r>
        <w:rPr>
          <w:rFonts w:hint="eastAsia" w:ascii="宋体" w:hAnsi="宋体" w:cs="宋体"/>
          <w:b/>
          <w:bCs/>
          <w:sz w:val="32"/>
          <w:szCs w:val="32"/>
        </w:rPr>
        <w:t>（商务及技术文件）</w:t>
      </w:r>
    </w:p>
    <w:p>
      <w:pPr>
        <w:spacing w:line="240" w:lineRule="atLeast"/>
        <w:ind w:left="1079" w:leftChars="257" w:hanging="540"/>
        <w:jc w:val="center"/>
        <w:rPr>
          <w:rFonts w:ascii="宋体" w:hAnsi="宋体" w:cs="宋体"/>
          <w:b/>
          <w:sz w:val="32"/>
          <w:szCs w:val="32"/>
          <w:u w:val="single"/>
        </w:rPr>
      </w:pPr>
      <w:r>
        <w:rPr>
          <w:rFonts w:hint="eastAsia" w:ascii="宋体" w:hAnsi="宋体" w:cs="宋体"/>
          <w:b/>
          <w:sz w:val="32"/>
          <w:szCs w:val="32"/>
        </w:rPr>
        <w:t>第</w:t>
      </w:r>
      <w:r>
        <w:rPr>
          <w:rFonts w:hint="eastAsia" w:ascii="宋体" w:hAnsi="宋体" w:cs="宋体"/>
          <w:b/>
          <w:sz w:val="32"/>
          <w:szCs w:val="32"/>
          <w:u w:val="single"/>
        </w:rPr>
        <w:t xml:space="preserve">   </w:t>
      </w:r>
      <w:r>
        <w:rPr>
          <w:rFonts w:hint="eastAsia" w:ascii="宋体" w:hAnsi="宋体" w:cs="宋体"/>
          <w:b/>
          <w:sz w:val="32"/>
          <w:szCs w:val="32"/>
        </w:rPr>
        <w:t>包</w:t>
      </w:r>
    </w:p>
    <w:p>
      <w:pPr>
        <w:autoSpaceDE w:val="0"/>
        <w:autoSpaceDN w:val="0"/>
        <w:adjustRightInd w:val="0"/>
        <w:snapToGrid w:val="0"/>
        <w:spacing w:line="360" w:lineRule="auto"/>
        <w:jc w:val="center"/>
        <w:rPr>
          <w:rFonts w:ascii="宋体" w:hAnsi="宋体" w:cs="宋体"/>
          <w:b/>
          <w:bCs/>
          <w:sz w:val="32"/>
          <w:szCs w:val="32"/>
        </w:rPr>
      </w:pPr>
    </w:p>
    <w:p>
      <w:pPr>
        <w:rPr>
          <w:rFonts w:ascii="宋体" w:hAnsi="宋体" w:cs="宋体"/>
        </w:rPr>
      </w:pPr>
    </w:p>
    <w:p>
      <w:pPr>
        <w:rPr>
          <w:rFonts w:ascii="宋体" w:hAnsi="宋体" w:cs="宋体"/>
        </w:rPr>
      </w:pPr>
    </w:p>
    <w:p>
      <w:pPr>
        <w:rPr>
          <w:rFonts w:ascii="宋体" w:hAnsi="宋体" w:cs="宋体"/>
        </w:rPr>
      </w:pPr>
    </w:p>
    <w:p>
      <w:pPr>
        <w:pStyle w:val="8"/>
        <w:rPr>
          <w:rFonts w:hAnsi="宋体" w:cs="宋体"/>
        </w:rPr>
      </w:pPr>
    </w:p>
    <w:p>
      <w:pPr>
        <w:pStyle w:val="9"/>
        <w:rPr>
          <w:rFonts w:ascii="宋体" w:hAnsi="宋体" w:cs="宋体"/>
        </w:rPr>
      </w:pPr>
    </w:p>
    <w:p>
      <w:pPr>
        <w:autoSpaceDE w:val="0"/>
        <w:autoSpaceDN w:val="0"/>
        <w:adjustRightInd w:val="0"/>
        <w:snapToGrid w:val="0"/>
        <w:spacing w:line="360" w:lineRule="auto"/>
        <w:rPr>
          <w:rFonts w:ascii="宋体" w:hAnsi="宋体" w:cs="宋体"/>
          <w:sz w:val="30"/>
          <w:szCs w:val="30"/>
        </w:rPr>
      </w:pPr>
    </w:p>
    <w:p>
      <w:pPr>
        <w:autoSpaceDE w:val="0"/>
        <w:autoSpaceDN w:val="0"/>
        <w:adjustRightInd w:val="0"/>
        <w:snapToGrid w:val="0"/>
        <w:spacing w:line="360" w:lineRule="auto"/>
        <w:rPr>
          <w:rFonts w:ascii="宋体" w:hAnsi="宋体" w:cs="宋体"/>
          <w:b/>
          <w:bCs/>
          <w:sz w:val="32"/>
          <w:szCs w:val="32"/>
          <w:u w:val="single"/>
        </w:rPr>
      </w:pPr>
      <w:r>
        <w:rPr>
          <w:rFonts w:hint="eastAsia" w:ascii="宋体" w:hAnsi="宋体" w:cs="宋体"/>
          <w:sz w:val="30"/>
          <w:szCs w:val="30"/>
        </w:rPr>
        <w:t xml:space="preserve">                 </w:t>
      </w:r>
      <w:r>
        <w:rPr>
          <w:rFonts w:hint="eastAsia" w:ascii="宋体" w:hAnsi="宋体" w:cs="宋体"/>
          <w:b/>
          <w:bCs/>
          <w:sz w:val="32"/>
          <w:szCs w:val="32"/>
          <w:lang w:val="zh-CN"/>
        </w:rPr>
        <w:t>投</w:t>
      </w:r>
      <w:r>
        <w:rPr>
          <w:rFonts w:hint="eastAsia" w:ascii="宋体" w:hAnsi="宋体" w:cs="宋体"/>
          <w:b/>
          <w:bCs/>
          <w:sz w:val="32"/>
          <w:szCs w:val="32"/>
        </w:rPr>
        <w:t xml:space="preserve"> </w:t>
      </w:r>
      <w:r>
        <w:rPr>
          <w:rFonts w:hint="eastAsia" w:ascii="宋体" w:hAnsi="宋体" w:cs="宋体"/>
          <w:b/>
          <w:bCs/>
          <w:sz w:val="32"/>
          <w:szCs w:val="32"/>
          <w:lang w:val="zh-CN"/>
        </w:rPr>
        <w:t>标</w:t>
      </w:r>
      <w:r>
        <w:rPr>
          <w:rFonts w:hint="eastAsia" w:ascii="宋体" w:hAnsi="宋体" w:cs="宋体"/>
          <w:b/>
          <w:bCs/>
          <w:sz w:val="32"/>
          <w:szCs w:val="32"/>
        </w:rPr>
        <w:t xml:space="preserve"> </w:t>
      </w:r>
      <w:r>
        <w:rPr>
          <w:rFonts w:hint="eastAsia" w:ascii="宋体" w:hAnsi="宋体" w:cs="宋体"/>
          <w:b/>
          <w:bCs/>
          <w:sz w:val="32"/>
          <w:szCs w:val="32"/>
          <w:lang w:val="zh-CN"/>
        </w:rPr>
        <w:t>人：</w:t>
      </w:r>
      <w:r>
        <w:rPr>
          <w:rFonts w:hint="eastAsia" w:ascii="宋体" w:hAnsi="宋体" w:cs="宋体"/>
          <w:b/>
          <w:bCs/>
          <w:sz w:val="32"/>
          <w:szCs w:val="32"/>
          <w:u w:val="single"/>
        </w:rPr>
        <w:t xml:space="preserve">                   </w:t>
      </w:r>
    </w:p>
    <w:p>
      <w:pPr>
        <w:autoSpaceDE w:val="0"/>
        <w:autoSpaceDN w:val="0"/>
        <w:adjustRightInd w:val="0"/>
        <w:snapToGrid w:val="0"/>
        <w:spacing w:line="360" w:lineRule="auto"/>
        <w:ind w:firstLine="2560" w:firstLineChars="800"/>
        <w:rPr>
          <w:rFonts w:ascii="宋体" w:hAnsi="宋体" w:cs="宋体"/>
          <w:b/>
          <w:bCs/>
          <w:sz w:val="32"/>
          <w:szCs w:val="32"/>
        </w:rPr>
      </w:pPr>
      <w:r>
        <w:rPr>
          <w:rFonts w:hint="eastAsia" w:ascii="宋体" w:hAnsi="宋体" w:cs="宋体"/>
          <w:b/>
          <w:bCs/>
          <w:sz w:val="32"/>
          <w:szCs w:val="32"/>
          <w:lang w:val="zh-CN"/>
        </w:rPr>
        <w:t>时</w:t>
      </w:r>
      <w:r>
        <w:rPr>
          <w:rFonts w:hint="eastAsia" w:ascii="宋体" w:hAnsi="宋体" w:cs="宋体"/>
          <w:b/>
          <w:bCs/>
          <w:sz w:val="32"/>
          <w:szCs w:val="32"/>
        </w:rPr>
        <w:t xml:space="preserve">    </w:t>
      </w:r>
      <w:r>
        <w:rPr>
          <w:rFonts w:hint="eastAsia" w:ascii="宋体" w:hAnsi="宋体" w:cs="宋体"/>
          <w:b/>
          <w:bCs/>
          <w:sz w:val="32"/>
          <w:szCs w:val="32"/>
          <w:lang w:val="zh-CN"/>
        </w:rPr>
        <w:t>间：</w:t>
      </w:r>
      <w:r>
        <w:rPr>
          <w:rFonts w:hint="eastAsia" w:ascii="宋体" w:hAnsi="宋体" w:cs="宋体"/>
          <w:b/>
          <w:bCs/>
          <w:sz w:val="32"/>
          <w:szCs w:val="32"/>
          <w:u w:val="single"/>
        </w:rPr>
        <w:t xml:space="preserve">                   </w:t>
      </w:r>
    </w:p>
    <w:p>
      <w:pPr>
        <w:spacing w:line="360" w:lineRule="auto"/>
        <w:ind w:left="735" w:leftChars="350" w:firstLine="120" w:firstLineChars="50"/>
        <w:rPr>
          <w:rFonts w:ascii="宋体" w:hAnsi="宋体" w:cs="宋体"/>
          <w:color w:val="00B0F0"/>
          <w:sz w:val="24"/>
        </w:rPr>
      </w:pPr>
    </w:p>
    <w:p>
      <w:pPr>
        <w:jc w:val="center"/>
        <w:rPr>
          <w:rFonts w:ascii="宋体" w:hAnsi="宋体" w:cs="宋体"/>
          <w:b/>
          <w:sz w:val="44"/>
        </w:rPr>
      </w:pPr>
      <w:r>
        <w:rPr>
          <w:rFonts w:hint="eastAsia" w:ascii="宋体" w:hAnsi="宋体" w:cs="宋体"/>
          <w:color w:val="00B0F0"/>
          <w:sz w:val="24"/>
        </w:rPr>
        <w:br w:type="page"/>
      </w:r>
      <w:r>
        <w:rPr>
          <w:rFonts w:hint="eastAsia" w:ascii="宋体" w:hAnsi="宋体" w:cs="宋体"/>
          <w:b/>
          <w:sz w:val="44"/>
        </w:rPr>
        <w:t>目  录</w:t>
      </w:r>
    </w:p>
    <w:p>
      <w:pPr>
        <w:jc w:val="center"/>
        <w:rPr>
          <w:rFonts w:ascii="宋体" w:hAnsi="宋体" w:cs="宋体"/>
          <w:b/>
          <w:sz w:val="44"/>
        </w:rPr>
      </w:pPr>
    </w:p>
    <w:p>
      <w:pPr>
        <w:jc w:val="center"/>
        <w:rPr>
          <w:rFonts w:ascii="宋体" w:hAnsi="宋体" w:cs="宋体"/>
          <w:color w:val="00B0F0"/>
          <w:sz w:val="24"/>
        </w:rPr>
        <w:sectPr>
          <w:pgSz w:w="11906" w:h="16838"/>
          <w:pgMar w:top="1418" w:right="1418" w:bottom="1418" w:left="1418" w:header="1020" w:footer="992" w:gutter="0"/>
          <w:cols w:space="720" w:num="1"/>
          <w:docGrid w:type="linesAndChars" w:linePitch="312" w:charSpace="0"/>
        </w:sectPr>
      </w:pPr>
      <w:r>
        <w:rPr>
          <w:rFonts w:hint="eastAsia" w:ascii="宋体" w:hAnsi="宋体" w:cs="宋体"/>
          <w:sz w:val="32"/>
          <w:szCs w:val="32"/>
        </w:rPr>
        <w:t>（格式自拟）</w:t>
      </w:r>
    </w:p>
    <w:p>
      <w:pPr>
        <w:pStyle w:val="16"/>
        <w:tabs>
          <w:tab w:val="left" w:pos="5580"/>
        </w:tabs>
        <w:snapToGrid w:val="0"/>
        <w:spacing w:line="360" w:lineRule="auto"/>
        <w:rPr>
          <w:rFonts w:hAnsi="宋体" w:cs="宋体"/>
          <w:sz w:val="24"/>
        </w:rPr>
      </w:pPr>
    </w:p>
    <w:p>
      <w:pPr>
        <w:pStyle w:val="4"/>
        <w:snapToGrid w:val="0"/>
        <w:spacing w:before="0" w:line="360" w:lineRule="auto"/>
        <w:rPr>
          <w:rFonts w:ascii="宋体" w:hAnsi="宋体" w:eastAsia="宋体" w:cs="宋体"/>
          <w:sz w:val="24"/>
        </w:rPr>
      </w:pPr>
      <w:bookmarkStart w:id="323" w:name="_Toc45196832"/>
      <w:r>
        <w:rPr>
          <w:rFonts w:hint="eastAsia" w:ascii="宋体" w:hAnsi="宋体" w:eastAsia="宋体" w:cs="宋体"/>
          <w:sz w:val="24"/>
        </w:rPr>
        <w:t>一、投标函</w:t>
      </w:r>
      <w:bookmarkEnd w:id="323"/>
    </w:p>
    <w:p>
      <w:pPr>
        <w:tabs>
          <w:tab w:val="left" w:pos="5580"/>
        </w:tabs>
        <w:snapToGrid w:val="0"/>
        <w:spacing w:line="360" w:lineRule="auto"/>
        <w:ind w:left="1080" w:hanging="108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（采购人、采购代理机构名称）   </w:t>
      </w:r>
    </w:p>
    <w:p>
      <w:pPr>
        <w:pStyle w:val="16"/>
        <w:tabs>
          <w:tab w:val="left" w:pos="5580"/>
        </w:tabs>
        <w:snapToGrid w:val="0"/>
        <w:spacing w:line="360" w:lineRule="auto"/>
        <w:ind w:left="2" w:leftChars="1" w:firstLine="480" w:firstLineChars="200"/>
        <w:rPr>
          <w:rFonts w:hAnsi="宋体" w:cs="宋体"/>
          <w:sz w:val="24"/>
        </w:rPr>
      </w:pPr>
      <w:r>
        <w:rPr>
          <w:rFonts w:hint="eastAsia" w:hAnsi="宋体" w:cs="宋体"/>
          <w:sz w:val="24"/>
        </w:rPr>
        <w:t>根据贵方(</w:t>
      </w:r>
      <w:r>
        <w:rPr>
          <w:rFonts w:hint="eastAsia" w:hAnsi="宋体" w:cs="宋体"/>
          <w:sz w:val="24"/>
          <w:u w:val="single"/>
        </w:rPr>
        <w:t>项目名称、采购项目编号、包号</w:t>
      </w:r>
      <w:r>
        <w:rPr>
          <w:rFonts w:hint="eastAsia" w:hAnsi="宋体" w:cs="宋体"/>
          <w:sz w:val="24"/>
        </w:rPr>
        <w:t>)项目的招标文件，签字代表(</w:t>
      </w:r>
      <w:r>
        <w:rPr>
          <w:rFonts w:hint="eastAsia" w:hAnsi="宋体" w:cs="宋体"/>
          <w:sz w:val="24"/>
          <w:u w:val="single"/>
        </w:rPr>
        <w:t>姓名、职务</w:t>
      </w:r>
      <w:r>
        <w:rPr>
          <w:rFonts w:hint="eastAsia" w:hAnsi="宋体" w:cs="宋体"/>
          <w:sz w:val="24"/>
        </w:rPr>
        <w:t>)经正式授权并代表投标人（</w:t>
      </w:r>
      <w:r>
        <w:rPr>
          <w:rFonts w:hint="eastAsia" w:hAnsi="宋体" w:cs="宋体"/>
          <w:sz w:val="24"/>
          <w:u w:val="single"/>
        </w:rPr>
        <w:t>单位名称</w:t>
      </w:r>
      <w:r>
        <w:rPr>
          <w:rFonts w:hint="eastAsia" w:hAnsi="宋体" w:cs="宋体"/>
          <w:sz w:val="24"/>
        </w:rPr>
        <w:t>）提交下述文件正本</w:t>
      </w:r>
      <w:r>
        <w:rPr>
          <w:rFonts w:hint="eastAsia" w:hAnsi="宋体" w:cs="宋体"/>
          <w:sz w:val="24"/>
          <w:u w:val="single"/>
        </w:rPr>
        <w:t xml:space="preserve">      </w:t>
      </w:r>
      <w:r>
        <w:rPr>
          <w:rFonts w:hint="eastAsia" w:hAnsi="宋体" w:cs="宋体"/>
          <w:sz w:val="24"/>
        </w:rPr>
        <w:t>份、副本</w:t>
      </w:r>
      <w:r>
        <w:rPr>
          <w:rFonts w:hint="eastAsia" w:hAnsi="宋体" w:cs="宋体"/>
          <w:sz w:val="24"/>
          <w:u w:val="single"/>
        </w:rPr>
        <w:t xml:space="preserve">     </w:t>
      </w:r>
      <w:r>
        <w:rPr>
          <w:rFonts w:hint="eastAsia" w:hAnsi="宋体" w:cs="宋体"/>
          <w:sz w:val="24"/>
        </w:rPr>
        <w:t>份及电子文档</w:t>
      </w:r>
      <w:r>
        <w:rPr>
          <w:rFonts w:hint="eastAsia" w:hAnsi="宋体" w:cs="宋体"/>
          <w:sz w:val="24"/>
          <w:u w:val="single"/>
        </w:rPr>
        <w:t xml:space="preserve">    </w:t>
      </w:r>
      <w:r>
        <w:rPr>
          <w:rFonts w:hint="eastAsia" w:hAnsi="宋体" w:cs="宋体"/>
          <w:sz w:val="24"/>
        </w:rPr>
        <w:t>份。</w:t>
      </w:r>
      <w:r>
        <w:rPr>
          <w:rFonts w:hint="eastAsia" w:hAnsi="宋体" w:cs="宋体"/>
          <w:sz w:val="24"/>
          <w:szCs w:val="24"/>
          <w:lang w:val="zh-CN"/>
        </w:rPr>
        <w:t>为此，我方郑重声明以下诸点，并负法律责任。</w:t>
      </w:r>
    </w:p>
    <w:p>
      <w:pPr>
        <w:pStyle w:val="16"/>
        <w:tabs>
          <w:tab w:val="left" w:pos="720"/>
          <w:tab w:val="left" w:pos="900"/>
        </w:tabs>
        <w:snapToGrid w:val="0"/>
        <w:spacing w:line="360" w:lineRule="auto"/>
        <w:ind w:left="768" w:leftChars="257" w:hanging="229"/>
        <w:rPr>
          <w:rFonts w:hAnsi="宋体" w:cs="宋体"/>
          <w:sz w:val="24"/>
        </w:rPr>
      </w:pPr>
      <w:r>
        <w:rPr>
          <w:rFonts w:hint="eastAsia" w:hAnsi="宋体" w:cs="宋体"/>
          <w:sz w:val="24"/>
        </w:rPr>
        <w:t>（1）按照招标文件的规定，我公司投标总价</w:t>
      </w:r>
      <w:r>
        <w:rPr>
          <w:rFonts w:hint="eastAsia" w:hAnsi="宋体" w:cs="宋体"/>
          <w:sz w:val="24"/>
          <w:u w:val="none"/>
        </w:rPr>
        <w:t>详见开标一览表</w:t>
      </w:r>
      <w:r>
        <w:rPr>
          <w:rFonts w:hint="eastAsia" w:hAnsi="宋体" w:cs="宋体"/>
          <w:sz w:val="24"/>
        </w:rPr>
        <w:t>。</w:t>
      </w:r>
    </w:p>
    <w:p>
      <w:pPr>
        <w:pStyle w:val="16"/>
        <w:tabs>
          <w:tab w:val="left" w:pos="5580"/>
        </w:tabs>
        <w:snapToGrid w:val="0"/>
        <w:spacing w:line="360" w:lineRule="auto"/>
        <w:ind w:left="1079" w:leftChars="257" w:hanging="540"/>
        <w:rPr>
          <w:rFonts w:hAnsi="宋体" w:cs="宋体"/>
          <w:sz w:val="24"/>
        </w:rPr>
      </w:pPr>
      <w:r>
        <w:rPr>
          <w:rFonts w:hint="eastAsia" w:hAnsi="宋体" w:cs="宋体"/>
          <w:sz w:val="24"/>
        </w:rPr>
        <w:t>（2）本投标有效期为自</w:t>
      </w:r>
      <w:r>
        <w:rPr>
          <w:rFonts w:hint="eastAsia" w:hAnsi="宋体" w:cs="宋体"/>
          <w:sz w:val="24"/>
          <w:szCs w:val="24"/>
        </w:rPr>
        <w:t>投标截止之日起</w:t>
      </w:r>
      <w:r>
        <w:rPr>
          <w:rFonts w:hint="eastAsia" w:hAnsi="宋体" w:cs="宋体"/>
          <w:sz w:val="24"/>
          <w:szCs w:val="24"/>
          <w:u w:val="single"/>
        </w:rPr>
        <w:t xml:space="preserve"> 90 </w:t>
      </w:r>
      <w:r>
        <w:rPr>
          <w:rFonts w:hint="eastAsia" w:hAnsi="宋体" w:cs="宋体"/>
          <w:sz w:val="24"/>
          <w:szCs w:val="24"/>
        </w:rPr>
        <w:t>个日历日</w:t>
      </w:r>
      <w:r>
        <w:rPr>
          <w:rFonts w:hint="eastAsia" w:hAnsi="宋体" w:cs="宋体"/>
          <w:sz w:val="24"/>
          <w:szCs w:val="24"/>
          <w:lang w:val="zh-CN"/>
        </w:rPr>
        <w:t>，若我方中标，投标文件有效期自动延长至合同执行完毕。</w:t>
      </w:r>
    </w:p>
    <w:p>
      <w:pPr>
        <w:pStyle w:val="16"/>
        <w:tabs>
          <w:tab w:val="left" w:pos="5580"/>
        </w:tabs>
        <w:snapToGrid w:val="0"/>
        <w:spacing w:line="360" w:lineRule="auto"/>
        <w:ind w:left="1079" w:leftChars="257" w:hanging="540"/>
        <w:rPr>
          <w:rFonts w:hAnsi="宋体" w:cs="宋体"/>
          <w:sz w:val="24"/>
        </w:rPr>
      </w:pPr>
      <w:r>
        <w:rPr>
          <w:rFonts w:hint="eastAsia" w:hAnsi="宋体" w:cs="宋体"/>
          <w:sz w:val="24"/>
        </w:rPr>
        <w:t>（3）已详细审查全部招标文件，包括所有补充通知（如果有的话），完全理解并同意放弃对这方面有不明、误解的权利。</w:t>
      </w:r>
    </w:p>
    <w:p>
      <w:pPr>
        <w:pStyle w:val="16"/>
        <w:tabs>
          <w:tab w:val="left" w:pos="5580"/>
        </w:tabs>
        <w:snapToGrid w:val="0"/>
        <w:spacing w:line="360" w:lineRule="auto"/>
        <w:ind w:left="1079" w:leftChars="257" w:hanging="540"/>
        <w:rPr>
          <w:rFonts w:hAnsi="宋体" w:cs="宋体"/>
          <w:sz w:val="24"/>
        </w:rPr>
      </w:pPr>
      <w:r>
        <w:rPr>
          <w:rFonts w:hint="eastAsia" w:hAnsi="宋体" w:cs="宋体"/>
          <w:sz w:val="24"/>
        </w:rPr>
        <w:t>（4）我方</w:t>
      </w:r>
      <w:r>
        <w:rPr>
          <w:rFonts w:hint="eastAsia" w:hAnsi="宋体" w:cs="宋体"/>
          <w:sz w:val="24"/>
          <w:u w:val="single"/>
        </w:rPr>
        <w:t xml:space="preserve">   （</w:t>
      </w:r>
      <w:r>
        <w:rPr>
          <w:rFonts w:hint="eastAsia" w:hAnsi="宋体" w:cs="宋体"/>
          <w:sz w:val="24"/>
        </w:rPr>
        <w:t>是、不是）为本项目提供整体设计、规范编制或者项目管理、监理、检测等服务的供应商。</w:t>
      </w:r>
    </w:p>
    <w:p>
      <w:pPr>
        <w:pStyle w:val="16"/>
        <w:tabs>
          <w:tab w:val="left" w:pos="5580"/>
        </w:tabs>
        <w:snapToGrid w:val="0"/>
        <w:spacing w:line="360" w:lineRule="auto"/>
        <w:ind w:left="1079" w:leftChars="257" w:hanging="540"/>
        <w:rPr>
          <w:rFonts w:hAnsi="宋体" w:cs="宋体"/>
          <w:sz w:val="24"/>
        </w:rPr>
      </w:pPr>
      <w:r>
        <w:rPr>
          <w:rFonts w:hint="eastAsia" w:hAnsi="宋体" w:cs="宋体"/>
          <w:sz w:val="24"/>
        </w:rPr>
        <w:t>（5）按照招标文件的规定，在中标后向贵方一次性支付招标代理费。</w:t>
      </w:r>
    </w:p>
    <w:p>
      <w:pPr>
        <w:pStyle w:val="16"/>
        <w:tabs>
          <w:tab w:val="left" w:pos="5580"/>
        </w:tabs>
        <w:snapToGrid w:val="0"/>
        <w:spacing w:line="360" w:lineRule="auto"/>
        <w:ind w:left="1079" w:leftChars="257" w:hanging="540"/>
        <w:rPr>
          <w:rFonts w:hAnsi="宋体" w:cs="宋体"/>
          <w:sz w:val="24"/>
        </w:rPr>
      </w:pPr>
      <w:r>
        <w:rPr>
          <w:rFonts w:hint="eastAsia" w:hAnsi="宋体" w:cs="宋体"/>
          <w:sz w:val="24"/>
        </w:rPr>
        <w:t>（6）按照贵方可能的要求，提供与投标有关的一切数据或资料，我们完全理解最低投标报价不作为中标的唯一条件，且尊重评标结论和定标结果。</w:t>
      </w:r>
    </w:p>
    <w:p>
      <w:pPr>
        <w:pStyle w:val="16"/>
        <w:tabs>
          <w:tab w:val="left" w:pos="5580"/>
        </w:tabs>
        <w:snapToGrid w:val="0"/>
        <w:spacing w:line="360" w:lineRule="auto"/>
        <w:ind w:left="1079" w:leftChars="257" w:hanging="540"/>
        <w:rPr>
          <w:rFonts w:hAnsi="宋体" w:cs="宋体"/>
          <w:sz w:val="24"/>
        </w:rPr>
      </w:pPr>
      <w:r>
        <w:rPr>
          <w:rFonts w:hint="eastAsia" w:hAnsi="宋体" w:cs="宋体"/>
          <w:sz w:val="24"/>
        </w:rPr>
        <w:t>（7）完全理解并无条件承担中标后不依法与采购人签订合同的法律后果。</w:t>
      </w:r>
    </w:p>
    <w:p>
      <w:pPr>
        <w:pStyle w:val="16"/>
        <w:tabs>
          <w:tab w:val="left" w:pos="5580"/>
        </w:tabs>
        <w:snapToGrid w:val="0"/>
        <w:spacing w:line="360" w:lineRule="auto"/>
        <w:ind w:left="358" w:leftChars="68" w:hanging="216" w:hangingChars="90"/>
        <w:rPr>
          <w:rFonts w:hAnsi="宋体" w:cs="宋体"/>
          <w:sz w:val="24"/>
        </w:rPr>
      </w:pPr>
      <w:r>
        <w:rPr>
          <w:rFonts w:hint="eastAsia" w:hAnsi="宋体" w:cs="宋体"/>
          <w:sz w:val="24"/>
        </w:rPr>
        <w:t xml:space="preserve">  与本投标有关的一切函电：</w:t>
      </w:r>
    </w:p>
    <w:p>
      <w:pPr>
        <w:autoSpaceDE w:val="0"/>
        <w:autoSpaceDN w:val="0"/>
        <w:adjustRightInd w:val="0"/>
        <w:snapToGrid w:val="0"/>
        <w:spacing w:line="36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zh-CN"/>
        </w:rPr>
        <w:t>投标人全称（公章）：</w:t>
      </w:r>
      <w:r>
        <w:rPr>
          <w:rFonts w:hint="eastAsia" w:ascii="宋体" w:hAnsi="宋体" w:cs="宋体"/>
          <w:sz w:val="24"/>
          <w:u w:val="single"/>
        </w:rPr>
        <w:t xml:space="preserve">                            </w:t>
      </w:r>
    </w:p>
    <w:p>
      <w:pPr>
        <w:autoSpaceDE w:val="0"/>
        <w:autoSpaceDN w:val="0"/>
        <w:adjustRightInd w:val="0"/>
        <w:snapToGrid w:val="0"/>
        <w:spacing w:line="360" w:lineRule="auto"/>
        <w:ind w:firstLine="720" w:firstLineChars="300"/>
        <w:rPr>
          <w:rFonts w:ascii="宋体" w:hAnsi="宋体" w:cs="宋体"/>
          <w:sz w:val="24"/>
        </w:rPr>
      </w:pPr>
      <w:r>
        <w:rPr>
          <w:rFonts w:hint="eastAsia" w:ascii="宋体" w:hAnsi="宋体" w:cs="宋体"/>
          <w:sz w:val="24"/>
          <w:lang w:val="zh-CN"/>
        </w:rPr>
        <w:t>地址：</w:t>
      </w:r>
      <w:r>
        <w:rPr>
          <w:rFonts w:hint="eastAsia" w:ascii="宋体" w:hAnsi="宋体" w:cs="宋体"/>
          <w:sz w:val="24"/>
          <w:u w:val="single"/>
        </w:rPr>
        <w:t xml:space="preserve">                                          </w:t>
      </w:r>
    </w:p>
    <w:p>
      <w:pPr>
        <w:autoSpaceDE w:val="0"/>
        <w:autoSpaceDN w:val="0"/>
        <w:adjustRightInd w:val="0"/>
        <w:snapToGrid w:val="0"/>
        <w:spacing w:line="360" w:lineRule="auto"/>
        <w:ind w:firstLine="720" w:firstLineChars="300"/>
        <w:rPr>
          <w:rFonts w:ascii="宋体" w:hAnsi="宋体" w:cs="宋体"/>
          <w:sz w:val="24"/>
        </w:rPr>
      </w:pPr>
      <w:r>
        <w:rPr>
          <w:rFonts w:hint="eastAsia" w:ascii="宋体" w:hAnsi="宋体" w:cs="宋体"/>
          <w:sz w:val="24"/>
          <w:lang w:val="zh-CN"/>
        </w:rPr>
        <w:t>开户银行：</w:t>
      </w:r>
      <w:r>
        <w:rPr>
          <w:rFonts w:hint="eastAsia" w:ascii="宋体" w:hAnsi="宋体" w:cs="宋体"/>
          <w:sz w:val="24"/>
          <w:u w:val="single"/>
        </w:rPr>
        <w:t xml:space="preserve">                                      </w:t>
      </w:r>
    </w:p>
    <w:p>
      <w:pPr>
        <w:autoSpaceDE w:val="0"/>
        <w:autoSpaceDN w:val="0"/>
        <w:adjustRightInd w:val="0"/>
        <w:snapToGrid w:val="0"/>
        <w:spacing w:line="360" w:lineRule="auto"/>
        <w:ind w:firstLine="720" w:firstLineChars="300"/>
        <w:rPr>
          <w:rFonts w:ascii="宋体" w:hAnsi="宋体" w:cs="宋体"/>
          <w:sz w:val="24"/>
        </w:rPr>
      </w:pPr>
      <w:r>
        <w:rPr>
          <w:rFonts w:hint="eastAsia" w:ascii="宋体" w:hAnsi="宋体" w:cs="宋体"/>
          <w:sz w:val="24"/>
          <w:lang w:val="zh-CN"/>
        </w:rPr>
        <w:t>帐号：</w:t>
      </w:r>
      <w:r>
        <w:rPr>
          <w:rFonts w:hint="eastAsia" w:ascii="宋体" w:hAnsi="宋体" w:cs="宋体"/>
          <w:sz w:val="24"/>
          <w:u w:val="single"/>
        </w:rPr>
        <w:t xml:space="preserve">                                          </w:t>
      </w:r>
    </w:p>
    <w:p>
      <w:pPr>
        <w:autoSpaceDE w:val="0"/>
        <w:autoSpaceDN w:val="0"/>
        <w:adjustRightInd w:val="0"/>
        <w:snapToGrid w:val="0"/>
        <w:spacing w:line="360" w:lineRule="auto"/>
        <w:ind w:firstLine="600" w:firstLineChars="250"/>
        <w:rPr>
          <w:rFonts w:ascii="宋体" w:hAnsi="宋体" w:cs="宋体"/>
          <w:sz w:val="24"/>
        </w:rPr>
      </w:pPr>
      <w:r>
        <w:rPr>
          <w:rFonts w:hint="eastAsia" w:ascii="宋体" w:hAnsi="宋体" w:cs="宋体"/>
          <w:sz w:val="24"/>
          <w:lang w:val="zh-CN"/>
        </w:rPr>
        <w:t>电话：</w:t>
      </w:r>
      <w:r>
        <w:rPr>
          <w:rFonts w:hint="eastAsia" w:ascii="宋体" w:hAnsi="宋体" w:cs="宋体"/>
          <w:sz w:val="24"/>
          <w:u w:val="single"/>
        </w:rPr>
        <w:t xml:space="preserve">                                           </w:t>
      </w:r>
    </w:p>
    <w:p>
      <w:pPr>
        <w:autoSpaceDE w:val="0"/>
        <w:autoSpaceDN w:val="0"/>
        <w:adjustRightInd w:val="0"/>
        <w:snapToGrid w:val="0"/>
        <w:spacing w:line="360" w:lineRule="auto"/>
        <w:ind w:firstLine="600" w:firstLineChars="250"/>
        <w:rPr>
          <w:rFonts w:ascii="宋体" w:hAnsi="宋体" w:cs="宋体"/>
          <w:sz w:val="24"/>
        </w:rPr>
      </w:pPr>
      <w:r>
        <w:rPr>
          <w:rFonts w:hint="eastAsia" w:ascii="宋体" w:hAnsi="宋体" w:cs="宋体"/>
          <w:sz w:val="24"/>
          <w:lang w:val="zh-CN"/>
        </w:rPr>
        <w:t>法定代表人（负责人）</w:t>
      </w:r>
      <w:r>
        <w:rPr>
          <w:rFonts w:hint="eastAsia" w:ascii="宋体" w:hAnsi="宋体" w:cs="宋体"/>
          <w:sz w:val="24"/>
        </w:rPr>
        <w:t>或</w:t>
      </w:r>
      <w:r>
        <w:rPr>
          <w:rFonts w:hint="eastAsia" w:ascii="宋体" w:hAnsi="宋体" w:cs="宋体"/>
          <w:sz w:val="24"/>
          <w:lang w:val="zh-CN"/>
        </w:rPr>
        <w:t>授权代表（签字或盖章）：</w:t>
      </w:r>
      <w:r>
        <w:rPr>
          <w:rFonts w:hint="eastAsia" w:ascii="宋体" w:hAnsi="宋体" w:cs="宋体"/>
          <w:sz w:val="24"/>
          <w:u w:val="single"/>
        </w:rPr>
        <w:t xml:space="preserve">             </w:t>
      </w:r>
    </w:p>
    <w:p>
      <w:pPr>
        <w:snapToGrid w:val="0"/>
        <w:spacing w:line="360" w:lineRule="auto"/>
        <w:ind w:firstLine="56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lang w:val="zh-CN"/>
        </w:rPr>
        <w:t>年</w:t>
      </w:r>
      <w:r>
        <w:rPr>
          <w:rFonts w:hint="eastAsia" w:ascii="宋体" w:hAnsi="宋体" w:cs="宋体"/>
          <w:sz w:val="24"/>
          <w:u w:val="single"/>
        </w:rPr>
        <w:t xml:space="preserve">     </w:t>
      </w:r>
      <w:r>
        <w:rPr>
          <w:rFonts w:hint="eastAsia" w:ascii="宋体" w:hAnsi="宋体" w:cs="宋体"/>
          <w:sz w:val="24"/>
          <w:lang w:val="zh-CN"/>
        </w:rPr>
        <w:t>月</w:t>
      </w:r>
      <w:r>
        <w:rPr>
          <w:rFonts w:hint="eastAsia" w:ascii="宋体" w:hAnsi="宋体" w:cs="宋体"/>
          <w:sz w:val="24"/>
          <w:u w:val="single"/>
        </w:rPr>
        <w:t xml:space="preserve">     </w:t>
      </w:r>
      <w:r>
        <w:rPr>
          <w:rFonts w:hint="eastAsia" w:ascii="宋体" w:hAnsi="宋体" w:cs="宋体"/>
          <w:sz w:val="24"/>
          <w:lang w:val="zh-CN"/>
        </w:rPr>
        <w:t>日</w:t>
      </w:r>
      <w:r>
        <w:rPr>
          <w:rFonts w:hint="eastAsia" w:ascii="宋体" w:hAnsi="宋体" w:cs="宋体"/>
          <w:sz w:val="24"/>
        </w:rPr>
        <w:t xml:space="preserve"> </w:t>
      </w:r>
    </w:p>
    <w:p>
      <w:pPr>
        <w:tabs>
          <w:tab w:val="left" w:pos="5580"/>
        </w:tabs>
        <w:spacing w:line="360" w:lineRule="auto"/>
        <w:ind w:left="1" w:firstLine="564" w:firstLineChars="235"/>
        <w:jc w:val="center"/>
        <w:rPr>
          <w:rFonts w:ascii="宋体" w:hAnsi="宋体" w:cs="宋体"/>
          <w:sz w:val="24"/>
        </w:rPr>
      </w:pPr>
      <w:r>
        <w:rPr>
          <w:rFonts w:hint="eastAsia" w:ascii="宋体" w:hAnsi="宋体" w:cs="宋体"/>
          <w:sz w:val="24"/>
        </w:rPr>
        <w:br w:type="page"/>
      </w:r>
    </w:p>
    <w:p>
      <w:pPr>
        <w:pStyle w:val="4"/>
        <w:spacing w:before="0" w:line="360" w:lineRule="auto"/>
        <w:rPr>
          <w:rFonts w:ascii="宋体" w:hAnsi="宋体" w:eastAsia="宋体" w:cs="宋体"/>
        </w:rPr>
      </w:pPr>
      <w:bookmarkStart w:id="324" w:name="_Toc45196833"/>
      <w:r>
        <w:rPr>
          <w:rFonts w:hint="eastAsia" w:ascii="宋体" w:hAnsi="宋体" w:eastAsia="宋体" w:cs="宋体"/>
          <w:sz w:val="24"/>
        </w:rPr>
        <w:t>二、开标一览表</w:t>
      </w:r>
      <w:bookmarkEnd w:id="324"/>
    </w:p>
    <w:p>
      <w:pPr>
        <w:spacing w:line="360" w:lineRule="auto"/>
        <w:jc w:val="left"/>
        <w:rPr>
          <w:rFonts w:ascii="宋体" w:hAnsi="宋体" w:cs="宋体"/>
          <w:b/>
          <w:sz w:val="24"/>
        </w:rPr>
      </w:pPr>
      <w:r>
        <w:rPr>
          <w:rFonts w:hint="eastAsia" w:ascii="宋体" w:hAnsi="宋体" w:cs="宋体"/>
          <w:b/>
          <w:sz w:val="24"/>
        </w:rPr>
        <w:t>项目名称：</w:t>
      </w:r>
    </w:p>
    <w:p>
      <w:pPr>
        <w:spacing w:line="360" w:lineRule="auto"/>
        <w:jc w:val="left"/>
        <w:rPr>
          <w:rFonts w:ascii="宋体" w:hAnsi="宋体" w:cs="宋体"/>
          <w:b/>
          <w:sz w:val="24"/>
        </w:rPr>
      </w:pPr>
      <w:r>
        <w:rPr>
          <w:rFonts w:hint="eastAsia" w:ascii="宋体" w:hAnsi="宋体" w:cs="宋体"/>
          <w:b/>
          <w:sz w:val="24"/>
        </w:rPr>
        <w:t>项目编号：</w:t>
      </w:r>
    </w:p>
    <w:p>
      <w:pPr>
        <w:spacing w:line="360" w:lineRule="auto"/>
        <w:jc w:val="left"/>
        <w:rPr>
          <w:rFonts w:ascii="宋体" w:hAnsi="宋体" w:cs="宋体"/>
          <w:b/>
          <w:sz w:val="24"/>
        </w:rPr>
      </w:pPr>
      <w:r>
        <w:rPr>
          <w:rFonts w:hint="eastAsia" w:ascii="宋体" w:hAnsi="宋体" w:cs="宋体"/>
          <w:b/>
          <w:sz w:val="24"/>
        </w:rPr>
        <w:t>包号：第</w:t>
      </w:r>
      <w:r>
        <w:rPr>
          <w:rFonts w:hint="eastAsia" w:ascii="宋体" w:hAnsi="宋体" w:cs="宋体"/>
          <w:b/>
          <w:sz w:val="24"/>
          <w:u w:val="single"/>
        </w:rPr>
        <w:t xml:space="preserve"> （ ） </w:t>
      </w:r>
      <w:r>
        <w:rPr>
          <w:rFonts w:hint="eastAsia" w:ascii="宋体" w:hAnsi="宋体" w:cs="宋体"/>
          <w:b/>
          <w:sz w:val="24"/>
        </w:rPr>
        <w:t>包                                                  单位：</w:t>
      </w:r>
      <w:r>
        <w:rPr>
          <w:rFonts w:hint="eastAsia" w:ascii="宋体" w:hAnsi="宋体" w:cs="宋体"/>
          <w:spacing w:val="4"/>
          <w:sz w:val="24"/>
        </w:rPr>
        <w:t>元</w:t>
      </w:r>
    </w:p>
    <w:tbl>
      <w:tblPr>
        <w:tblStyle w:val="35"/>
        <w:tblW w:w="9215" w:type="dxa"/>
        <w:tblInd w:w="0" w:type="dxa"/>
        <w:tblLayout w:type="fixed"/>
        <w:tblCellMar>
          <w:top w:w="0" w:type="dxa"/>
          <w:left w:w="108" w:type="dxa"/>
          <w:bottom w:w="0" w:type="dxa"/>
          <w:right w:w="108" w:type="dxa"/>
        </w:tblCellMar>
      </w:tblPr>
      <w:tblGrid>
        <w:gridCol w:w="3855"/>
        <w:gridCol w:w="5360"/>
      </w:tblGrid>
      <w:tr>
        <w:tblPrEx>
          <w:tblCellMar>
            <w:top w:w="0" w:type="dxa"/>
            <w:left w:w="108" w:type="dxa"/>
            <w:bottom w:w="0" w:type="dxa"/>
            <w:right w:w="108" w:type="dxa"/>
          </w:tblCellMar>
        </w:tblPrEx>
        <w:trPr>
          <w:trHeight w:val="1462" w:hRule="atLeast"/>
        </w:trPr>
        <w:tc>
          <w:tcPr>
            <w:tcW w:w="3855"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rPr>
            </w:pPr>
            <w:r>
              <w:rPr>
                <w:rFonts w:hint="eastAsia" w:ascii="宋体" w:hAnsi="宋体" w:cs="宋体"/>
                <w:sz w:val="24"/>
              </w:rPr>
              <w:t>投标总报价（元）</w:t>
            </w:r>
          </w:p>
        </w:tc>
        <w:tc>
          <w:tcPr>
            <w:tcW w:w="5360" w:type="dxa"/>
            <w:tcBorders>
              <w:top w:val="single" w:color="000000" w:sz="4" w:space="0"/>
              <w:left w:val="single" w:color="000000" w:sz="4" w:space="0"/>
              <w:bottom w:val="single" w:color="000000" w:sz="4" w:space="0"/>
              <w:right w:val="single" w:color="000000" w:sz="4" w:space="0"/>
            </w:tcBorders>
            <w:vAlign w:val="center"/>
          </w:tcPr>
          <w:p>
            <w:pPr>
              <w:pStyle w:val="13"/>
              <w:ind w:firstLine="0"/>
              <w:rPr>
                <w:rFonts w:ascii="宋体" w:hAnsi="宋体" w:cs="宋体"/>
                <w:u w:val="single"/>
              </w:rPr>
            </w:pPr>
            <w:r>
              <w:rPr>
                <w:rFonts w:hint="eastAsia" w:ascii="宋体" w:hAnsi="宋体" w:cs="宋体"/>
              </w:rPr>
              <w:t>大写：</w:t>
            </w:r>
            <w:r>
              <w:rPr>
                <w:rFonts w:hint="eastAsia" w:ascii="宋体" w:hAnsi="宋体" w:cs="宋体"/>
                <w:u w:val="single"/>
              </w:rPr>
              <w:t xml:space="preserve">                </w:t>
            </w:r>
          </w:p>
          <w:p>
            <w:pPr>
              <w:pStyle w:val="13"/>
              <w:ind w:firstLine="0"/>
              <w:rPr>
                <w:rFonts w:ascii="宋体" w:hAnsi="宋体" w:cs="宋体"/>
                <w:u w:val="single"/>
              </w:rPr>
            </w:pPr>
            <w:r>
              <w:rPr>
                <w:rFonts w:hint="eastAsia" w:ascii="宋体" w:hAnsi="宋体" w:cs="宋体"/>
              </w:rPr>
              <w:t>小写：</w:t>
            </w:r>
            <w:r>
              <w:rPr>
                <w:rFonts w:hint="eastAsia" w:ascii="宋体" w:hAnsi="宋体" w:cs="宋体"/>
                <w:u w:val="single"/>
              </w:rPr>
              <w:t xml:space="preserve">                </w:t>
            </w:r>
          </w:p>
        </w:tc>
      </w:tr>
      <w:tr>
        <w:tblPrEx>
          <w:tblCellMar>
            <w:top w:w="0" w:type="dxa"/>
            <w:left w:w="108" w:type="dxa"/>
            <w:bottom w:w="0" w:type="dxa"/>
            <w:right w:w="108" w:type="dxa"/>
          </w:tblCellMar>
        </w:tblPrEx>
        <w:trPr>
          <w:trHeight w:val="880" w:hRule="atLeast"/>
        </w:trPr>
        <w:tc>
          <w:tcPr>
            <w:tcW w:w="3855"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交货期</w:t>
            </w:r>
          </w:p>
        </w:tc>
        <w:tc>
          <w:tcPr>
            <w:tcW w:w="53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 w:val="24"/>
              </w:rPr>
            </w:pPr>
            <w:r>
              <w:rPr>
                <w:rFonts w:hint="eastAsia" w:ascii="宋体" w:hAnsi="宋体" w:cs="宋体"/>
                <w:kern w:val="0"/>
                <w:sz w:val="24"/>
                <w:u w:val="single"/>
              </w:rPr>
              <w:t xml:space="preserve">            </w:t>
            </w:r>
          </w:p>
        </w:tc>
      </w:tr>
      <w:tr>
        <w:tblPrEx>
          <w:tblCellMar>
            <w:top w:w="0" w:type="dxa"/>
            <w:left w:w="108" w:type="dxa"/>
            <w:bottom w:w="0" w:type="dxa"/>
            <w:right w:w="108" w:type="dxa"/>
          </w:tblCellMar>
        </w:tblPrEx>
        <w:trPr>
          <w:trHeight w:val="880" w:hRule="atLeast"/>
        </w:trPr>
        <w:tc>
          <w:tcPr>
            <w:tcW w:w="3855"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交货地点</w:t>
            </w:r>
          </w:p>
        </w:tc>
        <w:tc>
          <w:tcPr>
            <w:tcW w:w="53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 w:val="24"/>
              </w:rPr>
            </w:pPr>
            <w:r>
              <w:rPr>
                <w:rFonts w:hint="eastAsia" w:ascii="宋体" w:hAnsi="宋体" w:cs="宋体"/>
                <w:sz w:val="24"/>
                <w:u w:val="single"/>
              </w:rPr>
              <w:t xml:space="preserve">           </w:t>
            </w:r>
          </w:p>
        </w:tc>
      </w:tr>
      <w:tr>
        <w:tblPrEx>
          <w:tblCellMar>
            <w:top w:w="0" w:type="dxa"/>
            <w:left w:w="108" w:type="dxa"/>
            <w:bottom w:w="0" w:type="dxa"/>
            <w:right w:w="108" w:type="dxa"/>
          </w:tblCellMar>
        </w:tblPrEx>
        <w:trPr>
          <w:trHeight w:val="930" w:hRule="atLeast"/>
        </w:trPr>
        <w:tc>
          <w:tcPr>
            <w:tcW w:w="3855"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备注</w:t>
            </w:r>
          </w:p>
        </w:tc>
        <w:tc>
          <w:tcPr>
            <w:tcW w:w="53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r>
      <w:tr>
        <w:tblPrEx>
          <w:tblCellMar>
            <w:top w:w="0" w:type="dxa"/>
            <w:left w:w="108" w:type="dxa"/>
            <w:bottom w:w="0" w:type="dxa"/>
            <w:right w:w="108" w:type="dxa"/>
          </w:tblCellMar>
        </w:tblPrEx>
        <w:trPr>
          <w:trHeight w:val="1424" w:hRule="atLeast"/>
        </w:trPr>
        <w:tc>
          <w:tcPr>
            <w:tcW w:w="921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4"/>
              </w:rPr>
            </w:pPr>
            <w:r>
              <w:rPr>
                <w:rFonts w:hint="eastAsia" w:ascii="宋体" w:hAnsi="宋体" w:cs="宋体"/>
                <w:sz w:val="24"/>
              </w:rPr>
              <w:t>说明：1、投标人报价不得高于最高限价，否则其投标文件将按无效文件处理。</w:t>
            </w:r>
          </w:p>
          <w:p>
            <w:pPr>
              <w:spacing w:line="360" w:lineRule="auto"/>
              <w:jc w:val="left"/>
              <w:rPr>
                <w:rFonts w:ascii="宋体" w:hAnsi="宋体" w:cs="宋体"/>
                <w:sz w:val="24"/>
              </w:rPr>
            </w:pPr>
            <w:r>
              <w:rPr>
                <w:rFonts w:hint="eastAsia" w:ascii="宋体" w:hAnsi="宋体" w:cs="宋体"/>
                <w:sz w:val="24"/>
              </w:rPr>
              <w:t>2.表内报价内容以元为单位，精确到小数点后两位。</w:t>
            </w:r>
          </w:p>
        </w:tc>
      </w:tr>
    </w:tbl>
    <w:p>
      <w:pPr>
        <w:spacing w:line="360" w:lineRule="auto"/>
        <w:rPr>
          <w:rFonts w:ascii="宋体" w:hAnsi="宋体" w:cs="宋体"/>
          <w:b/>
          <w:sz w:val="24"/>
        </w:rPr>
      </w:pPr>
    </w:p>
    <w:p>
      <w:pPr>
        <w:spacing w:line="360" w:lineRule="auto"/>
        <w:jc w:val="left"/>
        <w:rPr>
          <w:rFonts w:ascii="宋体" w:hAnsi="宋体" w:cs="宋体"/>
          <w:sz w:val="24"/>
        </w:rPr>
      </w:pPr>
    </w:p>
    <w:p>
      <w:pPr>
        <w:pStyle w:val="8"/>
        <w:ind w:firstLine="480"/>
        <w:rPr>
          <w:rFonts w:hAnsi="宋体" w:cs="宋体"/>
          <w:szCs w:val="24"/>
        </w:rPr>
      </w:pPr>
    </w:p>
    <w:p>
      <w:pPr>
        <w:pStyle w:val="8"/>
        <w:ind w:firstLine="0"/>
        <w:rPr>
          <w:rFonts w:hAnsi="宋体" w:cs="宋体"/>
          <w:szCs w:val="24"/>
        </w:rPr>
      </w:pPr>
    </w:p>
    <w:p>
      <w:pPr>
        <w:spacing w:line="360" w:lineRule="auto"/>
        <w:jc w:val="left"/>
        <w:rPr>
          <w:rFonts w:ascii="宋体" w:hAnsi="宋体" w:cs="宋体"/>
          <w:sz w:val="24"/>
        </w:rPr>
      </w:pPr>
      <w:r>
        <w:rPr>
          <w:rFonts w:hint="eastAsia" w:ascii="宋体" w:hAnsi="宋体" w:cs="宋体"/>
          <w:sz w:val="24"/>
        </w:rPr>
        <w:t>投标人名称（公章）：</w:t>
      </w:r>
    </w:p>
    <w:p>
      <w:pPr>
        <w:spacing w:line="360" w:lineRule="auto"/>
        <w:jc w:val="left"/>
        <w:rPr>
          <w:rFonts w:ascii="宋体" w:hAnsi="宋体" w:cs="宋体"/>
          <w:sz w:val="24"/>
        </w:rPr>
      </w:pPr>
      <w:r>
        <w:rPr>
          <w:rFonts w:hint="eastAsia" w:ascii="宋体" w:hAnsi="宋体" w:cs="宋体"/>
          <w:sz w:val="24"/>
        </w:rPr>
        <w:t>法定代表人（负责人）/被授权人（</w:t>
      </w:r>
      <w:r>
        <w:rPr>
          <w:rFonts w:hint="eastAsia" w:ascii="宋体" w:hAnsi="宋体" w:cs="宋体"/>
          <w:spacing w:val="4"/>
          <w:sz w:val="24"/>
        </w:rPr>
        <w:t>签字或盖章</w:t>
      </w:r>
      <w:r>
        <w:rPr>
          <w:rFonts w:hint="eastAsia" w:ascii="宋体" w:hAnsi="宋体" w:cs="宋体"/>
          <w:sz w:val="24"/>
        </w:rPr>
        <w:t>）：</w:t>
      </w:r>
    </w:p>
    <w:p>
      <w:pPr>
        <w:pStyle w:val="16"/>
        <w:spacing w:line="360" w:lineRule="auto"/>
        <w:ind w:firstLine="480" w:firstLineChars="200"/>
        <w:rPr>
          <w:rFonts w:hAnsi="宋体" w:cs="宋体"/>
          <w:sz w:val="24"/>
        </w:rPr>
      </w:pPr>
      <w:r>
        <w:rPr>
          <w:rFonts w:hint="eastAsia" w:hAnsi="宋体" w:cs="宋体"/>
          <w:sz w:val="24"/>
          <w:szCs w:val="24"/>
        </w:rPr>
        <w:t>日    期：</w:t>
      </w:r>
    </w:p>
    <w:p>
      <w:pPr>
        <w:pStyle w:val="16"/>
        <w:spacing w:line="360" w:lineRule="auto"/>
        <w:ind w:firstLine="480" w:firstLineChars="200"/>
        <w:rPr>
          <w:rFonts w:hAnsi="宋体" w:cs="宋体"/>
          <w:sz w:val="24"/>
        </w:rPr>
        <w:sectPr>
          <w:pgSz w:w="11906" w:h="16838"/>
          <w:pgMar w:top="1418" w:right="1418" w:bottom="1418" w:left="1418" w:header="1077" w:footer="992" w:gutter="0"/>
          <w:cols w:space="720" w:num="1"/>
          <w:docGrid w:type="linesAndChars" w:linePitch="312" w:charSpace="0"/>
        </w:sectPr>
      </w:pPr>
      <w:r>
        <w:rPr>
          <w:rFonts w:hint="eastAsia" w:hAnsi="宋体" w:cs="宋体"/>
          <w:sz w:val="24"/>
        </w:rPr>
        <w:t xml:space="preserve">  </w:t>
      </w:r>
    </w:p>
    <w:p>
      <w:pPr>
        <w:rPr>
          <w:rFonts w:ascii="宋体" w:hAnsi="宋体" w:cs="宋体"/>
        </w:rPr>
      </w:pPr>
    </w:p>
    <w:p>
      <w:pPr>
        <w:jc w:val="center"/>
        <w:outlineLvl w:val="1"/>
        <w:rPr>
          <w:rFonts w:ascii="宋体" w:hAnsi="宋体" w:cs="宋体"/>
          <w:b/>
          <w:kern w:val="0"/>
          <w:sz w:val="24"/>
          <w:szCs w:val="20"/>
        </w:rPr>
      </w:pPr>
      <w:bookmarkStart w:id="325" w:name="_Toc45196835"/>
      <w:r>
        <w:rPr>
          <w:rFonts w:hint="eastAsia" w:ascii="宋体" w:hAnsi="宋体" w:cs="宋体"/>
          <w:b/>
          <w:kern w:val="0"/>
          <w:sz w:val="24"/>
          <w:szCs w:val="20"/>
        </w:rPr>
        <w:t>三、分项报价表</w:t>
      </w:r>
    </w:p>
    <w:p>
      <w:pPr>
        <w:spacing w:line="360" w:lineRule="auto"/>
        <w:jc w:val="left"/>
        <w:rPr>
          <w:rFonts w:ascii="宋体" w:hAnsi="宋体" w:cs="宋体"/>
          <w:b/>
          <w:sz w:val="24"/>
        </w:rPr>
      </w:pPr>
      <w:r>
        <w:rPr>
          <w:rFonts w:hint="eastAsia" w:ascii="宋体" w:hAnsi="宋体" w:cs="宋体"/>
          <w:b/>
          <w:sz w:val="24"/>
        </w:rPr>
        <w:t>包号：第</w:t>
      </w:r>
      <w:r>
        <w:rPr>
          <w:rFonts w:hint="eastAsia" w:ascii="宋体" w:hAnsi="宋体" w:cs="宋体"/>
          <w:b/>
          <w:sz w:val="24"/>
          <w:u w:val="single"/>
        </w:rPr>
        <w:t xml:space="preserve"> （  ） </w:t>
      </w:r>
      <w:r>
        <w:rPr>
          <w:rFonts w:hint="eastAsia" w:ascii="宋体" w:hAnsi="宋体" w:cs="宋体"/>
          <w:b/>
          <w:sz w:val="24"/>
        </w:rPr>
        <w:t>包                                             单位：</w:t>
      </w:r>
      <w:r>
        <w:rPr>
          <w:rFonts w:hint="eastAsia" w:ascii="宋体" w:hAnsi="宋体" w:cs="宋体"/>
          <w:spacing w:val="4"/>
          <w:sz w:val="24"/>
        </w:rPr>
        <w:t>元</w:t>
      </w:r>
    </w:p>
    <w:p>
      <w:pPr>
        <w:pStyle w:val="12"/>
        <w:rPr>
          <w:rFonts w:cs="宋体"/>
        </w:rPr>
      </w:pPr>
      <w:r>
        <w:rPr>
          <w:rFonts w:hint="eastAsia" w:cs="宋体"/>
        </w:rPr>
        <w:t>项目编号：                       项目名称：</w:t>
      </w:r>
    </w:p>
    <w:tbl>
      <w:tblPr>
        <w:tblStyle w:val="35"/>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142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产品</w:t>
            </w:r>
          </w:p>
          <w:p>
            <w:pPr>
              <w:adjustRightInd w:val="0"/>
              <w:snapToGrid w:val="0"/>
              <w:spacing w:line="360" w:lineRule="auto"/>
              <w:jc w:val="center"/>
              <w:rPr>
                <w:rFonts w:ascii="宋体" w:hAnsi="宋体" w:cs="宋体"/>
                <w:sz w:val="24"/>
              </w:rPr>
            </w:pPr>
            <w:r>
              <w:rPr>
                <w:rFonts w:hint="eastAsia" w:ascii="宋体" w:hAnsi="宋体" w:cs="宋体"/>
                <w:sz w:val="24"/>
              </w:rPr>
              <w:t>名称</w:t>
            </w:r>
          </w:p>
        </w:tc>
        <w:tc>
          <w:tcPr>
            <w:tcW w:w="118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规格</w:t>
            </w:r>
          </w:p>
          <w:p>
            <w:pPr>
              <w:adjustRightInd w:val="0"/>
              <w:snapToGrid w:val="0"/>
              <w:spacing w:line="360" w:lineRule="auto"/>
              <w:jc w:val="center"/>
              <w:rPr>
                <w:rFonts w:ascii="宋体" w:hAnsi="宋体" w:cs="宋体"/>
                <w:sz w:val="24"/>
              </w:rPr>
            </w:pPr>
            <w:r>
              <w:rPr>
                <w:rFonts w:hint="eastAsia" w:ascii="宋体" w:hAnsi="宋体" w:cs="宋体"/>
                <w:sz w:val="24"/>
              </w:rPr>
              <w:t>型号</w:t>
            </w:r>
          </w:p>
        </w:tc>
        <w:tc>
          <w:tcPr>
            <w:tcW w:w="1560"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制造</w:t>
            </w:r>
          </w:p>
          <w:p>
            <w:pPr>
              <w:adjustRightInd w:val="0"/>
              <w:snapToGrid w:val="0"/>
              <w:spacing w:line="360" w:lineRule="auto"/>
              <w:jc w:val="center"/>
              <w:rPr>
                <w:rFonts w:ascii="宋体" w:hAnsi="宋体" w:cs="宋体"/>
                <w:sz w:val="24"/>
              </w:rPr>
            </w:pPr>
            <w:r>
              <w:rPr>
                <w:rFonts w:hint="eastAsia" w:ascii="宋体" w:hAnsi="宋体" w:cs="宋体"/>
                <w:sz w:val="24"/>
              </w:rPr>
              <w:t>厂家</w:t>
            </w:r>
          </w:p>
        </w:tc>
        <w:tc>
          <w:tcPr>
            <w:tcW w:w="992"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数量</w:t>
            </w:r>
          </w:p>
        </w:tc>
        <w:tc>
          <w:tcPr>
            <w:tcW w:w="1276"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单价</w:t>
            </w:r>
          </w:p>
        </w:tc>
        <w:tc>
          <w:tcPr>
            <w:tcW w:w="1134"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小计</w:t>
            </w:r>
          </w:p>
        </w:tc>
        <w:tc>
          <w:tcPr>
            <w:tcW w:w="70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宋体" w:hAnsi="宋体" w:cs="宋体"/>
                <w:sz w:val="24"/>
              </w:rPr>
            </w:pPr>
          </w:p>
        </w:tc>
        <w:tc>
          <w:tcPr>
            <w:tcW w:w="1428" w:type="dxa"/>
            <w:vAlign w:val="center"/>
          </w:tcPr>
          <w:p>
            <w:pPr>
              <w:adjustRightInd w:val="0"/>
              <w:snapToGrid w:val="0"/>
              <w:spacing w:line="360" w:lineRule="auto"/>
              <w:rPr>
                <w:rFonts w:ascii="宋体" w:hAnsi="宋体" w:cs="宋体"/>
                <w:sz w:val="24"/>
              </w:rPr>
            </w:pPr>
          </w:p>
        </w:tc>
        <w:tc>
          <w:tcPr>
            <w:tcW w:w="1188" w:type="dxa"/>
          </w:tcPr>
          <w:p>
            <w:pPr>
              <w:adjustRightInd w:val="0"/>
              <w:snapToGrid w:val="0"/>
              <w:spacing w:line="360" w:lineRule="auto"/>
              <w:rPr>
                <w:rFonts w:ascii="宋体" w:hAnsi="宋体" w:cs="宋体"/>
                <w:sz w:val="24"/>
              </w:rPr>
            </w:pPr>
          </w:p>
        </w:tc>
        <w:tc>
          <w:tcPr>
            <w:tcW w:w="1560" w:type="dxa"/>
          </w:tcPr>
          <w:p>
            <w:pPr>
              <w:adjustRightInd w:val="0"/>
              <w:snapToGrid w:val="0"/>
              <w:spacing w:line="360" w:lineRule="auto"/>
              <w:rPr>
                <w:rFonts w:ascii="宋体" w:hAnsi="宋体" w:cs="宋体"/>
                <w:sz w:val="24"/>
              </w:rPr>
            </w:pPr>
          </w:p>
        </w:tc>
        <w:tc>
          <w:tcPr>
            <w:tcW w:w="992" w:type="dxa"/>
            <w:vAlign w:val="center"/>
          </w:tcPr>
          <w:p>
            <w:pPr>
              <w:adjustRightInd w:val="0"/>
              <w:snapToGrid w:val="0"/>
              <w:spacing w:line="360" w:lineRule="auto"/>
              <w:rPr>
                <w:rFonts w:ascii="宋体" w:hAnsi="宋体" w:cs="宋体"/>
                <w:sz w:val="24"/>
              </w:rPr>
            </w:pPr>
          </w:p>
        </w:tc>
        <w:tc>
          <w:tcPr>
            <w:tcW w:w="1276" w:type="dxa"/>
            <w:vAlign w:val="center"/>
          </w:tcPr>
          <w:p>
            <w:pPr>
              <w:adjustRightInd w:val="0"/>
              <w:snapToGrid w:val="0"/>
              <w:spacing w:line="360" w:lineRule="auto"/>
              <w:rPr>
                <w:rFonts w:ascii="宋体" w:hAnsi="宋体" w:cs="宋体"/>
                <w:sz w:val="24"/>
              </w:rPr>
            </w:pPr>
          </w:p>
        </w:tc>
        <w:tc>
          <w:tcPr>
            <w:tcW w:w="1134" w:type="dxa"/>
            <w:vAlign w:val="center"/>
          </w:tcPr>
          <w:p>
            <w:pPr>
              <w:adjustRightInd w:val="0"/>
              <w:snapToGrid w:val="0"/>
              <w:spacing w:line="360" w:lineRule="auto"/>
              <w:rPr>
                <w:rFonts w:ascii="宋体" w:hAnsi="宋体" w:cs="宋体"/>
                <w:sz w:val="24"/>
              </w:rPr>
            </w:pPr>
          </w:p>
        </w:tc>
        <w:tc>
          <w:tcPr>
            <w:tcW w:w="708" w:type="dxa"/>
            <w:vAlign w:val="center"/>
          </w:tcPr>
          <w:p>
            <w:pPr>
              <w:adjustRightInd w:val="0"/>
              <w:snapToGrid w:val="0"/>
              <w:spacing w:line="360" w:lineRule="auto"/>
              <w:rPr>
                <w:rFonts w:ascii="宋体" w:hAnsi="宋体" w:cs="宋体"/>
                <w:sz w:val="24"/>
              </w:rPr>
            </w:pPr>
          </w:p>
        </w:tc>
      </w:tr>
    </w:tbl>
    <w:p>
      <w:pPr>
        <w:adjustRightInd w:val="0"/>
        <w:snapToGrid w:val="0"/>
        <w:spacing w:line="360" w:lineRule="auto"/>
        <w:rPr>
          <w:rFonts w:ascii="宋体" w:hAnsi="宋体" w:cs="宋体"/>
          <w:sz w:val="24"/>
        </w:rPr>
      </w:pPr>
      <w:r>
        <w:rPr>
          <w:rFonts w:hint="eastAsia" w:ascii="宋体" w:hAnsi="宋体" w:cs="宋体"/>
          <w:sz w:val="24"/>
        </w:rPr>
        <w:t>投标人                           法定代表人或授权代表</w:t>
      </w:r>
    </w:p>
    <w:p>
      <w:pPr>
        <w:adjustRightInd w:val="0"/>
        <w:snapToGrid w:val="0"/>
        <w:spacing w:line="360" w:lineRule="auto"/>
        <w:ind w:left="-525" w:leftChars="-250" w:firstLine="720" w:firstLineChars="300"/>
        <w:rPr>
          <w:rFonts w:ascii="宋体" w:hAnsi="宋体" w:cs="宋体"/>
          <w:b/>
          <w:bCs/>
          <w:sz w:val="24"/>
        </w:rPr>
      </w:pPr>
      <w:r>
        <w:rPr>
          <w:rFonts w:hint="eastAsia" w:ascii="宋体" w:hAnsi="宋体" w:cs="宋体"/>
          <w:sz w:val="24"/>
        </w:rPr>
        <w:t>（公章）：                          （签字或盖章）：</w:t>
      </w:r>
    </w:p>
    <w:p>
      <w:pPr>
        <w:pStyle w:val="21"/>
        <w:rPr>
          <w:rFonts w:ascii="宋体" w:hAnsi="宋体" w:cs="宋体"/>
        </w:rPr>
      </w:pPr>
    </w:p>
    <w:p>
      <w:pPr>
        <w:tabs>
          <w:tab w:val="center" w:pos="4535"/>
          <w:tab w:val="left" w:pos="6521"/>
        </w:tabs>
        <w:autoSpaceDE w:val="0"/>
        <w:autoSpaceDN w:val="0"/>
        <w:adjustRightInd w:val="0"/>
        <w:snapToGrid w:val="0"/>
        <w:spacing w:line="360" w:lineRule="auto"/>
        <w:rPr>
          <w:rFonts w:ascii="宋体" w:hAnsi="宋体" w:cs="宋体"/>
          <w:bCs/>
          <w:sz w:val="24"/>
        </w:rPr>
      </w:pPr>
      <w:r>
        <w:rPr>
          <w:rFonts w:hint="eastAsia" w:ascii="宋体" w:hAnsi="宋体" w:cs="宋体"/>
          <w:bCs/>
          <w:sz w:val="24"/>
        </w:rPr>
        <w:t>注：以上包括完成一个规定计量单位项目所需的人工费、材料费、机械费、企业管理费、利润、运输费以及风险费用、规费、税金等所有费用；</w:t>
      </w:r>
    </w:p>
    <w:p>
      <w:pPr>
        <w:tabs>
          <w:tab w:val="center" w:pos="4535"/>
          <w:tab w:val="left" w:pos="6521"/>
        </w:tabs>
        <w:autoSpaceDE w:val="0"/>
        <w:autoSpaceDN w:val="0"/>
        <w:adjustRightInd w:val="0"/>
        <w:snapToGrid w:val="0"/>
        <w:spacing w:line="360" w:lineRule="auto"/>
        <w:rPr>
          <w:rFonts w:ascii="宋体" w:hAnsi="宋体" w:cs="宋体"/>
          <w:bCs/>
          <w:sz w:val="24"/>
        </w:rPr>
      </w:pPr>
    </w:p>
    <w:p>
      <w:pPr>
        <w:tabs>
          <w:tab w:val="center" w:pos="4535"/>
          <w:tab w:val="left" w:pos="6521"/>
        </w:tabs>
        <w:autoSpaceDE w:val="0"/>
        <w:autoSpaceDN w:val="0"/>
        <w:adjustRightInd w:val="0"/>
        <w:snapToGrid w:val="0"/>
        <w:spacing w:line="360" w:lineRule="auto"/>
        <w:rPr>
          <w:rFonts w:ascii="宋体" w:hAnsi="宋体" w:cs="宋体"/>
          <w:sz w:val="24"/>
        </w:rPr>
      </w:pPr>
      <w:r>
        <w:rPr>
          <w:rFonts w:hint="eastAsia" w:ascii="宋体" w:hAnsi="宋体" w:cs="宋体"/>
          <w:sz w:val="24"/>
        </w:rPr>
        <w:t>投标分项报价表附件：</w:t>
      </w:r>
    </w:p>
    <w:p>
      <w:pPr>
        <w:tabs>
          <w:tab w:val="center" w:pos="4535"/>
          <w:tab w:val="left" w:pos="6521"/>
        </w:tabs>
        <w:autoSpaceDE w:val="0"/>
        <w:autoSpaceDN w:val="0"/>
        <w:adjustRightInd w:val="0"/>
        <w:snapToGrid w:val="0"/>
        <w:spacing w:line="360" w:lineRule="auto"/>
        <w:rPr>
          <w:rFonts w:ascii="宋体" w:hAnsi="宋体" w:cs="宋体"/>
          <w:sz w:val="24"/>
        </w:rPr>
      </w:pPr>
    </w:p>
    <w:p>
      <w:pPr>
        <w:jc w:val="center"/>
        <w:rPr>
          <w:rFonts w:ascii="宋体" w:hAnsi="宋体" w:cs="宋体"/>
          <w:sz w:val="32"/>
          <w:szCs w:val="32"/>
          <w:lang w:val="zh-CN"/>
        </w:rPr>
      </w:pPr>
      <w:r>
        <w:rPr>
          <w:rFonts w:hint="eastAsia" w:ascii="宋体" w:hAnsi="宋体" w:cs="宋体"/>
          <w:sz w:val="32"/>
          <w:szCs w:val="32"/>
          <w:lang w:val="zh-CN"/>
        </w:rPr>
        <w:t>节能产品、环境标志产品明细表</w:t>
      </w:r>
    </w:p>
    <w:p>
      <w:pPr>
        <w:pStyle w:val="12"/>
        <w:rPr>
          <w:rFonts w:cs="宋体"/>
          <w:u w:val="single"/>
        </w:rPr>
      </w:pPr>
      <w:r>
        <w:rPr>
          <w:rFonts w:hint="eastAsia" w:cs="宋体"/>
        </w:rPr>
        <w:t>项目编号：</w:t>
      </w:r>
    </w:p>
    <w:p>
      <w:pPr>
        <w:pStyle w:val="8"/>
        <w:ind w:firstLine="0"/>
        <w:rPr>
          <w:rFonts w:hAnsi="宋体" w:cs="宋体"/>
        </w:rPr>
      </w:pPr>
      <w:r>
        <w:rPr>
          <w:rFonts w:hint="eastAsia" w:hAnsi="宋体" w:cs="宋体"/>
        </w:rPr>
        <w:t>项目名称：</w:t>
      </w:r>
    </w:p>
    <w:tbl>
      <w:tblPr>
        <w:tblStyle w:val="35"/>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序</w:t>
            </w:r>
          </w:p>
          <w:p>
            <w:pPr>
              <w:autoSpaceDE w:val="0"/>
              <w:autoSpaceDN w:val="0"/>
              <w:adjustRightInd w:val="0"/>
              <w:snapToGrid w:val="0"/>
              <w:jc w:val="center"/>
              <w:rPr>
                <w:rFonts w:ascii="宋体" w:hAnsi="宋体" w:cs="宋体"/>
                <w:sz w:val="24"/>
              </w:rPr>
            </w:pPr>
            <w:r>
              <w:rPr>
                <w:rFonts w:hint="eastAsia" w:ascii="宋体" w:hAnsi="宋体" w:cs="宋体"/>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产品</w:t>
            </w:r>
          </w:p>
          <w:p>
            <w:pPr>
              <w:autoSpaceDE w:val="0"/>
              <w:autoSpaceDN w:val="0"/>
              <w:adjustRightInd w:val="0"/>
              <w:snapToGrid w:val="0"/>
              <w:jc w:val="center"/>
              <w:rPr>
                <w:rFonts w:ascii="宋体" w:hAnsi="宋体" w:cs="宋体"/>
                <w:sz w:val="24"/>
              </w:rPr>
            </w:pPr>
            <w:r>
              <w:rPr>
                <w:rFonts w:hint="eastAsia" w:ascii="宋体" w:hAnsi="宋体" w:cs="宋体"/>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制造</w:t>
            </w:r>
          </w:p>
          <w:p>
            <w:pPr>
              <w:autoSpaceDE w:val="0"/>
              <w:autoSpaceDN w:val="0"/>
              <w:adjustRightInd w:val="0"/>
              <w:snapToGrid w:val="0"/>
              <w:jc w:val="center"/>
              <w:rPr>
                <w:rFonts w:ascii="宋体" w:hAnsi="宋体" w:cs="宋体"/>
                <w:sz w:val="24"/>
              </w:rPr>
            </w:pPr>
            <w:r>
              <w:rPr>
                <w:rFonts w:hint="eastAsia" w:ascii="宋体" w:hAnsi="宋体" w:cs="宋体"/>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规格</w:t>
            </w:r>
          </w:p>
          <w:p>
            <w:pPr>
              <w:autoSpaceDE w:val="0"/>
              <w:autoSpaceDN w:val="0"/>
              <w:adjustRightInd w:val="0"/>
              <w:snapToGrid w:val="0"/>
              <w:jc w:val="center"/>
              <w:rPr>
                <w:rFonts w:ascii="宋体" w:hAnsi="宋体" w:cs="宋体"/>
                <w:sz w:val="24"/>
              </w:rPr>
            </w:pPr>
            <w:r>
              <w:rPr>
                <w:rFonts w:hint="eastAsia" w:ascii="宋体" w:hAnsi="宋体" w:cs="宋体"/>
                <w:sz w:val="24"/>
                <w:lang w:val="zh-CN"/>
              </w:rPr>
              <w:t>型号</w:t>
            </w:r>
          </w:p>
        </w:tc>
        <w:tc>
          <w:tcPr>
            <w:tcW w:w="9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类别</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认证证书</w:t>
            </w:r>
          </w:p>
          <w:p>
            <w:pPr>
              <w:autoSpaceDE w:val="0"/>
              <w:autoSpaceDN w:val="0"/>
              <w:adjustRightInd w:val="0"/>
              <w:snapToGrid w:val="0"/>
              <w:jc w:val="center"/>
              <w:rPr>
                <w:rFonts w:ascii="宋体" w:hAnsi="宋体" w:cs="宋体"/>
                <w:sz w:val="24"/>
              </w:rPr>
            </w:pPr>
            <w:r>
              <w:rPr>
                <w:rFonts w:hint="eastAsia" w:ascii="宋体" w:hAnsi="宋体" w:cs="宋体"/>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数</w:t>
            </w:r>
          </w:p>
          <w:p>
            <w:pPr>
              <w:autoSpaceDE w:val="0"/>
              <w:autoSpaceDN w:val="0"/>
              <w:adjustRightInd w:val="0"/>
              <w:snapToGrid w:val="0"/>
              <w:jc w:val="center"/>
              <w:rPr>
                <w:rFonts w:ascii="宋体" w:hAnsi="宋体" w:cs="宋体"/>
                <w:sz w:val="24"/>
              </w:rPr>
            </w:pPr>
            <w:r>
              <w:rPr>
                <w:rFonts w:hint="eastAsia" w:ascii="宋体" w:hAnsi="宋体" w:cs="宋体"/>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单</w:t>
            </w:r>
          </w:p>
          <w:p>
            <w:pPr>
              <w:autoSpaceDE w:val="0"/>
              <w:autoSpaceDN w:val="0"/>
              <w:adjustRightInd w:val="0"/>
              <w:snapToGrid w:val="0"/>
              <w:jc w:val="center"/>
              <w:rPr>
                <w:rFonts w:ascii="宋体" w:hAnsi="宋体" w:cs="宋体"/>
                <w:sz w:val="24"/>
              </w:rPr>
            </w:pPr>
            <w:r>
              <w:rPr>
                <w:rFonts w:hint="eastAsia" w:ascii="宋体" w:hAnsi="宋体" w:cs="宋体"/>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总</w:t>
            </w:r>
          </w:p>
          <w:p>
            <w:pPr>
              <w:autoSpaceDE w:val="0"/>
              <w:autoSpaceDN w:val="0"/>
              <w:adjustRightInd w:val="0"/>
              <w:snapToGrid w:val="0"/>
              <w:jc w:val="center"/>
              <w:rPr>
                <w:rFonts w:ascii="宋体" w:hAnsi="宋体" w:cs="宋体"/>
                <w:sz w:val="24"/>
              </w:rPr>
            </w:pPr>
            <w:r>
              <w:rPr>
                <w:rFonts w:hint="eastAsia" w:ascii="宋体" w:hAnsi="宋体" w:cs="宋体"/>
                <w:sz w:val="24"/>
                <w:lang w:val="zh-CN"/>
              </w:rPr>
              <w:t>价</w:t>
            </w: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r>
              <w:rPr>
                <w:rFonts w:hint="eastAsia" w:ascii="宋体" w:hAnsi="宋体" w:cs="宋体"/>
                <w:sz w:val="24"/>
              </w:rPr>
              <w:t>（1）强制采购类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left"/>
              <w:rPr>
                <w:rFonts w:ascii="宋体" w:hAnsi="宋体" w:cs="宋体"/>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left"/>
              <w:rPr>
                <w:rFonts w:ascii="宋体" w:hAnsi="宋体" w:cs="宋体"/>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left"/>
              <w:rPr>
                <w:rFonts w:ascii="宋体" w:hAnsi="宋体" w:cs="宋体"/>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p>
        </w:tc>
      </w:tr>
      <w:tr>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cs="宋体"/>
                <w:sz w:val="24"/>
              </w:rPr>
            </w:pPr>
            <w:r>
              <w:rPr>
                <w:rFonts w:hint="eastAsia" w:ascii="宋体" w:hAnsi="宋体" w:cs="宋体"/>
                <w:sz w:val="24"/>
              </w:rPr>
              <w:t>（2）优先采购类</w:t>
            </w: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合计（人民币）</w:t>
            </w:r>
          </w:p>
        </w:tc>
        <w:tc>
          <w:tcPr>
            <w:tcW w:w="361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rPr>
            </w:pPr>
          </w:p>
        </w:tc>
      </w:tr>
      <w:tr>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占总价的百分比（%）</w:t>
            </w:r>
          </w:p>
        </w:tc>
        <w:tc>
          <w:tcPr>
            <w:tcW w:w="361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rPr>
            </w:pPr>
          </w:p>
        </w:tc>
      </w:tr>
    </w:tbl>
    <w:p>
      <w:pPr>
        <w:adjustRightInd w:val="0"/>
        <w:snapToGrid w:val="0"/>
        <w:jc w:val="left"/>
        <w:rPr>
          <w:rFonts w:ascii="宋体" w:hAnsi="宋体" w:cs="宋体"/>
          <w:szCs w:val="21"/>
        </w:rPr>
      </w:pPr>
      <w:r>
        <w:rPr>
          <w:rFonts w:hint="eastAsia" w:ascii="宋体" w:hAnsi="宋体" w:cs="宋体"/>
          <w:szCs w:val="21"/>
        </w:rPr>
        <w:t>说明：</w:t>
      </w:r>
    </w:p>
    <w:p>
      <w:pPr>
        <w:adjustRightInd w:val="0"/>
        <w:snapToGrid w:val="0"/>
        <w:ind w:firstLine="420" w:firstLineChars="200"/>
        <w:jc w:val="left"/>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如投标产品为</w:t>
      </w:r>
      <w:r>
        <w:rPr>
          <w:rFonts w:hint="eastAsia" w:ascii="宋体" w:hAnsi="宋体" w:cs="宋体"/>
          <w:szCs w:val="21"/>
        </w:rPr>
        <w:t>品目清单中的</w:t>
      </w:r>
      <w:r>
        <w:rPr>
          <w:rFonts w:hint="eastAsia" w:ascii="宋体" w:hAnsi="宋体" w:cs="宋体"/>
          <w:szCs w:val="21"/>
          <w:lang w:val="zh-CN"/>
        </w:rPr>
        <w:t>节能产品、环境标志产品，须按格式逐项填写，并附相关证明，否则评审时不予计分。</w:t>
      </w:r>
    </w:p>
    <w:p>
      <w:pPr>
        <w:numPr>
          <w:ilvl w:val="0"/>
          <w:numId w:val="12"/>
        </w:numPr>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类别填写：节能产品或环境标志产品。</w:t>
      </w:r>
    </w:p>
    <w:p>
      <w:pPr>
        <w:tabs>
          <w:tab w:val="center" w:pos="4153"/>
          <w:tab w:val="right" w:pos="8306"/>
        </w:tabs>
        <w:adjustRightInd w:val="0"/>
        <w:snapToGrid w:val="0"/>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若所投产品为政府强制采购的节能产品，需提供响应产品经国家确定的认证机构出具的、处于有效期内的节能产品认证证书。</w:t>
      </w:r>
      <w:r>
        <w:rPr>
          <w:rFonts w:hint="eastAsia" w:ascii="宋体" w:hAnsi="宋体" w:cs="宋体"/>
          <w:szCs w:val="21"/>
        </w:rPr>
        <w:t>强制类产品</w:t>
      </w:r>
      <w:r>
        <w:rPr>
          <w:rFonts w:hint="eastAsia" w:ascii="宋体" w:hAnsi="宋体" w:cs="宋体"/>
          <w:szCs w:val="21"/>
          <w:lang w:val="zh-CN"/>
        </w:rPr>
        <w:t>具体品目详见《关于印发节能产品政府采购品目清单的通知》（财库[2019]19号文）</w:t>
      </w:r>
      <w:r>
        <w:rPr>
          <w:rFonts w:hint="eastAsia" w:ascii="宋体" w:hAnsi="宋体" w:cs="宋体"/>
          <w:szCs w:val="21"/>
        </w:rPr>
        <w:t>。</w:t>
      </w:r>
    </w:p>
    <w:p>
      <w:pPr>
        <w:autoSpaceDE w:val="0"/>
        <w:autoSpaceDN w:val="0"/>
        <w:adjustRightInd w:val="0"/>
        <w:snapToGrid w:val="0"/>
        <w:spacing w:line="360" w:lineRule="auto"/>
        <w:ind w:firstLine="1920" w:firstLineChars="800"/>
        <w:rPr>
          <w:rFonts w:ascii="宋体" w:hAnsi="宋体" w:cs="宋体"/>
          <w:sz w:val="24"/>
          <w:u w:val="single"/>
        </w:rPr>
      </w:pPr>
    </w:p>
    <w:p>
      <w:pPr>
        <w:spacing w:line="360" w:lineRule="auto"/>
        <w:ind w:firstLine="1920" w:firstLineChars="800"/>
        <w:rPr>
          <w:rFonts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spacing w:line="360" w:lineRule="auto"/>
        <w:ind w:firstLine="1920" w:firstLineChars="800"/>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pPr>
        <w:tabs>
          <w:tab w:val="center" w:pos="4535"/>
          <w:tab w:val="left" w:pos="6521"/>
        </w:tabs>
        <w:autoSpaceDE w:val="0"/>
        <w:autoSpaceDN w:val="0"/>
        <w:adjustRightInd w:val="0"/>
        <w:snapToGrid w:val="0"/>
        <w:spacing w:line="360" w:lineRule="auto"/>
        <w:ind w:firstLine="1920" w:firstLineChars="800"/>
        <w:rPr>
          <w:rFonts w:ascii="宋体" w:hAnsi="宋体" w:cs="宋体"/>
          <w:sz w:val="32"/>
          <w:u w:val="single"/>
        </w:rPr>
      </w:pPr>
      <w:r>
        <w:rPr>
          <w:rFonts w:hint="eastAsia" w:ascii="宋体" w:hAnsi="宋体" w:cs="宋体"/>
          <w:sz w:val="24"/>
        </w:rPr>
        <w:t>日    期：</w:t>
      </w:r>
      <w:r>
        <w:rPr>
          <w:rFonts w:hint="eastAsia" w:ascii="宋体" w:hAnsi="宋体" w:cs="宋体"/>
          <w:sz w:val="32"/>
          <w:u w:val="single"/>
        </w:rPr>
        <w:t xml:space="preserve">                      </w:t>
      </w:r>
    </w:p>
    <w:p>
      <w:pPr>
        <w:spacing w:line="360" w:lineRule="auto"/>
        <w:rPr>
          <w:rFonts w:ascii="宋体" w:hAnsi="宋体" w:cs="宋体"/>
          <w:bCs/>
          <w:sz w:val="24"/>
        </w:rPr>
      </w:pPr>
      <w:r>
        <w:rPr>
          <w:rFonts w:hint="eastAsia" w:ascii="宋体" w:hAnsi="宋体" w:cs="宋体"/>
        </w:rPr>
        <w:br w:type="page"/>
      </w:r>
    </w:p>
    <w:p>
      <w:pPr>
        <w:rPr>
          <w:rFonts w:ascii="宋体" w:hAnsi="宋体" w:cs="宋体"/>
        </w:rPr>
      </w:pPr>
    </w:p>
    <w:p>
      <w:pPr>
        <w:pStyle w:val="4"/>
        <w:spacing w:before="0" w:line="360" w:lineRule="auto"/>
        <w:rPr>
          <w:rFonts w:ascii="宋体" w:hAnsi="宋体" w:eastAsia="宋体" w:cs="宋体"/>
          <w:sz w:val="24"/>
        </w:rPr>
      </w:pPr>
      <w:r>
        <w:rPr>
          <w:rFonts w:hint="eastAsia" w:ascii="宋体" w:hAnsi="宋体" w:eastAsia="宋体" w:cs="宋体"/>
          <w:sz w:val="24"/>
        </w:rPr>
        <w:t>四、技术偏离表</w:t>
      </w:r>
      <w:bookmarkEnd w:id="325"/>
      <w:r>
        <w:rPr>
          <w:rFonts w:hint="eastAsia" w:ascii="宋体" w:hAnsi="宋体" w:eastAsia="宋体" w:cs="宋体"/>
          <w:sz w:val="24"/>
        </w:rPr>
        <w:t>及商务条款偏离表</w:t>
      </w:r>
    </w:p>
    <w:p>
      <w:pPr>
        <w:pStyle w:val="16"/>
        <w:spacing w:line="360" w:lineRule="auto"/>
        <w:jc w:val="center"/>
        <w:rPr>
          <w:rFonts w:hAnsi="宋体" w:cs="宋体"/>
          <w:sz w:val="24"/>
        </w:rPr>
      </w:pPr>
      <w:r>
        <w:rPr>
          <w:rFonts w:hint="eastAsia" w:hAnsi="宋体" w:cs="宋体"/>
          <w:b/>
          <w:bCs/>
          <w:sz w:val="24"/>
        </w:rPr>
        <w:t>技术偏离表</w:t>
      </w:r>
    </w:p>
    <w:p>
      <w:pPr>
        <w:pStyle w:val="16"/>
        <w:spacing w:line="360" w:lineRule="auto"/>
        <w:ind w:firstLine="6960" w:firstLineChars="2900"/>
        <w:rPr>
          <w:rFonts w:hAnsi="宋体" w:cs="宋体"/>
          <w:sz w:val="24"/>
        </w:rPr>
      </w:pPr>
      <w:r>
        <w:rPr>
          <w:rFonts w:hint="eastAsia" w:hAnsi="宋体" w:cs="宋体"/>
          <w:sz w:val="24"/>
        </w:rPr>
        <w:t xml:space="preserve">包号: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72"/>
        <w:gridCol w:w="1328"/>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auto"/>
              <w:ind w:left="-31" w:leftChars="-15"/>
              <w:jc w:val="center"/>
              <w:rPr>
                <w:rFonts w:hAnsi="宋体" w:cs="宋体"/>
                <w:sz w:val="24"/>
              </w:rPr>
            </w:pPr>
            <w:r>
              <w:rPr>
                <w:rFonts w:hint="eastAsia" w:hAnsi="宋体" w:cs="宋体"/>
                <w:sz w:val="24"/>
              </w:rPr>
              <w:t>序号</w:t>
            </w:r>
          </w:p>
        </w:tc>
        <w:tc>
          <w:tcPr>
            <w:tcW w:w="2272" w:type="dxa"/>
            <w:vAlign w:val="center"/>
          </w:tcPr>
          <w:p>
            <w:pPr>
              <w:pStyle w:val="16"/>
              <w:spacing w:line="360" w:lineRule="auto"/>
              <w:ind w:left="-149" w:leftChars="-71"/>
              <w:jc w:val="center"/>
              <w:rPr>
                <w:rFonts w:hAnsi="宋体" w:cs="宋体"/>
                <w:sz w:val="24"/>
              </w:rPr>
            </w:pPr>
            <w:r>
              <w:rPr>
                <w:rFonts w:hint="eastAsia" w:hAnsi="宋体" w:cs="宋体"/>
                <w:sz w:val="24"/>
              </w:rPr>
              <w:t>产品名称</w:t>
            </w:r>
          </w:p>
        </w:tc>
        <w:tc>
          <w:tcPr>
            <w:tcW w:w="1328" w:type="dxa"/>
            <w:vAlign w:val="center"/>
          </w:tcPr>
          <w:p>
            <w:pPr>
              <w:pStyle w:val="16"/>
              <w:spacing w:line="360" w:lineRule="auto"/>
              <w:ind w:left="-107" w:leftChars="-51"/>
              <w:jc w:val="center"/>
              <w:rPr>
                <w:rFonts w:hAnsi="宋体" w:cs="宋体"/>
                <w:sz w:val="24"/>
              </w:rPr>
            </w:pPr>
            <w:r>
              <w:rPr>
                <w:rFonts w:hint="eastAsia" w:hAnsi="宋体" w:cs="宋体"/>
                <w:sz w:val="24"/>
              </w:rPr>
              <w:t>数量</w:t>
            </w:r>
          </w:p>
        </w:tc>
        <w:tc>
          <w:tcPr>
            <w:tcW w:w="1260" w:type="dxa"/>
            <w:vAlign w:val="center"/>
          </w:tcPr>
          <w:p>
            <w:pPr>
              <w:pStyle w:val="16"/>
              <w:spacing w:line="360" w:lineRule="auto"/>
              <w:ind w:left="-206" w:leftChars="-98" w:right="-166" w:rightChars="-79"/>
              <w:jc w:val="center"/>
              <w:rPr>
                <w:rFonts w:hAnsi="宋体" w:cs="宋体"/>
                <w:sz w:val="24"/>
              </w:rPr>
            </w:pPr>
            <w:r>
              <w:rPr>
                <w:rFonts w:hint="eastAsia" w:hAnsi="宋体" w:cs="宋体"/>
                <w:sz w:val="24"/>
              </w:rPr>
              <w:t>招标要求</w:t>
            </w:r>
          </w:p>
        </w:tc>
        <w:tc>
          <w:tcPr>
            <w:tcW w:w="1260" w:type="dxa"/>
            <w:vAlign w:val="center"/>
          </w:tcPr>
          <w:p>
            <w:pPr>
              <w:pStyle w:val="16"/>
              <w:spacing w:line="360" w:lineRule="auto"/>
              <w:ind w:left="-48" w:leftChars="-23"/>
              <w:jc w:val="center"/>
              <w:rPr>
                <w:rFonts w:hAnsi="宋体" w:cs="宋体"/>
                <w:sz w:val="24"/>
              </w:rPr>
            </w:pPr>
            <w:r>
              <w:rPr>
                <w:rFonts w:hint="eastAsia" w:hAnsi="宋体" w:cs="宋体"/>
                <w:sz w:val="24"/>
              </w:rPr>
              <w:t>投标响应</w:t>
            </w:r>
          </w:p>
        </w:tc>
        <w:tc>
          <w:tcPr>
            <w:tcW w:w="900" w:type="dxa"/>
            <w:vAlign w:val="center"/>
          </w:tcPr>
          <w:p>
            <w:pPr>
              <w:pStyle w:val="16"/>
              <w:spacing w:line="360" w:lineRule="auto"/>
              <w:ind w:left="-34" w:leftChars="-16"/>
              <w:jc w:val="center"/>
              <w:rPr>
                <w:rFonts w:hAnsi="宋体" w:cs="宋体"/>
                <w:sz w:val="24"/>
              </w:rPr>
            </w:pPr>
            <w:r>
              <w:rPr>
                <w:rFonts w:hint="eastAsia" w:hAnsi="宋体" w:cs="宋体"/>
                <w:sz w:val="24"/>
              </w:rPr>
              <w:t>偏离</w:t>
            </w:r>
          </w:p>
        </w:tc>
        <w:tc>
          <w:tcPr>
            <w:tcW w:w="900" w:type="dxa"/>
            <w:vAlign w:val="center"/>
          </w:tcPr>
          <w:p>
            <w:pPr>
              <w:pStyle w:val="16"/>
              <w:spacing w:line="360" w:lineRule="auto"/>
              <w:ind w:left="-82" w:leftChars="-39"/>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auto"/>
              <w:ind w:left="1080" w:leftChars="257" w:hanging="540"/>
              <w:rPr>
                <w:rFonts w:hAnsi="宋体" w:cs="宋体"/>
                <w:sz w:val="24"/>
              </w:rPr>
            </w:pPr>
          </w:p>
        </w:tc>
        <w:tc>
          <w:tcPr>
            <w:tcW w:w="2272" w:type="dxa"/>
          </w:tcPr>
          <w:p>
            <w:pPr>
              <w:pStyle w:val="16"/>
              <w:spacing w:line="360" w:lineRule="auto"/>
              <w:ind w:left="1080" w:leftChars="257" w:hanging="540"/>
              <w:rPr>
                <w:rFonts w:hAnsi="宋体" w:cs="宋体"/>
                <w:sz w:val="24"/>
              </w:rPr>
            </w:pPr>
          </w:p>
        </w:tc>
        <w:tc>
          <w:tcPr>
            <w:tcW w:w="1328"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126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c>
          <w:tcPr>
            <w:tcW w:w="900" w:type="dxa"/>
          </w:tcPr>
          <w:p>
            <w:pPr>
              <w:pStyle w:val="16"/>
              <w:spacing w:line="360" w:lineRule="auto"/>
              <w:ind w:left="1080" w:leftChars="257" w:hanging="540"/>
              <w:rPr>
                <w:rFonts w:hAnsi="宋体" w:cs="宋体"/>
                <w:sz w:val="24"/>
              </w:rPr>
            </w:pPr>
          </w:p>
        </w:tc>
      </w:tr>
    </w:tbl>
    <w:p>
      <w:pPr>
        <w:pStyle w:val="16"/>
        <w:spacing w:line="360" w:lineRule="auto"/>
        <w:ind w:left="1" w:leftChars="-95" w:hanging="200"/>
        <w:rPr>
          <w:rFonts w:hAnsi="宋体" w:cs="宋体"/>
          <w:szCs w:val="21"/>
        </w:rPr>
      </w:pPr>
    </w:p>
    <w:p>
      <w:pPr>
        <w:pStyle w:val="16"/>
        <w:spacing w:line="360" w:lineRule="auto"/>
        <w:ind w:left="1" w:leftChars="-95" w:hanging="200"/>
        <w:rPr>
          <w:rFonts w:hAnsi="宋体" w:cs="宋体"/>
          <w:b/>
          <w:bCs/>
          <w:sz w:val="22"/>
          <w:szCs w:val="22"/>
        </w:rPr>
      </w:pPr>
      <w:r>
        <w:rPr>
          <w:rFonts w:hint="eastAsia" w:hAnsi="宋体" w:cs="宋体"/>
          <w:b/>
          <w:bCs/>
          <w:sz w:val="22"/>
          <w:szCs w:val="22"/>
        </w:rPr>
        <w:t>注：1.本表只填写招标文件中与投标文件有偏离（包括正偏离和负偏离）的内容，必须一一对应填写，若无偏离可附此空表加盖单位公章。</w:t>
      </w:r>
    </w:p>
    <w:p>
      <w:pPr>
        <w:pStyle w:val="16"/>
        <w:spacing w:line="360" w:lineRule="auto"/>
        <w:ind w:left="1" w:leftChars="-95" w:hanging="200"/>
        <w:rPr>
          <w:rFonts w:hAnsi="宋体" w:cs="宋体"/>
          <w:b/>
          <w:bCs/>
          <w:sz w:val="22"/>
          <w:szCs w:val="22"/>
        </w:rPr>
      </w:pPr>
      <w:r>
        <w:rPr>
          <w:rFonts w:hint="eastAsia" w:hAnsi="宋体" w:cs="宋体"/>
          <w:b/>
          <w:bCs/>
          <w:sz w:val="22"/>
          <w:szCs w:val="22"/>
        </w:rPr>
        <w:t>2.投标人必须据实填写，不得虚假响应，否则将取消其投标或中标资格，并按有关规定进处罚。</w:t>
      </w:r>
    </w:p>
    <w:p>
      <w:pPr>
        <w:pStyle w:val="16"/>
        <w:spacing w:line="360" w:lineRule="auto"/>
        <w:ind w:left="1" w:leftChars="-95" w:hanging="200"/>
        <w:rPr>
          <w:rFonts w:hAnsi="宋体" w:cs="宋体"/>
          <w:b/>
          <w:bCs/>
          <w:sz w:val="28"/>
          <w:szCs w:val="21"/>
        </w:rPr>
      </w:pPr>
      <w:r>
        <w:rPr>
          <w:rFonts w:hint="eastAsia" w:hAnsi="宋体" w:cs="宋体"/>
          <w:b/>
          <w:bCs/>
          <w:sz w:val="22"/>
          <w:szCs w:val="22"/>
        </w:rPr>
        <w:t>3.技术参数正偏离须在技术响应表中注明正偏离的理由和佐证材料的页码。</w:t>
      </w:r>
    </w:p>
    <w:p>
      <w:pPr>
        <w:pStyle w:val="16"/>
        <w:tabs>
          <w:tab w:val="left" w:pos="5370"/>
        </w:tabs>
        <w:spacing w:line="360" w:lineRule="auto"/>
        <w:ind w:left="1080" w:leftChars="257" w:hanging="540"/>
        <w:rPr>
          <w:rFonts w:hAnsi="宋体" w:cs="宋体"/>
          <w:sz w:val="24"/>
        </w:rPr>
      </w:pPr>
    </w:p>
    <w:p>
      <w:pPr>
        <w:pStyle w:val="16"/>
        <w:tabs>
          <w:tab w:val="left" w:pos="5370"/>
        </w:tabs>
        <w:spacing w:line="360" w:lineRule="auto"/>
        <w:ind w:left="1080" w:leftChars="257" w:hanging="540"/>
        <w:rPr>
          <w:rFonts w:hAnsi="宋体" w:cs="宋体"/>
          <w:sz w:val="24"/>
          <w:u w:val="single"/>
        </w:rPr>
      </w:pPr>
      <w:r>
        <w:rPr>
          <w:rFonts w:hint="eastAsia" w:hAnsi="宋体" w:cs="宋体"/>
          <w:sz w:val="24"/>
        </w:rPr>
        <w:t>投标人(盖章):</w:t>
      </w:r>
      <w:r>
        <w:rPr>
          <w:rFonts w:hint="eastAsia" w:hAnsi="宋体" w:cs="宋体"/>
          <w:sz w:val="24"/>
          <w:u w:val="single"/>
        </w:rPr>
        <w:tab/>
      </w:r>
    </w:p>
    <w:p>
      <w:pPr>
        <w:pStyle w:val="16"/>
        <w:spacing w:line="360" w:lineRule="auto"/>
        <w:ind w:left="1080" w:leftChars="257" w:hanging="540"/>
        <w:rPr>
          <w:rFonts w:hAnsi="宋体" w:cs="宋体"/>
          <w:sz w:val="24"/>
        </w:rPr>
      </w:pPr>
      <w:r>
        <w:rPr>
          <w:rFonts w:hint="eastAsia" w:hAnsi="宋体" w:cs="宋体"/>
          <w:sz w:val="24"/>
        </w:rPr>
        <w:t>法定代表人（负责人）或授权代表（签字或签章）:</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6"/>
        <w:tabs>
          <w:tab w:val="left" w:pos="5580"/>
        </w:tabs>
        <w:spacing w:line="360" w:lineRule="auto"/>
        <w:rPr>
          <w:rFonts w:hAnsi="宋体" w:cs="宋体"/>
          <w:sz w:val="24"/>
        </w:rPr>
      </w:pPr>
      <w:r>
        <w:rPr>
          <w:rFonts w:hint="eastAsia" w:hAnsi="宋体" w:cs="宋体"/>
          <w:sz w:val="24"/>
        </w:rPr>
        <w:br w:type="page"/>
      </w:r>
    </w:p>
    <w:p>
      <w:pPr>
        <w:spacing w:line="360" w:lineRule="auto"/>
        <w:jc w:val="center"/>
        <w:rPr>
          <w:rFonts w:ascii="宋体" w:hAnsi="宋体" w:cs="宋体"/>
          <w:b/>
          <w:bCs/>
          <w:sz w:val="24"/>
        </w:rPr>
      </w:pPr>
      <w:bookmarkStart w:id="326" w:name="_Toc45196836"/>
      <w:r>
        <w:rPr>
          <w:rFonts w:hint="eastAsia" w:ascii="宋体" w:hAnsi="宋体" w:cs="宋体"/>
          <w:b/>
          <w:bCs/>
          <w:sz w:val="24"/>
        </w:rPr>
        <w:t>商务条款偏离表</w:t>
      </w:r>
      <w:bookmarkEnd w:id="326"/>
    </w:p>
    <w:p>
      <w:pPr>
        <w:pStyle w:val="16"/>
        <w:wordWrap w:val="0"/>
        <w:spacing w:line="360" w:lineRule="auto"/>
        <w:ind w:left="1080" w:leftChars="257" w:hanging="540"/>
        <w:jc w:val="right"/>
        <w:rPr>
          <w:rFonts w:hAnsi="宋体" w:cs="宋体"/>
          <w:sz w:val="24"/>
        </w:rPr>
      </w:pPr>
      <w:r>
        <w:rPr>
          <w:rFonts w:hint="eastAsia" w:hAnsi="宋体" w:cs="宋体"/>
          <w:sz w:val="24"/>
        </w:rPr>
        <w:t xml:space="preserve">包号: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jc w:val="center"/>
              <w:rPr>
                <w:rFonts w:hAnsi="宋体" w:cs="宋体"/>
                <w:sz w:val="24"/>
              </w:rPr>
            </w:pPr>
            <w:r>
              <w:rPr>
                <w:rFonts w:hint="eastAsia" w:hAnsi="宋体" w:cs="宋体"/>
                <w:sz w:val="24"/>
              </w:rPr>
              <w:t>序号</w:t>
            </w:r>
          </w:p>
        </w:tc>
        <w:tc>
          <w:tcPr>
            <w:tcW w:w="2040" w:type="dxa"/>
          </w:tcPr>
          <w:p>
            <w:pPr>
              <w:pStyle w:val="16"/>
              <w:spacing w:line="360" w:lineRule="auto"/>
              <w:jc w:val="center"/>
              <w:rPr>
                <w:rFonts w:hAnsi="宋体" w:cs="宋体"/>
                <w:sz w:val="24"/>
              </w:rPr>
            </w:pPr>
            <w:r>
              <w:rPr>
                <w:rFonts w:hint="eastAsia" w:hAnsi="宋体" w:cs="宋体"/>
                <w:sz w:val="24"/>
              </w:rPr>
              <w:t>招标要求</w:t>
            </w:r>
          </w:p>
        </w:tc>
        <w:tc>
          <w:tcPr>
            <w:tcW w:w="2520" w:type="dxa"/>
          </w:tcPr>
          <w:p>
            <w:pPr>
              <w:pStyle w:val="16"/>
              <w:spacing w:line="360" w:lineRule="auto"/>
              <w:jc w:val="center"/>
              <w:rPr>
                <w:rFonts w:hAnsi="宋体" w:cs="宋体"/>
                <w:sz w:val="24"/>
              </w:rPr>
            </w:pPr>
            <w:r>
              <w:rPr>
                <w:rFonts w:hint="eastAsia" w:hAnsi="宋体" w:cs="宋体"/>
                <w:sz w:val="24"/>
              </w:rPr>
              <w:t>投标响应</w:t>
            </w:r>
          </w:p>
        </w:tc>
        <w:tc>
          <w:tcPr>
            <w:tcW w:w="1792" w:type="dxa"/>
          </w:tcPr>
          <w:p>
            <w:pPr>
              <w:pStyle w:val="16"/>
              <w:spacing w:line="360" w:lineRule="auto"/>
              <w:jc w:val="center"/>
              <w:rPr>
                <w:rFonts w:hAnsi="宋体" w:cs="宋体"/>
                <w:sz w:val="24"/>
              </w:rPr>
            </w:pPr>
            <w:r>
              <w:rPr>
                <w:rFonts w:hint="eastAsia" w:hAnsi="宋体" w:cs="宋体"/>
                <w:sz w:val="24"/>
              </w:rPr>
              <w:t>偏离</w:t>
            </w:r>
          </w:p>
        </w:tc>
        <w:tc>
          <w:tcPr>
            <w:tcW w:w="1628" w:type="dxa"/>
          </w:tcPr>
          <w:p>
            <w:pPr>
              <w:pStyle w:val="16"/>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jc w:val="center"/>
              <w:rPr>
                <w:rFonts w:hAnsi="宋体" w:cs="宋体"/>
                <w:sz w:val="24"/>
              </w:rPr>
            </w:pPr>
          </w:p>
        </w:tc>
        <w:tc>
          <w:tcPr>
            <w:tcW w:w="1792" w:type="dxa"/>
          </w:tcPr>
          <w:p>
            <w:pPr>
              <w:pStyle w:val="16"/>
              <w:spacing w:line="360" w:lineRule="auto"/>
              <w:ind w:left="1080" w:leftChars="257" w:hanging="540"/>
              <w:jc w:val="center"/>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auto"/>
              <w:ind w:left="1080" w:leftChars="257" w:hanging="540"/>
              <w:rPr>
                <w:rFonts w:hAnsi="宋体" w:cs="宋体"/>
                <w:sz w:val="24"/>
              </w:rPr>
            </w:pPr>
          </w:p>
        </w:tc>
        <w:tc>
          <w:tcPr>
            <w:tcW w:w="2040" w:type="dxa"/>
          </w:tcPr>
          <w:p>
            <w:pPr>
              <w:pStyle w:val="16"/>
              <w:spacing w:line="360" w:lineRule="auto"/>
              <w:ind w:left="1080" w:leftChars="257" w:hanging="540"/>
              <w:rPr>
                <w:rFonts w:hAnsi="宋体" w:cs="宋体"/>
                <w:sz w:val="24"/>
              </w:rPr>
            </w:pPr>
          </w:p>
        </w:tc>
        <w:tc>
          <w:tcPr>
            <w:tcW w:w="2520" w:type="dxa"/>
          </w:tcPr>
          <w:p>
            <w:pPr>
              <w:pStyle w:val="16"/>
              <w:spacing w:line="360" w:lineRule="auto"/>
              <w:ind w:left="1080" w:leftChars="257" w:hanging="540"/>
              <w:rPr>
                <w:rFonts w:hAnsi="宋体" w:cs="宋体"/>
                <w:sz w:val="24"/>
              </w:rPr>
            </w:pPr>
          </w:p>
        </w:tc>
        <w:tc>
          <w:tcPr>
            <w:tcW w:w="1792" w:type="dxa"/>
          </w:tcPr>
          <w:p>
            <w:pPr>
              <w:pStyle w:val="16"/>
              <w:spacing w:line="360" w:lineRule="auto"/>
              <w:ind w:left="1080" w:leftChars="257" w:hanging="540"/>
              <w:rPr>
                <w:rFonts w:hAnsi="宋体" w:cs="宋体"/>
                <w:sz w:val="24"/>
              </w:rPr>
            </w:pPr>
          </w:p>
        </w:tc>
        <w:tc>
          <w:tcPr>
            <w:tcW w:w="1628" w:type="dxa"/>
          </w:tcPr>
          <w:p>
            <w:pPr>
              <w:pStyle w:val="16"/>
              <w:spacing w:line="360" w:lineRule="auto"/>
              <w:ind w:left="1080" w:leftChars="257" w:hanging="540"/>
              <w:rPr>
                <w:rFonts w:hAnsi="宋体" w:cs="宋体"/>
                <w:sz w:val="24"/>
              </w:rPr>
            </w:pPr>
          </w:p>
        </w:tc>
      </w:tr>
    </w:tbl>
    <w:p>
      <w:pPr>
        <w:pStyle w:val="16"/>
        <w:spacing w:line="360" w:lineRule="auto"/>
        <w:ind w:left="1080" w:leftChars="257" w:hanging="540"/>
        <w:rPr>
          <w:rFonts w:hAnsi="宋体" w:cs="宋体"/>
          <w:sz w:val="24"/>
        </w:rPr>
      </w:pPr>
    </w:p>
    <w:p>
      <w:pPr>
        <w:pStyle w:val="16"/>
        <w:spacing w:line="360" w:lineRule="auto"/>
        <w:ind w:left="1" w:leftChars="-95" w:hanging="200"/>
        <w:rPr>
          <w:rFonts w:hAnsi="宋体" w:cs="宋体"/>
          <w:b/>
          <w:bCs/>
          <w:sz w:val="22"/>
          <w:szCs w:val="22"/>
        </w:rPr>
      </w:pPr>
      <w:r>
        <w:rPr>
          <w:rFonts w:hint="eastAsia" w:hAnsi="宋体" w:cs="宋体"/>
          <w:b/>
          <w:bCs/>
          <w:sz w:val="22"/>
          <w:szCs w:val="22"/>
        </w:rPr>
        <w:t>注：1.本表只填写招标文件中与投标文件有偏离（包括正偏离和负偏离）的内容，必须一一对应填写，若无偏离可附此空表加盖单位公章。</w:t>
      </w:r>
    </w:p>
    <w:p>
      <w:pPr>
        <w:pStyle w:val="16"/>
        <w:numPr>
          <w:ilvl w:val="0"/>
          <w:numId w:val="13"/>
        </w:numPr>
        <w:spacing w:line="360" w:lineRule="auto"/>
        <w:ind w:left="1" w:leftChars="-95" w:hanging="200"/>
        <w:rPr>
          <w:rFonts w:hAnsi="宋体" w:cs="宋体"/>
        </w:rPr>
      </w:pPr>
      <w:r>
        <w:rPr>
          <w:rFonts w:hint="eastAsia" w:hAnsi="宋体" w:cs="宋体"/>
          <w:b/>
          <w:bCs/>
          <w:sz w:val="22"/>
          <w:szCs w:val="22"/>
        </w:rPr>
        <w:t>投标人必须据实填写，不得虚假响应，否则将取消其投标或中标资格，并按有关规定进处罚。</w:t>
      </w:r>
    </w:p>
    <w:p>
      <w:pPr>
        <w:rPr>
          <w:rFonts w:ascii="宋体" w:hAnsi="宋体" w:cs="宋体"/>
        </w:rPr>
      </w:pPr>
    </w:p>
    <w:p>
      <w:pPr>
        <w:pStyle w:val="16"/>
        <w:tabs>
          <w:tab w:val="left" w:pos="5370"/>
        </w:tabs>
        <w:spacing w:line="360" w:lineRule="auto"/>
        <w:ind w:left="1080" w:leftChars="257" w:hanging="540"/>
        <w:rPr>
          <w:rFonts w:hAnsi="宋体" w:cs="宋体"/>
          <w:sz w:val="24"/>
          <w:u w:val="single"/>
        </w:rPr>
      </w:pPr>
      <w:r>
        <w:rPr>
          <w:rFonts w:hint="eastAsia" w:hAnsi="宋体" w:cs="宋体"/>
          <w:sz w:val="24"/>
        </w:rPr>
        <w:t>投标人(盖章):</w:t>
      </w:r>
      <w:r>
        <w:rPr>
          <w:rFonts w:hint="eastAsia" w:hAnsi="宋体" w:cs="宋体"/>
          <w:sz w:val="24"/>
          <w:u w:val="single"/>
        </w:rPr>
        <w:tab/>
      </w:r>
    </w:p>
    <w:p>
      <w:pPr>
        <w:pStyle w:val="16"/>
        <w:spacing w:line="360" w:lineRule="auto"/>
        <w:ind w:left="1080" w:leftChars="257" w:hanging="540"/>
        <w:rPr>
          <w:rFonts w:hAnsi="宋体" w:cs="宋体"/>
          <w:sz w:val="24"/>
        </w:rPr>
      </w:pPr>
      <w:r>
        <w:rPr>
          <w:rFonts w:hint="eastAsia" w:hAnsi="宋体" w:cs="宋体"/>
          <w:sz w:val="24"/>
        </w:rPr>
        <w:t>法定代表人（负责人）或授权代表（签字或签章）:</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rPr>
          <w:rFonts w:ascii="宋体" w:hAnsi="宋体" w:cs="宋体"/>
        </w:rPr>
      </w:pPr>
      <w:bookmarkStart w:id="327" w:name="_Toc45196837"/>
    </w:p>
    <w:p>
      <w:pPr>
        <w:rPr>
          <w:rFonts w:ascii="宋体" w:hAnsi="宋体" w:cs="宋体"/>
        </w:rPr>
        <w:sectPr>
          <w:footerReference r:id="rId8" w:type="default"/>
          <w:pgSz w:w="11907" w:h="16840"/>
          <w:pgMar w:top="1474" w:right="1417" w:bottom="1474" w:left="1417" w:header="1020" w:footer="1134" w:gutter="0"/>
          <w:cols w:space="720" w:num="1"/>
          <w:docGrid w:linePitch="462" w:charSpace="0"/>
        </w:sectPr>
      </w:pPr>
    </w:p>
    <w:p>
      <w:pPr>
        <w:pStyle w:val="4"/>
        <w:spacing w:before="0" w:line="360" w:lineRule="auto"/>
        <w:rPr>
          <w:rFonts w:ascii="宋体" w:hAnsi="宋体" w:eastAsia="宋体" w:cs="宋体"/>
          <w:sz w:val="24"/>
        </w:rPr>
      </w:pPr>
      <w:r>
        <w:rPr>
          <w:rFonts w:hint="eastAsia" w:ascii="宋体" w:hAnsi="宋体" w:eastAsia="宋体" w:cs="宋体"/>
          <w:sz w:val="24"/>
        </w:rPr>
        <w:t>五、投标人单位类型声明函</w:t>
      </w:r>
      <w:bookmarkEnd w:id="327"/>
    </w:p>
    <w:p>
      <w:pPr>
        <w:jc w:val="center"/>
        <w:rPr>
          <w:rFonts w:ascii="宋体" w:hAnsi="宋体" w:cs="宋体"/>
          <w:b/>
          <w:bCs/>
          <w:sz w:val="24"/>
        </w:rPr>
      </w:pPr>
      <w:r>
        <w:rPr>
          <w:rFonts w:hint="eastAsia" w:ascii="宋体" w:hAnsi="宋体" w:cs="宋体"/>
          <w:b/>
          <w:bCs/>
          <w:sz w:val="24"/>
        </w:rPr>
        <w:t>中小企业声明函（货物）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（项目名称、包号）</w:t>
      </w:r>
      <w:r>
        <w:rPr>
          <w:rFonts w:hint="eastAsia" w:ascii="宋体" w:hAnsi="宋体" w:cs="宋体"/>
          <w:sz w:val="24"/>
        </w:rPr>
        <w:t>采购活动，提供的</w:t>
      </w:r>
      <w:r>
        <w:rPr>
          <w:rFonts w:hint="eastAsia" w:ascii="宋体" w:hAnsi="宋体" w:cs="宋体"/>
          <w:b/>
          <w:bCs/>
          <w:sz w:val="24"/>
        </w:rPr>
        <w:t>货物全部由符合政策要求的中小企业制造</w:t>
      </w:r>
      <w:r>
        <w:rPr>
          <w:rFonts w:hint="eastAsia" w:ascii="宋体" w:hAnsi="宋体" w:cs="宋体"/>
          <w:sz w:val="24"/>
        </w:rPr>
        <w:t>。相关企业（含联合体中的中小企业、签订分包意向协议的中小企业）的具体情况如下：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万元¹，属于</w:t>
      </w:r>
      <w:r>
        <w:rPr>
          <w:rFonts w:hint="eastAsia" w:ascii="宋体" w:hAnsi="宋体" w:cs="宋体"/>
          <w:sz w:val="24"/>
          <w:u w:val="single"/>
        </w:rPr>
        <w:t>（中型企业、小型企业、微型企业）</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万元¹，属于</w:t>
      </w:r>
      <w:r>
        <w:rPr>
          <w:rFonts w:hint="eastAsia" w:ascii="宋体" w:hAnsi="宋体" w:cs="宋体"/>
          <w:sz w:val="24"/>
          <w:u w:val="single"/>
        </w:rPr>
        <w:t>（中型企业、小型企业、微型企业）</w:t>
      </w:r>
      <w:r>
        <w:rPr>
          <w:rFonts w:hint="eastAsia" w:ascii="宋体" w:hAnsi="宋体" w:cs="宋体"/>
          <w:sz w:val="24"/>
        </w:rPr>
        <w:t>；</w:t>
      </w:r>
    </w:p>
    <w:p>
      <w:pPr>
        <w:pStyle w:val="52"/>
        <w:ind w:left="420" w:leftChars="200"/>
        <w:rPr>
          <w:rFonts w:hAnsi="宋体" w:cs="宋体"/>
        </w:rPr>
      </w:pPr>
      <w:r>
        <w:rPr>
          <w:rFonts w:hint="eastAsia" w:hAnsi="宋体" w:cs="宋体"/>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adjustRightInd w:val="0"/>
        <w:snapToGrid w:val="0"/>
        <w:spacing w:line="360" w:lineRule="auto"/>
        <w:rPr>
          <w:rFonts w:ascii="宋体" w:hAnsi="宋体" w:cs="宋体"/>
          <w:sz w:val="24"/>
        </w:rPr>
      </w:pPr>
    </w:p>
    <w:p>
      <w:pPr>
        <w:pStyle w:val="21"/>
        <w:rPr>
          <w:rFonts w:ascii="宋体" w:hAnsi="宋体" w:cs="宋体"/>
          <w:sz w:val="24"/>
          <w:szCs w:val="24"/>
        </w:rPr>
      </w:pPr>
    </w:p>
    <w:p>
      <w:pPr>
        <w:pStyle w:val="12"/>
        <w:rPr>
          <w:rFonts w:cs="宋体"/>
        </w:rPr>
      </w:pPr>
    </w:p>
    <w:p>
      <w:pPr>
        <w:adjustRightInd w:val="0"/>
        <w:snapToGrid w:val="0"/>
        <w:spacing w:line="360" w:lineRule="auto"/>
        <w:jc w:val="center"/>
        <w:rPr>
          <w:rFonts w:ascii="宋体" w:hAnsi="宋体" w:cs="宋体"/>
          <w:sz w:val="24"/>
        </w:rPr>
      </w:pPr>
      <w:r>
        <w:rPr>
          <w:rFonts w:hint="eastAsia" w:ascii="宋体" w:hAnsi="宋体" w:cs="宋体"/>
          <w:sz w:val="24"/>
        </w:rPr>
        <w:t xml:space="preserve">            企业名称（盖章）：</w:t>
      </w:r>
    </w:p>
    <w:p>
      <w:pPr>
        <w:adjustRightInd w:val="0"/>
        <w:snapToGrid w:val="0"/>
        <w:spacing w:line="360" w:lineRule="auto"/>
        <w:jc w:val="center"/>
        <w:rPr>
          <w:rFonts w:ascii="宋体" w:hAnsi="宋体" w:cs="宋体"/>
          <w:sz w:val="24"/>
        </w:rPr>
      </w:pPr>
      <w:r>
        <w:rPr>
          <w:rFonts w:hint="eastAsia" w:ascii="宋体" w:hAnsi="宋体" w:cs="宋体"/>
          <w:sz w:val="24"/>
        </w:rPr>
        <w:t>日期：</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2"/>
          <w:szCs w:val="22"/>
        </w:rPr>
      </w:pPr>
      <w:r>
        <w:rPr>
          <w:rFonts w:hint="eastAsia" w:ascii="宋体" w:hAnsi="宋体" w:cs="宋体"/>
          <w:sz w:val="22"/>
          <w:szCs w:val="22"/>
        </w:rPr>
        <w:t>¹从业人员、营业收入、资产总额填报上一年度数据，无上一年度数据的新成立企业可不填报。</w:t>
      </w:r>
    </w:p>
    <w:p>
      <w:pPr>
        <w:rPr>
          <w:rFonts w:ascii="宋体" w:hAnsi="宋体" w:cs="宋体"/>
          <w:b/>
          <w:bCs/>
          <w:sz w:val="24"/>
        </w:rPr>
      </w:pPr>
      <w:bookmarkStart w:id="328" w:name="_Toc45196838"/>
      <w:r>
        <w:rPr>
          <w:rFonts w:hint="eastAsia"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投标人监狱企业声明函</w:t>
      </w:r>
      <w:bookmarkEnd w:id="328"/>
    </w:p>
    <w:p>
      <w:pPr>
        <w:spacing w:line="360" w:lineRule="auto"/>
        <w:ind w:left="1080" w:leftChars="257" w:hanging="540"/>
        <w:jc w:val="center"/>
        <w:rPr>
          <w:rFonts w:ascii="宋体" w:hAnsi="宋体" w:cs="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本单位为直接投标人提供本单位制造的货物。</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（1）本企业（单位）</w:t>
      </w:r>
      <w:r>
        <w:rPr>
          <w:rFonts w:hint="eastAsia" w:ascii="宋体" w:hAnsi="宋体" w:cs="宋体"/>
          <w:kern w:val="0"/>
          <w:sz w:val="24"/>
          <w:u w:val="single"/>
        </w:rPr>
        <w:t xml:space="preserve">        </w:t>
      </w:r>
      <w:r>
        <w:rPr>
          <w:rFonts w:hint="eastAsia" w:ascii="宋体" w:hAnsi="宋体"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（2）本企业（单位）</w:t>
      </w:r>
      <w:r>
        <w:rPr>
          <w:rFonts w:hint="eastAsia" w:ascii="宋体" w:hAnsi="宋体" w:cs="宋体"/>
          <w:kern w:val="0"/>
          <w:sz w:val="24"/>
          <w:u w:val="single"/>
        </w:rPr>
        <w:t xml:space="preserve">        </w:t>
      </w:r>
      <w:r>
        <w:rPr>
          <w:rFonts w:hint="eastAsia" w:ascii="宋体" w:hAnsi="宋体"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cs="宋体"/>
          <w:b/>
          <w:kern w:val="0"/>
          <w:sz w:val="24"/>
          <w:szCs w:val="20"/>
        </w:rPr>
      </w:pPr>
      <w:r>
        <w:rPr>
          <w:rFonts w:hint="eastAsia" w:ascii="宋体" w:hAnsi="宋体" w:cs="宋体"/>
          <w:b/>
          <w:kern w:val="0"/>
          <w:sz w:val="24"/>
          <w:szCs w:val="20"/>
        </w:rPr>
        <w:t>　</w:t>
      </w:r>
    </w:p>
    <w:p>
      <w:pPr>
        <w:spacing w:line="360" w:lineRule="auto"/>
        <w:rPr>
          <w:rFonts w:ascii="宋体" w:hAnsi="宋体" w:cs="宋体"/>
          <w:b/>
          <w:sz w:val="24"/>
        </w:rPr>
      </w:pP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投标人（盖章）：</w:t>
      </w:r>
      <w:r>
        <w:rPr>
          <w:rFonts w:hint="eastAsia" w:ascii="宋体" w:hAnsi="宋体" w:cs="宋体"/>
          <w:kern w:val="0"/>
          <w:sz w:val="24"/>
          <w:u w:val="single"/>
        </w:rPr>
        <w:t xml:space="preserve">             </w:t>
      </w:r>
    </w:p>
    <w:p>
      <w:pPr>
        <w:widowControl/>
        <w:spacing w:before="100" w:beforeAutospacing="1" w:after="100" w:afterAutospacing="1" w:line="360" w:lineRule="auto"/>
        <w:ind w:firstLine="3720" w:firstLineChars="1550"/>
        <w:jc w:val="left"/>
        <w:rPr>
          <w:rFonts w:ascii="宋体" w:hAnsi="宋体" w:cs="宋体"/>
          <w:kern w:val="0"/>
          <w:sz w:val="24"/>
          <w:u w:val="single"/>
        </w:rPr>
      </w:pPr>
      <w:r>
        <w:rPr>
          <w:rFonts w:hint="eastAsia" w:ascii="宋体" w:hAnsi="宋体" w:cs="宋体"/>
          <w:kern w:val="0"/>
          <w:sz w:val="24"/>
        </w:rPr>
        <w:t>　日　期：</w:t>
      </w:r>
      <w:r>
        <w:rPr>
          <w:rFonts w:hint="eastAsia" w:ascii="宋体" w:hAnsi="宋体" w:cs="宋体"/>
          <w:kern w:val="0"/>
          <w:sz w:val="24"/>
          <w:u w:val="single"/>
        </w:rPr>
        <w:t xml:space="preserve">             </w:t>
      </w:r>
    </w:p>
    <w:p>
      <w:pPr>
        <w:spacing w:line="360" w:lineRule="auto"/>
        <w:ind w:left="645" w:leftChars="307" w:firstLine="2640" w:firstLineChars="1100"/>
        <w:rPr>
          <w:rFonts w:ascii="宋体" w:hAnsi="宋体" w:cs="宋体"/>
        </w:rPr>
      </w:pPr>
      <w:r>
        <w:rPr>
          <w:rFonts w:hint="eastAsia" w:ascii="宋体" w:hAnsi="宋体" w:cs="宋体"/>
          <w:sz w:val="24"/>
        </w:rPr>
        <w:br w:type="page"/>
      </w:r>
    </w:p>
    <w:p>
      <w:pPr>
        <w:spacing w:line="360" w:lineRule="auto"/>
        <w:jc w:val="center"/>
        <w:rPr>
          <w:rFonts w:ascii="宋体" w:hAnsi="宋体" w:cs="宋体"/>
          <w:sz w:val="24"/>
          <w:lang w:val="zh-CN"/>
        </w:rPr>
      </w:pPr>
      <w:r>
        <w:rPr>
          <w:rFonts w:hint="eastAsia" w:ascii="宋体" w:hAnsi="宋体" w:cs="宋体"/>
          <w:sz w:val="24"/>
          <w:lang w:val="zh-CN"/>
        </w:rPr>
        <w:t>投标人企业关系关联承诺书</w:t>
      </w:r>
    </w:p>
    <w:p>
      <w:pPr>
        <w:autoSpaceDE w:val="0"/>
        <w:autoSpaceDN w:val="0"/>
        <w:adjustRightIn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24"/>
        </w:rPr>
      </w:pPr>
      <w:r>
        <w:rPr>
          <w:rFonts w:hint="eastAsia" w:ascii="宋体" w:hAnsi="宋体" w:cs="宋体"/>
          <w:sz w:val="24"/>
        </w:rPr>
        <w:t>1.投标人股东及股权证明。</w:t>
      </w:r>
    </w:p>
    <w:p>
      <w:pPr>
        <w:numPr>
          <w:ilvl w:val="0"/>
          <w:numId w:val="10"/>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投标人在本项目投标中，不存在与其它投标人负责人为同一人，有控股、管理等关联关系承诺。</w:t>
      </w:r>
    </w:p>
    <w:p>
      <w:pPr>
        <w:snapToGrid w:val="0"/>
        <w:spacing w:line="360" w:lineRule="auto"/>
        <w:rPr>
          <w:rFonts w:ascii="宋体" w:hAnsi="宋体" w:cs="宋体"/>
          <w:sz w:val="24"/>
        </w:rPr>
      </w:pPr>
      <w:r>
        <w:rPr>
          <w:rFonts w:hint="eastAsia" w:ascii="宋体" w:hAnsi="宋体" w:cs="宋体"/>
          <w:sz w:val="24"/>
        </w:rPr>
        <w:t>2-1、管理关系说明：</w:t>
      </w:r>
    </w:p>
    <w:p>
      <w:pPr>
        <w:snapToGrid w:val="0"/>
        <w:spacing w:line="360" w:lineRule="auto"/>
        <w:ind w:firstLine="480" w:firstLineChars="200"/>
        <w:rPr>
          <w:rFonts w:ascii="宋体" w:hAnsi="宋体" w:cs="宋体"/>
          <w:sz w:val="24"/>
        </w:rPr>
      </w:pPr>
      <w:r>
        <w:rPr>
          <w:rFonts w:hint="eastAsia" w:ascii="宋体" w:hAnsi="宋体" w:cs="宋体"/>
          <w:sz w:val="24"/>
        </w:rPr>
        <w:t>我单位管理的具有独立法人的下属单位有：</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我单位的上级管理单位有</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rPr>
          <w:rFonts w:ascii="宋体" w:hAnsi="宋体" w:cs="宋体"/>
          <w:sz w:val="24"/>
        </w:rPr>
      </w:pPr>
      <w:r>
        <w:rPr>
          <w:rFonts w:hint="eastAsia" w:ascii="宋体" w:hAnsi="宋体" w:cs="宋体"/>
          <w:sz w:val="24"/>
        </w:rPr>
        <w:t>2-2、股权关系说明：</w:t>
      </w:r>
    </w:p>
    <w:p>
      <w:pPr>
        <w:snapToGrid w:val="0"/>
        <w:spacing w:line="360" w:lineRule="auto"/>
        <w:ind w:firstLine="480" w:firstLineChars="200"/>
        <w:rPr>
          <w:rFonts w:ascii="宋体" w:hAnsi="宋体" w:cs="宋体"/>
          <w:sz w:val="24"/>
        </w:rPr>
      </w:pPr>
      <w:r>
        <w:rPr>
          <w:rFonts w:hint="eastAsia" w:ascii="宋体" w:hAnsi="宋体" w:cs="宋体"/>
          <w:sz w:val="24"/>
        </w:rPr>
        <w:t>我单位控股的单位有</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我单位被</w:t>
      </w:r>
      <w:r>
        <w:rPr>
          <w:rFonts w:hint="eastAsia" w:ascii="宋体" w:hAnsi="宋体" w:cs="宋体"/>
          <w:i/>
          <w:sz w:val="24"/>
          <w:u w:val="single"/>
        </w:rPr>
        <w:t xml:space="preserve">             </w:t>
      </w:r>
      <w:r>
        <w:rPr>
          <w:rFonts w:hint="eastAsia" w:ascii="宋体" w:hAnsi="宋体" w:cs="宋体"/>
          <w:sz w:val="24"/>
          <w:u w:val="single"/>
        </w:rPr>
        <w:t xml:space="preserve"> </w:t>
      </w:r>
      <w:r>
        <w:rPr>
          <w:rFonts w:hint="eastAsia" w:ascii="宋体" w:hAnsi="宋体" w:cs="宋体"/>
          <w:sz w:val="24"/>
        </w:rPr>
        <w:t>单位控股。</w:t>
      </w:r>
    </w:p>
    <w:p>
      <w:pPr>
        <w:autoSpaceDE w:val="0"/>
        <w:autoSpaceDN w:val="0"/>
        <w:adjustRightInd w:val="0"/>
        <w:snapToGrid w:val="0"/>
        <w:spacing w:line="360" w:lineRule="auto"/>
        <w:rPr>
          <w:rFonts w:ascii="宋体" w:hAnsi="宋体" w:cs="宋体"/>
          <w:sz w:val="24"/>
        </w:rPr>
      </w:pPr>
      <w:r>
        <w:rPr>
          <w:rFonts w:hint="eastAsia" w:ascii="宋体" w:hAnsi="宋体" w:cs="宋体"/>
          <w:sz w:val="24"/>
        </w:rPr>
        <w:t>2-3、单位负责人：</w:t>
      </w:r>
    </w:p>
    <w:p>
      <w:pPr>
        <w:autoSpaceDE w:val="0"/>
        <w:autoSpaceDN w:val="0"/>
        <w:adjustRightInd w:val="0"/>
        <w:spacing w:line="360" w:lineRule="auto"/>
        <w:rPr>
          <w:rFonts w:ascii="宋体" w:hAnsi="宋体" w:cs="宋体"/>
          <w:bCs/>
          <w:sz w:val="24"/>
        </w:rPr>
      </w:pPr>
      <w:r>
        <w:rPr>
          <w:rFonts w:hint="eastAsia" w:ascii="宋体" w:hAnsi="宋体" w:cs="宋体"/>
          <w:bCs/>
          <w:sz w:val="24"/>
        </w:rPr>
        <w:t>3、我单位</w:t>
      </w:r>
      <w:r>
        <w:rPr>
          <w:rFonts w:hint="eastAsia" w:ascii="宋体" w:hAnsi="宋体" w:cs="宋体"/>
          <w:bCs/>
          <w:sz w:val="24"/>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（是或不是）</w:t>
      </w:r>
      <w:r>
        <w:rPr>
          <w:rFonts w:hint="eastAsia" w:ascii="宋体" w:hAnsi="宋体" w:cs="宋体"/>
          <w:bCs/>
          <w:sz w:val="24"/>
        </w:rPr>
        <w:t>为采购项目提供整体设计、规范编制或者项目管理、监理、检测等服务的供应商。</w:t>
      </w:r>
    </w:p>
    <w:p>
      <w:pPr>
        <w:autoSpaceDE w:val="0"/>
        <w:autoSpaceDN w:val="0"/>
        <w:adjustRightInd w:val="0"/>
        <w:snapToGrid w:val="0"/>
        <w:spacing w:line="360" w:lineRule="auto"/>
        <w:rPr>
          <w:rFonts w:ascii="宋体" w:hAnsi="宋体" w:cs="宋体"/>
          <w:sz w:val="24"/>
          <w:u w:val="single"/>
        </w:rPr>
      </w:pPr>
      <w:r>
        <w:rPr>
          <w:rFonts w:hint="eastAsia" w:ascii="宋体" w:hAnsi="宋体" w:cs="宋体"/>
          <w:sz w:val="24"/>
        </w:rPr>
        <w:t>4、其他与本项目有关的利害关系说明：</w:t>
      </w:r>
      <w:r>
        <w:rPr>
          <w:rFonts w:hint="eastAsia" w:ascii="宋体" w:hAnsi="宋体" w:cs="宋体"/>
          <w:sz w:val="24"/>
          <w:u w:val="single"/>
        </w:rPr>
        <w:t xml:space="preserve">             </w:t>
      </w:r>
    </w:p>
    <w:p>
      <w:pPr>
        <w:autoSpaceDE w:val="0"/>
        <w:autoSpaceDN w:val="0"/>
        <w:adjustRightInd w:val="0"/>
        <w:spacing w:line="360" w:lineRule="auto"/>
        <w:rPr>
          <w:rFonts w:ascii="宋体" w:hAnsi="宋体" w:cs="宋体"/>
          <w:sz w:val="24"/>
        </w:rPr>
      </w:pPr>
      <w:r>
        <w:rPr>
          <w:rFonts w:hint="eastAsia" w:ascii="宋体" w:hAnsi="宋体" w:cs="宋体"/>
          <w:sz w:val="24"/>
        </w:rPr>
        <w:t>5、本次投标我公司为非联合体投标。</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我单位承诺以上说明真实有效，无虚假内容或隐瞒。</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投标人                    法定代表人（负责人）或授权代表</w:t>
      </w:r>
    </w:p>
    <w:p>
      <w:pPr>
        <w:adjustRightInd w:val="0"/>
        <w:snapToGrid w:val="0"/>
        <w:spacing w:line="360" w:lineRule="auto"/>
        <w:rPr>
          <w:rFonts w:ascii="宋体" w:hAnsi="宋体" w:cs="宋体"/>
          <w:sz w:val="24"/>
        </w:rPr>
      </w:pPr>
      <w:r>
        <w:rPr>
          <w:rFonts w:hint="eastAsia" w:ascii="宋体" w:hAnsi="宋体" w:cs="宋体"/>
          <w:sz w:val="24"/>
        </w:rPr>
        <w:t>（公章）：                     （签字或盖章）：</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 xml:space="preserve">                                年    月    日</w:t>
      </w:r>
    </w:p>
    <w:p>
      <w:pPr>
        <w:autoSpaceDE w:val="0"/>
        <w:autoSpaceDN w:val="0"/>
        <w:adjustRightInd w:val="0"/>
        <w:snapToGrid w:val="0"/>
        <w:spacing w:line="360" w:lineRule="auto"/>
        <w:jc w:val="center"/>
        <w:outlineLvl w:val="1"/>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六、技术部分</w:t>
      </w:r>
    </w:p>
    <w:p>
      <w:pPr>
        <w:spacing w:line="360" w:lineRule="auto"/>
        <w:ind w:firstLine="480" w:firstLineChars="200"/>
        <w:rPr>
          <w:rFonts w:ascii="宋体" w:hAnsi="宋体" w:cs="宋体"/>
          <w:bCs/>
          <w:sz w:val="24"/>
        </w:rPr>
      </w:pPr>
      <w:r>
        <w:rPr>
          <w:rFonts w:hint="eastAsia" w:ascii="宋体" w:hAnsi="宋体" w:cs="宋体"/>
          <w:bCs/>
          <w:sz w:val="24"/>
        </w:rPr>
        <w:t>1.投标人按照招标文件“第五章 采购需求及要求”及招标文件“第三章 评标方法和标准”中的评审细则表编制对应的技术要求。</w:t>
      </w:r>
    </w:p>
    <w:p>
      <w:pPr>
        <w:pStyle w:val="8"/>
        <w:spacing w:line="360" w:lineRule="auto"/>
        <w:ind w:firstLine="480"/>
        <w:rPr>
          <w:rFonts w:hAnsi="宋体" w:cs="宋体"/>
          <w:bCs/>
          <w:szCs w:val="24"/>
        </w:rPr>
      </w:pPr>
      <w:r>
        <w:rPr>
          <w:rFonts w:hint="eastAsia" w:hAnsi="宋体" w:cs="宋体"/>
          <w:bCs/>
          <w:szCs w:val="24"/>
        </w:rPr>
        <w:t>2.投标人需要说明的其他问题。</w:t>
      </w:r>
    </w:p>
    <w:p>
      <w:pPr>
        <w:adjustRightInd w:val="0"/>
        <w:snapToGrid w:val="0"/>
        <w:spacing w:line="360" w:lineRule="auto"/>
        <w:jc w:val="left"/>
        <w:rPr>
          <w:rFonts w:ascii="宋体" w:hAnsi="宋体" w:cs="宋体"/>
          <w:b/>
          <w:bCs/>
          <w:sz w:val="28"/>
          <w:szCs w:val="28"/>
        </w:rPr>
      </w:pPr>
      <w:r>
        <w:rPr>
          <w:rFonts w:hint="eastAsia" w:ascii="宋体" w:hAnsi="宋体" w:cs="宋体"/>
          <w:b/>
          <w:bCs/>
          <w:sz w:val="28"/>
          <w:szCs w:val="28"/>
        </w:rPr>
        <w:t>（格式自拟）</w:t>
      </w:r>
    </w:p>
    <w:p>
      <w:pPr>
        <w:adjustRightInd w:val="0"/>
        <w:snapToGrid w:val="0"/>
        <w:spacing w:line="360" w:lineRule="auto"/>
        <w:jc w:val="left"/>
        <w:rPr>
          <w:rFonts w:ascii="宋体" w:hAnsi="宋体" w:cs="宋体"/>
        </w:rPr>
      </w:pPr>
      <w:r>
        <w:rPr>
          <w:rFonts w:hint="eastAsia" w:ascii="宋体" w:hAnsi="宋体" w:cs="宋体"/>
          <w:sz w:val="24"/>
        </w:rPr>
        <w:br w:type="page"/>
      </w:r>
      <w:r>
        <w:rPr>
          <w:rFonts w:hint="eastAsia" w:ascii="宋体" w:hAnsi="宋体" w:cs="宋体"/>
          <w:b/>
          <w:bCs/>
          <w:sz w:val="24"/>
        </w:rPr>
        <w:t>附件1</w:t>
      </w:r>
      <w:r>
        <w:rPr>
          <w:rFonts w:hint="eastAsia" w:ascii="宋体" w:hAnsi="宋体" w:cs="宋体"/>
          <w:sz w:val="24"/>
        </w:rPr>
        <w:t>：</w:t>
      </w:r>
      <w:r>
        <w:rPr>
          <w:rFonts w:hint="eastAsia" w:ascii="宋体" w:hAnsi="宋体" w:cs="宋体"/>
          <w:b/>
          <w:bCs/>
          <w:sz w:val="24"/>
        </w:rPr>
        <w:t>投标人业绩情况</w:t>
      </w:r>
    </w:p>
    <w:p>
      <w:pPr>
        <w:spacing w:line="360" w:lineRule="auto"/>
        <w:jc w:val="center"/>
        <w:rPr>
          <w:rFonts w:ascii="宋体" w:hAnsi="宋体" w:cs="宋体"/>
          <w:b/>
          <w:bCs/>
          <w:sz w:val="30"/>
          <w:szCs w:val="30"/>
        </w:rPr>
      </w:pPr>
      <w:r>
        <w:rPr>
          <w:rFonts w:hint="eastAsia" w:ascii="宋体" w:hAnsi="宋体" w:cs="宋体"/>
          <w:b/>
          <w:bCs/>
          <w:sz w:val="30"/>
          <w:szCs w:val="30"/>
        </w:rPr>
        <w:t>投标人业绩情况</w:t>
      </w:r>
    </w:p>
    <w:p>
      <w:pPr>
        <w:spacing w:line="360" w:lineRule="auto"/>
        <w:jc w:val="left"/>
        <w:rPr>
          <w:rFonts w:ascii="宋体" w:hAnsi="宋体" w:cs="宋体"/>
          <w:b/>
          <w:sz w:val="24"/>
        </w:rPr>
      </w:pPr>
      <w:r>
        <w:rPr>
          <w:rFonts w:hint="eastAsia" w:ascii="宋体" w:hAnsi="宋体" w:cs="宋体"/>
          <w:b/>
          <w:sz w:val="24"/>
        </w:rPr>
        <w:t>项目名称：</w:t>
      </w:r>
    </w:p>
    <w:p>
      <w:pPr>
        <w:pStyle w:val="12"/>
        <w:spacing w:line="360" w:lineRule="auto"/>
        <w:rPr>
          <w:rFonts w:cs="宋体"/>
          <w:b/>
        </w:rPr>
      </w:pPr>
      <w:r>
        <w:rPr>
          <w:rFonts w:hint="eastAsia" w:cs="宋体"/>
          <w:b/>
          <w:kern w:val="0"/>
          <w:szCs w:val="22"/>
        </w:rPr>
        <w:t>项目编号：</w:t>
      </w:r>
    </w:p>
    <w:p>
      <w:pPr>
        <w:spacing w:line="360" w:lineRule="auto"/>
        <w:jc w:val="left"/>
        <w:rPr>
          <w:rFonts w:ascii="宋体" w:hAnsi="宋体" w:cs="宋体"/>
          <w:b/>
          <w:sz w:val="24"/>
        </w:rPr>
      </w:pPr>
      <w:r>
        <w:rPr>
          <w:rFonts w:hint="eastAsia" w:ascii="宋体" w:hAnsi="宋体" w:cs="宋体"/>
          <w:b/>
          <w:sz w:val="24"/>
        </w:rPr>
        <w:t>包号：</w:t>
      </w:r>
    </w:p>
    <w:tbl>
      <w:tblPr>
        <w:tblStyle w:val="35"/>
        <w:tblW w:w="93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44"/>
        <w:gridCol w:w="1244"/>
        <w:gridCol w:w="1310"/>
        <w:gridCol w:w="1365"/>
        <w:gridCol w:w="1204"/>
        <w:gridCol w:w="1303"/>
        <w:gridCol w:w="16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85" w:hRule="exact"/>
          <w:jc w:val="center"/>
        </w:trPr>
        <w:tc>
          <w:tcPr>
            <w:tcW w:w="1244" w:type="dxa"/>
            <w:tcBorders>
              <w:top w:val="single" w:color="auto" w:sz="4" w:space="0"/>
            </w:tcBorders>
            <w:vAlign w:val="center"/>
          </w:tcPr>
          <w:p>
            <w:pPr>
              <w:spacing w:line="360" w:lineRule="auto"/>
              <w:jc w:val="center"/>
              <w:rPr>
                <w:rFonts w:ascii="宋体" w:hAnsi="宋体" w:cs="宋体"/>
              </w:rPr>
            </w:pPr>
            <w:r>
              <w:rPr>
                <w:rFonts w:hint="eastAsia" w:ascii="宋体" w:hAnsi="宋体" w:cs="宋体"/>
              </w:rPr>
              <w:t>序号</w:t>
            </w:r>
          </w:p>
        </w:tc>
        <w:tc>
          <w:tcPr>
            <w:tcW w:w="1244" w:type="dxa"/>
            <w:tcBorders>
              <w:top w:val="single" w:color="auto" w:sz="4" w:space="0"/>
            </w:tcBorders>
            <w:vAlign w:val="center"/>
          </w:tcPr>
          <w:p>
            <w:pPr>
              <w:spacing w:line="360" w:lineRule="auto"/>
              <w:ind w:firstLine="105" w:firstLineChars="50"/>
              <w:rPr>
                <w:rFonts w:ascii="宋体" w:hAnsi="宋体" w:cs="宋体"/>
              </w:rPr>
            </w:pPr>
            <w:r>
              <w:rPr>
                <w:rFonts w:hint="eastAsia" w:ascii="宋体" w:hAnsi="宋体" w:cs="宋体"/>
              </w:rPr>
              <w:t>年份</w:t>
            </w:r>
          </w:p>
        </w:tc>
        <w:tc>
          <w:tcPr>
            <w:tcW w:w="1310" w:type="dxa"/>
            <w:vAlign w:val="center"/>
          </w:tcPr>
          <w:p>
            <w:pPr>
              <w:spacing w:line="360" w:lineRule="auto"/>
              <w:jc w:val="center"/>
              <w:rPr>
                <w:rFonts w:ascii="宋体" w:hAnsi="宋体" w:cs="宋体"/>
              </w:rPr>
            </w:pPr>
            <w:r>
              <w:rPr>
                <w:rFonts w:hint="eastAsia" w:ascii="宋体" w:hAnsi="宋体" w:cs="宋体"/>
              </w:rPr>
              <w:t>业主名称</w:t>
            </w:r>
          </w:p>
        </w:tc>
        <w:tc>
          <w:tcPr>
            <w:tcW w:w="1365" w:type="dxa"/>
            <w:vAlign w:val="center"/>
          </w:tcPr>
          <w:p>
            <w:pPr>
              <w:spacing w:line="360" w:lineRule="auto"/>
              <w:jc w:val="center"/>
              <w:rPr>
                <w:rFonts w:ascii="宋体" w:hAnsi="宋体" w:cs="宋体"/>
              </w:rPr>
            </w:pPr>
            <w:r>
              <w:rPr>
                <w:rFonts w:hint="eastAsia" w:ascii="宋体" w:hAnsi="宋体" w:cs="宋体"/>
              </w:rPr>
              <w:t>项目名称</w:t>
            </w:r>
          </w:p>
        </w:tc>
        <w:tc>
          <w:tcPr>
            <w:tcW w:w="1204" w:type="dxa"/>
            <w:vAlign w:val="center"/>
          </w:tcPr>
          <w:p>
            <w:pPr>
              <w:spacing w:line="360" w:lineRule="auto"/>
              <w:jc w:val="center"/>
              <w:rPr>
                <w:rFonts w:ascii="宋体" w:hAnsi="宋体" w:cs="宋体"/>
              </w:rPr>
            </w:pPr>
            <w:r>
              <w:rPr>
                <w:rFonts w:hint="eastAsia" w:ascii="宋体" w:hAnsi="宋体" w:cs="宋体"/>
              </w:rPr>
              <w:t>完成时间</w:t>
            </w:r>
          </w:p>
        </w:tc>
        <w:tc>
          <w:tcPr>
            <w:tcW w:w="1303" w:type="dxa"/>
            <w:vAlign w:val="center"/>
          </w:tcPr>
          <w:p>
            <w:pPr>
              <w:spacing w:line="360" w:lineRule="auto"/>
              <w:ind w:firstLine="105" w:firstLineChars="50"/>
              <w:rPr>
                <w:rFonts w:ascii="宋体" w:hAnsi="宋体" w:cs="宋体"/>
              </w:rPr>
            </w:pPr>
            <w:r>
              <w:rPr>
                <w:rFonts w:hint="eastAsia" w:ascii="宋体" w:hAnsi="宋体" w:cs="宋体"/>
              </w:rPr>
              <w:t>合同金额</w:t>
            </w:r>
          </w:p>
        </w:tc>
        <w:tc>
          <w:tcPr>
            <w:tcW w:w="1683" w:type="dxa"/>
            <w:tcBorders>
              <w:left w:val="single" w:color="auto" w:sz="4" w:space="0"/>
            </w:tcBorders>
            <w:vAlign w:val="center"/>
          </w:tcPr>
          <w:p>
            <w:pPr>
              <w:spacing w:line="360" w:lineRule="auto"/>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2" w:hRule="exact"/>
          <w:jc w:val="center"/>
        </w:trPr>
        <w:tc>
          <w:tcPr>
            <w:tcW w:w="1244" w:type="dxa"/>
            <w:vAlign w:val="center"/>
          </w:tcPr>
          <w:p>
            <w:pPr>
              <w:spacing w:line="360" w:lineRule="auto"/>
              <w:jc w:val="center"/>
              <w:rPr>
                <w:rFonts w:ascii="宋体" w:hAnsi="宋体" w:cs="宋体"/>
              </w:rPr>
            </w:pPr>
          </w:p>
        </w:tc>
        <w:tc>
          <w:tcPr>
            <w:tcW w:w="1244" w:type="dxa"/>
            <w:vAlign w:val="center"/>
          </w:tcPr>
          <w:p>
            <w:pPr>
              <w:spacing w:line="360" w:lineRule="auto"/>
              <w:jc w:val="center"/>
              <w:rPr>
                <w:rFonts w:ascii="宋体" w:hAnsi="宋体" w:cs="宋体"/>
              </w:rPr>
            </w:pPr>
          </w:p>
        </w:tc>
        <w:tc>
          <w:tcPr>
            <w:tcW w:w="1310" w:type="dxa"/>
            <w:vAlign w:val="center"/>
          </w:tcPr>
          <w:p>
            <w:pPr>
              <w:spacing w:line="360" w:lineRule="auto"/>
              <w:jc w:val="center"/>
              <w:rPr>
                <w:rFonts w:ascii="宋体" w:hAnsi="宋体" w:cs="宋体"/>
              </w:rPr>
            </w:pPr>
          </w:p>
        </w:tc>
        <w:tc>
          <w:tcPr>
            <w:tcW w:w="1365" w:type="dxa"/>
            <w:vAlign w:val="center"/>
          </w:tcPr>
          <w:p>
            <w:pPr>
              <w:spacing w:line="360" w:lineRule="auto"/>
              <w:jc w:val="center"/>
              <w:rPr>
                <w:rFonts w:ascii="宋体" w:hAnsi="宋体" w:cs="宋体"/>
              </w:rPr>
            </w:pPr>
          </w:p>
        </w:tc>
        <w:tc>
          <w:tcPr>
            <w:tcW w:w="1204" w:type="dxa"/>
            <w:vAlign w:val="center"/>
          </w:tcPr>
          <w:p>
            <w:pPr>
              <w:spacing w:line="360" w:lineRule="auto"/>
              <w:jc w:val="center"/>
              <w:rPr>
                <w:rFonts w:ascii="宋体" w:hAnsi="宋体" w:cs="宋体"/>
              </w:rPr>
            </w:pPr>
          </w:p>
        </w:tc>
        <w:tc>
          <w:tcPr>
            <w:tcW w:w="1303" w:type="dxa"/>
            <w:vAlign w:val="center"/>
          </w:tcPr>
          <w:p>
            <w:pPr>
              <w:spacing w:line="360" w:lineRule="auto"/>
              <w:jc w:val="center"/>
              <w:rPr>
                <w:rFonts w:ascii="宋体" w:hAnsi="宋体" w:cs="宋体"/>
              </w:rPr>
            </w:pPr>
          </w:p>
        </w:tc>
        <w:tc>
          <w:tcPr>
            <w:tcW w:w="1683" w:type="dxa"/>
            <w:tcBorders>
              <w:left w:val="single" w:color="auto" w:sz="4" w:space="0"/>
            </w:tcBorders>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1" w:hRule="exact"/>
          <w:jc w:val="center"/>
        </w:trPr>
        <w:tc>
          <w:tcPr>
            <w:tcW w:w="1244" w:type="dxa"/>
            <w:vAlign w:val="center"/>
          </w:tcPr>
          <w:p>
            <w:pPr>
              <w:spacing w:line="360" w:lineRule="auto"/>
              <w:jc w:val="center"/>
              <w:rPr>
                <w:rFonts w:ascii="宋体" w:hAnsi="宋体" w:cs="宋体"/>
              </w:rPr>
            </w:pPr>
          </w:p>
        </w:tc>
        <w:tc>
          <w:tcPr>
            <w:tcW w:w="1244" w:type="dxa"/>
            <w:vAlign w:val="center"/>
          </w:tcPr>
          <w:p>
            <w:pPr>
              <w:spacing w:line="360" w:lineRule="auto"/>
              <w:jc w:val="center"/>
              <w:rPr>
                <w:rFonts w:ascii="宋体" w:hAnsi="宋体" w:cs="宋体"/>
              </w:rPr>
            </w:pPr>
          </w:p>
        </w:tc>
        <w:tc>
          <w:tcPr>
            <w:tcW w:w="1310" w:type="dxa"/>
            <w:vAlign w:val="center"/>
          </w:tcPr>
          <w:p>
            <w:pPr>
              <w:spacing w:line="360" w:lineRule="auto"/>
              <w:jc w:val="center"/>
              <w:rPr>
                <w:rFonts w:ascii="宋体" w:hAnsi="宋体" w:cs="宋体"/>
              </w:rPr>
            </w:pPr>
          </w:p>
        </w:tc>
        <w:tc>
          <w:tcPr>
            <w:tcW w:w="1365" w:type="dxa"/>
            <w:vAlign w:val="center"/>
          </w:tcPr>
          <w:p>
            <w:pPr>
              <w:spacing w:line="360" w:lineRule="auto"/>
              <w:jc w:val="center"/>
              <w:rPr>
                <w:rFonts w:ascii="宋体" w:hAnsi="宋体" w:cs="宋体"/>
              </w:rPr>
            </w:pPr>
          </w:p>
        </w:tc>
        <w:tc>
          <w:tcPr>
            <w:tcW w:w="1204" w:type="dxa"/>
            <w:vAlign w:val="center"/>
          </w:tcPr>
          <w:p>
            <w:pPr>
              <w:spacing w:line="360" w:lineRule="auto"/>
              <w:jc w:val="center"/>
              <w:rPr>
                <w:rFonts w:ascii="宋体" w:hAnsi="宋体" w:cs="宋体"/>
              </w:rPr>
            </w:pPr>
          </w:p>
        </w:tc>
        <w:tc>
          <w:tcPr>
            <w:tcW w:w="1303" w:type="dxa"/>
            <w:vAlign w:val="center"/>
          </w:tcPr>
          <w:p>
            <w:pPr>
              <w:spacing w:line="360" w:lineRule="auto"/>
              <w:jc w:val="center"/>
              <w:rPr>
                <w:rFonts w:ascii="宋体" w:hAnsi="宋体" w:cs="宋体"/>
              </w:rPr>
            </w:pPr>
          </w:p>
        </w:tc>
        <w:tc>
          <w:tcPr>
            <w:tcW w:w="1683" w:type="dxa"/>
            <w:tcBorders>
              <w:left w:val="single" w:color="auto" w:sz="4" w:space="0"/>
            </w:tcBorders>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9" w:hRule="exact"/>
          <w:jc w:val="center"/>
        </w:trPr>
        <w:tc>
          <w:tcPr>
            <w:tcW w:w="1244" w:type="dxa"/>
            <w:vAlign w:val="center"/>
          </w:tcPr>
          <w:p>
            <w:pPr>
              <w:spacing w:line="360" w:lineRule="auto"/>
              <w:jc w:val="center"/>
              <w:rPr>
                <w:rFonts w:ascii="宋体" w:hAnsi="宋体" w:cs="宋体"/>
              </w:rPr>
            </w:pPr>
          </w:p>
        </w:tc>
        <w:tc>
          <w:tcPr>
            <w:tcW w:w="1244" w:type="dxa"/>
            <w:vAlign w:val="center"/>
          </w:tcPr>
          <w:p>
            <w:pPr>
              <w:spacing w:line="360" w:lineRule="auto"/>
              <w:jc w:val="center"/>
              <w:rPr>
                <w:rFonts w:ascii="宋体" w:hAnsi="宋体" w:cs="宋体"/>
              </w:rPr>
            </w:pPr>
          </w:p>
        </w:tc>
        <w:tc>
          <w:tcPr>
            <w:tcW w:w="1310" w:type="dxa"/>
            <w:vAlign w:val="center"/>
          </w:tcPr>
          <w:p>
            <w:pPr>
              <w:spacing w:line="360" w:lineRule="auto"/>
              <w:jc w:val="center"/>
              <w:rPr>
                <w:rFonts w:ascii="宋体" w:hAnsi="宋体" w:cs="宋体"/>
              </w:rPr>
            </w:pPr>
          </w:p>
        </w:tc>
        <w:tc>
          <w:tcPr>
            <w:tcW w:w="1365" w:type="dxa"/>
            <w:vAlign w:val="center"/>
          </w:tcPr>
          <w:p>
            <w:pPr>
              <w:spacing w:line="360" w:lineRule="auto"/>
              <w:jc w:val="center"/>
              <w:rPr>
                <w:rFonts w:ascii="宋体" w:hAnsi="宋体" w:cs="宋体"/>
              </w:rPr>
            </w:pPr>
          </w:p>
        </w:tc>
        <w:tc>
          <w:tcPr>
            <w:tcW w:w="1204" w:type="dxa"/>
            <w:vAlign w:val="center"/>
          </w:tcPr>
          <w:p>
            <w:pPr>
              <w:spacing w:line="360" w:lineRule="auto"/>
              <w:jc w:val="center"/>
              <w:rPr>
                <w:rFonts w:ascii="宋体" w:hAnsi="宋体" w:cs="宋体"/>
              </w:rPr>
            </w:pPr>
          </w:p>
        </w:tc>
        <w:tc>
          <w:tcPr>
            <w:tcW w:w="1303" w:type="dxa"/>
            <w:vAlign w:val="center"/>
          </w:tcPr>
          <w:p>
            <w:pPr>
              <w:spacing w:line="360" w:lineRule="auto"/>
              <w:jc w:val="center"/>
              <w:rPr>
                <w:rFonts w:ascii="宋体" w:hAnsi="宋体" w:cs="宋体"/>
              </w:rPr>
            </w:pPr>
          </w:p>
        </w:tc>
        <w:tc>
          <w:tcPr>
            <w:tcW w:w="1683" w:type="dxa"/>
            <w:tcBorders>
              <w:left w:val="single" w:color="auto" w:sz="4" w:space="0"/>
            </w:tcBorders>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34" w:hRule="exact"/>
          <w:jc w:val="center"/>
        </w:trPr>
        <w:tc>
          <w:tcPr>
            <w:tcW w:w="1244" w:type="dxa"/>
            <w:vAlign w:val="center"/>
          </w:tcPr>
          <w:p>
            <w:pPr>
              <w:spacing w:line="360" w:lineRule="auto"/>
              <w:jc w:val="center"/>
              <w:rPr>
                <w:rFonts w:ascii="宋体" w:hAnsi="宋体" w:cs="宋体"/>
              </w:rPr>
            </w:pPr>
          </w:p>
        </w:tc>
        <w:tc>
          <w:tcPr>
            <w:tcW w:w="1244" w:type="dxa"/>
            <w:vAlign w:val="center"/>
          </w:tcPr>
          <w:p>
            <w:pPr>
              <w:spacing w:line="360" w:lineRule="auto"/>
              <w:jc w:val="center"/>
              <w:rPr>
                <w:rFonts w:ascii="宋体" w:hAnsi="宋体" w:cs="宋体"/>
              </w:rPr>
            </w:pPr>
          </w:p>
        </w:tc>
        <w:tc>
          <w:tcPr>
            <w:tcW w:w="1310" w:type="dxa"/>
            <w:vAlign w:val="center"/>
          </w:tcPr>
          <w:p>
            <w:pPr>
              <w:spacing w:line="360" w:lineRule="auto"/>
              <w:jc w:val="center"/>
              <w:rPr>
                <w:rFonts w:ascii="宋体" w:hAnsi="宋体" w:cs="宋体"/>
              </w:rPr>
            </w:pPr>
          </w:p>
        </w:tc>
        <w:tc>
          <w:tcPr>
            <w:tcW w:w="1365" w:type="dxa"/>
            <w:vAlign w:val="center"/>
          </w:tcPr>
          <w:p>
            <w:pPr>
              <w:spacing w:line="360" w:lineRule="auto"/>
              <w:jc w:val="center"/>
              <w:rPr>
                <w:rFonts w:ascii="宋体" w:hAnsi="宋体" w:cs="宋体"/>
              </w:rPr>
            </w:pPr>
          </w:p>
        </w:tc>
        <w:tc>
          <w:tcPr>
            <w:tcW w:w="1204" w:type="dxa"/>
            <w:vAlign w:val="center"/>
          </w:tcPr>
          <w:p>
            <w:pPr>
              <w:spacing w:line="360" w:lineRule="auto"/>
              <w:jc w:val="center"/>
              <w:rPr>
                <w:rFonts w:ascii="宋体" w:hAnsi="宋体" w:cs="宋体"/>
              </w:rPr>
            </w:pPr>
          </w:p>
        </w:tc>
        <w:tc>
          <w:tcPr>
            <w:tcW w:w="1303" w:type="dxa"/>
            <w:vAlign w:val="center"/>
          </w:tcPr>
          <w:p>
            <w:pPr>
              <w:spacing w:line="360" w:lineRule="auto"/>
              <w:jc w:val="center"/>
              <w:rPr>
                <w:rFonts w:ascii="宋体" w:hAnsi="宋体" w:cs="宋体"/>
              </w:rPr>
            </w:pPr>
          </w:p>
        </w:tc>
        <w:tc>
          <w:tcPr>
            <w:tcW w:w="1683" w:type="dxa"/>
            <w:tcBorders>
              <w:left w:val="single" w:color="auto" w:sz="4" w:space="0"/>
            </w:tcBorders>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1" w:hRule="exact"/>
          <w:jc w:val="center"/>
        </w:trPr>
        <w:tc>
          <w:tcPr>
            <w:tcW w:w="1244" w:type="dxa"/>
            <w:vAlign w:val="center"/>
          </w:tcPr>
          <w:p>
            <w:pPr>
              <w:spacing w:line="360" w:lineRule="auto"/>
              <w:jc w:val="center"/>
              <w:rPr>
                <w:rFonts w:ascii="宋体" w:hAnsi="宋体" w:cs="宋体"/>
              </w:rPr>
            </w:pPr>
          </w:p>
        </w:tc>
        <w:tc>
          <w:tcPr>
            <w:tcW w:w="1244" w:type="dxa"/>
            <w:vAlign w:val="center"/>
          </w:tcPr>
          <w:p>
            <w:pPr>
              <w:spacing w:line="360" w:lineRule="auto"/>
              <w:jc w:val="center"/>
              <w:rPr>
                <w:rFonts w:ascii="宋体" w:hAnsi="宋体" w:cs="宋体"/>
              </w:rPr>
            </w:pPr>
          </w:p>
        </w:tc>
        <w:tc>
          <w:tcPr>
            <w:tcW w:w="1310" w:type="dxa"/>
            <w:vAlign w:val="center"/>
          </w:tcPr>
          <w:p>
            <w:pPr>
              <w:spacing w:line="360" w:lineRule="auto"/>
              <w:jc w:val="center"/>
              <w:rPr>
                <w:rFonts w:ascii="宋体" w:hAnsi="宋体" w:cs="宋体"/>
              </w:rPr>
            </w:pPr>
          </w:p>
        </w:tc>
        <w:tc>
          <w:tcPr>
            <w:tcW w:w="1365" w:type="dxa"/>
            <w:vAlign w:val="center"/>
          </w:tcPr>
          <w:p>
            <w:pPr>
              <w:spacing w:line="360" w:lineRule="auto"/>
              <w:jc w:val="center"/>
              <w:rPr>
                <w:rFonts w:ascii="宋体" w:hAnsi="宋体" w:cs="宋体"/>
              </w:rPr>
            </w:pPr>
          </w:p>
        </w:tc>
        <w:tc>
          <w:tcPr>
            <w:tcW w:w="1204" w:type="dxa"/>
            <w:vAlign w:val="center"/>
          </w:tcPr>
          <w:p>
            <w:pPr>
              <w:spacing w:line="360" w:lineRule="auto"/>
              <w:jc w:val="center"/>
              <w:rPr>
                <w:rFonts w:ascii="宋体" w:hAnsi="宋体" w:cs="宋体"/>
              </w:rPr>
            </w:pPr>
          </w:p>
        </w:tc>
        <w:tc>
          <w:tcPr>
            <w:tcW w:w="1303" w:type="dxa"/>
            <w:vAlign w:val="center"/>
          </w:tcPr>
          <w:p>
            <w:pPr>
              <w:spacing w:line="360" w:lineRule="auto"/>
              <w:jc w:val="center"/>
              <w:rPr>
                <w:rFonts w:ascii="宋体" w:hAnsi="宋体" w:cs="宋体"/>
              </w:rPr>
            </w:pPr>
          </w:p>
        </w:tc>
        <w:tc>
          <w:tcPr>
            <w:tcW w:w="1683" w:type="dxa"/>
            <w:tcBorders>
              <w:left w:val="single" w:color="auto" w:sz="4" w:space="0"/>
            </w:tcBorders>
            <w:vAlign w:val="center"/>
          </w:tcPr>
          <w:p>
            <w:pPr>
              <w:spacing w:line="360" w:lineRule="auto"/>
              <w:jc w:val="center"/>
              <w:rPr>
                <w:rFonts w:ascii="宋体" w:hAnsi="宋体" w:cs="宋体"/>
              </w:rPr>
            </w:pPr>
          </w:p>
        </w:tc>
      </w:tr>
    </w:tbl>
    <w:p>
      <w:pPr>
        <w:spacing w:line="360" w:lineRule="auto"/>
        <w:rPr>
          <w:rFonts w:ascii="宋体" w:hAnsi="宋体" w:cs="宋体"/>
          <w:b/>
        </w:rPr>
      </w:pPr>
      <w:r>
        <w:rPr>
          <w:rFonts w:hint="eastAsia" w:ascii="宋体" w:hAnsi="宋体" w:cs="宋体"/>
          <w:b/>
        </w:rPr>
        <w:t>注：1.本表后附业绩证明资料加盖投标人公章，签订时间及金额以合同中的内容为准。</w:t>
      </w:r>
    </w:p>
    <w:p>
      <w:pPr>
        <w:spacing w:line="360" w:lineRule="auto"/>
        <w:rPr>
          <w:rFonts w:ascii="宋体" w:hAnsi="宋体" w:cs="宋体"/>
          <w:b/>
        </w:rPr>
      </w:pPr>
      <w:r>
        <w:rPr>
          <w:rFonts w:hint="eastAsia" w:ascii="宋体" w:hAnsi="宋体" w:cs="宋体"/>
          <w:b/>
        </w:rPr>
        <w:t>2.投标人应如实列出以上情况，如有隐瞒，一经查实将导致其投标文件被拒绝。</w:t>
      </w:r>
    </w:p>
    <w:p>
      <w:pPr>
        <w:spacing w:line="360" w:lineRule="auto"/>
        <w:rPr>
          <w:rFonts w:ascii="宋体" w:hAnsi="宋体" w:cs="宋体"/>
          <w:b/>
        </w:rPr>
      </w:pPr>
      <w:r>
        <w:rPr>
          <w:rFonts w:hint="eastAsia" w:ascii="宋体" w:hAnsi="宋体" w:cs="宋体"/>
          <w:b/>
        </w:rPr>
        <w:t>3.未按上述要求提供、填写的，评审时不予以考虑。</w:t>
      </w:r>
    </w:p>
    <w:p>
      <w:pPr>
        <w:spacing w:line="360" w:lineRule="auto"/>
        <w:rPr>
          <w:rFonts w:ascii="宋体" w:hAnsi="宋体" w:cs="宋体"/>
          <w:b/>
        </w:rPr>
      </w:pPr>
    </w:p>
    <w:p>
      <w:pPr>
        <w:spacing w:line="360" w:lineRule="auto"/>
        <w:rPr>
          <w:rFonts w:ascii="宋体" w:hAnsi="宋体" w:cs="宋体"/>
        </w:rPr>
      </w:pPr>
    </w:p>
    <w:p>
      <w:pPr>
        <w:spacing w:line="360" w:lineRule="auto"/>
        <w:rPr>
          <w:rFonts w:ascii="宋体" w:hAnsi="宋体" w:cs="宋体"/>
          <w:sz w:val="24"/>
        </w:rPr>
      </w:pPr>
      <w:r>
        <w:rPr>
          <w:rFonts w:hint="eastAsia" w:ascii="宋体" w:hAnsi="宋体" w:cs="宋体"/>
          <w:sz w:val="24"/>
        </w:rPr>
        <w:t xml:space="preserve">投标人名称（公章）： </w:t>
      </w:r>
    </w:p>
    <w:p>
      <w:pPr>
        <w:spacing w:line="360" w:lineRule="auto"/>
        <w:jc w:val="left"/>
        <w:rPr>
          <w:rFonts w:ascii="宋体" w:hAnsi="宋体" w:cs="宋体"/>
          <w:sz w:val="24"/>
        </w:rPr>
      </w:pPr>
      <w:r>
        <w:rPr>
          <w:rFonts w:hint="eastAsia" w:ascii="宋体" w:hAnsi="宋体" w:cs="宋体"/>
          <w:sz w:val="24"/>
        </w:rPr>
        <w:t>法定代表人（负责人）/被授权人</w:t>
      </w:r>
      <w:r>
        <w:rPr>
          <w:rFonts w:hint="eastAsia" w:ascii="宋体" w:hAnsi="宋体" w:cs="宋体"/>
          <w:spacing w:val="4"/>
          <w:sz w:val="24"/>
        </w:rPr>
        <w:t>（签字或盖章）</w:t>
      </w:r>
      <w:r>
        <w:rPr>
          <w:rFonts w:hint="eastAsia" w:ascii="宋体" w:hAnsi="宋体" w:cs="宋体"/>
          <w:sz w:val="24"/>
        </w:rPr>
        <w:t>：</w:t>
      </w:r>
    </w:p>
    <w:p>
      <w:pPr>
        <w:spacing w:line="360" w:lineRule="auto"/>
        <w:rPr>
          <w:rFonts w:ascii="宋体" w:hAnsi="宋体" w:cs="宋体"/>
        </w:rPr>
      </w:pPr>
      <w:r>
        <w:rPr>
          <w:rFonts w:hint="eastAsia" w:ascii="宋体" w:hAnsi="宋体" w:cs="宋体"/>
          <w:sz w:val="24"/>
        </w:rPr>
        <w:t>日    期：</w:t>
      </w:r>
    </w:p>
    <w:p>
      <w:pPr>
        <w:pStyle w:val="12"/>
        <w:ind w:firstLine="280" w:firstLineChars="100"/>
        <w:rPr>
          <w:rFonts w:cs="宋体"/>
          <w:sz w:val="28"/>
          <w:szCs w:val="28"/>
        </w:rPr>
      </w:pPr>
    </w:p>
    <w:p>
      <w:pPr>
        <w:pStyle w:val="16"/>
        <w:spacing w:line="360" w:lineRule="auto"/>
        <w:ind w:left="1080" w:leftChars="257" w:hanging="540"/>
        <w:jc w:val="center"/>
        <w:rPr>
          <w:rFonts w:hAnsi="宋体" w:cs="宋体"/>
          <w:b/>
          <w:bCs/>
          <w:sz w:val="28"/>
          <w:szCs w:val="21"/>
        </w:rPr>
      </w:pPr>
    </w:p>
    <w:p>
      <w:pPr>
        <w:spacing w:line="360" w:lineRule="auto"/>
        <w:jc w:val="center"/>
        <w:outlineLvl w:val="1"/>
        <w:rPr>
          <w:rFonts w:ascii="宋体" w:hAnsi="宋体" w:cs="宋体"/>
          <w:sz w:val="24"/>
        </w:rPr>
      </w:pPr>
      <w:r>
        <w:rPr>
          <w:rFonts w:hint="eastAsia" w:ascii="宋体" w:hAnsi="宋体" w:cs="宋体"/>
          <w:b/>
          <w:bCs/>
          <w:sz w:val="24"/>
        </w:rPr>
        <w:t>七、陕西省政府采购</w:t>
      </w:r>
      <w:r>
        <w:rPr>
          <w:rFonts w:hint="eastAsia" w:ascii="宋体" w:hAnsi="宋体" w:cs="宋体"/>
          <w:b/>
          <w:bCs/>
          <w:sz w:val="24"/>
          <w:lang w:val="zh-CN"/>
        </w:rPr>
        <w:t>投标人</w:t>
      </w:r>
      <w:r>
        <w:rPr>
          <w:rFonts w:hint="eastAsia" w:ascii="宋体" w:hAnsi="宋体" w:cs="宋体"/>
          <w:b/>
          <w:bCs/>
          <w:sz w:val="24"/>
        </w:rPr>
        <w:t>拒绝政府采购领域商业贿赂承诺书</w:t>
      </w:r>
    </w:p>
    <w:p>
      <w:pPr>
        <w:widowControl/>
        <w:spacing w:line="360" w:lineRule="auto"/>
        <w:ind w:firstLine="470" w:firstLineChars="196"/>
        <w:jc w:val="left"/>
        <w:rPr>
          <w:rFonts w:ascii="宋体" w:hAnsi="宋体" w:cs="宋体"/>
          <w:sz w:val="24"/>
        </w:rPr>
      </w:pPr>
    </w:p>
    <w:p>
      <w:pPr>
        <w:widowControl/>
        <w:spacing w:line="360" w:lineRule="auto"/>
        <w:ind w:firstLine="480" w:firstLineChars="200"/>
        <w:rPr>
          <w:rFonts w:ascii="宋体" w:hAnsi="宋体" w:cs="宋体"/>
          <w:sz w:val="24"/>
        </w:rPr>
      </w:pPr>
      <w:r>
        <w:rPr>
          <w:rFonts w:hint="eastAsia" w:ascii="宋体" w:hAnsi="宋体" w:cs="宋体"/>
          <w:sz w:val="24"/>
        </w:rPr>
        <w:t>为响应党中央、国务院关于治理政府采购领域商业贿赂行为的号召，我公司在此庄严承诺：</w:t>
      </w:r>
      <w:r>
        <w:rPr>
          <w:rFonts w:hint="eastAsia" w:ascii="宋体" w:hAnsi="宋体" w:cs="宋体"/>
          <w:sz w:val="24"/>
        </w:rPr>
        <w:br w:type="textWrapping"/>
      </w:r>
      <w:r>
        <w:rPr>
          <w:rFonts w:hint="eastAsia" w:ascii="宋体" w:hAnsi="宋体" w:cs="宋体"/>
          <w:sz w:val="24"/>
        </w:rPr>
        <w:t xml:space="preserve">    1.在参与政府采购活动中遵纪守法、诚信经营、公平竞标。</w:t>
      </w:r>
    </w:p>
    <w:p>
      <w:pPr>
        <w:widowControl/>
        <w:spacing w:line="360" w:lineRule="auto"/>
        <w:ind w:firstLine="480" w:firstLineChars="200"/>
        <w:rPr>
          <w:rFonts w:ascii="宋体" w:hAnsi="宋体" w:cs="宋体"/>
          <w:sz w:val="24"/>
        </w:rPr>
      </w:pPr>
      <w:r>
        <w:rPr>
          <w:rFonts w:hint="eastAsia" w:ascii="宋体" w:hAnsi="宋体" w:cs="宋体"/>
          <w:sz w:val="24"/>
        </w:rPr>
        <w:t>2.不向政府采购人、招标代理机构和政府采购评审专家进行任何形式的商业贿赂以谋取交易机会。</w:t>
      </w:r>
    </w:p>
    <w:p>
      <w:pPr>
        <w:widowControl/>
        <w:spacing w:line="360" w:lineRule="auto"/>
        <w:ind w:firstLine="480" w:firstLineChars="200"/>
        <w:rPr>
          <w:rFonts w:ascii="宋体" w:hAnsi="宋体" w:cs="宋体"/>
          <w:sz w:val="24"/>
        </w:rPr>
      </w:pPr>
      <w:r>
        <w:rPr>
          <w:rFonts w:hint="eastAsia" w:ascii="宋体" w:hAnsi="宋体" w:cs="宋体"/>
          <w:sz w:val="24"/>
        </w:rPr>
        <w:t>3.不向政府招标代理机构和采购人提供虚假资格文件或采用虚假应标方式参与政府采购市场竞争并谋取中标、成交。</w:t>
      </w:r>
    </w:p>
    <w:p>
      <w:pPr>
        <w:widowControl/>
        <w:spacing w:line="360" w:lineRule="auto"/>
        <w:ind w:firstLine="480" w:firstLineChars="200"/>
        <w:rPr>
          <w:rFonts w:ascii="宋体" w:hAnsi="宋体" w:cs="宋体"/>
          <w:sz w:val="24"/>
        </w:rPr>
      </w:pPr>
      <w:r>
        <w:rPr>
          <w:rFonts w:hint="eastAsia" w:ascii="宋体" w:hAnsi="宋体" w:cs="宋体"/>
          <w:sz w:val="24"/>
        </w:rPr>
        <w:t>4.不采取“围标、陪标”等商业欺诈手段获得政府采购定单。</w:t>
      </w:r>
    </w:p>
    <w:p>
      <w:pPr>
        <w:widowControl/>
        <w:spacing w:line="360" w:lineRule="auto"/>
        <w:ind w:firstLine="480" w:firstLineChars="200"/>
        <w:rPr>
          <w:rFonts w:ascii="宋体" w:hAnsi="宋体" w:cs="宋体"/>
          <w:sz w:val="24"/>
        </w:rPr>
      </w:pPr>
      <w:r>
        <w:rPr>
          <w:rFonts w:hint="eastAsia" w:ascii="宋体" w:hAnsi="宋体" w:cs="宋体"/>
          <w:sz w:val="24"/>
        </w:rPr>
        <w:t>5.不采取不正当手段诋毁、排挤其他</w:t>
      </w:r>
      <w:r>
        <w:rPr>
          <w:rFonts w:hint="eastAsia" w:ascii="宋体" w:hAnsi="宋体" w:cs="宋体"/>
          <w:sz w:val="24"/>
          <w:lang w:val="zh-CN"/>
        </w:rPr>
        <w:t>投标人</w:t>
      </w:r>
      <w:r>
        <w:rPr>
          <w:rFonts w:hint="eastAsia" w:ascii="宋体" w:hAnsi="宋体" w:cs="宋体"/>
          <w:sz w:val="24"/>
        </w:rPr>
        <w:t>。</w:t>
      </w:r>
    </w:p>
    <w:p>
      <w:pPr>
        <w:widowControl/>
        <w:spacing w:line="360" w:lineRule="auto"/>
        <w:ind w:firstLine="480" w:firstLineChars="200"/>
        <w:rPr>
          <w:rFonts w:ascii="宋体" w:hAnsi="宋体" w:cs="宋体"/>
          <w:sz w:val="24"/>
        </w:rPr>
      </w:pPr>
      <w:r>
        <w:rPr>
          <w:rFonts w:hint="eastAsia" w:ascii="宋体" w:hAnsi="宋体" w:cs="宋体"/>
          <w:sz w:val="24"/>
        </w:rPr>
        <w:t>6.不在提供商品和服务时“偷梁换柱、以次充好”损害采购人的合法权益。</w:t>
      </w:r>
    </w:p>
    <w:p>
      <w:pPr>
        <w:widowControl/>
        <w:spacing w:line="360" w:lineRule="auto"/>
        <w:ind w:firstLine="480" w:firstLineChars="200"/>
        <w:rPr>
          <w:rFonts w:ascii="宋体" w:hAnsi="宋体" w:cs="宋体"/>
          <w:sz w:val="24"/>
        </w:rPr>
      </w:pPr>
      <w:r>
        <w:rPr>
          <w:rFonts w:hint="eastAsia" w:ascii="宋体" w:hAnsi="宋体" w:cs="宋体"/>
          <w:sz w:val="24"/>
        </w:rPr>
        <w:t>7.不与采购人、招标代理机构政府采购评审专家或其它</w:t>
      </w:r>
      <w:r>
        <w:rPr>
          <w:rFonts w:hint="eastAsia" w:ascii="宋体" w:hAnsi="宋体" w:cs="宋体"/>
          <w:sz w:val="24"/>
          <w:lang w:val="zh-CN"/>
        </w:rPr>
        <w:t>投标人</w:t>
      </w:r>
      <w:r>
        <w:rPr>
          <w:rFonts w:hint="eastAsia" w:ascii="宋体" w:hAnsi="宋体" w:cs="宋体"/>
          <w:sz w:val="24"/>
        </w:rPr>
        <w:t>恶意串通，进行质疑和投诉，维护政府采购市场秩序。</w:t>
      </w:r>
    </w:p>
    <w:p>
      <w:pPr>
        <w:widowControl/>
        <w:spacing w:line="360" w:lineRule="auto"/>
        <w:ind w:firstLine="480" w:firstLineChars="200"/>
        <w:rPr>
          <w:rFonts w:ascii="宋体" w:hAnsi="宋体" w:cs="宋体"/>
          <w:sz w:val="24"/>
        </w:rPr>
      </w:pPr>
      <w:r>
        <w:rPr>
          <w:rFonts w:hint="eastAsia" w:ascii="宋体" w:hAnsi="宋体" w:cs="宋体"/>
          <w:sz w:val="24"/>
        </w:rPr>
        <w:t>8.尊重和接受政府采购监督管理部门的监督和政府招标代理机构招标采购要求，承担因违约行为给采购人造成的损失。</w:t>
      </w:r>
    </w:p>
    <w:p>
      <w:pPr>
        <w:widowControl/>
        <w:spacing w:line="360" w:lineRule="auto"/>
        <w:ind w:firstLine="480" w:firstLineChars="200"/>
        <w:rPr>
          <w:rFonts w:ascii="宋体" w:hAnsi="宋体" w:cs="宋体"/>
          <w:sz w:val="24"/>
        </w:rPr>
      </w:pPr>
      <w:r>
        <w:rPr>
          <w:rFonts w:hint="eastAsia" w:ascii="宋体" w:hAnsi="宋体" w:cs="宋体"/>
          <w:sz w:val="24"/>
        </w:rPr>
        <w:t>9.不发生其他有悖于政府采购公开、公平、公正和诚信原则的行为。</w:t>
      </w:r>
      <w:r>
        <w:rPr>
          <w:rFonts w:hint="eastAsia" w:ascii="宋体" w:hAnsi="宋体" w:cs="宋体"/>
          <w:sz w:val="24"/>
        </w:rPr>
        <w:br w:type="textWrapping"/>
      </w:r>
    </w:p>
    <w:p>
      <w:pPr>
        <w:widowControl/>
        <w:spacing w:line="360" w:lineRule="auto"/>
        <w:ind w:firstLine="480" w:firstLineChars="200"/>
        <w:jc w:val="left"/>
        <w:rPr>
          <w:rFonts w:ascii="宋体" w:hAnsi="宋体" w:cs="宋体"/>
          <w:sz w:val="24"/>
        </w:rPr>
      </w:pPr>
      <w:r>
        <w:rPr>
          <w:rFonts w:hint="eastAsia" w:ascii="宋体" w:hAnsi="宋体" w:cs="宋体"/>
          <w:sz w:val="24"/>
        </w:rPr>
        <w:t xml:space="preserve">承诺单位（公章）： </w:t>
      </w:r>
      <w:r>
        <w:rPr>
          <w:rFonts w:hint="eastAsia" w:ascii="宋体" w:hAnsi="宋体" w:cs="宋体"/>
          <w:sz w:val="24"/>
        </w:rPr>
        <w:br w:type="textWrapping"/>
      </w:r>
      <w:r>
        <w:rPr>
          <w:rFonts w:hint="eastAsia" w:ascii="宋体" w:hAnsi="宋体" w:cs="宋体"/>
          <w:sz w:val="24"/>
        </w:rPr>
        <w:t xml:space="preserve">    法定代表人（负责人）/被授权人</w:t>
      </w:r>
      <w:r>
        <w:rPr>
          <w:rFonts w:hint="eastAsia" w:ascii="宋体" w:hAnsi="宋体" w:cs="宋体"/>
          <w:spacing w:val="4"/>
          <w:sz w:val="24"/>
        </w:rPr>
        <w:t>（签字或盖章）</w:t>
      </w:r>
      <w:r>
        <w:rPr>
          <w:rFonts w:hint="eastAsia" w:ascii="宋体" w:hAnsi="宋体" w:cs="宋体"/>
          <w:sz w:val="24"/>
        </w:rPr>
        <w:t>：</w:t>
      </w:r>
      <w:r>
        <w:rPr>
          <w:rFonts w:hint="eastAsia" w:ascii="宋体" w:hAnsi="宋体" w:cs="宋体"/>
          <w:sz w:val="24"/>
        </w:rPr>
        <w:br w:type="textWrapping"/>
      </w:r>
      <w:r>
        <w:rPr>
          <w:rFonts w:hint="eastAsia" w:ascii="宋体" w:hAnsi="宋体" w:cs="宋体"/>
          <w:sz w:val="24"/>
        </w:rPr>
        <w:t xml:space="preserve">    地    址：       </w:t>
      </w:r>
    </w:p>
    <w:p>
      <w:pPr>
        <w:widowControl/>
        <w:spacing w:line="360" w:lineRule="auto"/>
        <w:ind w:firstLine="480" w:firstLineChars="200"/>
        <w:jc w:val="left"/>
        <w:rPr>
          <w:rFonts w:ascii="宋体" w:hAnsi="宋体" w:cs="宋体"/>
          <w:sz w:val="24"/>
        </w:rPr>
      </w:pPr>
      <w:r>
        <w:rPr>
          <w:rFonts w:hint="eastAsia" w:ascii="宋体" w:hAnsi="宋体" w:cs="宋体"/>
          <w:sz w:val="24"/>
        </w:rPr>
        <w:t xml:space="preserve">邮    编：                                      </w:t>
      </w:r>
      <w:r>
        <w:rPr>
          <w:rFonts w:hint="eastAsia" w:ascii="宋体" w:hAnsi="宋体" w:cs="宋体"/>
          <w:sz w:val="24"/>
        </w:rPr>
        <w:br w:type="textWrapping"/>
      </w:r>
      <w:r>
        <w:rPr>
          <w:rFonts w:hint="eastAsia" w:ascii="宋体" w:hAnsi="宋体" w:cs="宋体"/>
          <w:sz w:val="24"/>
        </w:rPr>
        <w:t xml:space="preserve">    电    话：                    </w:t>
      </w:r>
    </w:p>
    <w:p>
      <w:pPr>
        <w:spacing w:line="360" w:lineRule="auto"/>
        <w:rPr>
          <w:rFonts w:ascii="宋体" w:hAnsi="宋体" w:cs="宋体"/>
          <w:sz w:val="24"/>
        </w:rPr>
      </w:pPr>
      <w:r>
        <w:rPr>
          <w:rFonts w:hint="eastAsia" w:ascii="宋体" w:hAnsi="宋体" w:cs="宋体"/>
          <w:sz w:val="24"/>
        </w:rPr>
        <w:t xml:space="preserve">    日    期：</w:t>
      </w:r>
    </w:p>
    <w:p>
      <w:pPr>
        <w:rPr>
          <w:rFonts w:ascii="宋体" w:hAnsi="宋体" w:cs="宋体"/>
          <w:b/>
          <w:bCs/>
          <w:sz w:val="30"/>
          <w:szCs w:val="30"/>
          <w:lang w:val="zh-CN"/>
        </w:rPr>
      </w:pPr>
    </w:p>
    <w:p>
      <w:pPr>
        <w:rPr>
          <w:rFonts w:ascii="宋体" w:hAnsi="宋体" w:cs="宋体"/>
        </w:rPr>
      </w:pPr>
    </w:p>
    <w:sectPr>
      <w:footerReference r:id="rId9" w:type="default"/>
      <w:pgSz w:w="11907" w:h="16840"/>
      <w:pgMar w:top="1417" w:right="1417" w:bottom="1417" w:left="1417" w:header="1020"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SourceHanSansCN-Regular">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___WRD_EMBED_SUB_39">
    <w:altName w:val="宋体"/>
    <w:panose1 w:val="00000000000000000000"/>
    <w:charset w:val="86"/>
    <w:family w:val="modern"/>
    <w:pitch w:val="default"/>
    <w:sig w:usb0="00000000" w:usb1="00000000" w:usb2="00000010" w:usb3="00000000" w:csb0="00040000" w:csb1="00000000"/>
  </w:font>
  <w:font w:name="___WRD_EMBED_SUB_38">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rFonts w:hint="eastAsia"/>
        <w:b/>
        <w:bCs/>
        <w:i/>
        <w:iCs/>
      </w:rPr>
      <w:t xml:space="preserve">陕西诺尔信项目管理有限公司              第 </w:t>
    </w:r>
    <w:r>
      <w:rPr>
        <w:b/>
        <w:bCs/>
        <w:i/>
        <w:iCs/>
      </w:rPr>
      <w:fldChar w:fldCharType="begin"/>
    </w:r>
    <w:r>
      <w:rPr>
        <w:b/>
        <w:bCs/>
        <w:i/>
        <w:iCs/>
      </w:rPr>
      <w:instrText xml:space="preserve"> PAGE </w:instrText>
    </w:r>
    <w:r>
      <w:rPr>
        <w:b/>
        <w:bCs/>
        <w:i/>
        <w:iCs/>
      </w:rPr>
      <w:fldChar w:fldCharType="separate"/>
    </w:r>
    <w:r>
      <w:rPr>
        <w:b/>
        <w:bCs/>
        <w:i/>
        <w:iCs/>
      </w:rPr>
      <w:t>10</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97</w:t>
    </w:r>
    <w:r>
      <w:rPr>
        <w:b/>
        <w:bCs/>
        <w:i/>
        <w:iCs/>
      </w:rPr>
      <w:fldChar w:fldCharType="end"/>
    </w:r>
    <w:r>
      <w:rPr>
        <w:rFonts w:hint="eastAsia"/>
        <w:b/>
        <w:bCs/>
        <w:i/>
        <w:iCs/>
      </w:rPr>
      <w:t xml:space="preserve"> 页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pStyle w:val="21"/>
                            <w:jc w:val="center"/>
                            <w:rPr>
                              <w:sz w:val="21"/>
                              <w:szCs w:val="22"/>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&#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qzVF0AAAAAMBAAAPAAAAAAAAAAEAIAAAACIAAABk&#10;cnMvZG93bnJldi54bWxQSwECFAAUAAAACACHTuJAn7wRwQ4CAAAPBAAADgAAAAAAAAABACAAAAAf&#10;AQAAZHJzL2Uyb0RvYy54bWxQSwUGAAAAAAYABgBZAQAAnwUAAAAA&#10;">
              <v:fill on="f" focussize="0,0"/>
              <v:stroke on="f"/>
              <v:imagedata o:title=""/>
              <o:lock v:ext="edit" aspectratio="f"/>
              <v:textbox inset="0mm,0mm,0mm,0mm" style="mso-fit-shape-to-text:t;">
                <w:txbxContent>
                  <w:p>
                    <w:pPr>
                      <w:pStyle w:val="21"/>
                      <w:jc w:val="center"/>
                      <w:rPr>
                        <w:sz w:val="21"/>
                        <w:szCs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8820"/>
        <w:tab w:val="clear" w:pos="8306"/>
      </w:tabs>
      <w:ind w:right="775"/>
    </w:pPr>
    <w:r>
      <w:rPr>
        <w:rFonts w:hint="eastAsia"/>
        <w:b/>
        <w:bCs/>
        <w:i/>
        <w:iCs/>
      </w:rPr>
      <w:t xml:space="preserve">陕西诺尔信项目管理有限公司              第 </w:t>
    </w:r>
    <w:r>
      <w:rPr>
        <w:b/>
        <w:bCs/>
        <w:i/>
        <w:iCs/>
      </w:rPr>
      <w:fldChar w:fldCharType="begin"/>
    </w:r>
    <w:r>
      <w:rPr>
        <w:b/>
        <w:bCs/>
        <w:i/>
        <w:iCs/>
      </w:rPr>
      <w:instrText xml:space="preserve"> PAGE </w:instrText>
    </w:r>
    <w:r>
      <w:rPr>
        <w:b/>
        <w:bCs/>
        <w:i/>
        <w:iCs/>
      </w:rPr>
      <w:fldChar w:fldCharType="separate"/>
    </w:r>
    <w:r>
      <w:rPr>
        <w:b/>
        <w:bCs/>
        <w:i/>
        <w:iCs/>
      </w:rPr>
      <w:t>30</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97</w:t>
    </w:r>
    <w:r>
      <w:rPr>
        <w:b/>
        <w:bCs/>
        <w:i/>
        <w:iCs/>
      </w:rPr>
      <w:fldChar w:fldCharType="end"/>
    </w:r>
    <w:r>
      <w:rPr>
        <w:rFonts w:hint="eastAsia"/>
        <w:b/>
        <w:bCs/>
        <w:i/>
        <w:iCs/>
      </w:rPr>
      <w:t xml:space="preserve"> 页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b/>
        <w:bCs/>
        <w:i/>
        <w:iCs/>
      </w:rPr>
      <w:t xml:space="preserve">陕西诺尔信项目管理有限公司              第 </w:t>
    </w:r>
    <w:r>
      <w:rPr>
        <w:b/>
        <w:bCs/>
        <w:i/>
        <w:iCs/>
      </w:rPr>
      <w:fldChar w:fldCharType="begin"/>
    </w:r>
    <w:r>
      <w:rPr>
        <w:b/>
        <w:bCs/>
        <w:i/>
        <w:iCs/>
      </w:rPr>
      <w:instrText xml:space="preserve"> PAGE </w:instrText>
    </w:r>
    <w:r>
      <w:rPr>
        <w:b/>
        <w:bCs/>
        <w:i/>
        <w:iCs/>
      </w:rPr>
      <w:fldChar w:fldCharType="separate"/>
    </w:r>
    <w:r>
      <w:rPr>
        <w:b/>
        <w:bCs/>
        <w:i/>
        <w:iCs/>
      </w:rPr>
      <w:t>89</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98</w:t>
    </w:r>
    <w:r>
      <w:rPr>
        <w:b/>
        <w:bCs/>
        <w:i/>
        <w:iCs/>
      </w:rPr>
      <w:fldChar w:fldCharType="end"/>
    </w:r>
    <w:r>
      <w:rPr>
        <w:rFonts w:hint="eastAsia"/>
        <w:b/>
        <w:bCs/>
        <w:i/>
        <w:iCs/>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b/>
        <w:bCs/>
        <w:i/>
        <w:iCs/>
      </w:rPr>
      <w:t xml:space="preserve">陕西诺尔信项目管理有限公司              第 </w:t>
    </w:r>
    <w:r>
      <w:rPr>
        <w:b/>
        <w:bCs/>
        <w:i/>
        <w:iCs/>
      </w:rPr>
      <w:fldChar w:fldCharType="begin"/>
    </w:r>
    <w:r>
      <w:rPr>
        <w:b/>
        <w:bCs/>
        <w:i/>
        <w:iCs/>
      </w:rPr>
      <w:instrText xml:space="preserve"> PAGE </w:instrText>
    </w:r>
    <w:r>
      <w:rPr>
        <w:b/>
        <w:bCs/>
        <w:i/>
        <w:iCs/>
      </w:rPr>
      <w:fldChar w:fldCharType="separate"/>
    </w:r>
    <w:r>
      <w:rPr>
        <w:b/>
        <w:bCs/>
        <w:i/>
        <w:iCs/>
      </w:rPr>
      <w:t>95</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98</w:t>
    </w:r>
    <w:r>
      <w:rPr>
        <w:b/>
        <w:bCs/>
        <w:i/>
        <w:iCs/>
      </w:rPr>
      <w:fldChar w:fldCharType="end"/>
    </w:r>
    <w:r>
      <w:rPr>
        <w:rFonts w:hint="eastAsia"/>
        <w:b/>
        <w:bCs/>
        <w:i/>
        <w:iCs/>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MediumGap" w:color="auto" w:sz="18" w:space="1"/>
      </w:pBdr>
      <w:jc w:val="left"/>
    </w:pPr>
    <w:r>
      <w:rPr>
        <w:rFonts w:hint="eastAsia"/>
      </w:rPr>
      <w:t>2023年莲湖疾控区域中心实验室仪器设备采购项目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DFA61"/>
    <w:multiLevelType w:val="singleLevel"/>
    <w:tmpl w:val="875DFA61"/>
    <w:lvl w:ilvl="0" w:tentative="0">
      <w:start w:val="4"/>
      <w:numFmt w:val="chineseCounting"/>
      <w:suff w:val="space"/>
      <w:lvlText w:val="第%1章"/>
      <w:lvlJc w:val="left"/>
      <w:rPr>
        <w:rFonts w:hint="eastAsia"/>
      </w:rPr>
    </w:lvl>
  </w:abstractNum>
  <w:abstractNum w:abstractNumId="1">
    <w:nsid w:val="E62030B4"/>
    <w:multiLevelType w:val="singleLevel"/>
    <w:tmpl w:val="E62030B4"/>
    <w:lvl w:ilvl="0" w:tentative="0">
      <w:start w:val="1"/>
      <w:numFmt w:val="decimal"/>
      <w:lvlText w:val="%1."/>
      <w:lvlJc w:val="left"/>
      <w:pPr>
        <w:tabs>
          <w:tab w:val="left" w:pos="312"/>
        </w:tabs>
      </w:pPr>
    </w:lvl>
  </w:abstractNum>
  <w:abstractNum w:abstractNumId="2">
    <w:nsid w:val="FFABEE0A"/>
    <w:multiLevelType w:val="singleLevel"/>
    <w:tmpl w:val="FFABEE0A"/>
    <w:lvl w:ilvl="0" w:tentative="0">
      <w:start w:val="1"/>
      <w:numFmt w:val="decimal"/>
      <w:lvlText w:val="%1."/>
      <w:lvlJc w:val="left"/>
      <w:pPr>
        <w:tabs>
          <w:tab w:val="left" w:pos="312"/>
        </w:tabs>
      </w:pPr>
    </w:lvl>
  </w:abstractNum>
  <w:abstractNum w:abstractNumId="3">
    <w:nsid w:val="0862126D"/>
    <w:multiLevelType w:val="singleLevel"/>
    <w:tmpl w:val="0862126D"/>
    <w:lvl w:ilvl="0" w:tentative="0">
      <w:start w:val="2"/>
      <w:numFmt w:val="decimal"/>
      <w:suff w:val="nothing"/>
      <w:lvlText w:val="%1、"/>
      <w:lvlJc w:val="left"/>
    </w:lvl>
  </w:abstractNum>
  <w:abstractNum w:abstractNumId="4">
    <w:nsid w:val="08777306"/>
    <w:multiLevelType w:val="multilevel"/>
    <w:tmpl w:val="08777306"/>
    <w:lvl w:ilvl="0" w:tentative="0">
      <w:start w:val="1"/>
      <w:numFmt w:val="decimal"/>
      <w:pStyle w:val="208"/>
      <w:lvlText w:val="%1."/>
      <w:lvlJc w:val="left"/>
      <w:pPr>
        <w:ind w:left="720" w:hanging="360"/>
      </w:pPr>
      <w:rPr>
        <w:rFonts w:hint="default" w:hAnsi="宋体"/>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A45BAF1"/>
    <w:multiLevelType w:val="singleLevel"/>
    <w:tmpl w:val="0A45BAF1"/>
    <w:lvl w:ilvl="0" w:tentative="0">
      <w:start w:val="4"/>
      <w:numFmt w:val="chineseCounting"/>
      <w:suff w:val="nothing"/>
      <w:lvlText w:val="%1、"/>
      <w:lvlJc w:val="left"/>
      <w:rPr>
        <w:rFonts w:hint="eastAsia"/>
      </w:rPr>
    </w:lvl>
  </w:abstractNum>
  <w:abstractNum w:abstractNumId="6">
    <w:nsid w:val="1312F3CE"/>
    <w:multiLevelType w:val="singleLevel"/>
    <w:tmpl w:val="1312F3CE"/>
    <w:lvl w:ilvl="0" w:tentative="0">
      <w:start w:val="2"/>
      <w:numFmt w:val="decimal"/>
      <w:lvlText w:val="%1."/>
      <w:lvlJc w:val="left"/>
      <w:pPr>
        <w:tabs>
          <w:tab w:val="left" w:pos="312"/>
        </w:tabs>
      </w:pPr>
    </w:lvl>
  </w:abstractNum>
  <w:abstractNum w:abstractNumId="7">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5ED65C9"/>
    <w:multiLevelType w:val="multilevel"/>
    <w:tmpl w:val="45ED65C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0">
    <w:nsid w:val="55570FC6"/>
    <w:multiLevelType w:val="singleLevel"/>
    <w:tmpl w:val="55570FC6"/>
    <w:lvl w:ilvl="0" w:tentative="0">
      <w:start w:val="1"/>
      <w:numFmt w:val="decimal"/>
      <w:suff w:val="nothing"/>
      <w:lvlText w:val="%1、"/>
      <w:lvlJc w:val="left"/>
    </w:lvl>
  </w:abstractNum>
  <w:abstractNum w:abstractNumId="11">
    <w:nsid w:val="63C76F6A"/>
    <w:multiLevelType w:val="singleLevel"/>
    <w:tmpl w:val="63C76F6A"/>
    <w:lvl w:ilvl="0" w:tentative="0">
      <w:start w:val="5"/>
      <w:numFmt w:val="decimal"/>
      <w:lvlText w:val="%1."/>
      <w:lvlJc w:val="left"/>
      <w:pPr>
        <w:tabs>
          <w:tab w:val="left" w:pos="312"/>
        </w:tabs>
      </w:pPr>
    </w:lvl>
  </w:abstractNum>
  <w:abstractNum w:abstractNumId="12">
    <w:nsid w:val="7CFDF421"/>
    <w:multiLevelType w:val="singleLevel"/>
    <w:tmpl w:val="7CFDF421"/>
    <w:lvl w:ilvl="0" w:tentative="0">
      <w:start w:val="4"/>
      <w:numFmt w:val="decimal"/>
      <w:suff w:val="nothing"/>
      <w:lvlText w:val="%1、"/>
      <w:lvlJc w:val="left"/>
    </w:lvl>
  </w:abstractNum>
  <w:num w:numId="1">
    <w:abstractNumId w:val="4"/>
  </w:num>
  <w:num w:numId="2">
    <w:abstractNumId w:val="9"/>
  </w:num>
  <w:num w:numId="3">
    <w:abstractNumId w:val="8"/>
  </w:num>
  <w:num w:numId="4">
    <w:abstractNumId w:val="2"/>
  </w:num>
  <w:num w:numId="5">
    <w:abstractNumId w:val="12"/>
  </w:num>
  <w:num w:numId="6">
    <w:abstractNumId w:val="11"/>
  </w:num>
  <w:num w:numId="7">
    <w:abstractNumId w:val="0"/>
  </w:num>
  <w:num w:numId="8">
    <w:abstractNumId w:val="5"/>
  </w:num>
  <w:num w:numId="9">
    <w:abstractNumId w:val="1"/>
  </w:num>
  <w:num w:numId="10">
    <w:abstractNumId w:val="10"/>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MWU5YmRlMGMxODVmMGRkNTBhOTI1YjI1MjEyNzgifQ=="/>
  </w:docVars>
  <w:rsids>
    <w:rsidRoot w:val="003802B3"/>
    <w:rsid w:val="00094E28"/>
    <w:rsid w:val="001A251E"/>
    <w:rsid w:val="00250CA3"/>
    <w:rsid w:val="00254043"/>
    <w:rsid w:val="00285F1D"/>
    <w:rsid w:val="002B63EE"/>
    <w:rsid w:val="00346738"/>
    <w:rsid w:val="003802B3"/>
    <w:rsid w:val="00392440"/>
    <w:rsid w:val="00395DB8"/>
    <w:rsid w:val="005B19E6"/>
    <w:rsid w:val="005E0062"/>
    <w:rsid w:val="00777A79"/>
    <w:rsid w:val="007959E7"/>
    <w:rsid w:val="008278D5"/>
    <w:rsid w:val="0084687A"/>
    <w:rsid w:val="009E5B09"/>
    <w:rsid w:val="00AC2C26"/>
    <w:rsid w:val="00BE04CA"/>
    <w:rsid w:val="00BE18F9"/>
    <w:rsid w:val="00E038F2"/>
    <w:rsid w:val="00E46CD8"/>
    <w:rsid w:val="00EC74D1"/>
    <w:rsid w:val="00F4774A"/>
    <w:rsid w:val="00FD5B48"/>
    <w:rsid w:val="01407C9D"/>
    <w:rsid w:val="01505F15"/>
    <w:rsid w:val="027520D7"/>
    <w:rsid w:val="02C74CA5"/>
    <w:rsid w:val="02DC3F47"/>
    <w:rsid w:val="03084CFA"/>
    <w:rsid w:val="035E74FC"/>
    <w:rsid w:val="03F079D0"/>
    <w:rsid w:val="03F47783"/>
    <w:rsid w:val="043164D2"/>
    <w:rsid w:val="044336FE"/>
    <w:rsid w:val="045B52FD"/>
    <w:rsid w:val="0717372E"/>
    <w:rsid w:val="08192FB1"/>
    <w:rsid w:val="086D0535"/>
    <w:rsid w:val="08DC25FE"/>
    <w:rsid w:val="096F4441"/>
    <w:rsid w:val="09C956F9"/>
    <w:rsid w:val="0A2148F3"/>
    <w:rsid w:val="0ABE045A"/>
    <w:rsid w:val="0B3552CD"/>
    <w:rsid w:val="0B8E5FB8"/>
    <w:rsid w:val="0C656D19"/>
    <w:rsid w:val="0C8F3D96"/>
    <w:rsid w:val="0D084498"/>
    <w:rsid w:val="0D226854"/>
    <w:rsid w:val="0D724709"/>
    <w:rsid w:val="0DAD4E1B"/>
    <w:rsid w:val="10196798"/>
    <w:rsid w:val="12176923"/>
    <w:rsid w:val="126F3EF2"/>
    <w:rsid w:val="14101C60"/>
    <w:rsid w:val="1413607D"/>
    <w:rsid w:val="14DD6B89"/>
    <w:rsid w:val="14FB5517"/>
    <w:rsid w:val="15107A3E"/>
    <w:rsid w:val="15120980"/>
    <w:rsid w:val="1598015F"/>
    <w:rsid w:val="15BA596A"/>
    <w:rsid w:val="15EF0662"/>
    <w:rsid w:val="163175FF"/>
    <w:rsid w:val="16BF31FA"/>
    <w:rsid w:val="16EC1EF5"/>
    <w:rsid w:val="16F40865"/>
    <w:rsid w:val="17BA0860"/>
    <w:rsid w:val="18391AF5"/>
    <w:rsid w:val="191674A8"/>
    <w:rsid w:val="19831126"/>
    <w:rsid w:val="19B906A4"/>
    <w:rsid w:val="19D61256"/>
    <w:rsid w:val="1A8C5DB8"/>
    <w:rsid w:val="1B406E9F"/>
    <w:rsid w:val="1B5B2B03"/>
    <w:rsid w:val="1B9E686B"/>
    <w:rsid w:val="1BA26415"/>
    <w:rsid w:val="1BB030DA"/>
    <w:rsid w:val="1C272187"/>
    <w:rsid w:val="1C2D448F"/>
    <w:rsid w:val="1C7B4336"/>
    <w:rsid w:val="1CA91014"/>
    <w:rsid w:val="1D063C00"/>
    <w:rsid w:val="1D0A2DB3"/>
    <w:rsid w:val="1D975DF1"/>
    <w:rsid w:val="1EBC77BD"/>
    <w:rsid w:val="1F72557D"/>
    <w:rsid w:val="1FC2733F"/>
    <w:rsid w:val="20103DF1"/>
    <w:rsid w:val="201523AC"/>
    <w:rsid w:val="206A0467"/>
    <w:rsid w:val="20A7394C"/>
    <w:rsid w:val="20F52909"/>
    <w:rsid w:val="21272BC5"/>
    <w:rsid w:val="21CF1C81"/>
    <w:rsid w:val="226D4721"/>
    <w:rsid w:val="234B07A0"/>
    <w:rsid w:val="241C63FF"/>
    <w:rsid w:val="24A8691F"/>
    <w:rsid w:val="24CB5FF8"/>
    <w:rsid w:val="251C03DC"/>
    <w:rsid w:val="25535E50"/>
    <w:rsid w:val="265536EC"/>
    <w:rsid w:val="26B75F6B"/>
    <w:rsid w:val="26DF22C6"/>
    <w:rsid w:val="26F83BEE"/>
    <w:rsid w:val="271461B1"/>
    <w:rsid w:val="27422FE3"/>
    <w:rsid w:val="274C0DA9"/>
    <w:rsid w:val="27913FED"/>
    <w:rsid w:val="283F446A"/>
    <w:rsid w:val="285745F5"/>
    <w:rsid w:val="288A2D25"/>
    <w:rsid w:val="29B6075C"/>
    <w:rsid w:val="29C953ED"/>
    <w:rsid w:val="29DF5CD3"/>
    <w:rsid w:val="2A0F4F73"/>
    <w:rsid w:val="2A2553AC"/>
    <w:rsid w:val="2AA44F65"/>
    <w:rsid w:val="2AC31D70"/>
    <w:rsid w:val="2B115417"/>
    <w:rsid w:val="2B522706"/>
    <w:rsid w:val="2BB45FE6"/>
    <w:rsid w:val="2C2C004B"/>
    <w:rsid w:val="2C300C99"/>
    <w:rsid w:val="2C870B22"/>
    <w:rsid w:val="2D302489"/>
    <w:rsid w:val="2DAE4C4B"/>
    <w:rsid w:val="30CB2D3F"/>
    <w:rsid w:val="3136279E"/>
    <w:rsid w:val="31813B6D"/>
    <w:rsid w:val="31DB3455"/>
    <w:rsid w:val="32FC7ADC"/>
    <w:rsid w:val="32FE2ECB"/>
    <w:rsid w:val="332103AA"/>
    <w:rsid w:val="335243FB"/>
    <w:rsid w:val="33977850"/>
    <w:rsid w:val="34172548"/>
    <w:rsid w:val="34AF5DD7"/>
    <w:rsid w:val="34C5219B"/>
    <w:rsid w:val="36800395"/>
    <w:rsid w:val="371561DC"/>
    <w:rsid w:val="37174DCC"/>
    <w:rsid w:val="373D099A"/>
    <w:rsid w:val="376A4777"/>
    <w:rsid w:val="37B175B3"/>
    <w:rsid w:val="37C8787F"/>
    <w:rsid w:val="38764646"/>
    <w:rsid w:val="388B6152"/>
    <w:rsid w:val="39520313"/>
    <w:rsid w:val="395A2542"/>
    <w:rsid w:val="39AA099D"/>
    <w:rsid w:val="39B34CB8"/>
    <w:rsid w:val="39C42A21"/>
    <w:rsid w:val="39CD5478"/>
    <w:rsid w:val="3A777F60"/>
    <w:rsid w:val="3AC67089"/>
    <w:rsid w:val="3AD849D6"/>
    <w:rsid w:val="3B2A71FC"/>
    <w:rsid w:val="3C5A58BF"/>
    <w:rsid w:val="3D344362"/>
    <w:rsid w:val="3DC652CF"/>
    <w:rsid w:val="3E017DFB"/>
    <w:rsid w:val="3E546A69"/>
    <w:rsid w:val="3E66679D"/>
    <w:rsid w:val="3E8D3D29"/>
    <w:rsid w:val="411D1B11"/>
    <w:rsid w:val="41767ECF"/>
    <w:rsid w:val="41D659E7"/>
    <w:rsid w:val="41EE2D31"/>
    <w:rsid w:val="41F8595E"/>
    <w:rsid w:val="42332E3A"/>
    <w:rsid w:val="43921643"/>
    <w:rsid w:val="44654E01"/>
    <w:rsid w:val="45123C58"/>
    <w:rsid w:val="451A3E3D"/>
    <w:rsid w:val="452A22D2"/>
    <w:rsid w:val="4550160D"/>
    <w:rsid w:val="4607616F"/>
    <w:rsid w:val="460E2CE3"/>
    <w:rsid w:val="46582E6F"/>
    <w:rsid w:val="46C10DAF"/>
    <w:rsid w:val="46C422B2"/>
    <w:rsid w:val="471B520C"/>
    <w:rsid w:val="47486A40"/>
    <w:rsid w:val="48AB197C"/>
    <w:rsid w:val="49520FAC"/>
    <w:rsid w:val="49B50DA8"/>
    <w:rsid w:val="4A1B043B"/>
    <w:rsid w:val="4A3D01CC"/>
    <w:rsid w:val="4AAB3D51"/>
    <w:rsid w:val="4B543F74"/>
    <w:rsid w:val="4C066938"/>
    <w:rsid w:val="4C0E5A41"/>
    <w:rsid w:val="4C890A81"/>
    <w:rsid w:val="4D354E86"/>
    <w:rsid w:val="4D41465D"/>
    <w:rsid w:val="4DBA5E7B"/>
    <w:rsid w:val="4DDD3C5A"/>
    <w:rsid w:val="4E202DD8"/>
    <w:rsid w:val="4E874A52"/>
    <w:rsid w:val="4ECE66B1"/>
    <w:rsid w:val="4F37230A"/>
    <w:rsid w:val="4F8E16AF"/>
    <w:rsid w:val="51840FBC"/>
    <w:rsid w:val="52153A5C"/>
    <w:rsid w:val="52B7716F"/>
    <w:rsid w:val="54117587"/>
    <w:rsid w:val="55102352"/>
    <w:rsid w:val="55453707"/>
    <w:rsid w:val="55723D3F"/>
    <w:rsid w:val="562E2CFE"/>
    <w:rsid w:val="566E5D97"/>
    <w:rsid w:val="567E5A4A"/>
    <w:rsid w:val="56C63E25"/>
    <w:rsid w:val="56DC53F6"/>
    <w:rsid w:val="57792C45"/>
    <w:rsid w:val="58B31397"/>
    <w:rsid w:val="59150870"/>
    <w:rsid w:val="591F7A12"/>
    <w:rsid w:val="592A069B"/>
    <w:rsid w:val="596E6608"/>
    <w:rsid w:val="59747B68"/>
    <w:rsid w:val="5A925570"/>
    <w:rsid w:val="5AFA5E4B"/>
    <w:rsid w:val="5B13062A"/>
    <w:rsid w:val="5C563555"/>
    <w:rsid w:val="5CCA2D81"/>
    <w:rsid w:val="5CCD3C94"/>
    <w:rsid w:val="5D4B5084"/>
    <w:rsid w:val="5DAD189A"/>
    <w:rsid w:val="5E0A1947"/>
    <w:rsid w:val="5E7B3747"/>
    <w:rsid w:val="5F230066"/>
    <w:rsid w:val="5FCD7FD2"/>
    <w:rsid w:val="60BA5B08"/>
    <w:rsid w:val="613F4B55"/>
    <w:rsid w:val="617840FA"/>
    <w:rsid w:val="62074A71"/>
    <w:rsid w:val="622540F5"/>
    <w:rsid w:val="623F5455"/>
    <w:rsid w:val="627818DB"/>
    <w:rsid w:val="62C751AC"/>
    <w:rsid w:val="6409062F"/>
    <w:rsid w:val="646C3671"/>
    <w:rsid w:val="64846241"/>
    <w:rsid w:val="64EE562E"/>
    <w:rsid w:val="6525440C"/>
    <w:rsid w:val="657E6C38"/>
    <w:rsid w:val="65E46E4F"/>
    <w:rsid w:val="66083B12"/>
    <w:rsid w:val="66F138B3"/>
    <w:rsid w:val="66F83B86"/>
    <w:rsid w:val="67760714"/>
    <w:rsid w:val="67AB5376"/>
    <w:rsid w:val="67FF1DB3"/>
    <w:rsid w:val="68116D96"/>
    <w:rsid w:val="685E13B0"/>
    <w:rsid w:val="68B24209"/>
    <w:rsid w:val="68C63810"/>
    <w:rsid w:val="68FB170C"/>
    <w:rsid w:val="69392AF7"/>
    <w:rsid w:val="69835DF9"/>
    <w:rsid w:val="69CE6E20"/>
    <w:rsid w:val="6B260FAC"/>
    <w:rsid w:val="6B6709CC"/>
    <w:rsid w:val="6C1E5314"/>
    <w:rsid w:val="6D34792F"/>
    <w:rsid w:val="6D365059"/>
    <w:rsid w:val="6D4851A4"/>
    <w:rsid w:val="6D934609"/>
    <w:rsid w:val="6D9F7B46"/>
    <w:rsid w:val="6DFB5FC9"/>
    <w:rsid w:val="6EBC03C0"/>
    <w:rsid w:val="6EC442D6"/>
    <w:rsid w:val="7052426C"/>
    <w:rsid w:val="707B75D6"/>
    <w:rsid w:val="7107730A"/>
    <w:rsid w:val="718A3AB2"/>
    <w:rsid w:val="71B96FD0"/>
    <w:rsid w:val="72DE2EB6"/>
    <w:rsid w:val="730554EC"/>
    <w:rsid w:val="73111034"/>
    <w:rsid w:val="73135BD9"/>
    <w:rsid w:val="733F2B3D"/>
    <w:rsid w:val="73696C98"/>
    <w:rsid w:val="73C03C7E"/>
    <w:rsid w:val="745066E7"/>
    <w:rsid w:val="74AE64EB"/>
    <w:rsid w:val="7557416E"/>
    <w:rsid w:val="75C6028F"/>
    <w:rsid w:val="75E23E3E"/>
    <w:rsid w:val="75EE5A60"/>
    <w:rsid w:val="7632037F"/>
    <w:rsid w:val="768A0573"/>
    <w:rsid w:val="772804B2"/>
    <w:rsid w:val="77400CB9"/>
    <w:rsid w:val="774B5757"/>
    <w:rsid w:val="774C5829"/>
    <w:rsid w:val="775D295A"/>
    <w:rsid w:val="77F63C2B"/>
    <w:rsid w:val="78032FFD"/>
    <w:rsid w:val="782C6235"/>
    <w:rsid w:val="788E7282"/>
    <w:rsid w:val="78CD5E0D"/>
    <w:rsid w:val="78FB12B4"/>
    <w:rsid w:val="790463BB"/>
    <w:rsid w:val="79786DA9"/>
    <w:rsid w:val="7988598D"/>
    <w:rsid w:val="79C70B90"/>
    <w:rsid w:val="79D7587D"/>
    <w:rsid w:val="79F521A7"/>
    <w:rsid w:val="7A4153ED"/>
    <w:rsid w:val="7A872EF6"/>
    <w:rsid w:val="7B3A0D61"/>
    <w:rsid w:val="7B5658B1"/>
    <w:rsid w:val="7B6D1DFE"/>
    <w:rsid w:val="7B8D4131"/>
    <w:rsid w:val="7BEF4506"/>
    <w:rsid w:val="7C555EFF"/>
    <w:rsid w:val="7C6158D2"/>
    <w:rsid w:val="7CED360A"/>
    <w:rsid w:val="7D212B75"/>
    <w:rsid w:val="7D510B43"/>
    <w:rsid w:val="7D6F5F6F"/>
    <w:rsid w:val="7DF34C50"/>
    <w:rsid w:val="7F0957CD"/>
    <w:rsid w:val="7FAA7DF6"/>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7"/>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2">
    <w:name w:val="heading 4"/>
    <w:basedOn w:val="1"/>
    <w:next w:val="1"/>
    <w:link w:val="58"/>
    <w:qFormat/>
    <w:uiPriority w:val="9"/>
    <w:pPr>
      <w:keepNext/>
      <w:keepLines/>
      <w:spacing w:before="280" w:after="290" w:line="376" w:lineRule="auto"/>
      <w:outlineLvl w:val="3"/>
    </w:pPr>
    <w:rPr>
      <w:rFonts w:ascii="Cambria" w:hAnsi="Cambria"/>
      <w:b/>
      <w:bCs/>
      <w:sz w:val="28"/>
      <w:szCs w:val="28"/>
    </w:rPr>
  </w:style>
  <w:style w:type="paragraph" w:styleId="6">
    <w:name w:val="heading 6"/>
    <w:basedOn w:val="1"/>
    <w:next w:val="1"/>
    <w:link w:val="59"/>
    <w:qFormat/>
    <w:uiPriority w:val="0"/>
    <w:pPr>
      <w:keepNext/>
      <w:keepLines/>
      <w:spacing w:before="240" w:after="64" w:line="320" w:lineRule="auto"/>
      <w:outlineLvl w:val="5"/>
    </w:pPr>
    <w:rPr>
      <w:rFonts w:ascii="Cambria" w:hAnsi="Cambria"/>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2520" w:leftChars="1200"/>
    </w:pPr>
  </w:style>
  <w:style w:type="paragraph" w:styleId="8">
    <w:name w:val="Normal Indent"/>
    <w:basedOn w:val="1"/>
    <w:next w:val="9"/>
    <w:qFormat/>
    <w:uiPriority w:val="0"/>
    <w:pPr>
      <w:autoSpaceDE w:val="0"/>
      <w:autoSpaceDN w:val="0"/>
      <w:adjustRightInd w:val="0"/>
      <w:ind w:firstLine="420"/>
      <w:jc w:val="left"/>
    </w:pPr>
    <w:rPr>
      <w:rFonts w:ascii="宋体"/>
      <w:kern w:val="0"/>
      <w:sz w:val="24"/>
      <w:szCs w:val="20"/>
    </w:rPr>
  </w:style>
  <w:style w:type="paragraph" w:styleId="9">
    <w:name w:val="toc 4"/>
    <w:basedOn w:val="1"/>
    <w:next w:val="1"/>
    <w:qFormat/>
    <w:uiPriority w:val="39"/>
    <w:pPr>
      <w:ind w:left="1260" w:leftChars="600"/>
    </w:pPr>
  </w:style>
  <w:style w:type="paragraph" w:styleId="10">
    <w:name w:val="Document Map"/>
    <w:basedOn w:val="1"/>
    <w:link w:val="61"/>
    <w:qFormat/>
    <w:uiPriority w:val="0"/>
    <w:rPr>
      <w:rFonts w:ascii="宋体"/>
      <w:sz w:val="18"/>
      <w:szCs w:val="18"/>
    </w:rPr>
  </w:style>
  <w:style w:type="paragraph" w:styleId="11">
    <w:name w:val="annotation text"/>
    <w:basedOn w:val="1"/>
    <w:link w:val="62"/>
    <w:qFormat/>
    <w:uiPriority w:val="99"/>
    <w:pPr>
      <w:jc w:val="left"/>
    </w:pPr>
  </w:style>
  <w:style w:type="paragraph" w:styleId="12">
    <w:name w:val="Body Text"/>
    <w:basedOn w:val="1"/>
    <w:next w:val="1"/>
    <w:link w:val="60"/>
    <w:qFormat/>
    <w:uiPriority w:val="0"/>
    <w:pPr>
      <w:tabs>
        <w:tab w:val="left" w:pos="567"/>
      </w:tabs>
      <w:spacing w:before="120" w:line="22" w:lineRule="atLeast"/>
    </w:pPr>
    <w:rPr>
      <w:rFonts w:ascii="宋体" w:hAnsi="宋体"/>
      <w:sz w:val="24"/>
    </w:rPr>
  </w:style>
  <w:style w:type="paragraph" w:styleId="13">
    <w:name w:val="Body Text Indent"/>
    <w:basedOn w:val="1"/>
    <w:link w:val="63"/>
    <w:qFormat/>
    <w:uiPriority w:val="0"/>
    <w:pPr>
      <w:spacing w:line="360" w:lineRule="auto"/>
      <w:ind w:firstLine="570"/>
    </w:pPr>
    <w:rPr>
      <w:sz w:val="24"/>
    </w:r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
    <w:link w:val="64"/>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65"/>
    <w:qFormat/>
    <w:uiPriority w:val="0"/>
    <w:pPr>
      <w:ind w:left="100" w:leftChars="2500"/>
    </w:pPr>
    <w:rPr>
      <w:rFonts w:ascii="仿宋_GB2312" w:hAnsi="宋体" w:eastAsia="仿宋_GB2312"/>
      <w:color w:val="000000"/>
      <w:sz w:val="24"/>
    </w:rPr>
  </w:style>
  <w:style w:type="paragraph" w:styleId="19">
    <w:name w:val="Body Text Indent 2"/>
    <w:basedOn w:val="1"/>
    <w:link w:val="66"/>
    <w:qFormat/>
    <w:uiPriority w:val="0"/>
    <w:pPr>
      <w:ind w:firstLine="480" w:firstLineChars="200"/>
    </w:pPr>
    <w:rPr>
      <w:rFonts w:ascii="仿宋_GB2312" w:eastAsia="仿宋_GB2312"/>
      <w:sz w:val="24"/>
    </w:rPr>
  </w:style>
  <w:style w:type="paragraph" w:styleId="20">
    <w:name w:val="Balloon Text"/>
    <w:basedOn w:val="1"/>
    <w:link w:val="67"/>
    <w:qFormat/>
    <w:uiPriority w:val="99"/>
    <w:rPr>
      <w:sz w:val="18"/>
      <w:szCs w:val="18"/>
    </w:rPr>
  </w:style>
  <w:style w:type="paragraph" w:styleId="21">
    <w:name w:val="footer"/>
    <w:basedOn w:val="1"/>
    <w:next w:val="12"/>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Subtitle"/>
    <w:basedOn w:val="1"/>
    <w:next w:val="1"/>
    <w:link w:val="205"/>
    <w:qFormat/>
    <w:uiPriority w:val="0"/>
    <w:pPr>
      <w:adjustRightInd w:val="0"/>
      <w:snapToGrid w:val="0"/>
      <w:spacing w:line="360" w:lineRule="auto"/>
      <w:jc w:val="left"/>
      <w:outlineLvl w:val="1"/>
    </w:pPr>
    <w:rPr>
      <w:rFonts w:ascii="等线 Light" w:hAnsi="等线 Light"/>
      <w:b/>
      <w:bCs/>
      <w:kern w:val="28"/>
      <w:sz w:val="24"/>
      <w:szCs w:val="32"/>
    </w:rPr>
  </w:style>
  <w:style w:type="paragraph" w:styleId="25">
    <w:name w:val="toc 6"/>
    <w:basedOn w:val="1"/>
    <w:next w:val="1"/>
    <w:qFormat/>
    <w:uiPriority w:val="39"/>
    <w:pPr>
      <w:ind w:left="2100" w:leftChars="1000"/>
    </w:pPr>
  </w:style>
  <w:style w:type="paragraph" w:styleId="26">
    <w:name w:val="Body Text Indent 3"/>
    <w:basedOn w:val="1"/>
    <w:link w:val="6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link w:val="69"/>
    <w:qFormat/>
    <w:uiPriority w:val="99"/>
    <w:pPr>
      <w:widowControl/>
      <w:spacing w:before="100" w:beforeAutospacing="1" w:after="100" w:afterAutospacing="1"/>
      <w:jc w:val="left"/>
    </w:pPr>
    <w:rPr>
      <w:rFonts w:ascii="宋体" w:hAnsi="宋体" w:cs="宋体"/>
      <w:kern w:val="0"/>
      <w:sz w:val="24"/>
    </w:rPr>
  </w:style>
  <w:style w:type="paragraph" w:styleId="30">
    <w:name w:val="index 1"/>
    <w:basedOn w:val="1"/>
    <w:next w:val="1"/>
    <w:semiHidden/>
    <w:qFormat/>
    <w:uiPriority w:val="0"/>
    <w:rPr>
      <w:szCs w:val="20"/>
    </w:rPr>
  </w:style>
  <w:style w:type="paragraph" w:styleId="31">
    <w:name w:val="Title"/>
    <w:basedOn w:val="1"/>
    <w:next w:val="1"/>
    <w:link w:val="70"/>
    <w:qFormat/>
    <w:uiPriority w:val="0"/>
    <w:pPr>
      <w:spacing w:before="240" w:after="60"/>
      <w:jc w:val="center"/>
      <w:outlineLvl w:val="0"/>
    </w:pPr>
    <w:rPr>
      <w:rFonts w:ascii="Cambria" w:hAnsi="Cambria"/>
      <w:b/>
      <w:bCs/>
      <w:sz w:val="32"/>
      <w:szCs w:val="32"/>
    </w:rPr>
  </w:style>
  <w:style w:type="paragraph" w:styleId="32">
    <w:name w:val="annotation subject"/>
    <w:basedOn w:val="11"/>
    <w:next w:val="11"/>
    <w:link w:val="71"/>
    <w:qFormat/>
    <w:uiPriority w:val="0"/>
    <w:rPr>
      <w:b/>
      <w:bCs/>
    </w:rPr>
  </w:style>
  <w:style w:type="paragraph" w:styleId="33">
    <w:name w:val="Body Text First Indent"/>
    <w:basedOn w:val="12"/>
    <w:qFormat/>
    <w:uiPriority w:val="0"/>
    <w:pPr>
      <w:ind w:firstLine="420" w:firstLineChars="100"/>
    </w:pPr>
  </w:style>
  <w:style w:type="paragraph" w:styleId="34">
    <w:name w:val="Body Text First Indent 2"/>
    <w:basedOn w:val="13"/>
    <w:qFormat/>
    <w:uiPriority w:val="0"/>
    <w:pPr>
      <w:spacing w:after="120"/>
      <w:ind w:left="420" w:leftChars="200"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qFormat/>
    <w:uiPriority w:val="0"/>
  </w:style>
  <w:style w:type="character" w:styleId="40">
    <w:name w:val="FollowedHyperlink"/>
    <w:qFormat/>
    <w:uiPriority w:val="0"/>
    <w:rPr>
      <w:color w:val="000000"/>
      <w:u w:val="none"/>
    </w:rPr>
  </w:style>
  <w:style w:type="character" w:styleId="41">
    <w:name w:val="Emphasis"/>
    <w:qFormat/>
    <w:uiPriority w:val="0"/>
  </w:style>
  <w:style w:type="character" w:styleId="42">
    <w:name w:val="HTML Definition"/>
    <w:qFormat/>
    <w:uiPriority w:val="0"/>
    <w:rPr>
      <w:i/>
      <w:iCs/>
    </w:rPr>
  </w:style>
  <w:style w:type="character" w:styleId="43">
    <w:name w:val="HTML Acronym"/>
    <w:qFormat/>
    <w:uiPriority w:val="0"/>
  </w:style>
  <w:style w:type="character" w:styleId="44">
    <w:name w:val="HTML Variable"/>
    <w:qFormat/>
    <w:uiPriority w:val="0"/>
  </w:style>
  <w:style w:type="character" w:styleId="45">
    <w:name w:val="Hyperlink"/>
    <w:qFormat/>
    <w:uiPriority w:val="99"/>
    <w:rPr>
      <w:color w:val="000000"/>
      <w:u w:val="none"/>
    </w:rPr>
  </w:style>
  <w:style w:type="character" w:styleId="46">
    <w:name w:val="HTML Code"/>
    <w:qFormat/>
    <w:uiPriority w:val="0"/>
    <w:rPr>
      <w:rFonts w:hint="default" w:ascii="Consolas" w:hAnsi="Consolas" w:eastAsia="Consolas" w:cs="Consolas"/>
      <w:color w:val="C7254E"/>
      <w:sz w:val="21"/>
      <w:szCs w:val="21"/>
      <w:shd w:val="clear" w:color="auto" w:fill="F9F2F4"/>
    </w:rPr>
  </w:style>
  <w:style w:type="character" w:styleId="47">
    <w:name w:val="annotation reference"/>
    <w:qFormat/>
    <w:uiPriority w:val="99"/>
    <w:rPr>
      <w:sz w:val="21"/>
      <w:szCs w:val="21"/>
    </w:rPr>
  </w:style>
  <w:style w:type="character" w:styleId="48">
    <w:name w:val="HTML Cite"/>
    <w:qFormat/>
    <w:uiPriority w:val="0"/>
  </w:style>
  <w:style w:type="character" w:styleId="49">
    <w:name w:val="HTML Keyboard"/>
    <w:qFormat/>
    <w:uiPriority w:val="0"/>
    <w:rPr>
      <w:rFonts w:hint="default" w:ascii="Consolas" w:hAnsi="Consolas" w:eastAsia="Consolas" w:cs="Consolas"/>
      <w:color w:val="FFFFFF"/>
      <w:sz w:val="21"/>
      <w:szCs w:val="21"/>
      <w:shd w:val="clear" w:color="auto" w:fill="333333"/>
    </w:rPr>
  </w:style>
  <w:style w:type="character" w:styleId="50">
    <w:name w:val="HTML Sample"/>
    <w:qFormat/>
    <w:uiPriority w:val="0"/>
    <w:rPr>
      <w:rFonts w:ascii="Consolas" w:hAnsi="Consolas" w:eastAsia="Consolas" w:cs="Consolas"/>
      <w:sz w:val="21"/>
      <w:szCs w:val="21"/>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Char"/>
    <w:basedOn w:val="10"/>
    <w:next w:val="5"/>
    <w:qFormat/>
    <w:uiPriority w:val="0"/>
    <w:pPr>
      <w:tabs>
        <w:tab w:val="left" w:pos="360"/>
      </w:tabs>
    </w:pPr>
    <w:rPr>
      <w:sz w:val="24"/>
    </w:rPr>
  </w:style>
  <w:style w:type="character" w:customStyle="1" w:styleId="53">
    <w:name w:val="页眉 Char"/>
    <w:basedOn w:val="37"/>
    <w:link w:val="22"/>
    <w:qFormat/>
    <w:uiPriority w:val="99"/>
    <w:rPr>
      <w:sz w:val="18"/>
      <w:szCs w:val="18"/>
    </w:rPr>
  </w:style>
  <w:style w:type="character" w:customStyle="1" w:styleId="54">
    <w:name w:val="页脚 Char"/>
    <w:basedOn w:val="37"/>
    <w:link w:val="21"/>
    <w:qFormat/>
    <w:uiPriority w:val="99"/>
    <w:rPr>
      <w:sz w:val="18"/>
      <w:szCs w:val="18"/>
    </w:rPr>
  </w:style>
  <w:style w:type="character" w:customStyle="1" w:styleId="55">
    <w:name w:val="标题 1 Char"/>
    <w:basedOn w:val="37"/>
    <w:link w:val="3"/>
    <w:qFormat/>
    <w:uiPriority w:val="0"/>
    <w:rPr>
      <w:rFonts w:ascii="宋体" w:hAnsi="Times New Roman" w:eastAsia="宋体" w:cs="Times New Roman"/>
      <w:b/>
      <w:kern w:val="44"/>
      <w:sz w:val="32"/>
      <w:szCs w:val="20"/>
    </w:rPr>
  </w:style>
  <w:style w:type="character" w:customStyle="1" w:styleId="56">
    <w:name w:val="标题 2 Char"/>
    <w:basedOn w:val="37"/>
    <w:link w:val="4"/>
    <w:qFormat/>
    <w:uiPriority w:val="0"/>
    <w:rPr>
      <w:rFonts w:ascii="Arial" w:hAnsi="Arial" w:eastAsia="黑体" w:cs="Times New Roman"/>
      <w:b/>
      <w:kern w:val="0"/>
      <w:sz w:val="30"/>
      <w:szCs w:val="20"/>
    </w:rPr>
  </w:style>
  <w:style w:type="character" w:customStyle="1" w:styleId="57">
    <w:name w:val="标题 3 Char"/>
    <w:basedOn w:val="37"/>
    <w:link w:val="5"/>
    <w:qFormat/>
    <w:uiPriority w:val="0"/>
    <w:rPr>
      <w:rFonts w:ascii="宋体" w:hAnsi="宋体" w:eastAsia="宋体" w:cs="Times New Roman"/>
      <w:b/>
      <w:kern w:val="0"/>
      <w:sz w:val="30"/>
      <w:szCs w:val="30"/>
    </w:rPr>
  </w:style>
  <w:style w:type="character" w:customStyle="1" w:styleId="58">
    <w:name w:val="标题 4 Char"/>
    <w:basedOn w:val="37"/>
    <w:link w:val="2"/>
    <w:qFormat/>
    <w:uiPriority w:val="9"/>
    <w:rPr>
      <w:rFonts w:ascii="Cambria" w:hAnsi="Cambria" w:eastAsia="宋体" w:cs="Times New Roman"/>
      <w:b/>
      <w:bCs/>
      <w:sz w:val="28"/>
      <w:szCs w:val="28"/>
    </w:rPr>
  </w:style>
  <w:style w:type="character" w:customStyle="1" w:styleId="59">
    <w:name w:val="标题 6 Char"/>
    <w:basedOn w:val="37"/>
    <w:link w:val="6"/>
    <w:qFormat/>
    <w:uiPriority w:val="0"/>
    <w:rPr>
      <w:rFonts w:ascii="Cambria" w:hAnsi="Cambria" w:eastAsia="宋体" w:cs="Times New Roman"/>
      <w:b/>
      <w:bCs/>
      <w:sz w:val="24"/>
      <w:szCs w:val="24"/>
    </w:rPr>
  </w:style>
  <w:style w:type="character" w:customStyle="1" w:styleId="60">
    <w:name w:val="正文文本 Char"/>
    <w:basedOn w:val="37"/>
    <w:link w:val="12"/>
    <w:qFormat/>
    <w:uiPriority w:val="0"/>
    <w:rPr>
      <w:rFonts w:ascii="宋体" w:hAnsi="宋体" w:eastAsia="宋体" w:cs="Times New Roman"/>
      <w:sz w:val="24"/>
      <w:szCs w:val="24"/>
    </w:rPr>
  </w:style>
  <w:style w:type="character" w:customStyle="1" w:styleId="61">
    <w:name w:val="文档结构图 Char"/>
    <w:basedOn w:val="37"/>
    <w:link w:val="10"/>
    <w:qFormat/>
    <w:uiPriority w:val="0"/>
    <w:rPr>
      <w:rFonts w:ascii="宋体" w:hAnsi="Times New Roman" w:eastAsia="宋体" w:cs="Times New Roman"/>
      <w:sz w:val="18"/>
      <w:szCs w:val="18"/>
    </w:rPr>
  </w:style>
  <w:style w:type="character" w:customStyle="1" w:styleId="62">
    <w:name w:val="批注文字 Char"/>
    <w:basedOn w:val="37"/>
    <w:link w:val="11"/>
    <w:qFormat/>
    <w:uiPriority w:val="99"/>
    <w:rPr>
      <w:rFonts w:ascii="Times New Roman" w:hAnsi="Times New Roman" w:eastAsia="宋体" w:cs="Times New Roman"/>
      <w:szCs w:val="24"/>
    </w:rPr>
  </w:style>
  <w:style w:type="character" w:customStyle="1" w:styleId="63">
    <w:name w:val="正文文本缩进 Char"/>
    <w:basedOn w:val="37"/>
    <w:link w:val="13"/>
    <w:qFormat/>
    <w:uiPriority w:val="0"/>
    <w:rPr>
      <w:rFonts w:ascii="Times New Roman" w:hAnsi="Times New Roman" w:eastAsia="宋体" w:cs="Times New Roman"/>
      <w:sz w:val="24"/>
      <w:szCs w:val="24"/>
    </w:rPr>
  </w:style>
  <w:style w:type="character" w:customStyle="1" w:styleId="64">
    <w:name w:val="纯文本 Char"/>
    <w:basedOn w:val="37"/>
    <w:link w:val="16"/>
    <w:qFormat/>
    <w:uiPriority w:val="0"/>
    <w:rPr>
      <w:rFonts w:ascii="宋体" w:hAnsi="Courier New" w:eastAsia="宋体" w:cs="Times New Roman"/>
      <w:szCs w:val="20"/>
    </w:rPr>
  </w:style>
  <w:style w:type="character" w:customStyle="1" w:styleId="65">
    <w:name w:val="日期 Char"/>
    <w:basedOn w:val="37"/>
    <w:link w:val="18"/>
    <w:qFormat/>
    <w:uiPriority w:val="0"/>
    <w:rPr>
      <w:rFonts w:ascii="仿宋_GB2312" w:hAnsi="宋体" w:eastAsia="仿宋_GB2312" w:cs="Times New Roman"/>
      <w:color w:val="000000"/>
      <w:sz w:val="24"/>
      <w:szCs w:val="24"/>
    </w:rPr>
  </w:style>
  <w:style w:type="character" w:customStyle="1" w:styleId="66">
    <w:name w:val="正文文本缩进 2 Char"/>
    <w:basedOn w:val="37"/>
    <w:link w:val="19"/>
    <w:qFormat/>
    <w:uiPriority w:val="0"/>
    <w:rPr>
      <w:rFonts w:ascii="仿宋_GB2312" w:hAnsi="Times New Roman" w:eastAsia="仿宋_GB2312" w:cs="Times New Roman"/>
      <w:sz w:val="24"/>
      <w:szCs w:val="24"/>
    </w:rPr>
  </w:style>
  <w:style w:type="character" w:customStyle="1" w:styleId="67">
    <w:name w:val="批注框文本 Char"/>
    <w:basedOn w:val="37"/>
    <w:link w:val="20"/>
    <w:qFormat/>
    <w:uiPriority w:val="99"/>
    <w:rPr>
      <w:rFonts w:ascii="Times New Roman" w:hAnsi="Times New Roman" w:eastAsia="宋体" w:cs="Times New Roman"/>
      <w:sz w:val="18"/>
      <w:szCs w:val="18"/>
    </w:rPr>
  </w:style>
  <w:style w:type="character" w:customStyle="1" w:styleId="68">
    <w:name w:val="正文文本缩进 3 Char"/>
    <w:basedOn w:val="37"/>
    <w:link w:val="26"/>
    <w:qFormat/>
    <w:uiPriority w:val="0"/>
    <w:rPr>
      <w:rFonts w:ascii="宋体" w:hAnsi="Times New Roman" w:eastAsia="宋体" w:cs="Times New Roman"/>
      <w:kern w:val="0"/>
      <w:sz w:val="24"/>
      <w:szCs w:val="20"/>
    </w:rPr>
  </w:style>
  <w:style w:type="character" w:customStyle="1" w:styleId="69">
    <w:name w:val="普通(网站) Char"/>
    <w:link w:val="29"/>
    <w:qFormat/>
    <w:locked/>
    <w:uiPriority w:val="99"/>
    <w:rPr>
      <w:rFonts w:ascii="宋体" w:hAnsi="宋体" w:eastAsia="宋体" w:cs="宋体"/>
      <w:kern w:val="0"/>
      <w:sz w:val="24"/>
      <w:szCs w:val="24"/>
    </w:rPr>
  </w:style>
  <w:style w:type="character" w:customStyle="1" w:styleId="70">
    <w:name w:val="标题 Char"/>
    <w:basedOn w:val="37"/>
    <w:link w:val="31"/>
    <w:qFormat/>
    <w:uiPriority w:val="0"/>
    <w:rPr>
      <w:rFonts w:ascii="Cambria" w:hAnsi="Cambria" w:eastAsia="宋体" w:cs="Times New Roman"/>
      <w:b/>
      <w:bCs/>
      <w:sz w:val="32"/>
      <w:szCs w:val="32"/>
    </w:rPr>
  </w:style>
  <w:style w:type="character" w:customStyle="1" w:styleId="71">
    <w:name w:val="批注主题 Char"/>
    <w:basedOn w:val="62"/>
    <w:link w:val="32"/>
    <w:qFormat/>
    <w:uiPriority w:val="0"/>
    <w:rPr>
      <w:rFonts w:ascii="Times New Roman" w:hAnsi="Times New Roman" w:eastAsia="宋体" w:cs="Times New Roman"/>
      <w:b/>
      <w:bCs/>
      <w:szCs w:val="24"/>
    </w:rPr>
  </w:style>
  <w:style w:type="character" w:customStyle="1" w:styleId="72">
    <w:name w:val="批注文字 Char1"/>
    <w:semiHidden/>
    <w:qFormat/>
    <w:uiPriority w:val="99"/>
    <w:rPr>
      <w:kern w:val="2"/>
      <w:sz w:val="21"/>
      <w:szCs w:val="24"/>
    </w:rPr>
  </w:style>
  <w:style w:type="character" w:customStyle="1" w:styleId="73">
    <w:name w:val="正文文本 字符"/>
    <w:qFormat/>
    <w:uiPriority w:val="0"/>
    <w:rPr>
      <w:rFonts w:ascii="宋体" w:hAnsi="宋体"/>
      <w:kern w:val="2"/>
      <w:sz w:val="24"/>
      <w:szCs w:val="24"/>
    </w:rPr>
  </w:style>
  <w:style w:type="character" w:customStyle="1" w:styleId="74">
    <w:name w:val="标题 2 字符"/>
    <w:qFormat/>
    <w:uiPriority w:val="0"/>
    <w:rPr>
      <w:rFonts w:ascii="Arial" w:hAnsi="Arial" w:eastAsia="黑体"/>
      <w:b/>
      <w:sz w:val="30"/>
    </w:rPr>
  </w:style>
  <w:style w:type="character" w:customStyle="1" w:styleId="75">
    <w:name w:val="正文缩进 Char1"/>
    <w:link w:val="76"/>
    <w:qFormat/>
    <w:uiPriority w:val="0"/>
    <w:rPr>
      <w:rFonts w:ascii="宋体"/>
      <w:sz w:val="24"/>
    </w:rPr>
  </w:style>
  <w:style w:type="paragraph" w:customStyle="1" w:styleId="76">
    <w:name w:val="正文缩进1"/>
    <w:basedOn w:val="1"/>
    <w:link w:val="75"/>
    <w:qFormat/>
    <w:uiPriority w:val="0"/>
    <w:pPr>
      <w:autoSpaceDE w:val="0"/>
      <w:autoSpaceDN w:val="0"/>
      <w:adjustRightInd w:val="0"/>
      <w:ind w:firstLine="420"/>
      <w:jc w:val="left"/>
    </w:pPr>
    <w:rPr>
      <w:rFonts w:ascii="宋体" w:hAnsiTheme="minorHAnsi" w:eastAsiaTheme="minorEastAsia" w:cstheme="minorBidi"/>
      <w:sz w:val="24"/>
      <w:szCs w:val="22"/>
    </w:rPr>
  </w:style>
  <w:style w:type="character" w:customStyle="1" w:styleId="77">
    <w:name w:val="批注主题 Char1"/>
    <w:semiHidden/>
    <w:qFormat/>
    <w:uiPriority w:val="99"/>
    <w:rPr>
      <w:b/>
      <w:bCs/>
      <w:kern w:val="2"/>
      <w:sz w:val="21"/>
      <w:szCs w:val="24"/>
    </w:rPr>
  </w:style>
  <w:style w:type="character" w:customStyle="1" w:styleId="78">
    <w:name w:val="纯文本 Char1"/>
    <w:link w:val="79"/>
    <w:qFormat/>
    <w:uiPriority w:val="0"/>
    <w:rPr>
      <w:rFonts w:ascii="宋体" w:hAnsi="Courier New"/>
    </w:rPr>
  </w:style>
  <w:style w:type="paragraph" w:customStyle="1" w:styleId="79">
    <w:name w:val="纯文本1"/>
    <w:basedOn w:val="1"/>
    <w:link w:val="78"/>
    <w:qFormat/>
    <w:uiPriority w:val="0"/>
    <w:rPr>
      <w:rFonts w:ascii="宋体" w:hAnsi="Courier New" w:eastAsiaTheme="minorEastAsia" w:cstheme="minorBidi"/>
      <w:szCs w:val="22"/>
    </w:rPr>
  </w:style>
  <w:style w:type="character" w:customStyle="1" w:styleId="80">
    <w:name w:val="标题 3 字符"/>
    <w:qFormat/>
    <w:uiPriority w:val="0"/>
    <w:rPr>
      <w:rFonts w:ascii="宋体"/>
      <w:b/>
      <w:sz w:val="24"/>
      <w:u w:val="single"/>
    </w:rPr>
  </w:style>
  <w:style w:type="character" w:customStyle="1" w:styleId="81">
    <w:name w:val="批注框文本 Char1"/>
    <w:semiHidden/>
    <w:qFormat/>
    <w:uiPriority w:val="99"/>
    <w:rPr>
      <w:kern w:val="2"/>
      <w:sz w:val="18"/>
      <w:szCs w:val="18"/>
    </w:rPr>
  </w:style>
  <w:style w:type="character" w:customStyle="1" w:styleId="82">
    <w:name w:val="纯文本 字符"/>
    <w:qFormat/>
    <w:uiPriority w:val="0"/>
    <w:rPr>
      <w:rFonts w:ascii="宋体" w:hAnsi="Courier New"/>
      <w:kern w:val="2"/>
      <w:sz w:val="21"/>
    </w:rPr>
  </w:style>
  <w:style w:type="character" w:customStyle="1" w:styleId="83">
    <w:name w:val="页眉 Char1"/>
    <w:semiHidden/>
    <w:qFormat/>
    <w:uiPriority w:val="99"/>
    <w:rPr>
      <w:kern w:val="2"/>
      <w:sz w:val="18"/>
      <w:szCs w:val="18"/>
    </w:rPr>
  </w:style>
  <w:style w:type="paragraph" w:customStyle="1" w:styleId="84">
    <w:name w:val="图"/>
    <w:basedOn w:val="1"/>
    <w:next w:val="1"/>
    <w:qFormat/>
    <w:uiPriority w:val="0"/>
    <w:pPr>
      <w:tabs>
        <w:tab w:val="left" w:pos="1755"/>
        <w:tab w:val="left" w:pos="3134"/>
        <w:tab w:val="left" w:pos="4834"/>
      </w:tabs>
      <w:adjustRightInd w:val="0"/>
      <w:spacing w:before="60" w:after="60" w:line="360" w:lineRule="atLeast"/>
      <w:ind w:left="4834" w:hanging="1290"/>
      <w:jc w:val="center"/>
      <w:textAlignment w:val="baseline"/>
    </w:pPr>
    <w:rPr>
      <w:rFonts w:eastAsia="黑体"/>
      <w:b/>
      <w:kern w:val="0"/>
      <w:sz w:val="24"/>
      <w:szCs w:val="20"/>
    </w:rPr>
  </w:style>
  <w:style w:type="paragraph" w:customStyle="1" w:styleId="85">
    <w:name w:val="索引 11"/>
    <w:basedOn w:val="1"/>
    <w:next w:val="1"/>
    <w:qFormat/>
    <w:uiPriority w:val="0"/>
    <w:pPr>
      <w:spacing w:line="360" w:lineRule="auto"/>
    </w:pPr>
    <w:rPr>
      <w:rFonts w:ascii="仿宋_GB2312" w:eastAsia="仿宋_GB2312"/>
      <w:sz w:val="24"/>
      <w:szCs w:val="20"/>
    </w:rPr>
  </w:style>
  <w:style w:type="paragraph" w:customStyle="1" w:styleId="86">
    <w:name w:val="TOC 标题1"/>
    <w:basedOn w:val="3"/>
    <w:next w:val="1"/>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paragraph" w:customStyle="1" w:styleId="87">
    <w:name w:val="title1"/>
    <w:basedOn w:val="1"/>
    <w:qFormat/>
    <w:uiPriority w:val="0"/>
    <w:pPr>
      <w:widowControl/>
      <w:jc w:val="left"/>
    </w:pPr>
    <w:rPr>
      <w:rFonts w:ascii="宋体" w:hAnsi="宋体" w:cs="宋体"/>
      <w:kern w:val="0"/>
      <w:sz w:val="24"/>
    </w:rPr>
  </w:style>
  <w:style w:type="paragraph" w:styleId="88">
    <w:name w:val="List Paragraph"/>
    <w:basedOn w:val="1"/>
    <w:qFormat/>
    <w:uiPriority w:val="0"/>
    <w:pPr>
      <w:widowControl/>
      <w:ind w:firstLine="420" w:firstLineChars="200"/>
      <w:jc w:val="left"/>
    </w:pPr>
    <w:rPr>
      <w:kern w:val="0"/>
      <w:sz w:val="24"/>
    </w:rPr>
  </w:style>
  <w:style w:type="character" w:customStyle="1" w:styleId="89">
    <w:name w:val="next"/>
    <w:qFormat/>
    <w:uiPriority w:val="0"/>
    <w:rPr>
      <w:rFonts w:ascii="微软雅黑" w:hAnsi="微软雅黑" w:eastAsia="微软雅黑" w:cs="微软雅黑"/>
      <w:sz w:val="21"/>
      <w:szCs w:val="21"/>
    </w:rPr>
  </w:style>
  <w:style w:type="character" w:customStyle="1" w:styleId="90">
    <w:name w:val="next1"/>
    <w:qFormat/>
    <w:uiPriority w:val="0"/>
    <w:rPr>
      <w:color w:val="888888"/>
    </w:rPr>
  </w:style>
  <w:style w:type="character" w:customStyle="1" w:styleId="91">
    <w:name w:val="prev"/>
    <w:qFormat/>
    <w:uiPriority w:val="0"/>
    <w:rPr>
      <w:rFonts w:hint="eastAsia" w:ascii="微软雅黑" w:hAnsi="微软雅黑" w:eastAsia="微软雅黑" w:cs="微软雅黑"/>
      <w:sz w:val="21"/>
      <w:szCs w:val="21"/>
    </w:rPr>
  </w:style>
  <w:style w:type="character" w:customStyle="1" w:styleId="92">
    <w:name w:val="prev1"/>
    <w:qFormat/>
    <w:uiPriority w:val="0"/>
    <w:rPr>
      <w:color w:val="888888"/>
    </w:rPr>
  </w:style>
  <w:style w:type="character" w:customStyle="1" w:styleId="93">
    <w:name w:val="cfdate"/>
    <w:qFormat/>
    <w:uiPriority w:val="0"/>
    <w:rPr>
      <w:color w:val="333333"/>
      <w:sz w:val="18"/>
      <w:szCs w:val="18"/>
    </w:rPr>
  </w:style>
  <w:style w:type="character" w:customStyle="1" w:styleId="94">
    <w:name w:val="qxdate"/>
    <w:qFormat/>
    <w:uiPriority w:val="0"/>
    <w:rPr>
      <w:color w:val="333333"/>
      <w:sz w:val="18"/>
      <w:szCs w:val="18"/>
    </w:rPr>
  </w:style>
  <w:style w:type="character" w:customStyle="1" w:styleId="95">
    <w:name w:val="gjfg"/>
    <w:qFormat/>
    <w:uiPriority w:val="0"/>
  </w:style>
  <w:style w:type="character" w:customStyle="1" w:styleId="96">
    <w:name w:val="redfilefwwh"/>
    <w:qFormat/>
    <w:uiPriority w:val="0"/>
    <w:rPr>
      <w:color w:val="BA2636"/>
      <w:sz w:val="18"/>
      <w:szCs w:val="18"/>
    </w:rPr>
  </w:style>
  <w:style w:type="character" w:customStyle="1" w:styleId="97">
    <w:name w:val="displayarti"/>
    <w:qFormat/>
    <w:uiPriority w:val="0"/>
    <w:rPr>
      <w:color w:val="FFFFFF"/>
      <w:shd w:val="clear" w:color="auto" w:fill="A00000"/>
    </w:rPr>
  </w:style>
  <w:style w:type="character" w:customStyle="1" w:styleId="98">
    <w:name w:val="redfilenumber"/>
    <w:qFormat/>
    <w:uiPriority w:val="0"/>
    <w:rPr>
      <w:color w:val="BA2636"/>
      <w:sz w:val="18"/>
      <w:szCs w:val="18"/>
    </w:rPr>
  </w:style>
  <w:style w:type="character" w:customStyle="1" w:styleId="99">
    <w:name w:val="prev2"/>
    <w:qFormat/>
    <w:uiPriority w:val="0"/>
    <w:rPr>
      <w:rFonts w:hint="eastAsia" w:ascii="微软雅黑" w:hAnsi="微软雅黑" w:eastAsia="微软雅黑" w:cs="微软雅黑"/>
      <w:sz w:val="21"/>
      <w:szCs w:val="21"/>
    </w:rPr>
  </w:style>
  <w:style w:type="character" w:customStyle="1" w:styleId="100">
    <w:name w:val="prev3"/>
    <w:qFormat/>
    <w:uiPriority w:val="0"/>
    <w:rPr>
      <w:color w:val="888888"/>
    </w:rPr>
  </w:style>
  <w:style w:type="character" w:customStyle="1" w:styleId="101">
    <w:name w:val="next2"/>
    <w:qFormat/>
    <w:uiPriority w:val="0"/>
    <w:rPr>
      <w:color w:val="888888"/>
    </w:rPr>
  </w:style>
  <w:style w:type="character" w:customStyle="1" w:styleId="102">
    <w:name w:val="nth-of-type(8)"/>
    <w:qFormat/>
    <w:uiPriority w:val="0"/>
  </w:style>
  <w:style w:type="character" w:customStyle="1" w:styleId="103">
    <w:name w:val="lineshow"/>
    <w:qFormat/>
    <w:uiPriority w:val="0"/>
  </w:style>
  <w:style w:type="character" w:customStyle="1" w:styleId="104">
    <w:name w:val="lineshow1"/>
    <w:qFormat/>
    <w:uiPriority w:val="0"/>
  </w:style>
  <w:style w:type="character" w:customStyle="1" w:styleId="105">
    <w:name w:val="layui-laypage-curr"/>
    <w:qFormat/>
    <w:uiPriority w:val="0"/>
  </w:style>
  <w:style w:type="character" w:customStyle="1" w:styleId="106">
    <w:name w:val="nth-of-type(1)"/>
    <w:qFormat/>
    <w:uiPriority w:val="0"/>
  </w:style>
  <w:style w:type="character" w:customStyle="1" w:styleId="107">
    <w:name w:val="nth-of-type(1)1"/>
    <w:qFormat/>
    <w:uiPriority w:val="0"/>
  </w:style>
  <w:style w:type="character" w:customStyle="1" w:styleId="108">
    <w:name w:val="nth-of-type(1)2"/>
    <w:qFormat/>
    <w:uiPriority w:val="0"/>
  </w:style>
  <w:style w:type="character" w:customStyle="1" w:styleId="109">
    <w:name w:val="nth-of-type(1)3"/>
    <w:qFormat/>
    <w:uiPriority w:val="0"/>
  </w:style>
  <w:style w:type="character" w:customStyle="1" w:styleId="110">
    <w:name w:val="nth-of-type(1)4"/>
    <w:qFormat/>
    <w:uiPriority w:val="0"/>
  </w:style>
  <w:style w:type="character" w:customStyle="1" w:styleId="111">
    <w:name w:val="nth-of-type(1)5"/>
    <w:qFormat/>
    <w:uiPriority w:val="0"/>
  </w:style>
  <w:style w:type="character" w:customStyle="1" w:styleId="112">
    <w:name w:val="nth-of-type(1)6"/>
    <w:qFormat/>
    <w:uiPriority w:val="0"/>
  </w:style>
  <w:style w:type="character" w:customStyle="1" w:styleId="113">
    <w:name w:val="nth-of-type(1)7"/>
    <w:qFormat/>
    <w:uiPriority w:val="0"/>
    <w:rPr>
      <w:sz w:val="21"/>
      <w:szCs w:val="21"/>
    </w:rPr>
  </w:style>
  <w:style w:type="character" w:customStyle="1" w:styleId="114">
    <w:name w:val="nth-of-type(1)8"/>
    <w:qFormat/>
    <w:uiPriority w:val="0"/>
  </w:style>
  <w:style w:type="character" w:customStyle="1" w:styleId="115">
    <w:name w:val="nth-of-type(1)9"/>
    <w:qFormat/>
    <w:uiPriority w:val="0"/>
  </w:style>
  <w:style w:type="character" w:customStyle="1" w:styleId="116">
    <w:name w:val="nth-of-type(1)10"/>
    <w:qFormat/>
    <w:uiPriority w:val="0"/>
    <w:rPr>
      <w:rFonts w:ascii="SourceHanSansCN-Regular" w:hAnsi="SourceHanSansCN-Regular" w:eastAsia="SourceHanSansCN-Regular" w:cs="SourceHanSansCN-Regular"/>
      <w:color w:val="FB560A"/>
      <w:sz w:val="21"/>
      <w:szCs w:val="21"/>
    </w:rPr>
  </w:style>
  <w:style w:type="character" w:customStyle="1" w:styleId="117">
    <w:name w:val="nth-of-type(1)11"/>
    <w:qFormat/>
    <w:uiPriority w:val="0"/>
  </w:style>
  <w:style w:type="character" w:customStyle="1" w:styleId="118">
    <w:name w:val="nth-of-type(1)12"/>
    <w:qFormat/>
    <w:uiPriority w:val="0"/>
  </w:style>
  <w:style w:type="character" w:customStyle="1" w:styleId="119">
    <w:name w:val="nth-of-type(1)13"/>
    <w:qFormat/>
    <w:uiPriority w:val="0"/>
  </w:style>
  <w:style w:type="character" w:customStyle="1" w:styleId="120">
    <w:name w:val="nth-of-type(1)14"/>
    <w:qFormat/>
    <w:uiPriority w:val="0"/>
  </w:style>
  <w:style w:type="character" w:customStyle="1" w:styleId="121">
    <w:name w:val="nth-of-type(1)15"/>
    <w:qFormat/>
    <w:uiPriority w:val="0"/>
  </w:style>
  <w:style w:type="character" w:customStyle="1" w:styleId="122">
    <w:name w:val="nth-of-type(1)16"/>
    <w:qFormat/>
    <w:uiPriority w:val="0"/>
  </w:style>
  <w:style w:type="character" w:customStyle="1" w:styleId="123">
    <w:name w:val="nth-of-type(1)17"/>
    <w:qFormat/>
    <w:uiPriority w:val="0"/>
  </w:style>
  <w:style w:type="character" w:customStyle="1" w:styleId="124">
    <w:name w:val="nth-of-type(1)18"/>
    <w:qFormat/>
    <w:uiPriority w:val="0"/>
  </w:style>
  <w:style w:type="character" w:customStyle="1" w:styleId="125">
    <w:name w:val="nth-of-type(5)"/>
    <w:qFormat/>
    <w:uiPriority w:val="0"/>
  </w:style>
  <w:style w:type="character" w:customStyle="1" w:styleId="126">
    <w:name w:val="nth-of-type(5)1"/>
    <w:qFormat/>
    <w:uiPriority w:val="0"/>
    <w:rPr>
      <w:sz w:val="21"/>
      <w:szCs w:val="21"/>
    </w:rPr>
  </w:style>
  <w:style w:type="character" w:customStyle="1" w:styleId="127">
    <w:name w:val="nth-of-type(5)2"/>
    <w:qFormat/>
    <w:uiPriority w:val="0"/>
  </w:style>
  <w:style w:type="character" w:customStyle="1" w:styleId="128">
    <w:name w:val="nth-of-type(5)3"/>
    <w:qFormat/>
    <w:uiPriority w:val="0"/>
  </w:style>
  <w:style w:type="character" w:customStyle="1" w:styleId="129">
    <w:name w:val="nth-of-type(5)4"/>
    <w:qFormat/>
    <w:uiPriority w:val="0"/>
  </w:style>
  <w:style w:type="character" w:customStyle="1" w:styleId="130">
    <w:name w:val="nth-of-type(5)5"/>
    <w:qFormat/>
    <w:uiPriority w:val="0"/>
  </w:style>
  <w:style w:type="character" w:customStyle="1" w:styleId="131">
    <w:name w:val="nth-of-type(5)6"/>
    <w:qFormat/>
    <w:uiPriority w:val="0"/>
  </w:style>
  <w:style w:type="character" w:customStyle="1" w:styleId="132">
    <w:name w:val="nth-of-type(2)"/>
    <w:qFormat/>
    <w:uiPriority w:val="0"/>
  </w:style>
  <w:style w:type="character" w:customStyle="1" w:styleId="133">
    <w:name w:val="nth-of-type(2)1"/>
    <w:qFormat/>
    <w:uiPriority w:val="0"/>
  </w:style>
  <w:style w:type="character" w:customStyle="1" w:styleId="134">
    <w:name w:val="nth-of-type(2)2"/>
    <w:qFormat/>
    <w:uiPriority w:val="0"/>
  </w:style>
  <w:style w:type="character" w:customStyle="1" w:styleId="135">
    <w:name w:val="nth-of-type(2)3"/>
    <w:qFormat/>
    <w:uiPriority w:val="0"/>
  </w:style>
  <w:style w:type="character" w:customStyle="1" w:styleId="136">
    <w:name w:val="nth-of-type(2)4"/>
    <w:qFormat/>
    <w:uiPriority w:val="0"/>
  </w:style>
  <w:style w:type="character" w:customStyle="1" w:styleId="137">
    <w:name w:val="nth-of-type(2)5"/>
    <w:qFormat/>
    <w:uiPriority w:val="0"/>
    <w:rPr>
      <w:sz w:val="21"/>
      <w:szCs w:val="21"/>
    </w:rPr>
  </w:style>
  <w:style w:type="character" w:customStyle="1" w:styleId="138">
    <w:name w:val="nth-of-type(2)6"/>
    <w:qFormat/>
    <w:uiPriority w:val="0"/>
  </w:style>
  <w:style w:type="character" w:customStyle="1" w:styleId="139">
    <w:name w:val="nth-of-type(2)7"/>
    <w:qFormat/>
    <w:uiPriority w:val="0"/>
  </w:style>
  <w:style w:type="character" w:customStyle="1" w:styleId="140">
    <w:name w:val="nth-of-type(2)8"/>
    <w:qFormat/>
    <w:uiPriority w:val="0"/>
  </w:style>
  <w:style w:type="character" w:customStyle="1" w:styleId="141">
    <w:name w:val="nth-of-type(2)9"/>
    <w:qFormat/>
    <w:uiPriority w:val="0"/>
  </w:style>
  <w:style w:type="character" w:customStyle="1" w:styleId="142">
    <w:name w:val="nth-of-type(2)10"/>
    <w:qFormat/>
    <w:uiPriority w:val="0"/>
  </w:style>
  <w:style w:type="character" w:customStyle="1" w:styleId="143">
    <w:name w:val="nth-of-type(2)11"/>
    <w:qFormat/>
    <w:uiPriority w:val="0"/>
  </w:style>
  <w:style w:type="character" w:customStyle="1" w:styleId="144">
    <w:name w:val="nth-of-type(2)12"/>
    <w:qFormat/>
    <w:uiPriority w:val="0"/>
  </w:style>
  <w:style w:type="character" w:customStyle="1" w:styleId="145">
    <w:name w:val="nth-of-type(2)13"/>
    <w:qFormat/>
    <w:uiPriority w:val="0"/>
  </w:style>
  <w:style w:type="character" w:customStyle="1" w:styleId="146">
    <w:name w:val="nth-of-type(2)14"/>
    <w:qFormat/>
    <w:uiPriority w:val="0"/>
  </w:style>
  <w:style w:type="character" w:customStyle="1" w:styleId="147">
    <w:name w:val="nth-of-type(3)"/>
    <w:qFormat/>
    <w:uiPriority w:val="0"/>
  </w:style>
  <w:style w:type="character" w:customStyle="1" w:styleId="148">
    <w:name w:val="nth-of-type(3)1"/>
    <w:qFormat/>
    <w:uiPriority w:val="0"/>
    <w:rPr>
      <w:sz w:val="21"/>
      <w:szCs w:val="21"/>
    </w:rPr>
  </w:style>
  <w:style w:type="character" w:customStyle="1" w:styleId="149">
    <w:name w:val="nth-of-type(3)2"/>
    <w:qFormat/>
    <w:uiPriority w:val="0"/>
  </w:style>
  <w:style w:type="character" w:customStyle="1" w:styleId="150">
    <w:name w:val="nth-of-type(3)3"/>
    <w:qFormat/>
    <w:uiPriority w:val="0"/>
  </w:style>
  <w:style w:type="character" w:customStyle="1" w:styleId="151">
    <w:name w:val="nth-of-type(3)4"/>
    <w:qFormat/>
    <w:uiPriority w:val="0"/>
  </w:style>
  <w:style w:type="character" w:customStyle="1" w:styleId="152">
    <w:name w:val="nth-of-type(3)5"/>
    <w:qFormat/>
    <w:uiPriority w:val="0"/>
  </w:style>
  <w:style w:type="character" w:customStyle="1" w:styleId="153">
    <w:name w:val="nth-of-type(3)6"/>
    <w:qFormat/>
    <w:uiPriority w:val="0"/>
  </w:style>
  <w:style w:type="character" w:customStyle="1" w:styleId="154">
    <w:name w:val="nth-of-type(3)7"/>
    <w:qFormat/>
    <w:uiPriority w:val="0"/>
  </w:style>
  <w:style w:type="character" w:customStyle="1" w:styleId="155">
    <w:name w:val="nth-of-type(4)"/>
    <w:qFormat/>
    <w:uiPriority w:val="0"/>
  </w:style>
  <w:style w:type="character" w:customStyle="1" w:styleId="156">
    <w:name w:val="nth-of-type(4)1"/>
    <w:qFormat/>
    <w:uiPriority w:val="0"/>
    <w:rPr>
      <w:sz w:val="21"/>
      <w:szCs w:val="21"/>
    </w:rPr>
  </w:style>
  <w:style w:type="character" w:customStyle="1" w:styleId="157">
    <w:name w:val="nth-of-type(4)2"/>
    <w:qFormat/>
    <w:uiPriority w:val="0"/>
  </w:style>
  <w:style w:type="character" w:customStyle="1" w:styleId="158">
    <w:name w:val="nth-of-type(4)3"/>
    <w:qFormat/>
    <w:uiPriority w:val="0"/>
  </w:style>
  <w:style w:type="character" w:customStyle="1" w:styleId="159">
    <w:name w:val="nth-of-type(4)4"/>
    <w:qFormat/>
    <w:uiPriority w:val="0"/>
  </w:style>
  <w:style w:type="character" w:customStyle="1" w:styleId="160">
    <w:name w:val="nth-of-type(4)5"/>
    <w:qFormat/>
    <w:uiPriority w:val="0"/>
  </w:style>
  <w:style w:type="character" w:customStyle="1" w:styleId="161">
    <w:name w:val="nth-of-type(4)6"/>
    <w:qFormat/>
    <w:uiPriority w:val="0"/>
  </w:style>
  <w:style w:type="character" w:customStyle="1" w:styleId="162">
    <w:name w:val="nth-of-type(4)7"/>
    <w:qFormat/>
    <w:uiPriority w:val="0"/>
  </w:style>
  <w:style w:type="character" w:customStyle="1" w:styleId="163">
    <w:name w:val="nth-of-type(4)8"/>
    <w:qFormat/>
    <w:uiPriority w:val="0"/>
  </w:style>
  <w:style w:type="character" w:customStyle="1" w:styleId="164">
    <w:name w:val="nth-of-type(6)"/>
    <w:qFormat/>
    <w:uiPriority w:val="0"/>
  </w:style>
  <w:style w:type="character" w:customStyle="1" w:styleId="165">
    <w:name w:val="nth-of-type(6)1"/>
    <w:qFormat/>
    <w:uiPriority w:val="0"/>
  </w:style>
  <w:style w:type="character" w:customStyle="1" w:styleId="166">
    <w:name w:val="nth-of-type(6)2"/>
    <w:qFormat/>
    <w:uiPriority w:val="0"/>
  </w:style>
  <w:style w:type="character" w:customStyle="1" w:styleId="167">
    <w:name w:val="nth-of-type(6)3"/>
    <w:qFormat/>
    <w:uiPriority w:val="0"/>
  </w:style>
  <w:style w:type="character" w:customStyle="1" w:styleId="168">
    <w:name w:val="nth-of-type(6)4"/>
    <w:qFormat/>
    <w:uiPriority w:val="0"/>
  </w:style>
  <w:style w:type="character" w:customStyle="1" w:styleId="169">
    <w:name w:val="nth-of-type(6)5"/>
    <w:qFormat/>
    <w:uiPriority w:val="0"/>
    <w:rPr>
      <w:color w:val="0082DF"/>
    </w:rPr>
  </w:style>
  <w:style w:type="character" w:customStyle="1" w:styleId="170">
    <w:name w:val="nth-of-type(7)"/>
    <w:qFormat/>
    <w:uiPriority w:val="0"/>
  </w:style>
  <w:style w:type="character" w:customStyle="1" w:styleId="171">
    <w:name w:val="nth-of-type(7)1"/>
    <w:qFormat/>
    <w:uiPriority w:val="0"/>
  </w:style>
  <w:style w:type="character" w:customStyle="1" w:styleId="172">
    <w:name w:val="nth-of-type(7)2"/>
    <w:qFormat/>
    <w:uiPriority w:val="0"/>
  </w:style>
  <w:style w:type="character" w:customStyle="1" w:styleId="173">
    <w:name w:val="nth-of-type(9)"/>
    <w:qFormat/>
    <w:uiPriority w:val="0"/>
  </w:style>
  <w:style w:type="character" w:customStyle="1" w:styleId="174">
    <w:name w:val="nth-of-type(10)"/>
    <w:qFormat/>
    <w:uiPriority w:val="0"/>
  </w:style>
  <w:style w:type="character" w:customStyle="1" w:styleId="175">
    <w:name w:val="hover25"/>
    <w:qFormat/>
    <w:uiPriority w:val="0"/>
  </w:style>
  <w:style w:type="character" w:customStyle="1" w:styleId="176">
    <w:name w:val="hover26"/>
    <w:qFormat/>
    <w:uiPriority w:val="0"/>
    <w:rPr>
      <w:color w:val="167AE0"/>
    </w:rPr>
  </w:style>
  <w:style w:type="character" w:customStyle="1" w:styleId="177">
    <w:name w:val="nth-child(3)"/>
    <w:qFormat/>
    <w:uiPriority w:val="0"/>
  </w:style>
  <w:style w:type="character" w:customStyle="1" w:styleId="178">
    <w:name w:val="titleshow"/>
    <w:qFormat/>
    <w:uiPriority w:val="0"/>
    <w:rPr>
      <w:color w:val="3E464C"/>
    </w:rPr>
  </w:style>
  <w:style w:type="character" w:customStyle="1" w:styleId="179">
    <w:name w:val="nth-child(1)"/>
    <w:qFormat/>
    <w:uiPriority w:val="0"/>
  </w:style>
  <w:style w:type="character" w:customStyle="1" w:styleId="180">
    <w:name w:val="nth-child(2)"/>
    <w:qFormat/>
    <w:uiPriority w:val="0"/>
  </w:style>
  <w:style w:type="character" w:customStyle="1" w:styleId="181">
    <w:name w:val="last-child1"/>
    <w:qFormat/>
    <w:uiPriority w:val="0"/>
    <w:rPr>
      <w:color w:val="FFFFFF"/>
    </w:rPr>
  </w:style>
  <w:style w:type="character" w:customStyle="1" w:styleId="182">
    <w:name w:val="last-child2"/>
    <w:qFormat/>
    <w:uiPriority w:val="0"/>
  </w:style>
  <w:style w:type="character" w:customStyle="1" w:styleId="183">
    <w:name w:val="last-child3"/>
    <w:qFormat/>
    <w:uiPriority w:val="0"/>
  </w:style>
  <w:style w:type="character" w:customStyle="1" w:styleId="184">
    <w:name w:val="first-child"/>
    <w:qFormat/>
    <w:uiPriority w:val="0"/>
  </w:style>
  <w:style w:type="character" w:customStyle="1" w:styleId="185">
    <w:name w:val="first-child1"/>
    <w:qFormat/>
    <w:uiPriority w:val="0"/>
  </w:style>
  <w:style w:type="character" w:customStyle="1" w:styleId="186">
    <w:name w:val="first-child2"/>
    <w:qFormat/>
    <w:uiPriority w:val="0"/>
  </w:style>
  <w:style w:type="character" w:customStyle="1" w:styleId="187">
    <w:name w:val="first-child3"/>
    <w:qFormat/>
    <w:uiPriority w:val="0"/>
  </w:style>
  <w:style w:type="character" w:customStyle="1" w:styleId="188">
    <w:name w:val="before2"/>
    <w:qFormat/>
    <w:uiPriority w:val="0"/>
    <w:rPr>
      <w:shd w:val="clear" w:color="auto" w:fill="C20E0C"/>
    </w:rPr>
  </w:style>
  <w:style w:type="character" w:customStyle="1" w:styleId="189">
    <w:name w:val="layui-this4"/>
    <w:qFormat/>
    <w:uiPriority w:val="0"/>
    <w:rPr>
      <w:bdr w:val="single" w:color="EEEEEE" w:sz="6" w:space="0"/>
      <w:shd w:val="clear" w:color="auto" w:fill="FFFFFF"/>
    </w:rPr>
  </w:style>
  <w:style w:type="character" w:customStyle="1" w:styleId="190">
    <w:name w:val="titles"/>
    <w:qFormat/>
    <w:uiPriority w:val="0"/>
    <w:rPr>
      <w:b/>
      <w:bCs/>
      <w:color w:val="FFFFFF"/>
      <w:sz w:val="30"/>
      <w:szCs w:val="30"/>
    </w:rPr>
  </w:style>
  <w:style w:type="character" w:customStyle="1" w:styleId="191">
    <w:name w:val="yjs"/>
    <w:qFormat/>
    <w:uiPriority w:val="0"/>
    <w:rPr>
      <w:color w:val="14A900"/>
    </w:rPr>
  </w:style>
  <w:style w:type="character" w:customStyle="1" w:styleId="192">
    <w:name w:val="yjs1"/>
    <w:qFormat/>
    <w:uiPriority w:val="0"/>
    <w:rPr>
      <w:color w:val="14A900"/>
    </w:rPr>
  </w:style>
  <w:style w:type="character" w:customStyle="1" w:styleId="193">
    <w:name w:val="time"/>
    <w:qFormat/>
    <w:uiPriority w:val="0"/>
  </w:style>
  <w:style w:type="character" w:customStyle="1" w:styleId="194">
    <w:name w:val="jxz"/>
    <w:qFormat/>
    <w:uiPriority w:val="0"/>
    <w:rPr>
      <w:color w:val="FF5400"/>
    </w:rPr>
  </w:style>
  <w:style w:type="character" w:customStyle="1" w:styleId="195">
    <w:name w:val="jxz1"/>
    <w:qFormat/>
    <w:uiPriority w:val="0"/>
    <w:rPr>
      <w:color w:val="FF5400"/>
    </w:rPr>
  </w:style>
  <w:style w:type="paragraph" w:customStyle="1" w:styleId="196">
    <w:name w:val="_Style 19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font01"/>
    <w:qFormat/>
    <w:uiPriority w:val="0"/>
    <w:rPr>
      <w:rFonts w:hint="eastAsia" w:ascii="宋体" w:hAnsi="宋体" w:eastAsia="宋体" w:cs="宋体"/>
      <w:color w:val="000000"/>
      <w:sz w:val="20"/>
      <w:szCs w:val="20"/>
      <w:u w:val="none"/>
    </w:rPr>
  </w:style>
  <w:style w:type="character" w:customStyle="1" w:styleId="198">
    <w:name w:val="Anrede1IhrZeichen"/>
    <w:qFormat/>
    <w:uiPriority w:val="0"/>
    <w:rPr>
      <w:rFonts w:ascii="Arial" w:hAnsi="Arial"/>
      <w:sz w:val="20"/>
    </w:rPr>
  </w:style>
  <w:style w:type="character" w:customStyle="1" w:styleId="199">
    <w:name w:val="noticepurchasetime-noticepurchasetime"/>
    <w:qFormat/>
    <w:uiPriority w:val="0"/>
  </w:style>
  <w:style w:type="character" w:customStyle="1" w:styleId="200">
    <w:name w:val="u-content"/>
    <w:qFormat/>
    <w:uiPriority w:val="0"/>
  </w:style>
  <w:style w:type="character" w:customStyle="1" w:styleId="201">
    <w:name w:val="noticebidtime-bidaddress"/>
    <w:qFormat/>
    <w:uiPriority w:val="0"/>
  </w:style>
  <w:style w:type="character" w:customStyle="1" w:styleId="202">
    <w:name w:val="u-content1"/>
    <w:qFormat/>
    <w:uiPriority w:val="0"/>
  </w:style>
  <w:style w:type="character" w:customStyle="1" w:styleId="203">
    <w:name w:val="纯文本 字符1"/>
    <w:qFormat/>
    <w:uiPriority w:val="0"/>
    <w:rPr>
      <w:rFonts w:ascii="宋体" w:hAnsi="Courier New" w:eastAsia="宋体" w:cs="Times New Roman"/>
      <w:szCs w:val="20"/>
    </w:rPr>
  </w:style>
  <w:style w:type="character" w:customStyle="1" w:styleId="204">
    <w:name w:val="副标题 Char"/>
    <w:basedOn w:val="37"/>
    <w:qFormat/>
    <w:uiPriority w:val="11"/>
    <w:rPr>
      <w:rFonts w:eastAsia="宋体" w:asciiTheme="majorHAnsi" w:hAnsiTheme="majorHAnsi" w:cstheme="majorBidi"/>
      <w:b/>
      <w:bCs/>
      <w:kern w:val="28"/>
      <w:sz w:val="32"/>
      <w:szCs w:val="32"/>
    </w:rPr>
  </w:style>
  <w:style w:type="character" w:customStyle="1" w:styleId="205">
    <w:name w:val="副标题 Char1"/>
    <w:link w:val="24"/>
    <w:qFormat/>
    <w:uiPriority w:val="0"/>
    <w:rPr>
      <w:rFonts w:ascii="等线 Light" w:hAnsi="等线 Light" w:eastAsia="宋体" w:cs="Times New Roman"/>
      <w:b/>
      <w:bCs/>
      <w:kern w:val="28"/>
      <w:sz w:val="24"/>
      <w:szCs w:val="32"/>
    </w:rPr>
  </w:style>
  <w:style w:type="paragraph" w:customStyle="1" w:styleId="206">
    <w:name w:val="WPSOffice手动目录 1"/>
    <w:qFormat/>
    <w:uiPriority w:val="0"/>
    <w:rPr>
      <w:rFonts w:ascii="Times New Roman" w:hAnsi="Times New Roman" w:eastAsia="宋体" w:cs="Times New Roman"/>
      <w:lang w:val="en-US" w:eastAsia="zh-CN" w:bidi="ar-SA"/>
    </w:rPr>
  </w:style>
  <w:style w:type="paragraph" w:customStyle="1" w:styleId="207">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2 heading"/>
    <w:basedOn w:val="1"/>
    <w:qFormat/>
    <w:uiPriority w:val="0"/>
    <w:pPr>
      <w:numPr>
        <w:ilvl w:val="0"/>
        <w:numId w:val="1"/>
      </w:numPr>
      <w:ind w:left="360"/>
    </w:pPr>
    <w:rPr>
      <w:rFonts w:cs="Tahoma"/>
      <w:b/>
      <w:szCs w:val="21"/>
    </w:rPr>
  </w:style>
  <w:style w:type="paragraph" w:customStyle="1" w:styleId="209">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39032</Words>
  <Characters>43019</Characters>
  <Lines>373</Lines>
  <Paragraphs>105</Paragraphs>
  <TotalTime>647</TotalTime>
  <ScaleCrop>false</ScaleCrop>
  <LinksUpToDate>false</LinksUpToDate>
  <CharactersWithSpaces>46788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2022-11-04T08:36:00Z</dcterms:created>
  <dc:creator>田婧</dc:creator>
  <cp:lastModifiedBy>词不达意</cp:lastModifiedBy>
  <cp:lastPrinted>2022-11-23T02:44:00Z</cp:lastPrinted>
  <dcterms:modified xsi:type="dcterms:W3CDTF">2023-05-16T02:30:27Z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BABDB940930B40CAA89F2C4D28C5EBB3_13</vt:lpwstr>
  </property>
</Properties>
</file>