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竞争性谈判内容及技术要求</w:t>
      </w:r>
    </w:p>
    <w:p>
      <w:pPr>
        <w:numPr>
          <w:ilvl w:val="0"/>
          <w:numId w:val="0"/>
        </w:numPr>
        <w:spacing w:line="360" w:lineRule="auto"/>
        <w:rPr>
          <w:rFonts w:hint="eastAsia" w:ascii="仿宋" w:hAnsi="仿宋" w:eastAsia="仿宋" w:cs="仿宋"/>
          <w:b/>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bCs/>
          <w:color w:val="auto"/>
          <w:sz w:val="28"/>
          <w:szCs w:val="28"/>
          <w:highlight w:val="none"/>
          <w:lang w:eastAsia="zh-CN"/>
        </w:rPr>
      </w:pPr>
      <w:bookmarkStart w:id="0" w:name="_Toc423973078"/>
      <w:bookmarkStart w:id="1" w:name="_Toc13146"/>
      <w:r>
        <w:rPr>
          <w:rFonts w:hint="eastAsia" w:ascii="仿宋" w:hAnsi="仿宋" w:eastAsia="仿宋" w:cs="仿宋"/>
          <w:b/>
          <w:bCs/>
          <w:color w:val="auto"/>
          <w:sz w:val="28"/>
          <w:szCs w:val="28"/>
          <w:highlight w:val="none"/>
          <w:lang w:eastAsia="zh-CN"/>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莲湖区市民中心原有设备的接入能力和存储能力已经无法满足现有工作和系统扩展的要求，根据现有系统和设备实际情况进行计算和分析，对数据中心视讯采集接入存储设备进行升级，对接入数量、存储时间等进行整体升级。此次升级必须与原平台无缝对接、预留与数据中心对接的接口。</w:t>
      </w:r>
    </w:p>
    <w:bookmarkEnd w:id="0"/>
    <w:bookmarkEnd w:id="1"/>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w:t>
      </w:r>
      <w:r>
        <w:rPr>
          <w:rFonts w:hint="eastAsia" w:ascii="仿宋" w:hAnsi="仿宋" w:eastAsia="仿宋"/>
          <w:b/>
          <w:color w:val="auto"/>
          <w:sz w:val="28"/>
          <w:szCs w:val="28"/>
          <w:highlight w:val="none"/>
        </w:rPr>
        <w:t>采购内容</w:t>
      </w:r>
    </w:p>
    <w:tbl>
      <w:tblPr>
        <w:tblStyle w:val="5"/>
        <w:tblW w:w="9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559"/>
        <w:gridCol w:w="5251"/>
        <w:gridCol w:w="982"/>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9" w:hRule="atLeast"/>
        </w:trPr>
        <w:tc>
          <w:tcPr>
            <w:tcW w:w="68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序号</w:t>
            </w:r>
          </w:p>
        </w:tc>
        <w:tc>
          <w:tcPr>
            <w:tcW w:w="1559"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产品类别</w:t>
            </w:r>
          </w:p>
        </w:tc>
        <w:tc>
          <w:tcPr>
            <w:tcW w:w="5251"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技术规格</w:t>
            </w:r>
          </w:p>
        </w:tc>
        <w:tc>
          <w:tcPr>
            <w:tcW w:w="98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单位</w:t>
            </w:r>
          </w:p>
        </w:tc>
        <w:tc>
          <w:tcPr>
            <w:tcW w:w="613"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10" w:hRule="atLeast"/>
        </w:trPr>
        <w:tc>
          <w:tcPr>
            <w:tcW w:w="68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559"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接入存储设备</w:t>
            </w:r>
          </w:p>
        </w:tc>
        <w:tc>
          <w:tcPr>
            <w:tcW w:w="5251" w:type="dxa"/>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单设备应配置64位多核处理器，</w:t>
            </w:r>
            <w:r>
              <w:rPr>
                <w:rFonts w:hint="eastAsia" w:ascii="仿宋" w:hAnsi="仿宋" w:eastAsia="仿宋" w:cs="仿宋"/>
                <w:color w:val="auto"/>
                <w:sz w:val="24"/>
                <w:szCs w:val="24"/>
                <w:highlight w:val="none"/>
                <w:lang w:eastAsia="zh-CN"/>
              </w:rPr>
              <w:t>高速缓存≥</w:t>
            </w:r>
            <w:r>
              <w:rPr>
                <w:rFonts w:hint="eastAsia" w:ascii="仿宋" w:hAnsi="仿宋" w:eastAsia="仿宋" w:cs="仿宋"/>
                <w:color w:val="auto"/>
                <w:sz w:val="24"/>
                <w:szCs w:val="24"/>
                <w:highlight w:val="none"/>
                <w:lang w:val="en-US" w:eastAsia="zh-CN"/>
              </w:rPr>
              <w:t>4GB</w:t>
            </w:r>
            <w:r>
              <w:rPr>
                <w:rFonts w:hint="eastAsia" w:ascii="仿宋" w:hAnsi="仿宋" w:eastAsia="仿宋" w:cs="仿宋"/>
                <w:color w:val="auto"/>
                <w:sz w:val="24"/>
                <w:szCs w:val="24"/>
                <w:highlight w:val="none"/>
              </w:rPr>
              <w:t>，内存支持扩展到≥64GB，需配置冗余金牌电源，支持双系统</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单设备应标配≥2个千兆网口，可增扩≥4个万兆口或≥8个光纤接口或增配≥4个HDMI接口或≥2个SAS3.0接口，可扩展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2个SSD固态硬盘</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应支持FCSAN、IPSAN、NAS存储功能</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可接入2T/3T/4T/6T/8T/10TSATA磁盘，支持磁盘交错启动和漫游，并支持在线热插拔；</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可接入硬盘≥72块，支持SATA和SAS混插，并支持≥12级扩展柜级联扩展，出厂自带72块6T企业级硬盘；</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应能提供RAID0、1、3、5、6、10、50，60、JBOD、RAIDErasingCode、Raid5EE模式，支持全局、局部等多种热备选择，支持坏盘自动重构；</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应能接入并存储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1880Mbps视频图像，同时转发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1880Mbps的视频图像；同时回放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512Mbps的视频图像；</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600MBps图片并发输入，同时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600MBps图片并发输出</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在RAID内丢失2块（含）以上硬盘但至少有1块正常磁盘时，无需等待丢失盘恢复，保留的硬盘中的数据可正常读出，且新数据可正常写入</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设备可同时支持视频、图片、智能流和文件直写存储</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支持多路文件采用非NAS方式直接上传存储，且速度可设置</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具有ONVIF、PSIA、TCP/IP、UDP、SIP、RTSP、RTP、RTCP、iSCSI、CIFS(SMB)、NFS、FTP、HTTP、AFP、RSYNC、SNMP、IPV4、IPV6设置选项，支持IP组播</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可对指定的录像段或指定事件的1个或多个前端的不同时间段的录像段添加标签，并自动备份到存档卷中，使之不会被覆盖删除</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可根据事件名称查询所有相关联的不同前端或时间的录像段并进行回放和下载</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可通过浏览器对一台、多台样机或扩展柜中的磁盘进行定位，使对应的磁盘指示灯闪烁，闪烁的时长可设</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仿宋" w:hAnsi="仿宋" w:eastAsia="仿宋" w:cs="仿宋"/>
                <w:i w:val="0"/>
                <w:color w:val="auto"/>
                <w:sz w:val="24"/>
                <w:szCs w:val="24"/>
                <w:highlight w:val="none"/>
                <w:u w:val="none"/>
                <w:lang w:eastAsia="zh-CN"/>
              </w:rPr>
            </w:pPr>
            <w:r>
              <w:rPr>
                <w:rFonts w:hint="eastAsia" w:ascii="仿宋" w:hAnsi="仿宋" w:eastAsia="仿宋" w:cs="仿宋"/>
                <w:color w:val="auto"/>
                <w:sz w:val="24"/>
                <w:szCs w:val="24"/>
                <w:highlight w:val="none"/>
              </w:rPr>
              <w:t>为保证系统的稳定性，要求新增加的设备和原系统可以无缝对接</w:t>
            </w:r>
            <w:r>
              <w:rPr>
                <w:rFonts w:hint="eastAsia" w:ascii="仿宋" w:hAnsi="仿宋" w:eastAsia="仿宋" w:cs="仿宋"/>
                <w:color w:val="auto"/>
                <w:sz w:val="24"/>
                <w:szCs w:val="24"/>
                <w:highlight w:val="none"/>
                <w:lang w:eastAsia="zh-CN"/>
              </w:rPr>
              <w:t>。</w:t>
            </w:r>
          </w:p>
        </w:tc>
        <w:tc>
          <w:tcPr>
            <w:tcW w:w="98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台</w:t>
            </w:r>
          </w:p>
        </w:tc>
        <w:tc>
          <w:tcPr>
            <w:tcW w:w="613"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3" w:hRule="atLeast"/>
        </w:trPr>
        <w:tc>
          <w:tcPr>
            <w:tcW w:w="684" w:type="dxa"/>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559"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辅材及数据连接</w:t>
            </w:r>
          </w:p>
        </w:tc>
        <w:tc>
          <w:tcPr>
            <w:tcW w:w="5251"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default"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电源线、网线、数据线等\光纤\以及横纵向数据汇总；以及针对原有和新增存储设备统一分配管理驻场运维服务1年。</w:t>
            </w:r>
          </w:p>
        </w:tc>
        <w:tc>
          <w:tcPr>
            <w:tcW w:w="98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项</w:t>
            </w:r>
          </w:p>
        </w:tc>
        <w:tc>
          <w:tcPr>
            <w:tcW w:w="613"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r>
    </w:tbl>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三、</w:t>
      </w:r>
      <w:r>
        <w:rPr>
          <w:rFonts w:hint="eastAsia" w:ascii="仿宋" w:hAnsi="仿宋" w:eastAsia="仿宋" w:cs="仿宋"/>
          <w:b/>
          <w:bCs/>
          <w:color w:val="auto"/>
          <w:sz w:val="28"/>
          <w:szCs w:val="28"/>
          <w:highlight w:val="none"/>
          <w:lang w:val="en-US" w:eastAsia="zh-CN"/>
        </w:rPr>
        <w:t>技术</w:t>
      </w:r>
      <w:r>
        <w:rPr>
          <w:rFonts w:hint="eastAsia" w:ascii="仿宋" w:hAnsi="仿宋" w:eastAsia="仿宋" w:cs="仿宋"/>
          <w:b/>
          <w:bCs/>
          <w:color w:val="auto"/>
          <w:sz w:val="28"/>
          <w:szCs w:val="28"/>
          <w:highlight w:val="none"/>
          <w:lang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1、对原有网络接入和存储设备数据进行梳理和配置优化，重新分配存储计划和配额。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2、新增设备，将原有存储设备并入配额序列，重新分配接入数据的存储计划，达到存储要求。所有新增网络存储设备接入原有平台统一管理，并支持平台原有接入数据的导入存储。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3、对原有存储接入线路进行优化，提升稳定性和数据传输速度。</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1.供应商提供完整、可行的培训方案，明确具体培训方式、时间、地点、教员、对象以及培训内容。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2.供应商售后服务承诺详细、具体，满足用户要求，明确项目技术支持人员、免费服务年限、故障处理时限、现场服务条件及到位时间。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3.在合同执行过程中需要供应商应执行货物标准或应当履行的相关货物售后义务。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五、其他要求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r>
        <w:rPr>
          <w:rFonts w:hint="default" w:ascii="仿宋" w:hAnsi="仿宋" w:eastAsia="仿宋" w:cs="仿宋"/>
          <w:b w:val="0"/>
          <w:bCs w:val="0"/>
          <w:color w:val="auto"/>
          <w:sz w:val="24"/>
          <w:szCs w:val="24"/>
          <w:highlight w:val="none"/>
          <w:lang w:val="en-US" w:eastAsia="zh-CN"/>
        </w:rPr>
        <w:t>根据服务内容要求，确定</w:t>
      </w:r>
      <w:r>
        <w:rPr>
          <w:rFonts w:hint="eastAsia" w:ascii="仿宋" w:hAnsi="仿宋" w:eastAsia="仿宋" w:cs="仿宋"/>
          <w:b w:val="0"/>
          <w:bCs w:val="0"/>
          <w:color w:val="auto"/>
          <w:sz w:val="24"/>
          <w:szCs w:val="24"/>
          <w:highlight w:val="none"/>
          <w:lang w:val="en-US" w:eastAsia="zh-CN"/>
        </w:rPr>
        <w:t>供货</w:t>
      </w:r>
      <w:r>
        <w:rPr>
          <w:rFonts w:hint="default" w:ascii="仿宋" w:hAnsi="仿宋" w:eastAsia="仿宋" w:cs="仿宋"/>
          <w:b w:val="0"/>
          <w:bCs w:val="0"/>
          <w:color w:val="auto"/>
          <w:sz w:val="24"/>
          <w:szCs w:val="24"/>
          <w:highlight w:val="none"/>
          <w:lang w:val="en-US" w:eastAsia="zh-CN"/>
        </w:rPr>
        <w:t>期为25个日历日</w:t>
      </w:r>
      <w:r>
        <w:rPr>
          <w:rFonts w:hint="eastAsia" w:ascii="仿宋" w:hAnsi="仿宋" w:eastAsia="仿宋" w:cs="仿宋"/>
          <w:b w:val="0"/>
          <w:bCs w:val="0"/>
          <w:color w:val="auto"/>
          <w:sz w:val="24"/>
          <w:szCs w:val="24"/>
          <w:highlight w:val="none"/>
          <w:lang w:val="en-US" w:eastAsia="zh-CN"/>
        </w:rPr>
        <w:t>（签订合同后）</w:t>
      </w:r>
      <w:r>
        <w:rPr>
          <w:rFonts w:hint="default" w:ascii="仿宋" w:hAnsi="仿宋" w:eastAsia="仿宋" w:cs="仿宋"/>
          <w:b w:val="0"/>
          <w:bCs w:val="0"/>
          <w:color w:val="auto"/>
          <w:sz w:val="24"/>
          <w:szCs w:val="24"/>
          <w:highlight w:val="none"/>
          <w:lang w:val="en-US" w:eastAsia="zh-CN"/>
        </w:rPr>
        <w:t>，项目完工后进入合同验收和办理竣工验收手续。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r>
        <w:rPr>
          <w:rFonts w:hint="default" w:ascii="仿宋" w:hAnsi="仿宋" w:eastAsia="仿宋" w:cs="仿宋"/>
          <w:b w:val="0"/>
          <w:bCs w:val="0"/>
          <w:color w:val="auto"/>
          <w:sz w:val="24"/>
          <w:szCs w:val="24"/>
          <w:highlight w:val="none"/>
          <w:lang w:val="en-US" w:eastAsia="zh-CN"/>
        </w:rPr>
        <w:t>质保期自验收合格之日起一年，质保期内免费上门维修，终身维护。</w:t>
      </w:r>
      <w:r>
        <w:rPr>
          <w:rFonts w:hint="eastAsia" w:ascii="仿宋" w:hAnsi="仿宋" w:eastAsia="仿宋" w:cs="仿宋"/>
          <w:b w:val="0"/>
          <w:bCs w:val="0"/>
          <w:color w:val="auto"/>
          <w:sz w:val="24"/>
          <w:szCs w:val="24"/>
          <w:highlight w:val="none"/>
          <w:lang w:val="en-US" w:eastAsia="zh-CN"/>
        </w:rPr>
        <w:t>供应商</w:t>
      </w:r>
      <w:r>
        <w:rPr>
          <w:rFonts w:hint="default" w:ascii="仿宋" w:hAnsi="仿宋" w:eastAsia="仿宋" w:cs="仿宋"/>
          <w:b w:val="0"/>
          <w:bCs w:val="0"/>
          <w:color w:val="auto"/>
          <w:sz w:val="24"/>
          <w:szCs w:val="24"/>
          <w:highlight w:val="none"/>
          <w:lang w:val="en-US" w:eastAsia="zh-CN"/>
        </w:rPr>
        <w:t>在此项目后期的维护中，若出现系统故障，服务商应4小时内响应，48小时内到场排除故障并保证系统正常运行</w:t>
      </w:r>
      <w:r>
        <w:rPr>
          <w:rFonts w:hint="eastAsia" w:ascii="仿宋" w:hAnsi="仿宋" w:eastAsia="仿宋" w:cs="仿宋"/>
          <w:b w:val="0"/>
          <w:bCs w:val="0"/>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r>
        <w:rPr>
          <w:rFonts w:hint="default" w:ascii="仿宋" w:hAnsi="仿宋" w:eastAsia="仿宋" w:cs="仿宋"/>
          <w:b w:val="0"/>
          <w:bCs w:val="0"/>
          <w:color w:val="auto"/>
          <w:sz w:val="24"/>
          <w:szCs w:val="24"/>
          <w:highlight w:val="none"/>
          <w:lang w:val="en-US" w:eastAsia="zh-CN"/>
        </w:rPr>
        <w:t>供应商在维护期内对采购方技术人员提供操作和维护培训，提供技术咨询服务。保修期外设备出现故障，厂家提供优于市场价的备品备件等内容的服务条款详细方案。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r>
        <w:rPr>
          <w:rFonts w:hint="default" w:ascii="仿宋" w:hAnsi="仿宋" w:eastAsia="仿宋" w:cs="仿宋"/>
          <w:b w:val="0"/>
          <w:bCs w:val="0"/>
          <w:color w:val="auto"/>
          <w:sz w:val="24"/>
          <w:szCs w:val="24"/>
          <w:highlight w:val="none"/>
          <w:lang w:val="en-US" w:eastAsia="zh-CN"/>
        </w:rPr>
        <w:t>提供现场技术培训服务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r>
        <w:rPr>
          <w:rFonts w:hint="default" w:ascii="仿宋" w:hAnsi="仿宋" w:eastAsia="仿宋" w:cs="仿宋"/>
          <w:b w:val="0"/>
          <w:bCs w:val="0"/>
          <w:color w:val="auto"/>
          <w:sz w:val="24"/>
          <w:szCs w:val="24"/>
          <w:highlight w:val="none"/>
          <w:lang w:val="en-US" w:eastAsia="zh-CN"/>
        </w:rPr>
        <w:t>质量验收标准或规范</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依据现行的国家标准或国家行政部门颁布的法律法规、规章制度等。没有国家标准的，可以参考行业标准。</w:t>
      </w:r>
      <w:bookmarkStart w:id="2" w:name="_GoBack"/>
      <w:bookmarkEnd w:id="2"/>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D25C6"/>
    <w:rsid w:val="4CED2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jc w:val="center"/>
      <w:outlineLvl w:val="0"/>
    </w:pPr>
    <w:rPr>
      <w:sz w:val="28"/>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宋体"/>
    </w:rPr>
  </w:style>
  <w:style w:type="paragraph" w:styleId="3">
    <w:name w:val="Body Text"/>
    <w:basedOn w:val="1"/>
    <w:next w:val="1"/>
    <w:qFormat/>
    <w:uiPriority w:val="0"/>
    <w:pPr>
      <w:spacing w:after="120" w:afterLines="0"/>
    </w:pPr>
    <w:rPr>
      <w:rFonts w:ascii="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2022-10-20T11:20:00Z</dcterms:created>
  <dc:creator>Administrator</dc:creator>
  <cp:lastModifiedBy>Administrator</cp:lastModifiedBy>
  <dcterms:modified xsi:type="dcterms:W3CDTF">2022-10-20T11:21:34Z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