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670"/>
        </w:tabs>
        <w:autoSpaceDE w:val="0"/>
        <w:autoSpaceDN w:val="0"/>
        <w:adjustRightInd w:val="0"/>
        <w:spacing w:line="360" w:lineRule="auto"/>
        <w:ind w:right="640"/>
        <w:rPr>
          <w:rFonts w:ascii="仿宋" w:hAnsi="仿宋" w:eastAsia="仿宋" w:cs="仿宋"/>
          <w:b/>
          <w:bCs/>
          <w:color w:val="auto"/>
          <w:sz w:val="32"/>
          <w:szCs w:val="32"/>
          <w:lang w:val="zh-CN"/>
        </w:rPr>
      </w:pPr>
      <w:bookmarkStart w:id="0" w:name="_Toc20047"/>
      <w:bookmarkStart w:id="1" w:name="_Toc4593"/>
      <w:bookmarkStart w:id="2" w:name="_Toc6076"/>
      <w:bookmarkStart w:id="3" w:name="_Toc20135"/>
      <w:bookmarkStart w:id="4" w:name="_Toc25835"/>
      <w:bookmarkStart w:id="5" w:name="_Toc22159"/>
      <w:bookmarkStart w:id="6" w:name="_Toc475451543"/>
      <w:r>
        <w:rPr>
          <w:rFonts w:hint="eastAsia" w:ascii="仿宋" w:hAnsi="仿宋" w:eastAsia="仿宋" w:cs="仿宋"/>
          <w:b/>
          <w:bCs/>
          <w:color w:val="auto"/>
          <w:sz w:val="32"/>
          <w:szCs w:val="32"/>
          <w:lang w:val="zh-CN"/>
        </w:rPr>
        <w:t>政府采购项目</w:t>
      </w:r>
    </w:p>
    <w:p>
      <w:pPr>
        <w:tabs>
          <w:tab w:val="left" w:pos="5670"/>
        </w:tabs>
        <w:autoSpaceDE w:val="0"/>
        <w:autoSpaceDN w:val="0"/>
        <w:adjustRightInd w:val="0"/>
        <w:spacing w:line="360" w:lineRule="auto"/>
        <w:ind w:right="640"/>
        <w:rPr>
          <w:rFonts w:ascii="仿宋" w:hAnsi="仿宋" w:eastAsia="仿宋" w:cs="仿宋"/>
          <w:b/>
          <w:bCs/>
          <w:color w:val="auto"/>
          <w:sz w:val="32"/>
          <w:szCs w:val="32"/>
        </w:rPr>
      </w:pPr>
      <w:r>
        <w:rPr>
          <w:rFonts w:hint="eastAsia" w:ascii="仿宋" w:hAnsi="仿宋" w:eastAsia="仿宋" w:cs="仿宋"/>
          <w:b/>
          <w:bCs/>
          <w:color w:val="auto"/>
          <w:sz w:val="32"/>
          <w:szCs w:val="32"/>
          <w:lang w:val="zh-CN"/>
        </w:rPr>
        <w:t>计划编号：ZCBN-灞桥区-2022-00468</w:t>
      </w:r>
    </w:p>
    <w:p>
      <w:pPr>
        <w:tabs>
          <w:tab w:val="left" w:pos="5670"/>
        </w:tabs>
        <w:autoSpaceDE w:val="0"/>
        <w:autoSpaceDN w:val="0"/>
        <w:adjustRightInd w:val="0"/>
        <w:spacing w:line="360" w:lineRule="auto"/>
        <w:rPr>
          <w:rFonts w:ascii="仿宋" w:hAnsi="仿宋" w:eastAsia="仿宋" w:cs="仿宋"/>
          <w:b/>
          <w:bCs/>
          <w:color w:val="auto"/>
          <w:sz w:val="32"/>
          <w:szCs w:val="32"/>
        </w:rPr>
      </w:pPr>
      <w:r>
        <w:rPr>
          <w:rFonts w:hint="eastAsia" w:ascii="仿宋" w:hAnsi="仿宋" w:eastAsia="仿宋" w:cs="仿宋"/>
          <w:b/>
          <w:bCs/>
          <w:color w:val="auto"/>
          <w:sz w:val="32"/>
          <w:szCs w:val="32"/>
          <w:lang w:val="zh-CN"/>
        </w:rPr>
        <w:t>项目编号：</w:t>
      </w:r>
      <w:r>
        <w:rPr>
          <w:rFonts w:hint="eastAsia" w:ascii="仿宋" w:hAnsi="仿宋" w:eastAsia="仿宋" w:cs="仿宋"/>
          <w:b/>
          <w:bCs/>
          <w:color w:val="auto"/>
          <w:sz w:val="32"/>
          <w:szCs w:val="32"/>
        </w:rPr>
        <w:t>DX2022-164</w:t>
      </w:r>
    </w:p>
    <w:p>
      <w:pPr>
        <w:tabs>
          <w:tab w:val="left" w:pos="5670"/>
        </w:tabs>
        <w:autoSpaceDE w:val="0"/>
        <w:autoSpaceDN w:val="0"/>
        <w:adjustRightInd w:val="0"/>
        <w:spacing w:line="360" w:lineRule="auto"/>
        <w:ind w:firstLine="300"/>
        <w:rPr>
          <w:rFonts w:ascii="仿宋" w:hAnsi="仿宋" w:eastAsia="仿宋" w:cs="仿宋"/>
          <w:b/>
          <w:color w:val="auto"/>
          <w:sz w:val="32"/>
          <w:szCs w:val="32"/>
        </w:rPr>
      </w:pPr>
    </w:p>
    <w:p>
      <w:pPr>
        <w:tabs>
          <w:tab w:val="left" w:pos="5670"/>
        </w:tabs>
        <w:autoSpaceDE w:val="0"/>
        <w:autoSpaceDN w:val="0"/>
        <w:adjustRightInd w:val="0"/>
        <w:spacing w:line="360" w:lineRule="auto"/>
        <w:ind w:firstLine="300"/>
        <w:rPr>
          <w:rFonts w:ascii="仿宋" w:hAnsi="仿宋" w:eastAsia="仿宋" w:cs="仿宋"/>
          <w:b/>
          <w:color w:val="auto"/>
          <w:sz w:val="28"/>
          <w:szCs w:val="28"/>
        </w:rPr>
      </w:pPr>
      <w:r>
        <w:rPr>
          <w:rFonts w:hint="eastAsia" w:ascii="仿宋" w:hAnsi="仿宋" w:eastAsia="仿宋" w:cs="仿宋"/>
          <w:b/>
          <w:color w:val="auto"/>
          <w:sz w:val="32"/>
          <w:szCs w:val="32"/>
        </w:rPr>
        <w:t xml:space="preserve"> </w:t>
      </w:r>
    </w:p>
    <w:p>
      <w:pPr>
        <w:tabs>
          <w:tab w:val="left" w:pos="5670"/>
        </w:tabs>
        <w:autoSpaceDE w:val="0"/>
        <w:autoSpaceDN w:val="0"/>
        <w:adjustRightInd w:val="0"/>
        <w:spacing w:line="360" w:lineRule="auto"/>
        <w:jc w:val="center"/>
        <w:rPr>
          <w:rFonts w:ascii="仿宋" w:hAnsi="仿宋" w:eastAsia="仿宋" w:cs="仿宋"/>
          <w:b/>
          <w:bCs/>
          <w:color w:val="auto"/>
          <w:sz w:val="44"/>
          <w:szCs w:val="44"/>
          <w:lang w:val="zh-CN"/>
        </w:rPr>
      </w:pPr>
    </w:p>
    <w:p>
      <w:pPr>
        <w:tabs>
          <w:tab w:val="left" w:pos="5670"/>
        </w:tabs>
        <w:autoSpaceDE w:val="0"/>
        <w:autoSpaceDN w:val="0"/>
        <w:adjustRightInd w:val="0"/>
        <w:spacing w:line="360" w:lineRule="auto"/>
        <w:jc w:val="center"/>
        <w:rPr>
          <w:rFonts w:ascii="宋体" w:hAnsi="宋体" w:cs="宋体"/>
          <w:b/>
          <w:bCs/>
          <w:color w:val="auto"/>
          <w:sz w:val="44"/>
          <w:szCs w:val="44"/>
        </w:rPr>
      </w:pPr>
      <w:r>
        <w:rPr>
          <w:rFonts w:hint="eastAsia" w:ascii="宋体" w:hAnsi="宋体" w:cs="宋体"/>
          <w:b/>
          <w:bCs/>
          <w:color w:val="auto"/>
          <w:sz w:val="44"/>
          <w:szCs w:val="44"/>
        </w:rPr>
        <w:t>灞桥区2021年新增教育建设奖补资金</w:t>
      </w:r>
    </w:p>
    <w:p>
      <w:pPr>
        <w:tabs>
          <w:tab w:val="left" w:pos="5670"/>
        </w:tabs>
        <w:autoSpaceDE w:val="0"/>
        <w:autoSpaceDN w:val="0"/>
        <w:adjustRightInd w:val="0"/>
        <w:spacing w:line="360" w:lineRule="auto"/>
        <w:jc w:val="center"/>
        <w:rPr>
          <w:rFonts w:ascii="宋体" w:hAnsi="宋体" w:cs="宋体"/>
          <w:b/>
          <w:bCs/>
          <w:color w:val="auto"/>
          <w:sz w:val="44"/>
          <w:szCs w:val="44"/>
        </w:rPr>
      </w:pPr>
      <w:r>
        <w:rPr>
          <w:rFonts w:hint="eastAsia" w:ascii="宋体" w:hAnsi="宋体" w:cs="宋体"/>
          <w:b/>
          <w:bCs/>
          <w:color w:val="auto"/>
          <w:sz w:val="44"/>
          <w:szCs w:val="44"/>
        </w:rPr>
        <w:t>--五星中学设备采购项目</w:t>
      </w:r>
    </w:p>
    <w:p>
      <w:pPr>
        <w:pStyle w:val="2"/>
        <w:ind w:left="0" w:leftChars="0" w:firstLine="0" w:firstLineChars="0"/>
        <w:jc w:val="center"/>
        <w:rPr>
          <w:color w:val="auto"/>
        </w:rPr>
      </w:pPr>
      <w:r>
        <w:rPr>
          <w:rFonts w:hint="eastAsia" w:ascii="宋体" w:hAnsi="宋体" w:cs="宋体"/>
          <w:b/>
          <w:bCs/>
          <w:color w:val="auto"/>
          <w:sz w:val="44"/>
          <w:szCs w:val="44"/>
        </w:rPr>
        <w:t>（第一标段）</w:t>
      </w:r>
    </w:p>
    <w:p>
      <w:pPr>
        <w:tabs>
          <w:tab w:val="left" w:pos="5670"/>
        </w:tabs>
        <w:autoSpaceDE w:val="0"/>
        <w:autoSpaceDN w:val="0"/>
        <w:adjustRightInd w:val="0"/>
        <w:spacing w:line="360" w:lineRule="auto"/>
        <w:rPr>
          <w:rFonts w:ascii="宋体" w:hAnsi="宋体" w:cs="宋体"/>
          <w:b/>
          <w:bCs/>
          <w:color w:val="auto"/>
          <w:sz w:val="44"/>
          <w:szCs w:val="44"/>
        </w:rPr>
      </w:pPr>
    </w:p>
    <w:p>
      <w:pPr>
        <w:pStyle w:val="6"/>
        <w:rPr>
          <w:color w:val="auto"/>
        </w:rPr>
      </w:pPr>
    </w:p>
    <w:p>
      <w:pPr>
        <w:tabs>
          <w:tab w:val="left" w:pos="5670"/>
        </w:tabs>
        <w:autoSpaceDE w:val="0"/>
        <w:autoSpaceDN w:val="0"/>
        <w:adjustRightInd w:val="0"/>
        <w:spacing w:line="360" w:lineRule="auto"/>
        <w:jc w:val="center"/>
        <w:rPr>
          <w:rFonts w:ascii="宋体" w:hAnsi="宋体" w:cs="宋体"/>
          <w:b/>
          <w:bCs/>
          <w:color w:val="auto"/>
          <w:sz w:val="44"/>
          <w:szCs w:val="44"/>
        </w:rPr>
      </w:pPr>
    </w:p>
    <w:p>
      <w:pPr>
        <w:tabs>
          <w:tab w:val="left" w:pos="5670"/>
        </w:tabs>
        <w:autoSpaceDE w:val="0"/>
        <w:autoSpaceDN w:val="0"/>
        <w:adjustRightInd w:val="0"/>
        <w:spacing w:line="360" w:lineRule="auto"/>
        <w:jc w:val="center"/>
        <w:rPr>
          <w:rFonts w:ascii="宋体" w:hAnsi="宋体" w:cs="宋体"/>
          <w:b/>
          <w:color w:val="auto"/>
          <w:sz w:val="44"/>
          <w:szCs w:val="44"/>
        </w:rPr>
      </w:pPr>
      <w:r>
        <w:rPr>
          <w:rFonts w:hint="eastAsia" w:ascii="宋体" w:hAnsi="宋体" w:cs="宋体"/>
          <w:b/>
          <w:bCs/>
          <w:color w:val="auto"/>
          <w:sz w:val="44"/>
          <w:szCs w:val="44"/>
        </w:rPr>
        <w:t xml:space="preserve">招 </w:t>
      </w:r>
      <w:r>
        <w:rPr>
          <w:rFonts w:hint="eastAsia" w:ascii="宋体" w:hAnsi="宋体" w:cs="宋体"/>
          <w:b/>
          <w:bCs/>
          <w:color w:val="auto"/>
          <w:sz w:val="44"/>
          <w:szCs w:val="44"/>
          <w:lang w:val="zh-CN"/>
        </w:rPr>
        <w:t>标</w:t>
      </w:r>
      <w:r>
        <w:rPr>
          <w:rFonts w:hint="eastAsia" w:ascii="宋体" w:hAnsi="宋体" w:cs="宋体"/>
          <w:b/>
          <w:bCs/>
          <w:color w:val="auto"/>
          <w:sz w:val="44"/>
          <w:szCs w:val="44"/>
        </w:rPr>
        <w:t xml:space="preserve"> </w:t>
      </w:r>
      <w:r>
        <w:rPr>
          <w:rFonts w:hint="eastAsia" w:ascii="宋体" w:hAnsi="宋体" w:cs="宋体"/>
          <w:b/>
          <w:bCs/>
          <w:color w:val="auto"/>
          <w:sz w:val="44"/>
          <w:szCs w:val="44"/>
          <w:lang w:val="zh-CN"/>
        </w:rPr>
        <w:t>文</w:t>
      </w:r>
      <w:r>
        <w:rPr>
          <w:rFonts w:hint="eastAsia" w:ascii="宋体" w:hAnsi="宋体" w:cs="宋体"/>
          <w:b/>
          <w:bCs/>
          <w:color w:val="auto"/>
          <w:sz w:val="44"/>
          <w:szCs w:val="44"/>
        </w:rPr>
        <w:t xml:space="preserve"> </w:t>
      </w:r>
      <w:r>
        <w:rPr>
          <w:rFonts w:hint="eastAsia" w:ascii="宋体" w:hAnsi="宋体" w:cs="宋体"/>
          <w:b/>
          <w:bCs/>
          <w:color w:val="auto"/>
          <w:sz w:val="44"/>
          <w:szCs w:val="44"/>
          <w:lang w:val="zh-CN"/>
        </w:rPr>
        <w:t>件</w:t>
      </w:r>
      <w:r>
        <w:rPr>
          <w:rFonts w:hint="eastAsia" w:ascii="宋体" w:hAnsi="宋体" w:cs="宋体"/>
          <w:b/>
          <w:color w:val="auto"/>
          <w:sz w:val="44"/>
          <w:szCs w:val="44"/>
        </w:rPr>
        <w:t xml:space="preserve"> </w:t>
      </w:r>
    </w:p>
    <w:p>
      <w:pPr>
        <w:tabs>
          <w:tab w:val="left" w:pos="5670"/>
        </w:tabs>
        <w:autoSpaceDE w:val="0"/>
        <w:autoSpaceDN w:val="0"/>
        <w:adjustRightInd w:val="0"/>
        <w:spacing w:line="360" w:lineRule="auto"/>
        <w:jc w:val="center"/>
        <w:rPr>
          <w:rFonts w:ascii="宋体" w:hAnsi="宋体" w:cs="宋体"/>
          <w:b/>
          <w:color w:val="auto"/>
          <w:sz w:val="44"/>
          <w:szCs w:val="44"/>
        </w:rPr>
      </w:pPr>
    </w:p>
    <w:p>
      <w:pPr>
        <w:tabs>
          <w:tab w:val="left" w:pos="5670"/>
        </w:tabs>
        <w:autoSpaceDE w:val="0"/>
        <w:autoSpaceDN w:val="0"/>
        <w:adjustRightInd w:val="0"/>
        <w:spacing w:line="360" w:lineRule="auto"/>
        <w:rPr>
          <w:rFonts w:ascii="仿宋" w:hAnsi="仿宋" w:eastAsia="仿宋" w:cs="仿宋"/>
          <w:b/>
          <w:bCs/>
          <w:color w:val="auto"/>
          <w:sz w:val="32"/>
          <w:szCs w:val="32"/>
          <w:lang w:val="zh-CN"/>
        </w:rPr>
      </w:pPr>
    </w:p>
    <w:p>
      <w:pPr>
        <w:pStyle w:val="5"/>
        <w:ind w:firstLine="321"/>
        <w:rPr>
          <w:rFonts w:ascii="仿宋" w:hAnsi="仿宋" w:eastAsia="仿宋" w:cs="仿宋"/>
          <w:b/>
          <w:bCs/>
          <w:color w:val="auto"/>
          <w:sz w:val="32"/>
          <w:szCs w:val="32"/>
          <w:lang w:val="zh-CN"/>
        </w:rPr>
      </w:pPr>
    </w:p>
    <w:p>
      <w:pPr>
        <w:pStyle w:val="5"/>
        <w:ind w:firstLine="321"/>
        <w:rPr>
          <w:rFonts w:ascii="仿宋" w:hAnsi="仿宋" w:eastAsia="仿宋" w:cs="仿宋"/>
          <w:b/>
          <w:bCs/>
          <w:color w:val="auto"/>
          <w:sz w:val="32"/>
          <w:szCs w:val="32"/>
          <w:lang w:val="zh-CN"/>
        </w:rPr>
      </w:pPr>
    </w:p>
    <w:p>
      <w:pPr>
        <w:autoSpaceDE w:val="0"/>
        <w:autoSpaceDN w:val="0"/>
        <w:adjustRightInd w:val="0"/>
        <w:snapToGrid w:val="0"/>
        <w:spacing w:line="360" w:lineRule="auto"/>
        <w:ind w:firstLine="1285" w:firstLineChars="400"/>
        <w:rPr>
          <w:rFonts w:ascii="仿宋" w:hAnsi="仿宋" w:eastAsia="仿宋" w:cs="仿宋"/>
          <w:b/>
          <w:bCs/>
          <w:color w:val="auto"/>
          <w:sz w:val="32"/>
          <w:szCs w:val="32"/>
        </w:rPr>
      </w:pPr>
      <w:r>
        <w:rPr>
          <w:rFonts w:hint="eastAsia" w:ascii="仿宋" w:hAnsi="仿宋" w:eastAsia="仿宋" w:cs="仿宋"/>
          <w:b/>
          <w:bCs/>
          <w:color w:val="auto"/>
          <w:sz w:val="32"/>
          <w:szCs w:val="32"/>
          <w:lang w:val="zh-CN"/>
        </w:rPr>
        <w:t>采</w:t>
      </w:r>
      <w:r>
        <w:rPr>
          <w:rFonts w:hint="eastAsia" w:ascii="仿宋" w:hAnsi="仿宋" w:eastAsia="仿宋" w:cs="仿宋"/>
          <w:b/>
          <w:bCs/>
          <w:color w:val="auto"/>
          <w:sz w:val="32"/>
          <w:szCs w:val="32"/>
        </w:rPr>
        <w:t xml:space="preserve">   </w:t>
      </w:r>
      <w:r>
        <w:rPr>
          <w:rFonts w:hint="eastAsia" w:ascii="仿宋" w:hAnsi="仿宋" w:eastAsia="仿宋" w:cs="仿宋"/>
          <w:b/>
          <w:bCs/>
          <w:color w:val="auto"/>
          <w:sz w:val="32"/>
          <w:szCs w:val="32"/>
          <w:lang w:val="zh-CN"/>
        </w:rPr>
        <w:t>购</w:t>
      </w:r>
      <w:r>
        <w:rPr>
          <w:rFonts w:hint="eastAsia" w:ascii="仿宋" w:hAnsi="仿宋" w:eastAsia="仿宋" w:cs="仿宋"/>
          <w:b/>
          <w:bCs/>
          <w:color w:val="auto"/>
          <w:sz w:val="32"/>
          <w:szCs w:val="32"/>
        </w:rPr>
        <w:t xml:space="preserve">   </w:t>
      </w:r>
      <w:r>
        <w:rPr>
          <w:rFonts w:hint="eastAsia" w:ascii="仿宋" w:hAnsi="仿宋" w:eastAsia="仿宋" w:cs="仿宋"/>
          <w:b/>
          <w:bCs/>
          <w:color w:val="auto"/>
          <w:sz w:val="32"/>
          <w:szCs w:val="32"/>
          <w:lang w:val="zh-CN"/>
        </w:rPr>
        <w:t>人：西安市灞桥区</w:t>
      </w:r>
      <w:r>
        <w:rPr>
          <w:rFonts w:hint="eastAsia" w:ascii="仿宋" w:hAnsi="仿宋" w:eastAsia="仿宋" w:cs="仿宋"/>
          <w:b/>
          <w:bCs/>
          <w:color w:val="auto"/>
          <w:sz w:val="32"/>
          <w:szCs w:val="32"/>
        </w:rPr>
        <w:t>教育局</w:t>
      </w:r>
    </w:p>
    <w:p>
      <w:pPr>
        <w:tabs>
          <w:tab w:val="left" w:pos="5670"/>
        </w:tabs>
        <w:autoSpaceDE w:val="0"/>
        <w:autoSpaceDN w:val="0"/>
        <w:adjustRightInd w:val="0"/>
        <w:spacing w:line="360" w:lineRule="auto"/>
        <w:ind w:firstLine="1285" w:firstLineChars="400"/>
        <w:rPr>
          <w:rFonts w:ascii="仿宋" w:hAnsi="仿宋" w:eastAsia="仿宋" w:cs="仿宋"/>
          <w:b/>
          <w:bCs/>
          <w:color w:val="auto"/>
          <w:sz w:val="32"/>
          <w:szCs w:val="32"/>
        </w:rPr>
      </w:pPr>
      <w:r>
        <w:rPr>
          <w:rFonts w:hint="eastAsia" w:ascii="仿宋" w:hAnsi="仿宋" w:eastAsia="仿宋" w:cs="仿宋"/>
          <w:b/>
          <w:bCs/>
          <w:color w:val="auto"/>
          <w:sz w:val="32"/>
          <w:szCs w:val="32"/>
          <w:lang w:val="zh-CN"/>
        </w:rPr>
        <w:t>采购代理机构：陕西笃信招标有限公司</w:t>
      </w:r>
      <w:r>
        <w:rPr>
          <w:rFonts w:hint="eastAsia" w:ascii="仿宋" w:hAnsi="仿宋" w:eastAsia="仿宋" w:cs="仿宋"/>
          <w:b/>
          <w:bCs/>
          <w:color w:val="auto"/>
          <w:sz w:val="32"/>
          <w:szCs w:val="32"/>
        </w:rPr>
        <w:t xml:space="preserve"> </w:t>
      </w:r>
    </w:p>
    <w:p>
      <w:pPr>
        <w:spacing w:line="360" w:lineRule="auto"/>
        <w:jc w:val="center"/>
        <w:rPr>
          <w:color w:val="auto"/>
        </w:rPr>
      </w:pPr>
      <w:r>
        <w:rPr>
          <w:rFonts w:hint="eastAsia" w:ascii="仿宋" w:hAnsi="仿宋" w:eastAsia="仿宋" w:cs="仿宋"/>
          <w:b/>
          <w:bCs/>
          <w:color w:val="auto"/>
          <w:sz w:val="32"/>
          <w:szCs w:val="32"/>
          <w:lang w:val="zh-CN"/>
        </w:rPr>
        <w:t>二零二</w:t>
      </w:r>
      <w:r>
        <w:rPr>
          <w:rFonts w:hint="eastAsia" w:ascii="仿宋" w:hAnsi="仿宋" w:eastAsia="仿宋" w:cs="仿宋"/>
          <w:b/>
          <w:bCs/>
          <w:color w:val="auto"/>
          <w:sz w:val="32"/>
          <w:szCs w:val="32"/>
        </w:rPr>
        <w:t>二</w:t>
      </w:r>
      <w:r>
        <w:rPr>
          <w:rFonts w:hint="eastAsia" w:ascii="仿宋" w:hAnsi="仿宋" w:eastAsia="仿宋" w:cs="仿宋"/>
          <w:b/>
          <w:bCs/>
          <w:color w:val="auto"/>
          <w:sz w:val="32"/>
          <w:szCs w:val="32"/>
          <w:lang w:val="zh-CN"/>
        </w:rPr>
        <w:t>年</w:t>
      </w:r>
      <w:r>
        <w:rPr>
          <w:rFonts w:hint="eastAsia" w:ascii="仿宋" w:hAnsi="仿宋" w:eastAsia="仿宋" w:cs="仿宋"/>
          <w:b/>
          <w:bCs/>
          <w:color w:val="auto"/>
          <w:sz w:val="32"/>
          <w:szCs w:val="32"/>
        </w:rPr>
        <w:t>七</w:t>
      </w:r>
      <w:r>
        <w:rPr>
          <w:rFonts w:hint="eastAsia" w:ascii="仿宋" w:hAnsi="仿宋" w:eastAsia="仿宋" w:cs="仿宋"/>
          <w:b/>
          <w:bCs/>
          <w:color w:val="auto"/>
          <w:sz w:val="32"/>
          <w:szCs w:val="32"/>
          <w:lang w:val="zh-CN"/>
        </w:rPr>
        <w:t>月</w:t>
      </w:r>
    </w:p>
    <w:p>
      <w:pPr>
        <w:rPr>
          <w:color w:val="auto"/>
        </w:rPr>
      </w:pPr>
      <w:r>
        <w:rPr>
          <w:color w:val="auto"/>
        </w:rPr>
        <w:br w:type="page"/>
      </w:r>
    </w:p>
    <w:p>
      <w:pPr>
        <w:spacing w:line="360" w:lineRule="auto"/>
        <w:jc w:val="center"/>
        <w:rPr>
          <w:rFonts w:ascii="仿宋" w:hAnsi="仿宋" w:eastAsia="仿宋" w:cs="仿宋"/>
          <w:color w:val="auto"/>
          <w:sz w:val="28"/>
          <w:szCs w:val="28"/>
        </w:rPr>
      </w:pPr>
      <w:r>
        <w:rPr>
          <w:rFonts w:hint="eastAsia" w:ascii="仿宋" w:hAnsi="仿宋" w:eastAsia="仿宋" w:cs="仿宋"/>
          <w:b/>
          <w:bCs/>
          <w:color w:val="auto"/>
          <w:sz w:val="28"/>
          <w:szCs w:val="28"/>
        </w:rPr>
        <w:t>目  录</w:t>
      </w:r>
      <w:bookmarkStart w:id="7" w:name="_Toc31037"/>
    </w:p>
    <w:p>
      <w:pPr>
        <w:pStyle w:val="18"/>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TOC \o "1-3" \h \u </w:instrText>
      </w:r>
      <w:r>
        <w:rPr>
          <w:rFonts w:hint="eastAsia" w:ascii="仿宋" w:hAnsi="仿宋" w:eastAsia="仿宋" w:cs="仿宋"/>
          <w:color w:val="auto"/>
          <w:szCs w:val="21"/>
        </w:rPr>
        <w:fldChar w:fldCharType="separate"/>
      </w: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_Toc1769 </w:instrText>
      </w:r>
      <w:r>
        <w:rPr>
          <w:rFonts w:hint="eastAsia" w:ascii="仿宋" w:hAnsi="仿宋" w:eastAsia="仿宋" w:cs="仿宋"/>
          <w:color w:val="auto"/>
          <w:szCs w:val="21"/>
        </w:rPr>
        <w:fldChar w:fldCharType="separate"/>
      </w:r>
      <w:r>
        <w:rPr>
          <w:rFonts w:hint="eastAsia" w:ascii="仿宋" w:hAnsi="仿宋" w:eastAsia="仿宋" w:cs="仿宋"/>
          <w:color w:val="auto"/>
          <w:kern w:val="0"/>
          <w:szCs w:val="32"/>
          <w:highlight w:val="none"/>
          <w:lang w:val="zh-CN" w:eastAsia="zh-CN" w:bidi="ar-SA"/>
        </w:rPr>
        <w:t>第一部分  招标公告</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_Toc1769 \h </w:instrText>
      </w:r>
      <w:r>
        <w:rPr>
          <w:rFonts w:hint="eastAsia" w:ascii="仿宋" w:hAnsi="仿宋" w:eastAsia="仿宋" w:cs="仿宋"/>
          <w:color w:val="auto"/>
        </w:rPr>
        <w:fldChar w:fldCharType="separate"/>
      </w:r>
      <w:r>
        <w:rPr>
          <w:rFonts w:hint="eastAsia" w:ascii="仿宋" w:hAnsi="仿宋" w:eastAsia="仿宋" w:cs="仿宋"/>
          <w:color w:val="auto"/>
        </w:rPr>
        <w:t>4</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8"/>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_Toc31196 </w:instrText>
      </w:r>
      <w:r>
        <w:rPr>
          <w:rFonts w:hint="eastAsia" w:ascii="仿宋" w:hAnsi="仿宋" w:eastAsia="仿宋" w:cs="仿宋"/>
          <w:color w:val="auto"/>
          <w:szCs w:val="21"/>
        </w:rPr>
        <w:fldChar w:fldCharType="separate"/>
      </w:r>
      <w:r>
        <w:rPr>
          <w:rFonts w:hint="eastAsia" w:ascii="仿宋" w:hAnsi="仿宋" w:eastAsia="仿宋" w:cs="仿宋"/>
          <w:color w:val="auto"/>
          <w:szCs w:val="32"/>
          <w:highlight w:val="none"/>
          <w:lang w:val="zh-CN"/>
        </w:rPr>
        <w:t>第二部分</w:t>
      </w:r>
      <w:r>
        <w:rPr>
          <w:rFonts w:hint="eastAsia" w:ascii="仿宋" w:hAnsi="仿宋" w:eastAsia="仿宋" w:cs="仿宋"/>
          <w:color w:val="auto"/>
          <w:szCs w:val="32"/>
          <w:highlight w:val="none"/>
        </w:rPr>
        <w:t xml:space="preserve">  </w:t>
      </w:r>
      <w:r>
        <w:rPr>
          <w:rFonts w:hint="eastAsia" w:ascii="仿宋" w:hAnsi="仿宋" w:eastAsia="仿宋" w:cs="仿宋"/>
          <w:color w:val="auto"/>
          <w:szCs w:val="32"/>
          <w:highlight w:val="none"/>
          <w:lang w:val="zh-CN"/>
        </w:rPr>
        <w:t>供应商须知</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_Toc31196 \h </w:instrText>
      </w:r>
      <w:r>
        <w:rPr>
          <w:rFonts w:hint="eastAsia" w:ascii="仿宋" w:hAnsi="仿宋" w:eastAsia="仿宋" w:cs="仿宋"/>
          <w:color w:val="auto"/>
        </w:rPr>
        <w:fldChar w:fldCharType="separate"/>
      </w:r>
      <w:r>
        <w:rPr>
          <w:rFonts w:hint="eastAsia" w:ascii="仿宋" w:hAnsi="仿宋" w:eastAsia="仿宋" w:cs="仿宋"/>
          <w:color w:val="auto"/>
        </w:rPr>
        <w:t>9</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_Toc17241 </w:instrText>
      </w:r>
      <w:r>
        <w:rPr>
          <w:rFonts w:hint="eastAsia" w:ascii="仿宋" w:hAnsi="仿宋" w:eastAsia="仿宋" w:cs="仿宋"/>
          <w:color w:val="auto"/>
          <w:szCs w:val="21"/>
        </w:rPr>
        <w:fldChar w:fldCharType="separate"/>
      </w:r>
      <w:r>
        <w:rPr>
          <w:rFonts w:hint="eastAsia" w:ascii="仿宋" w:hAnsi="仿宋" w:eastAsia="仿宋" w:cs="仿宋"/>
          <w:bCs/>
          <w:color w:val="auto"/>
          <w:szCs w:val="24"/>
          <w:lang w:val="zh-CN"/>
        </w:rPr>
        <w:t>一、总则</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_Toc17241 \h </w:instrText>
      </w:r>
      <w:r>
        <w:rPr>
          <w:rFonts w:hint="eastAsia" w:ascii="仿宋" w:hAnsi="仿宋" w:eastAsia="仿宋" w:cs="仿宋"/>
          <w:color w:val="auto"/>
        </w:rPr>
        <w:fldChar w:fldCharType="separate"/>
      </w:r>
      <w:r>
        <w:rPr>
          <w:rFonts w:hint="eastAsia" w:ascii="仿宋" w:hAnsi="仿宋" w:eastAsia="仿宋" w:cs="仿宋"/>
          <w:color w:val="auto"/>
        </w:rPr>
        <w:t>12</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4"/>
        <w:keepNext w:val="0"/>
        <w:keepLines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_Toc13136 </w:instrText>
      </w:r>
      <w:r>
        <w:rPr>
          <w:rFonts w:hint="eastAsia" w:ascii="仿宋" w:hAnsi="仿宋" w:eastAsia="仿宋" w:cs="仿宋"/>
          <w:color w:val="auto"/>
          <w:szCs w:val="21"/>
        </w:rPr>
        <w:fldChar w:fldCharType="separate"/>
      </w:r>
      <w:r>
        <w:rPr>
          <w:rFonts w:hint="eastAsia" w:ascii="仿宋" w:hAnsi="仿宋" w:eastAsia="仿宋" w:cs="仿宋"/>
          <w:bCs/>
          <w:color w:val="auto"/>
          <w:szCs w:val="24"/>
          <w:lang w:val="zh-CN"/>
        </w:rPr>
        <w:t>（一）适用范围</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_Toc13136 \h </w:instrText>
      </w:r>
      <w:r>
        <w:rPr>
          <w:rFonts w:hint="eastAsia" w:ascii="仿宋" w:hAnsi="仿宋" w:eastAsia="仿宋" w:cs="仿宋"/>
          <w:color w:val="auto"/>
        </w:rPr>
        <w:fldChar w:fldCharType="separate"/>
      </w:r>
      <w:r>
        <w:rPr>
          <w:rFonts w:hint="eastAsia" w:ascii="仿宋" w:hAnsi="仿宋" w:eastAsia="仿宋" w:cs="仿宋"/>
          <w:color w:val="auto"/>
        </w:rPr>
        <w:t>12</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4"/>
        <w:keepNext w:val="0"/>
        <w:keepLines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_Toc9171 </w:instrText>
      </w:r>
      <w:r>
        <w:rPr>
          <w:rFonts w:hint="eastAsia" w:ascii="仿宋" w:hAnsi="仿宋" w:eastAsia="仿宋" w:cs="仿宋"/>
          <w:color w:val="auto"/>
          <w:szCs w:val="21"/>
        </w:rPr>
        <w:fldChar w:fldCharType="separate"/>
      </w:r>
      <w:r>
        <w:rPr>
          <w:rFonts w:hint="eastAsia" w:ascii="仿宋" w:hAnsi="仿宋" w:eastAsia="仿宋" w:cs="仿宋"/>
          <w:bCs/>
          <w:color w:val="auto"/>
          <w:szCs w:val="24"/>
          <w:lang w:val="zh-CN"/>
        </w:rPr>
        <w:t>（二）名词解释</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_Toc9171 \h </w:instrText>
      </w:r>
      <w:r>
        <w:rPr>
          <w:rFonts w:hint="eastAsia" w:ascii="仿宋" w:hAnsi="仿宋" w:eastAsia="仿宋" w:cs="仿宋"/>
          <w:color w:val="auto"/>
        </w:rPr>
        <w:fldChar w:fldCharType="separate"/>
      </w:r>
      <w:r>
        <w:rPr>
          <w:rFonts w:hint="eastAsia" w:ascii="仿宋" w:hAnsi="仿宋" w:eastAsia="仿宋" w:cs="仿宋"/>
          <w:color w:val="auto"/>
        </w:rPr>
        <w:t>12</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_Toc24581 </w:instrText>
      </w:r>
      <w:r>
        <w:rPr>
          <w:rFonts w:hint="eastAsia" w:ascii="仿宋" w:hAnsi="仿宋" w:eastAsia="仿宋" w:cs="仿宋"/>
          <w:color w:val="auto"/>
          <w:szCs w:val="21"/>
        </w:rPr>
        <w:fldChar w:fldCharType="separate"/>
      </w:r>
      <w:r>
        <w:rPr>
          <w:rFonts w:hint="eastAsia" w:ascii="仿宋" w:hAnsi="仿宋" w:eastAsia="仿宋" w:cs="仿宋"/>
          <w:bCs/>
          <w:color w:val="auto"/>
          <w:szCs w:val="24"/>
          <w:lang w:val="zh-CN"/>
        </w:rPr>
        <w:t>二、招标文件</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_Toc24581 \h </w:instrText>
      </w:r>
      <w:r>
        <w:rPr>
          <w:rFonts w:hint="eastAsia" w:ascii="仿宋" w:hAnsi="仿宋" w:eastAsia="仿宋" w:cs="仿宋"/>
          <w:color w:val="auto"/>
        </w:rPr>
        <w:fldChar w:fldCharType="separate"/>
      </w:r>
      <w:r>
        <w:rPr>
          <w:rFonts w:hint="eastAsia" w:ascii="仿宋" w:hAnsi="仿宋" w:eastAsia="仿宋" w:cs="仿宋"/>
          <w:color w:val="auto"/>
        </w:rPr>
        <w:t>12</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4"/>
        <w:keepNext w:val="0"/>
        <w:keepLines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_Toc21871 </w:instrText>
      </w:r>
      <w:r>
        <w:rPr>
          <w:rFonts w:hint="eastAsia" w:ascii="仿宋" w:hAnsi="仿宋" w:eastAsia="仿宋" w:cs="仿宋"/>
          <w:color w:val="auto"/>
          <w:szCs w:val="21"/>
        </w:rPr>
        <w:fldChar w:fldCharType="separate"/>
      </w:r>
      <w:r>
        <w:rPr>
          <w:rFonts w:hint="eastAsia" w:ascii="仿宋" w:hAnsi="仿宋" w:eastAsia="仿宋" w:cs="仿宋"/>
          <w:color w:val="auto"/>
          <w:szCs w:val="24"/>
          <w:lang w:val="zh-CN"/>
        </w:rPr>
        <w:t>（一）招标文件的组成</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_Toc21871 \h </w:instrText>
      </w:r>
      <w:r>
        <w:rPr>
          <w:rFonts w:hint="eastAsia" w:ascii="仿宋" w:hAnsi="仿宋" w:eastAsia="仿宋" w:cs="仿宋"/>
          <w:color w:val="auto"/>
        </w:rPr>
        <w:fldChar w:fldCharType="separate"/>
      </w:r>
      <w:r>
        <w:rPr>
          <w:rFonts w:hint="eastAsia" w:ascii="仿宋" w:hAnsi="仿宋" w:eastAsia="仿宋" w:cs="仿宋"/>
          <w:color w:val="auto"/>
        </w:rPr>
        <w:t>12</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4"/>
        <w:keepNext w:val="0"/>
        <w:keepLines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_Toc15778 </w:instrText>
      </w:r>
      <w:r>
        <w:rPr>
          <w:rFonts w:hint="eastAsia" w:ascii="仿宋" w:hAnsi="仿宋" w:eastAsia="仿宋" w:cs="仿宋"/>
          <w:color w:val="auto"/>
          <w:szCs w:val="21"/>
        </w:rPr>
        <w:fldChar w:fldCharType="separate"/>
      </w:r>
      <w:r>
        <w:rPr>
          <w:rFonts w:hint="eastAsia" w:ascii="仿宋" w:hAnsi="仿宋" w:eastAsia="仿宋" w:cs="仿宋"/>
          <w:bCs/>
          <w:color w:val="auto"/>
          <w:szCs w:val="24"/>
        </w:rPr>
        <w:t>（二）</w:t>
      </w:r>
      <w:r>
        <w:rPr>
          <w:rFonts w:hint="eastAsia" w:ascii="仿宋" w:hAnsi="仿宋" w:eastAsia="仿宋" w:cs="仿宋"/>
          <w:bCs/>
          <w:color w:val="auto"/>
          <w:szCs w:val="24"/>
          <w:lang w:val="zh-CN"/>
        </w:rPr>
        <w:t>招标文件的修改或澄清</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_Toc15778 \h </w:instrText>
      </w:r>
      <w:r>
        <w:rPr>
          <w:rFonts w:hint="eastAsia" w:ascii="仿宋" w:hAnsi="仿宋" w:eastAsia="仿宋" w:cs="仿宋"/>
          <w:color w:val="auto"/>
        </w:rPr>
        <w:fldChar w:fldCharType="separate"/>
      </w:r>
      <w:r>
        <w:rPr>
          <w:rFonts w:hint="eastAsia" w:ascii="仿宋" w:hAnsi="仿宋" w:eastAsia="仿宋" w:cs="仿宋"/>
          <w:color w:val="auto"/>
        </w:rPr>
        <w:t>12</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4"/>
        <w:keepNext w:val="0"/>
        <w:keepLines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_Toc6239 </w:instrText>
      </w:r>
      <w:r>
        <w:rPr>
          <w:rFonts w:hint="eastAsia" w:ascii="仿宋" w:hAnsi="仿宋" w:eastAsia="仿宋" w:cs="仿宋"/>
          <w:color w:val="auto"/>
          <w:szCs w:val="21"/>
        </w:rPr>
        <w:fldChar w:fldCharType="separate"/>
      </w:r>
      <w:r>
        <w:rPr>
          <w:rFonts w:hint="eastAsia" w:ascii="仿宋" w:hAnsi="仿宋" w:eastAsia="仿宋" w:cs="仿宋"/>
          <w:bCs/>
          <w:color w:val="auto"/>
          <w:szCs w:val="24"/>
        </w:rPr>
        <w:t>（三）</w:t>
      </w:r>
      <w:r>
        <w:rPr>
          <w:rFonts w:hint="eastAsia" w:ascii="仿宋" w:hAnsi="仿宋" w:eastAsia="仿宋" w:cs="仿宋"/>
          <w:bCs/>
          <w:color w:val="auto"/>
          <w:szCs w:val="24"/>
          <w:lang w:val="zh-CN"/>
        </w:rPr>
        <w:t>招标文件的询问、质疑及答复</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_Toc6239 \h </w:instrText>
      </w:r>
      <w:r>
        <w:rPr>
          <w:rFonts w:hint="eastAsia" w:ascii="仿宋" w:hAnsi="仿宋" w:eastAsia="仿宋" w:cs="仿宋"/>
          <w:color w:val="auto"/>
        </w:rPr>
        <w:fldChar w:fldCharType="separate"/>
      </w:r>
      <w:r>
        <w:rPr>
          <w:rFonts w:hint="eastAsia" w:ascii="仿宋" w:hAnsi="仿宋" w:eastAsia="仿宋" w:cs="仿宋"/>
          <w:color w:val="auto"/>
        </w:rPr>
        <w:t>12</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4"/>
        <w:keepNext w:val="0"/>
        <w:keepLines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_Toc18456 </w:instrText>
      </w:r>
      <w:r>
        <w:rPr>
          <w:rFonts w:hint="eastAsia" w:ascii="仿宋" w:hAnsi="仿宋" w:eastAsia="仿宋" w:cs="仿宋"/>
          <w:color w:val="auto"/>
          <w:szCs w:val="21"/>
        </w:rPr>
        <w:fldChar w:fldCharType="separate"/>
      </w:r>
      <w:r>
        <w:rPr>
          <w:rFonts w:hint="eastAsia" w:ascii="仿宋" w:hAnsi="仿宋" w:eastAsia="仿宋" w:cs="仿宋"/>
          <w:bCs/>
          <w:color w:val="auto"/>
          <w:szCs w:val="24"/>
          <w:lang w:val="zh-CN"/>
        </w:rPr>
        <w:t>（四）招标文件的解释权</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_Toc18456 \h </w:instrText>
      </w:r>
      <w:r>
        <w:rPr>
          <w:rFonts w:hint="eastAsia" w:ascii="仿宋" w:hAnsi="仿宋" w:eastAsia="仿宋" w:cs="仿宋"/>
          <w:color w:val="auto"/>
        </w:rPr>
        <w:fldChar w:fldCharType="separate"/>
      </w:r>
      <w:r>
        <w:rPr>
          <w:rFonts w:hint="eastAsia" w:ascii="仿宋" w:hAnsi="仿宋" w:eastAsia="仿宋" w:cs="仿宋"/>
          <w:color w:val="auto"/>
        </w:rPr>
        <w:t>13</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_Toc19281 </w:instrText>
      </w:r>
      <w:r>
        <w:rPr>
          <w:rFonts w:hint="eastAsia" w:ascii="仿宋" w:hAnsi="仿宋" w:eastAsia="仿宋" w:cs="仿宋"/>
          <w:color w:val="auto"/>
          <w:szCs w:val="21"/>
        </w:rPr>
        <w:fldChar w:fldCharType="separate"/>
      </w:r>
      <w:r>
        <w:rPr>
          <w:rFonts w:hint="eastAsia" w:ascii="仿宋" w:hAnsi="仿宋" w:eastAsia="仿宋" w:cs="仿宋"/>
          <w:color w:val="auto"/>
          <w:szCs w:val="24"/>
          <w:lang w:val="zh-CN"/>
        </w:rPr>
        <w:t>三、投标要求</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_Toc19281 \h </w:instrText>
      </w:r>
      <w:r>
        <w:rPr>
          <w:rFonts w:hint="eastAsia" w:ascii="仿宋" w:hAnsi="仿宋" w:eastAsia="仿宋" w:cs="仿宋"/>
          <w:color w:val="auto"/>
        </w:rPr>
        <w:fldChar w:fldCharType="separate"/>
      </w:r>
      <w:r>
        <w:rPr>
          <w:rFonts w:hint="eastAsia" w:ascii="仿宋" w:hAnsi="仿宋" w:eastAsia="仿宋" w:cs="仿宋"/>
          <w:color w:val="auto"/>
        </w:rPr>
        <w:t>13</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4"/>
        <w:keepNext w:val="0"/>
        <w:keepLines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_Toc21482 </w:instrText>
      </w:r>
      <w:r>
        <w:rPr>
          <w:rFonts w:hint="eastAsia" w:ascii="仿宋" w:hAnsi="仿宋" w:eastAsia="仿宋" w:cs="仿宋"/>
          <w:color w:val="auto"/>
          <w:szCs w:val="21"/>
        </w:rPr>
        <w:fldChar w:fldCharType="separate"/>
      </w:r>
      <w:r>
        <w:rPr>
          <w:rFonts w:hint="eastAsia" w:ascii="仿宋" w:hAnsi="仿宋" w:eastAsia="仿宋" w:cs="仿宋"/>
          <w:bCs/>
          <w:color w:val="auto"/>
          <w:szCs w:val="24"/>
        </w:rPr>
        <w:t>（一）投标内容</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_Toc21482 \h </w:instrText>
      </w:r>
      <w:r>
        <w:rPr>
          <w:rFonts w:hint="eastAsia" w:ascii="仿宋" w:hAnsi="仿宋" w:eastAsia="仿宋" w:cs="仿宋"/>
          <w:color w:val="auto"/>
        </w:rPr>
        <w:fldChar w:fldCharType="separate"/>
      </w:r>
      <w:r>
        <w:rPr>
          <w:rFonts w:hint="eastAsia" w:ascii="仿宋" w:hAnsi="仿宋" w:eastAsia="仿宋" w:cs="仿宋"/>
          <w:color w:val="auto"/>
        </w:rPr>
        <w:t>13</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4"/>
        <w:keepNext w:val="0"/>
        <w:keepLines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_Toc26369 </w:instrText>
      </w:r>
      <w:r>
        <w:rPr>
          <w:rFonts w:hint="eastAsia" w:ascii="仿宋" w:hAnsi="仿宋" w:eastAsia="仿宋" w:cs="仿宋"/>
          <w:color w:val="auto"/>
          <w:szCs w:val="21"/>
        </w:rPr>
        <w:fldChar w:fldCharType="separate"/>
      </w:r>
      <w:r>
        <w:rPr>
          <w:rFonts w:hint="eastAsia" w:ascii="仿宋" w:hAnsi="仿宋" w:eastAsia="仿宋" w:cs="仿宋"/>
          <w:color w:val="auto"/>
          <w:szCs w:val="24"/>
        </w:rPr>
        <w:t>（二）</w:t>
      </w:r>
      <w:r>
        <w:rPr>
          <w:rFonts w:hint="eastAsia" w:ascii="仿宋" w:hAnsi="仿宋" w:eastAsia="仿宋" w:cs="仿宋"/>
          <w:color w:val="auto"/>
          <w:szCs w:val="24"/>
          <w:lang w:val="zh-CN"/>
        </w:rPr>
        <w:t>合格的供应商要求</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_Toc26369 \h </w:instrText>
      </w:r>
      <w:r>
        <w:rPr>
          <w:rFonts w:hint="eastAsia" w:ascii="仿宋" w:hAnsi="仿宋" w:eastAsia="仿宋" w:cs="仿宋"/>
          <w:color w:val="auto"/>
        </w:rPr>
        <w:fldChar w:fldCharType="separate"/>
      </w:r>
      <w:r>
        <w:rPr>
          <w:rFonts w:hint="eastAsia" w:ascii="仿宋" w:hAnsi="仿宋" w:eastAsia="仿宋" w:cs="仿宋"/>
          <w:color w:val="auto"/>
        </w:rPr>
        <w:t>13</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4"/>
        <w:keepNext w:val="0"/>
        <w:keepLines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_Toc15370 </w:instrText>
      </w:r>
      <w:r>
        <w:rPr>
          <w:rFonts w:hint="eastAsia" w:ascii="仿宋" w:hAnsi="仿宋" w:eastAsia="仿宋" w:cs="仿宋"/>
          <w:color w:val="auto"/>
          <w:szCs w:val="21"/>
        </w:rPr>
        <w:fldChar w:fldCharType="separate"/>
      </w:r>
      <w:r>
        <w:rPr>
          <w:rFonts w:hint="eastAsia" w:ascii="仿宋" w:hAnsi="仿宋" w:eastAsia="仿宋" w:cs="仿宋"/>
          <w:bCs/>
          <w:color w:val="auto"/>
          <w:szCs w:val="24"/>
        </w:rPr>
        <w:t>（三）</w:t>
      </w:r>
      <w:r>
        <w:rPr>
          <w:rFonts w:hint="eastAsia" w:ascii="仿宋" w:hAnsi="仿宋" w:eastAsia="仿宋" w:cs="仿宋"/>
          <w:bCs/>
          <w:color w:val="auto"/>
          <w:szCs w:val="24"/>
          <w:lang w:val="zh-CN"/>
        </w:rPr>
        <w:t>限制投标要求</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_Toc15370 \h </w:instrText>
      </w:r>
      <w:r>
        <w:rPr>
          <w:rFonts w:hint="eastAsia" w:ascii="仿宋" w:hAnsi="仿宋" w:eastAsia="仿宋" w:cs="仿宋"/>
          <w:color w:val="auto"/>
        </w:rPr>
        <w:fldChar w:fldCharType="separate"/>
      </w:r>
      <w:r>
        <w:rPr>
          <w:rFonts w:hint="eastAsia" w:ascii="仿宋" w:hAnsi="仿宋" w:eastAsia="仿宋" w:cs="仿宋"/>
          <w:color w:val="auto"/>
        </w:rPr>
        <w:t>14</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4"/>
        <w:keepNext w:val="0"/>
        <w:keepLines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_Toc4916 </w:instrText>
      </w:r>
      <w:r>
        <w:rPr>
          <w:rFonts w:hint="eastAsia" w:ascii="仿宋" w:hAnsi="仿宋" w:eastAsia="仿宋" w:cs="仿宋"/>
          <w:color w:val="auto"/>
          <w:szCs w:val="21"/>
        </w:rPr>
        <w:fldChar w:fldCharType="separate"/>
      </w:r>
      <w:r>
        <w:rPr>
          <w:rFonts w:hint="eastAsia" w:ascii="仿宋" w:hAnsi="仿宋" w:eastAsia="仿宋" w:cs="仿宋"/>
          <w:bCs/>
          <w:color w:val="auto"/>
          <w:szCs w:val="24"/>
        </w:rPr>
        <w:t>（四）</w:t>
      </w:r>
      <w:r>
        <w:rPr>
          <w:rFonts w:hint="eastAsia" w:ascii="仿宋" w:hAnsi="仿宋" w:eastAsia="仿宋" w:cs="仿宋"/>
          <w:bCs/>
          <w:color w:val="auto"/>
          <w:szCs w:val="24"/>
          <w:lang w:val="zh-CN"/>
        </w:rPr>
        <w:t>投标文件有效期</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_Toc4916 \h </w:instrText>
      </w:r>
      <w:r>
        <w:rPr>
          <w:rFonts w:hint="eastAsia" w:ascii="仿宋" w:hAnsi="仿宋" w:eastAsia="仿宋" w:cs="仿宋"/>
          <w:color w:val="auto"/>
        </w:rPr>
        <w:fldChar w:fldCharType="separate"/>
      </w:r>
      <w:r>
        <w:rPr>
          <w:rFonts w:hint="eastAsia" w:ascii="仿宋" w:hAnsi="仿宋" w:eastAsia="仿宋" w:cs="仿宋"/>
          <w:color w:val="auto"/>
        </w:rPr>
        <w:t>14</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4"/>
        <w:keepNext w:val="0"/>
        <w:keepLines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_Toc18264 </w:instrText>
      </w:r>
      <w:r>
        <w:rPr>
          <w:rFonts w:hint="eastAsia" w:ascii="仿宋" w:hAnsi="仿宋" w:eastAsia="仿宋" w:cs="仿宋"/>
          <w:color w:val="auto"/>
          <w:szCs w:val="21"/>
        </w:rPr>
        <w:fldChar w:fldCharType="separate"/>
      </w:r>
      <w:r>
        <w:rPr>
          <w:rFonts w:hint="eastAsia" w:ascii="仿宋" w:hAnsi="仿宋" w:eastAsia="仿宋" w:cs="仿宋"/>
          <w:color w:val="auto"/>
          <w:szCs w:val="24"/>
          <w:lang w:val="zh-CN"/>
        </w:rPr>
        <w:t>（五）投标文件的编写要求</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_Toc18264 \h </w:instrText>
      </w:r>
      <w:r>
        <w:rPr>
          <w:rFonts w:hint="eastAsia" w:ascii="仿宋" w:hAnsi="仿宋" w:eastAsia="仿宋" w:cs="仿宋"/>
          <w:color w:val="auto"/>
        </w:rPr>
        <w:fldChar w:fldCharType="separate"/>
      </w:r>
      <w:r>
        <w:rPr>
          <w:rFonts w:hint="eastAsia" w:ascii="仿宋" w:hAnsi="仿宋" w:eastAsia="仿宋" w:cs="仿宋"/>
          <w:color w:val="auto"/>
        </w:rPr>
        <w:t>14</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4"/>
        <w:keepNext w:val="0"/>
        <w:keepLines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_Toc2227 </w:instrText>
      </w:r>
      <w:r>
        <w:rPr>
          <w:rFonts w:hint="eastAsia" w:ascii="仿宋" w:hAnsi="仿宋" w:eastAsia="仿宋" w:cs="仿宋"/>
          <w:color w:val="auto"/>
          <w:szCs w:val="21"/>
        </w:rPr>
        <w:fldChar w:fldCharType="separate"/>
      </w:r>
      <w:r>
        <w:rPr>
          <w:rFonts w:hint="eastAsia" w:ascii="仿宋" w:hAnsi="仿宋" w:eastAsia="仿宋" w:cs="仿宋"/>
          <w:color w:val="auto"/>
          <w:szCs w:val="24"/>
          <w:lang w:val="zh-CN"/>
        </w:rPr>
        <w:t>（六）投标报价要求</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_Toc2227 \h </w:instrText>
      </w:r>
      <w:r>
        <w:rPr>
          <w:rFonts w:hint="eastAsia" w:ascii="仿宋" w:hAnsi="仿宋" w:eastAsia="仿宋" w:cs="仿宋"/>
          <w:color w:val="auto"/>
        </w:rPr>
        <w:fldChar w:fldCharType="separate"/>
      </w:r>
      <w:r>
        <w:rPr>
          <w:rFonts w:hint="eastAsia" w:ascii="仿宋" w:hAnsi="仿宋" w:eastAsia="仿宋" w:cs="仿宋"/>
          <w:color w:val="auto"/>
        </w:rPr>
        <w:t>16</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4"/>
        <w:keepNext w:val="0"/>
        <w:keepLines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_Toc19259 </w:instrText>
      </w:r>
      <w:r>
        <w:rPr>
          <w:rFonts w:hint="eastAsia" w:ascii="仿宋" w:hAnsi="仿宋" w:eastAsia="仿宋" w:cs="仿宋"/>
          <w:color w:val="auto"/>
          <w:szCs w:val="21"/>
        </w:rPr>
        <w:fldChar w:fldCharType="separate"/>
      </w:r>
      <w:r>
        <w:rPr>
          <w:rFonts w:hint="eastAsia" w:ascii="仿宋" w:hAnsi="仿宋" w:eastAsia="仿宋" w:cs="仿宋"/>
          <w:color w:val="auto"/>
          <w:szCs w:val="24"/>
          <w:lang w:val="zh-CN"/>
        </w:rPr>
        <w:t>（七）投标文件的式样和签署</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_Toc19259 \h </w:instrText>
      </w:r>
      <w:r>
        <w:rPr>
          <w:rFonts w:hint="eastAsia" w:ascii="仿宋" w:hAnsi="仿宋" w:eastAsia="仿宋" w:cs="仿宋"/>
          <w:color w:val="auto"/>
        </w:rPr>
        <w:fldChar w:fldCharType="separate"/>
      </w:r>
      <w:r>
        <w:rPr>
          <w:rFonts w:hint="eastAsia" w:ascii="仿宋" w:hAnsi="仿宋" w:eastAsia="仿宋" w:cs="仿宋"/>
          <w:color w:val="auto"/>
        </w:rPr>
        <w:t>16</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4"/>
        <w:keepNext w:val="0"/>
        <w:keepLines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_Toc20484 </w:instrText>
      </w:r>
      <w:r>
        <w:rPr>
          <w:rFonts w:hint="eastAsia" w:ascii="仿宋" w:hAnsi="仿宋" w:eastAsia="仿宋" w:cs="仿宋"/>
          <w:color w:val="auto"/>
          <w:szCs w:val="21"/>
        </w:rPr>
        <w:fldChar w:fldCharType="separate"/>
      </w:r>
      <w:r>
        <w:rPr>
          <w:rFonts w:hint="eastAsia" w:ascii="仿宋" w:hAnsi="仿宋" w:eastAsia="仿宋" w:cs="仿宋"/>
          <w:color w:val="auto"/>
          <w:szCs w:val="24"/>
          <w:lang w:val="zh-CN"/>
        </w:rPr>
        <w:t>（八）投标文件的密封和提交</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_Toc20484 \h </w:instrText>
      </w:r>
      <w:r>
        <w:rPr>
          <w:rFonts w:hint="eastAsia" w:ascii="仿宋" w:hAnsi="仿宋" w:eastAsia="仿宋" w:cs="仿宋"/>
          <w:color w:val="auto"/>
        </w:rPr>
        <w:fldChar w:fldCharType="separate"/>
      </w:r>
      <w:r>
        <w:rPr>
          <w:rFonts w:hint="eastAsia" w:ascii="仿宋" w:hAnsi="仿宋" w:eastAsia="仿宋" w:cs="仿宋"/>
          <w:color w:val="auto"/>
        </w:rPr>
        <w:t>17</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_Toc31734 </w:instrText>
      </w:r>
      <w:r>
        <w:rPr>
          <w:rFonts w:hint="eastAsia" w:ascii="仿宋" w:hAnsi="仿宋" w:eastAsia="仿宋" w:cs="仿宋"/>
          <w:color w:val="auto"/>
          <w:szCs w:val="21"/>
        </w:rPr>
        <w:fldChar w:fldCharType="separate"/>
      </w:r>
      <w:r>
        <w:rPr>
          <w:rFonts w:hint="eastAsia" w:ascii="仿宋" w:hAnsi="仿宋" w:eastAsia="仿宋" w:cs="仿宋"/>
          <w:color w:val="auto"/>
          <w:szCs w:val="24"/>
          <w:lang w:val="zh-CN"/>
        </w:rPr>
        <w:t>四、开标</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_Toc31734 \h </w:instrText>
      </w:r>
      <w:r>
        <w:rPr>
          <w:rFonts w:hint="eastAsia" w:ascii="仿宋" w:hAnsi="仿宋" w:eastAsia="仿宋" w:cs="仿宋"/>
          <w:color w:val="auto"/>
        </w:rPr>
        <w:fldChar w:fldCharType="separate"/>
      </w:r>
      <w:r>
        <w:rPr>
          <w:rFonts w:hint="eastAsia" w:ascii="仿宋" w:hAnsi="仿宋" w:eastAsia="仿宋" w:cs="仿宋"/>
          <w:color w:val="auto"/>
        </w:rPr>
        <w:t>17</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_Toc10987 </w:instrText>
      </w:r>
      <w:r>
        <w:rPr>
          <w:rFonts w:hint="eastAsia" w:ascii="仿宋" w:hAnsi="仿宋" w:eastAsia="仿宋" w:cs="仿宋"/>
          <w:color w:val="auto"/>
          <w:szCs w:val="21"/>
        </w:rPr>
        <w:fldChar w:fldCharType="separate"/>
      </w:r>
      <w:r>
        <w:rPr>
          <w:rFonts w:hint="eastAsia" w:ascii="仿宋" w:hAnsi="仿宋" w:eastAsia="仿宋" w:cs="仿宋"/>
          <w:color w:val="auto"/>
          <w:szCs w:val="24"/>
          <w:lang w:val="zh-CN"/>
        </w:rPr>
        <w:t>五、评标</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_Toc10987 \h </w:instrText>
      </w:r>
      <w:r>
        <w:rPr>
          <w:rFonts w:hint="eastAsia" w:ascii="仿宋" w:hAnsi="仿宋" w:eastAsia="仿宋" w:cs="仿宋"/>
          <w:color w:val="auto"/>
        </w:rPr>
        <w:fldChar w:fldCharType="separate"/>
      </w:r>
      <w:r>
        <w:rPr>
          <w:rFonts w:hint="eastAsia" w:ascii="仿宋" w:hAnsi="仿宋" w:eastAsia="仿宋" w:cs="仿宋"/>
          <w:color w:val="auto"/>
        </w:rPr>
        <w:t>18</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_Toc8351 </w:instrText>
      </w:r>
      <w:r>
        <w:rPr>
          <w:rFonts w:hint="eastAsia" w:ascii="仿宋" w:hAnsi="仿宋" w:eastAsia="仿宋" w:cs="仿宋"/>
          <w:color w:val="auto"/>
          <w:szCs w:val="21"/>
        </w:rPr>
        <w:fldChar w:fldCharType="separate"/>
      </w:r>
      <w:r>
        <w:rPr>
          <w:rFonts w:hint="eastAsia" w:ascii="仿宋" w:hAnsi="仿宋" w:eastAsia="仿宋" w:cs="仿宋"/>
          <w:color w:val="auto"/>
          <w:szCs w:val="24"/>
          <w:lang w:val="zh-CN"/>
        </w:rPr>
        <w:t>六、评标程序及评标办法</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_Toc8351 \h </w:instrText>
      </w:r>
      <w:r>
        <w:rPr>
          <w:rFonts w:hint="eastAsia" w:ascii="仿宋" w:hAnsi="仿宋" w:eastAsia="仿宋" w:cs="仿宋"/>
          <w:color w:val="auto"/>
        </w:rPr>
        <w:fldChar w:fldCharType="separate"/>
      </w:r>
      <w:r>
        <w:rPr>
          <w:rFonts w:hint="eastAsia" w:ascii="仿宋" w:hAnsi="仿宋" w:eastAsia="仿宋" w:cs="仿宋"/>
          <w:color w:val="auto"/>
        </w:rPr>
        <w:t>19</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4"/>
        <w:keepNext w:val="0"/>
        <w:keepLines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_Toc9980 </w:instrText>
      </w:r>
      <w:r>
        <w:rPr>
          <w:rFonts w:hint="eastAsia" w:ascii="仿宋" w:hAnsi="仿宋" w:eastAsia="仿宋" w:cs="仿宋"/>
          <w:color w:val="auto"/>
          <w:szCs w:val="21"/>
        </w:rPr>
        <w:fldChar w:fldCharType="separate"/>
      </w:r>
      <w:r>
        <w:rPr>
          <w:rFonts w:hint="eastAsia" w:ascii="仿宋" w:hAnsi="仿宋" w:eastAsia="仿宋" w:cs="仿宋"/>
          <w:color w:val="auto"/>
          <w:szCs w:val="24"/>
        </w:rPr>
        <w:t>（一）投标文件初审</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_Toc9980 \h </w:instrText>
      </w:r>
      <w:r>
        <w:rPr>
          <w:rFonts w:hint="eastAsia" w:ascii="仿宋" w:hAnsi="仿宋" w:eastAsia="仿宋" w:cs="仿宋"/>
          <w:color w:val="auto"/>
        </w:rPr>
        <w:fldChar w:fldCharType="separate"/>
      </w:r>
      <w:r>
        <w:rPr>
          <w:rFonts w:hint="eastAsia" w:ascii="仿宋" w:hAnsi="仿宋" w:eastAsia="仿宋" w:cs="仿宋"/>
          <w:color w:val="auto"/>
        </w:rPr>
        <w:t>19</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4"/>
        <w:keepNext w:val="0"/>
        <w:keepLines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_Toc20457 </w:instrText>
      </w:r>
      <w:r>
        <w:rPr>
          <w:rFonts w:hint="eastAsia" w:ascii="仿宋" w:hAnsi="仿宋" w:eastAsia="仿宋" w:cs="仿宋"/>
          <w:color w:val="auto"/>
          <w:szCs w:val="21"/>
        </w:rPr>
        <w:fldChar w:fldCharType="separate"/>
      </w:r>
      <w:r>
        <w:rPr>
          <w:rFonts w:hint="eastAsia" w:ascii="仿宋" w:hAnsi="仿宋" w:eastAsia="仿宋" w:cs="仿宋"/>
          <w:color w:val="auto"/>
          <w:szCs w:val="24"/>
          <w:lang w:val="zh-CN"/>
        </w:rPr>
        <w:t>（</w:t>
      </w:r>
      <w:r>
        <w:rPr>
          <w:rFonts w:hint="eastAsia" w:ascii="仿宋" w:hAnsi="仿宋" w:eastAsia="仿宋" w:cs="仿宋"/>
          <w:color w:val="auto"/>
          <w:szCs w:val="24"/>
        </w:rPr>
        <w:t>二</w:t>
      </w:r>
      <w:r>
        <w:rPr>
          <w:rFonts w:hint="eastAsia" w:ascii="仿宋" w:hAnsi="仿宋" w:eastAsia="仿宋" w:cs="仿宋"/>
          <w:color w:val="auto"/>
          <w:szCs w:val="24"/>
          <w:lang w:val="zh-CN"/>
        </w:rPr>
        <w:t>）比较与评价</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_Toc20457 \h </w:instrText>
      </w:r>
      <w:r>
        <w:rPr>
          <w:rFonts w:hint="eastAsia" w:ascii="仿宋" w:hAnsi="仿宋" w:eastAsia="仿宋" w:cs="仿宋"/>
          <w:color w:val="auto"/>
        </w:rPr>
        <w:fldChar w:fldCharType="separate"/>
      </w:r>
      <w:r>
        <w:rPr>
          <w:rFonts w:hint="eastAsia" w:ascii="仿宋" w:hAnsi="仿宋" w:eastAsia="仿宋" w:cs="仿宋"/>
          <w:color w:val="auto"/>
        </w:rPr>
        <w:t>22</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4"/>
        <w:keepNext w:val="0"/>
        <w:keepLines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_Toc17437 </w:instrText>
      </w:r>
      <w:r>
        <w:rPr>
          <w:rFonts w:hint="eastAsia" w:ascii="仿宋" w:hAnsi="仿宋" w:eastAsia="仿宋" w:cs="仿宋"/>
          <w:color w:val="auto"/>
          <w:szCs w:val="21"/>
        </w:rPr>
        <w:fldChar w:fldCharType="separate"/>
      </w:r>
      <w:r>
        <w:rPr>
          <w:rFonts w:hint="eastAsia" w:ascii="仿宋" w:hAnsi="仿宋" w:eastAsia="仿宋" w:cs="仿宋"/>
          <w:color w:val="auto"/>
          <w:szCs w:val="24"/>
          <w:lang w:val="zh-CN"/>
        </w:rPr>
        <w:t>（</w:t>
      </w:r>
      <w:r>
        <w:rPr>
          <w:rFonts w:hint="eastAsia" w:ascii="仿宋" w:hAnsi="仿宋" w:eastAsia="仿宋" w:cs="仿宋"/>
          <w:color w:val="auto"/>
          <w:szCs w:val="24"/>
        </w:rPr>
        <w:t>三</w:t>
      </w:r>
      <w:r>
        <w:rPr>
          <w:rFonts w:hint="eastAsia" w:ascii="仿宋" w:hAnsi="仿宋" w:eastAsia="仿宋" w:cs="仿宋"/>
          <w:color w:val="auto"/>
          <w:szCs w:val="24"/>
          <w:lang w:val="zh-CN"/>
        </w:rPr>
        <w:t>）投标文件的澄清、说明或者补正</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_Toc17437 \h </w:instrText>
      </w:r>
      <w:r>
        <w:rPr>
          <w:rFonts w:hint="eastAsia" w:ascii="仿宋" w:hAnsi="仿宋" w:eastAsia="仿宋" w:cs="仿宋"/>
          <w:color w:val="auto"/>
        </w:rPr>
        <w:fldChar w:fldCharType="separate"/>
      </w:r>
      <w:r>
        <w:rPr>
          <w:rFonts w:hint="eastAsia" w:ascii="仿宋" w:hAnsi="仿宋" w:eastAsia="仿宋" w:cs="仿宋"/>
          <w:color w:val="auto"/>
        </w:rPr>
        <w:t>24</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4"/>
        <w:keepNext w:val="0"/>
        <w:keepLines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_Toc2931 </w:instrText>
      </w:r>
      <w:r>
        <w:rPr>
          <w:rFonts w:hint="eastAsia" w:ascii="仿宋" w:hAnsi="仿宋" w:eastAsia="仿宋" w:cs="仿宋"/>
          <w:color w:val="auto"/>
          <w:szCs w:val="21"/>
        </w:rPr>
        <w:fldChar w:fldCharType="separate"/>
      </w:r>
      <w:r>
        <w:rPr>
          <w:rFonts w:hint="eastAsia" w:ascii="仿宋" w:hAnsi="仿宋" w:eastAsia="仿宋" w:cs="仿宋"/>
          <w:color w:val="auto"/>
          <w:szCs w:val="24"/>
          <w:lang w:val="zh-CN"/>
        </w:rPr>
        <w:t>（四）推荐中标候选人名单</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_Toc2931 \h </w:instrText>
      </w:r>
      <w:r>
        <w:rPr>
          <w:rFonts w:hint="eastAsia" w:ascii="仿宋" w:hAnsi="仿宋" w:eastAsia="仿宋" w:cs="仿宋"/>
          <w:color w:val="auto"/>
        </w:rPr>
        <w:fldChar w:fldCharType="separate"/>
      </w:r>
      <w:r>
        <w:rPr>
          <w:rFonts w:hint="eastAsia" w:ascii="仿宋" w:hAnsi="仿宋" w:eastAsia="仿宋" w:cs="仿宋"/>
          <w:color w:val="auto"/>
        </w:rPr>
        <w:t>24</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_Toc2036 </w:instrText>
      </w:r>
      <w:r>
        <w:rPr>
          <w:rFonts w:hint="eastAsia" w:ascii="仿宋" w:hAnsi="仿宋" w:eastAsia="仿宋" w:cs="仿宋"/>
          <w:color w:val="auto"/>
          <w:szCs w:val="21"/>
        </w:rPr>
        <w:fldChar w:fldCharType="separate"/>
      </w:r>
      <w:r>
        <w:rPr>
          <w:rFonts w:hint="eastAsia" w:ascii="仿宋" w:hAnsi="仿宋" w:eastAsia="仿宋" w:cs="仿宋"/>
          <w:color w:val="auto"/>
          <w:szCs w:val="24"/>
          <w:lang w:val="zh-CN"/>
        </w:rPr>
        <w:t>七、确定中标供应商</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_Toc2036 \h </w:instrText>
      </w:r>
      <w:r>
        <w:rPr>
          <w:rFonts w:hint="eastAsia" w:ascii="仿宋" w:hAnsi="仿宋" w:eastAsia="仿宋" w:cs="仿宋"/>
          <w:color w:val="auto"/>
        </w:rPr>
        <w:fldChar w:fldCharType="separate"/>
      </w:r>
      <w:r>
        <w:rPr>
          <w:rFonts w:hint="eastAsia" w:ascii="仿宋" w:hAnsi="仿宋" w:eastAsia="仿宋" w:cs="仿宋"/>
          <w:color w:val="auto"/>
        </w:rPr>
        <w:t>24</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_Toc14998 </w:instrText>
      </w:r>
      <w:r>
        <w:rPr>
          <w:rFonts w:hint="eastAsia" w:ascii="仿宋" w:hAnsi="仿宋" w:eastAsia="仿宋" w:cs="仿宋"/>
          <w:color w:val="auto"/>
          <w:szCs w:val="21"/>
        </w:rPr>
        <w:fldChar w:fldCharType="separate"/>
      </w:r>
      <w:r>
        <w:rPr>
          <w:rFonts w:hint="eastAsia" w:ascii="仿宋" w:hAnsi="仿宋" w:eastAsia="仿宋" w:cs="仿宋"/>
          <w:color w:val="auto"/>
          <w:szCs w:val="24"/>
          <w:lang w:val="zh-CN"/>
        </w:rPr>
        <w:t>八、合同</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_Toc14998 \h </w:instrText>
      </w:r>
      <w:r>
        <w:rPr>
          <w:rFonts w:hint="eastAsia" w:ascii="仿宋" w:hAnsi="仿宋" w:eastAsia="仿宋" w:cs="仿宋"/>
          <w:color w:val="auto"/>
        </w:rPr>
        <w:fldChar w:fldCharType="separate"/>
      </w:r>
      <w:r>
        <w:rPr>
          <w:rFonts w:hint="eastAsia" w:ascii="仿宋" w:hAnsi="仿宋" w:eastAsia="仿宋" w:cs="仿宋"/>
          <w:color w:val="auto"/>
        </w:rPr>
        <w:t>25</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_Toc2868 </w:instrText>
      </w:r>
      <w:r>
        <w:rPr>
          <w:rFonts w:hint="eastAsia" w:ascii="仿宋" w:hAnsi="仿宋" w:eastAsia="仿宋" w:cs="仿宋"/>
          <w:color w:val="auto"/>
          <w:szCs w:val="21"/>
        </w:rPr>
        <w:fldChar w:fldCharType="separate"/>
      </w:r>
      <w:r>
        <w:rPr>
          <w:rFonts w:hint="eastAsia" w:ascii="仿宋" w:hAnsi="仿宋" w:eastAsia="仿宋" w:cs="仿宋"/>
          <w:color w:val="auto"/>
          <w:szCs w:val="24"/>
          <w:lang w:val="zh-CN"/>
        </w:rPr>
        <w:t>九、中标服务费</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_Toc2868 \h </w:instrText>
      </w:r>
      <w:r>
        <w:rPr>
          <w:rFonts w:hint="eastAsia" w:ascii="仿宋" w:hAnsi="仿宋" w:eastAsia="仿宋" w:cs="仿宋"/>
          <w:color w:val="auto"/>
        </w:rPr>
        <w:fldChar w:fldCharType="separate"/>
      </w:r>
      <w:r>
        <w:rPr>
          <w:rFonts w:hint="eastAsia" w:ascii="仿宋" w:hAnsi="仿宋" w:eastAsia="仿宋" w:cs="仿宋"/>
          <w:color w:val="auto"/>
        </w:rPr>
        <w:t>25</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_Toc31993 </w:instrText>
      </w:r>
      <w:r>
        <w:rPr>
          <w:rFonts w:hint="eastAsia" w:ascii="仿宋" w:hAnsi="仿宋" w:eastAsia="仿宋" w:cs="仿宋"/>
          <w:color w:val="auto"/>
          <w:szCs w:val="21"/>
        </w:rPr>
        <w:fldChar w:fldCharType="separate"/>
      </w:r>
      <w:r>
        <w:rPr>
          <w:rFonts w:hint="eastAsia" w:ascii="仿宋" w:hAnsi="仿宋" w:eastAsia="仿宋" w:cs="仿宋"/>
          <w:color w:val="auto"/>
          <w:szCs w:val="24"/>
          <w:lang w:val="zh-CN"/>
        </w:rPr>
        <w:t>十、废标或者采购方式的变更</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_Toc31993 \h </w:instrText>
      </w:r>
      <w:r>
        <w:rPr>
          <w:rFonts w:hint="eastAsia" w:ascii="仿宋" w:hAnsi="仿宋" w:eastAsia="仿宋" w:cs="仿宋"/>
          <w:color w:val="auto"/>
        </w:rPr>
        <w:fldChar w:fldCharType="separate"/>
      </w:r>
      <w:r>
        <w:rPr>
          <w:rFonts w:hint="eastAsia" w:ascii="仿宋" w:hAnsi="仿宋" w:eastAsia="仿宋" w:cs="仿宋"/>
          <w:color w:val="auto"/>
        </w:rPr>
        <w:t>26</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4"/>
        <w:keepNext w:val="0"/>
        <w:keepLines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_Toc25917 </w:instrText>
      </w:r>
      <w:r>
        <w:rPr>
          <w:rFonts w:hint="eastAsia" w:ascii="仿宋" w:hAnsi="仿宋" w:eastAsia="仿宋" w:cs="仿宋"/>
          <w:color w:val="auto"/>
          <w:szCs w:val="21"/>
        </w:rPr>
        <w:fldChar w:fldCharType="separate"/>
      </w:r>
      <w:r>
        <w:rPr>
          <w:rFonts w:hint="eastAsia" w:ascii="仿宋" w:hAnsi="仿宋" w:eastAsia="仿宋" w:cs="仿宋"/>
          <w:color w:val="auto"/>
          <w:szCs w:val="24"/>
          <w:lang w:val="zh-CN"/>
        </w:rPr>
        <w:t>（一）废标</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_Toc25917 \h </w:instrText>
      </w:r>
      <w:r>
        <w:rPr>
          <w:rFonts w:hint="eastAsia" w:ascii="仿宋" w:hAnsi="仿宋" w:eastAsia="仿宋" w:cs="仿宋"/>
          <w:color w:val="auto"/>
        </w:rPr>
        <w:fldChar w:fldCharType="separate"/>
      </w:r>
      <w:r>
        <w:rPr>
          <w:rFonts w:hint="eastAsia" w:ascii="仿宋" w:hAnsi="仿宋" w:eastAsia="仿宋" w:cs="仿宋"/>
          <w:color w:val="auto"/>
        </w:rPr>
        <w:t>26</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4"/>
        <w:keepNext w:val="0"/>
        <w:keepLines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_Toc31338 </w:instrText>
      </w:r>
      <w:r>
        <w:rPr>
          <w:rFonts w:hint="eastAsia" w:ascii="仿宋" w:hAnsi="仿宋" w:eastAsia="仿宋" w:cs="仿宋"/>
          <w:color w:val="auto"/>
          <w:szCs w:val="21"/>
        </w:rPr>
        <w:fldChar w:fldCharType="separate"/>
      </w:r>
      <w:r>
        <w:rPr>
          <w:rFonts w:hint="eastAsia" w:ascii="仿宋" w:hAnsi="仿宋" w:eastAsia="仿宋" w:cs="仿宋"/>
          <w:color w:val="auto"/>
          <w:szCs w:val="24"/>
          <w:lang w:val="zh-CN"/>
        </w:rPr>
        <w:t>（二）采购方式的变更</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_Toc31338 \h </w:instrText>
      </w:r>
      <w:r>
        <w:rPr>
          <w:rFonts w:hint="eastAsia" w:ascii="仿宋" w:hAnsi="仿宋" w:eastAsia="仿宋" w:cs="仿宋"/>
          <w:color w:val="auto"/>
        </w:rPr>
        <w:fldChar w:fldCharType="separate"/>
      </w:r>
      <w:r>
        <w:rPr>
          <w:rFonts w:hint="eastAsia" w:ascii="仿宋" w:hAnsi="仿宋" w:eastAsia="仿宋" w:cs="仿宋"/>
          <w:color w:val="auto"/>
        </w:rPr>
        <w:t>26</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_Toc31972 </w:instrText>
      </w:r>
      <w:r>
        <w:rPr>
          <w:rFonts w:hint="eastAsia" w:ascii="仿宋" w:hAnsi="仿宋" w:eastAsia="仿宋" w:cs="仿宋"/>
          <w:color w:val="auto"/>
          <w:szCs w:val="21"/>
        </w:rPr>
        <w:fldChar w:fldCharType="separate"/>
      </w:r>
      <w:r>
        <w:rPr>
          <w:rFonts w:hint="eastAsia" w:ascii="仿宋" w:hAnsi="仿宋" w:eastAsia="仿宋" w:cs="仿宋"/>
          <w:color w:val="auto"/>
          <w:szCs w:val="24"/>
          <w:lang w:val="zh-CN"/>
        </w:rPr>
        <w:t>十一、需要落实的政府采购政策</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_Toc31972 \h </w:instrText>
      </w:r>
      <w:r>
        <w:rPr>
          <w:rFonts w:hint="eastAsia" w:ascii="仿宋" w:hAnsi="仿宋" w:eastAsia="仿宋" w:cs="仿宋"/>
          <w:color w:val="auto"/>
        </w:rPr>
        <w:fldChar w:fldCharType="separate"/>
      </w:r>
      <w:r>
        <w:rPr>
          <w:rFonts w:hint="eastAsia" w:ascii="仿宋" w:hAnsi="仿宋" w:eastAsia="仿宋" w:cs="仿宋"/>
          <w:color w:val="auto"/>
        </w:rPr>
        <w:t>26</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_Toc27554 </w:instrText>
      </w:r>
      <w:r>
        <w:rPr>
          <w:rFonts w:hint="eastAsia" w:ascii="仿宋" w:hAnsi="仿宋" w:eastAsia="仿宋" w:cs="仿宋"/>
          <w:color w:val="auto"/>
          <w:szCs w:val="21"/>
        </w:rPr>
        <w:fldChar w:fldCharType="separate"/>
      </w:r>
      <w:r>
        <w:rPr>
          <w:rFonts w:hint="eastAsia" w:ascii="仿宋" w:hAnsi="仿宋" w:eastAsia="仿宋" w:cs="仿宋"/>
          <w:color w:val="auto"/>
          <w:szCs w:val="24"/>
          <w:lang w:val="zh-CN"/>
        </w:rPr>
        <w:t>十二、质疑与投诉</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_Toc27554 \h </w:instrText>
      </w:r>
      <w:r>
        <w:rPr>
          <w:rFonts w:hint="eastAsia" w:ascii="仿宋" w:hAnsi="仿宋" w:eastAsia="仿宋" w:cs="仿宋"/>
          <w:color w:val="auto"/>
        </w:rPr>
        <w:fldChar w:fldCharType="separate"/>
      </w:r>
      <w:r>
        <w:rPr>
          <w:rFonts w:hint="eastAsia" w:ascii="仿宋" w:hAnsi="仿宋" w:eastAsia="仿宋" w:cs="仿宋"/>
          <w:color w:val="auto"/>
        </w:rPr>
        <w:t>29</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4"/>
        <w:keepNext w:val="0"/>
        <w:keepLines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_Toc18516 </w:instrText>
      </w:r>
      <w:r>
        <w:rPr>
          <w:rFonts w:hint="eastAsia" w:ascii="仿宋" w:hAnsi="仿宋" w:eastAsia="仿宋" w:cs="仿宋"/>
          <w:color w:val="auto"/>
          <w:szCs w:val="21"/>
        </w:rPr>
        <w:fldChar w:fldCharType="separate"/>
      </w:r>
      <w:r>
        <w:rPr>
          <w:rFonts w:hint="eastAsia" w:ascii="仿宋" w:hAnsi="仿宋" w:eastAsia="仿宋" w:cs="仿宋"/>
          <w:bCs/>
          <w:color w:val="auto"/>
          <w:szCs w:val="24"/>
          <w:lang w:val="zh-CN"/>
        </w:rPr>
        <w:t>（一）质疑</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_Toc18516 \h </w:instrText>
      </w:r>
      <w:r>
        <w:rPr>
          <w:rFonts w:hint="eastAsia" w:ascii="仿宋" w:hAnsi="仿宋" w:eastAsia="仿宋" w:cs="仿宋"/>
          <w:color w:val="auto"/>
        </w:rPr>
        <w:fldChar w:fldCharType="separate"/>
      </w:r>
      <w:r>
        <w:rPr>
          <w:rFonts w:hint="eastAsia" w:ascii="仿宋" w:hAnsi="仿宋" w:eastAsia="仿宋" w:cs="仿宋"/>
          <w:color w:val="auto"/>
        </w:rPr>
        <w:t>29</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4"/>
        <w:keepNext w:val="0"/>
        <w:keepLines w:val="0"/>
        <w:widowControl w:val="0"/>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_Toc21804 </w:instrText>
      </w:r>
      <w:r>
        <w:rPr>
          <w:rFonts w:hint="eastAsia" w:ascii="仿宋" w:hAnsi="仿宋" w:eastAsia="仿宋" w:cs="仿宋"/>
          <w:color w:val="auto"/>
          <w:szCs w:val="21"/>
        </w:rPr>
        <w:fldChar w:fldCharType="separate"/>
      </w:r>
      <w:r>
        <w:rPr>
          <w:rFonts w:hint="eastAsia" w:ascii="仿宋" w:hAnsi="仿宋" w:eastAsia="仿宋" w:cs="仿宋"/>
          <w:bCs/>
          <w:color w:val="auto"/>
          <w:szCs w:val="24"/>
          <w:lang w:val="zh-CN"/>
        </w:rPr>
        <w:t>（二）投诉</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_Toc21804 \h </w:instrText>
      </w:r>
      <w:r>
        <w:rPr>
          <w:rFonts w:hint="eastAsia" w:ascii="仿宋" w:hAnsi="仿宋" w:eastAsia="仿宋" w:cs="仿宋"/>
          <w:color w:val="auto"/>
        </w:rPr>
        <w:fldChar w:fldCharType="separate"/>
      </w:r>
      <w:r>
        <w:rPr>
          <w:rFonts w:hint="eastAsia" w:ascii="仿宋" w:hAnsi="仿宋" w:eastAsia="仿宋" w:cs="仿宋"/>
          <w:color w:val="auto"/>
        </w:rPr>
        <w:t>30</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8"/>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_Toc11468 </w:instrText>
      </w:r>
      <w:r>
        <w:rPr>
          <w:rFonts w:hint="eastAsia" w:ascii="仿宋" w:hAnsi="仿宋" w:eastAsia="仿宋" w:cs="仿宋"/>
          <w:color w:val="auto"/>
          <w:szCs w:val="21"/>
        </w:rPr>
        <w:fldChar w:fldCharType="separate"/>
      </w:r>
      <w:r>
        <w:rPr>
          <w:rFonts w:hint="eastAsia" w:ascii="仿宋" w:hAnsi="仿宋" w:eastAsia="仿宋" w:cs="仿宋"/>
          <w:color w:val="auto"/>
          <w:szCs w:val="32"/>
        </w:rPr>
        <w:t xml:space="preserve">第三部分  </w:t>
      </w:r>
      <w:r>
        <w:rPr>
          <w:rFonts w:hint="eastAsia" w:ascii="仿宋" w:hAnsi="仿宋" w:eastAsia="仿宋" w:cs="仿宋"/>
          <w:color w:val="auto"/>
          <w:szCs w:val="32"/>
          <w:lang w:val="zh-CN"/>
        </w:rPr>
        <w:t>招标内容及要求</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_Toc11468 \h </w:instrText>
      </w:r>
      <w:r>
        <w:rPr>
          <w:rFonts w:hint="eastAsia" w:ascii="仿宋" w:hAnsi="仿宋" w:eastAsia="仿宋" w:cs="仿宋"/>
          <w:color w:val="auto"/>
        </w:rPr>
        <w:fldChar w:fldCharType="separate"/>
      </w:r>
      <w:r>
        <w:rPr>
          <w:rFonts w:hint="eastAsia" w:ascii="仿宋" w:hAnsi="仿宋" w:eastAsia="仿宋" w:cs="仿宋"/>
          <w:color w:val="auto"/>
        </w:rPr>
        <w:t>31</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_Toc13986 </w:instrText>
      </w:r>
      <w:r>
        <w:rPr>
          <w:rFonts w:hint="eastAsia" w:ascii="仿宋" w:hAnsi="仿宋" w:eastAsia="仿宋" w:cs="仿宋"/>
          <w:color w:val="auto"/>
          <w:szCs w:val="21"/>
        </w:rPr>
        <w:fldChar w:fldCharType="separate"/>
      </w:r>
      <w:r>
        <w:rPr>
          <w:rFonts w:hint="eastAsia" w:ascii="仿宋" w:hAnsi="仿宋" w:eastAsia="仿宋" w:cs="仿宋"/>
          <w:color w:val="auto"/>
          <w:szCs w:val="24"/>
        </w:rPr>
        <w:t>一、智慧黑板</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_Toc13986 \h </w:instrText>
      </w:r>
      <w:r>
        <w:rPr>
          <w:rFonts w:hint="eastAsia" w:ascii="仿宋" w:hAnsi="仿宋" w:eastAsia="仿宋" w:cs="仿宋"/>
          <w:color w:val="auto"/>
        </w:rPr>
        <w:fldChar w:fldCharType="separate"/>
      </w:r>
      <w:r>
        <w:rPr>
          <w:rFonts w:hint="eastAsia" w:ascii="仿宋" w:hAnsi="仿宋" w:eastAsia="仿宋" w:cs="仿宋"/>
          <w:color w:val="auto"/>
        </w:rPr>
        <w:t>31</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_Toc1393 </w:instrText>
      </w:r>
      <w:r>
        <w:rPr>
          <w:rFonts w:hint="eastAsia" w:ascii="仿宋" w:hAnsi="仿宋" w:eastAsia="仿宋" w:cs="仿宋"/>
          <w:color w:val="auto"/>
          <w:szCs w:val="21"/>
        </w:rPr>
        <w:fldChar w:fldCharType="separate"/>
      </w:r>
      <w:r>
        <w:rPr>
          <w:rFonts w:hint="eastAsia" w:ascii="仿宋" w:hAnsi="仿宋" w:eastAsia="仿宋" w:cs="仿宋"/>
          <w:color w:val="auto"/>
          <w:szCs w:val="24"/>
        </w:rPr>
        <w:t>二、98寸交互式移动一体机</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_Toc1393 \h </w:instrText>
      </w:r>
      <w:r>
        <w:rPr>
          <w:rFonts w:hint="eastAsia" w:ascii="仿宋" w:hAnsi="仿宋" w:eastAsia="仿宋" w:cs="仿宋"/>
          <w:color w:val="auto"/>
        </w:rPr>
        <w:fldChar w:fldCharType="separate"/>
      </w:r>
      <w:r>
        <w:rPr>
          <w:rFonts w:hint="eastAsia" w:ascii="仿宋" w:hAnsi="仿宋" w:eastAsia="仿宋" w:cs="仿宋"/>
          <w:color w:val="auto"/>
        </w:rPr>
        <w:t>38</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_Toc14528 </w:instrText>
      </w:r>
      <w:r>
        <w:rPr>
          <w:rFonts w:hint="eastAsia" w:ascii="仿宋" w:hAnsi="仿宋" w:eastAsia="仿宋" w:cs="仿宋"/>
          <w:color w:val="auto"/>
          <w:szCs w:val="21"/>
        </w:rPr>
        <w:fldChar w:fldCharType="separate"/>
      </w:r>
      <w:r>
        <w:rPr>
          <w:rFonts w:hint="eastAsia" w:ascii="仿宋" w:hAnsi="仿宋" w:eastAsia="仿宋" w:cs="仿宋"/>
          <w:color w:val="auto"/>
          <w:szCs w:val="24"/>
        </w:rPr>
        <w:t>三、电子班牌</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_Toc14528 \h </w:instrText>
      </w:r>
      <w:r>
        <w:rPr>
          <w:rFonts w:hint="eastAsia" w:ascii="仿宋" w:hAnsi="仿宋" w:eastAsia="仿宋" w:cs="仿宋"/>
          <w:color w:val="auto"/>
        </w:rPr>
        <w:fldChar w:fldCharType="separate"/>
      </w:r>
      <w:r>
        <w:rPr>
          <w:rFonts w:hint="eastAsia" w:ascii="仿宋" w:hAnsi="仿宋" w:eastAsia="仿宋" w:cs="仿宋"/>
          <w:color w:val="auto"/>
        </w:rPr>
        <w:t>43</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_Toc20880 </w:instrText>
      </w:r>
      <w:r>
        <w:rPr>
          <w:rFonts w:hint="eastAsia" w:ascii="仿宋" w:hAnsi="仿宋" w:eastAsia="仿宋" w:cs="仿宋"/>
          <w:color w:val="auto"/>
          <w:szCs w:val="21"/>
        </w:rPr>
        <w:fldChar w:fldCharType="separate"/>
      </w:r>
      <w:r>
        <w:rPr>
          <w:rFonts w:hint="eastAsia" w:ascii="仿宋" w:hAnsi="仿宋" w:eastAsia="仿宋" w:cs="仿宋"/>
          <w:color w:val="auto"/>
          <w:szCs w:val="24"/>
        </w:rPr>
        <w:t>四、测温安检门</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_Toc20880 \h </w:instrText>
      </w:r>
      <w:r>
        <w:rPr>
          <w:rFonts w:hint="eastAsia" w:ascii="仿宋" w:hAnsi="仿宋" w:eastAsia="仿宋" w:cs="仿宋"/>
          <w:color w:val="auto"/>
        </w:rPr>
        <w:fldChar w:fldCharType="separate"/>
      </w:r>
      <w:r>
        <w:rPr>
          <w:rFonts w:hint="eastAsia" w:ascii="仿宋" w:hAnsi="仿宋" w:eastAsia="仿宋" w:cs="仿宋"/>
          <w:color w:val="auto"/>
        </w:rPr>
        <w:t>44</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_Toc19965 </w:instrText>
      </w:r>
      <w:r>
        <w:rPr>
          <w:rFonts w:hint="eastAsia" w:ascii="仿宋" w:hAnsi="仿宋" w:eastAsia="仿宋" w:cs="仿宋"/>
          <w:color w:val="auto"/>
          <w:szCs w:val="21"/>
        </w:rPr>
        <w:fldChar w:fldCharType="separate"/>
      </w:r>
      <w:r>
        <w:rPr>
          <w:rFonts w:hint="eastAsia" w:ascii="仿宋" w:hAnsi="仿宋" w:eastAsia="仿宋" w:cs="仿宋"/>
          <w:color w:val="auto"/>
          <w:szCs w:val="24"/>
        </w:rPr>
        <w:t>五、电子屏</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_Toc19965 \h </w:instrText>
      </w:r>
      <w:r>
        <w:rPr>
          <w:rFonts w:hint="eastAsia" w:ascii="仿宋" w:hAnsi="仿宋" w:eastAsia="仿宋" w:cs="仿宋"/>
          <w:color w:val="auto"/>
        </w:rPr>
        <w:fldChar w:fldCharType="separate"/>
      </w:r>
      <w:r>
        <w:rPr>
          <w:rFonts w:hint="eastAsia" w:ascii="仿宋" w:hAnsi="仿宋" w:eastAsia="仿宋" w:cs="仿宋"/>
          <w:color w:val="auto"/>
        </w:rPr>
        <w:t>46</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_Toc18555 </w:instrText>
      </w:r>
      <w:r>
        <w:rPr>
          <w:rFonts w:hint="eastAsia" w:ascii="仿宋" w:hAnsi="仿宋" w:eastAsia="仿宋" w:cs="仿宋"/>
          <w:color w:val="auto"/>
          <w:szCs w:val="21"/>
        </w:rPr>
        <w:fldChar w:fldCharType="separate"/>
      </w:r>
      <w:r>
        <w:rPr>
          <w:rFonts w:hint="eastAsia" w:ascii="仿宋" w:hAnsi="仿宋" w:eastAsia="仿宋" w:cs="仿宋"/>
          <w:color w:val="auto"/>
          <w:szCs w:val="24"/>
        </w:rPr>
        <w:t>六、运动场电子屏</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_Toc18555 \h </w:instrText>
      </w:r>
      <w:r>
        <w:rPr>
          <w:rFonts w:hint="eastAsia" w:ascii="仿宋" w:hAnsi="仿宋" w:eastAsia="仿宋" w:cs="仿宋"/>
          <w:color w:val="auto"/>
        </w:rPr>
        <w:fldChar w:fldCharType="separate"/>
      </w:r>
      <w:r>
        <w:rPr>
          <w:rFonts w:hint="eastAsia" w:ascii="仿宋" w:hAnsi="仿宋" w:eastAsia="仿宋" w:cs="仿宋"/>
          <w:color w:val="auto"/>
        </w:rPr>
        <w:t>52</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8"/>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_Toc6781 </w:instrText>
      </w:r>
      <w:r>
        <w:rPr>
          <w:rFonts w:hint="eastAsia" w:ascii="仿宋" w:hAnsi="仿宋" w:eastAsia="仿宋" w:cs="仿宋"/>
          <w:color w:val="auto"/>
          <w:szCs w:val="21"/>
        </w:rPr>
        <w:fldChar w:fldCharType="separate"/>
      </w:r>
      <w:r>
        <w:rPr>
          <w:rFonts w:hint="eastAsia" w:ascii="仿宋" w:hAnsi="仿宋" w:eastAsia="仿宋" w:cs="仿宋"/>
          <w:color w:val="auto"/>
          <w:szCs w:val="32"/>
        </w:rPr>
        <w:t xml:space="preserve">第四部分  </w:t>
      </w:r>
      <w:r>
        <w:rPr>
          <w:rFonts w:hint="eastAsia" w:ascii="仿宋" w:hAnsi="仿宋" w:eastAsia="仿宋" w:cs="仿宋"/>
          <w:color w:val="auto"/>
          <w:szCs w:val="32"/>
          <w:lang w:val="zh-CN"/>
        </w:rPr>
        <w:t>合同条款及格式</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_Toc6781 \h </w:instrText>
      </w:r>
      <w:r>
        <w:rPr>
          <w:rFonts w:hint="eastAsia" w:ascii="仿宋" w:hAnsi="仿宋" w:eastAsia="仿宋" w:cs="仿宋"/>
          <w:color w:val="auto"/>
        </w:rPr>
        <w:fldChar w:fldCharType="separate"/>
      </w:r>
      <w:r>
        <w:rPr>
          <w:rFonts w:hint="eastAsia" w:ascii="仿宋" w:hAnsi="仿宋" w:eastAsia="仿宋" w:cs="仿宋"/>
          <w:color w:val="auto"/>
        </w:rPr>
        <w:t>58</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8"/>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_Toc6450 </w:instrText>
      </w:r>
      <w:r>
        <w:rPr>
          <w:rFonts w:hint="eastAsia" w:ascii="仿宋" w:hAnsi="仿宋" w:eastAsia="仿宋" w:cs="仿宋"/>
          <w:color w:val="auto"/>
          <w:szCs w:val="21"/>
        </w:rPr>
        <w:fldChar w:fldCharType="separate"/>
      </w:r>
      <w:r>
        <w:rPr>
          <w:rFonts w:hint="eastAsia" w:ascii="仿宋" w:hAnsi="仿宋" w:eastAsia="仿宋" w:cs="仿宋"/>
          <w:bCs/>
          <w:color w:val="auto"/>
          <w:szCs w:val="32"/>
          <w:lang w:val="zh-CN"/>
        </w:rPr>
        <w:t>第五部分</w:t>
      </w:r>
      <w:r>
        <w:rPr>
          <w:rFonts w:hint="eastAsia" w:ascii="仿宋" w:hAnsi="仿宋" w:eastAsia="仿宋" w:cs="仿宋"/>
          <w:bCs/>
          <w:color w:val="auto"/>
          <w:szCs w:val="32"/>
        </w:rPr>
        <w:t xml:space="preserve">  投标文件格式</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_Toc6450 \h </w:instrText>
      </w:r>
      <w:r>
        <w:rPr>
          <w:rFonts w:hint="eastAsia" w:ascii="仿宋" w:hAnsi="仿宋" w:eastAsia="仿宋" w:cs="仿宋"/>
          <w:color w:val="auto"/>
        </w:rPr>
        <w:fldChar w:fldCharType="separate"/>
      </w:r>
      <w:r>
        <w:rPr>
          <w:rFonts w:hint="eastAsia" w:ascii="仿宋" w:hAnsi="仿宋" w:eastAsia="仿宋" w:cs="仿宋"/>
          <w:color w:val="auto"/>
        </w:rPr>
        <w:t>62</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_Toc21332 </w:instrText>
      </w:r>
      <w:r>
        <w:rPr>
          <w:rFonts w:hint="eastAsia" w:ascii="仿宋" w:hAnsi="仿宋" w:eastAsia="仿宋" w:cs="仿宋"/>
          <w:color w:val="auto"/>
          <w:szCs w:val="21"/>
        </w:rPr>
        <w:fldChar w:fldCharType="separate"/>
      </w:r>
      <w:r>
        <w:rPr>
          <w:rFonts w:hint="eastAsia" w:ascii="仿宋" w:hAnsi="仿宋" w:eastAsia="仿宋" w:cs="仿宋"/>
          <w:bCs/>
          <w:color w:val="auto"/>
          <w:szCs w:val="15"/>
          <w:lang w:val="zh-CN"/>
        </w:rPr>
        <w:t>一、投标函</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_Toc21332 \h </w:instrText>
      </w:r>
      <w:r>
        <w:rPr>
          <w:rFonts w:hint="eastAsia" w:ascii="仿宋" w:hAnsi="仿宋" w:eastAsia="仿宋" w:cs="仿宋"/>
          <w:color w:val="auto"/>
        </w:rPr>
        <w:fldChar w:fldCharType="separate"/>
      </w:r>
      <w:r>
        <w:rPr>
          <w:rFonts w:hint="eastAsia" w:ascii="仿宋" w:hAnsi="仿宋" w:eastAsia="仿宋" w:cs="仿宋"/>
          <w:color w:val="auto"/>
        </w:rPr>
        <w:t>64</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_Toc1243 </w:instrText>
      </w:r>
      <w:r>
        <w:rPr>
          <w:rFonts w:hint="eastAsia" w:ascii="仿宋" w:hAnsi="仿宋" w:eastAsia="仿宋" w:cs="仿宋"/>
          <w:color w:val="auto"/>
          <w:szCs w:val="21"/>
        </w:rPr>
        <w:fldChar w:fldCharType="separate"/>
      </w:r>
      <w:r>
        <w:rPr>
          <w:rFonts w:hint="eastAsia" w:ascii="仿宋" w:hAnsi="仿宋" w:eastAsia="仿宋" w:cs="仿宋"/>
          <w:color w:val="auto"/>
          <w:szCs w:val="15"/>
          <w:lang w:val="zh-CN"/>
        </w:rPr>
        <w:t>二、开标一览表（唱标报告）</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_Toc1243 \h </w:instrText>
      </w:r>
      <w:r>
        <w:rPr>
          <w:rFonts w:hint="eastAsia" w:ascii="仿宋" w:hAnsi="仿宋" w:eastAsia="仿宋" w:cs="仿宋"/>
          <w:color w:val="auto"/>
        </w:rPr>
        <w:fldChar w:fldCharType="separate"/>
      </w:r>
      <w:r>
        <w:rPr>
          <w:rFonts w:hint="eastAsia" w:ascii="仿宋" w:hAnsi="仿宋" w:eastAsia="仿宋" w:cs="仿宋"/>
          <w:color w:val="auto"/>
        </w:rPr>
        <w:t>66</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_Toc19816 </w:instrText>
      </w:r>
      <w:r>
        <w:rPr>
          <w:rFonts w:hint="eastAsia" w:ascii="仿宋" w:hAnsi="仿宋" w:eastAsia="仿宋" w:cs="仿宋"/>
          <w:color w:val="auto"/>
          <w:szCs w:val="21"/>
        </w:rPr>
        <w:fldChar w:fldCharType="separate"/>
      </w:r>
      <w:r>
        <w:rPr>
          <w:rFonts w:hint="eastAsia" w:ascii="仿宋" w:hAnsi="仿宋" w:eastAsia="仿宋" w:cs="仿宋"/>
          <w:color w:val="auto"/>
          <w:szCs w:val="32"/>
        </w:rPr>
        <w:t>三、费用组成明细表</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_Toc19816 \h </w:instrText>
      </w:r>
      <w:r>
        <w:rPr>
          <w:rFonts w:hint="eastAsia" w:ascii="仿宋" w:hAnsi="仿宋" w:eastAsia="仿宋" w:cs="仿宋"/>
          <w:color w:val="auto"/>
        </w:rPr>
        <w:fldChar w:fldCharType="separate"/>
      </w:r>
      <w:r>
        <w:rPr>
          <w:rFonts w:hint="eastAsia" w:ascii="仿宋" w:hAnsi="仿宋" w:eastAsia="仿宋" w:cs="仿宋"/>
          <w:color w:val="auto"/>
        </w:rPr>
        <w:t>67</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_Toc1738 </w:instrText>
      </w:r>
      <w:r>
        <w:rPr>
          <w:rFonts w:hint="eastAsia" w:ascii="仿宋" w:hAnsi="仿宋" w:eastAsia="仿宋" w:cs="仿宋"/>
          <w:color w:val="auto"/>
          <w:szCs w:val="21"/>
        </w:rPr>
        <w:fldChar w:fldCharType="separate"/>
      </w:r>
      <w:r>
        <w:rPr>
          <w:rFonts w:hint="eastAsia" w:ascii="仿宋" w:hAnsi="仿宋" w:eastAsia="仿宋" w:cs="仿宋"/>
          <w:color w:val="auto"/>
          <w:szCs w:val="32"/>
          <w:lang w:val="zh-CN"/>
        </w:rPr>
        <w:t>四、供应商资格证明文件</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_Toc1738 \h </w:instrText>
      </w:r>
      <w:r>
        <w:rPr>
          <w:rFonts w:hint="eastAsia" w:ascii="仿宋" w:hAnsi="仿宋" w:eastAsia="仿宋" w:cs="仿宋"/>
          <w:color w:val="auto"/>
        </w:rPr>
        <w:fldChar w:fldCharType="separate"/>
      </w:r>
      <w:r>
        <w:rPr>
          <w:rFonts w:hint="eastAsia" w:ascii="仿宋" w:hAnsi="仿宋" w:eastAsia="仿宋" w:cs="仿宋"/>
          <w:color w:val="auto"/>
        </w:rPr>
        <w:t>68</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_Toc7029 </w:instrText>
      </w:r>
      <w:r>
        <w:rPr>
          <w:rFonts w:hint="eastAsia" w:ascii="仿宋" w:hAnsi="仿宋" w:eastAsia="仿宋" w:cs="仿宋"/>
          <w:color w:val="auto"/>
          <w:szCs w:val="21"/>
        </w:rPr>
        <w:fldChar w:fldCharType="separate"/>
      </w:r>
      <w:r>
        <w:rPr>
          <w:rFonts w:hint="eastAsia" w:ascii="仿宋" w:hAnsi="仿宋" w:eastAsia="仿宋" w:cs="仿宋"/>
          <w:color w:val="auto"/>
          <w:szCs w:val="32"/>
          <w:lang w:val="zh-CN"/>
        </w:rPr>
        <w:t>五、合同主要条款偏离表</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_Toc7029 \h </w:instrText>
      </w:r>
      <w:r>
        <w:rPr>
          <w:rFonts w:hint="eastAsia" w:ascii="仿宋" w:hAnsi="仿宋" w:eastAsia="仿宋" w:cs="仿宋"/>
          <w:color w:val="auto"/>
        </w:rPr>
        <w:fldChar w:fldCharType="separate"/>
      </w:r>
      <w:r>
        <w:rPr>
          <w:rFonts w:hint="eastAsia" w:ascii="仿宋" w:hAnsi="仿宋" w:eastAsia="仿宋" w:cs="仿宋"/>
          <w:color w:val="auto"/>
        </w:rPr>
        <w:t>81</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_Toc19955 </w:instrText>
      </w:r>
      <w:r>
        <w:rPr>
          <w:rFonts w:hint="eastAsia" w:ascii="仿宋" w:hAnsi="仿宋" w:eastAsia="仿宋" w:cs="仿宋"/>
          <w:color w:val="auto"/>
          <w:szCs w:val="21"/>
        </w:rPr>
        <w:fldChar w:fldCharType="separate"/>
      </w:r>
      <w:r>
        <w:rPr>
          <w:rFonts w:hint="eastAsia" w:ascii="仿宋" w:hAnsi="仿宋" w:eastAsia="仿宋" w:cs="仿宋"/>
          <w:color w:val="auto"/>
          <w:szCs w:val="21"/>
        </w:rPr>
        <w:t>六、节能环保、环境标志产品明细表（若有）</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_Toc19955 \h </w:instrText>
      </w:r>
      <w:r>
        <w:rPr>
          <w:rFonts w:hint="eastAsia" w:ascii="仿宋" w:hAnsi="仿宋" w:eastAsia="仿宋" w:cs="仿宋"/>
          <w:color w:val="auto"/>
        </w:rPr>
        <w:fldChar w:fldCharType="separate"/>
      </w:r>
      <w:r>
        <w:rPr>
          <w:rFonts w:hint="eastAsia" w:ascii="仿宋" w:hAnsi="仿宋" w:eastAsia="仿宋" w:cs="仿宋"/>
          <w:color w:val="auto"/>
        </w:rPr>
        <w:t>82</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_Toc3112 </w:instrText>
      </w:r>
      <w:r>
        <w:rPr>
          <w:rFonts w:hint="eastAsia" w:ascii="仿宋" w:hAnsi="仿宋" w:eastAsia="仿宋" w:cs="仿宋"/>
          <w:color w:val="auto"/>
          <w:szCs w:val="21"/>
        </w:rPr>
        <w:fldChar w:fldCharType="separate"/>
      </w:r>
      <w:r>
        <w:rPr>
          <w:rFonts w:hint="eastAsia" w:ascii="仿宋" w:hAnsi="仿宋" w:eastAsia="仿宋" w:cs="仿宋"/>
          <w:color w:val="auto"/>
          <w:szCs w:val="21"/>
        </w:rPr>
        <w:t>七</w:t>
      </w:r>
      <w:r>
        <w:rPr>
          <w:rFonts w:hint="eastAsia" w:ascii="仿宋" w:hAnsi="仿宋" w:eastAsia="仿宋" w:cs="仿宋"/>
          <w:color w:val="auto"/>
          <w:szCs w:val="21"/>
          <w:lang w:val="zh-CN"/>
        </w:rPr>
        <w:t>、技术规格偏离表</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_Toc3112 \h </w:instrText>
      </w:r>
      <w:r>
        <w:rPr>
          <w:rFonts w:hint="eastAsia" w:ascii="仿宋" w:hAnsi="仿宋" w:eastAsia="仿宋" w:cs="仿宋"/>
          <w:color w:val="auto"/>
        </w:rPr>
        <w:fldChar w:fldCharType="separate"/>
      </w:r>
      <w:r>
        <w:rPr>
          <w:rFonts w:hint="eastAsia" w:ascii="仿宋" w:hAnsi="仿宋" w:eastAsia="仿宋" w:cs="仿宋"/>
          <w:color w:val="auto"/>
        </w:rPr>
        <w:t>83</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_Toc6892 </w:instrText>
      </w:r>
      <w:r>
        <w:rPr>
          <w:rFonts w:hint="eastAsia" w:ascii="仿宋" w:hAnsi="仿宋" w:eastAsia="仿宋" w:cs="仿宋"/>
          <w:color w:val="auto"/>
          <w:szCs w:val="21"/>
        </w:rPr>
        <w:fldChar w:fldCharType="separate"/>
      </w:r>
      <w:r>
        <w:rPr>
          <w:rFonts w:hint="eastAsia" w:ascii="仿宋" w:hAnsi="仿宋" w:eastAsia="仿宋" w:cs="仿宋"/>
          <w:color w:val="auto"/>
          <w:szCs w:val="21"/>
        </w:rPr>
        <w:t>八、实施方案</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_Toc6892 \h </w:instrText>
      </w:r>
      <w:r>
        <w:rPr>
          <w:rFonts w:hint="eastAsia" w:ascii="仿宋" w:hAnsi="仿宋" w:eastAsia="仿宋" w:cs="仿宋"/>
          <w:color w:val="auto"/>
        </w:rPr>
        <w:fldChar w:fldCharType="separate"/>
      </w:r>
      <w:r>
        <w:rPr>
          <w:rFonts w:hint="eastAsia" w:ascii="仿宋" w:hAnsi="仿宋" w:eastAsia="仿宋" w:cs="仿宋"/>
          <w:color w:val="auto"/>
        </w:rPr>
        <w:t>84</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_Toc29486 </w:instrText>
      </w:r>
      <w:r>
        <w:rPr>
          <w:rFonts w:hint="eastAsia" w:ascii="仿宋" w:hAnsi="仿宋" w:eastAsia="仿宋" w:cs="仿宋"/>
          <w:color w:val="auto"/>
          <w:szCs w:val="21"/>
        </w:rPr>
        <w:fldChar w:fldCharType="separate"/>
      </w:r>
      <w:r>
        <w:rPr>
          <w:rFonts w:hint="eastAsia" w:ascii="仿宋" w:hAnsi="仿宋" w:eastAsia="仿宋" w:cs="仿宋"/>
          <w:color w:val="auto"/>
          <w:szCs w:val="21"/>
        </w:rPr>
        <w:t>九、质量保证</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_Toc29486 \h </w:instrText>
      </w:r>
      <w:r>
        <w:rPr>
          <w:rFonts w:hint="eastAsia" w:ascii="仿宋" w:hAnsi="仿宋" w:eastAsia="仿宋" w:cs="仿宋"/>
          <w:color w:val="auto"/>
        </w:rPr>
        <w:fldChar w:fldCharType="separate"/>
      </w:r>
      <w:r>
        <w:rPr>
          <w:rFonts w:hint="eastAsia" w:ascii="仿宋" w:hAnsi="仿宋" w:eastAsia="仿宋" w:cs="仿宋"/>
          <w:color w:val="auto"/>
        </w:rPr>
        <w:t>85</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_Toc31402 </w:instrText>
      </w:r>
      <w:r>
        <w:rPr>
          <w:rFonts w:hint="eastAsia" w:ascii="仿宋" w:hAnsi="仿宋" w:eastAsia="仿宋" w:cs="仿宋"/>
          <w:color w:val="auto"/>
          <w:szCs w:val="21"/>
        </w:rPr>
        <w:fldChar w:fldCharType="separate"/>
      </w:r>
      <w:r>
        <w:rPr>
          <w:rFonts w:hint="eastAsia" w:ascii="仿宋" w:hAnsi="仿宋" w:eastAsia="仿宋" w:cs="仿宋"/>
          <w:color w:val="auto"/>
          <w:szCs w:val="21"/>
        </w:rPr>
        <w:t>十、售后服务</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_Toc31402 \h </w:instrText>
      </w:r>
      <w:r>
        <w:rPr>
          <w:rFonts w:hint="eastAsia" w:ascii="仿宋" w:hAnsi="仿宋" w:eastAsia="仿宋" w:cs="仿宋"/>
          <w:color w:val="auto"/>
        </w:rPr>
        <w:fldChar w:fldCharType="separate"/>
      </w:r>
      <w:r>
        <w:rPr>
          <w:rFonts w:hint="eastAsia" w:ascii="仿宋" w:hAnsi="仿宋" w:eastAsia="仿宋" w:cs="仿宋"/>
          <w:color w:val="auto"/>
        </w:rPr>
        <w:t>86</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_Toc6556 </w:instrText>
      </w:r>
      <w:r>
        <w:rPr>
          <w:rFonts w:hint="eastAsia" w:ascii="仿宋" w:hAnsi="仿宋" w:eastAsia="仿宋" w:cs="仿宋"/>
          <w:color w:val="auto"/>
          <w:szCs w:val="21"/>
        </w:rPr>
        <w:fldChar w:fldCharType="separate"/>
      </w:r>
      <w:r>
        <w:rPr>
          <w:rFonts w:hint="eastAsia" w:ascii="仿宋" w:hAnsi="仿宋" w:eastAsia="仿宋" w:cs="仿宋"/>
          <w:color w:val="auto"/>
          <w:szCs w:val="32"/>
        </w:rPr>
        <w:t>十一、近年业绩的有关证明材料</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_Toc6556 \h </w:instrText>
      </w:r>
      <w:r>
        <w:rPr>
          <w:rFonts w:hint="eastAsia" w:ascii="仿宋" w:hAnsi="仿宋" w:eastAsia="仿宋" w:cs="仿宋"/>
          <w:color w:val="auto"/>
        </w:rPr>
        <w:fldChar w:fldCharType="separate"/>
      </w:r>
      <w:r>
        <w:rPr>
          <w:rFonts w:hint="eastAsia" w:ascii="仿宋" w:hAnsi="仿宋" w:eastAsia="仿宋" w:cs="仿宋"/>
          <w:color w:val="auto"/>
        </w:rPr>
        <w:t>87</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_Toc10760 </w:instrText>
      </w:r>
      <w:r>
        <w:rPr>
          <w:rFonts w:hint="eastAsia" w:ascii="仿宋" w:hAnsi="仿宋" w:eastAsia="仿宋" w:cs="仿宋"/>
          <w:color w:val="auto"/>
          <w:szCs w:val="21"/>
        </w:rPr>
        <w:fldChar w:fldCharType="separate"/>
      </w:r>
      <w:r>
        <w:rPr>
          <w:rFonts w:hint="eastAsia" w:ascii="仿宋" w:hAnsi="仿宋" w:eastAsia="仿宋" w:cs="仿宋"/>
          <w:color w:val="auto"/>
        </w:rPr>
        <w:t>十二</w:t>
      </w:r>
      <w:r>
        <w:rPr>
          <w:rFonts w:hint="eastAsia" w:ascii="仿宋" w:hAnsi="仿宋" w:eastAsia="仿宋" w:cs="仿宋"/>
          <w:color w:val="auto"/>
          <w:szCs w:val="32"/>
        </w:rPr>
        <w:t>、供应商企业关系关联承诺书</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_Toc10760 \h </w:instrText>
      </w:r>
      <w:r>
        <w:rPr>
          <w:rFonts w:hint="eastAsia" w:ascii="仿宋" w:hAnsi="仿宋" w:eastAsia="仿宋" w:cs="仿宋"/>
          <w:color w:val="auto"/>
        </w:rPr>
        <w:fldChar w:fldCharType="separate"/>
      </w:r>
      <w:r>
        <w:rPr>
          <w:rFonts w:hint="eastAsia" w:ascii="仿宋" w:hAnsi="仿宋" w:eastAsia="仿宋" w:cs="仿宋"/>
          <w:color w:val="auto"/>
        </w:rPr>
        <w:t>88</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_Toc18606 </w:instrText>
      </w:r>
      <w:r>
        <w:rPr>
          <w:rFonts w:hint="eastAsia" w:ascii="仿宋" w:hAnsi="仿宋" w:eastAsia="仿宋" w:cs="仿宋"/>
          <w:color w:val="auto"/>
          <w:szCs w:val="21"/>
        </w:rPr>
        <w:fldChar w:fldCharType="separate"/>
      </w:r>
      <w:r>
        <w:rPr>
          <w:rFonts w:hint="eastAsia" w:ascii="仿宋" w:hAnsi="仿宋" w:eastAsia="仿宋" w:cs="仿宋"/>
          <w:color w:val="auto"/>
          <w:kern w:val="0"/>
          <w:szCs w:val="24"/>
          <w:lang w:val="zh-CN"/>
        </w:rPr>
        <w:t>十</w:t>
      </w:r>
      <w:r>
        <w:rPr>
          <w:rFonts w:hint="eastAsia" w:ascii="仿宋" w:hAnsi="仿宋" w:eastAsia="仿宋" w:cs="仿宋"/>
          <w:color w:val="auto"/>
          <w:kern w:val="0"/>
          <w:szCs w:val="24"/>
        </w:rPr>
        <w:t>三</w:t>
      </w:r>
      <w:r>
        <w:rPr>
          <w:rFonts w:hint="eastAsia" w:ascii="仿宋" w:hAnsi="仿宋" w:eastAsia="仿宋" w:cs="仿宋"/>
          <w:color w:val="auto"/>
          <w:kern w:val="0"/>
          <w:szCs w:val="24"/>
          <w:lang w:val="zh-CN"/>
        </w:rPr>
        <w:t>、供应商廉洁自律承诺书</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_Toc18606 \h </w:instrText>
      </w:r>
      <w:r>
        <w:rPr>
          <w:rFonts w:hint="eastAsia" w:ascii="仿宋" w:hAnsi="仿宋" w:eastAsia="仿宋" w:cs="仿宋"/>
          <w:color w:val="auto"/>
        </w:rPr>
        <w:fldChar w:fldCharType="separate"/>
      </w:r>
      <w:r>
        <w:rPr>
          <w:rFonts w:hint="eastAsia" w:ascii="仿宋" w:hAnsi="仿宋" w:eastAsia="仿宋" w:cs="仿宋"/>
          <w:color w:val="auto"/>
        </w:rPr>
        <w:t>89</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pStyle w:val="19"/>
        <w:keepNext w:val="0"/>
        <w:keepLines w:val="0"/>
        <w:widowControl w:val="0"/>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color w:val="auto"/>
          <w:szCs w:val="21"/>
        </w:rPr>
        <w:instrText xml:space="preserve"> HYPERLINK \l _Toc30190 </w:instrText>
      </w:r>
      <w:r>
        <w:rPr>
          <w:rFonts w:hint="eastAsia" w:ascii="仿宋" w:hAnsi="仿宋" w:eastAsia="仿宋" w:cs="仿宋"/>
          <w:color w:val="auto"/>
          <w:szCs w:val="21"/>
        </w:rPr>
        <w:fldChar w:fldCharType="separate"/>
      </w:r>
      <w:r>
        <w:rPr>
          <w:rFonts w:hint="eastAsia" w:ascii="仿宋" w:hAnsi="仿宋" w:eastAsia="仿宋" w:cs="仿宋"/>
          <w:color w:val="auto"/>
          <w:szCs w:val="21"/>
        </w:rPr>
        <w:t>十四</w:t>
      </w:r>
      <w:r>
        <w:rPr>
          <w:rFonts w:hint="eastAsia" w:ascii="仿宋" w:hAnsi="仿宋" w:eastAsia="仿宋" w:cs="仿宋"/>
          <w:color w:val="auto"/>
          <w:szCs w:val="24"/>
          <w:lang w:val="zh-CN"/>
        </w:rPr>
        <w:t>、供应商认为有必要补充说明的事项</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_Toc30190 \h </w:instrText>
      </w:r>
      <w:r>
        <w:rPr>
          <w:rFonts w:hint="eastAsia" w:ascii="仿宋" w:hAnsi="仿宋" w:eastAsia="仿宋" w:cs="仿宋"/>
          <w:color w:val="auto"/>
        </w:rPr>
        <w:fldChar w:fldCharType="separate"/>
      </w:r>
      <w:r>
        <w:rPr>
          <w:rFonts w:hint="eastAsia" w:ascii="仿宋" w:hAnsi="仿宋" w:eastAsia="仿宋" w:cs="仿宋"/>
          <w:color w:val="auto"/>
        </w:rPr>
        <w:t>90</w:t>
      </w:r>
      <w:r>
        <w:rPr>
          <w:rFonts w:hint="eastAsia" w:ascii="仿宋" w:hAnsi="仿宋" w:eastAsia="仿宋" w:cs="仿宋"/>
          <w:color w:val="auto"/>
        </w:rPr>
        <w:fldChar w:fldCharType="end"/>
      </w:r>
      <w:r>
        <w:rPr>
          <w:rFonts w:hint="eastAsia" w:ascii="仿宋" w:hAnsi="仿宋" w:eastAsia="仿宋" w:cs="仿宋"/>
          <w:color w:val="auto"/>
          <w:szCs w:val="21"/>
        </w:rPr>
        <w:fldChar w:fldCharType="end"/>
      </w:r>
    </w:p>
    <w:p>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0"/>
        <w:rPr>
          <w:rFonts w:hint="eastAsia" w:ascii="仿宋" w:hAnsi="仿宋" w:eastAsia="仿宋" w:cs="仿宋"/>
          <w:b/>
          <w:color w:val="auto"/>
          <w:kern w:val="0"/>
          <w:sz w:val="32"/>
          <w:szCs w:val="32"/>
          <w:highlight w:val="none"/>
          <w:lang w:val="zh-CN" w:eastAsia="zh-CN" w:bidi="ar-SA"/>
        </w:rPr>
      </w:pPr>
      <w:r>
        <w:rPr>
          <w:rFonts w:hint="eastAsia" w:ascii="仿宋" w:hAnsi="仿宋" w:eastAsia="仿宋" w:cs="仿宋"/>
          <w:color w:val="auto"/>
          <w:szCs w:val="21"/>
        </w:rPr>
        <w:fldChar w:fldCharType="end"/>
      </w:r>
      <w:bookmarkEnd w:id="0"/>
      <w:bookmarkEnd w:id="1"/>
      <w:bookmarkEnd w:id="2"/>
      <w:bookmarkEnd w:id="3"/>
      <w:bookmarkEnd w:id="4"/>
      <w:bookmarkEnd w:id="5"/>
      <w:bookmarkEnd w:id="6"/>
      <w:bookmarkEnd w:id="7"/>
      <w:bookmarkStart w:id="8" w:name="_Toc1769"/>
      <w:bookmarkStart w:id="9" w:name="_Toc622"/>
      <w:bookmarkStart w:id="10" w:name="_Toc3130"/>
      <w:bookmarkStart w:id="11" w:name="_Toc26858"/>
      <w:bookmarkStart w:id="12" w:name="_Toc8779"/>
      <w:bookmarkStart w:id="13" w:name="_Toc31912"/>
      <w:bookmarkStart w:id="14" w:name="_Toc29439"/>
      <w:bookmarkStart w:id="15" w:name="_Toc28753"/>
      <w:bookmarkStart w:id="16" w:name="_Toc24650"/>
      <w:bookmarkStart w:id="17" w:name="_Toc475451544"/>
      <w:r>
        <w:rPr>
          <w:rFonts w:hint="eastAsia" w:ascii="仿宋" w:hAnsi="仿宋" w:eastAsia="仿宋" w:cs="仿宋"/>
          <w:b/>
          <w:color w:val="auto"/>
          <w:kern w:val="0"/>
          <w:sz w:val="32"/>
          <w:szCs w:val="32"/>
          <w:highlight w:val="none"/>
          <w:lang w:val="zh-CN" w:eastAsia="zh-CN" w:bidi="ar-SA"/>
        </w:rPr>
        <w:t>第一部分  招标公告</w:t>
      </w:r>
      <w:bookmarkEnd w:id="8"/>
      <w:bookmarkEnd w:id="9"/>
    </w:p>
    <w:p>
      <w:pPr>
        <w:numPr>
          <w:ilvl w:val="0"/>
          <w:numId w:val="0"/>
        </w:numP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项目概况</w:t>
      </w:r>
    </w:p>
    <w:p>
      <w:pPr>
        <w:keepNext w:val="0"/>
        <w:keepLines w:val="0"/>
        <w:pageBreakBefore w:val="0"/>
        <w:numPr>
          <w:ilvl w:val="0"/>
          <w:numId w:val="0"/>
        </w:numPr>
        <w:kinsoku/>
        <w:wordWrap/>
        <w:overflowPunct/>
        <w:topLinePunct w:val="0"/>
        <w:bidi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灞桥区2021年新增教育建设奖补资金--五星中学设备采购项目潜在的投标人</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lang w:eastAsia="zh-CN"/>
        </w:rPr>
        <w:t>在西安经济技术开发区凤城十一路与文景路十字文景商务广场B座8层获取</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文件，并于202</w:t>
      </w:r>
      <w:r>
        <w:rPr>
          <w:rFonts w:hint="eastAsia" w:ascii="仿宋" w:hAnsi="仿宋" w:eastAsia="仿宋" w:cs="仿宋"/>
          <w:color w:val="auto"/>
          <w:sz w:val="24"/>
          <w:szCs w:val="24"/>
          <w:highlight w:val="none"/>
          <w:lang w:val="en-US" w:eastAsia="zh-CN"/>
        </w:rPr>
        <w:t>2年8月13日 09</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lang w:eastAsia="zh-CN"/>
        </w:rPr>
        <w:t>:00（</w:t>
      </w:r>
      <w:r>
        <w:rPr>
          <w:rFonts w:hint="eastAsia" w:ascii="仿宋" w:hAnsi="仿宋" w:eastAsia="仿宋" w:cs="仿宋"/>
          <w:color w:val="auto"/>
          <w:sz w:val="24"/>
          <w:szCs w:val="24"/>
          <w:highlight w:val="none"/>
          <w:lang w:val="en-US" w:eastAsia="zh-CN"/>
        </w:rPr>
        <w:t>北京时间）</w:t>
      </w:r>
      <w:r>
        <w:rPr>
          <w:rFonts w:hint="eastAsia" w:ascii="仿宋" w:hAnsi="仿宋" w:eastAsia="仿宋" w:cs="仿宋"/>
          <w:color w:val="auto"/>
          <w:sz w:val="24"/>
          <w:szCs w:val="24"/>
          <w:highlight w:val="none"/>
          <w:lang w:eastAsia="zh-CN"/>
        </w:rPr>
        <w:t>前递交投标文件。</w:t>
      </w:r>
    </w:p>
    <w:p>
      <w:pPr>
        <w:numPr>
          <w:ilvl w:val="0"/>
          <w:numId w:val="0"/>
        </w:numPr>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一、项目基本情况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lang w:eastAsia="zh-CN"/>
        </w:rPr>
        <w:t>DX2022-164</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项目名称：</w:t>
      </w:r>
      <w:r>
        <w:rPr>
          <w:rFonts w:hint="eastAsia" w:ascii="仿宋" w:hAnsi="仿宋" w:eastAsia="仿宋" w:cs="仿宋"/>
          <w:color w:val="auto"/>
          <w:sz w:val="24"/>
          <w:szCs w:val="24"/>
          <w:highlight w:val="none"/>
          <w:lang w:eastAsia="zh-CN"/>
        </w:rPr>
        <w:t>灞桥区2021年新增教育建设奖补资金--五星中学设备采购项目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采购方式：公开招标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预算金额：13000000.00元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采购需求：</w:t>
      </w:r>
    </w:p>
    <w:tbl>
      <w:tblPr>
        <w:tblStyle w:val="21"/>
        <w:tblW w:w="834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17"/>
        <w:gridCol w:w="1550"/>
        <w:gridCol w:w="2554"/>
        <w:gridCol w:w="1221"/>
        <w:gridCol w:w="1058"/>
        <w:gridCol w:w="11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tblHeader/>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合同包号</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合同包名称</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技术规格、参数及要求</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预算金额(万元)</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是否接受联合体</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合同履</w:t>
            </w:r>
          </w:p>
          <w:p>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行期限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第一标段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rPr>
              <w:t>199</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第二标段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106</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b/>
                <w:bCs w:val="0"/>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olor w:val="auto"/>
                <w:kern w:val="0"/>
                <w:sz w:val="24"/>
                <w:szCs w:val="24"/>
                <w:highlight w:val="none"/>
                <w:u w:val="none"/>
                <w:lang w:val="en-US" w:eastAsia="zh-CN" w:bidi="ar"/>
              </w:rPr>
              <w:t>第三标段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127</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b/>
                <w:bCs w:val="0"/>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olor w:val="auto"/>
                <w:kern w:val="0"/>
                <w:sz w:val="24"/>
                <w:szCs w:val="24"/>
                <w:highlight w:val="none"/>
                <w:u w:val="none"/>
                <w:lang w:val="en-US" w:eastAsia="zh-CN" w:bidi="ar"/>
              </w:rPr>
              <w:t>第四标段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290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第五标段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120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第六标段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第七标段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88</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第八标段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第九标段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第十标段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bl>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申请人的资格要求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2、落实政府采购政策需满足的资格要求：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合同包1(</w:t>
      </w:r>
      <w:r>
        <w:rPr>
          <w:rFonts w:hint="eastAsia" w:ascii="仿宋" w:hAnsi="仿宋" w:eastAsia="仿宋" w:cs="仿宋"/>
          <w:i w:val="0"/>
          <w:iCs w:val="0"/>
          <w:color w:val="auto"/>
          <w:kern w:val="0"/>
          <w:sz w:val="24"/>
          <w:szCs w:val="24"/>
          <w:highlight w:val="none"/>
          <w:u w:val="none"/>
          <w:lang w:val="en-US" w:eastAsia="zh-CN" w:bidi="ar"/>
        </w:rPr>
        <w:t>第一标段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第二标段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第三标段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第四标段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第五标段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第六标段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第七标段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第八标段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第九标段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第十标段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3、本项目的特定资格要求：</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aps w:val="0"/>
          <w:color w:val="auto"/>
          <w:spacing w:val="0"/>
          <w:sz w:val="24"/>
          <w:szCs w:val="24"/>
          <w:shd w:val="clear" w:fill="FFFFFF"/>
          <w:vertAlign w:val="baseline"/>
          <w:lang w:val="en-US" w:eastAsia="zh-CN"/>
        </w:rPr>
        <w:t>合同包1(</w:t>
      </w:r>
      <w:r>
        <w:rPr>
          <w:rFonts w:hint="eastAsia" w:ascii="仿宋" w:hAnsi="仿宋" w:eastAsia="仿宋" w:cs="仿宋"/>
          <w:i w:val="0"/>
          <w:iCs w:val="0"/>
          <w:color w:val="auto"/>
          <w:kern w:val="0"/>
          <w:sz w:val="24"/>
          <w:szCs w:val="24"/>
          <w:highlight w:val="none"/>
          <w:u w:val="none"/>
          <w:lang w:val="en-US" w:eastAsia="zh-CN" w:bidi="ar"/>
        </w:rPr>
        <w:t>第一标段)特定资格要求如下: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r>
        <w:rPr>
          <w:rFonts w:hint="eastAsia" w:ascii="仿宋" w:hAnsi="仿宋" w:eastAsia="仿宋" w:cs="仿宋"/>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shd w:val="clear" w:fill="FFFFFF"/>
          <w:vertAlign w:val="baseline"/>
          <w:lang w:val="en-US" w:eastAsia="zh-CN"/>
        </w:rPr>
      </w:pPr>
      <w:r>
        <w:rPr>
          <w:rFonts w:hint="eastAsia" w:ascii="仿宋" w:hAnsi="仿宋" w:eastAsia="仿宋" w:cs="仿宋"/>
          <w:i w:val="0"/>
          <w:iCs w:val="0"/>
          <w:caps w:val="0"/>
          <w:color w:val="auto"/>
          <w:spacing w:val="0"/>
          <w:sz w:val="24"/>
          <w:szCs w:val="24"/>
          <w:shd w:val="clear" w:fill="FFFFFF"/>
          <w:vertAlign w:val="baseline"/>
          <w:lang w:val="en-US" w:eastAsia="zh-CN"/>
        </w:rPr>
        <w:t>合同包2(</w:t>
      </w:r>
      <w:r>
        <w:rPr>
          <w:rFonts w:hint="eastAsia" w:ascii="仿宋" w:hAnsi="仿宋" w:eastAsia="仿宋" w:cs="仿宋"/>
          <w:i w:val="0"/>
          <w:iCs w:val="0"/>
          <w:color w:val="auto"/>
          <w:kern w:val="0"/>
          <w:sz w:val="24"/>
          <w:szCs w:val="24"/>
          <w:highlight w:val="none"/>
          <w:u w:val="none"/>
          <w:lang w:val="en-US" w:eastAsia="zh-CN" w:bidi="ar"/>
        </w:rPr>
        <w:t>第二标段</w:t>
      </w:r>
      <w:r>
        <w:rPr>
          <w:rFonts w:hint="eastAsia" w:ascii="仿宋" w:hAnsi="仿宋" w:eastAsia="仿宋" w:cs="仿宋"/>
          <w:i w:val="0"/>
          <w:iCs w:val="0"/>
          <w:caps w:val="0"/>
          <w:color w:val="auto"/>
          <w:spacing w:val="0"/>
          <w:sz w:val="24"/>
          <w:szCs w:val="24"/>
          <w:shd w:val="clear" w:fill="FFFFFF"/>
          <w:vertAlign w:val="baseline"/>
          <w:lang w:val="en-US" w:eastAsia="zh-CN"/>
        </w:rPr>
        <w:t>)特定资格要求如下: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shd w:val="clear" w:fill="FFFFFF"/>
          <w:vertAlign w:val="baseline"/>
          <w:lang w:val="en-US" w:eastAsia="zh-CN"/>
        </w:rPr>
      </w:pPr>
      <w:r>
        <w:rPr>
          <w:rFonts w:hint="eastAsia" w:ascii="仿宋" w:hAnsi="仿宋" w:eastAsia="仿宋" w:cs="仿宋"/>
          <w:i w:val="0"/>
          <w:iCs w:val="0"/>
          <w:caps w:val="0"/>
          <w:color w:val="auto"/>
          <w:spacing w:val="0"/>
          <w:sz w:val="24"/>
          <w:szCs w:val="24"/>
          <w:shd w:val="clear" w:fill="FFFFFF"/>
          <w:vertAlign w:val="baseline"/>
          <w:lang w:val="en-US" w:eastAsia="zh-CN"/>
        </w:rPr>
        <w:t>合同包3(</w:t>
      </w:r>
      <w:r>
        <w:rPr>
          <w:rFonts w:hint="eastAsia" w:ascii="仿宋" w:hAnsi="仿宋" w:eastAsia="仿宋" w:cs="仿宋"/>
          <w:i w:val="0"/>
          <w:iCs w:val="0"/>
          <w:color w:val="auto"/>
          <w:kern w:val="0"/>
          <w:sz w:val="24"/>
          <w:szCs w:val="24"/>
          <w:highlight w:val="none"/>
          <w:u w:val="none"/>
          <w:lang w:val="en-US" w:eastAsia="zh-CN" w:bidi="ar"/>
        </w:rPr>
        <w:t>第三标段</w:t>
      </w:r>
      <w:r>
        <w:rPr>
          <w:rFonts w:hint="eastAsia" w:ascii="仿宋" w:hAnsi="仿宋" w:eastAsia="仿宋" w:cs="仿宋"/>
          <w:i w:val="0"/>
          <w:iCs w:val="0"/>
          <w:caps w:val="0"/>
          <w:color w:val="auto"/>
          <w:spacing w:val="0"/>
          <w:sz w:val="24"/>
          <w:szCs w:val="24"/>
          <w:shd w:val="clear" w:fill="FFFFFF"/>
          <w:vertAlign w:val="baseline"/>
          <w:lang w:val="en-US" w:eastAsia="zh-CN"/>
        </w:rPr>
        <w:t>)特定资格要求如下: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shd w:val="clear" w:fill="FFFFFF"/>
          <w:vertAlign w:val="baseline"/>
          <w:lang w:val="en-US" w:eastAsia="zh-CN"/>
        </w:rPr>
      </w:pPr>
      <w:r>
        <w:rPr>
          <w:rFonts w:hint="eastAsia" w:ascii="仿宋" w:hAnsi="仿宋" w:eastAsia="仿宋" w:cs="仿宋"/>
          <w:i w:val="0"/>
          <w:iCs w:val="0"/>
          <w:caps w:val="0"/>
          <w:color w:val="auto"/>
          <w:spacing w:val="0"/>
          <w:sz w:val="24"/>
          <w:szCs w:val="24"/>
          <w:shd w:val="clear" w:fill="FFFFFF"/>
          <w:vertAlign w:val="baseline"/>
          <w:lang w:val="en-US" w:eastAsia="zh-CN"/>
        </w:rPr>
        <w:t>合同包4(</w:t>
      </w:r>
      <w:r>
        <w:rPr>
          <w:rFonts w:hint="eastAsia" w:ascii="仿宋" w:hAnsi="仿宋" w:eastAsia="仿宋" w:cs="仿宋"/>
          <w:i w:val="0"/>
          <w:iCs w:val="0"/>
          <w:color w:val="auto"/>
          <w:kern w:val="0"/>
          <w:sz w:val="24"/>
          <w:szCs w:val="24"/>
          <w:highlight w:val="none"/>
          <w:u w:val="none"/>
          <w:lang w:val="en-US" w:eastAsia="zh-CN" w:bidi="ar"/>
        </w:rPr>
        <w:t>第四标段</w:t>
      </w:r>
      <w:r>
        <w:rPr>
          <w:rFonts w:hint="eastAsia" w:ascii="仿宋" w:hAnsi="仿宋" w:eastAsia="仿宋" w:cs="仿宋"/>
          <w:i w:val="0"/>
          <w:iCs w:val="0"/>
          <w:caps w:val="0"/>
          <w:color w:val="auto"/>
          <w:spacing w:val="0"/>
          <w:sz w:val="24"/>
          <w:szCs w:val="24"/>
          <w:shd w:val="clear" w:fill="FFFFFF"/>
          <w:vertAlign w:val="baseline"/>
          <w:lang w:val="en-US" w:eastAsia="zh-CN"/>
        </w:rPr>
        <w:t>)特定资格要求如下: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shd w:val="clear" w:fill="FFFFFF"/>
          <w:vertAlign w:val="baseline"/>
          <w:lang w:val="en-US" w:eastAsia="zh-CN"/>
        </w:rPr>
      </w:pPr>
      <w:r>
        <w:rPr>
          <w:rFonts w:hint="eastAsia" w:ascii="仿宋" w:hAnsi="仿宋" w:eastAsia="仿宋" w:cs="仿宋"/>
          <w:i w:val="0"/>
          <w:iCs w:val="0"/>
          <w:caps w:val="0"/>
          <w:color w:val="auto"/>
          <w:spacing w:val="0"/>
          <w:sz w:val="24"/>
          <w:szCs w:val="24"/>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第五标段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shd w:val="clear" w:fill="FFFFFF"/>
          <w:vertAlign w:val="baseline"/>
          <w:lang w:val="en-US" w:eastAsia="zh-CN"/>
        </w:rPr>
        <w:t>特定资格要求如下: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shd w:val="clear" w:fill="FFFFFF"/>
          <w:vertAlign w:val="baseline"/>
          <w:lang w:val="en-US" w:eastAsia="zh-CN"/>
        </w:rPr>
      </w:pPr>
      <w:r>
        <w:rPr>
          <w:rFonts w:hint="eastAsia" w:ascii="仿宋" w:hAnsi="仿宋" w:eastAsia="仿宋" w:cs="仿宋"/>
          <w:i w:val="0"/>
          <w:iCs w:val="0"/>
          <w:caps w:val="0"/>
          <w:color w:val="auto"/>
          <w:spacing w:val="0"/>
          <w:sz w:val="24"/>
          <w:szCs w:val="24"/>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第六标段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shd w:val="clear" w:fill="FFFFFF"/>
          <w:vertAlign w:val="baseline"/>
          <w:lang w:val="en-US" w:eastAsia="zh-CN"/>
        </w:rPr>
        <w:t>特定资格要求如下: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shd w:val="clear" w:fill="FFFFFF"/>
          <w:vertAlign w:val="baseline"/>
          <w:lang w:val="en-US" w:eastAsia="zh-CN"/>
        </w:rPr>
      </w:pPr>
      <w:r>
        <w:rPr>
          <w:rFonts w:hint="eastAsia" w:ascii="仿宋" w:hAnsi="仿宋" w:eastAsia="仿宋" w:cs="仿宋"/>
          <w:i w:val="0"/>
          <w:iCs w:val="0"/>
          <w:caps w:val="0"/>
          <w:color w:val="auto"/>
          <w:spacing w:val="0"/>
          <w:sz w:val="24"/>
          <w:szCs w:val="24"/>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第七标段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shd w:val="clear" w:fill="FFFFFF"/>
          <w:vertAlign w:val="baseline"/>
          <w:lang w:val="en-US" w:eastAsia="zh-CN"/>
        </w:rPr>
        <w:t>特定资格要求如下: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shd w:val="clear" w:fill="FFFFFF"/>
          <w:vertAlign w:val="baseline"/>
          <w:lang w:val="en-US" w:eastAsia="zh-CN"/>
        </w:rPr>
      </w:pPr>
      <w:r>
        <w:rPr>
          <w:rFonts w:hint="eastAsia" w:ascii="仿宋" w:hAnsi="仿宋" w:eastAsia="仿宋" w:cs="仿宋"/>
          <w:i w:val="0"/>
          <w:iCs w:val="0"/>
          <w:caps w:val="0"/>
          <w:color w:val="auto"/>
          <w:spacing w:val="0"/>
          <w:sz w:val="24"/>
          <w:szCs w:val="24"/>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第八标段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shd w:val="clear" w:fill="FFFFFF"/>
          <w:vertAlign w:val="baseline"/>
          <w:lang w:val="en-US" w:eastAsia="zh-CN"/>
        </w:rPr>
        <w:t>特定资格要求如下: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shd w:val="clear" w:fill="FFFFFF"/>
          <w:vertAlign w:val="baseline"/>
          <w:lang w:val="en-US" w:eastAsia="zh-CN"/>
        </w:rPr>
      </w:pPr>
      <w:r>
        <w:rPr>
          <w:rFonts w:hint="eastAsia" w:ascii="仿宋" w:hAnsi="仿宋" w:eastAsia="仿宋" w:cs="仿宋"/>
          <w:i w:val="0"/>
          <w:iCs w:val="0"/>
          <w:caps w:val="0"/>
          <w:color w:val="auto"/>
          <w:spacing w:val="0"/>
          <w:sz w:val="24"/>
          <w:szCs w:val="24"/>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第九标段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shd w:val="clear" w:fill="FFFFFF"/>
          <w:vertAlign w:val="baseline"/>
          <w:lang w:val="en-US" w:eastAsia="zh-CN"/>
        </w:rPr>
        <w:t>特定资格要求如下: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shd w:val="clear" w:fill="FFFFFF"/>
          <w:vertAlign w:val="baseline"/>
          <w:lang w:val="en-US" w:eastAsia="zh-CN"/>
        </w:rPr>
      </w:pPr>
      <w:r>
        <w:rPr>
          <w:rFonts w:hint="eastAsia" w:ascii="仿宋" w:hAnsi="仿宋" w:eastAsia="仿宋" w:cs="仿宋"/>
          <w:i w:val="0"/>
          <w:iCs w:val="0"/>
          <w:caps w:val="0"/>
          <w:color w:val="auto"/>
          <w:spacing w:val="0"/>
          <w:sz w:val="24"/>
          <w:szCs w:val="24"/>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第十标段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shd w:val="clear" w:fill="FFFFFF"/>
          <w:vertAlign w:val="baseline"/>
          <w:lang w:val="en-US" w:eastAsia="zh-CN"/>
        </w:rPr>
        <w:t>特定资格要求如下: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三、获取招标文件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时间： 2022年07月22日 至 2022年07月29日 ，每天上午 09:00:00 至 12:00:00 ，下午 14:00:00 至 17:00:00 （北京时间,法定节假日除外）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地点：西安经济技术开发区凤城十一路与文景路十字文景商务广场B座8层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方式：现场获取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bidi="ar"/>
        </w:rPr>
        <w:t>售价： 免费获取</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四、提交投标文件截止时间、开标时间和地点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2022年08月13日 09时30分00秒（北京时间）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4"/>
          <w:szCs w:val="24"/>
          <w:highlight w:val="none"/>
        </w:rPr>
        <w:t>地点：西安经济技术开发区凤城十一路与文景路十字文景商务广场B座8层</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1"/>
          <w:szCs w:val="21"/>
          <w:highlight w:val="none"/>
        </w:rPr>
      </w:pPr>
      <w:r>
        <w:rPr>
          <w:rFonts w:hint="eastAsia" w:ascii="仿宋" w:hAnsi="仿宋" w:eastAsia="仿宋" w:cs="仿宋"/>
          <w:b/>
          <w:bCs/>
          <w:color w:val="auto"/>
          <w:sz w:val="24"/>
          <w:szCs w:val="24"/>
          <w:highlight w:val="none"/>
          <w:lang w:eastAsia="zh-CN"/>
        </w:rPr>
        <w:t>五、公告期限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自本公告发布之日起</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个工作日。</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六、其他补充事宜</w:t>
      </w:r>
      <w:r>
        <w:rPr>
          <w:rFonts w:hint="eastAsia" w:ascii="仿宋" w:hAnsi="仿宋" w:eastAsia="仿宋" w:cs="仿宋"/>
          <w:b/>
          <w:bCs/>
          <w:color w:val="auto"/>
          <w:sz w:val="24"/>
          <w:szCs w:val="24"/>
          <w:highlight w:val="none"/>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eastAsia="zh-CN"/>
        </w:rPr>
        <w:t>1、领取招标文件时请携带单位介绍信原件、经办人身份证原件及复印件（以上资料加盖单位鲜章）。</w:t>
      </w:r>
      <w:r>
        <w:rPr>
          <w:rFonts w:hint="eastAsia" w:ascii="仿宋" w:hAnsi="仿宋" w:eastAsia="仿宋" w:cs="仿宋"/>
          <w:b/>
          <w:bCs/>
          <w:color w:val="auto"/>
          <w:sz w:val="24"/>
          <w:szCs w:val="24"/>
          <w:highlight w:val="none"/>
          <w:lang w:eastAsia="zh-CN"/>
        </w:rPr>
        <w:t>本项目兼投不兼中，供应商根据自身情况可以投多个包，但最终只能中一个包，评标顺序依次为包1至包10</w:t>
      </w:r>
      <w:r>
        <w:rPr>
          <w:rFonts w:hint="eastAsia" w:ascii="仿宋" w:hAnsi="仿宋" w:eastAsia="仿宋" w:cs="仿宋"/>
          <w:b/>
          <w:bCs/>
          <w:color w:val="auto"/>
          <w:sz w:val="24"/>
          <w:szCs w:val="24"/>
          <w:highlight w:val="none"/>
          <w:lang w:val="en-US"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2、请各</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lang w:eastAsia="zh-CN"/>
        </w:rPr>
        <w:t>获取招标文件后，按照陕西省财政厅《关于政府采购供应商注册登记有关事项的通知》要求，通过陕西省政府采购网注册登记加入陕西省政府采购供应商库。</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3、执行的其他政府采购政策：</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（1）《政府采购促进中小企业发展管理办法》财库〔2020〕46号</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（2）《财政部 司法部关于政府采购支持监狱企业发展有关问题的通知》财库[2014]68号</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（3）《财政部 发展改革委 生态环境部 市场监管总局关于调整优化节能产品、环境标志产品政府采购执行机制的通知》（财库〔2019〕9号）</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（4）《财政部 国家发展改革委关于印发〈节能产品政府采购实施意见〉的通知》（财库[2004]185号）</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（5）《财政部环保总局关于环境标志产品政府采购实施的意见》财库[2006]90号</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（6）《三部门联合发布关于促进残疾人就业政府采购政策的通知》（财库[2017]141号）</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（7）《陕西省中小企业政府采购信用融资办法》（陕财办采〔2018〕23号）</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（8）《国务院办公厅关于建立政府强制采购节能产品制度的通知》（国办发〔2007〕51号）</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（9）《财政部 国务院扶贫办关于运用政府采购政策支持脱贫攻坚的通知》（财库〔2019〕27号）</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文件中凡是需要法定代表人盖章之处，非法人单位的负责人均参照执行。</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5、分支机构参与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时，</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文件中应附法人出具的授权书。法人只能授权一家分支机构参与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，且不能与分支机构同时参与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。分支机构须提供自己的资格要求证明文件。</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供应商如不参与项目投标，需在递交文件截止时间前一日以书面形式告知项目联系人（邮箱号：2059407584@qq.com),否则采购代理机构将向财政局反映，供应商一年内累计出现三次该情形，将被监管部门记录为失信被执行人。</w:t>
      </w:r>
    </w:p>
    <w:p>
      <w:pPr>
        <w:keepNext w:val="0"/>
        <w:keepLines w:val="0"/>
        <w:pageBreakBefore w:val="0"/>
        <w:widowControl w:val="0"/>
        <w:kinsoku/>
        <w:wordWrap/>
        <w:overflowPunct/>
        <w:topLinePunct w:val="0"/>
        <w:autoSpaceDE/>
        <w:autoSpaceDN/>
        <w:bidi w:val="0"/>
        <w:adjustRightInd/>
        <w:snapToGrid/>
        <w:spacing w:line="360" w:lineRule="auto"/>
        <w:ind w:firstLine="241" w:firstLineChars="1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七、对本次采购提出询问，请按以下方式联系</w:t>
      </w:r>
      <w:r>
        <w:rPr>
          <w:rFonts w:hint="eastAsia" w:ascii="仿宋" w:hAnsi="仿宋" w:eastAsia="仿宋" w:cs="仿宋"/>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1、采购人信息：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名称：</w:t>
      </w:r>
      <w:r>
        <w:rPr>
          <w:rFonts w:hint="eastAsia" w:ascii="仿宋" w:hAnsi="仿宋" w:eastAsia="仿宋" w:cs="仿宋"/>
          <w:color w:val="auto"/>
          <w:sz w:val="24"/>
          <w:szCs w:val="24"/>
          <w:lang w:eastAsia="zh-CN"/>
        </w:rPr>
        <w:t>西安市灞桥区教育局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地址：</w:t>
      </w:r>
      <w:r>
        <w:rPr>
          <w:rFonts w:hint="eastAsia" w:ascii="仿宋" w:hAnsi="仿宋" w:eastAsia="仿宋" w:cs="仿宋"/>
          <w:color w:val="auto"/>
          <w:sz w:val="24"/>
          <w:szCs w:val="24"/>
          <w:highlight w:val="none"/>
        </w:rPr>
        <w:t>西安市区灞桥区纺东街419号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联系方式：</w:t>
      </w:r>
      <w:r>
        <w:rPr>
          <w:rFonts w:hint="eastAsia" w:ascii="仿宋" w:hAnsi="仿宋" w:eastAsia="仿宋" w:cs="仿宋"/>
          <w:color w:val="auto"/>
          <w:sz w:val="24"/>
          <w:szCs w:val="24"/>
          <w:highlight w:val="none"/>
          <w:lang w:eastAsia="zh-CN"/>
        </w:rPr>
        <w:t>吕老师</w:t>
      </w:r>
      <w:r>
        <w:rPr>
          <w:rFonts w:hint="eastAsia" w:ascii="仿宋" w:hAnsi="仿宋" w:eastAsia="仿宋" w:cs="仿宋"/>
          <w:color w:val="auto"/>
          <w:sz w:val="24"/>
          <w:szCs w:val="24"/>
          <w:highlight w:val="none"/>
        </w:rPr>
        <w:t>029-83552661</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olor w:val="auto"/>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rPr>
        <w:t>、釆购代理机构信息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lang w:eastAsia="zh-CN"/>
        </w:rPr>
        <w:t>陕西笃信招标有限公司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地址：西安经济技术开发区凤城十一路与文景路十字文景商务广场B座8层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联系</w:t>
      </w:r>
      <w:r>
        <w:rPr>
          <w:rFonts w:hint="eastAsia" w:ascii="仿宋" w:hAnsi="仿宋" w:eastAsia="仿宋" w:cs="仿宋"/>
          <w:color w:val="auto"/>
          <w:sz w:val="24"/>
          <w:szCs w:val="24"/>
          <w:highlight w:val="none"/>
          <w:lang w:val="en-US" w:eastAsia="zh-CN"/>
        </w:rPr>
        <w:t>方式</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029-86253389</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3、项目联系方式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项目联系人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黄安舒、李纪旋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电话</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029-86253389</w:t>
      </w:r>
    </w:p>
    <w:p>
      <w:pPr>
        <w:pStyle w:val="8"/>
        <w:spacing w:line="360" w:lineRule="auto"/>
        <w:rPr>
          <w:rFonts w:hint="eastAsia" w:ascii="仿宋" w:hAnsi="仿宋" w:eastAsia="仿宋" w:cs="仿宋"/>
          <w:color w:val="auto"/>
          <w:szCs w:val="44"/>
          <w:highlight w:val="none"/>
          <w:lang w:val="zh-CN"/>
        </w:rPr>
      </w:pPr>
      <w:r>
        <w:rPr>
          <w:rFonts w:hint="eastAsia" w:ascii="仿宋" w:hAnsi="仿宋" w:eastAsia="仿宋" w:cs="仿宋"/>
          <w:color w:val="auto"/>
          <w:sz w:val="32"/>
          <w:szCs w:val="32"/>
          <w:highlight w:val="none"/>
          <w:lang w:val="zh-CN"/>
        </w:rPr>
        <w:br w:type="page"/>
      </w:r>
      <w:bookmarkStart w:id="18" w:name="_Toc28539"/>
      <w:bookmarkStart w:id="19" w:name="_Toc31196"/>
      <w:bookmarkStart w:id="20" w:name="_Toc16458"/>
      <w:bookmarkStart w:id="21" w:name="_Toc14692"/>
      <w:bookmarkStart w:id="22" w:name="_Toc31741"/>
      <w:bookmarkStart w:id="23" w:name="_Toc26996"/>
      <w:bookmarkStart w:id="24" w:name="_Toc6649"/>
      <w:bookmarkStart w:id="25" w:name="_Toc28565"/>
      <w:bookmarkStart w:id="26" w:name="_Toc786"/>
      <w:r>
        <w:rPr>
          <w:rFonts w:hint="eastAsia" w:ascii="仿宋" w:hAnsi="仿宋" w:eastAsia="仿宋" w:cs="仿宋"/>
          <w:color w:val="auto"/>
          <w:sz w:val="32"/>
          <w:szCs w:val="32"/>
          <w:highlight w:val="none"/>
          <w:lang w:val="zh-CN"/>
        </w:rPr>
        <w:t>第二部分</w:t>
      </w:r>
      <w:r>
        <w:rPr>
          <w:rFonts w:hint="eastAsia"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lang w:val="zh-CN"/>
        </w:rPr>
        <w:t>供应商须知</w:t>
      </w:r>
      <w:bookmarkEnd w:id="18"/>
      <w:bookmarkEnd w:id="19"/>
      <w:bookmarkEnd w:id="20"/>
      <w:bookmarkEnd w:id="21"/>
      <w:bookmarkEnd w:id="22"/>
      <w:bookmarkEnd w:id="23"/>
      <w:bookmarkEnd w:id="24"/>
      <w:bookmarkEnd w:id="25"/>
      <w:bookmarkEnd w:id="26"/>
    </w:p>
    <w:p>
      <w:pPr>
        <w:jc w:val="center"/>
        <w:rPr>
          <w:rFonts w:hint="eastAsia" w:ascii="仿宋" w:hAnsi="仿宋" w:eastAsia="仿宋" w:cs="仿宋"/>
          <w:b/>
          <w:bCs/>
          <w:color w:val="auto"/>
          <w:sz w:val="36"/>
          <w:szCs w:val="36"/>
          <w:highlight w:val="none"/>
          <w:lang w:val="zh-CN"/>
        </w:rPr>
      </w:pPr>
      <w:r>
        <w:rPr>
          <w:rFonts w:hint="eastAsia" w:ascii="仿宋" w:hAnsi="仿宋" w:eastAsia="仿宋" w:cs="仿宋"/>
          <w:b/>
          <w:bCs/>
          <w:color w:val="auto"/>
          <w:sz w:val="32"/>
          <w:szCs w:val="32"/>
          <w:highlight w:val="none"/>
          <w:lang w:val="zh-CN"/>
        </w:rPr>
        <w:t>供应商须知前附表</w:t>
      </w:r>
    </w:p>
    <w:tbl>
      <w:tblPr>
        <w:tblStyle w:val="21"/>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1853"/>
        <w:gridCol w:w="6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条款</w:t>
            </w:r>
          </w:p>
        </w:tc>
        <w:tc>
          <w:tcPr>
            <w:tcW w:w="1853"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条款名称</w:t>
            </w:r>
          </w:p>
        </w:tc>
        <w:tc>
          <w:tcPr>
            <w:tcW w:w="6950"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853"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tc>
        <w:tc>
          <w:tcPr>
            <w:tcW w:w="69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lang w:eastAsia="zh-CN"/>
              </w:rPr>
              <w:t>西安市灞桥区教育局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地址：西安市区灞桥区纺东街419号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联系人：</w:t>
            </w:r>
            <w:r>
              <w:rPr>
                <w:rFonts w:hint="eastAsia" w:ascii="仿宋" w:hAnsi="仿宋" w:eastAsia="仿宋" w:cs="仿宋"/>
                <w:color w:val="auto"/>
                <w:sz w:val="24"/>
                <w:szCs w:val="24"/>
                <w:highlight w:val="none"/>
                <w:lang w:eastAsia="zh-CN"/>
              </w:rPr>
              <w:t>吕老师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联系</w:t>
            </w:r>
            <w:r>
              <w:rPr>
                <w:rFonts w:hint="eastAsia" w:ascii="仿宋" w:hAnsi="仿宋" w:eastAsia="仿宋" w:cs="仿宋"/>
                <w:color w:val="auto"/>
                <w:sz w:val="24"/>
                <w:szCs w:val="24"/>
                <w:highlight w:val="none"/>
                <w:lang w:val="en-US" w:eastAsia="zh-CN"/>
              </w:rPr>
              <w:t>方式</w:t>
            </w:r>
            <w:r>
              <w:rPr>
                <w:rFonts w:hint="eastAsia" w:ascii="仿宋" w:hAnsi="仿宋" w:eastAsia="仿宋" w:cs="仿宋"/>
                <w:color w:val="auto"/>
                <w:sz w:val="24"/>
                <w:szCs w:val="24"/>
                <w:highlight w:val="none"/>
              </w:rPr>
              <w:t>：029-83552661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853"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采购代理机构</w:t>
            </w:r>
          </w:p>
        </w:tc>
        <w:tc>
          <w:tcPr>
            <w:tcW w:w="6950" w:type="dxa"/>
            <w:noWrap w:val="0"/>
            <w:vAlign w:val="center"/>
          </w:tcPr>
          <w:p>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名称：陕西笃信招标有限公司</w:t>
            </w:r>
          </w:p>
          <w:p>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地址：西安经济技术开发区凤城十一路与文景路十字文景商务广场B座8层</w:t>
            </w:r>
          </w:p>
          <w:p>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r>
              <w:rPr>
                <w:rFonts w:hint="eastAsia" w:ascii="仿宋" w:hAnsi="仿宋" w:eastAsia="仿宋" w:cs="仿宋"/>
                <w:color w:val="auto"/>
                <w:sz w:val="24"/>
                <w:szCs w:val="24"/>
                <w:highlight w:val="none"/>
                <w:lang w:eastAsia="zh-CN"/>
              </w:rPr>
              <w:t>黄安舒</w:t>
            </w:r>
            <w:r>
              <w:rPr>
                <w:rFonts w:hint="eastAsia" w:ascii="仿宋" w:hAnsi="仿宋" w:eastAsia="仿宋" w:cs="仿宋"/>
                <w:color w:val="auto"/>
                <w:sz w:val="24"/>
                <w:szCs w:val="24"/>
                <w:highlight w:val="none"/>
              </w:rPr>
              <w:t>、李纪旋</w:t>
            </w:r>
          </w:p>
          <w:p>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联系电话：029-86253389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853"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w:t>
            </w:r>
          </w:p>
        </w:tc>
        <w:tc>
          <w:tcPr>
            <w:tcW w:w="6950" w:type="dxa"/>
            <w:noWrap w:val="0"/>
            <w:vAlign w:val="center"/>
          </w:tcPr>
          <w:p>
            <w:pPr>
              <w:spacing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853" w:type="dxa"/>
            <w:noWrap w:val="0"/>
            <w:vAlign w:val="center"/>
          </w:tcPr>
          <w:p>
            <w:pPr>
              <w:spacing w:line="360" w:lineRule="auto"/>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招标文件</w:t>
            </w:r>
            <w:r>
              <w:rPr>
                <w:rFonts w:hint="eastAsia" w:ascii="仿宋" w:hAnsi="仿宋" w:eastAsia="仿宋" w:cs="仿宋"/>
                <w:color w:val="auto"/>
                <w:sz w:val="24"/>
                <w:szCs w:val="24"/>
                <w:highlight w:val="none"/>
                <w:lang w:val="en-US" w:eastAsia="zh-CN"/>
              </w:rPr>
              <w:t>获取</w:t>
            </w:r>
          </w:p>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时间</w:t>
            </w:r>
          </w:p>
        </w:tc>
        <w:tc>
          <w:tcPr>
            <w:tcW w:w="6950" w:type="dxa"/>
            <w:noWrap w:val="0"/>
            <w:vAlign w:val="center"/>
          </w:tcPr>
          <w:p>
            <w:pPr>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2022年07月22日 至 2022年07月29日 ，每天上午 09:00:00 至 12:00:00 ，下午 14:00:00 至 17:00:00 （北京时间,法定节假日除外）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853"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资金来源</w:t>
            </w:r>
          </w:p>
        </w:tc>
        <w:tc>
          <w:tcPr>
            <w:tcW w:w="6950" w:type="dxa"/>
            <w:noWrap w:val="0"/>
            <w:vAlign w:val="center"/>
          </w:tcPr>
          <w:p>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1853" w:type="dxa"/>
            <w:noWrap w:val="0"/>
            <w:vAlign w:val="center"/>
          </w:tcPr>
          <w:p>
            <w:pP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项目预算</w:t>
            </w:r>
          </w:p>
        </w:tc>
        <w:tc>
          <w:tcPr>
            <w:tcW w:w="6950" w:type="dxa"/>
            <w:noWrap w:val="0"/>
            <w:vAlign w:val="center"/>
          </w:tcPr>
          <w:p>
            <w:pPr>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本项目总预算13000000.00元，共计10个包</w:t>
            </w:r>
          </w:p>
          <w:p>
            <w:pPr>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其中包1（第一标段）：1990000.00元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853" w:type="dxa"/>
            <w:noWrap w:val="0"/>
            <w:vAlign w:val="center"/>
          </w:tcPr>
          <w:p>
            <w:pPr>
              <w:snapToGrid w:val="0"/>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交货期</w:t>
            </w:r>
          </w:p>
        </w:tc>
        <w:tc>
          <w:tcPr>
            <w:tcW w:w="6950" w:type="dxa"/>
            <w:noWrap w:val="0"/>
            <w:vAlign w:val="center"/>
          </w:tcPr>
          <w:p>
            <w:pPr>
              <w:snapToGrid w:val="0"/>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1853"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项目实施地点</w:t>
            </w:r>
          </w:p>
        </w:tc>
        <w:tc>
          <w:tcPr>
            <w:tcW w:w="6950" w:type="dxa"/>
            <w:noWrap w:val="0"/>
            <w:vAlign w:val="center"/>
          </w:tcPr>
          <w:p>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p>
        </w:tc>
        <w:tc>
          <w:tcPr>
            <w:tcW w:w="1853"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投标文件递交</w:t>
            </w:r>
          </w:p>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截止时间</w:t>
            </w:r>
          </w:p>
        </w:tc>
        <w:tc>
          <w:tcPr>
            <w:tcW w:w="6950" w:type="dxa"/>
            <w:noWrap w:val="0"/>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 xml:space="preserve">日 </w:t>
            </w:r>
            <w:r>
              <w:rPr>
                <w:rFonts w:hint="eastAsia" w:ascii="仿宋" w:hAnsi="仿宋" w:eastAsia="仿宋" w:cs="仿宋"/>
                <w:color w:val="auto"/>
                <w:sz w:val="24"/>
                <w:szCs w:val="24"/>
                <w:highlight w:val="none"/>
                <w:lang w:val="en-US" w:eastAsia="zh-CN"/>
              </w:rPr>
              <w:t xml:space="preserve"> 09:30（</w:t>
            </w:r>
            <w:r>
              <w:rPr>
                <w:rFonts w:hint="eastAsia" w:ascii="仿宋" w:hAnsi="仿宋" w:eastAsia="仿宋" w:cs="仿宋"/>
                <w:color w:val="auto"/>
                <w:sz w:val="24"/>
                <w:szCs w:val="24"/>
                <w:highlight w:val="none"/>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1853"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递交投标文件地点</w:t>
            </w:r>
          </w:p>
        </w:tc>
        <w:tc>
          <w:tcPr>
            <w:tcW w:w="6950" w:type="dxa"/>
            <w:noWrap w:val="0"/>
            <w:vAlign w:val="center"/>
          </w:tcPr>
          <w:p>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西安经济技术开发区凤城十一路与文景路十字文景商务广场B座8层开标室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853"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资格要求</w:t>
            </w:r>
          </w:p>
        </w:tc>
        <w:tc>
          <w:tcPr>
            <w:tcW w:w="6950" w:type="dxa"/>
            <w:noWrap w:val="0"/>
            <w:vAlign w:val="center"/>
          </w:tcPr>
          <w:p>
            <w:pPr>
              <w:snapToGrid w:val="0"/>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资质要求同招标公告。</w:t>
            </w:r>
          </w:p>
          <w:p>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必备资质中</w:t>
            </w:r>
            <w:r>
              <w:rPr>
                <w:rFonts w:hint="eastAsia" w:ascii="仿宋" w:hAnsi="仿宋" w:eastAsia="仿宋" w:cs="仿宋"/>
                <w:bCs/>
                <w:color w:val="auto"/>
                <w:sz w:val="24"/>
                <w:szCs w:val="24"/>
                <w:highlight w:val="none"/>
                <w:lang w:val="zh-CN"/>
              </w:rPr>
              <w:t>缺一项或某项达不到要求，按无效文件处理。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p>
        </w:tc>
        <w:tc>
          <w:tcPr>
            <w:tcW w:w="1853"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投标文件份数</w:t>
            </w:r>
          </w:p>
        </w:tc>
        <w:tc>
          <w:tcPr>
            <w:tcW w:w="6950" w:type="dxa"/>
            <w:noWrap w:val="0"/>
            <w:vAlign w:val="center"/>
          </w:tcPr>
          <w:p>
            <w:pPr>
              <w:spacing w:line="36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正本 1份，副本</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份，电子版1份（PDF和word文档格式，</w:t>
            </w:r>
            <w:r>
              <w:rPr>
                <w:rFonts w:hint="eastAsia" w:ascii="仿宋" w:hAnsi="仿宋" w:eastAsia="仿宋" w:cs="仿宋"/>
                <w:bCs/>
                <w:color w:val="auto"/>
                <w:sz w:val="24"/>
                <w:szCs w:val="24"/>
                <w:highlight w:val="none"/>
                <w:lang w:eastAsia="zh-CN"/>
              </w:rPr>
              <w:t>正版</w:t>
            </w:r>
            <w:r>
              <w:rPr>
                <w:rFonts w:hint="eastAsia" w:ascii="仿宋" w:hAnsi="仿宋" w:eastAsia="仿宋" w:cs="仿宋"/>
                <w:bCs/>
                <w:color w:val="auto"/>
                <w:sz w:val="24"/>
                <w:szCs w:val="24"/>
                <w:highlight w:val="none"/>
              </w:rPr>
              <w:t>U盘存储</w:t>
            </w:r>
            <w:r>
              <w:rPr>
                <w:rFonts w:hint="eastAsia" w:ascii="仿宋" w:hAnsi="仿宋" w:eastAsia="仿宋" w:cs="仿宋"/>
                <w:bCs/>
                <w:color w:val="auto"/>
                <w:sz w:val="24"/>
                <w:szCs w:val="24"/>
                <w:highlight w:val="none"/>
                <w:lang w:eastAsia="zh-CN"/>
              </w:rPr>
              <w:t>，如因</w:t>
            </w:r>
            <w:r>
              <w:rPr>
                <w:rFonts w:hint="eastAsia" w:ascii="仿宋" w:hAnsi="仿宋" w:eastAsia="仿宋" w:cs="仿宋"/>
                <w:bCs/>
                <w:color w:val="auto"/>
                <w:sz w:val="24"/>
                <w:szCs w:val="24"/>
                <w:highlight w:val="none"/>
                <w:lang w:val="en-US" w:eastAsia="zh-CN"/>
              </w:rPr>
              <w:t>U盘问题导致文件无法打开，责任自负</w:t>
            </w:r>
            <w:r>
              <w:rPr>
                <w:rFonts w:hint="eastAsia" w:ascii="仿宋" w:hAnsi="仿宋" w:eastAsia="仿宋" w:cs="仿宋"/>
                <w:bCs/>
                <w:color w:val="auto"/>
                <w:sz w:val="24"/>
                <w:szCs w:val="24"/>
                <w:highlight w:val="none"/>
              </w:rPr>
              <w:t>）</w:t>
            </w:r>
          </w:p>
          <w:p>
            <w:pPr>
              <w:spacing w:line="360" w:lineRule="auto"/>
              <w:jc w:val="left"/>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注：</w:t>
            </w:r>
            <w:r>
              <w:rPr>
                <w:rFonts w:hint="eastAsia" w:ascii="仿宋" w:hAnsi="仿宋" w:eastAsia="仿宋" w:cs="仿宋"/>
                <w:bCs/>
                <w:color w:val="auto"/>
                <w:sz w:val="24"/>
                <w:szCs w:val="24"/>
                <w:lang w:val="en-US" w:eastAsia="zh-CN"/>
              </w:rPr>
              <w:t>1.</w:t>
            </w:r>
            <w:r>
              <w:rPr>
                <w:rFonts w:hint="eastAsia" w:ascii="仿宋" w:hAnsi="仿宋" w:eastAsia="仿宋" w:cs="仿宋"/>
                <w:bCs/>
                <w:color w:val="auto"/>
                <w:sz w:val="24"/>
                <w:szCs w:val="24"/>
                <w:lang w:eastAsia="zh-CN"/>
              </w:rPr>
              <w:t>招标文件中“第五部分</w:t>
            </w:r>
            <w:r>
              <w:rPr>
                <w:rFonts w:hint="eastAsia" w:ascii="仿宋" w:hAnsi="仿宋" w:eastAsia="仿宋" w:cs="仿宋"/>
                <w:bCs/>
                <w:color w:val="auto"/>
                <w:sz w:val="24"/>
                <w:szCs w:val="24"/>
                <w:lang w:val="en-US" w:eastAsia="zh-CN"/>
              </w:rPr>
              <w:t xml:space="preserve"> </w:t>
            </w:r>
            <w:r>
              <w:rPr>
                <w:rFonts w:hint="eastAsia" w:ascii="仿宋" w:hAnsi="仿宋" w:eastAsia="仿宋" w:cs="仿宋"/>
                <w:bCs/>
                <w:color w:val="auto"/>
                <w:sz w:val="24"/>
                <w:szCs w:val="24"/>
                <w:lang w:eastAsia="zh-CN"/>
              </w:rPr>
              <w:t>四</w:t>
            </w:r>
            <w:r>
              <w:rPr>
                <w:rFonts w:hint="eastAsia" w:ascii="仿宋" w:hAnsi="仿宋" w:eastAsia="仿宋" w:cs="仿宋"/>
                <w:bCs/>
                <w:color w:val="auto"/>
                <w:sz w:val="24"/>
                <w:szCs w:val="24"/>
              </w:rPr>
              <w:t>、供应商资格证明文件</w:t>
            </w:r>
            <w:r>
              <w:rPr>
                <w:rFonts w:hint="eastAsia" w:ascii="仿宋" w:hAnsi="仿宋" w:eastAsia="仿宋" w:cs="仿宋"/>
                <w:bCs/>
                <w:color w:val="auto"/>
                <w:sz w:val="24"/>
                <w:szCs w:val="24"/>
                <w:lang w:eastAsia="zh-CN"/>
              </w:rPr>
              <w:t>”单独胶装成册</w:t>
            </w:r>
            <w:r>
              <w:rPr>
                <w:rFonts w:hint="eastAsia" w:ascii="仿宋" w:hAnsi="仿宋" w:eastAsia="仿宋" w:cs="仿宋"/>
                <w:bCs/>
                <w:color w:val="auto"/>
                <w:sz w:val="24"/>
                <w:szCs w:val="24"/>
                <w:lang w:val="en-US" w:eastAsia="zh-CN"/>
              </w:rPr>
              <w:t>1本</w:t>
            </w:r>
            <w:r>
              <w:rPr>
                <w:rFonts w:hint="eastAsia" w:ascii="仿宋" w:hAnsi="仿宋" w:eastAsia="仿宋" w:cs="仿宋"/>
                <w:bCs/>
                <w:color w:val="auto"/>
                <w:sz w:val="24"/>
                <w:szCs w:val="24"/>
                <w:lang w:eastAsia="zh-CN"/>
              </w:rPr>
              <w:t>，与投标文件正本一同密封。</w:t>
            </w:r>
          </w:p>
          <w:p>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lang w:val="en-US" w:eastAsia="zh-CN"/>
              </w:rPr>
              <w:t>2.</w:t>
            </w:r>
            <w:r>
              <w:rPr>
                <w:rFonts w:hint="eastAsia" w:ascii="仿宋" w:hAnsi="仿宋" w:eastAsia="仿宋" w:cs="仿宋"/>
                <w:bCs/>
                <w:color w:val="auto"/>
                <w:sz w:val="24"/>
                <w:szCs w:val="24"/>
                <w:lang w:eastAsia="zh-CN"/>
              </w:rPr>
              <w:t>单独胶装</w:t>
            </w:r>
            <w:r>
              <w:rPr>
                <w:rFonts w:hint="eastAsia" w:ascii="仿宋" w:hAnsi="仿宋" w:eastAsia="仿宋" w:cs="仿宋"/>
                <w:bCs/>
                <w:color w:val="auto"/>
                <w:sz w:val="24"/>
                <w:szCs w:val="24"/>
                <w:lang w:val="en-US" w:eastAsia="zh-CN"/>
              </w:rPr>
              <w:t>的</w:t>
            </w:r>
            <w:r>
              <w:rPr>
                <w:rFonts w:hint="eastAsia" w:ascii="仿宋" w:hAnsi="仿宋" w:eastAsia="仿宋" w:cs="仿宋"/>
                <w:bCs/>
                <w:color w:val="auto"/>
                <w:sz w:val="24"/>
                <w:szCs w:val="24"/>
              </w:rPr>
              <w:t>供应商资格证明文件</w:t>
            </w:r>
            <w:r>
              <w:rPr>
                <w:rFonts w:hint="eastAsia" w:ascii="仿宋" w:hAnsi="仿宋" w:eastAsia="仿宋" w:cs="仿宋"/>
                <w:bCs/>
                <w:color w:val="auto"/>
                <w:sz w:val="24"/>
                <w:szCs w:val="24"/>
                <w:lang w:val="en-US" w:eastAsia="zh-CN"/>
              </w:rPr>
              <w:t>与投标文件正本中资格不一致时，以投标文件正本为准。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13</w:t>
            </w:r>
          </w:p>
        </w:tc>
        <w:tc>
          <w:tcPr>
            <w:tcW w:w="1853"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对招标文件提出质疑的截止时间</w:t>
            </w:r>
          </w:p>
        </w:tc>
        <w:tc>
          <w:tcPr>
            <w:tcW w:w="6950" w:type="dxa"/>
            <w:noWrap w:val="0"/>
            <w:vAlign w:val="center"/>
          </w:tcPr>
          <w:p>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供应商在招标文件、开标过程、中标结果使自己的权益受到损害的</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可以在知道或者应知其权益受到损害之日起七个工作日内</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以书面形式向采购代理机构提出</w:t>
            </w:r>
            <w:r>
              <w:rPr>
                <w:rFonts w:hint="eastAsia" w:ascii="仿宋" w:hAnsi="仿宋" w:eastAsia="仿宋" w:cs="仿宋"/>
                <w:color w:val="auto"/>
                <w:sz w:val="24"/>
                <w:szCs w:val="24"/>
                <w:highlight w:val="none"/>
              </w:rPr>
              <w:t>（同时须将此书面文件</w:t>
            </w:r>
            <w:r>
              <w:rPr>
                <w:rFonts w:hint="eastAsia" w:ascii="仿宋" w:hAnsi="仿宋" w:eastAsia="仿宋" w:cs="仿宋"/>
                <w:color w:val="auto"/>
                <w:sz w:val="24"/>
                <w:szCs w:val="24"/>
                <w:highlight w:val="none"/>
                <w:lang w:eastAsia="zh-CN"/>
              </w:rPr>
              <w:t>电子版发送至电子邮箱</w:t>
            </w:r>
            <w:r>
              <w:rPr>
                <w:rFonts w:hint="eastAsia" w:ascii="仿宋" w:hAnsi="仿宋" w:eastAsia="仿宋" w:cs="仿宋"/>
                <w:color w:val="auto"/>
                <w:sz w:val="24"/>
                <w:szCs w:val="24"/>
                <w:highlight w:val="none"/>
                <w:lang w:val="en-US" w:eastAsia="zh-CN"/>
              </w:rPr>
              <w:t>2059407584</w:t>
            </w:r>
            <w:r>
              <w:rPr>
                <w:rFonts w:hint="eastAsia" w:ascii="仿宋" w:hAnsi="仿宋" w:eastAsia="仿宋" w:cs="仿宋"/>
                <w:color w:val="auto"/>
                <w:sz w:val="24"/>
                <w:szCs w:val="24"/>
                <w:highlight w:val="none"/>
              </w:rPr>
              <w:t>@qq.com），</w:t>
            </w:r>
            <w:r>
              <w:rPr>
                <w:rFonts w:hint="eastAsia" w:ascii="仿宋" w:hAnsi="仿宋" w:eastAsia="仿宋" w:cs="仿宋"/>
                <w:color w:val="auto"/>
                <w:sz w:val="24"/>
                <w:szCs w:val="24"/>
                <w:highlight w:val="none"/>
                <w:lang w:val="zh-CN"/>
              </w:rPr>
              <w:t>采购代理机构将予以答复</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以书面形式发给所有获取招标文件的供应商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但不指明问题的来源。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14</w:t>
            </w:r>
          </w:p>
        </w:tc>
        <w:tc>
          <w:tcPr>
            <w:tcW w:w="1853"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确认收到澄清或者修改的时间</w:t>
            </w:r>
          </w:p>
        </w:tc>
        <w:tc>
          <w:tcPr>
            <w:tcW w:w="6950" w:type="dxa"/>
            <w:noWrap w:val="0"/>
            <w:vAlign w:val="center"/>
          </w:tcPr>
          <w:p>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在收到相应澄清或答疑文件后24小时内。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15</w:t>
            </w:r>
          </w:p>
        </w:tc>
        <w:tc>
          <w:tcPr>
            <w:tcW w:w="1853"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投标有效期</w:t>
            </w:r>
          </w:p>
        </w:tc>
        <w:tc>
          <w:tcPr>
            <w:tcW w:w="6950" w:type="dxa"/>
            <w:noWrap w:val="0"/>
            <w:vAlign w:val="center"/>
          </w:tcPr>
          <w:p>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不少于90日历天（自开标之日起）。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16</w:t>
            </w:r>
          </w:p>
        </w:tc>
        <w:tc>
          <w:tcPr>
            <w:tcW w:w="1853"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是否接受</w:t>
            </w:r>
          </w:p>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联合体投标</w:t>
            </w:r>
          </w:p>
        </w:tc>
        <w:tc>
          <w:tcPr>
            <w:tcW w:w="6950" w:type="dxa"/>
            <w:noWrap w:val="0"/>
            <w:vAlign w:val="center"/>
          </w:tcPr>
          <w:p>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17</w:t>
            </w:r>
          </w:p>
        </w:tc>
        <w:tc>
          <w:tcPr>
            <w:tcW w:w="1853"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答疑会</w:t>
            </w:r>
          </w:p>
        </w:tc>
        <w:tc>
          <w:tcPr>
            <w:tcW w:w="6950" w:type="dxa"/>
            <w:noWrap w:val="0"/>
            <w:vAlign w:val="center"/>
          </w:tcPr>
          <w:p>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18</w:t>
            </w:r>
          </w:p>
        </w:tc>
        <w:tc>
          <w:tcPr>
            <w:tcW w:w="1853"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投标文件装订要求</w:t>
            </w:r>
          </w:p>
        </w:tc>
        <w:tc>
          <w:tcPr>
            <w:tcW w:w="6950" w:type="dxa"/>
            <w:noWrap w:val="0"/>
            <w:vAlign w:val="center"/>
          </w:tcPr>
          <w:p>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双面打印，应牢固装订成册，不可插页抽页。牢固装订成册是指用适当的办法,书脊涂有胶粘剂以保证投标文件不至于散开或用简单办法不能将任何一页在没有任何损坏的情况下取出或插入。各种用活页夹、文件夹、塑料方便式书脊（插入式或穿孔式）装订均不认为是牢固装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19</w:t>
            </w:r>
          </w:p>
        </w:tc>
        <w:tc>
          <w:tcPr>
            <w:tcW w:w="1853"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投标文件的签署要求</w:t>
            </w:r>
          </w:p>
        </w:tc>
        <w:tc>
          <w:tcPr>
            <w:tcW w:w="6950" w:type="dxa"/>
            <w:noWrap w:val="0"/>
            <w:vAlign w:val="center"/>
          </w:tcPr>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投标文件（正、副本）必须加盖供应商红色公章</w:t>
            </w:r>
            <w:r>
              <w:rPr>
                <w:rFonts w:hint="eastAsia" w:ascii="仿宋" w:hAnsi="仿宋" w:eastAsia="仿宋" w:cs="仿宋"/>
                <w:bCs/>
                <w:color w:val="auto"/>
                <w:sz w:val="24"/>
                <w:szCs w:val="24"/>
                <w:highlight w:val="none"/>
              </w:rPr>
              <w:t>并按照招标文件要求由法定代表人（授权代表人）签字。若无法定代表人则由单位负责人签字。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20</w:t>
            </w:r>
          </w:p>
        </w:tc>
        <w:tc>
          <w:tcPr>
            <w:tcW w:w="1853"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投标文件密封</w:t>
            </w:r>
          </w:p>
        </w:tc>
        <w:tc>
          <w:tcPr>
            <w:tcW w:w="6950" w:type="dxa"/>
            <w:noWrap w:val="0"/>
            <w:vAlign w:val="center"/>
          </w:tcPr>
          <w:p>
            <w:pPr>
              <w:tabs>
                <w:tab w:val="left" w:pos="9030"/>
              </w:tabs>
              <w:snapToGrid w:val="0"/>
              <w:spacing w:line="360" w:lineRule="auto"/>
              <w:ind w:right="-65"/>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）供应商应将投标文件分为</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个包装袋。</w:t>
            </w:r>
            <w:r>
              <w:rPr>
                <w:rFonts w:hint="eastAsia" w:ascii="仿宋" w:hAnsi="仿宋" w:eastAsia="仿宋" w:cs="仿宋"/>
                <w:color w:val="auto"/>
                <w:sz w:val="24"/>
                <w:szCs w:val="24"/>
                <w:highlight w:val="none"/>
                <w:lang w:val="zh-CN"/>
              </w:rPr>
              <w:t>正本单独密封、所有副本密封，投标文件电子版单独密封且在外层包装上标明字样。</w:t>
            </w:r>
          </w:p>
          <w:p>
            <w:pPr>
              <w:tabs>
                <w:tab w:val="left" w:pos="9030"/>
              </w:tabs>
              <w:snapToGrid w:val="0"/>
              <w:spacing w:line="360" w:lineRule="auto"/>
              <w:ind w:right="-65"/>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外层包装应加封条密封，在封线处加盖公章（骑缝章），标明项目编号、项目名称，供应商全称（公章）、在</w:t>
            </w:r>
            <w:r>
              <w:rPr>
                <w:rFonts w:hint="eastAsia" w:ascii="仿宋" w:hAnsi="仿宋" w:eastAsia="仿宋" w:cs="仿宋"/>
                <w:color w:val="auto"/>
                <w:sz w:val="24"/>
                <w:szCs w:val="24"/>
                <w:highlight w:val="none"/>
              </w:rPr>
              <w:t>XXXX年XX月XX日XX：XX前不得启封</w:t>
            </w:r>
            <w:r>
              <w:rPr>
                <w:rFonts w:hint="eastAsia" w:ascii="仿宋" w:hAnsi="仿宋" w:eastAsia="仿宋" w:cs="仿宋"/>
                <w:color w:val="auto"/>
                <w:sz w:val="24"/>
                <w:szCs w:val="24"/>
                <w:highlight w:val="none"/>
                <w:lang w:val="zh-CN"/>
              </w:rPr>
              <w:t>等内容。</w:t>
            </w:r>
          </w:p>
          <w:p>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注：如果投标文件未按要求密封和加写标记，采购代理机构将不予接受。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21</w:t>
            </w:r>
          </w:p>
        </w:tc>
        <w:tc>
          <w:tcPr>
            <w:tcW w:w="1853"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中标公告公示</w:t>
            </w:r>
          </w:p>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媒体</w:t>
            </w:r>
          </w:p>
        </w:tc>
        <w:tc>
          <w:tcPr>
            <w:tcW w:w="6950" w:type="dxa"/>
            <w:noWrap w:val="0"/>
            <w:vAlign w:val="center"/>
          </w:tcPr>
          <w:p>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陕西省政府采购网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22</w:t>
            </w:r>
          </w:p>
        </w:tc>
        <w:tc>
          <w:tcPr>
            <w:tcW w:w="1853" w:type="dxa"/>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中标服务费</w:t>
            </w:r>
          </w:p>
        </w:tc>
        <w:tc>
          <w:tcPr>
            <w:tcW w:w="6950" w:type="dxa"/>
            <w:noWrap w:val="0"/>
            <w:vAlign w:val="center"/>
          </w:tcPr>
          <w:p>
            <w:pP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p>
          <w:p>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本项目招标代理服务费由中标供应商在中标结果公示期满后三个</w:t>
            </w:r>
            <w:r>
              <w:rPr>
                <w:rFonts w:hint="eastAsia" w:ascii="仿宋" w:hAnsi="仿宋" w:eastAsia="仿宋" w:cs="仿宋"/>
                <w:color w:val="auto"/>
                <w:sz w:val="24"/>
                <w:szCs w:val="24"/>
                <w:highlight w:val="none"/>
                <w:lang w:eastAsia="zh-CN"/>
              </w:rPr>
              <w:t>工作日内按照标准</w:t>
            </w:r>
            <w:bookmarkStart w:id="493" w:name="_GoBack"/>
            <w:bookmarkEnd w:id="493"/>
            <w:r>
              <w:rPr>
                <w:rFonts w:hint="eastAsia" w:ascii="仿宋" w:hAnsi="仿宋" w:eastAsia="仿宋" w:cs="仿宋"/>
                <w:color w:val="auto"/>
                <w:sz w:val="24"/>
                <w:szCs w:val="24"/>
                <w:highlight w:val="none"/>
                <w:lang w:eastAsia="zh-CN"/>
              </w:rPr>
              <w:t>支付给招标代理</w:t>
            </w:r>
            <w:r>
              <w:rPr>
                <w:rFonts w:hint="eastAsia" w:ascii="仿宋" w:hAnsi="仿宋" w:eastAsia="仿宋" w:cs="仿宋"/>
                <w:color w:val="auto"/>
                <w:sz w:val="24"/>
                <w:szCs w:val="24"/>
                <w:highlight w:val="none"/>
              </w:rPr>
              <w:t>机构。（代理报酬的币种：人民币，汇率：无）</w:t>
            </w:r>
          </w:p>
          <w:p>
            <w:pPr>
              <w:pStyle w:val="2"/>
              <w:jc w:val="both"/>
              <w:rPr>
                <w:rFonts w:hint="eastAsia" w:eastAsia="仿宋"/>
                <w:color w:val="auto"/>
                <w:lang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单位：万元</w:t>
            </w:r>
          </w:p>
          <w:tbl>
            <w:tblPr>
              <w:tblStyle w:val="21"/>
              <w:tblW w:w="5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0"/>
              <w:gridCol w:w="1362"/>
              <w:gridCol w:w="1344"/>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2020" w:type="dxa"/>
                  <w:vAlign w:val="center"/>
                </w:tcPr>
                <w:p>
                  <w:pPr>
                    <w:spacing w:line="360" w:lineRule="auto"/>
                    <w:ind w:firstLine="720" w:firstLineChars="300"/>
                    <w:jc w:val="center"/>
                    <w:rPr>
                      <w:rFonts w:ascii="仿宋" w:hAnsi="仿宋" w:eastAsia="仿宋" w:cs="仿宋"/>
                      <w:b/>
                      <w:color w:val="auto"/>
                      <w:sz w:val="24"/>
                      <w:szCs w:val="24"/>
                    </w:rPr>
                  </w:pPr>
                  <w:r>
                    <w:rPr>
                      <w:rFonts w:ascii="仿宋" w:hAnsi="仿宋" w:eastAsia="仿宋" w:cs="仿宋"/>
                      <w:color w:val="auto"/>
                      <w:sz w:val="24"/>
                      <w:szCs w:val="24"/>
                    </w:rPr>
                    <mc:AlternateContent>
                      <mc:Choice Requires="wps">
                        <w:drawing>
                          <wp:anchor distT="0" distB="0" distL="114300" distR="114300" simplePos="0" relativeHeight="251665408" behindDoc="0" locked="0" layoutInCell="1" allowOverlap="1">
                            <wp:simplePos x="0" y="0"/>
                            <wp:positionH relativeFrom="column">
                              <wp:posOffset>-68580</wp:posOffset>
                            </wp:positionH>
                            <wp:positionV relativeFrom="paragraph">
                              <wp:posOffset>15240</wp:posOffset>
                            </wp:positionV>
                            <wp:extent cx="1249045" cy="582295"/>
                            <wp:effectExtent l="1905" t="4445" r="6350" b="22860"/>
                            <wp:wrapNone/>
                            <wp:docPr id="2" name="直接箭头连接符 2"/>
                            <wp:cNvGraphicFramePr/>
                            <a:graphic xmlns:a="http://schemas.openxmlformats.org/drawingml/2006/main">
                              <a:graphicData uri="http://schemas.microsoft.com/office/word/2010/wordprocessingShape">
                                <wps:wsp>
                                  <wps:cNvCnPr/>
                                  <wps:spPr>
                                    <a:xfrm>
                                      <a:off x="0" y="0"/>
                                      <a:ext cx="1249045" cy="58229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4pt;margin-top:1.2pt;height:45.85pt;width:98.35pt;z-index:251665408;mso-width-relative:page;mso-height-relative:page;" filled="f" stroked="t" coordsize="21600,21600" o:gfxdata="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k9adbXAAAACAEAAA8AAAAAAAAAAQAgAAAAIgAAAGRycy9kb3du&#10;cmV2LnhtbFBLAQIUABQAAAAIAIdO4kCuVjlJAAIAAPEDAAAOAAAAAAAAAAEAIAAAACYBAABkcnMv&#10;ZTJvRG9jLnhtbFBLBQYAAAAABgAGAFkBAACYBQ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rPr>
                    <w:t>采购类型</w:t>
                  </w:r>
                </w:p>
                <w:p>
                  <w:pPr>
                    <w:spacing w:line="360" w:lineRule="auto"/>
                    <w:jc w:val="both"/>
                    <w:rPr>
                      <w:rFonts w:ascii="仿宋" w:hAnsi="仿宋" w:eastAsia="仿宋" w:cs="仿宋"/>
                      <w:b/>
                      <w:color w:val="auto"/>
                      <w:sz w:val="24"/>
                      <w:szCs w:val="24"/>
                    </w:rPr>
                  </w:pPr>
                  <w:r>
                    <w:rPr>
                      <w:rFonts w:hint="eastAsia" w:ascii="仿宋" w:hAnsi="仿宋" w:eastAsia="仿宋" w:cs="仿宋"/>
                      <w:b/>
                      <w:color w:val="auto"/>
                      <w:sz w:val="24"/>
                      <w:szCs w:val="24"/>
                      <w:lang w:eastAsia="zh-CN"/>
                    </w:rPr>
                    <w:t>成交</w:t>
                  </w:r>
                  <w:r>
                    <w:rPr>
                      <w:rFonts w:hint="eastAsia" w:ascii="仿宋" w:hAnsi="仿宋" w:eastAsia="仿宋" w:cs="仿宋"/>
                      <w:b/>
                      <w:color w:val="auto"/>
                      <w:sz w:val="24"/>
                      <w:szCs w:val="24"/>
                    </w:rPr>
                    <w:t>金额</w:t>
                  </w:r>
                </w:p>
              </w:tc>
              <w:tc>
                <w:tcPr>
                  <w:tcW w:w="1362"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货物招标</w:t>
                  </w:r>
                </w:p>
              </w:tc>
              <w:tc>
                <w:tcPr>
                  <w:tcW w:w="1344"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服务招标</w:t>
                  </w:r>
                </w:p>
              </w:tc>
              <w:tc>
                <w:tcPr>
                  <w:tcW w:w="1253"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020"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100以下</w:t>
                  </w:r>
                </w:p>
              </w:tc>
              <w:tc>
                <w:tcPr>
                  <w:tcW w:w="1362"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1.5%</w:t>
                  </w:r>
                </w:p>
              </w:tc>
              <w:tc>
                <w:tcPr>
                  <w:tcW w:w="1344"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1.5%</w:t>
                  </w:r>
                </w:p>
              </w:tc>
              <w:tc>
                <w:tcPr>
                  <w:tcW w:w="1253"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100-500</w:t>
                  </w:r>
                </w:p>
              </w:tc>
              <w:tc>
                <w:tcPr>
                  <w:tcW w:w="1362"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1.1%</w:t>
                  </w:r>
                </w:p>
              </w:tc>
              <w:tc>
                <w:tcPr>
                  <w:tcW w:w="1344"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0.8%</w:t>
                  </w:r>
                </w:p>
              </w:tc>
              <w:tc>
                <w:tcPr>
                  <w:tcW w:w="1253"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500-1000</w:t>
                  </w:r>
                </w:p>
              </w:tc>
              <w:tc>
                <w:tcPr>
                  <w:tcW w:w="1362"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0.8%</w:t>
                  </w:r>
                </w:p>
              </w:tc>
              <w:tc>
                <w:tcPr>
                  <w:tcW w:w="1344"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0.45%</w:t>
                  </w:r>
                </w:p>
              </w:tc>
              <w:tc>
                <w:tcPr>
                  <w:tcW w:w="1253"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1000-5000</w:t>
                  </w:r>
                </w:p>
              </w:tc>
              <w:tc>
                <w:tcPr>
                  <w:tcW w:w="1362"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0.5%</w:t>
                  </w:r>
                </w:p>
              </w:tc>
              <w:tc>
                <w:tcPr>
                  <w:tcW w:w="1344"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0.25%</w:t>
                  </w:r>
                </w:p>
              </w:tc>
              <w:tc>
                <w:tcPr>
                  <w:tcW w:w="1253"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5000-10000</w:t>
                  </w:r>
                </w:p>
              </w:tc>
              <w:tc>
                <w:tcPr>
                  <w:tcW w:w="1362"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0.25%</w:t>
                  </w:r>
                </w:p>
              </w:tc>
              <w:tc>
                <w:tcPr>
                  <w:tcW w:w="1344"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0.1%</w:t>
                  </w:r>
                </w:p>
              </w:tc>
              <w:tc>
                <w:tcPr>
                  <w:tcW w:w="1253"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020"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10000-100000</w:t>
                  </w:r>
                </w:p>
              </w:tc>
              <w:tc>
                <w:tcPr>
                  <w:tcW w:w="1362"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c>
                <w:tcPr>
                  <w:tcW w:w="1344"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c>
                <w:tcPr>
                  <w:tcW w:w="1253"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0"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1000000以上</w:t>
                  </w:r>
                </w:p>
              </w:tc>
              <w:tc>
                <w:tcPr>
                  <w:tcW w:w="1362"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c>
                <w:tcPr>
                  <w:tcW w:w="1344"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c>
                <w:tcPr>
                  <w:tcW w:w="1253"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r>
          </w:tbl>
          <w:p>
            <w:pPr>
              <w:spacing w:line="360" w:lineRule="auto"/>
              <w:jc w:val="left"/>
              <w:rPr>
                <w:rFonts w:hint="eastAsia" w:ascii="仿宋" w:hAnsi="仿宋" w:eastAsia="仿宋" w:cs="仿宋"/>
                <w:color w:val="auto"/>
                <w:sz w:val="24"/>
                <w:szCs w:val="24"/>
                <w:highlight w:val="none"/>
              </w:rPr>
            </w:pPr>
          </w:p>
        </w:tc>
      </w:tr>
    </w:tbl>
    <w:p>
      <w:pPr>
        <w:pageBreakBefore/>
        <w:spacing w:line="360" w:lineRule="auto"/>
        <w:ind w:firstLine="482" w:firstLineChars="200"/>
        <w:outlineLvl w:val="1"/>
        <w:rPr>
          <w:rFonts w:ascii="仿宋" w:hAnsi="仿宋" w:eastAsia="仿宋" w:cs="仿宋"/>
          <w:b/>
          <w:bCs/>
          <w:color w:val="auto"/>
          <w:sz w:val="24"/>
          <w:szCs w:val="24"/>
          <w:lang w:val="zh-CN"/>
        </w:rPr>
      </w:pPr>
      <w:bookmarkStart w:id="27" w:name="_Toc17241"/>
      <w:r>
        <w:rPr>
          <w:rFonts w:hint="eastAsia" w:ascii="仿宋" w:hAnsi="仿宋" w:eastAsia="仿宋" w:cs="仿宋"/>
          <w:b/>
          <w:bCs/>
          <w:color w:val="auto"/>
          <w:sz w:val="24"/>
          <w:szCs w:val="24"/>
          <w:lang w:val="zh-CN"/>
        </w:rPr>
        <w:t>一、总则</w:t>
      </w:r>
      <w:bookmarkEnd w:id="10"/>
      <w:bookmarkEnd w:id="11"/>
      <w:bookmarkEnd w:id="12"/>
      <w:bookmarkEnd w:id="13"/>
      <w:bookmarkEnd w:id="14"/>
      <w:bookmarkEnd w:id="15"/>
      <w:bookmarkEnd w:id="16"/>
      <w:bookmarkEnd w:id="27"/>
    </w:p>
    <w:p>
      <w:pPr>
        <w:spacing w:line="360" w:lineRule="auto"/>
        <w:ind w:firstLine="482" w:firstLineChars="200"/>
        <w:outlineLvl w:val="2"/>
        <w:rPr>
          <w:rFonts w:ascii="仿宋" w:hAnsi="仿宋" w:eastAsia="仿宋" w:cs="仿宋"/>
          <w:color w:val="auto"/>
          <w:sz w:val="24"/>
          <w:szCs w:val="24"/>
          <w:lang w:val="zh-CN"/>
        </w:rPr>
      </w:pPr>
      <w:bookmarkStart w:id="28" w:name="_Toc5427"/>
      <w:bookmarkStart w:id="29" w:name="_Toc7648"/>
      <w:bookmarkStart w:id="30" w:name="_Toc6093"/>
      <w:bookmarkStart w:id="31" w:name="_Toc29110"/>
      <w:bookmarkStart w:id="32" w:name="_Toc13136"/>
      <w:bookmarkStart w:id="33" w:name="_Toc20"/>
      <w:bookmarkStart w:id="34" w:name="_Toc17517"/>
      <w:bookmarkStart w:id="35" w:name="_Toc6337"/>
      <w:bookmarkStart w:id="36" w:name="_Toc14386"/>
      <w:r>
        <w:rPr>
          <w:rFonts w:hint="eastAsia" w:ascii="仿宋" w:hAnsi="仿宋" w:eastAsia="仿宋" w:cs="仿宋"/>
          <w:b/>
          <w:bCs/>
          <w:color w:val="auto"/>
          <w:sz w:val="24"/>
          <w:szCs w:val="24"/>
          <w:lang w:val="zh-CN"/>
        </w:rPr>
        <w:t>（一）适用范围</w:t>
      </w:r>
      <w:bookmarkEnd w:id="28"/>
      <w:bookmarkEnd w:id="29"/>
      <w:bookmarkEnd w:id="30"/>
      <w:bookmarkEnd w:id="31"/>
      <w:bookmarkEnd w:id="32"/>
      <w:bookmarkEnd w:id="33"/>
      <w:bookmarkEnd w:id="34"/>
      <w:bookmarkEnd w:id="35"/>
      <w:bookmarkEnd w:id="36"/>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1、本招标文件仅适用于本次招标所述的灞桥区2021年新增教育建设奖补资金--五星中学设备采购项目采购活动。</w:t>
      </w:r>
    </w:p>
    <w:bookmarkEnd w:id="17"/>
    <w:p>
      <w:pPr>
        <w:spacing w:line="360" w:lineRule="auto"/>
        <w:ind w:firstLine="482" w:firstLineChars="200"/>
        <w:outlineLvl w:val="2"/>
        <w:rPr>
          <w:rFonts w:ascii="仿宋" w:hAnsi="仿宋" w:eastAsia="仿宋" w:cs="仿宋"/>
          <w:color w:val="auto"/>
          <w:sz w:val="24"/>
          <w:szCs w:val="24"/>
          <w:lang w:val="zh-CN"/>
        </w:rPr>
      </w:pPr>
      <w:bookmarkStart w:id="37" w:name="_Toc20501"/>
      <w:bookmarkStart w:id="38" w:name="_Toc5174"/>
      <w:bookmarkStart w:id="39" w:name="_Toc9171"/>
      <w:bookmarkStart w:id="40" w:name="_Toc11334"/>
      <w:bookmarkStart w:id="41" w:name="_Toc20921"/>
      <w:bookmarkStart w:id="42" w:name="_Toc25233"/>
      <w:bookmarkStart w:id="43" w:name="_Toc18376"/>
      <w:bookmarkStart w:id="44" w:name="_Toc97"/>
      <w:bookmarkStart w:id="45" w:name="_Toc26769"/>
      <w:r>
        <w:rPr>
          <w:rFonts w:hint="eastAsia" w:ascii="仿宋" w:hAnsi="仿宋" w:eastAsia="仿宋" w:cs="仿宋"/>
          <w:b/>
          <w:bCs/>
          <w:color w:val="auto"/>
          <w:sz w:val="24"/>
          <w:szCs w:val="24"/>
          <w:lang w:val="zh-CN"/>
        </w:rPr>
        <w:t>（二）名词解释</w:t>
      </w:r>
      <w:bookmarkEnd w:id="37"/>
      <w:bookmarkEnd w:id="38"/>
      <w:bookmarkEnd w:id="39"/>
      <w:bookmarkEnd w:id="40"/>
      <w:bookmarkEnd w:id="41"/>
      <w:bookmarkEnd w:id="42"/>
      <w:bookmarkEnd w:id="43"/>
      <w:bookmarkEnd w:id="44"/>
      <w:bookmarkEnd w:id="45"/>
    </w:p>
    <w:p>
      <w:pPr>
        <w:autoSpaceDE w:val="0"/>
        <w:autoSpaceDN w:val="0"/>
        <w:adjustRightInd w:val="0"/>
        <w:spacing w:line="360" w:lineRule="auto"/>
        <w:ind w:firstLine="480" w:firstLineChars="200"/>
        <w:rPr>
          <w:rFonts w:ascii="仿宋" w:hAnsi="仿宋" w:eastAsia="仿宋" w:cs="仿宋"/>
          <w:color w:val="auto"/>
          <w:kern w:val="0"/>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val="zh-CN"/>
        </w:rPr>
        <w:t>采购人：</w:t>
      </w:r>
      <w:r>
        <w:rPr>
          <w:rFonts w:hint="eastAsia" w:ascii="仿宋" w:hAnsi="仿宋" w:eastAsia="仿宋" w:cs="仿宋"/>
          <w:color w:val="auto"/>
          <w:sz w:val="24"/>
          <w:szCs w:val="24"/>
        </w:rPr>
        <w:t xml:space="preserve">西安市灞桥区教育局 </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val="zh-CN"/>
        </w:rPr>
        <w:t>监督机构：</w:t>
      </w:r>
      <w:r>
        <w:rPr>
          <w:rFonts w:hint="eastAsia" w:ascii="仿宋" w:hAnsi="仿宋" w:eastAsia="仿宋" w:cs="仿宋"/>
          <w:color w:val="auto"/>
          <w:sz w:val="24"/>
          <w:szCs w:val="24"/>
        </w:rPr>
        <w:t>西安市灞桥区财政局</w:t>
      </w:r>
    </w:p>
    <w:p>
      <w:pPr>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val="zh-CN"/>
        </w:rPr>
        <w:t>采购代理机构：陕西笃信招标有限公司</w:t>
      </w:r>
    </w:p>
    <w:p>
      <w:pPr>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4、</w:t>
      </w:r>
      <w:r>
        <w:rPr>
          <w:rFonts w:hint="eastAsia" w:ascii="仿宋" w:hAnsi="仿宋" w:eastAsia="仿宋" w:cs="仿宋"/>
          <w:color w:val="auto"/>
          <w:sz w:val="24"/>
          <w:szCs w:val="24"/>
          <w:lang w:val="zh-CN"/>
        </w:rPr>
        <w:t>供应商：响应招标、参加投标竞争的法人、其他组织或者自然人。</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5、</w:t>
      </w:r>
      <w:r>
        <w:rPr>
          <w:rFonts w:hint="eastAsia" w:ascii="仿宋" w:hAnsi="仿宋" w:eastAsia="仿宋" w:cs="仿宋"/>
          <w:color w:val="auto"/>
          <w:sz w:val="24"/>
          <w:szCs w:val="24"/>
          <w:lang w:val="zh-CN"/>
        </w:rPr>
        <w:t>招标文件：含澄清、修改内容的书面资料和招标文件格式的统称。</w:t>
      </w:r>
    </w:p>
    <w:p>
      <w:pPr>
        <w:autoSpaceDE w:val="0"/>
        <w:autoSpaceDN w:val="0"/>
        <w:adjustRightInd w:val="0"/>
        <w:snapToGrid w:val="0"/>
        <w:spacing w:line="360" w:lineRule="auto"/>
        <w:ind w:firstLine="482" w:firstLineChars="200"/>
        <w:outlineLvl w:val="1"/>
        <w:rPr>
          <w:rFonts w:ascii="仿宋" w:hAnsi="仿宋" w:eastAsia="仿宋" w:cs="仿宋"/>
          <w:b/>
          <w:bCs/>
          <w:color w:val="auto"/>
          <w:sz w:val="24"/>
          <w:szCs w:val="24"/>
          <w:lang w:val="zh-CN"/>
        </w:rPr>
      </w:pPr>
      <w:bookmarkStart w:id="46" w:name="_Toc24581"/>
      <w:bookmarkStart w:id="47" w:name="_Toc29138"/>
      <w:bookmarkStart w:id="48" w:name="_Toc24956"/>
      <w:bookmarkStart w:id="49" w:name="_Toc7846"/>
      <w:bookmarkStart w:id="50" w:name="_Toc13475"/>
      <w:bookmarkStart w:id="51" w:name="_Toc5144"/>
      <w:bookmarkStart w:id="52" w:name="_Toc18136"/>
      <w:bookmarkStart w:id="53" w:name="_Toc32052"/>
      <w:r>
        <w:rPr>
          <w:rFonts w:hint="eastAsia" w:ascii="仿宋" w:hAnsi="仿宋" w:eastAsia="仿宋" w:cs="仿宋"/>
          <w:b/>
          <w:bCs/>
          <w:color w:val="auto"/>
          <w:sz w:val="24"/>
          <w:szCs w:val="24"/>
          <w:lang w:val="zh-CN"/>
        </w:rPr>
        <w:t>二、招标文件</w:t>
      </w:r>
      <w:bookmarkEnd w:id="46"/>
      <w:bookmarkEnd w:id="47"/>
      <w:bookmarkEnd w:id="48"/>
      <w:bookmarkEnd w:id="49"/>
      <w:bookmarkEnd w:id="50"/>
      <w:bookmarkEnd w:id="51"/>
      <w:bookmarkEnd w:id="52"/>
      <w:bookmarkEnd w:id="53"/>
    </w:p>
    <w:p>
      <w:pPr>
        <w:autoSpaceDE w:val="0"/>
        <w:autoSpaceDN w:val="0"/>
        <w:adjustRightInd w:val="0"/>
        <w:snapToGrid w:val="0"/>
        <w:spacing w:line="360" w:lineRule="auto"/>
        <w:ind w:firstLine="482" w:firstLineChars="200"/>
        <w:outlineLvl w:val="2"/>
        <w:rPr>
          <w:rFonts w:ascii="仿宋" w:hAnsi="仿宋" w:eastAsia="仿宋" w:cs="仿宋"/>
          <w:b/>
          <w:color w:val="auto"/>
          <w:sz w:val="24"/>
          <w:szCs w:val="24"/>
          <w:lang w:val="zh-CN"/>
        </w:rPr>
      </w:pPr>
      <w:bookmarkStart w:id="54" w:name="_Toc22798"/>
      <w:bookmarkStart w:id="55" w:name="_Toc24239"/>
      <w:bookmarkStart w:id="56" w:name="_Toc1837"/>
      <w:bookmarkStart w:id="57" w:name="_Toc27613"/>
      <w:bookmarkStart w:id="58" w:name="_Toc19188"/>
      <w:bookmarkStart w:id="59" w:name="_Toc21871"/>
      <w:bookmarkStart w:id="60" w:name="_Toc23894"/>
      <w:bookmarkStart w:id="61" w:name="_Toc16573"/>
      <w:bookmarkStart w:id="62" w:name="_Toc21955"/>
      <w:r>
        <w:rPr>
          <w:rFonts w:hint="eastAsia" w:ascii="仿宋" w:hAnsi="仿宋" w:eastAsia="仿宋" w:cs="仿宋"/>
          <w:b/>
          <w:color w:val="auto"/>
          <w:sz w:val="24"/>
          <w:szCs w:val="24"/>
          <w:lang w:val="zh-CN"/>
        </w:rPr>
        <w:t>（一）招标文件</w:t>
      </w:r>
      <w:bookmarkEnd w:id="54"/>
      <w:bookmarkEnd w:id="55"/>
      <w:bookmarkEnd w:id="56"/>
      <w:r>
        <w:rPr>
          <w:rFonts w:hint="eastAsia" w:ascii="仿宋" w:hAnsi="仿宋" w:eastAsia="仿宋" w:cs="仿宋"/>
          <w:b/>
          <w:color w:val="auto"/>
          <w:sz w:val="24"/>
          <w:szCs w:val="24"/>
          <w:lang w:val="zh-CN"/>
        </w:rPr>
        <w:t>的组成</w:t>
      </w:r>
      <w:bookmarkEnd w:id="57"/>
      <w:bookmarkEnd w:id="58"/>
      <w:bookmarkEnd w:id="59"/>
      <w:bookmarkEnd w:id="60"/>
      <w:bookmarkEnd w:id="61"/>
      <w:bookmarkEnd w:id="62"/>
      <w:r>
        <w:rPr>
          <w:rFonts w:hint="eastAsia" w:ascii="仿宋" w:hAnsi="仿宋" w:eastAsia="仿宋" w:cs="仿宋"/>
          <w:b/>
          <w:color w:val="auto"/>
          <w:sz w:val="24"/>
          <w:szCs w:val="24"/>
          <w:lang w:val="zh-CN"/>
        </w:rPr>
        <w:t xml:space="preserve">   </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招标文件以中文编制，招标文件包括</w:t>
      </w:r>
      <w:r>
        <w:rPr>
          <w:rFonts w:hint="eastAsia" w:ascii="仿宋" w:hAnsi="仿宋" w:eastAsia="仿宋" w:cs="仿宋"/>
          <w:color w:val="auto"/>
          <w:sz w:val="24"/>
          <w:szCs w:val="24"/>
        </w:rPr>
        <w:t>五</w:t>
      </w:r>
      <w:r>
        <w:rPr>
          <w:rFonts w:hint="eastAsia" w:ascii="仿宋" w:hAnsi="仿宋" w:eastAsia="仿宋" w:cs="仿宋"/>
          <w:color w:val="auto"/>
          <w:sz w:val="24"/>
          <w:szCs w:val="24"/>
          <w:lang w:val="zh-CN"/>
        </w:rPr>
        <w:t>部分，各供应商应根据招标文件中的所有内容及要求提交全部资料。</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招标文件是根据本项目的特点和需求编制，包括以下内容：</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1）</w:t>
      </w:r>
      <w:r>
        <w:rPr>
          <w:rFonts w:hint="eastAsia" w:ascii="仿宋" w:hAnsi="仿宋" w:eastAsia="仿宋" w:cs="仿宋"/>
          <w:color w:val="auto"/>
          <w:sz w:val="24"/>
          <w:szCs w:val="24"/>
          <w:lang w:val="zh-CN"/>
        </w:rPr>
        <w:t>招标公告</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（2）</w:t>
      </w:r>
      <w:r>
        <w:rPr>
          <w:rFonts w:hint="eastAsia" w:ascii="仿宋" w:hAnsi="仿宋" w:eastAsia="仿宋" w:cs="仿宋"/>
          <w:color w:val="auto"/>
          <w:sz w:val="24"/>
          <w:szCs w:val="24"/>
          <w:lang w:val="zh-CN"/>
        </w:rPr>
        <w:t>供应商须知</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val="zh-CN"/>
        </w:rPr>
        <w:t>招标内容及要求</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（4）</w:t>
      </w:r>
      <w:r>
        <w:rPr>
          <w:rFonts w:hint="eastAsia" w:ascii="仿宋" w:hAnsi="仿宋" w:eastAsia="仿宋" w:cs="仿宋"/>
          <w:color w:val="auto"/>
          <w:sz w:val="24"/>
          <w:szCs w:val="24"/>
          <w:lang w:val="zh-CN"/>
        </w:rPr>
        <w:t>合同条款及格式</w:t>
      </w:r>
    </w:p>
    <w:p>
      <w:pPr>
        <w:autoSpaceDE w:val="0"/>
        <w:autoSpaceDN w:val="0"/>
        <w:adjustRightInd w:val="0"/>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（5）投标文件格式</w:t>
      </w:r>
    </w:p>
    <w:p>
      <w:pPr>
        <w:autoSpaceDE w:val="0"/>
        <w:autoSpaceDN w:val="0"/>
        <w:adjustRightInd w:val="0"/>
        <w:snapToGrid w:val="0"/>
        <w:spacing w:line="360" w:lineRule="auto"/>
        <w:ind w:firstLine="482" w:firstLineChars="200"/>
        <w:outlineLvl w:val="2"/>
        <w:rPr>
          <w:rFonts w:ascii="仿宋" w:hAnsi="仿宋" w:eastAsia="仿宋" w:cs="仿宋"/>
          <w:color w:val="auto"/>
          <w:sz w:val="24"/>
          <w:szCs w:val="24"/>
          <w:lang w:val="zh-CN"/>
        </w:rPr>
      </w:pPr>
      <w:bookmarkStart w:id="63" w:name="_Toc31680"/>
      <w:bookmarkStart w:id="64" w:name="_Toc28098"/>
      <w:bookmarkStart w:id="65" w:name="_Toc21971"/>
      <w:bookmarkStart w:id="66" w:name="_Toc15778"/>
      <w:bookmarkStart w:id="67" w:name="_Toc15799"/>
      <w:bookmarkStart w:id="68" w:name="_Toc26386"/>
      <w:bookmarkStart w:id="69" w:name="_Toc16787"/>
      <w:bookmarkStart w:id="70" w:name="_Toc9208"/>
      <w:bookmarkStart w:id="71" w:name="_Toc6936"/>
      <w:r>
        <w:rPr>
          <w:rFonts w:hint="eastAsia" w:ascii="仿宋" w:hAnsi="仿宋" w:eastAsia="仿宋" w:cs="仿宋"/>
          <w:b/>
          <w:bCs/>
          <w:color w:val="auto"/>
          <w:sz w:val="24"/>
          <w:szCs w:val="24"/>
        </w:rPr>
        <w:t>（二）</w:t>
      </w:r>
      <w:r>
        <w:rPr>
          <w:rFonts w:hint="eastAsia" w:ascii="仿宋" w:hAnsi="仿宋" w:eastAsia="仿宋" w:cs="仿宋"/>
          <w:b/>
          <w:bCs/>
          <w:color w:val="auto"/>
          <w:sz w:val="24"/>
          <w:szCs w:val="24"/>
          <w:lang w:val="zh-CN"/>
        </w:rPr>
        <w:t>招标文件的修改或澄清</w:t>
      </w:r>
      <w:bookmarkEnd w:id="63"/>
      <w:bookmarkEnd w:id="64"/>
      <w:bookmarkEnd w:id="65"/>
      <w:bookmarkEnd w:id="66"/>
      <w:bookmarkEnd w:id="67"/>
      <w:bookmarkEnd w:id="68"/>
      <w:bookmarkEnd w:id="69"/>
      <w:bookmarkEnd w:id="70"/>
      <w:bookmarkEnd w:id="71"/>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val="zh-CN"/>
        </w:rPr>
        <w:t>如果招标文件进行必要的澄清或者修改，将在发布招标公告的财政部门指定媒体上由采购代理机构发布更正公告，并以书面形式通知所有获取招标文件的单位。澄清或者修改的内容可能影响投标文件编制的，不足</w:t>
      </w:r>
      <w:r>
        <w:rPr>
          <w:rFonts w:hint="eastAsia" w:ascii="仿宋" w:hAnsi="仿宋" w:eastAsia="仿宋" w:cs="仿宋"/>
          <w:color w:val="auto"/>
          <w:sz w:val="24"/>
          <w:szCs w:val="24"/>
        </w:rPr>
        <w:t>15日</w:t>
      </w:r>
      <w:r>
        <w:rPr>
          <w:rFonts w:hint="eastAsia" w:ascii="仿宋" w:hAnsi="仿宋" w:eastAsia="仿宋" w:cs="仿宋"/>
          <w:color w:val="auto"/>
          <w:sz w:val="24"/>
          <w:szCs w:val="24"/>
          <w:lang w:val="zh-CN"/>
        </w:rPr>
        <w:t>的，采购代理机构将顺延提交投标文件的截止时间。澄清或者修改的内容为招标文件的组成部分。</w:t>
      </w:r>
    </w:p>
    <w:p>
      <w:pPr>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2、</w:t>
      </w:r>
      <w:r>
        <w:rPr>
          <w:rFonts w:hint="eastAsia" w:ascii="仿宋" w:hAnsi="仿宋" w:eastAsia="仿宋" w:cs="仿宋"/>
          <w:color w:val="auto"/>
          <w:sz w:val="24"/>
          <w:szCs w:val="24"/>
          <w:lang w:val="zh-CN"/>
        </w:rPr>
        <w:t>供应商在收到澄清或修改文件后，应在一个工作日内以书面形式（加盖公章）向采购代理机构予以确认。</w:t>
      </w:r>
    </w:p>
    <w:p>
      <w:pPr>
        <w:autoSpaceDE w:val="0"/>
        <w:autoSpaceDN w:val="0"/>
        <w:adjustRightInd w:val="0"/>
        <w:snapToGrid w:val="0"/>
        <w:spacing w:line="360" w:lineRule="auto"/>
        <w:ind w:firstLine="482" w:firstLineChars="200"/>
        <w:outlineLvl w:val="2"/>
        <w:rPr>
          <w:rFonts w:ascii="仿宋" w:hAnsi="仿宋" w:eastAsia="仿宋" w:cs="仿宋"/>
          <w:color w:val="auto"/>
          <w:sz w:val="24"/>
          <w:szCs w:val="24"/>
          <w:lang w:val="zh-CN"/>
        </w:rPr>
      </w:pPr>
      <w:bookmarkStart w:id="72" w:name="_Toc12617"/>
      <w:bookmarkStart w:id="73" w:name="_Toc1550"/>
      <w:bookmarkStart w:id="74" w:name="_Toc31132"/>
      <w:bookmarkStart w:id="75" w:name="_Toc19583"/>
      <w:bookmarkStart w:id="76" w:name="_Toc2929"/>
      <w:bookmarkStart w:id="77" w:name="_Toc21498"/>
      <w:bookmarkStart w:id="78" w:name="_Toc6239"/>
      <w:bookmarkStart w:id="79" w:name="_Toc17894"/>
      <w:bookmarkStart w:id="80" w:name="_Toc12729"/>
      <w:r>
        <w:rPr>
          <w:rFonts w:hint="eastAsia" w:ascii="仿宋" w:hAnsi="仿宋" w:eastAsia="仿宋" w:cs="仿宋"/>
          <w:b/>
          <w:bCs/>
          <w:color w:val="auto"/>
          <w:sz w:val="24"/>
          <w:szCs w:val="24"/>
        </w:rPr>
        <w:t>（三）</w:t>
      </w:r>
      <w:r>
        <w:rPr>
          <w:rFonts w:hint="eastAsia" w:ascii="仿宋" w:hAnsi="仿宋" w:eastAsia="仿宋" w:cs="仿宋"/>
          <w:b/>
          <w:bCs/>
          <w:color w:val="auto"/>
          <w:sz w:val="24"/>
          <w:szCs w:val="24"/>
          <w:lang w:val="zh-CN"/>
        </w:rPr>
        <w:t>招标文件的询问、质疑及答复</w:t>
      </w:r>
      <w:bookmarkEnd w:id="72"/>
      <w:bookmarkEnd w:id="73"/>
      <w:bookmarkEnd w:id="74"/>
      <w:bookmarkEnd w:id="75"/>
      <w:bookmarkEnd w:id="76"/>
      <w:bookmarkEnd w:id="77"/>
      <w:bookmarkEnd w:id="78"/>
      <w:bookmarkEnd w:id="79"/>
      <w:bookmarkEnd w:id="80"/>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val="zh-CN"/>
        </w:rPr>
        <w:t>供应商应仔细阅读和检查招标文件的全部内容。如发现缺页或附件不全，应及时向采购代理机构提出，以便补齐。</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2、</w:t>
      </w:r>
      <w:r>
        <w:rPr>
          <w:rFonts w:hint="eastAsia" w:ascii="仿宋" w:hAnsi="仿宋" w:eastAsia="仿宋" w:cs="仿宋"/>
          <w:color w:val="auto"/>
          <w:sz w:val="24"/>
          <w:szCs w:val="24"/>
          <w:lang w:val="zh-CN"/>
        </w:rPr>
        <w:t>供应商认为招标文件、招标过程、中标或者成交结果使自己的权益受到损害的，可以在知道或者应知其权益受到损害之日起7个工作日内，以书面形式向采购人、采购代理机构提出质疑，在此之后提出的询问和质疑均为无效，采购代理机构不予受理。</w:t>
      </w:r>
    </w:p>
    <w:p>
      <w:pPr>
        <w:pStyle w:val="20"/>
        <w:spacing w:before="0" w:beforeAutospacing="0" w:after="0" w:afterAutospacing="0" w:line="360" w:lineRule="auto"/>
        <w:ind w:firstLine="480" w:firstLineChars="200"/>
        <w:jc w:val="both"/>
        <w:rPr>
          <w:rFonts w:ascii="仿宋" w:hAnsi="仿宋" w:eastAsia="仿宋" w:cs="仿宋"/>
          <w:color w:val="auto"/>
          <w:lang w:val="zh-CN"/>
        </w:rPr>
      </w:pPr>
      <w:r>
        <w:rPr>
          <w:rFonts w:hint="eastAsia" w:ascii="仿宋" w:hAnsi="仿宋" w:eastAsia="仿宋" w:cs="仿宋"/>
          <w:color w:val="auto"/>
        </w:rPr>
        <w:t>3、</w:t>
      </w:r>
      <w:r>
        <w:rPr>
          <w:rFonts w:hint="eastAsia" w:ascii="仿宋" w:hAnsi="仿宋" w:eastAsia="仿宋" w:cs="仿宋"/>
          <w:color w:val="auto"/>
          <w:lang w:val="zh-CN"/>
        </w:rPr>
        <w:t>供应商提出质疑应当有明确的请求和必要的证明材料。</w:t>
      </w:r>
    </w:p>
    <w:p>
      <w:pPr>
        <w:pStyle w:val="20"/>
        <w:spacing w:before="0" w:beforeAutospacing="0" w:after="0" w:afterAutospacing="0" w:line="360" w:lineRule="auto"/>
        <w:ind w:firstLine="480" w:firstLineChars="200"/>
        <w:jc w:val="both"/>
        <w:rPr>
          <w:rFonts w:ascii="仿宋" w:hAnsi="仿宋" w:eastAsia="仿宋" w:cs="仿宋"/>
          <w:color w:val="auto"/>
          <w:lang w:val="zh-CN"/>
        </w:rPr>
      </w:pPr>
      <w:r>
        <w:rPr>
          <w:rFonts w:hint="eastAsia" w:ascii="仿宋" w:hAnsi="仿宋" w:eastAsia="仿宋" w:cs="仿宋"/>
          <w:color w:val="auto"/>
        </w:rPr>
        <w:t>4、</w:t>
      </w:r>
      <w:r>
        <w:rPr>
          <w:rFonts w:hint="eastAsia" w:ascii="仿宋" w:hAnsi="仿宋" w:eastAsia="仿宋" w:cs="仿宋"/>
          <w:color w:val="auto"/>
          <w:lang w:val="zh-CN"/>
        </w:rPr>
        <w:t>对于在规定时间内收到的供应商依法提出的询问或者质疑，采购代理机构将按程序在三个工作日内答复询问，七个工作日内答复质疑。</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5、</w:t>
      </w:r>
      <w:r>
        <w:rPr>
          <w:rFonts w:hint="eastAsia" w:ascii="仿宋" w:hAnsi="仿宋" w:eastAsia="仿宋" w:cs="仿宋"/>
          <w:color w:val="auto"/>
          <w:sz w:val="24"/>
          <w:szCs w:val="24"/>
          <w:lang w:val="zh-CN"/>
        </w:rPr>
        <w:t>供应商在收到答复后，应在两个工作日内以书面形式（加盖公章）向采购代理机构予以确认。</w:t>
      </w:r>
    </w:p>
    <w:p>
      <w:pPr>
        <w:autoSpaceDE w:val="0"/>
        <w:autoSpaceDN w:val="0"/>
        <w:adjustRightInd w:val="0"/>
        <w:snapToGrid w:val="0"/>
        <w:spacing w:line="360" w:lineRule="auto"/>
        <w:ind w:firstLine="482" w:firstLineChars="200"/>
        <w:outlineLvl w:val="2"/>
        <w:rPr>
          <w:rFonts w:ascii="仿宋" w:hAnsi="仿宋" w:eastAsia="仿宋" w:cs="仿宋"/>
          <w:color w:val="auto"/>
          <w:sz w:val="24"/>
          <w:szCs w:val="24"/>
          <w:lang w:val="zh-CN"/>
        </w:rPr>
      </w:pPr>
      <w:bookmarkStart w:id="81" w:name="_Toc16614"/>
      <w:bookmarkStart w:id="82" w:name="_Toc23823"/>
      <w:bookmarkStart w:id="83" w:name="_Toc17969"/>
      <w:bookmarkStart w:id="84" w:name="_Toc1801"/>
      <w:bookmarkStart w:id="85" w:name="_Toc28965"/>
      <w:bookmarkStart w:id="86" w:name="_Toc27857"/>
      <w:bookmarkStart w:id="87" w:name="_Toc16954"/>
      <w:bookmarkStart w:id="88" w:name="_Toc27651"/>
      <w:bookmarkStart w:id="89" w:name="_Toc18456"/>
      <w:r>
        <w:rPr>
          <w:rFonts w:hint="eastAsia" w:ascii="仿宋" w:hAnsi="仿宋" w:eastAsia="仿宋" w:cs="仿宋"/>
          <w:b/>
          <w:bCs/>
          <w:color w:val="auto"/>
          <w:sz w:val="24"/>
          <w:szCs w:val="24"/>
          <w:lang w:val="zh-CN"/>
        </w:rPr>
        <w:t>（四）招标文件的解释权</w:t>
      </w:r>
      <w:bookmarkEnd w:id="81"/>
      <w:bookmarkEnd w:id="82"/>
      <w:bookmarkEnd w:id="83"/>
      <w:bookmarkEnd w:id="84"/>
      <w:bookmarkEnd w:id="85"/>
      <w:bookmarkEnd w:id="86"/>
      <w:bookmarkEnd w:id="87"/>
      <w:bookmarkEnd w:id="88"/>
      <w:bookmarkEnd w:id="89"/>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val="zh-CN"/>
        </w:rPr>
        <w:t>供应商必须从采购代理机构获取招标文件，供应商自行转让或复制招标文件视为无效，招标文件仅作为本次招标使用。</w:t>
      </w:r>
    </w:p>
    <w:p>
      <w:pPr>
        <w:adjustRightInd w:val="0"/>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val="zh-CN"/>
        </w:rPr>
        <w:t>招标文件的解释权归采购代理机构。</w:t>
      </w:r>
    </w:p>
    <w:p>
      <w:pPr>
        <w:autoSpaceDE w:val="0"/>
        <w:autoSpaceDN w:val="0"/>
        <w:adjustRightInd w:val="0"/>
        <w:snapToGrid w:val="0"/>
        <w:spacing w:line="360" w:lineRule="auto"/>
        <w:ind w:firstLine="482" w:firstLineChars="200"/>
        <w:outlineLvl w:val="1"/>
        <w:rPr>
          <w:rFonts w:ascii="仿宋" w:hAnsi="仿宋" w:eastAsia="仿宋" w:cs="仿宋"/>
          <w:b/>
          <w:color w:val="auto"/>
          <w:sz w:val="24"/>
          <w:szCs w:val="24"/>
          <w:lang w:val="zh-CN"/>
        </w:rPr>
      </w:pPr>
      <w:bookmarkStart w:id="90" w:name="_Toc13377"/>
      <w:bookmarkStart w:id="91" w:name="_Toc19281"/>
      <w:bookmarkStart w:id="92" w:name="_Toc25911"/>
      <w:bookmarkStart w:id="93" w:name="_Toc549"/>
      <w:bookmarkStart w:id="94" w:name="_Toc16073"/>
      <w:bookmarkStart w:id="95" w:name="_Toc30757"/>
      <w:bookmarkStart w:id="96" w:name="_Toc8593"/>
      <w:bookmarkStart w:id="97" w:name="_Toc12572"/>
      <w:r>
        <w:rPr>
          <w:rFonts w:hint="eastAsia" w:ascii="仿宋" w:hAnsi="仿宋" w:eastAsia="仿宋" w:cs="仿宋"/>
          <w:b/>
          <w:color w:val="auto"/>
          <w:sz w:val="24"/>
          <w:szCs w:val="24"/>
          <w:lang w:val="zh-CN"/>
        </w:rPr>
        <w:t>三、投标要求</w:t>
      </w:r>
      <w:bookmarkEnd w:id="90"/>
      <w:bookmarkEnd w:id="91"/>
      <w:bookmarkEnd w:id="92"/>
      <w:bookmarkEnd w:id="93"/>
      <w:bookmarkEnd w:id="94"/>
      <w:bookmarkEnd w:id="95"/>
      <w:bookmarkEnd w:id="96"/>
      <w:bookmarkEnd w:id="97"/>
    </w:p>
    <w:p>
      <w:pPr>
        <w:snapToGrid w:val="0"/>
        <w:spacing w:line="360" w:lineRule="auto"/>
        <w:ind w:firstLine="482" w:firstLineChars="200"/>
        <w:outlineLvl w:val="2"/>
        <w:rPr>
          <w:rFonts w:ascii="仿宋" w:hAnsi="仿宋" w:eastAsia="仿宋" w:cs="仿宋"/>
          <w:color w:val="auto"/>
          <w:sz w:val="24"/>
          <w:szCs w:val="24"/>
        </w:rPr>
      </w:pPr>
      <w:bookmarkStart w:id="98" w:name="_Toc9226"/>
      <w:bookmarkStart w:id="99" w:name="_Toc17014"/>
      <w:bookmarkStart w:id="100" w:name="_Toc12545"/>
      <w:bookmarkStart w:id="101" w:name="_Toc21482"/>
      <w:bookmarkStart w:id="102" w:name="_Toc5035"/>
      <w:bookmarkStart w:id="103" w:name="_Toc9714"/>
      <w:bookmarkStart w:id="104" w:name="_Toc95"/>
      <w:bookmarkStart w:id="105" w:name="_Toc6311"/>
      <w:bookmarkStart w:id="106" w:name="_Toc7693"/>
      <w:r>
        <w:rPr>
          <w:rFonts w:hint="eastAsia" w:ascii="仿宋" w:hAnsi="仿宋" w:eastAsia="仿宋" w:cs="仿宋"/>
          <w:b/>
          <w:bCs/>
          <w:color w:val="auto"/>
          <w:sz w:val="24"/>
          <w:szCs w:val="24"/>
        </w:rPr>
        <w:t>（一）投标内容</w:t>
      </w:r>
      <w:bookmarkEnd w:id="98"/>
      <w:bookmarkEnd w:id="99"/>
      <w:bookmarkEnd w:id="100"/>
      <w:bookmarkEnd w:id="101"/>
      <w:bookmarkEnd w:id="102"/>
      <w:bookmarkEnd w:id="103"/>
      <w:bookmarkEnd w:id="104"/>
      <w:bookmarkEnd w:id="105"/>
      <w:bookmarkEnd w:id="106"/>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本次招标内容为灞桥区2021年新增教育建设奖补资金--五星中学设备采购项目，</w:t>
      </w:r>
      <w:r>
        <w:rPr>
          <w:rFonts w:hint="eastAsia" w:ascii="仿宋" w:hAnsi="仿宋" w:eastAsia="仿宋" w:cs="仿宋"/>
          <w:bCs/>
          <w:color w:val="auto"/>
          <w:sz w:val="24"/>
          <w:szCs w:val="24"/>
        </w:rPr>
        <w:t>各供应商</w:t>
      </w:r>
      <w:r>
        <w:rPr>
          <w:rFonts w:hint="eastAsia" w:ascii="仿宋" w:hAnsi="仿宋" w:eastAsia="仿宋" w:cs="仿宋"/>
          <w:color w:val="auto"/>
          <w:sz w:val="24"/>
          <w:szCs w:val="24"/>
        </w:rPr>
        <w:t>应仔细阅读招标文件中的所有事项、格式、条款和要求，对招标文件的全部</w:t>
      </w:r>
      <w:r>
        <w:rPr>
          <w:rFonts w:hint="eastAsia" w:ascii="仿宋" w:hAnsi="仿宋" w:eastAsia="仿宋" w:cs="仿宋"/>
          <w:bCs/>
          <w:color w:val="auto"/>
          <w:sz w:val="24"/>
          <w:szCs w:val="24"/>
        </w:rPr>
        <w:t>内容及要求做出实质性响应，提交相应资料。不得在其中选项投标或将其中内容再行分解，否则投标无效。</w:t>
      </w:r>
    </w:p>
    <w:p>
      <w:pPr>
        <w:autoSpaceDE w:val="0"/>
        <w:autoSpaceDN w:val="0"/>
        <w:adjustRightInd w:val="0"/>
        <w:spacing w:line="360" w:lineRule="auto"/>
        <w:ind w:firstLine="482" w:firstLineChars="200"/>
        <w:outlineLvl w:val="2"/>
        <w:rPr>
          <w:rFonts w:ascii="仿宋" w:hAnsi="仿宋" w:eastAsia="仿宋" w:cs="仿宋"/>
          <w:b/>
          <w:color w:val="auto"/>
          <w:sz w:val="24"/>
          <w:szCs w:val="24"/>
        </w:rPr>
      </w:pPr>
      <w:bookmarkStart w:id="107" w:name="_Toc15084"/>
      <w:bookmarkStart w:id="108" w:name="_Toc26369"/>
      <w:bookmarkStart w:id="109" w:name="_Toc16899"/>
      <w:bookmarkStart w:id="110" w:name="_Toc6567"/>
      <w:bookmarkStart w:id="111" w:name="_Toc21302"/>
      <w:bookmarkStart w:id="112" w:name="_Toc16292"/>
      <w:bookmarkStart w:id="113" w:name="_Toc8899"/>
      <w:bookmarkStart w:id="114" w:name="_Toc2941"/>
      <w:bookmarkStart w:id="115" w:name="_Toc27262"/>
      <w:r>
        <w:rPr>
          <w:rFonts w:hint="eastAsia" w:ascii="仿宋" w:hAnsi="仿宋" w:eastAsia="仿宋" w:cs="仿宋"/>
          <w:b/>
          <w:color w:val="auto"/>
          <w:sz w:val="24"/>
          <w:szCs w:val="24"/>
        </w:rPr>
        <w:t>（二）</w:t>
      </w:r>
      <w:r>
        <w:rPr>
          <w:rFonts w:hint="eastAsia" w:ascii="仿宋" w:hAnsi="仿宋" w:eastAsia="仿宋" w:cs="仿宋"/>
          <w:b/>
          <w:color w:val="auto"/>
          <w:sz w:val="24"/>
          <w:szCs w:val="24"/>
          <w:lang w:val="zh-CN"/>
        </w:rPr>
        <w:t>合格的供应商要求</w:t>
      </w:r>
      <w:bookmarkEnd w:id="107"/>
      <w:bookmarkEnd w:id="108"/>
      <w:bookmarkEnd w:id="109"/>
      <w:bookmarkEnd w:id="110"/>
      <w:bookmarkEnd w:id="111"/>
      <w:bookmarkEnd w:id="112"/>
      <w:bookmarkEnd w:id="113"/>
      <w:bookmarkEnd w:id="114"/>
      <w:bookmarkEnd w:id="115"/>
    </w:p>
    <w:p>
      <w:pPr>
        <w:spacing w:line="360" w:lineRule="auto"/>
        <w:ind w:firstLine="482" w:firstLineChars="200"/>
        <w:rPr>
          <w:rFonts w:ascii="仿宋" w:hAnsi="仿宋" w:eastAsia="仿宋" w:cs="仿宋"/>
          <w:b/>
          <w:bCs/>
          <w:color w:val="auto"/>
          <w:sz w:val="24"/>
          <w:szCs w:val="24"/>
        </w:rPr>
      </w:pPr>
      <w:r>
        <w:rPr>
          <w:rFonts w:hint="eastAsia" w:ascii="仿宋" w:hAnsi="仿宋" w:eastAsia="仿宋" w:cs="仿宋"/>
          <w:b/>
          <w:bCs/>
          <w:color w:val="auto"/>
          <w:sz w:val="24"/>
          <w:szCs w:val="24"/>
        </w:rPr>
        <w:t>1、基本资格条件：符合《中华人民共和国政府采购法》第二十二条的规定；</w:t>
      </w:r>
    </w:p>
    <w:p>
      <w:pPr>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1）提供统一社会信用代码的营业执照或其他组织经营的合法凭证或自然人的提供身份证明文件</w:t>
      </w:r>
      <w:r>
        <w:rPr>
          <w:rFonts w:hint="eastAsia" w:ascii="仿宋" w:hAnsi="仿宋" w:eastAsia="仿宋" w:cs="仿宋"/>
          <w:color w:val="auto"/>
          <w:sz w:val="24"/>
          <w:szCs w:val="24"/>
          <w:lang w:val="zh-CN"/>
        </w:rPr>
        <w:t>；</w:t>
      </w:r>
    </w:p>
    <w:p>
      <w:pPr>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2）财务状况报告：提供具有财务审计资质单位出具的2021年度财务报告或开标前六个月内其基本账户银行出具的资信证明（附基本户证明资料）或财政部门认可的政府采购专业担保机构出具的担保函，以上形式的证明资料提供任何一种即可</w:t>
      </w:r>
      <w:r>
        <w:rPr>
          <w:rFonts w:hint="eastAsia" w:ascii="仿宋" w:hAnsi="仿宋" w:eastAsia="仿宋" w:cs="仿宋"/>
          <w:color w:val="auto"/>
          <w:sz w:val="24"/>
          <w:szCs w:val="24"/>
          <w:lang w:val="zh-CN"/>
        </w:rPr>
        <w:t>；</w:t>
      </w:r>
    </w:p>
    <w:p>
      <w:pPr>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3）税收缴纳证明：提供已缴纳的 2022年1月1日以来至少一个月的纳税证明或完税证明（提供增值税、企业所得税至少一种），纳税证明或完税证明上</w:t>
      </w:r>
      <w:r>
        <w:rPr>
          <w:rFonts w:hint="eastAsia" w:ascii="仿宋" w:hAnsi="仿宋" w:eastAsia="仿宋" w:cs="仿宋"/>
          <w:color w:val="auto"/>
          <w:sz w:val="24"/>
          <w:szCs w:val="24"/>
          <w:lang w:val="zh-CN"/>
        </w:rPr>
        <w:t>应有代收机构或税务机关的公章或业务专用章。依法免税的供应商应提供相关文件证明；</w:t>
      </w:r>
    </w:p>
    <w:p>
      <w:pPr>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（4）社会保障资金缴纳证明：提供已缴存的 2022年1月1日以来至少一个月的社会保障资金缴存单据或社保机构开具的社会保险参保缴费情况证明。成立时间至提交响应文件截止时间不足一个月或依法不需要缴纳社会保障资金的供应商应提供相关文件证明；</w:t>
      </w:r>
    </w:p>
    <w:p>
      <w:pPr>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（5）出具履行合同所必需的设备和专业技术能力的书面声明；</w:t>
      </w:r>
    </w:p>
    <w:p>
      <w:pPr>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6</w:t>
      </w:r>
      <w:r>
        <w:rPr>
          <w:rFonts w:hint="eastAsia" w:ascii="仿宋" w:hAnsi="仿宋" w:eastAsia="仿宋" w:cs="仿宋"/>
          <w:color w:val="auto"/>
          <w:sz w:val="24"/>
          <w:szCs w:val="24"/>
          <w:lang w:val="zh-CN"/>
        </w:rPr>
        <w:t>）出具参加本次政府采购活动的书面声明。</w:t>
      </w:r>
    </w:p>
    <w:p>
      <w:pPr>
        <w:spacing w:line="360" w:lineRule="auto"/>
        <w:ind w:firstLine="482" w:firstLineChars="200"/>
        <w:rPr>
          <w:rFonts w:ascii="仿宋" w:hAnsi="仿宋" w:eastAsia="仿宋" w:cs="仿宋"/>
          <w:color w:val="auto"/>
          <w:sz w:val="24"/>
          <w:szCs w:val="24"/>
        </w:rPr>
      </w:pPr>
      <w:r>
        <w:rPr>
          <w:rFonts w:hint="eastAsia" w:ascii="仿宋" w:hAnsi="仿宋" w:eastAsia="仿宋" w:cs="仿宋"/>
          <w:b/>
          <w:bCs/>
          <w:color w:val="auto"/>
          <w:sz w:val="24"/>
          <w:szCs w:val="24"/>
        </w:rPr>
        <w:t>2、特定资格条件：</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（1）法定代表人授权书及被授权人身份证，并且提供有效的劳动合同或开标截止前六个月内任意一个月养老保险缴纳证明（法人参加只需提供法定代表人身份证明）；</w:t>
      </w:r>
    </w:p>
    <w:p>
      <w:pPr>
        <w:tabs>
          <w:tab w:val="left" w:pos="9030"/>
        </w:tabs>
        <w:snapToGrid w:val="0"/>
        <w:spacing w:line="360" w:lineRule="auto"/>
        <w:ind w:firstLine="480" w:firstLineChars="200"/>
        <w:rPr>
          <w:rFonts w:ascii="仿宋" w:hAnsi="仿宋" w:eastAsia="仿宋" w:cs="仿宋"/>
          <w:color w:val="auto"/>
          <w:kern w:val="0"/>
          <w:sz w:val="24"/>
          <w:szCs w:val="24"/>
        </w:rPr>
      </w:pPr>
      <w:r>
        <w:rPr>
          <w:rFonts w:hint="eastAsia" w:ascii="仿宋" w:hAnsi="仿宋" w:eastAsia="仿宋" w:cs="仿宋"/>
          <w:color w:val="auto"/>
          <w:kern w:val="0"/>
          <w:sz w:val="24"/>
          <w:szCs w:val="24"/>
        </w:rPr>
        <w:t>（2）符合《财政部关于在政府采购活动中查询及使用信用记录有关问题的通知》（财库【2016】125号）文件中信用查询的要求。（此项由采购人与采购代理单位在开标时查询，以现场查询为准）</w:t>
      </w:r>
    </w:p>
    <w:p>
      <w:pPr>
        <w:autoSpaceDE w:val="0"/>
        <w:autoSpaceDN w:val="0"/>
        <w:adjustRightInd w:val="0"/>
        <w:spacing w:line="360" w:lineRule="auto"/>
        <w:ind w:firstLine="482" w:firstLineChars="200"/>
        <w:outlineLvl w:val="2"/>
        <w:rPr>
          <w:rFonts w:ascii="仿宋" w:hAnsi="仿宋" w:eastAsia="仿宋" w:cs="仿宋"/>
          <w:b/>
          <w:bCs/>
          <w:color w:val="auto"/>
          <w:sz w:val="24"/>
          <w:szCs w:val="24"/>
        </w:rPr>
      </w:pPr>
      <w:bookmarkStart w:id="116" w:name="_Toc15273"/>
      <w:bookmarkStart w:id="117" w:name="_Toc12028"/>
      <w:bookmarkStart w:id="118" w:name="_Toc29705"/>
      <w:bookmarkStart w:id="119" w:name="_Toc15370"/>
      <w:bookmarkStart w:id="120" w:name="_Toc28737"/>
      <w:bookmarkStart w:id="121" w:name="_Toc15017"/>
      <w:bookmarkStart w:id="122" w:name="_Toc3918"/>
      <w:bookmarkStart w:id="123" w:name="_Toc16392"/>
      <w:bookmarkStart w:id="124" w:name="_Toc2160"/>
      <w:r>
        <w:rPr>
          <w:rFonts w:hint="eastAsia" w:ascii="仿宋" w:hAnsi="仿宋" w:eastAsia="仿宋" w:cs="仿宋"/>
          <w:b/>
          <w:bCs/>
          <w:color w:val="auto"/>
          <w:sz w:val="24"/>
          <w:szCs w:val="24"/>
        </w:rPr>
        <w:t>（三）</w:t>
      </w:r>
      <w:r>
        <w:rPr>
          <w:rFonts w:hint="eastAsia" w:ascii="仿宋" w:hAnsi="仿宋" w:eastAsia="仿宋" w:cs="仿宋"/>
          <w:b/>
          <w:bCs/>
          <w:color w:val="auto"/>
          <w:sz w:val="24"/>
          <w:szCs w:val="24"/>
          <w:lang w:val="zh-CN"/>
        </w:rPr>
        <w:t>限制投标要求</w:t>
      </w:r>
      <w:bookmarkEnd w:id="116"/>
      <w:bookmarkEnd w:id="117"/>
      <w:bookmarkEnd w:id="118"/>
      <w:bookmarkEnd w:id="119"/>
      <w:bookmarkEnd w:id="120"/>
      <w:bookmarkEnd w:id="121"/>
      <w:bookmarkEnd w:id="122"/>
      <w:bookmarkEnd w:id="123"/>
      <w:bookmarkEnd w:id="124"/>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val="zh-CN"/>
        </w:rPr>
        <w:t>供应商单位负责人为同一人或者存在直接控股、管理关系的不同供应商，不得参加同一项目或同一标段的政府采购活动。</w:t>
      </w:r>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2、</w:t>
      </w:r>
      <w:r>
        <w:rPr>
          <w:rFonts w:hint="eastAsia" w:ascii="仿宋" w:hAnsi="仿宋" w:eastAsia="仿宋" w:cs="仿宋"/>
          <w:color w:val="auto"/>
          <w:sz w:val="24"/>
          <w:szCs w:val="24"/>
          <w:lang w:val="zh-CN"/>
        </w:rPr>
        <w:t>除单一来源采购项目外，为采购项目提供过整体设计、规范编制或者项目管理、监理、检测等服务的供应商，不得再参加同一项目的其他采购活动。</w:t>
      </w:r>
    </w:p>
    <w:p>
      <w:pPr>
        <w:autoSpaceDE w:val="0"/>
        <w:autoSpaceDN w:val="0"/>
        <w:adjustRightIn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rPr>
        <w:t>3、</w:t>
      </w:r>
      <w:r>
        <w:rPr>
          <w:rFonts w:hint="eastAsia" w:ascii="仿宋" w:hAnsi="仿宋" w:eastAsia="仿宋" w:cs="仿宋"/>
          <w:bCs/>
          <w:color w:val="auto"/>
          <w:sz w:val="24"/>
          <w:szCs w:val="24"/>
          <w:lang w:val="zh-CN"/>
        </w:rPr>
        <w:t>对列入失信被执行人、重大税收违法案件当事人名单、政府采购严重违法失信行为记录名单及其他不符合《中华人民共和国政府采购法》第二十二条规定条件的供应商，采购代理机构将拒绝其参与政府采购活动。</w:t>
      </w:r>
    </w:p>
    <w:p>
      <w:pPr>
        <w:autoSpaceDE w:val="0"/>
        <w:autoSpaceDN w:val="0"/>
        <w:adjustRightInd w:val="0"/>
        <w:spacing w:line="360" w:lineRule="auto"/>
        <w:ind w:firstLine="482" w:firstLineChars="200"/>
        <w:rPr>
          <w:rFonts w:ascii="仿宋" w:hAnsi="仿宋" w:eastAsia="仿宋" w:cs="仿宋"/>
          <w:bCs/>
          <w:color w:val="auto"/>
          <w:sz w:val="24"/>
          <w:szCs w:val="24"/>
        </w:rPr>
      </w:pPr>
      <w:r>
        <w:rPr>
          <w:rFonts w:hint="eastAsia" w:ascii="仿宋" w:hAnsi="仿宋" w:eastAsia="仿宋" w:cs="仿宋"/>
          <w:b/>
          <w:color w:val="auto"/>
          <w:sz w:val="24"/>
          <w:szCs w:val="24"/>
        </w:rPr>
        <w:t>4、</w:t>
      </w:r>
      <w:r>
        <w:rPr>
          <w:rFonts w:hint="eastAsia" w:ascii="仿宋" w:hAnsi="仿宋" w:eastAsia="仿宋" w:cs="仿宋"/>
          <w:b/>
          <w:color w:val="auto"/>
          <w:sz w:val="24"/>
          <w:szCs w:val="24"/>
          <w:lang w:val="zh-CN"/>
        </w:rPr>
        <w:t>本次招标项目不接受联合体</w:t>
      </w:r>
      <w:r>
        <w:rPr>
          <w:rFonts w:hint="eastAsia" w:ascii="仿宋" w:hAnsi="仿宋" w:eastAsia="仿宋" w:cs="仿宋"/>
          <w:b/>
          <w:color w:val="auto"/>
          <w:sz w:val="24"/>
          <w:szCs w:val="24"/>
        </w:rPr>
        <w:t>投</w:t>
      </w:r>
      <w:r>
        <w:rPr>
          <w:rFonts w:hint="eastAsia" w:ascii="仿宋" w:hAnsi="仿宋" w:eastAsia="仿宋" w:cs="仿宋"/>
          <w:b/>
          <w:color w:val="auto"/>
          <w:sz w:val="24"/>
          <w:szCs w:val="24"/>
          <w:lang w:val="zh-CN"/>
        </w:rPr>
        <w:t>标</w:t>
      </w:r>
      <w:r>
        <w:rPr>
          <w:rFonts w:hint="eastAsia" w:ascii="仿宋" w:hAnsi="仿宋" w:eastAsia="仿宋" w:cs="仿宋"/>
          <w:bCs/>
          <w:color w:val="auto"/>
          <w:sz w:val="24"/>
          <w:szCs w:val="24"/>
          <w:lang w:val="zh-CN"/>
        </w:rPr>
        <w:t>。</w:t>
      </w:r>
    </w:p>
    <w:p>
      <w:pPr>
        <w:tabs>
          <w:tab w:val="left" w:pos="9030"/>
        </w:tabs>
        <w:snapToGrid w:val="0"/>
        <w:spacing w:line="360" w:lineRule="auto"/>
        <w:ind w:firstLine="482" w:firstLineChars="200"/>
        <w:outlineLvl w:val="2"/>
        <w:rPr>
          <w:rFonts w:ascii="仿宋" w:hAnsi="仿宋" w:eastAsia="仿宋" w:cs="仿宋"/>
          <w:b/>
          <w:bCs/>
          <w:color w:val="auto"/>
          <w:sz w:val="24"/>
          <w:szCs w:val="24"/>
          <w:lang w:val="zh-CN"/>
        </w:rPr>
      </w:pPr>
      <w:bookmarkStart w:id="125" w:name="_Toc4916"/>
      <w:bookmarkStart w:id="126" w:name="_Toc29714"/>
      <w:bookmarkStart w:id="127" w:name="_Toc7380"/>
      <w:bookmarkStart w:id="128" w:name="_Toc9223"/>
      <w:bookmarkStart w:id="129" w:name="_Toc12838"/>
      <w:bookmarkStart w:id="130" w:name="_Toc1281"/>
      <w:bookmarkStart w:id="131" w:name="_Toc2643"/>
      <w:bookmarkStart w:id="132" w:name="_Toc17603"/>
      <w:bookmarkStart w:id="133" w:name="_Toc18636"/>
      <w:r>
        <w:rPr>
          <w:rFonts w:hint="eastAsia" w:ascii="仿宋" w:hAnsi="仿宋" w:eastAsia="仿宋" w:cs="仿宋"/>
          <w:b/>
          <w:bCs/>
          <w:color w:val="auto"/>
          <w:sz w:val="24"/>
          <w:szCs w:val="24"/>
        </w:rPr>
        <w:t>（四）</w:t>
      </w:r>
      <w:r>
        <w:rPr>
          <w:rFonts w:hint="eastAsia" w:ascii="仿宋" w:hAnsi="仿宋" w:eastAsia="仿宋" w:cs="仿宋"/>
          <w:b/>
          <w:bCs/>
          <w:color w:val="auto"/>
          <w:sz w:val="24"/>
          <w:szCs w:val="24"/>
          <w:lang w:val="zh-CN"/>
        </w:rPr>
        <w:t>投标文件有效期</w:t>
      </w:r>
      <w:bookmarkEnd w:id="125"/>
      <w:bookmarkEnd w:id="126"/>
      <w:bookmarkEnd w:id="127"/>
      <w:bookmarkEnd w:id="128"/>
      <w:bookmarkEnd w:id="129"/>
      <w:bookmarkEnd w:id="130"/>
      <w:bookmarkEnd w:id="131"/>
      <w:bookmarkEnd w:id="132"/>
      <w:bookmarkEnd w:id="133"/>
    </w:p>
    <w:p>
      <w:pPr>
        <w:tabs>
          <w:tab w:val="left" w:pos="9030"/>
        </w:tabs>
        <w:snapToGri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color w:val="auto"/>
          <w:sz w:val="24"/>
          <w:szCs w:val="24"/>
          <w:lang w:val="zh-CN"/>
        </w:rPr>
        <w:t>投标文件有效期为自开标之日起90个日历日，在有效期内投标文件对供应商具有法律约束力，以保证采购人完成评标、定标以及合同签订事项。中标人的投标文件有效期自动延长至合同执行完毕。</w:t>
      </w:r>
    </w:p>
    <w:p>
      <w:pPr>
        <w:autoSpaceDE w:val="0"/>
        <w:autoSpaceDN w:val="0"/>
        <w:adjustRightInd w:val="0"/>
        <w:snapToGrid w:val="0"/>
        <w:spacing w:line="360" w:lineRule="auto"/>
        <w:ind w:firstLine="482" w:firstLineChars="200"/>
        <w:outlineLvl w:val="2"/>
        <w:rPr>
          <w:rFonts w:ascii="仿宋" w:hAnsi="仿宋" w:eastAsia="仿宋" w:cs="仿宋"/>
          <w:b/>
          <w:color w:val="auto"/>
          <w:sz w:val="24"/>
          <w:szCs w:val="24"/>
          <w:lang w:val="zh-CN"/>
        </w:rPr>
      </w:pPr>
      <w:bookmarkStart w:id="134" w:name="_Toc13087"/>
      <w:bookmarkStart w:id="135" w:name="_Toc18264"/>
      <w:bookmarkStart w:id="136" w:name="_Toc8253"/>
      <w:bookmarkStart w:id="137" w:name="_Toc21375"/>
      <w:bookmarkStart w:id="138" w:name="_Toc10986"/>
      <w:bookmarkStart w:id="139" w:name="_Toc27607"/>
      <w:bookmarkStart w:id="140" w:name="_Toc9574"/>
      <w:bookmarkStart w:id="141" w:name="_Toc21738"/>
      <w:bookmarkStart w:id="142" w:name="_Toc11560"/>
      <w:r>
        <w:rPr>
          <w:rFonts w:hint="eastAsia" w:ascii="仿宋" w:hAnsi="仿宋" w:eastAsia="仿宋" w:cs="仿宋"/>
          <w:b/>
          <w:color w:val="auto"/>
          <w:sz w:val="24"/>
          <w:szCs w:val="24"/>
          <w:lang w:val="zh-CN"/>
        </w:rPr>
        <w:t>（五）投标文件的编写要求</w:t>
      </w:r>
      <w:bookmarkEnd w:id="134"/>
      <w:bookmarkEnd w:id="135"/>
      <w:bookmarkEnd w:id="136"/>
      <w:bookmarkEnd w:id="137"/>
      <w:bookmarkEnd w:id="138"/>
      <w:bookmarkEnd w:id="139"/>
      <w:bookmarkEnd w:id="140"/>
      <w:bookmarkEnd w:id="141"/>
      <w:bookmarkEnd w:id="142"/>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val="zh-CN"/>
        </w:rPr>
        <w:t>未从采购代理机构处直接获取招标文件的供应商，谢绝报价。投标文件必须根据采购代理机构发售的投标文件格式编写，各供应商对招标文件做出实质性响应。具体内容包括：</w:t>
      </w:r>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val="zh-CN"/>
        </w:rPr>
        <w:t>对投标函中内容的响应；</w:t>
      </w:r>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（2）</w:t>
      </w:r>
      <w:r>
        <w:rPr>
          <w:rFonts w:hint="eastAsia" w:ascii="仿宋" w:hAnsi="仿宋" w:eastAsia="仿宋" w:cs="仿宋"/>
          <w:color w:val="auto"/>
          <w:sz w:val="24"/>
          <w:szCs w:val="24"/>
          <w:lang w:val="zh-CN"/>
        </w:rPr>
        <w:t>开标一览表（报价表）和</w:t>
      </w:r>
      <w:r>
        <w:rPr>
          <w:rFonts w:hint="eastAsia" w:ascii="仿宋" w:hAnsi="仿宋" w:eastAsia="仿宋" w:cs="仿宋"/>
          <w:color w:val="auto"/>
          <w:kern w:val="0"/>
          <w:sz w:val="24"/>
          <w:szCs w:val="24"/>
        </w:rPr>
        <w:t>费用组成明细</w:t>
      </w:r>
      <w:r>
        <w:rPr>
          <w:rFonts w:hint="eastAsia" w:ascii="仿宋" w:hAnsi="仿宋" w:eastAsia="仿宋" w:cs="仿宋"/>
          <w:color w:val="auto"/>
          <w:kern w:val="0"/>
          <w:sz w:val="24"/>
          <w:szCs w:val="24"/>
          <w:lang w:val="zh-CN"/>
        </w:rPr>
        <w:t>表</w:t>
      </w:r>
      <w:r>
        <w:rPr>
          <w:rFonts w:hint="eastAsia" w:ascii="仿宋" w:hAnsi="仿宋" w:eastAsia="仿宋" w:cs="仿宋"/>
          <w:color w:val="auto"/>
          <w:sz w:val="24"/>
          <w:szCs w:val="24"/>
          <w:lang w:val="zh-CN"/>
        </w:rPr>
        <w:t>。</w:t>
      </w:r>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val="zh-CN"/>
        </w:rPr>
        <w:t>供应商须出具的合格供应商要求文件，证明参加供应商是响应本项目招标的合格供应商。</w:t>
      </w:r>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（4）</w:t>
      </w:r>
      <w:r>
        <w:rPr>
          <w:rFonts w:hint="eastAsia" w:ascii="仿宋" w:hAnsi="仿宋" w:eastAsia="仿宋" w:cs="仿宋"/>
          <w:color w:val="auto"/>
          <w:sz w:val="24"/>
          <w:szCs w:val="24"/>
          <w:lang w:val="zh-CN"/>
        </w:rPr>
        <w:t>供应商为本次招标活动编制的实施方案，具有履行合同所必须的人员和专业技术能力，配备了相应的商务和技术人员，项目在组织实施、财务保证、培训服务、售后服务等方面具体做法和保障措施。</w:t>
      </w:r>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（5）</w:t>
      </w:r>
      <w:r>
        <w:rPr>
          <w:rFonts w:hint="eastAsia" w:ascii="仿宋" w:hAnsi="仿宋" w:eastAsia="仿宋" w:cs="仿宋"/>
          <w:color w:val="auto"/>
          <w:sz w:val="24"/>
          <w:szCs w:val="24"/>
          <w:lang w:val="zh-CN"/>
        </w:rPr>
        <w:t>供应商提供相应业绩，证明其供应经验及能力，以及为招标活动提供的合理化建议。</w:t>
      </w:r>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（6）</w:t>
      </w:r>
      <w:r>
        <w:rPr>
          <w:rFonts w:hint="eastAsia" w:ascii="仿宋" w:hAnsi="仿宋" w:eastAsia="仿宋" w:cs="仿宋"/>
          <w:color w:val="auto"/>
          <w:sz w:val="24"/>
          <w:szCs w:val="24"/>
          <w:lang w:val="zh-CN"/>
        </w:rPr>
        <w:t>供应商根据招标文件载明采购活动的实际情况，拟在中标后将中标项目非主体、非关键性工作交由他人完成的，应当在投标文件中注明，并提供交由完成企业的营业执照、相应资质等内容，且其允许的资质范围包含本项目招标的内容。</w:t>
      </w:r>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2、</w:t>
      </w:r>
      <w:r>
        <w:rPr>
          <w:rFonts w:hint="eastAsia" w:ascii="仿宋" w:hAnsi="仿宋" w:eastAsia="仿宋" w:cs="仿宋"/>
          <w:color w:val="auto"/>
          <w:sz w:val="24"/>
          <w:szCs w:val="24"/>
          <w:lang w:val="zh-CN"/>
        </w:rPr>
        <w:t>投标文件的编写:</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val="zh-CN"/>
        </w:rPr>
        <w:t>供应商需按招标文件的“第五部分”编写投标文件，</w:t>
      </w:r>
      <w:r>
        <w:rPr>
          <w:rFonts w:hint="eastAsia" w:ascii="仿宋" w:hAnsi="仿宋" w:eastAsia="仿宋" w:cs="仿宋"/>
          <w:bCs/>
          <w:color w:val="auto"/>
          <w:sz w:val="24"/>
          <w:szCs w:val="24"/>
        </w:rPr>
        <w:t>如有必要，可以增加附页，作为投标文件的组成部分。</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（2）投标文件编写说明:</w:t>
      </w:r>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①供应商提交的投标文件以及供应商与采购代理机构就有关投标的所有来往通知、函件和文件均应使用简体中文。</w:t>
      </w:r>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②除技术性能另有规定外，投标文件所使用的度量衡单位，均须采用国家法定计量单位。</w:t>
      </w:r>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③供应商应仔细阅读招标文件，充分理解招标文件的要求。凡与招标文件的规定有重大不符合的投标文件，投标被拒绝。</w:t>
      </w:r>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④凡没有按投标文件格式和内容编写、投标文件组成不全的供应商，投标被拒绝。</w:t>
      </w:r>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⑤供应商必须对招标文件的所有规定和要求作出实质性响应，否则投标被拒绝。</w:t>
      </w:r>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⑥供应商应仔细阅读招标文件的所有内容，按招标文件的要求提供投标文件，并保证所提供的全部资料的真实性，否则投标被拒绝。</w:t>
      </w:r>
    </w:p>
    <w:p>
      <w:pPr>
        <w:autoSpaceDE w:val="0"/>
        <w:autoSpaceDN w:val="0"/>
        <w:adjustRightInd w:val="0"/>
        <w:snapToGrid w:val="0"/>
        <w:spacing w:line="360" w:lineRule="auto"/>
        <w:ind w:firstLine="482" w:firstLineChars="200"/>
        <w:outlineLvl w:val="2"/>
        <w:rPr>
          <w:rFonts w:ascii="仿宋" w:hAnsi="仿宋" w:eastAsia="仿宋" w:cs="仿宋"/>
          <w:b/>
          <w:color w:val="auto"/>
          <w:sz w:val="24"/>
          <w:szCs w:val="24"/>
          <w:lang w:val="zh-CN"/>
        </w:rPr>
      </w:pPr>
      <w:bookmarkStart w:id="143" w:name="_Toc14561"/>
      <w:bookmarkStart w:id="144" w:name="_Toc19554"/>
      <w:bookmarkStart w:id="145" w:name="_Toc11144"/>
      <w:bookmarkStart w:id="146" w:name="_Toc1681"/>
      <w:bookmarkStart w:id="147" w:name="_Toc30294"/>
      <w:bookmarkStart w:id="148" w:name="_Toc2227"/>
      <w:bookmarkStart w:id="149" w:name="_Toc11902"/>
      <w:bookmarkStart w:id="150" w:name="_Toc4232"/>
      <w:bookmarkStart w:id="151" w:name="_Toc2115"/>
      <w:r>
        <w:rPr>
          <w:rFonts w:hint="eastAsia" w:ascii="仿宋" w:hAnsi="仿宋" w:eastAsia="仿宋" w:cs="仿宋"/>
          <w:b/>
          <w:color w:val="auto"/>
          <w:sz w:val="24"/>
          <w:szCs w:val="24"/>
          <w:lang w:val="zh-CN"/>
        </w:rPr>
        <w:t>（六）投标报价要求</w:t>
      </w:r>
      <w:bookmarkEnd w:id="143"/>
      <w:bookmarkEnd w:id="144"/>
      <w:bookmarkEnd w:id="145"/>
      <w:bookmarkEnd w:id="146"/>
      <w:bookmarkEnd w:id="147"/>
      <w:bookmarkEnd w:id="148"/>
      <w:bookmarkEnd w:id="149"/>
      <w:bookmarkEnd w:id="150"/>
      <w:bookmarkEnd w:id="151"/>
    </w:p>
    <w:p>
      <w:pPr>
        <w:tabs>
          <w:tab w:val="left" w:pos="9030"/>
        </w:tabs>
        <w:snapToGrid w:val="0"/>
        <w:spacing w:line="360" w:lineRule="auto"/>
        <w:ind w:firstLine="480" w:firstLineChars="200"/>
        <w:rPr>
          <w:rFonts w:ascii="仿宋" w:hAnsi="仿宋" w:eastAsia="仿宋" w:cs="仿宋"/>
          <w:color w:val="auto"/>
          <w:sz w:val="24"/>
          <w:szCs w:val="24"/>
        </w:rPr>
      </w:pPr>
      <w:bookmarkStart w:id="152" w:name="_Toc10555"/>
      <w:r>
        <w:rPr>
          <w:rFonts w:hint="eastAsia" w:ascii="仿宋" w:hAnsi="仿宋" w:eastAsia="仿宋" w:cs="仿宋"/>
          <w:color w:val="auto"/>
          <w:sz w:val="24"/>
          <w:szCs w:val="24"/>
        </w:rPr>
        <w:t>1、供应商应在投标文件中的投标报价一览表上标明投标总报价</w:t>
      </w:r>
      <w:r>
        <w:rPr>
          <w:rFonts w:hint="eastAsia" w:ascii="仿宋" w:hAnsi="仿宋" w:eastAsia="仿宋" w:cs="仿宋"/>
          <w:color w:val="auto"/>
          <w:kern w:val="0"/>
          <w:sz w:val="24"/>
          <w:szCs w:val="24"/>
          <w:lang w:val="zh-CN"/>
        </w:rPr>
        <w:t>、</w:t>
      </w:r>
      <w:r>
        <w:rPr>
          <w:rFonts w:hint="eastAsia" w:ascii="仿宋" w:hAnsi="仿宋" w:eastAsia="仿宋" w:cs="仿宋"/>
          <w:color w:val="auto"/>
          <w:kern w:val="0"/>
          <w:sz w:val="24"/>
          <w:szCs w:val="24"/>
        </w:rPr>
        <w:t>交货期</w:t>
      </w:r>
      <w:r>
        <w:rPr>
          <w:rFonts w:hint="eastAsia" w:ascii="仿宋" w:hAnsi="仿宋" w:eastAsia="仿宋" w:cs="仿宋"/>
          <w:color w:val="auto"/>
          <w:kern w:val="0"/>
          <w:sz w:val="24"/>
          <w:szCs w:val="24"/>
          <w:lang w:val="zh-CN"/>
        </w:rPr>
        <w:t>等，</w:t>
      </w:r>
      <w:r>
        <w:rPr>
          <w:rFonts w:hint="eastAsia" w:ascii="仿宋" w:hAnsi="仿宋" w:eastAsia="仿宋" w:cs="仿宋"/>
          <w:color w:val="auto"/>
          <w:sz w:val="24"/>
          <w:szCs w:val="24"/>
          <w:lang w:val="zh-CN"/>
        </w:rPr>
        <w:t>投标总报价</w:t>
      </w:r>
      <w:r>
        <w:rPr>
          <w:rFonts w:hint="eastAsia" w:ascii="仿宋" w:hAnsi="仿宋" w:eastAsia="仿宋" w:cs="仿宋"/>
          <w:color w:val="auto"/>
          <w:sz w:val="24"/>
          <w:szCs w:val="24"/>
        </w:rPr>
        <w:t>只能提交唯一报价，任何有选择的报价采购代理机构将不予接受，其投标文件视为无效文件。</w:t>
      </w:r>
    </w:p>
    <w:p>
      <w:pPr>
        <w:autoSpaceDE w:val="0"/>
        <w:autoSpaceDN w:val="0"/>
        <w:adjustRightIn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2、投标总价是指完成本次服务所须的全部费用。</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val="zh-CN"/>
        </w:rPr>
        <w:t>凡因供应商对招标文件阅读不深、理解不透、误解、疏漏、或因市场行情了解不清造成的后果和风险均由供应商自行负责。</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4、</w:t>
      </w:r>
      <w:r>
        <w:rPr>
          <w:rFonts w:hint="eastAsia" w:ascii="仿宋" w:hAnsi="仿宋" w:eastAsia="仿宋" w:cs="仿宋"/>
          <w:color w:val="auto"/>
          <w:sz w:val="24"/>
          <w:szCs w:val="24"/>
          <w:lang w:val="zh-CN"/>
        </w:rPr>
        <w:t>供应商不得以低于成本的报价参与投标。当评标委员会认为，某供应商的报价或者部分分项报价存在明显不合理的低于成本的报价，有可能影响服务质量和不能诚信履约的，可要求该供应商在规定期限内，提供必要的书面文件予以解释和说明并附带相关证明材料；否则，评标委员会认定该供应商以低于成本价竞价，其投标文件作无效文件处理。</w:t>
      </w:r>
    </w:p>
    <w:p>
      <w:pPr>
        <w:pStyle w:val="36"/>
        <w:spacing w:line="360" w:lineRule="auto"/>
        <w:ind w:firstLine="480"/>
        <w:rPr>
          <w:rFonts w:ascii="仿宋" w:hAnsi="仿宋" w:eastAsia="仿宋" w:cs="仿宋"/>
          <w:color w:val="auto"/>
          <w:sz w:val="24"/>
          <w:szCs w:val="24"/>
        </w:rPr>
      </w:pPr>
      <w:r>
        <w:rPr>
          <w:rFonts w:hint="eastAsia" w:ascii="仿宋" w:hAnsi="仿宋" w:eastAsia="仿宋" w:cs="仿宋"/>
          <w:color w:val="auto"/>
          <w:sz w:val="24"/>
          <w:szCs w:val="24"/>
        </w:rPr>
        <w:t>5、</w:t>
      </w:r>
      <w:r>
        <w:rPr>
          <w:rFonts w:hint="eastAsia" w:ascii="仿宋" w:hAnsi="仿宋" w:eastAsia="仿宋" w:cs="仿宋"/>
          <w:color w:val="auto"/>
          <w:sz w:val="24"/>
          <w:szCs w:val="24"/>
          <w:lang w:val="zh-CN"/>
        </w:rPr>
        <w:t>最低报价不是中标的唯一依据，投标过程中所产生的一切费用由供应商自行承担。</w:t>
      </w:r>
    </w:p>
    <w:bookmarkEnd w:id="152"/>
    <w:p>
      <w:pPr>
        <w:autoSpaceDE w:val="0"/>
        <w:autoSpaceDN w:val="0"/>
        <w:adjustRightInd w:val="0"/>
        <w:snapToGrid w:val="0"/>
        <w:spacing w:line="360" w:lineRule="auto"/>
        <w:ind w:firstLine="482" w:firstLineChars="200"/>
        <w:outlineLvl w:val="2"/>
        <w:rPr>
          <w:rFonts w:ascii="仿宋" w:hAnsi="仿宋" w:eastAsia="仿宋" w:cs="仿宋"/>
          <w:b/>
          <w:color w:val="auto"/>
          <w:sz w:val="24"/>
          <w:szCs w:val="24"/>
          <w:lang w:val="zh-CN"/>
        </w:rPr>
      </w:pPr>
      <w:bookmarkStart w:id="153" w:name="_Toc6827"/>
      <w:bookmarkStart w:id="154" w:name="_Toc18340"/>
      <w:bookmarkStart w:id="155" w:name="_Toc25857"/>
      <w:bookmarkStart w:id="156" w:name="_Toc11741"/>
      <w:bookmarkStart w:id="157" w:name="_Toc19259"/>
      <w:bookmarkStart w:id="158" w:name="_Toc1086"/>
      <w:bookmarkStart w:id="159" w:name="_Toc14066"/>
      <w:bookmarkStart w:id="160" w:name="_Toc26261"/>
      <w:bookmarkStart w:id="161" w:name="_Toc3341"/>
      <w:r>
        <w:rPr>
          <w:rFonts w:hint="eastAsia" w:ascii="仿宋" w:hAnsi="仿宋" w:eastAsia="仿宋" w:cs="仿宋"/>
          <w:b/>
          <w:color w:val="auto"/>
          <w:sz w:val="24"/>
          <w:szCs w:val="24"/>
          <w:lang w:val="zh-CN"/>
        </w:rPr>
        <w:t>（七）投标文件的式样和签署</w:t>
      </w:r>
      <w:bookmarkEnd w:id="153"/>
      <w:bookmarkEnd w:id="154"/>
      <w:bookmarkEnd w:id="155"/>
      <w:bookmarkEnd w:id="156"/>
      <w:bookmarkEnd w:id="157"/>
      <w:bookmarkEnd w:id="158"/>
      <w:bookmarkEnd w:id="159"/>
      <w:bookmarkEnd w:id="160"/>
      <w:bookmarkEnd w:id="161"/>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val="zh-CN"/>
        </w:rPr>
        <w:t>供应商应按照招标文件格式，准备正本一份、副本三份和投标文件电子版一份（提供与纸质投标文件一致的PDF格式和</w:t>
      </w:r>
      <w:r>
        <w:rPr>
          <w:rFonts w:hint="eastAsia" w:ascii="仿宋" w:hAnsi="仿宋" w:eastAsia="仿宋" w:cs="仿宋"/>
          <w:color w:val="auto"/>
          <w:sz w:val="24"/>
          <w:szCs w:val="24"/>
        </w:rPr>
        <w:t>word格式</w:t>
      </w:r>
      <w:r>
        <w:rPr>
          <w:rFonts w:hint="eastAsia" w:ascii="仿宋" w:hAnsi="仿宋" w:eastAsia="仿宋" w:cs="仿宋"/>
          <w:color w:val="auto"/>
          <w:sz w:val="24"/>
          <w:szCs w:val="24"/>
          <w:lang w:val="zh-CN"/>
        </w:rPr>
        <w:t>，U盘存储），投标文件的封面上应清楚地标记“正本”、“副本”、“电子版”字样。招标文件中“第五部分 四、供应商资格证明文件”单独胶装成册1本，与投标文件正本一同密封。</w:t>
      </w:r>
    </w:p>
    <w:p>
      <w:pPr>
        <w:tabs>
          <w:tab w:val="left" w:pos="9030"/>
        </w:tabs>
        <w:snapToGrid w:val="0"/>
        <w:spacing w:line="360" w:lineRule="auto"/>
        <w:ind w:firstLine="480" w:firstLineChars="200"/>
        <w:rPr>
          <w:rFonts w:ascii="仿宋" w:hAnsi="仿宋" w:eastAsia="仿宋" w:cs="仿宋"/>
          <w:color w:val="auto"/>
          <w:spacing w:val="-6"/>
          <w:sz w:val="24"/>
          <w:szCs w:val="24"/>
        </w:rPr>
      </w:pPr>
      <w:r>
        <w:rPr>
          <w:rFonts w:hint="eastAsia" w:ascii="仿宋" w:hAnsi="仿宋" w:eastAsia="仿宋" w:cs="仿宋"/>
          <w:color w:val="auto"/>
          <w:sz w:val="24"/>
          <w:szCs w:val="24"/>
        </w:rPr>
        <w:t>2、投标文件的正本和所有的副本均须双面打印并用不褪色蓝（黑）墨水（汁）书写，统一装订、标码，在每一页的正下方清楚标明页码等字样。</w:t>
      </w:r>
      <w:r>
        <w:rPr>
          <w:rFonts w:hint="eastAsia" w:ascii="仿宋" w:hAnsi="仿宋" w:eastAsia="仿宋" w:cs="仿宋"/>
          <w:color w:val="auto"/>
          <w:spacing w:val="-6"/>
          <w:sz w:val="24"/>
          <w:szCs w:val="24"/>
        </w:rPr>
        <w:t>因字迹不清、表达不准或不按给定的投标文件格式编制的投标文件，所引起的不利后果由供应商自负。</w:t>
      </w:r>
    </w:p>
    <w:p>
      <w:pPr>
        <w:tabs>
          <w:tab w:val="left" w:pos="9030"/>
        </w:tabs>
        <w:snapToGri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color w:val="auto"/>
          <w:sz w:val="24"/>
          <w:szCs w:val="24"/>
        </w:rPr>
        <w:t>3、</w:t>
      </w:r>
      <w:r>
        <w:rPr>
          <w:rFonts w:hint="eastAsia" w:ascii="仿宋" w:hAnsi="仿宋" w:eastAsia="仿宋" w:cs="仿宋"/>
          <w:bCs/>
          <w:color w:val="auto"/>
          <w:sz w:val="24"/>
          <w:szCs w:val="24"/>
        </w:rPr>
        <w:t>投标文件必须加盖供应商公章并按照招标文件要求由法定代表人（或授权代表人）签字。若未按照要求签署的，按无效文件处理。</w:t>
      </w:r>
    </w:p>
    <w:p>
      <w:pPr>
        <w:tabs>
          <w:tab w:val="left" w:pos="9030"/>
        </w:tabs>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4、投标文件的打印应清楚工整，统一采用A4纸编制（如部分附表需要用其他规格的复印纸编写，则应按A4复印纸折叠）。</w:t>
      </w:r>
    </w:p>
    <w:p>
      <w:pPr>
        <w:tabs>
          <w:tab w:val="left" w:pos="9030"/>
        </w:tabs>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5、</w:t>
      </w:r>
      <w:r>
        <w:rPr>
          <w:rFonts w:hint="eastAsia" w:ascii="仿宋" w:hAnsi="仿宋" w:eastAsia="仿宋" w:cs="仿宋"/>
          <w:color w:val="auto"/>
          <w:spacing w:val="2"/>
          <w:sz w:val="24"/>
          <w:szCs w:val="24"/>
          <w:lang w:val="zh-CN"/>
        </w:rPr>
        <w:t>除供应商对错处做必要修改外，投标文件不得行间插字、涂改和增删，如有修改错漏处，必须由供应商法定代表人或其授权人代表签字并加盖供应商公章。</w:t>
      </w:r>
    </w:p>
    <w:p>
      <w:pPr>
        <w:tabs>
          <w:tab w:val="left" w:pos="9030"/>
        </w:tabs>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6、投标文件应牢固装订成册，不可插页抽页。牢固装订成册是指用适当的办法,书脊涂有胶粘剂以保证投标文件不至于散开或用简单办法不能将任何一页在没有任何损坏的情况下取出或插入。各种用活页夹、文件夹、塑料方便式书脊（插入式或穿孔式）装订均不认为是牢固装订。</w:t>
      </w:r>
    </w:p>
    <w:p>
      <w:pPr>
        <w:autoSpaceDE w:val="0"/>
        <w:autoSpaceDN w:val="0"/>
        <w:adjustRightInd w:val="0"/>
        <w:snapToGrid w:val="0"/>
        <w:spacing w:line="360" w:lineRule="auto"/>
        <w:ind w:firstLine="482" w:firstLineChars="200"/>
        <w:outlineLvl w:val="2"/>
        <w:rPr>
          <w:rFonts w:ascii="仿宋" w:hAnsi="仿宋" w:eastAsia="仿宋" w:cs="仿宋"/>
          <w:b/>
          <w:color w:val="auto"/>
          <w:sz w:val="24"/>
          <w:szCs w:val="24"/>
          <w:lang w:val="zh-CN"/>
        </w:rPr>
      </w:pPr>
      <w:bookmarkStart w:id="162" w:name="_Toc5650"/>
      <w:bookmarkStart w:id="163" w:name="_Toc1531"/>
      <w:bookmarkStart w:id="164" w:name="_Toc12685"/>
      <w:bookmarkStart w:id="165" w:name="_Toc19200"/>
      <w:bookmarkStart w:id="166" w:name="_Toc12544"/>
      <w:bookmarkStart w:id="167" w:name="_Toc22503"/>
      <w:bookmarkStart w:id="168" w:name="_Toc20484"/>
      <w:bookmarkStart w:id="169" w:name="_Toc7086"/>
      <w:bookmarkStart w:id="170" w:name="_Toc32210"/>
      <w:r>
        <w:rPr>
          <w:rFonts w:hint="eastAsia" w:ascii="仿宋" w:hAnsi="仿宋" w:eastAsia="仿宋" w:cs="仿宋"/>
          <w:b/>
          <w:color w:val="auto"/>
          <w:sz w:val="24"/>
          <w:szCs w:val="24"/>
          <w:lang w:val="zh-CN"/>
        </w:rPr>
        <w:t>（八）投标文件的密封和提交</w:t>
      </w:r>
      <w:bookmarkEnd w:id="162"/>
      <w:bookmarkEnd w:id="163"/>
      <w:bookmarkEnd w:id="164"/>
      <w:bookmarkEnd w:id="165"/>
      <w:bookmarkEnd w:id="166"/>
      <w:bookmarkEnd w:id="167"/>
      <w:bookmarkEnd w:id="168"/>
      <w:bookmarkEnd w:id="169"/>
      <w:bookmarkEnd w:id="170"/>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val="zh-CN"/>
        </w:rPr>
        <w:t>投标文件密封</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val="zh-CN"/>
        </w:rPr>
        <w:t>供应商应将投标文件分为</w:t>
      </w:r>
      <w:r>
        <w:rPr>
          <w:rFonts w:hint="eastAsia" w:ascii="仿宋" w:hAnsi="仿宋" w:eastAsia="仿宋" w:cs="仿宋"/>
          <w:color w:val="auto"/>
          <w:sz w:val="24"/>
          <w:szCs w:val="24"/>
        </w:rPr>
        <w:t>3个包装袋。</w:t>
      </w:r>
      <w:r>
        <w:rPr>
          <w:rFonts w:hint="eastAsia" w:ascii="仿宋" w:hAnsi="仿宋" w:eastAsia="仿宋" w:cs="仿宋"/>
          <w:color w:val="auto"/>
          <w:sz w:val="24"/>
          <w:szCs w:val="24"/>
          <w:lang w:val="zh-CN"/>
        </w:rPr>
        <w:t>正本单独密封、所有副本密封，投标文件电子版单独密封且在外层包装上标明字样。</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（2）</w:t>
      </w:r>
      <w:r>
        <w:rPr>
          <w:rFonts w:hint="eastAsia" w:ascii="仿宋" w:hAnsi="仿宋" w:eastAsia="仿宋" w:cs="仿宋"/>
          <w:color w:val="auto"/>
          <w:sz w:val="24"/>
          <w:szCs w:val="24"/>
          <w:lang w:val="zh-CN"/>
        </w:rPr>
        <w:t>外层包装应加封条密封，在封线处加盖公章（骑缝章），标明项目编号、项目名称，供应商全称（公章）、在</w:t>
      </w:r>
      <w:r>
        <w:rPr>
          <w:rFonts w:hint="eastAsia" w:ascii="仿宋" w:hAnsi="仿宋" w:eastAsia="仿宋" w:cs="仿宋"/>
          <w:color w:val="auto"/>
          <w:sz w:val="24"/>
          <w:szCs w:val="24"/>
        </w:rPr>
        <w:t>XXXX年XX月XX日XX：XX前不得启封</w:t>
      </w:r>
      <w:r>
        <w:rPr>
          <w:rFonts w:hint="eastAsia" w:ascii="仿宋" w:hAnsi="仿宋" w:eastAsia="仿宋" w:cs="仿宋"/>
          <w:color w:val="auto"/>
          <w:sz w:val="24"/>
          <w:szCs w:val="24"/>
          <w:lang w:val="zh-CN"/>
        </w:rPr>
        <w:t>等内容。</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2、</w:t>
      </w:r>
      <w:r>
        <w:rPr>
          <w:rFonts w:hint="eastAsia" w:ascii="仿宋" w:hAnsi="仿宋" w:eastAsia="仿宋" w:cs="仿宋"/>
          <w:color w:val="auto"/>
          <w:sz w:val="24"/>
          <w:szCs w:val="24"/>
          <w:lang w:val="zh-CN"/>
        </w:rPr>
        <w:t>投标文件的递交</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val="zh-CN"/>
        </w:rPr>
        <w:t>供应商应在招标文件要求提交投标文件的截止时间前将投标文件密封送达投标地点，递交并办理签收手续，采购代理机构在收到投标文件后记载投标文件送达时间及密封情况，签收保存，并向供应商出具签收回执。</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（2）</w:t>
      </w:r>
      <w:r>
        <w:rPr>
          <w:rFonts w:hint="eastAsia" w:ascii="仿宋" w:hAnsi="仿宋" w:eastAsia="仿宋" w:cs="仿宋"/>
          <w:color w:val="auto"/>
          <w:sz w:val="24"/>
          <w:szCs w:val="24"/>
          <w:lang w:val="zh-CN"/>
        </w:rPr>
        <w:t>对于要求提供合格供应商必备资格文件和业绩原件等相关资料的采购项目，供应商应将其内容与投标文件一起递交，并标明所提供资料原件的明细表（若文件未要求原件可不提供）。</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val="zh-CN"/>
        </w:rPr>
        <w:t>在招标文件要求提交投标文件的截止时间之后送达的投标文件和相关资料原件，为无效文件，采购代理机构拒绝接收。</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（4）</w:t>
      </w:r>
      <w:r>
        <w:rPr>
          <w:rFonts w:hint="eastAsia" w:ascii="仿宋" w:hAnsi="仿宋" w:eastAsia="仿宋" w:cs="仿宋"/>
          <w:color w:val="auto"/>
          <w:sz w:val="24"/>
          <w:szCs w:val="24"/>
          <w:lang w:val="zh-CN"/>
        </w:rPr>
        <w:t>采购代理机构在招标文件规定的投标文件递交截止时间前，只负责投标文件和其相关资料原件的接收、登记和组织工作，对其投标文件和相关资料原件的有效性不负任何责任。</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5）</w:t>
      </w:r>
      <w:r>
        <w:rPr>
          <w:rFonts w:hint="eastAsia" w:ascii="仿宋" w:hAnsi="仿宋" w:eastAsia="仿宋" w:cs="仿宋"/>
          <w:color w:val="auto"/>
          <w:sz w:val="24"/>
          <w:szCs w:val="24"/>
          <w:lang w:val="zh-CN"/>
        </w:rPr>
        <w:t>投标文件递送后，在投标截止期前，供应商可以补充、修改或撤回其投标文件，并书面通知采购代理机构。补充、修改的内容应按招标文件的要求签署、盖章，密封后，作为投标文件的组成部分。</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6）</w:t>
      </w:r>
      <w:r>
        <w:rPr>
          <w:rFonts w:hint="eastAsia" w:ascii="仿宋" w:hAnsi="仿宋" w:eastAsia="仿宋" w:cs="仿宋"/>
          <w:color w:val="auto"/>
          <w:sz w:val="24"/>
          <w:szCs w:val="24"/>
          <w:lang w:val="zh-CN"/>
        </w:rPr>
        <w:t>投标截止时间后，供应商不得对其投标文件做任何修改。</w:t>
      </w:r>
    </w:p>
    <w:p>
      <w:pPr>
        <w:autoSpaceDE w:val="0"/>
        <w:autoSpaceDN w:val="0"/>
        <w:adjustRightInd w:val="0"/>
        <w:snapToGrid w:val="0"/>
        <w:spacing w:line="360" w:lineRule="auto"/>
        <w:ind w:firstLine="482" w:firstLineChars="200"/>
        <w:outlineLvl w:val="1"/>
        <w:rPr>
          <w:rFonts w:ascii="仿宋" w:hAnsi="仿宋" w:eastAsia="仿宋" w:cs="仿宋"/>
          <w:b/>
          <w:color w:val="auto"/>
          <w:sz w:val="24"/>
          <w:szCs w:val="24"/>
          <w:lang w:val="zh-CN"/>
        </w:rPr>
      </w:pPr>
      <w:bookmarkStart w:id="171" w:name="_Toc17873"/>
      <w:bookmarkStart w:id="172" w:name="_Toc31734"/>
      <w:bookmarkStart w:id="173" w:name="_Toc3457"/>
      <w:bookmarkStart w:id="174" w:name="_Toc21515"/>
      <w:bookmarkStart w:id="175" w:name="_Toc14306"/>
      <w:bookmarkStart w:id="176" w:name="_Toc23613"/>
      <w:bookmarkStart w:id="177" w:name="_Toc27743"/>
      <w:bookmarkStart w:id="178" w:name="_Toc25855"/>
      <w:r>
        <w:rPr>
          <w:rFonts w:hint="eastAsia" w:ascii="仿宋" w:hAnsi="仿宋" w:eastAsia="仿宋" w:cs="仿宋"/>
          <w:b/>
          <w:color w:val="auto"/>
          <w:sz w:val="24"/>
          <w:szCs w:val="24"/>
          <w:lang w:val="zh-CN"/>
        </w:rPr>
        <w:t>四、开标</w:t>
      </w:r>
      <w:bookmarkEnd w:id="171"/>
      <w:bookmarkEnd w:id="172"/>
      <w:bookmarkEnd w:id="173"/>
      <w:bookmarkEnd w:id="174"/>
      <w:bookmarkEnd w:id="175"/>
      <w:bookmarkEnd w:id="176"/>
      <w:bookmarkEnd w:id="177"/>
      <w:bookmarkEnd w:id="178"/>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（一）采购代理机构在规定的时间和地点组织公开开标并对开标、评标现场活动进行全程录音录像。</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（二）开标由采购代理机构主持，采购人、供应商和有关方面代表参加，签名报到以证明其出席。</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（三）开标截止时间后供应商不足三家的，不进行开标。</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（四）开标时，由供应商或者其推选的代表检查投标文件的密封情况，以确认各供应商的投标文件密封情况是否与递交时一致，没有被提前启封等异常情况。</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五）对投标文件的密封确认无误后，由采购代理机构工作人员当众拆封投标文件，以公开唱标的形式宣布供应商名称、投标价格以及采购代理机构认为合适的其他内容，无异议后，由供应商法定代表人（或被授权代表人）和监标人签字确认。</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（六）在开标时没有拆封和宣读的投标文件将原封退回给供应商。</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（七）以邮寄方式递交投标文件的为无效投标，不予启封。</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（八）供应商未参加开标的，视同认可开标结果。</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（九）开标过程由采购代理机构指定专人记录，参加开标的各供应商代表和相关工作人员签字确认后随采购文件一并存档。</w:t>
      </w:r>
    </w:p>
    <w:p>
      <w:pPr>
        <w:autoSpaceDE w:val="0"/>
        <w:autoSpaceDN w:val="0"/>
        <w:adjustRightInd w:val="0"/>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lang w:val="zh-CN"/>
        </w:rPr>
        <w:t>（十）供应商代表对开标过程和开标记录有疑义，以及认为采购人、采购代理机构相关工作人员有需要回避的情形的，应当场提出询问或者回避申请。采购代理机构对供应商代表提出的询问或者回避申请应当及时处理。</w:t>
      </w:r>
    </w:p>
    <w:p>
      <w:pPr>
        <w:autoSpaceDE w:val="0"/>
        <w:autoSpaceDN w:val="0"/>
        <w:adjustRightInd w:val="0"/>
        <w:snapToGrid w:val="0"/>
        <w:spacing w:line="360" w:lineRule="auto"/>
        <w:ind w:firstLine="482" w:firstLineChars="200"/>
        <w:outlineLvl w:val="1"/>
        <w:rPr>
          <w:rFonts w:ascii="仿宋" w:hAnsi="仿宋" w:eastAsia="仿宋" w:cs="仿宋"/>
          <w:b/>
          <w:color w:val="auto"/>
          <w:sz w:val="24"/>
          <w:szCs w:val="24"/>
          <w:lang w:val="zh-CN"/>
        </w:rPr>
      </w:pPr>
      <w:bookmarkStart w:id="179" w:name="_Toc21519"/>
      <w:bookmarkStart w:id="180" w:name="_Toc16283"/>
      <w:bookmarkStart w:id="181" w:name="_Toc13967"/>
      <w:bookmarkStart w:id="182" w:name="_Toc3139"/>
      <w:bookmarkStart w:id="183" w:name="_Toc11628"/>
      <w:bookmarkStart w:id="184" w:name="_Toc22028"/>
      <w:bookmarkStart w:id="185" w:name="_Toc8012"/>
      <w:bookmarkStart w:id="186" w:name="_Toc10987"/>
      <w:r>
        <w:rPr>
          <w:rFonts w:hint="eastAsia" w:ascii="仿宋" w:hAnsi="仿宋" w:eastAsia="仿宋" w:cs="仿宋"/>
          <w:b/>
          <w:color w:val="auto"/>
          <w:sz w:val="24"/>
          <w:szCs w:val="24"/>
          <w:lang w:val="zh-CN"/>
        </w:rPr>
        <w:t>五、评标</w:t>
      </w:r>
      <w:bookmarkEnd w:id="179"/>
      <w:bookmarkEnd w:id="180"/>
      <w:bookmarkEnd w:id="181"/>
      <w:bookmarkEnd w:id="182"/>
      <w:bookmarkEnd w:id="183"/>
      <w:bookmarkEnd w:id="184"/>
      <w:bookmarkEnd w:id="185"/>
      <w:bookmarkEnd w:id="186"/>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（一）</w:t>
      </w:r>
      <w:r>
        <w:rPr>
          <w:rFonts w:hint="eastAsia" w:ascii="仿宋" w:hAnsi="仿宋" w:eastAsia="仿宋" w:cs="仿宋"/>
          <w:color w:val="auto"/>
          <w:sz w:val="24"/>
          <w:szCs w:val="24"/>
          <w:lang w:val="zh-CN"/>
        </w:rPr>
        <w:t>按照《中华人民共和国政府采购法》、《中华人民共和国政府采购法实施条例》和《政府采购货物和服务招标投标管理办法》</w:t>
      </w:r>
      <w:r>
        <w:rPr>
          <w:rFonts w:hint="eastAsia" w:ascii="仿宋" w:hAnsi="仿宋" w:eastAsia="仿宋" w:cs="仿宋"/>
          <w:color w:val="auto"/>
          <w:sz w:val="24"/>
          <w:szCs w:val="24"/>
        </w:rPr>
        <w:t>87号令</w:t>
      </w:r>
      <w:r>
        <w:rPr>
          <w:rFonts w:hint="eastAsia" w:ascii="仿宋" w:hAnsi="仿宋" w:eastAsia="仿宋" w:cs="仿宋"/>
          <w:color w:val="auto"/>
          <w:sz w:val="24"/>
          <w:szCs w:val="24"/>
          <w:lang w:val="zh-CN"/>
        </w:rPr>
        <w:t>的规定，依法组建评标委员会。</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（二）</w:t>
      </w:r>
      <w:r>
        <w:rPr>
          <w:rFonts w:hint="eastAsia" w:ascii="仿宋" w:hAnsi="仿宋" w:eastAsia="仿宋" w:cs="仿宋"/>
          <w:color w:val="auto"/>
          <w:sz w:val="24"/>
          <w:szCs w:val="24"/>
          <w:lang w:val="zh-CN"/>
        </w:rPr>
        <w:t>评标委员会的组成</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本项目评标委员会为</w:t>
      </w:r>
      <w:r>
        <w:rPr>
          <w:rFonts w:hint="eastAsia" w:ascii="仿宋" w:hAnsi="仿宋" w:eastAsia="仿宋" w:cs="仿宋"/>
          <w:color w:val="auto"/>
          <w:sz w:val="24"/>
          <w:szCs w:val="24"/>
        </w:rPr>
        <w:t>5人或以上单数，</w:t>
      </w:r>
      <w:r>
        <w:rPr>
          <w:rFonts w:hint="eastAsia" w:ascii="仿宋" w:hAnsi="仿宋" w:eastAsia="仿宋" w:cs="仿宋"/>
          <w:color w:val="auto"/>
          <w:sz w:val="24"/>
          <w:szCs w:val="24"/>
          <w:lang w:val="zh-CN"/>
        </w:rPr>
        <w:t>评审专家在省级以上财政部门设立的政府采购评审专家库中随机抽取，其中评审专家不得少于成员总数的三分之二，评标委员会成员与供应商有利害关系的应当回避。</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（三）</w:t>
      </w:r>
      <w:r>
        <w:rPr>
          <w:rFonts w:hint="eastAsia" w:ascii="仿宋" w:hAnsi="仿宋" w:eastAsia="仿宋" w:cs="仿宋"/>
          <w:color w:val="auto"/>
          <w:sz w:val="24"/>
          <w:szCs w:val="24"/>
          <w:lang w:val="zh-CN"/>
        </w:rPr>
        <w:t>评标委员会的职责</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val="zh-CN"/>
        </w:rPr>
        <w:t>审查、评价投标文件是否符合招标文件的商务、技术等实质性要求；</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2、</w:t>
      </w:r>
      <w:r>
        <w:rPr>
          <w:rFonts w:hint="eastAsia" w:ascii="仿宋" w:hAnsi="仿宋" w:eastAsia="仿宋" w:cs="仿宋"/>
          <w:color w:val="auto"/>
          <w:sz w:val="24"/>
          <w:szCs w:val="24"/>
          <w:lang w:val="zh-CN"/>
        </w:rPr>
        <w:t>要求供应商对投标文件有关事项作出澄清或者说明；</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val="zh-CN"/>
        </w:rPr>
        <w:t>对投标文件进行比较和评价；</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4、</w:t>
      </w:r>
      <w:r>
        <w:rPr>
          <w:rFonts w:hint="eastAsia" w:ascii="仿宋" w:hAnsi="仿宋" w:eastAsia="仿宋" w:cs="仿宋"/>
          <w:color w:val="auto"/>
          <w:sz w:val="24"/>
          <w:szCs w:val="24"/>
          <w:lang w:val="zh-CN"/>
        </w:rPr>
        <w:t>确定中标候选人名单，以及根据采购人委托直接确定中标供应商；</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5、</w:t>
      </w:r>
      <w:r>
        <w:rPr>
          <w:rFonts w:hint="eastAsia" w:ascii="仿宋" w:hAnsi="仿宋" w:eastAsia="仿宋" w:cs="仿宋"/>
          <w:color w:val="auto"/>
          <w:sz w:val="24"/>
          <w:szCs w:val="24"/>
          <w:lang w:val="zh-CN"/>
        </w:rPr>
        <w:t>向采购人、采购代理机构或者有关部门报告评标中发现的违法行为；</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6、</w:t>
      </w:r>
      <w:r>
        <w:rPr>
          <w:rFonts w:hint="eastAsia" w:ascii="仿宋" w:hAnsi="仿宋" w:eastAsia="仿宋" w:cs="仿宋"/>
          <w:color w:val="auto"/>
          <w:sz w:val="24"/>
          <w:szCs w:val="24"/>
          <w:lang w:val="zh-CN"/>
        </w:rPr>
        <w:t>配合采购代理机构答复供应商提出的质疑；</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7、</w:t>
      </w:r>
      <w:r>
        <w:rPr>
          <w:rFonts w:hint="eastAsia" w:ascii="仿宋" w:hAnsi="仿宋" w:eastAsia="仿宋" w:cs="仿宋"/>
          <w:color w:val="auto"/>
          <w:sz w:val="24"/>
          <w:szCs w:val="24"/>
          <w:lang w:val="zh-CN"/>
        </w:rPr>
        <w:t>配合财政部门的投诉处理工作。</w:t>
      </w:r>
    </w:p>
    <w:p>
      <w:pPr>
        <w:tabs>
          <w:tab w:val="left" w:pos="9030"/>
        </w:tabs>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（四）</w:t>
      </w:r>
      <w:r>
        <w:rPr>
          <w:rFonts w:hint="eastAsia" w:ascii="仿宋" w:hAnsi="仿宋" w:eastAsia="仿宋" w:cs="仿宋"/>
          <w:color w:val="auto"/>
          <w:sz w:val="24"/>
          <w:szCs w:val="24"/>
          <w:lang w:val="zh-CN"/>
        </w:rPr>
        <w:t>评标委员会有权对整个招标过程中出现的一切问题，</w:t>
      </w:r>
      <w:r>
        <w:rPr>
          <w:rFonts w:hint="eastAsia" w:ascii="仿宋" w:hAnsi="仿宋" w:eastAsia="仿宋" w:cs="仿宋"/>
          <w:color w:val="auto"/>
          <w:sz w:val="24"/>
          <w:szCs w:val="24"/>
        </w:rPr>
        <w:t>根据《中华人民共和国政府采购法》、《中华人民共和国政府采购实施条例》和《政府采购货物和服务招标投标管理办法》的精神，本着公开、公平、公正的原则，进行处理。</w:t>
      </w:r>
    </w:p>
    <w:p>
      <w:pPr>
        <w:tabs>
          <w:tab w:val="left" w:pos="9030"/>
        </w:tabs>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（五）公开开标后，直到向中标供应商授予合同为止，凡与审查、澄清、评价和比较投标的有关资料及授标意见等内容，评标委员会成员均不得向供应商及与评标无关的其他人透露。</w:t>
      </w:r>
    </w:p>
    <w:p>
      <w:pPr>
        <w:autoSpaceDE w:val="0"/>
        <w:autoSpaceDN w:val="0"/>
        <w:adjustRightInd w:val="0"/>
        <w:snapToGrid w:val="0"/>
        <w:spacing w:line="360" w:lineRule="auto"/>
        <w:ind w:firstLine="482" w:firstLineChars="200"/>
        <w:outlineLvl w:val="1"/>
        <w:rPr>
          <w:rFonts w:ascii="仿宋" w:hAnsi="仿宋" w:eastAsia="仿宋" w:cs="仿宋"/>
          <w:b/>
          <w:color w:val="auto"/>
          <w:sz w:val="24"/>
          <w:szCs w:val="24"/>
          <w:lang w:val="zh-CN"/>
        </w:rPr>
      </w:pPr>
      <w:bookmarkStart w:id="187" w:name="_Toc14292"/>
      <w:bookmarkStart w:id="188" w:name="_Toc6520"/>
      <w:bookmarkStart w:id="189" w:name="_Toc14972"/>
      <w:bookmarkStart w:id="190" w:name="_Toc25493"/>
      <w:bookmarkStart w:id="191" w:name="_Toc18147"/>
      <w:bookmarkStart w:id="192" w:name="_Toc8351"/>
      <w:bookmarkStart w:id="193" w:name="_Toc29394"/>
      <w:bookmarkStart w:id="194" w:name="_Toc20761"/>
      <w:r>
        <w:rPr>
          <w:rFonts w:hint="eastAsia" w:ascii="仿宋" w:hAnsi="仿宋" w:eastAsia="仿宋" w:cs="仿宋"/>
          <w:b/>
          <w:color w:val="auto"/>
          <w:sz w:val="24"/>
          <w:szCs w:val="24"/>
          <w:lang w:val="zh-CN"/>
        </w:rPr>
        <w:t>六、</w:t>
      </w:r>
      <w:bookmarkStart w:id="195" w:name="_Toc495671240"/>
      <w:r>
        <w:rPr>
          <w:rFonts w:hint="eastAsia" w:ascii="仿宋" w:hAnsi="仿宋" w:eastAsia="仿宋" w:cs="仿宋"/>
          <w:b/>
          <w:color w:val="auto"/>
          <w:sz w:val="24"/>
          <w:szCs w:val="24"/>
          <w:lang w:val="zh-CN"/>
        </w:rPr>
        <w:t>评标程序及评标办法</w:t>
      </w:r>
      <w:bookmarkEnd w:id="187"/>
      <w:bookmarkEnd w:id="188"/>
      <w:bookmarkEnd w:id="189"/>
      <w:bookmarkEnd w:id="190"/>
      <w:bookmarkEnd w:id="191"/>
      <w:bookmarkEnd w:id="192"/>
      <w:bookmarkEnd w:id="193"/>
      <w:bookmarkEnd w:id="194"/>
      <w:bookmarkEnd w:id="195"/>
    </w:p>
    <w:p>
      <w:pPr>
        <w:tabs>
          <w:tab w:val="left" w:pos="9030"/>
        </w:tabs>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按照投标文件初审、澄清有关问题、比较与评价、推荐中标候选供应商名单的工作程序进行评标。</w:t>
      </w:r>
    </w:p>
    <w:p>
      <w:pPr>
        <w:tabs>
          <w:tab w:val="left" w:pos="9030"/>
        </w:tabs>
        <w:snapToGrid w:val="0"/>
        <w:spacing w:line="360" w:lineRule="auto"/>
        <w:ind w:firstLine="480" w:firstLineChars="200"/>
        <w:outlineLvl w:val="2"/>
        <w:rPr>
          <w:rFonts w:ascii="仿宋" w:hAnsi="仿宋" w:eastAsia="仿宋" w:cs="仿宋"/>
          <w:color w:val="auto"/>
          <w:sz w:val="24"/>
          <w:szCs w:val="24"/>
        </w:rPr>
      </w:pPr>
      <w:bookmarkStart w:id="196" w:name="_Toc26"/>
      <w:bookmarkStart w:id="197" w:name="_Toc19431"/>
      <w:bookmarkStart w:id="198" w:name="_Toc9980"/>
      <w:bookmarkStart w:id="199" w:name="_Toc2630"/>
      <w:bookmarkStart w:id="200" w:name="_Toc1543"/>
      <w:bookmarkStart w:id="201" w:name="_Toc14549"/>
      <w:bookmarkStart w:id="202" w:name="_Toc16065"/>
      <w:bookmarkStart w:id="203" w:name="_Toc2042"/>
      <w:bookmarkStart w:id="204" w:name="_Toc21585"/>
      <w:r>
        <w:rPr>
          <w:rFonts w:hint="eastAsia" w:ascii="仿宋" w:hAnsi="仿宋" w:eastAsia="仿宋" w:cs="仿宋"/>
          <w:color w:val="auto"/>
          <w:sz w:val="24"/>
          <w:szCs w:val="24"/>
        </w:rPr>
        <w:t>（一）投标文件初审</w:t>
      </w:r>
      <w:bookmarkEnd w:id="196"/>
      <w:bookmarkEnd w:id="197"/>
      <w:bookmarkEnd w:id="198"/>
      <w:bookmarkEnd w:id="199"/>
      <w:bookmarkEnd w:id="200"/>
      <w:bookmarkEnd w:id="201"/>
      <w:bookmarkEnd w:id="202"/>
      <w:bookmarkEnd w:id="203"/>
      <w:bookmarkEnd w:id="204"/>
    </w:p>
    <w:p>
      <w:pPr>
        <w:tabs>
          <w:tab w:val="left" w:pos="9030"/>
        </w:tabs>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初审分为资格性检查和符合性检查。分别按照以下内容对投标文件进行检查，一项不合格即按照无效投标处理。</w:t>
      </w:r>
    </w:p>
    <w:p>
      <w:pPr>
        <w:tabs>
          <w:tab w:val="left" w:pos="9030"/>
        </w:tabs>
        <w:snapToGrid w:val="0"/>
        <w:spacing w:line="360" w:lineRule="auto"/>
        <w:ind w:firstLine="482" w:firstLineChars="200"/>
        <w:rPr>
          <w:rFonts w:ascii="仿宋" w:hAnsi="仿宋" w:eastAsia="仿宋" w:cs="仿宋"/>
          <w:b/>
          <w:bCs/>
          <w:color w:val="auto"/>
          <w:sz w:val="24"/>
          <w:szCs w:val="24"/>
        </w:rPr>
      </w:pPr>
      <w:r>
        <w:rPr>
          <w:rFonts w:hint="eastAsia" w:ascii="仿宋" w:hAnsi="仿宋" w:eastAsia="仿宋" w:cs="仿宋"/>
          <w:b/>
          <w:bCs/>
          <w:color w:val="auto"/>
          <w:sz w:val="24"/>
          <w:szCs w:val="24"/>
        </w:rPr>
        <w:t>1、投标文件的资格性审查：依据法律法规和招标文件的规定，采购人及采购代理机构对投标文件中的资格证明文件等进行审查，审查内容为公告中所列的供应商资格条件。</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4"/>
        <w:gridCol w:w="2256"/>
        <w:gridCol w:w="5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604" w:type="dxa"/>
            <w:vAlign w:val="center"/>
          </w:tcPr>
          <w:p>
            <w:pPr>
              <w:tabs>
                <w:tab w:val="left" w:pos="9030"/>
              </w:tabs>
              <w:snapToGrid w:val="0"/>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序号</w:t>
            </w:r>
          </w:p>
        </w:tc>
        <w:tc>
          <w:tcPr>
            <w:tcW w:w="2256" w:type="dxa"/>
            <w:vAlign w:val="center"/>
          </w:tcPr>
          <w:p>
            <w:pPr>
              <w:tabs>
                <w:tab w:val="left" w:pos="9030"/>
              </w:tabs>
              <w:snapToGrid w:val="0"/>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资格审查项</w:t>
            </w:r>
          </w:p>
        </w:tc>
        <w:tc>
          <w:tcPr>
            <w:tcW w:w="5860" w:type="dxa"/>
            <w:vAlign w:val="center"/>
          </w:tcPr>
          <w:p>
            <w:pPr>
              <w:tabs>
                <w:tab w:val="left" w:pos="9030"/>
              </w:tabs>
              <w:snapToGrid w:val="0"/>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tabs>
                <w:tab w:val="left" w:pos="9030"/>
              </w:tabs>
              <w:snapToGrid w:val="0"/>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w:t>
            </w:r>
          </w:p>
        </w:tc>
        <w:tc>
          <w:tcPr>
            <w:tcW w:w="2256"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营业执照等主体资格证明文件</w:t>
            </w:r>
          </w:p>
        </w:tc>
        <w:tc>
          <w:tcPr>
            <w:tcW w:w="5860" w:type="dxa"/>
            <w:vAlign w:val="center"/>
          </w:tcPr>
          <w:p>
            <w:pPr>
              <w:tabs>
                <w:tab w:val="left" w:pos="9030"/>
              </w:tabs>
              <w:snapToGrid w:val="0"/>
              <w:spacing w:line="360" w:lineRule="auto"/>
              <w:jc w:val="left"/>
              <w:rPr>
                <w:rFonts w:ascii="仿宋" w:hAnsi="仿宋" w:eastAsia="仿宋" w:cs="仿宋"/>
                <w:color w:val="auto"/>
                <w:sz w:val="24"/>
                <w:szCs w:val="24"/>
              </w:rPr>
            </w:pPr>
            <w:r>
              <w:rPr>
                <w:rFonts w:hint="eastAsia" w:ascii="仿宋" w:hAnsi="仿宋" w:eastAsia="仿宋" w:cs="仿宋"/>
                <w:color w:val="auto"/>
                <w:sz w:val="24"/>
                <w:szCs w:val="24"/>
              </w:rPr>
              <w:t>提供统一社会信用代码的营业执照或其他组织经营的合法凭证或自然人的提供身份证明文件。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tabs>
                <w:tab w:val="left" w:pos="9030"/>
              </w:tabs>
              <w:snapToGrid w:val="0"/>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2</w:t>
            </w:r>
          </w:p>
        </w:tc>
        <w:tc>
          <w:tcPr>
            <w:tcW w:w="2256"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财务状况报告</w:t>
            </w:r>
          </w:p>
        </w:tc>
        <w:tc>
          <w:tcPr>
            <w:tcW w:w="5860" w:type="dxa"/>
            <w:vAlign w:val="center"/>
          </w:tcPr>
          <w:p>
            <w:pPr>
              <w:tabs>
                <w:tab w:val="left" w:pos="9030"/>
              </w:tabs>
              <w:snapToGrid w:val="0"/>
              <w:spacing w:line="360" w:lineRule="auto"/>
              <w:jc w:val="left"/>
              <w:rPr>
                <w:rFonts w:ascii="仿宋" w:hAnsi="仿宋" w:eastAsia="仿宋" w:cs="仿宋"/>
                <w:color w:val="auto"/>
                <w:sz w:val="24"/>
                <w:szCs w:val="24"/>
              </w:rPr>
            </w:pPr>
            <w:r>
              <w:rPr>
                <w:rFonts w:hint="eastAsia" w:ascii="仿宋" w:hAnsi="仿宋" w:eastAsia="仿宋" w:cs="仿宋"/>
                <w:color w:val="auto"/>
                <w:sz w:val="24"/>
                <w:szCs w:val="24"/>
              </w:rPr>
              <w:t>提供具有财务审计资质单位出具的2021年度财务报告或开标前六个月内其基本账户银行出具的资信证明（附基本户证明资料）或财政部门认可的政府采购专业担保机构出具的担保函，以上形式的证明资料提供任何一种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tabs>
                <w:tab w:val="left" w:pos="9030"/>
              </w:tabs>
              <w:snapToGrid w:val="0"/>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3</w:t>
            </w:r>
          </w:p>
        </w:tc>
        <w:tc>
          <w:tcPr>
            <w:tcW w:w="2256"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税收缴纳证明</w:t>
            </w:r>
          </w:p>
        </w:tc>
        <w:tc>
          <w:tcPr>
            <w:tcW w:w="5860" w:type="dxa"/>
            <w:vAlign w:val="center"/>
          </w:tcPr>
          <w:p>
            <w:pPr>
              <w:tabs>
                <w:tab w:val="left" w:pos="9030"/>
              </w:tabs>
              <w:snapToGrid w:val="0"/>
              <w:spacing w:line="360" w:lineRule="auto"/>
              <w:jc w:val="left"/>
              <w:rPr>
                <w:rFonts w:ascii="仿宋" w:hAnsi="仿宋" w:eastAsia="仿宋" w:cs="仿宋"/>
                <w:color w:val="auto"/>
                <w:sz w:val="24"/>
                <w:szCs w:val="24"/>
              </w:rPr>
            </w:pPr>
            <w:r>
              <w:rPr>
                <w:rFonts w:hint="eastAsia" w:ascii="仿宋" w:hAnsi="仿宋" w:eastAsia="仿宋" w:cs="仿宋"/>
                <w:color w:val="auto"/>
                <w:sz w:val="24"/>
                <w:szCs w:val="24"/>
              </w:rPr>
              <w:t>提供已缴纳的 2022年1月1日以来至少一个月的纳税证明或完税证明（提供增值税、企业所得税至少一种），纳税证明或完税证明上应有代收机构或税务机关的公章或业务专用章。依法免税的供应商应提供相关文件证明。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tabs>
                <w:tab w:val="left" w:pos="9030"/>
              </w:tabs>
              <w:snapToGrid w:val="0"/>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4</w:t>
            </w:r>
          </w:p>
        </w:tc>
        <w:tc>
          <w:tcPr>
            <w:tcW w:w="2256"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社保缴纳证明</w:t>
            </w:r>
          </w:p>
        </w:tc>
        <w:tc>
          <w:tcPr>
            <w:tcW w:w="5860" w:type="dxa"/>
            <w:vAlign w:val="center"/>
          </w:tcPr>
          <w:p>
            <w:pPr>
              <w:spacing w:line="360" w:lineRule="auto"/>
              <w:jc w:val="left"/>
              <w:rPr>
                <w:rFonts w:ascii="仿宋" w:hAnsi="仿宋" w:eastAsia="仿宋" w:cs="仿宋"/>
                <w:color w:val="auto"/>
                <w:sz w:val="24"/>
                <w:szCs w:val="24"/>
              </w:rPr>
            </w:pPr>
            <w:r>
              <w:rPr>
                <w:rFonts w:hint="eastAsia" w:ascii="仿宋" w:hAnsi="仿宋" w:eastAsia="仿宋" w:cs="仿宋"/>
                <w:color w:val="auto"/>
                <w:sz w:val="24"/>
                <w:szCs w:val="24"/>
              </w:rPr>
              <w:t>提供已缴存的 2022年1月1日以来至少一个月的社会保障资金缴存单据或社保机构开具的社会保险参保缴费情况证明。成立时间至提交投标文件截止时间不足一个月或依法不需要缴纳社会保障资金的供应商应提供相关文件证明。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tabs>
                <w:tab w:val="left" w:pos="9030"/>
              </w:tabs>
              <w:snapToGrid w:val="0"/>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5</w:t>
            </w:r>
          </w:p>
        </w:tc>
        <w:tc>
          <w:tcPr>
            <w:tcW w:w="2256"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书面声明</w:t>
            </w:r>
          </w:p>
        </w:tc>
        <w:tc>
          <w:tcPr>
            <w:tcW w:w="5860"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1.出具履行合同所必需的设备和专业技术能力的书面声明；</w:t>
            </w:r>
          </w:p>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 xml:space="preserve">2.出具参加本次政府采购活动的书面声明。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tabs>
                <w:tab w:val="left" w:pos="9030"/>
              </w:tabs>
              <w:snapToGrid w:val="0"/>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6</w:t>
            </w:r>
          </w:p>
        </w:tc>
        <w:tc>
          <w:tcPr>
            <w:tcW w:w="2256"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信用记录</w:t>
            </w:r>
          </w:p>
        </w:tc>
        <w:tc>
          <w:tcPr>
            <w:tcW w:w="5860" w:type="dxa"/>
            <w:vAlign w:val="center"/>
          </w:tcPr>
          <w:p>
            <w:pPr>
              <w:tabs>
                <w:tab w:val="left" w:pos="9030"/>
              </w:tabs>
              <w:snapToGrid w:val="0"/>
              <w:spacing w:line="360" w:lineRule="auto"/>
              <w:jc w:val="left"/>
              <w:rPr>
                <w:rFonts w:ascii="仿宋" w:hAnsi="仿宋" w:eastAsia="仿宋" w:cs="仿宋"/>
                <w:color w:val="auto"/>
                <w:sz w:val="24"/>
                <w:szCs w:val="24"/>
              </w:rPr>
            </w:pPr>
            <w:r>
              <w:rPr>
                <w:rFonts w:hint="eastAsia" w:ascii="仿宋" w:hAnsi="仿宋" w:eastAsia="仿宋" w:cs="仿宋"/>
                <w:color w:val="auto"/>
                <w:sz w:val="24"/>
                <w:szCs w:val="24"/>
              </w:rPr>
              <w:t>经查，供应商未被列入“信用中国”网站记录的“失信被执行人”或“重大税收违法失信主体”名单； 不处于“中国政府采购网”记录的“政府采购严重违法失信行为记录名单 ”中的禁止参加政府采购活动期间。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tabs>
                <w:tab w:val="left" w:pos="9030"/>
              </w:tabs>
              <w:snapToGrid w:val="0"/>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7</w:t>
            </w:r>
          </w:p>
        </w:tc>
        <w:tc>
          <w:tcPr>
            <w:tcW w:w="2256" w:type="dxa"/>
            <w:vAlign w:val="center"/>
          </w:tcPr>
          <w:p>
            <w:pPr>
              <w:spacing w:line="360" w:lineRule="auto"/>
              <w:jc w:val="center"/>
              <w:rPr>
                <w:rFonts w:ascii="仿宋" w:hAnsi="仿宋" w:eastAsia="仿宋" w:cs="仿宋"/>
                <w:color w:val="auto"/>
                <w:sz w:val="24"/>
                <w:szCs w:val="24"/>
              </w:rPr>
            </w:pPr>
            <w:r>
              <w:rPr>
                <w:rFonts w:ascii="仿宋" w:hAnsi="仿宋" w:eastAsia="仿宋" w:cs="仿宋"/>
                <w:color w:val="auto"/>
                <w:sz w:val="24"/>
                <w:szCs w:val="24"/>
              </w:rPr>
              <w:t>法定代表人授权委托书</w:t>
            </w:r>
          </w:p>
        </w:tc>
        <w:tc>
          <w:tcPr>
            <w:tcW w:w="5860"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法定代表人授权书及被授权人身份证，并且提供有效的劳动合同或开标截止前六个月内任意一个月养老保险缴纳证明（法人参加只需提供法定代表人身份证明）。</w:t>
            </w:r>
          </w:p>
        </w:tc>
      </w:tr>
    </w:tbl>
    <w:p>
      <w:pPr>
        <w:tabs>
          <w:tab w:val="left" w:pos="9030"/>
        </w:tabs>
        <w:snapToGrid w:val="0"/>
        <w:spacing w:line="360" w:lineRule="auto"/>
        <w:ind w:firstLine="482" w:firstLineChars="200"/>
        <w:rPr>
          <w:rFonts w:ascii="仿宋" w:hAnsi="仿宋" w:eastAsia="仿宋" w:cs="仿宋"/>
          <w:b/>
          <w:bCs/>
          <w:color w:val="auto"/>
          <w:sz w:val="24"/>
          <w:szCs w:val="24"/>
        </w:rPr>
      </w:pPr>
      <w:r>
        <w:rPr>
          <w:rFonts w:hint="eastAsia" w:ascii="仿宋" w:hAnsi="仿宋" w:eastAsia="仿宋" w:cs="仿宋"/>
          <w:b/>
          <w:bCs/>
          <w:color w:val="auto"/>
          <w:sz w:val="24"/>
          <w:szCs w:val="24"/>
          <w:lang w:val="zh-CN"/>
        </w:rPr>
        <w:t>说明：资格审查结束后，资格审查人员对审查结果进行签字确认，若供应商资格审查未通过，注明未通过原因并告知其供应商，资格审查不合格的供应商，不得进入下一评标环节。</w:t>
      </w:r>
    </w:p>
    <w:p>
      <w:pPr>
        <w:tabs>
          <w:tab w:val="left" w:pos="9030"/>
        </w:tabs>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2、投标文件符合性审查：依据招标文件的规定，评标委员会从投标文件的有效性、完整性和对招标文件的响应程度进行审查，以确定是否对招标文件的实质性内容作出响应。</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2143"/>
        <w:gridCol w:w="5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55" w:type="dxa"/>
            <w:vAlign w:val="center"/>
          </w:tcPr>
          <w:p>
            <w:pPr>
              <w:tabs>
                <w:tab w:val="left" w:pos="9030"/>
              </w:tabs>
              <w:snapToGrid w:val="0"/>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序号</w:t>
            </w:r>
          </w:p>
        </w:tc>
        <w:tc>
          <w:tcPr>
            <w:tcW w:w="2143" w:type="dxa"/>
            <w:vAlign w:val="center"/>
          </w:tcPr>
          <w:p>
            <w:pPr>
              <w:tabs>
                <w:tab w:val="left" w:pos="9030"/>
              </w:tabs>
              <w:snapToGrid w:val="0"/>
              <w:spacing w:line="360" w:lineRule="auto"/>
              <w:jc w:val="center"/>
              <w:rPr>
                <w:rFonts w:ascii="仿宋" w:hAnsi="仿宋" w:eastAsia="仿宋" w:cs="仿宋"/>
                <w:color w:val="auto"/>
                <w:sz w:val="24"/>
                <w:szCs w:val="24"/>
              </w:rPr>
            </w:pPr>
            <w:r>
              <w:rPr>
                <w:rFonts w:ascii="仿宋" w:hAnsi="仿宋" w:eastAsia="仿宋" w:cs="仿宋"/>
                <w:color w:val="auto"/>
                <w:sz w:val="24"/>
                <w:szCs w:val="24"/>
              </w:rPr>
              <w:t>符合性审查项</w:t>
            </w:r>
          </w:p>
        </w:tc>
        <w:tc>
          <w:tcPr>
            <w:tcW w:w="5822" w:type="dxa"/>
            <w:vAlign w:val="center"/>
          </w:tcPr>
          <w:p>
            <w:pPr>
              <w:tabs>
                <w:tab w:val="left" w:pos="9030"/>
              </w:tabs>
              <w:snapToGrid w:val="0"/>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w:t>
            </w:r>
          </w:p>
        </w:tc>
        <w:tc>
          <w:tcPr>
            <w:tcW w:w="2143"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投标</w:t>
            </w:r>
            <w:r>
              <w:rPr>
                <w:rFonts w:ascii="仿宋" w:hAnsi="仿宋" w:eastAsia="仿宋" w:cs="仿宋"/>
                <w:color w:val="auto"/>
                <w:sz w:val="24"/>
                <w:szCs w:val="24"/>
              </w:rPr>
              <w:t>文件语言及有效期</w:t>
            </w:r>
          </w:p>
        </w:tc>
        <w:tc>
          <w:tcPr>
            <w:tcW w:w="5822" w:type="dxa"/>
            <w:vAlign w:val="center"/>
          </w:tcPr>
          <w:p>
            <w:pPr>
              <w:tabs>
                <w:tab w:val="left" w:pos="9030"/>
              </w:tabs>
              <w:snapToGrid w:val="0"/>
              <w:spacing w:line="360" w:lineRule="auto"/>
              <w:jc w:val="left"/>
              <w:rPr>
                <w:rFonts w:ascii="仿宋" w:hAnsi="仿宋" w:eastAsia="仿宋" w:cs="仿宋"/>
                <w:color w:val="auto"/>
                <w:sz w:val="24"/>
                <w:szCs w:val="24"/>
              </w:rPr>
            </w:pPr>
            <w:r>
              <w:rPr>
                <w:rFonts w:hint="eastAsia" w:ascii="仿宋" w:hAnsi="仿宋" w:eastAsia="仿宋" w:cs="仿宋"/>
                <w:color w:val="auto"/>
                <w:sz w:val="24"/>
                <w:szCs w:val="24"/>
              </w:rPr>
              <w:t>投标</w:t>
            </w:r>
            <w:r>
              <w:rPr>
                <w:rFonts w:ascii="仿宋" w:hAnsi="仿宋" w:eastAsia="仿宋" w:cs="仿宋"/>
                <w:color w:val="auto"/>
                <w:sz w:val="24"/>
                <w:szCs w:val="24"/>
              </w:rPr>
              <w:t>文件语言及有效期符合</w:t>
            </w:r>
            <w:r>
              <w:rPr>
                <w:rFonts w:hint="eastAsia" w:ascii="仿宋" w:hAnsi="仿宋" w:eastAsia="仿宋" w:cs="仿宋"/>
                <w:color w:val="auto"/>
                <w:sz w:val="24"/>
                <w:szCs w:val="24"/>
              </w:rPr>
              <w:t>招标</w:t>
            </w:r>
            <w:r>
              <w:rPr>
                <w:rFonts w:ascii="仿宋" w:hAnsi="仿宋" w:eastAsia="仿宋" w:cs="仿宋"/>
                <w:color w:val="auto"/>
                <w:sz w:val="24"/>
                <w:szCs w:val="24"/>
              </w:rPr>
              <w:t>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2</w:t>
            </w:r>
          </w:p>
        </w:tc>
        <w:tc>
          <w:tcPr>
            <w:tcW w:w="2143"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投标</w:t>
            </w:r>
            <w:r>
              <w:rPr>
                <w:rFonts w:ascii="仿宋" w:hAnsi="仿宋" w:eastAsia="仿宋" w:cs="仿宋"/>
                <w:color w:val="auto"/>
                <w:sz w:val="24"/>
                <w:szCs w:val="24"/>
              </w:rPr>
              <w:t>文件的</w:t>
            </w:r>
            <w:r>
              <w:rPr>
                <w:rFonts w:hint="eastAsia" w:ascii="仿宋" w:hAnsi="仿宋" w:eastAsia="仿宋" w:cs="仿宋"/>
                <w:color w:val="auto"/>
                <w:sz w:val="24"/>
                <w:szCs w:val="24"/>
              </w:rPr>
              <w:t>投标</w:t>
            </w:r>
            <w:r>
              <w:rPr>
                <w:rFonts w:ascii="仿宋" w:hAnsi="仿宋" w:eastAsia="仿宋" w:cs="仿宋"/>
                <w:color w:val="auto"/>
                <w:sz w:val="24"/>
                <w:szCs w:val="24"/>
              </w:rPr>
              <w:t>函以及法定代表人授权委托书</w:t>
            </w:r>
          </w:p>
        </w:tc>
        <w:tc>
          <w:tcPr>
            <w:tcW w:w="5822" w:type="dxa"/>
            <w:vAlign w:val="center"/>
          </w:tcPr>
          <w:p>
            <w:pPr>
              <w:tabs>
                <w:tab w:val="left" w:pos="9030"/>
              </w:tabs>
              <w:snapToGrid w:val="0"/>
              <w:spacing w:line="360" w:lineRule="auto"/>
              <w:jc w:val="left"/>
              <w:rPr>
                <w:rFonts w:ascii="仿宋" w:hAnsi="仿宋" w:eastAsia="仿宋" w:cs="仿宋"/>
                <w:color w:val="auto"/>
                <w:sz w:val="24"/>
                <w:szCs w:val="24"/>
              </w:rPr>
            </w:pPr>
            <w:r>
              <w:rPr>
                <w:rFonts w:ascii="仿宋" w:hAnsi="仿宋" w:eastAsia="仿宋" w:cs="仿宋"/>
                <w:color w:val="auto"/>
                <w:sz w:val="24"/>
                <w:szCs w:val="24"/>
              </w:rPr>
              <w:t>二处均无遗漏，且所投项目名称、标段应与实际参与项目一致。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3</w:t>
            </w:r>
          </w:p>
        </w:tc>
        <w:tc>
          <w:tcPr>
            <w:tcW w:w="2143"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开标一览表</w:t>
            </w:r>
          </w:p>
        </w:tc>
        <w:tc>
          <w:tcPr>
            <w:tcW w:w="5822" w:type="dxa"/>
            <w:vAlign w:val="center"/>
          </w:tcPr>
          <w:p>
            <w:pPr>
              <w:tabs>
                <w:tab w:val="left" w:pos="9030"/>
              </w:tabs>
              <w:snapToGrid w:val="0"/>
              <w:spacing w:line="360" w:lineRule="auto"/>
              <w:jc w:val="left"/>
              <w:rPr>
                <w:rFonts w:ascii="仿宋" w:hAnsi="仿宋" w:eastAsia="仿宋" w:cs="仿宋"/>
                <w:color w:val="auto"/>
                <w:sz w:val="24"/>
                <w:szCs w:val="24"/>
              </w:rPr>
            </w:pPr>
            <w:r>
              <w:rPr>
                <w:rFonts w:hint="eastAsia" w:ascii="仿宋" w:hAnsi="仿宋" w:eastAsia="仿宋" w:cs="仿宋"/>
                <w:color w:val="auto"/>
                <w:sz w:val="24"/>
                <w:szCs w:val="24"/>
              </w:rPr>
              <w:t>（1） 投标报价符合唯一性要求：</w:t>
            </w:r>
          </w:p>
          <w:p>
            <w:pPr>
              <w:tabs>
                <w:tab w:val="left" w:pos="9030"/>
              </w:tabs>
              <w:snapToGrid w:val="0"/>
              <w:spacing w:line="360" w:lineRule="auto"/>
              <w:jc w:val="left"/>
              <w:rPr>
                <w:rFonts w:ascii="仿宋" w:hAnsi="仿宋" w:eastAsia="仿宋" w:cs="仿宋"/>
                <w:color w:val="auto"/>
                <w:sz w:val="24"/>
                <w:szCs w:val="24"/>
              </w:rPr>
            </w:pPr>
            <w:r>
              <w:rPr>
                <w:rFonts w:hint="eastAsia" w:ascii="仿宋" w:hAnsi="仿宋" w:eastAsia="仿宋" w:cs="仿宋"/>
                <w:color w:val="auto"/>
                <w:sz w:val="24"/>
                <w:szCs w:val="24"/>
              </w:rPr>
              <w:t>（2） 投标报价表填写符合要求；</w:t>
            </w:r>
          </w:p>
          <w:p>
            <w:pPr>
              <w:tabs>
                <w:tab w:val="left" w:pos="9030"/>
              </w:tabs>
              <w:snapToGrid w:val="0"/>
              <w:spacing w:line="360" w:lineRule="auto"/>
              <w:jc w:val="left"/>
              <w:rPr>
                <w:rFonts w:ascii="仿宋" w:hAnsi="仿宋" w:eastAsia="仿宋" w:cs="仿宋"/>
                <w:color w:val="auto"/>
                <w:sz w:val="24"/>
                <w:szCs w:val="24"/>
              </w:rPr>
            </w:pPr>
            <w:r>
              <w:rPr>
                <w:rFonts w:hint="eastAsia" w:ascii="仿宋" w:hAnsi="仿宋" w:eastAsia="仿宋" w:cs="仿宋"/>
                <w:color w:val="auto"/>
                <w:sz w:val="24"/>
                <w:szCs w:val="24"/>
              </w:rPr>
              <w:t>（3） 计量单位、报价货币均符合招标文件要求；</w:t>
            </w:r>
          </w:p>
          <w:p>
            <w:pPr>
              <w:tabs>
                <w:tab w:val="left" w:pos="9030"/>
              </w:tabs>
              <w:snapToGrid w:val="0"/>
              <w:spacing w:line="360" w:lineRule="auto"/>
              <w:jc w:val="left"/>
              <w:rPr>
                <w:rFonts w:ascii="仿宋" w:hAnsi="仿宋" w:eastAsia="仿宋" w:cs="仿宋"/>
                <w:color w:val="auto"/>
                <w:sz w:val="24"/>
                <w:szCs w:val="24"/>
              </w:rPr>
            </w:pPr>
            <w:r>
              <w:rPr>
                <w:rFonts w:hint="eastAsia" w:ascii="仿宋" w:hAnsi="仿宋" w:eastAsia="仿宋" w:cs="仿宋"/>
                <w:color w:val="auto"/>
                <w:sz w:val="24"/>
                <w:szCs w:val="24"/>
              </w:rPr>
              <w:t>（4） 未超出采购预算或招标文件规定的最高限价。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4</w:t>
            </w:r>
          </w:p>
        </w:tc>
        <w:tc>
          <w:tcPr>
            <w:tcW w:w="2143"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供应商承诺书</w:t>
            </w:r>
          </w:p>
        </w:tc>
        <w:tc>
          <w:tcPr>
            <w:tcW w:w="5822" w:type="dxa"/>
            <w:vAlign w:val="center"/>
          </w:tcPr>
          <w:p>
            <w:pPr>
              <w:spacing w:line="360" w:lineRule="auto"/>
              <w:jc w:val="left"/>
              <w:rPr>
                <w:rFonts w:ascii="仿宋" w:hAnsi="仿宋" w:eastAsia="仿宋" w:cs="仿宋"/>
                <w:color w:val="auto"/>
                <w:sz w:val="24"/>
                <w:szCs w:val="24"/>
              </w:rPr>
            </w:pPr>
            <w:r>
              <w:rPr>
                <w:rFonts w:hint="eastAsia" w:ascii="仿宋" w:hAnsi="仿宋" w:eastAsia="仿宋" w:cs="仿宋"/>
                <w:color w:val="auto"/>
                <w:sz w:val="24"/>
                <w:szCs w:val="24"/>
              </w:rPr>
              <w:t>完全理解并接受《</w:t>
            </w:r>
            <w:r>
              <w:rPr>
                <w:rFonts w:hint="eastAsia" w:ascii="仿宋" w:hAnsi="仿宋" w:eastAsia="仿宋" w:cs="仿宋"/>
                <w:color w:val="auto"/>
                <w:sz w:val="24"/>
                <w:szCs w:val="24"/>
                <w:lang w:val="zh-CN"/>
              </w:rPr>
              <w:t>供应商廉洁自律承诺书</w:t>
            </w:r>
            <w:r>
              <w:rPr>
                <w:rFonts w:hint="eastAsia" w:ascii="仿宋" w:hAnsi="仿宋" w:eastAsia="仿宋" w:cs="仿宋"/>
                <w:color w:val="auto"/>
                <w:sz w:val="24"/>
                <w:szCs w:val="24"/>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5</w:t>
            </w:r>
          </w:p>
        </w:tc>
        <w:tc>
          <w:tcPr>
            <w:tcW w:w="2143"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无其他招标文件或法规明确规定响应无效的事项</w:t>
            </w:r>
          </w:p>
        </w:tc>
        <w:tc>
          <w:tcPr>
            <w:tcW w:w="5822"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 xml:space="preserve">没有不符合招标文件规定的被视为无效响应的其他条款。 </w:t>
            </w:r>
          </w:p>
        </w:tc>
      </w:tr>
    </w:tbl>
    <w:p>
      <w:pPr>
        <w:tabs>
          <w:tab w:val="left" w:pos="9030"/>
        </w:tabs>
        <w:snapToGrid w:val="0"/>
        <w:spacing w:line="360" w:lineRule="auto"/>
        <w:ind w:firstLine="482" w:firstLineChars="200"/>
        <w:rPr>
          <w:rFonts w:ascii="仿宋" w:hAnsi="仿宋" w:eastAsia="仿宋" w:cs="仿宋"/>
          <w:b/>
          <w:bCs/>
          <w:color w:val="auto"/>
          <w:sz w:val="24"/>
          <w:szCs w:val="24"/>
        </w:rPr>
      </w:pPr>
      <w:r>
        <w:rPr>
          <w:rFonts w:hint="eastAsia" w:ascii="仿宋" w:hAnsi="仿宋" w:eastAsia="仿宋" w:cs="仿宋"/>
          <w:b/>
          <w:bCs/>
          <w:color w:val="auto"/>
          <w:sz w:val="24"/>
          <w:szCs w:val="24"/>
          <w:lang w:val="zh-CN"/>
        </w:rPr>
        <w:t>说明：符合性审查结束后，评标委员会当对审查结果进行签字确认。若供应商符合性审查未通过，注明未通过原因并告知其供应商，符合性审查不合格的供应商，不得进入下一评标环节。</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val="zh-CN"/>
        </w:rPr>
        <w:t>供应商存在下列情况之一的，投标无效：</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1）</w:t>
      </w:r>
      <w:r>
        <w:rPr>
          <w:rFonts w:hint="eastAsia" w:ascii="仿宋" w:hAnsi="仿宋" w:eastAsia="仿宋" w:cs="仿宋"/>
          <w:color w:val="auto"/>
          <w:sz w:val="24"/>
          <w:szCs w:val="24"/>
          <w:lang w:val="zh-CN"/>
        </w:rPr>
        <w:t>供应商没有经过正常渠道获取招标文件或供应商的名称与登记领取招标文件单位的名称不符；</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2）</w:t>
      </w:r>
      <w:r>
        <w:rPr>
          <w:rFonts w:hint="eastAsia" w:ascii="仿宋" w:hAnsi="仿宋" w:eastAsia="仿宋" w:cs="仿宋"/>
          <w:color w:val="auto"/>
          <w:sz w:val="24"/>
          <w:szCs w:val="24"/>
          <w:lang w:val="zh-CN"/>
        </w:rPr>
        <w:t>不具备招标文件中规定的资格要求的或提供的资格要求文件不符合招标文件要求的；</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val="zh-CN"/>
        </w:rPr>
        <w:t>投标文件投标有效期不符合招标文件要求的；</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（4）</w:t>
      </w:r>
      <w:r>
        <w:rPr>
          <w:rFonts w:hint="eastAsia" w:ascii="仿宋" w:hAnsi="仿宋" w:eastAsia="仿宋" w:cs="仿宋"/>
          <w:color w:val="auto"/>
          <w:sz w:val="24"/>
          <w:szCs w:val="24"/>
          <w:lang w:val="zh-CN"/>
        </w:rPr>
        <w:t>投标文件递交份数不符合招标文件要求的；</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（5）</w:t>
      </w:r>
      <w:r>
        <w:rPr>
          <w:rFonts w:hint="eastAsia" w:ascii="仿宋" w:hAnsi="仿宋" w:eastAsia="仿宋" w:cs="仿宋"/>
          <w:color w:val="auto"/>
          <w:sz w:val="24"/>
          <w:szCs w:val="24"/>
          <w:lang w:val="zh-CN"/>
        </w:rPr>
        <w:t>投标文件含有采购人不能接受的附加条件的;</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6）</w:t>
      </w:r>
      <w:r>
        <w:rPr>
          <w:rFonts w:hint="eastAsia" w:ascii="仿宋" w:hAnsi="仿宋" w:eastAsia="仿宋" w:cs="仿宋"/>
          <w:color w:val="auto"/>
          <w:sz w:val="24"/>
          <w:szCs w:val="24"/>
          <w:lang w:val="zh-CN"/>
        </w:rPr>
        <w:t>供应商串通投标的，出现以下情形之一的：①不同供应商的投标文件由同一单位或者个人编制；②不同供应商委托同一单位或者个人办理投标事宜；③不同供应商的投标文件载明的项目管理成员或者联系人员为同一人；④不同供应商的投标文件异常一致或者投标报价呈规律性差异；⑤不同供应商的投标文件相互混装；</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7）</w:t>
      </w:r>
      <w:r>
        <w:rPr>
          <w:rFonts w:hint="eastAsia" w:ascii="仿宋" w:hAnsi="仿宋" w:eastAsia="仿宋" w:cs="仿宋"/>
          <w:color w:val="auto"/>
          <w:sz w:val="24"/>
          <w:szCs w:val="24"/>
          <w:lang w:val="zh-CN"/>
        </w:rPr>
        <w:t>供应商出现多份报价，出现选择性报价的；</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8）</w:t>
      </w:r>
      <w:r>
        <w:rPr>
          <w:rFonts w:hint="eastAsia" w:ascii="仿宋" w:hAnsi="仿宋" w:eastAsia="仿宋" w:cs="仿宋"/>
          <w:color w:val="auto"/>
          <w:sz w:val="24"/>
          <w:szCs w:val="24"/>
          <w:lang w:val="zh-CN"/>
        </w:rPr>
        <w:t>投标报价与市场价偏离较大，低于成本，形成不正当竞争；</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9）</w:t>
      </w:r>
      <w:r>
        <w:rPr>
          <w:rFonts w:hint="eastAsia" w:ascii="仿宋" w:hAnsi="仿宋" w:eastAsia="仿宋" w:cs="仿宋"/>
          <w:color w:val="auto"/>
          <w:sz w:val="24"/>
          <w:szCs w:val="24"/>
          <w:lang w:val="zh-CN"/>
        </w:rPr>
        <w:t>提供虚假证明，开具虚假资质，出现虚假应答，除按无效标处理外，还进行相应的处罚；</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10）</w:t>
      </w:r>
      <w:r>
        <w:rPr>
          <w:rFonts w:hint="eastAsia" w:ascii="仿宋" w:hAnsi="仿宋" w:eastAsia="仿宋" w:cs="仿宋"/>
          <w:color w:val="auto"/>
          <w:sz w:val="24"/>
          <w:szCs w:val="24"/>
          <w:lang w:val="zh-CN"/>
        </w:rPr>
        <w:t>报价超过招标文件中规定的预算金额或者最高限价的；</w:t>
      </w:r>
    </w:p>
    <w:p>
      <w:pPr>
        <w:autoSpaceDE w:val="0"/>
        <w:autoSpaceDN w:val="0"/>
        <w:adjustRightInd w:val="0"/>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11）提交的电子版文件无效或不完整的。</w:t>
      </w:r>
    </w:p>
    <w:p>
      <w:pPr>
        <w:autoSpaceDE w:val="0"/>
        <w:autoSpaceDN w:val="0"/>
        <w:adjustRightInd w:val="0"/>
        <w:snapToGrid w:val="0"/>
        <w:spacing w:line="360" w:lineRule="auto"/>
        <w:ind w:firstLine="480" w:firstLineChars="200"/>
        <w:outlineLvl w:val="2"/>
        <w:rPr>
          <w:rFonts w:ascii="仿宋" w:hAnsi="仿宋" w:eastAsia="仿宋" w:cs="仿宋"/>
          <w:color w:val="auto"/>
          <w:sz w:val="24"/>
          <w:szCs w:val="24"/>
          <w:lang w:val="zh-CN"/>
        </w:rPr>
      </w:pPr>
      <w:bookmarkStart w:id="205" w:name="_Toc20457"/>
      <w:bookmarkStart w:id="206" w:name="_Toc17700"/>
      <w:bookmarkStart w:id="207" w:name="_Toc2488"/>
      <w:bookmarkStart w:id="208" w:name="_Toc1611"/>
      <w:bookmarkStart w:id="209" w:name="_Toc31002"/>
      <w:bookmarkStart w:id="210" w:name="_Toc30113"/>
      <w:bookmarkStart w:id="211" w:name="_Toc29517"/>
      <w:bookmarkStart w:id="212" w:name="_Toc1537"/>
      <w:bookmarkStart w:id="213" w:name="_Toc2955"/>
      <w:bookmarkStart w:id="214" w:name="_Toc13137"/>
      <w:bookmarkStart w:id="215" w:name="_Toc5181"/>
      <w:bookmarkStart w:id="216" w:name="_Toc8286"/>
      <w:bookmarkStart w:id="217" w:name="_Toc27332"/>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二</w:t>
      </w:r>
      <w:r>
        <w:rPr>
          <w:rFonts w:hint="eastAsia" w:ascii="仿宋" w:hAnsi="仿宋" w:eastAsia="仿宋" w:cs="仿宋"/>
          <w:color w:val="auto"/>
          <w:sz w:val="24"/>
          <w:szCs w:val="24"/>
          <w:lang w:val="zh-CN"/>
        </w:rPr>
        <w:t>）比较与评价</w:t>
      </w:r>
      <w:bookmarkEnd w:id="205"/>
      <w:bookmarkEnd w:id="206"/>
      <w:bookmarkEnd w:id="207"/>
      <w:bookmarkEnd w:id="208"/>
      <w:bookmarkEnd w:id="209"/>
      <w:bookmarkEnd w:id="210"/>
      <w:bookmarkEnd w:id="211"/>
      <w:bookmarkEnd w:id="212"/>
      <w:bookmarkEnd w:id="213"/>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按照招标文件规定的评标方法和标准，对资格性审查和符合性审查合格的文件进行评审，综合比较和评价。</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1、评标方法:综合评分法，指投标文件满足招标文件全部实质性要求，且按照评审因素的量化指标评审得分最高的供应商为中标候选人的评标方法。</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2、评标因素及权重分解表（总计100分）</w:t>
      </w:r>
    </w:p>
    <w:tbl>
      <w:tblPr>
        <w:tblStyle w:val="21"/>
        <w:tblW w:w="91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6929"/>
        <w:gridCol w:w="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597" w:type="dxa"/>
            <w:vAlign w:val="center"/>
          </w:tcPr>
          <w:p>
            <w:pPr>
              <w:jc w:val="center"/>
              <w:rPr>
                <w:rFonts w:ascii="仿宋" w:hAnsi="仿宋" w:eastAsia="仿宋" w:cs="仿宋"/>
                <w:b/>
                <w:color w:val="auto"/>
                <w:sz w:val="24"/>
                <w:szCs w:val="24"/>
              </w:rPr>
            </w:pPr>
            <w:r>
              <w:rPr>
                <w:rFonts w:hint="eastAsia" w:ascii="仿宋" w:hAnsi="仿宋" w:eastAsia="仿宋" w:cs="仿宋"/>
                <w:b/>
                <w:color w:val="auto"/>
                <w:sz w:val="24"/>
                <w:szCs w:val="24"/>
              </w:rPr>
              <w:t>评审因素</w:t>
            </w:r>
          </w:p>
        </w:tc>
        <w:tc>
          <w:tcPr>
            <w:tcW w:w="6929" w:type="dxa"/>
            <w:vAlign w:val="center"/>
          </w:tcPr>
          <w:p>
            <w:pPr>
              <w:jc w:val="center"/>
              <w:rPr>
                <w:rFonts w:ascii="仿宋" w:hAnsi="仿宋" w:eastAsia="仿宋" w:cs="仿宋"/>
                <w:b/>
                <w:color w:val="auto"/>
                <w:sz w:val="24"/>
                <w:szCs w:val="24"/>
              </w:rPr>
            </w:pPr>
            <w:r>
              <w:rPr>
                <w:rFonts w:hint="eastAsia" w:ascii="仿宋" w:hAnsi="仿宋" w:eastAsia="仿宋" w:cs="仿宋"/>
                <w:b/>
                <w:color w:val="auto"/>
                <w:sz w:val="24"/>
                <w:szCs w:val="24"/>
              </w:rPr>
              <w:t>内     容</w:t>
            </w:r>
          </w:p>
        </w:tc>
        <w:tc>
          <w:tcPr>
            <w:tcW w:w="588" w:type="dxa"/>
            <w:vAlign w:val="center"/>
          </w:tcPr>
          <w:p>
            <w:pPr>
              <w:jc w:val="center"/>
              <w:rPr>
                <w:rFonts w:ascii="仿宋" w:hAnsi="仿宋" w:eastAsia="仿宋" w:cs="仿宋"/>
                <w:b/>
                <w:color w:val="auto"/>
                <w:sz w:val="24"/>
                <w:szCs w:val="24"/>
              </w:rPr>
            </w:pPr>
            <w:r>
              <w:rPr>
                <w:rFonts w:hint="eastAsia" w:ascii="仿宋" w:hAnsi="仿宋" w:eastAsia="仿宋" w:cs="仿宋"/>
                <w:b/>
                <w:color w:val="auto"/>
                <w:sz w:val="24"/>
                <w:szCs w:val="24"/>
              </w:rPr>
              <w:t>权值</w:t>
            </w:r>
            <w:r>
              <w:rPr>
                <w:rFonts w:hint="eastAsia" w:ascii="仿宋" w:hAnsi="仿宋" w:eastAsia="仿宋" w:cs="仿宋"/>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4" w:hRule="atLeast"/>
          <w:jc w:val="center"/>
        </w:trPr>
        <w:tc>
          <w:tcPr>
            <w:tcW w:w="1597" w:type="dxa"/>
            <w:vAlign w:val="center"/>
          </w:tcPr>
          <w:p>
            <w:pPr>
              <w:tabs>
                <w:tab w:val="left" w:pos="420"/>
                <w:tab w:val="center" w:pos="4153"/>
                <w:tab w:val="right" w:pos="8306"/>
              </w:tabs>
              <w:adjustRightInd w:val="0"/>
              <w:jc w:val="center"/>
              <w:rPr>
                <w:rFonts w:ascii="仿宋" w:hAnsi="仿宋" w:eastAsia="仿宋" w:cs="仿宋"/>
                <w:color w:val="auto"/>
                <w:kern w:val="0"/>
                <w:sz w:val="24"/>
                <w:szCs w:val="24"/>
              </w:rPr>
            </w:pPr>
          </w:p>
          <w:p>
            <w:pPr>
              <w:spacing w:line="360" w:lineRule="auto"/>
              <w:jc w:val="center"/>
              <w:rPr>
                <w:rFonts w:ascii="仿宋" w:hAnsi="仿宋" w:eastAsia="仿宋" w:cs="仿宋"/>
                <w:color w:val="auto"/>
                <w:sz w:val="24"/>
                <w:szCs w:val="24"/>
                <w:lang w:val="zh-CN"/>
              </w:rPr>
            </w:pPr>
            <w:r>
              <w:rPr>
                <w:rFonts w:hint="eastAsia" w:ascii="仿宋" w:hAnsi="仿宋" w:eastAsia="仿宋" w:cs="仿宋"/>
                <w:color w:val="auto"/>
                <w:sz w:val="24"/>
                <w:szCs w:val="24"/>
                <w:lang w:val="zh-CN"/>
              </w:rPr>
              <w:t>投标报价</w:t>
            </w:r>
          </w:p>
          <w:p>
            <w:pPr>
              <w:tabs>
                <w:tab w:val="left" w:pos="420"/>
                <w:tab w:val="center" w:pos="4153"/>
                <w:tab w:val="right" w:pos="8306"/>
              </w:tabs>
              <w:adjustRightInd w:val="0"/>
              <w:jc w:val="center"/>
              <w:rPr>
                <w:rFonts w:ascii="仿宋" w:hAnsi="仿宋" w:eastAsia="仿宋" w:cs="仿宋"/>
                <w:color w:val="auto"/>
                <w:kern w:val="0"/>
                <w:sz w:val="24"/>
                <w:szCs w:val="24"/>
              </w:rPr>
            </w:pPr>
          </w:p>
        </w:tc>
        <w:tc>
          <w:tcPr>
            <w:tcW w:w="6929" w:type="dxa"/>
            <w:vAlign w:val="center"/>
          </w:tcPr>
          <w:p>
            <w:pPr>
              <w:spacing w:line="360" w:lineRule="auto"/>
              <w:ind w:firstLine="480" w:firstLineChars="200"/>
              <w:jc w:val="left"/>
              <w:rPr>
                <w:rFonts w:ascii="仿宋" w:hAnsi="仿宋" w:eastAsia="仿宋" w:cs="仿宋"/>
                <w:color w:val="auto"/>
                <w:sz w:val="24"/>
                <w:szCs w:val="24"/>
              </w:rPr>
            </w:pPr>
            <w:r>
              <w:rPr>
                <w:rFonts w:hint="eastAsia" w:ascii="仿宋" w:hAnsi="仿宋" w:eastAsia="仿宋" w:cs="仿宋"/>
                <w:color w:val="auto"/>
                <w:sz w:val="24"/>
                <w:szCs w:val="24"/>
              </w:rPr>
              <w:t>满足招标文件要求且</w:t>
            </w:r>
            <w:r>
              <w:rPr>
                <w:rFonts w:hint="eastAsia" w:ascii="仿宋" w:hAnsi="仿宋" w:eastAsia="仿宋" w:cs="仿宋"/>
                <w:color w:val="auto"/>
                <w:sz w:val="24"/>
                <w:szCs w:val="24"/>
                <w:lang w:val="zh-CN"/>
              </w:rPr>
              <w:t>投标报价</w:t>
            </w:r>
            <w:r>
              <w:rPr>
                <w:rFonts w:hint="eastAsia" w:ascii="仿宋" w:hAnsi="仿宋" w:eastAsia="仿宋" w:cs="仿宋"/>
                <w:color w:val="auto"/>
                <w:sz w:val="24"/>
                <w:szCs w:val="24"/>
              </w:rPr>
              <w:t>最低的投标价为评标基准价，其价格分为满分。投标报价得分=（评标基准价／投标报价）×价格权值×100。</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符合招标文件规定的小微企业、监狱企业、</w:t>
            </w:r>
            <w:r>
              <w:rPr>
                <w:rFonts w:hint="eastAsia" w:ascii="仿宋" w:hAnsi="仿宋" w:eastAsia="仿宋" w:cs="仿宋"/>
                <w:color w:val="auto"/>
                <w:sz w:val="24"/>
                <w:szCs w:val="24"/>
                <w:lang w:val="zh-CN"/>
              </w:rPr>
              <w:t>残疾人福利性单位</w:t>
            </w:r>
            <w:r>
              <w:rPr>
                <w:rFonts w:hint="eastAsia" w:ascii="仿宋" w:hAnsi="仿宋" w:eastAsia="仿宋" w:cs="仿宋"/>
                <w:color w:val="auto"/>
                <w:sz w:val="24"/>
                <w:szCs w:val="24"/>
              </w:rPr>
              <w:t>优惠条件的供应商，价格给予10%的扣除，用扣除后的价格参与评审。</w:t>
            </w:r>
          </w:p>
        </w:tc>
        <w:tc>
          <w:tcPr>
            <w:tcW w:w="588" w:type="dxa"/>
            <w:vAlign w:val="center"/>
          </w:tcPr>
          <w:p>
            <w:pPr>
              <w:jc w:val="center"/>
              <w:rPr>
                <w:rFonts w:ascii="仿宋" w:hAnsi="仿宋" w:eastAsia="仿宋" w:cs="仿宋"/>
                <w:color w:val="auto"/>
                <w:sz w:val="24"/>
                <w:szCs w:val="24"/>
              </w:rPr>
            </w:pPr>
            <w:r>
              <w:rPr>
                <w:rFonts w:hint="eastAsia" w:ascii="仿宋" w:hAnsi="仿宋" w:eastAsia="仿宋" w:cs="仿宋"/>
                <w:color w:val="auto"/>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597" w:type="dxa"/>
            <w:vAlign w:val="center"/>
          </w:tcPr>
          <w:p>
            <w:pPr>
              <w:tabs>
                <w:tab w:val="left" w:pos="420"/>
                <w:tab w:val="center" w:pos="4153"/>
                <w:tab w:val="right" w:pos="8306"/>
              </w:tabs>
              <w:adjustRightInd w:val="0"/>
              <w:jc w:val="center"/>
              <w:rPr>
                <w:rFonts w:ascii="仿宋" w:hAnsi="仿宋" w:eastAsia="仿宋" w:cs="仿宋"/>
                <w:bCs/>
                <w:color w:val="auto"/>
                <w:sz w:val="24"/>
                <w:szCs w:val="24"/>
              </w:rPr>
            </w:pPr>
            <w:r>
              <w:rPr>
                <w:rFonts w:hint="eastAsia" w:ascii="仿宋" w:hAnsi="仿宋" w:eastAsia="仿宋" w:cs="仿宋"/>
                <w:bCs/>
                <w:color w:val="auto"/>
                <w:sz w:val="24"/>
                <w:szCs w:val="24"/>
              </w:rPr>
              <w:t>节能环保</w:t>
            </w:r>
          </w:p>
          <w:p>
            <w:pPr>
              <w:tabs>
                <w:tab w:val="left" w:pos="420"/>
                <w:tab w:val="center" w:pos="4153"/>
                <w:tab w:val="right" w:pos="8306"/>
              </w:tabs>
              <w:adjustRightInd w:val="0"/>
              <w:jc w:val="center"/>
              <w:rPr>
                <w:rFonts w:ascii="仿宋" w:hAnsi="仿宋" w:eastAsia="仿宋" w:cs="仿宋"/>
                <w:bCs/>
                <w:color w:val="auto"/>
                <w:sz w:val="24"/>
                <w:szCs w:val="24"/>
              </w:rPr>
            </w:pPr>
            <w:r>
              <w:rPr>
                <w:rFonts w:hint="eastAsia" w:ascii="仿宋" w:hAnsi="仿宋" w:eastAsia="仿宋" w:cs="仿宋"/>
                <w:bCs/>
                <w:color w:val="auto"/>
                <w:sz w:val="24"/>
                <w:szCs w:val="24"/>
              </w:rPr>
              <w:t>环境标志</w:t>
            </w:r>
          </w:p>
          <w:p>
            <w:pPr>
              <w:tabs>
                <w:tab w:val="left" w:pos="420"/>
                <w:tab w:val="center" w:pos="4153"/>
                <w:tab w:val="right" w:pos="8306"/>
              </w:tabs>
              <w:adjustRightInd w:val="0"/>
              <w:jc w:val="center"/>
              <w:rPr>
                <w:rFonts w:ascii="仿宋" w:hAnsi="仿宋" w:eastAsia="仿宋" w:cs="仿宋"/>
                <w:color w:val="auto"/>
                <w:sz w:val="24"/>
                <w:szCs w:val="24"/>
              </w:rPr>
            </w:pPr>
            <w:r>
              <w:rPr>
                <w:rFonts w:hint="eastAsia" w:ascii="仿宋" w:hAnsi="仿宋" w:eastAsia="仿宋" w:cs="仿宋"/>
                <w:bCs/>
                <w:color w:val="auto"/>
                <w:sz w:val="24"/>
                <w:szCs w:val="24"/>
              </w:rPr>
              <w:t>产品</w:t>
            </w:r>
          </w:p>
        </w:tc>
        <w:tc>
          <w:tcPr>
            <w:tcW w:w="6929" w:type="dxa"/>
            <w:vAlign w:val="center"/>
          </w:tcPr>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投标产品为节能、环保、环境标志的产品，满足行业现行规范及各项法规要求,符合招标文件要求的，可优先采购并根据其占投标报价总金额的百分比计算得分，计算公式为：得分=（节能、环保、环境标志产品清单中的产品报价/投标报价）×2</w:t>
            </w:r>
          </w:p>
        </w:tc>
        <w:tc>
          <w:tcPr>
            <w:tcW w:w="588" w:type="dxa"/>
            <w:vAlign w:val="center"/>
          </w:tcPr>
          <w:p>
            <w:pPr>
              <w:jc w:val="center"/>
              <w:rPr>
                <w:rFonts w:ascii="仿宋" w:hAnsi="仿宋" w:eastAsia="仿宋" w:cs="仿宋"/>
                <w:color w:val="auto"/>
                <w:sz w:val="24"/>
                <w:szCs w:val="24"/>
              </w:rPr>
            </w:pPr>
            <w:r>
              <w:rPr>
                <w:rFonts w:hint="eastAsia" w:ascii="仿宋" w:hAnsi="仿宋" w:eastAsia="仿宋" w:cs="仿宋"/>
                <w:color w:val="auto"/>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1597" w:type="dxa"/>
            <w:vAlign w:val="center"/>
          </w:tcPr>
          <w:p>
            <w:pPr>
              <w:autoSpaceDE w:val="0"/>
              <w:autoSpaceDN w:val="0"/>
              <w:adjustRightInd w:val="0"/>
              <w:spacing w:line="360" w:lineRule="auto"/>
              <w:jc w:val="center"/>
              <w:rPr>
                <w:rFonts w:ascii="仿宋" w:hAnsi="仿宋" w:eastAsia="仿宋" w:cs="仿宋"/>
                <w:bCs/>
                <w:color w:val="auto"/>
                <w:sz w:val="24"/>
                <w:szCs w:val="24"/>
              </w:rPr>
            </w:pPr>
            <w:r>
              <w:rPr>
                <w:rFonts w:hint="eastAsia" w:ascii="仿宋" w:hAnsi="仿宋" w:eastAsia="仿宋" w:cs="仿宋"/>
                <w:bCs/>
                <w:color w:val="auto"/>
                <w:sz w:val="24"/>
                <w:szCs w:val="24"/>
              </w:rPr>
              <w:t>商务条款</w:t>
            </w:r>
          </w:p>
          <w:p>
            <w:pPr>
              <w:autoSpaceDE w:val="0"/>
              <w:autoSpaceDN w:val="0"/>
              <w:adjustRightInd w:val="0"/>
              <w:spacing w:line="360" w:lineRule="auto"/>
              <w:jc w:val="center"/>
              <w:rPr>
                <w:rFonts w:ascii="仿宋" w:hAnsi="仿宋" w:eastAsia="仿宋" w:cs="仿宋"/>
                <w:bCs/>
                <w:color w:val="auto"/>
                <w:sz w:val="24"/>
                <w:szCs w:val="24"/>
              </w:rPr>
            </w:pPr>
            <w:r>
              <w:rPr>
                <w:rFonts w:hint="eastAsia" w:ascii="仿宋" w:hAnsi="仿宋" w:eastAsia="仿宋" w:cs="仿宋"/>
                <w:bCs/>
                <w:color w:val="auto"/>
                <w:sz w:val="24"/>
                <w:szCs w:val="24"/>
              </w:rPr>
              <w:t>响应程度</w:t>
            </w:r>
          </w:p>
        </w:tc>
        <w:tc>
          <w:tcPr>
            <w:tcW w:w="6929" w:type="dxa"/>
            <w:vAlign w:val="center"/>
          </w:tcPr>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投标文件对付款、质量保证、交货期、服务承诺等商务要求进行响应说明，根据响应程度计0～3分。</w:t>
            </w:r>
          </w:p>
        </w:tc>
        <w:tc>
          <w:tcPr>
            <w:tcW w:w="588" w:type="dxa"/>
            <w:vAlign w:val="center"/>
          </w:tcPr>
          <w:p>
            <w:pPr>
              <w:jc w:val="center"/>
              <w:rPr>
                <w:rFonts w:ascii="仿宋" w:hAnsi="仿宋" w:eastAsia="仿宋" w:cs="仿宋"/>
                <w:color w:val="auto"/>
                <w:sz w:val="24"/>
                <w:szCs w:val="24"/>
              </w:rPr>
            </w:pPr>
            <w:r>
              <w:rPr>
                <w:rFonts w:hint="eastAsia" w:ascii="仿宋" w:hAnsi="仿宋" w:eastAsia="仿宋" w:cs="仿宋"/>
                <w:color w:val="auto"/>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7" w:type="dxa"/>
            <w:vAlign w:val="center"/>
          </w:tcPr>
          <w:p>
            <w:pPr>
              <w:autoSpaceDE w:val="0"/>
              <w:autoSpaceDN w:val="0"/>
              <w:adjustRightInd w:val="0"/>
              <w:spacing w:line="360" w:lineRule="auto"/>
              <w:jc w:val="center"/>
              <w:rPr>
                <w:rFonts w:ascii="仿宋" w:hAnsi="仿宋" w:eastAsia="仿宋" w:cs="仿宋"/>
                <w:bCs/>
                <w:color w:val="auto"/>
                <w:sz w:val="24"/>
                <w:szCs w:val="24"/>
              </w:rPr>
            </w:pPr>
            <w:r>
              <w:rPr>
                <w:rFonts w:hint="eastAsia" w:ascii="仿宋" w:hAnsi="仿宋" w:eastAsia="仿宋" w:cs="仿宋"/>
                <w:bCs/>
                <w:color w:val="auto"/>
                <w:sz w:val="24"/>
                <w:szCs w:val="24"/>
              </w:rPr>
              <w:t>技术指标</w:t>
            </w:r>
          </w:p>
        </w:tc>
        <w:tc>
          <w:tcPr>
            <w:tcW w:w="6929" w:type="dxa"/>
            <w:vAlign w:val="center"/>
          </w:tcPr>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所投产品技术参数清楚、明确，完全满足或优于招标文件要求且证明材料齐全的得30分。所投产品技术参数每负偏离一项扣2分（其中★项每负偏离一项扣4分），扣完为止。（技术参数中要求提供所投设备的主要的技术指标（参数）的相应的证明材料的，如未提供相应的证明材料，证明材料缺失视为负偏离。）投标人提供所投设备的主要的技术指标（参数）的相应的证明材料，经评审专家审定方可得分。</w:t>
            </w:r>
          </w:p>
        </w:tc>
        <w:tc>
          <w:tcPr>
            <w:tcW w:w="588" w:type="dxa"/>
            <w:vAlign w:val="center"/>
          </w:tcPr>
          <w:p>
            <w:pPr>
              <w:jc w:val="center"/>
              <w:rPr>
                <w:rFonts w:ascii="仿宋" w:hAnsi="仿宋" w:eastAsia="仿宋" w:cs="仿宋"/>
                <w:color w:val="auto"/>
                <w:sz w:val="24"/>
                <w:szCs w:val="24"/>
              </w:rPr>
            </w:pPr>
            <w:r>
              <w:rPr>
                <w:rFonts w:hint="eastAsia" w:ascii="仿宋" w:hAnsi="仿宋" w:eastAsia="仿宋" w:cs="仿宋"/>
                <w:color w:val="auto"/>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7" w:type="dxa"/>
            <w:vAlign w:val="center"/>
          </w:tcPr>
          <w:p>
            <w:pPr>
              <w:autoSpaceDE w:val="0"/>
              <w:autoSpaceDN w:val="0"/>
              <w:adjustRightInd w:val="0"/>
              <w:spacing w:line="360" w:lineRule="auto"/>
              <w:jc w:val="center"/>
              <w:rPr>
                <w:rFonts w:ascii="仿宋" w:hAnsi="仿宋" w:eastAsia="仿宋" w:cs="仿宋"/>
                <w:bCs/>
                <w:color w:val="auto"/>
                <w:sz w:val="24"/>
                <w:szCs w:val="24"/>
              </w:rPr>
            </w:pPr>
            <w:r>
              <w:rPr>
                <w:rFonts w:hint="eastAsia" w:ascii="仿宋" w:hAnsi="仿宋" w:eastAsia="仿宋" w:cs="仿宋"/>
                <w:bCs/>
                <w:color w:val="auto"/>
                <w:sz w:val="24"/>
                <w:szCs w:val="24"/>
              </w:rPr>
              <w:t>实施方案</w:t>
            </w:r>
          </w:p>
        </w:tc>
        <w:tc>
          <w:tcPr>
            <w:tcW w:w="6929" w:type="dxa"/>
            <w:vAlign w:val="center"/>
          </w:tcPr>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供应商提供详细的拟投入人员、人员配置、分工、备货、供货进度及质量保证措施，产品安装、检测、调试、试运行及验收方案。包括详细的实施计划、整体工期要求、进度安排和按期完成的措施、质量保证措施、验收组织等内容。根据供应商的响应情况赋分。</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内容完整，描述清晰，且能针对性满足项目需求的，得(5-10]分；</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内容有缺项，描述简单，可行性一般，基本满足项目需要的，得(3-5]分；</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内容笼统，描述简单，可行性差的得(0-3]分。</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不提供不得分。</w:t>
            </w:r>
          </w:p>
        </w:tc>
        <w:tc>
          <w:tcPr>
            <w:tcW w:w="588" w:type="dxa"/>
            <w:vAlign w:val="center"/>
          </w:tcPr>
          <w:p>
            <w:pPr>
              <w:jc w:val="center"/>
              <w:rPr>
                <w:rFonts w:ascii="仿宋" w:hAnsi="仿宋" w:eastAsia="仿宋" w:cs="仿宋"/>
                <w:color w:val="auto"/>
                <w:sz w:val="24"/>
                <w:szCs w:val="24"/>
              </w:rPr>
            </w:pPr>
            <w:r>
              <w:rPr>
                <w:rFonts w:hint="eastAsia" w:ascii="仿宋" w:hAnsi="仿宋" w:eastAsia="仿宋" w:cs="仿宋"/>
                <w:color w:val="auto"/>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597" w:type="dxa"/>
            <w:vAlign w:val="center"/>
          </w:tcPr>
          <w:p>
            <w:pPr>
              <w:autoSpaceDE w:val="0"/>
              <w:autoSpaceDN w:val="0"/>
              <w:adjustRightInd w:val="0"/>
              <w:spacing w:line="360" w:lineRule="auto"/>
              <w:jc w:val="center"/>
              <w:rPr>
                <w:rFonts w:ascii="仿宋" w:hAnsi="仿宋" w:eastAsia="仿宋" w:cs="仿宋"/>
                <w:bCs/>
                <w:color w:val="auto"/>
                <w:sz w:val="24"/>
                <w:szCs w:val="24"/>
              </w:rPr>
            </w:pPr>
            <w:r>
              <w:rPr>
                <w:rFonts w:hint="eastAsia" w:ascii="仿宋" w:hAnsi="仿宋" w:eastAsia="仿宋" w:cs="仿宋"/>
                <w:bCs/>
                <w:color w:val="auto"/>
                <w:sz w:val="24"/>
                <w:szCs w:val="24"/>
              </w:rPr>
              <w:t>质量保证</w:t>
            </w:r>
          </w:p>
        </w:tc>
        <w:tc>
          <w:tcPr>
            <w:tcW w:w="6929" w:type="dxa"/>
            <w:vAlign w:val="center"/>
          </w:tcPr>
          <w:p>
            <w:pPr>
              <w:tabs>
                <w:tab w:val="left" w:pos="9030"/>
              </w:tabs>
              <w:snapToGrid w:val="0"/>
              <w:spacing w:line="360" w:lineRule="auto"/>
              <w:ind w:firstLine="480" w:firstLineChars="200"/>
              <w:jc w:val="left"/>
              <w:rPr>
                <w:rFonts w:ascii="仿宋" w:hAnsi="仿宋" w:eastAsia="仿宋" w:cs="仿宋"/>
                <w:color w:val="auto"/>
                <w:sz w:val="24"/>
                <w:szCs w:val="24"/>
                <w:lang w:val="zh-CN"/>
              </w:rPr>
            </w:pPr>
            <w:r>
              <w:rPr>
                <w:rFonts w:hint="eastAsia" w:ascii="仿宋" w:hAnsi="仿宋" w:eastAsia="仿宋" w:cs="仿宋"/>
                <w:color w:val="auto"/>
                <w:sz w:val="24"/>
                <w:szCs w:val="24"/>
                <w:lang w:val="zh-CN"/>
              </w:rPr>
              <w:t>1.产品货源渠道正常，提供产品货源渠道证明材料，按其响应程度计0</w:t>
            </w:r>
            <w:r>
              <w:rPr>
                <w:rFonts w:hint="eastAsia" w:ascii="仿宋" w:hAnsi="仿宋" w:eastAsia="仿宋" w:cs="仿宋"/>
                <w:color w:val="auto"/>
                <w:sz w:val="24"/>
                <w:szCs w:val="24"/>
              </w:rPr>
              <w:t>-</w:t>
            </w:r>
            <w:r>
              <w:rPr>
                <w:rFonts w:hint="eastAsia" w:ascii="仿宋" w:hAnsi="仿宋" w:eastAsia="仿宋" w:cs="仿宋"/>
                <w:color w:val="auto"/>
                <w:sz w:val="24"/>
                <w:szCs w:val="24"/>
                <w:lang w:val="zh-CN"/>
              </w:rPr>
              <w:t>5分；</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lang w:val="zh-CN"/>
              </w:rPr>
              <w:t>2.</w:t>
            </w:r>
            <w:r>
              <w:rPr>
                <w:rFonts w:hint="eastAsia" w:ascii="仿宋" w:hAnsi="仿宋" w:eastAsia="仿宋" w:cs="仿宋"/>
                <w:color w:val="auto"/>
                <w:sz w:val="24"/>
                <w:szCs w:val="24"/>
              </w:rPr>
              <w:t>响应产品技术质量保证完善，符合国际、国内相关标准或行业标准</w:t>
            </w:r>
            <w:r>
              <w:rPr>
                <w:rFonts w:hint="eastAsia" w:ascii="仿宋" w:hAnsi="仿宋" w:eastAsia="仿宋" w:cs="仿宋"/>
                <w:color w:val="auto"/>
                <w:sz w:val="24"/>
                <w:szCs w:val="24"/>
                <w:lang w:val="zh-CN"/>
              </w:rPr>
              <w:t>，按其响应程度计0</w:t>
            </w:r>
            <w:r>
              <w:rPr>
                <w:rFonts w:hint="eastAsia" w:ascii="仿宋" w:hAnsi="仿宋" w:eastAsia="仿宋" w:cs="仿宋"/>
                <w:color w:val="auto"/>
                <w:sz w:val="24"/>
                <w:szCs w:val="24"/>
              </w:rPr>
              <w:t>-5</w:t>
            </w:r>
            <w:r>
              <w:rPr>
                <w:rFonts w:hint="eastAsia" w:ascii="仿宋" w:hAnsi="仿宋" w:eastAsia="仿宋" w:cs="仿宋"/>
                <w:color w:val="auto"/>
                <w:sz w:val="24"/>
                <w:szCs w:val="24"/>
                <w:lang w:val="zh-CN"/>
              </w:rPr>
              <w:t>分。</w:t>
            </w:r>
          </w:p>
        </w:tc>
        <w:tc>
          <w:tcPr>
            <w:tcW w:w="588" w:type="dxa"/>
            <w:vAlign w:val="center"/>
          </w:tcPr>
          <w:p>
            <w:pPr>
              <w:snapToGrid w:val="0"/>
              <w:spacing w:line="240" w:lineRule="atLeast"/>
              <w:jc w:val="center"/>
              <w:rPr>
                <w:rFonts w:ascii="仿宋" w:hAnsi="仿宋" w:eastAsia="仿宋" w:cs="仿宋"/>
                <w:color w:val="auto"/>
                <w:sz w:val="24"/>
                <w:szCs w:val="24"/>
              </w:rPr>
            </w:pPr>
            <w:r>
              <w:rPr>
                <w:rFonts w:hint="eastAsia" w:ascii="仿宋" w:hAnsi="仿宋" w:eastAsia="仿宋" w:cs="仿宋"/>
                <w:color w:val="auto"/>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597" w:type="dxa"/>
            <w:vAlign w:val="center"/>
          </w:tcPr>
          <w:p>
            <w:pPr>
              <w:autoSpaceDE w:val="0"/>
              <w:autoSpaceDN w:val="0"/>
              <w:adjustRightInd w:val="0"/>
              <w:spacing w:line="360" w:lineRule="auto"/>
              <w:jc w:val="center"/>
              <w:rPr>
                <w:rFonts w:ascii="仿宋" w:hAnsi="仿宋" w:eastAsia="仿宋" w:cs="仿宋"/>
                <w:bCs/>
                <w:color w:val="auto"/>
                <w:sz w:val="24"/>
                <w:szCs w:val="24"/>
                <w:lang w:val="zh-CN"/>
              </w:rPr>
            </w:pPr>
            <w:r>
              <w:rPr>
                <w:rFonts w:hint="eastAsia" w:ascii="仿宋" w:hAnsi="仿宋" w:eastAsia="仿宋" w:cs="仿宋"/>
                <w:bCs/>
                <w:color w:val="auto"/>
                <w:sz w:val="24"/>
                <w:szCs w:val="24"/>
              </w:rPr>
              <w:t>售后服务</w:t>
            </w:r>
          </w:p>
        </w:tc>
        <w:tc>
          <w:tcPr>
            <w:tcW w:w="6929" w:type="dxa"/>
            <w:vAlign w:val="center"/>
          </w:tcPr>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1.售后服务机构健全。配备专职售后人员，承诺售后服务具体措施、时限、响应速度等。根据响应情况计0-5分。</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2.供应商</w:t>
            </w:r>
            <w:r>
              <w:rPr>
                <w:rFonts w:hint="eastAsia" w:ascii="仿宋" w:hAnsi="仿宋" w:eastAsia="仿宋" w:cs="仿宋"/>
                <w:color w:val="auto"/>
                <w:sz w:val="24"/>
                <w:szCs w:val="24"/>
                <w:lang w:val="zh-CN"/>
              </w:rPr>
              <w:t>为采购人</w:t>
            </w:r>
            <w:r>
              <w:rPr>
                <w:rFonts w:hint="eastAsia" w:ascii="仿宋" w:hAnsi="仿宋" w:eastAsia="仿宋" w:cs="仿宋"/>
                <w:color w:val="auto"/>
                <w:sz w:val="24"/>
                <w:szCs w:val="24"/>
              </w:rPr>
              <w:t>提供</w:t>
            </w:r>
            <w:r>
              <w:rPr>
                <w:rFonts w:hint="eastAsia" w:ascii="仿宋" w:hAnsi="仿宋" w:eastAsia="仿宋" w:cs="仿宋"/>
                <w:color w:val="auto"/>
                <w:sz w:val="24"/>
                <w:szCs w:val="24"/>
                <w:lang w:val="zh-CN"/>
              </w:rPr>
              <w:t>培训方案、培训内容、培训方式等说明。</w:t>
            </w:r>
            <w:r>
              <w:rPr>
                <w:rFonts w:hint="eastAsia" w:ascii="仿宋" w:hAnsi="仿宋" w:eastAsia="仿宋" w:cs="仿宋"/>
                <w:color w:val="auto"/>
                <w:sz w:val="24"/>
                <w:szCs w:val="24"/>
              </w:rPr>
              <w:t>根据响应情况</w:t>
            </w:r>
            <w:r>
              <w:rPr>
                <w:rFonts w:hint="eastAsia" w:ascii="仿宋" w:hAnsi="仿宋" w:eastAsia="仿宋" w:cs="仿宋"/>
                <w:color w:val="auto"/>
                <w:sz w:val="24"/>
                <w:szCs w:val="24"/>
                <w:lang w:val="zh-CN"/>
              </w:rPr>
              <w:t>计0</w:t>
            </w:r>
            <w:r>
              <w:rPr>
                <w:rFonts w:hint="eastAsia" w:ascii="仿宋" w:hAnsi="仿宋" w:eastAsia="仿宋" w:cs="仿宋"/>
                <w:color w:val="auto"/>
                <w:sz w:val="24"/>
                <w:szCs w:val="24"/>
              </w:rPr>
              <w:t>-5</w:t>
            </w:r>
            <w:r>
              <w:rPr>
                <w:rFonts w:hint="eastAsia" w:ascii="仿宋" w:hAnsi="仿宋" w:eastAsia="仿宋" w:cs="仿宋"/>
                <w:color w:val="auto"/>
                <w:sz w:val="24"/>
                <w:szCs w:val="24"/>
                <w:lang w:val="zh-CN"/>
              </w:rPr>
              <w:t>分。</w:t>
            </w:r>
          </w:p>
        </w:tc>
        <w:tc>
          <w:tcPr>
            <w:tcW w:w="588" w:type="dxa"/>
            <w:vAlign w:val="center"/>
          </w:tcPr>
          <w:p>
            <w:pPr>
              <w:snapToGrid w:val="0"/>
              <w:spacing w:line="240" w:lineRule="atLeast"/>
              <w:jc w:val="center"/>
              <w:rPr>
                <w:rFonts w:ascii="仿宋" w:hAnsi="仿宋" w:eastAsia="仿宋" w:cs="仿宋"/>
                <w:color w:val="auto"/>
                <w:sz w:val="24"/>
                <w:szCs w:val="24"/>
              </w:rPr>
            </w:pPr>
            <w:r>
              <w:rPr>
                <w:rFonts w:hint="eastAsia" w:ascii="仿宋" w:hAnsi="仿宋" w:eastAsia="仿宋" w:cs="仿宋"/>
                <w:color w:val="auto"/>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597" w:type="dxa"/>
            <w:vAlign w:val="center"/>
          </w:tcPr>
          <w:p>
            <w:pPr>
              <w:widowControl/>
              <w:jc w:val="center"/>
              <w:rPr>
                <w:rFonts w:ascii="仿宋" w:hAnsi="仿宋" w:eastAsia="仿宋" w:cs="仿宋"/>
                <w:color w:val="auto"/>
                <w:kern w:val="0"/>
                <w:sz w:val="24"/>
                <w:szCs w:val="24"/>
              </w:rPr>
            </w:pPr>
            <w:r>
              <w:rPr>
                <w:rFonts w:hint="eastAsia" w:ascii="仿宋" w:hAnsi="仿宋" w:eastAsia="仿宋" w:cs="仿宋"/>
                <w:bCs/>
                <w:color w:val="auto"/>
                <w:sz w:val="24"/>
                <w:szCs w:val="24"/>
              </w:rPr>
              <w:t>业绩</w:t>
            </w:r>
          </w:p>
        </w:tc>
        <w:tc>
          <w:tcPr>
            <w:tcW w:w="6929" w:type="dxa"/>
            <w:vAlign w:val="center"/>
          </w:tcPr>
          <w:p>
            <w:pPr>
              <w:adjustRightInd w:val="0"/>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供应商具有近三年（2019年7月今以合同签订时间为准）的类似项目业绩，每提供一份得1分，满分5分。投标文件中提供加盖供应商公章的合同复印件。</w:t>
            </w:r>
          </w:p>
        </w:tc>
        <w:tc>
          <w:tcPr>
            <w:tcW w:w="588" w:type="dxa"/>
            <w:vAlign w:val="center"/>
          </w:tcPr>
          <w:p>
            <w:pPr>
              <w:snapToGrid w:val="0"/>
              <w:spacing w:line="240" w:lineRule="atLeast"/>
              <w:jc w:val="center"/>
              <w:rPr>
                <w:rFonts w:ascii="仿宋" w:hAnsi="仿宋" w:eastAsia="仿宋" w:cs="仿宋"/>
                <w:color w:val="auto"/>
                <w:sz w:val="24"/>
                <w:szCs w:val="24"/>
              </w:rPr>
            </w:pPr>
            <w:r>
              <w:rPr>
                <w:rFonts w:hint="eastAsia" w:ascii="仿宋" w:hAnsi="仿宋" w:eastAsia="仿宋" w:cs="仿宋"/>
                <w:color w:val="auto"/>
                <w:sz w:val="24"/>
                <w:szCs w:val="24"/>
              </w:rPr>
              <w:t>5</w:t>
            </w:r>
          </w:p>
        </w:tc>
      </w:tr>
    </w:tbl>
    <w:p>
      <w:pPr>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3、其他事项说明</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1）</w:t>
      </w:r>
      <w:r>
        <w:rPr>
          <w:rFonts w:hint="eastAsia" w:ascii="仿宋" w:hAnsi="仿宋" w:eastAsia="仿宋" w:cs="仿宋"/>
          <w:color w:val="auto"/>
          <w:sz w:val="24"/>
          <w:szCs w:val="24"/>
          <w:lang w:val="zh-CN"/>
        </w:rPr>
        <w:t>因落实政府采购政策进行价格调整的，以调整后的价格计算评标基准价和投标报价。</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（2）</w:t>
      </w:r>
      <w:r>
        <w:rPr>
          <w:rFonts w:hint="eastAsia" w:ascii="仿宋" w:hAnsi="仿宋" w:eastAsia="仿宋" w:cs="仿宋"/>
          <w:color w:val="auto"/>
          <w:sz w:val="24"/>
          <w:szCs w:val="24"/>
          <w:lang w:val="zh-CN"/>
        </w:rPr>
        <w:t>评标时，评标委员会根据以上内容进行综合比较，自主打分，分数四舍五入保留两位小数，独立对每个供应商的投标文件进行评价，并汇总每个供应商的得分。</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val="zh-CN"/>
        </w:rPr>
        <w:t>提供相同品牌产品且通过资格审查、符合性审查的不同供应商参加同一合同项下投标的，按一家供应商计算，评审后得分最高的同品牌供应商获得中标人推荐资格；评审得分相同的，采取随机抽取方式确定，其他同品牌供应商不作为中标候选人。非单一产品采购项目，多家供应商提供的核心产品品牌相同的，按以上规定处理。</w:t>
      </w:r>
    </w:p>
    <w:p>
      <w:pPr>
        <w:tabs>
          <w:tab w:val="left" w:pos="9030"/>
        </w:tabs>
        <w:snapToGrid w:val="0"/>
        <w:spacing w:line="360" w:lineRule="auto"/>
        <w:ind w:firstLine="482" w:firstLineChars="200"/>
        <w:rPr>
          <w:rFonts w:ascii="仿宋" w:hAnsi="仿宋" w:eastAsia="仿宋" w:cs="仿宋"/>
          <w:color w:val="auto"/>
          <w:sz w:val="24"/>
          <w:szCs w:val="24"/>
        </w:rPr>
      </w:pPr>
      <w:r>
        <w:rPr>
          <w:rFonts w:hint="eastAsia" w:ascii="仿宋" w:hAnsi="仿宋" w:eastAsia="仿宋" w:cs="仿宋"/>
          <w:b/>
          <w:bCs/>
          <w:color w:val="auto"/>
          <w:sz w:val="24"/>
          <w:szCs w:val="24"/>
          <w:lang w:val="zh-CN"/>
        </w:rPr>
        <w:t>（</w:t>
      </w:r>
      <w:r>
        <w:rPr>
          <w:rFonts w:hint="eastAsia" w:ascii="仿宋" w:hAnsi="仿宋" w:eastAsia="仿宋" w:cs="仿宋"/>
          <w:b/>
          <w:bCs/>
          <w:color w:val="auto"/>
          <w:sz w:val="24"/>
          <w:szCs w:val="24"/>
        </w:rPr>
        <w:t>4）本项目兼投不兼中，供应商根据自身情况可以投多个包，但最终只能中一个包，评标顺序依次为包1至包10。</w:t>
      </w:r>
    </w:p>
    <w:p>
      <w:pPr>
        <w:autoSpaceDE w:val="0"/>
        <w:autoSpaceDN w:val="0"/>
        <w:adjustRightInd w:val="0"/>
        <w:snapToGrid w:val="0"/>
        <w:spacing w:line="360" w:lineRule="auto"/>
        <w:ind w:firstLine="480" w:firstLineChars="200"/>
        <w:outlineLvl w:val="2"/>
        <w:rPr>
          <w:rFonts w:ascii="仿宋" w:hAnsi="仿宋" w:eastAsia="仿宋" w:cs="仿宋"/>
          <w:color w:val="auto"/>
          <w:sz w:val="24"/>
          <w:szCs w:val="24"/>
          <w:lang w:val="zh-CN"/>
        </w:rPr>
      </w:pPr>
      <w:bookmarkStart w:id="218" w:name="_Toc17437"/>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三</w:t>
      </w:r>
      <w:r>
        <w:rPr>
          <w:rFonts w:hint="eastAsia" w:ascii="仿宋" w:hAnsi="仿宋" w:eastAsia="仿宋" w:cs="仿宋"/>
          <w:color w:val="auto"/>
          <w:sz w:val="24"/>
          <w:szCs w:val="24"/>
          <w:lang w:val="zh-CN"/>
        </w:rPr>
        <w:t>）投标文件的澄清、说明或者补正</w:t>
      </w:r>
      <w:bookmarkEnd w:id="214"/>
      <w:bookmarkEnd w:id="215"/>
      <w:bookmarkEnd w:id="216"/>
      <w:bookmarkEnd w:id="217"/>
      <w:bookmarkEnd w:id="218"/>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1、对于投标文件中含义不明确、同类问题表述不一致或者有明显文字和计算错误的内容，评标委员会应当以书面形式要求供应商作出必要的澄清、说明或者补正。供应商的澄清、说明或者补正应当采用书面形式，并加盖供应商公章或者由法定代表人或其授权的代表签字。供应商的澄清、说明或者补正不得超出投标文件的范围或者改变投标文件的实质性内容。</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2、报价出现前后不一致的，按照下列规定修正：</w:t>
      </w:r>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1）</w:t>
      </w:r>
      <w:r>
        <w:rPr>
          <w:rFonts w:hint="eastAsia" w:ascii="仿宋" w:hAnsi="仿宋" w:eastAsia="仿宋" w:cs="仿宋"/>
          <w:color w:val="auto"/>
          <w:sz w:val="24"/>
          <w:szCs w:val="24"/>
          <w:lang w:val="zh-CN"/>
        </w:rPr>
        <w:t>投标文件中开标一览表（报价表）内容与投标文件中相应内容不一致的，以开标一览表（报价表）为准；</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（2）</w:t>
      </w:r>
      <w:r>
        <w:rPr>
          <w:rFonts w:hint="eastAsia" w:ascii="仿宋" w:hAnsi="仿宋" w:eastAsia="仿宋" w:cs="仿宋"/>
          <w:color w:val="auto"/>
          <w:sz w:val="24"/>
          <w:szCs w:val="24"/>
          <w:lang w:val="zh-CN"/>
        </w:rPr>
        <w:t>大写金额和小写金额不一致的，以大写金额为准；</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3）</w:t>
      </w:r>
      <w:r>
        <w:rPr>
          <w:rFonts w:hint="eastAsia" w:ascii="仿宋" w:hAnsi="仿宋" w:eastAsia="仿宋" w:cs="仿宋"/>
          <w:color w:val="auto"/>
          <w:sz w:val="24"/>
          <w:szCs w:val="24"/>
          <w:lang w:val="zh-CN"/>
        </w:rPr>
        <w:t>单价金额小数点或者百分比有明显错位的，以开标一览表的总价为准，并修改单价；</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4）</w:t>
      </w:r>
      <w:r>
        <w:rPr>
          <w:rFonts w:hint="eastAsia" w:ascii="仿宋" w:hAnsi="仿宋" w:eastAsia="仿宋" w:cs="仿宋"/>
          <w:color w:val="auto"/>
          <w:sz w:val="24"/>
          <w:szCs w:val="24"/>
          <w:lang w:val="zh-CN"/>
        </w:rPr>
        <w:t>总价金额与按单价汇总金额不一致的，以单价金额计算结果为准。</w:t>
      </w:r>
    </w:p>
    <w:p>
      <w:pPr>
        <w:autoSpaceDE w:val="0"/>
        <w:autoSpaceDN w:val="0"/>
        <w:adjustRightInd w:val="0"/>
        <w:snapToGrid w:val="0"/>
        <w:spacing w:line="360" w:lineRule="auto"/>
        <w:ind w:firstLine="482" w:firstLineChars="200"/>
        <w:rPr>
          <w:rFonts w:ascii="仿宋" w:hAnsi="仿宋" w:eastAsia="仿宋" w:cs="仿宋"/>
          <w:b/>
          <w:bCs/>
          <w:color w:val="auto"/>
          <w:sz w:val="24"/>
          <w:szCs w:val="24"/>
          <w:lang w:val="zh-CN"/>
        </w:rPr>
      </w:pPr>
      <w:r>
        <w:rPr>
          <w:rFonts w:hint="eastAsia" w:ascii="仿宋" w:hAnsi="仿宋" w:eastAsia="仿宋" w:cs="仿宋"/>
          <w:b/>
          <w:bCs/>
          <w:color w:val="auto"/>
          <w:sz w:val="24"/>
          <w:szCs w:val="24"/>
          <w:lang w:val="zh-CN"/>
        </w:rPr>
        <w:t>同时出现两种以上不一致的，按照前款规定的顺序修正。修正后的报价经供应商书面确认后产生约束力，供应商不确认的，其投标无效。</w:t>
      </w:r>
    </w:p>
    <w:p>
      <w:pPr>
        <w:tabs>
          <w:tab w:val="left" w:pos="9030"/>
        </w:tabs>
        <w:snapToGrid w:val="0"/>
        <w:spacing w:line="360" w:lineRule="auto"/>
        <w:ind w:firstLine="480" w:firstLineChars="200"/>
        <w:outlineLvl w:val="2"/>
        <w:rPr>
          <w:rFonts w:ascii="仿宋" w:hAnsi="仿宋" w:eastAsia="仿宋" w:cs="仿宋"/>
          <w:color w:val="auto"/>
          <w:sz w:val="24"/>
          <w:szCs w:val="24"/>
          <w:lang w:val="zh-CN"/>
        </w:rPr>
      </w:pPr>
      <w:bookmarkStart w:id="219" w:name="_Toc15871"/>
      <w:bookmarkStart w:id="220" w:name="_Toc17114"/>
      <w:bookmarkStart w:id="221" w:name="_Toc16649"/>
      <w:bookmarkStart w:id="222" w:name="_Toc30211"/>
      <w:bookmarkStart w:id="223" w:name="_Toc9209"/>
      <w:bookmarkStart w:id="224" w:name="_Toc29598"/>
      <w:bookmarkStart w:id="225" w:name="_Toc2931"/>
      <w:bookmarkStart w:id="226" w:name="_Toc10499"/>
      <w:bookmarkStart w:id="227" w:name="_Toc17060"/>
      <w:r>
        <w:rPr>
          <w:rFonts w:hint="eastAsia" w:ascii="仿宋" w:hAnsi="仿宋" w:eastAsia="仿宋" w:cs="仿宋"/>
          <w:color w:val="auto"/>
          <w:sz w:val="24"/>
          <w:szCs w:val="24"/>
          <w:lang w:val="zh-CN"/>
        </w:rPr>
        <w:t>（四）推荐中标候选人名单</w:t>
      </w:r>
      <w:bookmarkEnd w:id="219"/>
      <w:bookmarkEnd w:id="220"/>
      <w:bookmarkEnd w:id="221"/>
      <w:bookmarkEnd w:id="222"/>
      <w:bookmarkEnd w:id="223"/>
      <w:bookmarkEnd w:id="224"/>
      <w:bookmarkEnd w:id="225"/>
      <w:bookmarkEnd w:id="226"/>
      <w:bookmarkEnd w:id="227"/>
    </w:p>
    <w:p>
      <w:pPr>
        <w:tabs>
          <w:tab w:val="left" w:pos="9030"/>
        </w:tabs>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评标结果按评审后得分由高到低顺序排列，推荐三名以上中标候选人。投标文件满足招标文件全部实质性要求，且按照评审因素的量化指标评审得分。按照排序推荐入围候选人</w:t>
      </w:r>
      <w:r>
        <w:rPr>
          <w:rFonts w:hint="eastAsia" w:ascii="仿宋" w:hAnsi="仿宋" w:eastAsia="仿宋" w:cs="仿宋"/>
          <w:color w:val="auto"/>
          <w:sz w:val="24"/>
          <w:szCs w:val="24"/>
        </w:rPr>
        <w:t>。</w:t>
      </w:r>
    </w:p>
    <w:p>
      <w:pPr>
        <w:autoSpaceDE w:val="0"/>
        <w:autoSpaceDN w:val="0"/>
        <w:adjustRightInd w:val="0"/>
        <w:snapToGrid w:val="0"/>
        <w:spacing w:line="360" w:lineRule="auto"/>
        <w:ind w:firstLine="482" w:firstLineChars="200"/>
        <w:outlineLvl w:val="1"/>
        <w:rPr>
          <w:rFonts w:ascii="仿宋" w:hAnsi="仿宋" w:eastAsia="仿宋" w:cs="仿宋"/>
          <w:b/>
          <w:color w:val="auto"/>
          <w:sz w:val="24"/>
          <w:szCs w:val="24"/>
          <w:lang w:val="zh-CN"/>
        </w:rPr>
      </w:pPr>
      <w:bookmarkStart w:id="228" w:name="_Toc18731"/>
      <w:bookmarkStart w:id="229" w:name="_Toc22251"/>
      <w:bookmarkStart w:id="230" w:name="_Toc2662"/>
      <w:bookmarkStart w:id="231" w:name="_Toc13328"/>
      <w:bookmarkStart w:id="232" w:name="_Toc561"/>
      <w:bookmarkStart w:id="233" w:name="_Toc11082"/>
      <w:bookmarkStart w:id="234" w:name="_Toc5432"/>
      <w:bookmarkStart w:id="235" w:name="_Toc2036"/>
      <w:r>
        <w:rPr>
          <w:rFonts w:hint="eastAsia" w:ascii="仿宋" w:hAnsi="仿宋" w:eastAsia="仿宋" w:cs="仿宋"/>
          <w:b/>
          <w:color w:val="auto"/>
          <w:sz w:val="24"/>
          <w:szCs w:val="24"/>
          <w:lang w:val="zh-CN"/>
        </w:rPr>
        <w:t>七、确定</w:t>
      </w:r>
      <w:bookmarkEnd w:id="228"/>
      <w:bookmarkEnd w:id="229"/>
      <w:r>
        <w:rPr>
          <w:rFonts w:hint="eastAsia" w:ascii="仿宋" w:hAnsi="仿宋" w:eastAsia="仿宋" w:cs="仿宋"/>
          <w:b/>
          <w:color w:val="auto"/>
          <w:sz w:val="24"/>
          <w:szCs w:val="24"/>
          <w:lang w:val="zh-CN"/>
        </w:rPr>
        <w:t>中标供应商</w:t>
      </w:r>
      <w:bookmarkEnd w:id="230"/>
      <w:bookmarkEnd w:id="231"/>
      <w:bookmarkEnd w:id="232"/>
      <w:bookmarkEnd w:id="233"/>
      <w:bookmarkEnd w:id="234"/>
      <w:bookmarkEnd w:id="235"/>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（一）采购代理机构应当在评标结束后2个工作日内将评标报告送采购人。</w:t>
      </w:r>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二）采购人应当自收到评标报告之日起5个工作日内，在评标报告确定的中标候选人名单中按顺序确定中标人，复函采购代理机构。采购人在收到评标报告5个工作日内未按评标报告推荐的中标候选人顺序确定中标人，又不能说明合法理由的，视同按评标报告推荐的顺序确定排名第一的中标候选人为中标人。</w:t>
      </w:r>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（三）采购代理机构当自中标人确定之日起2个工作日内，在省级以上财政部门指定的媒体上公告中标结果，公告期限为1个工作日，并向中标人发“中标通知书”。</w:t>
      </w:r>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四）供应商对中标公告有异议的，按照《中华人民共和国政府采购法》第五十二条之规定执行。提出质疑的供应商应当有明确的请求和必要的证明材料，应保证提出的质疑内容及相应证明材料的真实性及来源的合法性，并承担相应的法律责任。</w:t>
      </w:r>
    </w:p>
    <w:p>
      <w:pPr>
        <w:autoSpaceDE w:val="0"/>
        <w:autoSpaceDN w:val="0"/>
        <w:adjustRightInd w:val="0"/>
        <w:snapToGrid w:val="0"/>
        <w:spacing w:line="360" w:lineRule="auto"/>
        <w:ind w:firstLine="482" w:firstLineChars="200"/>
        <w:outlineLvl w:val="1"/>
        <w:rPr>
          <w:rFonts w:ascii="仿宋" w:hAnsi="仿宋" w:eastAsia="仿宋" w:cs="仿宋"/>
          <w:b/>
          <w:color w:val="auto"/>
          <w:sz w:val="24"/>
          <w:szCs w:val="24"/>
          <w:lang w:val="zh-CN"/>
        </w:rPr>
      </w:pPr>
      <w:bookmarkStart w:id="236" w:name="_Toc21655"/>
      <w:bookmarkStart w:id="237" w:name="_Toc19571"/>
      <w:bookmarkStart w:id="238" w:name="_Toc27317"/>
      <w:bookmarkStart w:id="239" w:name="_Toc15275"/>
      <w:bookmarkStart w:id="240" w:name="_Toc14998"/>
      <w:bookmarkStart w:id="241" w:name="_Toc19938"/>
      <w:bookmarkStart w:id="242" w:name="_Toc7972"/>
      <w:bookmarkStart w:id="243" w:name="_Toc7578"/>
      <w:r>
        <w:rPr>
          <w:rFonts w:hint="eastAsia" w:ascii="仿宋" w:hAnsi="仿宋" w:eastAsia="仿宋" w:cs="仿宋"/>
          <w:b/>
          <w:color w:val="auto"/>
          <w:sz w:val="24"/>
          <w:szCs w:val="24"/>
          <w:lang w:val="zh-CN"/>
        </w:rPr>
        <w:t>八、合同</w:t>
      </w:r>
      <w:bookmarkEnd w:id="236"/>
      <w:bookmarkEnd w:id="237"/>
      <w:bookmarkEnd w:id="238"/>
      <w:bookmarkEnd w:id="239"/>
      <w:bookmarkEnd w:id="240"/>
      <w:bookmarkEnd w:id="241"/>
      <w:bookmarkEnd w:id="242"/>
      <w:bookmarkEnd w:id="243"/>
    </w:p>
    <w:p>
      <w:pPr>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（一）采购人在自中标通知书发出之日起三十日内，按照招标文件和中标供应商投标文件的约定，采购人与中标供应商洽谈合同条款，并签订合同。招标文件及中标供应商的投标文件均作为合同的组成部分。</w:t>
      </w:r>
    </w:p>
    <w:p>
      <w:pPr>
        <w:tabs>
          <w:tab w:val="left" w:pos="0"/>
        </w:tabs>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二）定标后，中标供应商无正当理由拖延或拒签合同，监督机构有权取消其中标资格，并按评标结果顺序重新确定中标供应商。同时报请监督机构通报，取消其进入政府采购市场的资格，按规定予以处罚，并没收其投标保证金。</w:t>
      </w:r>
    </w:p>
    <w:p>
      <w:pPr>
        <w:tabs>
          <w:tab w:val="left" w:pos="0"/>
        </w:tabs>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（三）政府采购合同的履行、违约责任和解决争议的方法等适用《中华人民共和国民法典》，采购人按照政府采购合同规定的技术、服务、安全标准组织对供应商履约情况进行验收，并出具验收书。</w:t>
      </w:r>
    </w:p>
    <w:p>
      <w:pPr>
        <w:autoSpaceDE w:val="0"/>
        <w:autoSpaceDN w:val="0"/>
        <w:adjustRightInd w:val="0"/>
        <w:snapToGrid w:val="0"/>
        <w:spacing w:line="360" w:lineRule="auto"/>
        <w:ind w:firstLine="482" w:firstLineChars="200"/>
        <w:outlineLvl w:val="1"/>
        <w:rPr>
          <w:rFonts w:ascii="仿宋" w:hAnsi="仿宋" w:eastAsia="仿宋" w:cs="仿宋"/>
          <w:b/>
          <w:color w:val="auto"/>
          <w:sz w:val="24"/>
          <w:szCs w:val="24"/>
          <w:lang w:val="zh-CN"/>
        </w:rPr>
      </w:pPr>
      <w:bookmarkStart w:id="244" w:name="_Toc2868"/>
      <w:bookmarkStart w:id="245" w:name="_Toc1946"/>
      <w:bookmarkStart w:id="246" w:name="_Toc15593"/>
      <w:bookmarkStart w:id="247" w:name="_Toc5062"/>
      <w:bookmarkStart w:id="248" w:name="_Toc21976"/>
      <w:bookmarkStart w:id="249" w:name="_Toc28649"/>
      <w:bookmarkStart w:id="250" w:name="_Toc27949"/>
      <w:bookmarkStart w:id="251" w:name="_Toc29523"/>
      <w:r>
        <w:rPr>
          <w:rFonts w:hint="eastAsia" w:ascii="仿宋" w:hAnsi="仿宋" w:eastAsia="仿宋" w:cs="仿宋"/>
          <w:b/>
          <w:color w:val="auto"/>
          <w:sz w:val="24"/>
          <w:szCs w:val="24"/>
          <w:lang w:val="zh-CN"/>
        </w:rPr>
        <w:t>九、中标服务费</w:t>
      </w:r>
      <w:bookmarkEnd w:id="244"/>
      <w:bookmarkEnd w:id="245"/>
      <w:bookmarkEnd w:id="246"/>
      <w:bookmarkEnd w:id="247"/>
      <w:bookmarkEnd w:id="248"/>
      <w:bookmarkEnd w:id="249"/>
      <w:bookmarkEnd w:id="250"/>
      <w:bookmarkEnd w:id="251"/>
    </w:p>
    <w:p>
      <w:pPr>
        <w:tabs>
          <w:tab w:val="left" w:pos="0"/>
        </w:tabs>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bookmarkStart w:id="252" w:name="_Toc495671245"/>
      <w:bookmarkStart w:id="253" w:name="_Toc29526"/>
      <w:r>
        <w:rPr>
          <w:rFonts w:hint="eastAsia" w:ascii="仿宋" w:hAnsi="仿宋" w:eastAsia="仿宋" w:cs="仿宋"/>
          <w:color w:val="auto"/>
          <w:sz w:val="24"/>
          <w:szCs w:val="24"/>
          <w:lang w:val="zh-CN"/>
        </w:rPr>
        <w:t>（一）</w:t>
      </w:r>
      <w:r>
        <w:rPr>
          <w:rFonts w:hint="eastAsia" w:ascii="仿宋" w:hAnsi="仿宋" w:eastAsia="仿宋" w:cs="仿宋"/>
          <w:color w:val="auto"/>
          <w:sz w:val="24"/>
          <w:szCs w:val="24"/>
        </w:rPr>
        <w:t>本项目招标代理服务费由中标供应商在中标结果公示期满后三个</w:t>
      </w:r>
      <w:r>
        <w:rPr>
          <w:rFonts w:hint="eastAsia" w:ascii="仿宋" w:hAnsi="仿宋" w:eastAsia="仿宋" w:cs="仿宋"/>
          <w:color w:val="auto"/>
          <w:sz w:val="24"/>
          <w:szCs w:val="24"/>
          <w:lang w:eastAsia="zh-CN"/>
        </w:rPr>
        <w:t>工作日内按照标准支付给招标代理</w:t>
      </w:r>
      <w:r>
        <w:rPr>
          <w:rFonts w:hint="eastAsia" w:ascii="仿宋" w:hAnsi="仿宋" w:eastAsia="仿宋" w:cs="仿宋"/>
          <w:color w:val="auto"/>
          <w:sz w:val="24"/>
          <w:szCs w:val="24"/>
        </w:rPr>
        <w:t>机构。</w:t>
      </w:r>
    </w:p>
    <w:p>
      <w:pPr>
        <w:tabs>
          <w:tab w:val="left" w:pos="0"/>
        </w:tabs>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（二）</w:t>
      </w:r>
      <w:r>
        <w:rPr>
          <w:rFonts w:hint="eastAsia" w:ascii="仿宋" w:hAnsi="仿宋" w:eastAsia="仿宋" w:cs="仿宋"/>
          <w:color w:val="auto"/>
          <w:sz w:val="24"/>
          <w:szCs w:val="24"/>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p>
    <w:p>
      <w:pPr>
        <w:autoSpaceDE w:val="0"/>
        <w:autoSpaceDN w:val="0"/>
        <w:adjustRightIn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lang w:val="zh-CN"/>
        </w:rPr>
        <w:t>备注：</w:t>
      </w:r>
      <w:r>
        <w:rPr>
          <w:rFonts w:hint="eastAsia" w:ascii="仿宋" w:hAnsi="仿宋" w:eastAsia="仿宋" w:cs="仿宋"/>
          <w:color w:val="auto"/>
          <w:sz w:val="24"/>
          <w:szCs w:val="24"/>
        </w:rPr>
        <w:t>中标服务费不足6000元的，按6000元收取。</w:t>
      </w:r>
    </w:p>
    <w:p>
      <w:pPr>
        <w:jc w:val="right"/>
        <w:rPr>
          <w:rFonts w:ascii="仿宋" w:hAnsi="仿宋" w:eastAsia="仿宋" w:cs="仿宋"/>
          <w:color w:val="auto"/>
          <w:sz w:val="24"/>
          <w:szCs w:val="24"/>
          <w:lang w:val="zh-CN"/>
        </w:rPr>
      </w:pPr>
      <w:r>
        <w:rPr>
          <w:rFonts w:hint="eastAsia" w:ascii="仿宋" w:hAnsi="仿宋" w:eastAsia="仿宋" w:cs="仿宋"/>
          <w:color w:val="auto"/>
          <w:sz w:val="24"/>
          <w:szCs w:val="24"/>
          <w:lang w:val="zh-CN"/>
        </w:rPr>
        <w:t>单位：万元</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980"/>
        <w:gridCol w:w="19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448" w:type="dxa"/>
          </w:tcPr>
          <w:p>
            <w:pPr>
              <w:spacing w:line="360" w:lineRule="auto"/>
              <w:ind w:firstLine="1200" w:firstLineChars="500"/>
              <w:rPr>
                <w:rFonts w:ascii="仿宋" w:hAnsi="仿宋" w:eastAsia="仿宋" w:cs="仿宋"/>
                <w:b/>
                <w:color w:val="auto"/>
                <w:sz w:val="24"/>
                <w:szCs w:val="24"/>
              </w:rPr>
            </w:pPr>
            <w:r>
              <w:rPr>
                <w:rFonts w:hint="eastAsia" w:ascii="仿宋" w:hAnsi="仿宋" w:eastAsia="仿宋" w:cs="仿宋"/>
                <w:color w:val="auto"/>
                <w:sz w:val="24"/>
                <w:szCs w:val="24"/>
              </w:rPr>
              <mc:AlternateContent>
                <mc:Choice Requires="wps">
                  <w:drawing>
                    <wp:anchor distT="0" distB="0" distL="114300" distR="114300" simplePos="0" relativeHeight="251663360" behindDoc="0" locked="0" layoutInCell="1" allowOverlap="1">
                      <wp:simplePos x="0" y="0"/>
                      <wp:positionH relativeFrom="column">
                        <wp:posOffset>-80645</wp:posOffset>
                      </wp:positionH>
                      <wp:positionV relativeFrom="paragraph">
                        <wp:posOffset>3175</wp:posOffset>
                      </wp:positionV>
                      <wp:extent cx="1570990" cy="577215"/>
                      <wp:effectExtent l="1905" t="4445" r="8255" b="8890"/>
                      <wp:wrapNone/>
                      <wp:docPr id="11" name="直接箭头连接符 11"/>
                      <wp:cNvGraphicFramePr/>
                      <a:graphic xmlns:a="http://schemas.openxmlformats.org/drawingml/2006/main">
                        <a:graphicData uri="http://schemas.microsoft.com/office/word/2010/wordprocessingShape">
                          <wps:wsp>
                            <wps:cNvCnPr/>
                            <wps:spPr>
                              <a:xfrm>
                                <a:off x="0" y="0"/>
                                <a:ext cx="1570990" cy="57721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6.35pt;margin-top:0.25pt;height:45.45pt;width:123.7pt;z-index:251663360;mso-width-relative:page;mso-height-relative:page;" filled="f" stroked="t" coordsize="21600,21600" o:gfxdata="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2zID9UAAAAHAQAADwAAAAAAAAABACAAAAAiAAAAZHJzL2Rvd25y&#10;ZXYueG1sUEsBAhQAFAAAAAgAh07iQLVyauABAgAA8wMAAA4AAAAAAAAAAQAgAAAAJAEAAGRycy9l&#10;Mm9Eb2MueG1sUEsFBgAAAAAGAAYAWQEAAJcFA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rPr>
              <w:t>采购类型</w:t>
            </w:r>
          </w:p>
          <w:p>
            <w:pPr>
              <w:spacing w:line="360" w:lineRule="auto"/>
              <w:rPr>
                <w:rFonts w:ascii="仿宋" w:hAnsi="仿宋" w:eastAsia="仿宋" w:cs="仿宋"/>
                <w:b/>
                <w:color w:val="auto"/>
                <w:sz w:val="24"/>
                <w:szCs w:val="24"/>
              </w:rPr>
            </w:pPr>
            <w:r>
              <w:rPr>
                <w:rFonts w:hint="eastAsia" w:ascii="仿宋" w:hAnsi="仿宋" w:eastAsia="仿宋" w:cs="仿宋"/>
                <w:b/>
                <w:color w:val="auto"/>
                <w:sz w:val="24"/>
                <w:szCs w:val="24"/>
              </w:rPr>
              <w:t>中标金额</w:t>
            </w:r>
          </w:p>
        </w:tc>
        <w:tc>
          <w:tcPr>
            <w:tcW w:w="1980"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货物招标</w:t>
            </w:r>
          </w:p>
        </w:tc>
        <w:tc>
          <w:tcPr>
            <w:tcW w:w="1980"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服务招标</w:t>
            </w:r>
          </w:p>
        </w:tc>
        <w:tc>
          <w:tcPr>
            <w:tcW w:w="1980"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100以下</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100-500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0.8%</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500-1000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0.8%</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0.45%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1000-5000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5000-10000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10000-100000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1000000以上</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r>
    </w:tbl>
    <w:p>
      <w:pPr>
        <w:tabs>
          <w:tab w:val="left" w:pos="0"/>
        </w:tabs>
        <w:autoSpaceDE w:val="0"/>
        <w:autoSpaceDN w:val="0"/>
        <w:adjustRightInd w:val="0"/>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（三）中标供应商服务费交纳信息：</w:t>
      </w:r>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采购代理机构开户名称：陕西笃信招标有限公司</w:t>
      </w:r>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开户银行：中国建设银行股份有限公司西安劳动北路支行</w:t>
      </w:r>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账   号：61050174390000000193</w:t>
      </w:r>
    </w:p>
    <w:p>
      <w:pPr>
        <w:autoSpaceDE w:val="0"/>
        <w:autoSpaceDN w:val="0"/>
        <w:adjustRightInd w:val="0"/>
        <w:spacing w:line="360" w:lineRule="auto"/>
        <w:ind w:firstLine="482" w:firstLineChars="200"/>
        <w:outlineLvl w:val="1"/>
        <w:rPr>
          <w:rFonts w:ascii="仿宋" w:hAnsi="仿宋" w:eastAsia="仿宋" w:cs="仿宋"/>
          <w:b/>
          <w:color w:val="auto"/>
          <w:sz w:val="24"/>
          <w:szCs w:val="24"/>
          <w:lang w:val="zh-CN"/>
        </w:rPr>
      </w:pPr>
      <w:bookmarkStart w:id="254" w:name="_Toc21712"/>
      <w:bookmarkStart w:id="255" w:name="_Toc31993"/>
      <w:bookmarkStart w:id="256" w:name="_Toc6650"/>
      <w:bookmarkStart w:id="257" w:name="_Toc11240"/>
      <w:bookmarkStart w:id="258" w:name="_Toc32450"/>
      <w:bookmarkStart w:id="259" w:name="_Toc22638"/>
      <w:bookmarkStart w:id="260" w:name="_Toc2882"/>
      <w:r>
        <w:rPr>
          <w:rFonts w:hint="eastAsia" w:ascii="仿宋" w:hAnsi="仿宋" w:eastAsia="仿宋" w:cs="仿宋"/>
          <w:b/>
          <w:color w:val="auto"/>
          <w:sz w:val="24"/>
          <w:szCs w:val="24"/>
          <w:lang w:val="zh-CN"/>
        </w:rPr>
        <w:t>十、废标或者采购方式的变更</w:t>
      </w:r>
      <w:bookmarkEnd w:id="252"/>
      <w:bookmarkEnd w:id="253"/>
      <w:bookmarkEnd w:id="254"/>
      <w:bookmarkEnd w:id="255"/>
      <w:bookmarkEnd w:id="256"/>
      <w:bookmarkEnd w:id="257"/>
      <w:bookmarkEnd w:id="258"/>
      <w:bookmarkEnd w:id="259"/>
      <w:bookmarkEnd w:id="260"/>
    </w:p>
    <w:p>
      <w:pPr>
        <w:autoSpaceDE w:val="0"/>
        <w:autoSpaceDN w:val="0"/>
        <w:adjustRightInd w:val="0"/>
        <w:spacing w:line="360" w:lineRule="auto"/>
        <w:ind w:firstLine="480" w:firstLineChars="200"/>
        <w:outlineLvl w:val="2"/>
        <w:rPr>
          <w:rFonts w:ascii="仿宋" w:hAnsi="仿宋" w:eastAsia="仿宋" w:cs="仿宋"/>
          <w:color w:val="auto"/>
          <w:sz w:val="24"/>
          <w:szCs w:val="24"/>
          <w:lang w:val="zh-CN"/>
        </w:rPr>
      </w:pPr>
      <w:bookmarkStart w:id="261" w:name="_Toc25917"/>
      <w:bookmarkStart w:id="262" w:name="_Toc12765"/>
      <w:bookmarkStart w:id="263" w:name="_Toc18276"/>
      <w:bookmarkStart w:id="264" w:name="_Toc19552"/>
      <w:bookmarkStart w:id="265" w:name="_Toc16112"/>
      <w:bookmarkStart w:id="266" w:name="_Toc19867"/>
      <w:r>
        <w:rPr>
          <w:rFonts w:hint="eastAsia" w:ascii="仿宋" w:hAnsi="仿宋" w:eastAsia="仿宋" w:cs="仿宋"/>
          <w:color w:val="auto"/>
          <w:sz w:val="24"/>
          <w:szCs w:val="24"/>
          <w:lang w:val="zh-CN"/>
        </w:rPr>
        <w:t>（一）废标</w:t>
      </w:r>
      <w:bookmarkEnd w:id="261"/>
      <w:bookmarkEnd w:id="262"/>
      <w:bookmarkEnd w:id="263"/>
      <w:bookmarkEnd w:id="264"/>
      <w:bookmarkEnd w:id="265"/>
      <w:bookmarkEnd w:id="266"/>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在招标过程中，提交投标文件或者通过资格审查或符合性审查的供应商只有1家时，按废标处理，重新开展采购活动。</w:t>
      </w:r>
    </w:p>
    <w:p>
      <w:pPr>
        <w:autoSpaceDE w:val="0"/>
        <w:autoSpaceDN w:val="0"/>
        <w:adjustRightInd w:val="0"/>
        <w:spacing w:line="360" w:lineRule="auto"/>
        <w:ind w:firstLine="480" w:firstLineChars="200"/>
        <w:outlineLvl w:val="2"/>
        <w:rPr>
          <w:rFonts w:ascii="仿宋" w:hAnsi="仿宋" w:eastAsia="仿宋" w:cs="仿宋"/>
          <w:color w:val="auto"/>
          <w:sz w:val="24"/>
          <w:szCs w:val="24"/>
          <w:lang w:val="zh-CN"/>
        </w:rPr>
      </w:pPr>
      <w:bookmarkStart w:id="267" w:name="_Toc27818"/>
      <w:bookmarkStart w:id="268" w:name="_Toc20612"/>
      <w:bookmarkStart w:id="269" w:name="_Toc10147"/>
      <w:bookmarkStart w:id="270" w:name="_Toc31338"/>
      <w:bookmarkStart w:id="271" w:name="_Toc25928"/>
      <w:bookmarkStart w:id="272" w:name="_Toc4528"/>
      <w:r>
        <w:rPr>
          <w:rFonts w:hint="eastAsia" w:ascii="仿宋" w:hAnsi="仿宋" w:eastAsia="仿宋" w:cs="仿宋"/>
          <w:color w:val="auto"/>
          <w:sz w:val="24"/>
          <w:szCs w:val="24"/>
          <w:lang w:val="zh-CN"/>
        </w:rPr>
        <w:t>（二）采购方式的变更</w:t>
      </w:r>
      <w:bookmarkEnd w:id="267"/>
      <w:bookmarkEnd w:id="268"/>
      <w:bookmarkEnd w:id="269"/>
      <w:bookmarkEnd w:id="270"/>
      <w:bookmarkEnd w:id="271"/>
      <w:bookmarkEnd w:id="272"/>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根据《政府采购货物和服务招标投标管理办法》第四十三条，公开招标的货物、服务类项目，投标截止后供应商不足三家或者通过资格审查或符合性审查的供应商不足三家的，除采购任务取消情形外，按照以下方式处理：</w:t>
      </w:r>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1.招标文件存在不合理条款或者招标程序不符合规定的，采购人、采购代理机构改正后依法重新招标；</w:t>
      </w:r>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2.招标文件没有不合理条款、招标程序符合规定，需要采用其他采购方式采购的，采购人应当依法报财政部门批准：</w:t>
      </w:r>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①在招标过程中，提交投标文件或者通过资格审查或符合性审查的供应商只有2家时，根据2013年第74号部长令--《政府采购非招标采购方式管理办法》第二十七条和陕西省财政厅陕财办采资（2016）53号文件第七条的规定，经采购人书面请示政府采购管理机构同意后，可以现场转为竞争性谈判继续采购。</w:t>
      </w:r>
    </w:p>
    <w:p>
      <w:pPr>
        <w:autoSpaceDE w:val="0"/>
        <w:autoSpaceDN w:val="0"/>
        <w:adjustRightIn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②如果转为竞争性谈判方式，则原招标文件转为竞争性谈判文件，原</w:t>
      </w:r>
      <w:r>
        <w:rPr>
          <w:rFonts w:hint="eastAsia" w:ascii="仿宋" w:hAnsi="仿宋" w:eastAsia="仿宋" w:cs="仿宋"/>
          <w:color w:val="auto"/>
          <w:sz w:val="24"/>
          <w:szCs w:val="24"/>
        </w:rPr>
        <w:t>供应商</w:t>
      </w:r>
      <w:r>
        <w:rPr>
          <w:rFonts w:hint="eastAsia" w:ascii="仿宋" w:hAnsi="仿宋" w:eastAsia="仿宋" w:cs="仿宋"/>
          <w:color w:val="auto"/>
          <w:sz w:val="24"/>
          <w:szCs w:val="24"/>
          <w:lang w:val="zh-CN"/>
        </w:rPr>
        <w:t>即为报价人，原投标文件报价作为竞争性谈判的第一次报价，评审方法按照竞争性谈判的评审原则，在质量和服务均能满足招标文件实质性要求的基础上，按照最后报价由低到高的顺序，确定成交候选人。</w:t>
      </w:r>
    </w:p>
    <w:p>
      <w:pPr>
        <w:autoSpaceDE w:val="0"/>
        <w:autoSpaceDN w:val="0"/>
        <w:adjustRightInd w:val="0"/>
        <w:snapToGrid w:val="0"/>
        <w:spacing w:line="360" w:lineRule="auto"/>
        <w:ind w:firstLine="482" w:firstLineChars="200"/>
        <w:outlineLvl w:val="1"/>
        <w:rPr>
          <w:rFonts w:ascii="仿宋" w:hAnsi="仿宋" w:eastAsia="仿宋" w:cs="仿宋"/>
          <w:b/>
          <w:color w:val="auto"/>
          <w:sz w:val="24"/>
          <w:szCs w:val="24"/>
          <w:lang w:val="zh-CN"/>
        </w:rPr>
      </w:pPr>
      <w:bookmarkStart w:id="273" w:name="_Toc29960"/>
      <w:bookmarkStart w:id="274" w:name="_Toc16329"/>
      <w:bookmarkStart w:id="275" w:name="_Toc206"/>
      <w:bookmarkStart w:id="276" w:name="_Toc21416"/>
      <w:bookmarkStart w:id="277" w:name="_Toc19640"/>
      <w:bookmarkStart w:id="278" w:name="_Toc31972"/>
      <w:bookmarkStart w:id="279" w:name="_Toc495671239"/>
      <w:bookmarkStart w:id="280" w:name="_Toc22403"/>
      <w:bookmarkStart w:id="281" w:name="_Toc12871"/>
      <w:r>
        <w:rPr>
          <w:rFonts w:hint="eastAsia" w:ascii="仿宋" w:hAnsi="仿宋" w:eastAsia="仿宋" w:cs="仿宋"/>
          <w:b/>
          <w:color w:val="auto"/>
          <w:sz w:val="24"/>
          <w:szCs w:val="24"/>
          <w:lang w:val="zh-CN"/>
        </w:rPr>
        <w:t>十一、需要落实的政府采购政策</w:t>
      </w:r>
      <w:bookmarkEnd w:id="273"/>
      <w:bookmarkEnd w:id="274"/>
      <w:bookmarkEnd w:id="275"/>
      <w:bookmarkEnd w:id="276"/>
      <w:bookmarkEnd w:id="277"/>
      <w:bookmarkEnd w:id="278"/>
      <w:bookmarkEnd w:id="279"/>
      <w:bookmarkEnd w:id="280"/>
      <w:bookmarkEnd w:id="281"/>
    </w:p>
    <w:p>
      <w:pPr>
        <w:snapToGrid w:val="0"/>
        <w:spacing w:line="360" w:lineRule="auto"/>
        <w:ind w:firstLine="480" w:firstLineChars="200"/>
        <w:rPr>
          <w:rFonts w:ascii="仿宋" w:hAnsi="仿宋" w:eastAsia="仿宋" w:cs="仿宋"/>
          <w:color w:val="auto"/>
          <w:sz w:val="24"/>
          <w:szCs w:val="24"/>
        </w:rPr>
      </w:pPr>
      <w:bookmarkStart w:id="282" w:name="_Toc19879"/>
      <w:bookmarkStart w:id="283" w:name="_Toc6204"/>
      <w:bookmarkStart w:id="284" w:name="_Toc5903"/>
      <w:bookmarkStart w:id="285" w:name="_Toc31691"/>
      <w:bookmarkStart w:id="286" w:name="_Toc19661"/>
      <w:bookmarkStart w:id="287" w:name="_Toc13861"/>
      <w:bookmarkStart w:id="288" w:name="_Toc26022"/>
      <w:r>
        <w:rPr>
          <w:rFonts w:hint="eastAsia" w:ascii="仿宋" w:hAnsi="仿宋" w:eastAsia="仿宋" w:cs="仿宋"/>
          <w:color w:val="auto"/>
          <w:sz w:val="24"/>
          <w:szCs w:val="24"/>
        </w:rPr>
        <w:t>（一）落实促进支持中小企业、监狱企业、残疾人福利性单位发展、脱贫攻坚工作的政策(如为专门面向中小企业的采购项目（或采购包），不执行1、2、3条款。)</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1、《政府采购促进中小企业发展管理办法》（财库〔2020〕46号）及《关于进一步加大政府采购支持中小企业力度的通知》（财库〔2022〕19号）</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在政府采购活动中，供应商提供的货物、工程或者服务符合下列情形的，享受《办法》规定的中小企业扶持政策:</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(1)在货物采购项目中，货物由中小企业制造，即货物由中小企业生产且使用该中小企业商号或者注册商标；</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(2)在工程采购项目中，工程由中小企业承建，即工程施工单位为中小企业；</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(3)在服务采购项目中，服务由中小企业承接，即提供服务的人员为中小企业依照《中华人民共和国劳动合同法》订立劳动合同的从业人员。</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在货物采购项目中，供应商提供的货物既有中小企业制造货物，也有大型企业制造货物的，不享受《办法》规定的中小企业扶持政策。</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以联合体形式参加政府采购活动，联合体各方均为中小企业的，联合体视同中小企业。其中，联合体各方均为小微企业的，联合体视同小微企业。</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依据《办法》规定享受扶持政策获得政府采购合同的，小微企业不得将合同分包给大中型企业，中型企业不得将合同分包给大型企业。</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根据《政府采购促进中小企业发展管理办法》的通知（财库〔2020〕46号）规定，参加政府采购活动的中小企业应当提供《中小企业声明函》。供应商提供的《中小企业声明函》原件必须真实，否则，按照有关规定予以处理。</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根据《政府采购促进中小企业发展管理办法》及《西安市财政局关于进一步加大政府采购支持中小企业力度的通知》市财函〔2022〕867号的相关规定，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作为其价格分。</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2、《财政部 司法部关于政府采购支持监狱企业发展有关问题的通知》（财库〔2014〕68号）</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监狱企业参加政府采购活动时，应当提供由省级以上监狱管理局、戒毒管理局（含新疆生产建设兵团）出具的属于监狱企业的证明文件。在政府采购活动中，监狱企业视同小型、微型企业。</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3、《三部门联合发布关于促进残疾人就业政府采购政策的通知》（财库〔2017〕141号）；</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符合条件的残疾人福利性单位在参加政府采购活动时，应当提供本通知规定的《残疾人福利性单位声明函》，并对声明的真实性负责。在政府采购活动中，残疾人福利性单位视同小型、微型企业，享受预留份额。</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（二）落实优先采购节能、环保产品的政策</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2、《财政部 司法部关于政府采购支持监狱企业发展有关问题的通知》（财库〔2014〕68号）</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监狱企业参加政府采购活动时，应当提供由省级以上监狱管理局、戒毒管理局（含新疆生产建设兵团）出具的属于监狱企业的证明文件。在政府采购活动中，监狱企业视同小型、微型企业。</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3、《三部门联合发布关于促进残疾人就业政府采购政策的通知》（财库〔2017〕141号）；</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符合条件的残疾人福利性单位在参加政府采购活动时，应当提供本通知规定的《残疾人福利性单位声明函》，并对声明的真实性负责。在政府采购活动中，残疾人福利性单位视同小型、微型企业，享受预留份额。</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4、根据《财政部 发展改革委 生态环境部 市场监管总局关于调整优化节能产品、环境标志产品政府采购执行机制的通知》（财库〔2019〕9号）有关要求，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所有投标产品进入“节能产品政府采购品目清单”的，应提供相关证书复印件，相关证书的颁发机构应来自《参与实施政府采购节能产品认证机构名录》。</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所有投标产品进入“环境标志产品政府采购品目清单”的，应提供相关证书复印件，相关证书的颁发机构应来自《参与实施政府采购环境标志产品认证机构名录》。</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（三）政府采购信用融资政策</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为了支持和促进中小企业发展，进一步发挥政府采购政策功能作用，有效缓解中小企业融资难、融资贵问题，根据陕西省财政厅关于印发《陕西省中小企业政府采购信用融资办法》陕财办采〔2018〕23号以及依据《陕西省财政厅关于加快推进我省中小企业政府采购信用融资工作的通知》（陕财办采[2020]15号）。规定，中小型企业供应商有融资需求的，可以自由按照财政部门的规定，在“陕西政府采购信用融资平台（含各市分平台）”查询并按信用融资办法的相关程序申请办理。</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（四）陕西省中小企业政府采购信用担保政策</w:t>
      </w:r>
    </w:p>
    <w:p>
      <w:pPr>
        <w:snapToGrid w:val="0"/>
        <w:spacing w:line="360" w:lineRule="auto"/>
        <w:ind w:firstLine="480" w:firstLineChars="200"/>
        <w:rPr>
          <w:color w:val="auto"/>
        </w:rPr>
      </w:pPr>
      <w:r>
        <w:rPr>
          <w:rFonts w:hint="eastAsia" w:ascii="仿宋" w:hAnsi="仿宋" w:eastAsia="仿宋" w:cs="仿宋"/>
          <w:color w:val="auto"/>
          <w:sz w:val="24"/>
          <w:szCs w:val="24"/>
        </w:rPr>
        <w:t>如属于政府采购信用担保范围内，中小型企业供应商可以自由按照财政部门的规定，采用履约担保和融资担保。</w:t>
      </w:r>
    </w:p>
    <w:p>
      <w:pPr>
        <w:autoSpaceDE w:val="0"/>
        <w:autoSpaceDN w:val="0"/>
        <w:adjustRightInd w:val="0"/>
        <w:snapToGrid w:val="0"/>
        <w:spacing w:line="360" w:lineRule="auto"/>
        <w:ind w:firstLine="482" w:firstLineChars="200"/>
        <w:outlineLvl w:val="1"/>
        <w:rPr>
          <w:rFonts w:ascii="仿宋" w:hAnsi="仿宋" w:eastAsia="仿宋" w:cs="仿宋"/>
          <w:b/>
          <w:color w:val="auto"/>
          <w:sz w:val="24"/>
          <w:szCs w:val="24"/>
          <w:lang w:val="zh-CN"/>
        </w:rPr>
      </w:pPr>
      <w:bookmarkStart w:id="289" w:name="_Toc27554"/>
      <w:bookmarkStart w:id="290" w:name="_Toc3946"/>
      <w:r>
        <w:rPr>
          <w:rFonts w:hint="eastAsia" w:ascii="仿宋" w:hAnsi="仿宋" w:eastAsia="仿宋" w:cs="仿宋"/>
          <w:b/>
          <w:color w:val="auto"/>
          <w:sz w:val="24"/>
          <w:szCs w:val="24"/>
          <w:lang w:val="zh-CN"/>
        </w:rPr>
        <w:t>十二、质疑与投诉</w:t>
      </w:r>
      <w:bookmarkEnd w:id="282"/>
      <w:bookmarkEnd w:id="283"/>
      <w:bookmarkEnd w:id="284"/>
      <w:bookmarkEnd w:id="285"/>
      <w:bookmarkEnd w:id="286"/>
      <w:bookmarkEnd w:id="287"/>
      <w:bookmarkEnd w:id="288"/>
      <w:bookmarkEnd w:id="289"/>
      <w:bookmarkEnd w:id="290"/>
    </w:p>
    <w:p>
      <w:pPr>
        <w:autoSpaceDE w:val="0"/>
        <w:autoSpaceDN w:val="0"/>
        <w:adjustRightInd w:val="0"/>
        <w:snapToGrid w:val="0"/>
        <w:spacing w:line="360" w:lineRule="auto"/>
        <w:ind w:firstLine="480" w:firstLineChars="200"/>
        <w:outlineLvl w:val="2"/>
        <w:rPr>
          <w:rFonts w:ascii="仿宋" w:hAnsi="仿宋" w:eastAsia="仿宋" w:cs="仿宋"/>
          <w:bCs/>
          <w:color w:val="auto"/>
          <w:sz w:val="24"/>
          <w:szCs w:val="24"/>
          <w:lang w:val="zh-CN"/>
        </w:rPr>
      </w:pPr>
      <w:bookmarkStart w:id="291" w:name="_Toc31018"/>
      <w:bookmarkStart w:id="292" w:name="_Toc18516"/>
      <w:bookmarkStart w:id="293" w:name="_Toc6295"/>
      <w:bookmarkStart w:id="294" w:name="_Toc6521"/>
      <w:bookmarkStart w:id="295" w:name="_Toc5806"/>
      <w:bookmarkStart w:id="296" w:name="_Toc23643"/>
      <w:bookmarkStart w:id="297" w:name="_Toc8990"/>
      <w:r>
        <w:rPr>
          <w:rFonts w:hint="eastAsia" w:ascii="仿宋" w:hAnsi="仿宋" w:eastAsia="仿宋" w:cs="仿宋"/>
          <w:bCs/>
          <w:color w:val="auto"/>
          <w:sz w:val="24"/>
          <w:szCs w:val="24"/>
          <w:lang w:val="zh-CN"/>
        </w:rPr>
        <w:t>（一）质疑</w:t>
      </w:r>
      <w:bookmarkEnd w:id="291"/>
      <w:bookmarkEnd w:id="292"/>
      <w:bookmarkEnd w:id="293"/>
      <w:bookmarkEnd w:id="294"/>
      <w:bookmarkEnd w:id="295"/>
      <w:bookmarkEnd w:id="296"/>
      <w:bookmarkEnd w:id="297"/>
    </w:p>
    <w:p>
      <w:pPr>
        <w:autoSpaceDE w:val="0"/>
        <w:autoSpaceDN w:val="0"/>
        <w:adjustRightInd w:val="0"/>
        <w:snapToGri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1、供应商认为招标文件、招标过程或中标结果使自身的合法权益受到损害，可以在法定期限内，以书面形式向采购代理机构或采购人提出质疑。</w:t>
      </w:r>
    </w:p>
    <w:p>
      <w:pPr>
        <w:autoSpaceDE w:val="0"/>
        <w:autoSpaceDN w:val="0"/>
        <w:adjustRightInd w:val="0"/>
        <w:snapToGri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（1）提出质疑应当提交质疑函和必要的证明材料，质疑函应当包括以下主要内容：</w:t>
      </w:r>
    </w:p>
    <w:p>
      <w:pPr>
        <w:autoSpaceDE w:val="0"/>
        <w:autoSpaceDN w:val="0"/>
        <w:adjustRightInd w:val="0"/>
        <w:snapToGri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 xml:space="preserve">①供应商的姓名或者名称、地址、邮编、联系人及联系电话；②质疑项目的名称、编号；③具体、明确的质疑事项和与质疑事项相关的请求；④事实依据；⑤必要的法律依据；⑥提出质疑的日期。 </w:t>
      </w:r>
    </w:p>
    <w:p>
      <w:pPr>
        <w:autoSpaceDE w:val="0"/>
        <w:autoSpaceDN w:val="0"/>
        <w:adjustRightInd w:val="0"/>
        <w:snapToGri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（2）质疑函应当由法定代表人签字并加盖公章，公章不得以合同章或其他印章代替。</w:t>
      </w:r>
    </w:p>
    <w:p>
      <w:pPr>
        <w:autoSpaceDE w:val="0"/>
        <w:autoSpaceDN w:val="0"/>
        <w:adjustRightInd w:val="0"/>
        <w:snapToGri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（3）质疑人可以委托代理人办理质疑事项，代理人办理质疑事项时，除提交质疑函外，还应当提交法人授权委托书及代理人的有效身份证明，授权委托书应当载明委托代理的具体权限和事项。</w:t>
      </w:r>
    </w:p>
    <w:p>
      <w:pPr>
        <w:autoSpaceDE w:val="0"/>
        <w:autoSpaceDN w:val="0"/>
        <w:adjustRightInd w:val="0"/>
        <w:snapToGri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（4）有下列情形之一的，属于无效质疑：</w:t>
      </w:r>
    </w:p>
    <w:p>
      <w:pPr>
        <w:autoSpaceDE w:val="0"/>
        <w:autoSpaceDN w:val="0"/>
        <w:adjustRightInd w:val="0"/>
        <w:snapToGri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①质疑人不是参与本次政府采购项目的供应商或潜在供应商；</w:t>
      </w:r>
    </w:p>
    <w:p>
      <w:pPr>
        <w:autoSpaceDE w:val="0"/>
        <w:autoSpaceDN w:val="0"/>
        <w:adjustRightInd w:val="0"/>
        <w:snapToGri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②质疑人与质疑事项不存在利害关系的；</w:t>
      </w:r>
    </w:p>
    <w:p>
      <w:pPr>
        <w:autoSpaceDE w:val="0"/>
        <w:autoSpaceDN w:val="0"/>
        <w:adjustRightInd w:val="0"/>
        <w:snapToGri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③未在法定期限内提出质疑的；</w:t>
      </w:r>
    </w:p>
    <w:p>
      <w:pPr>
        <w:autoSpaceDE w:val="0"/>
        <w:autoSpaceDN w:val="0"/>
        <w:adjustRightInd w:val="0"/>
        <w:snapToGri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④质疑未以书面形式提出，或质疑函主要内容构成不完整的；</w:t>
      </w:r>
    </w:p>
    <w:p>
      <w:pPr>
        <w:autoSpaceDE w:val="0"/>
        <w:autoSpaceDN w:val="0"/>
        <w:adjustRightInd w:val="0"/>
        <w:snapToGri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⑤质疑函没有合法有效的签字、盖章或授权的；</w:t>
      </w:r>
    </w:p>
    <w:p>
      <w:pPr>
        <w:autoSpaceDE w:val="0"/>
        <w:autoSpaceDN w:val="0"/>
        <w:adjustRightInd w:val="0"/>
        <w:snapToGri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⑥以非法手段取得证据、材料的；</w:t>
      </w:r>
    </w:p>
    <w:p>
      <w:pPr>
        <w:autoSpaceDE w:val="0"/>
        <w:autoSpaceDN w:val="0"/>
        <w:adjustRightInd w:val="0"/>
        <w:snapToGri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⑦质疑答复后，同一质疑人就同一事项再次提出质疑的；</w:t>
      </w:r>
    </w:p>
    <w:p>
      <w:pPr>
        <w:autoSpaceDE w:val="0"/>
        <w:autoSpaceDN w:val="0"/>
        <w:adjustRightInd w:val="0"/>
        <w:snapToGri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⑧不符合法律、法规、规章和政府采购监管机构规定的其他条件的。</w:t>
      </w:r>
    </w:p>
    <w:p>
      <w:pPr>
        <w:autoSpaceDE w:val="0"/>
        <w:autoSpaceDN w:val="0"/>
        <w:adjustRightInd w:val="0"/>
        <w:snapToGri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2、符合要求的质疑，采购代理机构将予以受理并答复，具体联系方式如下：</w:t>
      </w:r>
    </w:p>
    <w:p>
      <w:pPr>
        <w:autoSpaceDE w:val="0"/>
        <w:autoSpaceDN w:val="0"/>
        <w:adjustRightInd w:val="0"/>
        <w:snapToGri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lang w:val="zh-CN"/>
        </w:rPr>
        <w:t>联系人：李纪旋、</w:t>
      </w:r>
      <w:r>
        <w:rPr>
          <w:rFonts w:hint="eastAsia" w:ascii="仿宋" w:hAnsi="仿宋" w:eastAsia="仿宋" w:cs="仿宋"/>
          <w:bCs/>
          <w:color w:val="auto"/>
          <w:sz w:val="24"/>
          <w:szCs w:val="24"/>
        </w:rPr>
        <w:t>黄安舒</w:t>
      </w:r>
    </w:p>
    <w:p>
      <w:pPr>
        <w:autoSpaceDE w:val="0"/>
        <w:autoSpaceDN w:val="0"/>
        <w:adjustRightInd w:val="0"/>
        <w:snapToGri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lang w:val="zh-CN"/>
        </w:rPr>
        <w:t>联系电话</w:t>
      </w:r>
      <w:r>
        <w:rPr>
          <w:rFonts w:hint="eastAsia" w:ascii="仿宋" w:hAnsi="仿宋" w:eastAsia="仿宋" w:cs="仿宋"/>
          <w:bCs/>
          <w:color w:val="auto"/>
          <w:sz w:val="24"/>
          <w:szCs w:val="24"/>
        </w:rPr>
        <w:t>：029-86253389、17782840194</w:t>
      </w:r>
    </w:p>
    <w:p>
      <w:pPr>
        <w:autoSpaceDE w:val="0"/>
        <w:autoSpaceDN w:val="0"/>
        <w:adjustRightInd w:val="0"/>
        <w:snapToGri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邮箱：2059407584@qq.com</w:t>
      </w:r>
    </w:p>
    <w:p>
      <w:pPr>
        <w:autoSpaceDE w:val="0"/>
        <w:autoSpaceDN w:val="0"/>
        <w:adjustRightInd w:val="0"/>
        <w:snapToGri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lang w:val="zh-CN"/>
        </w:rPr>
        <w:t>地址</w:t>
      </w:r>
      <w:r>
        <w:rPr>
          <w:rFonts w:hint="eastAsia" w:ascii="仿宋" w:hAnsi="仿宋" w:eastAsia="仿宋" w:cs="仿宋"/>
          <w:bCs/>
          <w:color w:val="auto"/>
          <w:sz w:val="24"/>
          <w:szCs w:val="24"/>
        </w:rPr>
        <w:t>：</w:t>
      </w:r>
      <w:r>
        <w:rPr>
          <w:rFonts w:hint="eastAsia" w:ascii="仿宋" w:hAnsi="仿宋" w:eastAsia="仿宋" w:cs="仿宋"/>
          <w:bCs/>
          <w:color w:val="auto"/>
          <w:sz w:val="24"/>
          <w:szCs w:val="24"/>
          <w:lang w:val="zh-CN"/>
        </w:rPr>
        <w:t>西安市经济技术开发区凤城十一路与文景路十字文景商务广场</w:t>
      </w:r>
      <w:r>
        <w:rPr>
          <w:rFonts w:hint="eastAsia" w:ascii="仿宋" w:hAnsi="仿宋" w:eastAsia="仿宋" w:cs="仿宋"/>
          <w:bCs/>
          <w:color w:val="auto"/>
          <w:sz w:val="24"/>
          <w:szCs w:val="24"/>
        </w:rPr>
        <w:t>B</w:t>
      </w:r>
      <w:r>
        <w:rPr>
          <w:rFonts w:hint="eastAsia" w:ascii="仿宋" w:hAnsi="仿宋" w:eastAsia="仿宋" w:cs="仿宋"/>
          <w:bCs/>
          <w:color w:val="auto"/>
          <w:sz w:val="24"/>
          <w:szCs w:val="24"/>
          <w:lang w:val="zh-CN"/>
        </w:rPr>
        <w:t>座</w:t>
      </w:r>
      <w:r>
        <w:rPr>
          <w:rFonts w:hint="eastAsia" w:ascii="仿宋" w:hAnsi="仿宋" w:eastAsia="仿宋" w:cs="仿宋"/>
          <w:bCs/>
          <w:color w:val="auto"/>
          <w:sz w:val="24"/>
          <w:szCs w:val="24"/>
        </w:rPr>
        <w:t>8</w:t>
      </w:r>
      <w:r>
        <w:rPr>
          <w:rFonts w:hint="eastAsia" w:ascii="仿宋" w:hAnsi="仿宋" w:eastAsia="仿宋" w:cs="仿宋"/>
          <w:bCs/>
          <w:color w:val="auto"/>
          <w:sz w:val="24"/>
          <w:szCs w:val="24"/>
          <w:lang w:val="zh-CN"/>
        </w:rPr>
        <w:t>层陕西笃信招标有限公司</w:t>
      </w:r>
    </w:p>
    <w:p>
      <w:pPr>
        <w:autoSpaceDE w:val="0"/>
        <w:autoSpaceDN w:val="0"/>
        <w:adjustRightInd w:val="0"/>
        <w:snapToGri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采购代理机构或采购人将在收到书面质疑后7个工作日内做出答复，并以书面形式通知质疑人和其他有关供应商。</w:t>
      </w:r>
    </w:p>
    <w:p>
      <w:pPr>
        <w:autoSpaceDE w:val="0"/>
        <w:autoSpaceDN w:val="0"/>
        <w:adjustRightInd w:val="0"/>
        <w:snapToGrid w:val="0"/>
        <w:spacing w:line="360" w:lineRule="auto"/>
        <w:ind w:firstLine="480" w:firstLineChars="200"/>
        <w:outlineLvl w:val="2"/>
        <w:rPr>
          <w:rFonts w:ascii="仿宋" w:hAnsi="仿宋" w:eastAsia="仿宋" w:cs="仿宋"/>
          <w:bCs/>
          <w:color w:val="auto"/>
          <w:sz w:val="24"/>
          <w:szCs w:val="24"/>
          <w:lang w:val="zh-CN"/>
        </w:rPr>
      </w:pPr>
      <w:bookmarkStart w:id="298" w:name="_Toc26510"/>
      <w:bookmarkStart w:id="299" w:name="_Toc11431"/>
      <w:bookmarkStart w:id="300" w:name="_Toc32713"/>
      <w:bookmarkStart w:id="301" w:name="_Toc21804"/>
      <w:bookmarkStart w:id="302" w:name="_Toc5958"/>
      <w:bookmarkStart w:id="303" w:name="_Toc27095"/>
      <w:bookmarkStart w:id="304" w:name="_Toc17782"/>
      <w:r>
        <w:rPr>
          <w:rFonts w:hint="eastAsia" w:ascii="仿宋" w:hAnsi="仿宋" w:eastAsia="仿宋" w:cs="仿宋"/>
          <w:bCs/>
          <w:color w:val="auto"/>
          <w:sz w:val="24"/>
          <w:szCs w:val="24"/>
          <w:lang w:val="zh-CN"/>
        </w:rPr>
        <w:t>（二）投诉</w:t>
      </w:r>
      <w:bookmarkEnd w:id="298"/>
      <w:bookmarkEnd w:id="299"/>
      <w:bookmarkEnd w:id="300"/>
      <w:bookmarkEnd w:id="301"/>
      <w:bookmarkEnd w:id="302"/>
      <w:bookmarkEnd w:id="303"/>
      <w:bookmarkEnd w:id="304"/>
    </w:p>
    <w:p>
      <w:pPr>
        <w:autoSpaceDE w:val="0"/>
        <w:autoSpaceDN w:val="0"/>
        <w:adjustRightInd w:val="0"/>
        <w:snapToGri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1、质疑人对采购代理机构或采购人的答复不满意，以及采购代理机构或采购人未在规定时间内做出答复的，可以在答复期满后15个工作日内向政府采购监管机构提出投诉。</w:t>
      </w:r>
    </w:p>
    <w:p>
      <w:pPr>
        <w:autoSpaceDE w:val="0"/>
        <w:autoSpaceDN w:val="0"/>
        <w:adjustRightInd w:val="0"/>
        <w:snapToGrid w:val="0"/>
        <w:spacing w:line="360" w:lineRule="auto"/>
        <w:ind w:firstLine="480" w:firstLineChars="200"/>
        <w:rPr>
          <w:rFonts w:ascii="仿宋" w:hAnsi="仿宋" w:eastAsia="仿宋" w:cs="仿宋"/>
          <w:color w:val="auto"/>
          <w:lang w:val="zh-CN"/>
        </w:rPr>
      </w:pPr>
      <w:r>
        <w:rPr>
          <w:rFonts w:hint="eastAsia" w:ascii="仿宋" w:hAnsi="仿宋" w:eastAsia="仿宋" w:cs="仿宋"/>
          <w:bCs/>
          <w:color w:val="auto"/>
          <w:sz w:val="24"/>
          <w:szCs w:val="24"/>
          <w:lang w:val="zh-CN"/>
        </w:rPr>
        <w:t>2、投诉的事项不得超出已质疑事项的范围。</w:t>
      </w:r>
    </w:p>
    <w:p>
      <w:pPr>
        <w:autoSpaceDE w:val="0"/>
        <w:autoSpaceDN w:val="0"/>
        <w:adjustRightInd w:val="0"/>
        <w:snapToGrid w:val="0"/>
        <w:spacing w:line="360" w:lineRule="auto"/>
        <w:ind w:firstLine="420" w:firstLineChars="200"/>
        <w:rPr>
          <w:rFonts w:ascii="仿宋" w:hAnsi="仿宋" w:eastAsia="仿宋" w:cs="仿宋"/>
          <w:color w:val="auto"/>
          <w:lang w:val="zh-CN"/>
        </w:rPr>
      </w:pPr>
    </w:p>
    <w:p>
      <w:pPr>
        <w:pStyle w:val="8"/>
        <w:keepNext w:val="0"/>
        <w:pageBreakBefore/>
        <w:rPr>
          <w:rFonts w:ascii="仿宋" w:hAnsi="仿宋" w:eastAsia="仿宋" w:cs="仿宋"/>
          <w:color w:val="auto"/>
          <w:sz w:val="32"/>
          <w:szCs w:val="32"/>
          <w:highlight w:val="yellow"/>
        </w:rPr>
        <w:sectPr>
          <w:headerReference r:id="rId3" w:type="default"/>
          <w:footerReference r:id="rId4" w:type="default"/>
          <w:pgSz w:w="11906" w:h="16838"/>
          <w:pgMar w:top="1417" w:right="1701" w:bottom="1417" w:left="1701" w:header="851" w:footer="992" w:gutter="0"/>
          <w:pgNumType w:start="1"/>
          <w:cols w:space="720" w:num="1"/>
          <w:docGrid w:linePitch="312" w:charSpace="0"/>
        </w:sectPr>
      </w:pPr>
      <w:bookmarkStart w:id="305" w:name="_Toc16390"/>
      <w:bookmarkStart w:id="306" w:name="_Toc19653"/>
      <w:bookmarkStart w:id="307" w:name="_Toc21287"/>
      <w:bookmarkStart w:id="308" w:name="_Toc92"/>
      <w:bookmarkStart w:id="309" w:name="_Toc2506"/>
      <w:bookmarkStart w:id="310" w:name="_Toc475451545"/>
      <w:bookmarkStart w:id="311" w:name="_Toc32356"/>
      <w:bookmarkStart w:id="312" w:name="_Toc10487"/>
    </w:p>
    <w:bookmarkEnd w:id="305"/>
    <w:bookmarkEnd w:id="306"/>
    <w:bookmarkEnd w:id="307"/>
    <w:bookmarkEnd w:id="308"/>
    <w:bookmarkEnd w:id="309"/>
    <w:bookmarkEnd w:id="310"/>
    <w:bookmarkEnd w:id="311"/>
    <w:bookmarkEnd w:id="312"/>
    <w:p>
      <w:pPr>
        <w:pageBreakBefore/>
        <w:adjustRightInd w:val="0"/>
        <w:snapToGrid w:val="0"/>
        <w:spacing w:line="360" w:lineRule="auto"/>
        <w:jc w:val="center"/>
        <w:outlineLvl w:val="0"/>
        <w:rPr>
          <w:rFonts w:ascii="仿宋" w:hAnsi="仿宋" w:eastAsia="仿宋" w:cs="仿宋"/>
          <w:b/>
          <w:color w:val="auto"/>
          <w:sz w:val="32"/>
          <w:szCs w:val="32"/>
          <w:lang w:val="zh-CN"/>
        </w:rPr>
      </w:pPr>
      <w:bookmarkStart w:id="313" w:name="_Toc11468"/>
      <w:bookmarkStart w:id="314" w:name="_Toc5583"/>
      <w:bookmarkStart w:id="315" w:name="_Toc475451547"/>
      <w:bookmarkStart w:id="316" w:name="_Toc8548"/>
      <w:bookmarkStart w:id="317" w:name="_Toc15680"/>
      <w:bookmarkStart w:id="318" w:name="_Toc20745"/>
      <w:bookmarkStart w:id="319" w:name="_Toc30412"/>
      <w:bookmarkStart w:id="320" w:name="_Toc14093"/>
      <w:bookmarkStart w:id="321" w:name="_Toc25524"/>
      <w:bookmarkStart w:id="322" w:name="_Toc23736"/>
      <w:bookmarkStart w:id="323" w:name="_Toc6869"/>
      <w:r>
        <w:rPr>
          <w:rFonts w:hint="eastAsia" w:ascii="仿宋" w:hAnsi="仿宋" w:eastAsia="仿宋" w:cs="仿宋"/>
          <w:b/>
          <w:color w:val="auto"/>
          <w:sz w:val="32"/>
          <w:szCs w:val="32"/>
        </w:rPr>
        <w:t xml:space="preserve">第三部分  </w:t>
      </w:r>
      <w:r>
        <w:rPr>
          <w:rFonts w:hint="eastAsia" w:ascii="仿宋" w:hAnsi="仿宋" w:eastAsia="仿宋" w:cs="仿宋"/>
          <w:b/>
          <w:color w:val="auto"/>
          <w:sz w:val="32"/>
          <w:szCs w:val="32"/>
          <w:lang w:val="zh-CN"/>
        </w:rPr>
        <w:t>招标内容及要求</w:t>
      </w:r>
      <w:bookmarkEnd w:id="313"/>
    </w:p>
    <w:p>
      <w:pPr>
        <w:pStyle w:val="9"/>
        <w:spacing w:line="360" w:lineRule="auto"/>
        <w:jc w:val="both"/>
        <w:rPr>
          <w:rFonts w:ascii="仿宋" w:hAnsi="仿宋" w:eastAsia="仿宋" w:cs="仿宋"/>
          <w:color w:val="auto"/>
          <w:sz w:val="24"/>
          <w:szCs w:val="24"/>
        </w:rPr>
      </w:pPr>
      <w:bookmarkStart w:id="324" w:name="_Toc13986"/>
      <w:r>
        <w:rPr>
          <w:rFonts w:hint="eastAsia" w:ascii="仿宋" w:hAnsi="仿宋" w:eastAsia="仿宋" w:cs="仿宋"/>
          <w:color w:val="auto"/>
          <w:sz w:val="24"/>
          <w:szCs w:val="24"/>
        </w:rPr>
        <w:t>一、智慧黑板</w:t>
      </w:r>
      <w:bookmarkEnd w:id="324"/>
    </w:p>
    <w:tbl>
      <w:tblPr>
        <w:tblStyle w:val="21"/>
        <w:tblW w:w="859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566"/>
        <w:gridCol w:w="566"/>
        <w:gridCol w:w="6309"/>
        <w:gridCol w:w="592"/>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35" w:hRule="atLeast"/>
          <w:jc w:val="center"/>
        </w:trPr>
        <w:tc>
          <w:tcPr>
            <w:tcW w:w="566"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b/>
                <w:bCs/>
                <w:color w:val="auto"/>
                <w:sz w:val="24"/>
                <w:szCs w:val="24"/>
              </w:rPr>
            </w:pPr>
            <w:r>
              <w:rPr>
                <w:rFonts w:hint="eastAsia" w:ascii="仿宋" w:hAnsi="仿宋" w:eastAsia="仿宋" w:cs="仿宋"/>
                <w:b/>
                <w:bCs/>
                <w:color w:val="auto"/>
                <w:kern w:val="0"/>
                <w:sz w:val="24"/>
                <w:szCs w:val="24"/>
                <w:lang w:bidi="ar"/>
              </w:rPr>
              <w:t>序号</w:t>
            </w:r>
          </w:p>
        </w:tc>
        <w:tc>
          <w:tcPr>
            <w:tcW w:w="566"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b/>
                <w:bCs/>
                <w:color w:val="auto"/>
                <w:sz w:val="24"/>
                <w:szCs w:val="24"/>
              </w:rPr>
            </w:pPr>
            <w:r>
              <w:rPr>
                <w:rFonts w:hint="eastAsia" w:ascii="仿宋" w:hAnsi="仿宋" w:eastAsia="仿宋" w:cs="仿宋"/>
                <w:b/>
                <w:bCs/>
                <w:color w:val="auto"/>
                <w:kern w:val="0"/>
                <w:sz w:val="24"/>
                <w:szCs w:val="24"/>
                <w:lang w:bidi="ar"/>
              </w:rPr>
              <w:t>货物名称</w:t>
            </w:r>
          </w:p>
        </w:tc>
        <w:tc>
          <w:tcPr>
            <w:tcW w:w="6309"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b/>
                <w:bCs/>
                <w:color w:val="auto"/>
                <w:sz w:val="24"/>
                <w:szCs w:val="24"/>
              </w:rPr>
            </w:pPr>
            <w:r>
              <w:rPr>
                <w:rFonts w:hint="eastAsia" w:ascii="仿宋" w:hAnsi="仿宋" w:eastAsia="仿宋" w:cs="仿宋"/>
                <w:b/>
                <w:bCs/>
                <w:color w:val="auto"/>
                <w:kern w:val="0"/>
                <w:sz w:val="24"/>
                <w:szCs w:val="24"/>
                <w:lang w:bidi="ar"/>
              </w:rPr>
              <w:t>技术参数、规格、功能</w:t>
            </w:r>
          </w:p>
        </w:tc>
        <w:tc>
          <w:tcPr>
            <w:tcW w:w="592"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b/>
                <w:bCs/>
                <w:color w:val="auto"/>
                <w:sz w:val="24"/>
                <w:szCs w:val="24"/>
              </w:rPr>
            </w:pPr>
            <w:r>
              <w:rPr>
                <w:rFonts w:hint="eastAsia" w:ascii="仿宋" w:hAnsi="仿宋" w:eastAsia="仿宋" w:cs="仿宋"/>
                <w:b/>
                <w:bCs/>
                <w:color w:val="auto"/>
                <w:kern w:val="0"/>
                <w:sz w:val="24"/>
                <w:szCs w:val="24"/>
                <w:lang w:bidi="ar"/>
              </w:rPr>
              <w:t>数量</w:t>
            </w:r>
          </w:p>
        </w:tc>
        <w:tc>
          <w:tcPr>
            <w:tcW w:w="566"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b/>
                <w:bCs/>
                <w:color w:val="auto"/>
                <w:sz w:val="24"/>
                <w:szCs w:val="24"/>
              </w:rPr>
            </w:pPr>
            <w:r>
              <w:rPr>
                <w:rFonts w:hint="eastAsia" w:ascii="仿宋" w:hAnsi="仿宋" w:eastAsia="仿宋" w:cs="仿宋"/>
                <w:b/>
                <w:bCs/>
                <w:color w:val="auto"/>
                <w:kern w:val="0"/>
                <w:sz w:val="24"/>
                <w:szCs w:val="24"/>
                <w:lang w:bidi="ar"/>
              </w:rPr>
              <w:t>单位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39" w:hRule="atLeast"/>
          <w:jc w:val="center"/>
        </w:trPr>
        <w:tc>
          <w:tcPr>
            <w:tcW w:w="0" w:type="auto"/>
            <w:tcBorders>
              <w:tl2br w:val="nil"/>
              <w:tr2bl w:val="nil"/>
            </w:tcBorders>
            <w:shd w:val="clear" w:color="auto" w:fill="auto"/>
            <w:noWrap/>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w:t>
            </w:r>
          </w:p>
        </w:tc>
        <w:tc>
          <w:tcPr>
            <w:tcW w:w="566"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智慧黑板</w:t>
            </w:r>
          </w:p>
        </w:tc>
        <w:tc>
          <w:tcPr>
            <w:tcW w:w="6309" w:type="dxa"/>
            <w:tcBorders>
              <w:tl2br w:val="nil"/>
              <w:tr2bl w:val="nil"/>
            </w:tcBorders>
            <w:shd w:val="clear" w:color="auto" w:fill="auto"/>
            <w:vAlign w:val="center"/>
          </w:tcPr>
          <w:p>
            <w:pPr>
              <w:widowControl/>
              <w:numPr>
                <w:ilvl w:val="0"/>
                <w:numId w:val="1"/>
              </w:numPr>
              <w:spacing w:line="360" w:lineRule="auto"/>
              <w:jc w:val="left"/>
              <w:textAlignment w:val="center"/>
              <w:rPr>
                <w:rStyle w:val="39"/>
                <w:rFonts w:hint="default" w:ascii="仿宋" w:hAnsi="仿宋" w:eastAsia="仿宋" w:cs="仿宋"/>
                <w:color w:val="auto"/>
                <w:sz w:val="24"/>
                <w:szCs w:val="24"/>
                <w:lang w:bidi="ar"/>
              </w:rPr>
            </w:pPr>
            <w:r>
              <w:rPr>
                <w:rStyle w:val="39"/>
                <w:rFonts w:ascii="仿宋" w:hAnsi="仿宋" w:eastAsia="仿宋" w:cs="仿宋"/>
                <w:color w:val="auto"/>
                <w:sz w:val="24"/>
                <w:szCs w:val="24"/>
                <w:lang w:bidi="ar"/>
              </w:rPr>
              <w:t>硬件部分</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1. 整机采用专业的模块化构架.纯平表面三拼结构，整机尺寸：长≧4000mm，高≧1200mm，厚≧90mm；</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2. 屏幕采用不低于86 英寸UHD超高清LED 液晶屏，显示比例16:9，分辨率3840×2160，亮度≧400cd/</w:t>
            </w:r>
            <w:r>
              <w:rPr>
                <w:rStyle w:val="40"/>
                <w:rFonts w:hint="eastAsia" w:ascii="仿宋" w:hAnsi="仿宋" w:eastAsia="仿宋" w:cs="仿宋"/>
                <w:color w:val="auto"/>
                <w:sz w:val="24"/>
                <w:szCs w:val="24"/>
                <w:lang w:bidi="ar"/>
              </w:rPr>
              <w:t>㎡</w:t>
            </w:r>
            <w:r>
              <w:rPr>
                <w:rStyle w:val="39"/>
                <w:rFonts w:ascii="仿宋" w:hAnsi="仿宋" w:eastAsia="仿宋" w:cs="仿宋"/>
                <w:color w:val="auto"/>
                <w:sz w:val="24"/>
                <w:szCs w:val="24"/>
                <w:lang w:bidi="ar"/>
              </w:rPr>
              <w:t>，对比度≧4000:1，可视角度（水平/垂直）≧178°，防眩光钢化玻璃玻璃厚度≧4mm。</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3. 屏幕采用全贴合电容触控技术，无可见金属网格丝，支持20点触控书写及HID免驱技术。黑板支持无尘粉笔,普通粉笔,环保水笔等多种媒介书写，两侧黑板带磁性吸附功能。</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4. 黑板前置接口：USB3.0≧3，type-C≧1，支持 Android 系统、Windows 系统读取外接移动存储设备。其他接口：HDMI≧1，USB TOUCH≧1。</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5.黑板底部内置双喇叭朝前出声，输出功率≧15W*2，采用音响声学布降噪设计。</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6.支持一体化顶置高清摄像头，像素不低于1300万，可视化角度≧120°，支持远程巡课功能。支持阵列麦克风功能，拾音距离≧12m，辅助一键录屏支持对音频的采集。</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7.整机需具有前置实体按键，数量不少于8个，电源按键支持开机、关机、待机三合一功能。均具有清晰简体中文标识有效避免教学误操作。</w:t>
            </w:r>
          </w:p>
          <w:p>
            <w:pPr>
              <w:widowControl/>
              <w:spacing w:line="360" w:lineRule="auto"/>
              <w:jc w:val="left"/>
              <w:textAlignment w:val="center"/>
              <w:rPr>
                <w:rStyle w:val="39"/>
                <w:rFonts w:hint="default" w:ascii="仿宋" w:hAnsi="仿宋" w:eastAsia="仿宋" w:cs="仿宋"/>
                <w:color w:val="auto"/>
                <w:sz w:val="24"/>
                <w:szCs w:val="24"/>
                <w:lang w:bidi="ar"/>
              </w:rPr>
            </w:pPr>
            <w:r>
              <w:rPr>
                <w:rStyle w:val="39"/>
                <w:rFonts w:ascii="仿宋" w:hAnsi="仿宋" w:eastAsia="仿宋" w:cs="仿宋"/>
                <w:color w:val="auto"/>
                <w:sz w:val="24"/>
                <w:szCs w:val="24"/>
                <w:lang w:bidi="ar"/>
              </w:rPr>
              <w:t>8.整机内置嵌入式系统，嵌入式系统采用国产化元器件，CPU采用四核处理器或以上配置，嵌入式系统版本≧Android 9.0；内存≧2G；存储≧8G；具备兼容性，支持第三方应用安装。</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9.安卓界面提供不少于7个应用程序，支持信号源预览。智慧黑板 Android 系统内置云桌面 APK,无需配置瘦终端设备即可升级到云黑板，后期根据学校需求只需增加或扩容服务器，即可使用云桌面功能。</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10.内置电脑采用标准80针OPS-C模块化电脑方案，不接受企业自定义接口，向下抽拉式设计。</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 xml:space="preserve">11.内置电脑配置要求：处理器：不低于Intel Core i5十代；内存：≧8G DDR4；硬盘：不低于256G-SSD固态硬盘 </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12.内置电脑网络接入:双Wi-Fi天线，内置10/100/1000M自适应网卡,WiFi遵循IEEE 802.11ac标准。</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13.为保证系统兼容性及后期升级维护的便利性，智慧黑板内置电脑与黑板同一品牌。</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14.黑板支持一键自检功能，支持对硬件系统，系统主板型号、内存、存储、CPU、GPU、系统软件版本进行检测并提供状态提示信息。</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15.支持屏体双侧快捷功能键，黑板在任意通道下支持左右侧边悬浮球工具栏功能，侧边工具栏不少于8个菜单工具。</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16.依据GB/T20145-2006规定，进行色域覆盖率检测，色域覆盖值≧100%</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 xml:space="preserve">17.产品采用灰玻材质，视网膜蓝光危害（蓝光加权辐射亮度 LB）＜0.3，依据 GB/T 20145-2006 国家标准，无蓝光危害 </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18.整机书写面板采用防眩光全钢化防爆玻璃面板，面板的碎片状态、抗冲击性、霰弹袋冲击性能、耐热冲击性能均通过国家强制玻璃标准，表面应力≧90Mpa</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19.产品采用全铝镁合金外框架构，外壳防护性能符合GB/T4208-2017标准。热扩散系数≧50mm²/S。测试标准满足：ASTME1461-13。</w:t>
            </w:r>
          </w:p>
          <w:p>
            <w:pPr>
              <w:widowControl/>
              <w:spacing w:line="360" w:lineRule="auto"/>
              <w:jc w:val="left"/>
              <w:textAlignment w:val="center"/>
              <w:rPr>
                <w:rStyle w:val="39"/>
                <w:rFonts w:hint="default" w:ascii="仿宋" w:hAnsi="仿宋" w:eastAsia="仿宋" w:cs="仿宋"/>
                <w:color w:val="auto"/>
                <w:sz w:val="24"/>
                <w:szCs w:val="24"/>
                <w:lang w:bidi="ar"/>
              </w:rPr>
            </w:pPr>
            <w:r>
              <w:rPr>
                <w:rStyle w:val="39"/>
                <w:rFonts w:ascii="仿宋" w:hAnsi="仿宋" w:eastAsia="仿宋" w:cs="仿宋"/>
                <w:color w:val="auto"/>
                <w:sz w:val="24"/>
                <w:szCs w:val="24"/>
                <w:lang w:bidi="ar"/>
              </w:rPr>
              <w:t>二、软件部分</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（一）教学白板软件</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备授课一体化设计，具有备课模式及授课模式，且操作界面根据备课和授课使用场景不同而区别设计。</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（1）备课模式：</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1、软件应用模块的入口均在统一界面上，可整合互动应用软件，集中管理，方便老师在各软件之间的切换和使用，包括备课、授课、录播、投屏、视频展台、云课件、云资源、意见反馈等。意见反馈可以是文字描述或者上传故障图片。</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2、支持手机号码注册，支持多种登录方式：账号登录，短信登录，钉钉登录，微信登录。</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3、提供可扩展升级至不小于50G的个人云空间，无需用户通过完成特定任务才能获取。</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4、可通过保存操作，将课件同步至云课件中，并且备课过程中可快速同步自己的课件，支持30s自动同步。</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5、软件菜单功能按钮/图标配备明确中文标识，界面UI设计人体工程学规范。</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6、支持文本输入并可快速设置字体、大小、颜色、粗体、斜体、下划线等复杂文本的输入，可对文本的对齐、行间距、透明度等进行设置，方便用户编辑文字；文本排版，设置层级、旋转和对齐；文本动画，提供出现、动作和消失等动画模式，并可对动画开始的时间、顺序进行设计。</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7、支持插入数学几何图形，可以对图形样式、颜色填充、边框、阴影、倒影、透明度等进行设计，根据需要可以对图形进行任意推动进行拉伸或压缩；图形排版，设置层级、旋转和对齐；文本动画，提供出现、动作和消失等动画模式，并可对动画开始的时间、顺序进行设计。</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8、提供汉字，拼音，函数，统计图表，公式，题库等工具模块。</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9、提供动漫英语，拼音学习，动漫字母，绕口令，英文故事，成语故事，经典唐诗，必备故事，中文故事，英文儿歌等素材模块的教学知识点资源。</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（2）授课模式：</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1、白板软件具备最小化悬浮菜单，并保留悬浮功能栏，支持批注、擦除、截图、展台调用、返回白板软件等。</w:t>
            </w:r>
          </w:p>
          <w:p>
            <w:pPr>
              <w:widowControl/>
              <w:spacing w:line="360" w:lineRule="auto"/>
              <w:jc w:val="left"/>
              <w:textAlignment w:val="center"/>
              <w:rPr>
                <w:rStyle w:val="39"/>
                <w:rFonts w:hint="default" w:ascii="仿宋" w:hAnsi="仿宋" w:eastAsia="仿宋" w:cs="仿宋"/>
                <w:color w:val="auto"/>
                <w:sz w:val="24"/>
                <w:szCs w:val="24"/>
                <w:lang w:bidi="ar"/>
              </w:rPr>
            </w:pPr>
            <w:r>
              <w:rPr>
                <w:rStyle w:val="39"/>
                <w:rFonts w:ascii="仿宋" w:hAnsi="仿宋" w:eastAsia="仿宋" w:cs="仿宋"/>
                <w:color w:val="auto"/>
                <w:sz w:val="24"/>
                <w:szCs w:val="24"/>
                <w:lang w:bidi="ar"/>
              </w:rPr>
              <w:t>2、白板软件支持界面锁定；具有白板漫游功能，支持缩略图导航功能。</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3、软件支持智能文字、图形、公式识别。全屏中英文数字混合书写智能识别，支持智能图形识别，可以画任何规则和不规则二维图形。</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4、支持页面添加，可以添加多页。支持页面预览，并且可以选择预览模式进行对比讲解，支持二分屏、四分屏对比等。</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5、支持从软件中导入图片然后进行批注；导入PPT时可以进行全屏播放；播放视频时可以进行批注讲解、擦除操作。并且打开文件后再关闭会有缩略图呈现，可再次打开。</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6、支持幕布，放大镜，聚光灯、时钟、日历等基础工具；具有板中板功能，可书写，擦除，添加页面，保存内容。</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7、支持多种图形工具，具有多种二维三维图形，直尺、三角尺、量角器、圆规等，并且可以自行选择图形线条粗细和颜色。</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8、支持背景颜色更换，可选择多种颜色背景及图片，并可自定义添加；书写工具，擦除工具，具有多种书写笔，笔的大小、颜色、图案都可以自行选择；具有任意、区域、对象、清屏、手势多种擦除方式。</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（3）录屏功能</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1、用户无需额外安装其他软件即可在白板软件首页一键打开录屏功能。</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2、支持选择和切换全屏录制，区域录制、应用窗口录制，以及摄像头录制共四种录制方式。</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① 全屏录制∶可对整个桌面进行一键录制;</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② 区域录制∶可使用矩形拉取方式选择任意一部分桌面内容进行录制;</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③应用窗口录制∶可选择桌面上任意一个应用程序进行界面录制，录制的画面只显示该应用界面区域∶</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3、支持选择使用录制倒计时功能，可随意设置录制时间。</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4、支持查看录制视频的文件名，时间，文件大小。</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5、录制的视频自动生成视频到表，并可在列表内点击播放，查看文件位置。以及删除操作。</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（二）投屏互动教学软件</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1、具备服务端生成热点功能，在没有路由器的情况下，可通过服务端生成局域网热点供外部终端进行无线连接。</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2、支持多类型设备连接：支持 IOS、MAC 镜像投屏、安卓移动端（Android 6.0 及以上）与黑板互投、Windows 客户端与黑板端互投。</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3、支持多种方式连接：同一局域网内支持扫码连接和智能搜索设备名称连接。支持对移动端设备接入锁定功能。</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4、支持密码管理，首次连接需要输入密码，获得连接权限。支持投屏功能：支持手机屏幕画面实时投放至黑板端，画面清晰，可达 1080p，并可选择画笔批注、擦除笔记。</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5、支持桌面同步：支持智慧黑板端画面同步至手机端，手机端设备可远程控制服务端 Windows 桌面，支持鼠标双击、单击功能；支持键盘功能，可远程编辑文字；支持画笔功能可批注内容；支持手势放大缩小画面。</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6、支持课件演示功能：移动端设备可自动识别到智慧黑板端打开的 PPT 课件，支持缩略图放映功能，可翻页、批注和擦除。也可上传移动端的 PPT 文件至服务端播放，移动端可控制播放和批注，方便老师操控。</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7、具备实物展台功能：可将手机摄像头画面直播至 PC 服务端，或将学生作业、试卷、课本等资料拍照上传至智慧黑板端。</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8、支持文件上传。可对手机端本地文件文档、图片、音频、视频等智能分类，并可上传至智慧黑板端，也可直接拍摄视频和照片上传。</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9、支持一键录屏：支持一键录屏功能，可直接打开录屏软件，录 Windows 桌面。支持打开白板：支持一键打开白板功能，关联自有软件，操作方便快捷。</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10、支持 Windows 客户端远程控制智慧黑板端桌面；支持 Windows 客户端桌面同步至智慧黑板端，并且可互相操控。</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（三）集中控制管理软件</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1、后台采用B/S架构设计，可在Windows、Android、iOS等多种不同的操作系统上通过网页浏览器登陆进行操作，可控制在互联网内的智慧黑板设备。</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2、支持学校管理员和老师管理员两种权限划分，老师管理员权限由学校管理员分配。</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3、支持文字信息推送，包括走马灯形式和静止形式，可设置文字字体、大小、颜色，播放时间。</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4、支持远程打铃，可选择铃声和时长，可设置定时打铃。可推送视频、图片、ppt、word等文件到指定黑板,可设置是否下载后自动打开。</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5、支持设置倒计时，可设定倒计时时间和事项。开启倒计日功能时，黑板桌面显示倒计日卡片，倒计日结束后，卡片自动关闭。</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6、管理平台具有图片展播功能，可向智能交互设备发送不低于10张图片，设备端将进行轮播展示，平台可设定轮播时长和速度。</w:t>
            </w:r>
          </w:p>
          <w:p>
            <w:pPr>
              <w:widowControl/>
              <w:spacing w:line="360" w:lineRule="auto"/>
              <w:jc w:val="left"/>
              <w:textAlignment w:val="center"/>
              <w:rPr>
                <w:rFonts w:ascii="仿宋" w:hAnsi="仿宋" w:eastAsia="仿宋" w:cs="仿宋"/>
                <w:color w:val="auto"/>
                <w:sz w:val="24"/>
                <w:szCs w:val="24"/>
              </w:rPr>
            </w:pPr>
            <w:r>
              <w:rPr>
                <w:rStyle w:val="39"/>
                <w:rFonts w:ascii="仿宋" w:hAnsi="仿宋" w:eastAsia="仿宋" w:cs="仿宋"/>
                <w:color w:val="auto"/>
                <w:sz w:val="24"/>
                <w:szCs w:val="24"/>
                <w:lang w:bidi="ar"/>
              </w:rPr>
              <w:t>7、支持远程巡课功能，可以图片形式巡课，也可以实时动态查看黑板桌面，并支持远程操作黑板桌面。</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8、支持自动锁屏，可设置时间内无操作后，智慧黑板自动锁屏和自动屏保。</w:t>
            </w:r>
            <w:r>
              <w:rPr>
                <w:rStyle w:val="39"/>
                <w:rFonts w:ascii="仿宋" w:hAnsi="仿宋" w:eastAsia="仿宋" w:cs="仿宋"/>
                <w:color w:val="auto"/>
                <w:sz w:val="24"/>
                <w:szCs w:val="24"/>
                <w:lang w:bidi="ar"/>
              </w:rPr>
              <w:br w:type="textWrapping"/>
            </w:r>
            <w:r>
              <w:rPr>
                <w:rStyle w:val="39"/>
                <w:rFonts w:ascii="仿宋" w:hAnsi="仿宋" w:eastAsia="仿宋" w:cs="仿宋"/>
                <w:color w:val="auto"/>
                <w:sz w:val="24"/>
                <w:szCs w:val="24"/>
                <w:lang w:bidi="ar"/>
              </w:rPr>
              <w:t>9、支持自动节能模式，设定一定时间后，若无人使用智慧黑板，黑板可提醒关机或者强制关机。</w:t>
            </w:r>
          </w:p>
        </w:tc>
        <w:tc>
          <w:tcPr>
            <w:tcW w:w="592"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22</w:t>
            </w:r>
          </w:p>
        </w:tc>
        <w:tc>
          <w:tcPr>
            <w:tcW w:w="566"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台</w:t>
            </w:r>
          </w:p>
        </w:tc>
      </w:tr>
    </w:tbl>
    <w:p>
      <w:pPr>
        <w:spacing w:line="360" w:lineRule="auto"/>
        <w:rPr>
          <w:rFonts w:ascii="仿宋" w:hAnsi="仿宋" w:eastAsia="仿宋" w:cs="仿宋"/>
          <w:color w:val="auto"/>
          <w:sz w:val="24"/>
          <w:szCs w:val="24"/>
        </w:rPr>
        <w:sectPr>
          <w:footerReference r:id="rId5" w:type="default"/>
          <w:pgSz w:w="11906" w:h="16838"/>
          <w:pgMar w:top="1440" w:right="1800" w:bottom="1440" w:left="1800" w:header="851" w:footer="992" w:gutter="0"/>
          <w:cols w:space="425" w:num="1"/>
          <w:docGrid w:type="lines" w:linePitch="312" w:charSpace="0"/>
        </w:sectPr>
      </w:pPr>
    </w:p>
    <w:p>
      <w:pPr>
        <w:pStyle w:val="9"/>
        <w:spacing w:line="360" w:lineRule="auto"/>
        <w:jc w:val="both"/>
        <w:rPr>
          <w:rFonts w:ascii="仿宋" w:hAnsi="仿宋" w:eastAsia="仿宋" w:cs="仿宋"/>
          <w:color w:val="auto"/>
          <w:sz w:val="24"/>
          <w:szCs w:val="24"/>
        </w:rPr>
      </w:pPr>
      <w:bookmarkStart w:id="325" w:name="_Toc1393"/>
      <w:r>
        <w:rPr>
          <w:rFonts w:hint="eastAsia" w:ascii="仿宋" w:hAnsi="仿宋" w:eastAsia="仿宋" w:cs="仿宋"/>
          <w:color w:val="auto"/>
          <w:sz w:val="24"/>
          <w:szCs w:val="24"/>
        </w:rPr>
        <w:t>二、98寸交互式移动一体机</w:t>
      </w:r>
      <w:bookmarkEnd w:id="325"/>
    </w:p>
    <w:tbl>
      <w:tblPr>
        <w:tblStyle w:val="21"/>
        <w:tblW w:w="857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367"/>
        <w:gridCol w:w="579"/>
        <w:gridCol w:w="6598"/>
        <w:gridCol w:w="471"/>
        <w:gridCol w:w="5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88" w:hRule="atLeast"/>
          <w:jc w:val="center"/>
        </w:trPr>
        <w:tc>
          <w:tcPr>
            <w:tcW w:w="367"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b/>
                <w:bCs/>
                <w:color w:val="auto"/>
                <w:sz w:val="24"/>
                <w:szCs w:val="24"/>
              </w:rPr>
            </w:pPr>
            <w:r>
              <w:rPr>
                <w:rFonts w:hint="eastAsia" w:ascii="仿宋" w:hAnsi="仿宋" w:eastAsia="仿宋" w:cs="仿宋"/>
                <w:b/>
                <w:bCs/>
                <w:color w:val="auto"/>
                <w:kern w:val="0"/>
                <w:sz w:val="24"/>
                <w:szCs w:val="24"/>
                <w:lang w:bidi="ar"/>
              </w:rPr>
              <w:t>序号</w:t>
            </w:r>
          </w:p>
        </w:tc>
        <w:tc>
          <w:tcPr>
            <w:tcW w:w="579"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b/>
                <w:bCs/>
                <w:color w:val="auto"/>
                <w:sz w:val="24"/>
                <w:szCs w:val="24"/>
              </w:rPr>
            </w:pPr>
            <w:r>
              <w:rPr>
                <w:rFonts w:hint="eastAsia" w:ascii="仿宋" w:hAnsi="仿宋" w:eastAsia="仿宋" w:cs="仿宋"/>
                <w:b/>
                <w:bCs/>
                <w:color w:val="auto"/>
                <w:kern w:val="0"/>
                <w:sz w:val="24"/>
                <w:szCs w:val="24"/>
                <w:lang w:bidi="ar"/>
              </w:rPr>
              <w:t>货物名称</w:t>
            </w:r>
          </w:p>
        </w:tc>
        <w:tc>
          <w:tcPr>
            <w:tcW w:w="6598"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b/>
                <w:bCs/>
                <w:color w:val="auto"/>
                <w:sz w:val="24"/>
                <w:szCs w:val="24"/>
              </w:rPr>
            </w:pPr>
            <w:r>
              <w:rPr>
                <w:rFonts w:hint="eastAsia" w:ascii="仿宋" w:hAnsi="仿宋" w:eastAsia="仿宋" w:cs="仿宋"/>
                <w:b/>
                <w:bCs/>
                <w:color w:val="auto"/>
                <w:kern w:val="0"/>
                <w:sz w:val="24"/>
                <w:szCs w:val="24"/>
                <w:lang w:bidi="ar"/>
              </w:rPr>
              <w:t>技术参数、规格、功能</w:t>
            </w:r>
          </w:p>
        </w:tc>
        <w:tc>
          <w:tcPr>
            <w:tcW w:w="471"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b/>
                <w:bCs/>
                <w:color w:val="auto"/>
                <w:sz w:val="24"/>
                <w:szCs w:val="24"/>
              </w:rPr>
            </w:pPr>
            <w:r>
              <w:rPr>
                <w:rFonts w:hint="eastAsia" w:ascii="仿宋" w:hAnsi="仿宋" w:eastAsia="仿宋" w:cs="仿宋"/>
                <w:b/>
                <w:bCs/>
                <w:color w:val="auto"/>
                <w:kern w:val="0"/>
                <w:sz w:val="24"/>
                <w:szCs w:val="24"/>
                <w:lang w:bidi="ar"/>
              </w:rPr>
              <w:t>数量</w:t>
            </w:r>
          </w:p>
        </w:tc>
        <w:tc>
          <w:tcPr>
            <w:tcW w:w="560"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b/>
                <w:bCs/>
                <w:color w:val="auto"/>
                <w:sz w:val="24"/>
                <w:szCs w:val="24"/>
              </w:rPr>
            </w:pPr>
            <w:r>
              <w:rPr>
                <w:rFonts w:hint="eastAsia" w:ascii="仿宋" w:hAnsi="仿宋" w:eastAsia="仿宋" w:cs="仿宋"/>
                <w:b/>
                <w:bCs/>
                <w:color w:val="auto"/>
                <w:kern w:val="0"/>
                <w:sz w:val="24"/>
                <w:szCs w:val="24"/>
                <w:lang w:bidi="ar"/>
              </w:rPr>
              <w:t>单位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74" w:hRule="atLeast"/>
          <w:jc w:val="center"/>
        </w:trPr>
        <w:tc>
          <w:tcPr>
            <w:tcW w:w="367" w:type="dxa"/>
            <w:tcBorders>
              <w:tl2br w:val="nil"/>
              <w:tr2bl w:val="nil"/>
            </w:tcBorders>
            <w:shd w:val="clear" w:color="auto" w:fill="auto"/>
            <w:noWrap/>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w:t>
            </w:r>
          </w:p>
        </w:tc>
        <w:tc>
          <w:tcPr>
            <w:tcW w:w="579"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98寸交互式移动一体机</w:t>
            </w:r>
          </w:p>
        </w:tc>
        <w:tc>
          <w:tcPr>
            <w:tcW w:w="6598" w:type="dxa"/>
            <w:tcBorders>
              <w:tl2br w:val="nil"/>
              <w:tr2bl w:val="nil"/>
            </w:tcBorders>
            <w:shd w:val="clear" w:color="auto" w:fill="auto"/>
            <w:vAlign w:val="center"/>
          </w:tcPr>
          <w:p>
            <w:pPr>
              <w:widowControl/>
              <w:numPr>
                <w:ilvl w:val="0"/>
                <w:numId w:val="2"/>
              </w:numPr>
              <w:spacing w:line="360" w:lineRule="auto"/>
              <w:jc w:val="left"/>
              <w:textAlignment w:val="center"/>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硬件部分</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1、显示尺寸86英寸,支持红外20点触摸感应方式，触摸方式：手指、笔，或其他任何非透明物体，免驱动操作，即插即用。</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2、采用LED背光源。屏前玻璃厚度≧4mm。圆弧角设计，玻璃无任何边角直接外露。</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3、支持自定义设置开机显示通道，包括OPS、Android、HDMI等通道。具备全通道批注功能，支持任意通道下批注书写，且支持截图保存。</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4、前置接口：USB≧3个，且所有接口需位于屏幕下侧，不占显示面积。</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5、内置安卓系统，与Windows系统形成双系统备份，安卓系统不低于9.0版本。内置安卓智慧课堂软件。配置1300万像素摄像头，配置阵列式麦克风，可用于收录声音及录课。</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6、为方便老师操作，整机需具有前置实体按键（为减少误操作拒绝采用触摸按键），数量不少于8个，功能包括主页、设置、电源、锁屏、触摸锁定、录屏、音量等。为便于操作，前置按键均须具有清晰简体中文标识，有效避免教学误操作。</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7、支持多任务功能切换功能，可对正在运行的应用快速切换或结束进程。Windows系统下左右侧边悬浮球工具栏功能，主页键可直接返回Windows桌面。</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8、在任意通道下，包括安卓、Windows、HDMI等通道，均支持窗口一键下移功能，方便不同身高老师场景应用。</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9、★支持前置物理按键和虚拟按键启动录屏功能，Windows下所有操作过程均可录制。</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10、支持红外遥控控制功能、物理按键控制功能，支持OSD触控菜单控制功能，支持手势按压关闭背光功能。</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11、一体机通过静电放电抗扰度试验报告（符合GB/T17626.2-2018）、浪涌（冲击）抗扰度试验报告（符合GB/T17626.5-2019）,电快速瞬变脉冲群抗扰度试验（符合GB/T17626.4-2018）。</w:t>
            </w:r>
          </w:p>
          <w:p>
            <w:pPr>
              <w:widowControl/>
              <w:spacing w:line="360" w:lineRule="auto"/>
              <w:jc w:val="left"/>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12、安卓主页面提供不少于7个应用程序，安卓主页面具备信号源预览窗口，支持OPS, HDMI等信号源预览。</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13、支持屏体双侧快捷功能键，在任意通道下支持左右侧边悬浮球工具栏功能，侧边工具栏不少于8个菜单工具，具有中文标识，包含的选项有主页、设置、音量、窗口下移、亮度、批注、多任务窗口切换、信号源切换等；操作便捷，功能丰富，满足教学应用需求。</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14、采用模块化设计，Intel标准80pin OPS电脑，实现无单独接线的插拔。</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15、不低于Intel I5处理器，内存≧8G，固态硬盘≧256G。</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二、教学白板软件</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备授课一体化设计，具有备课模式及授课模式。并且可选择直接进入授课模式，满足课堂教学过程中，多样化场景需求。</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（1）备课模式：</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1、软件应用模块的入口均在统一界面上，可整合互动应用软件，包括备课、授课、录播、投屏、视频展台、云课件、云资源、意见反馈等。意见反馈可以是文字描述或者上传故障图片。</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2、支持手机号码注册，支持多种登录方式：账号登录，短信登录，钉钉登录，微信登录。</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3、提供可扩展升级至不小于50G的个人云空间，无需用户通过完成特定任务才能获取。</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4、可通过保存操作，将课件同步至云课件中，并且备课过程中可快速同步自己的课件，支持30s自动同步。</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5、软件菜单功能按钮/图标配备明确中文标识，界面UI设计人体工程学规范，具备与实际功能一致，表达准确、清晰的中文标识。</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6、支持文本输入并可快速设置字体、大小、颜色、粗体、斜体、下划线等复杂文本的输入，可对文本的对齐、行间距、透明度等进行设置，方便用户编辑文字；文本排版，设置层级、旋转和对齐；文本动画，提供出现、动作和消失等动画模式，并可对动画开始的时间、顺序进行设计。</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7、支持插入数学几何图形，可以对图形样式、颜色填充、边框、阴影、倒影、透明度等进行设计，根据需要可以对图形进行任意推动进行拉伸或压缩；图形排版，设置层级、旋转和对齐；文本动画，提供出现、动作和消失等动画模式，并可对动画开始的时间、顺序进行设计。</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8、支持配套学科教学工具，提供汉字，拼音，函数，统计图表，公式，题库等工具模块。</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9、提供动漫英语，拼音学习，动漫字母，绕口令，英文故事，成语故事，经典唐诗，必备故事，中文故事，英文儿歌等素材模块的教学知识点资源。</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（2）授课模式：</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1、白板软件具备最小化悬浮菜单，并保留悬浮功能栏，支持批注、擦除、截图、展台调用、返回白板软件等。</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2、白板软件支持界面锁定，锁定后软件所有功能将不能使用，防止误操作；具有白板漫游功能，支持缩略图导航功能。</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3、软件支持智能文字、图形、公式识别。全屏中英文数字混合书写智能识别，支持智能图形识别，可以画任何规则和不规则二维图形，演示教学：如随意的五角形。</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4、支持页面添加，可以添加多页。支持页面预览，并且可以选择预览模式进行对比讲解，支持二分屏、四分屏对比等。</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5、支持从软件中导入图片然后进行批注；导入PPT时可以进行全屏播放；播放视频时可以进行批注讲解、擦除操作。并且打开文件后再关闭会有缩略图呈现，可再次打开。</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6、支持幕布，放大镜，聚光灯、时钟、日历等基础工具；具有板中板功能，可书写，擦除，添加页面，保存内容。</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7、支持多种图形工具，具有多种二维三维图形，直尺、三角尺、量角器、圆规等，并且可以自行选择图形线条粗细和颜色。</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8、支持背景颜色更换，可选择多种颜色背景及图片，并可自定义添加；书写工具，擦除工具，具有多种书写笔，笔的大小、颜色、图案都可以自行选择；具有任意、区域、对象、清屏、手势多种擦除方式。</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三、投屏互动教学软件</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1、具备服务端生成热点功能，在没有路由器的情况下，可通过服务端生成局域网热点供外部终端进行无线连接。</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2、支持多类型设备连接：支持 IOS、MAC 镜像投屏、安卓移动端（Android 6.0 及以上）与一体机互投、Windows 客户端与一体机端互投。</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3、支持多种方式连接：同一局域网内支持扫码连接和智能搜索设备名称连接。支持对移动端设备接入锁定功能。</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4、支持密码管理，首次连接需要输入密码，获得连接权限。支持投屏功能：支持手机屏幕画面实时投放至一体机端，画面清晰，可达 1080p，并可选择画笔批注、擦除笔记。</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5、支持桌面同步：支持一体机端画面同步至手机端，手机端设备可远程控制服务端 Windows 桌面，支持鼠标双击、单击功能；支持键盘功能，可远程编辑文字；支持画笔功能可批注内容；支持手势放大缩小画面。</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6、支持课件演示功能：移动端设备可自动识别到一体机端打开的 PPT 课件，支持缩略图放映功能，可翻页、批注和擦除。也可上传移动端的 PPT 文件至服务端播放。</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7、具备实物展台功能：可将手机摄像头画面直播至 PC 服务端，或将学生作业、试卷、课本等资料拍照上传至一体机端。</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8、支持文件上传。可对手机端本地文件文档、图片、音频、视频等智能分类，并可上传至一体机端，也可直接拍摄视频和照片上传。</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9、支持一键录屏：支持一键录屏功能，可直接打开录屏软件，录 Windows 桌面。支持打开白板：支持一键打开白板功能。</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10、支持 Windows 客户端远程控制一体机端桌面；支持 Windows 客户端桌面同步至一体机端，并且可互相操控。</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四、集中控制管理软件</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1、后台采用B/S架构设计，可在Windows、Android、iOS等多种不同的操作系统上通过网页浏览器登陆进行操作，可控制在互联网内的智能设备。</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2、支持学校管理员和老师管理员两种权限划分，老师管理员权限由学校管理员分配。</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3、可远程查看一体机运行数据，包括系统运行时间、开机时间、最大不关机时间、异常断电次数等。</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4、可远程查看一体机设备参数，包括操作系统、CPU、内存、硬盘大小及剩余空间和内存使用率。</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5、支持文字信息推送，包括走马灯形式和静止形式，可设置文字字体、大小、颜色，播放时间。</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6、支持远程打铃，可选择铃声和时长，可设置定时打铃。</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7、可推送视频、图片、ppt、word等文件到指定一体机,可设置是否下载后自动打开。</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8、支持设置倒计时，可设定倒计时时间和事项。开启倒计日功能时，桌面显示倒计日卡片，倒计日结束后，卡片自动关闭。</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9、管理平台具有图片展播功能，可向智能交互设备发送不低于10张图片，设备端将进行轮播展示，平台可设定轮播时长和速度。</w:t>
            </w:r>
          </w:p>
        </w:tc>
        <w:tc>
          <w:tcPr>
            <w:tcW w:w="471"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w:t>
            </w:r>
          </w:p>
        </w:tc>
        <w:tc>
          <w:tcPr>
            <w:tcW w:w="560"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台</w:t>
            </w:r>
          </w:p>
        </w:tc>
      </w:tr>
    </w:tbl>
    <w:p>
      <w:pPr>
        <w:spacing w:line="360" w:lineRule="auto"/>
        <w:rPr>
          <w:rFonts w:ascii="仿宋" w:hAnsi="仿宋" w:eastAsia="仿宋" w:cs="仿宋"/>
          <w:color w:val="auto"/>
          <w:sz w:val="24"/>
          <w:szCs w:val="24"/>
        </w:rPr>
        <w:sectPr>
          <w:pgSz w:w="11906" w:h="16838"/>
          <w:pgMar w:top="1440" w:right="1800" w:bottom="1440" w:left="1800" w:header="851" w:footer="992" w:gutter="0"/>
          <w:cols w:space="425" w:num="1"/>
          <w:docGrid w:type="lines" w:linePitch="312" w:charSpace="0"/>
        </w:sectPr>
      </w:pPr>
    </w:p>
    <w:p>
      <w:pPr>
        <w:pStyle w:val="9"/>
        <w:spacing w:line="360" w:lineRule="auto"/>
        <w:jc w:val="both"/>
        <w:rPr>
          <w:rFonts w:ascii="仿宋" w:hAnsi="仿宋" w:eastAsia="仿宋" w:cs="仿宋"/>
          <w:color w:val="auto"/>
          <w:sz w:val="24"/>
          <w:szCs w:val="24"/>
        </w:rPr>
      </w:pPr>
      <w:bookmarkStart w:id="326" w:name="_Toc14528"/>
      <w:r>
        <w:rPr>
          <w:rFonts w:hint="eastAsia" w:ascii="仿宋" w:hAnsi="仿宋" w:eastAsia="仿宋" w:cs="仿宋"/>
          <w:color w:val="auto"/>
          <w:sz w:val="24"/>
          <w:szCs w:val="24"/>
        </w:rPr>
        <w:t>三、电子班牌</w:t>
      </w:r>
      <w:bookmarkEnd w:id="326"/>
    </w:p>
    <w:tbl>
      <w:tblPr>
        <w:tblStyle w:val="21"/>
        <w:tblW w:w="811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508"/>
        <w:gridCol w:w="508"/>
        <w:gridCol w:w="6116"/>
        <w:gridCol w:w="493"/>
        <w:gridCol w:w="4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22" w:hRule="atLeast"/>
          <w:jc w:val="center"/>
        </w:trPr>
        <w:tc>
          <w:tcPr>
            <w:tcW w:w="508"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b/>
                <w:bCs/>
                <w:color w:val="auto"/>
                <w:sz w:val="24"/>
                <w:szCs w:val="24"/>
              </w:rPr>
            </w:pPr>
            <w:r>
              <w:rPr>
                <w:rFonts w:hint="eastAsia" w:ascii="仿宋" w:hAnsi="仿宋" w:eastAsia="仿宋" w:cs="仿宋"/>
                <w:b/>
                <w:bCs/>
                <w:color w:val="auto"/>
                <w:kern w:val="0"/>
                <w:sz w:val="24"/>
                <w:szCs w:val="24"/>
                <w:lang w:bidi="ar"/>
              </w:rPr>
              <w:t>序号</w:t>
            </w:r>
          </w:p>
        </w:tc>
        <w:tc>
          <w:tcPr>
            <w:tcW w:w="508"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b/>
                <w:bCs/>
                <w:color w:val="auto"/>
                <w:sz w:val="24"/>
                <w:szCs w:val="24"/>
              </w:rPr>
            </w:pPr>
            <w:r>
              <w:rPr>
                <w:rFonts w:hint="eastAsia" w:ascii="仿宋" w:hAnsi="仿宋" w:eastAsia="仿宋" w:cs="仿宋"/>
                <w:b/>
                <w:bCs/>
                <w:color w:val="auto"/>
                <w:kern w:val="0"/>
                <w:sz w:val="24"/>
                <w:szCs w:val="24"/>
                <w:lang w:bidi="ar"/>
              </w:rPr>
              <w:t>货物名称</w:t>
            </w:r>
          </w:p>
        </w:tc>
        <w:tc>
          <w:tcPr>
            <w:tcW w:w="6116"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b/>
                <w:bCs/>
                <w:color w:val="auto"/>
                <w:sz w:val="24"/>
                <w:szCs w:val="24"/>
              </w:rPr>
            </w:pPr>
            <w:r>
              <w:rPr>
                <w:rFonts w:hint="eastAsia" w:ascii="仿宋" w:hAnsi="仿宋" w:eastAsia="仿宋" w:cs="仿宋"/>
                <w:b/>
                <w:bCs/>
                <w:color w:val="auto"/>
                <w:kern w:val="0"/>
                <w:sz w:val="24"/>
                <w:szCs w:val="24"/>
                <w:lang w:bidi="ar"/>
              </w:rPr>
              <w:t>技术参数、规格、功能</w:t>
            </w:r>
          </w:p>
        </w:tc>
        <w:tc>
          <w:tcPr>
            <w:tcW w:w="493"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b/>
                <w:bCs/>
                <w:color w:val="auto"/>
                <w:sz w:val="24"/>
                <w:szCs w:val="24"/>
              </w:rPr>
            </w:pPr>
            <w:r>
              <w:rPr>
                <w:rFonts w:hint="eastAsia" w:ascii="仿宋" w:hAnsi="仿宋" w:eastAsia="仿宋" w:cs="仿宋"/>
                <w:b/>
                <w:bCs/>
                <w:color w:val="auto"/>
                <w:kern w:val="0"/>
                <w:sz w:val="24"/>
                <w:szCs w:val="24"/>
                <w:lang w:bidi="ar"/>
              </w:rPr>
              <w:t>数量</w:t>
            </w:r>
          </w:p>
        </w:tc>
        <w:tc>
          <w:tcPr>
            <w:tcW w:w="493"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b/>
                <w:bCs/>
                <w:color w:val="auto"/>
                <w:sz w:val="24"/>
                <w:szCs w:val="24"/>
              </w:rPr>
            </w:pPr>
            <w:r>
              <w:rPr>
                <w:rFonts w:hint="eastAsia" w:ascii="仿宋" w:hAnsi="仿宋" w:eastAsia="仿宋" w:cs="仿宋"/>
                <w:b/>
                <w:bCs/>
                <w:color w:val="auto"/>
                <w:kern w:val="0"/>
                <w:sz w:val="24"/>
                <w:szCs w:val="24"/>
                <w:lang w:bidi="ar"/>
              </w:rPr>
              <w:t>单位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706" w:hRule="atLeast"/>
          <w:jc w:val="center"/>
        </w:trPr>
        <w:tc>
          <w:tcPr>
            <w:tcW w:w="0" w:type="auto"/>
            <w:tcBorders>
              <w:tl2br w:val="nil"/>
              <w:tr2bl w:val="nil"/>
            </w:tcBorders>
            <w:shd w:val="clear" w:color="auto" w:fill="auto"/>
            <w:noWrap/>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w:t>
            </w:r>
          </w:p>
        </w:tc>
        <w:tc>
          <w:tcPr>
            <w:tcW w:w="508"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电子班牌</w:t>
            </w:r>
          </w:p>
        </w:tc>
        <w:tc>
          <w:tcPr>
            <w:tcW w:w="6116" w:type="dxa"/>
            <w:tcBorders>
              <w:tl2br w:val="nil"/>
              <w:tr2bl w:val="nil"/>
            </w:tcBorders>
            <w:shd w:val="clear" w:color="auto" w:fill="auto"/>
            <w:vAlign w:val="center"/>
          </w:tcPr>
          <w:p>
            <w:pPr>
              <w:widowControl/>
              <w:spacing w:line="360" w:lineRule="auto"/>
              <w:jc w:val="left"/>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 采用21.5英寸横屏式电容显示屏，支持10点触控，屏幕分辨率≧1920*1080，显示比例16:9；屏幕亮度≧500cd/㎡。</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2.整机采用防水防尘结构设计，适用于学校教室半户外环境，防护等级不低于IP65。</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3.整机背部与墙面微距全贴合，背面与平整墙面间隙最大处≦2.5mm，保障教学环境的安全性。</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4.整机在逆光（人像处于背景照度≧60000Lux）环境下距离≦0.5m可正常进行人脸识别</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5.内置高灵敏度的全向麦克风，拾音半径不小于0.5m</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6.内置2.0立体声道功放，支持视频及家长留言的音频播放。</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7.刷卡器：具有内置IC卡刷卡器。学生可佩带相应的终端设备完成刷卡签到、查看个人信息等操作。</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8.整机具备至少一路RJ45网络接口；具备不少于2路USB 2.0接口。</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9.整机采用内置天线设计，无任何天线外露。</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10.整机支持外接门禁控制。</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11.整机CPU≧4核，最高主频≧1.9G，操作系统版本不低于Android 9.0。</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12.兼容多种多媒体格式，至少支持 MPEG1、MPEG2、MPEG4、 H.263、H.264等视频格式；至少支持 MP3等音频格式；至少支持 JPG、JPEG、BMP、PNG、GIF 等图片格式。</w:t>
            </w:r>
          </w:p>
        </w:tc>
        <w:tc>
          <w:tcPr>
            <w:tcW w:w="0" w:type="auto"/>
            <w:tcBorders>
              <w:tl2br w:val="nil"/>
              <w:tr2bl w:val="nil"/>
            </w:tcBorders>
            <w:shd w:val="clear" w:color="auto" w:fill="auto"/>
            <w:noWrap/>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36</w:t>
            </w:r>
          </w:p>
        </w:tc>
        <w:tc>
          <w:tcPr>
            <w:tcW w:w="0" w:type="auto"/>
            <w:tcBorders>
              <w:tl2br w:val="nil"/>
              <w:tr2bl w:val="nil"/>
            </w:tcBorders>
            <w:shd w:val="clear" w:color="auto" w:fill="auto"/>
            <w:noWrap/>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台</w:t>
            </w:r>
          </w:p>
        </w:tc>
      </w:tr>
    </w:tbl>
    <w:p>
      <w:pPr>
        <w:spacing w:line="360" w:lineRule="auto"/>
        <w:rPr>
          <w:rFonts w:ascii="仿宋" w:hAnsi="仿宋" w:eastAsia="仿宋" w:cs="仿宋"/>
          <w:color w:val="auto"/>
          <w:sz w:val="24"/>
          <w:szCs w:val="24"/>
        </w:rPr>
        <w:sectPr>
          <w:pgSz w:w="11906" w:h="16838"/>
          <w:pgMar w:top="1440" w:right="1800" w:bottom="1440" w:left="1800" w:header="851" w:footer="992" w:gutter="0"/>
          <w:cols w:space="425" w:num="1"/>
          <w:docGrid w:type="lines" w:linePitch="312" w:charSpace="0"/>
        </w:sectPr>
      </w:pPr>
    </w:p>
    <w:p>
      <w:pPr>
        <w:pStyle w:val="9"/>
        <w:spacing w:line="360" w:lineRule="auto"/>
        <w:jc w:val="both"/>
        <w:rPr>
          <w:rFonts w:ascii="仿宋" w:hAnsi="仿宋" w:eastAsia="仿宋" w:cs="仿宋"/>
          <w:color w:val="auto"/>
          <w:sz w:val="24"/>
          <w:szCs w:val="24"/>
        </w:rPr>
      </w:pPr>
      <w:bookmarkStart w:id="327" w:name="_Toc20880"/>
      <w:r>
        <w:rPr>
          <w:rFonts w:hint="eastAsia" w:ascii="仿宋" w:hAnsi="仿宋" w:eastAsia="仿宋" w:cs="仿宋"/>
          <w:color w:val="auto"/>
          <w:sz w:val="24"/>
          <w:szCs w:val="24"/>
        </w:rPr>
        <w:t>四、测温安检门</w:t>
      </w:r>
      <w:bookmarkEnd w:id="327"/>
    </w:p>
    <w:tbl>
      <w:tblPr>
        <w:tblStyle w:val="21"/>
        <w:tblW w:w="8520" w:type="dxa"/>
        <w:tblInd w:w="93"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457"/>
        <w:gridCol w:w="877"/>
        <w:gridCol w:w="6228"/>
        <w:gridCol w:w="479"/>
        <w:gridCol w:w="47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50" w:hRule="atLeast"/>
        </w:trPr>
        <w:tc>
          <w:tcPr>
            <w:tcW w:w="457"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b/>
                <w:bCs/>
                <w:color w:val="auto"/>
                <w:sz w:val="24"/>
                <w:szCs w:val="24"/>
              </w:rPr>
            </w:pPr>
            <w:r>
              <w:rPr>
                <w:rFonts w:hint="eastAsia" w:ascii="仿宋" w:hAnsi="仿宋" w:eastAsia="仿宋" w:cs="仿宋"/>
                <w:b/>
                <w:bCs/>
                <w:color w:val="auto"/>
                <w:kern w:val="0"/>
                <w:sz w:val="24"/>
                <w:szCs w:val="24"/>
                <w:lang w:bidi="ar"/>
              </w:rPr>
              <w:t>序号</w:t>
            </w:r>
          </w:p>
        </w:tc>
        <w:tc>
          <w:tcPr>
            <w:tcW w:w="877"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b/>
                <w:bCs/>
                <w:color w:val="auto"/>
                <w:sz w:val="24"/>
                <w:szCs w:val="24"/>
              </w:rPr>
            </w:pPr>
            <w:r>
              <w:rPr>
                <w:rFonts w:hint="eastAsia" w:ascii="仿宋" w:hAnsi="仿宋" w:eastAsia="仿宋" w:cs="仿宋"/>
                <w:b/>
                <w:bCs/>
                <w:color w:val="auto"/>
                <w:kern w:val="0"/>
                <w:sz w:val="24"/>
                <w:szCs w:val="24"/>
                <w:lang w:bidi="ar"/>
              </w:rPr>
              <w:t>货物名称</w:t>
            </w:r>
          </w:p>
        </w:tc>
        <w:tc>
          <w:tcPr>
            <w:tcW w:w="6228"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b/>
                <w:bCs/>
                <w:color w:val="auto"/>
                <w:sz w:val="24"/>
                <w:szCs w:val="24"/>
              </w:rPr>
            </w:pPr>
            <w:r>
              <w:rPr>
                <w:rFonts w:hint="eastAsia" w:ascii="仿宋" w:hAnsi="仿宋" w:eastAsia="仿宋" w:cs="仿宋"/>
                <w:b/>
                <w:bCs/>
                <w:color w:val="auto"/>
                <w:kern w:val="0"/>
                <w:sz w:val="24"/>
                <w:szCs w:val="24"/>
                <w:lang w:bidi="ar"/>
              </w:rPr>
              <w:t>技术参数、规格、功能</w:t>
            </w:r>
          </w:p>
        </w:tc>
        <w:tc>
          <w:tcPr>
            <w:tcW w:w="479"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b/>
                <w:bCs/>
                <w:color w:val="auto"/>
                <w:sz w:val="24"/>
                <w:szCs w:val="24"/>
              </w:rPr>
            </w:pPr>
            <w:r>
              <w:rPr>
                <w:rFonts w:hint="eastAsia" w:ascii="仿宋" w:hAnsi="仿宋" w:eastAsia="仿宋" w:cs="仿宋"/>
                <w:b/>
                <w:bCs/>
                <w:color w:val="auto"/>
                <w:kern w:val="0"/>
                <w:sz w:val="24"/>
                <w:szCs w:val="24"/>
                <w:lang w:bidi="ar"/>
              </w:rPr>
              <w:t>数量</w:t>
            </w:r>
          </w:p>
        </w:tc>
        <w:tc>
          <w:tcPr>
            <w:tcW w:w="479"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b/>
                <w:bCs/>
                <w:color w:val="auto"/>
                <w:sz w:val="24"/>
                <w:szCs w:val="24"/>
              </w:rPr>
            </w:pPr>
            <w:r>
              <w:rPr>
                <w:rFonts w:hint="eastAsia" w:ascii="仿宋" w:hAnsi="仿宋" w:eastAsia="仿宋" w:cs="仿宋"/>
                <w:b/>
                <w:bCs/>
                <w:color w:val="auto"/>
                <w:kern w:val="0"/>
                <w:sz w:val="24"/>
                <w:szCs w:val="24"/>
                <w:lang w:bidi="ar"/>
              </w:rPr>
              <w:t>单位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67" w:hRule="atLeast"/>
        </w:trPr>
        <w:tc>
          <w:tcPr>
            <w:tcW w:w="0" w:type="auto"/>
            <w:tcBorders>
              <w:tl2br w:val="nil"/>
              <w:tr2bl w:val="nil"/>
            </w:tcBorders>
            <w:shd w:val="clear" w:color="auto" w:fill="auto"/>
            <w:noWrap/>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w:t>
            </w:r>
          </w:p>
        </w:tc>
        <w:tc>
          <w:tcPr>
            <w:tcW w:w="877"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测温安检门</w:t>
            </w:r>
          </w:p>
        </w:tc>
        <w:tc>
          <w:tcPr>
            <w:tcW w:w="6228" w:type="dxa"/>
            <w:tcBorders>
              <w:tl2br w:val="nil"/>
              <w:tr2bl w:val="nil"/>
            </w:tcBorders>
            <w:shd w:val="clear" w:color="auto" w:fill="auto"/>
            <w:vAlign w:val="center"/>
          </w:tcPr>
          <w:p>
            <w:pPr>
              <w:widowControl/>
              <w:spacing w:line="360" w:lineRule="auto"/>
              <w:jc w:val="left"/>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测温安检门应具有金属检测功能、测温功能等功能</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门体显示：采用前后双≧7寸液晶屏显示，用于客流和报警数据及人体温度展示，前后显示界面可进行切换</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金属门应能对达到或超过限定量的金属进行报警，不应该出现漏报警</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通行速度：应不劣于0.4m/s～1.8m/s。当人在规定的通行速度范围内穿过时，应报警测试物正确响应并报警，总探测率应≧90%</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报警响应时间：进入探测区后1s，金属门应能发出报警提示，且离开探测区后报警指示延续应小于等于1s</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报警显示功能：</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应可在1、6、12、18共4种区位模式间切换；</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系统前后两侧都有LED灯条，可显示人体藏匿违禁品的高度，在门板左右均可通过LED灯条显示对应报警区域；当有金属物进入检测区域时，该区域对应的指示灯将点亮；当多个区域有报警物时，对应的区域都应显示报警；</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工作时间：应≧24h</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计数功能：具有计数统计功能，能可靠地记录有效受检人数（双向通行）和发生过报警的人次</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报警声音：a)应与非报警声有区别。b)应能调节音调，以便能明确区分两台相邻探测门的报警。c)应能从静音到最大声强分档调节，最大声强不应低于90dB</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报警显示：a)应与非报警显示有区别，且颜色宜用红色。b)如有分区探测功能，分区定位应能一目了然，位置准确。c)在6000lx的明亮环境和25lx的昏暗环境下，距离报警显示器3m时，应能清晰地观看到</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抗相互干扰：相距50cm，并排安置多台安检门，各金属门应能正常工作</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抗周围静止金属物影响：应不受门体四周1m范围以外的大静止金属物体的影响</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飞物报警功能：将1元硬币以不大于1m/s 速度抛过探测区域时，安检门应给出报警指示，漏报率不大于2%；</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探测区内磁感应强度：在探测区左右边界各方内150mm形成的区域中，任意一点的磁感应强度都不应超过20μT</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报警响应时间：从框选出人脸到给出报警指示的时长不大于200ms</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人脸检测功能：可同时检测并框选出30张人脸，并叠加测温结果</w:t>
            </w:r>
          </w:p>
        </w:tc>
        <w:tc>
          <w:tcPr>
            <w:tcW w:w="0" w:type="auto"/>
            <w:tcBorders>
              <w:tl2br w:val="nil"/>
              <w:tr2bl w:val="nil"/>
            </w:tcBorders>
            <w:shd w:val="clear" w:color="auto" w:fill="auto"/>
            <w:noWrap/>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2</w:t>
            </w:r>
          </w:p>
        </w:tc>
        <w:tc>
          <w:tcPr>
            <w:tcW w:w="0" w:type="auto"/>
            <w:tcBorders>
              <w:tl2br w:val="nil"/>
              <w:tr2bl w:val="nil"/>
            </w:tcBorders>
            <w:shd w:val="clear" w:color="auto" w:fill="auto"/>
            <w:noWrap/>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个</w:t>
            </w:r>
          </w:p>
        </w:tc>
      </w:tr>
    </w:tbl>
    <w:p>
      <w:pPr>
        <w:spacing w:line="360" w:lineRule="auto"/>
        <w:rPr>
          <w:rFonts w:ascii="仿宋" w:hAnsi="仿宋" w:eastAsia="仿宋" w:cs="仿宋"/>
          <w:color w:val="auto"/>
          <w:sz w:val="24"/>
          <w:szCs w:val="24"/>
        </w:rPr>
        <w:sectPr>
          <w:pgSz w:w="11906" w:h="16838"/>
          <w:pgMar w:top="1440" w:right="1800" w:bottom="1440" w:left="1800" w:header="851" w:footer="992" w:gutter="0"/>
          <w:cols w:space="425" w:num="1"/>
          <w:docGrid w:type="lines" w:linePitch="312" w:charSpace="0"/>
        </w:sectPr>
      </w:pPr>
    </w:p>
    <w:p>
      <w:pPr>
        <w:pStyle w:val="9"/>
        <w:spacing w:line="360" w:lineRule="auto"/>
        <w:jc w:val="both"/>
        <w:rPr>
          <w:rFonts w:ascii="仿宋" w:hAnsi="仿宋" w:eastAsia="仿宋" w:cs="仿宋"/>
          <w:color w:val="auto"/>
          <w:sz w:val="24"/>
          <w:szCs w:val="24"/>
        </w:rPr>
      </w:pPr>
      <w:bookmarkStart w:id="328" w:name="_Toc19965"/>
      <w:r>
        <w:rPr>
          <w:rFonts w:hint="eastAsia" w:ascii="仿宋" w:hAnsi="仿宋" w:eastAsia="仿宋" w:cs="仿宋"/>
          <w:color w:val="auto"/>
          <w:sz w:val="24"/>
          <w:szCs w:val="24"/>
        </w:rPr>
        <w:t>五、电子屏</w:t>
      </w:r>
      <w:bookmarkEnd w:id="328"/>
    </w:p>
    <w:tbl>
      <w:tblPr>
        <w:tblStyle w:val="21"/>
        <w:tblW w:w="8534" w:type="dxa"/>
        <w:tblInd w:w="25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29"/>
        <w:gridCol w:w="459"/>
        <w:gridCol w:w="574"/>
        <w:gridCol w:w="4610"/>
        <w:gridCol w:w="602"/>
        <w:gridCol w:w="957"/>
        <w:gridCol w:w="8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 w:hRule="atLeast"/>
        </w:trPr>
        <w:tc>
          <w:tcPr>
            <w:tcW w:w="529"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项目</w:t>
            </w:r>
          </w:p>
        </w:tc>
        <w:tc>
          <w:tcPr>
            <w:tcW w:w="459"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序号</w:t>
            </w:r>
          </w:p>
        </w:tc>
        <w:tc>
          <w:tcPr>
            <w:tcW w:w="574"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名称</w:t>
            </w:r>
          </w:p>
        </w:tc>
        <w:tc>
          <w:tcPr>
            <w:tcW w:w="4610"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参数</w:t>
            </w:r>
          </w:p>
        </w:tc>
        <w:tc>
          <w:tcPr>
            <w:tcW w:w="602"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单位</w:t>
            </w:r>
          </w:p>
        </w:tc>
        <w:tc>
          <w:tcPr>
            <w:tcW w:w="957"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数量</w:t>
            </w:r>
          </w:p>
        </w:tc>
        <w:tc>
          <w:tcPr>
            <w:tcW w:w="803"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1" w:hRule="atLeast"/>
        </w:trPr>
        <w:tc>
          <w:tcPr>
            <w:tcW w:w="529" w:type="dxa"/>
            <w:vMerge w:val="restart"/>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屏体部分</w:t>
            </w:r>
          </w:p>
        </w:tc>
        <w:tc>
          <w:tcPr>
            <w:tcW w:w="459"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w:t>
            </w:r>
          </w:p>
        </w:tc>
        <w:tc>
          <w:tcPr>
            <w:tcW w:w="574"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LED单元板</w:t>
            </w:r>
          </w:p>
        </w:tc>
        <w:tc>
          <w:tcPr>
            <w:tcW w:w="4610" w:type="dxa"/>
            <w:tcBorders>
              <w:tl2br w:val="nil"/>
              <w:tr2bl w:val="nil"/>
            </w:tcBorders>
            <w:shd w:val="clear" w:color="auto" w:fill="auto"/>
            <w:vAlign w:val="center"/>
          </w:tcPr>
          <w:p>
            <w:pPr>
              <w:widowControl/>
              <w:spacing w:line="360" w:lineRule="auto"/>
              <w:jc w:val="left"/>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规格P4室内表贴节能全彩LED屏</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1、像素点间距 ≧4mm</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2、像素构成 1R、1G、1B</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3、采用恒流设计</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4、工作电压 在4.2×(1±10%）VDC范围内能正常工作</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5、模组平整度 ≦0.05mm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6、单元板分辨率 80*40=3200Dots</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7、亮度  ≧600Cd/m²</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8、亮度均匀性 ≧97%</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9、色度均匀性 ±0.002Cx、Cy内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10、宽色域 测试NTSC色域108.5%</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11、色温 3000K~18000K可调</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12、防伪功能 具备logo、产品型号</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13、水平视角 ≧160°</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14、垂直视角 ≧160°</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15、对比度 ≧6000：1</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16、灰度级数（信号处理深度） 采用14bit技术</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17、使用寿命 ≧100000h</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18、低亮高灰  亮度为20%时信号处理深度（灰度级数）达到14bit</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19、刷新率  ≧1920Hz</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20、像素失控率 &lt;0.01%</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21、像素中心距精确度 ≦3%</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22、反光率  ≦1.5%</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23、画面延时 ≦500ns（纳秒级）</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24、噪声  1m范围内，测试4个位置（前后左右）噪音不大于2dB</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25、最大功耗 ≦350W/m²</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26、平均功耗 ≦150W/m2</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27、图像质量 LED显示屏图像质量主观评价优</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28、SELV电路  具备SELV电路</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29、人眼视觉舒适度 VICO指数≦1</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30、能耗对比  对LED显示屏进行节能对比，达到能效一级标准</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31、盐雾等级 达到盐雾10级</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32、阻燃  PCB板、防火保护外壳达到V-0等级</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33、防碰撞  具备防碰撞焊盘技术</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34、失真效果检测 显示画面无几何畸变、扭曲、比例失调情况，无亮度、色温非线性失真</w:t>
            </w:r>
          </w:p>
        </w:tc>
        <w:tc>
          <w:tcPr>
            <w:tcW w:w="602"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w:t>
            </w:r>
          </w:p>
        </w:tc>
        <w:tc>
          <w:tcPr>
            <w:tcW w:w="957"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30.62</w:t>
            </w:r>
          </w:p>
        </w:tc>
        <w:tc>
          <w:tcPr>
            <w:tcW w:w="803"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kern w:val="0"/>
                <w:sz w:val="24"/>
                <w:szCs w:val="24"/>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 w:hRule="atLeast"/>
        </w:trPr>
        <w:tc>
          <w:tcPr>
            <w:tcW w:w="529" w:type="dxa"/>
            <w:vMerge w:val="continue"/>
            <w:tcBorders>
              <w:tl2br w:val="nil"/>
              <w:tr2bl w:val="nil"/>
            </w:tcBorders>
            <w:shd w:val="clear" w:color="auto" w:fill="auto"/>
            <w:vAlign w:val="center"/>
          </w:tcPr>
          <w:p>
            <w:pPr>
              <w:spacing w:line="360" w:lineRule="auto"/>
              <w:jc w:val="center"/>
              <w:rPr>
                <w:rFonts w:ascii="仿宋" w:hAnsi="仿宋" w:eastAsia="仿宋" w:cs="仿宋"/>
                <w:color w:val="auto"/>
                <w:sz w:val="24"/>
                <w:szCs w:val="24"/>
              </w:rPr>
            </w:pPr>
          </w:p>
        </w:tc>
        <w:tc>
          <w:tcPr>
            <w:tcW w:w="459"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2</w:t>
            </w:r>
          </w:p>
        </w:tc>
        <w:tc>
          <w:tcPr>
            <w:tcW w:w="574"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磁铁</w:t>
            </w:r>
          </w:p>
        </w:tc>
        <w:tc>
          <w:tcPr>
            <w:tcW w:w="4610" w:type="dxa"/>
            <w:tcBorders>
              <w:tl2br w:val="nil"/>
              <w:tr2bl w:val="nil"/>
            </w:tcBorders>
            <w:shd w:val="clear" w:color="auto" w:fill="auto"/>
            <w:vAlign w:val="center"/>
          </w:tcPr>
          <w:p>
            <w:pPr>
              <w:widowControl/>
              <w:spacing w:line="360" w:lineRule="auto"/>
              <w:jc w:val="left"/>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1套4个磁铁</w:t>
            </w:r>
          </w:p>
        </w:tc>
        <w:tc>
          <w:tcPr>
            <w:tcW w:w="602"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套</w:t>
            </w:r>
          </w:p>
        </w:tc>
        <w:tc>
          <w:tcPr>
            <w:tcW w:w="957"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2</w:t>
            </w:r>
          </w:p>
        </w:tc>
        <w:tc>
          <w:tcPr>
            <w:tcW w:w="803"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定制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77" w:hRule="atLeast"/>
        </w:trPr>
        <w:tc>
          <w:tcPr>
            <w:tcW w:w="529" w:type="dxa"/>
            <w:vMerge w:val="restart"/>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控制系统</w:t>
            </w:r>
          </w:p>
        </w:tc>
        <w:tc>
          <w:tcPr>
            <w:tcW w:w="459"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3</w:t>
            </w:r>
          </w:p>
        </w:tc>
        <w:tc>
          <w:tcPr>
            <w:tcW w:w="574"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专业主控</w:t>
            </w:r>
          </w:p>
        </w:tc>
        <w:tc>
          <w:tcPr>
            <w:tcW w:w="4610" w:type="dxa"/>
            <w:tcBorders>
              <w:tl2br w:val="nil"/>
              <w:tr2bl w:val="nil"/>
            </w:tcBorders>
            <w:shd w:val="clear" w:color="auto" w:fill="auto"/>
            <w:vAlign w:val="center"/>
          </w:tcPr>
          <w:p>
            <w:pPr>
              <w:widowControl/>
              <w:spacing w:line="360" w:lineRule="auto"/>
              <w:jc w:val="left"/>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 具有2类视频输入接口，包括1路HDMI和2路DVI；</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 最大输入分辨率1920×1200@60Hz，支持分辨率任意设置；</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 最大带载260万像素，最宽可达4096点，或最高可达2560点；</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4. 支持视频源任意切换，缩放和裁剪；</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5. 支持画面偏移；</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6. 双USB 2.0高速通讯接口，用于电脑调试和主控间任意级联；</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7. 支持亮度和色温调节；</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8. 支持低亮高灰；</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9. 支持HDCP 1.4；</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视频控制设备可支持250N恒定作用力，外部防护罩可承受250N+10N的恒定作用力持续5S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通过该发送卡可调试显示屏的色域坐标显 示不同坐标值色温，进行精确颜色管理;可 任意改变 0-255 灰阶不同灰度值的亮度显示 并进行任意调节;色温调整精度在 100K 以内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视频控制设备可支持EUT的连接方法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在-20°C-60°C，控制器所有功能打开且参数设置到最大依然能正常工作，一直连续开 断电处理，控制器依然可以正常启动工作， 机箱结构配合散热风扇达到很好的扇热效果</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为高效兼容交流电网电源的连接方式，视频控制设备可支持与交流电网电源的单独连接 </w:t>
            </w:r>
          </w:p>
        </w:tc>
        <w:tc>
          <w:tcPr>
            <w:tcW w:w="602"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台</w:t>
            </w:r>
          </w:p>
        </w:tc>
        <w:tc>
          <w:tcPr>
            <w:tcW w:w="957"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w:t>
            </w:r>
          </w:p>
        </w:tc>
        <w:tc>
          <w:tcPr>
            <w:tcW w:w="803"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kern w:val="0"/>
                <w:sz w:val="24"/>
                <w:szCs w:val="24"/>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1" w:hRule="atLeast"/>
        </w:trPr>
        <w:tc>
          <w:tcPr>
            <w:tcW w:w="529" w:type="dxa"/>
            <w:vMerge w:val="continue"/>
            <w:tcBorders>
              <w:tl2br w:val="nil"/>
              <w:tr2bl w:val="nil"/>
            </w:tcBorders>
            <w:shd w:val="clear" w:color="auto" w:fill="auto"/>
            <w:vAlign w:val="center"/>
          </w:tcPr>
          <w:p>
            <w:pPr>
              <w:spacing w:line="360" w:lineRule="auto"/>
              <w:jc w:val="center"/>
              <w:rPr>
                <w:rFonts w:ascii="仿宋" w:hAnsi="仿宋" w:eastAsia="仿宋" w:cs="仿宋"/>
                <w:color w:val="auto"/>
                <w:sz w:val="24"/>
                <w:szCs w:val="24"/>
              </w:rPr>
            </w:pPr>
          </w:p>
        </w:tc>
        <w:tc>
          <w:tcPr>
            <w:tcW w:w="459"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4</w:t>
            </w:r>
          </w:p>
        </w:tc>
        <w:tc>
          <w:tcPr>
            <w:tcW w:w="574"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接收卡</w:t>
            </w:r>
          </w:p>
        </w:tc>
        <w:tc>
          <w:tcPr>
            <w:tcW w:w="4610" w:type="dxa"/>
            <w:tcBorders>
              <w:tl2br w:val="nil"/>
              <w:tr2bl w:val="nil"/>
            </w:tcBorders>
            <w:shd w:val="clear" w:color="auto" w:fill="auto"/>
            <w:vAlign w:val="center"/>
          </w:tcPr>
          <w:p>
            <w:pPr>
              <w:widowControl/>
              <w:spacing w:line="360" w:lineRule="auto"/>
              <w:jc w:val="left"/>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 集成16路HUB75接口，无需再配转接板，更方便，成本更低</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 单卡控制面积：常规：128×1024像素，PWM：256×1024像素</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 支持市场主流常规芯片、PWM芯片、士兰芯片</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4. 支持静态到128扫之间的任意扫描类型</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5. 支持灵活抽点、抽行抽列、数据组偏移，可轻松实现各种异型屏、创意显示屏</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6. 卡支持32组RGB信号输出</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7. 支持DC3.8V~5.5V超宽工作电压</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8. 运输及存储温度为-40℃至125℃</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9. 工作温度范围为-25℃至75℃</w:t>
            </w:r>
          </w:p>
        </w:tc>
        <w:tc>
          <w:tcPr>
            <w:tcW w:w="602"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张</w:t>
            </w:r>
          </w:p>
        </w:tc>
        <w:tc>
          <w:tcPr>
            <w:tcW w:w="957"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23</w:t>
            </w:r>
          </w:p>
        </w:tc>
        <w:tc>
          <w:tcPr>
            <w:tcW w:w="803"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kern w:val="0"/>
                <w:sz w:val="24"/>
                <w:szCs w:val="24"/>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trPr>
        <w:tc>
          <w:tcPr>
            <w:tcW w:w="529" w:type="dxa"/>
            <w:vMerge w:val="continue"/>
            <w:tcBorders>
              <w:tl2br w:val="nil"/>
              <w:tr2bl w:val="nil"/>
            </w:tcBorders>
            <w:shd w:val="clear" w:color="auto" w:fill="auto"/>
            <w:vAlign w:val="center"/>
          </w:tcPr>
          <w:p>
            <w:pPr>
              <w:spacing w:line="360" w:lineRule="auto"/>
              <w:jc w:val="center"/>
              <w:rPr>
                <w:rFonts w:ascii="仿宋" w:hAnsi="仿宋" w:eastAsia="仿宋" w:cs="仿宋"/>
                <w:color w:val="auto"/>
                <w:sz w:val="24"/>
                <w:szCs w:val="24"/>
              </w:rPr>
            </w:pPr>
          </w:p>
        </w:tc>
        <w:tc>
          <w:tcPr>
            <w:tcW w:w="459"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5</w:t>
            </w:r>
          </w:p>
        </w:tc>
        <w:tc>
          <w:tcPr>
            <w:tcW w:w="574"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控制软件</w:t>
            </w:r>
          </w:p>
        </w:tc>
        <w:tc>
          <w:tcPr>
            <w:tcW w:w="4610" w:type="dxa"/>
            <w:tcBorders>
              <w:tl2br w:val="nil"/>
              <w:tr2bl w:val="nil"/>
            </w:tcBorders>
            <w:shd w:val="clear" w:color="auto" w:fill="auto"/>
            <w:vAlign w:val="center"/>
          </w:tcPr>
          <w:p>
            <w:pPr>
              <w:widowControl/>
              <w:spacing w:line="360" w:lineRule="auto"/>
              <w:jc w:val="left"/>
              <w:textAlignment w:val="center"/>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1、用于 LED 显示屏控制和播放的专业软件。</w:t>
            </w:r>
          </w:p>
          <w:p>
            <w:pPr>
              <w:widowControl/>
              <w:spacing w:line="360" w:lineRule="auto"/>
              <w:jc w:val="left"/>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2、控制系统软件支持实时监测发送卡网口带载面积，支持网口显示，并有预警显示, 并提供CNAS、ilac-MRA的第三方厂家检测报告；</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3、控制系统软件可设置只读模式，支持不同权限设置，防止误操作；</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4、控制系统软件可设置多功能卡参数，可定时开关大屏电源，设置外接传感器的各种参数；</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5、通过控制系统软件快速调试主控，支持处理器软件快速调试，预存模式，EDID更改；</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6、软件支持播放编辑节目，支持视频、音频、图像、文字、Flash、Gif等形式文件播放；支持Microsoft Office的Word、Excel、PPT显示；支持时钟、计时、网页、表格、数据库、天气预报显示；支持外部视频、环境信息、体育比分、桌面拷贝播放；支持多页面多分区节目编辑；支持三维特效动画、分区特效等功能；</w:t>
            </w:r>
          </w:p>
        </w:tc>
        <w:tc>
          <w:tcPr>
            <w:tcW w:w="602"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套</w:t>
            </w:r>
          </w:p>
        </w:tc>
        <w:tc>
          <w:tcPr>
            <w:tcW w:w="957"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w:t>
            </w:r>
          </w:p>
        </w:tc>
        <w:tc>
          <w:tcPr>
            <w:tcW w:w="803"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kern w:val="0"/>
                <w:sz w:val="24"/>
                <w:szCs w:val="24"/>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 w:hRule="atLeast"/>
        </w:trPr>
        <w:tc>
          <w:tcPr>
            <w:tcW w:w="529" w:type="dxa"/>
            <w:vMerge w:val="continue"/>
            <w:tcBorders>
              <w:tl2br w:val="nil"/>
              <w:tr2bl w:val="nil"/>
            </w:tcBorders>
            <w:shd w:val="clear" w:color="auto" w:fill="auto"/>
            <w:vAlign w:val="center"/>
          </w:tcPr>
          <w:p>
            <w:pPr>
              <w:spacing w:line="360" w:lineRule="auto"/>
              <w:jc w:val="center"/>
              <w:rPr>
                <w:rFonts w:ascii="仿宋" w:hAnsi="仿宋" w:eastAsia="仿宋" w:cs="仿宋"/>
                <w:color w:val="auto"/>
                <w:sz w:val="24"/>
                <w:szCs w:val="24"/>
              </w:rPr>
            </w:pPr>
          </w:p>
        </w:tc>
        <w:tc>
          <w:tcPr>
            <w:tcW w:w="459"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6</w:t>
            </w:r>
          </w:p>
        </w:tc>
        <w:tc>
          <w:tcPr>
            <w:tcW w:w="574"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线材</w:t>
            </w:r>
          </w:p>
        </w:tc>
        <w:tc>
          <w:tcPr>
            <w:tcW w:w="4610" w:type="dxa"/>
            <w:tcBorders>
              <w:tl2br w:val="nil"/>
              <w:tr2bl w:val="nil"/>
            </w:tcBorders>
            <w:shd w:val="clear" w:color="auto" w:fill="auto"/>
            <w:vAlign w:val="center"/>
          </w:tcPr>
          <w:p>
            <w:pPr>
              <w:widowControl/>
              <w:spacing w:line="360" w:lineRule="auto"/>
              <w:jc w:val="left"/>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屏体内电源线、网线、排线等</w:t>
            </w:r>
          </w:p>
        </w:tc>
        <w:tc>
          <w:tcPr>
            <w:tcW w:w="602"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批</w:t>
            </w:r>
          </w:p>
        </w:tc>
        <w:tc>
          <w:tcPr>
            <w:tcW w:w="957"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w:t>
            </w:r>
          </w:p>
        </w:tc>
        <w:tc>
          <w:tcPr>
            <w:tcW w:w="803"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定制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7" w:hRule="atLeast"/>
        </w:trPr>
        <w:tc>
          <w:tcPr>
            <w:tcW w:w="529" w:type="dxa"/>
            <w:vMerge w:val="restart"/>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配电设备</w:t>
            </w:r>
          </w:p>
        </w:tc>
        <w:tc>
          <w:tcPr>
            <w:tcW w:w="459"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7</w:t>
            </w:r>
          </w:p>
        </w:tc>
        <w:tc>
          <w:tcPr>
            <w:tcW w:w="574"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开关电源</w:t>
            </w:r>
          </w:p>
        </w:tc>
        <w:tc>
          <w:tcPr>
            <w:tcW w:w="4610" w:type="dxa"/>
            <w:tcBorders>
              <w:tl2br w:val="nil"/>
              <w:tr2bl w:val="nil"/>
            </w:tcBorders>
            <w:shd w:val="clear" w:color="auto" w:fill="auto"/>
            <w:vAlign w:val="center"/>
          </w:tcPr>
          <w:p>
            <w:pPr>
              <w:widowControl/>
              <w:spacing w:line="360" w:lineRule="auto"/>
              <w:jc w:val="left"/>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电压范围 176～264VAC</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输入电流 230VAC/2.5A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效率 ≧76%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频率范围 47～63HZ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泄漏电流 &lt;1mA/240VAC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浪涌电流 冷启动 60A/230VAC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输出直流电压 4.5V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额定电流 40A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功率 160W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电压调节范围 ±10.0%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纹波及噪声 150mVp-p</w:t>
            </w:r>
          </w:p>
        </w:tc>
        <w:tc>
          <w:tcPr>
            <w:tcW w:w="602"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台</w:t>
            </w:r>
          </w:p>
        </w:tc>
        <w:tc>
          <w:tcPr>
            <w:tcW w:w="957"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104</w:t>
            </w:r>
          </w:p>
        </w:tc>
        <w:tc>
          <w:tcPr>
            <w:tcW w:w="803"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kern w:val="0"/>
                <w:sz w:val="24"/>
                <w:szCs w:val="24"/>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4" w:hRule="atLeast"/>
        </w:trPr>
        <w:tc>
          <w:tcPr>
            <w:tcW w:w="529" w:type="dxa"/>
            <w:vMerge w:val="continue"/>
            <w:tcBorders>
              <w:tl2br w:val="nil"/>
              <w:tr2bl w:val="nil"/>
            </w:tcBorders>
            <w:shd w:val="clear" w:color="auto" w:fill="auto"/>
            <w:vAlign w:val="center"/>
          </w:tcPr>
          <w:p>
            <w:pPr>
              <w:spacing w:line="360" w:lineRule="auto"/>
              <w:jc w:val="center"/>
              <w:rPr>
                <w:rFonts w:ascii="仿宋" w:hAnsi="仿宋" w:eastAsia="仿宋" w:cs="仿宋"/>
                <w:color w:val="auto"/>
                <w:sz w:val="24"/>
                <w:szCs w:val="24"/>
              </w:rPr>
            </w:pPr>
          </w:p>
        </w:tc>
        <w:tc>
          <w:tcPr>
            <w:tcW w:w="459"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8</w:t>
            </w:r>
          </w:p>
        </w:tc>
        <w:tc>
          <w:tcPr>
            <w:tcW w:w="574"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多功能卡</w:t>
            </w:r>
          </w:p>
        </w:tc>
        <w:tc>
          <w:tcPr>
            <w:tcW w:w="4610" w:type="dxa"/>
            <w:tcBorders>
              <w:tl2br w:val="nil"/>
              <w:tr2bl w:val="nil"/>
            </w:tcBorders>
            <w:shd w:val="clear" w:color="auto" w:fill="auto"/>
            <w:vAlign w:val="center"/>
          </w:tcPr>
          <w:p>
            <w:pPr>
              <w:widowControl/>
              <w:spacing w:line="360" w:lineRule="auto"/>
              <w:jc w:val="left"/>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支持远程开关电源，支持亮度自动调节，支持温度、湿度等监控和报警可选传感器模块，光感探头SSR-L29/16 ，温湿度探头SSR-TEMP</w:t>
            </w:r>
          </w:p>
        </w:tc>
        <w:tc>
          <w:tcPr>
            <w:tcW w:w="602"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张</w:t>
            </w:r>
          </w:p>
        </w:tc>
        <w:tc>
          <w:tcPr>
            <w:tcW w:w="957"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1.00</w:t>
            </w:r>
          </w:p>
        </w:tc>
        <w:tc>
          <w:tcPr>
            <w:tcW w:w="803"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kern w:val="0"/>
                <w:sz w:val="24"/>
                <w:szCs w:val="24"/>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9" w:hRule="atLeast"/>
        </w:trPr>
        <w:tc>
          <w:tcPr>
            <w:tcW w:w="529" w:type="dxa"/>
            <w:vMerge w:val="continue"/>
            <w:tcBorders>
              <w:tl2br w:val="nil"/>
              <w:tr2bl w:val="nil"/>
            </w:tcBorders>
            <w:shd w:val="clear" w:color="auto" w:fill="auto"/>
            <w:vAlign w:val="center"/>
          </w:tcPr>
          <w:p>
            <w:pPr>
              <w:spacing w:line="360" w:lineRule="auto"/>
              <w:jc w:val="center"/>
              <w:rPr>
                <w:rFonts w:ascii="仿宋" w:hAnsi="仿宋" w:eastAsia="仿宋" w:cs="仿宋"/>
                <w:color w:val="auto"/>
                <w:sz w:val="24"/>
                <w:szCs w:val="24"/>
              </w:rPr>
            </w:pPr>
          </w:p>
        </w:tc>
        <w:tc>
          <w:tcPr>
            <w:tcW w:w="459"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9</w:t>
            </w:r>
          </w:p>
        </w:tc>
        <w:tc>
          <w:tcPr>
            <w:tcW w:w="574"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配电柜</w:t>
            </w:r>
          </w:p>
        </w:tc>
        <w:tc>
          <w:tcPr>
            <w:tcW w:w="4610" w:type="dxa"/>
            <w:tcBorders>
              <w:tl2br w:val="nil"/>
              <w:tr2bl w:val="nil"/>
            </w:tcBorders>
            <w:shd w:val="clear" w:color="auto" w:fill="auto"/>
            <w:vAlign w:val="center"/>
          </w:tcPr>
          <w:p>
            <w:pPr>
              <w:widowControl/>
              <w:spacing w:line="360" w:lineRule="auto"/>
              <w:jc w:val="left"/>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 xml:space="preserve">1、具备手动控制和自动控制功能。可手动按钮控制设备开启/停止，也可以通过其他控制设备的启/停功能。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2、多回路输出，延时启动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3、具有电源状态指示、工作状态指示、可远程监控设备运行状态。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4、具有过压、过流、短路、断路、定时开关、漏电等保护功能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5、具备检修插座和照明开关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6、内部线材均采用4平方国标纯铜导线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7、产品设计符合CCC认证标准，符合IEC 60439-1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8、三相五线制输入，220V 输出，零线与地线分别接在铜排上，确保三相平衡供电。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9、产品内部器件，均选用正泰正品器件，确保了显示屏高质量的可靠供电。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10、具有浪涌保护器、可以保护设备在雷电，尖峰浪涌时不受损坏。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11、具备散热设备独立控制线路接口，后期空调、风机可以和大屏独立控制。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12、后期可以根据现场需要加各种智能控制设备。 </w:t>
            </w:r>
          </w:p>
        </w:tc>
        <w:tc>
          <w:tcPr>
            <w:tcW w:w="602"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台</w:t>
            </w:r>
          </w:p>
        </w:tc>
        <w:tc>
          <w:tcPr>
            <w:tcW w:w="957"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1.00</w:t>
            </w:r>
          </w:p>
        </w:tc>
        <w:tc>
          <w:tcPr>
            <w:tcW w:w="803"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kern w:val="0"/>
                <w:sz w:val="24"/>
                <w:szCs w:val="24"/>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8" w:hRule="atLeast"/>
        </w:trPr>
        <w:tc>
          <w:tcPr>
            <w:tcW w:w="529"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备品</w:t>
            </w:r>
          </w:p>
        </w:tc>
        <w:tc>
          <w:tcPr>
            <w:tcW w:w="459"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10</w:t>
            </w:r>
          </w:p>
        </w:tc>
        <w:tc>
          <w:tcPr>
            <w:tcW w:w="574"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备品</w:t>
            </w:r>
          </w:p>
        </w:tc>
        <w:tc>
          <w:tcPr>
            <w:tcW w:w="4610" w:type="dxa"/>
            <w:tcBorders>
              <w:tl2br w:val="nil"/>
              <w:tr2bl w:val="nil"/>
            </w:tcBorders>
            <w:shd w:val="clear" w:color="auto" w:fill="auto"/>
            <w:vAlign w:val="center"/>
          </w:tcPr>
          <w:p>
            <w:pPr>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备品备件根据实际所需数量提供</w:t>
            </w:r>
          </w:p>
        </w:tc>
        <w:tc>
          <w:tcPr>
            <w:tcW w:w="602"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项</w:t>
            </w:r>
          </w:p>
        </w:tc>
        <w:tc>
          <w:tcPr>
            <w:tcW w:w="957"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ascii="仿宋" w:hAnsi="仿宋" w:eastAsia="仿宋" w:cs="仿宋"/>
                <w:color w:val="auto"/>
                <w:kern w:val="0"/>
                <w:sz w:val="24"/>
                <w:szCs w:val="24"/>
                <w:lang w:bidi="ar"/>
              </w:rPr>
              <w:t>1</w:t>
            </w:r>
          </w:p>
        </w:tc>
        <w:tc>
          <w:tcPr>
            <w:tcW w:w="803"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定制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8" w:hRule="atLeast"/>
        </w:trPr>
        <w:tc>
          <w:tcPr>
            <w:tcW w:w="529" w:type="dxa"/>
            <w:vMerge w:val="restart"/>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运输、屏</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体结构、安装调试费用</w:t>
            </w:r>
          </w:p>
        </w:tc>
        <w:tc>
          <w:tcPr>
            <w:tcW w:w="459"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11</w:t>
            </w:r>
          </w:p>
        </w:tc>
        <w:tc>
          <w:tcPr>
            <w:tcW w:w="574"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物流公路</w:t>
            </w:r>
          </w:p>
        </w:tc>
        <w:tc>
          <w:tcPr>
            <w:tcW w:w="4610" w:type="dxa"/>
            <w:tcBorders>
              <w:tl2br w:val="nil"/>
              <w:tr2bl w:val="nil"/>
            </w:tcBorders>
            <w:shd w:val="clear" w:color="auto" w:fill="auto"/>
            <w:vAlign w:val="center"/>
          </w:tcPr>
          <w:p>
            <w:pPr>
              <w:widowControl/>
              <w:spacing w:line="360" w:lineRule="auto"/>
              <w:jc w:val="left"/>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陆运</w:t>
            </w:r>
          </w:p>
        </w:tc>
        <w:tc>
          <w:tcPr>
            <w:tcW w:w="602"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项</w:t>
            </w:r>
          </w:p>
        </w:tc>
        <w:tc>
          <w:tcPr>
            <w:tcW w:w="957"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w:t>
            </w:r>
          </w:p>
        </w:tc>
        <w:tc>
          <w:tcPr>
            <w:tcW w:w="803"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汽运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529" w:type="dxa"/>
            <w:vMerge w:val="continue"/>
            <w:tcBorders>
              <w:tl2br w:val="nil"/>
              <w:tr2bl w:val="nil"/>
            </w:tcBorders>
            <w:shd w:val="clear" w:color="auto" w:fill="auto"/>
            <w:vAlign w:val="center"/>
          </w:tcPr>
          <w:p>
            <w:pPr>
              <w:spacing w:line="360" w:lineRule="auto"/>
              <w:jc w:val="center"/>
              <w:rPr>
                <w:rFonts w:ascii="仿宋" w:hAnsi="仿宋" w:eastAsia="仿宋" w:cs="仿宋"/>
                <w:color w:val="auto"/>
                <w:sz w:val="24"/>
                <w:szCs w:val="24"/>
              </w:rPr>
            </w:pPr>
          </w:p>
        </w:tc>
        <w:tc>
          <w:tcPr>
            <w:tcW w:w="459"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12</w:t>
            </w:r>
          </w:p>
        </w:tc>
        <w:tc>
          <w:tcPr>
            <w:tcW w:w="574"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钢结构</w:t>
            </w:r>
          </w:p>
        </w:tc>
        <w:tc>
          <w:tcPr>
            <w:tcW w:w="4610" w:type="dxa"/>
            <w:tcBorders>
              <w:tl2br w:val="nil"/>
              <w:tr2bl w:val="nil"/>
            </w:tcBorders>
            <w:shd w:val="clear" w:color="auto" w:fill="auto"/>
            <w:vAlign w:val="center"/>
          </w:tcPr>
          <w:p>
            <w:pPr>
              <w:widowControl/>
              <w:spacing w:line="360" w:lineRule="auto"/>
              <w:jc w:val="left"/>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1、钢结构：钢架构件（含接合板）采用Q235B钢制作，结构用钢应符合《GB700-88》规定的Q235要求，保证其抗拉强度、伸长率、屈服点，碳、硫、磷的极限含量；</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2、焊条：手工焊：Q235连接用E43系列焊条；</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3、自动焊：Q235连接用H08系列焊条；</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4、要求：抗风8级 抗震7级；</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5、钢架定制；</w:t>
            </w:r>
          </w:p>
        </w:tc>
        <w:tc>
          <w:tcPr>
            <w:tcW w:w="602"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批</w:t>
            </w:r>
          </w:p>
        </w:tc>
        <w:tc>
          <w:tcPr>
            <w:tcW w:w="957"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w:t>
            </w:r>
          </w:p>
        </w:tc>
        <w:tc>
          <w:tcPr>
            <w:tcW w:w="803"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钢材料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9" w:hRule="atLeast"/>
        </w:trPr>
        <w:tc>
          <w:tcPr>
            <w:tcW w:w="529" w:type="dxa"/>
            <w:vMerge w:val="continue"/>
            <w:tcBorders>
              <w:tl2br w:val="nil"/>
              <w:tr2bl w:val="nil"/>
            </w:tcBorders>
            <w:shd w:val="clear" w:color="auto" w:fill="auto"/>
            <w:vAlign w:val="center"/>
          </w:tcPr>
          <w:p>
            <w:pPr>
              <w:spacing w:line="360" w:lineRule="auto"/>
              <w:jc w:val="center"/>
              <w:rPr>
                <w:rFonts w:ascii="仿宋" w:hAnsi="仿宋" w:eastAsia="仿宋" w:cs="仿宋"/>
                <w:color w:val="auto"/>
                <w:sz w:val="24"/>
                <w:szCs w:val="24"/>
              </w:rPr>
            </w:pPr>
          </w:p>
        </w:tc>
        <w:tc>
          <w:tcPr>
            <w:tcW w:w="459"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13</w:t>
            </w:r>
          </w:p>
        </w:tc>
        <w:tc>
          <w:tcPr>
            <w:tcW w:w="574"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安装调试</w:t>
            </w:r>
          </w:p>
        </w:tc>
        <w:tc>
          <w:tcPr>
            <w:tcW w:w="4610" w:type="dxa"/>
            <w:tcBorders>
              <w:tl2br w:val="nil"/>
              <w:tr2bl w:val="nil"/>
            </w:tcBorders>
            <w:shd w:val="clear" w:color="auto" w:fill="auto"/>
            <w:vAlign w:val="center"/>
          </w:tcPr>
          <w:p>
            <w:pPr>
              <w:widowControl/>
              <w:spacing w:line="360" w:lineRule="auto"/>
              <w:jc w:val="left"/>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专业安装</w:t>
            </w:r>
          </w:p>
        </w:tc>
        <w:tc>
          <w:tcPr>
            <w:tcW w:w="602"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批</w:t>
            </w:r>
          </w:p>
        </w:tc>
        <w:tc>
          <w:tcPr>
            <w:tcW w:w="957"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w:t>
            </w:r>
          </w:p>
        </w:tc>
        <w:tc>
          <w:tcPr>
            <w:tcW w:w="803" w:type="dxa"/>
            <w:tcBorders>
              <w:tl2br w:val="nil"/>
              <w:tr2bl w:val="nil"/>
            </w:tcBorders>
            <w:shd w:val="clear" w:color="auto" w:fill="auto"/>
            <w:vAlign w:val="center"/>
          </w:tcPr>
          <w:p>
            <w:pPr>
              <w:widowControl/>
              <w:spacing w:line="360" w:lineRule="auto"/>
              <w:jc w:val="center"/>
              <w:textAlignment w:val="center"/>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人工</w:t>
            </w:r>
          </w:p>
        </w:tc>
      </w:tr>
    </w:tbl>
    <w:p>
      <w:pPr>
        <w:spacing w:line="360" w:lineRule="auto"/>
        <w:rPr>
          <w:rFonts w:ascii="仿宋" w:hAnsi="仿宋" w:eastAsia="仿宋" w:cs="仿宋"/>
          <w:color w:val="auto"/>
          <w:sz w:val="24"/>
          <w:szCs w:val="24"/>
        </w:rPr>
        <w:sectPr>
          <w:pgSz w:w="11906" w:h="16838"/>
          <w:pgMar w:top="1440" w:right="1800" w:bottom="1440" w:left="1800" w:header="851" w:footer="992" w:gutter="0"/>
          <w:cols w:space="425" w:num="1"/>
          <w:docGrid w:type="lines" w:linePitch="312" w:charSpace="0"/>
        </w:sectPr>
      </w:pPr>
    </w:p>
    <w:p>
      <w:pPr>
        <w:pStyle w:val="9"/>
        <w:spacing w:line="360" w:lineRule="auto"/>
        <w:jc w:val="both"/>
        <w:rPr>
          <w:rFonts w:ascii="仿宋" w:hAnsi="仿宋" w:eastAsia="仿宋" w:cs="仿宋"/>
          <w:color w:val="auto"/>
          <w:sz w:val="24"/>
          <w:szCs w:val="24"/>
        </w:rPr>
      </w:pPr>
      <w:bookmarkStart w:id="329" w:name="_Toc18555"/>
      <w:r>
        <w:rPr>
          <w:rFonts w:hint="eastAsia" w:ascii="仿宋" w:hAnsi="仿宋" w:eastAsia="仿宋" w:cs="仿宋"/>
          <w:color w:val="auto"/>
          <w:sz w:val="24"/>
          <w:szCs w:val="24"/>
        </w:rPr>
        <w:t>六、运动场电子屏</w:t>
      </w:r>
      <w:bookmarkEnd w:id="329"/>
    </w:p>
    <w:tbl>
      <w:tblPr>
        <w:tblStyle w:val="21"/>
        <w:tblW w:w="8777" w:type="dxa"/>
        <w:jc w:val="center"/>
        <w:tblLayout w:type="autofit"/>
        <w:tblCellMar>
          <w:top w:w="0" w:type="dxa"/>
          <w:left w:w="108" w:type="dxa"/>
          <w:bottom w:w="0" w:type="dxa"/>
          <w:right w:w="108" w:type="dxa"/>
        </w:tblCellMar>
      </w:tblPr>
      <w:tblGrid>
        <w:gridCol w:w="766"/>
        <w:gridCol w:w="502"/>
        <w:gridCol w:w="918"/>
        <w:gridCol w:w="4262"/>
        <w:gridCol w:w="502"/>
        <w:gridCol w:w="1031"/>
        <w:gridCol w:w="796"/>
      </w:tblGrid>
      <w:tr>
        <w:tblPrEx>
          <w:tblCellMar>
            <w:top w:w="0" w:type="dxa"/>
            <w:left w:w="108" w:type="dxa"/>
            <w:bottom w:w="0" w:type="dxa"/>
            <w:right w:w="108" w:type="dxa"/>
          </w:tblCellMar>
        </w:tblPrEx>
        <w:trPr>
          <w:trHeight w:val="233" w:hRule="atLeast"/>
          <w:jc w:val="center"/>
        </w:trPr>
        <w:tc>
          <w:tcPr>
            <w:tcW w:w="766" w:type="dxa"/>
            <w:tcBorders>
              <w:top w:val="single" w:color="000000" w:sz="8" w:space="0"/>
              <w:left w:val="single" w:color="000000" w:sz="8"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项目</w:t>
            </w:r>
          </w:p>
        </w:tc>
        <w:tc>
          <w:tcPr>
            <w:tcW w:w="502" w:type="dxa"/>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序号</w:t>
            </w:r>
          </w:p>
        </w:tc>
        <w:tc>
          <w:tcPr>
            <w:tcW w:w="918" w:type="dxa"/>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名称</w:t>
            </w:r>
          </w:p>
        </w:tc>
        <w:tc>
          <w:tcPr>
            <w:tcW w:w="4262" w:type="dxa"/>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参数</w:t>
            </w:r>
          </w:p>
        </w:tc>
        <w:tc>
          <w:tcPr>
            <w:tcW w:w="502" w:type="dxa"/>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单位</w:t>
            </w:r>
          </w:p>
        </w:tc>
        <w:tc>
          <w:tcPr>
            <w:tcW w:w="1031" w:type="dxa"/>
            <w:tcBorders>
              <w:top w:val="single" w:color="000000" w:sz="8"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数量</w:t>
            </w:r>
          </w:p>
        </w:tc>
        <w:tc>
          <w:tcPr>
            <w:tcW w:w="796" w:type="dxa"/>
            <w:tcBorders>
              <w:top w:val="single" w:color="000000" w:sz="8"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备注</w:t>
            </w:r>
          </w:p>
        </w:tc>
      </w:tr>
      <w:tr>
        <w:tblPrEx>
          <w:tblCellMar>
            <w:top w:w="0" w:type="dxa"/>
            <w:left w:w="108" w:type="dxa"/>
            <w:bottom w:w="0" w:type="dxa"/>
            <w:right w:w="108" w:type="dxa"/>
          </w:tblCellMar>
        </w:tblPrEx>
        <w:trPr>
          <w:trHeight w:val="2970" w:hRule="atLeast"/>
          <w:jc w:val="center"/>
        </w:trPr>
        <w:tc>
          <w:tcPr>
            <w:tcW w:w="766"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屏体部分</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LED模组</w:t>
            </w:r>
          </w:p>
        </w:tc>
        <w:tc>
          <w:tcPr>
            <w:tcW w:w="42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规格P5户外表贴节能全彩LED屏</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1、像素点间距 5mm</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2、像素构成 1R、1G、1B</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3、采用恒流设计</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4、工作电压 在4.2×(1±10%）VDC范围内能正常工作</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★5、模组平整度 ≦0.08mm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6、单元板分辨率 64*32=2048Dots</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7、亮度  ≧5500cd/㎡</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8、亮度均匀性 ≧97%</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9、色度均匀性 ±0.002Cx、Cy内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10、宽色域 测试NTSC色域108.5%</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11、色温  3000K~18000K可调</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12、防伪功能 具备logo、产品型号</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13、水平视角 ≧160°</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14、垂直视角 ≧160°</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15、对比度 ≧8000:1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16、灰度级数（信号处理深度） 采用14bit技术</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17、使用寿命 ≧100000h</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18、低亮高灰 亮度为20%时信号处理深度（灰度级数）达到14bit</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19、刷新率 960/1920 Hz</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20、像素失控率 &lt;0.01%</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21、像素中心距精确度 ≦3%</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22、反光率  ≦1.5%</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23、画面延时 ≦500ns（纳秒级）</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24、噪声  1m范围内，测试4个位置（前后左右）噪音不大于2dB</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25、最大功耗 ≦500W/m²</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26、平均功耗 ≦200W/m2</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27、图像质量 LED显示屏图像质量主观评价优</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28、SELV电路  具备SELV电路</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29、人眼视觉舒适度 VICO指数≦1</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30、能耗对比  对LED显示屏进行节能对比，达到能效一级标准</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31、盐雾等级 达到盐雾10级</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32、阻燃  PCB板、防火保护外壳达到V-0等级</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33、防碰撞  具备防碰撞焊盘技术</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34、失真效果检测 显示画面无几何畸变、扭曲、比例失调情况，无亮度、色温非线性失真</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w:t>
            </w:r>
          </w:p>
        </w:tc>
        <w:tc>
          <w:tcPr>
            <w:tcW w:w="103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35.84</w:t>
            </w:r>
          </w:p>
        </w:tc>
        <w:tc>
          <w:tcPr>
            <w:tcW w:w="796"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p>
        </w:tc>
      </w:tr>
      <w:tr>
        <w:tblPrEx>
          <w:tblCellMar>
            <w:top w:w="0" w:type="dxa"/>
            <w:left w:w="108" w:type="dxa"/>
            <w:bottom w:w="0" w:type="dxa"/>
            <w:right w:w="108" w:type="dxa"/>
          </w:tblCellMar>
        </w:tblPrEx>
        <w:trPr>
          <w:trHeight w:val="231" w:hRule="atLeast"/>
          <w:jc w:val="center"/>
        </w:trPr>
        <w:tc>
          <w:tcPr>
            <w:tcW w:w="76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spacing w:line="360" w:lineRule="auto"/>
              <w:jc w:val="center"/>
              <w:rPr>
                <w:rFonts w:ascii="仿宋" w:hAnsi="仿宋" w:eastAsia="仿宋" w:cs="仿宋"/>
                <w:color w:val="auto"/>
                <w:sz w:val="24"/>
                <w:szCs w:val="24"/>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简易箱体</w:t>
            </w:r>
          </w:p>
        </w:tc>
        <w:tc>
          <w:tcPr>
            <w:tcW w:w="42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根据现场户外箱体定制安装</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批</w:t>
            </w:r>
          </w:p>
        </w:tc>
        <w:tc>
          <w:tcPr>
            <w:tcW w:w="103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w:t>
            </w:r>
          </w:p>
        </w:tc>
        <w:tc>
          <w:tcPr>
            <w:tcW w:w="796"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定制</w:t>
            </w:r>
          </w:p>
        </w:tc>
      </w:tr>
      <w:tr>
        <w:tblPrEx>
          <w:tblCellMar>
            <w:top w:w="0" w:type="dxa"/>
            <w:left w:w="108" w:type="dxa"/>
            <w:bottom w:w="0" w:type="dxa"/>
            <w:right w:w="108" w:type="dxa"/>
          </w:tblCellMar>
        </w:tblPrEx>
        <w:trPr>
          <w:trHeight w:val="3312" w:hRule="atLeast"/>
          <w:jc w:val="center"/>
        </w:trPr>
        <w:tc>
          <w:tcPr>
            <w:tcW w:w="766"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控制系统</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专业主控</w:t>
            </w:r>
          </w:p>
        </w:tc>
        <w:tc>
          <w:tcPr>
            <w:tcW w:w="42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1.具有2类视频输入接口，包括1路HDMI和2路DVI；</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2.最大输入分辨率1920×1200@60Hz，支持分辨率任意设置；</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3.最大带载260万像素，最宽可达4096点，或最高可达2560点；</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4.支持视频源任意切换，缩放和裁剪；</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5.支持画面偏移；</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6.双USB 2.0高速通讯接口，用于电脑调试和主控间任意级联；</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7.支持亮度和色温调节；</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8.支持低亮高灰；</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9.支持HDCP 1.4；</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视频控制设备可支持250N恒定作用力，外部防护罩可承受250N+10N的恒定作用力持续5S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通过该发送卡可调试显示屏的色域坐标显 示不同坐标值色温，进行精确颜色管理;可 任意改变 0-255 灰阶不同灰度值的亮度显示并进行任意调节;色温调整精度在 100K 以内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视频控制设备可支持EUT的连接方法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在-20°C-60°C，控制器所有功能打开且参数设置到最大依然能正常工作，一直连续开 断电处理，控制器依然可以正常启动工作， 机箱结构配合散热风扇达到很好的扇热效果</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为高效兼容交流电网电源的连接方式，视频控制设备可支持与交流电网电源的单独连接</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台</w:t>
            </w:r>
          </w:p>
        </w:tc>
        <w:tc>
          <w:tcPr>
            <w:tcW w:w="103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w:t>
            </w:r>
          </w:p>
        </w:tc>
        <w:tc>
          <w:tcPr>
            <w:tcW w:w="796"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p>
        </w:tc>
      </w:tr>
      <w:tr>
        <w:tblPrEx>
          <w:tblCellMar>
            <w:top w:w="0" w:type="dxa"/>
            <w:left w:w="108" w:type="dxa"/>
            <w:bottom w:w="0" w:type="dxa"/>
            <w:right w:w="108" w:type="dxa"/>
          </w:tblCellMar>
        </w:tblPrEx>
        <w:trPr>
          <w:trHeight w:val="2514" w:hRule="atLeast"/>
          <w:jc w:val="center"/>
        </w:trPr>
        <w:tc>
          <w:tcPr>
            <w:tcW w:w="76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spacing w:line="360" w:lineRule="auto"/>
              <w:jc w:val="center"/>
              <w:rPr>
                <w:rFonts w:ascii="仿宋" w:hAnsi="仿宋" w:eastAsia="仿宋" w:cs="仿宋"/>
                <w:color w:val="auto"/>
                <w:sz w:val="24"/>
                <w:szCs w:val="24"/>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接收卡</w:t>
            </w:r>
          </w:p>
        </w:tc>
        <w:tc>
          <w:tcPr>
            <w:tcW w:w="42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1.集成16路HUB75接口，无需再配转接板，更方便，成本更低</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2.单卡控制面积：常规：128×1024像素，PWM：256×1024像素</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3.支持常规芯片实现高刷新、高灰度、高亮度</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4.支持市场主流常规芯片、PWM芯片、士兰芯片</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5.全新灰度引擎，低灰度表现更佳</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6.可消除单元板设计引起的某行偏暗、低灰偏红、鬼影等细节问题</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7.支持高精度的色度、亮度一体化逐点校正</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8.支持静态到128扫之间的任意扫描类型</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9. 支持灵活抽点、抽行抽列、数据组偏移，可轻松实现各种异型屏、创意显示屏</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10.卡支持32组RGB信号输出</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11.支持箱体标定标序</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12.支持超大带载面积</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13.支持DC3.8V~5.5V超宽工作电压</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14.运输及存储温度为-40℃至125℃</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15.工作温度范围为-25℃至75℃</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张</w:t>
            </w:r>
          </w:p>
        </w:tc>
        <w:tc>
          <w:tcPr>
            <w:tcW w:w="103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45</w:t>
            </w:r>
          </w:p>
        </w:tc>
        <w:tc>
          <w:tcPr>
            <w:tcW w:w="796"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p>
        </w:tc>
      </w:tr>
      <w:tr>
        <w:tblPrEx>
          <w:tblCellMar>
            <w:top w:w="0" w:type="dxa"/>
            <w:left w:w="108" w:type="dxa"/>
            <w:bottom w:w="0" w:type="dxa"/>
            <w:right w:w="108" w:type="dxa"/>
          </w:tblCellMar>
        </w:tblPrEx>
        <w:trPr>
          <w:trHeight w:val="117" w:hRule="atLeast"/>
          <w:jc w:val="center"/>
        </w:trPr>
        <w:tc>
          <w:tcPr>
            <w:tcW w:w="76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spacing w:line="360" w:lineRule="auto"/>
              <w:jc w:val="center"/>
              <w:rPr>
                <w:rFonts w:ascii="仿宋" w:hAnsi="仿宋" w:eastAsia="仿宋" w:cs="仿宋"/>
                <w:color w:val="auto"/>
                <w:sz w:val="24"/>
                <w:szCs w:val="24"/>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网线</w:t>
            </w:r>
          </w:p>
        </w:tc>
        <w:tc>
          <w:tcPr>
            <w:tcW w:w="42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超五类</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跟</w:t>
            </w:r>
          </w:p>
        </w:tc>
        <w:tc>
          <w:tcPr>
            <w:tcW w:w="103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45</w:t>
            </w:r>
          </w:p>
        </w:tc>
        <w:tc>
          <w:tcPr>
            <w:tcW w:w="796"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定制</w:t>
            </w:r>
          </w:p>
        </w:tc>
      </w:tr>
      <w:tr>
        <w:tblPrEx>
          <w:tblCellMar>
            <w:top w:w="0" w:type="dxa"/>
            <w:left w:w="108" w:type="dxa"/>
            <w:bottom w:w="0" w:type="dxa"/>
            <w:right w:w="108" w:type="dxa"/>
          </w:tblCellMar>
        </w:tblPrEx>
        <w:trPr>
          <w:trHeight w:val="117" w:hRule="atLeast"/>
          <w:jc w:val="center"/>
        </w:trPr>
        <w:tc>
          <w:tcPr>
            <w:tcW w:w="76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spacing w:line="360" w:lineRule="auto"/>
              <w:jc w:val="center"/>
              <w:rPr>
                <w:rFonts w:ascii="仿宋" w:hAnsi="仿宋" w:eastAsia="仿宋" w:cs="仿宋"/>
                <w:color w:val="auto"/>
                <w:sz w:val="24"/>
                <w:szCs w:val="24"/>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排线</w:t>
            </w:r>
          </w:p>
        </w:tc>
        <w:tc>
          <w:tcPr>
            <w:tcW w:w="42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接收卡级联</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跟</w:t>
            </w:r>
          </w:p>
        </w:tc>
        <w:tc>
          <w:tcPr>
            <w:tcW w:w="103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700</w:t>
            </w:r>
          </w:p>
        </w:tc>
        <w:tc>
          <w:tcPr>
            <w:tcW w:w="796"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定制</w:t>
            </w:r>
          </w:p>
        </w:tc>
      </w:tr>
      <w:tr>
        <w:tblPrEx>
          <w:tblCellMar>
            <w:top w:w="0" w:type="dxa"/>
            <w:left w:w="108" w:type="dxa"/>
            <w:bottom w:w="0" w:type="dxa"/>
            <w:right w:w="108" w:type="dxa"/>
          </w:tblCellMar>
        </w:tblPrEx>
        <w:trPr>
          <w:trHeight w:val="1258" w:hRule="atLeast"/>
          <w:jc w:val="center"/>
        </w:trPr>
        <w:tc>
          <w:tcPr>
            <w:tcW w:w="766"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配电设备</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开关电源</w:t>
            </w:r>
          </w:p>
        </w:tc>
        <w:tc>
          <w:tcPr>
            <w:tcW w:w="42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电压范围 176～264VAC</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输入电流 230VAC/2.5A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效率 ≧76%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频率范围 47～63HZ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泄漏电流 &lt;1mA/240VAC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浪涌电流 冷启动 60A/230VAC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输出直流电压 4.5V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额定电流 40A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功率 160W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电压调节范围 ±10.0%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纹波及噪声 150mVp-p</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台</w:t>
            </w:r>
          </w:p>
        </w:tc>
        <w:tc>
          <w:tcPr>
            <w:tcW w:w="103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225</w:t>
            </w:r>
          </w:p>
        </w:tc>
        <w:tc>
          <w:tcPr>
            <w:tcW w:w="796"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p>
        </w:tc>
      </w:tr>
      <w:tr>
        <w:tblPrEx>
          <w:tblCellMar>
            <w:top w:w="0" w:type="dxa"/>
            <w:left w:w="108" w:type="dxa"/>
            <w:bottom w:w="0" w:type="dxa"/>
            <w:right w:w="108" w:type="dxa"/>
          </w:tblCellMar>
        </w:tblPrEx>
        <w:trPr>
          <w:trHeight w:val="231" w:hRule="atLeast"/>
          <w:jc w:val="center"/>
        </w:trPr>
        <w:tc>
          <w:tcPr>
            <w:tcW w:w="76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spacing w:line="360" w:lineRule="auto"/>
              <w:jc w:val="center"/>
              <w:rPr>
                <w:rFonts w:ascii="仿宋" w:hAnsi="仿宋" w:eastAsia="仿宋" w:cs="仿宋"/>
                <w:color w:val="auto"/>
                <w:sz w:val="24"/>
                <w:szCs w:val="24"/>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电源线</w:t>
            </w:r>
          </w:p>
        </w:tc>
        <w:tc>
          <w:tcPr>
            <w:tcW w:w="42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定制</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跟</w:t>
            </w:r>
          </w:p>
        </w:tc>
        <w:tc>
          <w:tcPr>
            <w:tcW w:w="103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225</w:t>
            </w:r>
          </w:p>
        </w:tc>
        <w:tc>
          <w:tcPr>
            <w:tcW w:w="796"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定制</w:t>
            </w:r>
          </w:p>
        </w:tc>
      </w:tr>
      <w:tr>
        <w:tblPrEx>
          <w:tblCellMar>
            <w:top w:w="0" w:type="dxa"/>
            <w:left w:w="108" w:type="dxa"/>
            <w:bottom w:w="0" w:type="dxa"/>
            <w:right w:w="108" w:type="dxa"/>
          </w:tblCellMar>
        </w:tblPrEx>
        <w:trPr>
          <w:trHeight w:val="2742" w:hRule="atLeast"/>
          <w:jc w:val="center"/>
        </w:trPr>
        <w:tc>
          <w:tcPr>
            <w:tcW w:w="76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spacing w:line="360" w:lineRule="auto"/>
              <w:jc w:val="center"/>
              <w:rPr>
                <w:rFonts w:ascii="仿宋" w:hAnsi="仿宋" w:eastAsia="仿宋" w:cs="仿宋"/>
                <w:color w:val="auto"/>
                <w:sz w:val="24"/>
                <w:szCs w:val="24"/>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配电柜</w:t>
            </w:r>
          </w:p>
        </w:tc>
        <w:tc>
          <w:tcPr>
            <w:tcW w:w="42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 xml:space="preserve">1、具备手动控制和自动控制功能。可手动按钮控制设备开启/停止，也可以通过其他控制设备的启/停功能。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2、多回路输出，延时启动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3、具有电源状态指示、工作状态指示、可远程监控设备运行状态。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4、具有过压、过流、短路、断路、定时开关、漏电等保护功能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5、具备检修插座和照明开关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6、内部线材均采用4平方国标纯铜导线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7、产品设计符合CCC认证标准，符合IEC 60439-1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8、三相五线制输入，220V 输出，零线与地线分别接在铜排上，确保三相平衡供电。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9、产品内部器件，均选用正品器件，确保了显示屏高质量的可靠供电。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10、具有浪涌保护器、可以保护设备在雷电，尖峰浪涌时不受损坏。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11、具备散热设备独立控制线路接口，后期空调、风机可以和大屏独立控制。 </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 xml:space="preserve">12、后期可以根据现场需要加各种智能控制设备。 </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台</w:t>
            </w:r>
          </w:p>
        </w:tc>
        <w:tc>
          <w:tcPr>
            <w:tcW w:w="103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w:t>
            </w:r>
          </w:p>
        </w:tc>
        <w:tc>
          <w:tcPr>
            <w:tcW w:w="796"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p>
        </w:tc>
      </w:tr>
      <w:tr>
        <w:tblPrEx>
          <w:tblCellMar>
            <w:top w:w="0" w:type="dxa"/>
            <w:left w:w="108" w:type="dxa"/>
            <w:bottom w:w="0" w:type="dxa"/>
            <w:right w:w="108" w:type="dxa"/>
          </w:tblCellMar>
        </w:tblPrEx>
        <w:trPr>
          <w:trHeight w:val="117" w:hRule="atLeast"/>
          <w:jc w:val="center"/>
        </w:trPr>
        <w:tc>
          <w:tcPr>
            <w:tcW w:w="766"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散热设备</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空调</w:t>
            </w:r>
          </w:p>
        </w:tc>
        <w:tc>
          <w:tcPr>
            <w:tcW w:w="42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挂机1</w:t>
            </w:r>
            <w:r>
              <w:rPr>
                <w:rFonts w:ascii="仿宋" w:hAnsi="仿宋" w:eastAsia="仿宋" w:cs="仿宋"/>
                <w:color w:val="auto"/>
                <w:kern w:val="0"/>
                <w:sz w:val="24"/>
                <w:szCs w:val="24"/>
                <w:lang w:bidi="ar"/>
              </w:rPr>
              <w:t>.5</w:t>
            </w:r>
            <w:r>
              <w:rPr>
                <w:rFonts w:hint="eastAsia" w:ascii="仿宋" w:hAnsi="仿宋" w:eastAsia="仿宋" w:cs="仿宋"/>
                <w:color w:val="auto"/>
                <w:kern w:val="0"/>
                <w:sz w:val="24"/>
                <w:szCs w:val="24"/>
                <w:lang w:bidi="ar"/>
              </w:rPr>
              <w:t>p</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台</w:t>
            </w:r>
          </w:p>
        </w:tc>
        <w:tc>
          <w:tcPr>
            <w:tcW w:w="103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2</w:t>
            </w:r>
          </w:p>
        </w:tc>
        <w:tc>
          <w:tcPr>
            <w:tcW w:w="796"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p>
        </w:tc>
      </w:tr>
      <w:tr>
        <w:tblPrEx>
          <w:tblCellMar>
            <w:top w:w="0" w:type="dxa"/>
            <w:left w:w="108" w:type="dxa"/>
            <w:bottom w:w="0" w:type="dxa"/>
            <w:right w:w="108" w:type="dxa"/>
          </w:tblCellMar>
        </w:tblPrEx>
        <w:trPr>
          <w:trHeight w:val="345" w:hRule="atLeast"/>
          <w:jc w:val="center"/>
        </w:trPr>
        <w:tc>
          <w:tcPr>
            <w:tcW w:w="76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spacing w:line="360" w:lineRule="auto"/>
              <w:jc w:val="center"/>
              <w:rPr>
                <w:rFonts w:ascii="仿宋" w:hAnsi="仿宋" w:eastAsia="仿宋" w:cs="仿宋"/>
                <w:color w:val="auto"/>
                <w:sz w:val="24"/>
                <w:szCs w:val="24"/>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风机百叶窗</w:t>
            </w:r>
          </w:p>
        </w:tc>
        <w:tc>
          <w:tcPr>
            <w:tcW w:w="42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根据现场环境定制安装</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套</w:t>
            </w:r>
          </w:p>
        </w:tc>
        <w:tc>
          <w:tcPr>
            <w:tcW w:w="103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6</w:t>
            </w:r>
          </w:p>
        </w:tc>
        <w:tc>
          <w:tcPr>
            <w:tcW w:w="796" w:type="dxa"/>
            <w:tcBorders>
              <w:top w:val="single" w:color="000000" w:sz="4" w:space="0"/>
              <w:left w:val="single" w:color="000000" w:sz="4" w:space="0"/>
              <w:bottom w:val="single" w:color="000000" w:sz="4" w:space="0"/>
              <w:right w:val="single" w:color="000000" w:sz="8" w:space="0"/>
            </w:tcBorders>
            <w:shd w:val="clear" w:color="auto" w:fill="auto"/>
            <w:vAlign w:val="center"/>
          </w:tcPr>
          <w:p>
            <w:pPr>
              <w:spacing w:line="360" w:lineRule="auto"/>
              <w:jc w:val="center"/>
              <w:rPr>
                <w:rFonts w:ascii="仿宋" w:hAnsi="仿宋" w:eastAsia="仿宋" w:cs="仿宋"/>
                <w:color w:val="auto"/>
                <w:sz w:val="24"/>
                <w:szCs w:val="24"/>
              </w:rPr>
            </w:pPr>
          </w:p>
        </w:tc>
      </w:tr>
      <w:tr>
        <w:tblPrEx>
          <w:tblCellMar>
            <w:top w:w="0" w:type="dxa"/>
            <w:left w:w="108" w:type="dxa"/>
            <w:bottom w:w="0" w:type="dxa"/>
            <w:right w:w="108" w:type="dxa"/>
          </w:tblCellMar>
        </w:tblPrEx>
        <w:trPr>
          <w:trHeight w:val="216" w:hRule="atLeast"/>
          <w:jc w:val="center"/>
        </w:trPr>
        <w:tc>
          <w:tcPr>
            <w:tcW w:w="76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spacing w:line="360" w:lineRule="auto"/>
              <w:jc w:val="center"/>
              <w:rPr>
                <w:rFonts w:ascii="仿宋" w:hAnsi="仿宋" w:eastAsia="仿宋" w:cs="仿宋"/>
                <w:color w:val="auto"/>
                <w:sz w:val="24"/>
                <w:szCs w:val="24"/>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备品</w:t>
            </w:r>
          </w:p>
        </w:tc>
        <w:tc>
          <w:tcPr>
            <w:tcW w:w="42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备品备件根据实际所需数量提供</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项</w:t>
            </w:r>
          </w:p>
        </w:tc>
        <w:tc>
          <w:tcPr>
            <w:tcW w:w="103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w:t>
            </w:r>
          </w:p>
        </w:tc>
        <w:tc>
          <w:tcPr>
            <w:tcW w:w="796"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定制</w:t>
            </w:r>
          </w:p>
        </w:tc>
      </w:tr>
      <w:tr>
        <w:tblPrEx>
          <w:tblCellMar>
            <w:top w:w="0" w:type="dxa"/>
            <w:left w:w="108" w:type="dxa"/>
            <w:bottom w:w="0" w:type="dxa"/>
            <w:right w:w="108" w:type="dxa"/>
          </w:tblCellMar>
        </w:tblPrEx>
        <w:trPr>
          <w:trHeight w:val="231" w:hRule="atLeast"/>
          <w:jc w:val="center"/>
        </w:trPr>
        <w:tc>
          <w:tcPr>
            <w:tcW w:w="766"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备品</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物流公路</w:t>
            </w:r>
          </w:p>
        </w:tc>
        <w:tc>
          <w:tcPr>
            <w:tcW w:w="42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陆运</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项</w:t>
            </w:r>
          </w:p>
        </w:tc>
        <w:tc>
          <w:tcPr>
            <w:tcW w:w="103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w:t>
            </w:r>
          </w:p>
        </w:tc>
        <w:tc>
          <w:tcPr>
            <w:tcW w:w="796"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汽运</w:t>
            </w:r>
          </w:p>
        </w:tc>
      </w:tr>
      <w:tr>
        <w:tblPrEx>
          <w:tblCellMar>
            <w:top w:w="0" w:type="dxa"/>
            <w:left w:w="108" w:type="dxa"/>
            <w:bottom w:w="0" w:type="dxa"/>
            <w:right w:w="108" w:type="dxa"/>
          </w:tblCellMar>
        </w:tblPrEx>
        <w:trPr>
          <w:trHeight w:val="1163" w:hRule="atLeast"/>
          <w:jc w:val="center"/>
        </w:trPr>
        <w:tc>
          <w:tcPr>
            <w:tcW w:w="766"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运输、屏</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体结构、安装调试费用</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钢结构</w:t>
            </w:r>
          </w:p>
        </w:tc>
        <w:tc>
          <w:tcPr>
            <w:tcW w:w="42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1、钢结构：钢架构件（含接合板）采用Q235B钢制作，结构用钢应符合《GB700-88》规定的Q235要求，保证其抗拉强度、伸长率、屈服点，碳、硫、磷的极限含量；</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2、焊条：手工焊：Q235连接用E43系列焊条；</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3、自动焊：Q235连接用H08系列焊条；</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4、要求：抗风8级 抗震7级；</w:t>
            </w:r>
            <w:r>
              <w:rPr>
                <w:rFonts w:hint="eastAsia" w:ascii="仿宋" w:hAnsi="仿宋" w:eastAsia="仿宋" w:cs="仿宋"/>
                <w:color w:val="auto"/>
                <w:kern w:val="0"/>
                <w:sz w:val="24"/>
                <w:szCs w:val="24"/>
                <w:lang w:bidi="ar"/>
              </w:rPr>
              <w:br w:type="textWrapping"/>
            </w:r>
            <w:r>
              <w:rPr>
                <w:rFonts w:hint="eastAsia" w:ascii="仿宋" w:hAnsi="仿宋" w:eastAsia="仿宋" w:cs="仿宋"/>
                <w:color w:val="auto"/>
                <w:kern w:val="0"/>
                <w:sz w:val="24"/>
                <w:szCs w:val="24"/>
                <w:lang w:bidi="ar"/>
              </w:rPr>
              <w:t>5、钢架定制；</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批</w:t>
            </w:r>
          </w:p>
        </w:tc>
        <w:tc>
          <w:tcPr>
            <w:tcW w:w="1031"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w:t>
            </w:r>
          </w:p>
        </w:tc>
        <w:tc>
          <w:tcPr>
            <w:tcW w:w="796" w:type="dxa"/>
            <w:tcBorders>
              <w:top w:val="single" w:color="000000" w:sz="4" w:space="0"/>
              <w:left w:val="single" w:color="000000" w:sz="4" w:space="0"/>
              <w:bottom w:val="single" w:color="000000" w:sz="4"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钢材料</w:t>
            </w:r>
          </w:p>
        </w:tc>
      </w:tr>
      <w:tr>
        <w:tblPrEx>
          <w:tblCellMar>
            <w:top w:w="0" w:type="dxa"/>
            <w:left w:w="108" w:type="dxa"/>
            <w:bottom w:w="0" w:type="dxa"/>
            <w:right w:w="108" w:type="dxa"/>
          </w:tblCellMar>
        </w:tblPrEx>
        <w:trPr>
          <w:trHeight w:val="236" w:hRule="atLeast"/>
          <w:jc w:val="center"/>
        </w:trPr>
        <w:tc>
          <w:tcPr>
            <w:tcW w:w="766"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pPr>
              <w:spacing w:line="360" w:lineRule="auto"/>
              <w:jc w:val="center"/>
              <w:rPr>
                <w:rFonts w:ascii="仿宋" w:hAnsi="仿宋" w:eastAsia="仿宋" w:cs="仿宋"/>
                <w:color w:val="auto"/>
                <w:sz w:val="24"/>
                <w:szCs w:val="24"/>
              </w:rPr>
            </w:pPr>
          </w:p>
        </w:tc>
        <w:tc>
          <w:tcPr>
            <w:tcW w:w="502" w:type="dxa"/>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15</w:t>
            </w:r>
          </w:p>
        </w:tc>
        <w:tc>
          <w:tcPr>
            <w:tcW w:w="918" w:type="dxa"/>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安装调试</w:t>
            </w:r>
          </w:p>
        </w:tc>
        <w:tc>
          <w:tcPr>
            <w:tcW w:w="4262" w:type="dxa"/>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spacing w:line="360" w:lineRule="auto"/>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专业安装</w:t>
            </w:r>
          </w:p>
        </w:tc>
        <w:tc>
          <w:tcPr>
            <w:tcW w:w="502" w:type="dxa"/>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批</w:t>
            </w:r>
          </w:p>
        </w:tc>
        <w:tc>
          <w:tcPr>
            <w:tcW w:w="1031" w:type="dxa"/>
            <w:tcBorders>
              <w:top w:val="single" w:color="000000" w:sz="4" w:space="0"/>
              <w:left w:val="single" w:color="000000" w:sz="4" w:space="0"/>
              <w:bottom w:val="single" w:color="000000" w:sz="8"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1</w:t>
            </w:r>
          </w:p>
        </w:tc>
        <w:tc>
          <w:tcPr>
            <w:tcW w:w="796" w:type="dxa"/>
            <w:tcBorders>
              <w:top w:val="single" w:color="000000" w:sz="4" w:space="0"/>
              <w:left w:val="single" w:color="000000" w:sz="4" w:space="0"/>
              <w:bottom w:val="single" w:color="000000" w:sz="8" w:space="0"/>
              <w:right w:val="single" w:color="000000" w:sz="8" w:space="0"/>
            </w:tcBorders>
            <w:shd w:val="clear" w:color="auto" w:fill="auto"/>
            <w:vAlign w:val="center"/>
          </w:tcPr>
          <w:p>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lang w:bidi="ar"/>
              </w:rPr>
              <w:t>人工</w:t>
            </w:r>
          </w:p>
        </w:tc>
      </w:tr>
    </w:tbl>
    <w:p>
      <w:pPr>
        <w:pStyle w:val="2"/>
        <w:rPr>
          <w:color w:val="auto"/>
          <w:lang w:val="zh-CN"/>
        </w:rPr>
      </w:pPr>
    </w:p>
    <w:p>
      <w:pPr>
        <w:pageBreakBefore/>
        <w:adjustRightInd w:val="0"/>
        <w:snapToGrid w:val="0"/>
        <w:spacing w:line="360" w:lineRule="auto"/>
        <w:jc w:val="center"/>
        <w:outlineLvl w:val="0"/>
        <w:rPr>
          <w:rFonts w:ascii="仿宋" w:hAnsi="仿宋" w:eastAsia="仿宋" w:cs="仿宋"/>
          <w:b/>
          <w:color w:val="auto"/>
          <w:sz w:val="32"/>
          <w:szCs w:val="32"/>
          <w:lang w:val="zh-CN"/>
        </w:rPr>
      </w:pPr>
      <w:bookmarkStart w:id="330" w:name="_Toc6781"/>
      <w:r>
        <w:rPr>
          <w:rFonts w:hint="eastAsia" w:ascii="仿宋" w:hAnsi="仿宋" w:eastAsia="仿宋" w:cs="仿宋"/>
          <w:b/>
          <w:color w:val="auto"/>
          <w:sz w:val="32"/>
          <w:szCs w:val="32"/>
        </w:rPr>
        <w:t xml:space="preserve">第四部分  </w:t>
      </w:r>
      <w:r>
        <w:rPr>
          <w:rFonts w:hint="eastAsia" w:ascii="仿宋" w:hAnsi="仿宋" w:eastAsia="仿宋" w:cs="仿宋"/>
          <w:b/>
          <w:color w:val="auto"/>
          <w:sz w:val="32"/>
          <w:szCs w:val="32"/>
          <w:lang w:val="zh-CN"/>
        </w:rPr>
        <w:t>合同条款及格式</w:t>
      </w:r>
      <w:bookmarkEnd w:id="314"/>
      <w:bookmarkEnd w:id="330"/>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甲方（采购人）：</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 xml:space="preserve">乙方（中标供应商）： </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color w:val="auto"/>
          <w:sz w:val="24"/>
          <w:szCs w:val="24"/>
        </w:rPr>
        <w:t>灞桥区2021年新增教育建设奖补资金--五星中学设备采购项目</w:t>
      </w:r>
      <w:r>
        <w:rPr>
          <w:rFonts w:hint="eastAsia" w:ascii="仿宋" w:hAnsi="仿宋" w:eastAsia="仿宋" w:cs="仿宋"/>
          <w:bCs/>
          <w:color w:val="auto"/>
          <w:sz w:val="24"/>
          <w:szCs w:val="24"/>
        </w:rPr>
        <w:t>(项目编号：DX2022-164)由陕西笃信招标有限公司组织公开招标，</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(以下简称“甲方”)确定</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（以下简称“乙方”）为本项目第</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包的中标供应商。</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依据《中华人民共和国民法典》和《中华人民共和国政府采购法》，经双方协商按下述条款和条件签署本合同。</w:t>
      </w:r>
    </w:p>
    <w:p>
      <w:pPr>
        <w:autoSpaceDE w:val="0"/>
        <w:autoSpaceDN w:val="0"/>
        <w:adjustRightInd w:val="0"/>
        <w:spacing w:line="360" w:lineRule="auto"/>
        <w:ind w:firstLine="482" w:firstLineChars="200"/>
        <w:rPr>
          <w:rFonts w:ascii="仿宋" w:hAnsi="仿宋" w:eastAsia="仿宋" w:cs="仿宋"/>
          <w:b/>
          <w:color w:val="auto"/>
          <w:sz w:val="24"/>
          <w:szCs w:val="24"/>
        </w:rPr>
      </w:pPr>
      <w:r>
        <w:rPr>
          <w:rFonts w:hint="eastAsia" w:ascii="仿宋" w:hAnsi="仿宋" w:eastAsia="仿宋" w:cs="仿宋"/>
          <w:b/>
          <w:color w:val="auto"/>
          <w:sz w:val="24"/>
          <w:szCs w:val="24"/>
        </w:rPr>
        <w:t>一、合同价款</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（一）合同总价款为人民币（大写）</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w:t>
      </w:r>
      <w:r>
        <w:rPr>
          <w:rFonts w:hint="eastAsia" w:ascii="仿宋" w:hAnsi="仿宋" w:eastAsia="仿宋" w:cs="仿宋"/>
          <w:bCs/>
          <w:color w:val="auto"/>
          <w:sz w:val="24"/>
          <w:szCs w:val="24"/>
          <w:u w:val="single"/>
        </w:rPr>
        <w:t xml:space="preserve">     元 </w:t>
      </w:r>
      <w:r>
        <w:rPr>
          <w:rFonts w:hint="eastAsia" w:ascii="仿宋" w:hAnsi="仿宋" w:eastAsia="仿宋" w:cs="仿宋"/>
          <w:bCs/>
          <w:color w:val="auto"/>
          <w:sz w:val="24"/>
          <w:szCs w:val="24"/>
        </w:rPr>
        <w:t>）。</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（二）合同总价包括：货物费、运输费（含保险费）、安装调试费、检测验收费及其它费用。</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（三）合同总价一次性包死，不受市场价格变化因素的影响。</w:t>
      </w:r>
    </w:p>
    <w:p>
      <w:pPr>
        <w:autoSpaceDE w:val="0"/>
        <w:autoSpaceDN w:val="0"/>
        <w:adjustRightInd w:val="0"/>
        <w:spacing w:line="360" w:lineRule="auto"/>
        <w:ind w:firstLine="482" w:firstLineChars="200"/>
        <w:rPr>
          <w:rFonts w:ascii="仿宋" w:hAnsi="仿宋" w:eastAsia="仿宋" w:cs="仿宋"/>
          <w:b/>
          <w:color w:val="auto"/>
          <w:sz w:val="24"/>
          <w:szCs w:val="24"/>
        </w:rPr>
      </w:pPr>
      <w:r>
        <w:rPr>
          <w:rFonts w:hint="eastAsia" w:ascii="仿宋" w:hAnsi="仿宋" w:eastAsia="仿宋" w:cs="仿宋"/>
          <w:b/>
          <w:color w:val="auto"/>
          <w:sz w:val="24"/>
          <w:szCs w:val="24"/>
        </w:rPr>
        <w:t>二、产品清单（附后）</w:t>
      </w:r>
    </w:p>
    <w:p>
      <w:pPr>
        <w:autoSpaceDE w:val="0"/>
        <w:autoSpaceDN w:val="0"/>
        <w:adjustRightInd w:val="0"/>
        <w:spacing w:line="360" w:lineRule="auto"/>
        <w:ind w:firstLine="482" w:firstLineChars="200"/>
        <w:rPr>
          <w:rFonts w:ascii="仿宋" w:hAnsi="仿宋" w:eastAsia="仿宋" w:cs="仿宋"/>
          <w:b/>
          <w:color w:val="auto"/>
          <w:sz w:val="24"/>
          <w:szCs w:val="24"/>
        </w:rPr>
      </w:pPr>
      <w:r>
        <w:rPr>
          <w:rFonts w:hint="eastAsia" w:ascii="仿宋" w:hAnsi="仿宋" w:eastAsia="仿宋" w:cs="仿宋"/>
          <w:b/>
          <w:color w:val="auto"/>
          <w:sz w:val="24"/>
          <w:szCs w:val="24"/>
        </w:rPr>
        <w:t>三、款项结算</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（一）所有货物到达甲方指定地点，安装、调试完毕并验收合格后，5个工作日内支付合同总价款的</w:t>
      </w:r>
      <w:r>
        <w:rPr>
          <w:rFonts w:hint="eastAsia" w:ascii="仿宋" w:hAnsi="仿宋" w:eastAsia="仿宋" w:cs="仿宋"/>
          <w:bCs/>
          <w:color w:val="auto"/>
          <w:sz w:val="24"/>
          <w:szCs w:val="24"/>
          <w:u w:val="single"/>
        </w:rPr>
        <w:t>100%</w:t>
      </w:r>
      <w:r>
        <w:rPr>
          <w:rFonts w:hint="eastAsia" w:ascii="仿宋" w:hAnsi="仿宋" w:eastAsia="仿宋" w:cs="仿宋"/>
          <w:bCs/>
          <w:color w:val="auto"/>
          <w:sz w:val="24"/>
          <w:szCs w:val="24"/>
        </w:rPr>
        <w:t>。即人民币（大写）：</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元整（￥：</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元整 ）。</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（二）支付方式：银行转帐。</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（三）结算方式：由乙方与采购人结算，发票开采购单位，到采购单位办理付款手续。</w:t>
      </w:r>
    </w:p>
    <w:p>
      <w:pPr>
        <w:autoSpaceDE w:val="0"/>
        <w:autoSpaceDN w:val="0"/>
        <w:adjustRightInd w:val="0"/>
        <w:spacing w:line="360" w:lineRule="auto"/>
        <w:ind w:firstLine="482" w:firstLineChars="200"/>
        <w:rPr>
          <w:rFonts w:ascii="仿宋" w:hAnsi="仿宋" w:eastAsia="仿宋" w:cs="仿宋"/>
          <w:b/>
          <w:color w:val="auto"/>
          <w:sz w:val="24"/>
          <w:szCs w:val="24"/>
        </w:rPr>
      </w:pPr>
      <w:r>
        <w:rPr>
          <w:rFonts w:hint="eastAsia" w:ascii="仿宋" w:hAnsi="仿宋" w:eastAsia="仿宋" w:cs="仿宋"/>
          <w:b/>
          <w:color w:val="auto"/>
          <w:sz w:val="24"/>
          <w:szCs w:val="24"/>
        </w:rPr>
        <w:t>四、交货地点及工期</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（一）交货地点：甲方指定地点。</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（二）交货期：30天</w:t>
      </w:r>
    </w:p>
    <w:p>
      <w:pPr>
        <w:autoSpaceDE w:val="0"/>
        <w:autoSpaceDN w:val="0"/>
        <w:adjustRightInd w:val="0"/>
        <w:spacing w:line="360" w:lineRule="auto"/>
        <w:ind w:firstLine="482" w:firstLineChars="200"/>
        <w:rPr>
          <w:rFonts w:ascii="仿宋" w:hAnsi="仿宋" w:eastAsia="仿宋" w:cs="仿宋"/>
          <w:b/>
          <w:color w:val="auto"/>
          <w:sz w:val="24"/>
          <w:szCs w:val="24"/>
        </w:rPr>
      </w:pPr>
      <w:r>
        <w:rPr>
          <w:rFonts w:hint="eastAsia" w:ascii="仿宋" w:hAnsi="仿宋" w:eastAsia="仿宋" w:cs="仿宋"/>
          <w:b/>
          <w:color w:val="auto"/>
          <w:sz w:val="24"/>
          <w:szCs w:val="24"/>
        </w:rPr>
        <w:t>五、运输</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（一）运输由乙方负责，运杂费已包含在合同总价内，包括从货物供应地点所含的运输费、装卸费、仓储费、保险费，安装调试费等。</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（二）运输方式由乙方自行选择，但必须保证按期交货。</w:t>
      </w:r>
    </w:p>
    <w:p>
      <w:pPr>
        <w:autoSpaceDE w:val="0"/>
        <w:autoSpaceDN w:val="0"/>
        <w:adjustRightInd w:val="0"/>
        <w:spacing w:line="360" w:lineRule="auto"/>
        <w:ind w:firstLine="482" w:firstLineChars="200"/>
        <w:rPr>
          <w:rFonts w:ascii="仿宋" w:hAnsi="仿宋" w:eastAsia="仿宋" w:cs="仿宋"/>
          <w:b/>
          <w:color w:val="auto"/>
          <w:sz w:val="24"/>
          <w:szCs w:val="24"/>
          <w:lang w:val="zh-CN"/>
        </w:rPr>
      </w:pPr>
      <w:r>
        <w:rPr>
          <w:rFonts w:hint="eastAsia" w:ascii="仿宋" w:hAnsi="仿宋" w:eastAsia="仿宋" w:cs="仿宋"/>
          <w:b/>
          <w:color w:val="auto"/>
          <w:sz w:val="24"/>
          <w:szCs w:val="24"/>
          <w:lang w:val="zh-CN"/>
        </w:rPr>
        <w:t>六、质量保证</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乙方所供货物必须执行下列条款：</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（一）保证技术指标先进、质量性能可靠、进货渠道正常，配置合理，全面满足招标文件要求。</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（二）符合国家有关规范要求，确保达到最佳运行状态。</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（三）具有良好的外观，适合安装场所的使用。</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（四）自安装、调试正常运行并验收合格之日起：</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1、免费保修</w:t>
      </w:r>
      <w:r>
        <w:rPr>
          <w:rFonts w:hint="eastAsia" w:ascii="仿宋" w:hAnsi="仿宋" w:eastAsia="仿宋" w:cs="仿宋"/>
          <w:bCs/>
          <w:color w:val="auto"/>
          <w:sz w:val="24"/>
          <w:szCs w:val="24"/>
          <w:u w:val="single"/>
        </w:rPr>
        <w:t xml:space="preserve"> 1 </w:t>
      </w:r>
      <w:r>
        <w:rPr>
          <w:rFonts w:hint="eastAsia" w:ascii="仿宋" w:hAnsi="仿宋" w:eastAsia="仿宋" w:cs="仿宋"/>
          <w:bCs/>
          <w:color w:val="auto"/>
          <w:sz w:val="24"/>
          <w:szCs w:val="24"/>
        </w:rPr>
        <w:t>年，终身维护，免费保修期内，同一主要部件出现质量问题经过两次维修后仍无法正常使用，可以更换同型号、同规格的产品，服务响应时间不超过2小时（工作日），解决问题不超过24小时（工作日），对问题较大短期内暂不能解决的，为不影响甲方正常工作，乙方在2日内免费提供替代产品，确保正常运行；</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2、180天内，如出现质量问题，可以选择换货或退货。</w:t>
      </w:r>
    </w:p>
    <w:p>
      <w:pPr>
        <w:autoSpaceDE w:val="0"/>
        <w:autoSpaceDN w:val="0"/>
        <w:adjustRightInd w:val="0"/>
        <w:spacing w:line="360" w:lineRule="auto"/>
        <w:ind w:firstLine="482" w:firstLineChars="200"/>
        <w:rPr>
          <w:rFonts w:ascii="仿宋" w:hAnsi="仿宋" w:eastAsia="仿宋" w:cs="仿宋"/>
          <w:b/>
          <w:color w:val="auto"/>
          <w:sz w:val="24"/>
          <w:szCs w:val="24"/>
          <w:lang w:val="zh-CN"/>
        </w:rPr>
      </w:pPr>
      <w:r>
        <w:rPr>
          <w:rFonts w:hint="eastAsia" w:ascii="仿宋" w:hAnsi="仿宋" w:eastAsia="仿宋" w:cs="仿宋"/>
          <w:b/>
          <w:color w:val="auto"/>
          <w:sz w:val="24"/>
          <w:szCs w:val="24"/>
          <w:lang w:val="zh-CN"/>
        </w:rPr>
        <w:t>七、售后服务</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乙方所供货物提供以下售后服务：</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（一）质保期内：</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1、发生质量问题，接到甲方通知后，应于当日派出专业的维修人员到现场进行检测维修，发生的全部费用由乙方承担，若需送回生产厂，乙方承担往返费用；</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2、定期派技术人员到现场走访，给予检查维护；</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3、排除故障的期限不得超过24小时（工作日）。否则甲方有权指定第三方维修，维修费用由乙方承担。</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（二）质保期结束前，进行系统测试，全面保养维护，确保正常运行。</w:t>
      </w:r>
    </w:p>
    <w:p>
      <w:pPr>
        <w:autoSpaceDE w:val="0"/>
        <w:autoSpaceDN w:val="0"/>
        <w:adjustRightInd w:val="0"/>
        <w:spacing w:line="360" w:lineRule="auto"/>
        <w:ind w:firstLine="482" w:firstLineChars="200"/>
        <w:rPr>
          <w:rFonts w:ascii="仿宋" w:hAnsi="仿宋" w:eastAsia="仿宋" w:cs="仿宋"/>
          <w:b/>
          <w:color w:val="auto"/>
          <w:sz w:val="24"/>
          <w:szCs w:val="24"/>
          <w:lang w:val="zh-CN"/>
        </w:rPr>
      </w:pPr>
      <w:r>
        <w:rPr>
          <w:rFonts w:hint="eastAsia" w:ascii="仿宋" w:hAnsi="仿宋" w:eastAsia="仿宋" w:cs="仿宋"/>
          <w:b/>
          <w:color w:val="auto"/>
          <w:sz w:val="24"/>
          <w:szCs w:val="24"/>
          <w:lang w:val="zh-CN"/>
        </w:rPr>
        <w:t xml:space="preserve">八、技术与服务 </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（一）技术资料：</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1、货物合格证；</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2、货物使用说明书（中文）；</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3、进口货物商检证明和报关单（如有）；</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4、项目峻工资料、检验测试报告；</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5、其它资料。</w:t>
      </w:r>
    </w:p>
    <w:p>
      <w:pPr>
        <w:autoSpaceDE w:val="0"/>
        <w:autoSpaceDN w:val="0"/>
        <w:adjustRightInd w:val="0"/>
        <w:spacing w:line="360" w:lineRule="auto"/>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（二）服务承诺：以投标文件、澄清表（函）、合同和随货物的相关文件为准。</w:t>
      </w:r>
    </w:p>
    <w:p>
      <w:pPr>
        <w:autoSpaceDE w:val="0"/>
        <w:autoSpaceDN w:val="0"/>
        <w:adjustRightInd w:val="0"/>
        <w:spacing w:line="360" w:lineRule="auto"/>
        <w:ind w:firstLine="482" w:firstLineChars="200"/>
        <w:rPr>
          <w:rFonts w:ascii="仿宋" w:hAnsi="仿宋" w:eastAsia="仿宋" w:cs="仿宋"/>
          <w:b/>
          <w:color w:val="auto"/>
          <w:sz w:val="24"/>
          <w:szCs w:val="24"/>
          <w:lang w:val="zh-CN"/>
        </w:rPr>
      </w:pPr>
      <w:r>
        <w:rPr>
          <w:rFonts w:hint="eastAsia" w:ascii="仿宋" w:hAnsi="仿宋" w:eastAsia="仿宋" w:cs="仿宋"/>
          <w:b/>
          <w:color w:val="auto"/>
          <w:sz w:val="24"/>
          <w:szCs w:val="24"/>
          <w:lang w:val="zh-CN"/>
        </w:rPr>
        <w:t>九、验收</w:t>
      </w:r>
    </w:p>
    <w:p>
      <w:pPr>
        <w:autoSpaceDE w:val="0"/>
        <w:autoSpaceDN w:val="0"/>
        <w:adjustRightIn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（一）货物到达甲方指定地点后，甲方根据合同要求，进行外观验收，确认产地、规格、型号和数量。</w:t>
      </w:r>
    </w:p>
    <w:p>
      <w:pPr>
        <w:autoSpaceDE w:val="0"/>
        <w:autoSpaceDN w:val="0"/>
        <w:adjustRightIn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（二）货物安装、调试并正常运行后，由乙方进行自检，合格后，准备验收文件，并书面通知甲方。</w:t>
      </w:r>
    </w:p>
    <w:p>
      <w:pPr>
        <w:autoSpaceDE w:val="0"/>
        <w:autoSpaceDN w:val="0"/>
        <w:adjustRightIn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（三）甲方确认乙方的自检内容后，组织乙方、确认方（必要时请有关专家）进行系统验收，验收合格后，填写政府采购项目验收单（一式柒份）作为对货物的最终认可。</w:t>
      </w:r>
    </w:p>
    <w:p>
      <w:pPr>
        <w:autoSpaceDE w:val="0"/>
        <w:autoSpaceDN w:val="0"/>
        <w:adjustRightIn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（四）乙方向甲方提交货物实施过程中的所有资料。以便甲方日后管理和维护。</w:t>
      </w:r>
    </w:p>
    <w:p>
      <w:pPr>
        <w:autoSpaceDE w:val="0"/>
        <w:autoSpaceDN w:val="0"/>
        <w:adjustRightIn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（五）验收依据：</w:t>
      </w:r>
    </w:p>
    <w:p>
      <w:pPr>
        <w:autoSpaceDE w:val="0"/>
        <w:autoSpaceDN w:val="0"/>
        <w:adjustRightIn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1、招标文件、投标文件、澄清表（函）；</w:t>
      </w:r>
    </w:p>
    <w:p>
      <w:pPr>
        <w:autoSpaceDE w:val="0"/>
        <w:autoSpaceDN w:val="0"/>
        <w:adjustRightIn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2、本合同及附件文本；</w:t>
      </w:r>
    </w:p>
    <w:p>
      <w:pPr>
        <w:autoSpaceDE w:val="0"/>
        <w:autoSpaceDN w:val="0"/>
        <w:adjustRightIn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3、国家相应的标准、规范。</w:t>
      </w:r>
    </w:p>
    <w:p>
      <w:pPr>
        <w:autoSpaceDE w:val="0"/>
        <w:autoSpaceDN w:val="0"/>
        <w:adjustRightInd w:val="0"/>
        <w:spacing w:line="360" w:lineRule="auto"/>
        <w:ind w:firstLine="482" w:firstLineChars="200"/>
        <w:rPr>
          <w:rFonts w:ascii="仿宋" w:hAnsi="仿宋" w:eastAsia="仿宋" w:cs="仿宋"/>
          <w:b/>
          <w:color w:val="auto"/>
          <w:sz w:val="24"/>
          <w:szCs w:val="24"/>
          <w:lang w:val="zh-CN"/>
        </w:rPr>
      </w:pPr>
      <w:r>
        <w:rPr>
          <w:rFonts w:hint="eastAsia" w:ascii="仿宋" w:hAnsi="仿宋" w:eastAsia="仿宋" w:cs="仿宋"/>
          <w:b/>
          <w:color w:val="auto"/>
          <w:sz w:val="24"/>
          <w:szCs w:val="24"/>
          <w:lang w:val="zh-CN"/>
        </w:rPr>
        <w:t>十、违约责任</w:t>
      </w:r>
    </w:p>
    <w:p>
      <w:pPr>
        <w:autoSpaceDE w:val="0"/>
        <w:autoSpaceDN w:val="0"/>
        <w:adjustRightIn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（一）按《政府采购法》、《民法典》中的相关条款执行。</w:t>
      </w:r>
    </w:p>
    <w:p>
      <w:pPr>
        <w:autoSpaceDE w:val="0"/>
        <w:autoSpaceDN w:val="0"/>
        <w:adjustRightIn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（二）未按合同要求提供货物或质量不能满足招标技术要求，乙方必须无条件更换，提高技术，完善质量，否则，甲方会同确认方有权终止合同，并对乙方的违约行为报监管机构进行相应的处罚。</w:t>
      </w:r>
    </w:p>
    <w:p>
      <w:pPr>
        <w:autoSpaceDE w:val="0"/>
        <w:autoSpaceDN w:val="0"/>
        <w:adjustRightIn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（三）延迟交货，乙方承担相应的违约责任。</w:t>
      </w:r>
    </w:p>
    <w:p>
      <w:pPr>
        <w:autoSpaceDE w:val="0"/>
        <w:autoSpaceDN w:val="0"/>
        <w:adjustRightIn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（四）逾期付款，甲方承担相应的违约责任。</w:t>
      </w:r>
    </w:p>
    <w:p>
      <w:pPr>
        <w:autoSpaceDE w:val="0"/>
        <w:autoSpaceDN w:val="0"/>
        <w:adjustRightInd w:val="0"/>
        <w:spacing w:line="360" w:lineRule="auto"/>
        <w:ind w:firstLine="482" w:firstLineChars="200"/>
        <w:rPr>
          <w:rFonts w:ascii="仿宋" w:hAnsi="仿宋" w:eastAsia="仿宋" w:cs="仿宋"/>
          <w:b/>
          <w:color w:val="auto"/>
          <w:sz w:val="24"/>
          <w:szCs w:val="24"/>
          <w:lang w:val="zh-CN"/>
        </w:rPr>
      </w:pPr>
      <w:r>
        <w:rPr>
          <w:rFonts w:hint="eastAsia" w:ascii="仿宋" w:hAnsi="仿宋" w:eastAsia="仿宋" w:cs="仿宋"/>
          <w:b/>
          <w:color w:val="auto"/>
          <w:sz w:val="24"/>
          <w:szCs w:val="24"/>
          <w:lang w:val="zh-CN"/>
        </w:rPr>
        <w:t>十一、合同争议解决的方式</w:t>
      </w:r>
    </w:p>
    <w:p>
      <w:pPr>
        <w:autoSpaceDE w:val="0"/>
        <w:autoSpaceDN w:val="0"/>
        <w:adjustRightIn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本合同在履行过程中发生的争议，由甲、乙双方当事人协商解决，协商不成的按下列第（二）种方式解决：</w:t>
      </w:r>
    </w:p>
    <w:p>
      <w:pPr>
        <w:autoSpaceDE w:val="0"/>
        <w:autoSpaceDN w:val="0"/>
        <w:adjustRightIn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（一）提交西安仲裁委员会仲裁；</w:t>
      </w:r>
    </w:p>
    <w:p>
      <w:pPr>
        <w:autoSpaceDE w:val="0"/>
        <w:autoSpaceDN w:val="0"/>
        <w:adjustRightIn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（二）依法向甲方所在地人民法院起诉。</w:t>
      </w:r>
    </w:p>
    <w:p>
      <w:pPr>
        <w:autoSpaceDE w:val="0"/>
        <w:autoSpaceDN w:val="0"/>
        <w:adjustRightInd w:val="0"/>
        <w:spacing w:line="360" w:lineRule="auto"/>
        <w:ind w:firstLine="482" w:firstLineChars="200"/>
        <w:rPr>
          <w:rFonts w:ascii="仿宋" w:hAnsi="仿宋" w:eastAsia="仿宋" w:cs="仿宋"/>
          <w:b/>
          <w:color w:val="auto"/>
          <w:sz w:val="24"/>
          <w:szCs w:val="24"/>
          <w:lang w:val="zh-CN"/>
        </w:rPr>
      </w:pPr>
      <w:r>
        <w:rPr>
          <w:rFonts w:hint="eastAsia" w:ascii="仿宋" w:hAnsi="仿宋" w:eastAsia="仿宋" w:cs="仿宋"/>
          <w:b/>
          <w:color w:val="auto"/>
          <w:sz w:val="24"/>
          <w:szCs w:val="24"/>
          <w:lang w:val="zh-CN"/>
        </w:rPr>
        <w:t>十二、合同生效</w:t>
      </w:r>
    </w:p>
    <w:p>
      <w:pPr>
        <w:autoSpaceDE w:val="0"/>
        <w:autoSpaceDN w:val="0"/>
        <w:adjustRightIn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（一）本合同经双方签字盖章后生效。</w:t>
      </w:r>
    </w:p>
    <w:p>
      <w:pPr>
        <w:autoSpaceDE w:val="0"/>
        <w:autoSpaceDN w:val="0"/>
        <w:adjustRightIn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（二）本合同须经甲、乙双方的法定代表人（负责人）在合同书上签字并加盖本单位公章后正式生效。</w:t>
      </w:r>
    </w:p>
    <w:p>
      <w:pPr>
        <w:autoSpaceDE w:val="0"/>
        <w:autoSpaceDN w:val="0"/>
        <w:adjustRightIn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（三）合同生效后，甲、乙双方须严格执行本合同条款的规定，全面履行合同，违者按《</w:t>
      </w:r>
      <w:r>
        <w:rPr>
          <w:rFonts w:hint="eastAsia" w:ascii="仿宋" w:hAnsi="仿宋" w:eastAsia="仿宋" w:cs="仿宋"/>
          <w:bCs/>
          <w:color w:val="auto"/>
          <w:sz w:val="24"/>
          <w:szCs w:val="24"/>
        </w:rPr>
        <w:t>民法典</w:t>
      </w:r>
      <w:r>
        <w:rPr>
          <w:rFonts w:hint="eastAsia" w:ascii="仿宋" w:hAnsi="仿宋" w:eastAsia="仿宋" w:cs="仿宋"/>
          <w:bCs/>
          <w:color w:val="auto"/>
          <w:sz w:val="24"/>
          <w:szCs w:val="24"/>
          <w:lang w:val="zh-CN"/>
        </w:rPr>
        <w:t>》的有关规定承担相应责任。</w:t>
      </w:r>
    </w:p>
    <w:p>
      <w:pPr>
        <w:autoSpaceDE w:val="0"/>
        <w:autoSpaceDN w:val="0"/>
        <w:adjustRightInd w:val="0"/>
        <w:spacing w:line="360" w:lineRule="auto"/>
        <w:ind w:firstLine="480" w:firstLineChars="200"/>
        <w:rPr>
          <w:rFonts w:ascii="仿宋" w:hAnsi="仿宋" w:eastAsia="仿宋" w:cs="仿宋"/>
          <w:bCs/>
          <w:color w:val="auto"/>
          <w:sz w:val="24"/>
          <w:szCs w:val="24"/>
          <w:lang w:val="zh-CN"/>
        </w:rPr>
      </w:pPr>
      <w:r>
        <w:rPr>
          <w:rFonts w:hint="eastAsia" w:ascii="仿宋" w:hAnsi="仿宋" w:eastAsia="仿宋" w:cs="仿宋"/>
          <w:bCs/>
          <w:color w:val="auto"/>
          <w:sz w:val="24"/>
          <w:szCs w:val="24"/>
          <w:lang w:val="zh-CN"/>
        </w:rPr>
        <w:t>（四）本合同一式</w:t>
      </w:r>
      <w:r>
        <w:rPr>
          <w:rFonts w:hint="eastAsia" w:ascii="仿宋" w:hAnsi="仿宋" w:eastAsia="仿宋" w:cs="仿宋"/>
          <w:bCs/>
          <w:color w:val="auto"/>
          <w:sz w:val="24"/>
          <w:szCs w:val="24"/>
          <w:u w:val="single"/>
          <w:lang w:val="zh-CN"/>
        </w:rPr>
        <w:t xml:space="preserve">   </w:t>
      </w:r>
      <w:r>
        <w:rPr>
          <w:rFonts w:hint="eastAsia" w:ascii="仿宋" w:hAnsi="仿宋" w:eastAsia="仿宋" w:cs="仿宋"/>
          <w:bCs/>
          <w:color w:val="auto"/>
          <w:sz w:val="24"/>
          <w:szCs w:val="24"/>
          <w:lang w:val="zh-CN"/>
        </w:rPr>
        <w:t>份，甲乙双方各执</w:t>
      </w:r>
      <w:r>
        <w:rPr>
          <w:rFonts w:hint="eastAsia" w:ascii="仿宋" w:hAnsi="仿宋" w:eastAsia="仿宋" w:cs="仿宋"/>
          <w:bCs/>
          <w:color w:val="auto"/>
          <w:sz w:val="24"/>
          <w:szCs w:val="24"/>
          <w:u w:val="single"/>
          <w:lang w:val="zh-CN"/>
        </w:rPr>
        <w:t xml:space="preserve">    </w:t>
      </w:r>
      <w:r>
        <w:rPr>
          <w:rFonts w:hint="eastAsia" w:ascii="仿宋" w:hAnsi="仿宋" w:eastAsia="仿宋" w:cs="仿宋"/>
          <w:bCs/>
          <w:color w:val="auto"/>
          <w:sz w:val="24"/>
          <w:szCs w:val="24"/>
          <w:lang w:val="zh-CN"/>
        </w:rPr>
        <w:t>份。</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3186"/>
        <w:gridCol w:w="2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shd w:val="clear" w:color="auto" w:fill="D8D8D8"/>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甲  方</w:t>
            </w:r>
          </w:p>
        </w:tc>
        <w:tc>
          <w:tcPr>
            <w:tcW w:w="3186" w:type="dxa"/>
            <w:shd w:val="clear" w:color="auto" w:fill="D8D8D8"/>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乙  方</w:t>
            </w:r>
          </w:p>
        </w:tc>
        <w:tc>
          <w:tcPr>
            <w:tcW w:w="2889" w:type="dxa"/>
            <w:shd w:val="clear" w:color="auto" w:fill="D8D8D8"/>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鉴 证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2867"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采购人</w:t>
            </w:r>
          </w:p>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（公章）</w:t>
            </w:r>
          </w:p>
        </w:tc>
        <w:tc>
          <w:tcPr>
            <w:tcW w:w="3186"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中标供应商</w:t>
            </w:r>
          </w:p>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（公章）</w:t>
            </w:r>
          </w:p>
        </w:tc>
        <w:tc>
          <w:tcPr>
            <w:tcW w:w="2889"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采购代理机构（公章）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地址：</w:t>
            </w:r>
          </w:p>
        </w:tc>
        <w:tc>
          <w:tcPr>
            <w:tcW w:w="3186"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地址：</w:t>
            </w:r>
          </w:p>
        </w:tc>
        <w:tc>
          <w:tcPr>
            <w:tcW w:w="2889"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邮编：</w:t>
            </w:r>
          </w:p>
        </w:tc>
        <w:tc>
          <w:tcPr>
            <w:tcW w:w="3186"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邮编：</w:t>
            </w:r>
          </w:p>
        </w:tc>
        <w:tc>
          <w:tcPr>
            <w:tcW w:w="2889"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法定代表人：</w:t>
            </w:r>
          </w:p>
        </w:tc>
        <w:tc>
          <w:tcPr>
            <w:tcW w:w="3186"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法定代表人：</w:t>
            </w:r>
          </w:p>
        </w:tc>
        <w:tc>
          <w:tcPr>
            <w:tcW w:w="2889"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负责人：（签字）</w:t>
            </w:r>
          </w:p>
        </w:tc>
        <w:tc>
          <w:tcPr>
            <w:tcW w:w="3186"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负责人：（签字）</w:t>
            </w:r>
          </w:p>
        </w:tc>
        <w:tc>
          <w:tcPr>
            <w:tcW w:w="2889"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电话：</w:t>
            </w:r>
          </w:p>
        </w:tc>
        <w:tc>
          <w:tcPr>
            <w:tcW w:w="3186"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电话：</w:t>
            </w:r>
          </w:p>
        </w:tc>
        <w:tc>
          <w:tcPr>
            <w:tcW w:w="2889"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传真：</w:t>
            </w:r>
          </w:p>
        </w:tc>
        <w:tc>
          <w:tcPr>
            <w:tcW w:w="3186"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传真：</w:t>
            </w:r>
          </w:p>
        </w:tc>
        <w:tc>
          <w:tcPr>
            <w:tcW w:w="2889"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pacing w:line="360" w:lineRule="auto"/>
              <w:rPr>
                <w:rFonts w:ascii="仿宋" w:hAnsi="仿宋" w:eastAsia="仿宋" w:cs="仿宋"/>
                <w:color w:val="auto"/>
                <w:sz w:val="24"/>
                <w:szCs w:val="24"/>
              </w:rPr>
            </w:pPr>
          </w:p>
        </w:tc>
        <w:tc>
          <w:tcPr>
            <w:tcW w:w="3186"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开户银行：</w:t>
            </w:r>
          </w:p>
        </w:tc>
        <w:tc>
          <w:tcPr>
            <w:tcW w:w="2889" w:type="dxa"/>
            <w:vAlign w:val="center"/>
          </w:tcPr>
          <w:p>
            <w:pPr>
              <w:spacing w:line="360" w:lineRule="auto"/>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pacing w:line="360" w:lineRule="auto"/>
              <w:rPr>
                <w:rFonts w:ascii="仿宋" w:hAnsi="仿宋" w:eastAsia="仿宋" w:cs="仿宋"/>
                <w:color w:val="auto"/>
                <w:sz w:val="24"/>
                <w:szCs w:val="24"/>
              </w:rPr>
            </w:pPr>
          </w:p>
        </w:tc>
        <w:tc>
          <w:tcPr>
            <w:tcW w:w="3186"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账号：</w:t>
            </w:r>
          </w:p>
        </w:tc>
        <w:tc>
          <w:tcPr>
            <w:tcW w:w="2889" w:type="dxa"/>
            <w:vAlign w:val="center"/>
          </w:tcPr>
          <w:p>
            <w:pPr>
              <w:spacing w:line="360" w:lineRule="auto"/>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日期：   年  月  日</w:t>
            </w:r>
          </w:p>
        </w:tc>
        <w:tc>
          <w:tcPr>
            <w:tcW w:w="3186"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日期：   年  月  日</w:t>
            </w:r>
          </w:p>
        </w:tc>
        <w:tc>
          <w:tcPr>
            <w:tcW w:w="2889" w:type="dxa"/>
            <w:vAlign w:val="center"/>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日期：   年  月  日</w:t>
            </w:r>
          </w:p>
        </w:tc>
      </w:tr>
    </w:tbl>
    <w:p>
      <w:pPr>
        <w:autoSpaceDE w:val="0"/>
        <w:autoSpaceDN w:val="0"/>
        <w:adjustRightInd w:val="0"/>
        <w:spacing w:line="360" w:lineRule="auto"/>
        <w:jc w:val="center"/>
        <w:rPr>
          <w:rFonts w:ascii="仿宋_GB2312" w:hAnsi="仿宋_GB2312" w:eastAsia="仿宋_GB2312" w:cs="仿宋_GB2312"/>
          <w:b/>
          <w:bCs/>
          <w:color w:val="auto"/>
          <w:sz w:val="44"/>
          <w:szCs w:val="44"/>
          <w:lang w:val="zh-CN"/>
        </w:rPr>
      </w:pPr>
    </w:p>
    <w:p>
      <w:pPr>
        <w:autoSpaceDE w:val="0"/>
        <w:autoSpaceDN w:val="0"/>
        <w:adjustRightInd w:val="0"/>
        <w:spacing w:line="360" w:lineRule="auto"/>
        <w:jc w:val="center"/>
        <w:rPr>
          <w:rFonts w:ascii="仿宋_GB2312" w:hAnsi="仿宋_GB2312" w:eastAsia="仿宋_GB2312" w:cs="仿宋_GB2312"/>
          <w:b/>
          <w:bCs/>
          <w:color w:val="auto"/>
          <w:sz w:val="44"/>
          <w:szCs w:val="44"/>
          <w:lang w:val="zh-CN"/>
        </w:rPr>
        <w:sectPr>
          <w:headerReference r:id="rId6" w:type="default"/>
          <w:pgSz w:w="11906" w:h="16838"/>
          <w:pgMar w:top="1417" w:right="1701" w:bottom="1417" w:left="1701" w:header="851" w:footer="992" w:gutter="0"/>
          <w:cols w:space="720" w:num="1"/>
          <w:docGrid w:linePitch="312" w:charSpace="0"/>
        </w:sectPr>
      </w:pPr>
    </w:p>
    <w:p>
      <w:pPr>
        <w:pageBreakBefore/>
        <w:autoSpaceDE w:val="0"/>
        <w:autoSpaceDN w:val="0"/>
        <w:adjustRightInd w:val="0"/>
        <w:snapToGrid w:val="0"/>
        <w:spacing w:line="360" w:lineRule="auto"/>
        <w:jc w:val="center"/>
        <w:outlineLvl w:val="0"/>
        <w:rPr>
          <w:rFonts w:ascii="仿宋" w:hAnsi="仿宋" w:eastAsia="仿宋" w:cs="仿宋"/>
          <w:b/>
          <w:bCs/>
          <w:color w:val="auto"/>
          <w:sz w:val="32"/>
          <w:szCs w:val="32"/>
        </w:rPr>
      </w:pPr>
      <w:bookmarkStart w:id="331" w:name="_Toc6450"/>
      <w:r>
        <w:rPr>
          <w:rFonts w:hint="eastAsia" w:ascii="仿宋" w:hAnsi="仿宋" w:eastAsia="仿宋" w:cs="仿宋"/>
          <w:b/>
          <w:bCs/>
          <w:color w:val="auto"/>
          <w:sz w:val="32"/>
          <w:szCs w:val="32"/>
          <w:lang w:val="zh-CN"/>
        </w:rPr>
        <w:t>第五部分</w:t>
      </w:r>
      <w:r>
        <w:rPr>
          <w:rFonts w:hint="eastAsia" w:ascii="仿宋" w:hAnsi="仿宋" w:eastAsia="仿宋" w:cs="仿宋"/>
          <w:b/>
          <w:bCs/>
          <w:color w:val="auto"/>
          <w:sz w:val="32"/>
          <w:szCs w:val="32"/>
        </w:rPr>
        <w:t xml:space="preserve">  投标文件格式</w:t>
      </w:r>
      <w:bookmarkEnd w:id="331"/>
    </w:p>
    <w:p>
      <w:pPr>
        <w:autoSpaceDE w:val="0"/>
        <w:autoSpaceDN w:val="0"/>
        <w:adjustRightInd w:val="0"/>
        <w:snapToGrid w:val="0"/>
        <w:spacing w:line="360" w:lineRule="auto"/>
        <w:jc w:val="right"/>
        <w:rPr>
          <w:rFonts w:ascii="仿宋" w:hAnsi="仿宋" w:eastAsia="仿宋" w:cs="仿宋"/>
          <w:b/>
          <w:bCs/>
          <w:color w:val="auto"/>
          <w:sz w:val="32"/>
          <w:szCs w:val="32"/>
          <w:lang w:val="zh-CN"/>
        </w:rPr>
      </w:pPr>
    </w:p>
    <w:p>
      <w:pPr>
        <w:autoSpaceDE w:val="0"/>
        <w:autoSpaceDN w:val="0"/>
        <w:adjustRightInd w:val="0"/>
        <w:snapToGrid w:val="0"/>
        <w:spacing w:line="360" w:lineRule="auto"/>
        <w:jc w:val="right"/>
        <w:rPr>
          <w:rFonts w:ascii="仿宋" w:hAnsi="仿宋" w:eastAsia="仿宋" w:cs="仿宋"/>
          <w:b/>
          <w:bCs/>
          <w:color w:val="auto"/>
          <w:sz w:val="32"/>
          <w:szCs w:val="32"/>
          <w:lang w:val="zh-CN"/>
        </w:rPr>
      </w:pPr>
      <w:r>
        <w:rPr>
          <w:rFonts w:hint="eastAsia" w:ascii="仿宋" w:hAnsi="仿宋" w:eastAsia="仿宋" w:cs="仿宋"/>
          <w:b/>
          <w:bCs/>
          <w:color w:val="auto"/>
          <w:sz w:val="32"/>
          <w:szCs w:val="32"/>
          <w:lang w:val="zh-CN"/>
        </w:rPr>
        <w:t>正本/副本</w:t>
      </w:r>
    </w:p>
    <w:p>
      <w:pPr>
        <w:tabs>
          <w:tab w:val="left" w:pos="5670"/>
        </w:tabs>
        <w:autoSpaceDE w:val="0"/>
        <w:autoSpaceDN w:val="0"/>
        <w:adjustRightInd w:val="0"/>
        <w:spacing w:line="360" w:lineRule="auto"/>
        <w:rPr>
          <w:rFonts w:ascii="仿宋" w:hAnsi="仿宋" w:eastAsia="仿宋" w:cs="仿宋"/>
          <w:b/>
          <w:bCs/>
          <w:color w:val="auto"/>
          <w:sz w:val="32"/>
          <w:szCs w:val="32"/>
        </w:rPr>
      </w:pPr>
      <w:r>
        <w:rPr>
          <w:rFonts w:ascii="仿宋" w:hAnsi="仿宋" w:eastAsia="仿宋" w:cs="仿宋"/>
          <w:b/>
          <w:bCs/>
          <w:color w:val="auto"/>
          <w:sz w:val="32"/>
          <w:szCs w:val="32"/>
        </w:rPr>
        <w:t>政府采购项目</w:t>
      </w:r>
    </w:p>
    <w:p>
      <w:pPr>
        <w:tabs>
          <w:tab w:val="left" w:pos="5670"/>
        </w:tabs>
        <w:autoSpaceDE w:val="0"/>
        <w:autoSpaceDN w:val="0"/>
        <w:adjustRightInd w:val="0"/>
        <w:spacing w:line="360" w:lineRule="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计划编号：ZCBN-灞桥区-2022-00468</w:t>
      </w:r>
    </w:p>
    <w:p>
      <w:pPr>
        <w:tabs>
          <w:tab w:val="left" w:pos="5670"/>
        </w:tabs>
        <w:autoSpaceDE w:val="0"/>
        <w:autoSpaceDN w:val="0"/>
        <w:adjustRightInd w:val="0"/>
        <w:spacing w:line="360" w:lineRule="auto"/>
        <w:rPr>
          <w:rFonts w:ascii="仿宋" w:hAnsi="仿宋" w:eastAsia="仿宋" w:cs="仿宋"/>
          <w:b/>
          <w:bCs/>
          <w:color w:val="auto"/>
          <w:sz w:val="32"/>
          <w:szCs w:val="32"/>
          <w:lang w:val="zh-CN"/>
        </w:rPr>
      </w:pPr>
      <w:r>
        <w:rPr>
          <w:rFonts w:ascii="仿宋" w:hAnsi="仿宋" w:eastAsia="仿宋" w:cs="仿宋"/>
          <w:b/>
          <w:bCs/>
          <w:color w:val="auto"/>
          <w:sz w:val="32"/>
          <w:szCs w:val="32"/>
        </w:rPr>
        <w:t>项目编号：</w:t>
      </w:r>
      <w:r>
        <w:rPr>
          <w:rFonts w:hint="eastAsia" w:ascii="仿宋" w:hAnsi="仿宋" w:eastAsia="仿宋" w:cs="仿宋"/>
          <w:b/>
          <w:bCs/>
          <w:color w:val="auto"/>
          <w:sz w:val="32"/>
          <w:szCs w:val="32"/>
        </w:rPr>
        <w:t>DX2022-164</w:t>
      </w:r>
    </w:p>
    <w:p>
      <w:pPr>
        <w:tabs>
          <w:tab w:val="left" w:pos="5670"/>
        </w:tabs>
        <w:autoSpaceDE w:val="0"/>
        <w:autoSpaceDN w:val="0"/>
        <w:adjustRightInd w:val="0"/>
        <w:spacing w:line="360" w:lineRule="auto"/>
        <w:rPr>
          <w:rFonts w:ascii="宋体" w:hAnsi="宋体" w:cs="宋体"/>
          <w:b/>
          <w:bCs/>
          <w:color w:val="auto"/>
          <w:sz w:val="44"/>
          <w:szCs w:val="44"/>
        </w:rPr>
      </w:pPr>
    </w:p>
    <w:p>
      <w:pPr>
        <w:pStyle w:val="16"/>
        <w:rPr>
          <w:color w:val="auto"/>
        </w:rPr>
      </w:pPr>
    </w:p>
    <w:p>
      <w:pPr>
        <w:pStyle w:val="5"/>
        <w:spacing w:line="360" w:lineRule="auto"/>
        <w:ind w:firstLine="442"/>
        <w:jc w:val="center"/>
        <w:rPr>
          <w:rFonts w:ascii="宋体" w:hAnsi="宋体" w:cs="宋体"/>
          <w:b/>
          <w:bCs/>
          <w:color w:val="auto"/>
          <w:sz w:val="44"/>
          <w:szCs w:val="44"/>
        </w:rPr>
      </w:pPr>
      <w:r>
        <w:rPr>
          <w:rFonts w:hint="eastAsia" w:ascii="宋体" w:hAnsi="宋体" w:cs="宋体"/>
          <w:b/>
          <w:bCs/>
          <w:color w:val="auto"/>
          <w:sz w:val="44"/>
          <w:szCs w:val="44"/>
        </w:rPr>
        <w:t>灞桥区2021年新增教育建设奖补资金</w:t>
      </w:r>
    </w:p>
    <w:p>
      <w:pPr>
        <w:pStyle w:val="5"/>
        <w:spacing w:line="360" w:lineRule="auto"/>
        <w:ind w:firstLine="442"/>
        <w:jc w:val="center"/>
        <w:rPr>
          <w:rFonts w:ascii="仿宋" w:hAnsi="仿宋" w:eastAsia="仿宋" w:cs="仿宋"/>
          <w:color w:val="auto"/>
        </w:rPr>
      </w:pPr>
      <w:r>
        <w:rPr>
          <w:rFonts w:hint="eastAsia" w:ascii="宋体" w:hAnsi="宋体" w:cs="宋体"/>
          <w:b/>
          <w:bCs/>
          <w:color w:val="auto"/>
          <w:sz w:val="44"/>
          <w:szCs w:val="44"/>
        </w:rPr>
        <w:t>--五星中学设备采购项目</w:t>
      </w:r>
    </w:p>
    <w:p>
      <w:pPr>
        <w:tabs>
          <w:tab w:val="left" w:pos="5670"/>
        </w:tabs>
        <w:autoSpaceDE w:val="0"/>
        <w:autoSpaceDN w:val="0"/>
        <w:adjustRightInd w:val="0"/>
        <w:spacing w:line="360" w:lineRule="auto"/>
        <w:jc w:val="center"/>
        <w:rPr>
          <w:rFonts w:ascii="仿宋" w:hAnsi="仿宋" w:eastAsia="仿宋" w:cs="仿宋"/>
          <w:b/>
          <w:color w:val="auto"/>
          <w:sz w:val="44"/>
          <w:szCs w:val="44"/>
          <w:u w:val="single"/>
        </w:rPr>
      </w:pPr>
      <w:r>
        <w:rPr>
          <w:rFonts w:hint="eastAsia" w:ascii="仿宋" w:hAnsi="仿宋" w:eastAsia="仿宋" w:cs="仿宋"/>
          <w:b/>
          <w:color w:val="auto"/>
          <w:sz w:val="44"/>
          <w:szCs w:val="44"/>
        </w:rPr>
        <w:t>（第</w:t>
      </w:r>
      <w:r>
        <w:rPr>
          <w:rFonts w:hint="eastAsia" w:ascii="仿宋" w:hAnsi="仿宋" w:eastAsia="仿宋" w:cs="仿宋"/>
          <w:b/>
          <w:color w:val="auto"/>
          <w:sz w:val="44"/>
          <w:szCs w:val="44"/>
          <w:u w:val="single"/>
        </w:rPr>
        <w:t xml:space="preserve">   </w:t>
      </w:r>
      <w:r>
        <w:rPr>
          <w:rFonts w:hint="eastAsia" w:ascii="仿宋" w:hAnsi="仿宋" w:eastAsia="仿宋" w:cs="仿宋"/>
          <w:b/>
          <w:color w:val="auto"/>
          <w:sz w:val="44"/>
          <w:szCs w:val="44"/>
        </w:rPr>
        <w:t>标段）</w:t>
      </w:r>
    </w:p>
    <w:p>
      <w:pPr>
        <w:tabs>
          <w:tab w:val="left" w:pos="5670"/>
        </w:tabs>
        <w:autoSpaceDE w:val="0"/>
        <w:autoSpaceDN w:val="0"/>
        <w:adjustRightInd w:val="0"/>
        <w:spacing w:line="360" w:lineRule="auto"/>
        <w:jc w:val="center"/>
        <w:rPr>
          <w:rFonts w:ascii="仿宋" w:hAnsi="仿宋" w:eastAsia="仿宋" w:cs="仿宋"/>
          <w:b/>
          <w:color w:val="auto"/>
          <w:sz w:val="44"/>
          <w:szCs w:val="44"/>
        </w:rPr>
      </w:pPr>
      <w:r>
        <w:rPr>
          <w:rFonts w:hint="eastAsia" w:ascii="仿宋" w:hAnsi="仿宋" w:eastAsia="仿宋" w:cs="仿宋"/>
          <w:b/>
          <w:color w:val="auto"/>
          <w:sz w:val="44"/>
          <w:szCs w:val="44"/>
        </w:rPr>
        <w:t>投 标 文 件</w:t>
      </w:r>
    </w:p>
    <w:p>
      <w:pPr>
        <w:autoSpaceDE w:val="0"/>
        <w:autoSpaceDN w:val="0"/>
        <w:adjustRightInd w:val="0"/>
        <w:spacing w:line="360" w:lineRule="auto"/>
        <w:rPr>
          <w:rFonts w:ascii="仿宋" w:hAnsi="仿宋" w:eastAsia="仿宋" w:cs="仿宋"/>
          <w:color w:val="auto"/>
          <w:sz w:val="32"/>
          <w:szCs w:val="32"/>
        </w:rPr>
      </w:pPr>
    </w:p>
    <w:p>
      <w:pPr>
        <w:pStyle w:val="36"/>
        <w:rPr>
          <w:rFonts w:ascii="仿宋" w:hAnsi="仿宋" w:eastAsia="仿宋" w:cs="仿宋"/>
          <w:color w:val="auto"/>
        </w:rPr>
      </w:pPr>
    </w:p>
    <w:p>
      <w:pPr>
        <w:pStyle w:val="36"/>
        <w:rPr>
          <w:rFonts w:ascii="仿宋" w:hAnsi="仿宋" w:eastAsia="仿宋" w:cs="仿宋"/>
          <w:color w:val="auto"/>
        </w:rPr>
      </w:pPr>
    </w:p>
    <w:p>
      <w:pPr>
        <w:pStyle w:val="36"/>
        <w:ind w:firstLine="0" w:firstLineChars="0"/>
        <w:rPr>
          <w:rFonts w:ascii="仿宋" w:hAnsi="仿宋" w:eastAsia="仿宋" w:cs="仿宋"/>
          <w:color w:val="auto"/>
        </w:rPr>
      </w:pPr>
    </w:p>
    <w:p>
      <w:pPr>
        <w:pStyle w:val="36"/>
        <w:ind w:firstLine="0" w:firstLineChars="0"/>
        <w:rPr>
          <w:rFonts w:ascii="仿宋" w:hAnsi="仿宋" w:eastAsia="仿宋" w:cs="仿宋"/>
          <w:color w:val="auto"/>
        </w:rPr>
      </w:pPr>
    </w:p>
    <w:p>
      <w:pPr>
        <w:pStyle w:val="16"/>
        <w:rPr>
          <w:rFonts w:ascii="仿宋" w:hAnsi="仿宋" w:eastAsia="仿宋" w:cs="仿宋"/>
          <w:color w:val="auto"/>
        </w:rPr>
      </w:pPr>
    </w:p>
    <w:p>
      <w:pPr>
        <w:spacing w:line="360" w:lineRule="auto"/>
        <w:ind w:left="420" w:leftChars="200" w:firstLine="421" w:firstLineChars="131"/>
        <w:rPr>
          <w:rFonts w:ascii="仿宋" w:hAnsi="仿宋" w:eastAsia="仿宋" w:cs="仿宋"/>
          <w:b/>
          <w:bCs/>
          <w:color w:val="auto"/>
          <w:sz w:val="32"/>
          <w:szCs w:val="32"/>
        </w:rPr>
      </w:pPr>
      <w:r>
        <w:rPr>
          <w:rFonts w:hint="eastAsia" w:ascii="仿宋" w:hAnsi="仿宋" w:eastAsia="仿宋" w:cs="仿宋"/>
          <w:b/>
          <w:bCs/>
          <w:color w:val="auto"/>
          <w:sz w:val="32"/>
          <w:szCs w:val="32"/>
        </w:rPr>
        <w:t>供  应  商：</w:t>
      </w:r>
      <w:r>
        <w:rPr>
          <w:rFonts w:hint="eastAsia" w:ascii="仿宋" w:hAnsi="仿宋" w:eastAsia="仿宋" w:cs="仿宋"/>
          <w:b/>
          <w:bCs/>
          <w:color w:val="auto"/>
          <w:sz w:val="32"/>
          <w:szCs w:val="32"/>
          <w:u w:val="single"/>
        </w:rPr>
        <w:t xml:space="preserve">                       </w:t>
      </w:r>
      <w:r>
        <w:rPr>
          <w:rFonts w:hint="eastAsia" w:ascii="仿宋" w:hAnsi="仿宋" w:eastAsia="仿宋" w:cs="仿宋"/>
          <w:b/>
          <w:bCs/>
          <w:color w:val="auto"/>
          <w:sz w:val="32"/>
          <w:szCs w:val="32"/>
        </w:rPr>
        <w:t>（盖章）</w:t>
      </w:r>
    </w:p>
    <w:p>
      <w:pPr>
        <w:spacing w:line="360" w:lineRule="auto"/>
        <w:ind w:left="420" w:leftChars="200" w:firstLine="421" w:firstLineChars="131"/>
        <w:rPr>
          <w:rFonts w:ascii="仿宋" w:hAnsi="仿宋" w:eastAsia="仿宋" w:cs="仿宋"/>
          <w:b/>
          <w:bCs/>
          <w:color w:val="auto"/>
          <w:sz w:val="32"/>
          <w:szCs w:val="32"/>
        </w:rPr>
      </w:pPr>
      <w:r>
        <w:rPr>
          <w:rFonts w:hint="eastAsia" w:ascii="仿宋" w:hAnsi="仿宋" w:eastAsia="仿宋" w:cs="仿宋"/>
          <w:b/>
          <w:color w:val="auto"/>
          <w:sz w:val="32"/>
        </w:rPr>
        <w:t>法定代表人或授权代表：</w:t>
      </w:r>
      <w:r>
        <w:rPr>
          <w:rFonts w:hint="eastAsia" w:ascii="仿宋" w:hAnsi="仿宋" w:eastAsia="仿宋" w:cs="仿宋"/>
          <w:b/>
          <w:color w:val="auto"/>
          <w:sz w:val="32"/>
          <w:u w:val="single"/>
        </w:rPr>
        <w:t xml:space="preserve">             </w:t>
      </w:r>
      <w:r>
        <w:rPr>
          <w:rFonts w:hint="eastAsia" w:ascii="仿宋" w:hAnsi="仿宋" w:eastAsia="仿宋" w:cs="仿宋"/>
          <w:b/>
          <w:bCs/>
          <w:color w:val="auto"/>
          <w:sz w:val="32"/>
          <w:szCs w:val="32"/>
        </w:rPr>
        <w:t>（签字）</w:t>
      </w:r>
    </w:p>
    <w:p>
      <w:pPr>
        <w:spacing w:line="360" w:lineRule="auto"/>
        <w:ind w:left="420" w:leftChars="200" w:firstLine="421" w:firstLineChars="131"/>
        <w:rPr>
          <w:rFonts w:ascii="仿宋" w:hAnsi="仿宋" w:eastAsia="仿宋" w:cs="仿宋"/>
          <w:b/>
          <w:bCs/>
          <w:color w:val="auto"/>
          <w:sz w:val="32"/>
          <w:szCs w:val="32"/>
        </w:rPr>
      </w:pPr>
      <w:r>
        <w:rPr>
          <w:rFonts w:hint="eastAsia" w:ascii="仿宋" w:hAnsi="仿宋" w:eastAsia="仿宋" w:cs="仿宋"/>
          <w:b/>
          <w:bCs/>
          <w:color w:val="auto"/>
          <w:sz w:val="32"/>
          <w:szCs w:val="32"/>
        </w:rPr>
        <w:t>日    期：</w:t>
      </w:r>
      <w:r>
        <w:rPr>
          <w:rFonts w:hint="eastAsia" w:ascii="仿宋" w:hAnsi="仿宋" w:eastAsia="仿宋" w:cs="仿宋"/>
          <w:b/>
          <w:bCs/>
          <w:color w:val="auto"/>
          <w:sz w:val="32"/>
          <w:szCs w:val="32"/>
          <w:u w:val="single"/>
        </w:rPr>
        <w:t xml:space="preserve">         </w:t>
      </w:r>
      <w:r>
        <w:rPr>
          <w:rFonts w:hint="eastAsia" w:ascii="仿宋" w:hAnsi="仿宋" w:eastAsia="仿宋" w:cs="仿宋"/>
          <w:b/>
          <w:bCs/>
          <w:color w:val="auto"/>
          <w:sz w:val="32"/>
          <w:szCs w:val="32"/>
        </w:rPr>
        <w:t>年</w:t>
      </w:r>
      <w:r>
        <w:rPr>
          <w:rFonts w:hint="eastAsia" w:ascii="仿宋" w:hAnsi="仿宋" w:eastAsia="仿宋" w:cs="仿宋"/>
          <w:b/>
          <w:bCs/>
          <w:color w:val="auto"/>
          <w:sz w:val="32"/>
          <w:szCs w:val="32"/>
          <w:u w:val="single"/>
        </w:rPr>
        <w:t xml:space="preserve">        </w:t>
      </w:r>
      <w:r>
        <w:rPr>
          <w:rFonts w:hint="eastAsia" w:ascii="仿宋" w:hAnsi="仿宋" w:eastAsia="仿宋" w:cs="仿宋"/>
          <w:b/>
          <w:bCs/>
          <w:color w:val="auto"/>
          <w:sz w:val="32"/>
          <w:szCs w:val="32"/>
        </w:rPr>
        <w:t>月</w:t>
      </w:r>
      <w:r>
        <w:rPr>
          <w:rFonts w:hint="eastAsia" w:ascii="仿宋" w:hAnsi="仿宋" w:eastAsia="仿宋" w:cs="仿宋"/>
          <w:b/>
          <w:bCs/>
          <w:color w:val="auto"/>
          <w:sz w:val="32"/>
          <w:szCs w:val="32"/>
          <w:u w:val="single"/>
        </w:rPr>
        <w:t xml:space="preserve">        </w:t>
      </w:r>
      <w:r>
        <w:rPr>
          <w:rFonts w:hint="eastAsia" w:ascii="仿宋" w:hAnsi="仿宋" w:eastAsia="仿宋" w:cs="仿宋"/>
          <w:b/>
          <w:bCs/>
          <w:color w:val="auto"/>
          <w:sz w:val="32"/>
          <w:szCs w:val="32"/>
        </w:rPr>
        <w:t>日</w:t>
      </w:r>
    </w:p>
    <w:p>
      <w:pPr>
        <w:pageBreakBefore/>
        <w:spacing w:line="360" w:lineRule="auto"/>
        <w:jc w:val="center"/>
        <w:rPr>
          <w:rFonts w:ascii="仿宋" w:hAnsi="仿宋" w:eastAsia="仿宋" w:cs="仿宋"/>
          <w:b/>
          <w:bCs/>
          <w:color w:val="auto"/>
          <w:sz w:val="32"/>
          <w:szCs w:val="15"/>
          <w:lang w:val="zh-CN"/>
        </w:rPr>
      </w:pPr>
      <w:r>
        <w:rPr>
          <w:rFonts w:hint="eastAsia" w:ascii="仿宋" w:hAnsi="仿宋" w:eastAsia="仿宋" w:cs="仿宋"/>
          <w:b/>
          <w:bCs/>
          <w:color w:val="auto"/>
          <w:sz w:val="32"/>
          <w:szCs w:val="15"/>
          <w:lang w:val="zh-CN"/>
        </w:rPr>
        <w:t>目</w:t>
      </w:r>
      <w:r>
        <w:rPr>
          <w:rFonts w:hint="eastAsia" w:ascii="仿宋" w:hAnsi="仿宋" w:eastAsia="仿宋" w:cs="仿宋"/>
          <w:b/>
          <w:bCs/>
          <w:color w:val="auto"/>
          <w:sz w:val="32"/>
          <w:szCs w:val="15"/>
        </w:rPr>
        <w:t xml:space="preserve">  </w:t>
      </w:r>
      <w:r>
        <w:rPr>
          <w:rFonts w:hint="eastAsia" w:ascii="仿宋" w:hAnsi="仿宋" w:eastAsia="仿宋" w:cs="仿宋"/>
          <w:b/>
          <w:bCs/>
          <w:color w:val="auto"/>
          <w:sz w:val="32"/>
          <w:szCs w:val="15"/>
          <w:lang w:val="zh-CN"/>
        </w:rPr>
        <w:t>录</w:t>
      </w:r>
    </w:p>
    <w:p>
      <w:pPr>
        <w:jc w:val="center"/>
        <w:rPr>
          <w:rFonts w:ascii="仿宋" w:hAnsi="仿宋" w:eastAsia="仿宋" w:cs="仿宋"/>
          <w:color w:val="auto"/>
          <w:lang w:val="zh-CN"/>
        </w:rPr>
      </w:pPr>
      <w:r>
        <w:rPr>
          <w:rFonts w:hint="eastAsia" w:ascii="仿宋" w:hAnsi="仿宋" w:eastAsia="仿宋" w:cs="仿宋"/>
          <w:color w:val="auto"/>
          <w:sz w:val="24"/>
          <w:szCs w:val="16"/>
          <w:lang w:val="zh-CN"/>
        </w:rPr>
        <w:t>请根据投标文件内容自动生成目录</w:t>
      </w:r>
    </w:p>
    <w:p>
      <w:pPr>
        <w:pageBreakBefore/>
        <w:spacing w:line="360" w:lineRule="auto"/>
        <w:jc w:val="center"/>
        <w:outlineLvl w:val="1"/>
        <w:rPr>
          <w:rFonts w:ascii="仿宋" w:hAnsi="仿宋" w:eastAsia="仿宋" w:cs="仿宋"/>
          <w:color w:val="auto"/>
          <w:lang w:val="zh-CN"/>
        </w:rPr>
      </w:pPr>
      <w:bookmarkStart w:id="332" w:name="_Toc3821"/>
      <w:bookmarkStart w:id="333" w:name="_Toc32314"/>
      <w:bookmarkStart w:id="334" w:name="_Toc20494"/>
      <w:bookmarkStart w:id="335" w:name="_Toc27884"/>
      <w:bookmarkStart w:id="336" w:name="_Toc21332"/>
      <w:bookmarkStart w:id="337" w:name="_Toc14636"/>
      <w:r>
        <w:rPr>
          <w:rFonts w:hint="eastAsia" w:ascii="仿宋" w:hAnsi="仿宋" w:eastAsia="仿宋" w:cs="仿宋"/>
          <w:b/>
          <w:bCs/>
          <w:color w:val="auto"/>
          <w:sz w:val="32"/>
          <w:szCs w:val="15"/>
          <w:lang w:val="zh-CN"/>
        </w:rPr>
        <w:t>一、投标函</w:t>
      </w:r>
      <w:bookmarkEnd w:id="332"/>
      <w:bookmarkEnd w:id="333"/>
      <w:bookmarkEnd w:id="334"/>
      <w:bookmarkEnd w:id="335"/>
      <w:bookmarkEnd w:id="336"/>
      <w:bookmarkEnd w:id="337"/>
    </w:p>
    <w:p>
      <w:pPr>
        <w:autoSpaceDE w:val="0"/>
        <w:autoSpaceDN w:val="0"/>
        <w:adjustRightInd w:val="0"/>
        <w:spacing w:line="360" w:lineRule="auto"/>
        <w:rPr>
          <w:rFonts w:ascii="仿宋" w:hAnsi="仿宋" w:eastAsia="仿宋" w:cs="仿宋"/>
          <w:b/>
          <w:bCs/>
          <w:color w:val="auto"/>
          <w:sz w:val="24"/>
          <w:szCs w:val="24"/>
        </w:rPr>
      </w:pPr>
      <w:r>
        <w:rPr>
          <w:rFonts w:hint="eastAsia" w:ascii="仿宋" w:hAnsi="仿宋" w:eastAsia="仿宋" w:cs="仿宋"/>
          <w:b/>
          <w:bCs/>
          <w:color w:val="auto"/>
          <w:sz w:val="24"/>
          <w:szCs w:val="24"/>
          <w:lang w:val="zh-CN"/>
        </w:rPr>
        <w:t>陕西笃信招标有限公司：</w:t>
      </w:r>
    </w:p>
    <w:p>
      <w:pPr>
        <w:autoSpaceDE w:val="0"/>
        <w:autoSpaceDN w:val="0"/>
        <w:adjustRightIn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我单位收到贵公司关于</w:t>
      </w:r>
      <w:r>
        <w:rPr>
          <w:rFonts w:hint="eastAsia" w:ascii="仿宋" w:hAnsi="仿宋" w:eastAsia="仿宋" w:cs="仿宋"/>
          <w:color w:val="auto"/>
          <w:sz w:val="24"/>
          <w:szCs w:val="24"/>
          <w:u w:val="single"/>
        </w:rPr>
        <w:t>灞桥区2021年新增教育建设奖补资金--五星中学设备采购项目</w:t>
      </w:r>
      <w:r>
        <w:rPr>
          <w:rFonts w:hint="eastAsia" w:ascii="仿宋" w:hAnsi="仿宋" w:eastAsia="仿宋" w:cs="仿宋"/>
          <w:color w:val="auto"/>
          <w:sz w:val="24"/>
          <w:szCs w:val="24"/>
        </w:rPr>
        <w:t>（项目编号：DX2022-164）的招标文件，经详细研究，我们决定参加本次项目第</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标段招标活动并投标。为此，我方郑重声明以下诸点，并负法律责任。</w:t>
      </w:r>
    </w:p>
    <w:p>
      <w:pPr>
        <w:numPr>
          <w:ilvl w:val="0"/>
          <w:numId w:val="3"/>
        </w:numPr>
        <w:autoSpaceDE w:val="0"/>
        <w:autoSpaceDN w:val="0"/>
        <w:adjustRightIn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愿意按照招标文件中的一切要求，向采购人提供所需所有货物。</w:t>
      </w:r>
    </w:p>
    <w:p>
      <w:pPr>
        <w:pStyle w:val="16"/>
        <w:spacing w:line="360" w:lineRule="auto"/>
        <w:ind w:firstLine="480" w:firstLineChars="200"/>
        <w:jc w:val="both"/>
        <w:rPr>
          <w:rFonts w:ascii="仿宋" w:hAnsi="仿宋" w:eastAsia="仿宋" w:cs="仿宋"/>
          <w:color w:val="auto"/>
          <w:sz w:val="24"/>
          <w:szCs w:val="24"/>
          <w:u w:val="single"/>
        </w:rPr>
      </w:pPr>
      <w:r>
        <w:rPr>
          <w:rFonts w:hint="eastAsia" w:ascii="仿宋" w:hAnsi="仿宋" w:eastAsia="仿宋" w:cs="仿宋"/>
          <w:color w:val="auto"/>
          <w:sz w:val="24"/>
          <w:szCs w:val="24"/>
        </w:rPr>
        <w:t>二、按招标文件的规定，我公司的投标总报价大写：</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小写：</w:t>
      </w:r>
      <w:r>
        <w:rPr>
          <w:rFonts w:hint="eastAsia" w:ascii="仿宋" w:hAnsi="仿宋" w:eastAsia="仿宋" w:cs="仿宋"/>
          <w:color w:val="auto"/>
          <w:sz w:val="24"/>
          <w:szCs w:val="24"/>
          <w:u w:val="single"/>
        </w:rPr>
        <w:t xml:space="preserve">       </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三、我方提交的投标文件正本一份、副本三份，有效电子版一份及资格证明文件一份，并保证投标文件提供的数据和材料真实、准确。否则，愿承担相关的法律责任。</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四、我方已详细阅读了招标文件，完全理解并放弃提出含糊不清或易形成歧义的表述和资料。</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五、我方愿意向贵方提供任何与本次招标有关的数据、情况、样品和技术资料，若贵方需要，我方愿意提供我方作出的一切承诺的证明材料。</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六、开标后在规定的投标有效期内撤回投标，我们愿接受政府采购的有关处罚决定。</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七、我方承诺遵守《中华人民共和国政府采购法》及其实施条例的有关规定，保证在获得中标资格后：</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1、按照招标文件确定的事项签订合同，履行双方所签订的合同，并承担合同规定的责任和义务；</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2、我方保证按规定和标准向贵方缴纳中标服务费；</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3、投标文件有效期延长至合同履行完毕，且有效期自开标之日起不少于90天。</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八、我方完全理解最低报价不是中标的唯一条件，并尊重评标委员会的评标结论和定标结果。</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九、一旦我方中标,我方同意与使用单位签订保密协议；</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十、有关于本投标文件的函电，请按下列地址联系。</w:t>
      </w:r>
    </w:p>
    <w:p>
      <w:pPr>
        <w:autoSpaceDE w:val="0"/>
        <w:autoSpaceDN w:val="0"/>
        <w:adjustRightInd w:val="0"/>
        <w:spacing w:line="360" w:lineRule="auto"/>
        <w:ind w:firstLine="480" w:firstLineChars="200"/>
        <w:rPr>
          <w:rFonts w:ascii="仿宋" w:hAnsi="仿宋" w:eastAsia="仿宋" w:cs="仿宋"/>
          <w:b/>
          <w:color w:val="auto"/>
          <w:sz w:val="24"/>
          <w:szCs w:val="24"/>
          <w:u w:val="single"/>
        </w:rPr>
      </w:pPr>
      <w:r>
        <w:rPr>
          <w:rFonts w:hint="eastAsia" w:ascii="仿宋" w:hAnsi="仿宋" w:eastAsia="仿宋" w:cs="仿宋"/>
          <w:color w:val="auto"/>
          <w:sz w:val="24"/>
          <w:szCs w:val="24"/>
        </w:rPr>
        <w:t>供应商全称（印章）：</w:t>
      </w:r>
      <w:r>
        <w:rPr>
          <w:rFonts w:hint="eastAsia" w:ascii="仿宋" w:hAnsi="仿宋" w:eastAsia="仿宋" w:cs="仿宋"/>
          <w:b/>
          <w:color w:val="auto"/>
          <w:sz w:val="24"/>
          <w:szCs w:val="24"/>
          <w:u w:val="single"/>
        </w:rPr>
        <w:t xml:space="preserve">                                 </w:t>
      </w:r>
    </w:p>
    <w:p>
      <w:pPr>
        <w:autoSpaceDE w:val="0"/>
        <w:autoSpaceDN w:val="0"/>
        <w:adjustRightIn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法定代表人或授权代表（签字）：</w:t>
      </w:r>
      <w:r>
        <w:rPr>
          <w:rFonts w:hint="eastAsia" w:ascii="仿宋" w:hAnsi="仿宋" w:eastAsia="仿宋" w:cs="仿宋"/>
          <w:color w:val="auto"/>
          <w:sz w:val="24"/>
          <w:szCs w:val="24"/>
          <w:u w:val="single"/>
        </w:rPr>
        <w:t xml:space="preserve">                        </w:t>
      </w:r>
    </w:p>
    <w:p>
      <w:pPr>
        <w:autoSpaceDE w:val="0"/>
        <w:autoSpaceDN w:val="0"/>
        <w:adjustRightIn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地    址：</w:t>
      </w:r>
      <w:r>
        <w:rPr>
          <w:rFonts w:hint="eastAsia" w:ascii="仿宋" w:hAnsi="仿宋" w:eastAsia="仿宋" w:cs="仿宋"/>
          <w:b/>
          <w:color w:val="auto"/>
          <w:sz w:val="24"/>
          <w:szCs w:val="24"/>
          <w:u w:val="single"/>
        </w:rPr>
        <w:t xml:space="preserve">                                           </w:t>
      </w:r>
    </w:p>
    <w:p>
      <w:pPr>
        <w:autoSpaceDE w:val="0"/>
        <w:autoSpaceDN w:val="0"/>
        <w:adjustRightIn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开户银行：</w:t>
      </w:r>
      <w:r>
        <w:rPr>
          <w:rFonts w:hint="eastAsia" w:ascii="仿宋" w:hAnsi="仿宋" w:eastAsia="仿宋" w:cs="仿宋"/>
          <w:b/>
          <w:color w:val="auto"/>
          <w:sz w:val="24"/>
          <w:szCs w:val="24"/>
          <w:u w:val="single"/>
        </w:rPr>
        <w:t xml:space="preserve">                                           </w:t>
      </w:r>
    </w:p>
    <w:p>
      <w:pPr>
        <w:autoSpaceDE w:val="0"/>
        <w:autoSpaceDN w:val="0"/>
        <w:adjustRightIn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账    号：</w:t>
      </w:r>
      <w:r>
        <w:rPr>
          <w:rFonts w:hint="eastAsia" w:ascii="仿宋" w:hAnsi="仿宋" w:eastAsia="仿宋" w:cs="仿宋"/>
          <w:b/>
          <w:color w:val="auto"/>
          <w:sz w:val="24"/>
          <w:szCs w:val="24"/>
          <w:u w:val="single"/>
        </w:rPr>
        <w:t xml:space="preserve">                                           </w:t>
      </w:r>
    </w:p>
    <w:p>
      <w:pPr>
        <w:autoSpaceDE w:val="0"/>
        <w:autoSpaceDN w:val="0"/>
        <w:adjustRightIn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电    话：</w:t>
      </w:r>
      <w:r>
        <w:rPr>
          <w:rFonts w:hint="eastAsia" w:ascii="仿宋" w:hAnsi="仿宋" w:eastAsia="仿宋" w:cs="仿宋"/>
          <w:b/>
          <w:color w:val="auto"/>
          <w:sz w:val="24"/>
          <w:szCs w:val="24"/>
          <w:u w:val="single"/>
        </w:rPr>
        <w:t xml:space="preserve">                                          </w:t>
      </w:r>
    </w:p>
    <w:p>
      <w:pPr>
        <w:autoSpaceDE w:val="0"/>
        <w:autoSpaceDN w:val="0"/>
        <w:adjustRightIn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传    真：</w:t>
      </w:r>
      <w:r>
        <w:rPr>
          <w:rFonts w:hint="eastAsia" w:ascii="仿宋" w:hAnsi="仿宋" w:eastAsia="仿宋" w:cs="仿宋"/>
          <w:b/>
          <w:color w:val="auto"/>
          <w:sz w:val="24"/>
          <w:szCs w:val="24"/>
          <w:u w:val="single"/>
        </w:rPr>
        <w:t xml:space="preserve">                                          </w:t>
      </w:r>
    </w:p>
    <w:p>
      <w:pPr>
        <w:autoSpaceDE w:val="0"/>
        <w:autoSpaceDN w:val="0"/>
        <w:adjustRightIn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邮    编：</w:t>
      </w:r>
      <w:r>
        <w:rPr>
          <w:rFonts w:hint="eastAsia" w:ascii="仿宋" w:hAnsi="仿宋" w:eastAsia="仿宋" w:cs="仿宋"/>
          <w:b/>
          <w:color w:val="auto"/>
          <w:sz w:val="24"/>
          <w:szCs w:val="24"/>
          <w:u w:val="single"/>
        </w:rPr>
        <w:t xml:space="preserve">                                          </w:t>
      </w:r>
      <w:r>
        <w:rPr>
          <w:rFonts w:hint="eastAsia" w:ascii="仿宋" w:hAnsi="仿宋" w:eastAsia="仿宋" w:cs="仿宋"/>
          <w:color w:val="auto"/>
          <w:sz w:val="24"/>
          <w:szCs w:val="24"/>
        </w:rPr>
        <w:t xml:space="preserve"> </w:t>
      </w:r>
    </w:p>
    <w:p>
      <w:pPr>
        <w:autoSpaceDE w:val="0"/>
        <w:autoSpaceDN w:val="0"/>
        <w:adjustRightInd w:val="0"/>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 xml:space="preserve">                 </w:t>
      </w:r>
    </w:p>
    <w:p>
      <w:pPr>
        <w:autoSpaceDE w:val="0"/>
        <w:autoSpaceDN w:val="0"/>
        <w:adjustRightInd w:val="0"/>
        <w:snapToGrid w:val="0"/>
        <w:spacing w:line="360" w:lineRule="auto"/>
        <w:jc w:val="right"/>
        <w:rPr>
          <w:rFonts w:ascii="仿宋" w:hAnsi="仿宋" w:eastAsia="仿宋" w:cs="仿宋"/>
          <w:color w:val="auto"/>
          <w:sz w:val="24"/>
          <w:szCs w:val="24"/>
          <w:lang w:val="zh-CN"/>
        </w:rPr>
        <w:sectPr>
          <w:footerReference r:id="rId7" w:type="default"/>
          <w:pgSz w:w="11906" w:h="16838"/>
          <w:pgMar w:top="1417" w:right="1701" w:bottom="1417" w:left="1701" w:header="851" w:footer="992" w:gutter="0"/>
          <w:cols w:space="720" w:num="1"/>
          <w:docGrid w:linePitch="312" w:charSpace="0"/>
        </w:sectPr>
      </w:pP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pPr>
        <w:pStyle w:val="9"/>
        <w:spacing w:line="360" w:lineRule="auto"/>
        <w:rPr>
          <w:rFonts w:ascii="仿宋" w:hAnsi="仿宋" w:eastAsia="仿宋" w:cs="仿宋"/>
          <w:color w:val="auto"/>
          <w:sz w:val="32"/>
          <w:szCs w:val="15"/>
          <w:lang w:val="zh-CN"/>
        </w:rPr>
      </w:pPr>
      <w:bookmarkStart w:id="338" w:name="_Toc22952"/>
      <w:bookmarkStart w:id="339" w:name="_Toc4521"/>
      <w:bookmarkStart w:id="340" w:name="_Toc30144"/>
      <w:bookmarkStart w:id="341" w:name="_Toc12108"/>
      <w:bookmarkStart w:id="342" w:name="_Toc19367"/>
      <w:bookmarkStart w:id="343" w:name="_Toc3436"/>
      <w:bookmarkStart w:id="344" w:name="_Toc1243"/>
      <w:bookmarkStart w:id="345" w:name="_Toc15900"/>
      <w:bookmarkStart w:id="346" w:name="_Toc7809"/>
      <w:bookmarkStart w:id="347" w:name="_Toc13002"/>
      <w:bookmarkStart w:id="348" w:name="_Toc18879"/>
      <w:bookmarkStart w:id="349" w:name="_Toc24304"/>
      <w:bookmarkStart w:id="350" w:name="_Toc16389"/>
      <w:bookmarkStart w:id="351" w:name="_Toc20056"/>
      <w:bookmarkStart w:id="352" w:name="_Toc22013"/>
      <w:bookmarkStart w:id="353" w:name="_Toc18565"/>
      <w:bookmarkStart w:id="354" w:name="_Toc473056004"/>
      <w:bookmarkStart w:id="355" w:name="_Toc475451554"/>
      <w:bookmarkStart w:id="356" w:name="_Toc17040"/>
      <w:bookmarkStart w:id="357" w:name="_Toc475451801"/>
      <w:r>
        <w:rPr>
          <w:rFonts w:hint="eastAsia" w:ascii="仿宋" w:hAnsi="仿宋" w:eastAsia="仿宋" w:cs="仿宋"/>
          <w:color w:val="auto"/>
          <w:sz w:val="32"/>
          <w:szCs w:val="15"/>
          <w:lang w:val="zh-CN"/>
        </w:rPr>
        <w:t>二、开标一览表（唱标报告）</w:t>
      </w:r>
      <w:bookmarkEnd w:id="338"/>
      <w:bookmarkEnd w:id="339"/>
      <w:bookmarkEnd w:id="340"/>
      <w:bookmarkEnd w:id="341"/>
      <w:bookmarkEnd w:id="342"/>
      <w:bookmarkEnd w:id="343"/>
      <w:bookmarkEnd w:id="344"/>
      <w:bookmarkEnd w:id="345"/>
      <w:bookmarkEnd w:id="346"/>
    </w:p>
    <w:tbl>
      <w:tblPr>
        <w:tblStyle w:val="21"/>
        <w:tblW w:w="8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7"/>
        <w:gridCol w:w="6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trPr>
        <w:tc>
          <w:tcPr>
            <w:tcW w:w="2087"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项目名称</w:t>
            </w:r>
          </w:p>
        </w:tc>
        <w:tc>
          <w:tcPr>
            <w:tcW w:w="6488"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灞桥区2021年新增教育建设奖补资金--五星中学设备采购项目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2087"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项目编号</w:t>
            </w:r>
          </w:p>
        </w:tc>
        <w:tc>
          <w:tcPr>
            <w:tcW w:w="6488"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DX2022-164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2087"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标段</w:t>
            </w:r>
          </w:p>
        </w:tc>
        <w:tc>
          <w:tcPr>
            <w:tcW w:w="6488" w:type="dxa"/>
            <w:vAlign w:val="center"/>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第</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87" w:type="dxa"/>
            <w:vAlign w:val="center"/>
          </w:tcPr>
          <w:p>
            <w:pPr>
              <w:widowControl/>
              <w:spacing w:line="360" w:lineRule="auto"/>
              <w:jc w:val="center"/>
              <w:rPr>
                <w:rFonts w:ascii="仿宋" w:hAnsi="仿宋" w:eastAsia="仿宋" w:cs="仿宋"/>
                <w:color w:val="auto"/>
                <w:kern w:val="0"/>
                <w:sz w:val="24"/>
                <w:szCs w:val="24"/>
              </w:rPr>
            </w:pPr>
            <w:r>
              <w:rPr>
                <w:rFonts w:hint="eastAsia" w:ascii="仿宋" w:hAnsi="仿宋" w:eastAsia="仿宋" w:cs="仿宋"/>
                <w:color w:val="auto"/>
                <w:kern w:val="0"/>
                <w:sz w:val="24"/>
                <w:szCs w:val="24"/>
              </w:rPr>
              <w:t>投标总报价</w:t>
            </w:r>
          </w:p>
          <w:p>
            <w:pPr>
              <w:widowControl/>
              <w:spacing w:line="360" w:lineRule="auto"/>
              <w:jc w:val="center"/>
              <w:rPr>
                <w:rFonts w:ascii="仿宋" w:hAnsi="仿宋" w:eastAsia="仿宋" w:cs="仿宋"/>
                <w:color w:val="auto"/>
                <w:kern w:val="0"/>
                <w:sz w:val="24"/>
                <w:szCs w:val="24"/>
              </w:rPr>
            </w:pPr>
            <w:r>
              <w:rPr>
                <w:rFonts w:hint="eastAsia" w:ascii="仿宋" w:hAnsi="仿宋" w:eastAsia="仿宋" w:cs="仿宋"/>
                <w:color w:val="auto"/>
                <w:kern w:val="0"/>
                <w:sz w:val="24"/>
                <w:szCs w:val="24"/>
              </w:rPr>
              <w:t>（元）</w:t>
            </w:r>
          </w:p>
        </w:tc>
        <w:tc>
          <w:tcPr>
            <w:tcW w:w="6488" w:type="dxa"/>
            <w:vAlign w:val="center"/>
          </w:tcPr>
          <w:p>
            <w:pPr>
              <w:widowControl/>
              <w:spacing w:line="360" w:lineRule="auto"/>
              <w:jc w:val="left"/>
              <w:rPr>
                <w:rFonts w:ascii="仿宋" w:hAnsi="仿宋" w:eastAsia="仿宋" w:cs="仿宋"/>
                <w:color w:val="auto"/>
                <w:kern w:val="0"/>
                <w:sz w:val="24"/>
                <w:szCs w:val="24"/>
              </w:rPr>
            </w:pPr>
            <w:r>
              <w:rPr>
                <w:rFonts w:hint="eastAsia" w:ascii="仿宋" w:hAnsi="仿宋" w:eastAsia="仿宋" w:cs="仿宋"/>
                <w:color w:val="auto"/>
                <w:kern w:val="0"/>
                <w:sz w:val="24"/>
                <w:szCs w:val="24"/>
              </w:rPr>
              <w:t>　</w:t>
            </w:r>
          </w:p>
          <w:p>
            <w:pPr>
              <w:widowControl/>
              <w:spacing w:line="360" w:lineRule="auto"/>
              <w:jc w:val="left"/>
              <w:rPr>
                <w:rFonts w:ascii="仿宋" w:hAnsi="仿宋" w:eastAsia="仿宋" w:cs="仿宋"/>
                <w:color w:val="auto"/>
                <w:kern w:val="0"/>
                <w:sz w:val="24"/>
                <w:szCs w:val="24"/>
              </w:rPr>
            </w:pPr>
            <w:r>
              <w:rPr>
                <w:rFonts w:hint="eastAsia" w:ascii="仿宋" w:hAnsi="仿宋" w:eastAsia="仿宋" w:cs="仿宋"/>
                <w:color w:val="auto"/>
                <w:kern w:val="0"/>
                <w:sz w:val="24"/>
                <w:szCs w:val="24"/>
              </w:rPr>
              <w:t>大写：</w:t>
            </w:r>
          </w:p>
          <w:p>
            <w:pPr>
              <w:widowControl/>
              <w:spacing w:line="360" w:lineRule="auto"/>
              <w:jc w:val="left"/>
              <w:rPr>
                <w:rFonts w:ascii="仿宋" w:hAnsi="仿宋" w:eastAsia="仿宋" w:cs="仿宋"/>
                <w:color w:val="auto"/>
                <w:kern w:val="0"/>
                <w:sz w:val="24"/>
                <w:szCs w:val="24"/>
              </w:rPr>
            </w:pPr>
            <w:r>
              <w:rPr>
                <w:rFonts w:hint="eastAsia" w:ascii="仿宋" w:hAnsi="仿宋" w:eastAsia="仿宋" w:cs="仿宋"/>
                <w:color w:val="auto"/>
                <w:kern w:val="0"/>
                <w:sz w:val="24"/>
                <w:szCs w:val="24"/>
              </w:rPr>
              <w:t>小写：</w:t>
            </w:r>
          </w:p>
          <w:p>
            <w:pPr>
              <w:widowControl/>
              <w:spacing w:line="360" w:lineRule="auto"/>
              <w:jc w:val="left"/>
              <w:rPr>
                <w:rFonts w:ascii="仿宋" w:hAnsi="仿宋" w:eastAsia="仿宋" w:cs="仿宋"/>
                <w:color w:val="auto"/>
                <w:kern w:val="0"/>
                <w:sz w:val="24"/>
                <w:szCs w:val="24"/>
              </w:rPr>
            </w:pPr>
            <w:r>
              <w:rPr>
                <w:rFonts w:hint="eastAsia" w:ascii="仿宋" w:hAnsi="仿宋" w:eastAsia="仿宋" w:cs="仿宋"/>
                <w:color w:val="auto"/>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2087" w:type="dxa"/>
            <w:vAlign w:val="center"/>
          </w:tcPr>
          <w:p>
            <w:pPr>
              <w:widowControl/>
              <w:spacing w:line="360" w:lineRule="auto"/>
              <w:jc w:val="center"/>
              <w:rPr>
                <w:rFonts w:ascii="仿宋" w:hAnsi="仿宋" w:eastAsia="仿宋" w:cs="仿宋"/>
                <w:color w:val="auto"/>
                <w:kern w:val="0"/>
                <w:sz w:val="24"/>
                <w:szCs w:val="24"/>
              </w:rPr>
            </w:pPr>
            <w:r>
              <w:rPr>
                <w:rFonts w:hint="eastAsia" w:ascii="仿宋" w:hAnsi="仿宋" w:eastAsia="仿宋" w:cs="仿宋"/>
                <w:color w:val="auto"/>
                <w:kern w:val="0"/>
                <w:sz w:val="24"/>
                <w:szCs w:val="24"/>
              </w:rPr>
              <w:t>交货期</w:t>
            </w:r>
          </w:p>
        </w:tc>
        <w:tc>
          <w:tcPr>
            <w:tcW w:w="6488" w:type="dxa"/>
            <w:vAlign w:val="center"/>
          </w:tcPr>
          <w:p>
            <w:pPr>
              <w:widowControl/>
              <w:spacing w:line="360" w:lineRule="auto"/>
              <w:jc w:val="left"/>
              <w:rPr>
                <w:rFonts w:ascii="仿宋" w:hAnsi="仿宋" w:eastAsia="仿宋" w:cs="仿宋"/>
                <w:color w:val="auto"/>
                <w:kern w:val="0"/>
                <w:sz w:val="24"/>
                <w:szCs w:val="24"/>
              </w:rPr>
            </w:pPr>
          </w:p>
        </w:tc>
      </w:tr>
    </w:tbl>
    <w:p>
      <w:pPr>
        <w:widowControl/>
        <w:spacing w:line="360" w:lineRule="auto"/>
        <w:ind w:firstLine="480" w:firstLineChars="200"/>
        <w:rPr>
          <w:rFonts w:ascii="仿宋" w:hAnsi="仿宋" w:eastAsia="仿宋" w:cs="仿宋"/>
          <w:bCs/>
          <w:color w:val="auto"/>
          <w:kern w:val="0"/>
          <w:sz w:val="24"/>
          <w:szCs w:val="24"/>
        </w:rPr>
      </w:pPr>
      <w:r>
        <w:rPr>
          <w:rFonts w:hint="eastAsia" w:ascii="仿宋" w:hAnsi="仿宋" w:eastAsia="仿宋" w:cs="仿宋"/>
          <w:bCs/>
          <w:color w:val="auto"/>
          <w:kern w:val="0"/>
          <w:sz w:val="24"/>
          <w:szCs w:val="24"/>
        </w:rPr>
        <w:t>说明：</w:t>
      </w:r>
    </w:p>
    <w:p>
      <w:pPr>
        <w:widowControl/>
        <w:spacing w:line="360" w:lineRule="auto"/>
        <w:ind w:firstLine="480" w:firstLineChars="200"/>
        <w:rPr>
          <w:rFonts w:ascii="仿宋" w:hAnsi="仿宋" w:eastAsia="仿宋" w:cs="仿宋"/>
          <w:bCs/>
          <w:color w:val="auto"/>
          <w:kern w:val="0"/>
          <w:sz w:val="24"/>
          <w:szCs w:val="24"/>
        </w:rPr>
      </w:pPr>
      <w:r>
        <w:rPr>
          <w:rFonts w:hint="eastAsia" w:ascii="仿宋" w:hAnsi="仿宋" w:eastAsia="仿宋" w:cs="仿宋"/>
          <w:bCs/>
          <w:color w:val="auto"/>
          <w:kern w:val="0"/>
          <w:sz w:val="24"/>
          <w:szCs w:val="24"/>
        </w:rPr>
        <w:t>1.本表所列各项数据与招标文件其它地方表述不一致时，以本表为准。</w:t>
      </w:r>
    </w:p>
    <w:p>
      <w:pPr>
        <w:widowControl/>
        <w:spacing w:line="360" w:lineRule="auto"/>
        <w:ind w:firstLine="480" w:firstLineChars="200"/>
        <w:rPr>
          <w:rFonts w:ascii="仿宋" w:hAnsi="仿宋" w:eastAsia="仿宋" w:cs="仿宋"/>
          <w:bCs/>
          <w:color w:val="auto"/>
          <w:kern w:val="0"/>
          <w:sz w:val="24"/>
          <w:szCs w:val="24"/>
        </w:rPr>
      </w:pPr>
      <w:r>
        <w:rPr>
          <w:rFonts w:hint="eastAsia" w:ascii="仿宋" w:hAnsi="仿宋" w:eastAsia="仿宋" w:cs="仿宋"/>
          <w:bCs/>
          <w:color w:val="auto"/>
          <w:kern w:val="0"/>
          <w:sz w:val="24"/>
          <w:szCs w:val="24"/>
        </w:rPr>
        <w:t>2.投标总报价以元为单位，四舍五入精确到小数点后两位。</w:t>
      </w:r>
    </w:p>
    <w:p>
      <w:pPr>
        <w:widowControl/>
        <w:spacing w:line="360" w:lineRule="auto"/>
        <w:ind w:firstLine="480" w:firstLineChars="200"/>
        <w:rPr>
          <w:rFonts w:ascii="仿宋" w:hAnsi="仿宋" w:eastAsia="仿宋" w:cs="仿宋"/>
          <w:bCs/>
          <w:color w:val="auto"/>
          <w:kern w:val="0"/>
          <w:sz w:val="24"/>
          <w:szCs w:val="24"/>
        </w:rPr>
      </w:pPr>
      <w:r>
        <w:rPr>
          <w:rFonts w:hint="eastAsia" w:ascii="仿宋" w:hAnsi="仿宋" w:eastAsia="仿宋" w:cs="仿宋"/>
          <w:bCs/>
          <w:color w:val="auto"/>
          <w:kern w:val="0"/>
          <w:sz w:val="24"/>
          <w:szCs w:val="24"/>
        </w:rPr>
        <w:t>3.投标总报价应与分项报价表中合计金额一致。</w:t>
      </w:r>
    </w:p>
    <w:p>
      <w:pPr>
        <w:widowControl/>
        <w:spacing w:line="360" w:lineRule="auto"/>
        <w:rPr>
          <w:rFonts w:ascii="仿宋" w:hAnsi="仿宋" w:eastAsia="仿宋" w:cs="仿宋"/>
          <w:bCs/>
          <w:color w:val="auto"/>
          <w:kern w:val="0"/>
          <w:sz w:val="24"/>
          <w:szCs w:val="24"/>
        </w:rPr>
      </w:pPr>
    </w:p>
    <w:p>
      <w:pPr>
        <w:spacing w:line="360" w:lineRule="auto"/>
        <w:ind w:firstLine="4080" w:firstLineChars="1700"/>
        <w:rPr>
          <w:rFonts w:ascii="仿宋" w:hAnsi="仿宋" w:eastAsia="仿宋" w:cs="仿宋"/>
          <w:color w:val="auto"/>
          <w:sz w:val="24"/>
          <w:szCs w:val="24"/>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w:t>
      </w:r>
    </w:p>
    <w:p>
      <w:pPr>
        <w:spacing w:line="360" w:lineRule="auto"/>
        <w:ind w:firstLine="4080" w:firstLineChars="1700"/>
        <w:rPr>
          <w:rFonts w:ascii="仿宋" w:hAnsi="仿宋" w:eastAsia="仿宋" w:cs="仿宋"/>
          <w:color w:val="auto"/>
          <w:sz w:val="24"/>
          <w:szCs w:val="24"/>
          <w:u w:val="single"/>
        </w:rPr>
      </w:pPr>
      <w:r>
        <w:rPr>
          <w:rFonts w:hint="eastAsia" w:ascii="仿宋" w:hAnsi="仿宋" w:eastAsia="仿宋" w:cs="仿宋"/>
          <w:color w:val="auto"/>
          <w:sz w:val="24"/>
          <w:szCs w:val="24"/>
        </w:rPr>
        <w:t>法定代表人或授权代表（签字或盖章）：</w:t>
      </w:r>
      <w:r>
        <w:rPr>
          <w:rFonts w:hint="eastAsia" w:ascii="仿宋" w:hAnsi="仿宋" w:eastAsia="仿宋" w:cs="仿宋"/>
          <w:color w:val="auto"/>
          <w:sz w:val="24"/>
          <w:szCs w:val="24"/>
          <w:u w:val="single"/>
        </w:rPr>
        <w:t xml:space="preserve">     </w:t>
      </w:r>
    </w:p>
    <w:p>
      <w:pPr>
        <w:adjustRightInd w:val="0"/>
        <w:snapToGrid w:val="0"/>
        <w:spacing w:line="360" w:lineRule="auto"/>
        <w:ind w:firstLine="4080" w:firstLineChars="1700"/>
        <w:rPr>
          <w:rFonts w:ascii="仿宋" w:hAnsi="仿宋" w:eastAsia="仿宋" w:cs="仿宋"/>
          <w:color w:val="auto"/>
          <w:sz w:val="24"/>
          <w:szCs w:val="24"/>
          <w:u w:val="single"/>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p>
    <w:p>
      <w:pPr>
        <w:pStyle w:val="9"/>
        <w:keepNext w:val="0"/>
        <w:pageBreakBefore/>
        <w:spacing w:line="360" w:lineRule="auto"/>
        <w:ind w:left="420" w:leftChars="200"/>
        <w:rPr>
          <w:rFonts w:ascii="仿宋" w:hAnsi="仿宋" w:eastAsia="仿宋" w:cs="仿宋"/>
          <w:color w:val="auto"/>
          <w:sz w:val="32"/>
          <w:szCs w:val="32"/>
        </w:rPr>
      </w:pPr>
      <w:bookmarkStart w:id="358" w:name="_Toc19816"/>
      <w:r>
        <w:rPr>
          <w:rFonts w:hint="eastAsia" w:ascii="仿宋" w:hAnsi="仿宋" w:eastAsia="仿宋" w:cs="仿宋"/>
          <w:color w:val="auto"/>
          <w:sz w:val="32"/>
          <w:szCs w:val="32"/>
        </w:rPr>
        <w:t>三、</w:t>
      </w:r>
      <w:bookmarkEnd w:id="347"/>
      <w:bookmarkEnd w:id="348"/>
      <w:bookmarkEnd w:id="349"/>
      <w:bookmarkEnd w:id="350"/>
      <w:bookmarkEnd w:id="351"/>
      <w:bookmarkEnd w:id="352"/>
      <w:bookmarkEnd w:id="353"/>
      <w:r>
        <w:rPr>
          <w:rFonts w:hint="eastAsia" w:ascii="仿宋" w:hAnsi="仿宋" w:eastAsia="仿宋" w:cs="仿宋"/>
          <w:color w:val="auto"/>
          <w:sz w:val="32"/>
          <w:szCs w:val="32"/>
        </w:rPr>
        <w:t>费用组成明细表</w:t>
      </w:r>
      <w:bookmarkEnd w:id="358"/>
    </w:p>
    <w:tbl>
      <w:tblPr>
        <w:tblStyle w:val="21"/>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183"/>
        <w:gridCol w:w="1367"/>
        <w:gridCol w:w="1233"/>
        <w:gridCol w:w="750"/>
        <w:gridCol w:w="760"/>
        <w:gridCol w:w="1137"/>
        <w:gridCol w:w="1247"/>
        <w:gridCol w:w="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widowControl/>
              <w:jc w:val="center"/>
              <w:textAlignment w:val="center"/>
              <w:rPr>
                <w:rFonts w:ascii="仿宋" w:hAnsi="仿宋" w:eastAsia="仿宋" w:cs="仿宋"/>
                <w:bCs/>
                <w:color w:val="auto"/>
                <w:szCs w:val="21"/>
              </w:rPr>
            </w:pPr>
            <w:bookmarkStart w:id="359" w:name="_Toc5122"/>
            <w:bookmarkStart w:id="360" w:name="_Toc28835"/>
            <w:bookmarkStart w:id="361" w:name="_Toc27212"/>
            <w:bookmarkStart w:id="362" w:name="_Toc27541"/>
            <w:bookmarkStart w:id="363" w:name="_Toc5607"/>
            <w:bookmarkStart w:id="364" w:name="_Toc10639"/>
            <w:bookmarkStart w:id="365" w:name="_Toc2318"/>
            <w:r>
              <w:rPr>
                <w:rFonts w:hint="eastAsia" w:ascii="仿宋" w:hAnsi="仿宋" w:eastAsia="仿宋" w:cs="仿宋"/>
                <w:bCs/>
                <w:color w:val="auto"/>
                <w:kern w:val="0"/>
                <w:szCs w:val="21"/>
                <w:lang w:bidi="ar"/>
              </w:rPr>
              <w:t>序号</w:t>
            </w:r>
          </w:p>
        </w:tc>
        <w:tc>
          <w:tcPr>
            <w:tcW w:w="1183" w:type="dxa"/>
            <w:vAlign w:val="center"/>
          </w:tcPr>
          <w:p>
            <w:pPr>
              <w:widowControl/>
              <w:jc w:val="center"/>
              <w:textAlignment w:val="center"/>
              <w:rPr>
                <w:rFonts w:ascii="仿宋" w:hAnsi="仿宋" w:eastAsia="仿宋" w:cs="仿宋"/>
                <w:bCs/>
                <w:color w:val="auto"/>
                <w:szCs w:val="21"/>
              </w:rPr>
            </w:pPr>
            <w:r>
              <w:rPr>
                <w:rFonts w:hint="eastAsia" w:ascii="仿宋" w:hAnsi="仿宋" w:eastAsia="仿宋" w:cs="仿宋"/>
                <w:bCs/>
                <w:color w:val="auto"/>
                <w:kern w:val="0"/>
                <w:szCs w:val="21"/>
                <w:lang w:bidi="ar"/>
              </w:rPr>
              <w:t>采购物品</w:t>
            </w:r>
          </w:p>
        </w:tc>
        <w:tc>
          <w:tcPr>
            <w:tcW w:w="1367" w:type="dxa"/>
            <w:vAlign w:val="center"/>
          </w:tcPr>
          <w:p>
            <w:pPr>
              <w:widowControl/>
              <w:jc w:val="center"/>
              <w:textAlignment w:val="center"/>
              <w:rPr>
                <w:rFonts w:ascii="仿宋" w:hAnsi="仿宋" w:eastAsia="仿宋" w:cs="仿宋"/>
                <w:bCs/>
                <w:color w:val="auto"/>
                <w:szCs w:val="21"/>
              </w:rPr>
            </w:pPr>
            <w:r>
              <w:rPr>
                <w:rFonts w:hint="eastAsia" w:ascii="仿宋" w:hAnsi="仿宋" w:eastAsia="仿宋" w:cs="仿宋"/>
                <w:bCs/>
                <w:color w:val="auto"/>
                <w:kern w:val="0"/>
                <w:szCs w:val="21"/>
                <w:lang w:bidi="ar"/>
              </w:rPr>
              <w:t>货物内容</w:t>
            </w:r>
          </w:p>
        </w:tc>
        <w:tc>
          <w:tcPr>
            <w:tcW w:w="1233" w:type="dxa"/>
            <w:vAlign w:val="center"/>
          </w:tcPr>
          <w:p>
            <w:pPr>
              <w:jc w:val="center"/>
              <w:rPr>
                <w:rFonts w:ascii="仿宋" w:hAnsi="仿宋" w:eastAsia="仿宋" w:cs="仿宋"/>
                <w:bCs/>
                <w:color w:val="auto"/>
                <w:szCs w:val="21"/>
              </w:rPr>
            </w:pPr>
            <w:r>
              <w:rPr>
                <w:rFonts w:hint="eastAsia" w:ascii="仿宋" w:hAnsi="仿宋" w:eastAsia="仿宋" w:cs="仿宋"/>
                <w:bCs/>
                <w:color w:val="auto"/>
                <w:szCs w:val="21"/>
              </w:rPr>
              <w:t>品牌型号</w:t>
            </w:r>
          </w:p>
        </w:tc>
        <w:tc>
          <w:tcPr>
            <w:tcW w:w="750" w:type="dxa"/>
            <w:vAlign w:val="center"/>
          </w:tcPr>
          <w:p>
            <w:pPr>
              <w:jc w:val="center"/>
              <w:rPr>
                <w:rFonts w:ascii="仿宋" w:hAnsi="仿宋" w:eastAsia="仿宋" w:cs="仿宋"/>
                <w:bCs/>
                <w:color w:val="auto"/>
                <w:szCs w:val="21"/>
              </w:rPr>
            </w:pPr>
            <w:r>
              <w:rPr>
                <w:rFonts w:hint="eastAsia" w:ascii="仿宋" w:hAnsi="仿宋" w:eastAsia="仿宋" w:cs="仿宋"/>
                <w:bCs/>
                <w:color w:val="auto"/>
                <w:szCs w:val="21"/>
              </w:rPr>
              <w:t>数量</w:t>
            </w:r>
          </w:p>
        </w:tc>
        <w:tc>
          <w:tcPr>
            <w:tcW w:w="760" w:type="dxa"/>
            <w:vAlign w:val="center"/>
          </w:tcPr>
          <w:p>
            <w:pPr>
              <w:jc w:val="center"/>
              <w:rPr>
                <w:rFonts w:ascii="仿宋" w:hAnsi="仿宋" w:eastAsia="仿宋" w:cs="仿宋"/>
                <w:b/>
                <w:color w:val="auto"/>
                <w:szCs w:val="21"/>
              </w:rPr>
            </w:pPr>
            <w:r>
              <w:rPr>
                <w:rFonts w:hint="eastAsia" w:ascii="仿宋" w:hAnsi="仿宋" w:eastAsia="仿宋" w:cs="仿宋"/>
                <w:b/>
                <w:color w:val="auto"/>
                <w:szCs w:val="21"/>
              </w:rPr>
              <w:t>单位</w:t>
            </w:r>
          </w:p>
        </w:tc>
        <w:tc>
          <w:tcPr>
            <w:tcW w:w="1137" w:type="dxa"/>
            <w:vAlign w:val="center"/>
          </w:tcPr>
          <w:p>
            <w:pPr>
              <w:jc w:val="center"/>
              <w:rPr>
                <w:rFonts w:ascii="仿宋" w:hAnsi="仿宋" w:eastAsia="仿宋" w:cs="仿宋"/>
                <w:b/>
                <w:color w:val="auto"/>
                <w:szCs w:val="21"/>
              </w:rPr>
            </w:pPr>
            <w:r>
              <w:rPr>
                <w:rFonts w:hint="eastAsia" w:ascii="仿宋" w:hAnsi="仿宋" w:eastAsia="仿宋" w:cs="仿宋"/>
                <w:b/>
                <w:color w:val="auto"/>
                <w:szCs w:val="21"/>
              </w:rPr>
              <w:t>单价（元）</w:t>
            </w:r>
          </w:p>
        </w:tc>
        <w:tc>
          <w:tcPr>
            <w:tcW w:w="1247" w:type="dxa"/>
            <w:vAlign w:val="center"/>
          </w:tcPr>
          <w:p>
            <w:pPr>
              <w:jc w:val="center"/>
              <w:rPr>
                <w:rFonts w:ascii="仿宋" w:hAnsi="仿宋" w:eastAsia="仿宋" w:cs="仿宋"/>
                <w:b/>
                <w:color w:val="auto"/>
                <w:szCs w:val="21"/>
              </w:rPr>
            </w:pPr>
            <w:r>
              <w:rPr>
                <w:rFonts w:hint="eastAsia" w:ascii="仿宋" w:hAnsi="仿宋" w:eastAsia="仿宋" w:cs="仿宋"/>
                <w:b/>
                <w:color w:val="auto"/>
                <w:szCs w:val="21"/>
              </w:rPr>
              <w:t>总价(元）</w:t>
            </w:r>
          </w:p>
        </w:tc>
        <w:tc>
          <w:tcPr>
            <w:tcW w:w="662" w:type="dxa"/>
            <w:vAlign w:val="center"/>
          </w:tcPr>
          <w:p>
            <w:pPr>
              <w:jc w:val="center"/>
              <w:rPr>
                <w:rFonts w:ascii="仿宋" w:hAnsi="仿宋" w:eastAsia="仿宋" w:cs="仿宋"/>
                <w:bCs/>
                <w:color w:val="auto"/>
                <w:szCs w:val="21"/>
              </w:rPr>
            </w:pPr>
            <w:r>
              <w:rPr>
                <w:rFonts w:hint="eastAsia" w:ascii="仿宋" w:hAnsi="仿宋" w:eastAsia="仿宋" w:cs="仿宋"/>
                <w:bCs/>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pacing w:line="360" w:lineRule="auto"/>
              <w:jc w:val="center"/>
              <w:rPr>
                <w:rFonts w:ascii="仿宋" w:hAnsi="仿宋" w:eastAsia="仿宋" w:cs="仿宋"/>
                <w:color w:val="auto"/>
                <w:sz w:val="24"/>
                <w:szCs w:val="24"/>
              </w:rPr>
            </w:pPr>
          </w:p>
        </w:tc>
        <w:tc>
          <w:tcPr>
            <w:tcW w:w="1183" w:type="dxa"/>
            <w:vAlign w:val="center"/>
          </w:tcPr>
          <w:p>
            <w:pPr>
              <w:spacing w:line="360" w:lineRule="auto"/>
              <w:rPr>
                <w:rFonts w:ascii="仿宋" w:hAnsi="仿宋" w:eastAsia="仿宋" w:cs="仿宋"/>
                <w:color w:val="auto"/>
                <w:sz w:val="24"/>
                <w:szCs w:val="24"/>
              </w:rPr>
            </w:pPr>
          </w:p>
        </w:tc>
        <w:tc>
          <w:tcPr>
            <w:tcW w:w="1367" w:type="dxa"/>
            <w:vAlign w:val="center"/>
          </w:tcPr>
          <w:p>
            <w:pPr>
              <w:spacing w:line="360" w:lineRule="auto"/>
              <w:jc w:val="center"/>
              <w:rPr>
                <w:rFonts w:ascii="仿宋" w:hAnsi="仿宋" w:eastAsia="仿宋" w:cs="仿宋"/>
                <w:color w:val="auto"/>
                <w:sz w:val="24"/>
                <w:szCs w:val="24"/>
              </w:rPr>
            </w:pPr>
          </w:p>
        </w:tc>
        <w:tc>
          <w:tcPr>
            <w:tcW w:w="1233" w:type="dxa"/>
            <w:vAlign w:val="center"/>
          </w:tcPr>
          <w:p>
            <w:pPr>
              <w:spacing w:line="360" w:lineRule="auto"/>
              <w:ind w:left="392"/>
              <w:jc w:val="center"/>
              <w:rPr>
                <w:rFonts w:ascii="仿宋" w:hAnsi="仿宋" w:eastAsia="仿宋" w:cs="仿宋"/>
                <w:color w:val="auto"/>
                <w:sz w:val="24"/>
                <w:szCs w:val="24"/>
              </w:rPr>
            </w:pPr>
          </w:p>
        </w:tc>
        <w:tc>
          <w:tcPr>
            <w:tcW w:w="750" w:type="dxa"/>
            <w:vAlign w:val="center"/>
          </w:tcPr>
          <w:p>
            <w:pPr>
              <w:spacing w:line="360" w:lineRule="auto"/>
              <w:jc w:val="center"/>
              <w:rPr>
                <w:rFonts w:ascii="仿宋" w:hAnsi="仿宋" w:eastAsia="仿宋" w:cs="仿宋"/>
                <w:color w:val="auto"/>
                <w:sz w:val="24"/>
                <w:szCs w:val="24"/>
              </w:rPr>
            </w:pPr>
          </w:p>
        </w:tc>
        <w:tc>
          <w:tcPr>
            <w:tcW w:w="760" w:type="dxa"/>
            <w:vAlign w:val="center"/>
          </w:tcPr>
          <w:p>
            <w:pPr>
              <w:spacing w:line="360" w:lineRule="auto"/>
              <w:jc w:val="center"/>
              <w:rPr>
                <w:rFonts w:ascii="仿宋" w:hAnsi="仿宋" w:eastAsia="仿宋" w:cs="仿宋"/>
                <w:color w:val="auto"/>
                <w:sz w:val="24"/>
                <w:szCs w:val="24"/>
              </w:rPr>
            </w:pPr>
          </w:p>
        </w:tc>
        <w:tc>
          <w:tcPr>
            <w:tcW w:w="1137" w:type="dxa"/>
            <w:vAlign w:val="center"/>
          </w:tcPr>
          <w:p>
            <w:pPr>
              <w:spacing w:line="360" w:lineRule="auto"/>
              <w:jc w:val="center"/>
              <w:rPr>
                <w:rFonts w:ascii="仿宋" w:hAnsi="仿宋" w:eastAsia="仿宋" w:cs="仿宋"/>
                <w:color w:val="auto"/>
                <w:sz w:val="24"/>
                <w:szCs w:val="24"/>
              </w:rPr>
            </w:pPr>
          </w:p>
        </w:tc>
        <w:tc>
          <w:tcPr>
            <w:tcW w:w="1247" w:type="dxa"/>
            <w:vAlign w:val="center"/>
          </w:tcPr>
          <w:p>
            <w:pPr>
              <w:spacing w:line="360" w:lineRule="auto"/>
              <w:jc w:val="center"/>
              <w:rPr>
                <w:rFonts w:ascii="仿宋" w:hAnsi="仿宋" w:eastAsia="仿宋" w:cs="仿宋"/>
                <w:color w:val="auto"/>
                <w:sz w:val="24"/>
                <w:szCs w:val="24"/>
              </w:rPr>
            </w:pPr>
          </w:p>
        </w:tc>
        <w:tc>
          <w:tcPr>
            <w:tcW w:w="662" w:type="dxa"/>
            <w:vAlign w:val="center"/>
          </w:tcPr>
          <w:p>
            <w:pPr>
              <w:spacing w:line="360" w:lineRule="auto"/>
              <w:jc w:val="center"/>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pacing w:line="360" w:lineRule="auto"/>
              <w:jc w:val="center"/>
              <w:rPr>
                <w:rFonts w:ascii="仿宋" w:hAnsi="仿宋" w:eastAsia="仿宋" w:cs="仿宋"/>
                <w:color w:val="auto"/>
                <w:sz w:val="24"/>
                <w:szCs w:val="24"/>
              </w:rPr>
            </w:pPr>
          </w:p>
        </w:tc>
        <w:tc>
          <w:tcPr>
            <w:tcW w:w="1183" w:type="dxa"/>
            <w:vAlign w:val="center"/>
          </w:tcPr>
          <w:p>
            <w:pPr>
              <w:spacing w:line="360" w:lineRule="auto"/>
              <w:rPr>
                <w:rFonts w:ascii="仿宋" w:hAnsi="仿宋" w:eastAsia="仿宋" w:cs="仿宋"/>
                <w:color w:val="auto"/>
                <w:sz w:val="24"/>
                <w:szCs w:val="24"/>
              </w:rPr>
            </w:pPr>
          </w:p>
        </w:tc>
        <w:tc>
          <w:tcPr>
            <w:tcW w:w="1367" w:type="dxa"/>
            <w:vAlign w:val="center"/>
          </w:tcPr>
          <w:p>
            <w:pPr>
              <w:spacing w:line="360" w:lineRule="auto"/>
              <w:jc w:val="center"/>
              <w:rPr>
                <w:rFonts w:ascii="仿宋" w:hAnsi="仿宋" w:eastAsia="仿宋" w:cs="仿宋"/>
                <w:color w:val="auto"/>
                <w:sz w:val="24"/>
                <w:szCs w:val="24"/>
              </w:rPr>
            </w:pPr>
          </w:p>
        </w:tc>
        <w:tc>
          <w:tcPr>
            <w:tcW w:w="1233" w:type="dxa"/>
            <w:vAlign w:val="center"/>
          </w:tcPr>
          <w:p>
            <w:pPr>
              <w:spacing w:line="360" w:lineRule="auto"/>
              <w:ind w:left="392"/>
              <w:jc w:val="center"/>
              <w:rPr>
                <w:rFonts w:ascii="仿宋" w:hAnsi="仿宋" w:eastAsia="仿宋" w:cs="仿宋"/>
                <w:color w:val="auto"/>
                <w:sz w:val="24"/>
                <w:szCs w:val="24"/>
              </w:rPr>
            </w:pPr>
          </w:p>
        </w:tc>
        <w:tc>
          <w:tcPr>
            <w:tcW w:w="750" w:type="dxa"/>
            <w:vAlign w:val="center"/>
          </w:tcPr>
          <w:p>
            <w:pPr>
              <w:spacing w:line="360" w:lineRule="auto"/>
              <w:jc w:val="center"/>
              <w:rPr>
                <w:rFonts w:ascii="仿宋" w:hAnsi="仿宋" w:eastAsia="仿宋" w:cs="仿宋"/>
                <w:color w:val="auto"/>
                <w:sz w:val="24"/>
                <w:szCs w:val="24"/>
              </w:rPr>
            </w:pPr>
          </w:p>
        </w:tc>
        <w:tc>
          <w:tcPr>
            <w:tcW w:w="760" w:type="dxa"/>
            <w:vAlign w:val="center"/>
          </w:tcPr>
          <w:p>
            <w:pPr>
              <w:spacing w:line="360" w:lineRule="auto"/>
              <w:jc w:val="center"/>
              <w:rPr>
                <w:rFonts w:ascii="仿宋" w:hAnsi="仿宋" w:eastAsia="仿宋" w:cs="仿宋"/>
                <w:color w:val="auto"/>
                <w:sz w:val="24"/>
                <w:szCs w:val="24"/>
              </w:rPr>
            </w:pPr>
          </w:p>
        </w:tc>
        <w:tc>
          <w:tcPr>
            <w:tcW w:w="1137" w:type="dxa"/>
            <w:vAlign w:val="center"/>
          </w:tcPr>
          <w:p>
            <w:pPr>
              <w:spacing w:line="360" w:lineRule="auto"/>
              <w:jc w:val="center"/>
              <w:rPr>
                <w:rFonts w:ascii="仿宋" w:hAnsi="仿宋" w:eastAsia="仿宋" w:cs="仿宋"/>
                <w:color w:val="auto"/>
                <w:sz w:val="24"/>
                <w:szCs w:val="24"/>
              </w:rPr>
            </w:pPr>
          </w:p>
        </w:tc>
        <w:tc>
          <w:tcPr>
            <w:tcW w:w="1247" w:type="dxa"/>
            <w:vAlign w:val="center"/>
          </w:tcPr>
          <w:p>
            <w:pPr>
              <w:spacing w:line="360" w:lineRule="auto"/>
              <w:jc w:val="center"/>
              <w:rPr>
                <w:rFonts w:ascii="仿宋" w:hAnsi="仿宋" w:eastAsia="仿宋" w:cs="仿宋"/>
                <w:color w:val="auto"/>
                <w:sz w:val="24"/>
                <w:szCs w:val="24"/>
              </w:rPr>
            </w:pPr>
          </w:p>
        </w:tc>
        <w:tc>
          <w:tcPr>
            <w:tcW w:w="662" w:type="dxa"/>
            <w:vAlign w:val="center"/>
          </w:tcPr>
          <w:p>
            <w:pPr>
              <w:spacing w:line="360" w:lineRule="auto"/>
              <w:jc w:val="center"/>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pacing w:line="360" w:lineRule="auto"/>
              <w:jc w:val="center"/>
              <w:rPr>
                <w:rFonts w:ascii="仿宋" w:hAnsi="仿宋" w:eastAsia="仿宋" w:cs="仿宋"/>
                <w:color w:val="auto"/>
                <w:sz w:val="24"/>
                <w:szCs w:val="24"/>
              </w:rPr>
            </w:pPr>
          </w:p>
        </w:tc>
        <w:tc>
          <w:tcPr>
            <w:tcW w:w="1183" w:type="dxa"/>
            <w:vAlign w:val="center"/>
          </w:tcPr>
          <w:p>
            <w:pPr>
              <w:spacing w:line="360" w:lineRule="auto"/>
              <w:rPr>
                <w:rFonts w:ascii="仿宋" w:hAnsi="仿宋" w:eastAsia="仿宋" w:cs="仿宋"/>
                <w:color w:val="auto"/>
                <w:sz w:val="24"/>
                <w:szCs w:val="24"/>
              </w:rPr>
            </w:pPr>
          </w:p>
        </w:tc>
        <w:tc>
          <w:tcPr>
            <w:tcW w:w="1367" w:type="dxa"/>
            <w:vAlign w:val="center"/>
          </w:tcPr>
          <w:p>
            <w:pPr>
              <w:spacing w:line="360" w:lineRule="auto"/>
              <w:jc w:val="center"/>
              <w:rPr>
                <w:rFonts w:ascii="仿宋" w:hAnsi="仿宋" w:eastAsia="仿宋" w:cs="仿宋"/>
                <w:color w:val="auto"/>
                <w:sz w:val="24"/>
                <w:szCs w:val="24"/>
              </w:rPr>
            </w:pPr>
          </w:p>
        </w:tc>
        <w:tc>
          <w:tcPr>
            <w:tcW w:w="1233" w:type="dxa"/>
            <w:vAlign w:val="center"/>
          </w:tcPr>
          <w:p>
            <w:pPr>
              <w:spacing w:line="360" w:lineRule="auto"/>
              <w:ind w:left="392"/>
              <w:jc w:val="center"/>
              <w:rPr>
                <w:rFonts w:ascii="仿宋" w:hAnsi="仿宋" w:eastAsia="仿宋" w:cs="仿宋"/>
                <w:color w:val="auto"/>
                <w:sz w:val="24"/>
                <w:szCs w:val="24"/>
              </w:rPr>
            </w:pPr>
          </w:p>
        </w:tc>
        <w:tc>
          <w:tcPr>
            <w:tcW w:w="750" w:type="dxa"/>
            <w:vAlign w:val="center"/>
          </w:tcPr>
          <w:p>
            <w:pPr>
              <w:spacing w:line="360" w:lineRule="auto"/>
              <w:jc w:val="center"/>
              <w:rPr>
                <w:rFonts w:ascii="仿宋" w:hAnsi="仿宋" w:eastAsia="仿宋" w:cs="仿宋"/>
                <w:color w:val="auto"/>
                <w:sz w:val="24"/>
                <w:szCs w:val="24"/>
              </w:rPr>
            </w:pPr>
          </w:p>
        </w:tc>
        <w:tc>
          <w:tcPr>
            <w:tcW w:w="760" w:type="dxa"/>
            <w:vAlign w:val="center"/>
          </w:tcPr>
          <w:p>
            <w:pPr>
              <w:spacing w:line="360" w:lineRule="auto"/>
              <w:jc w:val="center"/>
              <w:rPr>
                <w:rFonts w:ascii="仿宋" w:hAnsi="仿宋" w:eastAsia="仿宋" w:cs="仿宋"/>
                <w:color w:val="auto"/>
                <w:sz w:val="24"/>
                <w:szCs w:val="24"/>
              </w:rPr>
            </w:pPr>
          </w:p>
        </w:tc>
        <w:tc>
          <w:tcPr>
            <w:tcW w:w="1137" w:type="dxa"/>
            <w:vAlign w:val="center"/>
          </w:tcPr>
          <w:p>
            <w:pPr>
              <w:spacing w:line="360" w:lineRule="auto"/>
              <w:jc w:val="center"/>
              <w:rPr>
                <w:rFonts w:ascii="仿宋" w:hAnsi="仿宋" w:eastAsia="仿宋" w:cs="仿宋"/>
                <w:color w:val="auto"/>
                <w:sz w:val="24"/>
                <w:szCs w:val="24"/>
              </w:rPr>
            </w:pPr>
          </w:p>
        </w:tc>
        <w:tc>
          <w:tcPr>
            <w:tcW w:w="1247" w:type="dxa"/>
            <w:vAlign w:val="center"/>
          </w:tcPr>
          <w:p>
            <w:pPr>
              <w:spacing w:line="360" w:lineRule="auto"/>
              <w:jc w:val="center"/>
              <w:rPr>
                <w:rFonts w:ascii="仿宋" w:hAnsi="仿宋" w:eastAsia="仿宋" w:cs="仿宋"/>
                <w:color w:val="auto"/>
                <w:sz w:val="24"/>
                <w:szCs w:val="24"/>
              </w:rPr>
            </w:pPr>
          </w:p>
        </w:tc>
        <w:tc>
          <w:tcPr>
            <w:tcW w:w="662" w:type="dxa"/>
            <w:vAlign w:val="center"/>
          </w:tcPr>
          <w:p>
            <w:pPr>
              <w:spacing w:line="360" w:lineRule="auto"/>
              <w:jc w:val="center"/>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pacing w:line="360" w:lineRule="auto"/>
              <w:jc w:val="center"/>
              <w:rPr>
                <w:rFonts w:ascii="仿宋" w:hAnsi="仿宋" w:eastAsia="仿宋" w:cs="仿宋"/>
                <w:color w:val="auto"/>
                <w:sz w:val="24"/>
                <w:szCs w:val="24"/>
              </w:rPr>
            </w:pPr>
          </w:p>
        </w:tc>
        <w:tc>
          <w:tcPr>
            <w:tcW w:w="1183" w:type="dxa"/>
            <w:vAlign w:val="center"/>
          </w:tcPr>
          <w:p>
            <w:pPr>
              <w:spacing w:line="360" w:lineRule="auto"/>
              <w:rPr>
                <w:rFonts w:ascii="仿宋" w:hAnsi="仿宋" w:eastAsia="仿宋" w:cs="仿宋"/>
                <w:color w:val="auto"/>
                <w:sz w:val="24"/>
                <w:szCs w:val="24"/>
              </w:rPr>
            </w:pPr>
          </w:p>
        </w:tc>
        <w:tc>
          <w:tcPr>
            <w:tcW w:w="1367" w:type="dxa"/>
            <w:vAlign w:val="center"/>
          </w:tcPr>
          <w:p>
            <w:pPr>
              <w:spacing w:line="360" w:lineRule="auto"/>
              <w:jc w:val="center"/>
              <w:rPr>
                <w:rFonts w:ascii="仿宋" w:hAnsi="仿宋" w:eastAsia="仿宋" w:cs="仿宋"/>
                <w:color w:val="auto"/>
                <w:sz w:val="24"/>
                <w:szCs w:val="24"/>
              </w:rPr>
            </w:pPr>
          </w:p>
        </w:tc>
        <w:tc>
          <w:tcPr>
            <w:tcW w:w="1233" w:type="dxa"/>
            <w:vAlign w:val="center"/>
          </w:tcPr>
          <w:p>
            <w:pPr>
              <w:spacing w:line="360" w:lineRule="auto"/>
              <w:ind w:left="392"/>
              <w:jc w:val="center"/>
              <w:rPr>
                <w:rFonts w:ascii="仿宋" w:hAnsi="仿宋" w:eastAsia="仿宋" w:cs="仿宋"/>
                <w:color w:val="auto"/>
                <w:sz w:val="24"/>
                <w:szCs w:val="24"/>
              </w:rPr>
            </w:pPr>
          </w:p>
        </w:tc>
        <w:tc>
          <w:tcPr>
            <w:tcW w:w="750" w:type="dxa"/>
            <w:vAlign w:val="center"/>
          </w:tcPr>
          <w:p>
            <w:pPr>
              <w:spacing w:line="360" w:lineRule="auto"/>
              <w:jc w:val="center"/>
              <w:rPr>
                <w:rFonts w:ascii="仿宋" w:hAnsi="仿宋" w:eastAsia="仿宋" w:cs="仿宋"/>
                <w:color w:val="auto"/>
                <w:sz w:val="24"/>
                <w:szCs w:val="24"/>
              </w:rPr>
            </w:pPr>
          </w:p>
        </w:tc>
        <w:tc>
          <w:tcPr>
            <w:tcW w:w="760" w:type="dxa"/>
            <w:vAlign w:val="center"/>
          </w:tcPr>
          <w:p>
            <w:pPr>
              <w:spacing w:line="360" w:lineRule="auto"/>
              <w:jc w:val="center"/>
              <w:rPr>
                <w:rFonts w:ascii="仿宋" w:hAnsi="仿宋" w:eastAsia="仿宋" w:cs="仿宋"/>
                <w:color w:val="auto"/>
                <w:sz w:val="24"/>
                <w:szCs w:val="24"/>
              </w:rPr>
            </w:pPr>
          </w:p>
        </w:tc>
        <w:tc>
          <w:tcPr>
            <w:tcW w:w="1137" w:type="dxa"/>
            <w:vAlign w:val="center"/>
          </w:tcPr>
          <w:p>
            <w:pPr>
              <w:spacing w:line="360" w:lineRule="auto"/>
              <w:jc w:val="center"/>
              <w:rPr>
                <w:rFonts w:ascii="仿宋" w:hAnsi="仿宋" w:eastAsia="仿宋" w:cs="仿宋"/>
                <w:color w:val="auto"/>
                <w:sz w:val="24"/>
                <w:szCs w:val="24"/>
              </w:rPr>
            </w:pPr>
          </w:p>
        </w:tc>
        <w:tc>
          <w:tcPr>
            <w:tcW w:w="1247" w:type="dxa"/>
            <w:vAlign w:val="center"/>
          </w:tcPr>
          <w:p>
            <w:pPr>
              <w:spacing w:line="360" w:lineRule="auto"/>
              <w:jc w:val="center"/>
              <w:rPr>
                <w:rFonts w:ascii="仿宋" w:hAnsi="仿宋" w:eastAsia="仿宋" w:cs="仿宋"/>
                <w:color w:val="auto"/>
                <w:sz w:val="24"/>
                <w:szCs w:val="24"/>
              </w:rPr>
            </w:pPr>
          </w:p>
        </w:tc>
        <w:tc>
          <w:tcPr>
            <w:tcW w:w="662" w:type="dxa"/>
            <w:vAlign w:val="center"/>
          </w:tcPr>
          <w:p>
            <w:pPr>
              <w:spacing w:line="360" w:lineRule="auto"/>
              <w:jc w:val="center"/>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pacing w:line="360" w:lineRule="auto"/>
              <w:jc w:val="center"/>
              <w:rPr>
                <w:rFonts w:ascii="仿宋" w:hAnsi="仿宋" w:eastAsia="仿宋" w:cs="仿宋"/>
                <w:color w:val="auto"/>
                <w:sz w:val="24"/>
                <w:szCs w:val="24"/>
              </w:rPr>
            </w:pPr>
          </w:p>
        </w:tc>
        <w:tc>
          <w:tcPr>
            <w:tcW w:w="1183" w:type="dxa"/>
            <w:vAlign w:val="center"/>
          </w:tcPr>
          <w:p>
            <w:pPr>
              <w:spacing w:line="360" w:lineRule="auto"/>
              <w:rPr>
                <w:rFonts w:ascii="仿宋" w:hAnsi="仿宋" w:eastAsia="仿宋" w:cs="仿宋"/>
                <w:color w:val="auto"/>
                <w:sz w:val="24"/>
                <w:szCs w:val="24"/>
              </w:rPr>
            </w:pPr>
          </w:p>
        </w:tc>
        <w:tc>
          <w:tcPr>
            <w:tcW w:w="1367" w:type="dxa"/>
            <w:vAlign w:val="center"/>
          </w:tcPr>
          <w:p>
            <w:pPr>
              <w:spacing w:line="360" w:lineRule="auto"/>
              <w:jc w:val="center"/>
              <w:rPr>
                <w:rFonts w:ascii="仿宋" w:hAnsi="仿宋" w:eastAsia="仿宋" w:cs="仿宋"/>
                <w:color w:val="auto"/>
                <w:sz w:val="24"/>
                <w:szCs w:val="24"/>
              </w:rPr>
            </w:pPr>
          </w:p>
        </w:tc>
        <w:tc>
          <w:tcPr>
            <w:tcW w:w="1233" w:type="dxa"/>
            <w:vAlign w:val="center"/>
          </w:tcPr>
          <w:p>
            <w:pPr>
              <w:spacing w:line="360" w:lineRule="auto"/>
              <w:ind w:left="392"/>
              <w:jc w:val="center"/>
              <w:rPr>
                <w:rFonts w:ascii="仿宋" w:hAnsi="仿宋" w:eastAsia="仿宋" w:cs="仿宋"/>
                <w:color w:val="auto"/>
                <w:sz w:val="24"/>
                <w:szCs w:val="24"/>
              </w:rPr>
            </w:pPr>
          </w:p>
        </w:tc>
        <w:tc>
          <w:tcPr>
            <w:tcW w:w="750" w:type="dxa"/>
            <w:vAlign w:val="center"/>
          </w:tcPr>
          <w:p>
            <w:pPr>
              <w:spacing w:line="360" w:lineRule="auto"/>
              <w:jc w:val="center"/>
              <w:rPr>
                <w:rFonts w:ascii="仿宋" w:hAnsi="仿宋" w:eastAsia="仿宋" w:cs="仿宋"/>
                <w:color w:val="auto"/>
                <w:sz w:val="24"/>
                <w:szCs w:val="24"/>
              </w:rPr>
            </w:pPr>
          </w:p>
        </w:tc>
        <w:tc>
          <w:tcPr>
            <w:tcW w:w="760" w:type="dxa"/>
            <w:vAlign w:val="center"/>
          </w:tcPr>
          <w:p>
            <w:pPr>
              <w:spacing w:line="360" w:lineRule="auto"/>
              <w:jc w:val="center"/>
              <w:rPr>
                <w:rFonts w:ascii="仿宋" w:hAnsi="仿宋" w:eastAsia="仿宋" w:cs="仿宋"/>
                <w:color w:val="auto"/>
                <w:sz w:val="24"/>
                <w:szCs w:val="24"/>
              </w:rPr>
            </w:pPr>
          </w:p>
        </w:tc>
        <w:tc>
          <w:tcPr>
            <w:tcW w:w="1137" w:type="dxa"/>
            <w:vAlign w:val="center"/>
          </w:tcPr>
          <w:p>
            <w:pPr>
              <w:spacing w:line="360" w:lineRule="auto"/>
              <w:jc w:val="center"/>
              <w:rPr>
                <w:rFonts w:ascii="仿宋" w:hAnsi="仿宋" w:eastAsia="仿宋" w:cs="仿宋"/>
                <w:color w:val="auto"/>
                <w:sz w:val="24"/>
                <w:szCs w:val="24"/>
              </w:rPr>
            </w:pPr>
          </w:p>
        </w:tc>
        <w:tc>
          <w:tcPr>
            <w:tcW w:w="1247" w:type="dxa"/>
            <w:vAlign w:val="center"/>
          </w:tcPr>
          <w:p>
            <w:pPr>
              <w:spacing w:line="360" w:lineRule="auto"/>
              <w:jc w:val="center"/>
              <w:rPr>
                <w:rFonts w:ascii="仿宋" w:hAnsi="仿宋" w:eastAsia="仿宋" w:cs="仿宋"/>
                <w:color w:val="auto"/>
                <w:sz w:val="24"/>
                <w:szCs w:val="24"/>
              </w:rPr>
            </w:pPr>
          </w:p>
        </w:tc>
        <w:tc>
          <w:tcPr>
            <w:tcW w:w="662" w:type="dxa"/>
            <w:vAlign w:val="center"/>
          </w:tcPr>
          <w:p>
            <w:pPr>
              <w:spacing w:line="360" w:lineRule="auto"/>
              <w:jc w:val="center"/>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pacing w:line="360" w:lineRule="auto"/>
              <w:jc w:val="center"/>
              <w:rPr>
                <w:rFonts w:ascii="仿宋" w:hAnsi="仿宋" w:eastAsia="仿宋" w:cs="仿宋"/>
                <w:color w:val="auto"/>
                <w:sz w:val="24"/>
                <w:szCs w:val="24"/>
              </w:rPr>
            </w:pPr>
          </w:p>
        </w:tc>
        <w:tc>
          <w:tcPr>
            <w:tcW w:w="1183" w:type="dxa"/>
            <w:vAlign w:val="center"/>
          </w:tcPr>
          <w:p>
            <w:pPr>
              <w:spacing w:line="360" w:lineRule="auto"/>
              <w:rPr>
                <w:rFonts w:ascii="仿宋" w:hAnsi="仿宋" w:eastAsia="仿宋" w:cs="仿宋"/>
                <w:color w:val="auto"/>
                <w:sz w:val="24"/>
                <w:szCs w:val="24"/>
              </w:rPr>
            </w:pPr>
          </w:p>
        </w:tc>
        <w:tc>
          <w:tcPr>
            <w:tcW w:w="1367" w:type="dxa"/>
            <w:vAlign w:val="center"/>
          </w:tcPr>
          <w:p>
            <w:pPr>
              <w:spacing w:line="360" w:lineRule="auto"/>
              <w:jc w:val="center"/>
              <w:rPr>
                <w:rFonts w:ascii="仿宋" w:hAnsi="仿宋" w:eastAsia="仿宋" w:cs="仿宋"/>
                <w:color w:val="auto"/>
                <w:sz w:val="24"/>
                <w:szCs w:val="24"/>
              </w:rPr>
            </w:pPr>
          </w:p>
        </w:tc>
        <w:tc>
          <w:tcPr>
            <w:tcW w:w="1233" w:type="dxa"/>
            <w:vAlign w:val="center"/>
          </w:tcPr>
          <w:p>
            <w:pPr>
              <w:spacing w:line="360" w:lineRule="auto"/>
              <w:jc w:val="center"/>
              <w:rPr>
                <w:rFonts w:ascii="仿宋" w:hAnsi="仿宋" w:eastAsia="仿宋" w:cs="仿宋"/>
                <w:color w:val="auto"/>
                <w:sz w:val="24"/>
                <w:szCs w:val="24"/>
              </w:rPr>
            </w:pPr>
          </w:p>
        </w:tc>
        <w:tc>
          <w:tcPr>
            <w:tcW w:w="750" w:type="dxa"/>
            <w:vAlign w:val="center"/>
          </w:tcPr>
          <w:p>
            <w:pPr>
              <w:spacing w:line="360" w:lineRule="auto"/>
              <w:jc w:val="center"/>
              <w:rPr>
                <w:rFonts w:ascii="仿宋" w:hAnsi="仿宋" w:eastAsia="仿宋" w:cs="仿宋"/>
                <w:color w:val="auto"/>
                <w:sz w:val="24"/>
                <w:szCs w:val="24"/>
              </w:rPr>
            </w:pPr>
          </w:p>
        </w:tc>
        <w:tc>
          <w:tcPr>
            <w:tcW w:w="760" w:type="dxa"/>
            <w:vAlign w:val="center"/>
          </w:tcPr>
          <w:p>
            <w:pPr>
              <w:spacing w:line="360" w:lineRule="auto"/>
              <w:jc w:val="center"/>
              <w:rPr>
                <w:rFonts w:ascii="仿宋" w:hAnsi="仿宋" w:eastAsia="仿宋" w:cs="仿宋"/>
                <w:color w:val="auto"/>
                <w:sz w:val="24"/>
                <w:szCs w:val="24"/>
              </w:rPr>
            </w:pPr>
          </w:p>
        </w:tc>
        <w:tc>
          <w:tcPr>
            <w:tcW w:w="1137" w:type="dxa"/>
            <w:vAlign w:val="center"/>
          </w:tcPr>
          <w:p>
            <w:pPr>
              <w:spacing w:line="360" w:lineRule="auto"/>
              <w:jc w:val="center"/>
              <w:rPr>
                <w:rFonts w:ascii="仿宋" w:hAnsi="仿宋" w:eastAsia="仿宋" w:cs="仿宋"/>
                <w:color w:val="auto"/>
                <w:sz w:val="24"/>
                <w:szCs w:val="24"/>
              </w:rPr>
            </w:pPr>
          </w:p>
        </w:tc>
        <w:tc>
          <w:tcPr>
            <w:tcW w:w="1247" w:type="dxa"/>
            <w:vAlign w:val="center"/>
          </w:tcPr>
          <w:p>
            <w:pPr>
              <w:spacing w:line="360" w:lineRule="auto"/>
              <w:jc w:val="center"/>
              <w:rPr>
                <w:rFonts w:ascii="仿宋" w:hAnsi="仿宋" w:eastAsia="仿宋" w:cs="仿宋"/>
                <w:color w:val="auto"/>
                <w:sz w:val="24"/>
                <w:szCs w:val="24"/>
              </w:rPr>
            </w:pPr>
          </w:p>
        </w:tc>
        <w:tc>
          <w:tcPr>
            <w:tcW w:w="662" w:type="dxa"/>
            <w:vAlign w:val="center"/>
          </w:tcPr>
          <w:p>
            <w:pPr>
              <w:spacing w:line="360" w:lineRule="auto"/>
              <w:jc w:val="center"/>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pacing w:line="360" w:lineRule="auto"/>
              <w:jc w:val="center"/>
              <w:rPr>
                <w:rFonts w:ascii="仿宋" w:hAnsi="仿宋" w:eastAsia="仿宋" w:cs="仿宋"/>
                <w:color w:val="auto"/>
                <w:sz w:val="24"/>
                <w:szCs w:val="24"/>
              </w:rPr>
            </w:pPr>
          </w:p>
        </w:tc>
        <w:tc>
          <w:tcPr>
            <w:tcW w:w="1183" w:type="dxa"/>
            <w:vAlign w:val="center"/>
          </w:tcPr>
          <w:p>
            <w:pPr>
              <w:spacing w:line="360" w:lineRule="auto"/>
              <w:rPr>
                <w:rFonts w:ascii="仿宋" w:hAnsi="仿宋" w:eastAsia="仿宋" w:cs="仿宋"/>
                <w:color w:val="auto"/>
                <w:sz w:val="24"/>
                <w:szCs w:val="24"/>
              </w:rPr>
            </w:pPr>
          </w:p>
        </w:tc>
        <w:tc>
          <w:tcPr>
            <w:tcW w:w="1367" w:type="dxa"/>
            <w:vAlign w:val="center"/>
          </w:tcPr>
          <w:p>
            <w:pPr>
              <w:spacing w:line="360" w:lineRule="auto"/>
              <w:jc w:val="center"/>
              <w:rPr>
                <w:rFonts w:ascii="仿宋" w:hAnsi="仿宋" w:eastAsia="仿宋" w:cs="仿宋"/>
                <w:color w:val="auto"/>
                <w:sz w:val="24"/>
                <w:szCs w:val="24"/>
              </w:rPr>
            </w:pPr>
          </w:p>
        </w:tc>
        <w:tc>
          <w:tcPr>
            <w:tcW w:w="1233" w:type="dxa"/>
            <w:vAlign w:val="center"/>
          </w:tcPr>
          <w:p>
            <w:pPr>
              <w:spacing w:line="360" w:lineRule="auto"/>
              <w:jc w:val="center"/>
              <w:rPr>
                <w:rFonts w:ascii="仿宋" w:hAnsi="仿宋" w:eastAsia="仿宋" w:cs="仿宋"/>
                <w:color w:val="auto"/>
                <w:sz w:val="24"/>
                <w:szCs w:val="24"/>
              </w:rPr>
            </w:pPr>
          </w:p>
        </w:tc>
        <w:tc>
          <w:tcPr>
            <w:tcW w:w="750" w:type="dxa"/>
            <w:vAlign w:val="center"/>
          </w:tcPr>
          <w:p>
            <w:pPr>
              <w:spacing w:line="360" w:lineRule="auto"/>
              <w:jc w:val="center"/>
              <w:rPr>
                <w:rFonts w:ascii="仿宋" w:hAnsi="仿宋" w:eastAsia="仿宋" w:cs="仿宋"/>
                <w:color w:val="auto"/>
                <w:sz w:val="24"/>
                <w:szCs w:val="24"/>
              </w:rPr>
            </w:pPr>
          </w:p>
        </w:tc>
        <w:tc>
          <w:tcPr>
            <w:tcW w:w="760" w:type="dxa"/>
            <w:vAlign w:val="center"/>
          </w:tcPr>
          <w:p>
            <w:pPr>
              <w:spacing w:line="360" w:lineRule="auto"/>
              <w:jc w:val="center"/>
              <w:rPr>
                <w:rFonts w:ascii="仿宋" w:hAnsi="仿宋" w:eastAsia="仿宋" w:cs="仿宋"/>
                <w:color w:val="auto"/>
                <w:sz w:val="24"/>
                <w:szCs w:val="24"/>
              </w:rPr>
            </w:pPr>
          </w:p>
        </w:tc>
        <w:tc>
          <w:tcPr>
            <w:tcW w:w="1137" w:type="dxa"/>
            <w:vAlign w:val="center"/>
          </w:tcPr>
          <w:p>
            <w:pPr>
              <w:spacing w:line="360" w:lineRule="auto"/>
              <w:jc w:val="center"/>
              <w:rPr>
                <w:rFonts w:ascii="仿宋" w:hAnsi="仿宋" w:eastAsia="仿宋" w:cs="仿宋"/>
                <w:color w:val="auto"/>
                <w:sz w:val="24"/>
                <w:szCs w:val="24"/>
              </w:rPr>
            </w:pPr>
          </w:p>
        </w:tc>
        <w:tc>
          <w:tcPr>
            <w:tcW w:w="1247" w:type="dxa"/>
            <w:vAlign w:val="center"/>
          </w:tcPr>
          <w:p>
            <w:pPr>
              <w:spacing w:line="360" w:lineRule="auto"/>
              <w:jc w:val="center"/>
              <w:rPr>
                <w:rFonts w:ascii="仿宋" w:hAnsi="仿宋" w:eastAsia="仿宋" w:cs="仿宋"/>
                <w:color w:val="auto"/>
                <w:sz w:val="24"/>
                <w:szCs w:val="24"/>
              </w:rPr>
            </w:pPr>
          </w:p>
        </w:tc>
        <w:tc>
          <w:tcPr>
            <w:tcW w:w="662" w:type="dxa"/>
            <w:vAlign w:val="center"/>
          </w:tcPr>
          <w:p>
            <w:pPr>
              <w:spacing w:line="360" w:lineRule="auto"/>
              <w:jc w:val="center"/>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pacing w:line="360" w:lineRule="auto"/>
              <w:jc w:val="center"/>
              <w:rPr>
                <w:rFonts w:ascii="仿宋" w:hAnsi="仿宋" w:eastAsia="仿宋" w:cs="仿宋"/>
                <w:color w:val="auto"/>
                <w:sz w:val="24"/>
                <w:szCs w:val="24"/>
              </w:rPr>
            </w:pPr>
          </w:p>
        </w:tc>
        <w:tc>
          <w:tcPr>
            <w:tcW w:w="1183" w:type="dxa"/>
            <w:vAlign w:val="center"/>
          </w:tcPr>
          <w:p>
            <w:pPr>
              <w:spacing w:line="360" w:lineRule="auto"/>
              <w:rPr>
                <w:rFonts w:ascii="仿宋" w:hAnsi="仿宋" w:eastAsia="仿宋" w:cs="仿宋"/>
                <w:color w:val="auto"/>
                <w:sz w:val="24"/>
                <w:szCs w:val="24"/>
              </w:rPr>
            </w:pPr>
          </w:p>
        </w:tc>
        <w:tc>
          <w:tcPr>
            <w:tcW w:w="1367" w:type="dxa"/>
            <w:vAlign w:val="center"/>
          </w:tcPr>
          <w:p>
            <w:pPr>
              <w:spacing w:line="360" w:lineRule="auto"/>
              <w:jc w:val="center"/>
              <w:rPr>
                <w:rFonts w:ascii="仿宋" w:hAnsi="仿宋" w:eastAsia="仿宋" w:cs="仿宋"/>
                <w:color w:val="auto"/>
                <w:sz w:val="24"/>
                <w:szCs w:val="24"/>
              </w:rPr>
            </w:pPr>
          </w:p>
        </w:tc>
        <w:tc>
          <w:tcPr>
            <w:tcW w:w="1233" w:type="dxa"/>
            <w:vAlign w:val="center"/>
          </w:tcPr>
          <w:p>
            <w:pPr>
              <w:spacing w:line="360" w:lineRule="auto"/>
              <w:jc w:val="center"/>
              <w:rPr>
                <w:rFonts w:ascii="仿宋" w:hAnsi="仿宋" w:eastAsia="仿宋" w:cs="仿宋"/>
                <w:color w:val="auto"/>
                <w:sz w:val="24"/>
                <w:szCs w:val="24"/>
              </w:rPr>
            </w:pPr>
          </w:p>
        </w:tc>
        <w:tc>
          <w:tcPr>
            <w:tcW w:w="750" w:type="dxa"/>
            <w:vAlign w:val="center"/>
          </w:tcPr>
          <w:p>
            <w:pPr>
              <w:spacing w:line="360" w:lineRule="auto"/>
              <w:jc w:val="center"/>
              <w:rPr>
                <w:rFonts w:ascii="仿宋" w:hAnsi="仿宋" w:eastAsia="仿宋" w:cs="仿宋"/>
                <w:color w:val="auto"/>
                <w:sz w:val="24"/>
                <w:szCs w:val="24"/>
              </w:rPr>
            </w:pPr>
          </w:p>
        </w:tc>
        <w:tc>
          <w:tcPr>
            <w:tcW w:w="760" w:type="dxa"/>
            <w:vAlign w:val="center"/>
          </w:tcPr>
          <w:p>
            <w:pPr>
              <w:spacing w:line="360" w:lineRule="auto"/>
              <w:jc w:val="center"/>
              <w:rPr>
                <w:rFonts w:ascii="仿宋" w:hAnsi="仿宋" w:eastAsia="仿宋" w:cs="仿宋"/>
                <w:color w:val="auto"/>
                <w:sz w:val="24"/>
                <w:szCs w:val="24"/>
              </w:rPr>
            </w:pPr>
          </w:p>
        </w:tc>
        <w:tc>
          <w:tcPr>
            <w:tcW w:w="1137" w:type="dxa"/>
            <w:vAlign w:val="center"/>
          </w:tcPr>
          <w:p>
            <w:pPr>
              <w:spacing w:line="360" w:lineRule="auto"/>
              <w:jc w:val="center"/>
              <w:rPr>
                <w:rFonts w:ascii="仿宋" w:hAnsi="仿宋" w:eastAsia="仿宋" w:cs="仿宋"/>
                <w:color w:val="auto"/>
                <w:sz w:val="24"/>
                <w:szCs w:val="24"/>
              </w:rPr>
            </w:pPr>
          </w:p>
        </w:tc>
        <w:tc>
          <w:tcPr>
            <w:tcW w:w="1247" w:type="dxa"/>
            <w:vAlign w:val="center"/>
          </w:tcPr>
          <w:p>
            <w:pPr>
              <w:spacing w:line="360" w:lineRule="auto"/>
              <w:jc w:val="center"/>
              <w:rPr>
                <w:rFonts w:ascii="仿宋" w:hAnsi="仿宋" w:eastAsia="仿宋" w:cs="仿宋"/>
                <w:color w:val="auto"/>
                <w:sz w:val="24"/>
                <w:szCs w:val="24"/>
              </w:rPr>
            </w:pPr>
          </w:p>
        </w:tc>
        <w:tc>
          <w:tcPr>
            <w:tcW w:w="662" w:type="dxa"/>
            <w:vAlign w:val="center"/>
          </w:tcPr>
          <w:p>
            <w:pPr>
              <w:spacing w:line="360" w:lineRule="auto"/>
              <w:jc w:val="center"/>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pacing w:line="360" w:lineRule="auto"/>
              <w:jc w:val="center"/>
              <w:rPr>
                <w:rFonts w:ascii="仿宋" w:hAnsi="仿宋" w:eastAsia="仿宋" w:cs="仿宋"/>
                <w:color w:val="auto"/>
                <w:sz w:val="24"/>
                <w:szCs w:val="24"/>
              </w:rPr>
            </w:pPr>
          </w:p>
        </w:tc>
        <w:tc>
          <w:tcPr>
            <w:tcW w:w="1183" w:type="dxa"/>
            <w:vAlign w:val="center"/>
          </w:tcPr>
          <w:p>
            <w:pPr>
              <w:spacing w:line="360" w:lineRule="auto"/>
              <w:rPr>
                <w:rFonts w:ascii="仿宋" w:hAnsi="仿宋" w:eastAsia="仿宋" w:cs="仿宋"/>
                <w:color w:val="auto"/>
                <w:sz w:val="24"/>
                <w:szCs w:val="24"/>
              </w:rPr>
            </w:pPr>
          </w:p>
        </w:tc>
        <w:tc>
          <w:tcPr>
            <w:tcW w:w="1367" w:type="dxa"/>
            <w:vAlign w:val="center"/>
          </w:tcPr>
          <w:p>
            <w:pPr>
              <w:spacing w:line="360" w:lineRule="auto"/>
              <w:jc w:val="center"/>
              <w:rPr>
                <w:rFonts w:ascii="仿宋" w:hAnsi="仿宋" w:eastAsia="仿宋" w:cs="仿宋"/>
                <w:color w:val="auto"/>
                <w:sz w:val="24"/>
                <w:szCs w:val="24"/>
              </w:rPr>
            </w:pPr>
          </w:p>
        </w:tc>
        <w:tc>
          <w:tcPr>
            <w:tcW w:w="1233" w:type="dxa"/>
            <w:vAlign w:val="center"/>
          </w:tcPr>
          <w:p>
            <w:pPr>
              <w:spacing w:line="360" w:lineRule="auto"/>
              <w:jc w:val="center"/>
              <w:rPr>
                <w:rFonts w:ascii="仿宋" w:hAnsi="仿宋" w:eastAsia="仿宋" w:cs="仿宋"/>
                <w:color w:val="auto"/>
                <w:sz w:val="24"/>
                <w:szCs w:val="24"/>
              </w:rPr>
            </w:pPr>
          </w:p>
        </w:tc>
        <w:tc>
          <w:tcPr>
            <w:tcW w:w="750" w:type="dxa"/>
            <w:vAlign w:val="center"/>
          </w:tcPr>
          <w:p>
            <w:pPr>
              <w:spacing w:line="360" w:lineRule="auto"/>
              <w:jc w:val="center"/>
              <w:rPr>
                <w:rFonts w:ascii="仿宋" w:hAnsi="仿宋" w:eastAsia="仿宋" w:cs="仿宋"/>
                <w:color w:val="auto"/>
                <w:sz w:val="24"/>
                <w:szCs w:val="24"/>
              </w:rPr>
            </w:pPr>
          </w:p>
        </w:tc>
        <w:tc>
          <w:tcPr>
            <w:tcW w:w="760" w:type="dxa"/>
            <w:vAlign w:val="center"/>
          </w:tcPr>
          <w:p>
            <w:pPr>
              <w:spacing w:line="360" w:lineRule="auto"/>
              <w:jc w:val="center"/>
              <w:rPr>
                <w:rFonts w:ascii="仿宋" w:hAnsi="仿宋" w:eastAsia="仿宋" w:cs="仿宋"/>
                <w:color w:val="auto"/>
                <w:sz w:val="24"/>
                <w:szCs w:val="24"/>
              </w:rPr>
            </w:pPr>
          </w:p>
        </w:tc>
        <w:tc>
          <w:tcPr>
            <w:tcW w:w="1137" w:type="dxa"/>
            <w:vAlign w:val="center"/>
          </w:tcPr>
          <w:p>
            <w:pPr>
              <w:spacing w:line="360" w:lineRule="auto"/>
              <w:jc w:val="center"/>
              <w:rPr>
                <w:rFonts w:ascii="仿宋" w:hAnsi="仿宋" w:eastAsia="仿宋" w:cs="仿宋"/>
                <w:color w:val="auto"/>
                <w:sz w:val="24"/>
                <w:szCs w:val="24"/>
              </w:rPr>
            </w:pPr>
          </w:p>
        </w:tc>
        <w:tc>
          <w:tcPr>
            <w:tcW w:w="1247" w:type="dxa"/>
            <w:vAlign w:val="center"/>
          </w:tcPr>
          <w:p>
            <w:pPr>
              <w:spacing w:line="360" w:lineRule="auto"/>
              <w:jc w:val="center"/>
              <w:rPr>
                <w:rFonts w:ascii="仿宋" w:hAnsi="仿宋" w:eastAsia="仿宋" w:cs="仿宋"/>
                <w:color w:val="auto"/>
                <w:sz w:val="24"/>
                <w:szCs w:val="24"/>
              </w:rPr>
            </w:pPr>
          </w:p>
        </w:tc>
        <w:tc>
          <w:tcPr>
            <w:tcW w:w="662" w:type="dxa"/>
            <w:vAlign w:val="center"/>
          </w:tcPr>
          <w:p>
            <w:pPr>
              <w:spacing w:line="360" w:lineRule="auto"/>
              <w:jc w:val="center"/>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pacing w:line="360" w:lineRule="auto"/>
              <w:jc w:val="center"/>
              <w:rPr>
                <w:rFonts w:ascii="仿宋" w:hAnsi="仿宋" w:eastAsia="仿宋" w:cs="仿宋"/>
                <w:color w:val="auto"/>
                <w:sz w:val="24"/>
                <w:szCs w:val="24"/>
              </w:rPr>
            </w:pPr>
          </w:p>
        </w:tc>
        <w:tc>
          <w:tcPr>
            <w:tcW w:w="1183" w:type="dxa"/>
            <w:vAlign w:val="center"/>
          </w:tcPr>
          <w:p>
            <w:pPr>
              <w:spacing w:line="360" w:lineRule="auto"/>
              <w:rPr>
                <w:rFonts w:ascii="仿宋" w:hAnsi="仿宋" w:eastAsia="仿宋" w:cs="仿宋"/>
                <w:color w:val="auto"/>
                <w:sz w:val="24"/>
                <w:szCs w:val="24"/>
              </w:rPr>
            </w:pPr>
          </w:p>
        </w:tc>
        <w:tc>
          <w:tcPr>
            <w:tcW w:w="1367" w:type="dxa"/>
            <w:vAlign w:val="center"/>
          </w:tcPr>
          <w:p>
            <w:pPr>
              <w:spacing w:line="360" w:lineRule="auto"/>
              <w:jc w:val="center"/>
              <w:rPr>
                <w:rFonts w:ascii="仿宋" w:hAnsi="仿宋" w:eastAsia="仿宋" w:cs="仿宋"/>
                <w:color w:val="auto"/>
                <w:sz w:val="24"/>
                <w:szCs w:val="24"/>
              </w:rPr>
            </w:pPr>
          </w:p>
        </w:tc>
        <w:tc>
          <w:tcPr>
            <w:tcW w:w="1233" w:type="dxa"/>
            <w:vAlign w:val="center"/>
          </w:tcPr>
          <w:p>
            <w:pPr>
              <w:spacing w:line="360" w:lineRule="auto"/>
              <w:jc w:val="center"/>
              <w:rPr>
                <w:rFonts w:ascii="仿宋" w:hAnsi="仿宋" w:eastAsia="仿宋" w:cs="仿宋"/>
                <w:color w:val="auto"/>
                <w:sz w:val="24"/>
                <w:szCs w:val="24"/>
              </w:rPr>
            </w:pPr>
          </w:p>
        </w:tc>
        <w:tc>
          <w:tcPr>
            <w:tcW w:w="750" w:type="dxa"/>
            <w:vAlign w:val="center"/>
          </w:tcPr>
          <w:p>
            <w:pPr>
              <w:spacing w:line="360" w:lineRule="auto"/>
              <w:jc w:val="center"/>
              <w:rPr>
                <w:rFonts w:ascii="仿宋" w:hAnsi="仿宋" w:eastAsia="仿宋" w:cs="仿宋"/>
                <w:color w:val="auto"/>
                <w:sz w:val="24"/>
                <w:szCs w:val="24"/>
              </w:rPr>
            </w:pPr>
          </w:p>
        </w:tc>
        <w:tc>
          <w:tcPr>
            <w:tcW w:w="760" w:type="dxa"/>
            <w:vAlign w:val="center"/>
          </w:tcPr>
          <w:p>
            <w:pPr>
              <w:spacing w:line="360" w:lineRule="auto"/>
              <w:jc w:val="center"/>
              <w:rPr>
                <w:rFonts w:ascii="仿宋" w:hAnsi="仿宋" w:eastAsia="仿宋" w:cs="仿宋"/>
                <w:color w:val="auto"/>
                <w:sz w:val="24"/>
                <w:szCs w:val="24"/>
              </w:rPr>
            </w:pPr>
          </w:p>
        </w:tc>
        <w:tc>
          <w:tcPr>
            <w:tcW w:w="1137" w:type="dxa"/>
            <w:vAlign w:val="center"/>
          </w:tcPr>
          <w:p>
            <w:pPr>
              <w:spacing w:line="360" w:lineRule="auto"/>
              <w:jc w:val="center"/>
              <w:rPr>
                <w:rFonts w:ascii="仿宋" w:hAnsi="仿宋" w:eastAsia="仿宋" w:cs="仿宋"/>
                <w:color w:val="auto"/>
                <w:sz w:val="24"/>
                <w:szCs w:val="24"/>
              </w:rPr>
            </w:pPr>
          </w:p>
        </w:tc>
        <w:tc>
          <w:tcPr>
            <w:tcW w:w="1247" w:type="dxa"/>
            <w:vAlign w:val="center"/>
          </w:tcPr>
          <w:p>
            <w:pPr>
              <w:spacing w:line="360" w:lineRule="auto"/>
              <w:jc w:val="center"/>
              <w:rPr>
                <w:rFonts w:ascii="仿宋" w:hAnsi="仿宋" w:eastAsia="仿宋" w:cs="仿宋"/>
                <w:color w:val="auto"/>
                <w:sz w:val="24"/>
                <w:szCs w:val="24"/>
              </w:rPr>
            </w:pPr>
          </w:p>
        </w:tc>
        <w:tc>
          <w:tcPr>
            <w:tcW w:w="662" w:type="dxa"/>
            <w:vAlign w:val="center"/>
          </w:tcPr>
          <w:p>
            <w:pPr>
              <w:spacing w:line="360" w:lineRule="auto"/>
              <w:jc w:val="center"/>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pacing w:line="360" w:lineRule="auto"/>
              <w:jc w:val="center"/>
              <w:rPr>
                <w:rFonts w:ascii="仿宋" w:hAnsi="仿宋" w:eastAsia="仿宋" w:cs="仿宋"/>
                <w:color w:val="auto"/>
                <w:sz w:val="24"/>
                <w:szCs w:val="24"/>
              </w:rPr>
            </w:pPr>
          </w:p>
        </w:tc>
        <w:tc>
          <w:tcPr>
            <w:tcW w:w="1183" w:type="dxa"/>
            <w:vAlign w:val="center"/>
          </w:tcPr>
          <w:p>
            <w:pPr>
              <w:spacing w:line="360" w:lineRule="auto"/>
              <w:rPr>
                <w:rFonts w:ascii="仿宋" w:hAnsi="仿宋" w:eastAsia="仿宋" w:cs="仿宋"/>
                <w:color w:val="auto"/>
                <w:sz w:val="24"/>
                <w:szCs w:val="24"/>
              </w:rPr>
            </w:pPr>
          </w:p>
        </w:tc>
        <w:tc>
          <w:tcPr>
            <w:tcW w:w="1367" w:type="dxa"/>
            <w:vAlign w:val="center"/>
          </w:tcPr>
          <w:p>
            <w:pPr>
              <w:spacing w:line="360" w:lineRule="auto"/>
              <w:jc w:val="center"/>
              <w:rPr>
                <w:rFonts w:ascii="仿宋" w:hAnsi="仿宋" w:eastAsia="仿宋" w:cs="仿宋"/>
                <w:color w:val="auto"/>
                <w:sz w:val="24"/>
                <w:szCs w:val="24"/>
              </w:rPr>
            </w:pPr>
          </w:p>
        </w:tc>
        <w:tc>
          <w:tcPr>
            <w:tcW w:w="1233" w:type="dxa"/>
            <w:vAlign w:val="center"/>
          </w:tcPr>
          <w:p>
            <w:pPr>
              <w:spacing w:line="360" w:lineRule="auto"/>
              <w:jc w:val="center"/>
              <w:rPr>
                <w:rFonts w:ascii="仿宋" w:hAnsi="仿宋" w:eastAsia="仿宋" w:cs="仿宋"/>
                <w:color w:val="auto"/>
                <w:sz w:val="24"/>
                <w:szCs w:val="24"/>
              </w:rPr>
            </w:pPr>
          </w:p>
        </w:tc>
        <w:tc>
          <w:tcPr>
            <w:tcW w:w="750" w:type="dxa"/>
            <w:vAlign w:val="center"/>
          </w:tcPr>
          <w:p>
            <w:pPr>
              <w:spacing w:line="360" w:lineRule="auto"/>
              <w:jc w:val="center"/>
              <w:rPr>
                <w:rFonts w:ascii="仿宋" w:hAnsi="仿宋" w:eastAsia="仿宋" w:cs="仿宋"/>
                <w:color w:val="auto"/>
                <w:sz w:val="24"/>
                <w:szCs w:val="24"/>
              </w:rPr>
            </w:pPr>
          </w:p>
        </w:tc>
        <w:tc>
          <w:tcPr>
            <w:tcW w:w="760" w:type="dxa"/>
            <w:vAlign w:val="center"/>
          </w:tcPr>
          <w:p>
            <w:pPr>
              <w:spacing w:line="360" w:lineRule="auto"/>
              <w:jc w:val="center"/>
              <w:rPr>
                <w:rFonts w:ascii="仿宋" w:hAnsi="仿宋" w:eastAsia="仿宋" w:cs="仿宋"/>
                <w:color w:val="auto"/>
                <w:sz w:val="24"/>
                <w:szCs w:val="24"/>
              </w:rPr>
            </w:pPr>
          </w:p>
        </w:tc>
        <w:tc>
          <w:tcPr>
            <w:tcW w:w="1137" w:type="dxa"/>
            <w:vAlign w:val="center"/>
          </w:tcPr>
          <w:p>
            <w:pPr>
              <w:spacing w:line="360" w:lineRule="auto"/>
              <w:jc w:val="center"/>
              <w:rPr>
                <w:rFonts w:ascii="仿宋" w:hAnsi="仿宋" w:eastAsia="仿宋" w:cs="仿宋"/>
                <w:color w:val="auto"/>
                <w:sz w:val="24"/>
                <w:szCs w:val="24"/>
              </w:rPr>
            </w:pPr>
          </w:p>
        </w:tc>
        <w:tc>
          <w:tcPr>
            <w:tcW w:w="1247" w:type="dxa"/>
            <w:vAlign w:val="center"/>
          </w:tcPr>
          <w:p>
            <w:pPr>
              <w:spacing w:line="360" w:lineRule="auto"/>
              <w:jc w:val="center"/>
              <w:rPr>
                <w:rFonts w:ascii="仿宋" w:hAnsi="仿宋" w:eastAsia="仿宋" w:cs="仿宋"/>
                <w:color w:val="auto"/>
                <w:sz w:val="24"/>
                <w:szCs w:val="24"/>
              </w:rPr>
            </w:pPr>
          </w:p>
        </w:tc>
        <w:tc>
          <w:tcPr>
            <w:tcW w:w="662" w:type="dxa"/>
            <w:vAlign w:val="center"/>
          </w:tcPr>
          <w:p>
            <w:pPr>
              <w:spacing w:line="360" w:lineRule="auto"/>
              <w:jc w:val="center"/>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pacing w:line="360" w:lineRule="auto"/>
              <w:jc w:val="center"/>
              <w:rPr>
                <w:rFonts w:ascii="仿宋" w:hAnsi="仿宋" w:eastAsia="仿宋" w:cs="仿宋"/>
                <w:color w:val="auto"/>
                <w:sz w:val="24"/>
                <w:szCs w:val="24"/>
              </w:rPr>
            </w:pPr>
          </w:p>
        </w:tc>
        <w:tc>
          <w:tcPr>
            <w:tcW w:w="1183" w:type="dxa"/>
            <w:vAlign w:val="center"/>
          </w:tcPr>
          <w:p>
            <w:pPr>
              <w:spacing w:line="360" w:lineRule="auto"/>
              <w:rPr>
                <w:rFonts w:ascii="仿宋" w:hAnsi="仿宋" w:eastAsia="仿宋" w:cs="仿宋"/>
                <w:color w:val="auto"/>
                <w:sz w:val="24"/>
                <w:szCs w:val="24"/>
              </w:rPr>
            </w:pPr>
          </w:p>
        </w:tc>
        <w:tc>
          <w:tcPr>
            <w:tcW w:w="1367" w:type="dxa"/>
            <w:vAlign w:val="center"/>
          </w:tcPr>
          <w:p>
            <w:pPr>
              <w:spacing w:line="360" w:lineRule="auto"/>
              <w:jc w:val="center"/>
              <w:rPr>
                <w:rFonts w:ascii="仿宋" w:hAnsi="仿宋" w:eastAsia="仿宋" w:cs="仿宋"/>
                <w:color w:val="auto"/>
                <w:sz w:val="24"/>
                <w:szCs w:val="24"/>
              </w:rPr>
            </w:pPr>
          </w:p>
        </w:tc>
        <w:tc>
          <w:tcPr>
            <w:tcW w:w="1233" w:type="dxa"/>
            <w:vAlign w:val="center"/>
          </w:tcPr>
          <w:p>
            <w:pPr>
              <w:spacing w:line="360" w:lineRule="auto"/>
              <w:jc w:val="center"/>
              <w:rPr>
                <w:rFonts w:ascii="仿宋" w:hAnsi="仿宋" w:eastAsia="仿宋" w:cs="仿宋"/>
                <w:color w:val="auto"/>
                <w:sz w:val="24"/>
                <w:szCs w:val="24"/>
              </w:rPr>
            </w:pPr>
          </w:p>
        </w:tc>
        <w:tc>
          <w:tcPr>
            <w:tcW w:w="750" w:type="dxa"/>
            <w:vAlign w:val="center"/>
          </w:tcPr>
          <w:p>
            <w:pPr>
              <w:spacing w:line="360" w:lineRule="auto"/>
              <w:jc w:val="center"/>
              <w:rPr>
                <w:rFonts w:ascii="仿宋" w:hAnsi="仿宋" w:eastAsia="仿宋" w:cs="仿宋"/>
                <w:color w:val="auto"/>
                <w:sz w:val="24"/>
                <w:szCs w:val="24"/>
              </w:rPr>
            </w:pPr>
          </w:p>
        </w:tc>
        <w:tc>
          <w:tcPr>
            <w:tcW w:w="760" w:type="dxa"/>
            <w:vAlign w:val="center"/>
          </w:tcPr>
          <w:p>
            <w:pPr>
              <w:spacing w:line="360" w:lineRule="auto"/>
              <w:jc w:val="center"/>
              <w:rPr>
                <w:rFonts w:ascii="仿宋" w:hAnsi="仿宋" w:eastAsia="仿宋" w:cs="仿宋"/>
                <w:color w:val="auto"/>
                <w:sz w:val="24"/>
                <w:szCs w:val="24"/>
              </w:rPr>
            </w:pPr>
          </w:p>
        </w:tc>
        <w:tc>
          <w:tcPr>
            <w:tcW w:w="1137" w:type="dxa"/>
            <w:vAlign w:val="center"/>
          </w:tcPr>
          <w:p>
            <w:pPr>
              <w:spacing w:line="360" w:lineRule="auto"/>
              <w:jc w:val="center"/>
              <w:rPr>
                <w:rFonts w:ascii="仿宋" w:hAnsi="仿宋" w:eastAsia="仿宋" w:cs="仿宋"/>
                <w:color w:val="auto"/>
                <w:sz w:val="24"/>
                <w:szCs w:val="24"/>
              </w:rPr>
            </w:pPr>
          </w:p>
        </w:tc>
        <w:tc>
          <w:tcPr>
            <w:tcW w:w="1247" w:type="dxa"/>
            <w:vAlign w:val="center"/>
          </w:tcPr>
          <w:p>
            <w:pPr>
              <w:spacing w:line="360" w:lineRule="auto"/>
              <w:jc w:val="center"/>
              <w:rPr>
                <w:rFonts w:ascii="仿宋" w:hAnsi="仿宋" w:eastAsia="仿宋" w:cs="仿宋"/>
                <w:color w:val="auto"/>
                <w:sz w:val="24"/>
                <w:szCs w:val="24"/>
              </w:rPr>
            </w:pPr>
          </w:p>
        </w:tc>
        <w:tc>
          <w:tcPr>
            <w:tcW w:w="662" w:type="dxa"/>
            <w:vAlign w:val="center"/>
          </w:tcPr>
          <w:p>
            <w:pPr>
              <w:spacing w:line="360" w:lineRule="auto"/>
              <w:jc w:val="center"/>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vAlign w:val="center"/>
          </w:tcPr>
          <w:p>
            <w:pPr>
              <w:spacing w:line="360" w:lineRule="auto"/>
              <w:jc w:val="center"/>
              <w:rPr>
                <w:rFonts w:ascii="仿宋" w:hAnsi="仿宋" w:eastAsia="仿宋" w:cs="仿宋"/>
                <w:color w:val="auto"/>
                <w:sz w:val="24"/>
                <w:szCs w:val="24"/>
              </w:rPr>
            </w:pPr>
          </w:p>
        </w:tc>
        <w:tc>
          <w:tcPr>
            <w:tcW w:w="1183" w:type="dxa"/>
            <w:vAlign w:val="center"/>
          </w:tcPr>
          <w:p>
            <w:pPr>
              <w:spacing w:line="360" w:lineRule="auto"/>
              <w:rPr>
                <w:rFonts w:ascii="仿宋" w:hAnsi="仿宋" w:eastAsia="仿宋" w:cs="仿宋"/>
                <w:color w:val="auto"/>
                <w:sz w:val="24"/>
                <w:szCs w:val="24"/>
              </w:rPr>
            </w:pPr>
          </w:p>
        </w:tc>
        <w:tc>
          <w:tcPr>
            <w:tcW w:w="1367" w:type="dxa"/>
            <w:vAlign w:val="center"/>
          </w:tcPr>
          <w:p>
            <w:pPr>
              <w:spacing w:line="360" w:lineRule="auto"/>
              <w:jc w:val="center"/>
              <w:rPr>
                <w:rFonts w:ascii="仿宋" w:hAnsi="仿宋" w:eastAsia="仿宋" w:cs="仿宋"/>
                <w:color w:val="auto"/>
                <w:sz w:val="24"/>
                <w:szCs w:val="24"/>
              </w:rPr>
            </w:pPr>
          </w:p>
        </w:tc>
        <w:tc>
          <w:tcPr>
            <w:tcW w:w="1233" w:type="dxa"/>
            <w:vAlign w:val="center"/>
          </w:tcPr>
          <w:p>
            <w:pPr>
              <w:spacing w:line="360" w:lineRule="auto"/>
              <w:jc w:val="center"/>
              <w:rPr>
                <w:rFonts w:ascii="仿宋" w:hAnsi="仿宋" w:eastAsia="仿宋" w:cs="仿宋"/>
                <w:color w:val="auto"/>
                <w:sz w:val="24"/>
                <w:szCs w:val="24"/>
              </w:rPr>
            </w:pPr>
          </w:p>
        </w:tc>
        <w:tc>
          <w:tcPr>
            <w:tcW w:w="750" w:type="dxa"/>
            <w:vAlign w:val="center"/>
          </w:tcPr>
          <w:p>
            <w:pPr>
              <w:spacing w:line="360" w:lineRule="auto"/>
              <w:jc w:val="center"/>
              <w:rPr>
                <w:rFonts w:ascii="仿宋" w:hAnsi="仿宋" w:eastAsia="仿宋" w:cs="仿宋"/>
                <w:color w:val="auto"/>
                <w:sz w:val="24"/>
                <w:szCs w:val="24"/>
              </w:rPr>
            </w:pPr>
          </w:p>
        </w:tc>
        <w:tc>
          <w:tcPr>
            <w:tcW w:w="760" w:type="dxa"/>
            <w:vAlign w:val="center"/>
          </w:tcPr>
          <w:p>
            <w:pPr>
              <w:spacing w:line="360" w:lineRule="auto"/>
              <w:jc w:val="center"/>
              <w:rPr>
                <w:rFonts w:ascii="仿宋" w:hAnsi="仿宋" w:eastAsia="仿宋" w:cs="仿宋"/>
                <w:color w:val="auto"/>
                <w:sz w:val="24"/>
                <w:szCs w:val="24"/>
              </w:rPr>
            </w:pPr>
          </w:p>
        </w:tc>
        <w:tc>
          <w:tcPr>
            <w:tcW w:w="1137" w:type="dxa"/>
            <w:vAlign w:val="center"/>
          </w:tcPr>
          <w:p>
            <w:pPr>
              <w:spacing w:line="360" w:lineRule="auto"/>
              <w:jc w:val="center"/>
              <w:rPr>
                <w:rFonts w:ascii="仿宋" w:hAnsi="仿宋" w:eastAsia="仿宋" w:cs="仿宋"/>
                <w:color w:val="auto"/>
                <w:sz w:val="24"/>
                <w:szCs w:val="24"/>
              </w:rPr>
            </w:pPr>
          </w:p>
        </w:tc>
        <w:tc>
          <w:tcPr>
            <w:tcW w:w="1247" w:type="dxa"/>
            <w:vAlign w:val="center"/>
          </w:tcPr>
          <w:p>
            <w:pPr>
              <w:spacing w:line="360" w:lineRule="auto"/>
              <w:jc w:val="center"/>
              <w:rPr>
                <w:rFonts w:ascii="仿宋" w:hAnsi="仿宋" w:eastAsia="仿宋" w:cs="仿宋"/>
                <w:color w:val="auto"/>
                <w:sz w:val="24"/>
                <w:szCs w:val="24"/>
              </w:rPr>
            </w:pPr>
          </w:p>
        </w:tc>
        <w:tc>
          <w:tcPr>
            <w:tcW w:w="662" w:type="dxa"/>
            <w:vAlign w:val="center"/>
          </w:tcPr>
          <w:p>
            <w:pPr>
              <w:spacing w:line="360" w:lineRule="auto"/>
              <w:jc w:val="center"/>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733" w:type="dxa"/>
            <w:vAlign w:val="center"/>
          </w:tcPr>
          <w:p>
            <w:pPr>
              <w:spacing w:line="360" w:lineRule="auto"/>
              <w:jc w:val="center"/>
              <w:rPr>
                <w:rFonts w:ascii="仿宋" w:hAnsi="仿宋" w:eastAsia="仿宋" w:cs="仿宋"/>
                <w:color w:val="auto"/>
                <w:sz w:val="24"/>
                <w:szCs w:val="24"/>
              </w:rPr>
            </w:pPr>
          </w:p>
        </w:tc>
        <w:tc>
          <w:tcPr>
            <w:tcW w:w="1183" w:type="dxa"/>
            <w:vAlign w:val="center"/>
          </w:tcPr>
          <w:p>
            <w:pPr>
              <w:spacing w:line="360" w:lineRule="auto"/>
              <w:rPr>
                <w:rFonts w:ascii="仿宋" w:hAnsi="仿宋" w:eastAsia="仿宋" w:cs="仿宋"/>
                <w:color w:val="auto"/>
                <w:sz w:val="24"/>
                <w:szCs w:val="24"/>
              </w:rPr>
            </w:pPr>
          </w:p>
        </w:tc>
        <w:tc>
          <w:tcPr>
            <w:tcW w:w="1367" w:type="dxa"/>
            <w:vAlign w:val="center"/>
          </w:tcPr>
          <w:p>
            <w:pPr>
              <w:spacing w:line="360" w:lineRule="auto"/>
              <w:jc w:val="center"/>
              <w:rPr>
                <w:rFonts w:ascii="仿宋" w:hAnsi="仿宋" w:eastAsia="仿宋" w:cs="仿宋"/>
                <w:color w:val="auto"/>
                <w:sz w:val="24"/>
                <w:szCs w:val="24"/>
              </w:rPr>
            </w:pPr>
          </w:p>
        </w:tc>
        <w:tc>
          <w:tcPr>
            <w:tcW w:w="1233" w:type="dxa"/>
            <w:vAlign w:val="center"/>
          </w:tcPr>
          <w:p>
            <w:pPr>
              <w:spacing w:line="360" w:lineRule="auto"/>
              <w:jc w:val="center"/>
              <w:rPr>
                <w:rFonts w:ascii="仿宋" w:hAnsi="仿宋" w:eastAsia="仿宋" w:cs="仿宋"/>
                <w:color w:val="auto"/>
                <w:sz w:val="24"/>
                <w:szCs w:val="24"/>
              </w:rPr>
            </w:pPr>
          </w:p>
        </w:tc>
        <w:tc>
          <w:tcPr>
            <w:tcW w:w="750" w:type="dxa"/>
            <w:vAlign w:val="center"/>
          </w:tcPr>
          <w:p>
            <w:pPr>
              <w:spacing w:line="360" w:lineRule="auto"/>
              <w:jc w:val="center"/>
              <w:rPr>
                <w:rFonts w:ascii="仿宋" w:hAnsi="仿宋" w:eastAsia="仿宋" w:cs="仿宋"/>
                <w:color w:val="auto"/>
                <w:sz w:val="24"/>
                <w:szCs w:val="24"/>
              </w:rPr>
            </w:pPr>
          </w:p>
        </w:tc>
        <w:tc>
          <w:tcPr>
            <w:tcW w:w="760" w:type="dxa"/>
            <w:vAlign w:val="center"/>
          </w:tcPr>
          <w:p>
            <w:pPr>
              <w:spacing w:line="360" w:lineRule="auto"/>
              <w:jc w:val="center"/>
              <w:rPr>
                <w:rFonts w:ascii="仿宋" w:hAnsi="仿宋" w:eastAsia="仿宋" w:cs="仿宋"/>
                <w:color w:val="auto"/>
                <w:sz w:val="24"/>
                <w:szCs w:val="24"/>
              </w:rPr>
            </w:pPr>
          </w:p>
        </w:tc>
        <w:tc>
          <w:tcPr>
            <w:tcW w:w="1137" w:type="dxa"/>
            <w:vAlign w:val="center"/>
          </w:tcPr>
          <w:p>
            <w:pPr>
              <w:spacing w:line="360" w:lineRule="auto"/>
              <w:jc w:val="center"/>
              <w:rPr>
                <w:rFonts w:ascii="仿宋" w:hAnsi="仿宋" w:eastAsia="仿宋" w:cs="仿宋"/>
                <w:color w:val="auto"/>
                <w:sz w:val="24"/>
                <w:szCs w:val="24"/>
              </w:rPr>
            </w:pPr>
          </w:p>
        </w:tc>
        <w:tc>
          <w:tcPr>
            <w:tcW w:w="1247" w:type="dxa"/>
            <w:vAlign w:val="center"/>
          </w:tcPr>
          <w:p>
            <w:pPr>
              <w:spacing w:line="360" w:lineRule="auto"/>
              <w:jc w:val="center"/>
              <w:rPr>
                <w:rFonts w:ascii="仿宋" w:hAnsi="仿宋" w:eastAsia="仿宋" w:cs="仿宋"/>
                <w:color w:val="auto"/>
                <w:sz w:val="24"/>
                <w:szCs w:val="24"/>
              </w:rPr>
            </w:pPr>
          </w:p>
        </w:tc>
        <w:tc>
          <w:tcPr>
            <w:tcW w:w="662" w:type="dxa"/>
            <w:vAlign w:val="center"/>
          </w:tcPr>
          <w:p>
            <w:pPr>
              <w:spacing w:line="360" w:lineRule="auto"/>
              <w:jc w:val="center"/>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916" w:type="dxa"/>
            <w:gridSpan w:val="2"/>
            <w:vAlign w:val="center"/>
          </w:tcPr>
          <w:p>
            <w:pPr>
              <w:jc w:val="center"/>
              <w:rPr>
                <w:rFonts w:ascii="仿宋" w:hAnsi="仿宋" w:eastAsia="仿宋" w:cs="仿宋"/>
                <w:color w:val="auto"/>
                <w:sz w:val="24"/>
                <w:szCs w:val="24"/>
              </w:rPr>
            </w:pPr>
            <w:r>
              <w:rPr>
                <w:rFonts w:hint="eastAsia" w:ascii="仿宋" w:hAnsi="仿宋" w:eastAsia="仿宋" w:cs="仿宋"/>
                <w:color w:val="auto"/>
                <w:sz w:val="24"/>
                <w:szCs w:val="24"/>
              </w:rPr>
              <w:t>合计金额（元）</w:t>
            </w:r>
          </w:p>
        </w:tc>
        <w:tc>
          <w:tcPr>
            <w:tcW w:w="7156" w:type="dxa"/>
            <w:gridSpan w:val="7"/>
            <w:vAlign w:val="center"/>
          </w:tcPr>
          <w:p>
            <w:pPr>
              <w:jc w:val="center"/>
              <w:rPr>
                <w:rFonts w:ascii="仿宋" w:hAnsi="仿宋" w:eastAsia="仿宋" w:cs="仿宋"/>
                <w:color w:val="auto"/>
                <w:sz w:val="24"/>
                <w:szCs w:val="24"/>
              </w:rPr>
            </w:pPr>
          </w:p>
        </w:tc>
      </w:tr>
    </w:tbl>
    <w:p>
      <w:pPr>
        <w:ind w:left="420" w:leftChars="200"/>
        <w:rPr>
          <w:rFonts w:ascii="仿宋" w:hAnsi="仿宋" w:eastAsia="仿宋" w:cs="仿宋"/>
          <w:color w:val="auto"/>
          <w:sz w:val="24"/>
          <w:szCs w:val="24"/>
        </w:rPr>
      </w:pPr>
    </w:p>
    <w:p>
      <w:pPr>
        <w:pStyle w:val="36"/>
        <w:spacing w:line="360" w:lineRule="auto"/>
        <w:ind w:firstLine="480"/>
        <w:rPr>
          <w:rFonts w:ascii="仿宋" w:hAnsi="仿宋" w:eastAsia="仿宋" w:cs="仿宋"/>
          <w:bCs/>
          <w:color w:val="auto"/>
          <w:kern w:val="0"/>
          <w:sz w:val="24"/>
          <w:szCs w:val="24"/>
        </w:rPr>
      </w:pPr>
      <w:r>
        <w:rPr>
          <w:rFonts w:hint="eastAsia" w:ascii="仿宋" w:hAnsi="仿宋" w:eastAsia="仿宋" w:cs="仿宋"/>
          <w:color w:val="auto"/>
          <w:sz w:val="24"/>
          <w:szCs w:val="24"/>
        </w:rPr>
        <w:t>注：合计金额=各总价金额之和，报价</w:t>
      </w:r>
      <w:r>
        <w:rPr>
          <w:rFonts w:hint="eastAsia" w:ascii="仿宋" w:hAnsi="仿宋" w:eastAsia="仿宋" w:cs="仿宋"/>
          <w:bCs/>
          <w:color w:val="auto"/>
          <w:kern w:val="0"/>
          <w:sz w:val="24"/>
          <w:szCs w:val="24"/>
        </w:rPr>
        <w:t>以元为单位，四舍五入精确到小数点后两位。</w:t>
      </w:r>
    </w:p>
    <w:p>
      <w:pPr>
        <w:pStyle w:val="36"/>
        <w:spacing w:line="360" w:lineRule="auto"/>
        <w:ind w:firstLine="480"/>
        <w:rPr>
          <w:rFonts w:ascii="仿宋" w:hAnsi="仿宋" w:eastAsia="仿宋" w:cs="仿宋"/>
          <w:bCs/>
          <w:color w:val="auto"/>
          <w:kern w:val="0"/>
          <w:sz w:val="24"/>
          <w:szCs w:val="24"/>
        </w:rPr>
      </w:pPr>
    </w:p>
    <w:p>
      <w:pPr>
        <w:pStyle w:val="36"/>
        <w:spacing w:line="360" w:lineRule="auto"/>
        <w:ind w:firstLine="480"/>
        <w:rPr>
          <w:rFonts w:ascii="仿宋" w:hAnsi="仿宋" w:eastAsia="仿宋" w:cs="仿宋"/>
          <w:bCs/>
          <w:color w:val="auto"/>
          <w:kern w:val="0"/>
          <w:sz w:val="24"/>
          <w:szCs w:val="24"/>
        </w:rPr>
      </w:pPr>
    </w:p>
    <w:p>
      <w:pPr>
        <w:spacing w:line="360" w:lineRule="auto"/>
        <w:ind w:firstLine="4080" w:firstLineChars="1700"/>
        <w:rPr>
          <w:rFonts w:ascii="仿宋" w:hAnsi="仿宋" w:eastAsia="仿宋" w:cs="仿宋"/>
          <w:color w:val="auto"/>
          <w:sz w:val="24"/>
          <w:szCs w:val="24"/>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w:t>
      </w:r>
    </w:p>
    <w:p>
      <w:pPr>
        <w:spacing w:line="360" w:lineRule="auto"/>
        <w:ind w:firstLine="4080" w:firstLineChars="1700"/>
        <w:rPr>
          <w:rFonts w:ascii="仿宋" w:hAnsi="仿宋" w:eastAsia="仿宋" w:cs="仿宋"/>
          <w:color w:val="auto"/>
          <w:sz w:val="24"/>
          <w:szCs w:val="24"/>
          <w:u w:val="single"/>
        </w:rPr>
      </w:pPr>
      <w:r>
        <w:rPr>
          <w:rFonts w:hint="eastAsia" w:ascii="仿宋" w:hAnsi="仿宋" w:eastAsia="仿宋" w:cs="仿宋"/>
          <w:color w:val="auto"/>
          <w:sz w:val="24"/>
          <w:szCs w:val="24"/>
        </w:rPr>
        <w:t>法定代表人或授权代表（签字或盖章）：</w:t>
      </w:r>
      <w:r>
        <w:rPr>
          <w:rFonts w:hint="eastAsia" w:ascii="仿宋" w:hAnsi="仿宋" w:eastAsia="仿宋" w:cs="仿宋"/>
          <w:color w:val="auto"/>
          <w:sz w:val="24"/>
          <w:szCs w:val="24"/>
          <w:u w:val="single"/>
        </w:rPr>
        <w:t xml:space="preserve">     </w:t>
      </w:r>
    </w:p>
    <w:p>
      <w:pPr>
        <w:adjustRightInd w:val="0"/>
        <w:snapToGrid w:val="0"/>
        <w:spacing w:line="360" w:lineRule="auto"/>
        <w:ind w:firstLine="4080" w:firstLineChars="1700"/>
        <w:rPr>
          <w:rFonts w:ascii="仿宋" w:hAnsi="仿宋" w:eastAsia="仿宋" w:cs="仿宋"/>
          <w:color w:val="auto"/>
          <w:sz w:val="24"/>
          <w:szCs w:val="24"/>
          <w:u w:val="single"/>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p>
    <w:p>
      <w:pPr>
        <w:pStyle w:val="36"/>
        <w:spacing w:line="360" w:lineRule="auto"/>
        <w:ind w:firstLine="480"/>
        <w:rPr>
          <w:rFonts w:ascii="仿宋" w:hAnsi="仿宋" w:eastAsia="仿宋" w:cs="仿宋"/>
          <w:bCs/>
          <w:color w:val="auto"/>
          <w:kern w:val="0"/>
          <w:sz w:val="24"/>
          <w:szCs w:val="24"/>
        </w:rPr>
      </w:pPr>
    </w:p>
    <w:p>
      <w:pPr>
        <w:pStyle w:val="9"/>
        <w:keepNext w:val="0"/>
        <w:pageBreakBefore/>
        <w:spacing w:line="360" w:lineRule="auto"/>
        <w:ind w:left="420" w:leftChars="200"/>
        <w:rPr>
          <w:rFonts w:ascii="仿宋" w:hAnsi="仿宋" w:eastAsia="仿宋" w:cs="仿宋"/>
          <w:color w:val="auto"/>
          <w:sz w:val="32"/>
          <w:szCs w:val="32"/>
          <w:lang w:val="zh-CN"/>
        </w:rPr>
      </w:pPr>
      <w:bookmarkStart w:id="366" w:name="_Toc1738"/>
      <w:r>
        <w:rPr>
          <w:rFonts w:hint="eastAsia" w:ascii="仿宋" w:hAnsi="仿宋" w:eastAsia="仿宋" w:cs="仿宋"/>
          <w:color w:val="auto"/>
          <w:sz w:val="32"/>
          <w:szCs w:val="32"/>
          <w:lang w:val="zh-CN"/>
        </w:rPr>
        <w:t>四、供应商资格证明文件</w:t>
      </w:r>
      <w:bookmarkEnd w:id="366"/>
    </w:p>
    <w:p>
      <w:pPr>
        <w:spacing w:line="360" w:lineRule="auto"/>
        <w:ind w:firstLine="482" w:firstLineChars="200"/>
        <w:rPr>
          <w:rFonts w:ascii="仿宋" w:hAnsi="仿宋" w:eastAsia="仿宋" w:cs="仿宋"/>
          <w:b/>
          <w:bCs/>
          <w:color w:val="auto"/>
          <w:sz w:val="24"/>
          <w:szCs w:val="24"/>
        </w:rPr>
      </w:pPr>
      <w:r>
        <w:rPr>
          <w:rFonts w:hint="eastAsia" w:ascii="仿宋" w:hAnsi="仿宋" w:eastAsia="仿宋" w:cs="仿宋"/>
          <w:b/>
          <w:bCs/>
          <w:color w:val="auto"/>
          <w:sz w:val="24"/>
          <w:szCs w:val="24"/>
        </w:rPr>
        <w:t>1、基本资格条件：符合《中华人民共和国政府采购法》第二十二条的规定；</w:t>
      </w:r>
    </w:p>
    <w:p>
      <w:pPr>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1）提供统一社会信用代码的营业执照或其他组织经营的合法凭证或自然人的提供身份证明文件</w:t>
      </w:r>
      <w:r>
        <w:rPr>
          <w:rFonts w:hint="eastAsia" w:ascii="仿宋" w:hAnsi="仿宋" w:eastAsia="仿宋" w:cs="仿宋"/>
          <w:color w:val="auto"/>
          <w:sz w:val="24"/>
          <w:szCs w:val="24"/>
          <w:lang w:val="zh-CN"/>
        </w:rPr>
        <w:t>；</w:t>
      </w:r>
    </w:p>
    <w:p>
      <w:pPr>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2）财务状况报告：提供具有财务审计资质单位出具的2021年度财务报告或开标前六个月内其基本账户银行出具的资信证明（附基本户证明资料）或财政部门认可的政府采购专业担保机构出具的担保函，以上形式的证明资料提供任何一种即可</w:t>
      </w:r>
      <w:r>
        <w:rPr>
          <w:rFonts w:hint="eastAsia" w:ascii="仿宋" w:hAnsi="仿宋" w:eastAsia="仿宋" w:cs="仿宋"/>
          <w:color w:val="auto"/>
          <w:sz w:val="24"/>
          <w:szCs w:val="24"/>
          <w:lang w:val="zh-CN"/>
        </w:rPr>
        <w:t>；</w:t>
      </w:r>
    </w:p>
    <w:p>
      <w:pPr>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3）税收缴纳证明：提供已缴纳的 2022年1月1日以来至少一个月的纳税证明或完税证明（提供增值税、企业所得税至少一种），纳税证明或完税证明上</w:t>
      </w:r>
      <w:r>
        <w:rPr>
          <w:rFonts w:hint="eastAsia" w:ascii="仿宋" w:hAnsi="仿宋" w:eastAsia="仿宋" w:cs="仿宋"/>
          <w:color w:val="auto"/>
          <w:sz w:val="24"/>
          <w:szCs w:val="24"/>
          <w:lang w:val="zh-CN"/>
        </w:rPr>
        <w:t>应有代收机构或税务机关的公章或业务专用章。依法免税的供应商应提供相关文件证明；</w:t>
      </w:r>
    </w:p>
    <w:p>
      <w:pPr>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（4）社会保障资金缴纳证明：提供已缴存的 2022年1月1日以来至少一个月的社会保障资金缴存单据或社保机构开具的社会保险参保缴费情况证明。成立时间至提交响应文件截止时间不足一个月或依法不需要缴纳社会保障资金的供应商应提供相关文件证明；</w:t>
      </w:r>
    </w:p>
    <w:p>
      <w:pPr>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（5）出具履行合同所必需的设备和专业技术能力的书面声明；</w:t>
      </w:r>
    </w:p>
    <w:p>
      <w:pPr>
        <w:snapToGrid w:val="0"/>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6</w:t>
      </w:r>
      <w:r>
        <w:rPr>
          <w:rFonts w:hint="eastAsia" w:ascii="仿宋" w:hAnsi="仿宋" w:eastAsia="仿宋" w:cs="仿宋"/>
          <w:color w:val="auto"/>
          <w:sz w:val="24"/>
          <w:szCs w:val="24"/>
          <w:lang w:val="zh-CN"/>
        </w:rPr>
        <w:t>）出具参加本次政府采购活动的书面声明。</w:t>
      </w:r>
    </w:p>
    <w:p>
      <w:pPr>
        <w:spacing w:line="360" w:lineRule="auto"/>
        <w:ind w:firstLine="482" w:firstLineChars="200"/>
        <w:rPr>
          <w:rFonts w:ascii="仿宋" w:hAnsi="仿宋" w:eastAsia="仿宋" w:cs="仿宋"/>
          <w:color w:val="auto"/>
          <w:sz w:val="24"/>
          <w:szCs w:val="24"/>
        </w:rPr>
      </w:pPr>
      <w:r>
        <w:rPr>
          <w:rFonts w:hint="eastAsia" w:ascii="仿宋" w:hAnsi="仿宋" w:eastAsia="仿宋" w:cs="仿宋"/>
          <w:b/>
          <w:bCs/>
          <w:color w:val="auto"/>
          <w:sz w:val="24"/>
          <w:szCs w:val="24"/>
        </w:rPr>
        <w:t>2、特定资格条件：</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（1）法定代表人授权书及被授权人身份证，并且提供有效的劳动合同或开标截止前六个月内任意一个月养老保险缴纳证明（法人参加只需提供法定代表人身份证明）；</w:t>
      </w:r>
    </w:p>
    <w:p>
      <w:pPr>
        <w:tabs>
          <w:tab w:val="left" w:pos="9030"/>
        </w:tabs>
        <w:snapToGrid w:val="0"/>
        <w:spacing w:line="360" w:lineRule="auto"/>
        <w:ind w:right="-65" w:firstLine="480" w:firstLineChars="200"/>
        <w:rPr>
          <w:rFonts w:ascii="仿宋" w:hAnsi="仿宋" w:eastAsia="仿宋" w:cs="仿宋"/>
          <w:color w:val="auto"/>
          <w:kern w:val="0"/>
          <w:sz w:val="24"/>
          <w:szCs w:val="24"/>
        </w:rPr>
      </w:pPr>
      <w:r>
        <w:rPr>
          <w:rFonts w:hint="eastAsia" w:ascii="仿宋" w:hAnsi="仿宋" w:eastAsia="仿宋" w:cs="仿宋"/>
          <w:color w:val="auto"/>
          <w:kern w:val="0"/>
          <w:sz w:val="24"/>
          <w:szCs w:val="24"/>
        </w:rPr>
        <w:t>（2）符合《财政部关于在政府采购活动中查询及使用信用记录有关问题的通知》（财库【2016】125号）文件中信用查询的要求。（此项由采购人与采购代理单位在开标时查询，以现场查询为准。）</w:t>
      </w:r>
    </w:p>
    <w:p>
      <w:pPr>
        <w:spacing w:line="360" w:lineRule="auto"/>
        <w:ind w:firstLine="482" w:firstLineChars="200"/>
        <w:rPr>
          <w:rFonts w:ascii="仿宋" w:hAnsi="仿宋" w:eastAsia="仿宋" w:cs="仿宋"/>
          <w:b/>
          <w:bCs/>
          <w:color w:val="auto"/>
          <w:sz w:val="24"/>
          <w:szCs w:val="24"/>
        </w:rPr>
      </w:pPr>
      <w:r>
        <w:rPr>
          <w:rFonts w:hint="eastAsia" w:ascii="仿宋" w:hAnsi="仿宋" w:eastAsia="仿宋" w:cs="仿宋"/>
          <w:b/>
          <w:bCs/>
          <w:color w:val="auto"/>
          <w:sz w:val="24"/>
          <w:szCs w:val="24"/>
        </w:rPr>
        <w:t>注：“</w:t>
      </w:r>
      <w:r>
        <w:rPr>
          <w:rFonts w:hint="eastAsia" w:ascii="仿宋" w:hAnsi="仿宋" w:eastAsia="仿宋" w:cs="仿宋"/>
          <w:b/>
          <w:bCs/>
          <w:color w:val="auto"/>
          <w:sz w:val="24"/>
          <w:szCs w:val="24"/>
          <w:lang w:val="zh-CN"/>
        </w:rPr>
        <w:t>四、供应商资格证明文件</w:t>
      </w:r>
      <w:r>
        <w:rPr>
          <w:rFonts w:hint="eastAsia" w:ascii="仿宋" w:hAnsi="仿宋" w:eastAsia="仿宋" w:cs="仿宋"/>
          <w:b/>
          <w:bCs/>
          <w:color w:val="auto"/>
          <w:sz w:val="24"/>
          <w:szCs w:val="24"/>
        </w:rPr>
        <w:t>”单独胶装成册1本，与投标文件正本一同密封。</w:t>
      </w:r>
    </w:p>
    <w:p>
      <w:pPr>
        <w:pStyle w:val="16"/>
        <w:rPr>
          <w:rFonts w:ascii="仿宋" w:hAnsi="仿宋" w:eastAsia="仿宋" w:cs="仿宋"/>
          <w:color w:val="auto"/>
          <w:lang w:val="zh-CN"/>
        </w:rPr>
      </w:pPr>
    </w:p>
    <w:p>
      <w:pPr>
        <w:pageBreakBefore/>
        <w:spacing w:line="360" w:lineRule="auto"/>
        <w:jc w:val="center"/>
        <w:rPr>
          <w:rFonts w:ascii="仿宋" w:hAnsi="仿宋" w:eastAsia="仿宋" w:cs="仿宋"/>
          <w:b/>
          <w:bCs/>
          <w:color w:val="auto"/>
          <w:sz w:val="24"/>
          <w:szCs w:val="24"/>
        </w:rPr>
      </w:pPr>
      <w:r>
        <w:rPr>
          <w:rFonts w:hint="eastAsia" w:ascii="仿宋" w:hAnsi="仿宋" w:eastAsia="仿宋" w:cs="仿宋"/>
          <w:b/>
          <w:bCs/>
          <w:color w:val="auto"/>
          <w:sz w:val="32"/>
          <w:szCs w:val="32"/>
        </w:rPr>
        <w:t>供应商基本情况表</w:t>
      </w:r>
    </w:p>
    <w:tbl>
      <w:tblPr>
        <w:tblStyle w:val="21"/>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7"/>
        <w:gridCol w:w="1620"/>
        <w:gridCol w:w="16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310" w:type="dxa"/>
            <w:gridSpan w:val="3"/>
            <w:vAlign w:val="center"/>
          </w:tcPr>
          <w:p>
            <w:pPr>
              <w:topLinePunct/>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供应商名称</w:t>
            </w:r>
          </w:p>
        </w:tc>
        <w:tc>
          <w:tcPr>
            <w:tcW w:w="3630" w:type="dxa"/>
            <w:gridSpan w:val="3"/>
            <w:vAlign w:val="center"/>
          </w:tcPr>
          <w:p>
            <w:pPr>
              <w:topLinePunct/>
              <w:spacing w:line="360" w:lineRule="auto"/>
              <w:jc w:val="center"/>
              <w:rPr>
                <w:rFonts w:ascii="仿宋" w:hAnsi="仿宋" w:eastAsia="仿宋" w:cs="仿宋"/>
                <w:color w:val="auto"/>
                <w:sz w:val="24"/>
                <w:szCs w:val="24"/>
              </w:rPr>
            </w:pPr>
          </w:p>
        </w:tc>
        <w:tc>
          <w:tcPr>
            <w:tcW w:w="1620" w:type="dxa"/>
            <w:vAlign w:val="center"/>
          </w:tcPr>
          <w:p>
            <w:pPr>
              <w:topLinePunct/>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法定代表人</w:t>
            </w:r>
          </w:p>
        </w:tc>
        <w:tc>
          <w:tcPr>
            <w:tcW w:w="1657" w:type="dxa"/>
            <w:vAlign w:val="center"/>
          </w:tcPr>
          <w:p>
            <w:pPr>
              <w:topLinePunct/>
              <w:spacing w:line="360" w:lineRule="auto"/>
              <w:jc w:val="center"/>
              <w:rPr>
                <w:rFonts w:ascii="仿宋" w:hAnsi="仿宋" w:eastAsia="仿宋" w:cs="仿宋"/>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310" w:type="dxa"/>
            <w:gridSpan w:val="3"/>
            <w:vAlign w:val="center"/>
          </w:tcPr>
          <w:p>
            <w:pPr>
              <w:topLinePunct/>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统一社会信用代码</w:t>
            </w:r>
          </w:p>
        </w:tc>
        <w:tc>
          <w:tcPr>
            <w:tcW w:w="3630" w:type="dxa"/>
            <w:gridSpan w:val="3"/>
            <w:vAlign w:val="center"/>
          </w:tcPr>
          <w:p>
            <w:pPr>
              <w:topLinePunct/>
              <w:spacing w:line="360" w:lineRule="auto"/>
              <w:jc w:val="center"/>
              <w:rPr>
                <w:rFonts w:ascii="仿宋" w:hAnsi="仿宋" w:eastAsia="仿宋" w:cs="仿宋"/>
                <w:color w:val="auto"/>
                <w:sz w:val="24"/>
                <w:szCs w:val="24"/>
              </w:rPr>
            </w:pPr>
          </w:p>
        </w:tc>
        <w:tc>
          <w:tcPr>
            <w:tcW w:w="1620" w:type="dxa"/>
            <w:vAlign w:val="center"/>
          </w:tcPr>
          <w:p>
            <w:pPr>
              <w:topLinePunct/>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邮政编码</w:t>
            </w:r>
          </w:p>
        </w:tc>
        <w:tc>
          <w:tcPr>
            <w:tcW w:w="1657" w:type="dxa"/>
            <w:vAlign w:val="center"/>
          </w:tcPr>
          <w:p>
            <w:pPr>
              <w:topLinePunct/>
              <w:spacing w:line="360" w:lineRule="auto"/>
              <w:jc w:val="center"/>
              <w:rPr>
                <w:rFonts w:ascii="仿宋" w:hAnsi="仿宋" w:eastAsia="仿宋" w:cs="仿宋"/>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310" w:type="dxa"/>
            <w:gridSpan w:val="3"/>
            <w:vAlign w:val="center"/>
          </w:tcPr>
          <w:p>
            <w:pPr>
              <w:topLinePunct/>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上年营业收入</w:t>
            </w:r>
          </w:p>
        </w:tc>
        <w:tc>
          <w:tcPr>
            <w:tcW w:w="3630" w:type="dxa"/>
            <w:gridSpan w:val="3"/>
            <w:vAlign w:val="center"/>
          </w:tcPr>
          <w:p>
            <w:pPr>
              <w:topLinePunct/>
              <w:spacing w:line="360" w:lineRule="auto"/>
              <w:jc w:val="center"/>
              <w:rPr>
                <w:rFonts w:ascii="仿宋" w:hAnsi="仿宋" w:eastAsia="仿宋" w:cs="仿宋"/>
                <w:color w:val="auto"/>
                <w:sz w:val="24"/>
                <w:szCs w:val="24"/>
              </w:rPr>
            </w:pPr>
          </w:p>
        </w:tc>
        <w:tc>
          <w:tcPr>
            <w:tcW w:w="1620" w:type="dxa"/>
            <w:vAlign w:val="center"/>
          </w:tcPr>
          <w:p>
            <w:pPr>
              <w:topLinePunct/>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员工总人数</w:t>
            </w:r>
          </w:p>
        </w:tc>
        <w:tc>
          <w:tcPr>
            <w:tcW w:w="1657" w:type="dxa"/>
            <w:vAlign w:val="center"/>
          </w:tcPr>
          <w:p>
            <w:pPr>
              <w:topLinePunct/>
              <w:spacing w:line="360" w:lineRule="auto"/>
              <w:jc w:val="center"/>
              <w:rPr>
                <w:rFonts w:ascii="仿宋" w:hAnsi="仿宋" w:eastAsia="仿宋" w:cs="仿宋"/>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pPr>
              <w:topLinePunct/>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营业执照</w:t>
            </w:r>
          </w:p>
        </w:tc>
        <w:tc>
          <w:tcPr>
            <w:tcW w:w="1592" w:type="dxa"/>
            <w:gridSpan w:val="2"/>
            <w:vAlign w:val="center"/>
          </w:tcPr>
          <w:p>
            <w:pPr>
              <w:topLinePunct/>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注册号码</w:t>
            </w:r>
          </w:p>
        </w:tc>
        <w:tc>
          <w:tcPr>
            <w:tcW w:w="2205" w:type="dxa"/>
            <w:vAlign w:val="center"/>
          </w:tcPr>
          <w:p>
            <w:pPr>
              <w:topLinePunct/>
              <w:spacing w:line="360" w:lineRule="auto"/>
              <w:jc w:val="center"/>
              <w:rPr>
                <w:rFonts w:ascii="仿宋" w:hAnsi="仿宋" w:eastAsia="仿宋" w:cs="仿宋"/>
                <w:color w:val="auto"/>
                <w:sz w:val="24"/>
                <w:szCs w:val="24"/>
              </w:rPr>
            </w:pPr>
          </w:p>
        </w:tc>
        <w:tc>
          <w:tcPr>
            <w:tcW w:w="1425" w:type="dxa"/>
            <w:gridSpan w:val="2"/>
            <w:vAlign w:val="center"/>
          </w:tcPr>
          <w:p>
            <w:pPr>
              <w:topLinePunct/>
              <w:spacing w:line="360" w:lineRule="auto"/>
              <w:rPr>
                <w:rFonts w:ascii="仿宋" w:hAnsi="仿宋" w:eastAsia="仿宋" w:cs="仿宋"/>
                <w:color w:val="auto"/>
                <w:sz w:val="24"/>
                <w:szCs w:val="24"/>
              </w:rPr>
            </w:pPr>
            <w:r>
              <w:rPr>
                <w:rFonts w:hint="eastAsia" w:ascii="仿宋" w:hAnsi="仿宋" w:eastAsia="仿宋" w:cs="仿宋"/>
                <w:color w:val="auto"/>
                <w:sz w:val="24"/>
                <w:szCs w:val="24"/>
              </w:rPr>
              <w:t>注册地址</w:t>
            </w:r>
          </w:p>
        </w:tc>
        <w:tc>
          <w:tcPr>
            <w:tcW w:w="3277" w:type="dxa"/>
            <w:gridSpan w:val="2"/>
            <w:vAlign w:val="center"/>
          </w:tcPr>
          <w:p>
            <w:pPr>
              <w:topLinePunct/>
              <w:spacing w:line="360" w:lineRule="auto"/>
              <w:ind w:firstLine="120" w:firstLineChars="50"/>
              <w:jc w:val="center"/>
              <w:rPr>
                <w:rFonts w:ascii="仿宋" w:hAnsi="仿宋" w:eastAsia="仿宋" w:cs="仿宋"/>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ascii="仿宋" w:hAnsi="仿宋" w:eastAsia="仿宋" w:cs="仿宋"/>
                <w:color w:val="auto"/>
                <w:sz w:val="24"/>
                <w:szCs w:val="24"/>
              </w:rPr>
            </w:pPr>
          </w:p>
        </w:tc>
        <w:tc>
          <w:tcPr>
            <w:tcW w:w="1592" w:type="dxa"/>
            <w:gridSpan w:val="2"/>
            <w:vAlign w:val="center"/>
          </w:tcPr>
          <w:p>
            <w:pPr>
              <w:topLinePunct/>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发证机关</w:t>
            </w:r>
          </w:p>
        </w:tc>
        <w:tc>
          <w:tcPr>
            <w:tcW w:w="2205" w:type="dxa"/>
            <w:vAlign w:val="center"/>
          </w:tcPr>
          <w:p>
            <w:pPr>
              <w:topLinePunct/>
              <w:spacing w:line="360" w:lineRule="auto"/>
              <w:jc w:val="center"/>
              <w:rPr>
                <w:rFonts w:ascii="仿宋" w:hAnsi="仿宋" w:eastAsia="仿宋" w:cs="仿宋"/>
                <w:color w:val="auto"/>
                <w:sz w:val="24"/>
                <w:szCs w:val="24"/>
              </w:rPr>
            </w:pPr>
          </w:p>
        </w:tc>
        <w:tc>
          <w:tcPr>
            <w:tcW w:w="1425" w:type="dxa"/>
            <w:gridSpan w:val="2"/>
            <w:vAlign w:val="center"/>
          </w:tcPr>
          <w:p>
            <w:pPr>
              <w:topLinePunct/>
              <w:spacing w:line="360" w:lineRule="auto"/>
              <w:rPr>
                <w:rFonts w:ascii="仿宋" w:hAnsi="仿宋" w:eastAsia="仿宋" w:cs="仿宋"/>
                <w:color w:val="auto"/>
                <w:sz w:val="24"/>
                <w:szCs w:val="24"/>
              </w:rPr>
            </w:pPr>
            <w:r>
              <w:rPr>
                <w:rFonts w:hint="eastAsia" w:ascii="仿宋" w:hAnsi="仿宋" w:eastAsia="仿宋" w:cs="仿宋"/>
                <w:color w:val="auto"/>
                <w:sz w:val="24"/>
                <w:szCs w:val="24"/>
              </w:rPr>
              <w:t>发证日期</w:t>
            </w:r>
          </w:p>
        </w:tc>
        <w:tc>
          <w:tcPr>
            <w:tcW w:w="3277" w:type="dxa"/>
            <w:gridSpan w:val="2"/>
            <w:vAlign w:val="center"/>
          </w:tcPr>
          <w:p>
            <w:pPr>
              <w:topLinePunct/>
              <w:spacing w:line="360" w:lineRule="auto"/>
              <w:ind w:firstLine="120" w:firstLineChars="50"/>
              <w:jc w:val="center"/>
              <w:rPr>
                <w:rFonts w:ascii="仿宋" w:hAnsi="仿宋" w:eastAsia="仿宋" w:cs="仿宋"/>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ascii="仿宋" w:hAnsi="仿宋" w:eastAsia="仿宋" w:cs="仿宋"/>
                <w:color w:val="auto"/>
                <w:sz w:val="24"/>
                <w:szCs w:val="24"/>
              </w:rPr>
            </w:pPr>
          </w:p>
        </w:tc>
        <w:tc>
          <w:tcPr>
            <w:tcW w:w="1592" w:type="dxa"/>
            <w:gridSpan w:val="2"/>
            <w:vAlign w:val="center"/>
          </w:tcPr>
          <w:p>
            <w:pPr>
              <w:topLinePunct/>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营业范围</w:t>
            </w:r>
          </w:p>
          <w:p>
            <w:pPr>
              <w:topLinePunct/>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（主营）</w:t>
            </w:r>
          </w:p>
        </w:tc>
        <w:tc>
          <w:tcPr>
            <w:tcW w:w="6907" w:type="dxa"/>
            <w:gridSpan w:val="5"/>
            <w:vAlign w:val="center"/>
          </w:tcPr>
          <w:p>
            <w:pPr>
              <w:topLinePunct/>
              <w:spacing w:line="360" w:lineRule="auto"/>
              <w:ind w:firstLine="120" w:firstLineChars="50"/>
              <w:jc w:val="center"/>
              <w:rPr>
                <w:rFonts w:ascii="仿宋" w:hAnsi="仿宋" w:eastAsia="仿宋" w:cs="仿宋"/>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ascii="仿宋" w:hAnsi="仿宋" w:eastAsia="仿宋" w:cs="仿宋"/>
                <w:color w:val="auto"/>
                <w:sz w:val="24"/>
                <w:szCs w:val="24"/>
              </w:rPr>
            </w:pPr>
          </w:p>
        </w:tc>
        <w:tc>
          <w:tcPr>
            <w:tcW w:w="1592" w:type="dxa"/>
            <w:gridSpan w:val="2"/>
            <w:vAlign w:val="center"/>
          </w:tcPr>
          <w:p>
            <w:pPr>
              <w:topLinePunct/>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营业范围</w:t>
            </w:r>
          </w:p>
          <w:p>
            <w:pPr>
              <w:topLinePunct/>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（兼营）</w:t>
            </w:r>
          </w:p>
        </w:tc>
        <w:tc>
          <w:tcPr>
            <w:tcW w:w="6907" w:type="dxa"/>
            <w:gridSpan w:val="5"/>
            <w:vAlign w:val="center"/>
          </w:tcPr>
          <w:p>
            <w:pPr>
              <w:topLinePunct/>
              <w:spacing w:line="360" w:lineRule="auto"/>
              <w:ind w:firstLine="120" w:firstLineChars="50"/>
              <w:jc w:val="center"/>
              <w:rPr>
                <w:rFonts w:ascii="仿宋" w:hAnsi="仿宋" w:eastAsia="仿宋" w:cs="仿宋"/>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vAlign w:val="center"/>
          </w:tcPr>
          <w:p>
            <w:pPr>
              <w:topLinePunct/>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基本账户开户行及账号</w:t>
            </w:r>
          </w:p>
        </w:tc>
        <w:tc>
          <w:tcPr>
            <w:tcW w:w="6907" w:type="dxa"/>
            <w:gridSpan w:val="5"/>
            <w:vAlign w:val="center"/>
          </w:tcPr>
          <w:p>
            <w:pPr>
              <w:topLinePunct/>
              <w:spacing w:line="360" w:lineRule="auto"/>
              <w:jc w:val="center"/>
              <w:rPr>
                <w:rFonts w:ascii="仿宋" w:hAnsi="仿宋" w:eastAsia="仿宋" w:cs="仿宋"/>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vAlign w:val="center"/>
          </w:tcPr>
          <w:p>
            <w:pPr>
              <w:topLinePunct/>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资产总额（万元）</w:t>
            </w:r>
          </w:p>
        </w:tc>
        <w:tc>
          <w:tcPr>
            <w:tcW w:w="6907" w:type="dxa"/>
            <w:gridSpan w:val="5"/>
            <w:vAlign w:val="center"/>
          </w:tcPr>
          <w:p>
            <w:pPr>
              <w:topLinePunct/>
              <w:spacing w:line="360" w:lineRule="auto"/>
              <w:jc w:val="center"/>
              <w:rPr>
                <w:rFonts w:ascii="仿宋" w:hAnsi="仿宋" w:eastAsia="仿宋" w:cs="仿宋"/>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310" w:type="dxa"/>
            <w:gridSpan w:val="3"/>
            <w:vAlign w:val="center"/>
          </w:tcPr>
          <w:p>
            <w:pPr>
              <w:topLinePunct/>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资质名称</w:t>
            </w:r>
          </w:p>
        </w:tc>
        <w:tc>
          <w:tcPr>
            <w:tcW w:w="2403" w:type="dxa"/>
            <w:gridSpan w:val="2"/>
            <w:vAlign w:val="center"/>
          </w:tcPr>
          <w:p>
            <w:pPr>
              <w:topLinePunct/>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等级</w:t>
            </w:r>
          </w:p>
        </w:tc>
        <w:tc>
          <w:tcPr>
            <w:tcW w:w="1227" w:type="dxa"/>
            <w:vAlign w:val="center"/>
          </w:tcPr>
          <w:p>
            <w:pPr>
              <w:topLinePunct/>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发证机关</w:t>
            </w:r>
          </w:p>
        </w:tc>
        <w:tc>
          <w:tcPr>
            <w:tcW w:w="3277" w:type="dxa"/>
            <w:gridSpan w:val="2"/>
            <w:vAlign w:val="center"/>
          </w:tcPr>
          <w:p>
            <w:pPr>
              <w:topLinePunct/>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pPr>
              <w:topLinePunct/>
              <w:spacing w:line="360" w:lineRule="auto"/>
              <w:jc w:val="center"/>
              <w:rPr>
                <w:rFonts w:ascii="仿宋" w:hAnsi="仿宋" w:eastAsia="仿宋" w:cs="仿宋"/>
                <w:color w:val="auto"/>
                <w:sz w:val="24"/>
                <w:szCs w:val="24"/>
              </w:rPr>
            </w:pPr>
          </w:p>
        </w:tc>
        <w:tc>
          <w:tcPr>
            <w:tcW w:w="2403" w:type="dxa"/>
            <w:gridSpan w:val="2"/>
            <w:vAlign w:val="center"/>
          </w:tcPr>
          <w:p>
            <w:pPr>
              <w:topLinePunct/>
              <w:spacing w:line="360" w:lineRule="auto"/>
              <w:jc w:val="center"/>
              <w:rPr>
                <w:rFonts w:ascii="仿宋" w:hAnsi="仿宋" w:eastAsia="仿宋" w:cs="仿宋"/>
                <w:color w:val="auto"/>
                <w:sz w:val="24"/>
                <w:szCs w:val="24"/>
              </w:rPr>
            </w:pPr>
          </w:p>
        </w:tc>
        <w:tc>
          <w:tcPr>
            <w:tcW w:w="1227" w:type="dxa"/>
            <w:vAlign w:val="center"/>
          </w:tcPr>
          <w:p>
            <w:pPr>
              <w:topLinePunct/>
              <w:spacing w:line="360" w:lineRule="auto"/>
              <w:jc w:val="center"/>
              <w:rPr>
                <w:rFonts w:ascii="仿宋" w:hAnsi="仿宋" w:eastAsia="仿宋" w:cs="仿宋"/>
                <w:color w:val="auto"/>
                <w:sz w:val="24"/>
                <w:szCs w:val="24"/>
              </w:rPr>
            </w:pPr>
          </w:p>
        </w:tc>
        <w:tc>
          <w:tcPr>
            <w:tcW w:w="3277" w:type="dxa"/>
            <w:gridSpan w:val="2"/>
            <w:vAlign w:val="center"/>
          </w:tcPr>
          <w:p>
            <w:pPr>
              <w:topLinePunct/>
              <w:spacing w:line="360" w:lineRule="auto"/>
              <w:jc w:val="center"/>
              <w:rPr>
                <w:rFonts w:ascii="仿宋" w:hAnsi="仿宋" w:eastAsia="仿宋" w:cs="仿宋"/>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pPr>
              <w:topLinePunct/>
              <w:spacing w:line="360" w:lineRule="auto"/>
              <w:jc w:val="center"/>
              <w:rPr>
                <w:rFonts w:ascii="仿宋" w:hAnsi="仿宋" w:eastAsia="仿宋" w:cs="仿宋"/>
                <w:color w:val="auto"/>
                <w:sz w:val="24"/>
                <w:szCs w:val="24"/>
              </w:rPr>
            </w:pPr>
          </w:p>
        </w:tc>
        <w:tc>
          <w:tcPr>
            <w:tcW w:w="2403" w:type="dxa"/>
            <w:gridSpan w:val="2"/>
            <w:vAlign w:val="center"/>
          </w:tcPr>
          <w:p>
            <w:pPr>
              <w:topLinePunct/>
              <w:spacing w:line="360" w:lineRule="auto"/>
              <w:jc w:val="center"/>
              <w:rPr>
                <w:rFonts w:ascii="仿宋" w:hAnsi="仿宋" w:eastAsia="仿宋" w:cs="仿宋"/>
                <w:color w:val="auto"/>
                <w:sz w:val="24"/>
                <w:szCs w:val="24"/>
              </w:rPr>
            </w:pPr>
          </w:p>
        </w:tc>
        <w:tc>
          <w:tcPr>
            <w:tcW w:w="1227" w:type="dxa"/>
            <w:vAlign w:val="center"/>
          </w:tcPr>
          <w:p>
            <w:pPr>
              <w:topLinePunct/>
              <w:spacing w:line="360" w:lineRule="auto"/>
              <w:jc w:val="center"/>
              <w:rPr>
                <w:rFonts w:ascii="仿宋" w:hAnsi="仿宋" w:eastAsia="仿宋" w:cs="仿宋"/>
                <w:color w:val="auto"/>
                <w:sz w:val="24"/>
                <w:szCs w:val="24"/>
              </w:rPr>
            </w:pPr>
          </w:p>
        </w:tc>
        <w:tc>
          <w:tcPr>
            <w:tcW w:w="3277" w:type="dxa"/>
            <w:gridSpan w:val="2"/>
            <w:vAlign w:val="center"/>
          </w:tcPr>
          <w:p>
            <w:pPr>
              <w:topLinePunct/>
              <w:spacing w:line="360" w:lineRule="auto"/>
              <w:jc w:val="center"/>
              <w:rPr>
                <w:rFonts w:ascii="仿宋" w:hAnsi="仿宋" w:eastAsia="仿宋" w:cs="仿宋"/>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1257" w:type="dxa"/>
            <w:gridSpan w:val="2"/>
            <w:vAlign w:val="center"/>
          </w:tcPr>
          <w:p>
            <w:pPr>
              <w:topLinePunct/>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备注</w:t>
            </w:r>
          </w:p>
        </w:tc>
        <w:tc>
          <w:tcPr>
            <w:tcW w:w="7960" w:type="dxa"/>
            <w:gridSpan w:val="6"/>
            <w:vAlign w:val="center"/>
          </w:tcPr>
          <w:p>
            <w:pPr>
              <w:topLinePunct/>
              <w:spacing w:line="360" w:lineRule="auto"/>
              <w:rPr>
                <w:rFonts w:ascii="仿宋" w:hAnsi="仿宋" w:eastAsia="仿宋" w:cs="仿宋"/>
                <w:color w:val="auto"/>
                <w:sz w:val="24"/>
                <w:szCs w:val="24"/>
              </w:rPr>
            </w:pPr>
          </w:p>
        </w:tc>
      </w:tr>
    </w:tbl>
    <w:p>
      <w:pPr>
        <w:autoSpaceDE w:val="0"/>
        <w:autoSpaceDN w:val="0"/>
        <w:adjustRightInd w:val="0"/>
        <w:snapToGrid w:val="0"/>
        <w:spacing w:before="120" w:beforeLines="50" w:line="360" w:lineRule="auto"/>
        <w:ind w:firstLine="480" w:firstLineChars="200"/>
        <w:jc w:val="left"/>
        <w:rPr>
          <w:rFonts w:ascii="仿宋" w:hAnsi="仿宋" w:eastAsia="仿宋" w:cs="仿宋"/>
          <w:color w:val="auto"/>
          <w:sz w:val="24"/>
          <w:szCs w:val="24"/>
        </w:rPr>
      </w:pPr>
      <w:r>
        <w:rPr>
          <w:rFonts w:hint="eastAsia" w:ascii="仿宋" w:hAnsi="仿宋" w:eastAsia="仿宋" w:cs="仿宋"/>
          <w:color w:val="auto"/>
          <w:sz w:val="24"/>
          <w:szCs w:val="24"/>
        </w:rPr>
        <w:t>说明：企业类型指大型、中型、小型、微型；上年营业收入、资产总额要与财务报表中的数据一致；资质指特定条件要求提供的资质。</w:t>
      </w:r>
    </w:p>
    <w:p>
      <w:pPr>
        <w:spacing w:line="360" w:lineRule="auto"/>
        <w:ind w:firstLine="3840" w:firstLineChars="1600"/>
        <w:rPr>
          <w:rFonts w:ascii="仿宋" w:hAnsi="仿宋" w:eastAsia="仿宋" w:cs="仿宋"/>
          <w:color w:val="auto"/>
          <w:sz w:val="24"/>
          <w:szCs w:val="24"/>
        </w:rPr>
      </w:pPr>
    </w:p>
    <w:p>
      <w:pPr>
        <w:spacing w:line="360" w:lineRule="auto"/>
        <w:ind w:firstLine="3840" w:firstLineChars="1600"/>
        <w:rPr>
          <w:rFonts w:ascii="仿宋" w:hAnsi="仿宋" w:eastAsia="仿宋" w:cs="仿宋"/>
          <w:color w:val="auto"/>
          <w:sz w:val="24"/>
          <w:szCs w:val="24"/>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w:t>
      </w:r>
    </w:p>
    <w:p>
      <w:pPr>
        <w:spacing w:line="360" w:lineRule="auto"/>
        <w:ind w:firstLine="3840" w:firstLineChars="1600"/>
        <w:rPr>
          <w:rFonts w:ascii="仿宋" w:hAnsi="仿宋" w:eastAsia="仿宋" w:cs="仿宋"/>
          <w:color w:val="auto"/>
          <w:sz w:val="24"/>
          <w:szCs w:val="24"/>
          <w:u w:val="single"/>
        </w:rPr>
      </w:pPr>
      <w:r>
        <w:rPr>
          <w:rFonts w:hint="eastAsia" w:ascii="仿宋" w:hAnsi="仿宋" w:eastAsia="仿宋" w:cs="仿宋"/>
          <w:color w:val="auto"/>
          <w:sz w:val="24"/>
          <w:szCs w:val="24"/>
        </w:rPr>
        <w:t>法定代表人或授权代表（签字或盖章）：</w:t>
      </w:r>
      <w:r>
        <w:rPr>
          <w:rFonts w:hint="eastAsia" w:ascii="仿宋" w:hAnsi="仿宋" w:eastAsia="仿宋" w:cs="仿宋"/>
          <w:color w:val="auto"/>
          <w:sz w:val="24"/>
          <w:szCs w:val="24"/>
          <w:u w:val="single"/>
        </w:rPr>
        <w:t xml:space="preserve">   </w:t>
      </w:r>
    </w:p>
    <w:p>
      <w:pPr>
        <w:spacing w:line="360" w:lineRule="auto"/>
        <w:ind w:firstLine="3840" w:firstLineChars="1600"/>
        <w:rPr>
          <w:rFonts w:ascii="仿宋" w:hAnsi="仿宋" w:eastAsia="仿宋" w:cs="仿宋"/>
          <w:color w:val="auto"/>
          <w:sz w:val="24"/>
          <w:szCs w:val="24"/>
          <w:u w:val="single"/>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p>
    <w:p>
      <w:pPr>
        <w:pStyle w:val="16"/>
        <w:pageBreakBefore/>
        <w:jc w:val="center"/>
        <w:rPr>
          <w:rFonts w:ascii="仿宋" w:hAnsi="仿宋" w:eastAsia="仿宋" w:cs="仿宋"/>
          <w:b/>
          <w:bCs/>
          <w:color w:val="auto"/>
          <w:sz w:val="28"/>
          <w:szCs w:val="28"/>
        </w:rPr>
      </w:pPr>
      <w:bookmarkStart w:id="367" w:name="_Toc22457"/>
      <w:r>
        <w:rPr>
          <w:rFonts w:hint="eastAsia" w:ascii="仿宋" w:hAnsi="仿宋" w:eastAsia="仿宋" w:cs="仿宋"/>
          <w:b/>
          <w:bCs/>
          <w:color w:val="auto"/>
          <w:sz w:val="28"/>
          <w:szCs w:val="28"/>
        </w:rPr>
        <w:t>（一）提供统一社会信用代码的营业执照或其他组织经营的合法凭证或自然人的提供身份证明文件</w:t>
      </w:r>
      <w:bookmarkEnd w:id="367"/>
      <w:bookmarkStart w:id="368" w:name="_Toc21445"/>
    </w:p>
    <w:p>
      <w:pPr>
        <w:pStyle w:val="16"/>
        <w:jc w:val="center"/>
        <w:rPr>
          <w:rFonts w:ascii="仿宋" w:hAnsi="仿宋" w:eastAsia="仿宋" w:cs="仿宋"/>
          <w:color w:val="auto"/>
          <w:sz w:val="24"/>
          <w:szCs w:val="24"/>
        </w:rPr>
      </w:pPr>
    </w:p>
    <w:p>
      <w:pPr>
        <w:pStyle w:val="16"/>
        <w:jc w:val="center"/>
        <w:rPr>
          <w:rFonts w:ascii="仿宋" w:hAnsi="仿宋" w:eastAsia="仿宋" w:cs="仿宋"/>
          <w:color w:val="auto"/>
          <w:sz w:val="24"/>
          <w:szCs w:val="24"/>
        </w:rPr>
      </w:pPr>
    </w:p>
    <w:p>
      <w:pPr>
        <w:pStyle w:val="16"/>
        <w:jc w:val="center"/>
        <w:rPr>
          <w:rFonts w:ascii="仿宋" w:hAnsi="仿宋" w:eastAsia="仿宋" w:cs="仿宋"/>
          <w:b/>
          <w:bCs/>
          <w:color w:val="auto"/>
          <w:sz w:val="28"/>
          <w:szCs w:val="28"/>
        </w:rPr>
      </w:pPr>
      <w:r>
        <w:rPr>
          <w:rFonts w:hint="eastAsia" w:ascii="仿宋" w:hAnsi="仿宋" w:eastAsia="仿宋" w:cs="仿宋"/>
          <w:color w:val="auto"/>
          <w:sz w:val="24"/>
          <w:szCs w:val="24"/>
        </w:rPr>
        <w:t>提供扫描件或复印件加盖单位公章</w:t>
      </w:r>
    </w:p>
    <w:p>
      <w:pPr>
        <w:pageBreakBefore/>
        <w:spacing w:line="360" w:lineRule="auto"/>
        <w:jc w:val="center"/>
        <w:rPr>
          <w:rFonts w:ascii="仿宋" w:hAnsi="仿宋" w:eastAsia="仿宋" w:cs="仿宋"/>
          <w:b/>
          <w:bCs/>
          <w:color w:val="auto"/>
          <w:sz w:val="28"/>
          <w:szCs w:val="28"/>
        </w:rPr>
      </w:pPr>
      <w:r>
        <w:rPr>
          <w:rFonts w:hint="eastAsia" w:ascii="仿宋" w:hAnsi="仿宋" w:eastAsia="仿宋" w:cs="仿宋"/>
          <w:b/>
          <w:bCs/>
          <w:color w:val="auto"/>
          <w:sz w:val="28"/>
          <w:szCs w:val="28"/>
        </w:rPr>
        <w:t>（二）财务状况报告</w:t>
      </w:r>
      <w:bookmarkEnd w:id="368"/>
      <w:bookmarkStart w:id="369" w:name="_Toc17757"/>
    </w:p>
    <w:p>
      <w:pPr>
        <w:pStyle w:val="16"/>
        <w:jc w:val="center"/>
        <w:rPr>
          <w:rFonts w:eastAsia="仿宋"/>
          <w:color w:val="auto"/>
          <w:sz w:val="24"/>
          <w:szCs w:val="24"/>
        </w:rPr>
      </w:pPr>
      <w:r>
        <w:rPr>
          <w:rFonts w:hint="eastAsia" w:ascii="仿宋" w:hAnsi="仿宋" w:eastAsia="仿宋" w:cs="仿宋"/>
          <w:color w:val="auto"/>
          <w:sz w:val="24"/>
          <w:szCs w:val="24"/>
        </w:rPr>
        <w:t>提供扫描件或复印件加盖单位公章</w:t>
      </w:r>
    </w:p>
    <w:p>
      <w:pPr>
        <w:pageBreakBefore/>
        <w:spacing w:line="360" w:lineRule="auto"/>
        <w:jc w:val="center"/>
        <w:rPr>
          <w:rFonts w:ascii="仿宋" w:hAnsi="仿宋" w:eastAsia="仿宋" w:cs="仿宋"/>
          <w:b/>
          <w:color w:val="auto"/>
          <w:sz w:val="28"/>
          <w:szCs w:val="28"/>
        </w:rPr>
      </w:pPr>
      <w:r>
        <w:rPr>
          <w:rFonts w:hint="eastAsia" w:ascii="仿宋" w:hAnsi="仿宋" w:eastAsia="仿宋" w:cs="仿宋"/>
          <w:b/>
          <w:color w:val="auto"/>
          <w:sz w:val="28"/>
          <w:szCs w:val="28"/>
        </w:rPr>
        <w:t>（三）税收缴纳证明</w:t>
      </w:r>
      <w:bookmarkEnd w:id="369"/>
    </w:p>
    <w:p>
      <w:pPr>
        <w:pStyle w:val="16"/>
        <w:spacing w:line="360" w:lineRule="auto"/>
        <w:rPr>
          <w:rFonts w:ascii="仿宋" w:hAnsi="仿宋" w:eastAsia="仿宋" w:cs="仿宋"/>
          <w:color w:val="auto"/>
        </w:rPr>
      </w:pPr>
    </w:p>
    <w:p>
      <w:pPr>
        <w:pStyle w:val="16"/>
        <w:jc w:val="center"/>
        <w:rPr>
          <w:rFonts w:eastAsia="仿宋"/>
          <w:color w:val="auto"/>
          <w:sz w:val="24"/>
          <w:szCs w:val="24"/>
        </w:rPr>
      </w:pPr>
      <w:r>
        <w:rPr>
          <w:rFonts w:hint="eastAsia" w:ascii="仿宋" w:hAnsi="仿宋" w:eastAsia="仿宋" w:cs="仿宋"/>
          <w:color w:val="auto"/>
          <w:sz w:val="24"/>
          <w:szCs w:val="24"/>
        </w:rPr>
        <w:t>提供扫描件或复印件加盖单位公章</w:t>
      </w:r>
    </w:p>
    <w:p>
      <w:pPr>
        <w:spacing w:line="360" w:lineRule="auto"/>
        <w:ind w:firstLine="480"/>
        <w:rPr>
          <w:rFonts w:ascii="仿宋" w:hAnsi="仿宋" w:eastAsia="仿宋" w:cs="仿宋"/>
          <w:color w:val="auto"/>
          <w:kern w:val="0"/>
          <w:sz w:val="24"/>
        </w:rPr>
      </w:pPr>
    </w:p>
    <w:p>
      <w:pPr>
        <w:spacing w:line="360" w:lineRule="auto"/>
        <w:ind w:firstLine="480"/>
        <w:rPr>
          <w:rFonts w:ascii="仿宋" w:hAnsi="仿宋" w:eastAsia="仿宋" w:cs="仿宋"/>
          <w:color w:val="auto"/>
          <w:kern w:val="0"/>
          <w:sz w:val="24"/>
          <w:szCs w:val="22"/>
        </w:rPr>
        <w:sectPr>
          <w:pgSz w:w="11906" w:h="16838"/>
          <w:pgMar w:top="1417" w:right="1417" w:bottom="1417" w:left="1417" w:header="851" w:footer="992" w:gutter="0"/>
          <w:cols w:space="0" w:num="1"/>
          <w:docGrid w:linePitch="312" w:charSpace="0"/>
        </w:sectPr>
      </w:pPr>
    </w:p>
    <w:p>
      <w:pPr>
        <w:spacing w:line="360" w:lineRule="auto"/>
        <w:jc w:val="center"/>
        <w:rPr>
          <w:rFonts w:ascii="仿宋" w:hAnsi="仿宋" w:eastAsia="仿宋" w:cs="仿宋"/>
          <w:b/>
          <w:color w:val="auto"/>
          <w:sz w:val="28"/>
          <w:szCs w:val="28"/>
        </w:rPr>
      </w:pPr>
      <w:bookmarkStart w:id="370" w:name="_Toc8139"/>
      <w:r>
        <w:rPr>
          <w:rFonts w:hint="eastAsia" w:ascii="仿宋" w:hAnsi="仿宋" w:eastAsia="仿宋" w:cs="仿宋"/>
          <w:b/>
          <w:color w:val="auto"/>
          <w:sz w:val="28"/>
          <w:szCs w:val="28"/>
        </w:rPr>
        <w:t>（四）社会保障资金缴纳证明</w:t>
      </w:r>
      <w:bookmarkEnd w:id="370"/>
    </w:p>
    <w:p>
      <w:pPr>
        <w:pStyle w:val="16"/>
        <w:jc w:val="center"/>
        <w:rPr>
          <w:rFonts w:eastAsia="仿宋"/>
          <w:color w:val="auto"/>
          <w:sz w:val="24"/>
          <w:szCs w:val="24"/>
        </w:rPr>
      </w:pPr>
      <w:bookmarkStart w:id="371" w:name="_Toc8586"/>
      <w:r>
        <w:rPr>
          <w:rFonts w:hint="eastAsia" w:ascii="仿宋" w:hAnsi="仿宋" w:eastAsia="仿宋" w:cs="仿宋"/>
          <w:color w:val="auto"/>
          <w:sz w:val="24"/>
          <w:szCs w:val="24"/>
        </w:rPr>
        <w:t>提供扫描件或复印件加盖单位公章</w:t>
      </w:r>
    </w:p>
    <w:p>
      <w:pPr>
        <w:pageBreakBefore/>
        <w:spacing w:line="360" w:lineRule="auto"/>
        <w:jc w:val="center"/>
        <w:rPr>
          <w:rFonts w:ascii="仿宋" w:hAnsi="仿宋" w:eastAsia="仿宋" w:cs="仿宋"/>
          <w:b/>
          <w:color w:val="auto"/>
          <w:sz w:val="28"/>
          <w:szCs w:val="28"/>
        </w:rPr>
      </w:pPr>
      <w:r>
        <w:rPr>
          <w:rFonts w:hint="eastAsia" w:ascii="仿宋" w:hAnsi="仿宋" w:eastAsia="仿宋" w:cs="仿宋"/>
          <w:b/>
          <w:bCs/>
          <w:color w:val="auto"/>
          <w:sz w:val="28"/>
          <w:szCs w:val="28"/>
        </w:rPr>
        <w:t>（五）出具履行合同所必需的设备和专业技术能力的书面声明</w:t>
      </w:r>
      <w:bookmarkEnd w:id="371"/>
    </w:p>
    <w:p>
      <w:pPr>
        <w:spacing w:line="360" w:lineRule="auto"/>
        <w:rPr>
          <w:rFonts w:ascii="仿宋" w:hAnsi="仿宋" w:eastAsia="仿宋" w:cs="仿宋"/>
          <w:color w:val="auto"/>
          <w:spacing w:val="4"/>
          <w:sz w:val="24"/>
          <w:szCs w:val="24"/>
          <w:u w:val="single"/>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rPr>
        <w:t xml:space="preserve">     （采购人名称）    ：</w:t>
      </w:r>
    </w:p>
    <w:p>
      <w:pPr>
        <w:spacing w:line="360" w:lineRule="auto"/>
        <w:ind w:firstLine="480" w:firstLineChars="200"/>
        <w:rPr>
          <w:rFonts w:ascii="仿宋" w:hAnsi="仿宋" w:eastAsia="仿宋" w:cs="仿宋"/>
          <w:color w:val="auto"/>
          <w:spacing w:val="4"/>
          <w:sz w:val="24"/>
          <w:szCs w:val="24"/>
          <w:u w:val="single"/>
        </w:rPr>
      </w:pPr>
      <w:r>
        <w:rPr>
          <w:rFonts w:hint="eastAsia" w:ascii="仿宋" w:hAnsi="仿宋" w:eastAsia="仿宋" w:cs="仿宋"/>
          <w:color w:val="auto"/>
          <w:kern w:val="0"/>
          <w:sz w:val="24"/>
          <w:szCs w:val="24"/>
          <w:lang w:bidi="ar"/>
        </w:rPr>
        <w:t>我方作为</w:t>
      </w:r>
      <w:r>
        <w:rPr>
          <w:rFonts w:hint="eastAsia" w:ascii="仿宋" w:hAnsi="仿宋" w:eastAsia="仿宋" w:cs="仿宋"/>
          <w:color w:val="auto"/>
          <w:kern w:val="0"/>
          <w:sz w:val="24"/>
          <w:szCs w:val="24"/>
          <w:u w:val="single"/>
          <w:lang w:bidi="ar"/>
        </w:rPr>
        <w:t xml:space="preserve">         （项目名称）         </w:t>
      </w:r>
      <w:r>
        <w:rPr>
          <w:rFonts w:hint="eastAsia" w:ascii="仿宋" w:hAnsi="仿宋" w:eastAsia="仿宋" w:cs="仿宋"/>
          <w:color w:val="auto"/>
          <w:kern w:val="0"/>
          <w:sz w:val="24"/>
          <w:szCs w:val="24"/>
          <w:lang w:bidi="ar"/>
        </w:rPr>
        <w:t>（项目编号：</w:t>
      </w:r>
      <w:r>
        <w:rPr>
          <w:rFonts w:hint="eastAsia" w:ascii="仿宋" w:hAnsi="仿宋" w:eastAsia="仿宋" w:cs="仿宋"/>
          <w:color w:val="auto"/>
          <w:kern w:val="0"/>
          <w:sz w:val="24"/>
          <w:szCs w:val="24"/>
          <w:u w:val="single"/>
          <w:lang w:bidi="ar"/>
        </w:rPr>
        <w:t xml:space="preserve">          </w:t>
      </w:r>
      <w:r>
        <w:rPr>
          <w:rFonts w:hint="eastAsia" w:ascii="仿宋" w:hAnsi="仿宋" w:eastAsia="仿宋" w:cs="仿宋"/>
          <w:color w:val="auto"/>
          <w:kern w:val="0"/>
          <w:sz w:val="24"/>
          <w:szCs w:val="24"/>
          <w:lang w:bidi="ar"/>
        </w:rPr>
        <w:t>）的供应商，在此郑重声明：</w:t>
      </w:r>
    </w:p>
    <w:p>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我方具备履行合同所必须的设备和专业技术能力。</w:t>
      </w:r>
    </w:p>
    <w:p>
      <w:pPr>
        <w:widowControl/>
        <w:spacing w:line="360" w:lineRule="auto"/>
        <w:ind w:firstLine="480" w:firstLineChars="200"/>
        <w:jc w:val="left"/>
        <w:rPr>
          <w:rFonts w:ascii="仿宋" w:hAnsi="仿宋" w:eastAsia="仿宋" w:cs="仿宋"/>
          <w:color w:val="auto"/>
          <w:sz w:val="24"/>
          <w:szCs w:val="24"/>
        </w:rPr>
      </w:pPr>
      <w:r>
        <w:rPr>
          <w:rFonts w:hint="eastAsia" w:ascii="仿宋" w:hAnsi="仿宋" w:eastAsia="仿宋" w:cs="仿宋"/>
          <w:color w:val="auto"/>
          <w:kern w:val="0"/>
          <w:sz w:val="24"/>
          <w:szCs w:val="24"/>
          <w:lang w:bidi="ar"/>
        </w:rPr>
        <w:t xml:space="preserve">如有不实，我方将无条件地退出本项目的采购活动，并遵照《政府采购法》有关“提供虚假材料的规定”接受处罚。 </w:t>
      </w:r>
    </w:p>
    <w:p>
      <w:pPr>
        <w:widowControl/>
        <w:spacing w:line="360" w:lineRule="auto"/>
        <w:ind w:firstLine="480" w:firstLineChars="200"/>
        <w:jc w:val="left"/>
        <w:rPr>
          <w:rFonts w:ascii="仿宋" w:hAnsi="仿宋" w:eastAsia="仿宋" w:cs="仿宋"/>
          <w:color w:val="auto"/>
          <w:sz w:val="24"/>
          <w:szCs w:val="24"/>
        </w:rPr>
      </w:pPr>
      <w:r>
        <w:rPr>
          <w:rFonts w:hint="eastAsia" w:ascii="仿宋" w:hAnsi="仿宋" w:eastAsia="仿宋" w:cs="仿宋"/>
          <w:color w:val="auto"/>
          <w:kern w:val="0"/>
          <w:sz w:val="24"/>
          <w:szCs w:val="24"/>
          <w:lang w:bidi="ar"/>
        </w:rPr>
        <w:t>特此声明。</w:t>
      </w:r>
    </w:p>
    <w:p>
      <w:pPr>
        <w:spacing w:before="240" w:beforeLines="100" w:after="120" w:afterLines="50" w:line="360" w:lineRule="auto"/>
        <w:ind w:firstLine="620" w:firstLineChars="250"/>
        <w:rPr>
          <w:rFonts w:ascii="仿宋" w:hAnsi="仿宋" w:eastAsia="仿宋" w:cs="仿宋"/>
          <w:color w:val="auto"/>
          <w:spacing w:val="4"/>
          <w:sz w:val="24"/>
          <w:szCs w:val="24"/>
        </w:rPr>
      </w:pPr>
    </w:p>
    <w:p>
      <w:pPr>
        <w:spacing w:before="240" w:beforeLines="100" w:after="120" w:afterLines="50" w:line="360" w:lineRule="auto"/>
        <w:ind w:firstLine="170"/>
        <w:rPr>
          <w:rFonts w:ascii="仿宋" w:hAnsi="仿宋" w:eastAsia="仿宋" w:cs="仿宋"/>
          <w:color w:val="auto"/>
          <w:spacing w:val="4"/>
          <w:sz w:val="24"/>
          <w:szCs w:val="24"/>
        </w:rPr>
      </w:pPr>
    </w:p>
    <w:p>
      <w:pPr>
        <w:spacing w:before="240" w:beforeLines="100" w:after="120" w:afterLines="50" w:line="360" w:lineRule="auto"/>
        <w:ind w:firstLine="170"/>
        <w:rPr>
          <w:rFonts w:ascii="仿宋" w:hAnsi="仿宋" w:eastAsia="仿宋" w:cs="仿宋"/>
          <w:color w:val="auto"/>
          <w:spacing w:val="4"/>
          <w:sz w:val="24"/>
          <w:szCs w:val="24"/>
        </w:rPr>
      </w:pPr>
    </w:p>
    <w:p>
      <w:pPr>
        <w:spacing w:line="360" w:lineRule="auto"/>
        <w:ind w:firstLine="3998" w:firstLineChars="1666"/>
        <w:rPr>
          <w:rFonts w:ascii="仿宋" w:hAnsi="仿宋" w:eastAsia="仿宋" w:cs="仿宋"/>
          <w:color w:val="auto"/>
          <w:sz w:val="24"/>
          <w:szCs w:val="24"/>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w:t>
      </w:r>
    </w:p>
    <w:p>
      <w:pPr>
        <w:spacing w:line="360" w:lineRule="auto"/>
        <w:ind w:firstLine="3998" w:firstLineChars="1666"/>
        <w:rPr>
          <w:rFonts w:ascii="仿宋" w:hAnsi="仿宋" w:eastAsia="仿宋" w:cs="仿宋"/>
          <w:color w:val="auto"/>
          <w:sz w:val="24"/>
          <w:szCs w:val="24"/>
          <w:u w:val="single"/>
        </w:rPr>
      </w:pPr>
      <w:r>
        <w:rPr>
          <w:rFonts w:hint="eastAsia" w:ascii="仿宋" w:hAnsi="仿宋" w:eastAsia="仿宋" w:cs="仿宋"/>
          <w:color w:val="auto"/>
          <w:sz w:val="24"/>
          <w:szCs w:val="24"/>
        </w:rPr>
        <w:t>法定代表人或授权代表（签字或盖章）：</w:t>
      </w:r>
      <w:r>
        <w:rPr>
          <w:rFonts w:hint="eastAsia" w:ascii="仿宋" w:hAnsi="仿宋" w:eastAsia="仿宋" w:cs="仿宋"/>
          <w:color w:val="auto"/>
          <w:sz w:val="24"/>
          <w:szCs w:val="24"/>
          <w:u w:val="single"/>
        </w:rPr>
        <w:t xml:space="preserve">       </w:t>
      </w:r>
    </w:p>
    <w:p>
      <w:pPr>
        <w:spacing w:line="360" w:lineRule="auto"/>
        <w:ind w:firstLine="3998" w:firstLineChars="1666"/>
        <w:rPr>
          <w:rFonts w:ascii="仿宋" w:hAnsi="仿宋" w:eastAsia="仿宋" w:cs="仿宋"/>
          <w:color w:val="auto"/>
          <w:sz w:val="24"/>
          <w:szCs w:val="24"/>
          <w:u w:val="single"/>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p>
    <w:p>
      <w:pPr>
        <w:spacing w:line="360" w:lineRule="auto"/>
        <w:rPr>
          <w:rFonts w:ascii="仿宋" w:hAnsi="仿宋" w:eastAsia="仿宋" w:cs="仿宋"/>
          <w:bCs/>
          <w:color w:val="auto"/>
          <w:sz w:val="24"/>
          <w:szCs w:val="24"/>
        </w:rPr>
      </w:pPr>
    </w:p>
    <w:p>
      <w:pPr>
        <w:spacing w:line="360" w:lineRule="auto"/>
        <w:rPr>
          <w:rFonts w:ascii="仿宋" w:hAnsi="仿宋" w:eastAsia="仿宋" w:cs="仿宋"/>
          <w:bCs/>
          <w:color w:val="auto"/>
          <w:sz w:val="24"/>
          <w:szCs w:val="24"/>
        </w:rPr>
      </w:pPr>
    </w:p>
    <w:p>
      <w:pPr>
        <w:spacing w:line="360" w:lineRule="auto"/>
        <w:rPr>
          <w:rFonts w:ascii="仿宋" w:hAnsi="仿宋" w:eastAsia="仿宋" w:cs="仿宋"/>
          <w:bCs/>
          <w:color w:val="auto"/>
          <w:sz w:val="24"/>
          <w:szCs w:val="24"/>
        </w:rPr>
      </w:pPr>
      <w:r>
        <w:rPr>
          <w:rFonts w:hint="eastAsia" w:ascii="仿宋" w:hAnsi="仿宋" w:eastAsia="仿宋" w:cs="仿宋"/>
          <w:bCs/>
          <w:color w:val="auto"/>
          <w:sz w:val="24"/>
          <w:szCs w:val="24"/>
        </w:rPr>
        <w:br w:type="page"/>
      </w:r>
    </w:p>
    <w:p>
      <w:pPr>
        <w:spacing w:line="360" w:lineRule="auto"/>
        <w:jc w:val="center"/>
        <w:rPr>
          <w:rFonts w:ascii="仿宋" w:hAnsi="仿宋" w:eastAsia="仿宋" w:cs="仿宋"/>
          <w:b/>
          <w:color w:val="auto"/>
          <w:sz w:val="28"/>
          <w:szCs w:val="28"/>
        </w:rPr>
      </w:pPr>
      <w:bookmarkStart w:id="372" w:name="_Toc1093"/>
      <w:bookmarkStart w:id="373" w:name="_Toc19749"/>
      <w:r>
        <w:rPr>
          <w:rFonts w:hint="eastAsia" w:ascii="仿宋" w:hAnsi="仿宋" w:eastAsia="仿宋" w:cs="仿宋"/>
          <w:b/>
          <w:color w:val="auto"/>
          <w:sz w:val="28"/>
          <w:szCs w:val="28"/>
        </w:rPr>
        <w:t>（六）参加政府采购活动的书面声明</w:t>
      </w:r>
      <w:bookmarkEnd w:id="372"/>
      <w:bookmarkEnd w:id="373"/>
    </w:p>
    <w:p>
      <w:pPr>
        <w:spacing w:line="360" w:lineRule="auto"/>
        <w:rPr>
          <w:rFonts w:ascii="仿宋" w:hAnsi="仿宋" w:eastAsia="仿宋" w:cs="仿宋"/>
          <w:color w:val="auto"/>
          <w:spacing w:val="4"/>
          <w:sz w:val="24"/>
          <w:szCs w:val="24"/>
          <w:u w:val="single"/>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rPr>
        <w:t xml:space="preserve">     （采购人名称）    </w:t>
      </w:r>
    </w:p>
    <w:p>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我方作为</w:t>
      </w:r>
      <w:r>
        <w:rPr>
          <w:rFonts w:hint="eastAsia" w:ascii="仿宋" w:hAnsi="仿宋" w:eastAsia="仿宋" w:cs="仿宋"/>
          <w:color w:val="auto"/>
          <w:kern w:val="0"/>
          <w:sz w:val="24"/>
          <w:szCs w:val="24"/>
          <w:u w:val="single"/>
          <w:lang w:bidi="ar"/>
        </w:rPr>
        <w:t xml:space="preserve">         （项目名称）         </w:t>
      </w:r>
      <w:r>
        <w:rPr>
          <w:rFonts w:hint="eastAsia" w:ascii="仿宋" w:hAnsi="仿宋" w:eastAsia="仿宋" w:cs="仿宋"/>
          <w:color w:val="auto"/>
          <w:kern w:val="0"/>
          <w:sz w:val="24"/>
          <w:szCs w:val="24"/>
          <w:lang w:bidi="ar"/>
        </w:rPr>
        <w:t>（项目编号：</w:t>
      </w:r>
      <w:r>
        <w:rPr>
          <w:rFonts w:hint="eastAsia" w:ascii="仿宋" w:hAnsi="仿宋" w:eastAsia="仿宋" w:cs="仿宋"/>
          <w:color w:val="auto"/>
          <w:kern w:val="0"/>
          <w:sz w:val="24"/>
          <w:szCs w:val="24"/>
          <w:u w:val="single"/>
          <w:lang w:bidi="ar"/>
        </w:rPr>
        <w:t xml:space="preserve">          </w:t>
      </w:r>
      <w:r>
        <w:rPr>
          <w:rFonts w:hint="eastAsia" w:ascii="仿宋" w:hAnsi="仿宋" w:eastAsia="仿宋" w:cs="仿宋"/>
          <w:color w:val="auto"/>
          <w:kern w:val="0"/>
          <w:sz w:val="24"/>
          <w:szCs w:val="24"/>
          <w:lang w:bidi="ar"/>
        </w:rPr>
        <w:t>）的供应商，在此郑重声明：</w:t>
      </w:r>
    </w:p>
    <w:p>
      <w:pPr>
        <w:widowControl/>
        <w:spacing w:line="360" w:lineRule="auto"/>
        <w:ind w:firstLine="480" w:firstLineChars="200"/>
        <w:jc w:val="left"/>
        <w:rPr>
          <w:rFonts w:ascii="仿宋" w:hAnsi="仿宋" w:eastAsia="仿宋" w:cs="仿宋"/>
          <w:color w:val="auto"/>
          <w:sz w:val="24"/>
          <w:szCs w:val="24"/>
        </w:rPr>
      </w:pPr>
      <w:r>
        <w:rPr>
          <w:rFonts w:hint="eastAsia" w:ascii="仿宋" w:hAnsi="仿宋" w:eastAsia="仿宋" w:cs="仿宋"/>
          <w:color w:val="auto"/>
          <w:kern w:val="0"/>
          <w:sz w:val="24"/>
          <w:szCs w:val="24"/>
          <w:lang w:bidi="ar"/>
        </w:rPr>
        <w:t xml:space="preserve">1、在参加本次政府采购活动前 3 年内的经营活动中____（填“没有”或“有”）重大违法记录。供应商在参加政府采购活动前 3 年内因违法经营被禁止在一定期限内参加政府采购活动，期限届满的，可以参加政府采购活动，但应提供期限届满的证明材料。 </w:t>
      </w:r>
    </w:p>
    <w:p>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2、我方______（填“未被列入”或“被列入”）失信被执行人名单。</w:t>
      </w:r>
    </w:p>
    <w:p>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3、我方______（填“未被列入”或“被列入”）重大税收违法案件当事人名单。</w:t>
      </w:r>
    </w:p>
    <w:p>
      <w:pPr>
        <w:widowControl/>
        <w:spacing w:line="360" w:lineRule="auto"/>
        <w:ind w:firstLine="480" w:firstLineChars="200"/>
        <w:jc w:val="left"/>
        <w:rPr>
          <w:rFonts w:ascii="仿宋" w:hAnsi="仿宋" w:eastAsia="仿宋" w:cs="仿宋"/>
          <w:color w:val="auto"/>
          <w:sz w:val="24"/>
          <w:szCs w:val="24"/>
        </w:rPr>
      </w:pPr>
      <w:r>
        <w:rPr>
          <w:rFonts w:hint="eastAsia" w:ascii="仿宋" w:hAnsi="仿宋" w:eastAsia="仿宋" w:cs="仿宋"/>
          <w:color w:val="auto"/>
          <w:kern w:val="0"/>
          <w:sz w:val="24"/>
          <w:szCs w:val="24"/>
          <w:lang w:bidi="ar"/>
        </w:rPr>
        <w:t xml:space="preserve">4、我方______（填“未被列入”或“被列入”）政府采购严重违法失信行为记录名单。 </w:t>
      </w:r>
    </w:p>
    <w:p>
      <w:pPr>
        <w:widowControl/>
        <w:spacing w:line="360" w:lineRule="auto"/>
        <w:ind w:firstLine="480" w:firstLineChars="200"/>
        <w:jc w:val="left"/>
        <w:rPr>
          <w:rFonts w:ascii="仿宋" w:hAnsi="仿宋" w:eastAsia="仿宋" w:cs="仿宋"/>
          <w:color w:val="auto"/>
          <w:sz w:val="24"/>
          <w:szCs w:val="24"/>
        </w:rPr>
      </w:pPr>
      <w:r>
        <w:rPr>
          <w:rFonts w:hint="eastAsia" w:ascii="仿宋" w:hAnsi="仿宋" w:eastAsia="仿宋" w:cs="仿宋"/>
          <w:color w:val="auto"/>
          <w:kern w:val="0"/>
          <w:sz w:val="24"/>
          <w:szCs w:val="24"/>
          <w:lang w:bidi="ar"/>
        </w:rPr>
        <w:t xml:space="preserve">如有不实，我方将无条件地退出本项目的采购活动，并遵照《政府采购法》有关“提供虚假材料的规定”接受处罚。 </w:t>
      </w:r>
    </w:p>
    <w:p>
      <w:pPr>
        <w:widowControl/>
        <w:spacing w:line="360" w:lineRule="auto"/>
        <w:ind w:firstLine="480" w:firstLineChars="200"/>
        <w:jc w:val="left"/>
        <w:rPr>
          <w:rFonts w:ascii="仿宋" w:hAnsi="仿宋" w:eastAsia="仿宋" w:cs="仿宋"/>
          <w:color w:val="auto"/>
          <w:sz w:val="24"/>
          <w:szCs w:val="24"/>
        </w:rPr>
      </w:pPr>
      <w:r>
        <w:rPr>
          <w:rFonts w:hint="eastAsia" w:ascii="仿宋" w:hAnsi="仿宋" w:eastAsia="仿宋" w:cs="仿宋"/>
          <w:color w:val="auto"/>
          <w:kern w:val="0"/>
          <w:sz w:val="24"/>
          <w:szCs w:val="24"/>
          <w:lang w:bidi="ar"/>
        </w:rPr>
        <w:t>特此声明。</w:t>
      </w:r>
    </w:p>
    <w:p>
      <w:pPr>
        <w:autoSpaceDE w:val="0"/>
        <w:autoSpaceDN w:val="0"/>
        <w:adjustRightInd w:val="0"/>
        <w:spacing w:line="360" w:lineRule="auto"/>
        <w:ind w:firstLine="480" w:firstLineChars="200"/>
        <w:rPr>
          <w:rFonts w:ascii="仿宋" w:hAnsi="仿宋" w:eastAsia="仿宋" w:cs="仿宋"/>
          <w:color w:val="auto"/>
          <w:sz w:val="24"/>
          <w:szCs w:val="24"/>
        </w:rPr>
      </w:pPr>
    </w:p>
    <w:p>
      <w:pPr>
        <w:autoSpaceDE w:val="0"/>
        <w:autoSpaceDN w:val="0"/>
        <w:adjustRightInd w:val="0"/>
        <w:spacing w:line="360" w:lineRule="auto"/>
        <w:ind w:firstLine="480" w:firstLineChars="200"/>
        <w:rPr>
          <w:rFonts w:ascii="仿宋" w:hAnsi="仿宋" w:eastAsia="仿宋" w:cs="仿宋"/>
          <w:color w:val="auto"/>
          <w:sz w:val="24"/>
          <w:szCs w:val="24"/>
        </w:rPr>
      </w:pPr>
    </w:p>
    <w:p>
      <w:pPr>
        <w:spacing w:line="360" w:lineRule="auto"/>
        <w:ind w:firstLine="3840" w:firstLineChars="1600"/>
        <w:rPr>
          <w:rFonts w:ascii="仿宋" w:hAnsi="仿宋" w:eastAsia="仿宋" w:cs="仿宋"/>
          <w:color w:val="auto"/>
          <w:sz w:val="24"/>
          <w:szCs w:val="24"/>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w:t>
      </w:r>
    </w:p>
    <w:p>
      <w:pPr>
        <w:spacing w:line="360" w:lineRule="auto"/>
        <w:ind w:firstLine="3840" w:firstLineChars="1600"/>
        <w:rPr>
          <w:rFonts w:ascii="仿宋" w:hAnsi="仿宋" w:eastAsia="仿宋" w:cs="仿宋"/>
          <w:color w:val="auto"/>
          <w:sz w:val="24"/>
          <w:szCs w:val="24"/>
          <w:u w:val="single"/>
        </w:rPr>
      </w:pPr>
      <w:r>
        <w:rPr>
          <w:rFonts w:hint="eastAsia" w:ascii="仿宋" w:hAnsi="仿宋" w:eastAsia="仿宋" w:cs="仿宋"/>
          <w:color w:val="auto"/>
          <w:sz w:val="24"/>
          <w:szCs w:val="24"/>
        </w:rPr>
        <w:t>法定代表人或授权代表（签字或盖章）：</w:t>
      </w:r>
      <w:r>
        <w:rPr>
          <w:rFonts w:hint="eastAsia" w:ascii="仿宋" w:hAnsi="仿宋" w:eastAsia="仿宋" w:cs="仿宋"/>
          <w:color w:val="auto"/>
          <w:sz w:val="24"/>
          <w:szCs w:val="24"/>
          <w:u w:val="single"/>
        </w:rPr>
        <w:t xml:space="preserve">   </w:t>
      </w:r>
    </w:p>
    <w:p>
      <w:pPr>
        <w:spacing w:line="360" w:lineRule="auto"/>
        <w:ind w:firstLine="3840" w:firstLineChars="1600"/>
        <w:rPr>
          <w:rFonts w:ascii="仿宋" w:hAnsi="仿宋" w:eastAsia="仿宋" w:cs="仿宋"/>
          <w:color w:val="auto"/>
          <w:lang w:val="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p>
    <w:p>
      <w:pPr>
        <w:pageBreakBefore/>
        <w:spacing w:line="360" w:lineRule="auto"/>
        <w:jc w:val="center"/>
        <w:rPr>
          <w:rFonts w:ascii="仿宋" w:hAnsi="仿宋" w:eastAsia="仿宋" w:cs="仿宋"/>
          <w:b/>
          <w:color w:val="auto"/>
          <w:sz w:val="28"/>
          <w:szCs w:val="28"/>
          <w:lang w:val="zh-CN"/>
        </w:rPr>
      </w:pPr>
      <w:bookmarkStart w:id="374" w:name="_Toc19939"/>
      <w:r>
        <w:rPr>
          <w:rFonts w:hint="eastAsia" w:ascii="仿宋" w:hAnsi="仿宋" w:eastAsia="仿宋" w:cs="仿宋"/>
          <w:b/>
          <w:color w:val="auto"/>
          <w:sz w:val="28"/>
          <w:szCs w:val="28"/>
          <w:lang w:val="zh-CN"/>
        </w:rPr>
        <w:t>（七）特定资格要求</w:t>
      </w:r>
      <w:bookmarkEnd w:id="374"/>
    </w:p>
    <w:p>
      <w:pPr>
        <w:adjustRightInd w:val="0"/>
        <w:snapToGrid w:val="0"/>
        <w:spacing w:line="360" w:lineRule="auto"/>
        <w:jc w:val="center"/>
        <w:rPr>
          <w:rFonts w:ascii="仿宋" w:hAnsi="仿宋" w:eastAsia="仿宋" w:cs="仿宋"/>
          <w:b/>
          <w:color w:val="auto"/>
          <w:sz w:val="24"/>
          <w:szCs w:val="24"/>
        </w:rPr>
      </w:pPr>
      <w:bookmarkStart w:id="375" w:name="_Toc495908048"/>
      <w:bookmarkStart w:id="376" w:name="_Toc495671263"/>
      <w:bookmarkStart w:id="377" w:name="_Toc495681533"/>
      <w:bookmarkStart w:id="378" w:name="_Toc1610"/>
      <w:bookmarkStart w:id="379" w:name="_Toc495681252"/>
      <w:bookmarkStart w:id="380" w:name="_Toc495681406"/>
      <w:r>
        <w:rPr>
          <w:rFonts w:hint="eastAsia" w:ascii="仿宋" w:hAnsi="仿宋" w:eastAsia="仿宋" w:cs="仿宋"/>
          <w:b/>
          <w:color w:val="auto"/>
          <w:sz w:val="24"/>
          <w:szCs w:val="24"/>
        </w:rPr>
        <w:t>1、法定代表人身份证明</w:t>
      </w:r>
      <w:bookmarkEnd w:id="375"/>
      <w:bookmarkEnd w:id="376"/>
      <w:bookmarkEnd w:id="377"/>
      <w:bookmarkEnd w:id="378"/>
      <w:bookmarkEnd w:id="379"/>
      <w:bookmarkEnd w:id="380"/>
    </w:p>
    <w:p>
      <w:pP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rPr>
      </w:pPr>
      <w:r>
        <w:rPr>
          <w:rFonts w:hint="eastAsia" w:ascii="仿宋" w:hAnsi="仿宋" w:eastAsia="仿宋" w:cs="仿宋"/>
          <w:color w:val="auto"/>
          <w:sz w:val="24"/>
          <w:szCs w:val="24"/>
        </w:rPr>
        <w:t>供应商</w:t>
      </w:r>
      <w:r>
        <w:rPr>
          <w:rFonts w:hint="eastAsia" w:ascii="仿宋" w:hAnsi="仿宋" w:eastAsia="仿宋" w:cs="仿宋"/>
          <w:color w:val="auto"/>
          <w:kern w:val="0"/>
          <w:sz w:val="24"/>
          <w:szCs w:val="24"/>
        </w:rPr>
        <w:t>名称：</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 xml:space="preserve"> </w:t>
      </w:r>
    </w:p>
    <w:p>
      <w:pP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rPr>
      </w:pPr>
      <w:r>
        <w:rPr>
          <w:rFonts w:hint="eastAsia" w:ascii="仿宋" w:hAnsi="仿宋" w:eastAsia="仿宋" w:cs="仿宋"/>
          <w:color w:val="auto"/>
          <w:kern w:val="0"/>
          <w:sz w:val="24"/>
          <w:szCs w:val="24"/>
        </w:rPr>
        <w:t>统一社会信用代码：</w:t>
      </w:r>
      <w:r>
        <w:rPr>
          <w:rFonts w:hint="eastAsia" w:ascii="仿宋" w:hAnsi="仿宋" w:eastAsia="仿宋" w:cs="仿宋"/>
          <w:color w:val="auto"/>
          <w:kern w:val="0"/>
          <w:sz w:val="24"/>
          <w:szCs w:val="24"/>
          <w:u w:val="single"/>
        </w:rPr>
        <w:t xml:space="preserve">                                  </w:t>
      </w:r>
    </w:p>
    <w:p>
      <w:pP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u w:val="single"/>
        </w:rPr>
      </w:pPr>
      <w:r>
        <w:rPr>
          <w:rFonts w:hint="eastAsia" w:ascii="仿宋" w:hAnsi="仿宋" w:eastAsia="仿宋" w:cs="仿宋"/>
          <w:color w:val="auto"/>
          <w:kern w:val="0"/>
          <w:sz w:val="24"/>
          <w:szCs w:val="24"/>
        </w:rPr>
        <w:t>注册地址：</w:t>
      </w:r>
      <w:r>
        <w:rPr>
          <w:rFonts w:hint="eastAsia" w:ascii="仿宋" w:hAnsi="仿宋" w:eastAsia="仿宋" w:cs="仿宋"/>
          <w:color w:val="auto"/>
          <w:kern w:val="0"/>
          <w:sz w:val="24"/>
          <w:szCs w:val="24"/>
          <w:u w:val="single"/>
        </w:rPr>
        <w:t xml:space="preserve">                                          </w:t>
      </w:r>
    </w:p>
    <w:p>
      <w:pP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rPr>
      </w:pPr>
      <w:r>
        <w:rPr>
          <w:rFonts w:hint="eastAsia" w:ascii="仿宋" w:hAnsi="仿宋" w:eastAsia="仿宋" w:cs="仿宋"/>
          <w:color w:val="auto"/>
          <w:kern w:val="0"/>
          <w:sz w:val="24"/>
          <w:szCs w:val="24"/>
        </w:rPr>
        <w:t>成立时间：</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 xml:space="preserve">年 </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月</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日；经营期限：</w:t>
      </w:r>
      <w:r>
        <w:rPr>
          <w:rFonts w:hint="eastAsia" w:ascii="仿宋" w:hAnsi="仿宋" w:eastAsia="仿宋" w:cs="仿宋"/>
          <w:color w:val="auto"/>
          <w:kern w:val="0"/>
          <w:sz w:val="24"/>
          <w:szCs w:val="24"/>
          <w:u w:val="single"/>
        </w:rPr>
        <w:t xml:space="preserve">                  </w:t>
      </w:r>
    </w:p>
    <w:p>
      <w:pP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u w:val="single"/>
        </w:rPr>
      </w:pPr>
      <w:r>
        <w:rPr>
          <w:rFonts w:hint="eastAsia" w:ascii="仿宋" w:hAnsi="仿宋" w:eastAsia="仿宋" w:cs="仿宋"/>
          <w:color w:val="auto"/>
          <w:kern w:val="0"/>
          <w:sz w:val="24"/>
          <w:szCs w:val="24"/>
        </w:rPr>
        <w:t>经营范围：主营：</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 xml:space="preserve"> ；兼营：</w:t>
      </w:r>
      <w:r>
        <w:rPr>
          <w:rFonts w:hint="eastAsia" w:ascii="仿宋" w:hAnsi="仿宋" w:eastAsia="仿宋" w:cs="仿宋"/>
          <w:color w:val="auto"/>
          <w:kern w:val="0"/>
          <w:sz w:val="24"/>
          <w:szCs w:val="24"/>
          <w:u w:val="single"/>
        </w:rPr>
        <w:t xml:space="preserve">              </w:t>
      </w:r>
    </w:p>
    <w:p>
      <w:pP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rPr>
      </w:pPr>
      <w:r>
        <w:rPr>
          <w:rFonts w:hint="eastAsia" w:ascii="仿宋" w:hAnsi="仿宋" w:eastAsia="仿宋" w:cs="仿宋"/>
          <w:color w:val="auto"/>
          <w:kern w:val="0"/>
          <w:sz w:val="24"/>
          <w:szCs w:val="24"/>
        </w:rPr>
        <w:t>姓名：</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 xml:space="preserve"> 性别：</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 xml:space="preserve"> 年龄：</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 xml:space="preserve"> 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r>
        <w:rPr>
          <w:rFonts w:hint="eastAsia" w:ascii="仿宋" w:hAnsi="仿宋" w:eastAsia="仿宋" w:cs="仿宋"/>
          <w:color w:val="auto"/>
          <w:sz w:val="24"/>
          <w:szCs w:val="24"/>
        </w:rPr>
        <w:t>供应商</w:t>
      </w:r>
      <w:r>
        <w:rPr>
          <w:rFonts w:hint="eastAsia" w:ascii="仿宋" w:hAnsi="仿宋" w:eastAsia="仿宋" w:cs="仿宋"/>
          <w:color w:val="auto"/>
          <w:kern w:val="0"/>
          <w:sz w:val="24"/>
          <w:szCs w:val="24"/>
        </w:rPr>
        <w:t>名称）的法定代表人。</w:t>
      </w:r>
    </w:p>
    <w:p>
      <w:pP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rPr>
      </w:pPr>
      <w:r>
        <w:rPr>
          <w:rFonts w:hint="eastAsia" w:ascii="仿宋" w:hAnsi="仿宋" w:eastAsia="仿宋" w:cs="仿宋"/>
          <w:color w:val="auto"/>
          <w:kern w:val="0"/>
          <w:sz w:val="24"/>
          <w:szCs w:val="24"/>
        </w:rPr>
        <w:t>特此证明。</w:t>
      </w:r>
    </w:p>
    <w:p>
      <w:pPr>
        <w:autoSpaceDE w:val="0"/>
        <w:autoSpaceDN w:val="0"/>
        <w:adjustRightInd w:val="0"/>
        <w:snapToGrid w:val="0"/>
        <w:spacing w:before="120" w:line="360" w:lineRule="auto"/>
        <w:ind w:firstLine="480" w:firstLineChars="200"/>
        <w:jc w:val="left"/>
        <w:rPr>
          <w:rFonts w:ascii="仿宋" w:hAnsi="仿宋" w:eastAsia="仿宋" w:cs="仿宋"/>
          <w:color w:val="auto"/>
          <w:sz w:val="24"/>
          <w:szCs w:val="24"/>
        </w:rPr>
      </w:pPr>
      <w:r>
        <w:rPr>
          <w:rFonts w:hint="eastAsia" w:ascii="仿宋" w:hAnsi="仿宋" w:eastAsia="仿宋" w:cs="仿宋"/>
          <w:color w:val="auto"/>
          <w:sz w:val="24"/>
          <w:szCs w:val="24"/>
        </w:rPr>
        <w:t>附：法定代表人身份证复印件</w:t>
      </w:r>
    </w:p>
    <w:tbl>
      <w:tblPr>
        <w:tblStyle w:val="21"/>
        <w:tblW w:w="7996" w:type="dxa"/>
        <w:tblInd w:w="540" w:type="dxa"/>
        <w:tblLayout w:type="fixed"/>
        <w:tblCellMar>
          <w:top w:w="0" w:type="dxa"/>
          <w:left w:w="108" w:type="dxa"/>
          <w:bottom w:w="0" w:type="dxa"/>
          <w:right w:w="108" w:type="dxa"/>
        </w:tblCellMar>
      </w:tblPr>
      <w:tblGrid>
        <w:gridCol w:w="4081"/>
        <w:gridCol w:w="3915"/>
      </w:tblGrid>
      <w:tr>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仿宋" w:hAnsi="仿宋" w:eastAsia="仿宋" w:cs="仿宋"/>
                <w:color w:val="auto"/>
                <w:sz w:val="24"/>
                <w:szCs w:val="24"/>
                <w:lang w:val="zh-CN"/>
              </w:rPr>
            </w:pPr>
            <w:r>
              <w:rPr>
                <w:rFonts w:hint="eastAsia" w:ascii="仿宋" w:hAnsi="仿宋" w:eastAsia="仿宋" w:cs="仿宋"/>
                <w:color w:val="auto"/>
                <w:sz w:val="24"/>
                <w:szCs w:val="24"/>
                <w:lang w:val="zh-CN"/>
              </w:rPr>
              <w:t>法定代表人身份证</w:t>
            </w:r>
          </w:p>
          <w:p>
            <w:pPr>
              <w:spacing w:line="360" w:lineRule="auto"/>
              <w:jc w:val="center"/>
              <w:rPr>
                <w:rFonts w:ascii="仿宋" w:hAnsi="仿宋" w:eastAsia="仿宋" w:cs="仿宋"/>
                <w:color w:val="auto"/>
                <w:sz w:val="24"/>
                <w:szCs w:val="24"/>
                <w:u w:val="single"/>
              </w:rPr>
            </w:pPr>
            <w:r>
              <w:rPr>
                <w:rFonts w:hint="eastAsia" w:ascii="仿宋" w:hAnsi="仿宋" w:eastAsia="仿宋" w:cs="仿宋"/>
                <w:color w:val="auto"/>
                <w:sz w:val="24"/>
                <w:szCs w:val="24"/>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仿宋" w:hAnsi="仿宋" w:eastAsia="仿宋" w:cs="仿宋"/>
                <w:color w:val="auto"/>
                <w:sz w:val="24"/>
                <w:szCs w:val="24"/>
                <w:lang w:val="zh-CN"/>
              </w:rPr>
            </w:pPr>
            <w:r>
              <w:rPr>
                <w:rFonts w:hint="eastAsia" w:ascii="仿宋" w:hAnsi="仿宋" w:eastAsia="仿宋" w:cs="仿宋"/>
                <w:color w:val="auto"/>
                <w:sz w:val="24"/>
                <w:szCs w:val="24"/>
                <w:lang w:val="zh-CN"/>
              </w:rPr>
              <w:t>法定代表人身份证</w:t>
            </w:r>
          </w:p>
          <w:p>
            <w:pPr>
              <w:spacing w:line="360" w:lineRule="auto"/>
              <w:jc w:val="center"/>
              <w:rPr>
                <w:rFonts w:ascii="仿宋" w:hAnsi="仿宋" w:eastAsia="仿宋" w:cs="仿宋"/>
                <w:color w:val="auto"/>
                <w:sz w:val="24"/>
                <w:szCs w:val="24"/>
                <w:u w:val="single"/>
              </w:rPr>
            </w:pPr>
            <w:r>
              <w:rPr>
                <w:rFonts w:hint="eastAsia" w:ascii="仿宋" w:hAnsi="仿宋" w:eastAsia="仿宋" w:cs="仿宋"/>
                <w:color w:val="auto"/>
                <w:sz w:val="24"/>
                <w:szCs w:val="24"/>
                <w:lang w:val="zh-CN"/>
              </w:rPr>
              <w:t>复印件</w:t>
            </w:r>
          </w:p>
        </w:tc>
      </w:tr>
    </w:tbl>
    <w:p>
      <w:pPr>
        <w:spacing w:line="360" w:lineRule="auto"/>
        <w:ind w:firstLine="1920" w:firstLineChars="800"/>
        <w:rPr>
          <w:rFonts w:ascii="仿宋" w:hAnsi="仿宋" w:eastAsia="仿宋" w:cs="仿宋"/>
          <w:color w:val="auto"/>
          <w:sz w:val="24"/>
          <w:szCs w:val="24"/>
        </w:rPr>
      </w:pPr>
    </w:p>
    <w:p>
      <w:pPr>
        <w:spacing w:line="360" w:lineRule="auto"/>
        <w:ind w:firstLine="5280" w:firstLineChars="2200"/>
        <w:rPr>
          <w:rFonts w:ascii="仿宋" w:hAnsi="仿宋" w:eastAsia="仿宋" w:cs="仿宋"/>
          <w:color w:val="auto"/>
          <w:sz w:val="24"/>
          <w:szCs w:val="24"/>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w:t>
      </w:r>
    </w:p>
    <w:p>
      <w:pPr>
        <w:spacing w:line="360" w:lineRule="auto"/>
        <w:ind w:firstLine="5280" w:firstLineChars="2200"/>
        <w:rPr>
          <w:rFonts w:ascii="仿宋" w:hAnsi="仿宋" w:eastAsia="仿宋" w:cs="仿宋"/>
          <w:color w:val="auto"/>
          <w:sz w:val="24"/>
          <w:szCs w:val="24"/>
          <w:u w:val="single"/>
        </w:rPr>
      </w:pPr>
      <w:r>
        <w:rPr>
          <w:rFonts w:hint="eastAsia" w:ascii="仿宋" w:hAnsi="仿宋" w:eastAsia="仿宋" w:cs="仿宋"/>
          <w:color w:val="auto"/>
          <w:sz w:val="24"/>
          <w:szCs w:val="24"/>
        </w:rPr>
        <w:t>法定代表人（签字或盖章）：</w:t>
      </w:r>
      <w:r>
        <w:rPr>
          <w:rFonts w:hint="eastAsia" w:ascii="仿宋" w:hAnsi="仿宋" w:eastAsia="仿宋" w:cs="仿宋"/>
          <w:color w:val="auto"/>
          <w:sz w:val="24"/>
          <w:szCs w:val="24"/>
          <w:u w:val="single"/>
        </w:rPr>
        <w:t xml:space="preserve">                    </w:t>
      </w:r>
    </w:p>
    <w:p>
      <w:pPr>
        <w:adjustRightInd w:val="0"/>
        <w:snapToGrid w:val="0"/>
        <w:spacing w:line="360" w:lineRule="auto"/>
        <w:ind w:firstLine="5280" w:firstLineChars="2200"/>
        <w:rPr>
          <w:rFonts w:ascii="仿宋" w:hAnsi="仿宋" w:eastAsia="仿宋" w:cs="仿宋"/>
          <w:color w:val="auto"/>
          <w:sz w:val="24"/>
          <w:szCs w:val="24"/>
          <w:u w:val="single"/>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p>
    <w:p>
      <w:pPr>
        <w:adjustRightInd w:val="0"/>
        <w:snapToGrid w:val="0"/>
        <w:spacing w:line="360" w:lineRule="auto"/>
        <w:jc w:val="center"/>
        <w:rPr>
          <w:rFonts w:ascii="仿宋" w:hAnsi="仿宋" w:eastAsia="仿宋" w:cs="仿宋"/>
          <w:b/>
          <w:color w:val="auto"/>
          <w:sz w:val="24"/>
          <w:szCs w:val="24"/>
        </w:rPr>
      </w:pPr>
      <w:r>
        <w:rPr>
          <w:rFonts w:hint="eastAsia" w:ascii="仿宋" w:hAnsi="仿宋" w:eastAsia="仿宋" w:cs="仿宋"/>
          <w:b/>
          <w:bCs/>
          <w:color w:val="auto"/>
          <w:sz w:val="24"/>
          <w:szCs w:val="24"/>
        </w:rPr>
        <w:br w:type="page"/>
      </w:r>
      <w:bookmarkStart w:id="381" w:name="_Toc495681534"/>
      <w:bookmarkStart w:id="382" w:name="_Toc495671264"/>
      <w:bookmarkStart w:id="383" w:name="_Toc18921"/>
      <w:bookmarkStart w:id="384" w:name="_Toc495908049"/>
      <w:bookmarkStart w:id="385" w:name="_Toc495681407"/>
      <w:bookmarkStart w:id="386" w:name="_Toc495681253"/>
      <w:r>
        <w:rPr>
          <w:rFonts w:hint="eastAsia" w:ascii="仿宋" w:hAnsi="仿宋" w:eastAsia="仿宋" w:cs="仿宋"/>
          <w:b/>
          <w:color w:val="auto"/>
          <w:sz w:val="24"/>
          <w:szCs w:val="24"/>
        </w:rPr>
        <w:t>2、法定代表人授权书</w:t>
      </w:r>
      <w:bookmarkEnd w:id="381"/>
      <w:bookmarkEnd w:id="382"/>
      <w:bookmarkEnd w:id="383"/>
      <w:bookmarkEnd w:id="384"/>
      <w:bookmarkEnd w:id="385"/>
      <w:bookmarkEnd w:id="386"/>
    </w:p>
    <w:p>
      <w:pPr>
        <w:autoSpaceDE w:val="0"/>
        <w:autoSpaceDN w:val="0"/>
        <w:adjustRightInd w:val="0"/>
        <w:spacing w:line="360" w:lineRule="auto"/>
        <w:rPr>
          <w:rFonts w:ascii="仿宋" w:hAnsi="仿宋" w:eastAsia="仿宋" w:cs="仿宋"/>
          <w:color w:val="auto"/>
          <w:sz w:val="24"/>
          <w:szCs w:val="24"/>
        </w:rPr>
      </w:pPr>
      <w:r>
        <w:rPr>
          <w:rFonts w:hint="eastAsia" w:ascii="仿宋" w:hAnsi="仿宋" w:eastAsia="仿宋" w:cs="仿宋"/>
          <w:color w:val="auto"/>
          <w:sz w:val="24"/>
          <w:szCs w:val="24"/>
          <w:lang w:val="zh-CN"/>
        </w:rPr>
        <w:t>陕西笃信招标有限公司：</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lang w:val="zh-CN"/>
        </w:rPr>
        <w:t>注册于</w:t>
      </w:r>
      <w:r>
        <w:rPr>
          <w:rFonts w:hint="eastAsia" w:ascii="仿宋" w:hAnsi="仿宋" w:eastAsia="仿宋" w:cs="仿宋"/>
          <w:color w:val="auto"/>
          <w:sz w:val="24"/>
          <w:szCs w:val="24"/>
          <w:u w:val="single"/>
          <w:lang w:val="zh-CN"/>
        </w:rPr>
        <w:t xml:space="preserve">  （工商行政管理局名称）  </w:t>
      </w:r>
      <w:r>
        <w:rPr>
          <w:rFonts w:hint="eastAsia" w:ascii="仿宋" w:hAnsi="仿宋" w:eastAsia="仿宋" w:cs="仿宋"/>
          <w:color w:val="auto"/>
          <w:sz w:val="24"/>
          <w:szCs w:val="24"/>
          <w:lang w:val="zh-CN"/>
        </w:rPr>
        <w:t>之</w:t>
      </w:r>
      <w:r>
        <w:rPr>
          <w:rFonts w:hint="eastAsia" w:ascii="仿宋" w:hAnsi="仿宋" w:eastAsia="仿宋" w:cs="仿宋"/>
          <w:color w:val="auto"/>
          <w:sz w:val="24"/>
          <w:szCs w:val="24"/>
          <w:u w:val="single"/>
          <w:lang w:val="zh-CN"/>
        </w:rPr>
        <w:t xml:space="preserve">   （供应商全称）  </w:t>
      </w:r>
      <w:r>
        <w:rPr>
          <w:rFonts w:hint="eastAsia" w:ascii="仿宋" w:hAnsi="仿宋" w:eastAsia="仿宋" w:cs="仿宋"/>
          <w:color w:val="auto"/>
          <w:sz w:val="24"/>
          <w:szCs w:val="24"/>
          <w:lang w:val="zh-CN"/>
        </w:rPr>
        <w:t>的法定代表人</w:t>
      </w:r>
      <w:r>
        <w:rPr>
          <w:rFonts w:hint="eastAsia" w:ascii="仿宋" w:hAnsi="仿宋" w:eastAsia="仿宋" w:cs="仿宋"/>
          <w:color w:val="auto"/>
          <w:sz w:val="24"/>
          <w:szCs w:val="24"/>
          <w:u w:val="single"/>
          <w:lang w:val="zh-CN"/>
        </w:rPr>
        <w:t xml:space="preserve"> （姓名）</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lang w:val="zh-CN"/>
        </w:rPr>
        <w:t>授权</w:t>
      </w:r>
      <w:r>
        <w:rPr>
          <w:rFonts w:hint="eastAsia" w:ascii="仿宋" w:hAnsi="仿宋" w:eastAsia="仿宋" w:cs="仿宋"/>
          <w:color w:val="auto"/>
          <w:sz w:val="24"/>
          <w:szCs w:val="24"/>
          <w:u w:val="single"/>
          <w:lang w:val="zh-CN"/>
        </w:rPr>
        <w:t xml:space="preserve"> （被授权人姓名）</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为我方合法委托代理人。代理人根据授权，以我方名义签署、澄清、说明、递交、撤回、修改</w:t>
      </w:r>
      <w:r>
        <w:rPr>
          <w:rFonts w:hint="eastAsia" w:ascii="仿宋" w:hAnsi="仿宋" w:eastAsia="仿宋" w:cs="仿宋"/>
          <w:color w:val="auto"/>
          <w:sz w:val="24"/>
          <w:szCs w:val="24"/>
          <w:u w:val="single"/>
        </w:rPr>
        <w:t xml:space="preserve">     （项目名称）     </w:t>
      </w:r>
      <w:r>
        <w:rPr>
          <w:rFonts w:hint="eastAsia" w:ascii="仿宋" w:hAnsi="仿宋" w:eastAsia="仿宋" w:cs="仿宋"/>
          <w:color w:val="auto"/>
          <w:sz w:val="24"/>
          <w:szCs w:val="24"/>
        </w:rPr>
        <w:t>投标文件、签订合同和处理有关事宜，其法律后果由我方承担。</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代理人无转委托权。</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供应商：</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（盖单位公章）</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身份证号码：</w:t>
      </w:r>
      <w:r>
        <w:rPr>
          <w:rFonts w:hint="eastAsia" w:ascii="仿宋" w:hAnsi="仿宋" w:eastAsia="仿宋" w:cs="仿宋"/>
          <w:color w:val="auto"/>
          <w:sz w:val="24"/>
          <w:szCs w:val="24"/>
          <w:u w:val="single"/>
        </w:rPr>
        <w:t xml:space="preserve">                   </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委托代理人：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p>
    <w:p>
      <w:pPr>
        <w:spacing w:line="360" w:lineRule="auto"/>
        <w:ind w:firstLine="480" w:firstLineChars="200"/>
        <w:rPr>
          <w:rFonts w:ascii="仿宋" w:hAnsi="仿宋" w:eastAsia="仿宋" w:cs="仿宋"/>
          <w:color w:val="auto"/>
          <w:sz w:val="24"/>
          <w:szCs w:val="24"/>
          <w:u w:val="single"/>
        </w:rPr>
      </w:pPr>
      <w:r>
        <w:rPr>
          <w:rFonts w:hint="eastAsia" w:ascii="仿宋" w:hAnsi="仿宋" w:eastAsia="仿宋" w:cs="仿宋"/>
          <w:color w:val="auto"/>
          <w:sz w:val="24"/>
          <w:szCs w:val="24"/>
        </w:rPr>
        <w:t>身份证号码：</w:t>
      </w:r>
      <w:r>
        <w:rPr>
          <w:rFonts w:hint="eastAsia" w:ascii="仿宋" w:hAnsi="仿宋" w:eastAsia="仿宋" w:cs="仿宋"/>
          <w:color w:val="auto"/>
          <w:sz w:val="24"/>
          <w:szCs w:val="24"/>
          <w:u w:val="single"/>
        </w:rPr>
        <w:t xml:space="preserve">                   </w:t>
      </w:r>
    </w:p>
    <w:p>
      <w:pPr>
        <w:spacing w:line="360" w:lineRule="auto"/>
        <w:ind w:firstLine="5520" w:firstLineChars="2300"/>
        <w:rPr>
          <w:rFonts w:ascii="仿宋" w:hAnsi="仿宋" w:eastAsia="仿宋" w:cs="仿宋"/>
          <w:color w:val="auto"/>
          <w:sz w:val="24"/>
          <w:szCs w:val="24"/>
        </w:rPr>
      </w:pP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pPr>
        <w:spacing w:line="360" w:lineRule="auto"/>
        <w:ind w:firstLine="480" w:firstLineChars="200"/>
        <w:rPr>
          <w:rFonts w:ascii="仿宋" w:hAnsi="仿宋" w:eastAsia="仿宋" w:cs="仿宋"/>
          <w:color w:val="auto"/>
          <w:sz w:val="24"/>
          <w:szCs w:val="24"/>
        </w:rPr>
      </w:pP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本授权有效期：自开标之日起90日历日。</w:t>
      </w:r>
    </w:p>
    <w:p>
      <w:pPr>
        <w:spacing w:line="360" w:lineRule="auto"/>
        <w:ind w:firstLine="420"/>
        <w:rPr>
          <w:rFonts w:ascii="仿宋" w:hAnsi="仿宋" w:eastAsia="仿宋" w:cs="仿宋"/>
          <w:bCs/>
          <w:color w:val="auto"/>
          <w:sz w:val="24"/>
          <w:szCs w:val="24"/>
        </w:rPr>
      </w:pPr>
    </w:p>
    <w:p>
      <w:pPr>
        <w:spacing w:line="360" w:lineRule="auto"/>
        <w:ind w:firstLine="420"/>
        <w:rPr>
          <w:rFonts w:ascii="仿宋" w:hAnsi="仿宋" w:eastAsia="仿宋" w:cs="仿宋"/>
          <w:bCs/>
          <w:color w:val="auto"/>
          <w:sz w:val="24"/>
          <w:szCs w:val="24"/>
        </w:rPr>
      </w:pPr>
    </w:p>
    <w:p>
      <w:pPr>
        <w:spacing w:line="360" w:lineRule="auto"/>
        <w:ind w:firstLine="480" w:firstLineChars="200"/>
        <w:rPr>
          <w:rFonts w:ascii="仿宋" w:hAnsi="仿宋" w:eastAsia="仿宋" w:cs="仿宋"/>
          <w:bCs/>
          <w:color w:val="auto"/>
          <w:sz w:val="24"/>
          <w:szCs w:val="24"/>
        </w:rPr>
      </w:pPr>
    </w:p>
    <w:p>
      <w:pPr>
        <w:spacing w:line="360" w:lineRule="auto"/>
        <w:ind w:firstLine="480" w:firstLineChars="200"/>
        <w:rPr>
          <w:rFonts w:ascii="仿宋" w:hAnsi="仿宋" w:eastAsia="仿宋" w:cs="仿宋"/>
          <w:bCs/>
          <w:color w:val="auto"/>
          <w:sz w:val="24"/>
          <w:szCs w:val="24"/>
        </w:rPr>
      </w:pPr>
    </w:p>
    <w:p>
      <w:pPr>
        <w:spacing w:line="360" w:lineRule="auto"/>
        <w:ind w:firstLine="480" w:firstLineChars="200"/>
        <w:rPr>
          <w:rFonts w:ascii="仿宋" w:hAnsi="仿宋" w:eastAsia="仿宋" w:cs="仿宋"/>
          <w:color w:val="auto"/>
          <w:sz w:val="24"/>
          <w:szCs w:val="24"/>
          <w:lang w:val="zh-CN"/>
        </w:rPr>
      </w:pPr>
    </w:p>
    <w:p>
      <w:pPr>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说明：</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1.后附被授权代表本单位证明：有效的劳动合同或开标前六个月任意一个月的养老保险缴纳证明。</w:t>
      </w:r>
    </w:p>
    <w:p>
      <w:pPr>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2.后附法定代表人和被授权委托代理人身份证复印件并加盖红色鲜章。</w:t>
      </w:r>
    </w:p>
    <w:p>
      <w:pPr>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val="zh-CN"/>
        </w:rPr>
        <w:t>本授权有效期为</w:t>
      </w:r>
      <w:r>
        <w:rPr>
          <w:rFonts w:hint="eastAsia" w:ascii="仿宋" w:hAnsi="仿宋" w:eastAsia="仿宋" w:cs="仿宋"/>
          <w:color w:val="auto"/>
          <w:sz w:val="24"/>
          <w:szCs w:val="24"/>
        </w:rPr>
        <w:t>开标</w:t>
      </w:r>
      <w:r>
        <w:rPr>
          <w:rFonts w:hint="eastAsia" w:ascii="仿宋" w:hAnsi="仿宋" w:eastAsia="仿宋" w:cs="仿宋"/>
          <w:color w:val="auto"/>
          <w:sz w:val="24"/>
          <w:szCs w:val="24"/>
          <w:lang w:val="zh-CN"/>
        </w:rPr>
        <w:t>之日起不少于90天，仅限授权代表参加</w:t>
      </w:r>
      <w:r>
        <w:rPr>
          <w:rFonts w:hint="eastAsia" w:ascii="仿宋" w:hAnsi="仿宋" w:eastAsia="仿宋" w:cs="仿宋"/>
          <w:color w:val="auto"/>
          <w:sz w:val="24"/>
          <w:szCs w:val="24"/>
        </w:rPr>
        <w:t>投标</w:t>
      </w:r>
      <w:r>
        <w:rPr>
          <w:rFonts w:hint="eastAsia" w:ascii="仿宋" w:hAnsi="仿宋" w:eastAsia="仿宋" w:cs="仿宋"/>
          <w:color w:val="auto"/>
          <w:sz w:val="24"/>
          <w:szCs w:val="24"/>
          <w:lang w:val="zh-CN"/>
        </w:rPr>
        <w:t>时提供。</w:t>
      </w:r>
    </w:p>
    <w:p>
      <w:pPr>
        <w:pStyle w:val="16"/>
        <w:rPr>
          <w:rFonts w:ascii="仿宋" w:hAnsi="仿宋" w:eastAsia="仿宋" w:cs="仿宋"/>
          <w:b/>
          <w:color w:val="auto"/>
          <w:sz w:val="24"/>
          <w:szCs w:val="24"/>
        </w:rPr>
      </w:pPr>
    </w:p>
    <w:p>
      <w:pPr>
        <w:pageBreakBefore/>
        <w:tabs>
          <w:tab w:val="left" w:pos="292"/>
          <w:tab w:val="center" w:pos="4327"/>
        </w:tabs>
        <w:adjustRightInd w:val="0"/>
        <w:snapToGrid w:val="0"/>
        <w:spacing w:line="360" w:lineRule="auto"/>
        <w:jc w:val="center"/>
        <w:rPr>
          <w:rFonts w:ascii="仿宋" w:hAnsi="仿宋" w:eastAsia="仿宋" w:cs="仿宋"/>
          <w:b/>
          <w:color w:val="auto"/>
          <w:sz w:val="24"/>
          <w:szCs w:val="24"/>
          <w:lang w:val="zh-CN"/>
        </w:rPr>
      </w:pPr>
      <w:r>
        <w:rPr>
          <w:rFonts w:hint="eastAsia" w:ascii="仿宋" w:hAnsi="仿宋" w:eastAsia="仿宋" w:cs="仿宋"/>
          <w:b/>
          <w:color w:val="auto"/>
          <w:sz w:val="24"/>
          <w:szCs w:val="24"/>
        </w:rPr>
        <w:t>3、</w:t>
      </w:r>
      <w:r>
        <w:rPr>
          <w:rFonts w:hint="eastAsia" w:ascii="仿宋" w:hAnsi="仿宋" w:eastAsia="仿宋" w:cs="仿宋"/>
          <w:b/>
          <w:color w:val="auto"/>
          <w:sz w:val="24"/>
          <w:szCs w:val="24"/>
          <w:lang w:val="zh-CN"/>
        </w:rPr>
        <w:t>提供政府采购政策等证明材料</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（1）中小企业声明函（</w:t>
      </w:r>
      <w:r>
        <w:rPr>
          <w:rFonts w:hint="eastAsia" w:ascii="仿宋" w:hAnsi="仿宋" w:eastAsia="仿宋" w:cs="仿宋"/>
          <w:b/>
          <w:bCs/>
          <w:color w:val="auto"/>
          <w:sz w:val="24"/>
          <w:szCs w:val="24"/>
        </w:rPr>
        <w:t>如适用</w:t>
      </w:r>
      <w:r>
        <w:rPr>
          <w:rFonts w:hint="eastAsia" w:ascii="仿宋" w:hAnsi="仿宋" w:eastAsia="仿宋" w:cs="仿宋"/>
          <w:color w:val="auto"/>
          <w:sz w:val="24"/>
          <w:szCs w:val="24"/>
        </w:rPr>
        <w:t>，请提供，格式见附件1，注：本项目属于零售业）；</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（2）残疾人福利性单位声明函（如适用，请提供，格式见附件2）；</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 xml:space="preserve">（3）监狱企业、福利企业证明材料（如适用，请提供）；  </w:t>
      </w:r>
    </w:p>
    <w:p>
      <w:pPr>
        <w:rPr>
          <w:rFonts w:ascii="仿宋" w:hAnsi="仿宋" w:eastAsia="仿宋" w:cs="仿宋"/>
          <w:b/>
          <w:bCs/>
          <w:color w:val="auto"/>
          <w:sz w:val="24"/>
          <w:szCs w:val="24"/>
        </w:rPr>
      </w:pPr>
      <w:r>
        <w:rPr>
          <w:rFonts w:hint="eastAsia" w:ascii="仿宋" w:hAnsi="仿宋" w:eastAsia="仿宋" w:cs="仿宋"/>
          <w:b/>
          <w:bCs/>
          <w:color w:val="auto"/>
          <w:sz w:val="24"/>
          <w:szCs w:val="24"/>
        </w:rPr>
        <w:br w:type="page"/>
      </w:r>
    </w:p>
    <w:p>
      <w:pPr>
        <w:spacing w:line="360" w:lineRule="auto"/>
        <w:rPr>
          <w:rFonts w:ascii="仿宋" w:hAnsi="仿宋" w:eastAsia="仿宋" w:cs="仿宋"/>
          <w:b/>
          <w:bCs/>
          <w:color w:val="auto"/>
          <w:sz w:val="24"/>
          <w:szCs w:val="24"/>
        </w:rPr>
      </w:pPr>
      <w:r>
        <w:rPr>
          <w:rFonts w:hint="eastAsia" w:ascii="仿宋" w:hAnsi="仿宋" w:eastAsia="仿宋" w:cs="仿宋"/>
          <w:b/>
          <w:bCs/>
          <w:color w:val="auto"/>
          <w:sz w:val="24"/>
          <w:szCs w:val="24"/>
        </w:rPr>
        <w:t>附件1</w:t>
      </w:r>
    </w:p>
    <w:p>
      <w:pPr>
        <w:spacing w:line="360" w:lineRule="auto"/>
        <w:jc w:val="center"/>
        <w:rPr>
          <w:rFonts w:ascii="仿宋" w:hAnsi="仿宋" w:eastAsia="仿宋" w:cs="仿宋"/>
          <w:b/>
          <w:bCs/>
          <w:color w:val="auto"/>
          <w:sz w:val="28"/>
          <w:szCs w:val="24"/>
        </w:rPr>
      </w:pPr>
      <w:r>
        <w:rPr>
          <w:rFonts w:hint="eastAsia" w:ascii="仿宋" w:hAnsi="仿宋" w:eastAsia="仿宋" w:cs="仿宋"/>
          <w:b/>
          <w:bCs/>
          <w:color w:val="auto"/>
          <w:sz w:val="28"/>
          <w:szCs w:val="24"/>
        </w:rPr>
        <w:t>中小企业声明函（货物）</w:t>
      </w:r>
    </w:p>
    <w:p>
      <w:pPr>
        <w:kinsoku w:val="0"/>
        <w:overflowPunct w:val="0"/>
        <w:spacing w:before="34" w:line="360" w:lineRule="auto"/>
        <w:ind w:firstLine="456" w:firstLineChars="200"/>
        <w:rPr>
          <w:rFonts w:ascii="仿宋" w:hAnsi="仿宋" w:eastAsia="仿宋" w:cs="仿宋"/>
          <w:color w:val="auto"/>
          <w:w w:val="95"/>
          <w:sz w:val="24"/>
          <w:szCs w:val="24"/>
        </w:rPr>
      </w:pPr>
      <w:r>
        <w:rPr>
          <w:rFonts w:hint="eastAsia" w:ascii="仿宋" w:hAnsi="仿宋" w:eastAsia="仿宋" w:cs="仿宋"/>
          <w:color w:val="auto"/>
          <w:w w:val="95"/>
          <w:sz w:val="24"/>
          <w:szCs w:val="24"/>
        </w:rPr>
        <w:t>本公司（联合体）郑重声明，根据《政府采购促进中小企业发展管理办法》（财库﹝2020﹞46号）的规定，本公司（联合体）参加</w:t>
      </w:r>
      <w:r>
        <w:rPr>
          <w:rFonts w:hint="eastAsia" w:ascii="仿宋" w:hAnsi="仿宋" w:eastAsia="仿宋" w:cs="仿宋"/>
          <w:color w:val="auto"/>
          <w:w w:val="95"/>
          <w:sz w:val="24"/>
          <w:szCs w:val="24"/>
          <w:u w:val="single"/>
        </w:rPr>
        <w:t>（单位名称）</w:t>
      </w:r>
      <w:r>
        <w:rPr>
          <w:rFonts w:hint="eastAsia" w:ascii="仿宋" w:hAnsi="仿宋" w:eastAsia="仿宋" w:cs="仿宋"/>
          <w:color w:val="auto"/>
          <w:w w:val="95"/>
          <w:sz w:val="24"/>
          <w:szCs w:val="24"/>
        </w:rPr>
        <w:t>的</w:t>
      </w:r>
      <w:r>
        <w:rPr>
          <w:rFonts w:hint="eastAsia" w:ascii="仿宋" w:hAnsi="仿宋" w:eastAsia="仿宋" w:cs="仿宋"/>
          <w:color w:val="auto"/>
          <w:w w:val="95"/>
          <w:sz w:val="24"/>
          <w:szCs w:val="24"/>
          <w:u w:val="single"/>
        </w:rPr>
        <w:t>（项目名称）</w:t>
      </w:r>
      <w:r>
        <w:rPr>
          <w:rFonts w:hint="eastAsia" w:ascii="仿宋" w:hAnsi="仿宋" w:eastAsia="仿宋" w:cs="仿宋"/>
          <w:color w:val="auto"/>
          <w:w w:val="95"/>
          <w:sz w:val="24"/>
          <w:szCs w:val="24"/>
        </w:rPr>
        <w:t>采购活动，提供的货物全部由符合政策要求的中小企业制造。相关企业（含联合体中的中小企业、签订分包意向协议的中小企业）的具体情况如下：</w:t>
      </w:r>
    </w:p>
    <w:p>
      <w:pPr>
        <w:tabs>
          <w:tab w:val="left" w:pos="1384"/>
          <w:tab w:val="left" w:pos="4562"/>
          <w:tab w:val="left" w:pos="6803"/>
        </w:tabs>
        <w:kinsoku w:val="0"/>
        <w:overflowPunct w:val="0"/>
        <w:spacing w:before="13" w:line="360" w:lineRule="auto"/>
        <w:ind w:left="105" w:right="142" w:firstLine="655"/>
        <w:rPr>
          <w:rFonts w:ascii="仿宋" w:hAnsi="仿宋" w:eastAsia="仿宋" w:cs="仿宋"/>
          <w:color w:val="auto"/>
          <w:w w:val="95"/>
          <w:sz w:val="24"/>
          <w:szCs w:val="24"/>
          <w:u w:val="single"/>
        </w:rPr>
      </w:pPr>
      <w:r>
        <w:rPr>
          <w:rFonts w:hint="eastAsia" w:ascii="仿宋" w:hAnsi="仿宋" w:eastAsia="仿宋" w:cs="仿宋"/>
          <w:color w:val="auto"/>
          <w:spacing w:val="1"/>
          <w:w w:val="99"/>
          <w:sz w:val="24"/>
          <w:szCs w:val="24"/>
        </w:rPr>
        <w:t>1</w:t>
      </w:r>
      <w:r>
        <w:rPr>
          <w:rFonts w:hint="eastAsia" w:ascii="仿宋" w:hAnsi="仿宋" w:eastAsia="仿宋" w:cs="仿宋"/>
          <w:color w:val="auto"/>
          <w:spacing w:val="-41"/>
          <w:w w:val="99"/>
          <w:sz w:val="24"/>
          <w:szCs w:val="24"/>
        </w:rPr>
        <w:t>.</w:t>
      </w:r>
      <w:r>
        <w:rPr>
          <w:rFonts w:hint="eastAsia" w:ascii="仿宋" w:hAnsi="仿宋" w:eastAsia="仿宋" w:cs="仿宋"/>
          <w:color w:val="auto"/>
          <w:w w:val="95"/>
          <w:sz w:val="24"/>
          <w:szCs w:val="24"/>
          <w:u w:val="single"/>
        </w:rPr>
        <w:t xml:space="preserve"> （标的名称）</w:t>
      </w:r>
      <w:r>
        <w:rPr>
          <w:rFonts w:hint="eastAsia" w:ascii="仿宋" w:hAnsi="仿宋" w:eastAsia="仿宋" w:cs="仿宋"/>
          <w:i/>
          <w:color w:val="auto"/>
          <w:spacing w:val="-135"/>
          <w:sz w:val="24"/>
          <w:szCs w:val="24"/>
        </w:rPr>
        <w:t xml:space="preserve"> </w:t>
      </w:r>
      <w:r>
        <w:rPr>
          <w:rFonts w:hint="eastAsia" w:ascii="仿宋" w:hAnsi="仿宋" w:eastAsia="仿宋" w:cs="仿宋"/>
          <w:color w:val="auto"/>
          <w:spacing w:val="-43"/>
          <w:w w:val="99"/>
          <w:sz w:val="24"/>
          <w:szCs w:val="24"/>
        </w:rPr>
        <w:t>，</w:t>
      </w:r>
      <w:r>
        <w:rPr>
          <w:rFonts w:hint="eastAsia" w:ascii="仿宋" w:hAnsi="仿宋" w:eastAsia="仿宋" w:cs="仿宋"/>
          <w:color w:val="auto"/>
          <w:w w:val="99"/>
          <w:sz w:val="24"/>
          <w:szCs w:val="24"/>
        </w:rPr>
        <w:t>属</w:t>
      </w:r>
      <w:r>
        <w:rPr>
          <w:rFonts w:hint="eastAsia" w:ascii="仿宋" w:hAnsi="仿宋" w:eastAsia="仿宋" w:cs="仿宋"/>
          <w:color w:val="auto"/>
          <w:spacing w:val="-55"/>
          <w:w w:val="99"/>
          <w:sz w:val="24"/>
          <w:szCs w:val="24"/>
        </w:rPr>
        <w:t>于</w:t>
      </w:r>
      <w:r>
        <w:rPr>
          <w:rFonts w:hint="eastAsia" w:ascii="仿宋" w:hAnsi="仿宋" w:eastAsia="仿宋" w:cs="仿宋"/>
          <w:color w:val="auto"/>
          <w:w w:val="95"/>
          <w:sz w:val="24"/>
          <w:szCs w:val="24"/>
          <w:u w:val="single"/>
        </w:rPr>
        <w:t>（采购文件中明确的所属行业）行业</w:t>
      </w:r>
      <w:r>
        <w:rPr>
          <w:rFonts w:hint="eastAsia" w:ascii="仿宋" w:hAnsi="仿宋" w:eastAsia="仿宋" w:cs="仿宋"/>
          <w:color w:val="auto"/>
          <w:spacing w:val="7"/>
          <w:w w:val="99"/>
          <w:sz w:val="24"/>
          <w:szCs w:val="24"/>
        </w:rPr>
        <w:t>；</w:t>
      </w:r>
      <w:r>
        <w:rPr>
          <w:rFonts w:hint="eastAsia" w:ascii="仿宋" w:hAnsi="仿宋" w:eastAsia="仿宋" w:cs="仿宋"/>
          <w:color w:val="auto"/>
          <w:spacing w:val="5"/>
          <w:w w:val="99"/>
          <w:sz w:val="24"/>
          <w:szCs w:val="24"/>
        </w:rPr>
        <w:t>制</w:t>
      </w:r>
      <w:r>
        <w:rPr>
          <w:rFonts w:hint="eastAsia" w:ascii="仿宋" w:hAnsi="仿宋" w:eastAsia="仿宋" w:cs="仿宋"/>
          <w:color w:val="auto"/>
          <w:spacing w:val="7"/>
          <w:w w:val="99"/>
          <w:sz w:val="24"/>
          <w:szCs w:val="24"/>
        </w:rPr>
        <w:t>造</w:t>
      </w:r>
      <w:r>
        <w:rPr>
          <w:rFonts w:hint="eastAsia" w:ascii="仿宋" w:hAnsi="仿宋" w:eastAsia="仿宋" w:cs="仿宋"/>
          <w:color w:val="auto"/>
          <w:spacing w:val="5"/>
          <w:w w:val="99"/>
          <w:sz w:val="24"/>
          <w:szCs w:val="24"/>
        </w:rPr>
        <w:t>商</w:t>
      </w:r>
      <w:r>
        <w:rPr>
          <w:rFonts w:hint="eastAsia" w:ascii="仿宋" w:hAnsi="仿宋" w:eastAsia="仿宋" w:cs="仿宋"/>
          <w:color w:val="auto"/>
          <w:spacing w:val="-10"/>
          <w:w w:val="99"/>
          <w:sz w:val="24"/>
          <w:szCs w:val="24"/>
        </w:rPr>
        <w:t>为</w:t>
      </w:r>
      <w:r>
        <w:rPr>
          <w:rFonts w:hint="eastAsia" w:ascii="仿宋" w:hAnsi="仿宋" w:eastAsia="仿宋" w:cs="仿宋"/>
          <w:color w:val="auto"/>
          <w:w w:val="95"/>
          <w:sz w:val="24"/>
          <w:szCs w:val="24"/>
          <w:u w:val="single"/>
        </w:rPr>
        <w:t>（企业名称），</w:t>
      </w:r>
      <w:r>
        <w:rPr>
          <w:rFonts w:hint="eastAsia" w:ascii="仿宋" w:hAnsi="仿宋" w:eastAsia="仿宋" w:cs="仿宋"/>
          <w:color w:val="auto"/>
          <w:spacing w:val="5"/>
          <w:w w:val="99"/>
          <w:sz w:val="24"/>
          <w:szCs w:val="24"/>
        </w:rPr>
        <w:t>从</w:t>
      </w:r>
      <w:r>
        <w:rPr>
          <w:rFonts w:hint="eastAsia" w:ascii="仿宋" w:hAnsi="仿宋" w:eastAsia="仿宋" w:cs="仿宋"/>
          <w:color w:val="auto"/>
          <w:spacing w:val="7"/>
          <w:w w:val="99"/>
          <w:sz w:val="24"/>
          <w:szCs w:val="24"/>
        </w:rPr>
        <w:t>业</w:t>
      </w:r>
      <w:r>
        <w:rPr>
          <w:rFonts w:hint="eastAsia" w:ascii="仿宋" w:hAnsi="仿宋" w:eastAsia="仿宋" w:cs="仿宋"/>
          <w:color w:val="auto"/>
          <w:spacing w:val="5"/>
          <w:w w:val="99"/>
          <w:sz w:val="24"/>
          <w:szCs w:val="24"/>
        </w:rPr>
        <w:t>人</w:t>
      </w:r>
      <w:r>
        <w:rPr>
          <w:rFonts w:hint="eastAsia" w:ascii="仿宋" w:hAnsi="仿宋" w:eastAsia="仿宋" w:cs="仿宋"/>
          <w:color w:val="auto"/>
          <w:spacing w:val="4"/>
          <w:w w:val="99"/>
          <w:sz w:val="24"/>
          <w:szCs w:val="24"/>
        </w:rPr>
        <w:t>员</w:t>
      </w:r>
      <w:r>
        <w:rPr>
          <w:rFonts w:hint="eastAsia" w:ascii="仿宋" w:hAnsi="仿宋" w:eastAsia="仿宋" w:cs="仿宋"/>
          <w:color w:val="auto"/>
          <w:w w:val="99"/>
          <w:sz w:val="24"/>
          <w:szCs w:val="24"/>
          <w:u w:val="single"/>
        </w:rPr>
        <w:t xml:space="preserve"> </w:t>
      </w:r>
      <w:r>
        <w:rPr>
          <w:rFonts w:hint="eastAsia" w:ascii="仿宋" w:hAnsi="仿宋" w:eastAsia="仿宋" w:cs="仿宋"/>
          <w:color w:val="auto"/>
          <w:sz w:val="24"/>
          <w:szCs w:val="24"/>
          <w:u w:val="single"/>
        </w:rPr>
        <w:tab/>
      </w:r>
      <w:r>
        <w:rPr>
          <w:rFonts w:hint="eastAsia" w:ascii="仿宋" w:hAnsi="仿宋" w:eastAsia="仿宋" w:cs="仿宋"/>
          <w:color w:val="auto"/>
          <w:spacing w:val="7"/>
          <w:w w:val="99"/>
          <w:sz w:val="24"/>
          <w:szCs w:val="24"/>
        </w:rPr>
        <w:t>人</w:t>
      </w:r>
      <w:r>
        <w:rPr>
          <w:rFonts w:hint="eastAsia" w:ascii="仿宋" w:hAnsi="仿宋" w:eastAsia="仿宋" w:cs="仿宋"/>
          <w:color w:val="auto"/>
          <w:spacing w:val="5"/>
          <w:w w:val="99"/>
          <w:sz w:val="24"/>
          <w:szCs w:val="24"/>
        </w:rPr>
        <w:t>，</w:t>
      </w:r>
      <w:r>
        <w:rPr>
          <w:rFonts w:hint="eastAsia" w:ascii="仿宋" w:hAnsi="仿宋" w:eastAsia="仿宋" w:cs="仿宋"/>
          <w:color w:val="auto"/>
          <w:spacing w:val="7"/>
          <w:w w:val="99"/>
          <w:sz w:val="24"/>
          <w:szCs w:val="24"/>
        </w:rPr>
        <w:t>营</w:t>
      </w:r>
      <w:r>
        <w:rPr>
          <w:rFonts w:hint="eastAsia" w:ascii="仿宋" w:hAnsi="仿宋" w:eastAsia="仿宋" w:cs="仿宋"/>
          <w:color w:val="auto"/>
          <w:spacing w:val="5"/>
          <w:w w:val="99"/>
          <w:sz w:val="24"/>
          <w:szCs w:val="24"/>
        </w:rPr>
        <w:t>业</w:t>
      </w:r>
      <w:r>
        <w:rPr>
          <w:rFonts w:hint="eastAsia" w:ascii="仿宋" w:hAnsi="仿宋" w:eastAsia="仿宋" w:cs="仿宋"/>
          <w:color w:val="auto"/>
          <w:w w:val="99"/>
          <w:sz w:val="24"/>
          <w:szCs w:val="24"/>
        </w:rPr>
        <w:t>收 入</w:t>
      </w:r>
      <w:r>
        <w:rPr>
          <w:rFonts w:hint="eastAsia" w:ascii="仿宋" w:hAnsi="仿宋" w:eastAsia="仿宋" w:cs="仿宋"/>
          <w:color w:val="auto"/>
          <w:spacing w:val="1"/>
          <w:w w:val="99"/>
          <w:sz w:val="24"/>
          <w:szCs w:val="24"/>
        </w:rPr>
        <w:t>为</w:t>
      </w:r>
      <w:r>
        <w:rPr>
          <w:rFonts w:hint="eastAsia" w:ascii="仿宋" w:hAnsi="仿宋" w:eastAsia="仿宋" w:cs="仿宋"/>
          <w:color w:val="auto"/>
          <w:w w:val="99"/>
          <w:sz w:val="24"/>
          <w:szCs w:val="24"/>
          <w:u w:val="single"/>
        </w:rPr>
        <w:t xml:space="preserve"> </w:t>
      </w:r>
      <w:r>
        <w:rPr>
          <w:rFonts w:hint="eastAsia" w:ascii="仿宋" w:hAnsi="仿宋" w:eastAsia="仿宋" w:cs="仿宋"/>
          <w:color w:val="auto"/>
          <w:sz w:val="24"/>
          <w:szCs w:val="24"/>
          <w:u w:val="single"/>
        </w:rPr>
        <w:tab/>
      </w:r>
      <w:r>
        <w:rPr>
          <w:rFonts w:hint="eastAsia" w:ascii="仿宋" w:hAnsi="仿宋" w:eastAsia="仿宋" w:cs="仿宋"/>
          <w:color w:val="auto"/>
          <w:w w:val="99"/>
          <w:sz w:val="24"/>
          <w:szCs w:val="24"/>
        </w:rPr>
        <w:t>万</w:t>
      </w:r>
      <w:r>
        <w:rPr>
          <w:rFonts w:hint="eastAsia" w:ascii="仿宋" w:hAnsi="仿宋" w:eastAsia="仿宋" w:cs="仿宋"/>
          <w:color w:val="auto"/>
          <w:spacing w:val="2"/>
          <w:w w:val="99"/>
          <w:sz w:val="24"/>
          <w:szCs w:val="24"/>
        </w:rPr>
        <w:t>元</w:t>
      </w:r>
      <w:r>
        <w:rPr>
          <w:rFonts w:hint="eastAsia" w:ascii="仿宋" w:hAnsi="仿宋" w:eastAsia="仿宋" w:cs="仿宋"/>
          <w:color w:val="auto"/>
          <w:spacing w:val="-22"/>
          <w:w w:val="99"/>
          <w:sz w:val="24"/>
          <w:szCs w:val="24"/>
        </w:rPr>
        <w:t>，</w:t>
      </w:r>
      <w:r>
        <w:rPr>
          <w:rFonts w:hint="eastAsia" w:ascii="仿宋" w:hAnsi="仿宋" w:eastAsia="仿宋" w:cs="仿宋"/>
          <w:color w:val="auto"/>
          <w:w w:val="99"/>
          <w:sz w:val="24"/>
          <w:szCs w:val="24"/>
        </w:rPr>
        <w:t>资</w:t>
      </w:r>
      <w:r>
        <w:rPr>
          <w:rFonts w:hint="eastAsia" w:ascii="仿宋" w:hAnsi="仿宋" w:eastAsia="仿宋" w:cs="仿宋"/>
          <w:color w:val="auto"/>
          <w:spacing w:val="2"/>
          <w:w w:val="99"/>
          <w:sz w:val="24"/>
          <w:szCs w:val="24"/>
        </w:rPr>
        <w:t>产</w:t>
      </w:r>
      <w:r>
        <w:rPr>
          <w:rFonts w:hint="eastAsia" w:ascii="仿宋" w:hAnsi="仿宋" w:eastAsia="仿宋" w:cs="仿宋"/>
          <w:color w:val="auto"/>
          <w:w w:val="99"/>
          <w:sz w:val="24"/>
          <w:szCs w:val="24"/>
        </w:rPr>
        <w:t>总额为</w:t>
      </w:r>
      <w:r>
        <w:rPr>
          <w:rFonts w:hint="eastAsia" w:ascii="仿宋" w:hAnsi="仿宋" w:eastAsia="仿宋" w:cs="仿宋"/>
          <w:color w:val="auto"/>
          <w:w w:val="99"/>
          <w:sz w:val="24"/>
          <w:szCs w:val="24"/>
          <w:u w:val="single"/>
        </w:rPr>
        <w:t xml:space="preserve"> </w:t>
      </w:r>
      <w:r>
        <w:rPr>
          <w:rFonts w:hint="eastAsia" w:ascii="仿宋" w:hAnsi="仿宋" w:eastAsia="仿宋" w:cs="仿宋"/>
          <w:color w:val="auto"/>
          <w:sz w:val="24"/>
          <w:szCs w:val="24"/>
          <w:u w:val="single"/>
        </w:rPr>
        <w:tab/>
      </w:r>
      <w:r>
        <w:rPr>
          <w:rFonts w:hint="eastAsia" w:ascii="仿宋" w:hAnsi="仿宋" w:eastAsia="仿宋" w:cs="仿宋"/>
          <w:color w:val="auto"/>
          <w:w w:val="99"/>
          <w:sz w:val="24"/>
          <w:szCs w:val="24"/>
        </w:rPr>
        <w:t>万</w:t>
      </w:r>
      <w:r>
        <w:rPr>
          <w:rFonts w:hint="eastAsia" w:ascii="仿宋" w:hAnsi="仿宋" w:eastAsia="仿宋" w:cs="仿宋"/>
          <w:color w:val="auto"/>
          <w:spacing w:val="2"/>
          <w:w w:val="99"/>
          <w:sz w:val="24"/>
          <w:szCs w:val="24"/>
        </w:rPr>
        <w:t>元</w:t>
      </w:r>
      <w:r>
        <w:rPr>
          <w:rFonts w:hint="eastAsia" w:ascii="仿宋" w:hAnsi="仿宋" w:eastAsia="仿宋" w:cs="仿宋"/>
          <w:color w:val="auto"/>
          <w:spacing w:val="-22"/>
          <w:w w:val="99"/>
          <w:sz w:val="24"/>
          <w:szCs w:val="24"/>
        </w:rPr>
        <w:t>，</w:t>
      </w:r>
      <w:r>
        <w:rPr>
          <w:rFonts w:hint="eastAsia" w:ascii="仿宋" w:hAnsi="仿宋" w:eastAsia="仿宋" w:cs="仿宋"/>
          <w:color w:val="auto"/>
          <w:w w:val="99"/>
          <w:sz w:val="24"/>
          <w:szCs w:val="24"/>
        </w:rPr>
        <w:t>属</w:t>
      </w:r>
      <w:r>
        <w:rPr>
          <w:rFonts w:hint="eastAsia" w:ascii="仿宋" w:hAnsi="仿宋" w:eastAsia="仿宋" w:cs="仿宋"/>
          <w:color w:val="auto"/>
          <w:spacing w:val="-36"/>
          <w:w w:val="99"/>
          <w:sz w:val="24"/>
          <w:szCs w:val="24"/>
        </w:rPr>
        <w:t>于</w:t>
      </w:r>
      <w:r>
        <w:rPr>
          <w:rFonts w:hint="eastAsia" w:ascii="仿宋" w:hAnsi="仿宋" w:eastAsia="仿宋" w:cs="仿宋"/>
          <w:color w:val="auto"/>
          <w:w w:val="95"/>
          <w:sz w:val="24"/>
          <w:szCs w:val="24"/>
          <w:u w:val="single"/>
        </w:rPr>
        <w:t>（中型企业、小 型企业、微型企业）；</w:t>
      </w:r>
    </w:p>
    <w:p>
      <w:pPr>
        <w:tabs>
          <w:tab w:val="left" w:pos="1065"/>
          <w:tab w:val="left" w:pos="4262"/>
          <w:tab w:val="left" w:pos="6477"/>
        </w:tabs>
        <w:kinsoku w:val="0"/>
        <w:overflowPunct w:val="0"/>
        <w:spacing w:before="20" w:line="360" w:lineRule="auto"/>
        <w:ind w:left="105" w:right="142" w:firstLine="655"/>
        <w:rPr>
          <w:rFonts w:ascii="仿宋" w:hAnsi="仿宋" w:eastAsia="仿宋" w:cs="仿宋"/>
          <w:color w:val="auto"/>
          <w:w w:val="95"/>
          <w:sz w:val="24"/>
          <w:szCs w:val="24"/>
          <w:u w:val="single"/>
        </w:rPr>
      </w:pPr>
      <w:r>
        <w:rPr>
          <w:rFonts w:hint="eastAsia" w:ascii="仿宋" w:hAnsi="仿宋" w:eastAsia="仿宋" w:cs="仿宋"/>
          <w:color w:val="auto"/>
          <w:spacing w:val="-21"/>
          <w:sz w:val="24"/>
          <w:szCs w:val="24"/>
        </w:rPr>
        <w:t>2.</w:t>
      </w:r>
      <w:r>
        <w:rPr>
          <w:rFonts w:hint="eastAsia" w:ascii="仿宋" w:hAnsi="仿宋" w:eastAsia="仿宋" w:cs="仿宋"/>
          <w:color w:val="auto"/>
          <w:w w:val="95"/>
          <w:sz w:val="24"/>
          <w:szCs w:val="24"/>
          <w:u w:val="single"/>
        </w:rPr>
        <w:t xml:space="preserve"> （标的名称），</w:t>
      </w:r>
      <w:r>
        <w:rPr>
          <w:rFonts w:hint="eastAsia" w:ascii="仿宋" w:hAnsi="仿宋" w:eastAsia="仿宋" w:cs="仿宋"/>
          <w:color w:val="auto"/>
          <w:spacing w:val="-87"/>
          <w:sz w:val="24"/>
          <w:szCs w:val="24"/>
        </w:rPr>
        <w:t xml:space="preserve">     </w:t>
      </w:r>
      <w:r>
        <w:rPr>
          <w:rFonts w:hint="eastAsia" w:ascii="仿宋" w:hAnsi="仿宋" w:eastAsia="仿宋" w:cs="仿宋"/>
          <w:color w:val="auto"/>
          <w:w w:val="99"/>
          <w:sz w:val="24"/>
          <w:szCs w:val="24"/>
        </w:rPr>
        <w:t>属</w:t>
      </w:r>
      <w:r>
        <w:rPr>
          <w:rFonts w:hint="eastAsia" w:ascii="仿宋" w:hAnsi="仿宋" w:eastAsia="仿宋" w:cs="仿宋"/>
          <w:color w:val="auto"/>
          <w:spacing w:val="-55"/>
          <w:w w:val="99"/>
          <w:sz w:val="24"/>
          <w:szCs w:val="24"/>
        </w:rPr>
        <w:t xml:space="preserve">于     </w:t>
      </w:r>
      <w:r>
        <w:rPr>
          <w:rFonts w:hint="eastAsia" w:ascii="仿宋" w:hAnsi="仿宋" w:eastAsia="仿宋" w:cs="仿宋"/>
          <w:color w:val="auto"/>
          <w:w w:val="95"/>
          <w:sz w:val="24"/>
          <w:szCs w:val="24"/>
          <w:u w:val="single"/>
        </w:rPr>
        <w:t>（采购文件中明确的所属行业）行业</w:t>
      </w:r>
      <w:r>
        <w:rPr>
          <w:rFonts w:hint="eastAsia" w:ascii="仿宋" w:hAnsi="仿宋" w:eastAsia="仿宋" w:cs="仿宋"/>
          <w:color w:val="auto"/>
          <w:spacing w:val="-50"/>
          <w:w w:val="95"/>
          <w:sz w:val="24"/>
          <w:szCs w:val="24"/>
        </w:rPr>
        <w:t>；</w:t>
      </w:r>
      <w:r>
        <w:rPr>
          <w:rFonts w:hint="eastAsia" w:ascii="仿宋" w:hAnsi="仿宋" w:eastAsia="仿宋" w:cs="仿宋"/>
          <w:color w:val="auto"/>
          <w:spacing w:val="5"/>
          <w:w w:val="99"/>
          <w:sz w:val="24"/>
          <w:szCs w:val="24"/>
        </w:rPr>
        <w:t>制造商为</w:t>
      </w:r>
      <w:r>
        <w:rPr>
          <w:rFonts w:hint="eastAsia" w:ascii="仿宋" w:hAnsi="仿宋" w:eastAsia="仿宋" w:cs="仿宋"/>
          <w:color w:val="auto"/>
          <w:w w:val="95"/>
          <w:sz w:val="24"/>
          <w:szCs w:val="24"/>
          <w:u w:val="single"/>
        </w:rPr>
        <w:t>（企业名称）</w:t>
      </w:r>
      <w:r>
        <w:rPr>
          <w:rFonts w:hint="eastAsia" w:ascii="仿宋" w:hAnsi="仿宋" w:eastAsia="仿宋" w:cs="仿宋"/>
          <w:color w:val="auto"/>
          <w:spacing w:val="-50"/>
          <w:w w:val="95"/>
          <w:sz w:val="24"/>
          <w:szCs w:val="24"/>
        </w:rPr>
        <w:t>，从业人员</w:t>
      </w:r>
      <w:r>
        <w:rPr>
          <w:rFonts w:hint="eastAsia" w:ascii="仿宋" w:hAnsi="仿宋" w:eastAsia="仿宋" w:cs="仿宋"/>
          <w:color w:val="auto"/>
          <w:spacing w:val="-50"/>
          <w:w w:val="95"/>
          <w:sz w:val="24"/>
          <w:szCs w:val="24"/>
          <w:u w:val="single"/>
        </w:rPr>
        <w:tab/>
      </w:r>
      <w:r>
        <w:rPr>
          <w:rFonts w:hint="eastAsia" w:ascii="仿宋" w:hAnsi="仿宋" w:eastAsia="仿宋" w:cs="仿宋"/>
          <w:color w:val="auto"/>
          <w:spacing w:val="5"/>
          <w:sz w:val="24"/>
          <w:szCs w:val="24"/>
        </w:rPr>
        <w:t>人，营业收入</w:t>
      </w:r>
      <w:r>
        <w:rPr>
          <w:rFonts w:hint="eastAsia" w:ascii="仿宋" w:hAnsi="仿宋" w:eastAsia="仿宋" w:cs="仿宋"/>
          <w:color w:val="auto"/>
          <w:w w:val="99"/>
          <w:sz w:val="24"/>
          <w:szCs w:val="24"/>
        </w:rPr>
        <w:t xml:space="preserve"> </w:t>
      </w:r>
      <w:r>
        <w:rPr>
          <w:rFonts w:hint="eastAsia" w:ascii="仿宋" w:hAnsi="仿宋" w:eastAsia="仿宋" w:cs="仿宋"/>
          <w:color w:val="auto"/>
          <w:w w:val="95"/>
          <w:sz w:val="24"/>
          <w:szCs w:val="24"/>
        </w:rPr>
        <w:t>为</w:t>
      </w:r>
      <w:r>
        <w:rPr>
          <w:rFonts w:hint="eastAsia" w:ascii="仿宋" w:hAnsi="仿宋" w:eastAsia="仿宋" w:cs="仿宋"/>
          <w:color w:val="auto"/>
          <w:w w:val="95"/>
          <w:sz w:val="24"/>
          <w:szCs w:val="24"/>
          <w:u w:val="single"/>
        </w:rPr>
        <w:tab/>
      </w:r>
      <w:r>
        <w:rPr>
          <w:rFonts w:hint="eastAsia" w:ascii="仿宋" w:hAnsi="仿宋" w:eastAsia="仿宋" w:cs="仿宋"/>
          <w:color w:val="auto"/>
          <w:w w:val="95"/>
          <w:sz w:val="24"/>
          <w:szCs w:val="24"/>
        </w:rPr>
        <w:t>万元，资产总额为</w:t>
      </w:r>
      <w:r>
        <w:rPr>
          <w:rFonts w:hint="eastAsia" w:ascii="仿宋" w:hAnsi="仿宋" w:eastAsia="仿宋" w:cs="仿宋"/>
          <w:color w:val="auto"/>
          <w:w w:val="95"/>
          <w:sz w:val="24"/>
          <w:szCs w:val="24"/>
          <w:u w:val="single"/>
        </w:rPr>
        <w:tab/>
      </w:r>
      <w:r>
        <w:rPr>
          <w:rFonts w:hint="eastAsia" w:ascii="仿宋" w:hAnsi="仿宋" w:eastAsia="仿宋" w:cs="仿宋"/>
          <w:color w:val="auto"/>
          <w:spacing w:val="5"/>
          <w:w w:val="99"/>
          <w:sz w:val="24"/>
          <w:szCs w:val="24"/>
        </w:rPr>
        <w:t>万元</w:t>
      </w:r>
      <w:r>
        <w:rPr>
          <w:rFonts w:hint="eastAsia" w:ascii="仿宋" w:hAnsi="仿宋" w:eastAsia="仿宋" w:cs="仿宋"/>
          <w:color w:val="auto"/>
          <w:spacing w:val="-59"/>
          <w:sz w:val="24"/>
          <w:szCs w:val="24"/>
        </w:rPr>
        <w:t>，</w:t>
      </w:r>
      <w:r>
        <w:rPr>
          <w:rFonts w:hint="eastAsia" w:ascii="仿宋" w:hAnsi="仿宋" w:eastAsia="仿宋" w:cs="仿宋"/>
          <w:color w:val="auto"/>
          <w:w w:val="95"/>
          <w:sz w:val="24"/>
          <w:szCs w:val="24"/>
        </w:rPr>
        <w:t>属于</w:t>
      </w:r>
      <w:r>
        <w:rPr>
          <w:rFonts w:hint="eastAsia" w:ascii="仿宋" w:hAnsi="仿宋" w:eastAsia="仿宋" w:cs="仿宋"/>
          <w:color w:val="auto"/>
          <w:w w:val="95"/>
          <w:sz w:val="24"/>
          <w:szCs w:val="24"/>
          <w:u w:val="single"/>
        </w:rPr>
        <w:t>（中型企业、小型 企业、微型企业）；</w:t>
      </w:r>
    </w:p>
    <w:p>
      <w:pPr>
        <w:kinsoku w:val="0"/>
        <w:overflowPunct w:val="0"/>
        <w:spacing w:before="34" w:line="360" w:lineRule="auto"/>
        <w:ind w:firstLine="456" w:firstLineChars="200"/>
        <w:rPr>
          <w:rFonts w:ascii="仿宋" w:hAnsi="仿宋" w:eastAsia="仿宋" w:cs="仿宋"/>
          <w:color w:val="auto"/>
          <w:w w:val="95"/>
          <w:sz w:val="24"/>
          <w:szCs w:val="24"/>
        </w:rPr>
      </w:pPr>
      <w:r>
        <w:rPr>
          <w:rFonts w:hint="eastAsia" w:ascii="仿宋" w:hAnsi="仿宋" w:eastAsia="仿宋" w:cs="仿宋"/>
          <w:color w:val="auto"/>
          <w:w w:val="95"/>
          <w:sz w:val="24"/>
          <w:szCs w:val="24"/>
        </w:rPr>
        <w:t xml:space="preserve">…… </w:t>
      </w:r>
    </w:p>
    <w:p>
      <w:pPr>
        <w:kinsoku w:val="0"/>
        <w:overflowPunct w:val="0"/>
        <w:spacing w:before="34" w:line="360" w:lineRule="auto"/>
        <w:ind w:firstLine="456" w:firstLineChars="200"/>
        <w:rPr>
          <w:rFonts w:ascii="仿宋" w:hAnsi="仿宋" w:eastAsia="仿宋" w:cs="仿宋"/>
          <w:color w:val="auto"/>
          <w:w w:val="95"/>
          <w:sz w:val="24"/>
          <w:szCs w:val="24"/>
        </w:rPr>
      </w:pPr>
      <w:r>
        <w:rPr>
          <w:rFonts w:hint="eastAsia" w:ascii="仿宋" w:hAnsi="仿宋" w:eastAsia="仿宋" w:cs="仿宋"/>
          <w:color w:val="auto"/>
          <w:w w:val="95"/>
          <w:sz w:val="24"/>
          <w:szCs w:val="24"/>
        </w:rPr>
        <w:t>以上企业，不属于大企业的分支机构，不存在控股股东为大企业的情形，也不存在与大企业的负责人为同一人的情形。</w:t>
      </w:r>
    </w:p>
    <w:p>
      <w:pPr>
        <w:kinsoku w:val="0"/>
        <w:overflowPunct w:val="0"/>
        <w:spacing w:before="34" w:line="360" w:lineRule="auto"/>
        <w:ind w:firstLine="456" w:firstLineChars="200"/>
        <w:rPr>
          <w:rFonts w:ascii="仿宋" w:hAnsi="仿宋" w:eastAsia="仿宋" w:cs="仿宋"/>
          <w:color w:val="auto"/>
          <w:w w:val="95"/>
          <w:sz w:val="24"/>
          <w:szCs w:val="24"/>
        </w:rPr>
      </w:pPr>
      <w:r>
        <w:rPr>
          <w:rFonts w:hint="eastAsia" w:ascii="仿宋" w:hAnsi="仿宋" w:eastAsia="仿宋" w:cs="仿宋"/>
          <w:color w:val="auto"/>
          <w:w w:val="95"/>
          <w:sz w:val="24"/>
          <w:szCs w:val="24"/>
        </w:rPr>
        <w:t>本企业对上述声明内容的真实性负责。如有虚假，将依法承担相应责任。</w:t>
      </w:r>
    </w:p>
    <w:p>
      <w:pPr>
        <w:spacing w:line="360" w:lineRule="auto"/>
        <w:ind w:firstLine="3024" w:firstLineChars="1200"/>
        <w:rPr>
          <w:rFonts w:ascii="仿宋" w:hAnsi="仿宋" w:eastAsia="仿宋" w:cs="仿宋"/>
          <w:color w:val="auto"/>
          <w:spacing w:val="6"/>
          <w:sz w:val="24"/>
          <w:szCs w:val="24"/>
        </w:rPr>
      </w:pPr>
    </w:p>
    <w:p>
      <w:pPr>
        <w:spacing w:line="360" w:lineRule="auto"/>
        <w:ind w:firstLine="3024" w:firstLineChars="1200"/>
        <w:rPr>
          <w:rFonts w:ascii="仿宋" w:hAnsi="仿宋" w:eastAsia="仿宋" w:cs="仿宋"/>
          <w:color w:val="auto"/>
          <w:spacing w:val="6"/>
          <w:sz w:val="24"/>
          <w:szCs w:val="24"/>
        </w:rPr>
      </w:pPr>
      <w:r>
        <w:rPr>
          <w:rFonts w:hint="eastAsia" w:ascii="仿宋" w:hAnsi="仿宋" w:eastAsia="仿宋" w:cs="仿宋"/>
          <w:color w:val="auto"/>
          <w:spacing w:val="6"/>
          <w:sz w:val="24"/>
          <w:szCs w:val="24"/>
        </w:rPr>
        <w:t>企业名称（盖章）：</w:t>
      </w:r>
      <w:r>
        <w:rPr>
          <w:rFonts w:hint="eastAsia" w:ascii="仿宋" w:hAnsi="仿宋" w:eastAsia="仿宋" w:cs="仿宋"/>
          <w:color w:val="auto"/>
          <w:spacing w:val="6"/>
          <w:sz w:val="24"/>
          <w:szCs w:val="24"/>
          <w:u w:val="single"/>
        </w:rPr>
        <w:t xml:space="preserve">                     </w:t>
      </w:r>
      <w:r>
        <w:rPr>
          <w:rFonts w:hint="eastAsia" w:ascii="仿宋" w:hAnsi="仿宋" w:eastAsia="仿宋" w:cs="仿宋"/>
          <w:color w:val="auto"/>
          <w:spacing w:val="6"/>
          <w:sz w:val="24"/>
          <w:szCs w:val="24"/>
        </w:rPr>
        <w:t xml:space="preserve"> </w:t>
      </w:r>
    </w:p>
    <w:p>
      <w:pPr>
        <w:spacing w:line="360" w:lineRule="auto"/>
        <w:ind w:firstLine="3024" w:firstLineChars="1200"/>
        <w:rPr>
          <w:rFonts w:ascii="仿宋" w:hAnsi="仿宋" w:eastAsia="仿宋" w:cs="仿宋"/>
          <w:color w:val="auto"/>
          <w:spacing w:val="6"/>
          <w:sz w:val="24"/>
          <w:szCs w:val="24"/>
          <w:u w:val="single"/>
        </w:rPr>
      </w:pPr>
      <w:r>
        <w:rPr>
          <w:rFonts w:hint="eastAsia" w:ascii="仿宋" w:hAnsi="仿宋" w:eastAsia="仿宋" w:cs="仿宋"/>
          <w:color w:val="auto"/>
          <w:spacing w:val="6"/>
          <w:sz w:val="24"/>
          <w:szCs w:val="24"/>
        </w:rPr>
        <w:t>日    期：</w:t>
      </w:r>
      <w:r>
        <w:rPr>
          <w:rFonts w:hint="eastAsia" w:ascii="仿宋" w:hAnsi="仿宋" w:eastAsia="仿宋" w:cs="仿宋"/>
          <w:color w:val="auto"/>
          <w:spacing w:val="6"/>
          <w:sz w:val="24"/>
          <w:szCs w:val="24"/>
          <w:u w:val="single"/>
        </w:rPr>
        <w:t xml:space="preserve">                            </w:t>
      </w:r>
    </w:p>
    <w:p>
      <w:pPr>
        <w:autoSpaceDE w:val="0"/>
        <w:autoSpaceDN w:val="0"/>
        <w:adjustRightInd w:val="0"/>
        <w:spacing w:line="360" w:lineRule="auto"/>
        <w:ind w:firstLine="480" w:firstLineChars="200"/>
        <w:rPr>
          <w:rFonts w:ascii="仿宋" w:hAnsi="仿宋" w:eastAsia="仿宋" w:cs="仿宋"/>
          <w:color w:val="auto"/>
          <w:sz w:val="24"/>
          <w:szCs w:val="24"/>
        </w:rPr>
      </w:pPr>
    </w:p>
    <w:p>
      <w:pPr>
        <w:autoSpaceDE w:val="0"/>
        <w:autoSpaceDN w:val="0"/>
        <w:adjustRightIn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1、从业人员、营业收入、资产总额填报上一年度数据，无上一年度数据的新成立企业可不填报。</w:t>
      </w:r>
    </w:p>
    <w:p>
      <w:pPr>
        <w:pageBreakBefore/>
        <w:spacing w:line="360" w:lineRule="auto"/>
        <w:ind w:firstLine="482" w:firstLineChars="200"/>
        <w:rPr>
          <w:rFonts w:ascii="仿宋" w:hAnsi="仿宋" w:eastAsia="仿宋" w:cs="仿宋"/>
          <w:b/>
          <w:color w:val="auto"/>
          <w:spacing w:val="6"/>
          <w:sz w:val="24"/>
          <w:szCs w:val="24"/>
        </w:rPr>
      </w:pPr>
      <w:r>
        <w:rPr>
          <w:rFonts w:hint="eastAsia" w:ascii="仿宋" w:hAnsi="仿宋" w:eastAsia="仿宋" w:cs="仿宋"/>
          <w:b/>
          <w:color w:val="auto"/>
          <w:sz w:val="24"/>
          <w:szCs w:val="24"/>
        </w:rPr>
        <w:t>附件2：</w:t>
      </w:r>
    </w:p>
    <w:p>
      <w:pPr>
        <w:spacing w:line="360" w:lineRule="auto"/>
        <w:jc w:val="center"/>
        <w:rPr>
          <w:rFonts w:ascii="仿宋" w:hAnsi="仿宋" w:eastAsia="仿宋" w:cs="仿宋"/>
          <w:b/>
          <w:color w:val="auto"/>
          <w:spacing w:val="6"/>
          <w:sz w:val="24"/>
          <w:szCs w:val="24"/>
        </w:rPr>
      </w:pPr>
      <w:r>
        <w:rPr>
          <w:rFonts w:hint="eastAsia" w:ascii="仿宋" w:hAnsi="仿宋" w:eastAsia="仿宋" w:cs="仿宋"/>
          <w:b/>
          <w:color w:val="auto"/>
          <w:spacing w:val="6"/>
          <w:sz w:val="24"/>
          <w:szCs w:val="24"/>
        </w:rPr>
        <w:t>残疾人福利性单位声明函</w:t>
      </w:r>
    </w:p>
    <w:p>
      <w:pPr>
        <w:spacing w:line="360" w:lineRule="auto"/>
        <w:ind w:firstLine="504" w:firstLineChars="200"/>
        <w:rPr>
          <w:rFonts w:ascii="仿宋" w:hAnsi="仿宋" w:eastAsia="仿宋" w:cs="仿宋"/>
          <w:color w:val="auto"/>
          <w:spacing w:val="6"/>
          <w:sz w:val="24"/>
          <w:szCs w:val="24"/>
        </w:rPr>
      </w:pPr>
      <w:r>
        <w:rPr>
          <w:rFonts w:hint="eastAsia" w:ascii="仿宋" w:hAnsi="仿宋" w:eastAsia="仿宋" w:cs="仿宋"/>
          <w:color w:val="auto"/>
          <w:spacing w:val="6"/>
          <w:sz w:val="24"/>
          <w:szCs w:val="24"/>
        </w:rPr>
        <w:t>本单位郑重声明，根据《财政部 民政部 中国残疾人联合会关于促进残疾人就业政府采购政策的通知》（财库</w:t>
      </w:r>
      <w:r>
        <w:rPr>
          <w:rFonts w:hint="eastAsia" w:ascii="仿宋" w:hAnsi="仿宋" w:eastAsia="仿宋" w:cs="仿宋"/>
          <w:color w:val="auto"/>
          <w:sz w:val="24"/>
          <w:szCs w:val="24"/>
        </w:rPr>
        <w:t>〔2017〕 141</w:t>
      </w:r>
      <w:r>
        <w:rPr>
          <w:rFonts w:hint="eastAsia" w:ascii="仿宋" w:hAnsi="仿宋" w:eastAsia="仿宋" w:cs="仿宋"/>
          <w:color w:val="auto"/>
          <w:spacing w:val="6"/>
          <w:sz w:val="24"/>
          <w:szCs w:val="24"/>
        </w:rPr>
        <w:t>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spacing w:line="360" w:lineRule="auto"/>
        <w:ind w:firstLine="504" w:firstLineChars="200"/>
        <w:rPr>
          <w:rFonts w:ascii="仿宋" w:hAnsi="仿宋" w:eastAsia="仿宋" w:cs="仿宋"/>
          <w:color w:val="auto"/>
          <w:spacing w:val="6"/>
          <w:sz w:val="24"/>
          <w:szCs w:val="24"/>
        </w:rPr>
      </w:pPr>
      <w:r>
        <w:rPr>
          <w:rFonts w:hint="eastAsia" w:ascii="仿宋" w:hAnsi="仿宋" w:eastAsia="仿宋" w:cs="仿宋"/>
          <w:color w:val="auto"/>
          <w:spacing w:val="6"/>
          <w:sz w:val="24"/>
          <w:szCs w:val="24"/>
        </w:rPr>
        <w:t>本单位对上述声明的真实性负责。如有虚假，将依法承担相应责任。</w:t>
      </w:r>
    </w:p>
    <w:p>
      <w:pPr>
        <w:spacing w:line="360" w:lineRule="auto"/>
        <w:ind w:firstLine="504" w:firstLineChars="200"/>
        <w:rPr>
          <w:rFonts w:ascii="仿宋" w:hAnsi="仿宋" w:eastAsia="仿宋" w:cs="仿宋"/>
          <w:color w:val="auto"/>
          <w:spacing w:val="6"/>
          <w:sz w:val="24"/>
          <w:szCs w:val="24"/>
        </w:rPr>
      </w:pPr>
    </w:p>
    <w:p>
      <w:pPr>
        <w:spacing w:line="360" w:lineRule="auto"/>
        <w:ind w:firstLine="3840" w:firstLineChars="1600"/>
        <w:rPr>
          <w:rFonts w:ascii="仿宋" w:hAnsi="仿宋" w:eastAsia="仿宋" w:cs="仿宋"/>
          <w:color w:val="auto"/>
          <w:sz w:val="24"/>
          <w:szCs w:val="24"/>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w:t>
      </w:r>
    </w:p>
    <w:p>
      <w:pPr>
        <w:spacing w:line="360" w:lineRule="auto"/>
        <w:ind w:firstLine="3840" w:firstLineChars="1600"/>
        <w:rPr>
          <w:rFonts w:ascii="仿宋" w:hAnsi="仿宋" w:eastAsia="仿宋" w:cs="仿宋"/>
          <w:color w:val="auto"/>
          <w:sz w:val="24"/>
          <w:szCs w:val="24"/>
          <w:u w:val="single"/>
        </w:rPr>
      </w:pPr>
      <w:r>
        <w:rPr>
          <w:rFonts w:hint="eastAsia" w:ascii="仿宋" w:hAnsi="仿宋" w:eastAsia="仿宋" w:cs="仿宋"/>
          <w:color w:val="auto"/>
          <w:sz w:val="24"/>
          <w:szCs w:val="24"/>
        </w:rPr>
        <w:t>法定代表人或授权代表（签字或盖章）：</w:t>
      </w:r>
      <w:r>
        <w:rPr>
          <w:rFonts w:hint="eastAsia" w:ascii="仿宋" w:hAnsi="仿宋" w:eastAsia="仿宋" w:cs="仿宋"/>
          <w:color w:val="auto"/>
          <w:sz w:val="24"/>
          <w:szCs w:val="24"/>
          <w:u w:val="single"/>
        </w:rPr>
        <w:t xml:space="preserve">   </w:t>
      </w:r>
    </w:p>
    <w:p>
      <w:pPr>
        <w:autoSpaceDE w:val="0"/>
        <w:autoSpaceDN w:val="0"/>
        <w:adjustRightInd w:val="0"/>
        <w:snapToGrid w:val="0"/>
        <w:spacing w:line="360" w:lineRule="auto"/>
        <w:ind w:firstLine="3840" w:firstLineChars="1600"/>
        <w:rPr>
          <w:rFonts w:ascii="仿宋" w:hAnsi="仿宋" w:eastAsia="仿宋" w:cs="仿宋"/>
          <w:color w:val="auto"/>
          <w:sz w:val="24"/>
          <w:szCs w:val="24"/>
          <w:u w:val="single"/>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p>
    <w:p>
      <w:pPr>
        <w:adjustRightInd w:val="0"/>
        <w:snapToGrid w:val="0"/>
        <w:spacing w:line="360" w:lineRule="auto"/>
        <w:rPr>
          <w:rFonts w:ascii="仿宋" w:hAnsi="仿宋" w:eastAsia="仿宋" w:cs="仿宋"/>
          <w:color w:val="auto"/>
          <w:sz w:val="24"/>
          <w:szCs w:val="24"/>
        </w:rPr>
      </w:pPr>
    </w:p>
    <w:p>
      <w:pPr>
        <w:adjustRightInd w:val="0"/>
        <w:snapToGrid w:val="0"/>
        <w:spacing w:line="360" w:lineRule="auto"/>
        <w:rPr>
          <w:rFonts w:ascii="仿宋" w:hAnsi="仿宋" w:eastAsia="仿宋" w:cs="仿宋"/>
          <w:bCs/>
          <w:color w:val="auto"/>
          <w:sz w:val="24"/>
          <w:szCs w:val="24"/>
        </w:rPr>
      </w:pPr>
      <w:r>
        <w:rPr>
          <w:rFonts w:hint="eastAsia" w:ascii="仿宋" w:hAnsi="仿宋" w:eastAsia="仿宋" w:cs="仿宋"/>
          <w:color w:val="auto"/>
          <w:sz w:val="24"/>
          <w:szCs w:val="24"/>
        </w:rPr>
        <w:t>说明：</w:t>
      </w:r>
      <w:r>
        <w:rPr>
          <w:rFonts w:hint="eastAsia" w:ascii="仿宋" w:hAnsi="仿宋" w:eastAsia="仿宋" w:cs="仿宋"/>
          <w:bCs/>
          <w:color w:val="auto"/>
          <w:sz w:val="24"/>
          <w:szCs w:val="24"/>
        </w:rPr>
        <w:t>未按上述要求提供、</w:t>
      </w:r>
      <w:r>
        <w:rPr>
          <w:rFonts w:hint="eastAsia" w:ascii="仿宋" w:hAnsi="仿宋" w:eastAsia="仿宋" w:cs="仿宋"/>
          <w:color w:val="auto"/>
          <w:sz w:val="24"/>
          <w:szCs w:val="24"/>
        </w:rPr>
        <w:t>填写</w:t>
      </w:r>
      <w:r>
        <w:rPr>
          <w:rFonts w:hint="eastAsia" w:ascii="仿宋" w:hAnsi="仿宋" w:eastAsia="仿宋" w:cs="仿宋"/>
          <w:bCs/>
          <w:color w:val="auto"/>
          <w:sz w:val="24"/>
          <w:szCs w:val="24"/>
        </w:rPr>
        <w:t>的，评审时不予以考虑。</w:t>
      </w:r>
    </w:p>
    <w:p>
      <w:pPr>
        <w:pStyle w:val="9"/>
        <w:keepNext w:val="0"/>
        <w:pageBreakBefore/>
        <w:spacing w:line="360" w:lineRule="auto"/>
        <w:rPr>
          <w:rFonts w:ascii="仿宋" w:hAnsi="仿宋" w:eastAsia="仿宋" w:cs="仿宋"/>
          <w:color w:val="auto"/>
          <w:szCs w:val="44"/>
          <w:lang w:val="zh-CN"/>
        </w:rPr>
      </w:pPr>
      <w:bookmarkStart w:id="387" w:name="_Toc7029"/>
      <w:r>
        <w:rPr>
          <w:rFonts w:hint="eastAsia" w:ascii="仿宋" w:hAnsi="仿宋" w:eastAsia="仿宋" w:cs="仿宋"/>
          <w:color w:val="auto"/>
          <w:sz w:val="32"/>
          <w:szCs w:val="32"/>
          <w:lang w:val="zh-CN"/>
        </w:rPr>
        <w:t>五、合同主要条款偏离表</w:t>
      </w:r>
      <w:bookmarkEnd w:id="354"/>
      <w:bookmarkEnd w:id="355"/>
      <w:bookmarkEnd w:id="356"/>
      <w:bookmarkEnd w:id="357"/>
      <w:bookmarkEnd w:id="359"/>
      <w:bookmarkEnd w:id="360"/>
      <w:bookmarkEnd w:id="361"/>
      <w:bookmarkEnd w:id="362"/>
      <w:bookmarkEnd w:id="363"/>
      <w:bookmarkEnd w:id="364"/>
      <w:bookmarkEnd w:id="365"/>
      <w:bookmarkEnd w:id="387"/>
    </w:p>
    <w:p>
      <w:pPr>
        <w:spacing w:line="360" w:lineRule="auto"/>
        <w:jc w:val="left"/>
        <w:rPr>
          <w:rFonts w:ascii="仿宋" w:hAnsi="仿宋" w:eastAsia="仿宋" w:cs="仿宋"/>
          <w:color w:val="auto"/>
          <w:sz w:val="24"/>
          <w:szCs w:val="24"/>
        </w:rPr>
      </w:pPr>
      <w:r>
        <w:rPr>
          <w:rFonts w:hint="eastAsia" w:ascii="仿宋" w:hAnsi="仿宋" w:eastAsia="仿宋" w:cs="仿宋"/>
          <w:bCs/>
          <w:color w:val="auto"/>
          <w:kern w:val="0"/>
          <w:sz w:val="24"/>
          <w:szCs w:val="24"/>
        </w:rPr>
        <w:t xml:space="preserve">项目编号：                                            </w:t>
      </w: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380"/>
        <w:gridCol w:w="2341"/>
        <w:gridCol w:w="2678"/>
        <w:gridCol w:w="840"/>
        <w:gridCol w:w="17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52" w:type="dxa"/>
            <w:vAlign w:val="center"/>
          </w:tcPr>
          <w:p>
            <w:pPr>
              <w:adjustRightInd w:val="0"/>
              <w:snapToGrid w:val="0"/>
              <w:spacing w:line="360" w:lineRule="auto"/>
              <w:ind w:right="23"/>
              <w:jc w:val="center"/>
              <w:rPr>
                <w:rFonts w:ascii="仿宋" w:hAnsi="仿宋" w:eastAsia="仿宋" w:cs="仿宋"/>
                <w:b/>
                <w:bCs/>
                <w:color w:val="auto"/>
                <w:sz w:val="24"/>
                <w:szCs w:val="24"/>
              </w:rPr>
            </w:pPr>
            <w:r>
              <w:rPr>
                <w:rFonts w:hint="eastAsia" w:ascii="仿宋" w:hAnsi="仿宋" w:eastAsia="仿宋" w:cs="仿宋"/>
                <w:b/>
                <w:bCs/>
                <w:color w:val="auto"/>
                <w:sz w:val="24"/>
                <w:szCs w:val="24"/>
              </w:rPr>
              <w:t>序号</w:t>
            </w:r>
          </w:p>
        </w:tc>
        <w:tc>
          <w:tcPr>
            <w:tcW w:w="1380" w:type="dxa"/>
            <w:vAlign w:val="center"/>
          </w:tcPr>
          <w:p>
            <w:pPr>
              <w:adjustRightInd w:val="0"/>
              <w:snapToGrid w:val="0"/>
              <w:spacing w:line="360" w:lineRule="auto"/>
              <w:ind w:right="23"/>
              <w:jc w:val="center"/>
              <w:rPr>
                <w:rFonts w:ascii="仿宋" w:hAnsi="仿宋" w:eastAsia="仿宋" w:cs="仿宋"/>
                <w:b/>
                <w:bCs/>
                <w:color w:val="auto"/>
                <w:sz w:val="24"/>
                <w:szCs w:val="24"/>
              </w:rPr>
            </w:pPr>
            <w:r>
              <w:rPr>
                <w:rFonts w:hint="eastAsia" w:ascii="仿宋" w:hAnsi="仿宋" w:eastAsia="仿宋" w:cs="仿宋"/>
                <w:b/>
                <w:bCs/>
                <w:color w:val="auto"/>
                <w:sz w:val="24"/>
                <w:szCs w:val="24"/>
              </w:rPr>
              <w:t>文件</w:t>
            </w:r>
          </w:p>
          <w:p>
            <w:pPr>
              <w:adjustRightInd w:val="0"/>
              <w:snapToGrid w:val="0"/>
              <w:spacing w:line="360" w:lineRule="auto"/>
              <w:ind w:right="23"/>
              <w:jc w:val="center"/>
              <w:rPr>
                <w:rFonts w:ascii="仿宋" w:hAnsi="仿宋" w:eastAsia="仿宋" w:cs="仿宋"/>
                <w:b/>
                <w:bCs/>
                <w:color w:val="auto"/>
                <w:sz w:val="24"/>
                <w:szCs w:val="24"/>
              </w:rPr>
            </w:pPr>
            <w:r>
              <w:rPr>
                <w:rFonts w:hint="eastAsia" w:ascii="仿宋" w:hAnsi="仿宋" w:eastAsia="仿宋" w:cs="仿宋"/>
                <w:b/>
                <w:bCs/>
                <w:color w:val="auto"/>
                <w:sz w:val="24"/>
                <w:szCs w:val="24"/>
              </w:rPr>
              <w:t>条目号</w:t>
            </w:r>
          </w:p>
        </w:tc>
        <w:tc>
          <w:tcPr>
            <w:tcW w:w="2341" w:type="dxa"/>
            <w:vAlign w:val="center"/>
          </w:tcPr>
          <w:p>
            <w:pPr>
              <w:adjustRightInd w:val="0"/>
              <w:snapToGrid w:val="0"/>
              <w:spacing w:line="360" w:lineRule="auto"/>
              <w:ind w:right="23"/>
              <w:jc w:val="center"/>
              <w:rPr>
                <w:rFonts w:ascii="仿宋" w:hAnsi="仿宋" w:eastAsia="仿宋" w:cs="仿宋"/>
                <w:b/>
                <w:bCs/>
                <w:color w:val="auto"/>
                <w:sz w:val="24"/>
                <w:szCs w:val="24"/>
              </w:rPr>
            </w:pPr>
            <w:r>
              <w:rPr>
                <w:rFonts w:hint="eastAsia" w:ascii="仿宋" w:hAnsi="仿宋" w:eastAsia="仿宋" w:cs="仿宋"/>
                <w:b/>
                <w:bCs/>
                <w:color w:val="auto"/>
                <w:sz w:val="24"/>
                <w:szCs w:val="24"/>
              </w:rPr>
              <w:t>招标文件</w:t>
            </w:r>
          </w:p>
          <w:p>
            <w:pPr>
              <w:adjustRightInd w:val="0"/>
              <w:snapToGrid w:val="0"/>
              <w:spacing w:line="360" w:lineRule="auto"/>
              <w:ind w:right="23"/>
              <w:jc w:val="center"/>
              <w:rPr>
                <w:rFonts w:ascii="仿宋" w:hAnsi="仿宋" w:eastAsia="仿宋" w:cs="仿宋"/>
                <w:b/>
                <w:bCs/>
                <w:color w:val="auto"/>
                <w:sz w:val="24"/>
                <w:szCs w:val="24"/>
              </w:rPr>
            </w:pPr>
            <w:r>
              <w:rPr>
                <w:rFonts w:hint="eastAsia" w:ascii="仿宋" w:hAnsi="仿宋" w:eastAsia="仿宋" w:cs="仿宋"/>
                <w:b/>
                <w:bCs/>
                <w:color w:val="auto"/>
                <w:sz w:val="24"/>
                <w:szCs w:val="24"/>
              </w:rPr>
              <w:t>合同主要条款</w:t>
            </w:r>
          </w:p>
          <w:p>
            <w:pPr>
              <w:adjustRightInd w:val="0"/>
              <w:snapToGrid w:val="0"/>
              <w:spacing w:line="360" w:lineRule="auto"/>
              <w:ind w:right="23"/>
              <w:jc w:val="center"/>
              <w:rPr>
                <w:rFonts w:ascii="仿宋" w:hAnsi="仿宋" w:eastAsia="仿宋" w:cs="仿宋"/>
                <w:b/>
                <w:bCs/>
                <w:color w:val="auto"/>
                <w:sz w:val="24"/>
                <w:szCs w:val="24"/>
              </w:rPr>
            </w:pPr>
            <w:r>
              <w:rPr>
                <w:rFonts w:hint="eastAsia" w:ascii="仿宋" w:hAnsi="仿宋" w:eastAsia="仿宋" w:cs="仿宋"/>
                <w:b/>
                <w:bCs/>
                <w:color w:val="auto"/>
                <w:sz w:val="24"/>
                <w:szCs w:val="24"/>
              </w:rPr>
              <w:t>要求</w:t>
            </w:r>
          </w:p>
        </w:tc>
        <w:tc>
          <w:tcPr>
            <w:tcW w:w="2678" w:type="dxa"/>
            <w:vAlign w:val="center"/>
          </w:tcPr>
          <w:p>
            <w:pPr>
              <w:adjustRightInd w:val="0"/>
              <w:snapToGrid w:val="0"/>
              <w:spacing w:line="360" w:lineRule="auto"/>
              <w:ind w:right="23"/>
              <w:jc w:val="center"/>
              <w:rPr>
                <w:rFonts w:ascii="仿宋" w:hAnsi="仿宋" w:eastAsia="仿宋" w:cs="仿宋"/>
                <w:b/>
                <w:bCs/>
                <w:color w:val="auto"/>
                <w:sz w:val="24"/>
                <w:szCs w:val="24"/>
              </w:rPr>
            </w:pPr>
            <w:r>
              <w:rPr>
                <w:rFonts w:hint="eastAsia" w:ascii="仿宋" w:hAnsi="仿宋" w:eastAsia="仿宋" w:cs="仿宋"/>
                <w:b/>
                <w:bCs/>
                <w:color w:val="auto"/>
                <w:sz w:val="24"/>
                <w:szCs w:val="24"/>
              </w:rPr>
              <w:t>投标文件</w:t>
            </w:r>
          </w:p>
          <w:p>
            <w:pPr>
              <w:adjustRightInd w:val="0"/>
              <w:snapToGrid w:val="0"/>
              <w:spacing w:line="360" w:lineRule="auto"/>
              <w:ind w:right="23"/>
              <w:jc w:val="center"/>
              <w:rPr>
                <w:rFonts w:ascii="仿宋" w:hAnsi="仿宋" w:eastAsia="仿宋" w:cs="仿宋"/>
                <w:b/>
                <w:bCs/>
                <w:color w:val="auto"/>
                <w:sz w:val="24"/>
                <w:szCs w:val="24"/>
              </w:rPr>
            </w:pPr>
            <w:r>
              <w:rPr>
                <w:rFonts w:hint="eastAsia" w:ascii="仿宋" w:hAnsi="仿宋" w:eastAsia="仿宋" w:cs="仿宋"/>
                <w:b/>
                <w:bCs/>
                <w:color w:val="auto"/>
                <w:sz w:val="24"/>
                <w:szCs w:val="24"/>
              </w:rPr>
              <w:t>合同主要条款</w:t>
            </w:r>
          </w:p>
          <w:p>
            <w:pPr>
              <w:adjustRightInd w:val="0"/>
              <w:snapToGrid w:val="0"/>
              <w:spacing w:line="360" w:lineRule="auto"/>
              <w:ind w:right="23"/>
              <w:jc w:val="center"/>
              <w:rPr>
                <w:rFonts w:ascii="仿宋" w:hAnsi="仿宋" w:eastAsia="仿宋" w:cs="仿宋"/>
                <w:b/>
                <w:bCs/>
                <w:color w:val="auto"/>
                <w:sz w:val="24"/>
                <w:szCs w:val="24"/>
              </w:rPr>
            </w:pPr>
            <w:r>
              <w:rPr>
                <w:rFonts w:hint="eastAsia" w:ascii="仿宋" w:hAnsi="仿宋" w:eastAsia="仿宋" w:cs="仿宋"/>
                <w:b/>
                <w:bCs/>
                <w:color w:val="auto"/>
                <w:sz w:val="24"/>
                <w:szCs w:val="24"/>
              </w:rPr>
              <w:t>响应</w:t>
            </w:r>
          </w:p>
        </w:tc>
        <w:tc>
          <w:tcPr>
            <w:tcW w:w="840" w:type="dxa"/>
            <w:vAlign w:val="center"/>
          </w:tcPr>
          <w:p>
            <w:pPr>
              <w:adjustRightInd w:val="0"/>
              <w:snapToGrid w:val="0"/>
              <w:spacing w:line="360" w:lineRule="auto"/>
              <w:ind w:right="23"/>
              <w:jc w:val="center"/>
              <w:rPr>
                <w:rFonts w:ascii="仿宋" w:hAnsi="仿宋" w:eastAsia="仿宋" w:cs="仿宋"/>
                <w:b/>
                <w:bCs/>
                <w:color w:val="auto"/>
                <w:sz w:val="24"/>
                <w:szCs w:val="24"/>
              </w:rPr>
            </w:pPr>
            <w:r>
              <w:rPr>
                <w:rFonts w:hint="eastAsia" w:ascii="仿宋" w:hAnsi="仿宋" w:eastAsia="仿宋" w:cs="仿宋"/>
                <w:b/>
                <w:bCs/>
                <w:color w:val="auto"/>
                <w:sz w:val="24"/>
                <w:szCs w:val="24"/>
              </w:rPr>
              <w:t>偏离</w:t>
            </w:r>
          </w:p>
        </w:tc>
        <w:tc>
          <w:tcPr>
            <w:tcW w:w="1731" w:type="dxa"/>
            <w:vAlign w:val="center"/>
          </w:tcPr>
          <w:p>
            <w:pPr>
              <w:adjustRightInd w:val="0"/>
              <w:snapToGrid w:val="0"/>
              <w:spacing w:line="360" w:lineRule="auto"/>
              <w:ind w:right="23"/>
              <w:jc w:val="center"/>
              <w:rPr>
                <w:rFonts w:ascii="仿宋" w:hAnsi="仿宋" w:eastAsia="仿宋" w:cs="仿宋"/>
                <w:b/>
                <w:bCs/>
                <w:color w:val="auto"/>
                <w:sz w:val="24"/>
                <w:szCs w:val="24"/>
              </w:rPr>
            </w:pPr>
            <w:r>
              <w:rPr>
                <w:rFonts w:hint="eastAsia" w:ascii="仿宋" w:hAnsi="仿宋" w:eastAsia="仿宋" w:cs="仿宋"/>
                <w:b/>
                <w:bCs/>
                <w:color w:val="auto"/>
                <w:sz w:val="24"/>
                <w:szCs w:val="24"/>
              </w:rPr>
              <w:t>偏离</w:t>
            </w:r>
          </w:p>
          <w:p>
            <w:pPr>
              <w:adjustRightInd w:val="0"/>
              <w:snapToGrid w:val="0"/>
              <w:spacing w:line="360" w:lineRule="auto"/>
              <w:ind w:right="23"/>
              <w:jc w:val="center"/>
              <w:rPr>
                <w:rFonts w:ascii="仿宋" w:hAnsi="仿宋" w:eastAsia="仿宋" w:cs="仿宋"/>
                <w:b/>
                <w:bCs/>
                <w:color w:val="auto"/>
                <w:sz w:val="24"/>
                <w:szCs w:val="24"/>
              </w:rPr>
            </w:pPr>
            <w:r>
              <w:rPr>
                <w:rFonts w:hint="eastAsia" w:ascii="仿宋" w:hAnsi="仿宋" w:eastAsia="仿宋" w:cs="仿宋"/>
                <w:b/>
                <w:bCs/>
                <w:color w:val="auto"/>
                <w:sz w:val="24"/>
                <w:szCs w:val="24"/>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color w:val="auto"/>
                <w:sz w:val="24"/>
                <w:szCs w:val="24"/>
              </w:rPr>
            </w:pPr>
          </w:p>
        </w:tc>
        <w:tc>
          <w:tcPr>
            <w:tcW w:w="1380" w:type="dxa"/>
          </w:tcPr>
          <w:p>
            <w:pPr>
              <w:adjustRightInd w:val="0"/>
              <w:snapToGrid w:val="0"/>
              <w:spacing w:line="360" w:lineRule="auto"/>
              <w:ind w:right="24"/>
              <w:rPr>
                <w:rFonts w:ascii="仿宋" w:hAnsi="仿宋" w:eastAsia="仿宋" w:cs="仿宋"/>
                <w:bCs/>
                <w:color w:val="auto"/>
                <w:sz w:val="24"/>
                <w:szCs w:val="24"/>
              </w:rPr>
            </w:pPr>
          </w:p>
        </w:tc>
        <w:tc>
          <w:tcPr>
            <w:tcW w:w="2341" w:type="dxa"/>
          </w:tcPr>
          <w:p>
            <w:pPr>
              <w:adjustRightInd w:val="0"/>
              <w:snapToGrid w:val="0"/>
              <w:spacing w:line="360" w:lineRule="auto"/>
              <w:ind w:right="24"/>
              <w:rPr>
                <w:rFonts w:ascii="仿宋" w:hAnsi="仿宋" w:eastAsia="仿宋" w:cs="仿宋"/>
                <w:bCs/>
                <w:color w:val="auto"/>
                <w:sz w:val="24"/>
                <w:szCs w:val="24"/>
              </w:rPr>
            </w:pPr>
          </w:p>
        </w:tc>
        <w:tc>
          <w:tcPr>
            <w:tcW w:w="2678" w:type="dxa"/>
          </w:tcPr>
          <w:p>
            <w:pPr>
              <w:adjustRightInd w:val="0"/>
              <w:snapToGrid w:val="0"/>
              <w:spacing w:line="360" w:lineRule="auto"/>
              <w:ind w:right="24"/>
              <w:rPr>
                <w:rFonts w:ascii="仿宋" w:hAnsi="仿宋" w:eastAsia="仿宋" w:cs="仿宋"/>
                <w:bCs/>
                <w:color w:val="auto"/>
                <w:sz w:val="24"/>
                <w:szCs w:val="24"/>
              </w:rPr>
            </w:pPr>
          </w:p>
        </w:tc>
        <w:tc>
          <w:tcPr>
            <w:tcW w:w="840" w:type="dxa"/>
          </w:tcPr>
          <w:p>
            <w:pPr>
              <w:adjustRightInd w:val="0"/>
              <w:snapToGrid w:val="0"/>
              <w:spacing w:line="360" w:lineRule="auto"/>
              <w:ind w:right="24"/>
              <w:rPr>
                <w:rFonts w:ascii="仿宋" w:hAnsi="仿宋" w:eastAsia="仿宋" w:cs="仿宋"/>
                <w:bCs/>
                <w:color w:val="auto"/>
                <w:sz w:val="24"/>
                <w:szCs w:val="24"/>
              </w:rPr>
            </w:pPr>
          </w:p>
        </w:tc>
        <w:tc>
          <w:tcPr>
            <w:tcW w:w="1731" w:type="dxa"/>
          </w:tcPr>
          <w:p>
            <w:pPr>
              <w:adjustRightInd w:val="0"/>
              <w:snapToGrid w:val="0"/>
              <w:spacing w:line="360" w:lineRule="auto"/>
              <w:ind w:right="24"/>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color w:val="auto"/>
                <w:sz w:val="24"/>
                <w:szCs w:val="24"/>
              </w:rPr>
            </w:pPr>
          </w:p>
        </w:tc>
        <w:tc>
          <w:tcPr>
            <w:tcW w:w="1380" w:type="dxa"/>
          </w:tcPr>
          <w:p>
            <w:pPr>
              <w:adjustRightInd w:val="0"/>
              <w:snapToGrid w:val="0"/>
              <w:spacing w:line="360" w:lineRule="auto"/>
              <w:ind w:right="24"/>
              <w:rPr>
                <w:rFonts w:ascii="仿宋" w:hAnsi="仿宋" w:eastAsia="仿宋" w:cs="仿宋"/>
                <w:bCs/>
                <w:color w:val="auto"/>
                <w:sz w:val="24"/>
                <w:szCs w:val="24"/>
              </w:rPr>
            </w:pPr>
          </w:p>
        </w:tc>
        <w:tc>
          <w:tcPr>
            <w:tcW w:w="2341" w:type="dxa"/>
          </w:tcPr>
          <w:p>
            <w:pPr>
              <w:adjustRightInd w:val="0"/>
              <w:snapToGrid w:val="0"/>
              <w:spacing w:line="360" w:lineRule="auto"/>
              <w:ind w:right="24"/>
              <w:rPr>
                <w:rFonts w:ascii="仿宋" w:hAnsi="仿宋" w:eastAsia="仿宋" w:cs="仿宋"/>
                <w:bCs/>
                <w:color w:val="auto"/>
                <w:sz w:val="24"/>
                <w:szCs w:val="24"/>
              </w:rPr>
            </w:pPr>
          </w:p>
        </w:tc>
        <w:tc>
          <w:tcPr>
            <w:tcW w:w="2678" w:type="dxa"/>
          </w:tcPr>
          <w:p>
            <w:pPr>
              <w:adjustRightInd w:val="0"/>
              <w:snapToGrid w:val="0"/>
              <w:spacing w:line="360" w:lineRule="auto"/>
              <w:ind w:right="24"/>
              <w:rPr>
                <w:rFonts w:ascii="仿宋" w:hAnsi="仿宋" w:eastAsia="仿宋" w:cs="仿宋"/>
                <w:bCs/>
                <w:color w:val="auto"/>
                <w:sz w:val="24"/>
                <w:szCs w:val="24"/>
              </w:rPr>
            </w:pPr>
          </w:p>
        </w:tc>
        <w:tc>
          <w:tcPr>
            <w:tcW w:w="840" w:type="dxa"/>
          </w:tcPr>
          <w:p>
            <w:pPr>
              <w:adjustRightInd w:val="0"/>
              <w:snapToGrid w:val="0"/>
              <w:spacing w:line="360" w:lineRule="auto"/>
              <w:ind w:right="24"/>
              <w:rPr>
                <w:rFonts w:ascii="仿宋" w:hAnsi="仿宋" w:eastAsia="仿宋" w:cs="仿宋"/>
                <w:bCs/>
                <w:color w:val="auto"/>
                <w:sz w:val="24"/>
                <w:szCs w:val="24"/>
              </w:rPr>
            </w:pPr>
          </w:p>
        </w:tc>
        <w:tc>
          <w:tcPr>
            <w:tcW w:w="1731" w:type="dxa"/>
          </w:tcPr>
          <w:p>
            <w:pPr>
              <w:adjustRightInd w:val="0"/>
              <w:snapToGrid w:val="0"/>
              <w:spacing w:line="360" w:lineRule="auto"/>
              <w:ind w:right="24"/>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color w:val="auto"/>
                <w:sz w:val="24"/>
                <w:szCs w:val="24"/>
              </w:rPr>
            </w:pPr>
          </w:p>
        </w:tc>
        <w:tc>
          <w:tcPr>
            <w:tcW w:w="1380" w:type="dxa"/>
          </w:tcPr>
          <w:p>
            <w:pPr>
              <w:adjustRightInd w:val="0"/>
              <w:snapToGrid w:val="0"/>
              <w:spacing w:line="360" w:lineRule="auto"/>
              <w:ind w:right="24"/>
              <w:rPr>
                <w:rFonts w:ascii="仿宋" w:hAnsi="仿宋" w:eastAsia="仿宋" w:cs="仿宋"/>
                <w:bCs/>
                <w:color w:val="auto"/>
                <w:sz w:val="24"/>
                <w:szCs w:val="24"/>
              </w:rPr>
            </w:pPr>
          </w:p>
        </w:tc>
        <w:tc>
          <w:tcPr>
            <w:tcW w:w="2341" w:type="dxa"/>
          </w:tcPr>
          <w:p>
            <w:pPr>
              <w:adjustRightInd w:val="0"/>
              <w:snapToGrid w:val="0"/>
              <w:spacing w:line="360" w:lineRule="auto"/>
              <w:ind w:right="24"/>
              <w:rPr>
                <w:rFonts w:ascii="仿宋" w:hAnsi="仿宋" w:eastAsia="仿宋" w:cs="仿宋"/>
                <w:bCs/>
                <w:color w:val="auto"/>
                <w:sz w:val="24"/>
                <w:szCs w:val="24"/>
              </w:rPr>
            </w:pPr>
          </w:p>
        </w:tc>
        <w:tc>
          <w:tcPr>
            <w:tcW w:w="2678" w:type="dxa"/>
          </w:tcPr>
          <w:p>
            <w:pPr>
              <w:adjustRightInd w:val="0"/>
              <w:snapToGrid w:val="0"/>
              <w:spacing w:line="360" w:lineRule="auto"/>
              <w:ind w:right="24"/>
              <w:rPr>
                <w:rFonts w:ascii="仿宋" w:hAnsi="仿宋" w:eastAsia="仿宋" w:cs="仿宋"/>
                <w:bCs/>
                <w:color w:val="auto"/>
                <w:sz w:val="24"/>
                <w:szCs w:val="24"/>
              </w:rPr>
            </w:pPr>
          </w:p>
        </w:tc>
        <w:tc>
          <w:tcPr>
            <w:tcW w:w="840" w:type="dxa"/>
          </w:tcPr>
          <w:p>
            <w:pPr>
              <w:adjustRightInd w:val="0"/>
              <w:snapToGrid w:val="0"/>
              <w:spacing w:line="360" w:lineRule="auto"/>
              <w:ind w:right="24"/>
              <w:rPr>
                <w:rFonts w:ascii="仿宋" w:hAnsi="仿宋" w:eastAsia="仿宋" w:cs="仿宋"/>
                <w:bCs/>
                <w:color w:val="auto"/>
                <w:sz w:val="24"/>
                <w:szCs w:val="24"/>
              </w:rPr>
            </w:pPr>
          </w:p>
        </w:tc>
        <w:tc>
          <w:tcPr>
            <w:tcW w:w="1731" w:type="dxa"/>
          </w:tcPr>
          <w:p>
            <w:pPr>
              <w:adjustRightInd w:val="0"/>
              <w:snapToGrid w:val="0"/>
              <w:spacing w:line="360" w:lineRule="auto"/>
              <w:ind w:right="24"/>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color w:val="auto"/>
                <w:sz w:val="24"/>
                <w:szCs w:val="24"/>
              </w:rPr>
            </w:pPr>
          </w:p>
        </w:tc>
        <w:tc>
          <w:tcPr>
            <w:tcW w:w="1380" w:type="dxa"/>
          </w:tcPr>
          <w:p>
            <w:pPr>
              <w:adjustRightInd w:val="0"/>
              <w:snapToGrid w:val="0"/>
              <w:spacing w:line="360" w:lineRule="auto"/>
              <w:ind w:right="24"/>
              <w:rPr>
                <w:rFonts w:ascii="仿宋" w:hAnsi="仿宋" w:eastAsia="仿宋" w:cs="仿宋"/>
                <w:bCs/>
                <w:color w:val="auto"/>
                <w:sz w:val="24"/>
                <w:szCs w:val="24"/>
              </w:rPr>
            </w:pPr>
          </w:p>
        </w:tc>
        <w:tc>
          <w:tcPr>
            <w:tcW w:w="2341" w:type="dxa"/>
          </w:tcPr>
          <w:p>
            <w:pPr>
              <w:adjustRightInd w:val="0"/>
              <w:snapToGrid w:val="0"/>
              <w:spacing w:line="360" w:lineRule="auto"/>
              <w:ind w:right="24"/>
              <w:rPr>
                <w:rFonts w:ascii="仿宋" w:hAnsi="仿宋" w:eastAsia="仿宋" w:cs="仿宋"/>
                <w:bCs/>
                <w:color w:val="auto"/>
                <w:sz w:val="24"/>
                <w:szCs w:val="24"/>
              </w:rPr>
            </w:pPr>
          </w:p>
        </w:tc>
        <w:tc>
          <w:tcPr>
            <w:tcW w:w="2678" w:type="dxa"/>
          </w:tcPr>
          <w:p>
            <w:pPr>
              <w:adjustRightInd w:val="0"/>
              <w:snapToGrid w:val="0"/>
              <w:spacing w:line="360" w:lineRule="auto"/>
              <w:ind w:right="24"/>
              <w:rPr>
                <w:rFonts w:ascii="仿宋" w:hAnsi="仿宋" w:eastAsia="仿宋" w:cs="仿宋"/>
                <w:bCs/>
                <w:color w:val="auto"/>
                <w:sz w:val="24"/>
                <w:szCs w:val="24"/>
              </w:rPr>
            </w:pPr>
          </w:p>
        </w:tc>
        <w:tc>
          <w:tcPr>
            <w:tcW w:w="840" w:type="dxa"/>
          </w:tcPr>
          <w:p>
            <w:pPr>
              <w:adjustRightInd w:val="0"/>
              <w:snapToGrid w:val="0"/>
              <w:spacing w:line="360" w:lineRule="auto"/>
              <w:ind w:right="24"/>
              <w:rPr>
                <w:rFonts w:ascii="仿宋" w:hAnsi="仿宋" w:eastAsia="仿宋" w:cs="仿宋"/>
                <w:bCs/>
                <w:color w:val="auto"/>
                <w:sz w:val="24"/>
                <w:szCs w:val="24"/>
              </w:rPr>
            </w:pPr>
          </w:p>
        </w:tc>
        <w:tc>
          <w:tcPr>
            <w:tcW w:w="1731" w:type="dxa"/>
          </w:tcPr>
          <w:p>
            <w:pPr>
              <w:adjustRightInd w:val="0"/>
              <w:snapToGrid w:val="0"/>
              <w:spacing w:line="360" w:lineRule="auto"/>
              <w:ind w:right="24"/>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color w:val="auto"/>
                <w:sz w:val="24"/>
                <w:szCs w:val="24"/>
              </w:rPr>
            </w:pPr>
          </w:p>
        </w:tc>
        <w:tc>
          <w:tcPr>
            <w:tcW w:w="1380" w:type="dxa"/>
          </w:tcPr>
          <w:p>
            <w:pPr>
              <w:adjustRightInd w:val="0"/>
              <w:snapToGrid w:val="0"/>
              <w:spacing w:line="360" w:lineRule="auto"/>
              <w:ind w:right="24"/>
              <w:rPr>
                <w:rFonts w:ascii="仿宋" w:hAnsi="仿宋" w:eastAsia="仿宋" w:cs="仿宋"/>
                <w:bCs/>
                <w:color w:val="auto"/>
                <w:sz w:val="24"/>
                <w:szCs w:val="24"/>
              </w:rPr>
            </w:pPr>
          </w:p>
        </w:tc>
        <w:tc>
          <w:tcPr>
            <w:tcW w:w="2341" w:type="dxa"/>
          </w:tcPr>
          <w:p>
            <w:pPr>
              <w:adjustRightInd w:val="0"/>
              <w:snapToGrid w:val="0"/>
              <w:spacing w:line="360" w:lineRule="auto"/>
              <w:ind w:right="24"/>
              <w:rPr>
                <w:rFonts w:ascii="仿宋" w:hAnsi="仿宋" w:eastAsia="仿宋" w:cs="仿宋"/>
                <w:bCs/>
                <w:color w:val="auto"/>
                <w:sz w:val="24"/>
                <w:szCs w:val="24"/>
              </w:rPr>
            </w:pPr>
          </w:p>
        </w:tc>
        <w:tc>
          <w:tcPr>
            <w:tcW w:w="2678" w:type="dxa"/>
          </w:tcPr>
          <w:p>
            <w:pPr>
              <w:adjustRightInd w:val="0"/>
              <w:snapToGrid w:val="0"/>
              <w:spacing w:line="360" w:lineRule="auto"/>
              <w:ind w:right="24"/>
              <w:rPr>
                <w:rFonts w:ascii="仿宋" w:hAnsi="仿宋" w:eastAsia="仿宋" w:cs="仿宋"/>
                <w:bCs/>
                <w:color w:val="auto"/>
                <w:sz w:val="24"/>
                <w:szCs w:val="24"/>
              </w:rPr>
            </w:pPr>
          </w:p>
        </w:tc>
        <w:tc>
          <w:tcPr>
            <w:tcW w:w="840" w:type="dxa"/>
          </w:tcPr>
          <w:p>
            <w:pPr>
              <w:adjustRightInd w:val="0"/>
              <w:snapToGrid w:val="0"/>
              <w:spacing w:line="360" w:lineRule="auto"/>
              <w:ind w:right="24"/>
              <w:rPr>
                <w:rFonts w:ascii="仿宋" w:hAnsi="仿宋" w:eastAsia="仿宋" w:cs="仿宋"/>
                <w:bCs/>
                <w:color w:val="auto"/>
                <w:sz w:val="24"/>
                <w:szCs w:val="24"/>
              </w:rPr>
            </w:pPr>
          </w:p>
        </w:tc>
        <w:tc>
          <w:tcPr>
            <w:tcW w:w="1731" w:type="dxa"/>
          </w:tcPr>
          <w:p>
            <w:pPr>
              <w:adjustRightInd w:val="0"/>
              <w:snapToGrid w:val="0"/>
              <w:spacing w:line="360" w:lineRule="auto"/>
              <w:ind w:right="24"/>
              <w:rPr>
                <w:rFonts w:ascii="仿宋" w:hAnsi="仿宋" w:eastAsia="仿宋" w:cs="仿宋"/>
                <w:bCs/>
                <w:color w:val="auto"/>
                <w:sz w:val="24"/>
                <w:szCs w:val="24"/>
              </w:rPr>
            </w:pPr>
          </w:p>
        </w:tc>
      </w:tr>
    </w:tbl>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说明：</w:t>
      </w:r>
    </w:p>
    <w:p>
      <w:pPr>
        <w:numPr>
          <w:ilvl w:val="0"/>
          <w:numId w:val="4"/>
        </w:num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本表只填写投标文件中与招标文件有偏离（包括负偏离和正偏离）的内容，在投标文件中须一一列出，无偏离时须提供空白表。</w:t>
      </w:r>
    </w:p>
    <w:p>
      <w:pPr>
        <w:numPr>
          <w:ilvl w:val="0"/>
          <w:numId w:val="4"/>
        </w:num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供应商必须据实填写，不得虚假响应，否则将取消其投标或中标资格，并按有关规定进处罚。</w:t>
      </w:r>
    </w:p>
    <w:p>
      <w:pPr>
        <w:spacing w:line="360" w:lineRule="auto"/>
        <w:ind w:firstLine="480" w:firstLineChars="200"/>
        <w:rPr>
          <w:rFonts w:ascii="仿宋" w:hAnsi="仿宋" w:eastAsia="仿宋" w:cs="仿宋"/>
          <w:color w:val="auto"/>
          <w:sz w:val="24"/>
          <w:szCs w:val="24"/>
        </w:rPr>
      </w:pPr>
    </w:p>
    <w:p>
      <w:pPr>
        <w:spacing w:line="360" w:lineRule="auto"/>
        <w:ind w:firstLine="4080" w:firstLineChars="1700"/>
        <w:rPr>
          <w:rFonts w:ascii="仿宋" w:hAnsi="仿宋" w:eastAsia="仿宋" w:cs="仿宋"/>
          <w:color w:val="auto"/>
          <w:sz w:val="24"/>
          <w:szCs w:val="24"/>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w:t>
      </w:r>
    </w:p>
    <w:p>
      <w:pPr>
        <w:spacing w:line="360" w:lineRule="auto"/>
        <w:ind w:firstLine="4080" w:firstLineChars="1700"/>
        <w:rPr>
          <w:rFonts w:ascii="仿宋" w:hAnsi="仿宋" w:eastAsia="仿宋" w:cs="仿宋"/>
          <w:color w:val="auto"/>
          <w:sz w:val="24"/>
          <w:szCs w:val="24"/>
          <w:u w:val="single"/>
        </w:rPr>
      </w:pPr>
      <w:r>
        <w:rPr>
          <w:rFonts w:hint="eastAsia" w:ascii="仿宋" w:hAnsi="仿宋" w:eastAsia="仿宋" w:cs="仿宋"/>
          <w:color w:val="auto"/>
          <w:sz w:val="24"/>
          <w:szCs w:val="24"/>
        </w:rPr>
        <w:t>法定代表人或授权代表（签字或盖章）：</w:t>
      </w:r>
      <w:r>
        <w:rPr>
          <w:rFonts w:hint="eastAsia" w:ascii="仿宋" w:hAnsi="仿宋" w:eastAsia="仿宋" w:cs="仿宋"/>
          <w:color w:val="auto"/>
          <w:sz w:val="24"/>
          <w:szCs w:val="24"/>
          <w:u w:val="single"/>
        </w:rPr>
        <w:t xml:space="preserve">    </w:t>
      </w:r>
    </w:p>
    <w:p>
      <w:pPr>
        <w:autoSpaceDE w:val="0"/>
        <w:autoSpaceDN w:val="0"/>
        <w:adjustRightInd w:val="0"/>
        <w:spacing w:line="360" w:lineRule="auto"/>
        <w:ind w:firstLine="4080" w:firstLineChars="1700"/>
        <w:rPr>
          <w:rFonts w:ascii="仿宋" w:hAnsi="仿宋" w:eastAsia="仿宋" w:cs="仿宋"/>
          <w:color w:val="auto"/>
          <w:sz w:val="24"/>
          <w:szCs w:val="24"/>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bookmarkStart w:id="388" w:name="_Toc475451556"/>
      <w:bookmarkStart w:id="389" w:name="_Toc473056006"/>
      <w:bookmarkStart w:id="390" w:name="_Toc475451803"/>
    </w:p>
    <w:p>
      <w:pPr>
        <w:pStyle w:val="9"/>
        <w:keepNext w:val="0"/>
        <w:pageBreakBefore/>
        <w:adjustRightInd w:val="0"/>
        <w:spacing w:line="416" w:lineRule="atLeast"/>
        <w:textAlignment w:val="baseline"/>
        <w:rPr>
          <w:rFonts w:ascii="仿宋" w:hAnsi="仿宋" w:eastAsia="仿宋" w:cs="仿宋"/>
          <w:color w:val="auto"/>
          <w:sz w:val="24"/>
          <w:szCs w:val="24"/>
          <w:lang w:val="zh-CN"/>
        </w:rPr>
        <w:sectPr>
          <w:footerReference r:id="rId9" w:type="default"/>
          <w:headerReference r:id="rId8" w:type="even"/>
          <w:pgSz w:w="11906" w:h="16838"/>
          <w:pgMar w:top="1417" w:right="1701" w:bottom="1417" w:left="1701" w:header="851" w:footer="992" w:gutter="0"/>
          <w:cols w:space="720" w:num="1"/>
          <w:docGrid w:linePitch="312" w:charSpace="0"/>
        </w:sectPr>
      </w:pPr>
      <w:bookmarkStart w:id="391" w:name="_Toc11930"/>
    </w:p>
    <w:p>
      <w:pPr>
        <w:pageBreakBefore/>
        <w:adjustRightInd w:val="0"/>
        <w:snapToGrid w:val="0"/>
        <w:spacing w:line="360" w:lineRule="auto"/>
        <w:jc w:val="center"/>
        <w:outlineLvl w:val="1"/>
        <w:rPr>
          <w:rStyle w:val="34"/>
          <w:rFonts w:ascii="仿宋" w:hAnsi="仿宋" w:eastAsia="仿宋" w:cs="仿宋"/>
          <w:color w:val="auto"/>
          <w:sz w:val="32"/>
          <w:szCs w:val="21"/>
        </w:rPr>
      </w:pPr>
      <w:bookmarkStart w:id="392" w:name="_Toc18259"/>
      <w:bookmarkStart w:id="393" w:name="_Toc24781"/>
      <w:bookmarkStart w:id="394" w:name="_Toc11729"/>
      <w:bookmarkStart w:id="395" w:name="_Toc19955"/>
      <w:bookmarkStart w:id="396" w:name="_Toc32190"/>
      <w:bookmarkStart w:id="397" w:name="_Toc12016"/>
      <w:bookmarkStart w:id="398" w:name="_Toc25362"/>
      <w:bookmarkStart w:id="399" w:name="_Toc18203"/>
      <w:bookmarkStart w:id="400" w:name="_Toc3524"/>
      <w:bookmarkStart w:id="401" w:name="_Toc26846"/>
      <w:bookmarkStart w:id="402" w:name="_Toc21290"/>
      <w:bookmarkStart w:id="403" w:name="_Toc15517"/>
      <w:bookmarkStart w:id="404" w:name="_Toc17397"/>
      <w:bookmarkStart w:id="405" w:name="_Toc2566"/>
      <w:bookmarkStart w:id="406" w:name="_Toc26424"/>
      <w:bookmarkStart w:id="407" w:name="_Toc27892"/>
      <w:bookmarkStart w:id="408" w:name="_Toc31736"/>
      <w:bookmarkStart w:id="409" w:name="_Toc8757"/>
      <w:bookmarkStart w:id="410" w:name="_Toc20878"/>
      <w:bookmarkStart w:id="411" w:name="_Toc2298"/>
      <w:bookmarkStart w:id="412" w:name="_Toc16548"/>
      <w:bookmarkStart w:id="413" w:name="_Toc15409"/>
      <w:bookmarkStart w:id="414" w:name="_Toc30778"/>
      <w:bookmarkStart w:id="415" w:name="_Toc1307"/>
      <w:r>
        <w:rPr>
          <w:rStyle w:val="34"/>
          <w:rFonts w:hint="eastAsia" w:ascii="仿宋" w:hAnsi="仿宋" w:eastAsia="仿宋" w:cs="仿宋"/>
          <w:color w:val="auto"/>
          <w:sz w:val="32"/>
          <w:szCs w:val="21"/>
        </w:rPr>
        <w:t>六、节能环保、环境标志产品明细表</w:t>
      </w:r>
      <w:bookmarkEnd w:id="392"/>
      <w:bookmarkEnd w:id="393"/>
      <w:bookmarkEnd w:id="394"/>
      <w:r>
        <w:rPr>
          <w:rStyle w:val="34"/>
          <w:rFonts w:hint="eastAsia" w:ascii="仿宋" w:hAnsi="仿宋" w:eastAsia="仿宋" w:cs="仿宋"/>
          <w:color w:val="auto"/>
          <w:sz w:val="32"/>
          <w:szCs w:val="21"/>
        </w:rPr>
        <w:t>（若有）</w:t>
      </w:r>
      <w:bookmarkEnd w:id="395"/>
    </w:p>
    <w:p>
      <w:pPr>
        <w:spacing w:line="360" w:lineRule="auto"/>
        <w:ind w:right="-197" w:rightChars="-94"/>
        <w:rPr>
          <w:rFonts w:ascii="仿宋" w:hAnsi="仿宋" w:eastAsia="仿宋" w:cs="仿宋"/>
          <w:b/>
          <w:bCs/>
          <w:color w:val="auto"/>
          <w:sz w:val="24"/>
          <w:szCs w:val="24"/>
        </w:rPr>
      </w:pPr>
      <w:r>
        <w:rPr>
          <w:rFonts w:hint="eastAsia" w:ascii="仿宋" w:hAnsi="仿宋" w:eastAsia="仿宋" w:cs="仿宋"/>
          <w:bCs/>
          <w:color w:val="auto"/>
          <w:kern w:val="0"/>
          <w:sz w:val="24"/>
          <w:szCs w:val="24"/>
        </w:rPr>
        <w:t xml:space="preserve">项目编号：                                            </w:t>
      </w:r>
    </w:p>
    <w:tbl>
      <w:tblPr>
        <w:tblStyle w:val="21"/>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序</w:t>
            </w:r>
          </w:p>
          <w:p>
            <w:pPr>
              <w:autoSpaceDE w:val="0"/>
              <w:autoSpaceDN w:val="0"/>
              <w:adjustRightInd w:val="0"/>
              <w:snapToGrid w:val="0"/>
              <w:jc w:val="center"/>
              <w:rPr>
                <w:rFonts w:ascii="仿宋" w:hAnsi="仿宋" w:eastAsia="仿宋" w:cs="仿宋"/>
                <w:color w:val="auto"/>
                <w:sz w:val="22"/>
                <w:szCs w:val="22"/>
              </w:rPr>
            </w:pPr>
            <w:r>
              <w:rPr>
                <w:rFonts w:hint="eastAsia" w:ascii="仿宋" w:hAnsi="仿宋" w:eastAsia="仿宋" w:cs="仿宋"/>
                <w:color w:val="auto"/>
                <w:sz w:val="22"/>
                <w:szCs w:val="22"/>
                <w:lang w:val="zh-CN"/>
              </w:rPr>
              <w:t>号</w:t>
            </w:r>
          </w:p>
        </w:tc>
        <w:tc>
          <w:tcPr>
            <w:tcW w:w="155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产品</w:t>
            </w:r>
          </w:p>
          <w:p>
            <w:pPr>
              <w:autoSpaceDE w:val="0"/>
              <w:autoSpaceDN w:val="0"/>
              <w:adjustRightInd w:val="0"/>
              <w:snapToGrid w:val="0"/>
              <w:jc w:val="center"/>
              <w:rPr>
                <w:rFonts w:ascii="仿宋" w:hAnsi="仿宋" w:eastAsia="仿宋" w:cs="仿宋"/>
                <w:color w:val="auto"/>
                <w:sz w:val="22"/>
                <w:szCs w:val="22"/>
              </w:rPr>
            </w:pPr>
            <w:r>
              <w:rPr>
                <w:rFonts w:hint="eastAsia" w:ascii="仿宋" w:hAnsi="仿宋" w:eastAsia="仿宋" w:cs="仿宋"/>
                <w:color w:val="auto"/>
                <w:sz w:val="22"/>
                <w:szCs w:val="22"/>
                <w:lang w:val="zh-CN"/>
              </w:rPr>
              <w:t>名称</w:t>
            </w:r>
          </w:p>
        </w:tc>
        <w:tc>
          <w:tcPr>
            <w:tcW w:w="1036"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napToGrid w:val="0"/>
              <w:jc w:val="center"/>
              <w:rPr>
                <w:rFonts w:ascii="仿宋" w:hAnsi="仿宋" w:eastAsia="仿宋" w:cs="仿宋"/>
                <w:color w:val="auto"/>
                <w:sz w:val="22"/>
                <w:szCs w:val="22"/>
              </w:rPr>
            </w:pPr>
            <w:r>
              <w:rPr>
                <w:rFonts w:hint="eastAsia" w:ascii="仿宋" w:hAnsi="仿宋" w:eastAsia="仿宋" w:cs="仿宋"/>
                <w:color w:val="auto"/>
                <w:sz w:val="22"/>
                <w:szCs w:val="22"/>
              </w:rPr>
              <w:t>制造</w:t>
            </w:r>
          </w:p>
          <w:p>
            <w:pPr>
              <w:autoSpaceDE w:val="0"/>
              <w:autoSpaceDN w:val="0"/>
              <w:adjustRightInd w:val="0"/>
              <w:snapToGrid w:val="0"/>
              <w:jc w:val="center"/>
              <w:rPr>
                <w:rFonts w:ascii="仿宋" w:hAnsi="仿宋" w:eastAsia="仿宋" w:cs="仿宋"/>
                <w:color w:val="auto"/>
                <w:sz w:val="22"/>
                <w:szCs w:val="22"/>
              </w:rPr>
            </w:pPr>
            <w:r>
              <w:rPr>
                <w:rFonts w:hint="eastAsia" w:ascii="仿宋" w:hAnsi="仿宋" w:eastAsia="仿宋" w:cs="仿宋"/>
                <w:color w:val="auto"/>
                <w:sz w:val="22"/>
                <w:szCs w:val="22"/>
              </w:rPr>
              <w:t>厂家</w:t>
            </w:r>
          </w:p>
        </w:tc>
        <w:tc>
          <w:tcPr>
            <w:tcW w:w="1036"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规格</w:t>
            </w:r>
          </w:p>
          <w:p>
            <w:pPr>
              <w:autoSpaceDE w:val="0"/>
              <w:autoSpaceDN w:val="0"/>
              <w:adjustRightInd w:val="0"/>
              <w:snapToGrid w:val="0"/>
              <w:jc w:val="center"/>
              <w:rPr>
                <w:rFonts w:ascii="仿宋" w:hAnsi="仿宋" w:eastAsia="仿宋" w:cs="仿宋"/>
                <w:color w:val="auto"/>
                <w:sz w:val="22"/>
                <w:szCs w:val="22"/>
              </w:rPr>
            </w:pPr>
            <w:r>
              <w:rPr>
                <w:rFonts w:hint="eastAsia" w:ascii="仿宋" w:hAnsi="仿宋" w:eastAsia="仿宋" w:cs="仿宋"/>
                <w:color w:val="auto"/>
                <w:sz w:val="22"/>
                <w:szCs w:val="22"/>
                <w:lang w:val="zh-CN"/>
              </w:rPr>
              <w:t>型号</w:t>
            </w: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类</w:t>
            </w:r>
          </w:p>
          <w:p>
            <w:pPr>
              <w:autoSpaceDE w:val="0"/>
              <w:autoSpaceDN w:val="0"/>
              <w:adjustRightInd w:val="0"/>
              <w:snapToGrid w:val="0"/>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别</w:t>
            </w:r>
          </w:p>
        </w:tc>
        <w:tc>
          <w:tcPr>
            <w:tcW w:w="167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认证证书</w:t>
            </w:r>
          </w:p>
          <w:p>
            <w:pPr>
              <w:autoSpaceDE w:val="0"/>
              <w:autoSpaceDN w:val="0"/>
              <w:adjustRightInd w:val="0"/>
              <w:snapToGrid w:val="0"/>
              <w:jc w:val="center"/>
              <w:rPr>
                <w:rFonts w:ascii="仿宋" w:hAnsi="仿宋" w:eastAsia="仿宋" w:cs="仿宋"/>
                <w:color w:val="auto"/>
                <w:sz w:val="22"/>
                <w:szCs w:val="22"/>
              </w:rPr>
            </w:pPr>
            <w:r>
              <w:rPr>
                <w:rFonts w:hint="eastAsia" w:ascii="仿宋" w:hAnsi="仿宋" w:eastAsia="仿宋" w:cs="仿宋"/>
                <w:color w:val="auto"/>
                <w:sz w:val="22"/>
                <w:szCs w:val="22"/>
                <w:lang w:val="zh-CN"/>
              </w:rPr>
              <w:t>编号</w:t>
            </w:r>
          </w:p>
        </w:tc>
        <w:tc>
          <w:tcPr>
            <w:tcW w:w="71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数</w:t>
            </w:r>
          </w:p>
          <w:p>
            <w:pPr>
              <w:autoSpaceDE w:val="0"/>
              <w:autoSpaceDN w:val="0"/>
              <w:adjustRightInd w:val="0"/>
              <w:snapToGrid w:val="0"/>
              <w:jc w:val="center"/>
              <w:rPr>
                <w:rFonts w:ascii="仿宋" w:hAnsi="仿宋" w:eastAsia="仿宋" w:cs="仿宋"/>
                <w:color w:val="auto"/>
                <w:sz w:val="22"/>
                <w:szCs w:val="22"/>
              </w:rPr>
            </w:pPr>
            <w:r>
              <w:rPr>
                <w:rFonts w:hint="eastAsia" w:ascii="仿宋" w:hAnsi="仿宋" w:eastAsia="仿宋" w:cs="仿宋"/>
                <w:color w:val="auto"/>
                <w:sz w:val="22"/>
                <w:szCs w:val="22"/>
                <w:lang w:val="zh-CN"/>
              </w:rPr>
              <w:t>量</w:t>
            </w:r>
          </w:p>
        </w:tc>
        <w:tc>
          <w:tcPr>
            <w:tcW w:w="71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单</w:t>
            </w:r>
          </w:p>
          <w:p>
            <w:pPr>
              <w:autoSpaceDE w:val="0"/>
              <w:autoSpaceDN w:val="0"/>
              <w:adjustRightInd w:val="0"/>
              <w:snapToGrid w:val="0"/>
              <w:jc w:val="center"/>
              <w:rPr>
                <w:rFonts w:ascii="仿宋" w:hAnsi="仿宋" w:eastAsia="仿宋" w:cs="仿宋"/>
                <w:color w:val="auto"/>
                <w:sz w:val="22"/>
                <w:szCs w:val="22"/>
              </w:rPr>
            </w:pPr>
            <w:r>
              <w:rPr>
                <w:rFonts w:hint="eastAsia" w:ascii="仿宋" w:hAnsi="仿宋" w:eastAsia="仿宋" w:cs="仿宋"/>
                <w:color w:val="auto"/>
                <w:sz w:val="22"/>
                <w:szCs w:val="22"/>
                <w:lang w:val="zh-CN"/>
              </w:rPr>
              <w:t>价</w:t>
            </w:r>
          </w:p>
        </w:tc>
        <w:tc>
          <w:tcPr>
            <w:tcW w:w="71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总</w:t>
            </w:r>
          </w:p>
          <w:p>
            <w:pPr>
              <w:autoSpaceDE w:val="0"/>
              <w:autoSpaceDN w:val="0"/>
              <w:adjustRightInd w:val="0"/>
              <w:snapToGrid w:val="0"/>
              <w:jc w:val="center"/>
              <w:rPr>
                <w:rFonts w:ascii="仿宋" w:hAnsi="仿宋" w:eastAsia="仿宋" w:cs="仿宋"/>
                <w:color w:val="auto"/>
                <w:sz w:val="22"/>
                <w:szCs w:val="22"/>
              </w:rPr>
            </w:pPr>
            <w:r>
              <w:rPr>
                <w:rFonts w:hint="eastAsia" w:ascii="仿宋" w:hAnsi="仿宋" w:eastAsia="仿宋" w:cs="仿宋"/>
                <w:color w:val="auto"/>
                <w:sz w:val="22"/>
                <w:szCs w:val="22"/>
                <w:lang w:val="zh-CN"/>
              </w:rPr>
              <w:t>价</w:t>
            </w: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1554"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103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1036"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167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1554"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103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1036"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167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1554"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103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1036"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167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1554"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103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1036"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167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1554"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103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1036"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167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rPr>
                <w:rFonts w:ascii="仿宋" w:hAnsi="仿宋" w:eastAsia="仿宋" w:cs="仿宋"/>
                <w:color w:val="auto"/>
                <w:sz w:val="22"/>
                <w:szCs w:val="22"/>
              </w:rPr>
            </w:pPr>
          </w:p>
        </w:tc>
      </w:tr>
      <w:tr>
        <w:tblPrEx>
          <w:tblCellMar>
            <w:top w:w="0" w:type="dxa"/>
            <w:left w:w="108" w:type="dxa"/>
            <w:bottom w:w="0" w:type="dxa"/>
            <w:right w:w="108" w:type="dxa"/>
          </w:tblCellMar>
        </w:tblPrEx>
        <w:trPr>
          <w:trHeight w:val="580"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jc w:val="center"/>
              <w:rPr>
                <w:rFonts w:ascii="仿宋" w:hAnsi="仿宋" w:eastAsia="仿宋" w:cs="仿宋"/>
                <w:color w:val="auto"/>
                <w:sz w:val="22"/>
                <w:szCs w:val="22"/>
              </w:rPr>
            </w:pPr>
            <w:r>
              <w:rPr>
                <w:rFonts w:hint="eastAsia" w:ascii="仿宋" w:hAnsi="仿宋" w:eastAsia="仿宋" w:cs="仿宋"/>
                <w:color w:val="auto"/>
                <w:sz w:val="22"/>
                <w:szCs w:val="22"/>
              </w:rPr>
              <w:t>合计（万元人民币）</w:t>
            </w:r>
          </w:p>
        </w:tc>
        <w:tc>
          <w:tcPr>
            <w:tcW w:w="3824"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jc w:val="center"/>
              <w:rPr>
                <w:rFonts w:ascii="仿宋" w:hAnsi="仿宋" w:eastAsia="仿宋" w:cs="仿宋"/>
                <w:color w:val="auto"/>
                <w:sz w:val="22"/>
                <w:szCs w:val="22"/>
              </w:rPr>
            </w:pPr>
          </w:p>
        </w:tc>
      </w:tr>
      <w:tr>
        <w:tblPrEx>
          <w:tblCellMar>
            <w:top w:w="0" w:type="dxa"/>
            <w:left w:w="108" w:type="dxa"/>
            <w:bottom w:w="0" w:type="dxa"/>
            <w:right w:w="108" w:type="dxa"/>
          </w:tblCellMar>
        </w:tblPrEx>
        <w:trPr>
          <w:trHeight w:val="581"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jc w:val="center"/>
              <w:rPr>
                <w:rFonts w:ascii="仿宋" w:hAnsi="仿宋" w:eastAsia="仿宋" w:cs="仿宋"/>
                <w:color w:val="auto"/>
                <w:sz w:val="22"/>
                <w:szCs w:val="22"/>
              </w:rPr>
            </w:pPr>
            <w:r>
              <w:rPr>
                <w:rFonts w:hint="eastAsia" w:ascii="仿宋" w:hAnsi="仿宋" w:eastAsia="仿宋" w:cs="仿宋"/>
                <w:color w:val="auto"/>
                <w:sz w:val="22"/>
                <w:szCs w:val="22"/>
              </w:rPr>
              <w:t>占投标总价的百分比（%）</w:t>
            </w:r>
          </w:p>
        </w:tc>
        <w:tc>
          <w:tcPr>
            <w:tcW w:w="3824"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jc w:val="center"/>
              <w:rPr>
                <w:rFonts w:ascii="仿宋" w:hAnsi="仿宋" w:eastAsia="仿宋" w:cs="仿宋"/>
                <w:color w:val="auto"/>
                <w:sz w:val="22"/>
                <w:szCs w:val="22"/>
              </w:rPr>
            </w:pPr>
          </w:p>
        </w:tc>
      </w:tr>
    </w:tbl>
    <w:p>
      <w:pPr>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lang w:val="zh-CN"/>
        </w:rPr>
        <w:t>注：</w:t>
      </w:r>
      <w:r>
        <w:rPr>
          <w:rFonts w:hint="eastAsia" w:ascii="仿宋" w:hAnsi="仿宋" w:eastAsia="仿宋" w:cs="仿宋"/>
          <w:color w:val="auto"/>
          <w:sz w:val="24"/>
          <w:szCs w:val="24"/>
        </w:rPr>
        <w:t>1.</w:t>
      </w:r>
      <w:r>
        <w:rPr>
          <w:rFonts w:hint="eastAsia" w:ascii="仿宋" w:hAnsi="仿宋" w:eastAsia="仿宋" w:cs="仿宋"/>
          <w:color w:val="auto"/>
          <w:sz w:val="24"/>
          <w:szCs w:val="24"/>
          <w:lang w:val="zh-CN"/>
        </w:rPr>
        <w:t>如投标产品为节能环保、环境标志产品，须按格式逐项填写，并附相关证明，否则评审时不予计分。</w:t>
      </w:r>
    </w:p>
    <w:p>
      <w:pPr>
        <w:spacing w:line="360" w:lineRule="auto"/>
        <w:ind w:firstLine="480" w:firstLineChars="200"/>
        <w:rPr>
          <w:rFonts w:ascii="仿宋" w:hAnsi="仿宋" w:eastAsia="仿宋" w:cs="仿宋"/>
          <w:color w:val="auto"/>
          <w:sz w:val="24"/>
          <w:szCs w:val="24"/>
          <w:lang w:val="zh-CN"/>
        </w:rPr>
      </w:pPr>
      <w:r>
        <w:rPr>
          <w:rFonts w:hint="eastAsia" w:ascii="仿宋" w:hAnsi="仿宋" w:eastAsia="仿宋" w:cs="仿宋"/>
          <w:color w:val="auto"/>
          <w:sz w:val="24"/>
          <w:szCs w:val="24"/>
        </w:rPr>
        <w:t>2.</w:t>
      </w:r>
      <w:r>
        <w:rPr>
          <w:rFonts w:hint="eastAsia" w:ascii="仿宋" w:hAnsi="仿宋" w:eastAsia="仿宋" w:cs="仿宋"/>
          <w:color w:val="auto"/>
          <w:sz w:val="24"/>
          <w:szCs w:val="24"/>
          <w:lang w:val="zh-CN"/>
        </w:rPr>
        <w:t>类别填写：节能环保产品或环境标志产品。</w:t>
      </w:r>
    </w:p>
    <w:p>
      <w:pPr>
        <w:spacing w:line="360" w:lineRule="auto"/>
        <w:ind w:firstLine="480" w:firstLineChars="200"/>
        <w:rPr>
          <w:rFonts w:ascii="仿宋" w:hAnsi="仿宋" w:eastAsia="仿宋" w:cs="仿宋"/>
          <w:color w:val="auto"/>
          <w:sz w:val="24"/>
          <w:szCs w:val="24"/>
        </w:rPr>
      </w:pPr>
    </w:p>
    <w:p>
      <w:pPr>
        <w:spacing w:line="360" w:lineRule="auto"/>
        <w:ind w:firstLine="560" w:firstLineChars="200"/>
        <w:rPr>
          <w:rFonts w:ascii="仿宋" w:hAnsi="仿宋" w:eastAsia="仿宋" w:cs="仿宋"/>
          <w:color w:val="auto"/>
          <w:sz w:val="28"/>
          <w:szCs w:val="28"/>
        </w:rPr>
      </w:pPr>
    </w:p>
    <w:p>
      <w:pPr>
        <w:spacing w:line="360" w:lineRule="auto"/>
        <w:ind w:firstLine="560" w:firstLineChars="200"/>
        <w:rPr>
          <w:rFonts w:ascii="仿宋" w:hAnsi="仿宋" w:eastAsia="仿宋" w:cs="仿宋"/>
          <w:color w:val="auto"/>
          <w:sz w:val="28"/>
          <w:szCs w:val="28"/>
        </w:rPr>
      </w:pPr>
    </w:p>
    <w:p>
      <w:pPr>
        <w:spacing w:line="360" w:lineRule="auto"/>
        <w:ind w:firstLine="4080" w:firstLineChars="1700"/>
        <w:rPr>
          <w:rFonts w:ascii="仿宋" w:hAnsi="仿宋" w:eastAsia="仿宋" w:cs="仿宋"/>
          <w:color w:val="auto"/>
          <w:sz w:val="24"/>
          <w:szCs w:val="24"/>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w:t>
      </w:r>
    </w:p>
    <w:p>
      <w:pPr>
        <w:spacing w:line="360" w:lineRule="auto"/>
        <w:ind w:firstLine="4080" w:firstLineChars="1700"/>
        <w:rPr>
          <w:rFonts w:ascii="仿宋" w:hAnsi="仿宋" w:eastAsia="仿宋" w:cs="仿宋"/>
          <w:color w:val="auto"/>
          <w:sz w:val="24"/>
          <w:szCs w:val="24"/>
          <w:u w:val="single"/>
        </w:rPr>
      </w:pPr>
      <w:r>
        <w:rPr>
          <w:rFonts w:hint="eastAsia" w:ascii="仿宋" w:hAnsi="仿宋" w:eastAsia="仿宋" w:cs="仿宋"/>
          <w:color w:val="auto"/>
          <w:sz w:val="24"/>
          <w:szCs w:val="24"/>
        </w:rPr>
        <w:t>法定代表人或授权代表（签字或盖章）：</w:t>
      </w:r>
      <w:r>
        <w:rPr>
          <w:rFonts w:hint="eastAsia" w:ascii="仿宋" w:hAnsi="仿宋" w:eastAsia="仿宋" w:cs="仿宋"/>
          <w:color w:val="auto"/>
          <w:sz w:val="24"/>
          <w:szCs w:val="24"/>
          <w:u w:val="single"/>
        </w:rPr>
        <w:t xml:space="preserve">    </w:t>
      </w:r>
    </w:p>
    <w:p>
      <w:pPr>
        <w:autoSpaceDE w:val="0"/>
        <w:autoSpaceDN w:val="0"/>
        <w:adjustRightInd w:val="0"/>
        <w:spacing w:line="360" w:lineRule="auto"/>
        <w:ind w:firstLine="4080" w:firstLineChars="1700"/>
        <w:rPr>
          <w:rFonts w:ascii="仿宋" w:hAnsi="仿宋" w:eastAsia="仿宋" w:cs="仿宋"/>
          <w:color w:val="auto"/>
          <w:sz w:val="24"/>
          <w:szCs w:val="24"/>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p>
    <w:p>
      <w:pPr>
        <w:pStyle w:val="9"/>
        <w:keepNext w:val="0"/>
        <w:pageBreakBefore/>
        <w:adjustRightInd w:val="0"/>
        <w:spacing w:line="416" w:lineRule="atLeast"/>
        <w:textAlignment w:val="baseline"/>
        <w:rPr>
          <w:rFonts w:ascii="仿宋" w:hAnsi="仿宋" w:eastAsia="仿宋" w:cs="仿宋"/>
          <w:color w:val="auto"/>
          <w:sz w:val="24"/>
          <w:szCs w:val="24"/>
          <w:lang w:val="zh-CN"/>
        </w:rPr>
        <w:sectPr>
          <w:footerReference r:id="rId11" w:type="default"/>
          <w:headerReference r:id="rId10" w:type="even"/>
          <w:pgSz w:w="11906" w:h="16838"/>
          <w:pgMar w:top="1417" w:right="1701" w:bottom="1417" w:left="1701" w:header="851" w:footer="992" w:gutter="0"/>
          <w:cols w:space="720" w:num="1"/>
          <w:docGrid w:linePitch="312" w:charSpace="0"/>
        </w:sectPr>
      </w:pPr>
    </w:p>
    <w:bookmarkEnd w:id="391"/>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Pr>
        <w:pStyle w:val="9"/>
        <w:keepNext w:val="0"/>
        <w:pageBreakBefore/>
        <w:spacing w:line="360" w:lineRule="auto"/>
        <w:rPr>
          <w:rFonts w:ascii="仿宋" w:hAnsi="仿宋" w:eastAsia="仿宋" w:cs="仿宋"/>
          <w:b w:val="0"/>
          <w:color w:val="auto"/>
          <w:kern w:val="2"/>
          <w:sz w:val="24"/>
          <w:szCs w:val="24"/>
          <w:lang w:val="zh-CN"/>
        </w:rPr>
      </w:pPr>
      <w:bookmarkStart w:id="416" w:name="_Toc11371"/>
      <w:bookmarkStart w:id="417" w:name="_Toc3112"/>
      <w:bookmarkStart w:id="418" w:name="_Toc14710"/>
      <w:bookmarkStart w:id="419" w:name="_Toc28411"/>
      <w:bookmarkStart w:id="420" w:name="_Toc14308"/>
      <w:bookmarkStart w:id="421" w:name="_Toc13042"/>
      <w:bookmarkStart w:id="422" w:name="_Toc26791"/>
      <w:bookmarkStart w:id="423" w:name="_Toc8297"/>
      <w:bookmarkStart w:id="424" w:name="_Toc4764"/>
      <w:bookmarkStart w:id="425" w:name="_Toc31212"/>
      <w:bookmarkStart w:id="426" w:name="_Toc370"/>
      <w:bookmarkStart w:id="427" w:name="_Toc22966"/>
      <w:bookmarkStart w:id="428" w:name="_Toc4501"/>
      <w:bookmarkStart w:id="429" w:name="_Toc8261"/>
      <w:bookmarkStart w:id="430" w:name="_Toc518"/>
      <w:bookmarkStart w:id="431" w:name="_Toc4404"/>
      <w:r>
        <w:rPr>
          <w:rFonts w:hint="eastAsia" w:ascii="仿宋" w:hAnsi="仿宋" w:eastAsia="仿宋" w:cs="仿宋"/>
          <w:color w:val="auto"/>
          <w:sz w:val="32"/>
          <w:szCs w:val="21"/>
        </w:rPr>
        <w:t>七</w:t>
      </w:r>
      <w:r>
        <w:rPr>
          <w:rFonts w:hint="eastAsia" w:ascii="仿宋" w:hAnsi="仿宋" w:eastAsia="仿宋" w:cs="仿宋"/>
          <w:color w:val="auto"/>
          <w:sz w:val="32"/>
          <w:szCs w:val="21"/>
          <w:lang w:val="zh-CN"/>
        </w:rPr>
        <w:t>、技术规格偏离表</w:t>
      </w:r>
      <w:bookmarkEnd w:id="416"/>
      <w:bookmarkEnd w:id="417"/>
      <w:bookmarkEnd w:id="418"/>
      <w:bookmarkEnd w:id="419"/>
    </w:p>
    <w:p>
      <w:pPr>
        <w:spacing w:line="360" w:lineRule="auto"/>
        <w:rPr>
          <w:rFonts w:ascii="仿宋" w:hAnsi="仿宋" w:eastAsia="仿宋" w:cs="仿宋"/>
          <w:color w:val="auto"/>
          <w:sz w:val="28"/>
          <w:szCs w:val="28"/>
        </w:rPr>
      </w:pPr>
      <w:r>
        <w:rPr>
          <w:rFonts w:hint="eastAsia" w:ascii="仿宋" w:hAnsi="仿宋" w:eastAsia="仿宋" w:cs="仿宋"/>
          <w:color w:val="auto"/>
          <w:sz w:val="24"/>
          <w:szCs w:val="24"/>
        </w:rPr>
        <w:t>项目编号：                                         标段：</w:t>
      </w:r>
    </w:p>
    <w:tbl>
      <w:tblPr>
        <w:tblStyle w:val="21"/>
        <w:tblW w:w="97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365"/>
        <w:gridCol w:w="2520"/>
        <w:gridCol w:w="2625"/>
        <w:gridCol w:w="840"/>
        <w:gridCol w:w="16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05" w:type="dxa"/>
            <w:vAlign w:val="center"/>
          </w:tcPr>
          <w:p>
            <w:pPr>
              <w:adjustRightInd w:val="0"/>
              <w:snapToGrid w:val="0"/>
              <w:ind w:right="23"/>
              <w:jc w:val="center"/>
              <w:rPr>
                <w:rFonts w:ascii="仿宋" w:hAnsi="仿宋" w:eastAsia="仿宋" w:cs="仿宋"/>
                <w:b/>
                <w:bCs/>
                <w:color w:val="auto"/>
                <w:szCs w:val="21"/>
              </w:rPr>
            </w:pPr>
            <w:r>
              <w:rPr>
                <w:rFonts w:hint="eastAsia" w:ascii="仿宋" w:hAnsi="仿宋" w:eastAsia="仿宋" w:cs="仿宋"/>
                <w:b/>
                <w:bCs/>
                <w:color w:val="auto"/>
                <w:szCs w:val="21"/>
              </w:rPr>
              <w:t>序号</w:t>
            </w:r>
          </w:p>
        </w:tc>
        <w:tc>
          <w:tcPr>
            <w:tcW w:w="1365" w:type="dxa"/>
            <w:vAlign w:val="center"/>
          </w:tcPr>
          <w:p>
            <w:pPr>
              <w:adjustRightInd w:val="0"/>
              <w:snapToGrid w:val="0"/>
              <w:ind w:right="23"/>
              <w:jc w:val="center"/>
              <w:rPr>
                <w:rFonts w:ascii="仿宋" w:hAnsi="仿宋" w:eastAsia="仿宋" w:cs="仿宋"/>
                <w:b/>
                <w:bCs/>
                <w:color w:val="auto"/>
                <w:szCs w:val="21"/>
              </w:rPr>
            </w:pPr>
            <w:r>
              <w:rPr>
                <w:rFonts w:hint="eastAsia" w:ascii="仿宋" w:hAnsi="仿宋" w:eastAsia="仿宋" w:cs="仿宋"/>
                <w:b/>
                <w:bCs/>
                <w:color w:val="auto"/>
                <w:szCs w:val="21"/>
              </w:rPr>
              <w:t>文件</w:t>
            </w:r>
          </w:p>
          <w:p>
            <w:pPr>
              <w:adjustRightInd w:val="0"/>
              <w:snapToGrid w:val="0"/>
              <w:ind w:right="23"/>
              <w:jc w:val="center"/>
              <w:rPr>
                <w:rFonts w:ascii="仿宋" w:hAnsi="仿宋" w:eastAsia="仿宋" w:cs="仿宋"/>
                <w:b/>
                <w:bCs/>
                <w:color w:val="auto"/>
                <w:szCs w:val="21"/>
              </w:rPr>
            </w:pPr>
            <w:r>
              <w:rPr>
                <w:rFonts w:hint="eastAsia" w:ascii="仿宋" w:hAnsi="仿宋" w:eastAsia="仿宋" w:cs="仿宋"/>
                <w:b/>
                <w:bCs/>
                <w:color w:val="auto"/>
                <w:szCs w:val="21"/>
              </w:rPr>
              <w:t>条目号</w:t>
            </w:r>
          </w:p>
        </w:tc>
        <w:tc>
          <w:tcPr>
            <w:tcW w:w="2520" w:type="dxa"/>
            <w:vAlign w:val="center"/>
          </w:tcPr>
          <w:p>
            <w:pPr>
              <w:adjustRightInd w:val="0"/>
              <w:snapToGrid w:val="0"/>
              <w:ind w:right="23"/>
              <w:jc w:val="center"/>
              <w:rPr>
                <w:rFonts w:ascii="仿宋" w:hAnsi="仿宋" w:eastAsia="仿宋" w:cs="仿宋"/>
                <w:b/>
                <w:color w:val="auto"/>
                <w:szCs w:val="21"/>
              </w:rPr>
            </w:pPr>
            <w:r>
              <w:rPr>
                <w:rFonts w:hint="eastAsia" w:ascii="仿宋" w:hAnsi="仿宋" w:eastAsia="仿宋" w:cs="仿宋"/>
                <w:b/>
                <w:color w:val="auto"/>
                <w:szCs w:val="21"/>
              </w:rPr>
              <w:t>招标文件</w:t>
            </w:r>
          </w:p>
          <w:p>
            <w:pPr>
              <w:adjustRightInd w:val="0"/>
              <w:snapToGrid w:val="0"/>
              <w:ind w:right="23"/>
              <w:jc w:val="center"/>
              <w:rPr>
                <w:rFonts w:ascii="仿宋" w:hAnsi="仿宋" w:eastAsia="仿宋" w:cs="仿宋"/>
                <w:b/>
                <w:bCs/>
                <w:color w:val="auto"/>
                <w:szCs w:val="21"/>
              </w:rPr>
            </w:pPr>
            <w:r>
              <w:rPr>
                <w:rFonts w:hint="eastAsia" w:ascii="仿宋" w:hAnsi="仿宋" w:eastAsia="仿宋" w:cs="仿宋"/>
                <w:b/>
                <w:color w:val="auto"/>
                <w:szCs w:val="21"/>
              </w:rPr>
              <w:t>规格及技术需求</w:t>
            </w:r>
          </w:p>
        </w:tc>
        <w:tc>
          <w:tcPr>
            <w:tcW w:w="2625" w:type="dxa"/>
            <w:vAlign w:val="center"/>
          </w:tcPr>
          <w:p>
            <w:pPr>
              <w:adjustRightInd w:val="0"/>
              <w:snapToGrid w:val="0"/>
              <w:ind w:right="23"/>
              <w:jc w:val="center"/>
              <w:rPr>
                <w:rFonts w:ascii="仿宋" w:hAnsi="仿宋" w:eastAsia="仿宋" w:cs="仿宋"/>
                <w:b/>
                <w:color w:val="auto"/>
                <w:szCs w:val="21"/>
              </w:rPr>
            </w:pPr>
            <w:r>
              <w:rPr>
                <w:rFonts w:hint="eastAsia" w:ascii="仿宋" w:hAnsi="仿宋" w:eastAsia="仿宋" w:cs="仿宋"/>
                <w:b/>
                <w:color w:val="auto"/>
                <w:szCs w:val="21"/>
              </w:rPr>
              <w:t>投标文件</w:t>
            </w:r>
          </w:p>
          <w:p>
            <w:pPr>
              <w:adjustRightInd w:val="0"/>
              <w:snapToGrid w:val="0"/>
              <w:ind w:right="23"/>
              <w:jc w:val="center"/>
              <w:rPr>
                <w:rFonts w:ascii="仿宋" w:hAnsi="仿宋" w:eastAsia="仿宋" w:cs="仿宋"/>
                <w:b/>
                <w:bCs/>
                <w:color w:val="auto"/>
                <w:szCs w:val="21"/>
              </w:rPr>
            </w:pPr>
            <w:r>
              <w:rPr>
                <w:rFonts w:hint="eastAsia" w:ascii="仿宋" w:hAnsi="仿宋" w:eastAsia="仿宋" w:cs="仿宋"/>
                <w:b/>
                <w:color w:val="auto"/>
                <w:szCs w:val="21"/>
              </w:rPr>
              <w:t>规格及技术参数</w:t>
            </w:r>
          </w:p>
        </w:tc>
        <w:tc>
          <w:tcPr>
            <w:tcW w:w="840" w:type="dxa"/>
            <w:vAlign w:val="center"/>
          </w:tcPr>
          <w:p>
            <w:pPr>
              <w:adjustRightInd w:val="0"/>
              <w:snapToGrid w:val="0"/>
              <w:ind w:right="23"/>
              <w:jc w:val="center"/>
              <w:rPr>
                <w:rFonts w:ascii="仿宋" w:hAnsi="仿宋" w:eastAsia="仿宋" w:cs="仿宋"/>
                <w:b/>
                <w:bCs/>
                <w:color w:val="auto"/>
                <w:szCs w:val="21"/>
              </w:rPr>
            </w:pPr>
            <w:r>
              <w:rPr>
                <w:rFonts w:hint="eastAsia" w:ascii="仿宋" w:hAnsi="仿宋" w:eastAsia="仿宋" w:cs="仿宋"/>
                <w:b/>
                <w:bCs/>
                <w:color w:val="auto"/>
                <w:szCs w:val="21"/>
              </w:rPr>
              <w:t>偏离</w:t>
            </w:r>
          </w:p>
        </w:tc>
        <w:tc>
          <w:tcPr>
            <w:tcW w:w="1680" w:type="dxa"/>
            <w:vAlign w:val="center"/>
          </w:tcPr>
          <w:p>
            <w:pPr>
              <w:adjustRightInd w:val="0"/>
              <w:snapToGrid w:val="0"/>
              <w:ind w:right="23"/>
              <w:jc w:val="center"/>
              <w:rPr>
                <w:rFonts w:ascii="仿宋" w:hAnsi="仿宋" w:eastAsia="仿宋" w:cs="仿宋"/>
                <w:b/>
                <w:bCs/>
                <w:color w:val="auto"/>
                <w:szCs w:val="21"/>
              </w:rPr>
            </w:pPr>
            <w:r>
              <w:rPr>
                <w:rFonts w:hint="eastAsia" w:ascii="仿宋" w:hAnsi="仿宋" w:eastAsia="仿宋" w:cs="仿宋"/>
                <w:b/>
                <w:bCs/>
                <w:color w:val="auto"/>
                <w:szCs w:val="21"/>
              </w:rPr>
              <w:t>偏离</w:t>
            </w:r>
          </w:p>
          <w:p>
            <w:pPr>
              <w:adjustRightInd w:val="0"/>
              <w:snapToGrid w:val="0"/>
              <w:ind w:right="23"/>
              <w:jc w:val="center"/>
              <w:rPr>
                <w:rFonts w:ascii="仿宋" w:hAnsi="仿宋" w:eastAsia="仿宋" w:cs="仿宋"/>
                <w:b/>
                <w:bCs/>
                <w:color w:val="auto"/>
                <w:szCs w:val="21"/>
              </w:rPr>
            </w:pPr>
            <w:r>
              <w:rPr>
                <w:rFonts w:hint="eastAsia" w:ascii="仿宋" w:hAnsi="仿宋" w:eastAsia="仿宋" w:cs="仿宋"/>
                <w:b/>
                <w:bCs/>
                <w:color w:val="auto"/>
                <w:szCs w:val="21"/>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tcPr>
          <w:p>
            <w:pPr>
              <w:adjustRightInd w:val="0"/>
              <w:snapToGrid w:val="0"/>
              <w:spacing w:line="360" w:lineRule="auto"/>
              <w:ind w:right="24"/>
              <w:rPr>
                <w:rFonts w:ascii="仿宋" w:hAnsi="仿宋" w:eastAsia="仿宋" w:cs="仿宋"/>
                <w:bCs/>
                <w:color w:val="auto"/>
                <w:szCs w:val="21"/>
              </w:rPr>
            </w:pPr>
          </w:p>
        </w:tc>
        <w:tc>
          <w:tcPr>
            <w:tcW w:w="1365" w:type="dxa"/>
          </w:tcPr>
          <w:p>
            <w:pPr>
              <w:adjustRightInd w:val="0"/>
              <w:snapToGrid w:val="0"/>
              <w:spacing w:line="360" w:lineRule="auto"/>
              <w:ind w:right="24"/>
              <w:rPr>
                <w:rFonts w:ascii="仿宋" w:hAnsi="仿宋" w:eastAsia="仿宋" w:cs="仿宋"/>
                <w:bCs/>
                <w:color w:val="auto"/>
                <w:szCs w:val="21"/>
              </w:rPr>
            </w:pPr>
          </w:p>
        </w:tc>
        <w:tc>
          <w:tcPr>
            <w:tcW w:w="2520" w:type="dxa"/>
          </w:tcPr>
          <w:p>
            <w:pPr>
              <w:adjustRightInd w:val="0"/>
              <w:snapToGrid w:val="0"/>
              <w:spacing w:line="360" w:lineRule="auto"/>
              <w:ind w:right="24"/>
              <w:rPr>
                <w:rFonts w:ascii="仿宋" w:hAnsi="仿宋" w:eastAsia="仿宋" w:cs="仿宋"/>
                <w:bCs/>
                <w:color w:val="auto"/>
                <w:szCs w:val="21"/>
              </w:rPr>
            </w:pPr>
          </w:p>
        </w:tc>
        <w:tc>
          <w:tcPr>
            <w:tcW w:w="2625" w:type="dxa"/>
          </w:tcPr>
          <w:p>
            <w:pPr>
              <w:adjustRightInd w:val="0"/>
              <w:snapToGrid w:val="0"/>
              <w:spacing w:line="360" w:lineRule="auto"/>
              <w:ind w:right="24"/>
              <w:rPr>
                <w:rFonts w:ascii="仿宋" w:hAnsi="仿宋" w:eastAsia="仿宋" w:cs="仿宋"/>
                <w:bCs/>
                <w:color w:val="auto"/>
                <w:szCs w:val="21"/>
              </w:rPr>
            </w:pPr>
          </w:p>
        </w:tc>
        <w:tc>
          <w:tcPr>
            <w:tcW w:w="840" w:type="dxa"/>
          </w:tcPr>
          <w:p>
            <w:pPr>
              <w:adjustRightInd w:val="0"/>
              <w:snapToGrid w:val="0"/>
              <w:spacing w:line="360" w:lineRule="auto"/>
              <w:ind w:right="24"/>
              <w:rPr>
                <w:rFonts w:ascii="仿宋" w:hAnsi="仿宋" w:eastAsia="仿宋" w:cs="仿宋"/>
                <w:bCs/>
                <w:color w:val="auto"/>
                <w:szCs w:val="21"/>
              </w:rPr>
            </w:pPr>
          </w:p>
        </w:tc>
        <w:tc>
          <w:tcPr>
            <w:tcW w:w="1680" w:type="dxa"/>
          </w:tcPr>
          <w:p>
            <w:pPr>
              <w:adjustRightInd w:val="0"/>
              <w:snapToGrid w:val="0"/>
              <w:spacing w:line="360" w:lineRule="auto"/>
              <w:ind w:right="24"/>
              <w:rPr>
                <w:rFonts w:ascii="仿宋" w:hAnsi="仿宋" w:eastAsia="仿宋" w:cs="仿宋"/>
                <w:bCs/>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tcPr>
          <w:p>
            <w:pPr>
              <w:adjustRightInd w:val="0"/>
              <w:snapToGrid w:val="0"/>
              <w:spacing w:line="360" w:lineRule="auto"/>
              <w:ind w:right="24"/>
              <w:rPr>
                <w:rFonts w:ascii="仿宋" w:hAnsi="仿宋" w:eastAsia="仿宋" w:cs="仿宋"/>
                <w:bCs/>
                <w:color w:val="auto"/>
                <w:szCs w:val="21"/>
              </w:rPr>
            </w:pPr>
          </w:p>
        </w:tc>
        <w:tc>
          <w:tcPr>
            <w:tcW w:w="1365" w:type="dxa"/>
          </w:tcPr>
          <w:p>
            <w:pPr>
              <w:adjustRightInd w:val="0"/>
              <w:snapToGrid w:val="0"/>
              <w:spacing w:line="360" w:lineRule="auto"/>
              <w:ind w:right="24"/>
              <w:rPr>
                <w:rFonts w:ascii="仿宋" w:hAnsi="仿宋" w:eastAsia="仿宋" w:cs="仿宋"/>
                <w:bCs/>
                <w:color w:val="auto"/>
                <w:szCs w:val="21"/>
              </w:rPr>
            </w:pPr>
          </w:p>
        </w:tc>
        <w:tc>
          <w:tcPr>
            <w:tcW w:w="2520" w:type="dxa"/>
          </w:tcPr>
          <w:p>
            <w:pPr>
              <w:adjustRightInd w:val="0"/>
              <w:snapToGrid w:val="0"/>
              <w:spacing w:line="360" w:lineRule="auto"/>
              <w:ind w:right="24"/>
              <w:rPr>
                <w:rFonts w:ascii="仿宋" w:hAnsi="仿宋" w:eastAsia="仿宋" w:cs="仿宋"/>
                <w:bCs/>
                <w:color w:val="auto"/>
                <w:szCs w:val="21"/>
              </w:rPr>
            </w:pPr>
          </w:p>
        </w:tc>
        <w:tc>
          <w:tcPr>
            <w:tcW w:w="2625" w:type="dxa"/>
          </w:tcPr>
          <w:p>
            <w:pPr>
              <w:adjustRightInd w:val="0"/>
              <w:snapToGrid w:val="0"/>
              <w:spacing w:line="360" w:lineRule="auto"/>
              <w:ind w:right="24"/>
              <w:rPr>
                <w:rFonts w:ascii="仿宋" w:hAnsi="仿宋" w:eastAsia="仿宋" w:cs="仿宋"/>
                <w:bCs/>
                <w:color w:val="auto"/>
                <w:szCs w:val="21"/>
              </w:rPr>
            </w:pPr>
          </w:p>
        </w:tc>
        <w:tc>
          <w:tcPr>
            <w:tcW w:w="840" w:type="dxa"/>
          </w:tcPr>
          <w:p>
            <w:pPr>
              <w:adjustRightInd w:val="0"/>
              <w:snapToGrid w:val="0"/>
              <w:spacing w:line="360" w:lineRule="auto"/>
              <w:ind w:right="24"/>
              <w:rPr>
                <w:rFonts w:ascii="仿宋" w:hAnsi="仿宋" w:eastAsia="仿宋" w:cs="仿宋"/>
                <w:bCs/>
                <w:color w:val="auto"/>
                <w:szCs w:val="21"/>
              </w:rPr>
            </w:pPr>
          </w:p>
        </w:tc>
        <w:tc>
          <w:tcPr>
            <w:tcW w:w="1680" w:type="dxa"/>
          </w:tcPr>
          <w:p>
            <w:pPr>
              <w:adjustRightInd w:val="0"/>
              <w:snapToGrid w:val="0"/>
              <w:spacing w:line="360" w:lineRule="auto"/>
              <w:ind w:right="24"/>
              <w:rPr>
                <w:rFonts w:ascii="仿宋" w:hAnsi="仿宋" w:eastAsia="仿宋" w:cs="仿宋"/>
                <w:bCs/>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tcPr>
          <w:p>
            <w:pPr>
              <w:adjustRightInd w:val="0"/>
              <w:snapToGrid w:val="0"/>
              <w:spacing w:line="360" w:lineRule="auto"/>
              <w:ind w:right="24"/>
              <w:rPr>
                <w:rFonts w:ascii="仿宋" w:hAnsi="仿宋" w:eastAsia="仿宋" w:cs="仿宋"/>
                <w:bCs/>
                <w:color w:val="auto"/>
                <w:szCs w:val="21"/>
              </w:rPr>
            </w:pPr>
          </w:p>
        </w:tc>
        <w:tc>
          <w:tcPr>
            <w:tcW w:w="1365" w:type="dxa"/>
          </w:tcPr>
          <w:p>
            <w:pPr>
              <w:adjustRightInd w:val="0"/>
              <w:snapToGrid w:val="0"/>
              <w:spacing w:line="360" w:lineRule="auto"/>
              <w:ind w:right="24"/>
              <w:rPr>
                <w:rFonts w:ascii="仿宋" w:hAnsi="仿宋" w:eastAsia="仿宋" w:cs="仿宋"/>
                <w:bCs/>
                <w:color w:val="auto"/>
                <w:szCs w:val="21"/>
              </w:rPr>
            </w:pPr>
          </w:p>
        </w:tc>
        <w:tc>
          <w:tcPr>
            <w:tcW w:w="2520" w:type="dxa"/>
          </w:tcPr>
          <w:p>
            <w:pPr>
              <w:adjustRightInd w:val="0"/>
              <w:snapToGrid w:val="0"/>
              <w:spacing w:line="360" w:lineRule="auto"/>
              <w:ind w:right="24"/>
              <w:rPr>
                <w:rFonts w:ascii="仿宋" w:hAnsi="仿宋" w:eastAsia="仿宋" w:cs="仿宋"/>
                <w:bCs/>
                <w:color w:val="auto"/>
                <w:szCs w:val="21"/>
              </w:rPr>
            </w:pPr>
          </w:p>
        </w:tc>
        <w:tc>
          <w:tcPr>
            <w:tcW w:w="2625" w:type="dxa"/>
          </w:tcPr>
          <w:p>
            <w:pPr>
              <w:adjustRightInd w:val="0"/>
              <w:snapToGrid w:val="0"/>
              <w:spacing w:line="360" w:lineRule="auto"/>
              <w:ind w:right="24"/>
              <w:rPr>
                <w:rFonts w:ascii="仿宋" w:hAnsi="仿宋" w:eastAsia="仿宋" w:cs="仿宋"/>
                <w:bCs/>
                <w:color w:val="auto"/>
                <w:szCs w:val="21"/>
              </w:rPr>
            </w:pPr>
          </w:p>
        </w:tc>
        <w:tc>
          <w:tcPr>
            <w:tcW w:w="840" w:type="dxa"/>
          </w:tcPr>
          <w:p>
            <w:pPr>
              <w:adjustRightInd w:val="0"/>
              <w:snapToGrid w:val="0"/>
              <w:spacing w:line="360" w:lineRule="auto"/>
              <w:ind w:right="24"/>
              <w:rPr>
                <w:rFonts w:ascii="仿宋" w:hAnsi="仿宋" w:eastAsia="仿宋" w:cs="仿宋"/>
                <w:bCs/>
                <w:color w:val="auto"/>
                <w:szCs w:val="21"/>
              </w:rPr>
            </w:pPr>
          </w:p>
        </w:tc>
        <w:tc>
          <w:tcPr>
            <w:tcW w:w="1680" w:type="dxa"/>
          </w:tcPr>
          <w:p>
            <w:pPr>
              <w:adjustRightInd w:val="0"/>
              <w:snapToGrid w:val="0"/>
              <w:spacing w:line="360" w:lineRule="auto"/>
              <w:ind w:right="24"/>
              <w:rPr>
                <w:rFonts w:ascii="仿宋" w:hAnsi="仿宋" w:eastAsia="仿宋" w:cs="仿宋"/>
                <w:bCs/>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tcPr>
          <w:p>
            <w:pPr>
              <w:adjustRightInd w:val="0"/>
              <w:snapToGrid w:val="0"/>
              <w:spacing w:line="360" w:lineRule="auto"/>
              <w:ind w:right="24"/>
              <w:rPr>
                <w:rFonts w:ascii="仿宋" w:hAnsi="仿宋" w:eastAsia="仿宋" w:cs="仿宋"/>
                <w:bCs/>
                <w:color w:val="auto"/>
                <w:szCs w:val="21"/>
              </w:rPr>
            </w:pPr>
          </w:p>
        </w:tc>
        <w:tc>
          <w:tcPr>
            <w:tcW w:w="1365" w:type="dxa"/>
          </w:tcPr>
          <w:p>
            <w:pPr>
              <w:adjustRightInd w:val="0"/>
              <w:snapToGrid w:val="0"/>
              <w:spacing w:line="360" w:lineRule="auto"/>
              <w:ind w:right="24"/>
              <w:rPr>
                <w:rFonts w:ascii="仿宋" w:hAnsi="仿宋" w:eastAsia="仿宋" w:cs="仿宋"/>
                <w:bCs/>
                <w:color w:val="auto"/>
                <w:szCs w:val="21"/>
              </w:rPr>
            </w:pPr>
          </w:p>
        </w:tc>
        <w:tc>
          <w:tcPr>
            <w:tcW w:w="2520" w:type="dxa"/>
          </w:tcPr>
          <w:p>
            <w:pPr>
              <w:adjustRightInd w:val="0"/>
              <w:snapToGrid w:val="0"/>
              <w:spacing w:line="360" w:lineRule="auto"/>
              <w:ind w:right="24"/>
              <w:rPr>
                <w:rFonts w:ascii="仿宋" w:hAnsi="仿宋" w:eastAsia="仿宋" w:cs="仿宋"/>
                <w:bCs/>
                <w:color w:val="auto"/>
                <w:szCs w:val="21"/>
              </w:rPr>
            </w:pPr>
          </w:p>
        </w:tc>
        <w:tc>
          <w:tcPr>
            <w:tcW w:w="2625" w:type="dxa"/>
          </w:tcPr>
          <w:p>
            <w:pPr>
              <w:adjustRightInd w:val="0"/>
              <w:snapToGrid w:val="0"/>
              <w:spacing w:line="360" w:lineRule="auto"/>
              <w:ind w:right="24"/>
              <w:rPr>
                <w:rFonts w:ascii="仿宋" w:hAnsi="仿宋" w:eastAsia="仿宋" w:cs="仿宋"/>
                <w:bCs/>
                <w:color w:val="auto"/>
                <w:szCs w:val="21"/>
              </w:rPr>
            </w:pPr>
          </w:p>
        </w:tc>
        <w:tc>
          <w:tcPr>
            <w:tcW w:w="840" w:type="dxa"/>
          </w:tcPr>
          <w:p>
            <w:pPr>
              <w:adjustRightInd w:val="0"/>
              <w:snapToGrid w:val="0"/>
              <w:spacing w:line="360" w:lineRule="auto"/>
              <w:ind w:right="24"/>
              <w:rPr>
                <w:rFonts w:ascii="仿宋" w:hAnsi="仿宋" w:eastAsia="仿宋" w:cs="仿宋"/>
                <w:bCs/>
                <w:color w:val="auto"/>
                <w:szCs w:val="21"/>
              </w:rPr>
            </w:pPr>
          </w:p>
        </w:tc>
        <w:tc>
          <w:tcPr>
            <w:tcW w:w="1680" w:type="dxa"/>
          </w:tcPr>
          <w:p>
            <w:pPr>
              <w:adjustRightInd w:val="0"/>
              <w:snapToGrid w:val="0"/>
              <w:spacing w:line="360" w:lineRule="auto"/>
              <w:ind w:right="24"/>
              <w:rPr>
                <w:rFonts w:ascii="仿宋" w:hAnsi="仿宋" w:eastAsia="仿宋" w:cs="仿宋"/>
                <w:bCs/>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tcPr>
          <w:p>
            <w:pPr>
              <w:adjustRightInd w:val="0"/>
              <w:snapToGrid w:val="0"/>
              <w:spacing w:line="360" w:lineRule="auto"/>
              <w:ind w:right="24"/>
              <w:rPr>
                <w:rFonts w:ascii="仿宋" w:hAnsi="仿宋" w:eastAsia="仿宋" w:cs="仿宋"/>
                <w:bCs/>
                <w:color w:val="auto"/>
                <w:szCs w:val="21"/>
              </w:rPr>
            </w:pPr>
          </w:p>
        </w:tc>
        <w:tc>
          <w:tcPr>
            <w:tcW w:w="1365" w:type="dxa"/>
          </w:tcPr>
          <w:p>
            <w:pPr>
              <w:adjustRightInd w:val="0"/>
              <w:snapToGrid w:val="0"/>
              <w:spacing w:line="360" w:lineRule="auto"/>
              <w:ind w:right="24"/>
              <w:rPr>
                <w:rFonts w:ascii="仿宋" w:hAnsi="仿宋" w:eastAsia="仿宋" w:cs="仿宋"/>
                <w:bCs/>
                <w:color w:val="auto"/>
                <w:szCs w:val="21"/>
              </w:rPr>
            </w:pPr>
          </w:p>
        </w:tc>
        <w:tc>
          <w:tcPr>
            <w:tcW w:w="2520" w:type="dxa"/>
          </w:tcPr>
          <w:p>
            <w:pPr>
              <w:adjustRightInd w:val="0"/>
              <w:snapToGrid w:val="0"/>
              <w:spacing w:line="360" w:lineRule="auto"/>
              <w:ind w:right="24"/>
              <w:rPr>
                <w:rFonts w:ascii="仿宋" w:hAnsi="仿宋" w:eastAsia="仿宋" w:cs="仿宋"/>
                <w:bCs/>
                <w:color w:val="auto"/>
                <w:szCs w:val="21"/>
              </w:rPr>
            </w:pPr>
          </w:p>
        </w:tc>
        <w:tc>
          <w:tcPr>
            <w:tcW w:w="2625" w:type="dxa"/>
          </w:tcPr>
          <w:p>
            <w:pPr>
              <w:adjustRightInd w:val="0"/>
              <w:snapToGrid w:val="0"/>
              <w:spacing w:line="360" w:lineRule="auto"/>
              <w:ind w:right="24"/>
              <w:rPr>
                <w:rFonts w:ascii="仿宋" w:hAnsi="仿宋" w:eastAsia="仿宋" w:cs="仿宋"/>
                <w:bCs/>
                <w:color w:val="auto"/>
                <w:szCs w:val="21"/>
              </w:rPr>
            </w:pPr>
          </w:p>
        </w:tc>
        <w:tc>
          <w:tcPr>
            <w:tcW w:w="840" w:type="dxa"/>
          </w:tcPr>
          <w:p>
            <w:pPr>
              <w:adjustRightInd w:val="0"/>
              <w:snapToGrid w:val="0"/>
              <w:spacing w:line="360" w:lineRule="auto"/>
              <w:ind w:right="24"/>
              <w:rPr>
                <w:rFonts w:ascii="仿宋" w:hAnsi="仿宋" w:eastAsia="仿宋" w:cs="仿宋"/>
                <w:bCs/>
                <w:color w:val="auto"/>
                <w:szCs w:val="21"/>
              </w:rPr>
            </w:pPr>
          </w:p>
        </w:tc>
        <w:tc>
          <w:tcPr>
            <w:tcW w:w="1680" w:type="dxa"/>
          </w:tcPr>
          <w:p>
            <w:pPr>
              <w:adjustRightInd w:val="0"/>
              <w:snapToGrid w:val="0"/>
              <w:spacing w:line="360" w:lineRule="auto"/>
              <w:ind w:right="24"/>
              <w:rPr>
                <w:rFonts w:ascii="仿宋" w:hAnsi="仿宋" w:eastAsia="仿宋" w:cs="仿宋"/>
                <w:bCs/>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tcPr>
          <w:p>
            <w:pPr>
              <w:adjustRightInd w:val="0"/>
              <w:snapToGrid w:val="0"/>
              <w:spacing w:line="360" w:lineRule="auto"/>
              <w:ind w:right="24"/>
              <w:rPr>
                <w:rFonts w:ascii="仿宋" w:hAnsi="仿宋" w:eastAsia="仿宋" w:cs="仿宋"/>
                <w:bCs/>
                <w:color w:val="auto"/>
                <w:szCs w:val="21"/>
              </w:rPr>
            </w:pPr>
          </w:p>
        </w:tc>
        <w:tc>
          <w:tcPr>
            <w:tcW w:w="1365" w:type="dxa"/>
          </w:tcPr>
          <w:p>
            <w:pPr>
              <w:adjustRightInd w:val="0"/>
              <w:snapToGrid w:val="0"/>
              <w:spacing w:line="360" w:lineRule="auto"/>
              <w:ind w:right="24"/>
              <w:rPr>
                <w:rFonts w:ascii="仿宋" w:hAnsi="仿宋" w:eastAsia="仿宋" w:cs="仿宋"/>
                <w:bCs/>
                <w:color w:val="auto"/>
                <w:szCs w:val="21"/>
              </w:rPr>
            </w:pPr>
          </w:p>
        </w:tc>
        <w:tc>
          <w:tcPr>
            <w:tcW w:w="2520" w:type="dxa"/>
          </w:tcPr>
          <w:p>
            <w:pPr>
              <w:adjustRightInd w:val="0"/>
              <w:snapToGrid w:val="0"/>
              <w:spacing w:line="360" w:lineRule="auto"/>
              <w:ind w:right="24"/>
              <w:rPr>
                <w:rFonts w:ascii="仿宋" w:hAnsi="仿宋" w:eastAsia="仿宋" w:cs="仿宋"/>
                <w:bCs/>
                <w:color w:val="auto"/>
                <w:szCs w:val="21"/>
              </w:rPr>
            </w:pPr>
          </w:p>
        </w:tc>
        <w:tc>
          <w:tcPr>
            <w:tcW w:w="2625" w:type="dxa"/>
          </w:tcPr>
          <w:p>
            <w:pPr>
              <w:adjustRightInd w:val="0"/>
              <w:snapToGrid w:val="0"/>
              <w:spacing w:line="360" w:lineRule="auto"/>
              <w:ind w:right="24"/>
              <w:rPr>
                <w:rFonts w:ascii="仿宋" w:hAnsi="仿宋" w:eastAsia="仿宋" w:cs="仿宋"/>
                <w:bCs/>
                <w:color w:val="auto"/>
                <w:szCs w:val="21"/>
              </w:rPr>
            </w:pPr>
          </w:p>
        </w:tc>
        <w:tc>
          <w:tcPr>
            <w:tcW w:w="840" w:type="dxa"/>
          </w:tcPr>
          <w:p>
            <w:pPr>
              <w:adjustRightInd w:val="0"/>
              <w:snapToGrid w:val="0"/>
              <w:spacing w:line="360" w:lineRule="auto"/>
              <w:ind w:right="24"/>
              <w:rPr>
                <w:rFonts w:ascii="仿宋" w:hAnsi="仿宋" w:eastAsia="仿宋" w:cs="仿宋"/>
                <w:bCs/>
                <w:color w:val="auto"/>
                <w:szCs w:val="21"/>
              </w:rPr>
            </w:pPr>
          </w:p>
        </w:tc>
        <w:tc>
          <w:tcPr>
            <w:tcW w:w="1680" w:type="dxa"/>
          </w:tcPr>
          <w:p>
            <w:pPr>
              <w:adjustRightInd w:val="0"/>
              <w:snapToGrid w:val="0"/>
              <w:spacing w:line="360" w:lineRule="auto"/>
              <w:ind w:right="24"/>
              <w:rPr>
                <w:rFonts w:ascii="仿宋" w:hAnsi="仿宋" w:eastAsia="仿宋" w:cs="仿宋"/>
                <w:bCs/>
                <w:color w:val="auto"/>
                <w:szCs w:val="21"/>
              </w:rPr>
            </w:pPr>
          </w:p>
        </w:tc>
      </w:tr>
    </w:tbl>
    <w:p>
      <w:pPr>
        <w:spacing w:line="540" w:lineRule="exact"/>
        <w:ind w:right="-197" w:rightChars="-94" w:firstLine="480" w:firstLineChars="200"/>
        <w:jc w:val="left"/>
        <w:rPr>
          <w:rFonts w:ascii="仿宋" w:hAnsi="仿宋" w:eastAsia="仿宋" w:cs="仿宋"/>
          <w:color w:val="auto"/>
          <w:sz w:val="24"/>
          <w:szCs w:val="24"/>
        </w:rPr>
      </w:pPr>
      <w:r>
        <w:rPr>
          <w:rFonts w:hint="eastAsia" w:ascii="仿宋" w:hAnsi="仿宋" w:eastAsia="仿宋" w:cs="仿宋"/>
          <w:color w:val="auto"/>
          <w:sz w:val="24"/>
          <w:szCs w:val="24"/>
        </w:rPr>
        <w:t>注：</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1.本表只填写投标文件中与招标文件有偏离（包括负偏离和正偏离）的内容，在投标文件中须一一列出。</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2.不允许粘贴复制第三部分招标内容及要求。</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3.投标人必须据实填写，不得虚假响应，否则将取消其投标或中标资格，并按有关规定进处罚。</w:t>
      </w:r>
    </w:p>
    <w:p>
      <w:pPr>
        <w:rPr>
          <w:rFonts w:ascii="仿宋" w:hAnsi="仿宋" w:eastAsia="仿宋" w:cs="仿宋"/>
          <w:color w:val="auto"/>
        </w:rPr>
      </w:pPr>
    </w:p>
    <w:p>
      <w:pPr>
        <w:spacing w:line="360" w:lineRule="auto"/>
        <w:rPr>
          <w:rFonts w:ascii="仿宋" w:hAnsi="仿宋" w:eastAsia="仿宋" w:cs="仿宋"/>
          <w:color w:val="auto"/>
          <w:sz w:val="24"/>
          <w:szCs w:val="24"/>
        </w:rPr>
      </w:pPr>
    </w:p>
    <w:p>
      <w:pPr>
        <w:spacing w:line="360" w:lineRule="auto"/>
        <w:ind w:firstLine="560" w:firstLineChars="200"/>
        <w:rPr>
          <w:rFonts w:ascii="仿宋" w:hAnsi="仿宋" w:eastAsia="仿宋" w:cs="仿宋"/>
          <w:color w:val="auto"/>
          <w:sz w:val="28"/>
          <w:szCs w:val="28"/>
        </w:rPr>
      </w:pPr>
    </w:p>
    <w:p>
      <w:pPr>
        <w:spacing w:line="360" w:lineRule="auto"/>
        <w:ind w:firstLine="4080" w:firstLineChars="1700"/>
        <w:rPr>
          <w:rFonts w:ascii="仿宋" w:hAnsi="仿宋" w:eastAsia="仿宋" w:cs="仿宋"/>
          <w:color w:val="auto"/>
          <w:sz w:val="24"/>
          <w:szCs w:val="24"/>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w:t>
      </w:r>
    </w:p>
    <w:p>
      <w:pPr>
        <w:spacing w:line="360" w:lineRule="auto"/>
        <w:ind w:firstLine="4080" w:firstLineChars="1700"/>
        <w:rPr>
          <w:rFonts w:ascii="仿宋" w:hAnsi="仿宋" w:eastAsia="仿宋" w:cs="仿宋"/>
          <w:color w:val="auto"/>
          <w:sz w:val="24"/>
          <w:szCs w:val="24"/>
          <w:u w:val="single"/>
        </w:rPr>
      </w:pPr>
      <w:r>
        <w:rPr>
          <w:rFonts w:hint="eastAsia" w:ascii="仿宋" w:hAnsi="仿宋" w:eastAsia="仿宋" w:cs="仿宋"/>
          <w:color w:val="auto"/>
          <w:sz w:val="24"/>
          <w:szCs w:val="24"/>
        </w:rPr>
        <w:t>法定代表人或授权代表（签字或盖章）：</w:t>
      </w:r>
      <w:r>
        <w:rPr>
          <w:rFonts w:hint="eastAsia" w:ascii="仿宋" w:hAnsi="仿宋" w:eastAsia="仿宋" w:cs="仿宋"/>
          <w:color w:val="auto"/>
          <w:sz w:val="24"/>
          <w:szCs w:val="24"/>
          <w:u w:val="single"/>
        </w:rPr>
        <w:t xml:space="preserve">    </w:t>
      </w:r>
    </w:p>
    <w:p>
      <w:pPr>
        <w:spacing w:line="360" w:lineRule="auto"/>
        <w:ind w:firstLine="4080" w:firstLineChars="1700"/>
        <w:rPr>
          <w:rFonts w:ascii="仿宋" w:hAnsi="仿宋" w:eastAsia="仿宋" w:cs="仿宋"/>
          <w:color w:val="auto"/>
          <w:sz w:val="24"/>
          <w:szCs w:val="24"/>
          <w:u w:val="single"/>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p>
    <w:p>
      <w:pPr>
        <w:rPr>
          <w:rFonts w:ascii="仿宋" w:hAnsi="仿宋" w:eastAsia="仿宋" w:cs="仿宋"/>
          <w:color w:val="auto"/>
        </w:rPr>
        <w:sectPr>
          <w:pgSz w:w="11906" w:h="16838"/>
          <w:pgMar w:top="1418" w:right="1474" w:bottom="1418" w:left="1474" w:header="851" w:footer="992" w:gutter="0"/>
          <w:cols w:space="720" w:num="1"/>
          <w:docGrid w:linePitch="312" w:charSpace="0"/>
        </w:sectPr>
      </w:pPr>
      <w:r>
        <w:rPr>
          <w:rFonts w:hint="eastAsia" w:ascii="仿宋" w:hAnsi="仿宋" w:eastAsia="仿宋" w:cs="仿宋"/>
          <w:color w:val="auto"/>
          <w:sz w:val="24"/>
          <w:szCs w:val="24"/>
          <w:u w:val="single"/>
        </w:rPr>
        <w:br w:type="page"/>
      </w:r>
      <w:bookmarkEnd w:id="420"/>
      <w:bookmarkEnd w:id="421"/>
      <w:bookmarkEnd w:id="422"/>
      <w:bookmarkEnd w:id="423"/>
    </w:p>
    <w:p>
      <w:pPr>
        <w:pageBreakBefore/>
        <w:adjustRightInd w:val="0"/>
        <w:snapToGrid w:val="0"/>
        <w:spacing w:line="360" w:lineRule="auto"/>
        <w:jc w:val="center"/>
        <w:outlineLvl w:val="1"/>
        <w:rPr>
          <w:rStyle w:val="34"/>
          <w:rFonts w:ascii="仿宋" w:hAnsi="仿宋" w:eastAsia="仿宋" w:cs="仿宋"/>
          <w:color w:val="auto"/>
          <w:sz w:val="32"/>
          <w:szCs w:val="21"/>
        </w:rPr>
      </w:pPr>
      <w:bookmarkStart w:id="432" w:name="_Toc6892"/>
      <w:r>
        <w:rPr>
          <w:rStyle w:val="34"/>
          <w:rFonts w:hint="eastAsia" w:ascii="仿宋" w:hAnsi="仿宋" w:eastAsia="仿宋" w:cs="仿宋"/>
          <w:color w:val="auto"/>
          <w:sz w:val="32"/>
          <w:szCs w:val="21"/>
        </w:rPr>
        <w:t>八、</w:t>
      </w:r>
      <w:bookmarkEnd w:id="388"/>
      <w:bookmarkEnd w:id="389"/>
      <w:bookmarkEnd w:id="390"/>
      <w:bookmarkEnd w:id="424"/>
      <w:bookmarkEnd w:id="425"/>
      <w:bookmarkEnd w:id="426"/>
      <w:r>
        <w:rPr>
          <w:rStyle w:val="34"/>
          <w:rFonts w:hint="eastAsia" w:ascii="仿宋" w:hAnsi="仿宋" w:eastAsia="仿宋" w:cs="仿宋"/>
          <w:color w:val="auto"/>
          <w:sz w:val="32"/>
          <w:szCs w:val="21"/>
        </w:rPr>
        <w:t>实施方案</w:t>
      </w:r>
      <w:bookmarkEnd w:id="427"/>
      <w:bookmarkEnd w:id="428"/>
      <w:bookmarkEnd w:id="429"/>
      <w:bookmarkEnd w:id="430"/>
      <w:bookmarkEnd w:id="431"/>
      <w:bookmarkEnd w:id="432"/>
    </w:p>
    <w:p>
      <w:pPr>
        <w:jc w:val="center"/>
        <w:rPr>
          <w:rFonts w:ascii="仿宋" w:hAnsi="仿宋" w:eastAsia="仿宋" w:cs="仿宋"/>
          <w:color w:val="auto"/>
          <w:sz w:val="24"/>
          <w:szCs w:val="24"/>
        </w:rPr>
      </w:pPr>
      <w:r>
        <w:rPr>
          <w:rFonts w:hint="eastAsia" w:ascii="仿宋" w:hAnsi="仿宋" w:eastAsia="仿宋" w:cs="仿宋"/>
          <w:color w:val="auto"/>
          <w:sz w:val="24"/>
          <w:szCs w:val="24"/>
        </w:rPr>
        <w:t>格式自定</w:t>
      </w:r>
    </w:p>
    <w:p>
      <w:pPr>
        <w:pageBreakBefore/>
        <w:adjustRightInd w:val="0"/>
        <w:snapToGrid w:val="0"/>
        <w:spacing w:line="360" w:lineRule="auto"/>
        <w:jc w:val="center"/>
        <w:outlineLvl w:val="1"/>
        <w:rPr>
          <w:rStyle w:val="34"/>
          <w:rFonts w:ascii="仿宋" w:hAnsi="仿宋" w:eastAsia="仿宋" w:cs="仿宋"/>
          <w:color w:val="auto"/>
          <w:sz w:val="32"/>
          <w:szCs w:val="21"/>
        </w:rPr>
      </w:pPr>
      <w:bookmarkStart w:id="433" w:name="_Toc27566"/>
      <w:bookmarkStart w:id="434" w:name="_Toc25402"/>
      <w:bookmarkStart w:id="435" w:name="_Toc24871"/>
      <w:bookmarkStart w:id="436" w:name="_Toc22956"/>
      <w:bookmarkStart w:id="437" w:name="_Toc2686"/>
      <w:bookmarkStart w:id="438" w:name="_Toc28055"/>
      <w:bookmarkStart w:id="439" w:name="_Toc23262"/>
      <w:bookmarkStart w:id="440" w:name="_Toc29486"/>
      <w:bookmarkStart w:id="441" w:name="_Toc20544"/>
      <w:r>
        <w:rPr>
          <w:rStyle w:val="34"/>
          <w:rFonts w:hint="eastAsia" w:ascii="仿宋" w:hAnsi="仿宋" w:eastAsia="仿宋" w:cs="仿宋"/>
          <w:color w:val="auto"/>
          <w:sz w:val="32"/>
          <w:szCs w:val="21"/>
        </w:rPr>
        <w:t>九、</w:t>
      </w:r>
      <w:bookmarkEnd w:id="433"/>
      <w:bookmarkEnd w:id="434"/>
      <w:bookmarkEnd w:id="435"/>
      <w:bookmarkEnd w:id="436"/>
      <w:bookmarkEnd w:id="437"/>
      <w:bookmarkEnd w:id="438"/>
      <w:bookmarkEnd w:id="439"/>
      <w:r>
        <w:rPr>
          <w:rStyle w:val="34"/>
          <w:rFonts w:hint="eastAsia" w:ascii="仿宋" w:hAnsi="仿宋" w:eastAsia="仿宋" w:cs="仿宋"/>
          <w:color w:val="auto"/>
          <w:sz w:val="32"/>
          <w:szCs w:val="21"/>
        </w:rPr>
        <w:t>质量保证</w:t>
      </w:r>
      <w:bookmarkEnd w:id="440"/>
    </w:p>
    <w:p>
      <w:pPr>
        <w:rPr>
          <w:rFonts w:ascii="仿宋" w:hAnsi="仿宋" w:eastAsia="仿宋" w:cs="仿宋"/>
          <w:color w:val="auto"/>
        </w:rPr>
      </w:pPr>
    </w:p>
    <w:p>
      <w:pPr>
        <w:jc w:val="center"/>
        <w:rPr>
          <w:rFonts w:ascii="仿宋" w:hAnsi="仿宋" w:eastAsia="仿宋" w:cs="仿宋"/>
          <w:color w:val="auto"/>
          <w:sz w:val="24"/>
          <w:szCs w:val="24"/>
        </w:rPr>
      </w:pPr>
      <w:r>
        <w:rPr>
          <w:rFonts w:hint="eastAsia" w:ascii="仿宋" w:hAnsi="仿宋" w:eastAsia="仿宋" w:cs="仿宋"/>
          <w:color w:val="auto"/>
          <w:sz w:val="24"/>
          <w:szCs w:val="24"/>
        </w:rPr>
        <w:t>格式自定</w:t>
      </w:r>
    </w:p>
    <w:p>
      <w:pPr>
        <w:pStyle w:val="6"/>
        <w:rPr>
          <w:color w:val="auto"/>
        </w:rPr>
        <w:sectPr>
          <w:footerReference r:id="rId12" w:type="default"/>
          <w:pgSz w:w="11906" w:h="16838"/>
          <w:pgMar w:top="1417" w:right="1701" w:bottom="1417" w:left="1701" w:header="851" w:footer="992" w:gutter="0"/>
          <w:cols w:space="720" w:num="1"/>
          <w:docGrid w:linePitch="312" w:charSpace="0"/>
        </w:sectPr>
      </w:pPr>
    </w:p>
    <w:p>
      <w:pPr>
        <w:pageBreakBefore/>
        <w:adjustRightInd w:val="0"/>
        <w:snapToGrid w:val="0"/>
        <w:spacing w:line="360" w:lineRule="auto"/>
        <w:jc w:val="center"/>
        <w:outlineLvl w:val="1"/>
        <w:rPr>
          <w:rFonts w:ascii="仿宋" w:hAnsi="仿宋" w:eastAsia="仿宋" w:cs="仿宋"/>
          <w:b/>
          <w:color w:val="auto"/>
          <w:szCs w:val="32"/>
        </w:rPr>
      </w:pPr>
      <w:bookmarkStart w:id="442" w:name="_Toc31402"/>
      <w:r>
        <w:rPr>
          <w:rStyle w:val="34"/>
          <w:rFonts w:hint="eastAsia" w:ascii="仿宋" w:hAnsi="仿宋" w:eastAsia="仿宋" w:cs="仿宋"/>
          <w:color w:val="auto"/>
          <w:sz w:val="32"/>
          <w:szCs w:val="21"/>
        </w:rPr>
        <w:t>十、售后服务</w:t>
      </w:r>
      <w:bookmarkEnd w:id="441"/>
      <w:bookmarkEnd w:id="442"/>
    </w:p>
    <w:p>
      <w:pPr>
        <w:rPr>
          <w:rFonts w:ascii="仿宋" w:hAnsi="仿宋" w:eastAsia="仿宋" w:cs="仿宋"/>
          <w:color w:val="auto"/>
        </w:rPr>
      </w:pPr>
      <w:r>
        <w:rPr>
          <w:rFonts w:hint="eastAsia" w:ascii="仿宋" w:hAnsi="仿宋" w:eastAsia="仿宋" w:cs="仿宋"/>
          <w:color w:val="auto"/>
        </w:rPr>
        <w:t xml:space="preserve"> </w:t>
      </w:r>
    </w:p>
    <w:p>
      <w:pPr>
        <w:jc w:val="center"/>
        <w:rPr>
          <w:rFonts w:ascii="仿宋" w:hAnsi="仿宋" w:eastAsia="仿宋" w:cs="仿宋"/>
          <w:color w:val="auto"/>
          <w:sz w:val="24"/>
          <w:szCs w:val="24"/>
        </w:rPr>
      </w:pPr>
      <w:r>
        <w:rPr>
          <w:rFonts w:hint="eastAsia" w:ascii="仿宋" w:hAnsi="仿宋" w:eastAsia="仿宋" w:cs="仿宋"/>
          <w:color w:val="auto"/>
          <w:sz w:val="24"/>
          <w:szCs w:val="24"/>
        </w:rPr>
        <w:t>格式自定</w:t>
      </w:r>
      <w:bookmarkStart w:id="443" w:name="_Toc30152"/>
      <w:bookmarkStart w:id="444" w:name="_Toc17895"/>
      <w:bookmarkStart w:id="445" w:name="_Toc15935"/>
    </w:p>
    <w:bookmarkEnd w:id="443"/>
    <w:p>
      <w:pPr>
        <w:spacing w:line="360" w:lineRule="auto"/>
        <w:rPr>
          <w:rFonts w:ascii="仿宋" w:hAnsi="仿宋" w:eastAsia="仿宋" w:cs="仿宋"/>
          <w:color w:val="auto"/>
          <w:sz w:val="24"/>
          <w:szCs w:val="24"/>
        </w:rPr>
      </w:pPr>
    </w:p>
    <w:bookmarkEnd w:id="444"/>
    <w:bookmarkEnd w:id="445"/>
    <w:p>
      <w:pPr>
        <w:rPr>
          <w:rFonts w:ascii="仿宋" w:hAnsi="仿宋" w:eastAsia="仿宋" w:cs="仿宋"/>
          <w:b/>
          <w:color w:val="auto"/>
          <w:sz w:val="32"/>
          <w:szCs w:val="32"/>
        </w:rPr>
      </w:pPr>
      <w:bookmarkStart w:id="446" w:name="_Toc27139"/>
      <w:bookmarkStart w:id="447" w:name="_Toc19696"/>
      <w:bookmarkStart w:id="448" w:name="_Toc10131"/>
      <w:bookmarkStart w:id="449" w:name="_Toc473056008"/>
      <w:bookmarkStart w:id="450" w:name="_Toc6638"/>
      <w:bookmarkStart w:id="451" w:name="_Toc475451804"/>
      <w:bookmarkStart w:id="452" w:name="_Toc18031"/>
      <w:bookmarkStart w:id="453" w:name="_Toc23271"/>
      <w:bookmarkStart w:id="454" w:name="_Toc8020"/>
      <w:bookmarkStart w:id="455" w:name="_Toc475451557"/>
      <w:r>
        <w:rPr>
          <w:rFonts w:hint="eastAsia" w:ascii="仿宋" w:hAnsi="仿宋" w:eastAsia="仿宋" w:cs="仿宋"/>
          <w:b/>
          <w:color w:val="auto"/>
          <w:sz w:val="32"/>
          <w:szCs w:val="32"/>
        </w:rPr>
        <w:br w:type="page"/>
      </w:r>
    </w:p>
    <w:p>
      <w:pPr>
        <w:pageBreakBefore/>
        <w:spacing w:line="360" w:lineRule="auto"/>
        <w:jc w:val="center"/>
        <w:outlineLvl w:val="1"/>
        <w:rPr>
          <w:rFonts w:ascii="仿宋" w:hAnsi="仿宋" w:eastAsia="仿宋" w:cs="仿宋"/>
          <w:b/>
          <w:color w:val="auto"/>
          <w:sz w:val="44"/>
          <w:szCs w:val="44"/>
        </w:rPr>
      </w:pPr>
      <w:bookmarkStart w:id="456" w:name="_Toc6556"/>
      <w:bookmarkStart w:id="457" w:name="_Toc8031"/>
      <w:r>
        <w:rPr>
          <w:rFonts w:hint="eastAsia" w:ascii="仿宋" w:hAnsi="仿宋" w:eastAsia="仿宋" w:cs="仿宋"/>
          <w:b/>
          <w:color w:val="auto"/>
          <w:sz w:val="32"/>
          <w:szCs w:val="32"/>
        </w:rPr>
        <w:t>十一、近年业绩的有关证明材料</w:t>
      </w:r>
      <w:bookmarkEnd w:id="446"/>
      <w:bookmarkEnd w:id="447"/>
      <w:bookmarkEnd w:id="448"/>
      <w:bookmarkEnd w:id="449"/>
      <w:bookmarkEnd w:id="450"/>
      <w:bookmarkEnd w:id="451"/>
      <w:bookmarkEnd w:id="452"/>
      <w:bookmarkEnd w:id="453"/>
      <w:bookmarkEnd w:id="454"/>
      <w:bookmarkEnd w:id="455"/>
      <w:bookmarkEnd w:id="456"/>
      <w:bookmarkEnd w:id="457"/>
    </w:p>
    <w:tbl>
      <w:tblPr>
        <w:tblStyle w:val="21"/>
        <w:tblW w:w="93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2520"/>
        <w:gridCol w:w="1470"/>
        <w:gridCol w:w="1470"/>
        <w:gridCol w:w="13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pPr>
              <w:jc w:val="center"/>
              <w:rPr>
                <w:rFonts w:ascii="仿宋" w:hAnsi="仿宋" w:eastAsia="仿宋" w:cs="仿宋"/>
                <w:b/>
                <w:color w:val="auto"/>
                <w:sz w:val="24"/>
                <w:szCs w:val="24"/>
              </w:rPr>
            </w:pPr>
            <w:r>
              <w:rPr>
                <w:rFonts w:hint="eastAsia" w:ascii="仿宋" w:hAnsi="仿宋" w:eastAsia="仿宋" w:cs="仿宋"/>
                <w:b/>
                <w:color w:val="auto"/>
                <w:sz w:val="24"/>
                <w:szCs w:val="24"/>
              </w:rPr>
              <w:t>序号</w:t>
            </w:r>
          </w:p>
        </w:tc>
        <w:tc>
          <w:tcPr>
            <w:tcW w:w="1620" w:type="dxa"/>
            <w:vAlign w:val="center"/>
          </w:tcPr>
          <w:p>
            <w:pPr>
              <w:jc w:val="center"/>
              <w:rPr>
                <w:rFonts w:ascii="仿宋" w:hAnsi="仿宋" w:eastAsia="仿宋" w:cs="仿宋"/>
                <w:b/>
                <w:color w:val="auto"/>
                <w:sz w:val="24"/>
                <w:szCs w:val="24"/>
              </w:rPr>
            </w:pPr>
            <w:r>
              <w:rPr>
                <w:rFonts w:hint="eastAsia" w:ascii="仿宋" w:hAnsi="仿宋" w:eastAsia="仿宋" w:cs="仿宋"/>
                <w:b/>
                <w:color w:val="auto"/>
                <w:sz w:val="24"/>
                <w:szCs w:val="24"/>
              </w:rPr>
              <w:t>用户名称</w:t>
            </w:r>
          </w:p>
        </w:tc>
        <w:tc>
          <w:tcPr>
            <w:tcW w:w="2520" w:type="dxa"/>
            <w:vAlign w:val="center"/>
          </w:tcPr>
          <w:p>
            <w:pPr>
              <w:jc w:val="center"/>
              <w:rPr>
                <w:rFonts w:ascii="仿宋" w:hAnsi="仿宋" w:eastAsia="仿宋" w:cs="仿宋"/>
                <w:b/>
                <w:color w:val="auto"/>
                <w:sz w:val="24"/>
                <w:szCs w:val="24"/>
              </w:rPr>
            </w:pPr>
            <w:r>
              <w:rPr>
                <w:rFonts w:hint="eastAsia" w:ascii="仿宋" w:hAnsi="仿宋" w:eastAsia="仿宋" w:cs="仿宋"/>
                <w:b/>
                <w:color w:val="auto"/>
                <w:sz w:val="24"/>
                <w:szCs w:val="24"/>
              </w:rPr>
              <w:t>项目名称</w:t>
            </w:r>
          </w:p>
        </w:tc>
        <w:tc>
          <w:tcPr>
            <w:tcW w:w="1470" w:type="dxa"/>
            <w:vAlign w:val="center"/>
          </w:tcPr>
          <w:p>
            <w:pPr>
              <w:jc w:val="center"/>
              <w:rPr>
                <w:rFonts w:ascii="仿宋" w:hAnsi="仿宋" w:eastAsia="仿宋" w:cs="仿宋"/>
                <w:b/>
                <w:color w:val="auto"/>
                <w:sz w:val="24"/>
                <w:szCs w:val="24"/>
              </w:rPr>
            </w:pPr>
            <w:r>
              <w:rPr>
                <w:rFonts w:hint="eastAsia" w:ascii="仿宋" w:hAnsi="仿宋" w:eastAsia="仿宋" w:cs="仿宋"/>
                <w:b/>
                <w:color w:val="auto"/>
                <w:sz w:val="24"/>
                <w:szCs w:val="24"/>
              </w:rPr>
              <w:t>合同金额</w:t>
            </w:r>
          </w:p>
        </w:tc>
        <w:tc>
          <w:tcPr>
            <w:tcW w:w="1470" w:type="dxa"/>
            <w:vAlign w:val="center"/>
          </w:tcPr>
          <w:p>
            <w:pPr>
              <w:jc w:val="center"/>
              <w:rPr>
                <w:rFonts w:ascii="仿宋" w:hAnsi="仿宋" w:eastAsia="仿宋" w:cs="仿宋"/>
                <w:b/>
                <w:color w:val="auto"/>
                <w:sz w:val="24"/>
                <w:szCs w:val="24"/>
              </w:rPr>
            </w:pPr>
            <w:r>
              <w:rPr>
                <w:rFonts w:hint="eastAsia" w:ascii="仿宋" w:hAnsi="仿宋" w:eastAsia="仿宋" w:cs="仿宋"/>
                <w:b/>
                <w:color w:val="auto"/>
                <w:sz w:val="24"/>
                <w:szCs w:val="24"/>
              </w:rPr>
              <w:t>签订时间</w:t>
            </w:r>
          </w:p>
        </w:tc>
        <w:tc>
          <w:tcPr>
            <w:tcW w:w="1365" w:type="dxa"/>
            <w:vAlign w:val="center"/>
          </w:tcPr>
          <w:p>
            <w:pPr>
              <w:jc w:val="center"/>
              <w:rPr>
                <w:rFonts w:ascii="仿宋" w:hAnsi="仿宋" w:eastAsia="仿宋" w:cs="仿宋"/>
                <w:b/>
                <w:color w:val="auto"/>
                <w:sz w:val="24"/>
                <w:szCs w:val="24"/>
              </w:rPr>
            </w:pPr>
            <w:r>
              <w:rPr>
                <w:rFonts w:hint="eastAsia" w:ascii="仿宋" w:hAnsi="仿宋" w:eastAsia="仿宋" w:cs="仿宋"/>
                <w:b/>
                <w:color w:val="auto"/>
                <w:sz w:val="24"/>
                <w:szCs w:val="24"/>
              </w:rPr>
              <w:t>完成项目质量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color w:val="auto"/>
                <w:sz w:val="24"/>
                <w:szCs w:val="24"/>
              </w:rPr>
            </w:pPr>
          </w:p>
        </w:tc>
        <w:tc>
          <w:tcPr>
            <w:tcW w:w="1620" w:type="dxa"/>
          </w:tcPr>
          <w:p>
            <w:pPr>
              <w:spacing w:line="360" w:lineRule="auto"/>
              <w:rPr>
                <w:rFonts w:ascii="仿宋" w:hAnsi="仿宋" w:eastAsia="仿宋" w:cs="仿宋"/>
                <w:color w:val="auto"/>
                <w:sz w:val="24"/>
                <w:szCs w:val="24"/>
              </w:rPr>
            </w:pPr>
          </w:p>
        </w:tc>
        <w:tc>
          <w:tcPr>
            <w:tcW w:w="2520" w:type="dxa"/>
          </w:tcPr>
          <w:p>
            <w:pPr>
              <w:spacing w:line="360" w:lineRule="auto"/>
              <w:rPr>
                <w:rFonts w:ascii="仿宋" w:hAnsi="仿宋" w:eastAsia="仿宋" w:cs="仿宋"/>
                <w:color w:val="auto"/>
                <w:sz w:val="24"/>
                <w:szCs w:val="24"/>
              </w:rPr>
            </w:pPr>
          </w:p>
        </w:tc>
        <w:tc>
          <w:tcPr>
            <w:tcW w:w="1470" w:type="dxa"/>
          </w:tcPr>
          <w:p>
            <w:pPr>
              <w:spacing w:line="360" w:lineRule="auto"/>
              <w:rPr>
                <w:rFonts w:ascii="仿宋" w:hAnsi="仿宋" w:eastAsia="仿宋" w:cs="仿宋"/>
                <w:color w:val="auto"/>
                <w:sz w:val="24"/>
                <w:szCs w:val="24"/>
              </w:rPr>
            </w:pPr>
          </w:p>
        </w:tc>
        <w:tc>
          <w:tcPr>
            <w:tcW w:w="1470" w:type="dxa"/>
          </w:tcPr>
          <w:p>
            <w:pPr>
              <w:spacing w:line="360" w:lineRule="auto"/>
              <w:rPr>
                <w:rFonts w:ascii="仿宋" w:hAnsi="仿宋" w:eastAsia="仿宋" w:cs="仿宋"/>
                <w:color w:val="auto"/>
                <w:sz w:val="24"/>
                <w:szCs w:val="24"/>
              </w:rPr>
            </w:pPr>
          </w:p>
        </w:tc>
        <w:tc>
          <w:tcPr>
            <w:tcW w:w="1365" w:type="dxa"/>
          </w:tcPr>
          <w:p>
            <w:pPr>
              <w:spacing w:line="360" w:lineRule="auto"/>
              <w:rPr>
                <w:rFonts w:ascii="仿宋" w:hAnsi="仿宋" w:eastAsia="仿宋" w:cs="仿宋"/>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color w:val="auto"/>
                <w:sz w:val="24"/>
                <w:szCs w:val="24"/>
              </w:rPr>
            </w:pPr>
          </w:p>
        </w:tc>
        <w:tc>
          <w:tcPr>
            <w:tcW w:w="1620" w:type="dxa"/>
          </w:tcPr>
          <w:p>
            <w:pPr>
              <w:spacing w:line="360" w:lineRule="auto"/>
              <w:rPr>
                <w:rFonts w:ascii="仿宋" w:hAnsi="仿宋" w:eastAsia="仿宋" w:cs="仿宋"/>
                <w:color w:val="auto"/>
                <w:sz w:val="24"/>
                <w:szCs w:val="24"/>
              </w:rPr>
            </w:pPr>
          </w:p>
        </w:tc>
        <w:tc>
          <w:tcPr>
            <w:tcW w:w="2520" w:type="dxa"/>
          </w:tcPr>
          <w:p>
            <w:pPr>
              <w:spacing w:line="360" w:lineRule="auto"/>
              <w:rPr>
                <w:rFonts w:ascii="仿宋" w:hAnsi="仿宋" w:eastAsia="仿宋" w:cs="仿宋"/>
                <w:color w:val="auto"/>
                <w:sz w:val="24"/>
                <w:szCs w:val="24"/>
              </w:rPr>
            </w:pPr>
          </w:p>
        </w:tc>
        <w:tc>
          <w:tcPr>
            <w:tcW w:w="1470" w:type="dxa"/>
          </w:tcPr>
          <w:p>
            <w:pPr>
              <w:spacing w:line="360" w:lineRule="auto"/>
              <w:rPr>
                <w:rFonts w:ascii="仿宋" w:hAnsi="仿宋" w:eastAsia="仿宋" w:cs="仿宋"/>
                <w:color w:val="auto"/>
                <w:sz w:val="24"/>
                <w:szCs w:val="24"/>
              </w:rPr>
            </w:pPr>
          </w:p>
        </w:tc>
        <w:tc>
          <w:tcPr>
            <w:tcW w:w="1470" w:type="dxa"/>
          </w:tcPr>
          <w:p>
            <w:pPr>
              <w:spacing w:line="360" w:lineRule="auto"/>
              <w:rPr>
                <w:rFonts w:ascii="仿宋" w:hAnsi="仿宋" w:eastAsia="仿宋" w:cs="仿宋"/>
                <w:color w:val="auto"/>
                <w:sz w:val="24"/>
                <w:szCs w:val="24"/>
              </w:rPr>
            </w:pPr>
          </w:p>
        </w:tc>
        <w:tc>
          <w:tcPr>
            <w:tcW w:w="1365" w:type="dxa"/>
          </w:tcPr>
          <w:p>
            <w:pPr>
              <w:spacing w:line="360" w:lineRule="auto"/>
              <w:rPr>
                <w:rFonts w:ascii="仿宋" w:hAnsi="仿宋" w:eastAsia="仿宋" w:cs="仿宋"/>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pPr>
              <w:spacing w:line="360" w:lineRule="auto"/>
              <w:rPr>
                <w:rFonts w:ascii="仿宋" w:hAnsi="仿宋" w:eastAsia="仿宋" w:cs="仿宋"/>
                <w:color w:val="auto"/>
                <w:sz w:val="24"/>
                <w:szCs w:val="24"/>
              </w:rPr>
            </w:pPr>
          </w:p>
        </w:tc>
        <w:tc>
          <w:tcPr>
            <w:tcW w:w="1620" w:type="dxa"/>
          </w:tcPr>
          <w:p>
            <w:pPr>
              <w:spacing w:line="360" w:lineRule="auto"/>
              <w:rPr>
                <w:rFonts w:ascii="仿宋" w:hAnsi="仿宋" w:eastAsia="仿宋" w:cs="仿宋"/>
                <w:color w:val="auto"/>
                <w:sz w:val="24"/>
                <w:szCs w:val="24"/>
              </w:rPr>
            </w:pPr>
          </w:p>
        </w:tc>
        <w:tc>
          <w:tcPr>
            <w:tcW w:w="2520" w:type="dxa"/>
          </w:tcPr>
          <w:p>
            <w:pPr>
              <w:spacing w:line="360" w:lineRule="auto"/>
              <w:rPr>
                <w:rFonts w:ascii="仿宋" w:hAnsi="仿宋" w:eastAsia="仿宋" w:cs="仿宋"/>
                <w:color w:val="auto"/>
                <w:sz w:val="24"/>
                <w:szCs w:val="24"/>
              </w:rPr>
            </w:pPr>
          </w:p>
        </w:tc>
        <w:tc>
          <w:tcPr>
            <w:tcW w:w="1470" w:type="dxa"/>
          </w:tcPr>
          <w:p>
            <w:pPr>
              <w:spacing w:line="360" w:lineRule="auto"/>
              <w:rPr>
                <w:rFonts w:ascii="仿宋" w:hAnsi="仿宋" w:eastAsia="仿宋" w:cs="仿宋"/>
                <w:color w:val="auto"/>
                <w:sz w:val="24"/>
                <w:szCs w:val="24"/>
              </w:rPr>
            </w:pPr>
          </w:p>
        </w:tc>
        <w:tc>
          <w:tcPr>
            <w:tcW w:w="1470" w:type="dxa"/>
          </w:tcPr>
          <w:p>
            <w:pPr>
              <w:spacing w:line="360" w:lineRule="auto"/>
              <w:rPr>
                <w:rFonts w:ascii="仿宋" w:hAnsi="仿宋" w:eastAsia="仿宋" w:cs="仿宋"/>
                <w:color w:val="auto"/>
                <w:sz w:val="24"/>
                <w:szCs w:val="24"/>
              </w:rPr>
            </w:pPr>
          </w:p>
        </w:tc>
        <w:tc>
          <w:tcPr>
            <w:tcW w:w="1365" w:type="dxa"/>
          </w:tcPr>
          <w:p>
            <w:pPr>
              <w:spacing w:line="360" w:lineRule="auto"/>
              <w:rPr>
                <w:rFonts w:ascii="仿宋" w:hAnsi="仿宋" w:eastAsia="仿宋" w:cs="仿宋"/>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color w:val="auto"/>
                <w:sz w:val="24"/>
                <w:szCs w:val="24"/>
              </w:rPr>
            </w:pPr>
          </w:p>
        </w:tc>
        <w:tc>
          <w:tcPr>
            <w:tcW w:w="1620" w:type="dxa"/>
          </w:tcPr>
          <w:p>
            <w:pPr>
              <w:spacing w:line="360" w:lineRule="auto"/>
              <w:rPr>
                <w:rFonts w:ascii="仿宋" w:hAnsi="仿宋" w:eastAsia="仿宋" w:cs="仿宋"/>
                <w:color w:val="auto"/>
                <w:sz w:val="24"/>
                <w:szCs w:val="24"/>
              </w:rPr>
            </w:pPr>
          </w:p>
        </w:tc>
        <w:tc>
          <w:tcPr>
            <w:tcW w:w="2520" w:type="dxa"/>
          </w:tcPr>
          <w:p>
            <w:pPr>
              <w:spacing w:line="360" w:lineRule="auto"/>
              <w:rPr>
                <w:rFonts w:ascii="仿宋" w:hAnsi="仿宋" w:eastAsia="仿宋" w:cs="仿宋"/>
                <w:color w:val="auto"/>
                <w:sz w:val="24"/>
                <w:szCs w:val="24"/>
              </w:rPr>
            </w:pPr>
          </w:p>
        </w:tc>
        <w:tc>
          <w:tcPr>
            <w:tcW w:w="1470" w:type="dxa"/>
          </w:tcPr>
          <w:p>
            <w:pPr>
              <w:spacing w:line="360" w:lineRule="auto"/>
              <w:rPr>
                <w:rFonts w:ascii="仿宋" w:hAnsi="仿宋" w:eastAsia="仿宋" w:cs="仿宋"/>
                <w:color w:val="auto"/>
                <w:sz w:val="24"/>
                <w:szCs w:val="24"/>
              </w:rPr>
            </w:pPr>
          </w:p>
        </w:tc>
        <w:tc>
          <w:tcPr>
            <w:tcW w:w="1470" w:type="dxa"/>
          </w:tcPr>
          <w:p>
            <w:pPr>
              <w:spacing w:line="360" w:lineRule="auto"/>
              <w:rPr>
                <w:rFonts w:ascii="仿宋" w:hAnsi="仿宋" w:eastAsia="仿宋" w:cs="仿宋"/>
                <w:color w:val="auto"/>
                <w:sz w:val="24"/>
                <w:szCs w:val="24"/>
              </w:rPr>
            </w:pPr>
          </w:p>
        </w:tc>
        <w:tc>
          <w:tcPr>
            <w:tcW w:w="1365" w:type="dxa"/>
          </w:tcPr>
          <w:p>
            <w:pPr>
              <w:spacing w:line="360" w:lineRule="auto"/>
              <w:rPr>
                <w:rFonts w:ascii="仿宋" w:hAnsi="仿宋" w:eastAsia="仿宋" w:cs="仿宋"/>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color w:val="auto"/>
                <w:sz w:val="24"/>
                <w:szCs w:val="24"/>
              </w:rPr>
            </w:pPr>
          </w:p>
        </w:tc>
        <w:tc>
          <w:tcPr>
            <w:tcW w:w="1620" w:type="dxa"/>
          </w:tcPr>
          <w:p>
            <w:pPr>
              <w:spacing w:line="360" w:lineRule="auto"/>
              <w:rPr>
                <w:rFonts w:ascii="仿宋" w:hAnsi="仿宋" w:eastAsia="仿宋" w:cs="仿宋"/>
                <w:color w:val="auto"/>
                <w:sz w:val="24"/>
                <w:szCs w:val="24"/>
              </w:rPr>
            </w:pPr>
          </w:p>
        </w:tc>
        <w:tc>
          <w:tcPr>
            <w:tcW w:w="2520" w:type="dxa"/>
          </w:tcPr>
          <w:p>
            <w:pPr>
              <w:spacing w:line="360" w:lineRule="auto"/>
              <w:rPr>
                <w:rFonts w:ascii="仿宋" w:hAnsi="仿宋" w:eastAsia="仿宋" w:cs="仿宋"/>
                <w:color w:val="auto"/>
                <w:sz w:val="24"/>
                <w:szCs w:val="24"/>
              </w:rPr>
            </w:pPr>
          </w:p>
        </w:tc>
        <w:tc>
          <w:tcPr>
            <w:tcW w:w="1470" w:type="dxa"/>
          </w:tcPr>
          <w:p>
            <w:pPr>
              <w:spacing w:line="360" w:lineRule="auto"/>
              <w:rPr>
                <w:rFonts w:ascii="仿宋" w:hAnsi="仿宋" w:eastAsia="仿宋" w:cs="仿宋"/>
                <w:color w:val="auto"/>
                <w:sz w:val="24"/>
                <w:szCs w:val="24"/>
              </w:rPr>
            </w:pPr>
          </w:p>
        </w:tc>
        <w:tc>
          <w:tcPr>
            <w:tcW w:w="1470" w:type="dxa"/>
          </w:tcPr>
          <w:p>
            <w:pPr>
              <w:spacing w:line="360" w:lineRule="auto"/>
              <w:rPr>
                <w:rFonts w:ascii="仿宋" w:hAnsi="仿宋" w:eastAsia="仿宋" w:cs="仿宋"/>
                <w:color w:val="auto"/>
                <w:sz w:val="24"/>
                <w:szCs w:val="24"/>
              </w:rPr>
            </w:pPr>
          </w:p>
        </w:tc>
        <w:tc>
          <w:tcPr>
            <w:tcW w:w="1365" w:type="dxa"/>
          </w:tcPr>
          <w:p>
            <w:pPr>
              <w:spacing w:line="360" w:lineRule="auto"/>
              <w:rPr>
                <w:rFonts w:ascii="仿宋" w:hAnsi="仿宋" w:eastAsia="仿宋" w:cs="仿宋"/>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color w:val="auto"/>
                <w:sz w:val="24"/>
                <w:szCs w:val="24"/>
              </w:rPr>
            </w:pPr>
          </w:p>
        </w:tc>
        <w:tc>
          <w:tcPr>
            <w:tcW w:w="1620" w:type="dxa"/>
          </w:tcPr>
          <w:p>
            <w:pPr>
              <w:spacing w:line="360" w:lineRule="auto"/>
              <w:rPr>
                <w:rFonts w:ascii="仿宋" w:hAnsi="仿宋" w:eastAsia="仿宋" w:cs="仿宋"/>
                <w:color w:val="auto"/>
                <w:sz w:val="24"/>
                <w:szCs w:val="24"/>
              </w:rPr>
            </w:pPr>
          </w:p>
        </w:tc>
        <w:tc>
          <w:tcPr>
            <w:tcW w:w="2520" w:type="dxa"/>
          </w:tcPr>
          <w:p>
            <w:pPr>
              <w:spacing w:line="360" w:lineRule="auto"/>
              <w:rPr>
                <w:rFonts w:ascii="仿宋" w:hAnsi="仿宋" w:eastAsia="仿宋" w:cs="仿宋"/>
                <w:color w:val="auto"/>
                <w:sz w:val="24"/>
                <w:szCs w:val="24"/>
              </w:rPr>
            </w:pPr>
          </w:p>
        </w:tc>
        <w:tc>
          <w:tcPr>
            <w:tcW w:w="1470" w:type="dxa"/>
          </w:tcPr>
          <w:p>
            <w:pPr>
              <w:spacing w:line="360" w:lineRule="auto"/>
              <w:rPr>
                <w:rFonts w:ascii="仿宋" w:hAnsi="仿宋" w:eastAsia="仿宋" w:cs="仿宋"/>
                <w:color w:val="auto"/>
                <w:sz w:val="24"/>
                <w:szCs w:val="24"/>
              </w:rPr>
            </w:pPr>
          </w:p>
        </w:tc>
        <w:tc>
          <w:tcPr>
            <w:tcW w:w="1470" w:type="dxa"/>
          </w:tcPr>
          <w:p>
            <w:pPr>
              <w:spacing w:line="360" w:lineRule="auto"/>
              <w:rPr>
                <w:rFonts w:ascii="仿宋" w:hAnsi="仿宋" w:eastAsia="仿宋" w:cs="仿宋"/>
                <w:color w:val="auto"/>
                <w:sz w:val="24"/>
                <w:szCs w:val="24"/>
              </w:rPr>
            </w:pPr>
          </w:p>
        </w:tc>
        <w:tc>
          <w:tcPr>
            <w:tcW w:w="1365" w:type="dxa"/>
          </w:tcPr>
          <w:p>
            <w:pPr>
              <w:spacing w:line="360" w:lineRule="auto"/>
              <w:rPr>
                <w:rFonts w:ascii="仿宋" w:hAnsi="仿宋" w:eastAsia="仿宋" w:cs="仿宋"/>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pPr>
              <w:spacing w:line="360" w:lineRule="auto"/>
              <w:rPr>
                <w:rFonts w:ascii="仿宋" w:hAnsi="仿宋" w:eastAsia="仿宋" w:cs="仿宋"/>
                <w:color w:val="auto"/>
                <w:sz w:val="24"/>
                <w:szCs w:val="24"/>
              </w:rPr>
            </w:pPr>
          </w:p>
        </w:tc>
        <w:tc>
          <w:tcPr>
            <w:tcW w:w="1620" w:type="dxa"/>
          </w:tcPr>
          <w:p>
            <w:pPr>
              <w:spacing w:line="360" w:lineRule="auto"/>
              <w:rPr>
                <w:rFonts w:ascii="仿宋" w:hAnsi="仿宋" w:eastAsia="仿宋" w:cs="仿宋"/>
                <w:color w:val="auto"/>
                <w:sz w:val="24"/>
                <w:szCs w:val="24"/>
              </w:rPr>
            </w:pPr>
          </w:p>
        </w:tc>
        <w:tc>
          <w:tcPr>
            <w:tcW w:w="2520" w:type="dxa"/>
          </w:tcPr>
          <w:p>
            <w:pPr>
              <w:spacing w:line="360" w:lineRule="auto"/>
              <w:rPr>
                <w:rFonts w:ascii="仿宋" w:hAnsi="仿宋" w:eastAsia="仿宋" w:cs="仿宋"/>
                <w:color w:val="auto"/>
                <w:sz w:val="24"/>
                <w:szCs w:val="24"/>
              </w:rPr>
            </w:pPr>
          </w:p>
        </w:tc>
        <w:tc>
          <w:tcPr>
            <w:tcW w:w="1470" w:type="dxa"/>
          </w:tcPr>
          <w:p>
            <w:pPr>
              <w:spacing w:line="360" w:lineRule="auto"/>
              <w:rPr>
                <w:rFonts w:ascii="仿宋" w:hAnsi="仿宋" w:eastAsia="仿宋" w:cs="仿宋"/>
                <w:color w:val="auto"/>
                <w:sz w:val="24"/>
                <w:szCs w:val="24"/>
              </w:rPr>
            </w:pPr>
          </w:p>
        </w:tc>
        <w:tc>
          <w:tcPr>
            <w:tcW w:w="1470" w:type="dxa"/>
          </w:tcPr>
          <w:p>
            <w:pPr>
              <w:spacing w:line="360" w:lineRule="auto"/>
              <w:rPr>
                <w:rFonts w:ascii="仿宋" w:hAnsi="仿宋" w:eastAsia="仿宋" w:cs="仿宋"/>
                <w:color w:val="auto"/>
                <w:sz w:val="24"/>
                <w:szCs w:val="24"/>
              </w:rPr>
            </w:pPr>
          </w:p>
        </w:tc>
        <w:tc>
          <w:tcPr>
            <w:tcW w:w="1365" w:type="dxa"/>
          </w:tcPr>
          <w:p>
            <w:pPr>
              <w:spacing w:line="360" w:lineRule="auto"/>
              <w:rPr>
                <w:rFonts w:ascii="仿宋" w:hAnsi="仿宋" w:eastAsia="仿宋" w:cs="仿宋"/>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color w:val="auto"/>
                <w:sz w:val="24"/>
                <w:szCs w:val="24"/>
              </w:rPr>
            </w:pPr>
          </w:p>
        </w:tc>
        <w:tc>
          <w:tcPr>
            <w:tcW w:w="1620" w:type="dxa"/>
          </w:tcPr>
          <w:p>
            <w:pPr>
              <w:spacing w:line="360" w:lineRule="auto"/>
              <w:rPr>
                <w:rFonts w:ascii="仿宋" w:hAnsi="仿宋" w:eastAsia="仿宋" w:cs="仿宋"/>
                <w:color w:val="auto"/>
                <w:sz w:val="24"/>
                <w:szCs w:val="24"/>
              </w:rPr>
            </w:pPr>
          </w:p>
        </w:tc>
        <w:tc>
          <w:tcPr>
            <w:tcW w:w="2520" w:type="dxa"/>
          </w:tcPr>
          <w:p>
            <w:pPr>
              <w:spacing w:line="360" w:lineRule="auto"/>
              <w:rPr>
                <w:rFonts w:ascii="仿宋" w:hAnsi="仿宋" w:eastAsia="仿宋" w:cs="仿宋"/>
                <w:color w:val="auto"/>
                <w:sz w:val="24"/>
                <w:szCs w:val="24"/>
              </w:rPr>
            </w:pPr>
          </w:p>
        </w:tc>
        <w:tc>
          <w:tcPr>
            <w:tcW w:w="1470" w:type="dxa"/>
          </w:tcPr>
          <w:p>
            <w:pPr>
              <w:spacing w:line="360" w:lineRule="auto"/>
              <w:rPr>
                <w:rFonts w:ascii="仿宋" w:hAnsi="仿宋" w:eastAsia="仿宋" w:cs="仿宋"/>
                <w:color w:val="auto"/>
                <w:sz w:val="24"/>
                <w:szCs w:val="24"/>
              </w:rPr>
            </w:pPr>
          </w:p>
        </w:tc>
        <w:tc>
          <w:tcPr>
            <w:tcW w:w="1470" w:type="dxa"/>
          </w:tcPr>
          <w:p>
            <w:pPr>
              <w:spacing w:line="360" w:lineRule="auto"/>
              <w:rPr>
                <w:rFonts w:ascii="仿宋" w:hAnsi="仿宋" w:eastAsia="仿宋" w:cs="仿宋"/>
                <w:color w:val="auto"/>
                <w:sz w:val="24"/>
                <w:szCs w:val="24"/>
              </w:rPr>
            </w:pPr>
          </w:p>
        </w:tc>
        <w:tc>
          <w:tcPr>
            <w:tcW w:w="1365" w:type="dxa"/>
          </w:tcPr>
          <w:p>
            <w:pPr>
              <w:spacing w:line="360" w:lineRule="auto"/>
              <w:rPr>
                <w:rFonts w:ascii="仿宋" w:hAnsi="仿宋" w:eastAsia="仿宋" w:cs="仿宋"/>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color w:val="auto"/>
                <w:sz w:val="24"/>
                <w:szCs w:val="24"/>
              </w:rPr>
            </w:pPr>
          </w:p>
        </w:tc>
        <w:tc>
          <w:tcPr>
            <w:tcW w:w="1620" w:type="dxa"/>
          </w:tcPr>
          <w:p>
            <w:pPr>
              <w:spacing w:line="360" w:lineRule="auto"/>
              <w:rPr>
                <w:rFonts w:ascii="仿宋" w:hAnsi="仿宋" w:eastAsia="仿宋" w:cs="仿宋"/>
                <w:color w:val="auto"/>
                <w:sz w:val="24"/>
                <w:szCs w:val="24"/>
              </w:rPr>
            </w:pPr>
          </w:p>
        </w:tc>
        <w:tc>
          <w:tcPr>
            <w:tcW w:w="2520" w:type="dxa"/>
          </w:tcPr>
          <w:p>
            <w:pPr>
              <w:spacing w:line="360" w:lineRule="auto"/>
              <w:rPr>
                <w:rFonts w:ascii="仿宋" w:hAnsi="仿宋" w:eastAsia="仿宋" w:cs="仿宋"/>
                <w:color w:val="auto"/>
                <w:sz w:val="24"/>
                <w:szCs w:val="24"/>
              </w:rPr>
            </w:pPr>
          </w:p>
        </w:tc>
        <w:tc>
          <w:tcPr>
            <w:tcW w:w="1470" w:type="dxa"/>
          </w:tcPr>
          <w:p>
            <w:pPr>
              <w:spacing w:line="360" w:lineRule="auto"/>
              <w:rPr>
                <w:rFonts w:ascii="仿宋" w:hAnsi="仿宋" w:eastAsia="仿宋" w:cs="仿宋"/>
                <w:color w:val="auto"/>
                <w:sz w:val="24"/>
                <w:szCs w:val="24"/>
              </w:rPr>
            </w:pPr>
          </w:p>
        </w:tc>
        <w:tc>
          <w:tcPr>
            <w:tcW w:w="1470" w:type="dxa"/>
          </w:tcPr>
          <w:p>
            <w:pPr>
              <w:spacing w:line="360" w:lineRule="auto"/>
              <w:rPr>
                <w:rFonts w:ascii="仿宋" w:hAnsi="仿宋" w:eastAsia="仿宋" w:cs="仿宋"/>
                <w:color w:val="auto"/>
                <w:sz w:val="24"/>
                <w:szCs w:val="24"/>
              </w:rPr>
            </w:pPr>
          </w:p>
        </w:tc>
        <w:tc>
          <w:tcPr>
            <w:tcW w:w="1365" w:type="dxa"/>
          </w:tcPr>
          <w:p>
            <w:pPr>
              <w:spacing w:line="360" w:lineRule="auto"/>
              <w:rPr>
                <w:rFonts w:ascii="仿宋" w:hAnsi="仿宋" w:eastAsia="仿宋" w:cs="仿宋"/>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color w:val="auto"/>
                <w:sz w:val="24"/>
                <w:szCs w:val="24"/>
              </w:rPr>
            </w:pPr>
          </w:p>
        </w:tc>
        <w:tc>
          <w:tcPr>
            <w:tcW w:w="1620" w:type="dxa"/>
          </w:tcPr>
          <w:p>
            <w:pPr>
              <w:spacing w:line="360" w:lineRule="auto"/>
              <w:rPr>
                <w:rFonts w:ascii="仿宋" w:hAnsi="仿宋" w:eastAsia="仿宋" w:cs="仿宋"/>
                <w:color w:val="auto"/>
                <w:sz w:val="24"/>
                <w:szCs w:val="24"/>
              </w:rPr>
            </w:pPr>
          </w:p>
        </w:tc>
        <w:tc>
          <w:tcPr>
            <w:tcW w:w="2520" w:type="dxa"/>
          </w:tcPr>
          <w:p>
            <w:pPr>
              <w:spacing w:line="360" w:lineRule="auto"/>
              <w:rPr>
                <w:rFonts w:ascii="仿宋" w:hAnsi="仿宋" w:eastAsia="仿宋" w:cs="仿宋"/>
                <w:color w:val="auto"/>
                <w:sz w:val="24"/>
                <w:szCs w:val="24"/>
              </w:rPr>
            </w:pPr>
          </w:p>
        </w:tc>
        <w:tc>
          <w:tcPr>
            <w:tcW w:w="1470" w:type="dxa"/>
          </w:tcPr>
          <w:p>
            <w:pPr>
              <w:spacing w:line="360" w:lineRule="auto"/>
              <w:rPr>
                <w:rFonts w:ascii="仿宋" w:hAnsi="仿宋" w:eastAsia="仿宋" w:cs="仿宋"/>
                <w:color w:val="auto"/>
                <w:sz w:val="24"/>
                <w:szCs w:val="24"/>
              </w:rPr>
            </w:pPr>
          </w:p>
        </w:tc>
        <w:tc>
          <w:tcPr>
            <w:tcW w:w="1470" w:type="dxa"/>
          </w:tcPr>
          <w:p>
            <w:pPr>
              <w:spacing w:line="360" w:lineRule="auto"/>
              <w:rPr>
                <w:rFonts w:ascii="仿宋" w:hAnsi="仿宋" w:eastAsia="仿宋" w:cs="仿宋"/>
                <w:color w:val="auto"/>
                <w:sz w:val="24"/>
                <w:szCs w:val="24"/>
              </w:rPr>
            </w:pPr>
          </w:p>
        </w:tc>
        <w:tc>
          <w:tcPr>
            <w:tcW w:w="1365" w:type="dxa"/>
          </w:tcPr>
          <w:p>
            <w:pPr>
              <w:spacing w:line="360" w:lineRule="auto"/>
              <w:rPr>
                <w:rFonts w:ascii="仿宋" w:hAnsi="仿宋" w:eastAsia="仿宋" w:cs="仿宋"/>
                <w:color w:val="auto"/>
                <w:sz w:val="24"/>
                <w:szCs w:val="24"/>
              </w:rPr>
            </w:pPr>
          </w:p>
        </w:tc>
      </w:tr>
    </w:tbl>
    <w:p>
      <w:pPr>
        <w:autoSpaceDE w:val="0"/>
        <w:autoSpaceDN w:val="0"/>
        <w:adjustRightInd w:val="0"/>
        <w:spacing w:line="360" w:lineRule="auto"/>
        <w:rPr>
          <w:rFonts w:ascii="仿宋" w:hAnsi="仿宋" w:eastAsia="仿宋" w:cs="仿宋"/>
          <w:color w:val="auto"/>
          <w:sz w:val="24"/>
          <w:szCs w:val="24"/>
          <w:lang w:val="zh-CN"/>
        </w:rPr>
      </w:pPr>
      <w:r>
        <w:rPr>
          <w:rFonts w:hint="eastAsia" w:ascii="仿宋" w:hAnsi="仿宋" w:eastAsia="仿宋" w:cs="仿宋"/>
          <w:color w:val="auto"/>
          <w:sz w:val="24"/>
          <w:szCs w:val="24"/>
          <w:lang w:val="zh-CN"/>
        </w:rPr>
        <w:t>说明：</w:t>
      </w:r>
    </w:p>
    <w:p>
      <w:pPr>
        <w:autoSpaceDE w:val="0"/>
        <w:autoSpaceDN w:val="0"/>
        <w:adjustRightInd w:val="0"/>
        <w:spacing w:line="360" w:lineRule="auto"/>
        <w:rPr>
          <w:rFonts w:ascii="仿宋" w:hAnsi="仿宋" w:eastAsia="仿宋" w:cs="仿宋"/>
          <w:color w:val="auto"/>
          <w:sz w:val="24"/>
          <w:szCs w:val="24"/>
          <w:lang w:val="zh-CN"/>
        </w:rPr>
      </w:pPr>
      <w:r>
        <w:rPr>
          <w:rFonts w:hint="eastAsia" w:ascii="仿宋" w:hAnsi="仿宋" w:eastAsia="仿宋" w:cs="仿宋"/>
          <w:color w:val="auto"/>
          <w:sz w:val="24"/>
          <w:szCs w:val="24"/>
          <w:lang w:val="zh-CN"/>
        </w:rPr>
        <w:t>1.相关业绩需提供合同复印件</w:t>
      </w:r>
      <w:r>
        <w:rPr>
          <w:rFonts w:hint="eastAsia" w:ascii="仿宋" w:hAnsi="仿宋" w:eastAsia="仿宋" w:cs="仿宋"/>
          <w:color w:val="auto"/>
          <w:sz w:val="24"/>
          <w:szCs w:val="24"/>
        </w:rPr>
        <w:t>加盖单位公章</w:t>
      </w:r>
      <w:r>
        <w:rPr>
          <w:rFonts w:hint="eastAsia" w:ascii="仿宋" w:hAnsi="仿宋" w:eastAsia="仿宋" w:cs="仿宋"/>
          <w:color w:val="auto"/>
          <w:sz w:val="24"/>
          <w:szCs w:val="24"/>
          <w:lang w:val="zh-CN"/>
        </w:rPr>
        <w:t>。</w:t>
      </w:r>
    </w:p>
    <w:p>
      <w:pPr>
        <w:autoSpaceDE w:val="0"/>
        <w:autoSpaceDN w:val="0"/>
        <w:adjustRightInd w:val="0"/>
        <w:spacing w:line="360" w:lineRule="auto"/>
        <w:rPr>
          <w:rFonts w:ascii="仿宋" w:hAnsi="仿宋" w:eastAsia="仿宋" w:cs="仿宋"/>
          <w:color w:val="auto"/>
          <w:sz w:val="24"/>
          <w:szCs w:val="24"/>
          <w:lang w:val="zh-CN"/>
        </w:rPr>
      </w:pPr>
      <w:r>
        <w:rPr>
          <w:rFonts w:hint="eastAsia" w:ascii="仿宋" w:hAnsi="仿宋" w:eastAsia="仿宋" w:cs="仿宋"/>
          <w:color w:val="auto"/>
          <w:sz w:val="24"/>
          <w:szCs w:val="24"/>
          <w:lang w:val="zh-CN"/>
        </w:rPr>
        <w:t>2.供应商应如实列出以上情况，如有隐瞒，一经查实将导致其投标文件被拒绝。</w:t>
      </w:r>
    </w:p>
    <w:p>
      <w:pPr>
        <w:autoSpaceDE w:val="0"/>
        <w:autoSpaceDN w:val="0"/>
        <w:adjustRightInd w:val="0"/>
        <w:spacing w:line="360" w:lineRule="auto"/>
        <w:rPr>
          <w:rFonts w:ascii="仿宋" w:hAnsi="仿宋" w:eastAsia="仿宋" w:cs="仿宋"/>
          <w:color w:val="auto"/>
          <w:sz w:val="24"/>
          <w:szCs w:val="24"/>
          <w:lang w:val="zh-CN"/>
        </w:rPr>
      </w:pPr>
      <w:r>
        <w:rPr>
          <w:rFonts w:hint="eastAsia" w:ascii="仿宋" w:hAnsi="仿宋" w:eastAsia="仿宋" w:cs="仿宋"/>
          <w:color w:val="auto"/>
          <w:sz w:val="24"/>
          <w:szCs w:val="24"/>
          <w:lang w:val="zh-CN"/>
        </w:rPr>
        <w:t>3.未按上述要求提供、填写的，评审时不予以考虑。</w:t>
      </w:r>
    </w:p>
    <w:p>
      <w:pPr>
        <w:spacing w:line="360" w:lineRule="auto"/>
        <w:ind w:right="-197" w:rightChars="-94" w:firstLine="480" w:firstLineChars="200"/>
        <w:jc w:val="left"/>
        <w:rPr>
          <w:rFonts w:ascii="仿宋" w:hAnsi="仿宋" w:eastAsia="仿宋" w:cs="仿宋"/>
          <w:color w:val="auto"/>
          <w:sz w:val="24"/>
          <w:szCs w:val="24"/>
        </w:rPr>
      </w:pPr>
    </w:p>
    <w:p>
      <w:pPr>
        <w:spacing w:line="360" w:lineRule="auto"/>
        <w:ind w:right="-197" w:rightChars="-94" w:firstLine="480" w:firstLineChars="200"/>
        <w:jc w:val="left"/>
        <w:rPr>
          <w:rFonts w:ascii="仿宋" w:hAnsi="仿宋" w:eastAsia="仿宋" w:cs="仿宋"/>
          <w:color w:val="auto"/>
          <w:sz w:val="24"/>
          <w:szCs w:val="24"/>
        </w:rPr>
      </w:pPr>
    </w:p>
    <w:p>
      <w:pPr>
        <w:spacing w:line="360" w:lineRule="auto"/>
        <w:ind w:firstLine="4080" w:firstLineChars="1700"/>
        <w:rPr>
          <w:rFonts w:ascii="仿宋" w:hAnsi="仿宋" w:eastAsia="仿宋" w:cs="仿宋"/>
          <w:color w:val="auto"/>
          <w:sz w:val="24"/>
          <w:szCs w:val="24"/>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w:t>
      </w:r>
    </w:p>
    <w:p>
      <w:pPr>
        <w:spacing w:line="360" w:lineRule="auto"/>
        <w:ind w:firstLine="4080" w:firstLineChars="1700"/>
        <w:rPr>
          <w:rFonts w:ascii="仿宋" w:hAnsi="仿宋" w:eastAsia="仿宋" w:cs="仿宋"/>
          <w:color w:val="auto"/>
          <w:sz w:val="24"/>
          <w:szCs w:val="24"/>
          <w:u w:val="single"/>
        </w:rPr>
      </w:pPr>
      <w:r>
        <w:rPr>
          <w:rFonts w:hint="eastAsia" w:ascii="仿宋" w:hAnsi="仿宋" w:eastAsia="仿宋" w:cs="仿宋"/>
          <w:color w:val="auto"/>
          <w:sz w:val="24"/>
          <w:szCs w:val="24"/>
        </w:rPr>
        <w:t>法定代表人或授权代表（签字或盖章）：</w:t>
      </w:r>
      <w:r>
        <w:rPr>
          <w:rFonts w:hint="eastAsia" w:ascii="仿宋" w:hAnsi="仿宋" w:eastAsia="仿宋" w:cs="仿宋"/>
          <w:color w:val="auto"/>
          <w:sz w:val="24"/>
          <w:szCs w:val="24"/>
          <w:u w:val="single"/>
        </w:rPr>
        <w:t xml:space="preserve">     </w:t>
      </w:r>
    </w:p>
    <w:p>
      <w:pPr>
        <w:autoSpaceDE w:val="0"/>
        <w:autoSpaceDN w:val="0"/>
        <w:adjustRightInd w:val="0"/>
        <w:spacing w:line="360" w:lineRule="auto"/>
        <w:ind w:firstLine="4080" w:firstLineChars="1700"/>
        <w:rPr>
          <w:rFonts w:ascii="仿宋" w:hAnsi="仿宋" w:eastAsia="仿宋" w:cs="仿宋"/>
          <w:color w:val="auto"/>
          <w:sz w:val="24"/>
          <w:szCs w:val="24"/>
          <w:u w:val="single"/>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p>
    <w:p>
      <w:pPr>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br w:type="page"/>
      </w:r>
      <w:bookmarkStart w:id="458" w:name="_Toc17302"/>
      <w:bookmarkStart w:id="459" w:name="_Toc28776"/>
      <w:bookmarkStart w:id="460" w:name="_Toc19495"/>
      <w:bookmarkStart w:id="461" w:name="_Toc11796"/>
      <w:bookmarkStart w:id="462" w:name="_Toc3523"/>
      <w:bookmarkStart w:id="463" w:name="_Toc4012"/>
      <w:bookmarkStart w:id="464" w:name="_Toc18036"/>
      <w:bookmarkStart w:id="465" w:name="_Toc23592"/>
      <w:bookmarkStart w:id="466" w:name="_Toc14104"/>
      <w:bookmarkStart w:id="467" w:name="_Toc8517"/>
      <w:bookmarkStart w:id="468" w:name="_Toc16096"/>
      <w:bookmarkStart w:id="469" w:name="_Toc31387"/>
      <w:bookmarkStart w:id="470" w:name="_Toc32284"/>
      <w:bookmarkStart w:id="471" w:name="_Toc16864"/>
      <w:bookmarkStart w:id="472" w:name="_Toc24201"/>
      <w:bookmarkStart w:id="473" w:name="_Toc32626"/>
    </w:p>
    <w:bookmarkEnd w:id="458"/>
    <w:bookmarkEnd w:id="459"/>
    <w:bookmarkEnd w:id="460"/>
    <w:bookmarkEnd w:id="461"/>
    <w:bookmarkEnd w:id="462"/>
    <w:bookmarkEnd w:id="463"/>
    <w:bookmarkEnd w:id="464"/>
    <w:bookmarkEnd w:id="465"/>
    <w:p>
      <w:pPr>
        <w:pStyle w:val="9"/>
        <w:keepNext w:val="0"/>
        <w:pageBreakBefore/>
        <w:spacing w:line="360" w:lineRule="auto"/>
        <w:rPr>
          <w:rFonts w:ascii="仿宋" w:hAnsi="仿宋" w:eastAsia="仿宋" w:cs="仿宋"/>
          <w:b w:val="0"/>
          <w:bCs/>
          <w:color w:val="auto"/>
          <w:szCs w:val="44"/>
        </w:rPr>
      </w:pPr>
      <w:bookmarkStart w:id="474" w:name="_Toc10760"/>
      <w:r>
        <w:rPr>
          <w:rFonts w:hint="eastAsia" w:ascii="仿宋" w:hAnsi="仿宋" w:eastAsia="仿宋" w:cs="仿宋"/>
          <w:color w:val="auto"/>
          <w:sz w:val="36"/>
        </w:rPr>
        <w:t>十二</w:t>
      </w:r>
      <w:r>
        <w:rPr>
          <w:rFonts w:hint="eastAsia" w:ascii="仿宋" w:hAnsi="仿宋" w:eastAsia="仿宋" w:cs="仿宋"/>
          <w:color w:val="auto"/>
          <w:sz w:val="32"/>
          <w:szCs w:val="32"/>
        </w:rPr>
        <w:t>、供应商企业关系关联承诺书</w:t>
      </w:r>
      <w:bookmarkEnd w:id="466"/>
      <w:bookmarkEnd w:id="467"/>
      <w:bookmarkEnd w:id="468"/>
      <w:bookmarkEnd w:id="469"/>
      <w:bookmarkEnd w:id="470"/>
      <w:bookmarkEnd w:id="471"/>
      <w:bookmarkEnd w:id="472"/>
      <w:bookmarkEnd w:id="473"/>
      <w:bookmarkEnd w:id="474"/>
    </w:p>
    <w:p>
      <w:pPr>
        <w:spacing w:line="360" w:lineRule="auto"/>
        <w:rPr>
          <w:rFonts w:ascii="仿宋" w:hAnsi="仿宋" w:eastAsia="仿宋" w:cs="仿宋"/>
          <w:color w:val="auto"/>
          <w:spacing w:val="4"/>
          <w:sz w:val="24"/>
          <w:szCs w:val="24"/>
        </w:rPr>
      </w:pPr>
    </w:p>
    <w:p>
      <w:pPr>
        <w:spacing w:line="360" w:lineRule="auto"/>
        <w:rPr>
          <w:rFonts w:ascii="仿宋" w:hAnsi="仿宋" w:eastAsia="仿宋" w:cs="仿宋"/>
          <w:color w:val="auto"/>
          <w:spacing w:val="4"/>
          <w:sz w:val="24"/>
          <w:szCs w:val="24"/>
          <w:u w:val="single"/>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rPr>
        <w:t xml:space="preserve">     （采购人名称）   </w:t>
      </w:r>
    </w:p>
    <w:p>
      <w:pPr>
        <w:widowControl/>
        <w:spacing w:line="360" w:lineRule="auto"/>
        <w:ind w:firstLine="480" w:firstLineChars="200"/>
        <w:jc w:val="left"/>
        <w:rPr>
          <w:rFonts w:ascii="仿宋" w:hAnsi="仿宋" w:eastAsia="仿宋" w:cs="仿宋"/>
          <w:color w:val="auto"/>
          <w:kern w:val="0"/>
          <w:sz w:val="24"/>
          <w:szCs w:val="24"/>
        </w:rPr>
      </w:pPr>
      <w:r>
        <w:rPr>
          <w:rFonts w:hint="eastAsia" w:ascii="仿宋" w:hAnsi="仿宋" w:eastAsia="仿宋" w:cs="仿宋"/>
          <w:color w:val="auto"/>
          <w:kern w:val="0"/>
          <w:sz w:val="24"/>
          <w:szCs w:val="24"/>
        </w:rPr>
        <w:t>我方作为</w:t>
      </w:r>
      <w:r>
        <w:rPr>
          <w:rFonts w:hint="eastAsia" w:ascii="仿宋" w:hAnsi="仿宋" w:eastAsia="仿宋" w:cs="仿宋"/>
          <w:color w:val="auto"/>
          <w:kern w:val="0"/>
          <w:sz w:val="24"/>
          <w:szCs w:val="24"/>
          <w:u w:val="single"/>
        </w:rPr>
        <w:t xml:space="preserve">    （项目名称）    </w:t>
      </w:r>
      <w:r>
        <w:rPr>
          <w:rFonts w:hint="eastAsia" w:ascii="仿宋" w:hAnsi="仿宋" w:eastAsia="仿宋" w:cs="仿宋"/>
          <w:color w:val="auto"/>
          <w:kern w:val="0"/>
          <w:sz w:val="24"/>
          <w:szCs w:val="24"/>
        </w:rPr>
        <w:t>（项目编号：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）的供应商，在此郑重声明：</w:t>
      </w:r>
    </w:p>
    <w:p>
      <w:pPr>
        <w:autoSpaceDE w:val="0"/>
        <w:autoSpaceDN w:val="0"/>
        <w:adjustRightIn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1、供应商在本项目中，不存在与其它供应商负责人为同一人，有控股、管理等关联关系承诺。</w:t>
      </w:r>
    </w:p>
    <w:p>
      <w:pPr>
        <w:widowControl/>
        <w:spacing w:line="360" w:lineRule="auto"/>
        <w:ind w:firstLine="480" w:firstLineChars="200"/>
        <w:jc w:val="left"/>
        <w:rPr>
          <w:rFonts w:ascii="仿宋" w:hAnsi="仿宋" w:eastAsia="仿宋" w:cs="仿宋"/>
          <w:color w:val="auto"/>
          <w:kern w:val="0"/>
          <w:sz w:val="24"/>
          <w:szCs w:val="24"/>
        </w:rPr>
      </w:pPr>
      <w:r>
        <w:rPr>
          <w:rFonts w:hint="eastAsia" w:ascii="仿宋" w:hAnsi="仿宋" w:eastAsia="仿宋" w:cs="仿宋"/>
          <w:color w:val="auto"/>
          <w:kern w:val="0"/>
          <w:sz w:val="24"/>
          <w:szCs w:val="24"/>
        </w:rPr>
        <w:t>2、我方未为本项目提供整体设计、规范编制或者项目管理、监理、检测等服务。</w:t>
      </w:r>
    </w:p>
    <w:p>
      <w:pPr>
        <w:widowControl/>
        <w:spacing w:line="360" w:lineRule="auto"/>
        <w:ind w:firstLine="480" w:firstLineChars="200"/>
        <w:jc w:val="left"/>
        <w:rPr>
          <w:rFonts w:ascii="仿宋" w:hAnsi="仿宋" w:eastAsia="仿宋" w:cs="仿宋"/>
          <w:color w:val="auto"/>
          <w:sz w:val="24"/>
          <w:szCs w:val="24"/>
        </w:rPr>
      </w:pPr>
      <w:r>
        <w:rPr>
          <w:rFonts w:hint="eastAsia" w:ascii="仿宋" w:hAnsi="仿宋" w:eastAsia="仿宋" w:cs="仿宋"/>
          <w:color w:val="auto"/>
          <w:kern w:val="0"/>
          <w:sz w:val="24"/>
          <w:szCs w:val="24"/>
        </w:rPr>
        <w:t xml:space="preserve">如有不实，我方将无条件地退出本项目的采购活动，并遵照《政府采购法》有关“提供虚假材料的规定”接受处罚。 </w:t>
      </w:r>
    </w:p>
    <w:p>
      <w:pPr>
        <w:widowControl/>
        <w:spacing w:line="360" w:lineRule="auto"/>
        <w:ind w:firstLine="480" w:firstLineChars="200"/>
        <w:jc w:val="left"/>
        <w:rPr>
          <w:rFonts w:ascii="仿宋" w:hAnsi="仿宋" w:eastAsia="仿宋" w:cs="仿宋"/>
          <w:color w:val="auto"/>
          <w:sz w:val="24"/>
          <w:szCs w:val="24"/>
        </w:rPr>
      </w:pPr>
      <w:r>
        <w:rPr>
          <w:rFonts w:hint="eastAsia" w:ascii="仿宋" w:hAnsi="仿宋" w:eastAsia="仿宋" w:cs="仿宋"/>
          <w:color w:val="auto"/>
          <w:kern w:val="0"/>
          <w:sz w:val="24"/>
          <w:szCs w:val="24"/>
        </w:rPr>
        <w:t>特此声明。</w:t>
      </w:r>
    </w:p>
    <w:p>
      <w:pPr>
        <w:autoSpaceDE w:val="0"/>
        <w:autoSpaceDN w:val="0"/>
        <w:adjustRightInd w:val="0"/>
        <w:spacing w:line="360" w:lineRule="auto"/>
        <w:ind w:firstLine="480" w:firstLineChars="200"/>
        <w:rPr>
          <w:rFonts w:ascii="仿宋" w:hAnsi="仿宋" w:eastAsia="仿宋" w:cs="仿宋"/>
          <w:color w:val="auto"/>
          <w:sz w:val="24"/>
          <w:szCs w:val="24"/>
        </w:rPr>
      </w:pPr>
    </w:p>
    <w:p>
      <w:pPr>
        <w:pStyle w:val="5"/>
        <w:ind w:firstLine="240"/>
        <w:rPr>
          <w:rFonts w:ascii="仿宋" w:hAnsi="仿宋" w:eastAsia="仿宋" w:cs="仿宋"/>
          <w:color w:val="auto"/>
          <w:sz w:val="24"/>
        </w:rPr>
      </w:pPr>
    </w:p>
    <w:p>
      <w:pPr>
        <w:autoSpaceDE w:val="0"/>
        <w:autoSpaceDN w:val="0"/>
        <w:adjustRightInd w:val="0"/>
        <w:spacing w:line="360" w:lineRule="auto"/>
        <w:jc w:val="center"/>
        <w:rPr>
          <w:rFonts w:ascii="仿宋" w:hAnsi="仿宋" w:eastAsia="仿宋" w:cs="仿宋"/>
          <w:b/>
          <w:color w:val="auto"/>
          <w:sz w:val="24"/>
          <w:szCs w:val="24"/>
        </w:rPr>
      </w:pPr>
    </w:p>
    <w:p>
      <w:pPr>
        <w:spacing w:line="360" w:lineRule="auto"/>
        <w:ind w:firstLine="4080" w:firstLineChars="1700"/>
        <w:rPr>
          <w:rFonts w:ascii="仿宋" w:hAnsi="仿宋" w:eastAsia="仿宋" w:cs="仿宋"/>
          <w:color w:val="auto"/>
          <w:sz w:val="24"/>
          <w:szCs w:val="24"/>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w:t>
      </w:r>
    </w:p>
    <w:p>
      <w:pPr>
        <w:spacing w:line="360" w:lineRule="auto"/>
        <w:ind w:firstLine="4080" w:firstLineChars="1700"/>
        <w:rPr>
          <w:rFonts w:ascii="仿宋" w:hAnsi="仿宋" w:eastAsia="仿宋" w:cs="仿宋"/>
          <w:color w:val="auto"/>
          <w:sz w:val="24"/>
          <w:szCs w:val="24"/>
          <w:u w:val="single"/>
        </w:rPr>
      </w:pPr>
      <w:r>
        <w:rPr>
          <w:rFonts w:hint="eastAsia" w:ascii="仿宋" w:hAnsi="仿宋" w:eastAsia="仿宋" w:cs="仿宋"/>
          <w:color w:val="auto"/>
          <w:sz w:val="24"/>
          <w:szCs w:val="24"/>
        </w:rPr>
        <w:t>法定代表人或授权代表（签字或盖章）：</w:t>
      </w:r>
      <w:r>
        <w:rPr>
          <w:rFonts w:hint="eastAsia" w:ascii="仿宋" w:hAnsi="仿宋" w:eastAsia="仿宋" w:cs="仿宋"/>
          <w:color w:val="auto"/>
          <w:sz w:val="24"/>
          <w:szCs w:val="24"/>
          <w:u w:val="single"/>
        </w:rPr>
        <w:t xml:space="preserve">     </w:t>
      </w:r>
    </w:p>
    <w:p>
      <w:pPr>
        <w:spacing w:line="360" w:lineRule="auto"/>
        <w:ind w:firstLine="4080" w:firstLineChars="1700"/>
        <w:rPr>
          <w:rFonts w:ascii="仿宋" w:hAnsi="仿宋" w:eastAsia="仿宋" w:cs="仿宋"/>
          <w:color w:val="auto"/>
          <w:sz w:val="32"/>
          <w:u w:val="single"/>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p>
    <w:p>
      <w:pPr>
        <w:pageBreakBefore/>
        <w:spacing w:line="360" w:lineRule="auto"/>
        <w:jc w:val="center"/>
        <w:outlineLvl w:val="1"/>
        <w:rPr>
          <w:rFonts w:ascii="仿宋" w:hAnsi="仿宋" w:eastAsia="仿宋" w:cs="仿宋"/>
          <w:b/>
          <w:color w:val="auto"/>
          <w:kern w:val="0"/>
          <w:sz w:val="32"/>
          <w:szCs w:val="24"/>
          <w:lang w:val="zh-CN"/>
        </w:rPr>
      </w:pPr>
      <w:bookmarkStart w:id="475" w:name="_Toc2681"/>
      <w:bookmarkStart w:id="476" w:name="_Toc18606"/>
      <w:bookmarkStart w:id="477" w:name="_Toc5082"/>
      <w:bookmarkStart w:id="478" w:name="_Toc2180"/>
      <w:bookmarkStart w:id="479" w:name="_Toc19579"/>
      <w:bookmarkStart w:id="480" w:name="_Toc31226"/>
      <w:bookmarkStart w:id="481" w:name="_Toc12844"/>
      <w:bookmarkStart w:id="482" w:name="_Toc19643"/>
      <w:bookmarkStart w:id="483" w:name="_Toc28697"/>
      <w:bookmarkStart w:id="484" w:name="_Toc14521"/>
      <w:bookmarkStart w:id="485" w:name="_Toc26328"/>
      <w:bookmarkStart w:id="486" w:name="_Toc7489"/>
      <w:r>
        <w:rPr>
          <w:rFonts w:hint="eastAsia" w:ascii="仿宋" w:hAnsi="仿宋" w:eastAsia="仿宋" w:cs="仿宋"/>
          <w:b/>
          <w:color w:val="auto"/>
          <w:kern w:val="0"/>
          <w:sz w:val="32"/>
          <w:szCs w:val="24"/>
          <w:lang w:val="zh-CN"/>
        </w:rPr>
        <w:t>十</w:t>
      </w:r>
      <w:r>
        <w:rPr>
          <w:rFonts w:hint="eastAsia" w:ascii="仿宋" w:hAnsi="仿宋" w:eastAsia="仿宋" w:cs="仿宋"/>
          <w:b/>
          <w:color w:val="auto"/>
          <w:kern w:val="0"/>
          <w:sz w:val="32"/>
          <w:szCs w:val="24"/>
        </w:rPr>
        <w:t>三</w:t>
      </w:r>
      <w:r>
        <w:rPr>
          <w:rFonts w:hint="eastAsia" w:ascii="仿宋" w:hAnsi="仿宋" w:eastAsia="仿宋" w:cs="仿宋"/>
          <w:b/>
          <w:color w:val="auto"/>
          <w:kern w:val="0"/>
          <w:sz w:val="32"/>
          <w:szCs w:val="24"/>
          <w:lang w:val="zh-CN"/>
        </w:rPr>
        <w:t>、供应商廉洁自律承诺书</w:t>
      </w:r>
      <w:bookmarkEnd w:id="475"/>
      <w:bookmarkEnd w:id="476"/>
      <w:bookmarkEnd w:id="477"/>
      <w:bookmarkEnd w:id="478"/>
      <w:bookmarkEnd w:id="479"/>
      <w:bookmarkEnd w:id="480"/>
      <w:bookmarkEnd w:id="481"/>
      <w:bookmarkEnd w:id="482"/>
    </w:p>
    <w:p>
      <w:pPr>
        <w:spacing w:line="360" w:lineRule="auto"/>
        <w:ind w:firstLine="480" w:firstLineChars="200"/>
        <w:rPr>
          <w:rFonts w:ascii="仿宋" w:hAnsi="仿宋" w:eastAsia="仿宋" w:cs="仿宋"/>
          <w:snapToGrid w:val="0"/>
          <w:color w:val="auto"/>
          <w:sz w:val="24"/>
          <w:szCs w:val="24"/>
        </w:rPr>
      </w:pPr>
      <w:r>
        <w:rPr>
          <w:rFonts w:hint="eastAsia" w:ascii="仿宋" w:hAnsi="仿宋" w:eastAsia="仿宋" w:cs="仿宋"/>
          <w:snapToGrid w:val="0"/>
          <w:color w:val="auto"/>
          <w:sz w:val="24"/>
          <w:szCs w:val="24"/>
        </w:rPr>
        <w:t>为了积极配合</w:t>
      </w:r>
      <w:r>
        <w:rPr>
          <w:rFonts w:hint="eastAsia" w:ascii="仿宋" w:hAnsi="仿宋" w:eastAsia="仿宋" w:cs="仿宋"/>
          <w:snapToGrid w:val="0"/>
          <w:color w:val="auto"/>
          <w:sz w:val="24"/>
          <w:szCs w:val="24"/>
          <w:u w:val="single"/>
        </w:rPr>
        <w:t xml:space="preserve">                        </w:t>
      </w:r>
      <w:r>
        <w:rPr>
          <w:rFonts w:hint="eastAsia" w:ascii="仿宋" w:hAnsi="仿宋" w:eastAsia="仿宋" w:cs="仿宋"/>
          <w:snapToGrid w:val="0"/>
          <w:color w:val="auto"/>
          <w:sz w:val="24"/>
          <w:szCs w:val="24"/>
        </w:rPr>
        <w:t>进行的</w:t>
      </w:r>
      <w:r>
        <w:rPr>
          <w:rFonts w:hint="eastAsia" w:ascii="仿宋" w:hAnsi="仿宋" w:eastAsia="仿宋" w:cs="仿宋"/>
          <w:snapToGrid w:val="0"/>
          <w:color w:val="auto"/>
          <w:sz w:val="24"/>
          <w:szCs w:val="24"/>
          <w:u w:val="single"/>
        </w:rPr>
        <w:t xml:space="preserve">                     </w:t>
      </w:r>
      <w:r>
        <w:rPr>
          <w:rFonts w:hint="eastAsia" w:ascii="仿宋" w:hAnsi="仿宋" w:eastAsia="仿宋" w:cs="仿宋"/>
          <w:snapToGrid w:val="0"/>
          <w:color w:val="auto"/>
          <w:sz w:val="24"/>
          <w:szCs w:val="24"/>
        </w:rPr>
        <w:t>招标</w:t>
      </w:r>
      <w:r>
        <w:rPr>
          <w:color w:val="auto"/>
        </w:rPr>
        <w:fldChar w:fldCharType="begin"/>
      </w:r>
      <w:r>
        <w:rPr>
          <w:color w:val="auto"/>
        </w:rPr>
        <w:instrText xml:space="preserve"> HYPERLINK "http://www.yjbys.com/" </w:instrText>
      </w:r>
      <w:r>
        <w:rPr>
          <w:color w:val="auto"/>
        </w:rPr>
        <w:fldChar w:fldCharType="separate"/>
      </w:r>
      <w:r>
        <w:rPr>
          <w:rFonts w:hint="eastAsia" w:ascii="仿宋" w:hAnsi="仿宋" w:eastAsia="仿宋" w:cs="仿宋"/>
          <w:snapToGrid w:val="0"/>
          <w:color w:val="auto"/>
          <w:sz w:val="24"/>
          <w:szCs w:val="24"/>
        </w:rPr>
        <w:t>工作</w:t>
      </w:r>
      <w:r>
        <w:rPr>
          <w:rFonts w:hint="eastAsia" w:ascii="仿宋" w:hAnsi="仿宋" w:eastAsia="仿宋" w:cs="仿宋"/>
          <w:snapToGrid w:val="0"/>
          <w:color w:val="auto"/>
          <w:sz w:val="24"/>
          <w:szCs w:val="24"/>
        </w:rPr>
        <w:fldChar w:fldCharType="end"/>
      </w:r>
      <w:r>
        <w:rPr>
          <w:rFonts w:hint="eastAsia" w:ascii="仿宋" w:hAnsi="仿宋" w:eastAsia="仿宋" w:cs="仿宋"/>
          <w:snapToGrid w:val="0"/>
          <w:color w:val="auto"/>
          <w:sz w:val="24"/>
          <w:szCs w:val="24"/>
        </w:rPr>
        <w:t>，有效遏制不公平竞争和违规违纪问题的发生，确保招标工作的公平、公正、公开，我们特向贵司郑重承诺，在政府采购过程中严格遵守下列行为准则：</w:t>
      </w:r>
    </w:p>
    <w:p>
      <w:pPr>
        <w:spacing w:line="360" w:lineRule="auto"/>
        <w:ind w:firstLine="480" w:firstLineChars="200"/>
        <w:rPr>
          <w:rFonts w:ascii="仿宋" w:hAnsi="仿宋" w:eastAsia="仿宋" w:cs="仿宋"/>
          <w:snapToGrid w:val="0"/>
          <w:color w:val="auto"/>
          <w:sz w:val="24"/>
          <w:szCs w:val="24"/>
        </w:rPr>
      </w:pPr>
      <w:r>
        <w:rPr>
          <w:rFonts w:hint="eastAsia" w:ascii="仿宋" w:hAnsi="仿宋" w:eastAsia="仿宋" w:cs="仿宋"/>
          <w:snapToGrid w:val="0"/>
          <w:color w:val="auto"/>
          <w:sz w:val="24"/>
          <w:szCs w:val="24"/>
        </w:rPr>
        <w:t>1、严格遵守国家有关法律法规及相关政策，以及廉洁从业的各项规定。</w:t>
      </w:r>
    </w:p>
    <w:p>
      <w:pPr>
        <w:spacing w:line="360" w:lineRule="auto"/>
        <w:ind w:firstLine="480" w:firstLineChars="200"/>
        <w:rPr>
          <w:rFonts w:ascii="仿宋" w:hAnsi="仿宋" w:eastAsia="仿宋" w:cs="仿宋"/>
          <w:snapToGrid w:val="0"/>
          <w:color w:val="auto"/>
          <w:sz w:val="24"/>
          <w:szCs w:val="24"/>
        </w:rPr>
      </w:pPr>
      <w:r>
        <w:rPr>
          <w:rFonts w:hint="eastAsia" w:ascii="仿宋" w:hAnsi="仿宋" w:eastAsia="仿宋" w:cs="仿宋"/>
          <w:snapToGrid w:val="0"/>
          <w:color w:val="auto"/>
          <w:sz w:val="24"/>
          <w:szCs w:val="24"/>
        </w:rPr>
        <w:t>2、不以围标、串标、陪标、挂靠、提供虚假信息、恶意干扰采购人、评标委员会评审等违规手段实现中标目的；</w:t>
      </w:r>
    </w:p>
    <w:p>
      <w:pPr>
        <w:spacing w:line="360" w:lineRule="auto"/>
        <w:ind w:firstLine="480" w:firstLineChars="200"/>
        <w:rPr>
          <w:rFonts w:ascii="仿宋" w:hAnsi="仿宋" w:eastAsia="仿宋" w:cs="仿宋"/>
          <w:snapToGrid w:val="0"/>
          <w:color w:val="auto"/>
          <w:sz w:val="24"/>
          <w:szCs w:val="24"/>
        </w:rPr>
      </w:pPr>
      <w:r>
        <w:rPr>
          <w:rFonts w:hint="eastAsia" w:ascii="仿宋" w:hAnsi="仿宋" w:eastAsia="仿宋" w:cs="仿宋"/>
          <w:snapToGrid w:val="0"/>
          <w:color w:val="auto"/>
          <w:sz w:val="24"/>
          <w:szCs w:val="24"/>
        </w:rPr>
        <w:t>3、不以任何理由、任何形式向采购人相关工作人员或其亲戚、朋友等利益相关人行贿或馈赠礼金、有价证券、贵重物品。</w:t>
      </w:r>
    </w:p>
    <w:p>
      <w:pPr>
        <w:spacing w:line="360" w:lineRule="auto"/>
        <w:ind w:firstLine="480" w:firstLineChars="200"/>
        <w:rPr>
          <w:rFonts w:ascii="仿宋" w:hAnsi="仿宋" w:eastAsia="仿宋" w:cs="仿宋"/>
          <w:snapToGrid w:val="0"/>
          <w:color w:val="auto"/>
          <w:sz w:val="24"/>
          <w:szCs w:val="24"/>
        </w:rPr>
      </w:pPr>
      <w:r>
        <w:rPr>
          <w:rFonts w:hint="eastAsia" w:ascii="仿宋" w:hAnsi="仿宋" w:eastAsia="仿宋" w:cs="仿宋"/>
          <w:snapToGrid w:val="0"/>
          <w:color w:val="auto"/>
          <w:sz w:val="24"/>
          <w:szCs w:val="24"/>
        </w:rPr>
        <w:t>4、不以任何名义为采购人相关工作人员或其亲戚、朋友等利益相关人支付、报销应由其个人支付的费用。</w:t>
      </w:r>
    </w:p>
    <w:p>
      <w:pPr>
        <w:spacing w:line="360" w:lineRule="auto"/>
        <w:ind w:firstLine="480" w:firstLineChars="200"/>
        <w:rPr>
          <w:rFonts w:ascii="仿宋" w:hAnsi="仿宋" w:eastAsia="仿宋" w:cs="仿宋"/>
          <w:snapToGrid w:val="0"/>
          <w:color w:val="auto"/>
          <w:sz w:val="24"/>
          <w:szCs w:val="24"/>
        </w:rPr>
      </w:pPr>
      <w:r>
        <w:rPr>
          <w:rFonts w:hint="eastAsia" w:ascii="仿宋" w:hAnsi="仿宋" w:eastAsia="仿宋" w:cs="仿宋"/>
          <w:snapToGrid w:val="0"/>
          <w:color w:val="auto"/>
          <w:sz w:val="24"/>
          <w:szCs w:val="24"/>
        </w:rPr>
        <w:t>5、不以任何理由安排采购人相关工作人员或其亲戚、朋友等利益相关人参加健身、娱乐和旅游等活动。</w:t>
      </w:r>
    </w:p>
    <w:p>
      <w:pPr>
        <w:spacing w:line="360" w:lineRule="auto"/>
        <w:ind w:firstLine="480" w:firstLineChars="200"/>
        <w:rPr>
          <w:rFonts w:ascii="仿宋" w:hAnsi="仿宋" w:eastAsia="仿宋" w:cs="仿宋"/>
          <w:snapToGrid w:val="0"/>
          <w:color w:val="auto"/>
          <w:sz w:val="24"/>
          <w:szCs w:val="24"/>
        </w:rPr>
      </w:pPr>
      <w:r>
        <w:rPr>
          <w:rFonts w:hint="eastAsia" w:ascii="仿宋" w:hAnsi="仿宋" w:eastAsia="仿宋" w:cs="仿宋"/>
          <w:snapToGrid w:val="0"/>
          <w:color w:val="auto"/>
          <w:sz w:val="24"/>
          <w:szCs w:val="24"/>
        </w:rPr>
        <w:t>6、不为采购人的业务部门、关联企业或人员，购置或提供通讯工具、交通工具、高档办公用品或装修住房等。</w:t>
      </w:r>
    </w:p>
    <w:p>
      <w:pPr>
        <w:spacing w:line="360" w:lineRule="auto"/>
        <w:ind w:firstLine="480" w:firstLineChars="200"/>
        <w:rPr>
          <w:rFonts w:ascii="仿宋" w:hAnsi="仿宋" w:eastAsia="仿宋" w:cs="仿宋"/>
          <w:snapToGrid w:val="0"/>
          <w:color w:val="auto"/>
          <w:sz w:val="24"/>
          <w:szCs w:val="24"/>
        </w:rPr>
      </w:pPr>
      <w:r>
        <w:rPr>
          <w:rFonts w:hint="eastAsia" w:ascii="仿宋" w:hAnsi="仿宋" w:eastAsia="仿宋" w:cs="仿宋"/>
          <w:snapToGrid w:val="0"/>
          <w:color w:val="auto"/>
          <w:sz w:val="24"/>
          <w:szCs w:val="24"/>
        </w:rPr>
        <w:t>7、不以贿赂之外的其他方式拉拢采购方相关工作人员，使其违背公平、公开、公正竞争原则，帮助实现中标目的。</w:t>
      </w:r>
    </w:p>
    <w:p>
      <w:pPr>
        <w:spacing w:line="360" w:lineRule="auto"/>
        <w:ind w:firstLine="480" w:firstLineChars="200"/>
        <w:rPr>
          <w:rFonts w:ascii="仿宋" w:hAnsi="仿宋" w:eastAsia="仿宋" w:cs="仿宋"/>
          <w:snapToGrid w:val="0"/>
          <w:color w:val="auto"/>
          <w:sz w:val="24"/>
          <w:szCs w:val="24"/>
        </w:rPr>
      </w:pPr>
      <w:r>
        <w:rPr>
          <w:rFonts w:hint="eastAsia" w:ascii="仿宋" w:hAnsi="仿宋" w:eastAsia="仿宋" w:cs="仿宋"/>
          <w:snapToGrid w:val="0"/>
          <w:color w:val="auto"/>
          <w:sz w:val="24"/>
          <w:szCs w:val="24"/>
        </w:rPr>
        <w:t>8、如果采购人相关工作人员以帮助实现成交目的为对价向供应商索取贿赂或谋求其他个人利益，供应商应拒绝采购人相关工作人员的要求，并向采购人监督部门举报。</w:t>
      </w:r>
    </w:p>
    <w:p>
      <w:pPr>
        <w:spacing w:line="360" w:lineRule="auto"/>
        <w:ind w:firstLine="480" w:firstLineChars="200"/>
        <w:rPr>
          <w:rFonts w:ascii="仿宋" w:hAnsi="仿宋" w:eastAsia="仿宋" w:cs="仿宋"/>
          <w:snapToGrid w:val="0"/>
          <w:color w:val="auto"/>
          <w:sz w:val="24"/>
          <w:szCs w:val="24"/>
        </w:rPr>
      </w:pPr>
      <w:r>
        <w:rPr>
          <w:rFonts w:hint="eastAsia" w:ascii="仿宋" w:hAnsi="仿宋" w:eastAsia="仿宋" w:cs="仿宋"/>
          <w:snapToGrid w:val="0"/>
          <w:color w:val="auto"/>
          <w:sz w:val="24"/>
          <w:szCs w:val="24"/>
        </w:rPr>
        <w:t>如果承诺人违背上述承诺并中标，承诺人自愿承担与贵司签订的合同无效、贵司有权拒绝支付合同款、承诺人自身损失自己承担并赔偿贵司因此产生的一切损失的民事法律责任及因此产生的刑事责任。</w:t>
      </w:r>
    </w:p>
    <w:p>
      <w:pPr>
        <w:spacing w:line="360" w:lineRule="auto"/>
        <w:ind w:firstLine="4080" w:firstLineChars="1700"/>
        <w:rPr>
          <w:rFonts w:ascii="仿宋" w:hAnsi="仿宋" w:eastAsia="仿宋" w:cs="仿宋"/>
          <w:color w:val="auto"/>
          <w:sz w:val="24"/>
          <w:szCs w:val="24"/>
        </w:rPr>
      </w:pPr>
      <w:bookmarkStart w:id="487" w:name="_Toc1644"/>
      <w:bookmarkStart w:id="488" w:name="_Toc7233"/>
      <w:bookmarkStart w:id="489" w:name="_Toc4293"/>
      <w:bookmarkStart w:id="490" w:name="_Toc25981"/>
    </w:p>
    <w:p>
      <w:pPr>
        <w:spacing w:line="360" w:lineRule="auto"/>
        <w:ind w:firstLine="4080" w:firstLineChars="1700"/>
        <w:rPr>
          <w:rFonts w:ascii="仿宋" w:hAnsi="仿宋" w:eastAsia="仿宋" w:cs="仿宋"/>
          <w:color w:val="auto"/>
          <w:sz w:val="24"/>
          <w:szCs w:val="24"/>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w:t>
      </w:r>
    </w:p>
    <w:p>
      <w:pPr>
        <w:spacing w:line="360" w:lineRule="auto"/>
        <w:ind w:firstLine="4080" w:firstLineChars="1700"/>
        <w:rPr>
          <w:rFonts w:ascii="仿宋" w:hAnsi="仿宋" w:eastAsia="仿宋" w:cs="仿宋"/>
          <w:color w:val="auto"/>
          <w:sz w:val="24"/>
          <w:szCs w:val="24"/>
          <w:u w:val="single"/>
        </w:rPr>
      </w:pPr>
      <w:r>
        <w:rPr>
          <w:rFonts w:hint="eastAsia" w:ascii="仿宋" w:hAnsi="仿宋" w:eastAsia="仿宋" w:cs="仿宋"/>
          <w:color w:val="auto"/>
          <w:sz w:val="24"/>
          <w:szCs w:val="24"/>
        </w:rPr>
        <w:t>法定代表人或授权代表（签字或盖章）：</w:t>
      </w:r>
      <w:r>
        <w:rPr>
          <w:rFonts w:hint="eastAsia" w:ascii="仿宋" w:hAnsi="仿宋" w:eastAsia="仿宋" w:cs="仿宋"/>
          <w:color w:val="auto"/>
          <w:sz w:val="24"/>
          <w:szCs w:val="24"/>
          <w:u w:val="single"/>
        </w:rPr>
        <w:t xml:space="preserve">          </w:t>
      </w:r>
    </w:p>
    <w:p>
      <w:pPr>
        <w:spacing w:line="360" w:lineRule="auto"/>
        <w:ind w:firstLine="4080" w:firstLineChars="1700"/>
        <w:rPr>
          <w:rFonts w:ascii="仿宋" w:hAnsi="仿宋" w:eastAsia="仿宋" w:cs="仿宋"/>
          <w:color w:val="auto"/>
          <w:sz w:val="24"/>
          <w:szCs w:val="24"/>
          <w:u w:val="single"/>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p>
    <w:p>
      <w:pPr>
        <w:pStyle w:val="9"/>
        <w:keepNext w:val="0"/>
        <w:pageBreakBefore/>
        <w:spacing w:line="360" w:lineRule="auto"/>
        <w:rPr>
          <w:rFonts w:ascii="仿宋" w:hAnsi="仿宋" w:eastAsia="仿宋" w:cs="仿宋"/>
          <w:color w:val="auto"/>
          <w:szCs w:val="22"/>
          <w:lang w:val="zh-CN"/>
        </w:rPr>
      </w:pPr>
      <w:bookmarkStart w:id="491" w:name="_Toc25138"/>
      <w:bookmarkStart w:id="492" w:name="_Toc30190"/>
      <w:r>
        <w:rPr>
          <w:rFonts w:hint="eastAsia" w:ascii="仿宋" w:hAnsi="仿宋" w:eastAsia="仿宋" w:cs="仿宋"/>
          <w:color w:val="auto"/>
          <w:sz w:val="32"/>
          <w:szCs w:val="21"/>
        </w:rPr>
        <w:t>十四</w:t>
      </w:r>
      <w:r>
        <w:rPr>
          <w:rFonts w:hint="eastAsia" w:ascii="仿宋" w:hAnsi="仿宋" w:eastAsia="仿宋" w:cs="仿宋"/>
          <w:color w:val="auto"/>
          <w:sz w:val="32"/>
          <w:szCs w:val="24"/>
          <w:lang w:val="zh-CN"/>
        </w:rPr>
        <w:t>、供应商认为有必要补充说明的事项</w:t>
      </w:r>
      <w:bookmarkEnd w:id="483"/>
      <w:bookmarkEnd w:id="484"/>
      <w:bookmarkEnd w:id="485"/>
      <w:bookmarkEnd w:id="486"/>
      <w:bookmarkEnd w:id="487"/>
      <w:bookmarkEnd w:id="488"/>
      <w:bookmarkEnd w:id="489"/>
      <w:bookmarkEnd w:id="490"/>
      <w:bookmarkEnd w:id="491"/>
      <w:bookmarkEnd w:id="492"/>
    </w:p>
    <w:bookmarkEnd w:id="315"/>
    <w:bookmarkEnd w:id="316"/>
    <w:bookmarkEnd w:id="317"/>
    <w:bookmarkEnd w:id="318"/>
    <w:bookmarkEnd w:id="319"/>
    <w:bookmarkEnd w:id="320"/>
    <w:bookmarkEnd w:id="321"/>
    <w:bookmarkEnd w:id="322"/>
    <w:bookmarkEnd w:id="323"/>
    <w:p>
      <w:pPr>
        <w:rPr>
          <w:rFonts w:ascii="仿宋" w:hAnsi="仿宋" w:eastAsia="仿宋" w:cs="仿宋"/>
          <w:color w:val="auto"/>
          <w:lang w:val="zh-CN"/>
        </w:rPr>
      </w:pPr>
    </w:p>
    <w:sectPr>
      <w:pgSz w:w="11906" w:h="16838"/>
      <w:pgMar w:top="1417" w:right="1701" w:bottom="1417" w:left="1701"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B0604020202020204"/>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Wingdings 2">
    <w:altName w:val="Wingdings"/>
    <w:panose1 w:val="05020102010507070707"/>
    <w:charset w:val="02"/>
    <w:family w:val="decorative"/>
    <w:pitch w:val="default"/>
    <w:sig w:usb0="00000000" w:usb1="00000000" w:usb2="00000000" w:usb3="00000000" w:csb0="800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B0604020202020204"/>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36</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36</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81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81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98</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98</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101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101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right"/>
      <w:rPr>
        <w:sz w:val="15"/>
        <w:szCs w:val="15"/>
      </w:rPr>
    </w:pPr>
    <w:r>
      <w:rPr>
        <w:rFonts w:hint="eastAsia" w:ascii="仿宋" w:hAnsi="仿宋" w:eastAsia="仿宋" w:cs="仿宋"/>
        <w:b/>
        <w:bCs/>
      </w:rPr>
      <w:t>灞桥区2021年新增教育建设奖补资金--五星中学设备采购项目招标文件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right"/>
      <w:rPr>
        <w:sz w:val="15"/>
        <w:szCs w:val="15"/>
      </w:rPr>
    </w:pPr>
    <w:r>
      <w:rPr>
        <w:rFonts w:hint="eastAsia" w:ascii="仿宋" w:hAnsi="仿宋" w:eastAsia="仿宋" w:cs="仿宋"/>
        <w:b/>
        <w:bCs/>
      </w:rPr>
      <w:t>灞桥区2021年新增教育建设奖补资金--五星中学设备采购项目招标文件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E229C5"/>
    <w:multiLevelType w:val="singleLevel"/>
    <w:tmpl w:val="94E229C5"/>
    <w:lvl w:ilvl="0" w:tentative="0">
      <w:start w:val="1"/>
      <w:numFmt w:val="chineseCounting"/>
      <w:suff w:val="nothing"/>
      <w:lvlText w:val="%1、"/>
      <w:lvlJc w:val="left"/>
      <w:rPr>
        <w:rFonts w:hint="eastAsia"/>
      </w:rPr>
    </w:lvl>
  </w:abstractNum>
  <w:abstractNum w:abstractNumId="1">
    <w:nsid w:val="BA8B1867"/>
    <w:multiLevelType w:val="singleLevel"/>
    <w:tmpl w:val="BA8B1867"/>
    <w:lvl w:ilvl="0" w:tentative="0">
      <w:start w:val="1"/>
      <w:numFmt w:val="decimal"/>
      <w:lvlText w:val="%1."/>
      <w:lvlJc w:val="left"/>
      <w:pPr>
        <w:tabs>
          <w:tab w:val="left" w:pos="312"/>
        </w:tabs>
      </w:pPr>
    </w:lvl>
  </w:abstractNum>
  <w:abstractNum w:abstractNumId="2">
    <w:nsid w:val="4B0EC95E"/>
    <w:multiLevelType w:val="singleLevel"/>
    <w:tmpl w:val="4B0EC95E"/>
    <w:lvl w:ilvl="0" w:tentative="0">
      <w:start w:val="1"/>
      <w:numFmt w:val="chineseCounting"/>
      <w:suff w:val="space"/>
      <w:lvlText w:val="%1、"/>
      <w:lvlJc w:val="left"/>
      <w:rPr>
        <w:rFonts w:hint="eastAsia"/>
      </w:rPr>
    </w:lvl>
  </w:abstractNum>
  <w:abstractNum w:abstractNumId="3">
    <w:nsid w:val="4B94FCDB"/>
    <w:multiLevelType w:val="singleLevel"/>
    <w:tmpl w:val="4B94FCDB"/>
    <w:lvl w:ilvl="0" w:tentative="0">
      <w:start w:val="1"/>
      <w:numFmt w:val="chineseCounting"/>
      <w:suff w:val="nothing"/>
      <w:lvlText w:val="%1、"/>
      <w:lvlJc w:val="left"/>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wZTg4OGJkNWRkOTJlMzY2NDhhMWVjMWFhNWQxMGYifQ=="/>
  </w:docVars>
  <w:rsids>
    <w:rsidRoot w:val="618052A3"/>
    <w:rsid w:val="002344DC"/>
    <w:rsid w:val="002D59D8"/>
    <w:rsid w:val="00477413"/>
    <w:rsid w:val="008E09C7"/>
    <w:rsid w:val="00B60802"/>
    <w:rsid w:val="00E9070B"/>
    <w:rsid w:val="01072ECF"/>
    <w:rsid w:val="01BF4CFA"/>
    <w:rsid w:val="01CE2DA2"/>
    <w:rsid w:val="02F65EA5"/>
    <w:rsid w:val="033663E9"/>
    <w:rsid w:val="0424200F"/>
    <w:rsid w:val="045B4C77"/>
    <w:rsid w:val="04CD44F6"/>
    <w:rsid w:val="051B4D72"/>
    <w:rsid w:val="054C4B68"/>
    <w:rsid w:val="0560491E"/>
    <w:rsid w:val="05CB26F0"/>
    <w:rsid w:val="05E17870"/>
    <w:rsid w:val="064E2CB2"/>
    <w:rsid w:val="06DB123D"/>
    <w:rsid w:val="06E762C1"/>
    <w:rsid w:val="07030667"/>
    <w:rsid w:val="08DA1CCC"/>
    <w:rsid w:val="092F2224"/>
    <w:rsid w:val="094E1B96"/>
    <w:rsid w:val="0A195CCB"/>
    <w:rsid w:val="0ABA0821"/>
    <w:rsid w:val="0ABD0267"/>
    <w:rsid w:val="0AC83A82"/>
    <w:rsid w:val="0B725906"/>
    <w:rsid w:val="0BC342A5"/>
    <w:rsid w:val="0C39505A"/>
    <w:rsid w:val="0C5E6DB7"/>
    <w:rsid w:val="0DD36A09"/>
    <w:rsid w:val="0DE01313"/>
    <w:rsid w:val="0F914EE8"/>
    <w:rsid w:val="0F987A35"/>
    <w:rsid w:val="0FEE4F26"/>
    <w:rsid w:val="108A40C0"/>
    <w:rsid w:val="10953ECE"/>
    <w:rsid w:val="111C783A"/>
    <w:rsid w:val="116B3023"/>
    <w:rsid w:val="1178071A"/>
    <w:rsid w:val="13023FD9"/>
    <w:rsid w:val="13FE1DA7"/>
    <w:rsid w:val="142B7B4A"/>
    <w:rsid w:val="143F67C8"/>
    <w:rsid w:val="15011221"/>
    <w:rsid w:val="152C2ACA"/>
    <w:rsid w:val="153E1FEF"/>
    <w:rsid w:val="15E74E5F"/>
    <w:rsid w:val="161768F2"/>
    <w:rsid w:val="16FE6533"/>
    <w:rsid w:val="170E6DF4"/>
    <w:rsid w:val="17276132"/>
    <w:rsid w:val="18124DBC"/>
    <w:rsid w:val="18A63803"/>
    <w:rsid w:val="18B90CA4"/>
    <w:rsid w:val="18EB42EB"/>
    <w:rsid w:val="19297178"/>
    <w:rsid w:val="194C152D"/>
    <w:rsid w:val="1A0E3F19"/>
    <w:rsid w:val="1A121B15"/>
    <w:rsid w:val="1A620E16"/>
    <w:rsid w:val="1AF228FD"/>
    <w:rsid w:val="1B377F57"/>
    <w:rsid w:val="1B430CEF"/>
    <w:rsid w:val="1BCB0C5B"/>
    <w:rsid w:val="1C044E7D"/>
    <w:rsid w:val="1C760B0D"/>
    <w:rsid w:val="1C832EF3"/>
    <w:rsid w:val="1D5B1219"/>
    <w:rsid w:val="1D631BA7"/>
    <w:rsid w:val="1D9B202C"/>
    <w:rsid w:val="1DD871C9"/>
    <w:rsid w:val="1E017374"/>
    <w:rsid w:val="1E120164"/>
    <w:rsid w:val="1EA26830"/>
    <w:rsid w:val="1EA64545"/>
    <w:rsid w:val="1FB42CDC"/>
    <w:rsid w:val="1FF2244C"/>
    <w:rsid w:val="2030768E"/>
    <w:rsid w:val="20561977"/>
    <w:rsid w:val="2070384A"/>
    <w:rsid w:val="20EF433C"/>
    <w:rsid w:val="212E2BED"/>
    <w:rsid w:val="21B30412"/>
    <w:rsid w:val="21C47253"/>
    <w:rsid w:val="22364F87"/>
    <w:rsid w:val="2267000F"/>
    <w:rsid w:val="22710E72"/>
    <w:rsid w:val="23BD535D"/>
    <w:rsid w:val="243D57B7"/>
    <w:rsid w:val="24B347CF"/>
    <w:rsid w:val="253907E9"/>
    <w:rsid w:val="2578616C"/>
    <w:rsid w:val="276E06FD"/>
    <w:rsid w:val="27DA227F"/>
    <w:rsid w:val="28874FC7"/>
    <w:rsid w:val="28EF40E2"/>
    <w:rsid w:val="29103985"/>
    <w:rsid w:val="29313E7E"/>
    <w:rsid w:val="299263FC"/>
    <w:rsid w:val="29CE1C23"/>
    <w:rsid w:val="2A220659"/>
    <w:rsid w:val="2C79393B"/>
    <w:rsid w:val="2C84162D"/>
    <w:rsid w:val="2CD961F5"/>
    <w:rsid w:val="2D975164"/>
    <w:rsid w:val="2E027D31"/>
    <w:rsid w:val="2E3F3DC3"/>
    <w:rsid w:val="2EB81439"/>
    <w:rsid w:val="2EDB6767"/>
    <w:rsid w:val="2EEC419D"/>
    <w:rsid w:val="2F23488F"/>
    <w:rsid w:val="2F7964B4"/>
    <w:rsid w:val="2F9F0138"/>
    <w:rsid w:val="2FE14786"/>
    <w:rsid w:val="30166359"/>
    <w:rsid w:val="30431C6F"/>
    <w:rsid w:val="307F43ED"/>
    <w:rsid w:val="30AD27CA"/>
    <w:rsid w:val="30BD2FAC"/>
    <w:rsid w:val="31681718"/>
    <w:rsid w:val="31B06E61"/>
    <w:rsid w:val="321A4DAD"/>
    <w:rsid w:val="32860B5F"/>
    <w:rsid w:val="32965068"/>
    <w:rsid w:val="32A20235"/>
    <w:rsid w:val="32AC6125"/>
    <w:rsid w:val="32C93046"/>
    <w:rsid w:val="33024A12"/>
    <w:rsid w:val="33AB4423"/>
    <w:rsid w:val="35385DB0"/>
    <w:rsid w:val="35AD6FFF"/>
    <w:rsid w:val="35BD41C8"/>
    <w:rsid w:val="35FA112A"/>
    <w:rsid w:val="360953A3"/>
    <w:rsid w:val="365F178C"/>
    <w:rsid w:val="367403BC"/>
    <w:rsid w:val="36E66740"/>
    <w:rsid w:val="371D7D99"/>
    <w:rsid w:val="3806579E"/>
    <w:rsid w:val="38C0120A"/>
    <w:rsid w:val="395F3A3A"/>
    <w:rsid w:val="39A139DA"/>
    <w:rsid w:val="39F8254C"/>
    <w:rsid w:val="3AD8706D"/>
    <w:rsid w:val="3BA53C49"/>
    <w:rsid w:val="3C2E148B"/>
    <w:rsid w:val="3CF25686"/>
    <w:rsid w:val="3D3D5BAB"/>
    <w:rsid w:val="3E7D13AA"/>
    <w:rsid w:val="3EA65882"/>
    <w:rsid w:val="3F5D4F76"/>
    <w:rsid w:val="3F9C080C"/>
    <w:rsid w:val="403D0274"/>
    <w:rsid w:val="40B569EF"/>
    <w:rsid w:val="412905E8"/>
    <w:rsid w:val="41EB2146"/>
    <w:rsid w:val="420E7E94"/>
    <w:rsid w:val="421D7ADC"/>
    <w:rsid w:val="4286079A"/>
    <w:rsid w:val="42D651EB"/>
    <w:rsid w:val="43446DBF"/>
    <w:rsid w:val="436B5CCE"/>
    <w:rsid w:val="43A517E0"/>
    <w:rsid w:val="456D021B"/>
    <w:rsid w:val="46043E2E"/>
    <w:rsid w:val="464B633B"/>
    <w:rsid w:val="46A95600"/>
    <w:rsid w:val="46BE65AA"/>
    <w:rsid w:val="48251964"/>
    <w:rsid w:val="484A1F91"/>
    <w:rsid w:val="48666E6E"/>
    <w:rsid w:val="489D68C6"/>
    <w:rsid w:val="48C76ACB"/>
    <w:rsid w:val="48D4271A"/>
    <w:rsid w:val="49440499"/>
    <w:rsid w:val="49536D89"/>
    <w:rsid w:val="49BB75EC"/>
    <w:rsid w:val="49C16FAE"/>
    <w:rsid w:val="4A7A2631"/>
    <w:rsid w:val="4A91038C"/>
    <w:rsid w:val="4B665589"/>
    <w:rsid w:val="4CC96555"/>
    <w:rsid w:val="4D324DCC"/>
    <w:rsid w:val="4D500156"/>
    <w:rsid w:val="4E0B07C7"/>
    <w:rsid w:val="4E91125B"/>
    <w:rsid w:val="4EC60B02"/>
    <w:rsid w:val="4ED714F3"/>
    <w:rsid w:val="4EFF70A2"/>
    <w:rsid w:val="4FFE2A4D"/>
    <w:rsid w:val="503F4646"/>
    <w:rsid w:val="50F002FC"/>
    <w:rsid w:val="510E5765"/>
    <w:rsid w:val="51860B4A"/>
    <w:rsid w:val="51FC39E5"/>
    <w:rsid w:val="52522CA0"/>
    <w:rsid w:val="526A7F2E"/>
    <w:rsid w:val="52C24E98"/>
    <w:rsid w:val="52CD68BD"/>
    <w:rsid w:val="53140DC1"/>
    <w:rsid w:val="53E96407"/>
    <w:rsid w:val="54385FC3"/>
    <w:rsid w:val="5459227D"/>
    <w:rsid w:val="546D50F9"/>
    <w:rsid w:val="55576F8D"/>
    <w:rsid w:val="55C10AC3"/>
    <w:rsid w:val="55C854F9"/>
    <w:rsid w:val="569641F3"/>
    <w:rsid w:val="56D63ED7"/>
    <w:rsid w:val="57616100"/>
    <w:rsid w:val="578C3138"/>
    <w:rsid w:val="5801517A"/>
    <w:rsid w:val="581035A9"/>
    <w:rsid w:val="58676F42"/>
    <w:rsid w:val="58710332"/>
    <w:rsid w:val="58A75040"/>
    <w:rsid w:val="58C32916"/>
    <w:rsid w:val="59520CDF"/>
    <w:rsid w:val="599E6D32"/>
    <w:rsid w:val="5A0317C0"/>
    <w:rsid w:val="5A89045F"/>
    <w:rsid w:val="5AB36363"/>
    <w:rsid w:val="5ABD64B6"/>
    <w:rsid w:val="5AF12EB1"/>
    <w:rsid w:val="5B422FE5"/>
    <w:rsid w:val="5B6135AF"/>
    <w:rsid w:val="5B710B94"/>
    <w:rsid w:val="5B8B6B3E"/>
    <w:rsid w:val="5BC83D55"/>
    <w:rsid w:val="5BDE40AB"/>
    <w:rsid w:val="5C8B72C7"/>
    <w:rsid w:val="5CCB5C1B"/>
    <w:rsid w:val="5CD56263"/>
    <w:rsid w:val="5CE645B9"/>
    <w:rsid w:val="5D855C78"/>
    <w:rsid w:val="5DDE0FF4"/>
    <w:rsid w:val="5E273BE8"/>
    <w:rsid w:val="5E8D5FD6"/>
    <w:rsid w:val="5EE7689A"/>
    <w:rsid w:val="5EF33572"/>
    <w:rsid w:val="5FA83B23"/>
    <w:rsid w:val="600B4430"/>
    <w:rsid w:val="60247E3E"/>
    <w:rsid w:val="609B2F18"/>
    <w:rsid w:val="60AB52FB"/>
    <w:rsid w:val="61093B1B"/>
    <w:rsid w:val="612F0AAC"/>
    <w:rsid w:val="617B342C"/>
    <w:rsid w:val="618052A3"/>
    <w:rsid w:val="61A05A41"/>
    <w:rsid w:val="62D973EC"/>
    <w:rsid w:val="633E6B67"/>
    <w:rsid w:val="638A29AA"/>
    <w:rsid w:val="644B5969"/>
    <w:rsid w:val="6639491E"/>
    <w:rsid w:val="663A635E"/>
    <w:rsid w:val="663B7C52"/>
    <w:rsid w:val="665072AF"/>
    <w:rsid w:val="669979E6"/>
    <w:rsid w:val="66E64CB8"/>
    <w:rsid w:val="67314798"/>
    <w:rsid w:val="67A81366"/>
    <w:rsid w:val="67D609B5"/>
    <w:rsid w:val="6A3C0184"/>
    <w:rsid w:val="6A421349"/>
    <w:rsid w:val="6A593808"/>
    <w:rsid w:val="6A820CB5"/>
    <w:rsid w:val="6BA83A30"/>
    <w:rsid w:val="6C441E01"/>
    <w:rsid w:val="6CA11C93"/>
    <w:rsid w:val="6D7C1D5A"/>
    <w:rsid w:val="6D7E166E"/>
    <w:rsid w:val="6E3F249C"/>
    <w:rsid w:val="6E515ED7"/>
    <w:rsid w:val="6E923519"/>
    <w:rsid w:val="6F450537"/>
    <w:rsid w:val="6F961D52"/>
    <w:rsid w:val="6FB74706"/>
    <w:rsid w:val="70332F55"/>
    <w:rsid w:val="705661F5"/>
    <w:rsid w:val="70741DA4"/>
    <w:rsid w:val="715227D8"/>
    <w:rsid w:val="72785511"/>
    <w:rsid w:val="737D0386"/>
    <w:rsid w:val="74336640"/>
    <w:rsid w:val="745F5922"/>
    <w:rsid w:val="76F70D77"/>
    <w:rsid w:val="77250723"/>
    <w:rsid w:val="77253808"/>
    <w:rsid w:val="77DF601B"/>
    <w:rsid w:val="77E02A90"/>
    <w:rsid w:val="784C1F84"/>
    <w:rsid w:val="791D0736"/>
    <w:rsid w:val="79321132"/>
    <w:rsid w:val="79746AE6"/>
    <w:rsid w:val="7A172027"/>
    <w:rsid w:val="7A210D18"/>
    <w:rsid w:val="7A22511F"/>
    <w:rsid w:val="7AF21885"/>
    <w:rsid w:val="7C043FDC"/>
    <w:rsid w:val="7C0959BF"/>
    <w:rsid w:val="7C6A472C"/>
    <w:rsid w:val="7C9E1718"/>
    <w:rsid w:val="7D4E4DE2"/>
    <w:rsid w:val="7D50736D"/>
    <w:rsid w:val="7D7D49E3"/>
    <w:rsid w:val="7E080F10"/>
    <w:rsid w:val="7EA644CC"/>
    <w:rsid w:val="7ED5572A"/>
    <w:rsid w:val="7EDA196C"/>
    <w:rsid w:val="7F4D1DB6"/>
    <w:rsid w:val="7F984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8">
    <w:name w:val="heading 1"/>
    <w:basedOn w:val="1"/>
    <w:next w:val="1"/>
    <w:link w:val="35"/>
    <w:qFormat/>
    <w:uiPriority w:val="0"/>
    <w:pPr>
      <w:keepNext/>
      <w:jc w:val="center"/>
      <w:outlineLvl w:val="0"/>
    </w:pPr>
    <w:rPr>
      <w:rFonts w:ascii="黑体" w:hAnsi="黑体"/>
      <w:b/>
      <w:kern w:val="0"/>
      <w:sz w:val="44"/>
    </w:rPr>
  </w:style>
  <w:style w:type="paragraph" w:styleId="9">
    <w:name w:val="heading 2"/>
    <w:basedOn w:val="1"/>
    <w:next w:val="1"/>
    <w:link w:val="34"/>
    <w:qFormat/>
    <w:uiPriority w:val="0"/>
    <w:pPr>
      <w:keepNext/>
      <w:spacing w:line="720" w:lineRule="exact"/>
      <w:jc w:val="center"/>
      <w:outlineLvl w:val="1"/>
    </w:pPr>
    <w:rPr>
      <w:rFonts w:ascii="黑体" w:hAnsi="黑体"/>
      <w:b/>
      <w:kern w:val="0"/>
      <w:sz w:val="44"/>
    </w:rPr>
  </w:style>
  <w:style w:type="paragraph" w:styleId="10">
    <w:name w:val="heading 3"/>
    <w:basedOn w:val="1"/>
    <w:next w:val="1"/>
    <w:unhideWhenUsed/>
    <w:qFormat/>
    <w:uiPriority w:val="0"/>
    <w:pPr>
      <w:keepNext/>
      <w:keepLines/>
      <w:spacing w:before="260" w:after="260" w:line="413" w:lineRule="auto"/>
      <w:outlineLvl w:val="2"/>
    </w:pPr>
    <w:rPr>
      <w:b/>
      <w:sz w:val="32"/>
    </w:rPr>
  </w:style>
  <w:style w:type="paragraph" w:styleId="11">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23">
    <w:name w:val="Default Paragraph Font"/>
    <w:semiHidden/>
    <w:unhideWhenUsed/>
    <w:qFormat/>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5"/>
    <w:semiHidden/>
    <w:unhideWhenUsed/>
    <w:qFormat/>
    <w:uiPriority w:val="99"/>
    <w:pPr>
      <w:ind w:firstLine="420" w:firstLineChars="200"/>
    </w:pPr>
  </w:style>
  <w:style w:type="paragraph" w:styleId="3">
    <w:name w:val="Body Text Indent"/>
    <w:basedOn w:val="1"/>
    <w:next w:val="4"/>
    <w:semiHidden/>
    <w:unhideWhenUsed/>
    <w:qFormat/>
    <w:uiPriority w:val="99"/>
    <w:pPr>
      <w:ind w:left="420" w:leftChars="200"/>
    </w:pPr>
  </w:style>
  <w:style w:type="paragraph" w:customStyle="1" w:styleId="4">
    <w:name w:val="font5"/>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5">
    <w:name w:val="Body Text First Indent"/>
    <w:basedOn w:val="6"/>
    <w:next w:val="1"/>
    <w:unhideWhenUsed/>
    <w:qFormat/>
    <w:uiPriority w:val="99"/>
    <w:pPr>
      <w:ind w:firstLine="420" w:firstLineChars="100"/>
    </w:pPr>
    <w:rPr>
      <w:szCs w:val="24"/>
    </w:rPr>
  </w:style>
  <w:style w:type="paragraph" w:styleId="6">
    <w:name w:val="Body Text"/>
    <w:basedOn w:val="7"/>
    <w:next w:val="7"/>
    <w:qFormat/>
    <w:uiPriority w:val="0"/>
    <w:pPr>
      <w:spacing w:after="120"/>
    </w:pPr>
    <w:rPr>
      <w:rFonts w:ascii="Times New Roman"/>
      <w:kern w:val="2"/>
      <w:sz w:val="21"/>
    </w:rPr>
  </w:style>
  <w:style w:type="paragraph" w:customStyle="1" w:styleId="7">
    <w:name w:val="Normal"/>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12">
    <w:name w:val="Normal Indent"/>
    <w:basedOn w:val="1"/>
    <w:qFormat/>
    <w:uiPriority w:val="0"/>
    <w:pPr>
      <w:ind w:firstLine="420" w:firstLineChars="200"/>
    </w:pPr>
  </w:style>
  <w:style w:type="paragraph" w:styleId="13">
    <w:name w:val="annotation text"/>
    <w:basedOn w:val="1"/>
    <w:qFormat/>
    <w:uiPriority w:val="0"/>
    <w:pPr>
      <w:jc w:val="left"/>
    </w:pPr>
  </w:style>
  <w:style w:type="paragraph" w:styleId="14">
    <w:name w:val="toc 3"/>
    <w:basedOn w:val="1"/>
    <w:next w:val="1"/>
    <w:semiHidden/>
    <w:qFormat/>
    <w:uiPriority w:val="0"/>
    <w:pPr>
      <w:ind w:left="840" w:leftChars="400"/>
    </w:pPr>
  </w:style>
  <w:style w:type="paragraph" w:styleId="15">
    <w:name w:val="Plain Text"/>
    <w:basedOn w:val="1"/>
    <w:qFormat/>
    <w:uiPriority w:val="0"/>
    <w:rPr>
      <w:rFonts w:ascii="宋体" w:hAnsi="Courier New" w:cs="Courier New"/>
      <w:szCs w:val="21"/>
    </w:rPr>
  </w:style>
  <w:style w:type="paragraph" w:styleId="16">
    <w:name w:val="footer"/>
    <w:basedOn w:val="1"/>
    <w:next w:val="1"/>
    <w:qFormat/>
    <w:uiPriority w:val="99"/>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semiHidden/>
    <w:qFormat/>
    <w:uiPriority w:val="0"/>
    <w:pPr>
      <w:tabs>
        <w:tab w:val="right" w:leader="dot" w:pos="9060"/>
      </w:tabs>
      <w:spacing w:line="360" w:lineRule="auto"/>
    </w:pPr>
  </w:style>
  <w:style w:type="paragraph" w:styleId="19">
    <w:name w:val="toc 2"/>
    <w:basedOn w:val="1"/>
    <w:next w:val="1"/>
    <w:semiHidden/>
    <w:qFormat/>
    <w:uiPriority w:val="0"/>
    <w:pPr>
      <w:tabs>
        <w:tab w:val="right" w:leader="dot" w:pos="9060"/>
      </w:tabs>
      <w:spacing w:line="360" w:lineRule="auto"/>
      <w:ind w:left="420" w:leftChars="200"/>
    </w:pPr>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0"/>
    <w:rPr>
      <w:b/>
      <w:bCs/>
    </w:rPr>
  </w:style>
  <w:style w:type="character" w:styleId="25">
    <w:name w:val="FollowedHyperlink"/>
    <w:basedOn w:val="23"/>
    <w:qFormat/>
    <w:uiPriority w:val="0"/>
    <w:rPr>
      <w:color w:val="333333"/>
      <w:u w:val="none"/>
    </w:rPr>
  </w:style>
  <w:style w:type="character" w:styleId="26">
    <w:name w:val="Emphasis"/>
    <w:basedOn w:val="23"/>
    <w:qFormat/>
    <w:uiPriority w:val="0"/>
  </w:style>
  <w:style w:type="character" w:styleId="27">
    <w:name w:val="HTML Definition"/>
    <w:basedOn w:val="23"/>
    <w:qFormat/>
    <w:uiPriority w:val="0"/>
    <w:rPr>
      <w:i/>
      <w:iCs/>
    </w:rPr>
  </w:style>
  <w:style w:type="character" w:styleId="28">
    <w:name w:val="Hyperlink"/>
    <w:basedOn w:val="23"/>
    <w:qFormat/>
    <w:uiPriority w:val="0"/>
    <w:rPr>
      <w:color w:val="333333"/>
      <w:u w:val="none"/>
    </w:rPr>
  </w:style>
  <w:style w:type="character" w:styleId="29">
    <w:name w:val="HTML Code"/>
    <w:basedOn w:val="23"/>
    <w:qFormat/>
    <w:uiPriority w:val="0"/>
    <w:rPr>
      <w:rFonts w:hint="default" w:ascii="Consolas" w:hAnsi="Consolas" w:eastAsia="Consolas" w:cs="Consolas"/>
      <w:color w:val="C7254E"/>
      <w:sz w:val="21"/>
      <w:szCs w:val="21"/>
      <w:shd w:val="clear" w:color="auto" w:fill="F9F2F4"/>
    </w:rPr>
  </w:style>
  <w:style w:type="character" w:styleId="30">
    <w:name w:val="HTML Keyboard"/>
    <w:basedOn w:val="23"/>
    <w:qFormat/>
    <w:uiPriority w:val="0"/>
    <w:rPr>
      <w:rFonts w:hint="default" w:ascii="Consolas" w:hAnsi="Consolas" w:eastAsia="Consolas" w:cs="Consolas"/>
      <w:color w:val="FFFFFF"/>
      <w:sz w:val="21"/>
      <w:szCs w:val="21"/>
      <w:shd w:val="clear" w:color="auto" w:fill="333333"/>
    </w:rPr>
  </w:style>
  <w:style w:type="character" w:styleId="31">
    <w:name w:val="HTML Sample"/>
    <w:basedOn w:val="23"/>
    <w:qFormat/>
    <w:uiPriority w:val="0"/>
    <w:rPr>
      <w:rFonts w:ascii="Consolas" w:hAnsi="Consolas" w:eastAsia="Consolas" w:cs="Consolas"/>
      <w:sz w:val="21"/>
      <w:szCs w:val="21"/>
    </w:rPr>
  </w:style>
  <w:style w:type="paragraph" w:customStyle="1" w:styleId="32">
    <w:name w:val="正文1"/>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customStyle="1" w:styleId="33">
    <w:name w:val="默认段落字体 Para Char Char Char Char"/>
    <w:basedOn w:val="1"/>
    <w:qFormat/>
    <w:uiPriority w:val="0"/>
  </w:style>
  <w:style w:type="character" w:customStyle="1" w:styleId="34">
    <w:name w:val="标题 2 字符"/>
    <w:link w:val="9"/>
    <w:qFormat/>
    <w:uiPriority w:val="0"/>
    <w:rPr>
      <w:rFonts w:ascii="黑体" w:hAnsi="黑体"/>
      <w:b/>
      <w:kern w:val="0"/>
      <w:sz w:val="44"/>
    </w:rPr>
  </w:style>
  <w:style w:type="character" w:customStyle="1" w:styleId="35">
    <w:name w:val="标题 1 字符"/>
    <w:link w:val="8"/>
    <w:qFormat/>
    <w:uiPriority w:val="0"/>
    <w:rPr>
      <w:rFonts w:ascii="黑体" w:hAnsi="黑体"/>
      <w:b/>
      <w:kern w:val="0"/>
      <w:sz w:val="44"/>
    </w:rPr>
  </w:style>
  <w:style w:type="paragraph" w:customStyle="1" w:styleId="36">
    <w:name w:val="列出段落1"/>
    <w:basedOn w:val="1"/>
    <w:qFormat/>
    <w:uiPriority w:val="34"/>
    <w:pPr>
      <w:ind w:firstLine="420" w:firstLineChars="200"/>
    </w:pPr>
    <w:rPr>
      <w:rFonts w:ascii="Calibri" w:hAnsi="Calibri" w:cs="黑体"/>
      <w:szCs w:val="22"/>
    </w:rPr>
  </w:style>
  <w:style w:type="character" w:customStyle="1" w:styleId="37">
    <w:name w:val="font61"/>
    <w:basedOn w:val="23"/>
    <w:qFormat/>
    <w:uiPriority w:val="0"/>
    <w:rPr>
      <w:rFonts w:hint="eastAsia" w:ascii="宋体" w:hAnsi="宋体" w:eastAsia="宋体" w:cs="宋体"/>
      <w:b/>
      <w:color w:val="000000"/>
      <w:sz w:val="20"/>
      <w:szCs w:val="20"/>
      <w:u w:val="none"/>
    </w:rPr>
  </w:style>
  <w:style w:type="character" w:customStyle="1" w:styleId="38">
    <w:name w:val="font11"/>
    <w:basedOn w:val="23"/>
    <w:qFormat/>
    <w:uiPriority w:val="0"/>
    <w:rPr>
      <w:rFonts w:hint="eastAsia" w:ascii="宋体" w:hAnsi="宋体" w:eastAsia="宋体" w:cs="宋体"/>
      <w:color w:val="000000"/>
      <w:sz w:val="21"/>
      <w:szCs w:val="21"/>
      <w:u w:val="none"/>
    </w:rPr>
  </w:style>
  <w:style w:type="character" w:customStyle="1" w:styleId="39">
    <w:name w:val="font01"/>
    <w:basedOn w:val="23"/>
    <w:qFormat/>
    <w:uiPriority w:val="0"/>
    <w:rPr>
      <w:rFonts w:hint="eastAsia" w:ascii="宋体" w:hAnsi="宋体" w:eastAsia="宋体" w:cs="宋体"/>
      <w:color w:val="000000"/>
      <w:sz w:val="18"/>
      <w:szCs w:val="18"/>
      <w:u w:val="none"/>
    </w:rPr>
  </w:style>
  <w:style w:type="character" w:customStyle="1" w:styleId="40">
    <w:name w:val="font21"/>
    <w:basedOn w:val="23"/>
    <w:qFormat/>
    <w:uiPriority w:val="0"/>
    <w:rPr>
      <w:rFonts w:ascii="Calibri" w:hAnsi="Calibri" w:cs="Calibri"/>
      <w:color w:val="000000"/>
      <w:sz w:val="21"/>
      <w:szCs w:val="21"/>
      <w:u w:val="none"/>
    </w:rPr>
  </w:style>
  <w:style w:type="character" w:customStyle="1" w:styleId="41">
    <w:name w:val="font51"/>
    <w:basedOn w:val="23"/>
    <w:qFormat/>
    <w:uiPriority w:val="0"/>
    <w:rPr>
      <w:rFonts w:hint="default" w:ascii="Times New Roman" w:hAnsi="Times New Roman" w:cs="Times New Roman"/>
      <w:color w:val="000000"/>
      <w:sz w:val="20"/>
      <w:szCs w:val="20"/>
      <w:u w:val="none"/>
    </w:rPr>
  </w:style>
  <w:style w:type="character" w:customStyle="1" w:styleId="42">
    <w:name w:val="font41"/>
    <w:basedOn w:val="23"/>
    <w:qFormat/>
    <w:uiPriority w:val="0"/>
    <w:rPr>
      <w:rFonts w:hint="default" w:ascii="Times New Roman" w:hAnsi="Times New Roman" w:cs="Times New Roman"/>
      <w:color w:val="000000"/>
      <w:sz w:val="20"/>
      <w:szCs w:val="20"/>
      <w:u w:val="none"/>
    </w:rPr>
  </w:style>
  <w:style w:type="character" w:customStyle="1" w:styleId="43">
    <w:name w:val="font71"/>
    <w:basedOn w:val="23"/>
    <w:qFormat/>
    <w:uiPriority w:val="0"/>
    <w:rPr>
      <w:rFonts w:hint="eastAsia" w:ascii="宋体" w:hAnsi="宋体" w:eastAsia="宋体" w:cs="宋体"/>
      <w:color w:val="FF0000"/>
      <w:sz w:val="18"/>
      <w:szCs w:val="18"/>
      <w:u w:val="none"/>
    </w:rPr>
  </w:style>
  <w:style w:type="character" w:customStyle="1" w:styleId="44">
    <w:name w:val="font31"/>
    <w:basedOn w:val="23"/>
    <w:qFormat/>
    <w:uiPriority w:val="0"/>
    <w:rPr>
      <w:rFonts w:hint="eastAsia" w:ascii="宋体" w:hAnsi="宋体" w:eastAsia="宋体" w:cs="宋体"/>
      <w:color w:val="000000"/>
      <w:sz w:val="18"/>
      <w:szCs w:val="18"/>
      <w:u w:val="none"/>
    </w:rPr>
  </w:style>
  <w:style w:type="character" w:customStyle="1" w:styleId="45">
    <w:name w:val="font101"/>
    <w:basedOn w:val="23"/>
    <w:qFormat/>
    <w:uiPriority w:val="0"/>
    <w:rPr>
      <w:rFonts w:hint="eastAsia" w:ascii="宋体" w:hAnsi="宋体" w:eastAsia="宋体" w:cs="宋体"/>
      <w:color w:val="FF0000"/>
      <w:sz w:val="18"/>
      <w:szCs w:val="18"/>
      <w:u w:val="none"/>
    </w:rPr>
  </w:style>
  <w:style w:type="character" w:customStyle="1" w:styleId="46">
    <w:name w:val="button"/>
    <w:basedOn w:val="23"/>
    <w:qFormat/>
    <w:uiPriority w:val="0"/>
  </w:style>
  <w:style w:type="character" w:customStyle="1" w:styleId="47">
    <w:name w:val="hour_pm"/>
    <w:basedOn w:val="23"/>
    <w:qFormat/>
    <w:uiPriority w:val="0"/>
  </w:style>
  <w:style w:type="character" w:customStyle="1" w:styleId="48">
    <w:name w:val="hover3"/>
    <w:basedOn w:val="23"/>
    <w:qFormat/>
    <w:uiPriority w:val="0"/>
    <w:rPr>
      <w:shd w:val="clear" w:color="auto" w:fill="EEEEEE"/>
    </w:rPr>
  </w:style>
  <w:style w:type="character" w:customStyle="1" w:styleId="49">
    <w:name w:val="tmpztreemove_arrow"/>
    <w:basedOn w:val="23"/>
    <w:qFormat/>
    <w:uiPriority w:val="0"/>
    <w:rPr>
      <w:shd w:val="clear" w:color="auto" w:fill="FFFFFF"/>
    </w:rPr>
  </w:style>
  <w:style w:type="character" w:customStyle="1" w:styleId="50">
    <w:name w:val="hour_am"/>
    <w:basedOn w:val="23"/>
    <w:qFormat/>
    <w:uiPriority w:val="0"/>
  </w:style>
  <w:style w:type="character" w:customStyle="1" w:styleId="51">
    <w:name w:val="old"/>
    <w:basedOn w:val="23"/>
    <w:qFormat/>
    <w:uiPriority w:val="0"/>
    <w:rPr>
      <w:color w:val="999999"/>
    </w:rPr>
  </w:style>
  <w:style w:type="character" w:customStyle="1" w:styleId="52">
    <w:name w:val="glyphicon4"/>
    <w:basedOn w:val="23"/>
    <w:qFormat/>
    <w:uiPriority w:val="0"/>
  </w:style>
  <w:style w:type="character" w:customStyle="1" w:styleId="53">
    <w:name w:val="indent"/>
    <w:basedOn w:val="23"/>
    <w:qFormat/>
    <w:uiPriority w:val="0"/>
  </w:style>
  <w:style w:type="character" w:customStyle="1" w:styleId="54">
    <w:name w:val="font112"/>
    <w:basedOn w:val="23"/>
    <w:qFormat/>
    <w:uiPriority w:val="0"/>
    <w:rPr>
      <w:rFonts w:ascii="Wingdings 2" w:hAnsi="Wingdings 2" w:eastAsia="Wingdings 2" w:cs="Wingdings 2"/>
      <w:color w:val="000000"/>
      <w:sz w:val="24"/>
      <w:szCs w:val="24"/>
      <w:u w:val="none"/>
    </w:rPr>
  </w:style>
  <w:style w:type="character" w:customStyle="1" w:styleId="55">
    <w:name w:val="font121"/>
    <w:basedOn w:val="23"/>
    <w:qFormat/>
    <w:uiPriority w:val="0"/>
    <w:rPr>
      <w:rFonts w:hint="eastAsia" w:ascii="宋体" w:hAnsi="宋体" w:eastAsia="宋体" w:cs="宋体"/>
      <w:color w:val="000000"/>
      <w:sz w:val="24"/>
      <w:szCs w:val="24"/>
      <w:u w:val="none"/>
    </w:rPr>
  </w:style>
  <w:style w:type="character" w:customStyle="1" w:styleId="56">
    <w:name w:val="font131"/>
    <w:basedOn w:val="23"/>
    <w:qFormat/>
    <w:uiPriority w:val="0"/>
    <w:rPr>
      <w:rFonts w:ascii="微软雅黑" w:hAnsi="微软雅黑" w:eastAsia="微软雅黑" w:cs="微软雅黑"/>
      <w:color w:val="000000"/>
      <w:sz w:val="24"/>
      <w:szCs w:val="24"/>
      <w:u w:val="none"/>
    </w:rPr>
  </w:style>
  <w:style w:type="character" w:customStyle="1" w:styleId="57">
    <w:name w:val="font141"/>
    <w:basedOn w:val="23"/>
    <w:qFormat/>
    <w:uiPriority w:val="0"/>
    <w:rPr>
      <w:rFonts w:ascii="微软雅黑" w:hAnsi="微软雅黑" w:eastAsia="微软雅黑" w:cs="微软雅黑"/>
      <w:color w:val="000000"/>
      <w:sz w:val="22"/>
      <w:szCs w:val="22"/>
      <w:u w:val="none"/>
    </w:rPr>
  </w:style>
  <w:style w:type="character" w:customStyle="1" w:styleId="58">
    <w:name w:val="font81"/>
    <w:basedOn w:val="23"/>
    <w:qFormat/>
    <w:uiPriority w:val="0"/>
    <w:rPr>
      <w:rFonts w:hint="eastAsia" w:ascii="仿宋" w:hAnsi="仿宋" w:eastAsia="仿宋" w:cs="仿宋"/>
      <w:color w:val="000000"/>
      <w:sz w:val="22"/>
      <w:szCs w:val="22"/>
      <w:u w:val="none"/>
    </w:rPr>
  </w:style>
  <w:style w:type="character" w:customStyle="1" w:styleId="59">
    <w:name w:val="font91"/>
    <w:basedOn w:val="23"/>
    <w:qFormat/>
    <w:uiPriority w:val="0"/>
    <w:rPr>
      <w:rFonts w:hint="eastAsia" w:ascii="仿宋" w:hAnsi="仿宋" w:eastAsia="仿宋" w:cs="仿宋"/>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90</Pages>
  <Words>36923</Words>
  <Characters>39697</Characters>
  <Lines>339</Lines>
  <Paragraphs>95</Paragraphs>
  <TotalTime>0</TotalTime>
  <ScaleCrop>false</ScaleCrop>
  <LinksUpToDate>false</LinksUpToDate>
  <CharactersWithSpaces>42318</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2020-09-11T01:34:00Z</dcterms:created>
  <dc:creator>Administrator</dc:creator>
  <cp:lastModifiedBy>张亚娜</cp:lastModifiedBy>
  <cp:lastPrinted>2021-02-09T03:28:00Z</cp:lastPrinted>
  <dcterms:modified xsi:type="dcterms:W3CDTF">2022-08-15T08:26:08Z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B610F5A96EC44638B115B5ACE7CBA15B</vt:lpwstr>
  </property>
</Properties>
</file>