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ascii="仿宋" w:hAnsi="仿宋" w:eastAsia="仿宋" w:cs="仿宋"/>
          <w:b/>
          <w:bCs/>
          <w:color w:val="auto"/>
          <w:sz w:val="32"/>
          <w:szCs w:val="32"/>
          <w:highlight w:val="none"/>
          <w:lang w:val="zh-CN"/>
        </w:rPr>
      </w:pPr>
      <w:bookmarkStart w:id="0" w:name="_Toc475451543"/>
      <w:bookmarkStart w:id="1" w:name="_Toc20135"/>
      <w:bookmarkStart w:id="2" w:name="_Toc25835"/>
      <w:bookmarkStart w:id="3" w:name="_Toc6076"/>
      <w:bookmarkStart w:id="4" w:name="_Toc20047"/>
      <w:bookmarkStart w:id="5" w:name="_Toc22159"/>
      <w:bookmarkStart w:id="6" w:name="_Toc4593"/>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rPr>
        <w:t>DX2022-164</w:t>
      </w:r>
    </w:p>
    <w:p>
      <w:pPr>
        <w:shd w:val="clear"/>
        <w:tabs>
          <w:tab w:val="left" w:pos="5670"/>
        </w:tabs>
        <w:autoSpaceDE w:val="0"/>
        <w:autoSpaceDN w:val="0"/>
        <w:adjustRightInd w:val="0"/>
        <w:spacing w:line="360" w:lineRule="auto"/>
        <w:ind w:firstLine="300"/>
        <w:rPr>
          <w:rFonts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灞桥区2021年新增教育建设奖补资金</w:t>
      </w: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--五星中学设备采购项目</w:t>
      </w:r>
    </w:p>
    <w:p>
      <w:pPr>
        <w:pStyle w:val="2"/>
        <w:shd w:val="clear"/>
        <w:ind w:left="0" w:leftChars="0" w:firstLine="0" w:firstLineChars="0"/>
        <w:jc w:val="center"/>
        <w:rPr>
          <w:color w:val="auto"/>
          <w:highlight w:val="none"/>
        </w:rPr>
      </w:pPr>
      <w:r>
        <w:rPr>
          <w:rFonts w:hint="eastAsia" w:ascii="宋体" w:hAnsi="宋体" w:cs="宋体"/>
          <w:b/>
          <w:bCs/>
          <w:color w:val="auto"/>
          <w:sz w:val="44"/>
          <w:szCs w:val="44"/>
          <w:highlight w:val="none"/>
        </w:rPr>
        <w:t>（第四标段）</w:t>
      </w:r>
    </w:p>
    <w:p>
      <w:pPr>
        <w:shd w:val="clear"/>
        <w:tabs>
          <w:tab w:val="left" w:pos="5670"/>
        </w:tabs>
        <w:autoSpaceDE w:val="0"/>
        <w:autoSpaceDN w:val="0"/>
        <w:adjustRightInd w:val="0"/>
        <w:spacing w:line="360" w:lineRule="auto"/>
        <w:rPr>
          <w:rFonts w:ascii="宋体" w:hAnsi="宋体" w:cs="宋体"/>
          <w:b/>
          <w:bCs/>
          <w:color w:val="auto"/>
          <w:sz w:val="44"/>
          <w:szCs w:val="44"/>
          <w:highlight w:val="none"/>
        </w:rPr>
      </w:pPr>
    </w:p>
    <w:p>
      <w:pPr>
        <w:pStyle w:val="6"/>
        <w:shd w:val="clear"/>
        <w:rPr>
          <w:color w:val="auto"/>
          <w:highlight w:val="none"/>
        </w:rPr>
      </w:pPr>
    </w:p>
    <w:p>
      <w:pPr>
        <w:shd w:val="clear"/>
        <w:tabs>
          <w:tab w:val="left" w:pos="5670"/>
        </w:tabs>
        <w:autoSpaceDE w:val="0"/>
        <w:autoSpaceDN w:val="0"/>
        <w:adjustRightInd w:val="0"/>
        <w:spacing w:line="360" w:lineRule="auto"/>
        <w:jc w:val="center"/>
        <w:rPr>
          <w:rFonts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ascii="宋体" w:hAnsi="宋体" w:cs="宋体"/>
          <w:b/>
          <w:color w:val="auto"/>
          <w:sz w:val="44"/>
          <w:szCs w:val="44"/>
          <w:highlight w:val="none"/>
        </w:rPr>
      </w:pP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lang w:val="zh-CN"/>
        </w:rPr>
      </w:pPr>
    </w:p>
    <w:p>
      <w:pPr>
        <w:pStyle w:val="5"/>
        <w:shd w:val="clear"/>
        <w:ind w:firstLine="321"/>
        <w:rPr>
          <w:rFonts w:ascii="仿宋" w:hAnsi="仿宋" w:eastAsia="仿宋" w:cs="仿宋"/>
          <w:b/>
          <w:bCs/>
          <w:color w:val="auto"/>
          <w:sz w:val="32"/>
          <w:szCs w:val="32"/>
          <w:highlight w:val="none"/>
          <w:lang w:val="zh-CN"/>
        </w:rPr>
      </w:pPr>
    </w:p>
    <w:p>
      <w:pPr>
        <w:pStyle w:val="5"/>
        <w:shd w:val="clear"/>
        <w:ind w:firstLine="321"/>
        <w:rPr>
          <w:rFonts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zh-CN"/>
        </w:rPr>
        <w:t>人：西安市灞桥区</w:t>
      </w:r>
      <w:r>
        <w:rPr>
          <w:rFonts w:hint="eastAsia" w:ascii="仿宋" w:hAnsi="仿宋" w:eastAsia="仿宋" w:cs="仿宋"/>
          <w:b/>
          <w:bCs/>
          <w:color w:val="auto"/>
          <w:sz w:val="32"/>
          <w:szCs w:val="32"/>
          <w:highlight w:val="none"/>
        </w:rPr>
        <w:t>教育局</w:t>
      </w:r>
    </w:p>
    <w:p>
      <w:pPr>
        <w:shd w:val="clear"/>
        <w:tabs>
          <w:tab w:val="left" w:pos="5670"/>
        </w:tabs>
        <w:autoSpaceDE w:val="0"/>
        <w:autoSpaceDN w:val="0"/>
        <w:adjustRightInd w:val="0"/>
        <w:spacing w:line="360" w:lineRule="auto"/>
        <w:ind w:firstLine="1285" w:firstLineChars="4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shd w:val="clear"/>
        <w:tabs>
          <w:tab w:val="right" w:leader="dot" w:pos="8504"/>
          <w:tab w:val="clear" w:pos="9060"/>
        </w:tabs>
        <w:rPr>
          <w:rFonts w:ascii="仿宋" w:hAnsi="仿宋" w:eastAsia="仿宋" w:cs="仿宋"/>
          <w:color w:val="auto"/>
          <w:szCs w:val="21"/>
          <w:highlight w:val="none"/>
        </w:rPr>
      </w:pPr>
      <w:r>
        <w:rPr>
          <w:rFonts w:hint="eastAsia" w:ascii="仿宋" w:hAnsi="仿宋" w:eastAsia="仿宋" w:cs="仿宋"/>
          <w:color w:val="auto"/>
          <w:sz w:val="18"/>
          <w:szCs w:val="18"/>
          <w:highlight w:val="none"/>
        </w:rPr>
        <w:fldChar w:fldCharType="begin"/>
      </w:r>
      <w:r>
        <w:rPr>
          <w:rFonts w:hint="eastAsia" w:ascii="仿宋" w:hAnsi="仿宋" w:eastAsia="仿宋" w:cs="仿宋"/>
          <w:color w:val="auto"/>
          <w:sz w:val="18"/>
          <w:szCs w:val="18"/>
          <w:highlight w:val="none"/>
        </w:rPr>
        <w:instrText xml:space="preserve">TOC \o "1-3" \h \u </w:instrText>
      </w:r>
      <w:r>
        <w:rPr>
          <w:rFonts w:hint="eastAsia" w:ascii="仿宋" w:hAnsi="仿宋" w:eastAsia="仿宋" w:cs="仿宋"/>
          <w:color w:val="auto"/>
          <w:sz w:val="18"/>
          <w:szCs w:val="18"/>
          <w:highlight w:val="none"/>
        </w:rPr>
        <w:fldChar w:fldCharType="separate"/>
      </w:r>
      <w:r>
        <w:rPr>
          <w:color w:val="auto"/>
          <w:highlight w:val="none"/>
        </w:rPr>
        <w:fldChar w:fldCharType="begin"/>
      </w:r>
      <w:r>
        <w:rPr>
          <w:color w:val="auto"/>
          <w:highlight w:val="none"/>
        </w:rPr>
        <w:instrText xml:space="preserve"> HYPERLINK \l "_Toc622" </w:instrText>
      </w:r>
      <w:r>
        <w:rPr>
          <w:color w:val="auto"/>
          <w:highlight w:val="none"/>
        </w:rPr>
        <w:fldChar w:fldCharType="separate"/>
      </w:r>
      <w:r>
        <w:rPr>
          <w:rFonts w:hint="eastAsia" w:ascii="仿宋" w:hAnsi="仿宋" w:eastAsia="仿宋" w:cs="仿宋"/>
          <w:color w:val="auto"/>
          <w:kern w:val="0"/>
          <w:szCs w:val="21"/>
          <w:highlight w:val="none"/>
          <w:lang w:val="zh-CN"/>
        </w:rPr>
        <w:t>第一部分  招标公告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_Toc622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"_Toc28565" </w:instrText>
      </w:r>
      <w:r>
        <w:rPr>
          <w:color w:val="auto"/>
          <w:highlight w:val="none"/>
        </w:rPr>
        <w:fldChar w:fldCharType="separate"/>
      </w:r>
      <w:r>
        <w:rPr>
          <w:rFonts w:hint="eastAsia" w:ascii="仿宋" w:hAnsi="仿宋" w:eastAsia="仿宋" w:cs="仿宋"/>
          <w:color w:val="auto"/>
          <w:szCs w:val="21"/>
          <w:highlight w:val="none"/>
          <w:lang w:val="zh-CN"/>
        </w:rPr>
        <w:t>第二部分</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zh-CN"/>
        </w:rPr>
        <w:t>供应商须知</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_Toc28565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"_Toc28781" </w:instrText>
      </w:r>
      <w:r>
        <w:rPr>
          <w:color w:val="auto"/>
          <w:highlight w:val="none"/>
        </w:rPr>
        <w:fldChar w:fldCharType="separate"/>
      </w:r>
      <w:r>
        <w:rPr>
          <w:rFonts w:hint="eastAsia" w:ascii="仿宋" w:hAnsi="仿宋" w:eastAsia="仿宋" w:cs="仿宋"/>
          <w:bCs/>
          <w:color w:val="auto"/>
          <w:szCs w:val="21"/>
          <w:highlight w:val="none"/>
          <w:lang w:val="zh-CN"/>
        </w:rPr>
        <w:t>一、总则</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_Toc28781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"_Toc27696" </w:instrText>
      </w:r>
      <w:r>
        <w:rPr>
          <w:color w:val="auto"/>
          <w:highlight w:val="none"/>
        </w:rPr>
        <w:fldChar w:fldCharType="separate"/>
      </w:r>
      <w:r>
        <w:rPr>
          <w:rFonts w:hint="eastAsia" w:ascii="仿宋" w:hAnsi="仿宋" w:eastAsia="仿宋" w:cs="仿宋"/>
          <w:bCs/>
          <w:color w:val="auto"/>
          <w:szCs w:val="21"/>
          <w:highlight w:val="none"/>
          <w:lang w:val="zh-CN"/>
        </w:rPr>
        <w:t>（一）适用范围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_Toc27696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"_Toc14450" </w:instrText>
      </w:r>
      <w:r>
        <w:rPr>
          <w:color w:val="auto"/>
          <w:highlight w:val="none"/>
        </w:rPr>
        <w:fldChar w:fldCharType="separate"/>
      </w:r>
      <w:r>
        <w:rPr>
          <w:rFonts w:hint="eastAsia" w:ascii="仿宋" w:hAnsi="仿宋" w:eastAsia="仿宋" w:cs="仿宋"/>
          <w:bCs/>
          <w:color w:val="auto"/>
          <w:szCs w:val="21"/>
          <w:highlight w:val="none"/>
          <w:lang w:val="zh-CN"/>
        </w:rPr>
        <w:t>（二）名词解释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_Toc14450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"_Toc9657" </w:instrText>
      </w:r>
      <w:r>
        <w:rPr>
          <w:color w:val="auto"/>
          <w:highlight w:val="none"/>
        </w:rPr>
        <w:fldChar w:fldCharType="separate"/>
      </w:r>
      <w:r>
        <w:rPr>
          <w:rFonts w:hint="eastAsia" w:ascii="仿宋" w:hAnsi="仿宋" w:eastAsia="仿宋" w:cs="仿宋"/>
          <w:bCs/>
          <w:color w:val="auto"/>
          <w:szCs w:val="21"/>
          <w:highlight w:val="none"/>
          <w:lang w:val="zh-CN"/>
        </w:rPr>
        <w:t>二、招标文件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_Toc9657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"_Toc30131" </w:instrText>
      </w:r>
      <w:r>
        <w:rPr>
          <w:color w:val="auto"/>
          <w:highlight w:val="none"/>
        </w:rPr>
        <w:fldChar w:fldCharType="separate"/>
      </w:r>
      <w:r>
        <w:rPr>
          <w:rFonts w:hint="eastAsia" w:ascii="仿宋" w:hAnsi="仿宋" w:eastAsia="仿宋" w:cs="仿宋"/>
          <w:color w:val="auto"/>
          <w:szCs w:val="21"/>
          <w:highlight w:val="none"/>
          <w:lang w:val="zh-CN"/>
        </w:rPr>
        <w:t>（一）招标文件的组成</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_Toc30131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"_Toc21637" </w:instrText>
      </w:r>
      <w:r>
        <w:rPr>
          <w:color w:val="auto"/>
          <w:highlight w:val="none"/>
        </w:rPr>
        <w:fldChar w:fldCharType="separate"/>
      </w:r>
      <w:r>
        <w:rPr>
          <w:rFonts w:hint="eastAsia" w:ascii="仿宋" w:hAnsi="仿宋" w:eastAsia="仿宋" w:cs="仿宋"/>
          <w:bCs/>
          <w:color w:val="auto"/>
          <w:szCs w:val="21"/>
          <w:highlight w:val="none"/>
        </w:rPr>
        <w:t>（二）</w:t>
      </w:r>
      <w:r>
        <w:rPr>
          <w:rFonts w:hint="eastAsia" w:ascii="仿宋" w:hAnsi="仿宋" w:eastAsia="仿宋" w:cs="仿宋"/>
          <w:bCs/>
          <w:color w:val="auto"/>
          <w:szCs w:val="21"/>
          <w:highlight w:val="none"/>
          <w:lang w:val="zh-CN"/>
        </w:rPr>
        <w:t>招标文件的修改或澄清</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_Toc21637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"_Toc18749" </w:instrText>
      </w:r>
      <w:r>
        <w:rPr>
          <w:color w:val="auto"/>
          <w:highlight w:val="none"/>
        </w:rPr>
        <w:fldChar w:fldCharType="separate"/>
      </w:r>
      <w:r>
        <w:rPr>
          <w:rFonts w:hint="eastAsia" w:ascii="仿宋" w:hAnsi="仿宋" w:eastAsia="仿宋" w:cs="仿宋"/>
          <w:bCs/>
          <w:color w:val="auto"/>
          <w:szCs w:val="21"/>
          <w:highlight w:val="none"/>
        </w:rPr>
        <w:t>（三）</w:t>
      </w:r>
      <w:r>
        <w:rPr>
          <w:rFonts w:hint="eastAsia" w:ascii="仿宋" w:hAnsi="仿宋" w:eastAsia="仿宋" w:cs="仿宋"/>
          <w:bCs/>
          <w:color w:val="auto"/>
          <w:szCs w:val="21"/>
          <w:highlight w:val="none"/>
          <w:lang w:val="zh-CN"/>
        </w:rPr>
        <w:t>招标文件的询问、质疑及答复</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_Toc18749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"_Toc32572" </w:instrText>
      </w:r>
      <w:r>
        <w:rPr>
          <w:color w:val="auto"/>
          <w:highlight w:val="none"/>
        </w:rPr>
        <w:fldChar w:fldCharType="separate"/>
      </w:r>
      <w:r>
        <w:rPr>
          <w:rFonts w:hint="eastAsia" w:ascii="仿宋" w:hAnsi="仿宋" w:eastAsia="仿宋" w:cs="仿宋"/>
          <w:bCs/>
          <w:color w:val="auto"/>
          <w:szCs w:val="21"/>
          <w:highlight w:val="none"/>
          <w:lang w:val="zh-CN"/>
        </w:rPr>
        <w:t>（四）招标文件的解释权</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_Toc32572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"_Toc2494" </w:instrText>
      </w:r>
      <w:r>
        <w:rPr>
          <w:color w:val="auto"/>
          <w:highlight w:val="none"/>
        </w:rPr>
        <w:fldChar w:fldCharType="separate"/>
      </w:r>
      <w:r>
        <w:rPr>
          <w:rFonts w:hint="eastAsia" w:ascii="仿宋" w:hAnsi="仿宋" w:eastAsia="仿宋" w:cs="仿宋"/>
          <w:color w:val="auto"/>
          <w:szCs w:val="21"/>
          <w:highlight w:val="none"/>
          <w:lang w:val="zh-CN"/>
        </w:rPr>
        <w:t>三、投标要求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_Toc2494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"_Toc27113" </w:instrText>
      </w:r>
      <w:r>
        <w:rPr>
          <w:color w:val="auto"/>
          <w:highlight w:val="none"/>
        </w:rPr>
        <w:fldChar w:fldCharType="separate"/>
      </w:r>
      <w:r>
        <w:rPr>
          <w:rFonts w:hint="eastAsia" w:ascii="仿宋" w:hAnsi="仿宋" w:eastAsia="仿宋" w:cs="仿宋"/>
          <w:bCs/>
          <w:color w:val="auto"/>
          <w:szCs w:val="21"/>
          <w:highlight w:val="none"/>
        </w:rPr>
        <w:t>（一）投标内容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_Toc27113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"_Toc31428" </w:instrText>
      </w:r>
      <w:r>
        <w:rPr>
          <w:color w:val="auto"/>
          <w:highlight w:val="none"/>
        </w:rPr>
        <w:fldChar w:fldCharType="separate"/>
      </w:r>
      <w:r>
        <w:rPr>
          <w:rFonts w:hint="eastAsia" w:ascii="仿宋" w:hAnsi="仿宋" w:eastAsia="仿宋" w:cs="仿宋"/>
          <w:color w:val="auto"/>
          <w:szCs w:val="21"/>
          <w:highlight w:val="none"/>
        </w:rPr>
        <w:t>（二）</w:t>
      </w:r>
      <w:r>
        <w:rPr>
          <w:rFonts w:hint="eastAsia" w:ascii="仿宋" w:hAnsi="仿宋" w:eastAsia="仿宋" w:cs="仿宋"/>
          <w:color w:val="auto"/>
          <w:szCs w:val="21"/>
          <w:highlight w:val="none"/>
          <w:lang w:val="zh-CN"/>
        </w:rPr>
        <w:t>合格的供应商要求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_Toc31428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"_Toc25295" </w:instrText>
      </w:r>
      <w:r>
        <w:rPr>
          <w:color w:val="auto"/>
          <w:highlight w:val="none"/>
        </w:rPr>
        <w:fldChar w:fldCharType="separate"/>
      </w:r>
      <w:r>
        <w:rPr>
          <w:rFonts w:hint="eastAsia" w:ascii="仿宋" w:hAnsi="仿宋" w:eastAsia="仿宋" w:cs="仿宋"/>
          <w:bCs/>
          <w:color w:val="auto"/>
          <w:szCs w:val="21"/>
          <w:highlight w:val="none"/>
        </w:rPr>
        <w:t>（三）</w:t>
      </w:r>
      <w:r>
        <w:rPr>
          <w:rFonts w:hint="eastAsia" w:ascii="仿宋" w:hAnsi="仿宋" w:eastAsia="仿宋" w:cs="仿宋"/>
          <w:bCs/>
          <w:color w:val="auto"/>
          <w:szCs w:val="21"/>
          <w:highlight w:val="none"/>
          <w:lang w:val="zh-CN"/>
        </w:rPr>
        <w:t>限制投标要求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_Toc25295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"_Toc3786" </w:instrText>
      </w:r>
      <w:r>
        <w:rPr>
          <w:color w:val="auto"/>
          <w:highlight w:val="none"/>
        </w:rPr>
        <w:fldChar w:fldCharType="separate"/>
      </w:r>
      <w:r>
        <w:rPr>
          <w:rFonts w:hint="eastAsia" w:ascii="仿宋" w:hAnsi="仿宋" w:eastAsia="仿宋" w:cs="仿宋"/>
          <w:bCs/>
          <w:color w:val="auto"/>
          <w:szCs w:val="21"/>
          <w:highlight w:val="none"/>
        </w:rPr>
        <w:t>（四）</w:t>
      </w:r>
      <w:r>
        <w:rPr>
          <w:rFonts w:hint="eastAsia" w:ascii="仿宋" w:hAnsi="仿宋" w:eastAsia="仿宋" w:cs="仿宋"/>
          <w:bCs/>
          <w:color w:val="auto"/>
          <w:szCs w:val="21"/>
          <w:highlight w:val="none"/>
          <w:lang w:val="zh-CN"/>
        </w:rPr>
        <w:t>投标文件有效期</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_Toc3786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"_Toc695" </w:instrText>
      </w:r>
      <w:r>
        <w:rPr>
          <w:color w:val="auto"/>
          <w:highlight w:val="none"/>
        </w:rPr>
        <w:fldChar w:fldCharType="separate"/>
      </w:r>
      <w:r>
        <w:rPr>
          <w:rFonts w:hint="eastAsia" w:ascii="仿宋" w:hAnsi="仿宋" w:eastAsia="仿宋" w:cs="仿宋"/>
          <w:color w:val="auto"/>
          <w:szCs w:val="21"/>
          <w:highlight w:val="none"/>
          <w:lang w:val="zh-CN"/>
        </w:rPr>
        <w:t>（五）投标文件的编写要求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"_Toc4804" </w:instrText>
      </w:r>
      <w:r>
        <w:rPr>
          <w:color w:val="auto"/>
          <w:highlight w:val="none"/>
        </w:rPr>
        <w:fldChar w:fldCharType="separate"/>
      </w:r>
      <w:r>
        <w:rPr>
          <w:rFonts w:hint="eastAsia" w:ascii="仿宋" w:hAnsi="仿宋" w:eastAsia="仿宋" w:cs="仿宋"/>
          <w:color w:val="auto"/>
          <w:szCs w:val="21"/>
          <w:highlight w:val="none"/>
          <w:lang w:val="zh-CN"/>
        </w:rPr>
        <w:t>（六）投标报价要求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_Toc4804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"_Toc25806" </w:instrText>
      </w:r>
      <w:r>
        <w:rPr>
          <w:color w:val="auto"/>
          <w:highlight w:val="none"/>
        </w:rPr>
        <w:fldChar w:fldCharType="separate"/>
      </w:r>
      <w:r>
        <w:rPr>
          <w:rFonts w:hint="eastAsia" w:ascii="仿宋" w:hAnsi="仿宋" w:eastAsia="仿宋" w:cs="仿宋"/>
          <w:color w:val="auto"/>
          <w:szCs w:val="21"/>
          <w:highlight w:val="none"/>
          <w:lang w:val="zh-CN"/>
        </w:rPr>
        <w:t>（七）投标文件的式样和签署</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_Toc25806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"_Toc22291" </w:instrText>
      </w:r>
      <w:r>
        <w:rPr>
          <w:color w:val="auto"/>
          <w:highlight w:val="none"/>
        </w:rPr>
        <w:fldChar w:fldCharType="separate"/>
      </w:r>
      <w:r>
        <w:rPr>
          <w:rFonts w:hint="eastAsia" w:ascii="仿宋" w:hAnsi="仿宋" w:eastAsia="仿宋" w:cs="仿宋"/>
          <w:color w:val="auto"/>
          <w:szCs w:val="21"/>
          <w:highlight w:val="none"/>
          <w:lang w:val="zh-CN"/>
        </w:rPr>
        <w:t>（八）投标文件的密封和提交</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_Toc22291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"_Toc14921" </w:instrText>
      </w:r>
      <w:r>
        <w:rPr>
          <w:color w:val="auto"/>
          <w:highlight w:val="none"/>
        </w:rPr>
        <w:fldChar w:fldCharType="separate"/>
      </w:r>
      <w:r>
        <w:rPr>
          <w:rFonts w:hint="eastAsia" w:ascii="仿宋" w:hAnsi="仿宋" w:eastAsia="仿宋" w:cs="仿宋"/>
          <w:color w:val="auto"/>
          <w:szCs w:val="21"/>
          <w:highlight w:val="none"/>
          <w:lang w:val="zh-CN"/>
        </w:rPr>
        <w:t>四、开标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_Toc14921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"_Toc18691" </w:instrText>
      </w:r>
      <w:r>
        <w:rPr>
          <w:color w:val="auto"/>
          <w:highlight w:val="none"/>
        </w:rPr>
        <w:fldChar w:fldCharType="separate"/>
      </w:r>
      <w:r>
        <w:rPr>
          <w:rFonts w:hint="eastAsia" w:ascii="仿宋" w:hAnsi="仿宋" w:eastAsia="仿宋" w:cs="仿宋"/>
          <w:color w:val="auto"/>
          <w:szCs w:val="21"/>
          <w:highlight w:val="none"/>
          <w:lang w:val="zh-CN"/>
        </w:rPr>
        <w:t>五、评标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_Toc18691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"_Toc114" </w:instrText>
      </w:r>
      <w:r>
        <w:rPr>
          <w:color w:val="auto"/>
          <w:highlight w:val="none"/>
        </w:rPr>
        <w:fldChar w:fldCharType="separate"/>
      </w:r>
      <w:r>
        <w:rPr>
          <w:rFonts w:hint="eastAsia" w:ascii="仿宋" w:hAnsi="仿宋" w:eastAsia="仿宋" w:cs="仿宋"/>
          <w:color w:val="auto"/>
          <w:szCs w:val="21"/>
          <w:highlight w:val="none"/>
          <w:lang w:val="zh-CN"/>
        </w:rPr>
        <w:t>六、评标程序及评标办法</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_Toc114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"_Toc11994" </w:instrText>
      </w:r>
      <w:r>
        <w:rPr>
          <w:color w:val="auto"/>
          <w:highlight w:val="none"/>
        </w:rPr>
        <w:fldChar w:fldCharType="separate"/>
      </w:r>
      <w:r>
        <w:rPr>
          <w:rFonts w:hint="eastAsia" w:ascii="仿宋" w:hAnsi="仿宋" w:eastAsia="仿宋" w:cs="仿宋"/>
          <w:color w:val="auto"/>
          <w:szCs w:val="21"/>
          <w:highlight w:val="none"/>
        </w:rPr>
        <w:t>（一）投标文件初审</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_Toc11994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"_Toc29000" </w:instrText>
      </w:r>
      <w:r>
        <w:rPr>
          <w:color w:val="auto"/>
          <w:highlight w:val="none"/>
        </w:rPr>
        <w:fldChar w:fldCharType="separate"/>
      </w:r>
      <w:r>
        <w:rPr>
          <w:rFonts w:hint="eastAsia" w:ascii="仿宋" w:hAnsi="仿宋" w:eastAsia="仿宋" w:cs="仿宋"/>
          <w:color w:val="auto"/>
          <w:szCs w:val="21"/>
          <w:highlight w:val="none"/>
          <w:lang w:val="zh-CN"/>
        </w:rPr>
        <w:t>（三）比较与评价</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_Toc29000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"_Toc9204" </w:instrText>
      </w:r>
      <w:r>
        <w:rPr>
          <w:color w:val="auto"/>
          <w:highlight w:val="none"/>
        </w:rPr>
        <w:fldChar w:fldCharType="separate"/>
      </w:r>
      <w:r>
        <w:rPr>
          <w:rFonts w:hint="eastAsia" w:ascii="仿宋" w:hAnsi="仿宋" w:eastAsia="仿宋" w:cs="仿宋"/>
          <w:color w:val="auto"/>
          <w:szCs w:val="21"/>
          <w:highlight w:val="none"/>
          <w:lang w:val="zh-CN"/>
        </w:rPr>
        <w:t>（二）投标文件的澄清、说明或者补正</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_Toc9204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"_Toc16187" </w:instrText>
      </w:r>
      <w:r>
        <w:rPr>
          <w:color w:val="auto"/>
          <w:highlight w:val="none"/>
        </w:rPr>
        <w:fldChar w:fldCharType="separate"/>
      </w:r>
      <w:r>
        <w:rPr>
          <w:rFonts w:hint="eastAsia" w:ascii="仿宋" w:hAnsi="仿宋" w:eastAsia="仿宋" w:cs="仿宋"/>
          <w:color w:val="auto"/>
          <w:szCs w:val="21"/>
          <w:highlight w:val="none"/>
          <w:lang w:val="zh-CN"/>
        </w:rPr>
        <w:t>（四）推荐中标候选人名单</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_Toc16187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"_Toc12272" </w:instrText>
      </w:r>
      <w:r>
        <w:rPr>
          <w:color w:val="auto"/>
          <w:highlight w:val="none"/>
        </w:rPr>
        <w:fldChar w:fldCharType="separate"/>
      </w:r>
      <w:r>
        <w:rPr>
          <w:rFonts w:hint="eastAsia" w:ascii="仿宋" w:hAnsi="仿宋" w:eastAsia="仿宋" w:cs="仿宋"/>
          <w:color w:val="auto"/>
          <w:szCs w:val="21"/>
          <w:highlight w:val="none"/>
          <w:lang w:val="zh-CN"/>
        </w:rPr>
        <w:t>七、确定中标供应商</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_Toc12272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"_Toc16609" </w:instrText>
      </w:r>
      <w:r>
        <w:rPr>
          <w:color w:val="auto"/>
          <w:highlight w:val="none"/>
        </w:rPr>
        <w:fldChar w:fldCharType="separate"/>
      </w:r>
      <w:r>
        <w:rPr>
          <w:rFonts w:hint="eastAsia" w:ascii="仿宋" w:hAnsi="仿宋" w:eastAsia="仿宋" w:cs="仿宋"/>
          <w:color w:val="auto"/>
          <w:szCs w:val="21"/>
          <w:highlight w:val="none"/>
          <w:lang w:val="zh-CN"/>
        </w:rPr>
        <w:t>八、合同</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_Toc16609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"_Toc9424" </w:instrText>
      </w:r>
      <w:r>
        <w:rPr>
          <w:color w:val="auto"/>
          <w:highlight w:val="none"/>
        </w:rPr>
        <w:fldChar w:fldCharType="separate"/>
      </w:r>
      <w:r>
        <w:rPr>
          <w:rFonts w:hint="eastAsia" w:ascii="仿宋" w:hAnsi="仿宋" w:eastAsia="仿宋" w:cs="仿宋"/>
          <w:color w:val="auto"/>
          <w:szCs w:val="21"/>
          <w:highlight w:val="none"/>
          <w:lang w:val="zh-CN"/>
        </w:rPr>
        <w:t>九、中标服务费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_Toc9424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"_Toc13550" </w:instrText>
      </w:r>
      <w:r>
        <w:rPr>
          <w:color w:val="auto"/>
          <w:highlight w:val="none"/>
        </w:rPr>
        <w:fldChar w:fldCharType="separate"/>
      </w:r>
      <w:r>
        <w:rPr>
          <w:rFonts w:hint="eastAsia" w:ascii="仿宋" w:hAnsi="仿宋" w:eastAsia="仿宋" w:cs="仿宋"/>
          <w:color w:val="auto"/>
          <w:szCs w:val="21"/>
          <w:highlight w:val="none"/>
          <w:lang w:val="zh-CN"/>
        </w:rPr>
        <w:t>十、废标或者采购方式的变更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_Toc13550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"_Toc4168" </w:instrText>
      </w:r>
      <w:r>
        <w:rPr>
          <w:color w:val="auto"/>
          <w:highlight w:val="none"/>
        </w:rPr>
        <w:fldChar w:fldCharType="separate"/>
      </w:r>
      <w:r>
        <w:rPr>
          <w:rFonts w:hint="eastAsia" w:ascii="仿宋" w:hAnsi="仿宋" w:eastAsia="仿宋" w:cs="仿宋"/>
          <w:color w:val="auto"/>
          <w:szCs w:val="21"/>
          <w:highlight w:val="none"/>
          <w:lang w:val="zh-CN"/>
        </w:rPr>
        <w:t>（一）废标</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_Toc4168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"_Toc23755" </w:instrText>
      </w:r>
      <w:r>
        <w:rPr>
          <w:color w:val="auto"/>
          <w:highlight w:val="none"/>
        </w:rPr>
        <w:fldChar w:fldCharType="separate"/>
      </w:r>
      <w:r>
        <w:rPr>
          <w:rFonts w:hint="eastAsia" w:ascii="仿宋" w:hAnsi="仿宋" w:eastAsia="仿宋" w:cs="仿宋"/>
          <w:color w:val="auto"/>
          <w:szCs w:val="21"/>
          <w:highlight w:val="none"/>
          <w:lang w:val="zh-CN"/>
        </w:rPr>
        <w:t>（二）采购方式的变更</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_Toc23755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"_Toc5755" </w:instrText>
      </w:r>
      <w:r>
        <w:rPr>
          <w:color w:val="auto"/>
          <w:highlight w:val="none"/>
        </w:rPr>
        <w:fldChar w:fldCharType="separate"/>
      </w:r>
      <w:r>
        <w:rPr>
          <w:rFonts w:hint="eastAsia" w:ascii="仿宋" w:hAnsi="仿宋" w:eastAsia="仿宋" w:cs="仿宋"/>
          <w:color w:val="auto"/>
          <w:szCs w:val="21"/>
          <w:highlight w:val="none"/>
          <w:lang w:val="zh-CN"/>
        </w:rPr>
        <w:t>十一、需要落实的政府采购政策</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_Toc5755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"_Toc6895" </w:instrText>
      </w:r>
      <w:r>
        <w:rPr>
          <w:color w:val="auto"/>
          <w:highlight w:val="none"/>
        </w:rPr>
        <w:fldChar w:fldCharType="separate"/>
      </w:r>
      <w:r>
        <w:rPr>
          <w:rFonts w:hint="eastAsia" w:ascii="仿宋" w:hAnsi="仿宋" w:eastAsia="仿宋" w:cs="仿宋"/>
          <w:color w:val="auto"/>
          <w:szCs w:val="21"/>
          <w:highlight w:val="none"/>
          <w:lang w:val="zh-CN"/>
        </w:rPr>
        <w:t>十二、质疑与投诉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_Toc6895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"_Toc2942" </w:instrText>
      </w:r>
      <w:r>
        <w:rPr>
          <w:color w:val="auto"/>
          <w:highlight w:val="none"/>
        </w:rPr>
        <w:fldChar w:fldCharType="separate"/>
      </w:r>
      <w:r>
        <w:rPr>
          <w:rFonts w:hint="eastAsia" w:ascii="仿宋" w:hAnsi="仿宋" w:eastAsia="仿宋" w:cs="仿宋"/>
          <w:bCs/>
          <w:color w:val="auto"/>
          <w:szCs w:val="21"/>
          <w:highlight w:val="none"/>
          <w:lang w:val="zh-CN"/>
        </w:rPr>
        <w:t>（一）质疑</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_Toc2942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29</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4"/>
        <w:shd w:val="clear"/>
        <w:tabs>
          <w:tab w:val="right" w:leader="dot" w:pos="8504"/>
        </w:tabs>
        <w:spacing w:line="360" w:lineRule="auto"/>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"_Toc18625" </w:instrText>
      </w:r>
      <w:r>
        <w:rPr>
          <w:color w:val="auto"/>
          <w:highlight w:val="none"/>
        </w:rPr>
        <w:fldChar w:fldCharType="separate"/>
      </w:r>
      <w:r>
        <w:rPr>
          <w:rFonts w:hint="eastAsia" w:ascii="仿宋" w:hAnsi="仿宋" w:eastAsia="仿宋" w:cs="仿宋"/>
          <w:bCs/>
          <w:color w:val="auto"/>
          <w:szCs w:val="21"/>
          <w:highlight w:val="none"/>
          <w:lang w:val="zh-CN"/>
        </w:rPr>
        <w:t>（二）投诉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_Toc18625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30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"_Toc2581" </w:instrText>
      </w:r>
      <w:r>
        <w:rPr>
          <w:color w:val="auto"/>
          <w:highlight w:val="none"/>
        </w:rPr>
        <w:fldChar w:fldCharType="separate"/>
      </w:r>
      <w:r>
        <w:rPr>
          <w:rFonts w:hint="eastAsia" w:ascii="仿宋" w:hAnsi="仿宋" w:eastAsia="仿宋" w:cs="仿宋"/>
          <w:color w:val="auto"/>
          <w:szCs w:val="21"/>
          <w:highlight w:val="none"/>
        </w:rPr>
        <w:t xml:space="preserve">第三部分  </w:t>
      </w:r>
      <w:r>
        <w:rPr>
          <w:rFonts w:hint="eastAsia" w:ascii="仿宋" w:hAnsi="仿宋" w:eastAsia="仿宋" w:cs="仿宋"/>
          <w:color w:val="auto"/>
          <w:szCs w:val="21"/>
          <w:highlight w:val="none"/>
          <w:lang w:val="zh-CN"/>
        </w:rPr>
        <w:t>招标内容及要求</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_Toc2581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"_Toc10479" </w:instrText>
      </w:r>
      <w:r>
        <w:rPr>
          <w:color w:val="auto"/>
          <w:highlight w:val="none"/>
        </w:rPr>
        <w:fldChar w:fldCharType="separate"/>
      </w:r>
      <w:r>
        <w:rPr>
          <w:rFonts w:hint="eastAsia" w:ascii="仿宋" w:hAnsi="仿宋" w:eastAsia="仿宋" w:cs="仿宋"/>
          <w:color w:val="auto"/>
          <w:szCs w:val="21"/>
          <w:highlight w:val="none"/>
        </w:rPr>
        <w:t xml:space="preserve">第四部分   </w:t>
      </w:r>
      <w:r>
        <w:rPr>
          <w:rFonts w:hint="eastAsia" w:ascii="仿宋" w:hAnsi="仿宋" w:eastAsia="仿宋" w:cs="仿宋"/>
          <w:color w:val="auto"/>
          <w:szCs w:val="21"/>
          <w:highlight w:val="none"/>
          <w:lang w:val="zh-CN"/>
        </w:rPr>
        <w:t>合同条款及格式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_Toc10479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8"/>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"_Toc31053" </w:instrText>
      </w:r>
      <w:r>
        <w:rPr>
          <w:color w:val="auto"/>
          <w:highlight w:val="none"/>
        </w:rPr>
        <w:fldChar w:fldCharType="separate"/>
      </w:r>
      <w:r>
        <w:rPr>
          <w:rFonts w:hint="eastAsia" w:ascii="仿宋" w:hAnsi="仿宋" w:eastAsia="仿宋" w:cs="仿宋"/>
          <w:bCs/>
          <w:color w:val="auto"/>
          <w:szCs w:val="21"/>
          <w:highlight w:val="none"/>
          <w:lang w:val="zh-CN"/>
        </w:rPr>
        <w:t>第五部分</w:t>
      </w:r>
      <w:r>
        <w:rPr>
          <w:rFonts w:hint="eastAsia" w:ascii="仿宋" w:hAnsi="仿宋" w:eastAsia="仿宋" w:cs="仿宋"/>
          <w:bCs/>
          <w:color w:val="auto"/>
          <w:szCs w:val="21"/>
          <w:highlight w:val="none"/>
        </w:rPr>
        <w:t xml:space="preserve">  投标文件格式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_Toc31053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"_Toc16671" </w:instrText>
      </w:r>
      <w:r>
        <w:rPr>
          <w:color w:val="auto"/>
          <w:highlight w:val="none"/>
        </w:rPr>
        <w:fldChar w:fldCharType="separate"/>
      </w:r>
      <w:r>
        <w:rPr>
          <w:rFonts w:hint="eastAsia" w:ascii="仿宋" w:hAnsi="仿宋" w:eastAsia="仿宋" w:cs="仿宋"/>
          <w:bCs/>
          <w:color w:val="auto"/>
          <w:szCs w:val="21"/>
          <w:highlight w:val="none"/>
          <w:lang w:val="zh-CN"/>
        </w:rPr>
        <w:t>一、投标函</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_Toc16671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"_Toc16343" </w:instrText>
      </w:r>
      <w:r>
        <w:rPr>
          <w:color w:val="auto"/>
          <w:highlight w:val="none"/>
        </w:rPr>
        <w:fldChar w:fldCharType="separate"/>
      </w:r>
      <w:r>
        <w:rPr>
          <w:rFonts w:hint="eastAsia" w:ascii="仿宋" w:hAnsi="仿宋" w:eastAsia="仿宋" w:cs="仿宋"/>
          <w:color w:val="auto"/>
          <w:szCs w:val="21"/>
          <w:highlight w:val="none"/>
          <w:lang w:val="zh-CN"/>
        </w:rPr>
        <w:t>二、开标一览表（唱标报告）</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_Toc16343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"_Toc32341" </w:instrText>
      </w:r>
      <w:r>
        <w:rPr>
          <w:color w:val="auto"/>
          <w:highlight w:val="none"/>
        </w:rPr>
        <w:fldChar w:fldCharType="separate"/>
      </w:r>
      <w:r>
        <w:rPr>
          <w:rFonts w:hint="eastAsia" w:ascii="仿宋" w:hAnsi="仿宋" w:eastAsia="仿宋" w:cs="仿宋"/>
          <w:color w:val="auto"/>
          <w:szCs w:val="21"/>
          <w:highlight w:val="none"/>
        </w:rPr>
        <w:t>三、费用组成明细表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_Toc32341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"_Toc6997" </w:instrText>
      </w:r>
      <w:r>
        <w:rPr>
          <w:color w:val="auto"/>
          <w:highlight w:val="none"/>
        </w:rPr>
        <w:fldChar w:fldCharType="separate"/>
      </w:r>
      <w:r>
        <w:rPr>
          <w:rFonts w:hint="eastAsia" w:ascii="仿宋" w:hAnsi="仿宋" w:eastAsia="仿宋" w:cs="仿宋"/>
          <w:color w:val="auto"/>
          <w:szCs w:val="21"/>
          <w:highlight w:val="none"/>
          <w:lang w:val="zh-CN"/>
        </w:rPr>
        <w:t>四、供应商资格证明文件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_Toc6997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97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"_Toc24985" </w:instrText>
      </w:r>
      <w:r>
        <w:rPr>
          <w:color w:val="auto"/>
          <w:highlight w:val="none"/>
        </w:rPr>
        <w:fldChar w:fldCharType="separate"/>
      </w:r>
      <w:r>
        <w:rPr>
          <w:rFonts w:hint="eastAsia" w:ascii="仿宋" w:hAnsi="仿宋" w:eastAsia="仿宋" w:cs="仿宋"/>
          <w:color w:val="auto"/>
          <w:szCs w:val="21"/>
          <w:highlight w:val="none"/>
          <w:lang w:val="zh-CN"/>
        </w:rPr>
        <w:t>五、合同主要条款偏离表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_Toc24985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110</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"_Toc759" </w:instrText>
      </w:r>
      <w:r>
        <w:rPr>
          <w:color w:val="auto"/>
          <w:highlight w:val="none"/>
        </w:rPr>
        <w:fldChar w:fldCharType="separate"/>
      </w:r>
      <w:r>
        <w:rPr>
          <w:rFonts w:hint="eastAsia" w:ascii="仿宋" w:hAnsi="仿宋" w:eastAsia="仿宋" w:cs="仿宋"/>
          <w:color w:val="auto"/>
          <w:szCs w:val="21"/>
          <w:highlight w:val="none"/>
        </w:rPr>
        <w:t>六、节能环保、环境标志产品明细表（若有）</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_Toc759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111</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"_Toc7823" </w:instrText>
      </w:r>
      <w:r>
        <w:rPr>
          <w:color w:val="auto"/>
          <w:highlight w:val="none"/>
        </w:rPr>
        <w:fldChar w:fldCharType="separate"/>
      </w:r>
      <w:r>
        <w:rPr>
          <w:rFonts w:hint="eastAsia" w:ascii="仿宋" w:hAnsi="仿宋" w:eastAsia="仿宋" w:cs="仿宋"/>
          <w:color w:val="auto"/>
          <w:szCs w:val="21"/>
          <w:highlight w:val="none"/>
        </w:rPr>
        <w:t>七</w:t>
      </w:r>
      <w:r>
        <w:rPr>
          <w:rFonts w:hint="eastAsia" w:ascii="仿宋" w:hAnsi="仿宋" w:eastAsia="仿宋" w:cs="仿宋"/>
          <w:color w:val="auto"/>
          <w:szCs w:val="21"/>
          <w:highlight w:val="none"/>
          <w:lang w:val="zh-CN"/>
        </w:rPr>
        <w:t>、技术规格偏离表</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_Toc7823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112</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"_Toc30747" </w:instrText>
      </w:r>
      <w:r>
        <w:rPr>
          <w:color w:val="auto"/>
          <w:highlight w:val="none"/>
        </w:rPr>
        <w:fldChar w:fldCharType="separate"/>
      </w:r>
      <w:r>
        <w:rPr>
          <w:rFonts w:hint="eastAsia" w:ascii="仿宋" w:hAnsi="仿宋" w:eastAsia="仿宋" w:cs="仿宋"/>
          <w:color w:val="auto"/>
          <w:szCs w:val="21"/>
          <w:highlight w:val="none"/>
        </w:rPr>
        <w:t>八、技术方案</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_Toc30747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113</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"_Toc9259" </w:instrText>
      </w:r>
      <w:r>
        <w:rPr>
          <w:color w:val="auto"/>
          <w:highlight w:val="none"/>
        </w:rPr>
        <w:fldChar w:fldCharType="separate"/>
      </w:r>
      <w:r>
        <w:rPr>
          <w:rFonts w:hint="eastAsia" w:ascii="仿宋" w:hAnsi="仿宋" w:eastAsia="仿宋" w:cs="仿宋"/>
          <w:color w:val="auto"/>
          <w:szCs w:val="21"/>
          <w:highlight w:val="none"/>
        </w:rPr>
        <w:t>九、质量保证及售后服务承诺</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_Toc9259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114</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"_Toc31948" </w:instrText>
      </w:r>
      <w:r>
        <w:rPr>
          <w:color w:val="auto"/>
          <w:highlight w:val="none"/>
        </w:rPr>
        <w:fldChar w:fldCharType="separate"/>
      </w:r>
      <w:r>
        <w:rPr>
          <w:rFonts w:hint="eastAsia" w:ascii="仿宋" w:hAnsi="仿宋" w:eastAsia="仿宋" w:cs="仿宋"/>
          <w:color w:val="auto"/>
          <w:szCs w:val="21"/>
          <w:highlight w:val="none"/>
        </w:rPr>
        <w:t>十、近年业绩的有关证明材料</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_Toc31948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115</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"_Toc1958" </w:instrText>
      </w:r>
      <w:r>
        <w:rPr>
          <w:color w:val="auto"/>
          <w:highlight w:val="none"/>
        </w:rPr>
        <w:fldChar w:fldCharType="separate"/>
      </w:r>
      <w:r>
        <w:rPr>
          <w:rFonts w:hint="eastAsia" w:ascii="仿宋" w:hAnsi="仿宋" w:eastAsia="仿宋" w:cs="仿宋"/>
          <w:color w:val="auto"/>
          <w:szCs w:val="21"/>
          <w:highlight w:val="none"/>
        </w:rPr>
        <w:t>十一、供应商企业关系关联承诺书</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_Toc1958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116</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rFonts w:ascii="仿宋" w:hAnsi="仿宋" w:eastAsia="仿宋" w:cs="仿宋"/>
          <w:color w:val="auto"/>
          <w:szCs w:val="21"/>
          <w:highlight w:val="none"/>
        </w:rPr>
      </w:pPr>
      <w:r>
        <w:rPr>
          <w:color w:val="auto"/>
          <w:highlight w:val="none"/>
        </w:rPr>
        <w:fldChar w:fldCharType="begin"/>
      </w:r>
      <w:r>
        <w:rPr>
          <w:color w:val="auto"/>
          <w:highlight w:val="none"/>
        </w:rPr>
        <w:instrText xml:space="preserve"> HYPERLINK \l "_Toc26450" </w:instrText>
      </w:r>
      <w:r>
        <w:rPr>
          <w:color w:val="auto"/>
          <w:highlight w:val="none"/>
        </w:rPr>
        <w:fldChar w:fldCharType="separate"/>
      </w:r>
      <w:r>
        <w:rPr>
          <w:rFonts w:hint="eastAsia" w:ascii="仿宋" w:hAnsi="仿宋" w:eastAsia="仿宋" w:cs="仿宋"/>
          <w:color w:val="auto"/>
          <w:kern w:val="0"/>
          <w:szCs w:val="21"/>
          <w:highlight w:val="none"/>
          <w:lang w:val="zh-CN"/>
        </w:rPr>
        <w:t>十</w:t>
      </w:r>
      <w:r>
        <w:rPr>
          <w:rFonts w:hint="eastAsia" w:ascii="仿宋" w:hAnsi="仿宋" w:eastAsia="仿宋" w:cs="仿宋"/>
          <w:color w:val="auto"/>
          <w:kern w:val="0"/>
          <w:szCs w:val="21"/>
          <w:highlight w:val="none"/>
        </w:rPr>
        <w:t>二</w:t>
      </w:r>
      <w:r>
        <w:rPr>
          <w:rFonts w:hint="eastAsia" w:ascii="仿宋" w:hAnsi="仿宋" w:eastAsia="仿宋" w:cs="仿宋"/>
          <w:color w:val="auto"/>
          <w:kern w:val="0"/>
          <w:szCs w:val="21"/>
          <w:highlight w:val="none"/>
          <w:lang w:val="zh-CN"/>
        </w:rPr>
        <w:t>、供应商廉洁自律承诺书</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_Toc26450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117</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pStyle w:val="19"/>
        <w:shd w:val="clear"/>
        <w:tabs>
          <w:tab w:val="right" w:leader="dot" w:pos="8504"/>
          <w:tab w:val="clear" w:pos="9060"/>
        </w:tabs>
        <w:rPr>
          <w:color w:val="auto"/>
          <w:highlight w:val="none"/>
        </w:rPr>
      </w:pPr>
      <w:r>
        <w:rPr>
          <w:color w:val="auto"/>
          <w:highlight w:val="none"/>
        </w:rPr>
        <w:fldChar w:fldCharType="begin"/>
      </w:r>
      <w:r>
        <w:rPr>
          <w:color w:val="auto"/>
          <w:highlight w:val="none"/>
        </w:rPr>
        <w:instrText xml:space="preserve"> HYPERLINK \l "_Toc19539" </w:instrText>
      </w:r>
      <w:r>
        <w:rPr>
          <w:color w:val="auto"/>
          <w:highlight w:val="none"/>
        </w:rPr>
        <w:fldChar w:fldCharType="separate"/>
      </w:r>
      <w:r>
        <w:rPr>
          <w:rFonts w:hint="eastAsia" w:ascii="仿宋" w:hAnsi="仿宋" w:eastAsia="仿宋" w:cs="仿宋"/>
          <w:color w:val="auto"/>
          <w:szCs w:val="21"/>
          <w:highlight w:val="none"/>
        </w:rPr>
        <w:t>十三</w:t>
      </w:r>
      <w:r>
        <w:rPr>
          <w:rFonts w:hint="eastAsia" w:ascii="仿宋" w:hAnsi="仿宋" w:eastAsia="仿宋" w:cs="仿宋"/>
          <w:color w:val="auto"/>
          <w:szCs w:val="21"/>
          <w:highlight w:val="none"/>
          <w:lang w:val="zh-CN"/>
        </w:rPr>
        <w:t>、供应商认为有必要补充说明的事项</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fldChar w:fldCharType="begin"/>
      </w:r>
      <w:r>
        <w:rPr>
          <w:rFonts w:hint="eastAsia" w:ascii="仿宋" w:hAnsi="仿宋" w:eastAsia="仿宋" w:cs="仿宋"/>
          <w:color w:val="auto"/>
          <w:szCs w:val="21"/>
          <w:highlight w:val="none"/>
        </w:rPr>
        <w:instrText xml:space="preserve"> PAGEREF _Toc19539 \h </w:instrText>
      </w:r>
      <w:r>
        <w:rPr>
          <w:rFonts w:hint="eastAsia" w:ascii="仿宋" w:hAnsi="仿宋" w:eastAsia="仿宋" w:cs="仿宋"/>
          <w:color w:val="auto"/>
          <w:szCs w:val="21"/>
          <w:highlight w:val="none"/>
        </w:rPr>
        <w:fldChar w:fldCharType="separate"/>
      </w:r>
      <w:r>
        <w:rPr>
          <w:rFonts w:hint="eastAsia" w:ascii="仿宋" w:hAnsi="仿宋" w:eastAsia="仿宋" w:cs="仿宋"/>
          <w:color w:val="auto"/>
          <w:szCs w:val="21"/>
          <w:highlight w:val="none"/>
        </w:rPr>
        <w:t>118</w:t>
      </w:r>
      <w:r>
        <w:rPr>
          <w:rFonts w:hint="eastAsia" w:ascii="仿宋" w:hAnsi="仿宋" w:eastAsia="仿宋" w:cs="仿宋"/>
          <w:color w:val="auto"/>
          <w:szCs w:val="21"/>
          <w:highlight w:val="none"/>
        </w:rPr>
        <w:fldChar w:fldCharType="end"/>
      </w:r>
      <w:r>
        <w:rPr>
          <w:rFonts w:hint="eastAsia" w:ascii="仿宋" w:hAnsi="仿宋" w:eastAsia="仿宋" w:cs="仿宋"/>
          <w:color w:val="auto"/>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color w:val="auto"/>
          <w:szCs w:val="18"/>
          <w:highlight w:val="none"/>
        </w:rPr>
        <w:fldChar w:fldCharType="end"/>
      </w:r>
      <w:bookmarkEnd w:id="0"/>
      <w:bookmarkEnd w:id="1"/>
      <w:bookmarkEnd w:id="2"/>
      <w:bookmarkEnd w:id="3"/>
      <w:bookmarkEnd w:id="4"/>
      <w:bookmarkEnd w:id="5"/>
      <w:bookmarkEnd w:id="6"/>
      <w:bookmarkEnd w:id="7"/>
      <w:bookmarkStart w:id="8" w:name="_Toc622"/>
      <w:bookmarkStart w:id="9" w:name="_Toc12438"/>
      <w:bookmarkStart w:id="10" w:name="_Toc31912"/>
      <w:bookmarkStart w:id="11" w:name="_Toc29439"/>
      <w:bookmarkStart w:id="12" w:name="_Toc24650"/>
      <w:bookmarkStart w:id="13" w:name="_Toc3130"/>
      <w:bookmarkStart w:id="14" w:name="_Toc8779"/>
      <w:bookmarkStart w:id="15" w:name="_Toc26858"/>
      <w:bookmarkStart w:id="16" w:name="_Toc28781"/>
      <w:bookmarkStart w:id="17" w:name="_Toc28753"/>
      <w:bookmarkStart w:id="18" w:name="_Toc475451544"/>
      <w:r>
        <w:rPr>
          <w:rFonts w:hint="eastAsia" w:ascii="仿宋" w:hAnsi="仿宋" w:eastAsia="仿宋" w:cs="仿宋"/>
          <w:b/>
          <w:color w:val="auto"/>
          <w:kern w:val="0"/>
          <w:sz w:val="32"/>
          <w:szCs w:val="32"/>
          <w:highlight w:val="none"/>
          <w:lang w:val="zh-CN" w:eastAsia="zh-CN" w:bidi="ar-SA"/>
        </w:rPr>
        <w:t>第一部分  招标公告</w:t>
      </w:r>
      <w:bookmarkEnd w:id="8"/>
      <w:bookmarkEnd w:id="9"/>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9" w:name="_Toc28539"/>
      <w:bookmarkStart w:id="20" w:name="_Toc26996"/>
      <w:bookmarkStart w:id="21" w:name="_Toc291"/>
      <w:bookmarkStart w:id="22" w:name="_Toc31741"/>
      <w:bookmarkStart w:id="23" w:name="_Toc786"/>
      <w:bookmarkStart w:id="24" w:name="_Toc16458"/>
      <w:bookmarkStart w:id="25" w:name="_Toc28565"/>
      <w:bookmarkStart w:id="26" w:name="_Toc14692"/>
      <w:bookmarkStart w:id="27" w:name="_Toc6649"/>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9"/>
      <w:bookmarkEnd w:id="20"/>
      <w:bookmarkEnd w:id="21"/>
      <w:bookmarkEnd w:id="22"/>
      <w:bookmarkEnd w:id="23"/>
      <w:bookmarkEnd w:id="24"/>
      <w:bookmarkEnd w:id="25"/>
      <w:bookmarkEnd w:id="26"/>
      <w:bookmarkEnd w:id="27"/>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包4（第四标段）：</w:t>
            </w: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pageBreakBefore/>
        <w:shd w:val="clear"/>
        <w:spacing w:line="360" w:lineRule="auto"/>
        <w:ind w:firstLine="482" w:firstLineChars="200"/>
        <w:outlineLvl w:val="1"/>
        <w:rPr>
          <w:rFonts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一、总则</w:t>
      </w:r>
      <w:bookmarkEnd w:id="10"/>
      <w:bookmarkEnd w:id="11"/>
      <w:bookmarkEnd w:id="12"/>
      <w:bookmarkEnd w:id="13"/>
      <w:bookmarkEnd w:id="14"/>
      <w:bookmarkEnd w:id="15"/>
      <w:bookmarkEnd w:id="16"/>
      <w:bookmarkEnd w:id="17"/>
    </w:p>
    <w:p>
      <w:pPr>
        <w:shd w:val="clear"/>
        <w:spacing w:line="360" w:lineRule="auto"/>
        <w:ind w:firstLine="482" w:firstLineChars="200"/>
        <w:outlineLvl w:val="2"/>
        <w:rPr>
          <w:rFonts w:ascii="仿宋" w:hAnsi="仿宋" w:eastAsia="仿宋" w:cs="仿宋"/>
          <w:color w:val="auto"/>
          <w:sz w:val="24"/>
          <w:szCs w:val="24"/>
          <w:highlight w:val="none"/>
          <w:lang w:val="zh-CN"/>
        </w:rPr>
      </w:pPr>
      <w:bookmarkStart w:id="28" w:name="_Toc7648"/>
      <w:bookmarkStart w:id="29" w:name="_Toc6093"/>
      <w:bookmarkStart w:id="30" w:name="_Toc5427"/>
      <w:bookmarkStart w:id="31" w:name="_Toc29110"/>
      <w:bookmarkStart w:id="32" w:name="_Toc6337"/>
      <w:bookmarkStart w:id="33" w:name="_Toc17517"/>
      <w:bookmarkStart w:id="34" w:name="_Toc14386"/>
      <w:bookmarkStart w:id="35" w:name="_Toc20"/>
      <w:bookmarkStart w:id="36" w:name="_Toc27696"/>
      <w:r>
        <w:rPr>
          <w:rFonts w:hint="eastAsia" w:ascii="仿宋" w:hAnsi="仿宋" w:eastAsia="仿宋" w:cs="仿宋"/>
          <w:b/>
          <w:bCs/>
          <w:color w:val="auto"/>
          <w:sz w:val="24"/>
          <w:szCs w:val="24"/>
          <w:highlight w:val="none"/>
          <w:lang w:val="zh-CN"/>
        </w:rPr>
        <w:t>（一）适用范围</w:t>
      </w:r>
      <w:bookmarkEnd w:id="28"/>
      <w:bookmarkEnd w:id="29"/>
      <w:bookmarkEnd w:id="30"/>
      <w:bookmarkEnd w:id="31"/>
      <w:bookmarkEnd w:id="32"/>
      <w:bookmarkEnd w:id="33"/>
      <w:bookmarkEnd w:id="34"/>
      <w:bookmarkEnd w:id="35"/>
      <w:bookmarkEnd w:id="36"/>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1、本招标文件仅适用于本次招标所述的灞桥区2021年新增教育建设奖补资金--五星中学设备采购项目采购活动。</w:t>
      </w:r>
    </w:p>
    <w:bookmarkEnd w:id="18"/>
    <w:p>
      <w:pPr>
        <w:shd w:val="clear"/>
        <w:spacing w:line="360" w:lineRule="auto"/>
        <w:ind w:firstLine="482" w:firstLineChars="200"/>
        <w:outlineLvl w:val="2"/>
        <w:rPr>
          <w:rFonts w:ascii="仿宋" w:hAnsi="仿宋" w:eastAsia="仿宋" w:cs="仿宋"/>
          <w:color w:val="auto"/>
          <w:sz w:val="24"/>
          <w:szCs w:val="24"/>
          <w:highlight w:val="none"/>
          <w:lang w:val="zh-CN"/>
        </w:rPr>
      </w:pPr>
      <w:bookmarkStart w:id="37" w:name="_Toc11334"/>
      <w:bookmarkStart w:id="38" w:name="_Toc14450"/>
      <w:bookmarkStart w:id="39" w:name="_Toc97"/>
      <w:bookmarkStart w:id="40" w:name="_Toc26769"/>
      <w:bookmarkStart w:id="41" w:name="_Toc25233"/>
      <w:bookmarkStart w:id="42" w:name="_Toc20501"/>
      <w:bookmarkStart w:id="43" w:name="_Toc20921"/>
      <w:bookmarkStart w:id="44" w:name="_Toc5174"/>
      <w:bookmarkStart w:id="45" w:name="_Toc18376"/>
      <w:r>
        <w:rPr>
          <w:rFonts w:hint="eastAsia" w:ascii="仿宋" w:hAnsi="仿宋" w:eastAsia="仿宋" w:cs="仿宋"/>
          <w:b/>
          <w:bCs/>
          <w:color w:val="auto"/>
          <w:sz w:val="24"/>
          <w:szCs w:val="24"/>
          <w:highlight w:val="none"/>
          <w:lang w:val="zh-CN"/>
        </w:rPr>
        <w:t>（二）名词解释</w:t>
      </w:r>
      <w:bookmarkEnd w:id="37"/>
      <w:bookmarkEnd w:id="38"/>
      <w:bookmarkEnd w:id="39"/>
      <w:bookmarkEnd w:id="40"/>
      <w:bookmarkEnd w:id="41"/>
      <w:bookmarkEnd w:id="42"/>
      <w:bookmarkEnd w:id="43"/>
      <w:bookmarkEnd w:id="44"/>
      <w:bookmarkEnd w:id="45"/>
    </w:p>
    <w:p>
      <w:pPr>
        <w:shd w:val="clear"/>
        <w:autoSpaceDE w:val="0"/>
        <w:autoSpaceDN w:val="0"/>
        <w:adjustRightInd w:val="0"/>
        <w:spacing w:line="36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shd w:val="clear"/>
        <w:autoSpaceDE w:val="0"/>
        <w:autoSpaceDN w:val="0"/>
        <w:adjustRightInd w:val="0"/>
        <w:snapToGrid w:val="0"/>
        <w:spacing w:line="360" w:lineRule="auto"/>
        <w:ind w:firstLine="482" w:firstLineChars="200"/>
        <w:outlineLvl w:val="1"/>
        <w:rPr>
          <w:rFonts w:ascii="仿宋" w:hAnsi="仿宋" w:eastAsia="仿宋" w:cs="仿宋"/>
          <w:b/>
          <w:bCs/>
          <w:color w:val="auto"/>
          <w:sz w:val="24"/>
          <w:szCs w:val="24"/>
          <w:highlight w:val="none"/>
          <w:lang w:val="zh-CN"/>
        </w:rPr>
      </w:pPr>
      <w:bookmarkStart w:id="46" w:name="_Toc13475"/>
      <w:bookmarkStart w:id="47" w:name="_Toc24956"/>
      <w:bookmarkStart w:id="48" w:name="_Toc5144"/>
      <w:bookmarkStart w:id="49" w:name="_Toc7846"/>
      <w:bookmarkStart w:id="50" w:name="_Toc32052"/>
      <w:bookmarkStart w:id="51" w:name="_Toc18136"/>
      <w:bookmarkStart w:id="52" w:name="_Toc9657"/>
      <w:bookmarkStart w:id="53" w:name="_Toc29138"/>
      <w:r>
        <w:rPr>
          <w:rFonts w:hint="eastAsia" w:ascii="仿宋" w:hAnsi="仿宋" w:eastAsia="仿宋" w:cs="仿宋"/>
          <w:b/>
          <w:bCs/>
          <w:color w:val="auto"/>
          <w:sz w:val="24"/>
          <w:szCs w:val="24"/>
          <w:highlight w:val="none"/>
          <w:lang w:val="zh-CN"/>
        </w:rPr>
        <w:t>二、招标文件</w:t>
      </w:r>
      <w:bookmarkEnd w:id="46"/>
      <w:bookmarkEnd w:id="47"/>
      <w:bookmarkEnd w:id="48"/>
      <w:bookmarkEnd w:id="49"/>
      <w:bookmarkEnd w:id="50"/>
      <w:bookmarkEnd w:id="51"/>
      <w:bookmarkEnd w:id="52"/>
      <w:bookmarkEnd w:id="53"/>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54" w:name="_Toc24239"/>
      <w:bookmarkStart w:id="55" w:name="_Toc1837"/>
      <w:bookmarkStart w:id="56" w:name="_Toc22798"/>
      <w:bookmarkStart w:id="57" w:name="_Toc21955"/>
      <w:bookmarkStart w:id="58" w:name="_Toc23894"/>
      <w:bookmarkStart w:id="59" w:name="_Toc30131"/>
      <w:bookmarkStart w:id="60" w:name="_Toc19188"/>
      <w:bookmarkStart w:id="61" w:name="_Toc16573"/>
      <w:bookmarkStart w:id="62" w:name="_Toc27613"/>
      <w:r>
        <w:rPr>
          <w:rFonts w:hint="eastAsia" w:ascii="仿宋" w:hAnsi="仿宋" w:eastAsia="仿宋" w:cs="仿宋"/>
          <w:b/>
          <w:color w:val="auto"/>
          <w:sz w:val="24"/>
          <w:szCs w:val="24"/>
          <w:highlight w:val="none"/>
          <w:lang w:val="zh-CN"/>
        </w:rPr>
        <w:t>（一）招标文件</w:t>
      </w:r>
      <w:bookmarkEnd w:id="54"/>
      <w:bookmarkEnd w:id="55"/>
      <w:bookmarkEnd w:id="56"/>
      <w:r>
        <w:rPr>
          <w:rFonts w:hint="eastAsia" w:ascii="仿宋" w:hAnsi="仿宋" w:eastAsia="仿宋" w:cs="仿宋"/>
          <w:b/>
          <w:color w:val="auto"/>
          <w:sz w:val="24"/>
          <w:szCs w:val="24"/>
          <w:highlight w:val="none"/>
          <w:lang w:val="zh-CN"/>
        </w:rPr>
        <w:t>的组成</w:t>
      </w:r>
      <w:bookmarkEnd w:id="57"/>
      <w:bookmarkEnd w:id="58"/>
      <w:bookmarkEnd w:id="59"/>
      <w:bookmarkEnd w:id="60"/>
      <w:bookmarkEnd w:id="61"/>
      <w:bookmarkEnd w:id="62"/>
      <w:r>
        <w:rPr>
          <w:rFonts w:hint="eastAsia" w:ascii="仿宋" w:hAnsi="仿宋" w:eastAsia="仿宋" w:cs="仿宋"/>
          <w:b/>
          <w:color w:val="auto"/>
          <w:sz w:val="24"/>
          <w:szCs w:val="24"/>
          <w:highlight w:val="none"/>
          <w:lang w:val="zh-CN"/>
        </w:rPr>
        <w:t xml:space="preserve">   </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63" w:name="_Toc28098"/>
      <w:bookmarkStart w:id="64" w:name="_Toc26386"/>
      <w:bookmarkStart w:id="65" w:name="_Toc9208"/>
      <w:bookmarkStart w:id="66" w:name="_Toc16787"/>
      <w:bookmarkStart w:id="67" w:name="_Toc6936"/>
      <w:bookmarkStart w:id="68" w:name="_Toc21971"/>
      <w:bookmarkStart w:id="69" w:name="_Toc21637"/>
      <w:bookmarkStart w:id="70" w:name="_Toc15799"/>
      <w:bookmarkStart w:id="71" w:name="_Toc31680"/>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3"/>
      <w:bookmarkEnd w:id="64"/>
      <w:bookmarkEnd w:id="65"/>
      <w:bookmarkEnd w:id="66"/>
      <w:bookmarkEnd w:id="67"/>
      <w:bookmarkEnd w:id="68"/>
      <w:bookmarkEnd w:id="69"/>
      <w:bookmarkEnd w:id="70"/>
      <w:bookmarkEnd w:id="71"/>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72" w:name="_Toc31132"/>
      <w:bookmarkStart w:id="73" w:name="_Toc17894"/>
      <w:bookmarkStart w:id="74" w:name="_Toc18749"/>
      <w:bookmarkStart w:id="75" w:name="_Toc21498"/>
      <w:bookmarkStart w:id="76" w:name="_Toc19583"/>
      <w:bookmarkStart w:id="77" w:name="_Toc12617"/>
      <w:bookmarkStart w:id="78" w:name="_Toc1550"/>
      <w:bookmarkStart w:id="79" w:name="_Toc12729"/>
      <w:bookmarkStart w:id="80" w:name="_Toc2929"/>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2"/>
      <w:bookmarkEnd w:id="73"/>
      <w:bookmarkEnd w:id="74"/>
      <w:bookmarkEnd w:id="75"/>
      <w:bookmarkEnd w:id="76"/>
      <w:bookmarkEnd w:id="77"/>
      <w:bookmarkEnd w:id="78"/>
      <w:bookmarkEnd w:id="79"/>
      <w:bookmarkEnd w:id="80"/>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shd w:val="clear"/>
        <w:spacing w:before="0" w:beforeAutospacing="0" w:after="0" w:afterAutospacing="0" w:line="360" w:lineRule="auto"/>
        <w:ind w:firstLine="480" w:firstLineChars="200"/>
        <w:jc w:val="both"/>
        <w:rPr>
          <w:rFonts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shd w:val="clear"/>
        <w:spacing w:before="0" w:beforeAutospacing="0" w:after="0" w:afterAutospacing="0" w:line="360" w:lineRule="auto"/>
        <w:ind w:firstLine="480" w:firstLineChars="200"/>
        <w:jc w:val="both"/>
        <w:rPr>
          <w:rFonts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shd w:val="clear"/>
        <w:autoSpaceDE w:val="0"/>
        <w:autoSpaceDN w:val="0"/>
        <w:adjustRightInd w:val="0"/>
        <w:snapToGrid w:val="0"/>
        <w:spacing w:line="360" w:lineRule="auto"/>
        <w:ind w:firstLine="482" w:firstLineChars="200"/>
        <w:outlineLvl w:val="2"/>
        <w:rPr>
          <w:rFonts w:ascii="仿宋" w:hAnsi="仿宋" w:eastAsia="仿宋" w:cs="仿宋"/>
          <w:color w:val="auto"/>
          <w:sz w:val="24"/>
          <w:szCs w:val="24"/>
          <w:highlight w:val="none"/>
          <w:lang w:val="zh-CN"/>
        </w:rPr>
      </w:pPr>
      <w:bookmarkStart w:id="81" w:name="_Toc16954"/>
      <w:bookmarkStart w:id="82" w:name="_Toc17969"/>
      <w:bookmarkStart w:id="83" w:name="_Toc28965"/>
      <w:bookmarkStart w:id="84" w:name="_Toc27651"/>
      <w:bookmarkStart w:id="85" w:name="_Toc27857"/>
      <w:bookmarkStart w:id="86" w:name="_Toc1801"/>
      <w:bookmarkStart w:id="87" w:name="_Toc23823"/>
      <w:bookmarkStart w:id="88" w:name="_Toc16614"/>
      <w:bookmarkStart w:id="89" w:name="_Toc32572"/>
      <w:r>
        <w:rPr>
          <w:rFonts w:hint="eastAsia" w:ascii="仿宋" w:hAnsi="仿宋" w:eastAsia="仿宋" w:cs="仿宋"/>
          <w:b/>
          <w:bCs/>
          <w:color w:val="auto"/>
          <w:sz w:val="24"/>
          <w:szCs w:val="24"/>
          <w:highlight w:val="none"/>
          <w:lang w:val="zh-CN"/>
        </w:rPr>
        <w:t>（四）招标文件的解释权</w:t>
      </w:r>
      <w:bookmarkEnd w:id="81"/>
      <w:bookmarkEnd w:id="82"/>
      <w:bookmarkEnd w:id="83"/>
      <w:bookmarkEnd w:id="84"/>
      <w:bookmarkEnd w:id="85"/>
      <w:bookmarkEnd w:id="86"/>
      <w:bookmarkEnd w:id="87"/>
      <w:bookmarkEnd w:id="88"/>
      <w:bookmarkEnd w:id="89"/>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90" w:name="_Toc549"/>
      <w:bookmarkStart w:id="91" w:name="_Toc2494"/>
      <w:bookmarkStart w:id="92" w:name="_Toc13377"/>
      <w:bookmarkStart w:id="93" w:name="_Toc30757"/>
      <w:bookmarkStart w:id="94" w:name="_Toc16073"/>
      <w:bookmarkStart w:id="95" w:name="_Toc25911"/>
      <w:bookmarkStart w:id="96" w:name="_Toc8593"/>
      <w:bookmarkStart w:id="97" w:name="_Toc12572"/>
      <w:r>
        <w:rPr>
          <w:rFonts w:hint="eastAsia" w:ascii="仿宋" w:hAnsi="仿宋" w:eastAsia="仿宋" w:cs="仿宋"/>
          <w:b/>
          <w:color w:val="auto"/>
          <w:sz w:val="24"/>
          <w:szCs w:val="24"/>
          <w:highlight w:val="none"/>
          <w:lang w:val="zh-CN"/>
        </w:rPr>
        <w:t>三、投标要求</w:t>
      </w:r>
      <w:bookmarkEnd w:id="90"/>
      <w:bookmarkEnd w:id="91"/>
      <w:bookmarkEnd w:id="92"/>
      <w:bookmarkEnd w:id="93"/>
      <w:bookmarkEnd w:id="94"/>
      <w:bookmarkEnd w:id="95"/>
      <w:bookmarkEnd w:id="96"/>
      <w:bookmarkEnd w:id="97"/>
    </w:p>
    <w:p>
      <w:pPr>
        <w:shd w:val="clear"/>
        <w:snapToGrid w:val="0"/>
        <w:spacing w:line="360" w:lineRule="auto"/>
        <w:ind w:firstLine="482" w:firstLineChars="200"/>
        <w:outlineLvl w:val="2"/>
        <w:rPr>
          <w:rFonts w:ascii="仿宋" w:hAnsi="仿宋" w:eastAsia="仿宋" w:cs="仿宋"/>
          <w:color w:val="auto"/>
          <w:sz w:val="24"/>
          <w:szCs w:val="24"/>
          <w:highlight w:val="none"/>
        </w:rPr>
      </w:pPr>
      <w:bookmarkStart w:id="98" w:name="_Toc7693"/>
      <w:bookmarkStart w:id="99" w:name="_Toc17014"/>
      <w:bookmarkStart w:id="100" w:name="_Toc5035"/>
      <w:bookmarkStart w:id="101" w:name="_Toc95"/>
      <w:bookmarkStart w:id="102" w:name="_Toc6311"/>
      <w:bookmarkStart w:id="103" w:name="_Toc27113"/>
      <w:bookmarkStart w:id="104" w:name="_Toc9714"/>
      <w:bookmarkStart w:id="105" w:name="_Toc9226"/>
      <w:bookmarkStart w:id="106" w:name="_Toc12545"/>
      <w:r>
        <w:rPr>
          <w:rFonts w:hint="eastAsia" w:ascii="仿宋" w:hAnsi="仿宋" w:eastAsia="仿宋" w:cs="仿宋"/>
          <w:b/>
          <w:bCs/>
          <w:color w:val="auto"/>
          <w:sz w:val="24"/>
          <w:szCs w:val="24"/>
          <w:highlight w:val="none"/>
        </w:rPr>
        <w:t>（一）投标内容</w:t>
      </w:r>
      <w:bookmarkEnd w:id="98"/>
      <w:bookmarkEnd w:id="99"/>
      <w:bookmarkEnd w:id="100"/>
      <w:bookmarkEnd w:id="101"/>
      <w:bookmarkEnd w:id="102"/>
      <w:bookmarkEnd w:id="103"/>
      <w:bookmarkEnd w:id="104"/>
      <w:bookmarkEnd w:id="105"/>
      <w:bookmarkEnd w:id="106"/>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本次招标内容为灞桥区2021年新增教育建设奖补资金--五星中学设备采购项目，</w:t>
      </w:r>
      <w:r>
        <w:rPr>
          <w:rFonts w:hint="eastAsia" w:ascii="仿宋" w:hAnsi="仿宋" w:eastAsia="仿宋" w:cs="仿宋"/>
          <w:bCs/>
          <w:color w:val="auto"/>
          <w:sz w:val="24"/>
          <w:szCs w:val="24"/>
          <w:highlight w:val="none"/>
        </w:rPr>
        <w:t>各供应商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shd w:val="clear"/>
        <w:autoSpaceDE w:val="0"/>
        <w:autoSpaceDN w:val="0"/>
        <w:adjustRightInd w:val="0"/>
        <w:spacing w:line="360" w:lineRule="auto"/>
        <w:ind w:firstLine="482" w:firstLineChars="200"/>
        <w:outlineLvl w:val="2"/>
        <w:rPr>
          <w:rFonts w:ascii="仿宋" w:hAnsi="仿宋" w:eastAsia="仿宋" w:cs="仿宋"/>
          <w:b/>
          <w:color w:val="auto"/>
          <w:sz w:val="24"/>
          <w:szCs w:val="24"/>
          <w:highlight w:val="none"/>
        </w:rPr>
      </w:pPr>
      <w:bookmarkStart w:id="107" w:name="_Toc31428"/>
      <w:bookmarkStart w:id="108" w:name="_Toc8899"/>
      <w:bookmarkStart w:id="109" w:name="_Toc2941"/>
      <w:bookmarkStart w:id="110" w:name="_Toc15084"/>
      <w:bookmarkStart w:id="111" w:name="_Toc16292"/>
      <w:bookmarkStart w:id="112" w:name="_Toc27262"/>
      <w:bookmarkStart w:id="113" w:name="_Toc6567"/>
      <w:bookmarkStart w:id="114" w:name="_Toc21302"/>
      <w:bookmarkStart w:id="115" w:name="_Toc16899"/>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7"/>
      <w:bookmarkEnd w:id="108"/>
      <w:bookmarkEnd w:id="109"/>
      <w:bookmarkEnd w:id="110"/>
      <w:bookmarkEnd w:id="111"/>
      <w:bookmarkEnd w:id="112"/>
      <w:bookmarkEnd w:id="113"/>
      <w:bookmarkEnd w:id="114"/>
      <w:bookmarkEnd w:id="115"/>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rPr>
        <w:t>应有代收机构或税务机关的公章或业务专用章。依法免税的供应商应提供相关文件证明；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（5）出具履行合同所必需的设备和专业技术能力的书面声明；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）出具参加本次政府采购活动的书面声明。</w:t>
      </w:r>
    </w:p>
    <w:p>
      <w:pPr>
        <w:shd w:val="clear"/>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（1）法定代表人授权书及被授权人身份证，并且提供有效的劳动合同或开标截止前六个月内任意一个月养老保险缴纳证明（法人参加只需提供法定代表人身份证明）；</w:t>
      </w:r>
    </w:p>
    <w:p>
      <w:pPr>
        <w:shd w:val="clear"/>
        <w:tabs>
          <w:tab w:val="left" w:pos="9030"/>
        </w:tabs>
        <w:snapToGrid w:val="0"/>
        <w:spacing w:line="360" w:lineRule="auto"/>
        <w:ind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shd w:val="clear"/>
        <w:autoSpaceDE w:val="0"/>
        <w:autoSpaceDN w:val="0"/>
        <w:adjustRightInd w:val="0"/>
        <w:spacing w:line="360" w:lineRule="auto"/>
        <w:ind w:firstLine="482" w:firstLineChars="200"/>
        <w:outlineLvl w:val="2"/>
        <w:rPr>
          <w:rFonts w:ascii="仿宋" w:hAnsi="仿宋" w:eastAsia="仿宋" w:cs="仿宋"/>
          <w:b/>
          <w:bCs/>
          <w:color w:val="auto"/>
          <w:sz w:val="24"/>
          <w:szCs w:val="24"/>
          <w:highlight w:val="none"/>
        </w:rPr>
      </w:pPr>
      <w:bookmarkStart w:id="116" w:name="_Toc28737"/>
      <w:bookmarkStart w:id="117" w:name="_Toc3918"/>
      <w:bookmarkStart w:id="118" w:name="_Toc16392"/>
      <w:bookmarkStart w:id="119" w:name="_Toc2160"/>
      <w:bookmarkStart w:id="120" w:name="_Toc12028"/>
      <w:bookmarkStart w:id="121" w:name="_Toc25295"/>
      <w:bookmarkStart w:id="122" w:name="_Toc15273"/>
      <w:bookmarkStart w:id="123" w:name="_Toc15017"/>
      <w:bookmarkStart w:id="124" w:name="_Toc29705"/>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6"/>
      <w:bookmarkEnd w:id="117"/>
      <w:bookmarkEnd w:id="118"/>
      <w:bookmarkEnd w:id="119"/>
      <w:bookmarkEnd w:id="120"/>
      <w:bookmarkEnd w:id="121"/>
      <w:bookmarkEnd w:id="122"/>
      <w:bookmarkEnd w:id="123"/>
      <w:bookmarkEnd w:id="124"/>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shd w:val="clear"/>
        <w:autoSpaceDE w:val="0"/>
        <w:autoSpaceDN w:val="0"/>
        <w:adjustRightInd w:val="0"/>
        <w:spacing w:line="360" w:lineRule="auto"/>
        <w:ind w:firstLine="482" w:firstLineChars="200"/>
        <w:rPr>
          <w:rFonts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shd w:val="clear"/>
        <w:tabs>
          <w:tab w:val="left" w:pos="9030"/>
        </w:tabs>
        <w:snapToGrid w:val="0"/>
        <w:spacing w:line="360" w:lineRule="auto"/>
        <w:ind w:firstLine="482" w:firstLineChars="200"/>
        <w:outlineLvl w:val="2"/>
        <w:rPr>
          <w:rFonts w:ascii="仿宋" w:hAnsi="仿宋" w:eastAsia="仿宋" w:cs="仿宋"/>
          <w:b/>
          <w:bCs/>
          <w:color w:val="auto"/>
          <w:sz w:val="24"/>
          <w:szCs w:val="24"/>
          <w:highlight w:val="none"/>
          <w:lang w:val="zh-CN"/>
        </w:rPr>
      </w:pPr>
      <w:bookmarkStart w:id="125" w:name="_Toc2643"/>
      <w:bookmarkStart w:id="126" w:name="_Toc7380"/>
      <w:bookmarkStart w:id="127" w:name="_Toc3786"/>
      <w:bookmarkStart w:id="128" w:name="_Toc1281"/>
      <w:bookmarkStart w:id="129" w:name="_Toc9223"/>
      <w:bookmarkStart w:id="130" w:name="_Toc17603"/>
      <w:bookmarkStart w:id="131" w:name="_Toc18636"/>
      <w:bookmarkStart w:id="132" w:name="_Toc29714"/>
      <w:bookmarkStart w:id="133" w:name="_Toc12838"/>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5"/>
      <w:bookmarkEnd w:id="126"/>
      <w:bookmarkEnd w:id="127"/>
      <w:bookmarkEnd w:id="128"/>
      <w:bookmarkEnd w:id="129"/>
      <w:bookmarkEnd w:id="130"/>
      <w:bookmarkEnd w:id="131"/>
      <w:bookmarkEnd w:id="132"/>
      <w:bookmarkEnd w:id="133"/>
    </w:p>
    <w:p>
      <w:pPr>
        <w:shd w:val="clear"/>
        <w:tabs>
          <w:tab w:val="left" w:pos="9030"/>
        </w:tabs>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34" w:name="_Toc11560"/>
      <w:bookmarkStart w:id="135" w:name="_Toc695"/>
      <w:bookmarkStart w:id="136" w:name="_Toc9574"/>
      <w:bookmarkStart w:id="137" w:name="_Toc10986"/>
      <w:bookmarkStart w:id="138" w:name="_Toc21375"/>
      <w:bookmarkStart w:id="139" w:name="_Toc27607"/>
      <w:bookmarkStart w:id="140" w:name="_Toc13087"/>
      <w:bookmarkStart w:id="141" w:name="_Toc21738"/>
      <w:bookmarkStart w:id="142" w:name="_Toc8253"/>
      <w:r>
        <w:rPr>
          <w:rFonts w:hint="eastAsia" w:ascii="仿宋" w:hAnsi="仿宋" w:eastAsia="仿宋" w:cs="仿宋"/>
          <w:b/>
          <w:color w:val="auto"/>
          <w:sz w:val="24"/>
          <w:szCs w:val="24"/>
          <w:highlight w:val="none"/>
          <w:lang w:val="zh-CN"/>
        </w:rPr>
        <w:t>（五）投标文件的编写要求</w:t>
      </w:r>
      <w:bookmarkEnd w:id="134"/>
      <w:bookmarkEnd w:id="135"/>
      <w:bookmarkEnd w:id="136"/>
      <w:bookmarkEnd w:id="137"/>
      <w:bookmarkEnd w:id="138"/>
      <w:bookmarkEnd w:id="139"/>
      <w:bookmarkEnd w:id="140"/>
      <w:bookmarkEnd w:id="141"/>
      <w:bookmarkEnd w:id="142"/>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43" w:name="_Toc2115"/>
      <w:bookmarkStart w:id="144" w:name="_Toc1681"/>
      <w:bookmarkStart w:id="145" w:name="_Toc4804"/>
      <w:bookmarkStart w:id="146" w:name="_Toc4232"/>
      <w:bookmarkStart w:id="147" w:name="_Toc19554"/>
      <w:bookmarkStart w:id="148" w:name="_Toc11902"/>
      <w:bookmarkStart w:id="149" w:name="_Toc14561"/>
      <w:bookmarkStart w:id="150" w:name="_Toc11144"/>
      <w:bookmarkStart w:id="151" w:name="_Toc30294"/>
      <w:r>
        <w:rPr>
          <w:rFonts w:hint="eastAsia" w:ascii="仿宋" w:hAnsi="仿宋" w:eastAsia="仿宋" w:cs="仿宋"/>
          <w:b/>
          <w:color w:val="auto"/>
          <w:sz w:val="24"/>
          <w:szCs w:val="24"/>
          <w:highlight w:val="none"/>
          <w:lang w:val="zh-CN"/>
        </w:rPr>
        <w:t>（六）投标报价要求</w:t>
      </w:r>
      <w:bookmarkEnd w:id="143"/>
      <w:bookmarkEnd w:id="144"/>
      <w:bookmarkEnd w:id="145"/>
      <w:bookmarkEnd w:id="146"/>
      <w:bookmarkEnd w:id="147"/>
      <w:bookmarkEnd w:id="148"/>
      <w:bookmarkEnd w:id="149"/>
      <w:bookmarkEnd w:id="150"/>
      <w:bookmarkEnd w:id="151"/>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bookmarkStart w:id="152" w:name="_Toc10555"/>
      <w:r>
        <w:rPr>
          <w:rFonts w:hint="eastAsia" w:ascii="仿宋" w:hAnsi="仿宋" w:eastAsia="仿宋" w:cs="仿宋"/>
          <w:color w:val="auto"/>
          <w:sz w:val="24"/>
          <w:szCs w:val="24"/>
          <w:highlight w:val="none"/>
        </w:rPr>
        <w:t>1、供应商应在投标文件中的投标报价一览表上标明投标总报价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6"/>
        <w:shd w:val="clear"/>
        <w:spacing w:line="360" w:lineRule="auto"/>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2"/>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53" w:name="_Toc25806"/>
      <w:bookmarkStart w:id="154" w:name="_Toc26261"/>
      <w:bookmarkStart w:id="155" w:name="_Toc1086"/>
      <w:bookmarkStart w:id="156" w:name="_Toc18340"/>
      <w:bookmarkStart w:id="157" w:name="_Toc11741"/>
      <w:bookmarkStart w:id="158" w:name="_Toc3341"/>
      <w:bookmarkStart w:id="159" w:name="_Toc25857"/>
      <w:bookmarkStart w:id="160" w:name="_Toc6827"/>
      <w:bookmarkStart w:id="161" w:name="_Toc14066"/>
      <w:r>
        <w:rPr>
          <w:rFonts w:hint="eastAsia" w:ascii="仿宋" w:hAnsi="仿宋" w:eastAsia="仿宋" w:cs="仿宋"/>
          <w:b/>
          <w:color w:val="auto"/>
          <w:sz w:val="24"/>
          <w:szCs w:val="24"/>
          <w:highlight w:val="none"/>
          <w:lang w:val="zh-CN"/>
        </w:rPr>
        <w:t>（七）投标文件的式样和签署</w:t>
      </w:r>
      <w:bookmarkEnd w:id="153"/>
      <w:bookmarkEnd w:id="154"/>
      <w:bookmarkEnd w:id="155"/>
      <w:bookmarkEnd w:id="156"/>
      <w:bookmarkEnd w:id="157"/>
      <w:bookmarkEnd w:id="158"/>
      <w:bookmarkEnd w:id="159"/>
      <w:bookmarkEnd w:id="160"/>
      <w:bookmarkEnd w:id="161"/>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，U盘存储），投标文件的封面上应清楚地标记“正本”、“副本”、“电子版”字样。招标文件中“第五部分 四、供应商资格证明文件”单独胶装成册1本，与投标文件正本一同密封。</w:t>
      </w:r>
    </w:p>
    <w:p>
      <w:pPr>
        <w:shd w:val="clear"/>
        <w:tabs>
          <w:tab w:val="left" w:pos="9030"/>
        </w:tabs>
        <w:snapToGrid w:val="0"/>
        <w:spacing w:line="360" w:lineRule="auto"/>
        <w:ind w:firstLine="480" w:firstLineChars="200"/>
        <w:rPr>
          <w:rFonts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因字迹不清、表达不准或不按给定的投标文件格式编制的投标文件，所引起的不利后果由供应商自负。</w:t>
      </w:r>
    </w:p>
    <w:p>
      <w:pPr>
        <w:shd w:val="clear"/>
        <w:tabs>
          <w:tab w:val="left" w:pos="9030"/>
        </w:tabs>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投标文件必须加盖供应商公章并按照招标文件要求由法定代表人（或授权代表人）签字。若未按照要求签署的，按无效文件处理。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shd w:val="clear"/>
        <w:autoSpaceDE w:val="0"/>
        <w:autoSpaceDN w:val="0"/>
        <w:adjustRightInd w:val="0"/>
        <w:snapToGrid w:val="0"/>
        <w:spacing w:line="360" w:lineRule="auto"/>
        <w:ind w:firstLine="482" w:firstLineChars="200"/>
        <w:outlineLvl w:val="2"/>
        <w:rPr>
          <w:rFonts w:ascii="仿宋" w:hAnsi="仿宋" w:eastAsia="仿宋" w:cs="仿宋"/>
          <w:b/>
          <w:color w:val="auto"/>
          <w:sz w:val="24"/>
          <w:szCs w:val="24"/>
          <w:highlight w:val="none"/>
          <w:lang w:val="zh-CN"/>
        </w:rPr>
      </w:pPr>
      <w:bookmarkStart w:id="162" w:name="_Toc7086"/>
      <w:bookmarkStart w:id="163" w:name="_Toc22291"/>
      <w:bookmarkStart w:id="164" w:name="_Toc12544"/>
      <w:bookmarkStart w:id="165" w:name="_Toc5650"/>
      <w:bookmarkStart w:id="166" w:name="_Toc32210"/>
      <w:bookmarkStart w:id="167" w:name="_Toc1531"/>
      <w:bookmarkStart w:id="168" w:name="_Toc12685"/>
      <w:bookmarkStart w:id="169" w:name="_Toc22503"/>
      <w:bookmarkStart w:id="170" w:name="_Toc19200"/>
      <w:r>
        <w:rPr>
          <w:rFonts w:hint="eastAsia" w:ascii="仿宋" w:hAnsi="仿宋" w:eastAsia="仿宋" w:cs="仿宋"/>
          <w:b/>
          <w:color w:val="auto"/>
          <w:sz w:val="24"/>
          <w:szCs w:val="24"/>
          <w:highlight w:val="none"/>
          <w:lang w:val="zh-CN"/>
        </w:rPr>
        <w:t>（八）投标文件的密封和提交</w:t>
      </w:r>
      <w:bookmarkEnd w:id="162"/>
      <w:bookmarkEnd w:id="163"/>
      <w:bookmarkEnd w:id="164"/>
      <w:bookmarkEnd w:id="165"/>
      <w:bookmarkEnd w:id="166"/>
      <w:bookmarkEnd w:id="167"/>
      <w:bookmarkEnd w:id="168"/>
      <w:bookmarkEnd w:id="169"/>
      <w:bookmarkEnd w:id="170"/>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rPr>
        <w:t>3个包装袋。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71" w:name="_Toc17873"/>
      <w:bookmarkStart w:id="172" w:name="_Toc21515"/>
      <w:bookmarkStart w:id="173" w:name="_Toc25855"/>
      <w:bookmarkStart w:id="174" w:name="_Toc14306"/>
      <w:bookmarkStart w:id="175" w:name="_Toc23613"/>
      <w:bookmarkStart w:id="176" w:name="_Toc27743"/>
      <w:bookmarkStart w:id="177" w:name="_Toc14921"/>
      <w:bookmarkStart w:id="178" w:name="_Toc3457"/>
      <w:r>
        <w:rPr>
          <w:rFonts w:hint="eastAsia" w:ascii="仿宋" w:hAnsi="仿宋" w:eastAsia="仿宋" w:cs="仿宋"/>
          <w:b/>
          <w:color w:val="auto"/>
          <w:sz w:val="24"/>
          <w:szCs w:val="24"/>
          <w:highlight w:val="none"/>
          <w:lang w:val="zh-CN"/>
        </w:rPr>
        <w:t>四、开标</w:t>
      </w:r>
      <w:bookmarkEnd w:id="171"/>
      <w:bookmarkEnd w:id="172"/>
      <w:bookmarkEnd w:id="173"/>
      <w:bookmarkEnd w:id="174"/>
      <w:bookmarkEnd w:id="175"/>
      <w:bookmarkEnd w:id="176"/>
      <w:bookmarkEnd w:id="177"/>
      <w:bookmarkEnd w:id="178"/>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79" w:name="_Toc13967"/>
      <w:bookmarkStart w:id="180" w:name="_Toc8012"/>
      <w:bookmarkStart w:id="181" w:name="_Toc18691"/>
      <w:bookmarkStart w:id="182" w:name="_Toc21519"/>
      <w:bookmarkStart w:id="183" w:name="_Toc16283"/>
      <w:bookmarkStart w:id="184" w:name="_Toc22028"/>
      <w:bookmarkStart w:id="185" w:name="_Toc11628"/>
      <w:bookmarkStart w:id="186" w:name="_Toc3139"/>
      <w:r>
        <w:rPr>
          <w:rFonts w:hint="eastAsia" w:ascii="仿宋" w:hAnsi="仿宋" w:eastAsia="仿宋" w:cs="仿宋"/>
          <w:b/>
          <w:color w:val="auto"/>
          <w:sz w:val="24"/>
          <w:szCs w:val="24"/>
          <w:highlight w:val="none"/>
          <w:lang w:val="zh-CN"/>
        </w:rPr>
        <w:t>五、评标</w:t>
      </w:r>
      <w:bookmarkEnd w:id="179"/>
      <w:bookmarkEnd w:id="180"/>
      <w:bookmarkEnd w:id="181"/>
      <w:bookmarkEnd w:id="182"/>
      <w:bookmarkEnd w:id="183"/>
      <w:bookmarkEnd w:id="184"/>
      <w:bookmarkEnd w:id="185"/>
      <w:bookmarkEnd w:id="186"/>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rPr>
        <w:t>5人或以上单数，</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（五）公开开标后，直到向中标供应商授予合同为止，凡与审查、澄清、评价和比较投标的有关资料及授标意见等内容，评标委员会成员均不得向供应商及与评标无关的其他人透露。</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187" w:name="_Toc25493"/>
      <w:bookmarkStart w:id="188" w:name="_Toc18147"/>
      <w:bookmarkStart w:id="189" w:name="_Toc29394"/>
      <w:bookmarkStart w:id="190" w:name="_Toc6520"/>
      <w:bookmarkStart w:id="191" w:name="_Toc114"/>
      <w:bookmarkStart w:id="192" w:name="_Toc14972"/>
      <w:bookmarkStart w:id="193" w:name="_Toc14292"/>
      <w:bookmarkStart w:id="194" w:name="_Toc20761"/>
      <w:r>
        <w:rPr>
          <w:rFonts w:hint="eastAsia" w:ascii="仿宋" w:hAnsi="仿宋" w:eastAsia="仿宋" w:cs="仿宋"/>
          <w:b/>
          <w:color w:val="auto"/>
          <w:sz w:val="24"/>
          <w:szCs w:val="24"/>
          <w:highlight w:val="none"/>
          <w:lang w:val="zh-CN"/>
        </w:rPr>
        <w:t>六、</w:t>
      </w:r>
      <w:bookmarkStart w:id="195" w:name="_Toc495671240"/>
      <w:r>
        <w:rPr>
          <w:rFonts w:hint="eastAsia" w:ascii="仿宋" w:hAnsi="仿宋" w:eastAsia="仿宋" w:cs="仿宋"/>
          <w:b/>
          <w:color w:val="auto"/>
          <w:sz w:val="24"/>
          <w:szCs w:val="24"/>
          <w:highlight w:val="none"/>
          <w:lang w:val="zh-CN"/>
        </w:rPr>
        <w:t>评标程序及评标办法</w:t>
      </w:r>
      <w:bookmarkEnd w:id="187"/>
      <w:bookmarkEnd w:id="188"/>
      <w:bookmarkEnd w:id="189"/>
      <w:bookmarkEnd w:id="190"/>
      <w:bookmarkEnd w:id="191"/>
      <w:bookmarkEnd w:id="192"/>
      <w:bookmarkEnd w:id="193"/>
      <w:bookmarkEnd w:id="194"/>
      <w:bookmarkEnd w:id="195"/>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按照投标文件初审、澄清有关问题、比较与评价、推荐中标候选供应商名单的工作程序进行评标。</w:t>
      </w:r>
    </w:p>
    <w:p>
      <w:pPr>
        <w:shd w:val="clear"/>
        <w:tabs>
          <w:tab w:val="left" w:pos="9030"/>
        </w:tabs>
        <w:snapToGrid w:val="0"/>
        <w:spacing w:line="360" w:lineRule="auto"/>
        <w:ind w:firstLine="480" w:firstLineChars="200"/>
        <w:outlineLvl w:val="2"/>
        <w:rPr>
          <w:rFonts w:ascii="仿宋" w:hAnsi="仿宋" w:eastAsia="仿宋" w:cs="仿宋"/>
          <w:color w:val="auto"/>
          <w:sz w:val="24"/>
          <w:szCs w:val="24"/>
          <w:highlight w:val="none"/>
        </w:rPr>
      </w:pPr>
      <w:bookmarkStart w:id="196" w:name="_Toc26"/>
      <w:bookmarkStart w:id="197" w:name="_Toc11994"/>
      <w:bookmarkStart w:id="198" w:name="_Toc2042"/>
      <w:bookmarkStart w:id="199" w:name="_Toc14549"/>
      <w:bookmarkStart w:id="200" w:name="_Toc16065"/>
      <w:bookmarkStart w:id="201" w:name="_Toc2630"/>
      <w:bookmarkStart w:id="202" w:name="_Toc21585"/>
      <w:bookmarkStart w:id="203" w:name="_Toc19431"/>
      <w:bookmarkStart w:id="204" w:name="_Toc1543"/>
      <w:r>
        <w:rPr>
          <w:rFonts w:hint="eastAsia" w:ascii="仿宋" w:hAnsi="仿宋" w:eastAsia="仿宋" w:cs="仿宋"/>
          <w:color w:val="auto"/>
          <w:sz w:val="24"/>
          <w:szCs w:val="24"/>
          <w:highlight w:val="none"/>
        </w:rPr>
        <w:t>（一）投标文件初审</w:t>
      </w:r>
      <w:bookmarkEnd w:id="196"/>
      <w:bookmarkEnd w:id="197"/>
      <w:bookmarkEnd w:id="198"/>
      <w:bookmarkEnd w:id="199"/>
      <w:bookmarkEnd w:id="200"/>
      <w:bookmarkEnd w:id="201"/>
      <w:bookmarkEnd w:id="202"/>
      <w:bookmarkEnd w:id="203"/>
      <w:bookmarkEnd w:id="204"/>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1、投标文件的资格性审查：依据法律法规和招标文件的规定，采购人及采购代理机构对投标文件中的资格证明文件等进行审查，审查内容为公告中所列的供应商资格条件。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256"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资格审查项</w:t>
            </w:r>
          </w:p>
        </w:tc>
        <w:tc>
          <w:tcPr>
            <w:tcW w:w="5860"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营业执照等主体资格证明文件</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提供统一社会信用代码的营业执照或其他组织经营的合法凭证或自然人的提供身份证明文件。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财务状况报告</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税收缴纳证明</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社保缴纳证明</w:t>
            </w:r>
          </w:p>
        </w:tc>
        <w:tc>
          <w:tcPr>
            <w:tcW w:w="5860" w:type="dxa"/>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tc>
        <w:tc>
          <w:tcPr>
            <w:tcW w:w="5860"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1.出具履行合同所必需的设备和专业技术能力的书面声明；</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信用记录</w:t>
            </w:r>
          </w:p>
        </w:tc>
        <w:tc>
          <w:tcPr>
            <w:tcW w:w="5860"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经查，供应商未被列入“信用中国”网站记录的“失信被执行人”或“重大税收违法失信主体”名单； 不处于“中国政府采购网”记录的“政府采购严重违法失信行为记录名单 ”中的禁止参加政府采购活动期间。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2256" w:type="dxa"/>
            <w:vAlign w:val="center"/>
          </w:tcPr>
          <w:p>
            <w:pPr>
              <w:shd w:val="clear"/>
              <w:spacing w:line="360"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法定代表人授权委托书</w:t>
            </w:r>
          </w:p>
        </w:tc>
        <w:tc>
          <w:tcPr>
            <w:tcW w:w="5860"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法定代表人授权书及被授权人身份证，并且提供有效的劳动合同或开标截止前六个月内任意一个月养老保险缴纳证明（法人参加只需提供法定代表人身份证明）。</w:t>
            </w:r>
          </w:p>
        </w:tc>
      </w:tr>
    </w:tbl>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2、投标文件符合性审查：依据招标文件的规定，评标委员会从投标文件的有效性、完整性和对招标文件的响应程度进行审查，以确定是否对招标文件的实质性内容作出响应。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143"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符合性审查项</w:t>
            </w:r>
          </w:p>
        </w:tc>
        <w:tc>
          <w:tcPr>
            <w:tcW w:w="5822"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文件语言及有效期</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文件语言及有效期符合</w:t>
            </w:r>
            <w:r>
              <w:rPr>
                <w:rFonts w:hint="eastAsia" w:ascii="仿宋" w:hAnsi="仿宋" w:eastAsia="仿宋" w:cs="仿宋"/>
                <w:color w:val="auto"/>
                <w:sz w:val="24"/>
                <w:szCs w:val="24"/>
                <w:highlight w:val="none"/>
              </w:rPr>
              <w:t>招标</w:t>
            </w:r>
            <w:r>
              <w:rPr>
                <w:rFonts w:ascii="仿宋" w:hAnsi="仿宋" w:eastAsia="仿宋" w:cs="仿宋"/>
                <w:color w:val="auto"/>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文件的</w:t>
            </w:r>
            <w:r>
              <w:rPr>
                <w:rFonts w:hint="eastAsia" w:ascii="仿宋" w:hAnsi="仿宋" w:eastAsia="仿宋" w:cs="仿宋"/>
                <w:color w:val="auto"/>
                <w:sz w:val="24"/>
                <w:szCs w:val="24"/>
                <w:highlight w:val="none"/>
              </w:rPr>
              <w:t>投标</w:t>
            </w:r>
            <w:r>
              <w:rPr>
                <w:rFonts w:ascii="仿宋" w:hAnsi="仿宋" w:eastAsia="仿宋" w:cs="仿宋"/>
                <w:color w:val="auto"/>
                <w:sz w:val="24"/>
                <w:szCs w:val="24"/>
                <w:highlight w:val="none"/>
              </w:rPr>
              <w:t>函以及法定代表人授权委托书</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ascii="仿宋" w:hAnsi="仿宋" w:eastAsia="仿宋" w:cs="仿宋"/>
                <w:color w:val="auto"/>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开标一览表</w:t>
            </w:r>
          </w:p>
        </w:tc>
        <w:tc>
          <w:tcPr>
            <w:tcW w:w="5822" w:type="dxa"/>
            <w:vAlign w:val="center"/>
          </w:tcPr>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 投标报价符合唯一性要求：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 投标报价表填写符合要求；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 计量单位、报价货币均符合招标文件要求；</w:t>
            </w:r>
          </w:p>
          <w:p>
            <w:pPr>
              <w:shd w:val="clear"/>
              <w:tabs>
                <w:tab w:val="left" w:pos="9030"/>
              </w:tabs>
              <w:snapToGri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供应商承诺书</w:t>
            </w:r>
          </w:p>
        </w:tc>
        <w:tc>
          <w:tcPr>
            <w:tcW w:w="5822" w:type="dxa"/>
            <w:vAlign w:val="center"/>
          </w:tcPr>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完全理解并接受《</w:t>
            </w:r>
            <w:r>
              <w:rPr>
                <w:rFonts w:hint="eastAsia" w:ascii="仿宋" w:hAnsi="仿宋" w:eastAsia="仿宋" w:cs="仿宋"/>
                <w:color w:val="auto"/>
                <w:sz w:val="24"/>
                <w:szCs w:val="24"/>
                <w:highlight w:val="none"/>
                <w:lang w:val="zh-CN"/>
              </w:rPr>
              <w:t>供应商廉洁自律承诺书</w:t>
            </w:r>
            <w:r>
              <w:rPr>
                <w:rFonts w:hint="eastAsia" w:ascii="仿宋" w:hAnsi="仿宋" w:eastAsia="仿宋" w:cs="仿宋"/>
                <w:color w:val="auto"/>
                <w:sz w:val="24"/>
                <w:szCs w:val="24"/>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shd w:val="clear"/>
              <w:tabs>
                <w:tab w:val="left" w:pos="9030"/>
              </w:tabs>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14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无其他招标文件或法规明确规定响应无效的事项</w:t>
            </w:r>
          </w:p>
        </w:tc>
        <w:tc>
          <w:tcPr>
            <w:tcW w:w="5822"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没有不符合招标文件规定的被视为无效响应的其他条款。 </w:t>
            </w:r>
          </w:p>
        </w:tc>
      </w:tr>
    </w:tbl>
    <w:p>
      <w:pPr>
        <w:shd w:val="clear"/>
        <w:tabs>
          <w:tab w:val="left" w:pos="9030"/>
        </w:tabs>
        <w:snapToGrid w:val="0"/>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投标文件投标有效期不符合招标文件要求的；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投标文件递交份数不符合招标文件要求的；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投标文件含有采购人不能接受的附加条件的;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供应商出现多份报价，出现选择性报价的；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val="zh-CN"/>
        </w:rPr>
        <w:t>投标报价与市场价偏离较大，低于成本，形成不正当竞争；</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zh-CN"/>
        </w:rPr>
        <w:t>报价超过招标文件中规定的预算金额或者最高限价的；</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11）提交的电子版文件无效或不完整的。</w:t>
      </w:r>
    </w:p>
    <w:p>
      <w:pPr>
        <w:shd w:val="clear"/>
        <w:autoSpaceDE w:val="0"/>
        <w:autoSpaceDN w:val="0"/>
        <w:adjustRightInd w:val="0"/>
        <w:snapToGrid w:val="0"/>
        <w:spacing w:line="360" w:lineRule="auto"/>
        <w:ind w:firstLine="480" w:firstLineChars="200"/>
        <w:outlineLvl w:val="2"/>
        <w:rPr>
          <w:rFonts w:ascii="仿宋" w:hAnsi="仿宋" w:eastAsia="仿宋" w:cs="仿宋"/>
          <w:color w:val="auto"/>
          <w:sz w:val="24"/>
          <w:szCs w:val="24"/>
          <w:highlight w:val="none"/>
          <w:lang w:val="zh-CN"/>
        </w:rPr>
      </w:pPr>
      <w:bookmarkStart w:id="205" w:name="_Toc2488"/>
      <w:bookmarkStart w:id="206" w:name="_Toc1537"/>
      <w:bookmarkStart w:id="207" w:name="_Toc29000"/>
      <w:bookmarkStart w:id="208" w:name="_Toc30113"/>
      <w:bookmarkStart w:id="209" w:name="_Toc31002"/>
      <w:bookmarkStart w:id="210" w:name="_Toc2955"/>
      <w:bookmarkStart w:id="211" w:name="_Toc1611"/>
      <w:bookmarkStart w:id="212" w:name="_Toc17700"/>
      <w:bookmarkStart w:id="213" w:name="_Toc29517"/>
      <w:bookmarkStart w:id="214" w:name="_Toc5181"/>
      <w:bookmarkStart w:id="215" w:name="_Toc13137"/>
      <w:bookmarkStart w:id="216" w:name="_Toc8286"/>
      <w:bookmarkStart w:id="217" w:name="_Toc27332"/>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）比较与评价</w:t>
      </w:r>
      <w:bookmarkEnd w:id="205"/>
      <w:bookmarkEnd w:id="206"/>
      <w:bookmarkEnd w:id="207"/>
      <w:bookmarkEnd w:id="208"/>
      <w:bookmarkEnd w:id="209"/>
      <w:bookmarkEnd w:id="210"/>
      <w:bookmarkEnd w:id="211"/>
      <w:bookmarkEnd w:id="212"/>
      <w:bookmarkEnd w:id="213"/>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4" w:hRule="atLeast"/>
          <w:jc w:val="center"/>
        </w:trPr>
        <w:tc>
          <w:tcPr>
            <w:tcW w:w="1597" w:type="dxa"/>
            <w:vAlign w:val="center"/>
          </w:tcPr>
          <w:p>
            <w:pPr>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vAlign w:val="center"/>
          </w:tcPr>
          <w:p>
            <w:pPr>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优惠条件的供应商，价格给予10%的扣除，用扣除后的价格参与评审。</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vAlign w:val="center"/>
          </w:tcPr>
          <w:p>
            <w:pPr>
              <w:shd w:val="clear"/>
              <w:tabs>
                <w:tab w:val="left" w:pos="420"/>
                <w:tab w:val="center" w:pos="4153"/>
                <w:tab w:val="right" w:pos="8306"/>
              </w:tabs>
              <w:adjustRightInd w:val="0"/>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vAlign w:val="center"/>
          </w:tcPr>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投标文件对付款、质量保证、交货期、服务承诺等商务要求进行响应说明，根据响应程度计0～3分。</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技术指标</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投产品技术参数清楚、明确，完全满足或优于招标文件要求且证明材料齐全的得35分。所投产品技术参数每负偏离一项扣2分（其中★项每负偏离一项扣4分），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实施方案</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详细的拟投入人员、人员配置、分工、备货、供货进度及质量保证措施，产品安装、检测、调试、试运行及验收方案。包括详细的实施计划、整体工期要求、进度安排和按期完成的措施、质量保证措施、验收组织等内容。根据供应商的响应情况赋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内容完整，描述清晰，且能针对性满足项目需求的，得(10-15]分；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内容有缺项，描述简单，可行性一般，基本满足项目需要的，得(5-10]分；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内容笼统，描述简单，可行性差的得(0-5]分。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vAlign w:val="center"/>
          </w:tcPr>
          <w:p>
            <w:pPr>
              <w:shd w:val="clear"/>
              <w:autoSpaceDE w:val="0"/>
              <w:autoSpaceDN w:val="0"/>
              <w:adjustRightInd w:val="0"/>
              <w:spacing w:line="360" w:lineRule="auto"/>
              <w:jc w:val="center"/>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1.售后服务机构健全。配备专职售后人员，承诺售后服务具体措施、时限、响应速度等。根据响应情况计0-5分。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w:t>
            </w:r>
            <w:r>
              <w:rPr>
                <w:rFonts w:hint="eastAsia" w:ascii="仿宋" w:hAnsi="仿宋" w:eastAsia="仿宋" w:cs="仿宋"/>
                <w:color w:val="auto"/>
                <w:sz w:val="24"/>
                <w:szCs w:val="24"/>
                <w:highlight w:val="none"/>
                <w:lang w:val="zh-CN"/>
              </w:rPr>
              <w:t>为采购人</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z w:val="24"/>
                <w:szCs w:val="24"/>
                <w:highlight w:val="none"/>
                <w:lang w:val="zh-CN"/>
              </w:rPr>
              <w:t>计0</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分。</w:t>
            </w:r>
          </w:p>
        </w:tc>
        <w:tc>
          <w:tcPr>
            <w:tcW w:w="588" w:type="dxa"/>
            <w:vAlign w:val="center"/>
          </w:tcPr>
          <w:p>
            <w:pPr>
              <w:shd w:val="clear"/>
              <w:snapToGrid w:val="0"/>
              <w:spacing w:line="240" w:lineRule="atLeas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vAlign w:val="center"/>
          </w:tcPr>
          <w:p>
            <w:pPr>
              <w:widowControl/>
              <w:shd w:val="clear"/>
              <w:jc w:val="center"/>
              <w:rPr>
                <w:rFonts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vAlign w:val="center"/>
          </w:tcPr>
          <w:p>
            <w:pPr>
              <w:shd w:val="clear"/>
              <w:adjustRightInd w:val="0"/>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供应商具有近三年（2019年7月今以合同签订时间为准）的类似项目业绩，每提供一份得1分，满分5分。投标文件中提供加盖供应商公章的合同复印件。</w:t>
            </w:r>
          </w:p>
        </w:tc>
        <w:tc>
          <w:tcPr>
            <w:tcW w:w="588" w:type="dxa"/>
            <w:vAlign w:val="center"/>
          </w:tcPr>
          <w:p>
            <w:pPr>
              <w:shd w:val="clear"/>
              <w:snapToGrid w:val="0"/>
              <w:spacing w:line="240" w:lineRule="atLeas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r>
    </w:tbl>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shd w:val="clear"/>
        <w:tabs>
          <w:tab w:val="left" w:pos="9030"/>
        </w:tabs>
        <w:snapToGrid w:val="0"/>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w:t>
      </w:r>
      <w:r>
        <w:rPr>
          <w:rFonts w:hint="eastAsia" w:ascii="仿宋" w:hAnsi="仿宋" w:eastAsia="仿宋" w:cs="仿宋"/>
          <w:b/>
          <w:bCs/>
          <w:color w:val="auto"/>
          <w:sz w:val="24"/>
          <w:szCs w:val="24"/>
          <w:highlight w:val="none"/>
        </w:rPr>
        <w:t>4）本项目兼投不兼中，供应商根据自身情况可以投多个包，但最终只能中一个包，评标顺序依次为包1至包10。</w:t>
      </w:r>
    </w:p>
    <w:p>
      <w:pPr>
        <w:shd w:val="clear"/>
        <w:autoSpaceDE w:val="0"/>
        <w:autoSpaceDN w:val="0"/>
        <w:adjustRightInd w:val="0"/>
        <w:snapToGrid w:val="0"/>
        <w:spacing w:line="360" w:lineRule="auto"/>
        <w:ind w:firstLine="480" w:firstLineChars="200"/>
        <w:outlineLvl w:val="2"/>
        <w:rPr>
          <w:rFonts w:ascii="仿宋" w:hAnsi="仿宋" w:eastAsia="仿宋" w:cs="仿宋"/>
          <w:color w:val="auto"/>
          <w:sz w:val="24"/>
          <w:szCs w:val="24"/>
          <w:highlight w:val="none"/>
          <w:lang w:val="zh-CN"/>
        </w:rPr>
      </w:pPr>
      <w:bookmarkStart w:id="218" w:name="_Toc9204"/>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）投标文件的澄清、说明或者补正</w:t>
      </w:r>
      <w:bookmarkEnd w:id="214"/>
      <w:bookmarkEnd w:id="215"/>
      <w:bookmarkEnd w:id="216"/>
      <w:bookmarkEnd w:id="217"/>
      <w:bookmarkEnd w:id="218"/>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shd w:val="clear"/>
        <w:autoSpaceDE w:val="0"/>
        <w:autoSpaceDN w:val="0"/>
        <w:adjustRightInd w:val="0"/>
        <w:snapToGrid w:val="0"/>
        <w:spacing w:line="360" w:lineRule="auto"/>
        <w:ind w:firstLine="482" w:firstLineChars="200"/>
        <w:rPr>
          <w:rFonts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shd w:val="clear"/>
        <w:tabs>
          <w:tab w:val="left" w:pos="9030"/>
        </w:tabs>
        <w:snapToGrid w:val="0"/>
        <w:spacing w:line="360" w:lineRule="auto"/>
        <w:ind w:firstLine="480" w:firstLineChars="200"/>
        <w:outlineLvl w:val="2"/>
        <w:rPr>
          <w:rFonts w:ascii="仿宋" w:hAnsi="仿宋" w:eastAsia="仿宋" w:cs="仿宋"/>
          <w:color w:val="auto"/>
          <w:sz w:val="24"/>
          <w:szCs w:val="24"/>
          <w:highlight w:val="none"/>
          <w:lang w:val="zh-CN"/>
        </w:rPr>
      </w:pPr>
      <w:bookmarkStart w:id="219" w:name="_Toc9209"/>
      <w:bookmarkStart w:id="220" w:name="_Toc29598"/>
      <w:bookmarkStart w:id="221" w:name="_Toc17114"/>
      <w:bookmarkStart w:id="222" w:name="_Toc15871"/>
      <w:bookmarkStart w:id="223" w:name="_Toc17060"/>
      <w:bookmarkStart w:id="224" w:name="_Toc30211"/>
      <w:bookmarkStart w:id="225" w:name="_Toc16649"/>
      <w:bookmarkStart w:id="226" w:name="_Toc10499"/>
      <w:bookmarkStart w:id="227" w:name="_Toc16187"/>
      <w:r>
        <w:rPr>
          <w:rFonts w:hint="eastAsia" w:ascii="仿宋" w:hAnsi="仿宋" w:eastAsia="仿宋" w:cs="仿宋"/>
          <w:color w:val="auto"/>
          <w:sz w:val="24"/>
          <w:szCs w:val="24"/>
          <w:highlight w:val="none"/>
          <w:lang w:val="zh-CN"/>
        </w:rPr>
        <w:t>（四）推荐中标候选人名单</w:t>
      </w:r>
      <w:bookmarkEnd w:id="219"/>
      <w:bookmarkEnd w:id="220"/>
      <w:bookmarkEnd w:id="221"/>
      <w:bookmarkEnd w:id="222"/>
      <w:bookmarkEnd w:id="223"/>
      <w:bookmarkEnd w:id="224"/>
      <w:bookmarkEnd w:id="225"/>
      <w:bookmarkEnd w:id="226"/>
      <w:bookmarkEnd w:id="227"/>
    </w:p>
    <w:p>
      <w:pPr>
        <w:shd w:val="clear"/>
        <w:tabs>
          <w:tab w:val="left" w:pos="9030"/>
        </w:tabs>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rPr>
        <w:t>。</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28" w:name="_Toc18731"/>
      <w:bookmarkStart w:id="229" w:name="_Toc22251"/>
      <w:bookmarkStart w:id="230" w:name="_Toc2662"/>
      <w:bookmarkStart w:id="231" w:name="_Toc561"/>
      <w:bookmarkStart w:id="232" w:name="_Toc11082"/>
      <w:bookmarkStart w:id="233" w:name="_Toc5432"/>
      <w:bookmarkStart w:id="234" w:name="_Toc12272"/>
      <w:bookmarkStart w:id="235" w:name="_Toc13328"/>
      <w:r>
        <w:rPr>
          <w:rFonts w:hint="eastAsia" w:ascii="仿宋" w:hAnsi="仿宋" w:eastAsia="仿宋" w:cs="仿宋"/>
          <w:b/>
          <w:color w:val="auto"/>
          <w:sz w:val="24"/>
          <w:szCs w:val="24"/>
          <w:highlight w:val="none"/>
          <w:lang w:val="zh-CN"/>
        </w:rPr>
        <w:t>七、确定</w:t>
      </w:r>
      <w:bookmarkEnd w:id="228"/>
      <w:bookmarkEnd w:id="229"/>
      <w:r>
        <w:rPr>
          <w:rFonts w:hint="eastAsia" w:ascii="仿宋" w:hAnsi="仿宋" w:eastAsia="仿宋" w:cs="仿宋"/>
          <w:b/>
          <w:color w:val="auto"/>
          <w:sz w:val="24"/>
          <w:szCs w:val="24"/>
          <w:highlight w:val="none"/>
          <w:lang w:val="zh-CN"/>
        </w:rPr>
        <w:t>中标供应商</w:t>
      </w:r>
      <w:bookmarkEnd w:id="230"/>
      <w:bookmarkEnd w:id="231"/>
      <w:bookmarkEnd w:id="232"/>
      <w:bookmarkEnd w:id="233"/>
      <w:bookmarkEnd w:id="234"/>
      <w:bookmarkEnd w:id="235"/>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36" w:name="_Toc7972"/>
      <w:bookmarkStart w:id="237" w:name="_Toc16609"/>
      <w:bookmarkStart w:id="238" w:name="_Toc7578"/>
      <w:bookmarkStart w:id="239" w:name="_Toc19938"/>
      <w:bookmarkStart w:id="240" w:name="_Toc15275"/>
      <w:bookmarkStart w:id="241" w:name="_Toc21655"/>
      <w:bookmarkStart w:id="242" w:name="_Toc27317"/>
      <w:bookmarkStart w:id="243" w:name="_Toc19571"/>
      <w:r>
        <w:rPr>
          <w:rFonts w:hint="eastAsia" w:ascii="仿宋" w:hAnsi="仿宋" w:eastAsia="仿宋" w:cs="仿宋"/>
          <w:b/>
          <w:color w:val="auto"/>
          <w:sz w:val="24"/>
          <w:szCs w:val="24"/>
          <w:highlight w:val="none"/>
          <w:lang w:val="zh-CN"/>
        </w:rPr>
        <w:t>八、合同</w:t>
      </w:r>
      <w:bookmarkEnd w:id="236"/>
      <w:bookmarkEnd w:id="237"/>
      <w:bookmarkEnd w:id="238"/>
      <w:bookmarkEnd w:id="239"/>
      <w:bookmarkEnd w:id="240"/>
      <w:bookmarkEnd w:id="241"/>
      <w:bookmarkEnd w:id="242"/>
      <w:bookmarkEnd w:id="243"/>
    </w:p>
    <w:p>
      <w:pPr>
        <w:shd w:val="clear"/>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44" w:name="_Toc27949"/>
      <w:bookmarkStart w:id="245" w:name="_Toc9424"/>
      <w:bookmarkStart w:id="246" w:name="_Toc21976"/>
      <w:bookmarkStart w:id="247" w:name="_Toc5062"/>
      <w:bookmarkStart w:id="248" w:name="_Toc28649"/>
      <w:bookmarkStart w:id="249" w:name="_Toc15593"/>
      <w:bookmarkStart w:id="250" w:name="_Toc1946"/>
      <w:bookmarkStart w:id="251" w:name="_Toc29523"/>
      <w:r>
        <w:rPr>
          <w:rFonts w:hint="eastAsia" w:ascii="仿宋" w:hAnsi="仿宋" w:eastAsia="仿宋" w:cs="仿宋"/>
          <w:b/>
          <w:color w:val="auto"/>
          <w:sz w:val="24"/>
          <w:szCs w:val="24"/>
          <w:highlight w:val="none"/>
          <w:lang w:val="zh-CN"/>
        </w:rPr>
        <w:t>九、中标服务费</w:t>
      </w:r>
      <w:bookmarkEnd w:id="244"/>
      <w:bookmarkEnd w:id="245"/>
      <w:bookmarkEnd w:id="246"/>
      <w:bookmarkEnd w:id="247"/>
      <w:bookmarkEnd w:id="248"/>
      <w:bookmarkEnd w:id="249"/>
      <w:bookmarkEnd w:id="250"/>
      <w:bookmarkEnd w:id="251"/>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bookmarkStart w:id="252" w:name="_Toc495671245"/>
      <w:bookmarkStart w:id="253" w:name="_Toc29526"/>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w:t>
      </w:r>
      <w:r>
        <w:rPr>
          <w:rFonts w:hint="eastAsia" w:ascii="仿宋" w:hAnsi="仿宋" w:eastAsia="仿宋" w:cs="仿宋"/>
          <w:color w:val="auto"/>
          <w:sz w:val="24"/>
          <w:szCs w:val="24"/>
          <w:highlight w:val="none"/>
          <w:lang w:eastAsia="zh-CN"/>
        </w:rPr>
        <w:t>个工作日内按照标准支付给招标代理</w:t>
      </w:r>
      <w:r>
        <w:rPr>
          <w:rFonts w:hint="eastAsia" w:ascii="仿宋" w:hAnsi="仿宋" w:eastAsia="仿宋" w:cs="仿宋"/>
          <w:color w:val="auto"/>
          <w:sz w:val="24"/>
          <w:szCs w:val="24"/>
          <w:highlight w:val="none"/>
        </w:rPr>
        <w:t>机构。</w:t>
      </w:r>
    </w:p>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备注：</w:t>
      </w:r>
      <w:r>
        <w:rPr>
          <w:rFonts w:hint="eastAsia" w:ascii="仿宋" w:hAnsi="仿宋" w:eastAsia="仿宋" w:cs="仿宋"/>
          <w:color w:val="auto"/>
          <w:sz w:val="24"/>
          <w:szCs w:val="24"/>
          <w:highlight w:val="none"/>
        </w:rPr>
        <w:t>中标服务费不足6000元的，按6000元收取。</w:t>
      </w:r>
    </w:p>
    <w:p>
      <w:pPr>
        <w:shd w:val="clear"/>
        <w:jc w:val="right"/>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hd w:val="clear"/>
              <w:spacing w:line="360" w:lineRule="auto"/>
              <w:ind w:firstLine="1200" w:firstLineChars="500"/>
              <w:rPr>
                <w:rFonts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shd w:val="clear"/>
        <w:autoSpaceDE w:val="0"/>
        <w:autoSpaceDN w:val="0"/>
        <w:adjustRightInd w:val="0"/>
        <w:spacing w:line="360" w:lineRule="auto"/>
        <w:ind w:firstLine="482" w:firstLineChars="200"/>
        <w:outlineLvl w:val="1"/>
        <w:rPr>
          <w:rFonts w:ascii="仿宋" w:hAnsi="仿宋" w:eastAsia="仿宋" w:cs="仿宋"/>
          <w:b/>
          <w:color w:val="auto"/>
          <w:sz w:val="24"/>
          <w:szCs w:val="24"/>
          <w:highlight w:val="none"/>
          <w:lang w:val="zh-CN"/>
        </w:rPr>
      </w:pPr>
      <w:bookmarkStart w:id="254" w:name="_Toc22638"/>
      <w:bookmarkStart w:id="255" w:name="_Toc11240"/>
      <w:bookmarkStart w:id="256" w:name="_Toc6650"/>
      <w:bookmarkStart w:id="257" w:name="_Toc21712"/>
      <w:bookmarkStart w:id="258" w:name="_Toc32450"/>
      <w:bookmarkStart w:id="259" w:name="_Toc2882"/>
      <w:bookmarkStart w:id="260" w:name="_Toc13550"/>
      <w:r>
        <w:rPr>
          <w:rFonts w:hint="eastAsia" w:ascii="仿宋" w:hAnsi="仿宋" w:eastAsia="仿宋" w:cs="仿宋"/>
          <w:b/>
          <w:color w:val="auto"/>
          <w:sz w:val="24"/>
          <w:szCs w:val="24"/>
          <w:highlight w:val="none"/>
          <w:lang w:val="zh-CN"/>
        </w:rPr>
        <w:t>十、废标或者采购方式的变更</w:t>
      </w:r>
      <w:bookmarkEnd w:id="252"/>
      <w:bookmarkEnd w:id="253"/>
      <w:bookmarkEnd w:id="254"/>
      <w:bookmarkEnd w:id="255"/>
      <w:bookmarkEnd w:id="256"/>
      <w:bookmarkEnd w:id="257"/>
      <w:bookmarkEnd w:id="258"/>
      <w:bookmarkEnd w:id="259"/>
      <w:bookmarkEnd w:id="260"/>
    </w:p>
    <w:p>
      <w:pPr>
        <w:shd w:val="clear"/>
        <w:autoSpaceDE w:val="0"/>
        <w:autoSpaceDN w:val="0"/>
        <w:adjustRightInd w:val="0"/>
        <w:spacing w:line="360" w:lineRule="auto"/>
        <w:ind w:firstLine="480" w:firstLineChars="200"/>
        <w:outlineLvl w:val="2"/>
        <w:rPr>
          <w:rFonts w:ascii="仿宋" w:hAnsi="仿宋" w:eastAsia="仿宋" w:cs="仿宋"/>
          <w:color w:val="auto"/>
          <w:sz w:val="24"/>
          <w:szCs w:val="24"/>
          <w:highlight w:val="none"/>
          <w:lang w:val="zh-CN"/>
        </w:rPr>
      </w:pPr>
      <w:bookmarkStart w:id="261" w:name="_Toc18276"/>
      <w:bookmarkStart w:id="262" w:name="_Toc19552"/>
      <w:bookmarkStart w:id="263" w:name="_Toc19867"/>
      <w:bookmarkStart w:id="264" w:name="_Toc16112"/>
      <w:bookmarkStart w:id="265" w:name="_Toc12765"/>
      <w:bookmarkStart w:id="266" w:name="_Toc4168"/>
      <w:r>
        <w:rPr>
          <w:rFonts w:hint="eastAsia" w:ascii="仿宋" w:hAnsi="仿宋" w:eastAsia="仿宋" w:cs="仿宋"/>
          <w:color w:val="auto"/>
          <w:sz w:val="24"/>
          <w:szCs w:val="24"/>
          <w:highlight w:val="none"/>
          <w:lang w:val="zh-CN"/>
        </w:rPr>
        <w:t>（一）废标</w:t>
      </w:r>
      <w:bookmarkEnd w:id="261"/>
      <w:bookmarkEnd w:id="262"/>
      <w:bookmarkEnd w:id="263"/>
      <w:bookmarkEnd w:id="264"/>
      <w:bookmarkEnd w:id="265"/>
      <w:bookmarkEnd w:id="266"/>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shd w:val="clear"/>
        <w:autoSpaceDE w:val="0"/>
        <w:autoSpaceDN w:val="0"/>
        <w:adjustRightInd w:val="0"/>
        <w:spacing w:line="360" w:lineRule="auto"/>
        <w:ind w:firstLine="480" w:firstLineChars="200"/>
        <w:outlineLvl w:val="2"/>
        <w:rPr>
          <w:rFonts w:ascii="仿宋" w:hAnsi="仿宋" w:eastAsia="仿宋" w:cs="仿宋"/>
          <w:color w:val="auto"/>
          <w:sz w:val="24"/>
          <w:szCs w:val="24"/>
          <w:highlight w:val="none"/>
          <w:lang w:val="zh-CN"/>
        </w:rPr>
      </w:pPr>
      <w:bookmarkStart w:id="267" w:name="_Toc20612"/>
      <w:bookmarkStart w:id="268" w:name="_Toc23755"/>
      <w:bookmarkStart w:id="269" w:name="_Toc25928"/>
      <w:bookmarkStart w:id="270" w:name="_Toc4528"/>
      <w:bookmarkStart w:id="271" w:name="_Toc27818"/>
      <w:bookmarkStart w:id="272" w:name="_Toc10147"/>
      <w:r>
        <w:rPr>
          <w:rFonts w:hint="eastAsia" w:ascii="仿宋" w:hAnsi="仿宋" w:eastAsia="仿宋" w:cs="仿宋"/>
          <w:color w:val="auto"/>
          <w:sz w:val="24"/>
          <w:szCs w:val="24"/>
          <w:highlight w:val="none"/>
          <w:lang w:val="zh-CN"/>
        </w:rPr>
        <w:t>（二）采购方式的变更</w:t>
      </w:r>
      <w:bookmarkEnd w:id="267"/>
      <w:bookmarkEnd w:id="268"/>
      <w:bookmarkEnd w:id="269"/>
      <w:bookmarkEnd w:id="270"/>
      <w:bookmarkEnd w:id="271"/>
      <w:bookmarkEnd w:id="272"/>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73" w:name="_Toc16329"/>
      <w:bookmarkStart w:id="274" w:name="_Toc19640"/>
      <w:bookmarkStart w:id="275" w:name="_Toc12871"/>
      <w:bookmarkStart w:id="276" w:name="_Toc206"/>
      <w:bookmarkStart w:id="277" w:name="_Toc29960"/>
      <w:bookmarkStart w:id="278" w:name="_Toc22403"/>
      <w:bookmarkStart w:id="279" w:name="_Toc495671239"/>
      <w:bookmarkStart w:id="280" w:name="_Toc5755"/>
      <w:bookmarkStart w:id="281" w:name="_Toc21416"/>
      <w:r>
        <w:rPr>
          <w:rFonts w:hint="eastAsia" w:ascii="仿宋" w:hAnsi="仿宋" w:eastAsia="仿宋" w:cs="仿宋"/>
          <w:b/>
          <w:color w:val="auto"/>
          <w:sz w:val="24"/>
          <w:szCs w:val="24"/>
          <w:highlight w:val="none"/>
          <w:lang w:val="zh-CN"/>
        </w:rPr>
        <w:t>十一、需要落实的政府采购政策</w:t>
      </w:r>
      <w:bookmarkEnd w:id="273"/>
      <w:bookmarkEnd w:id="274"/>
      <w:bookmarkEnd w:id="275"/>
      <w:bookmarkEnd w:id="276"/>
      <w:bookmarkEnd w:id="277"/>
      <w:bookmarkEnd w:id="278"/>
      <w:bookmarkEnd w:id="279"/>
      <w:bookmarkEnd w:id="280"/>
      <w:bookmarkEnd w:id="281"/>
    </w:p>
    <w:p>
      <w:pPr>
        <w:shd w:val="clear"/>
        <w:snapToGrid w:val="0"/>
        <w:spacing w:line="360" w:lineRule="auto"/>
        <w:ind w:firstLine="480" w:firstLineChars="200"/>
        <w:rPr>
          <w:rFonts w:ascii="仿宋" w:hAnsi="仿宋" w:eastAsia="仿宋" w:cs="仿宋"/>
          <w:color w:val="auto"/>
          <w:sz w:val="24"/>
          <w:szCs w:val="24"/>
          <w:highlight w:val="none"/>
        </w:rPr>
      </w:pPr>
      <w:bookmarkStart w:id="282" w:name="_Toc5903"/>
      <w:bookmarkStart w:id="283" w:name="_Toc31691"/>
      <w:bookmarkStart w:id="284" w:name="_Toc19661"/>
      <w:bookmarkStart w:id="285" w:name="_Toc19879"/>
      <w:bookmarkStart w:id="286" w:name="_Toc26022"/>
      <w:bookmarkStart w:id="287" w:name="_Toc13861"/>
      <w:bookmarkStart w:id="288" w:name="_Toc6204"/>
      <w:r>
        <w:rPr>
          <w:rFonts w:hint="eastAsia" w:ascii="仿宋" w:hAnsi="仿宋" w:eastAsia="仿宋" w:cs="仿宋"/>
          <w:color w:val="auto"/>
          <w:sz w:val="24"/>
          <w:szCs w:val="24"/>
          <w:highlight w:val="none"/>
        </w:rPr>
        <w:t>（一）落实促进支持中小企业、监狱企业、残疾人福利性单位发展、脱贫攻坚工作的政策(如为专门面向中小企业的采购项目（或采购包），不执行1、2、3条款。)</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1、《政府采购促进中小企业发展管理办法》（财库〔2020〕46号）及《关于进一步加大政府采购支持中小企业力度的通知》（财库〔2022〕19号）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(1)在货物采购项目中，货物由中小企业制造，即货物由中小企业生产且使用该中小企业商号或者注册商标；</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(2)在工程采购项目中，工程由中小企业承建，即工程施工单位为中小企业；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(3)在服务采购项目中，服务由中小企业承接，即提供服务的人员为中小企业依照《中华人民共和国劳动合同法》订立劳动合同的从业人员。</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及《西安市财政局关于进一步加大政府采购支持中小企业力度的通知》市财函〔2022〕867号的相关规定，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2、《财政部 司法部关于政府采购支持监狱企业发展有关问题的通知》（财库〔2014〕68号）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3、《三部门联合发布关于促进残疾人就业政府采购政策的通知》（财库〔2017〕141号）；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（二）落实优先采购节能、环保产品的政策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2、《财政部 司法部关于政府采购支持监狱企业发展有关问题的通知》（财库〔2014〕68号）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3、《三部门联合发布关于促进残疾人就业政府采购政策的通知》（财库〔2017〕141号）；</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（三）政府采购信用融资政策</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（四）陕西省中小企业政府采购信用担保政策</w:t>
      </w:r>
    </w:p>
    <w:p>
      <w:pPr>
        <w:shd w:val="clear"/>
        <w:snapToGrid w:val="0"/>
        <w:spacing w:line="360" w:lineRule="auto"/>
        <w:ind w:firstLine="480" w:firstLineChars="200"/>
        <w:rPr>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shd w:val="clear"/>
        <w:autoSpaceDE w:val="0"/>
        <w:autoSpaceDN w:val="0"/>
        <w:adjustRightInd w:val="0"/>
        <w:snapToGrid w:val="0"/>
        <w:spacing w:line="360" w:lineRule="auto"/>
        <w:ind w:firstLine="482" w:firstLineChars="200"/>
        <w:outlineLvl w:val="1"/>
        <w:rPr>
          <w:rFonts w:ascii="仿宋" w:hAnsi="仿宋" w:eastAsia="仿宋" w:cs="仿宋"/>
          <w:b/>
          <w:color w:val="auto"/>
          <w:sz w:val="24"/>
          <w:szCs w:val="24"/>
          <w:highlight w:val="none"/>
          <w:lang w:val="zh-CN"/>
        </w:rPr>
      </w:pPr>
      <w:bookmarkStart w:id="289" w:name="_Toc6895"/>
      <w:bookmarkStart w:id="290" w:name="_Toc3946"/>
      <w:r>
        <w:rPr>
          <w:rFonts w:hint="eastAsia" w:ascii="仿宋" w:hAnsi="仿宋" w:eastAsia="仿宋" w:cs="仿宋"/>
          <w:b/>
          <w:color w:val="auto"/>
          <w:sz w:val="24"/>
          <w:szCs w:val="24"/>
          <w:highlight w:val="none"/>
          <w:lang w:val="zh-CN"/>
        </w:rPr>
        <w:t>十二、质疑与投诉</w:t>
      </w:r>
      <w:bookmarkEnd w:id="282"/>
      <w:bookmarkEnd w:id="283"/>
      <w:bookmarkEnd w:id="284"/>
      <w:bookmarkEnd w:id="285"/>
      <w:bookmarkEnd w:id="286"/>
      <w:bookmarkEnd w:id="287"/>
      <w:bookmarkEnd w:id="288"/>
      <w:bookmarkEnd w:id="289"/>
      <w:bookmarkEnd w:id="290"/>
    </w:p>
    <w:p>
      <w:pPr>
        <w:shd w:val="clear"/>
        <w:autoSpaceDE w:val="0"/>
        <w:autoSpaceDN w:val="0"/>
        <w:adjustRightInd w:val="0"/>
        <w:snapToGrid w:val="0"/>
        <w:spacing w:line="360" w:lineRule="auto"/>
        <w:ind w:firstLine="480" w:firstLineChars="200"/>
        <w:outlineLvl w:val="2"/>
        <w:rPr>
          <w:rFonts w:ascii="仿宋" w:hAnsi="仿宋" w:eastAsia="仿宋" w:cs="仿宋"/>
          <w:bCs/>
          <w:color w:val="auto"/>
          <w:sz w:val="24"/>
          <w:szCs w:val="24"/>
          <w:highlight w:val="none"/>
          <w:lang w:val="zh-CN"/>
        </w:rPr>
      </w:pPr>
      <w:bookmarkStart w:id="291" w:name="_Toc23643"/>
      <w:bookmarkStart w:id="292" w:name="_Toc8990"/>
      <w:bookmarkStart w:id="293" w:name="_Toc6521"/>
      <w:bookmarkStart w:id="294" w:name="_Toc5806"/>
      <w:bookmarkStart w:id="295" w:name="_Toc2942"/>
      <w:bookmarkStart w:id="296" w:name="_Toc31018"/>
      <w:bookmarkStart w:id="297" w:name="_Toc6295"/>
      <w:r>
        <w:rPr>
          <w:rFonts w:hint="eastAsia" w:ascii="仿宋" w:hAnsi="仿宋" w:eastAsia="仿宋" w:cs="仿宋"/>
          <w:bCs/>
          <w:color w:val="auto"/>
          <w:sz w:val="24"/>
          <w:szCs w:val="24"/>
          <w:highlight w:val="none"/>
          <w:lang w:val="zh-CN"/>
        </w:rPr>
        <w:t>（一）质疑</w:t>
      </w:r>
      <w:bookmarkEnd w:id="291"/>
      <w:bookmarkEnd w:id="292"/>
      <w:bookmarkEnd w:id="293"/>
      <w:bookmarkEnd w:id="294"/>
      <w:bookmarkEnd w:id="295"/>
      <w:bookmarkEnd w:id="296"/>
      <w:bookmarkEnd w:id="297"/>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rPr>
        <w:t>黄安舒</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w:t>
      </w:r>
      <w:r>
        <w:rPr>
          <w:rFonts w:hint="eastAsia" w:ascii="仿宋" w:hAnsi="仿宋" w:eastAsia="仿宋" w:cs="仿宋"/>
          <w:bCs/>
          <w:color w:val="auto"/>
          <w:sz w:val="24"/>
          <w:szCs w:val="24"/>
          <w:highlight w:val="none"/>
        </w:rPr>
        <w:t>：029-86253389、17782840194</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邮箱：2059407584@qq.com</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shd w:val="clear"/>
        <w:autoSpaceDE w:val="0"/>
        <w:autoSpaceDN w:val="0"/>
        <w:adjustRightInd w:val="0"/>
        <w:snapToGrid w:val="0"/>
        <w:spacing w:line="360" w:lineRule="auto"/>
        <w:ind w:firstLine="480" w:firstLineChars="200"/>
        <w:outlineLvl w:val="2"/>
        <w:rPr>
          <w:rFonts w:ascii="仿宋" w:hAnsi="仿宋" w:eastAsia="仿宋" w:cs="仿宋"/>
          <w:bCs/>
          <w:color w:val="auto"/>
          <w:sz w:val="24"/>
          <w:szCs w:val="24"/>
          <w:highlight w:val="none"/>
          <w:lang w:val="zh-CN"/>
        </w:rPr>
      </w:pPr>
      <w:bookmarkStart w:id="298" w:name="_Toc32713"/>
      <w:bookmarkStart w:id="299" w:name="_Toc17782"/>
      <w:bookmarkStart w:id="300" w:name="_Toc27095"/>
      <w:bookmarkStart w:id="301" w:name="_Toc26510"/>
      <w:bookmarkStart w:id="302" w:name="_Toc18625"/>
      <w:bookmarkStart w:id="303" w:name="_Toc11431"/>
      <w:bookmarkStart w:id="304" w:name="_Toc5958"/>
      <w:r>
        <w:rPr>
          <w:rFonts w:hint="eastAsia" w:ascii="仿宋" w:hAnsi="仿宋" w:eastAsia="仿宋" w:cs="仿宋"/>
          <w:bCs/>
          <w:color w:val="auto"/>
          <w:sz w:val="24"/>
          <w:szCs w:val="24"/>
          <w:highlight w:val="none"/>
          <w:lang w:val="zh-CN"/>
        </w:rPr>
        <w:t>（二）投诉</w:t>
      </w:r>
      <w:bookmarkEnd w:id="298"/>
      <w:bookmarkEnd w:id="299"/>
      <w:bookmarkEnd w:id="300"/>
      <w:bookmarkEnd w:id="301"/>
      <w:bookmarkEnd w:id="302"/>
      <w:bookmarkEnd w:id="303"/>
      <w:bookmarkEnd w:id="304"/>
    </w:p>
    <w:p>
      <w:pPr>
        <w:shd w:val="clear"/>
        <w:autoSpaceDE w:val="0"/>
        <w:autoSpaceDN w:val="0"/>
        <w:adjustRightInd w:val="0"/>
        <w:snapToGri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shd w:val="clear"/>
        <w:autoSpaceDE w:val="0"/>
        <w:autoSpaceDN w:val="0"/>
        <w:adjustRightInd w:val="0"/>
        <w:snapToGrid w:val="0"/>
        <w:spacing w:line="360" w:lineRule="auto"/>
        <w:ind w:firstLine="480" w:firstLineChars="200"/>
        <w:rPr>
          <w:rFonts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ascii="仿宋" w:hAnsi="仿宋" w:eastAsia="仿宋" w:cs="仿宋"/>
          <w:color w:val="auto"/>
          <w:highlight w:val="none"/>
          <w:lang w:val="zh-CN"/>
        </w:rPr>
      </w:pPr>
    </w:p>
    <w:p>
      <w:pPr>
        <w:pStyle w:val="8"/>
        <w:keepNext w:val="0"/>
        <w:pageBreakBefore/>
        <w:shd w:val="clear"/>
        <w:rPr>
          <w:rFonts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cols w:space="720" w:num="1"/>
          <w:docGrid w:linePitch="312" w:charSpace="0"/>
        </w:sectPr>
      </w:pPr>
      <w:bookmarkStart w:id="305" w:name="_Toc2506"/>
      <w:bookmarkStart w:id="306" w:name="_Toc92"/>
      <w:bookmarkStart w:id="307" w:name="_Toc16390"/>
      <w:bookmarkStart w:id="308" w:name="_Toc10487"/>
      <w:bookmarkStart w:id="309" w:name="_Toc32356"/>
      <w:bookmarkStart w:id="310" w:name="_Toc19653"/>
      <w:bookmarkStart w:id="311" w:name="_Toc21287"/>
      <w:bookmarkStart w:id="312" w:name="_Toc475451545"/>
    </w:p>
    <w:bookmarkEnd w:id="305"/>
    <w:bookmarkEnd w:id="306"/>
    <w:bookmarkEnd w:id="307"/>
    <w:bookmarkEnd w:id="308"/>
    <w:bookmarkEnd w:id="309"/>
    <w:bookmarkEnd w:id="310"/>
    <w:bookmarkEnd w:id="311"/>
    <w:bookmarkEnd w:id="312"/>
    <w:p>
      <w:pPr>
        <w:pageBreakBefore/>
        <w:shd w:val="clear"/>
        <w:adjustRightInd w:val="0"/>
        <w:snapToGrid w:val="0"/>
        <w:spacing w:line="360" w:lineRule="auto"/>
        <w:jc w:val="center"/>
        <w:outlineLvl w:val="0"/>
        <w:rPr>
          <w:rFonts w:ascii="仿宋" w:hAnsi="仿宋" w:eastAsia="仿宋" w:cs="仿宋"/>
          <w:b/>
          <w:color w:val="auto"/>
          <w:sz w:val="32"/>
          <w:szCs w:val="32"/>
          <w:highlight w:val="none"/>
          <w:lang w:val="zh-CN"/>
        </w:rPr>
      </w:pPr>
      <w:bookmarkStart w:id="313" w:name="_Toc2581"/>
      <w:bookmarkStart w:id="314" w:name="_Toc10479"/>
      <w:bookmarkStart w:id="315" w:name="_Toc5583"/>
      <w:bookmarkStart w:id="316" w:name="_Toc475451547"/>
      <w:bookmarkStart w:id="317" w:name="_Toc8548"/>
      <w:bookmarkStart w:id="318" w:name="_Toc6869"/>
      <w:bookmarkStart w:id="319" w:name="_Toc23736"/>
      <w:bookmarkStart w:id="320" w:name="_Toc15680"/>
      <w:bookmarkStart w:id="321" w:name="_Toc20745"/>
      <w:bookmarkStart w:id="322" w:name="_Toc30412"/>
      <w:bookmarkStart w:id="323" w:name="_Toc14093"/>
      <w:bookmarkStart w:id="324" w:name="_Toc25524"/>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lang w:val="zh-CN"/>
        </w:rPr>
        <w:t>招标内容及要求</w:t>
      </w:r>
      <w:bookmarkEnd w:id="313"/>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一、体育器材室</w:t>
      </w:r>
    </w:p>
    <w:tbl>
      <w:tblPr>
        <w:tblStyle w:val="21"/>
        <w:tblW w:w="8958" w:type="dxa"/>
        <w:tblInd w:w="93" w:type="dxa"/>
        <w:tblLayout w:type="autofit"/>
        <w:tblCellMar>
          <w:top w:w="0" w:type="dxa"/>
          <w:left w:w="108" w:type="dxa"/>
          <w:bottom w:w="0" w:type="dxa"/>
          <w:right w:w="108" w:type="dxa"/>
        </w:tblCellMar>
      </w:tblPr>
      <w:tblGrid>
        <w:gridCol w:w="704"/>
        <w:gridCol w:w="1284"/>
        <w:gridCol w:w="5770"/>
        <w:gridCol w:w="600"/>
        <w:gridCol w:w="600"/>
      </w:tblGrid>
      <w:tr>
        <w:tblPrEx>
          <w:tblCellMar>
            <w:top w:w="0" w:type="dxa"/>
            <w:left w:w="108" w:type="dxa"/>
            <w:bottom w:w="0" w:type="dxa"/>
            <w:right w:w="108" w:type="dxa"/>
          </w:tblCellMar>
        </w:tblPrEx>
        <w:trPr>
          <w:trHeight w:val="143" w:hRule="atLeast"/>
        </w:trPr>
        <w:tc>
          <w:tcPr>
            <w:tcW w:w="704" w:type="dxa"/>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284"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设备类别</w:t>
            </w:r>
          </w:p>
        </w:tc>
        <w:tc>
          <w:tcPr>
            <w:tcW w:w="5770"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规格参数</w:t>
            </w:r>
          </w:p>
        </w:tc>
        <w:tc>
          <w:tcPr>
            <w:tcW w:w="600"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单位</w:t>
            </w:r>
          </w:p>
        </w:tc>
        <w:tc>
          <w:tcPr>
            <w:tcW w:w="600"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打气筒</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长约58.5cm带气压表，多功能气针组合，产品由气筒、踏脚、活塞、活塞杆、手柄、橡胶管、气针夹等组成；踏脚选用高强度PVC制成；</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电动充气泵</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1、工作电压：AC220V，单缸。</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2、气流量35L/分钟，金属30MM加大气缸，适用各种球类等。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3、打气速度快，操作简单，使用方便。</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r>
        <w:tblPrEx>
          <w:tblCellMar>
            <w:top w:w="0" w:type="dxa"/>
            <w:left w:w="108" w:type="dxa"/>
            <w:bottom w:w="0" w:type="dxa"/>
            <w:right w:w="108" w:type="dxa"/>
          </w:tblCellMar>
        </w:tblPrEx>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数字秒表</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三排显示，60时段记忆功能（1/100秒精确计时）预置倒数计时，专设步频节拍器可显示最快、最慢、平均时间时间、日历、定时闹响（12/24小时制式转换）大容量锂电池，电池寿命3年,二种秒表功能模式</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16 </w:t>
            </w:r>
          </w:p>
        </w:tc>
      </w:tr>
      <w:tr>
        <w:tblPrEx>
          <w:tblCellMar>
            <w:top w:w="0" w:type="dxa"/>
            <w:left w:w="108" w:type="dxa"/>
            <w:bottom w:w="0" w:type="dxa"/>
            <w:right w:w="108" w:type="dxa"/>
          </w:tblCellMar>
        </w:tblPrEx>
        <w:trPr>
          <w:trHeight w:val="35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布卷尺</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供中小学体育教学测试用，20m。2、皮尺1000mm长示值允许误差≤2mm，最小分度值1cm,整厘米刻度线与半厘米刻度线以长短宽窄区分，苎麻布卷尺，防水，防腐蚀；摇把金属制成。3、刻线均匀，清晰，垂直纵边，无断线，刻度值印刷清晰准确，不易脱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盒</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35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布卷尺</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供中小学体育教学测试用，30m。2、皮尺1000mm长示值允许误差≤2mm，最小分度值1cm,整厘米刻度线与半厘米刻度线以长短宽窄区分，苎麻布卷尺，防水，防腐蚀；摇把金属制成。3、刻线均匀，清晰，垂直纵边，无断线，刻度值印刷清晰准确，不易脱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盒</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布卷尺</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供中小学体育教学测试用，50m。2、皮尺1000mm长示值允许误差≤2mm，最小分度值1cm,整厘米刻度线与半厘米刻度线以长短宽窄区分，苎麻布卷尺，防水，防腐蚀；摇把金属制成。3、刻线均匀，清晰，垂直纵边，无断线，刻度值印刷清晰准确，不易脱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盒</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木尺</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木质长度2000mm，材质为木质，宽40mm*厚10mm，分度值为1cm。刻度印制清晰，无断线。尺身无破损，目测无扭曲、变形现象。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8 </w:t>
            </w:r>
          </w:p>
        </w:tc>
      </w:tr>
      <w:tr>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运动计数器</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计数范围：0～9999 按压式</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12 </w:t>
            </w:r>
          </w:p>
        </w:tc>
      </w:tr>
      <w:tr>
        <w:tblPrEx>
          <w:tblCellMar>
            <w:top w:w="0" w:type="dxa"/>
            <w:left w:w="108" w:type="dxa"/>
            <w:bottom w:w="0" w:type="dxa"/>
            <w:right w:w="108" w:type="dxa"/>
          </w:tblCellMar>
        </w:tblPrEx>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体育器材架</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规格：200*60*200，四层板。立柱为：40*80*0.9mmC 型钢冲孔为：横梁为40*80*0.9mmP 型钢。层板为：钢板共 四层，每层 2 张板。产品有一定的厚度，可承受要求的重量</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8 </w:t>
            </w:r>
          </w:p>
        </w:tc>
      </w:tr>
      <w:tr>
        <w:tblPrEx>
          <w:tblCellMar>
            <w:top w:w="0" w:type="dxa"/>
            <w:left w:w="108" w:type="dxa"/>
            <w:bottom w:w="0" w:type="dxa"/>
            <w:right w:w="108" w:type="dxa"/>
          </w:tblCellMar>
        </w:tblPrEx>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体育器材橱（柜)</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体育器材柜，，外形尺寸1850*900*400mm，上边三层玻璃对开门，钢化玻璃厚度4mm，下边两层。中间隔板高度可以随意调节。整体采用0.7mm钢板制作而成，拆装式，方便移动和运输。</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接力棒</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1、长度300mm，直径30mm。2、用铝合金管制成，表面光洁，体形端直，无变形，无弯曲等缺陷，两边塑料堵头。3、表面涂彩色油漆，色泽鲜艳。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30 </w:t>
            </w:r>
          </w:p>
        </w:tc>
      </w:tr>
      <w:tr>
        <w:tblPrEx>
          <w:tblCellMar>
            <w:top w:w="0" w:type="dxa"/>
            <w:left w:w="108" w:type="dxa"/>
            <w:bottom w:w="0" w:type="dxa"/>
            <w:right w:w="108" w:type="dxa"/>
          </w:tblCellMar>
        </w:tblPrEx>
        <w:trPr>
          <w:trHeight w:val="769"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跳高架</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1、跳高架由底座、铝材立柱、横杆托架、微调支脚构成；可升降，稳定性好,刻度清晰。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2、跳高架可拆装，升降范围600--2500mm，升降自如、无卡滞现象；升降支柱组装后支撑稳定，挺直，便于调整、安放。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3、固定立柱尺寸60*45mm，升降柱45*40mm，立柱选用铝材制作；立柱表面做较好的防护处理，标尺刻度清晰，表面阻板氧化处理。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4、底座选用整块铁板折边制作,尺寸400*330mm、底部设有滚轮，便于移动。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5、跳高架横杆托架40*60mm，上下移动方便。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6、跳高架底座底部设有微调机构，通过调节微调机构可满足场地不平整引起的跳高架的稳定性和横杆的高度要求。</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7、产品具有耐酸碱、耐湿热、抗老化等优点，能适合潮湿和酸雨环境，适用于室外长期使用。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35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跳高垫</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3000mm×2000mm×300mm采用牛津布外皮；内胆为26#优质高弹海绵,接缝处平整、均匀牢固、棱角平整、手把结实.色泽均匀一致。表面层不得由对视觉由干扰的图像或标志。可在长度方向对半折叠，两侧各有提手、便于移动，聚乙稀高泡海棉。</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 </w:t>
            </w:r>
          </w:p>
        </w:tc>
      </w:tr>
      <w:tr>
        <w:tblPrEx>
          <w:tblCellMar>
            <w:top w:w="0" w:type="dxa"/>
            <w:left w:w="108" w:type="dxa"/>
            <w:bottom w:w="0" w:type="dxa"/>
            <w:right w:w="108" w:type="dxa"/>
          </w:tblCellMar>
        </w:tblPrEx>
        <w:trPr>
          <w:trHeight w:val="42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跳高横杆</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比赛型。1．跳高横杆由横杆和横杆接头组成。2．横杆采用φ30的玻璃钢材料制作，总长为4000mm，质量小于2000g。3．横杆固定在立柱上时，中心自然下垂应小于20mm。4．横杠应具有一定的弹性，在横杠中央悬挂3kg重物时，横杠中心下垂应不超过70m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12 </w:t>
            </w:r>
          </w:p>
        </w:tc>
      </w:tr>
      <w:tr>
        <w:tblPrEx>
          <w:tblCellMar>
            <w:top w:w="0" w:type="dxa"/>
            <w:left w:w="108" w:type="dxa"/>
            <w:bottom w:w="0" w:type="dxa"/>
            <w:right w:w="108" w:type="dxa"/>
          </w:tblCellMar>
        </w:tblPrEx>
        <w:trPr>
          <w:trHeight w:val="699"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跨栏架</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比赛型，可升降，最低762MM，材质跨栏架由底部方管、竖向立管、伸缩管、调高定位销及上沿跨栏板等组成。栏板为PVC成型材料，其规格为：1200×70×20MM。跨栏架可调高度为：762-1067 MM，共五档。底部方管：50*50MM竖向立管内置调高定位销，伸缩管上配置有与其所需高度相对应的高度定位孔，调高灵活，定位准确，锁紧可靠。底部方管内置配重，可调节。所有钢制件表面均采用粉末静电喷涂处理，产品耐酸碱、耐湿热、抗老化，能适合潮湿和酸雨环境，适用于室外使用。</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36 </w:t>
            </w:r>
          </w:p>
        </w:tc>
      </w:tr>
      <w:tr>
        <w:tblPrEx>
          <w:tblCellMar>
            <w:top w:w="0" w:type="dxa"/>
            <w:left w:w="108" w:type="dxa"/>
            <w:bottom w:w="0" w:type="dxa"/>
            <w:right w:w="108" w:type="dxa"/>
          </w:tblCellMar>
        </w:tblPrEx>
        <w:trPr>
          <w:trHeight w:val="42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起跑器</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主要由底座和脚踏组成，起跑器长63.5cm，卡槽宽9.5cm，连接板宽22.5cm；脚踏长16.5cm，宽10.5cm，表面镶嵌1cm厚的防滑胶垫，胶垫长16cm宽9cm厚1cm,前后可调，为卡式调节。调节范围为0-55cm可调，高14-16cm六档可调；带有提手，背面设有12个地插钉，防止移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12 </w:t>
            </w:r>
          </w:p>
        </w:tc>
      </w:tr>
      <w:tr>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发令枪</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双发式。钢制枪身，手柄为专用塑料材质,5.6mm定装发令弹；击发方式：单发击发；声响：100米处不小于60分贝；烟雾：150米处清晰可见。符合教学标准要求。</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支</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发令弹</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100发/盒，铜壳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盒</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16 </w:t>
            </w:r>
          </w:p>
        </w:tc>
      </w:tr>
      <w:tr>
        <w:tblPrEx>
          <w:tblCellMar>
            <w:top w:w="0" w:type="dxa"/>
            <w:left w:w="108" w:type="dxa"/>
            <w:bottom w:w="0" w:type="dxa"/>
            <w:right w:w="108" w:type="dxa"/>
          </w:tblCellMar>
        </w:tblPrEx>
        <w:trPr>
          <w:trHeight w:val="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标志筒</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全塑料制品,高度为45cm，呈圆锥体状，放置平稳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100 </w:t>
            </w:r>
          </w:p>
        </w:tc>
      </w:tr>
      <w:tr>
        <w:tblPrEx>
          <w:tblCellMar>
            <w:top w:w="0" w:type="dxa"/>
            <w:left w:w="108" w:type="dxa"/>
            <w:bottom w:w="0" w:type="dxa"/>
            <w:right w:w="108" w:type="dxa"/>
          </w:tblCellMar>
        </w:tblPrEx>
        <w:trPr>
          <w:trHeight w:val="4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实心球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1kg圆周长350mm～780mm,质量1000g±30g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圆球形，充气式橡胶实心球，有内胆，手感柔软无伤害，外摸无填充物感觉。球面用4mm厚的天然橡胶整体成形，未使用再生胶，产品没有异味。从10M高处自由落体试验后，无破裂。球表面防滑，球上有明显不易脱落的商标、标志。外表面均匀分布乳头状小颗粒，半球结合处没有凹楞。</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铅球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实心铸铁铅球，重量5kg。表面光滑，均匀，圆周公差＜0.05。实心铸铁材质。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30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标志杆</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底座重1kg，直径22cm高7cm，PVC管高1.5m，直径2.5cm，三角红旗（33*47*56cm）</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60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标枪</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质量500g总长1920mm±10mm直径22mm，枪头长240～250mm，握手棉线长95～110mm,枪体为铝合金制成。</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10 </w:t>
            </w:r>
          </w:p>
        </w:tc>
      </w:tr>
      <w:tr>
        <w:tblPrEx>
          <w:tblCellMar>
            <w:top w:w="0" w:type="dxa"/>
            <w:left w:w="108" w:type="dxa"/>
            <w:bottom w:w="0" w:type="dxa"/>
            <w:right w:w="108" w:type="dxa"/>
          </w:tblCellMar>
        </w:tblPrEx>
        <w:trPr>
          <w:trHeight w:val="35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划线器</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干粉划线器，总高730mm长500mm宽300mm，轮子φ100mm，扶手铁管φ25mm线宽45mm；可装粉15升；三轮车斗式，带手推把柄，推手处圆管直径22mm。带轮 可移动，滑轮设置合理，推动灵活，放置平稳，漏石灰均匀。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体能训练绳梯</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带包，红布带宽2.5cm，黄梯片长50cm宽3.8cm厚0.3cm，20片</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23 </w:t>
            </w:r>
          </w:p>
        </w:tc>
      </w:tr>
      <w:tr>
        <w:tblPrEx>
          <w:tblCellMar>
            <w:top w:w="0" w:type="dxa"/>
            <w:left w:w="108" w:type="dxa"/>
            <w:bottom w:w="0" w:type="dxa"/>
            <w:right w:w="108" w:type="dxa"/>
          </w:tblCellMar>
        </w:tblPrEx>
        <w:trPr>
          <w:trHeight w:val="42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助跳板</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1．助跳板长1200mm，宽600mm,高250mm。上板厚18mm，下板厚24mm四簧直径大8mm，小6mm。2．上盖有防滑层。3．S型弹簧，材质坚硬而富有弹性，表面漆层均匀光洁，木材无裂缝，无疤痕，不变形并经脱脂干燥处理。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7 </w:t>
            </w:r>
          </w:p>
        </w:tc>
      </w:tr>
      <w:tr>
        <w:tblPrEx>
          <w:tblCellMar>
            <w:top w:w="0" w:type="dxa"/>
            <w:left w:w="108" w:type="dxa"/>
            <w:bottom w:w="0" w:type="dxa"/>
            <w:right w:w="108" w:type="dxa"/>
          </w:tblCellMar>
        </w:tblPrEx>
        <w:trPr>
          <w:trHeight w:val="839"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山羊</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升降1000mm-1300mm，升降间距50mm，山羊头内用实木拼接，外包革面，尺寸：500mm×300mm×260mm±5mm。腿外管直径60mm，内管直径48mm，壁厚3mm；羊脚底椭圆面长泾100mm，短径80mm，采用铸铁.山羊身必须平整，软硬适宜，手感舒服，底托，箍于腿连接牢靠内外管配合严密，升降灵活，组装后落地平稳，应色泽一致，不允许有伤疤，缝线应不漏针跳线，无气泡无流挂。腿外管表面采用抛丸喷砂，酸洗磷化除锈，表面静电喷涂，全部使用优质纯聚酯室外粉末，厚度不低于80um色彩鲜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 </w:t>
            </w:r>
          </w:p>
        </w:tc>
      </w:tr>
      <w:tr>
        <w:tblPrEx>
          <w:tblCellMar>
            <w:top w:w="0" w:type="dxa"/>
            <w:left w:w="108" w:type="dxa"/>
            <w:bottom w:w="0" w:type="dxa"/>
            <w:right w:w="108" w:type="dxa"/>
          </w:tblCellMar>
        </w:tblPrEx>
        <w:trPr>
          <w:trHeight w:val="629"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跳箱</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跳箱长108cm，高100cm。上宽300mm下宽620mm分为7级，用20mm厚硬杂木制成（桦木除外），面涂有起保护和装饰用的漆层，箱体间拼装稳定牢固，平直，接地平稳。2、跳箱从上至下逐渐增大呈梯形，跳箱盖平整，软硬适宜，手感舒适。3、表面用优质皮革包制，泡钉封口，级间用内撑木插联组合。每节衔接应平整，紧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 </w:t>
            </w:r>
          </w:p>
        </w:tc>
      </w:tr>
      <w:tr>
        <w:tblPrEx>
          <w:tblCellMar>
            <w:top w:w="0" w:type="dxa"/>
            <w:left w:w="108" w:type="dxa"/>
            <w:bottom w:w="0" w:type="dxa"/>
            <w:right w:w="108" w:type="dxa"/>
          </w:tblCellMar>
        </w:tblPrEx>
        <w:trPr>
          <w:trHeight w:val="4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小跳垫</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1．小体操垫规格为1200×600×50mm。2．内胆材质为珍珠棉材质，为一个整块结构，不允许拼湊；采用环保材料。3．垫套为牛津布，颜色为军绿色，体操垫两侧设提手把。涤纶线缝合，两面革贴角。4. 跳垫的四角为直角，四周仿皮革包角：表面平整，无皱折，当载荷落至体操垫时，外层不得起皱，里外层不得发生相对位移。</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100 </w:t>
            </w:r>
          </w:p>
        </w:tc>
      </w:tr>
      <w:tr>
        <w:tblPrEx>
          <w:tblCellMar>
            <w:top w:w="0" w:type="dxa"/>
            <w:left w:w="108" w:type="dxa"/>
            <w:bottom w:w="0" w:type="dxa"/>
            <w:right w:w="108" w:type="dxa"/>
          </w:tblCellMar>
        </w:tblPrEx>
        <w:trPr>
          <w:trHeight w:val="4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大跳垫</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1．大体操垫规格为2000×1000×100mm。2．内胆材质为珍珠海绵，为一个整块结构，不允许拼湊；采用环保材料。3．垫套为牛津布，颜色为军绿色，体操垫两侧设提手把。涤纶线缝合，两面革贴角。4. 跳垫的四角为直角，四周仿皮革包角：表面平整，无皱折，当载荷落至体操垫时，外层不得起皱，里外层不得发生相对位移。</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体操棒</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1.长90cm，直径3cm，2、用铝合金管制成，表面光洁，体形端直，无变形，无弯曲等缺陷，两边塑料堵头。3、表面涂彩色油漆，红白各半，色泽鲜艳。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体操凳</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长3m,宽：190mm，高290mm，2．板面厚38mm，放置稳固，以实木为主，表面平整，棱角光滑，无毛刺、缺损、木疥。3．外观颜色鲜艳醒目。</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8 </w:t>
            </w:r>
          </w:p>
        </w:tc>
      </w:tr>
      <w:tr>
        <w:trPr>
          <w:trHeight w:val="42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初中生用篮球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7号篮球，重量：567-650克，圆周：749-780毫米，球压标准：7-9磅，皮革材质：高档耐磨PU皮革，中胎材质：抗冲击10000次以上比赛级中胎，篮球构造：天然橡胶内胆，外皮革三层，适用场地：室内室外通用，篮球级别：比赛用球，篮球特点：超级耐磨，手感佳，弹性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篮球网</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比赛型圆绳，直径5mm，标准篮球网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20 </w:t>
            </w:r>
          </w:p>
        </w:tc>
      </w:tr>
      <w:tr>
        <w:tblPrEx>
          <w:tblCellMar>
            <w:top w:w="0" w:type="dxa"/>
            <w:left w:w="108" w:type="dxa"/>
            <w:bottom w:w="0" w:type="dxa"/>
            <w:right w:w="108" w:type="dxa"/>
          </w:tblCellMar>
        </w:tblPrEx>
        <w:trPr>
          <w:trHeight w:val="42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初中生用排球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5号排球，重量：260-280克，圆周：650-670毫米，球压标准：4-6磅，皮革材质：亚超细皮革，中胎材质：训练比赛级中胎，排球构造：内胆，中胎，外皮革三层，适用场地：室内室外通用，排球级别：训练比赛用球，排球特点：皮革柔软，手感极佳，弹性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软式排球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5#：1．软质聚氨酯泡沫塑料，使用软质聚氨酯泡沫塑料2．成品球内发泡塑料气孔中不应残留对人体和环境有害物质；3．球体颜色均匀，产品标志图案完整，接缝表面平整。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气排球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7号气排球，材质：可清洗的eva发泡材料，重量110-125g。圆周76-80CM。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35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少年足球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4号亮面机缝足球，重量：350-400克，圆周：620-640毫米，球压标准：6-8磅，皮革材质：TPU皮革，内胆材质：高档比赛级内胆，足球构造：内胆，皮革两层，适用场地：室内室外通用，足球级别：训练比赛用球，足球特点：脚感好，耐磨，弹性极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成年足球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5号亮面机缝足球，重量：410-450克，圆周：680-700毫米，球压标准：6-8磅，皮革材质：TPU皮革，内胆材质：高档比赛级内胆，足球构造：内胆，皮革两层，适用场地：室内室外通用，足球级别：训练比赛用球，足球特点：脚感好，耐磨，弹性极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乒乓球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直径43.4mm～44.4mm，质量2.20g～2.60g，弹跳220mm～250mm，圆度0.4mm，受冲击不小于700次无破裂</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360 </w:t>
            </w:r>
          </w:p>
        </w:tc>
      </w:tr>
      <w:tr>
        <w:tblPrEx>
          <w:tblCellMar>
            <w:top w:w="0" w:type="dxa"/>
            <w:left w:w="108" w:type="dxa"/>
            <w:bottom w:w="0" w:type="dxa"/>
            <w:right w:w="108" w:type="dxa"/>
          </w:tblCellMar>
        </w:tblPrEx>
        <w:trPr>
          <w:trHeight w:val="28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乒乓球拍</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用来击球的拍面应用一层齿粒向外的胶粒片覆盖，连同粘合剂，厚度应不超过2mm，或者用齿粒向内或向外的海绵胶粒片覆盖，连同粘合剂，厚度应不超过4mm。底板与胶粒片或海绵胶粒片的粘接结合力应≥4N</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羽毛球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球口外径65mm～68mm，球头直径25mm～27mm，球头高度24mm～26mm，毛片插长63mm～64mm，质量4.50g～5.80g，毛片数量16片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360 </w:t>
            </w:r>
          </w:p>
        </w:tc>
      </w:tr>
      <w:tr>
        <w:tblPrEx>
          <w:tblCellMar>
            <w:top w:w="0" w:type="dxa"/>
            <w:left w:w="108" w:type="dxa"/>
            <w:bottom w:w="0" w:type="dxa"/>
            <w:right w:w="108" w:type="dxa"/>
          </w:tblCellMar>
        </w:tblPrEx>
        <w:trPr>
          <w:trHeight w:val="56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羽毛球拍</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1、铝合金一体，尼龙球网；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2、长度≤660mm，球拍上宽度≤200mm，球拍弦面长度≤245mm；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3、整体重量：95-120g；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4、拍弦直径：0.9mm；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5、手柄长150mm，握柄直径25mm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6、拍身表面光滑，拍上贴标签，印刷图案应文字清楚，粘贴平整。</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120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网球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质量46.0g～53.0g，直径62mm～68.58mm，弹性1100mm～1400mm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60 </w:t>
            </w:r>
          </w:p>
        </w:tc>
      </w:tr>
      <w:tr>
        <w:tblPrEx>
          <w:tblCellMar>
            <w:top w:w="0" w:type="dxa"/>
            <w:left w:w="108" w:type="dxa"/>
            <w:bottom w:w="0" w:type="dxa"/>
            <w:right w:w="108" w:type="dxa"/>
          </w:tblCellMar>
        </w:tblPrEx>
        <w:trPr>
          <w:trHeight w:val="4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短式网球拍</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1、铝合金分体，尼龙球网；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2．外观：球拍的击球面平坦，由连接在球拍框上的拍弦组成统一规则，拍弦在交叉的地方相互交织或相互结合的；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3、总长度≤585mm，球拍上宽度≤260mm，球拍弦面长度≤330mm；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4、手柄长150mm，握柄直径30mm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5、拍身表面光滑，拍上贴标签，印刷图案应文字清楚，粘贴平整。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30 </w:t>
            </w:r>
          </w:p>
        </w:tc>
      </w:tr>
      <w:tr>
        <w:tblPrEx>
          <w:tblCellMar>
            <w:top w:w="0" w:type="dxa"/>
            <w:left w:w="108" w:type="dxa"/>
            <w:bottom w:w="0" w:type="dxa"/>
            <w:right w:w="108" w:type="dxa"/>
          </w:tblCellMar>
        </w:tblPrEx>
        <w:trPr>
          <w:trHeight w:val="629"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网球拍</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1、铝合金一体，尼龙球网；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2．外观：球拍的击球面平坦，由连接在球拍框上的拍弦组成统一规则，拍弦在交叉的地方相互交织或相互结合的；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3、总长度≤685mm，球拍上宽度≤280mm，球拍弦面长度≤360mm；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4、手柄长180mm，握柄直径34mm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5、拍身表面光滑，拍上贴标签，印刷图案应文字清楚，粘贴平整。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30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毽球</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1．毽子高12cm左右。2．毽垫直径36-40mm，底部为橡胶制弹性底垫。3．毽毛为四根经处理的鹅毛组成，毽毛色彩鲜艳，符合学生心理特点。</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120 </w:t>
            </w:r>
          </w:p>
        </w:tc>
      </w:tr>
      <w:tr>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短跳绳，绳长度2600mm～2800mm，直径4.6mm.塑料海绵手柄，带计数功能，手柄长度为140-160mm，直径28-34mm。绳材质为pvc不透明磨砂材料制成。</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跳绳的绳和柄应采用无毒、环保、适宜的材料制成。绳长4800-5000mm,直径φ7mm。柄长120mm～140mm,直径φ21-25mm（木质手柄）。</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跳绳的绳和柄应采用无毒、环保、适宜的材料制成。绳长8800-9000mm,直径φ7mm。柄长120mm～140mm,直径φ21-25mm（木质手柄）。</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跳绳的绳和柄应采用无毒、环保、适宜的材料制成。绳长9800-10000mm,直径φ7mm。柄长120mm～140mm,直径φ21-25mm（木质手柄）。</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rPr>
          <w:trHeight w:val="2024"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跳绳测试仪</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包含：智能跳绳手柄50套，智能中控以及智能小程序各一套。                                                                                                                    1.智能跳绳手柄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手柄采用环保型材质打造， 从手柄的的半径和重量的角度充分考虑，兼顾功能与美观，学生的使用感会比一般的跳绳得到很大的提升。并配置高清LCD显示屏，跳绳数据高清显示，内置双霍尔传感器，多点检测，能精准计数，同时支持蓝牙连接，一键上传数据至云端。                                                                                                               2.智能中控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智能中控系统完美配合了智能手柄和智能APP，完美适配了学校体育课堂整个班级同时跳绳的情况，一次可连接50根跳绳，支持整个班级同时进行跳绳训练及测试。内置高速处理器，运行快速不卡顿，将跳绳数据精准传输到APP。材质为PE+ABS经久耐用，适合学校开展跳绳活动，更有超长续航能力。                                                               3.智能小程序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1）教练端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教师可线上组织管理班级，实时监督学生的运动数据，查看学生的运动报告，根据运动报告更好指导学生的后续运动。一键布置学生的体育作业，线上查看作业，进行运动指导，保障教师体育教学质量。在线上开展体育知识理论考试，使学生更全面地提高体育水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2）学生端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学生可加入班级进行日常的体育训练，项目有跳绳、50米短跑、坐位体前屈，仰卧起坐等，在线完成老师布置的作业，打破了时间与地点的限制，随时随地上传运动数据。除运动训练外还可进行体育知识的学习，参加体育知识模拟测试，体育知识理论考试，促个人体育水平的全面提高。在数据板块可得到学生以往不同运动项目的数据，数据以图表方式呈现，还可以看到学生运动项目在班级的排名，数据以清晰直观的形式呈现，利于分析自身的运动总体水平。</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 </w:t>
            </w:r>
          </w:p>
        </w:tc>
      </w:tr>
      <w:tr>
        <w:tblPrEx>
          <w:tblCellMar>
            <w:top w:w="0" w:type="dxa"/>
            <w:left w:w="108" w:type="dxa"/>
            <w:bottom w:w="0" w:type="dxa"/>
            <w:right w:w="108" w:type="dxa"/>
          </w:tblCellMar>
        </w:tblPrEx>
        <w:trPr>
          <w:trHeight w:val="35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花毽</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1．毽子高17cm左右，重20g左右。2．毽垫直径36-40mm，厚度15-20mm；毽垫为金属材料，底部为橡胶制弹性底垫。3．毽毛为四根经处理的长鸡毛组成，羽毛宽30-35mm，插毛管高22-24mm。毽毛色彩鲜艳，符合学生心理特点。</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200 </w:t>
            </w:r>
          </w:p>
        </w:tc>
      </w:tr>
      <w:tr>
        <w:tblPrEx>
          <w:tblCellMar>
            <w:top w:w="0" w:type="dxa"/>
            <w:left w:w="108" w:type="dxa"/>
            <w:bottom w:w="0" w:type="dxa"/>
            <w:right w:w="108" w:type="dxa"/>
          </w:tblCellMar>
        </w:tblPrEx>
        <w:trPr>
          <w:trHeight w:val="90"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软式飞盘</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采用硅胶制作,柔软易折叠。</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50 </w:t>
            </w:r>
          </w:p>
        </w:tc>
      </w:tr>
      <w:tr>
        <w:tblPrEx>
          <w:tblCellMar>
            <w:top w:w="0" w:type="dxa"/>
            <w:left w:w="108" w:type="dxa"/>
            <w:bottom w:w="0" w:type="dxa"/>
            <w:right w:w="108" w:type="dxa"/>
          </w:tblCellMar>
        </w:tblPrEx>
        <w:trPr>
          <w:trHeight w:val="21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拔河绳</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 1．拔河绳应用麻绳多股绞合而成。2．绳长30m，直径φ40mm；3．绳的两端结孔，绳的质地无霉变、腐朽、虫咬等缺陷。</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6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呼啦圈</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1．钢制内管，外套泡沫，直径40mm。环保塑料制品.2．外径规格为800mm。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橡皮拉力带</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轻阻力，拉力带采用合成橡胶TPE制作，环保，无味，弹性好，强度高，不易断裂，不易老化</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条</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橡皮拉力带</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重阻力，拉力带采用合成橡胶TPE制作，环保，无味，弹性好，强度高，不易断裂，不易老化</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条</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46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体育教学挂图</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适用于中学教学用，36幅，纸张尺寸：520*720mm。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r>
        <w:tblPrEx>
          <w:tblCellMar>
            <w:top w:w="0" w:type="dxa"/>
            <w:left w:w="108" w:type="dxa"/>
            <w:bottom w:w="0" w:type="dxa"/>
            <w:right w:w="108" w:type="dxa"/>
          </w:tblCellMar>
        </w:tblPrEx>
        <w:trPr>
          <w:trHeight w:val="141" w:hRule="atLeast"/>
        </w:trPr>
        <w:tc>
          <w:tcPr>
            <w:tcW w:w="70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广播体操教学挂图</w:t>
            </w:r>
          </w:p>
        </w:tc>
        <w:tc>
          <w:tcPr>
            <w:tcW w:w="5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适用于中学体操学教学用，纸张尺寸：480*700mm。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bl>
    <w:p>
      <w:pPr>
        <w:shd w:val="clear"/>
        <w:spacing w:line="360" w:lineRule="auto"/>
        <w:rPr>
          <w:rFonts w:ascii="仿宋" w:hAnsi="仿宋" w:eastAsia="仿宋" w:cs="仿宋"/>
          <w:color w:val="auto"/>
          <w:sz w:val="24"/>
          <w:szCs w:val="24"/>
          <w:highlight w:val="none"/>
        </w:rPr>
        <w:sectPr>
          <w:footerReference r:id="rId5" w:type="default"/>
          <w:pgSz w:w="11906" w:h="16838"/>
          <w:pgMar w:top="1440" w:right="1800" w:bottom="1440" w:left="1800" w:header="851" w:footer="992" w:gutter="0"/>
          <w:pgNumType w:start="1"/>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二、音乐教室</w:t>
      </w:r>
    </w:p>
    <w:tbl>
      <w:tblPr>
        <w:tblStyle w:val="21"/>
        <w:tblW w:w="8739" w:type="dxa"/>
        <w:jc w:val="center"/>
        <w:tblLayout w:type="autofit"/>
        <w:tblCellMar>
          <w:top w:w="0" w:type="dxa"/>
          <w:left w:w="108" w:type="dxa"/>
          <w:bottom w:w="0" w:type="dxa"/>
          <w:right w:w="108" w:type="dxa"/>
        </w:tblCellMar>
      </w:tblPr>
      <w:tblGrid>
        <w:gridCol w:w="457"/>
        <w:gridCol w:w="1249"/>
        <w:gridCol w:w="5932"/>
        <w:gridCol w:w="525"/>
        <w:gridCol w:w="576"/>
      </w:tblGrid>
      <w:tr>
        <w:tblPrEx>
          <w:tblCellMar>
            <w:top w:w="0" w:type="dxa"/>
            <w:left w:w="108" w:type="dxa"/>
            <w:bottom w:w="0" w:type="dxa"/>
            <w:right w:w="108" w:type="dxa"/>
          </w:tblCellMar>
        </w:tblPrEx>
        <w:trPr>
          <w:trHeight w:val="90" w:hRule="atLeast"/>
          <w:jc w:val="center"/>
        </w:trPr>
        <w:tc>
          <w:tcPr>
            <w:tcW w:w="453" w:type="dxa"/>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25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设备类别</w:t>
            </w:r>
          </w:p>
        </w:tc>
        <w:tc>
          <w:tcPr>
            <w:tcW w:w="5948"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规格参数</w:t>
            </w:r>
          </w:p>
        </w:tc>
        <w:tc>
          <w:tcPr>
            <w:tcW w:w="525"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单位</w:t>
            </w:r>
          </w:p>
        </w:tc>
        <w:tc>
          <w:tcPr>
            <w:tcW w:w="561"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r>
      <w:tr>
        <w:tblPrEx>
          <w:tblCellMar>
            <w:top w:w="0" w:type="dxa"/>
            <w:left w:w="108" w:type="dxa"/>
            <w:bottom w:w="0" w:type="dxa"/>
            <w:right w:w="108" w:type="dxa"/>
          </w:tblCellMar>
        </w:tblPrEx>
        <w:trPr>
          <w:trHeight w:val="605"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MIDI智能音乐电子示教板</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尺寸：约180*100*5.8cm。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1、键盘：88键电钢琴键盘，体验真正的电钢琴力度。</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双拉尺演示、包括两组音阶推拉尺。和弦演示尺，具有调名调号七升七降对照演示表。直观的让学生了解调名、调号、键盘、谱表之间的关系。了解调名调号与音程音阶之间的对照关系。了解不同和线之间的关系。能够完成全部乐理知识的对照讲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3、五线谱表：一组可书写的大谱表,采用白色书写面板。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4、音色：≧128种GM音色+≧61种打击乐器音色。</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5、节奏：内置节奏≧100种。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6、示范曲：内置歌曲≧600首。</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7、变调：五线谱≧12种变调。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8、调号转换：电教鞭上具有升调“#”、降调“b”转换功能键。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9、和弦方式：可演示任意和旋，两组和弦记忆，进行和弦对照演示。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10、伴奏：具单指和弦、多指和弦伴奏。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11、录音：具有录音功能。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12、节拍速度：可在40－280/每分钟范围可调。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13、★显示：控制面板上采用≧4.3寸彩色液晶屏显示。（该项为重要技术参数，需提供证明材料。包括但不限于国家认可的第三方检测机构出具的检测报告、官网截图、产品彩页等）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14、接口：MIDI输入、输出接口，音频输入、输出接口。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15、音量控制：电子电位器控制、分主音量和伴奏音量控制。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16、拓展功能：具有USB接口，支持用户U盘，可读取u盘中的MP3文件和MIDI乐曲文件。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17、外接接口：通用USB输入；线路输入输出。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18、该示教板以键盘为核心，配合乐理符号丝网印刷，方便乐理知识的教学，将键盘、谱表、调名、调号巧妙的联系到一起，乐理演示简捷直观，乐理解析清晰易懂。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19、具有键位与五线谱对应的双色LED指示灯，可对照键盘与五线谱相应的位置。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20、具有≧7寸超大简谱显示窗口，在电子教鞭演示五线谱过程中可直接显示相对应的简谱、升降号。</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21、7寸简谱显示窗口具有唱名显示功能，弹奏键盘、五线谱谱表时同步高亮显示唱名。</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r>
        <w:tblPrEx>
          <w:tblCellMar>
            <w:top w:w="0" w:type="dxa"/>
            <w:left w:w="108" w:type="dxa"/>
            <w:bottom w:w="0" w:type="dxa"/>
            <w:right w:w="108" w:type="dxa"/>
          </w:tblCellMar>
        </w:tblPrEx>
        <w:trPr>
          <w:trHeight w:val="67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音乐教学软件</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数字音乐授课系统：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音乐教学系统为方便数据收集与分析抛弃传统的单机版本采用账号登录，登录时需要输入账号、密码。下述所有功能需在同一软件内实现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系统具有注册账号及密码找回功能，需要输入手机号，系统会自动发送验证码到应对手机号、输入验证码、密码、名字、所属省、市、区县、学校名称、系统激活码进行账号注册。</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一、歌唱教学系统：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1.包含缩略图、课件库两部分、缩略图内可以添加新建页、删除页、更换背景颜色、打印。课件库选择教学版本、年级上下册及其他乐谱。</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2.工具导航框显示与隐藏：包含缩略图、课件库两部分、缩略图内可以添加新建页、删除页、更换背景颜色。课件库选择教学版本、年级上下册及其他乐谱。</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3.五线谱课件支持一键显隐歌词、一键添加歌词拼音。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4.节拍器设置：乐谱播放过程中速度调节40-208拍可调（不需要定制乐谱）、节拍音量调节1-10级音量可调。5种节拍类型可调。节拍器开始及播放功能键。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5.五线谱课件一键生成乐器指法：包括了葫芦丝、箫、竖笛、陶笛的指法谱。五线谱指法谱上下排列对照显示。（该项为重要技术参数，需在软件测试报告上体现该项功能）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6.满足歌词学唱、支持歌词一键隐藏、歌词一键生成拼音功能。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7.支持原有五线谱一键生成节奏谱，节奏谱、五线谱上下对照排列。</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8.满足歌唱拓展教学需要，在歌唱教学系统中可直接插入歌唱教学视频、图片等相关教学内容。</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9.简谱乐谱谱曲播放、男声节奏播放、女声节奏播放、男声唱名、女声唱名播放、女声试唱播放等六种播放模式均可在播放过程中可直接改变 播放速度（改变速度时不能暂停）。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★10.支持五线谱课件一键生成竹笛、萧、葫芦丝指法标识，指法标识与原有五线谱上下对照排列。</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11.歌唱模块具有节拍器：具有2拍、3拍、4拍、3+2拍、3+3拍可调，节拍器播放时具有强弱拍。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对于合唱教学、乐队总谱等多声部曲谱，可进行选择性播放，以及对于每个声部进行不同音量的比例调节。（该项为重要技术参数，需提供证明材料。包括但不限于国家认可的第三方检测机构出具的检测报告、官网截图、产品彩页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13.支持对任意歌曲进行改编，包括音符，歌词，谱号，调号，音高，节奏。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14.支持页面截图，点亮跟录制功能。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15.课件谱曲播放时，可直接操作电子琴或电钢琴的音色按钮改变音色进行播放，可任意调用电子琴或电钢琴的音色通过电子琴或电钢琴的扬声 器发声。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16.歌唱教学模块下具有电子白板讲解标注功能。包括：铅笔，荧光笔，笔记粗细可支持六度调节，橡皮擦，擦除全部，手势操作放大/缩小/页 面漫游，标注的笔迹可与课件同步缩放。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二、音乐创作模块：</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1.具有简谱和五线谱两种模式。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2.支持音高、时值、连音线、减时线、音阶、倚音、和弦、多音符、异步曲、歌词时值、歌词连线等内容设置。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3.输入小键盘1、2、3、4、5、6、7可以输入简谱音符，按住 “Shift”键，选中首尾音符可以选中一段音符，进行复制、粘贴、删除等操作。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4.输入电脑键盘上的C、D、E、F、G、A、B可以输入对应音高音符。</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5.支持在乐谱中添加作品标题和副标题、作者信息、演奏形式、演奏速度等信息。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6.支持钢琴谱表、复合谱表等多行乐谱同时播放。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7.在简谱打谱时可以直接操作键盘进行音符输入，可以点击简谱音符上下拖动来改变音符属性，简谱课件可直接一键转换为五线谱。</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8.在简谱课件中支持插入图片、视频进行混合编辑功能。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9.支持总谱打谱无限添加谱表，可设定每行谱表为不同的音色，可设置钢琴谱表、器乐合奏谱、合唱谱</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10.选择单谱表可以设定单谱表的播放乐器音色弹出修改乐器框，选择乐器名称，乐器类别并且播放，共128种音色。修改单谱表之间的行间距。</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三、赏析与资源中心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1.约30万汉字知识点，包含了乐器史、中外音乐元素、海外音乐元素、东西方音乐家介绍等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2.可插入图片、可音频进行文字，声音，图片进行混合教学应用。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四、题库管理：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★1.题库管理：具有公开题库、我的题库两种类型，我的题库支持创建试题，创建试题时可直接选择试题类型、试题分数、题目描述、选择题选项范围2-8项可选；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2.公开题库：试题为选择题，教师可直接查看试题信息、正确选项、单题得分、总得分，数量≧90套题可直接选用；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3.支持教师下发的题目可选择公开与不公开</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r>
        <w:tblPrEx>
          <w:tblCellMar>
            <w:top w:w="0" w:type="dxa"/>
            <w:left w:w="108" w:type="dxa"/>
            <w:bottom w:w="0" w:type="dxa"/>
            <w:right w:w="108" w:type="dxa"/>
          </w:tblCellMar>
        </w:tblPrEx>
        <w:trPr>
          <w:trHeight w:val="67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钢琴</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（一）规格尺寸：长约150CM；宽约 60CM；高约121CM；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（二）材料及工艺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琴弦：音准稳定。琴弦的配置和音板的匹配数值，由专业软件严密计算得出，小字一组A音频率440HZ至447HZ之内。优良的缠弦制造技术，生产出有良好音程效果的、声音丰满而有延伸感的理想缠弦。次高音、高音部分采用整数比方式制作，音色通透、纯净。</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弦长：第一键有效弦长为1200mm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2、弦槌：优质弦槌毛毡，呢毡密度为0.4~0.9R的钢琴弦槌呢毡,色泽均匀一致，更灵敏耐用，呈现最佳音色。桃花芯木槌芯，保证回弹速度与质感。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3、音板、肋木：选用云杉、松木制造的加强型实木音板（3A级），增强了音板的共鸣效果。在各种不同的气候条件下均能保持优良音色，音板设计符合钢琴共鸣系统的发声规律，琴声优美和音质效果纯正。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4、弦轴板、弦轴钉：弦轴钉采用倒牙车丝配合高精度的防锈处理技术工艺；弦轴板由多层（≧17层）坚硬的色木交错拼接而成，制造过程中电脑控制含水率，为弦轴钉提供稳固的握钉力，保证音准稳定。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5、键盘参数：88标准键盘</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键盘材料：使用粘性和耐久性强的松木、杉木制作，结合先进技术防止键盘变形，性能稳定，可长久保持良好的触感、手感。白键表面采用优质合成丙烯树脂，黑键表面采用经过防滑处理的酚醛树脂，色彩和质感如同乌木，触感舒适自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6、外壳涂饰： 应用静电喷涂、自动淋油等涂饰工艺，漆面光亮平整，硬度高且不易划伤，能够长久保持华丽色彩的镜面效果。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外观涂装为黑色亮光：高光≧85，半光：30-85，低光≦30。</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7、击弦机：材料为桂杨木、榉木，受温度、湿度影响小。击弦机精度高、质量均衡，确保手指的敲击动作完整的向弦槌传达，琴键的触感均匀而恰到好处，能够迅速的连击想要的颤音效果。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8、铁板：亮光金葱粉金色铁板，不仅更好地支持弦的张力，并且更长久地保证钢琴的音色纯正。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弦码：采用优质色木材料制作，音频振动响应精确、迅速。长弦码采用单根弦码方法，从头到尾流畅整齐，确保声音平衡柔和的传递；长弦码高音部分采用硬度和弹性都很好的优质色木材料，有效防止震动的减弱，获得有色彩感的音质，且具有一定的延音效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10、背柱：碾压而成的云杉木背柱结合先进技术进一步加强了刚性、共鸣性及结构稳定性。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 踏板：延音踏板、弱音踏板和选择踏板，都采用优雅的弧形设计，踏感轻松、演奏方便，踏板踩下后传递到击弦机的过程顺畅迅速。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12、脚轮：采用加固胶木脚轮，转动灵活、推行顺畅、噪音低。</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r>
        <w:tblPrEx>
          <w:tblCellMar>
            <w:top w:w="0" w:type="dxa"/>
            <w:left w:w="108" w:type="dxa"/>
            <w:bottom w:w="0" w:type="dxa"/>
            <w:right w:w="108" w:type="dxa"/>
          </w:tblCellMar>
        </w:tblPrEx>
        <w:trPr>
          <w:trHeight w:val="181"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手风琴</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120BS 律制：十二平均律标准音：小字一组a音为440Hz，应符合QB/1298-2014《手风琴通用技术条件》的要求,音准允许误差：-5～+12音分；键盘间个阴转误差≦8。音色明亮，音质纯净,低音浑厚；全音域内的同读音和八度音应和谐;白键下沉4.0-6.5,静止最大负荷为0.83N;贝司静止最大负荷为1.37N.气压不小于580Pa，变音器排列整齐,传动装置灵敏有效,可保证音孔的充分闭合</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键盘：防刮划材料，主要材质使用合金铝板，铝材。</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①41个琴键（其中24个白健，17个黑键）;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②贝司按钮：120个发音按钮；设有1个放气按钮，音簧为五组音组成；</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③键盘贝司变音器：3+7</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④音域：F-A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⑤琴带：风箱扣带、贝司带、背带牢固，长短适宜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⑥产品具有独立纸箱包装,配备琴包</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架</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录音机</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1.≧99首曲目任意编程智能化播放CD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2.FM/MW多波段立体声收音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3.CD播放与反复功能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4.CD-R/CD-RW/MP3/WMA播放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5.BBS超重低音系列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6.LCD播放曲目显示，碟片格式显示，具有随机播放工能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7.立体声耳机插孔/ 具有电子防振工能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8.特设USB接口，可插U盘，兼容MP3/WMA资料格式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9.使用交流电AC 220V/50HZ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10.体积：约290*255*152mm ,附件：电源线;</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指挥台（含指挥棒）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指挥台，实木制，便携可调/折叠式，结实耐用。站台表面铺有红地毯，站台内部为钢制结构，满足强度要求，站台带有安全护栏，安全性好。谱台和二层板台采用樟子松实木材质，可以自由调节倾斜度数。谱台高度可调节，800-1200mm.任意调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2.谱台板尺寸:650*420mm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3.二层台板尺寸:300*400mm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4.谱台板高度尺寸:800-1200mm 可调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5.护栏高度尺寸:高900mm 宽:700mm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6.站台尺寸:1000*1200*250mm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合唱台</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1.材质：樟子松实木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2.规格：（长*宽*高）1200*1200*750mm，单层板宽400mm，层高300mm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3.工艺：实木拼接，内置龙骨，满足承重要求，安全可靠，表面环保漆（颜色可选）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4.结构：伸缩式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5.其他：每组合唱台可站立6-9人 </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r>
      <w:tr>
        <w:tblPrEx>
          <w:tblCellMar>
            <w:top w:w="0" w:type="dxa"/>
            <w:left w:w="108" w:type="dxa"/>
            <w:bottom w:w="0" w:type="dxa"/>
            <w:right w:w="108" w:type="dxa"/>
          </w:tblCellMar>
        </w:tblPrEx>
        <w:trPr>
          <w:trHeight w:val="28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音乐节拍器</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材料：注塑外壳 纯金属机芯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机芯：高档金属机芯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模式：传统示拍模式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速度：40~208拍/分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节拍：0、2、3、4、6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误差：速度误差&lt;1%</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特色：纯金属机芯结构，精准、稳定、音亮、操作简便,外观时尚 </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音叉</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1.材质：304食品级不锈钢</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2.规格：总长≧115mm，把手长度≧40mm，叉长≧75mm，叉厚≧3mm                                                                                                                                                  3.结构：呈“Y”形的钢质音叉，标准音乐音叉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4.使用方法：敲击音叉，采集声波波形图 </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419"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音乐教学挂图</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铜版纸彩色印刷，规格：约740×520mm，全对开。小学音乐挂图含音乐家挂图25张，乐器挂图35张，识谱知识挂图10张，</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含中国音乐家：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赵元任、刘天华、贺渌汀、黄 自、冼星海、丁善德、聂耳、马思聪、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外国音乐家；约翰·塞巴斯蒂安·巴赫、乔治·弗里德里希·亨德尔、约瑟夫·海顿、沃尔夫冈·阿玛多伊斯·莫扎特、路德维希·冯·貝多芬、弗朗兹·彼得·舒伯特、弗雷德里克·弗朗西斯克·肖邦、罗伯特·舒曼、朱塞佩·威尔第、约翰·施特劳斯、约翰内斯·勃拉姆斯、夏尔·卡米尔·圣桑、乔治·比才、彼得·伊里奇·柴科夫斯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爱德华·格里格、克罗德·德彪西、德米特里·肖斯塔科维奇、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民族乐器；二胡、京胡、笛、唢呐、笙、琵琶、柳琴、阮、扬琴、筝、古琴、埙、云锣、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我国少数民族乐器：马头琴、艾捷克、冬不拉、芦笙、巴乌、札木聂、伽倻琴、</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西洋乐器：小提琴、中提琴、大提琴、提琴家族、长笛、单簧管、双簧管、大管、小号、长号、圆号、大号、萨克斯管 、民族管弦乐队、西洋管弦乐队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乐理部分；五线谱、谱号、谱表、音名与长鸣、音符与休止符、拍子与拍号、三连音与切分音、装饰音、音阶与调式、音程、常用记号、常见的歌曲基本结构。</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1.结构：材质为彩色塑料（彩色PE聚乙烯），外部有音符标注；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2.音准要求：符合标准要求-35～+35;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3.规格：筒直径43mm，按音符排列，音筒长：C：610mm、D：550mm、E：473mm、F：450mm、G：400mm、A：353mm、B：300mm、C：285mm；（偏离范围±10mm）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rPr>
          <w:trHeight w:val="16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音条</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1.构成：由实木制木条和铝片构成，带有便携带木盒，                                                                                                                                                                                           2.组成部分：音条键、发音箱、音条钉、音条锤，产品表面镀层牢固、完整、光亮，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3.规格：铝制17块音块组成，规格：最长音块≧215mm、最短音块≧143mm；音块高≧46mm；音块的铝板琴片厚度≧5mm；                                                                                                                                                                4.音色：音灵敏，主音清晰，悦耳，音色饱满，共鸣好，无杂音；音准符合标准要求。 </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钟琴</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域4个八度（高、中、低音）；2.钢片宽32mm，厚10mm，长根据音高确定。音域范围c~c4（小字组c音~小字4组c音）共49个钢片组成；3.音管两排。音管用直径35mm左右的特种铝，长短根据音高确定；4.支架用矩形钢管制作，可升降、可拆卸，底端带四个脚轮便于移动，有两个脚轮带锁紧装置。组装后稳固；5.敲棒一对，手柄长250mm，头为硬质塑料；6.音质：高、中、低音，层次分明，音律协调，发音明亮、整体连贯；7.带拆卸扳手。</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沙锤</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1.材质：纯天然椰壳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2.规格：总长度为≧240mm，锤体长度≧120mm，锤球直径≧115mm，手柄长≧152mm，手柄直径≧24mm.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3.结构：由锤球和手柄组成，锤球用椰壳制成，呈空心椭球形，内装铁砂，木制手柄内装沙粒，两个为一副。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4.音色：声音明亮，清脆，可发“沙拉拉”音响效果。</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对</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11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沙筒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1.材质：榉木；                                                                                                                                                                                                                 2.结构：形状为小圆柱体，木体为天然木料的木质纹路更美观；                                                                                                                                                                      3.规格：长度≧60mm，直径≧30mm；                                                                                                                                                                                                                                  4.音色：声音明亮，清脆，可发“沙拉拉”音响效果。</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对</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r>
      <w:tr>
        <w:tblPrEx>
          <w:tblCellMar>
            <w:top w:w="0" w:type="dxa"/>
            <w:left w:w="108" w:type="dxa"/>
            <w:bottom w:w="0" w:type="dxa"/>
            <w:right w:w="108" w:type="dxa"/>
          </w:tblCellMar>
        </w:tblPrEx>
        <w:trPr>
          <w:trHeight w:val="11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沙蛋</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1.材质：榉木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2.规格：沙蛋长度≧58mm，直径≧41mm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3.结构：由2个椭圆原木沙蛋组成，内装沙粒，两个为一副；                                                                                                                                                                               4.音色：声音明亮，清脆，可发“沙拉拉”音响效果。</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对</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r>
      <w:tr>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摇铃（串铃）</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1.材质：塑料皮带、金属铃铛、木制把，外观结构：半圆附塑料皮带由木制把连接，挂有5个小铃铛，铃铛悬挂牢固，2个为一副；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2.规格：半圆直径≧107mm，高≧91mm，木柄直径≧18mm；铃圈厚≧2mm，皮宽≧17mm，皮长约≧200mm；铃铛规格≧23*23mm；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3.音色：发音清脆，无杂音；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对</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r>
      <w:tr>
        <w:tblPrEx>
          <w:tblCellMar>
            <w:top w:w="0" w:type="dxa"/>
            <w:left w:w="108" w:type="dxa"/>
            <w:bottom w:w="0" w:type="dxa"/>
            <w:right w:w="108" w:type="dxa"/>
          </w:tblCellMar>
        </w:tblPrEx>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棒铃</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1.材质：木制、金属铃铛，结构：木棒上面覆盖红绒布，配有21颗小铃铛组成，边缘排布4排各5颗铃铛，顶部一颗铃铛，手柄处为原木清漆，美观精致；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2.规格：全长≧250mm，手柄把长≧100mm，铃铛直径≧20mm；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3.使用方法：手持棒铃，左右或上下摇晃，使其铃铛同时发声，清越响亮；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对</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19</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卡巴撒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1.结构：由木制手柄和木制“工”型框架，框架内部有金属包裹，外部由10多条电镀金属串珠构成，珠子表面平整无划痕，无毛刺；手柄表面光滑，无毛刺，安装结实；                                                                                 2.音质：音质清晰，无杂音、可根据摩擦或摇晃的速度快慢来调整节奏。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3.规格：头部木块直径≧130mm，厚≧8mm，锤头高≧72mm，金属串珠区直径≧76mm，金属串珠区高≧53mm；手柄长≧100mm，手柄直径≧17-24mm；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注：本产品为金属合金，重量轻巧，便于携带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双响筒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1、材质：红花梨木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2、规格：总长≧180mm；外孔直径≧40mm；内孔直径≧25mm；插棒长度≧155mm；敲棒长≧155mm ，内孔直径≧25mm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3、结构：由筒体、手柄、击槌组成，双响筒两端均有粗细相同的螺纹状更能体现出音型，加沟凹槽都是经过精密处理发声标准清晰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r>
      <w:tr>
        <w:tblPrEx>
          <w:tblCellMar>
            <w:top w:w="0" w:type="dxa"/>
            <w:left w:w="108" w:type="dxa"/>
            <w:bottom w:w="0" w:type="dxa"/>
            <w:right w:w="108" w:type="dxa"/>
          </w:tblCellMar>
        </w:tblPrEx>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响板</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1.材质：红花梨木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2.规格：全长≧240mm，响板头直径≧55mm；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3.结构：由主板及两块盖板连接组成，主板及盖板各有两个孔，主板夹在两盖板中间，用线绳穿过两圆孔串联在一起；                                                                                                                                  4.音色：发音清脆，悦耳，可发出坚硬“哒，哒哒”声、无杂音；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r>
      <w:tr>
        <w:tblPrEx>
          <w:tblCellMar>
            <w:top w:w="0" w:type="dxa"/>
            <w:left w:w="108" w:type="dxa"/>
            <w:bottom w:w="0" w:type="dxa"/>
            <w:right w:w="108" w:type="dxa"/>
          </w:tblCellMar>
        </w:tblPrEx>
        <w:trPr>
          <w:trHeight w:val="16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22</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响棒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1.材质：椿木；                                                                                                                                                                                                                2.结构：由两根圆柱体实木棍构成，材质：椿木，外观打磨光滑，边缘无毛刺，长短一致，粗细均匀，两根为一副；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3.规格：长≧200mm，直径≧20mm；                                                                                                                                                                                                4.音色：发音清脆，悦耳；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23</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刮棒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1.材质：椿木木质；                                                                                                                                                                                                                                                                                  2.结构：由一根粗细一致的实木棒，用机械旋转掏空成均匀大小的螺纹制成，底端圆滑凸起部分为手柄，外观原木清漆，，配敲棒一支；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3.规格：全长≧220mm，刮棱棒长≧145mm，刮棒直径≧25mm，手柄长≧8mm，直径≧17mm，棒长≧145mm，直径≧6mm；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4.音色：音质清晰，无杂音；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蛙鸣筒</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1.材质：榉木材质；                                                                                                                                                                                         2.结构：蛙鸣筒，形状似鱼型，腰部均匀加沟，原木清漆，头部和尾部彩漆，附敲棒一根；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3.规格：全长≧34cm；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4.音色：音质清晰，无杂音；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南梆子</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1.材质：梨木                                                                                                                                                                                                                                                                                         2.结构：由木制中空长方体梆子和敲棒构成；中间为一长方形音孔，内腔渐大，音孔镂空高≧8mm，配一支敲棒，表面光滑，完整，光亮。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3.规格：长≧195mm，宽≧39mm，开缝长≧139mm；敲棒长≧200mm，击锤直径≧14mm；                                                                                                                                                                 4.音色：音质清晰，宏亮，悦耳，饱满，无杂音；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26</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木鱼</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1.材质：椿木；                                                                                                                                                                                                                        2.结构：八音一组，正面方形，侧面三角形，手工制作，设有发音孔，附击锤1个；木鱼呈团鱼形，腹部中空，头部正中开口，为发音孔，尾部盘绕，其状昂首缩尾，背部(敲击部位)呈斜坡形，两侧三角形，底部椭圆，外观红色喷漆，金色画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3.规格：八个尺寸为一套，敲击不同尺寸的木鱼，出不一同的音调。                                                                                                                                                                                                                                             4.音色：音质清晰，洪亮、悦耳，音色饱满，无杂音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27</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铃鼓</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1.材质：鼓圈桦木多层板，鼓面优质单面羊皮，黄铜镲片、羊皮鼓面；</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2.结构：由鼓身、鼓面、6组小铃片组成，鼓面与鼓圈连接处用数颗泡钉进行固定，更结实美观                                                                                                                                                                   3.规格：铃鼓直径≧200mm，高度≧43mm,木质圈厚度≧6mm，单片铃片直径≧36mm，                                                                                                                                                                                     4.音色：击鼓，摇鼓发声清晰，无噪音；铃声清脆，古音纯正。</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28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28</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三角铁</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1、材质：应为“锰钢”</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2、音色：音质明亮，发音清脆穿透力强，演奏时用吊环悬吊敲击应发出‘铛’、‘铛’声无其它杂音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3、规格：均为等边三角形，直径8mm，边长分别为≧250mm、≧200mm、≧170mm、≧150mm、≧120mm、≧100mm，锰钢击棒长度为≧122mm                                                      4、外观：4.1表面镀铬，镀层均匀光亮，材质厚实；</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4.2击棒外观：为两端呈球面形，表面镀铬，顶端带有软橡胶保护垫更安全，每个三角铁都带有软橡胶制作的勾手；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5、结构：为等边三角形锰钢3角铁和锰钢击棒组成，三角铁拐角处倒圆角</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16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29</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碰铃</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1.材质：优质响铜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2.规格：碰钟外部直径≧48mm，高≧36mm，壁厚≧2mm；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3.结构：由1根绳带连接2个碰钟组成，二个为一副，材质厚实，升学检测音质应符合:清脆、悦耳、发音响亮、余音环绕；</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28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30</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棒钟</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1.感官要求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1.1材质为响铜；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1.2结构：两个一对采用木棒连接；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2.尺寸要求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2.1外径45mm～48mm；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2.2高度32mm～35mm；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2.3壁厚2mm～3.5mm；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3.声学品质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3.1音质清脆悦耳，发音响亮余音环绕；</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31</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堂鼓</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1.材质：牛皮鼓面,鼓腔、鼓锤用硬杂木；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2.结构：由鼓、鼓锤及鼓架组成；鼓面光滑，张力适度，鼓圈与鼓面连接处用锚钉固定，间距均匀，更为结实；鼓圈喷油红色环保油漆，鼓的侧面两端镶有铝制挂钩</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3.规格:鼓面直径≧310mm，高度≧330mm ，鼓锤长度≧300mm，鼓锤直径≧14mm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4.音质：鼓中心发音较低沉、厚实，鼓外圈发音稍短、稍薄，演奏时无杂音；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148"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32</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中虎音锣</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1、材质：优质响铜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2、规格：锣直径≧299mm，壁厚≧1.5mm,敲槌长度≧240mm；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3、音色：主音明显集中，铿锵有力，谐音丰富。</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4、音质：无明显转音，颤音。演奏发音灵敏。延音≧7s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5、外观质量：无漏刀、无非正常加工的刀伤划痕，无锐利边角，内部无重皮。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6、结构：大锣身为一圆型弧面，响铜制,中心部稍凸起，大锣的内部中心位置印有制造商商标，锣体边缘开有两个小孔穿绳，方便使用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8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33</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小锣</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1、材质：优质响铜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2、规格：锣直径为：≧215mm，壁厚≧1.0mm,木片长度≧260mm                                                                            3、音色：主音明显集中，铿锵有力，谐音丰富。</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4、音质：无明显转音，颤音。演奏发音灵敏。延音≧7s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5、外观质量：无漏刀、无非正常加工的刀伤划痕，无锐利边角，内部无重皮。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6、结构：锣身为一圆型弧面，响铜制,中心部稍凸起，锣内部中心位置印有商标，锣边缘开有两个小孔穿绳，方便使用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34</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铙</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1、材质：优质响铜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2、规格：直径≧270mm，壁厚≧1.2mm；重量≧680g                                                                           3、音色：主音明显集中，铿锵有力，谐音丰富。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4、音质：无明显转音，颤音。演奏发音灵敏。延音≧7s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5、外观质量：无漏刀、无非正常加工的刀伤划痕，无锐利边角，内部无重皮。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6、结构：钹体为一圆形金属板，中部隆起的半球形部分称“帽”，顶部钻有小孔，用粗绳栓系，两个为一副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32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35</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钹</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1、材质：优质响铜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2、规格：直径≧145mm，壁厚≧1.1mm，帽口直径≧65mm；重量≧430g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3、音色：明确集中。</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4、外观质量：无漏刀，无非正常加工的刀伤划痕，无锐利边角。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5、结构：钹体为一圆形金属板，用“响铜”制成，中部隆起的半球形部分称“帽”，顶部钻有小孔，用粗绳栓系，两个为一副。</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副</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36</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大军鼓</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1.材质：木质鼓腔， PVC鼓面;                                                                                                                                                                                                            2.结构：鼓膜与压边圈、鼓腔、金属配件鼓背带组成；                                                                                                                                                                                          3.规格：鼓面的直径≧627mm，鼓高直径≧260mm，鼓棒长≧285mm，鼓棒直径≧19mm；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4.音质：发音灵敏、清晰、音色可调性强、无杂音、响带（砂带）反应灵敏；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28</w:t>
            </w:r>
          </w:p>
        </w:tc>
      </w:tr>
      <w:tr>
        <w:tblPrEx>
          <w:tblCellMar>
            <w:top w:w="0" w:type="dxa"/>
            <w:left w:w="108" w:type="dxa"/>
            <w:bottom w:w="0" w:type="dxa"/>
            <w:right w:w="108" w:type="dxa"/>
          </w:tblCellMar>
        </w:tblPrEx>
        <w:trPr>
          <w:trHeight w:val="419"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37</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小军鼓</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1、材质：鼓膜采用天然皮膜或人工合成皮膜；金属零件按性能要求选用适宜的金属材料；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2、音色：发音灵敏清晰，音色可调性强无杂音，响带（砂带）反应灵敏；发音持续时间≧3s；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3、规格要求：鼓外径350mm～354mm；鼓腔厚度1mm～1.6mm；鼓腔圆度≦3mm；鼓高度100mm～104mm；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4、装配工艺：鼓膜与压边圈结合紧密牢固；各卡具配合紧密，各螺丝调节时灵活轻便，有效；</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5、产品外观：鼓腔表面光滑平整，装饰面贴合严密牢固，无划痕无破损，漆膜色泽协调；鼓膜表面平整无折痕，无波纹，无损伤；各金属件表面镀层牢固完整，光亮无脱皮无露底；</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56</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38</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多音鼓</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1.鼓皮：高级PVC鼓皮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2.尺寸：8"10"12"13"</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3.鼓身：压铸锌合金壁鼓耳，高级桦木鼓腔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4.鼓圈：1-1.6mm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5.背架：采用优质加粗钢板，内部采用加厚海绵，背架高度可调节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6.腹板：表面采用加厚海绵</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7.外观工艺：喷沙氧化处理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39</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小号</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1、调性：降B调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2、音质：音质纯净，高音区音色高亢、嘹亮，中音区音色应优美、壮丽，低音区音色丰厚、坚实。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3、材质：黄铜管体，不锈钢塞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4、规格要求：管径约11.65mm，口径约123mm；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5、表面处理：漆金</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40</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笙</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选用阴干紫竹，质地坚硬，不开裂，色泽光亮，笙脚采用进口老红木或其他优质木材，不吸水，不收缩，笙斗铜质镀镍，光亮柔润，扩音管为无缝铜管拉伸，电泳工艺，不变形发音清脆，簧片选用老响銅高音清脆，低音浑厚，键子为手工制作，铜质，手感舒适。                                                                                                                                                                                          2.结构：笙斗、笙苗、笙脚、音簧组成；                                                                                                                                                                                                        3.规格：17簧竹笙，如采用其他调式应在说明书中注明；                                                                                                                                                                          4.音质：采用十二平均律，标准音a|为440Hz；音色清脆、响亮、圆润、发音流畅、无杂音；</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支</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41</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扬琴</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1.材质：面板选用纹理顺直的四拼板桐木，色木琴框，音梁无疤节的白松，弦轴板用色木制作；                                                                                                                                     2.结构：面板、琴框、琴框装饰板、音梁、弦轴板、琴弦，琴架，琴盒组成；</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3.规格：琴体宽≧514mm 琴体全长≧1168mm 琴体厚≧138mm，琴轴≧49mm ；铜车：铜车数量为七个，方便调铉定音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琴弦：15-25#为优质钢丝，合金丝缠铉。26-30#优质钢丝光铉各音区音色音质平衡，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4.音质：均衡、协调，高音清脆明亮，低音浑厚、圆润，各音区过渡自然；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42</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柳琴</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质：琴头、背板采用花梨；面板采用纹理顺直的桐木无疤节；弦轴采用花梨以及牛角相近材质；琴枕采用花梨木、牛骨以及相近材质；声学品质采用十二平均律；标准音440Hz；定弦音高g、d¹、g¹、d²；音域gd4；音准误差-15～+10；相邻两音音准误差不得大于10音分；产品规格：琴体全长约682mm、有效弦长411mm、背板最宽处239mm、背板最窄处47mm、背板最厚处65mm、琴枕最高点高11mm、琴码最低点高12mm、琴枕弦距约8.3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256"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43</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琵琶</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材质：琴头、背板采用花梨木以及相近材质；面板采用纹理顺直的桐木无疤节；琴轴 相、采用花梨材质；缚弦装置 品、采用二年以上毛竹 竹质坚硬、无腐蚀、无开裂、无虫蛀；声学品质采用十二平均律；标准音440Hz；定弦音高A、d、e、a；基本音域A～e²；音准误差-15～+10音分；相邻两音误差不得大于10音分；音质高音明亮、中音饱满、低音浑厚；四根弦音色过渡自然；规格有效弦长725mm、琴枕高约19mm、缚弦装置端口高约9.6mm、缚弦装置各穿弦孔中心间距约18mm、背板最窄处宽35.7mm、背板最宽处宽316mm、背板最厚处72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44</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中阮</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质：指板采用花梨木；面板采用桐木、纹理顺直无腐朽；背板采用桐木、纹理顺直无腐朽；琴杆琴鼓采用硬木；声学品质采用十二平均律；标准音440Hz；定弦音高G、d、g、d¹；音准误差-15～+10音分；相邻两音误差不得大于10音分；音质高音明亮、中音饱满、低音浑厚；四根弦音色过渡自然；规格有效弦长560mm、指板长约433mm、共鸣箱口面直径约396mm、弦枕高约8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21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45</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大阮</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质：指板采用花梨木；面板采用桐木、纹理顺直无腐朽；背板采用桐木、纹理顺直拼板颜色一致无腐朽5mm*5mm的活疤节允许有一个；琴杆琴鼓采用优质硬木；声学品质采用十二平均律；标准音440Hz；定弦音高为C、G、c、g；基本音域为C～e²；音准误差-15～+10音分；相邻两音误差不得大于10音分；音质高音明亮、中音饱满、低音浑厚；四根弦音色过渡自然；规格有效弦长697mm、指板长约563mm、共鸣箱口面直径约492mm、琴枕高约8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361"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46</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筝</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1.声学品质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律制采用五度相生律，标准音符合a=440hz，基本定弦音高D调：d/e/#f/a/b或按产品说明采用其他调式定弦，基本音域21弦：D-d3，音准稳定性符合各音的变化量应不大于25，音质高音清脆、明亮，中音圆润、饱满，低音浑厚、有力，语音长，和弦音色过渡自然，演奏性能发音灵敏，手感舒适，能充分表现强弱音，音准稳定性能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1.2.音色优美，音域宽广、演奏技巧丰富，具有相当强的表现力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2.材质及工艺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2.1.材质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2.1.1. 面板应选用纹理顺直的专业级桐木，允许有20mm*10mm的活疤节1个，琴头材质为红木，背侧板材质为红木，琴头装饰图案可选，，框架选用优质白松、红松或其他的近似材质的实木木材制作，弦码和弦枕选用玫瑰木或红木，弦轴版选用色木等制成的多层胶合板材料；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2.2.外观 古筝</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2.2.1.琴体应无变形，木加工部位应光洁，胶合部位应牢固，无开裂，弦枕弦码应光滑无毛刺，无硌弦，琴体表面涂饰色泽应柔和均匀；金属裸弦应光滑平直，无锈蚀，缠绒应平整无松散；金属缠丝应缠绕均匀，牢固，无破裂、无松散，无凸起，无黑点脱色、无锈蚀。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3.尺寸要求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3.1.琴体全长1600mm（±10mm）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3.2.琴首-琴尾 宽330mm - 280 （±5mm），琴首弦枕至琴尾弦枕尺寸高音一侧为1050mm，低音一侧为1300mm；八度音程两端穿孔中心距离：70.3mm-70.7mm，弦轴直径6.82mm-6.85mm，弦轴锥度（头部四棱台的锥度1:9.5-1:9.2）</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4.配件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产品配件应包含：古筝支架、弹奏用指甲、琴码、古筝专用琴包、调音扳手</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18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47</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二胡</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质：琴体采用红木；膜采用有光泽的天然膜；琴弓采用笕竹、凤眼竹或红竹；琴弓毛采用顺畅有光泽的优质白马尾；声学品质采用十二平均律；标准音440Hz；基本定弦音高d¹、a¹；基本音域d¹、a4；音质高音明亮、中音饱满、低音浑厚；耳根弦音色过渡自然、均衡；规格：琴筒长约132mm、前端口直径或对边长度约89.7mm、琴杆下弦轴孔中心至琴筒上孔长约490mm、琴筒上孔横向最大处16.8mm、剖面纵向最大处19.9mm、琴弓长度约819mm；</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9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架子鼓</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爵士鼓-五鼓，贝斯鼓×1，地鼓×1，军鼓×1，耳鼓×2，踩镲×1，直吊镲×1，斜吊镲×1，鼓凳，鼓棒。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搭配25管径支架，22*18加长地鼓，锌合金鼓耳，嗵鼓安装浮桥板更显档次，双层油皮，可调节伸缩鼓腿。</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2 </w:t>
            </w:r>
          </w:p>
        </w:tc>
      </w:tr>
      <w:tr>
        <w:tblPrEx>
          <w:tblCellMar>
            <w:top w:w="0" w:type="dxa"/>
            <w:left w:w="108" w:type="dxa"/>
            <w:bottom w:w="0" w:type="dxa"/>
            <w:right w:w="108" w:type="dxa"/>
          </w:tblCellMar>
        </w:tblPrEx>
        <w:trPr>
          <w:trHeight w:val="233"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49</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乐谱架</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1、材质：优质铁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2、规格:谱台面直径≧47.5cm，高度≧34cm，最大可升降到1.4-1.5m的高度，加厚金属钢管支架中心钢管直径≧1.9cm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3、结构：由加厚金属谱台面和加厚金属钢管支架组成。加厚金属钢管支架底部有3个支撑杆可收合， 脚底为防滑塑胶材质，所有旋钮为均高级ABS材质结实耐用，谱台面贴有商标 </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0" w:type="auto"/>
            <w:tcBorders>
              <w:top w:val="single" w:color="000000" w:sz="4" w:space="0"/>
              <w:left w:val="single" w:color="000000" w:sz="4" w:space="0"/>
              <w:bottom w:val="single" w:color="000000" w:sz="4" w:space="0"/>
              <w:right w:val="single" w:color="000000" w:sz="8" w:space="0"/>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100 </w:t>
            </w:r>
          </w:p>
        </w:tc>
      </w:tr>
      <w:tr>
        <w:tblPrEx>
          <w:tblCellMar>
            <w:top w:w="0" w:type="dxa"/>
            <w:left w:w="108" w:type="dxa"/>
            <w:bottom w:w="0" w:type="dxa"/>
            <w:right w:w="108" w:type="dxa"/>
          </w:tblCellMar>
        </w:tblPrEx>
        <w:trPr>
          <w:trHeight w:val="164"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音乐凳</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1.材质：11毫米厚E1级多层板，板材表面覆膜，无毛刺，显示商标，带ABS包边，硬质包角钉制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2.结构：六面体形状，尺寸：300*350*410mm，内部木条支撑，凳子有红黄蓝3种颜色，3色对称分布，凳子有护角</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100</w:t>
            </w:r>
          </w:p>
        </w:tc>
      </w:tr>
      <w:tr>
        <w:tblPrEx>
          <w:tblCellMar>
            <w:top w:w="0" w:type="dxa"/>
            <w:left w:w="108" w:type="dxa"/>
            <w:bottom w:w="0" w:type="dxa"/>
            <w:right w:w="108" w:type="dxa"/>
          </w:tblCellMar>
        </w:tblPrEx>
        <w:trPr>
          <w:trHeight w:val="117"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51</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乐器存放架</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1.规格：2000*1500mm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2、结构：组合件安装。</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3、以优质不锈钢为主的产品或部件，有足够的强度、硬度，不易变形，机构定位准确、端正牢固，不应有错位、歪斜和松脱，部件之间衔接结构牢固，缝合、平整。</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4、材质：不锈钢</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r>
      <w:tr>
        <w:trPr>
          <w:trHeight w:val="90" w:hRule="atLeast"/>
          <w:jc w:val="center"/>
        </w:trPr>
        <w:tc>
          <w:tcPr>
            <w:tcW w:w="453"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52</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乐器收纳柜</w:t>
            </w:r>
          </w:p>
        </w:tc>
        <w:tc>
          <w:tcPr>
            <w:tcW w:w="5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采用优质三聚氰胺饰面中纤板制作，乐器储藏柜，尺寸：约1000*400*2000mm，双开门，隔层可调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56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8"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53</w:t>
            </w:r>
          </w:p>
        </w:tc>
        <w:tc>
          <w:tcPr>
            <w:tcW w:w="125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948"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墙面、顶面刷白，根据实际空间大小结合音乐素材类挂画定制</w:t>
            </w:r>
          </w:p>
        </w:tc>
        <w:tc>
          <w:tcPr>
            <w:tcW w:w="525"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61" w:type="dxa"/>
            <w:tcBorders>
              <w:top w:val="single" w:color="000000" w:sz="4" w:space="0"/>
              <w:left w:val="single" w:color="000000" w:sz="4" w:space="0"/>
              <w:bottom w:val="single" w:color="000000" w:sz="8"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bl>
    <w:p>
      <w:pPr>
        <w:shd w:val="clear"/>
        <w:spacing w:line="360" w:lineRule="auto"/>
        <w:rPr>
          <w:rFonts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三、舞蹈教室</w:t>
      </w:r>
    </w:p>
    <w:tbl>
      <w:tblPr>
        <w:tblStyle w:val="21"/>
        <w:tblW w:w="8718" w:type="dxa"/>
        <w:jc w:val="center"/>
        <w:tblLayout w:type="autofit"/>
        <w:tblCellMar>
          <w:top w:w="0" w:type="dxa"/>
          <w:left w:w="108" w:type="dxa"/>
          <w:bottom w:w="0" w:type="dxa"/>
          <w:right w:w="108" w:type="dxa"/>
        </w:tblCellMar>
      </w:tblPr>
      <w:tblGrid>
        <w:gridCol w:w="702"/>
        <w:gridCol w:w="1750"/>
        <w:gridCol w:w="4862"/>
        <w:gridCol w:w="702"/>
        <w:gridCol w:w="702"/>
      </w:tblGrid>
      <w:tr>
        <w:tblPrEx>
          <w:tblCellMar>
            <w:top w:w="0" w:type="dxa"/>
            <w:left w:w="108" w:type="dxa"/>
            <w:bottom w:w="0" w:type="dxa"/>
            <w:right w:w="108" w:type="dxa"/>
          </w:tblCellMar>
        </w:tblPrEx>
        <w:trPr>
          <w:trHeight w:val="90" w:hRule="atLeast"/>
          <w:jc w:val="center"/>
        </w:trPr>
        <w:tc>
          <w:tcPr>
            <w:tcW w:w="702" w:type="dxa"/>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750"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设备类别</w:t>
            </w:r>
          </w:p>
        </w:tc>
        <w:tc>
          <w:tcPr>
            <w:tcW w:w="486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规格参数</w:t>
            </w:r>
          </w:p>
        </w:tc>
        <w:tc>
          <w:tcPr>
            <w:tcW w:w="70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单位</w:t>
            </w:r>
          </w:p>
        </w:tc>
        <w:tc>
          <w:tcPr>
            <w:tcW w:w="702"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教学钢琴</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（一）规格尺寸：长150CM；宽 60CM；高121CM；重量235KG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（二）材料及工艺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琴弦：琴弦为防锈琴弦，音准稳定。琴弦的配置和音板的匹配数值，由专业软件严密计算得出，小字一组A音频率440HZ至447HZ之内。优良的缠弦制造技术，生产出有良好音程效果的、声音丰满而有延伸感的理想缠弦。次高音、高音部分采用整数比方式制作，音色通透、纯净。</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弦长：第一键有效弦长为1200mm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2、弦槌：采用优质弦槌毛毡，呢毡密度为0.4~0.9R的钢琴弦槌呢毡,色泽均匀一致，更灵敏耐用，呈现最佳音色。桃花芯木槌芯，保证回弹速度与质感。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3、音板、肋木：选用云杉、松木制造的加强型实木音板（3A级），增强了音板的共鸣效果。在各种不同的气候条件下均能保持优良音色，音板设计符合钢琴共鸣系统的发声规律，琴声优美和音质效果纯正。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4、弦轴板、弦轴钉：弦轴钉采用倒牙车丝配合高精度的防锈处理技术工艺；弦轴板由多层（17层）坚硬的色木交错拼接而成，制造过程中电脑控制含水率，为弦轴钉提供稳固的握钉力，保证音准稳定。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5、键盘参数：88标准键盘</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键盘材料：使用粘性和耐久性强的松木、杉木制作，结合先进技术防止键盘变形，性能稳定，可长久保持良好的触感、手感。白键表面采用优质合成丙烯树脂，黑键表面采用经过防滑处理的酚醛树脂，色彩和质感如同乌木，触感舒适自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6、外壳涂饰：采用品牌不饱和树脂环保漆，并应用静电喷涂、自动淋油等涂饰工艺，漆面光亮平整，硬度高且不易划伤，能够长久保持华丽色彩的镜面效果。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外观涂装为黑色亮光：高光≧85，半光：30-85，低光≦30。</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击弦机：材料为桂杨木、榉木，受温度、湿度影响小。采用独特的精密机械生产加工，击弦机精度高、质量均衡，确保手指的敲击动作完整的向弦槌传达，琴键的触感均匀而恰到好处，能够迅速的连击想要的颤音效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8、铁板：亮光金葱粉金色铁板，采用传统沙铸铁板工艺，不仅更好地支持弦的张力，并且更长久地保证钢琴的音色纯正。</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弦码：采用优质色木材料制作，音频振动响应精确、迅速。长弦码采用单根弦码方法，从头到尾流畅整齐，确保声音平衡柔和的传递；长弦码高音部分采用硬度和弹性都很好的优质色木材料，有效防止震动的减弱，获得有色彩感的音质，且具有一定的延音效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10、背柱：碾压而成的云杉木背柱结合先进技术进一步加强了刚性、共鸣性及结构稳定性。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11、踏板：延音踏板、弱音踏板和选择踏板，都采用优雅的弧形设计，踏感轻松、演奏方便，踏板踩下后传递到击弦机的过程顺畅迅速。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12、脚轮：采用加固胶木脚轮，转动灵活、推行顺畅、噪音低。</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把杆</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舞蹈把杆，材质水曲柳，外观清漆，光滑无毛刺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直径约5cm，长约4米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配≧40公斤铸铁可移动底座</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坐垫收纳车</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底部带360度万向转轮，约85*85*150cm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舞蹈垫</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尺寸：长约185cm*宽约80cm*厚约15mm，高密度NBR材质。</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舞蹈凳</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简约现代所设计、超纤皮方形、材质：超纤皮，约35*35*60cm，颜色随机。</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舞蹈压腿凳</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练功凳，尺寸：约24*30*200cm，松木实木整料，无拼接，中间海绵一层，表面采用皮革包裹。</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舞蹈压腿砖</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环保材质，无害物质，防水性强，不易沾水，高密度海绵泡沫砖，尺寸：约23*15*7cm。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舞蹈练功球</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直径：约55cm，加厚防爆。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舞蹈拉力带</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天然乳胶 约1500mm*150mm*0.35mm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主扩声音响</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教学音箱配有专业吊挂支架，方便音箱多角度旋转。操作简易快捷、安全可靠；主要用于全音域扩声、语言扩声、会议系统等。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箱体表面 采用环保水性漆，防滑、耐磨 。采用钢质防护网，内衬专业声学透声网。箱体采用12mm优质中密度纤维板，强度高、密度大，可以有效的减少箱体谐振。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6.5英寸轻量化大功率、长冲程低音驱动单元和1英寸丝膜高音单元；120°×120°覆盖角设计，具有均匀且平滑的轴向和偏轴向的响应，使声音的音场更为开阔、结像清晰。精确设计的分频器优化了频率响应，提升了中频人声表现力，且具有高频保护电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技术参数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1、额定/峰值功率：80W /320 W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2、额定阻抗：8Ω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3、特性灵敏度：91dB/W/m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4、输出声压级：110dB/W/m(Continues)；116 dB/W/m(Peak)</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5、额定频率范围：不劣于65 ~ 20000Hz</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6、覆盖角度H×V：120º×120º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7、扬声器单元：LF:6.5 英寸  HF: 1英寸丝膜高音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8、箱体材料：中密度纤维板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9、输入接口：压缩式接插座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10、吊挂点：多点螺丝吊装孔位</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扩声功放</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一款多功能合并式功率放大器，采用全分离器件、全频带双通道的高保真功率放大系统。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本机可接≧4路话筒输入（其中包含≧2路有线话筒输入，≧1路无线话筒输入，≧1路USB型2.4G无线话筒输入），≧3组线路输入，≧1路定压广播信号输入（可节省一对广播音箱）。</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具有一组线路输出，一组录音输出（输出音量独立可调），A+B组功率输出。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本机话筒、线路的音量可独立调节，且话筒具有高低音2段均衡，具有环保麦克风插口自带+48V幻像电源。</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有RS232接口，可实现电脑联机或中控控制，带有定压广播信号优先播放功能。带有过流、过载、超温、直流保护等功能</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额定功率：≧2×110W/8Ω 2×165W/4Ω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1.输出功率：≧2×220W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2.峰值功率：≧2×300W</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3.频率响应：20Hz-20KHz ±1dB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4.输入灵敏度：话筒 15mv±2mv 线路300mv±30mv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5.失真度：≦0.5%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6.话筒高低音：提衰10dB±2dB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7.幻像电源：+48V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8.额定电源电压：交流220V/50Hz</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9.中控接口：RS232</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10.最大功率消耗：≦500W</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调音台</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1、8路输入，高、中、低音独立调节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2、立体声输出；立体声录音输出，2路辅助输出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3、1路辅助返送，1路立体声（平面声转换）返送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4、内置效果器，耳机监听功能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5、标准+48V幻像电源可分组接通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6、增益：话筒60dB 线路40dB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7、频率响应：20Hz～20KHz （＋1dB，－3dB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8、失真度：≦0.5％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9、信噪比：≧90dB</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10、额定电源电压：交流220V/50Hz</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11、净尺寸：约380×67×339mm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12、净 重：3kg</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电源时序器</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1.总额定输入电压电流：220V/30A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2.通道额定输入电压电流：220V/10A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3.时序控制通道：≧8个</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4.工作电压：180V~240V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5.工作频率：50/60HZ±5%</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6.插座类型：万用插座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7.控制方式：手动控制，RS232控制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8.联机方式：可联机控制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9.保护功能：过流和短路保护</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机柜</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12U 网门加厚，≧5mm厚度钢化玻璃，后门可以快拆，顶部有风机孔，标配托板1，底部出线孔宽约550深约400高约600（箱体高度），冷轧钢板，静电喷塑</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无线话筒</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1、国际标准机箱，便于安装；</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2、220V电源直接供电，无需电源适配器，消除适配器损坏的影响；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3.电源可级联，多套叠机，只需一路电源输入；</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4、群组功能：机内已预置经计算无互调干扰的多组频点，根据叠机数量的多少和当前环节直接选用对应的群组即可；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5.扫描功能，一键扫描无干扰频点，无需繁琐的调节；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6、天线分集式接收及数字导音，杂音锁定双重静音控制技术，接收稳定无杂音；同时，导音可根据需要关闭或打开；</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7、面板同步显示RF、AF、群组、频率、电池电量、静噪前度等；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8、单键飞梭功能，调节快速方便；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9、静噪强度0~25dB分6级可调；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10、天线可级联，多套叠机时可不再使用天线分配器；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11、既支持各路单独输出，也支持混合输出；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12、MIC/LINE输出切换，适应性更强；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参数要求：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1、频率范围：不劣于640.000-690.000MHZ</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2、接收方式：天线分集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3、S/N比：&gt;100dB(A)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4、频响：不劣于80Hz-15kHz</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5、静音控制：0~25dB 6级可调；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6、天线：50Ω，TNC接头</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7、电源：AC220V</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音乐节拍器</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额定输出电压：AC220V.额定输出电流：30AX10；控制电源：≧10路输出,开关间隔时间:1秒；通道负数:16A,控制:开/关，锁定开关，旁路按键；插座标准:兼容国标，美标，欧标。</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一体化点歌机</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≧2TB容量，≧1.5万首DVD清晰度MV，≧15.6寸电容屏一体机</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照身镜</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镜面厚度不低于5mm。优质防水镜面含边框或根据学校实际教室空间决定镜面尺寸定制</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19</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舞蹈更衣柜</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材质：全塑更衣柜全部为ABS，强度高、韧性好、耐冲击，不易腐蚀，无毒无味，环保耐用。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门板采用模内贴标注塑一次成型。表面硬度3H以上，抗老化效果更好。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积木式模块化安装方式，快捷，简单，运输成本更低，安装更快捷，安装时不用胶水粘结，不用任何螺丝，凹凸多向定位连接，产品不变形、不扭曲，达到可重复拆装使用。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使用寿命：防虫、无甲醛、耐腐蚀、不生锈、易清洗，设计使用寿命大于20年。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铰链：采用钢性高，摩擦系数低的连接件和插片，防水，防锈，专利产品。</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30</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舞蹈鞋柜</w:t>
            </w:r>
          </w:p>
        </w:tc>
        <w:tc>
          <w:tcPr>
            <w:tcW w:w="48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实木材质，原木色，尺寸根据教室需要定制。尺寸：约120*30*80cm。</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02"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r>
      <w:tr>
        <w:tblPrEx>
          <w:tblCellMar>
            <w:top w:w="0" w:type="dxa"/>
            <w:left w:w="108" w:type="dxa"/>
            <w:bottom w:w="0" w:type="dxa"/>
            <w:right w:w="108" w:type="dxa"/>
          </w:tblCellMar>
        </w:tblPrEx>
        <w:trPr>
          <w:trHeight w:val="90" w:hRule="atLeast"/>
          <w:jc w:val="center"/>
        </w:trPr>
        <w:tc>
          <w:tcPr>
            <w:tcW w:w="702" w:type="dxa"/>
            <w:tcBorders>
              <w:top w:val="single" w:color="000000" w:sz="4" w:space="0"/>
              <w:left w:val="single" w:color="000000" w:sz="8"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w:t>
            </w:r>
          </w:p>
        </w:tc>
        <w:tc>
          <w:tcPr>
            <w:tcW w:w="1750"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486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墙面、顶面刷白，根据现场环境结合舞蹈类相关元素定制挂画。</w:t>
            </w:r>
          </w:p>
        </w:tc>
        <w:tc>
          <w:tcPr>
            <w:tcW w:w="70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间</w:t>
            </w:r>
          </w:p>
        </w:tc>
        <w:tc>
          <w:tcPr>
            <w:tcW w:w="702" w:type="dxa"/>
            <w:tcBorders>
              <w:top w:val="single" w:color="000000" w:sz="4" w:space="0"/>
              <w:left w:val="single" w:color="000000" w:sz="4" w:space="0"/>
              <w:bottom w:val="single" w:color="000000" w:sz="8"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bl>
    <w:p>
      <w:pPr>
        <w:shd w:val="clear"/>
        <w:spacing w:line="360" w:lineRule="auto"/>
        <w:rPr>
          <w:rFonts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四、美术教室</w:t>
      </w:r>
    </w:p>
    <w:p>
      <w:pPr>
        <w:shd w:val="clear"/>
        <w:spacing w:line="360" w:lineRule="auto"/>
        <w:rPr>
          <w:rFonts w:ascii="仿宋" w:hAnsi="仿宋" w:eastAsia="仿宋" w:cs="仿宋"/>
          <w:color w:val="auto"/>
          <w:sz w:val="24"/>
          <w:szCs w:val="24"/>
          <w:highlight w:val="none"/>
        </w:rPr>
      </w:pPr>
    </w:p>
    <w:tbl>
      <w:tblPr>
        <w:tblStyle w:val="21"/>
        <w:tblW w:w="8719" w:type="dxa"/>
        <w:jc w:val="center"/>
        <w:tblLayout w:type="autofit"/>
        <w:tblCellMar>
          <w:top w:w="0" w:type="dxa"/>
          <w:left w:w="108" w:type="dxa"/>
          <w:bottom w:w="0" w:type="dxa"/>
          <w:right w:w="108" w:type="dxa"/>
        </w:tblCellMar>
      </w:tblPr>
      <w:tblGrid>
        <w:gridCol w:w="629"/>
        <w:gridCol w:w="1301"/>
        <w:gridCol w:w="5509"/>
        <w:gridCol w:w="640"/>
        <w:gridCol w:w="640"/>
      </w:tblGrid>
      <w:tr>
        <w:tblPrEx>
          <w:tblCellMar>
            <w:top w:w="0" w:type="dxa"/>
            <w:left w:w="108" w:type="dxa"/>
            <w:bottom w:w="0" w:type="dxa"/>
            <w:right w:w="108" w:type="dxa"/>
          </w:tblCellMar>
        </w:tblPrEx>
        <w:trPr>
          <w:trHeight w:val="495" w:hRule="atLeast"/>
          <w:jc w:val="center"/>
        </w:trPr>
        <w:tc>
          <w:tcPr>
            <w:tcW w:w="629" w:type="dxa"/>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301"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设备类别</w:t>
            </w:r>
          </w:p>
        </w:tc>
        <w:tc>
          <w:tcPr>
            <w:tcW w:w="5509"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规格参数</w:t>
            </w:r>
          </w:p>
        </w:tc>
        <w:tc>
          <w:tcPr>
            <w:tcW w:w="640"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单位</w:t>
            </w:r>
          </w:p>
        </w:tc>
        <w:tc>
          <w:tcPr>
            <w:tcW w:w="640"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r>
      <w:tr>
        <w:tblPrEx>
          <w:tblCellMar>
            <w:top w:w="0" w:type="dxa"/>
            <w:left w:w="108" w:type="dxa"/>
            <w:bottom w:w="0" w:type="dxa"/>
            <w:right w:w="108" w:type="dxa"/>
          </w:tblCellMar>
        </w:tblPrEx>
        <w:trPr>
          <w:trHeight w:val="1943"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活动讲桌</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升降范围：765-1065mm 支架材质：金属或合金 支架表面工艺：压铸喷涂 面板尺寸：约715*475*18mm 面板材质：MDF+PVC 桌脚：2.5寸万向PU滑轮，2.5寸万向 PU滑轮轮可锁定 外型尺寸：约715*670*765-1065mm  最大承重：≧60kg</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rPr>
          <w:trHeight w:val="4364"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磁性白板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规格：1000×2000×18mm，铝合金包框，带架子，可翻转，双面用。</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1459"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老师用椅</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框架：塑料PP加纤</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背布：双层竖条网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座垫：优质棉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座布：弹力布，连体扶手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脚：320尼龙脚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气杆：幼稚气压棒</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732"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老师画架</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材质：榉木；高度：1300-1900mm；平立两用油画架；平立两用油画架，可进行素描、油画、水粉、国画等创作；配画板1块</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学生画架</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规格：总高度1800mm，宽650mm，材质：优质实木，特点：梯形，可折叠，角度双重可调，画托高度升降可调，表面光滑、无毛刺、无弯曲，接缝无开裂，整体无疤痕无弯曲，表面环保烤漆处理。</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写生凳</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方凳，优质实木、卯榫结构、表面清漆处理</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1459"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4K画板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1、规格：600mm×450mm×18mm；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2、材质：双面椴木三合板，四周实木边框；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3、要求：边框宽≧10mm、45度割角拼接，对角线平面误差小于2mm，四边直角误差小于2mm，边框气钉眼需进行表面处理。整体板面平整、表面光滑、洁净、无毛刺。</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27"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美术教学用品柜</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规格：1000mmx500mmx2000mm，材质：采用18mm厚优质环保型E1级三聚氰胺浸渍板，特点：上下两层，上层采用玻璃门，下部为板式对开门，每层隔板下配20mm工字形方管支架，防止隔板承重变形。</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物品陈列摆放架</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规格：不小于1200×350×1950mm，5层A字型、隔板可调节，材质：整体实木，环保清漆处理。</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1216"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静物台</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适用范围：适用于小学、中学美术教学用。2、技术参数及要求：1、规格：台面：≧600mm*800mm，带背板，腿：折叠交叉式支撑架；2、材质：优质实木板材；3、要求：可折叠，支撑稳定，表面光洁，环保清漆处理，漆面均匀光亮。</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974"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静物灯</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规格：1200-2400mm，立式三节可升降、最大调节高度2400mm、照射角度0°-120°；2、材质：球形灯罩：金属材料，灯杆：钢管，表面镀铬，铝节、塑料旋钮，内置弹簧。写生灯为三条腿支撑脚，可移动。3、要求：表面光滑、无锈斑、划痕。</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衬布 </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静物衬布  150x90cm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r>
      <w:tr>
        <w:tblPrEx>
          <w:tblCellMar>
            <w:top w:w="0" w:type="dxa"/>
            <w:left w:w="108" w:type="dxa"/>
            <w:bottom w:w="0" w:type="dxa"/>
            <w:right w:w="108" w:type="dxa"/>
          </w:tblCellMar>
        </w:tblPrEx>
        <w:trPr>
          <w:trHeight w:val="732"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美术欣赏图库1</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1.满足教学大纲要求。2.内容符合教学大纲要求。3. 色印刷、图面清晰、色彩准确。4. 无卷曲、破损。5. 正规单位出版。</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本</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美术欣赏图库2</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义务教育课程标准（美术）教学图库,纸张规格128g铜版纸，履膜；彩色胶印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本</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r>
      <w:tr>
        <w:tblPrEx>
          <w:tblCellMar>
            <w:top w:w="0" w:type="dxa"/>
            <w:left w:w="108" w:type="dxa"/>
            <w:bottom w:w="0" w:type="dxa"/>
            <w:right w:w="108" w:type="dxa"/>
          </w:tblCellMar>
        </w:tblPrEx>
        <w:trPr>
          <w:trHeight w:val="732"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美术教学挂图</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义务教育课程标准（美术）教学挂图，每张幅面约570mm×810mm,纸张规格128g铜版纸，履膜；彩色胶印、58幅。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陶瓷样本</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（中国各大名窑实物(仿)及简介，可陈设、展示、欣赏）</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民间美术样本</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（能够体现中国传统民族文化特点实物)</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732"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写生教具(1)静物蜡果器皿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静物蜡果器皿等</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732"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19</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写生教具(2)石头头像</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10个石膏头像，石膏像洁白、无毛刺、无裂纹、棱角分明、轮廓清晰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974"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写生教具(3)几何石膏像</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石膏几何体一共16个一套，几何体由十六个组合成：正方体，圆球，圆十字锥，三角型，圆锥，方十字，高四体，方十字锥，六面锥，斜柱，二十四面三角，六面柱，四面柱，十二面五角，圆柱，圆球切面</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木人1</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12英寸</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木人2</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16英寸</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1459"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电子绘画板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产品尺寸（长*宽*厚）：335*203*7.1mm；※电磁笔类型：无源无线电磁压感笔；※压感级别：8192级压感；※读取速率/报点率：266点/秒；EMR分辨率：0.01毫米 （2540 ppi）</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书写感应高度：1.0厘米；绘画区域：254×158.75毫米 ；LED状态灯：有；笔是否需要充电：否；自定义快捷键：10个，笔侧按键2个；系统要求：Android 设备 (Android 4.3 或更新并支持OTG连接), 电脑USB接口支持USB2.0及以上；连接：USB数据连接；※配套与国家义务教育版《美术》教材对应的美术软件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1701"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纸工工具</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①切割垫板1块：A4、②剪刀1把：无刃、圆头，总长度≧160mm、③直尺1件：长度≧300mm、④花边剪1把：≧150mm、⑤打孔器1件：单孔、⑥蛇形尺1件：长度≧300mm、⑦订书器1件：≧125mm、⑧美工刀1把：≧150mm、⑨笔刀1件：合金手柄≧100mm、⑩笔刀刀3片、中空吹塑定位包装、便于携带、存放</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27</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亚麻棉油画框</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尺寸：40*50㎝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28</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调色刀</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调色刀 1~5#</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29</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鱼形调色板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40x30x20cm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油画颜料</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24色油画颜料套装。12毫升装。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调色盘</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翻盖调色盒A15495  20x10x1.8 cm</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水粉纸</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4K全木浆水粉纸，20张/包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水粉纸</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8K水粉纸</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三件套多用洗笔筒</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23*11.5CM，多用洗笔筒</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调色本</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A4，36页。</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本</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36</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狼毫水彩笔</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1号、2号、3号、4号、5号、6号各一只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37</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水彩纸</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180克水彩纸散装4K</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38</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水彩颜料</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100ml，43个色（含金色），300ml，11个色</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39</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可塑橡皮泥</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可塑橡皮</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美术橡皮</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专业美术橡皮擦</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1459"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中密度多功能速写板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40*55cm，双背，防雨，金属包边，线条背带，魔术粘。</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削铅笔刀</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定制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素描纸</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170g素描纸  4K     20张/包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素描纸</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8K全木浆素描纸， 20张/包</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中杆绘画铅笔</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包含2HH HB B 2B 3B 4B 5B 6B 7B 8B各一盒，每盒12只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46</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六角杆速写铅笔</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2B/4B/6B，各一盒，每盒10只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47</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素描专用纸笔套装</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专用纸笔/每套三只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喷雾定画液</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250ml</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49</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美术颜料搓手液</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200ml</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r>
      <w:tr>
        <w:tblPrEx>
          <w:tblCellMar>
            <w:top w:w="0" w:type="dxa"/>
            <w:left w:w="108" w:type="dxa"/>
            <w:bottom w:w="0" w:type="dxa"/>
            <w:right w:w="108" w:type="dxa"/>
          </w:tblCellMar>
        </w:tblPrEx>
        <w:trPr>
          <w:trHeight w:val="24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水胶带</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宽2.4CM，长20米，5卷一筒</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卷</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黑色燕尾夹</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大号</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50</w:t>
            </w:r>
          </w:p>
        </w:tc>
      </w:tr>
      <w:tr>
        <w:tblPrEx>
          <w:tblCellMar>
            <w:top w:w="0" w:type="dxa"/>
            <w:left w:w="108" w:type="dxa"/>
            <w:bottom w:w="0" w:type="dxa"/>
            <w:right w:w="108" w:type="dxa"/>
          </w:tblCellMar>
        </w:tblPrEx>
        <w:trPr>
          <w:trHeight w:val="861"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电子绘画板</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产品尺寸（长*宽*厚）：335*203*7.1mm；※电磁笔类型：无源无线电磁压感笔；※压感级别：8192级压感；※读取速率/报点率：266点/秒；EMR分辨率：0.01毫米 （2540 ppi）</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书写感应高度：1.0厘米；绘画区域：254×158.75毫米 ；LED状态灯：有；笔是否需要充电：否；自定义快捷键：10个，笔侧按键2个；系统要求：Android 设备 (Android 4.3 或更新并支持OTG连接), 电脑USB接口支持USB2.0及以上；连接：USB数据连接；※配套与国家义务教育版《美术》教材对应的美术软件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490"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美术教学挂图</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美术教学挂图正规出版社出版，与现行新版教材配套，48幅为一套，字迹、图案清晰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1453"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美术教学软件</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仿真画笔功能：具备铅笔、钢笔、喷笔、油画笔、水彩笔、麦克笔、毛笔、刻刀、特制笔、蜡笔等不少于50种仿真画笔（软件自带，无需用户自行添加），具备橡皮擦和一键清除图层功能；</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软硬橡皮功能：可通过拖拽调节橡皮大小，具备软硬两种橡皮模式，可以自由曲线和直线两种方式清除笔迹。</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图像处理功能：不少于20项图像编辑功能，可对图像进行模糊渐变、添加阴影、风格化设置、前景背景互换、明亮度调节、透明度调节、黑白转换、灰阶调节、反向模式、色彩度调节、色彩互换等后期处理。</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选区抠图功能：不少于8种选框模板，支持矩形连线选取和自由套索选取，具备魔棒工具。</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插入素材功能：包含不少于800个图片、动画、相框等素材的美术图库，可直接拖拽到图层使用，支持对素材进行拉伸、缩放、旋转、羽化等操作。</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图片输入功能：可通过扫描仪、数码相机将作品拍摄导入到图层，支持选取本地图片导入，具备通过输入图片网址直接在线导入功能。</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图片导出功能：支持将图片直接设为桌面、通过邮件发送和打印功能。</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图片保存功能：支持7种常用格式图片保存，可对原文件进行二次编辑。</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文字录入功能：可设置文字字体、颜色、大小、透明度，支持横坚两种版式，内置9种字体效果以供快速切换。</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设计测量功能：具备数字化设计稿纸和尺寸测量工具，支持自由拖拽、自动测距、单位切换、数值调整。</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动画制作功能：支持通过拖调节动画播放速度，可将动画保存为GIF动态图片或AVI视频。</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微课制作功能：可同步录屏、录音，支持将录制内容保存为MP4格式微课。</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记录过程功能：可同步记录存储书写过程，支持录制内容反复播放。</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提交作品功能：学生可将作品提交至局域网管理端，并查看自己上传的作品。</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班级展厅功能：学生可查看班级其它成员提交的作品，可以将自己的作品调用到画布进行二次编辑。</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教师管理端功能：拥有独立的教师管理端软件，支持不低于50个点的学生端；可分配师生帐号，支持批量导入；可分配班级、支持自由设定班级名称，自动记录教学内容；可查看学生作品、对通过系统预设的评语模板对学生作品进行一键点评；可向学生下发图片素材作为教学课件。</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三维模型功能：软件内置不低于50种3D模型，可将绘画作品实时为3D模型贴图，具备推拉摇移等多方位预览作品并可一键输出多角度图形文件。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427"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美术教学网络系统</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借助互联网云平台收集美术教学资源和开展探究性美术学习；支持Windows、安卓等操作系统；支持平板、PC、手机等各种台式和移动终端；</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包含画廊模块：支持以最新、最热、同城等方式查看全国中小学师生上传的作品。</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包含社团模块：为学校、团体提供精致小巧的自主交流区，包含讨论版与作品库两大模块。</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包含班级模块：教师可创建相关班级，学生可自主加入或通过教师邀请，班级模块内，教师可以布置任务，同时进行班级管理。</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包含资源模块，专业美术教育资源库，包含教案、课例、课件、微课、赏析、论文六大类数万个符合新课标的教学资源。具体模块包括：</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美术教学视频：提供不少于1000个、20000分钟参与国家级评比的优质教学录像和美术微课。</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美术教学课件：提供不少于1800个国家级、省级评比获奖课件，实现浙美、苏少、湘美、人教、人美五大出版社国标本美术教材一课一件。</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美术教学设计：提供不少于1800个参与国家级评比活动的优质教案。实现浙美、苏少、湘美、人教、人美五大出版社国标本美术教材一课一件。</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中外名画欣赏：提供不少于2000幅中外名画欣赏与评述。</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美术教学论文：提供不少于3000篇美术教育专业期刊发表和获奖的论文，资源支持搜索、在线阅览和下载。</w:t>
            </w:r>
          </w:p>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包含活动模块：第一时间推送各类数字化相关比赛及活动。</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包含个人模块：学生可以快速通过上传功能上传作品，作品可以以作品墙、时光机、数字美术馆或电子相册的方式呈现。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1268" w:hRule="atLeast"/>
          <w:jc w:val="center"/>
        </w:trPr>
        <w:tc>
          <w:tcPr>
            <w:tcW w:w="62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56</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影像资料</w:t>
            </w:r>
          </w:p>
        </w:tc>
        <w:tc>
          <w:tcPr>
            <w:tcW w:w="5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幻灯片不少于180帧，配参考书2本（国家正式出版），与教材同步光盘</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40"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258" w:hRule="atLeast"/>
          <w:jc w:val="center"/>
        </w:trPr>
        <w:tc>
          <w:tcPr>
            <w:tcW w:w="629" w:type="dxa"/>
            <w:tcBorders>
              <w:top w:val="single" w:color="000000" w:sz="4" w:space="0"/>
              <w:left w:val="single" w:color="000000" w:sz="8"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57</w:t>
            </w:r>
          </w:p>
        </w:tc>
        <w:tc>
          <w:tcPr>
            <w:tcW w:w="1301"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509"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墙面、顶面刷白，根据现场环境结合美术类相关元素定制挂画。</w:t>
            </w:r>
          </w:p>
        </w:tc>
        <w:tc>
          <w:tcPr>
            <w:tcW w:w="640"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640" w:type="dxa"/>
            <w:tcBorders>
              <w:top w:val="single" w:color="000000" w:sz="4" w:space="0"/>
              <w:left w:val="single" w:color="000000" w:sz="4" w:space="0"/>
              <w:bottom w:val="single" w:color="000000" w:sz="8"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bl>
    <w:p>
      <w:pPr>
        <w:shd w:val="clear"/>
        <w:spacing w:line="360" w:lineRule="auto"/>
        <w:rPr>
          <w:rFonts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五、物理电学和力学</w:t>
      </w:r>
    </w:p>
    <w:tbl>
      <w:tblPr>
        <w:tblStyle w:val="21"/>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898"/>
        <w:gridCol w:w="5724"/>
        <w:gridCol w:w="666"/>
        <w:gridCol w:w="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0" w:type="dxa"/>
            <w:gridSpan w:val="5"/>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（一）物理电学（地下预埋）（48座）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名称</w:t>
            </w:r>
          </w:p>
        </w:tc>
        <w:tc>
          <w:tcPr>
            <w:tcW w:w="572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技术参数</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单位</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教师演示讲台</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1.全木结构；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2.面板：采用≧12.7mm厚双面膜耐腐蚀实芯理化板制作，四角倒圆角。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3.柜身：采用E1级三聚氰胺板制作，可见截面均经过PVC封边；整体结构设计合理，预留电脑主机、键盘托、实物展台、教师电源位置。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4.滑轨：三节静音滑轨；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5.铰链：采用优质铰链，开合十万次</w:t>
            </w:r>
            <w:bookmarkStart w:id="486" w:name="_GoBack"/>
            <w:bookmarkEnd w:id="486"/>
            <w:r>
              <w:rPr>
                <w:rFonts w:hint="eastAsia" w:ascii="仿宋" w:hAnsi="仿宋" w:eastAsia="仿宋" w:cs="仿宋"/>
                <w:color w:val="auto"/>
                <w:kern w:val="0"/>
                <w:sz w:val="24"/>
                <w:szCs w:val="24"/>
                <w:highlight w:val="none"/>
                <w:lang w:bidi="ar"/>
              </w:rPr>
              <w:t>以上；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6.连接件：ABS专用连接组装件；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7.桌脚：采用ABS注塑专用桌垫固定；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8.防撞胶垫：采用橡胶材质，装于抽屉及门板内侧；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9.其他:台面装置教师电源主控台，预留多媒体设备（电脑；实物展台、DVD）等设备位置。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教师椅</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弓形网椅</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黑色网布透气性好；海棉采用高密度一次性PU成型发泡海棉，软硬适中不变形。椅板采用1.5mm夹板热压成型；前置式倾仰机构，优质气压棒，经测试升降30万次无损害，黑色尼龙五星脚滑动自如，可承受300KG.</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物理学生实验桌</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1.新型钢制结构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台面：采用12.7mm厚双面膜耐腐蚀实芯理化板制作，前面后面均两角倒圆角。台面后方卡入学生桌铝型槽内，前方用预埋件与桌体固定。书包斗ABS工程塑料一次性注塑成型结合，成型尺寸410*330*120。镂空设计，底部设有排水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1.3脚架：采用多材质组合结构，椭圆管结构，下开口采用磨具成型改性工程塑料材料装饰，上端连接件采用铸铝一体成型，上框采用20*30距形管焊接成型，并用高强度内六角螺丝连接，便于组装及拆卸。</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1.4、金属表面经环氧树脂粉末喷涂高温 固化处理。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1.5、桌脚：采用一体注塑模具成型。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多功能柱</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整体采用实验室专用PP材质，四脚圆弧处理，地脚线缩进30mm，前后二块拼接而成，可拆装，内部隐藏实验线管及通风管道，方便检修。</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学生安全电源</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1．工作环境：温度-10ºC~+40ºC  相对湿度&lt;85％（25ºC）海拔&lt;4000M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2.市电AC220V/ 3A输出为2个新国标五孔插座。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3.学生电源采用耐磨、耐腐蚀、耐高温（≦140℃）的PC亮光薄膜面板，学生电源的控制采用“电容式”触摸键盘，贴片元件生产技术，微电脑控制，采用1.54寸液晶显示电源学生交直流电压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4.直流稳压电源：液晶显示，触摸按键调节，1.5-24V/2A，电压调节分辨率为0.1V。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5.交流低压电源：液晶显示，触摸按键调节，1-24V/2A，电压调节分辨率为1V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6.学生低压电源都可接收老师发送的锁定信号，教师主控在锁定指示灯点亮后，学生只能接收老师输送的设定电源电压，学生自己无法操作，这样可避免学生的误操作。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1、标志：调节装置、输出插孔应有清晰明了、耐用的提示文字和符号；直流电压输出应能显示电压；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2、电压调节范围，V：AC/DC:0~30V;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3、内部导线连接：连线后应无应力；黄绿双色线必须是接地端子；部件固定牢固，无松动现场；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4、电压指示精度，V：显示值与输出值之间的误差应在±2V之内；</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教师演示电源</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1.教师演示台配备总漏电保护和分组保护，可分组控制学生的高低压电源，确保学生实验安全方便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2.教师电源总控采用≧7寸"电阻式"液晶屏，显示智能控制按键同时显示电源电压；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3.教师交流电源通过智能控制按键直接选取0～24V电压，最小调节单元可达1V,额定电流3A；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4.教师直流电源也是通过智能控制按键直接选取，调节范围为1.5～24V，分辨率可达0.1V,额定电流3A；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5.低压大电流值为40A，自动关断；</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6.220V交流输出为带安全门的新国标插座，带有电源指示 ，学生低压交流电源可通过智能控制按键直接选取0～24V电压，最小调节单元为1V，组输送至学生桌；低压直流电压教师能准确控制，最小调节单元为0.1V。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1、标志：调节装置、输出插孔应有清晰明了，耐用的提示文字和符号；直流电压输出应能显示电压；内部布线接线端子应有文字或符号明示；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2、内部导线连接：连接后应无应力；黄绿双色线必须是接地端子；部件固定牢固，无松动；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3、漏电保护：输入端应有漏电保护断路装置；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4、接地措施：接地电阻≦0.1Ω；绝缘电阻≧7MΩ；变压器、插座应可靠接地；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5、发热、K：变压器在1.06倍额定电压（233.2V）工作至温度状态，其绕组温升≦90K；</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6、操作性：各按组插座、开关工作有效，无影响正常工作和安全的异常现向；指示灯正常，无闪烁，损坏现向；漏电开关经试验后电路能正常断开；电压指示正常，无闪烁和损坏现向；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7、电压设置性能指示性：电压按设定值输入确认后，显示和输出应一致；电压设定值与实际输出值的误差应≦10%；</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实验凳</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1、凳脚材质：4个凳脚采用型钢一次成型。全圆满焊接完成，结构牢固，经高温粉体烤漆处理 螺旋升降式，升降距离为50mm，最高离地距离为500mm。Ф凳面直径315×高450-500mm，2、凳面材质：采用聚丙烯共聚级注塑。采用不锈钢螺丝与圆型托盘固定。3、脚垫材质：采用PP加耐磨纤维质塑料，实心倒勾式一体射出成型 凳面与凳脚留有一定的空间便于凳子挂在挂凳扣上。</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电气布线（地面以上部分）</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DN25阻燃线管；4、2.5平方国标线材，符合国家标准。</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724" w:type="dxa"/>
            <w:tcBorders>
              <w:tl2br w:val="nil"/>
              <w:tr2bl w:val="nil"/>
            </w:tcBorders>
            <w:shd w:val="clear" w:color="auto" w:fill="auto"/>
            <w:vAlign w:val="center"/>
          </w:tcPr>
          <w:p>
            <w:pPr>
              <w:widowControl/>
              <w:shd w:val="clear"/>
              <w:spacing w:line="36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防静电地板规格尺寸600*600600*600mm，整体地面铺设，墙面顶面找平刷白。</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0" w:type="dxa"/>
            <w:gridSpan w:val="5"/>
            <w:tcBorders>
              <w:tl2br w:val="nil"/>
              <w:tr2bl w:val="nil"/>
            </w:tcBorders>
            <w:shd w:val="clear" w:color="auto" w:fill="auto"/>
            <w:vAlign w:val="center"/>
          </w:tcPr>
          <w:p>
            <w:pPr>
              <w:widowControl/>
              <w:shd w:val="clear"/>
              <w:spacing w:line="360" w:lineRule="auto"/>
              <w:rPr>
                <w:rFonts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（二）物理力学（地下预埋）（48座）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教师演示讲台</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1.全木结构；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2.面板：采用≧12.7mm厚双面膜耐腐蚀实芯理化板制作，四角倒圆角。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3.柜身：采用E1级三聚氰胺板制作，可见截面均经过PVC封边；整体结构设计合理，预留电脑主机、键盘托、实物展台、教师电源位置。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4.滑轨：三节静音滑轨；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5.铰链：采用优质铰链，开合十万次以上；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6.连接件：ABS专用连接组装件；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7.桌脚：采用ABS注塑专用桌垫固定；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8.防撞胶垫：采用橡胶材质，装于抽屉及门板内侧；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9.其他:台面装置教师电源主控台，预留多媒体设备（电脑；实物展台、DVD）等设备位置。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教师椅</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弓形网椅</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黑色网布透气性好；海棉采用高密度一次性PU成型发泡海棉，软硬适中不变形。椅板采用1.5mm夹板热压成型；前置式倾仰机构，优质气压棒，经测试升降30万次无损害，黑色尼龙五星脚滑动自如，可承受300KG.</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物理学生实验桌</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1.新型钢制结构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台面：采用12.7mm厚双面膜耐腐蚀实芯理化板制作，前面后面均两角倒圆角。台面后方卡入学生桌铝型槽内，前方用预埋件与桌体固定。书包斗ABS工程塑料一次性注塑成型结合，成型尺寸410*330*120。镂空设计，底部设有排水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1.3脚架：采用多材质组合结构，椭圆管结构，下开口采用磨具成型改性工程塑料材料装饰，上端连接件采用铸铝一体成型，上框采用20*30距形管焊接成型，并用高强度内六角螺丝连接，便于组装及拆卸。</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1.4、金属表面经环氧树脂粉末喷涂高温固化处理。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1.5、桌脚：采用一体注塑模具成型。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多功能柱</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整体采用实验室专用PP材质，四脚圆弧处理，地脚线缩进30mm，前后二块拼接而成，可拆装，内部隐藏实验线管及通风管道，方便检修。</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豪华电学物理电源</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1.外箱体由两组工程ABS塑料模具一次成型，电源置于台面，面板与台面呈110°夹角；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2.低压电源均配有实验所需的仪表（表头符合JY-0330教学仪器行业标准）；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3.学生电源采用耐磨、耐腐蚀、耐高温（≦140℃）的PC磨砂薄膜面板，贴片元件生产技术，微电脑控制，数码显示电源电压；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4.学生交流电源由老师主控控制，学生不能自行调节电压，老师给学生最小调节单元可达1V,额定电流2A；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5.学生直流电源由老师主控控制，学生不能自行调节电压，老师给学生分辨率可达0.1V,额定电流2A；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6.学生低压电源都可接收老师发送的锁定信号，在锁定指示灯点亮后，学生只能接收老师输送的设定电源电压，学生自己无法操作，老师应送锁定信号；</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7.220V交流输出为带安全门的多功能三孔插座；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8.面板左右各配有一组新颖、实用的指针式多量程大测量表，方便学生做其它升级实验，A表：0.2～0.6A/1～3A,V表：1～3V/5～15V,G表：-300uA～300uA,各表均配外置调零旋钮，便于随时调零；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9.220V交流输出为带安全门的多功能豪华六孔插座，电源指示；</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教师演示电源</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1、教师演示台配备总漏电保护和分组保护，可分组控制学生的高低压电源，确保教师及学生实验安全方便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本智能控制系统采用耐磨、耐腐蚀、耐高温（≦140℃）的PC薄膜面板，教师实验演示电源及对学生电源的控制都采用具有高响应度、高亮度、高对比度的TFT彩色电阻触摸屏控制，高精度贴片元件生产技术，微电脑控制，所有电源均在TFT液晶显示屏上操作，使操作更灵敏，更简便，更直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3、 本智能控制系统内自带密码开机和定时关机系统，操作更安全，并附带使用说明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4、教师交流电源通过数字键盘直接选取1～24V电压，最小调节单元可达1V,额定电流3A(可做到6A)；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5、教师直流电源也是通过数字键盘直接选取，调节范围为1.5～24V，分辨率可达0.1V,额定电流3A(也可做到6A)；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6.低压大电流值为40A，自动关断；</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7、220V交流输出为带安全门的两个国标五孔插座，带有电源指示；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8、学生低压交流电源通过数字键盘直接选取1～24V电压，确认后分组输送至学生桌电源并锁定（锁定后学生自己无法操作，只有在老师解除锁定后才能单独操作），最小调节单元为1V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9、学生低压直流电源通过数字键盘直接选取1.5～24V电压，确认后分组输送至学生桌电源并锁定（同上，略），最小调节单元为0.1V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10学生220V交流电源通过学生电源上的学生220V按键直接选取，确认后学生桌上即有电源输出</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实验凳</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1、凳脚材质：4个凳脚采用型钢一次成型。全圆满焊接完成，结构牢固，经高温粉体烤漆处理 螺旋升降式，升降距离为50mm，最高离地距离为500mm。Ф凳面直径315×高450-500mm，2、凳面材质：采用聚丙烯共聚级注塑。采用不锈钢螺丝与圆型托盘固定。3、脚垫材质：采用PP加耐磨纤维质塑料，实心倒勾式一体射出成型 凳面与凳脚留有一定的空间便于凳子挂在挂凳扣上。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技术要求满足：GB/T 3325-2017 金属家具通用技术条件：</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8</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电气布线（地面以上部分）</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DN25阻燃线管；4、2.5平方国标线材，符合国家标准。</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9</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防静电地板规格尺寸600*600600*600mm，整体地面铺设，墙面顶面找平刷白。</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0" w:type="dxa"/>
            <w:gridSpan w:val="5"/>
            <w:tcBorders>
              <w:tl2br w:val="nil"/>
              <w:tr2bl w:val="nil"/>
            </w:tcBorders>
            <w:shd w:val="clear" w:color="auto" w:fill="auto"/>
            <w:vAlign w:val="center"/>
          </w:tcPr>
          <w:p>
            <w:pPr>
              <w:widowControl/>
              <w:shd w:val="clear"/>
              <w:spacing w:line="360" w:lineRule="auto"/>
              <w:rPr>
                <w:rFonts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（三）物理准备室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准备台</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钢木结构；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台面：采用12.7mm厚实验室专用理化板,周边加厚至25.4mm,倒圆角处理. ,防强酸强碱，耐磨耐高温；不含任何有毒物质，无辐射，受热不产生有毒气体和物质；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柜身：柜身为悬柜，基材为16mm厚E1级三聚氰胺板制作。可见截面均经过PVC封边;贴面和封边部件应严密、平整，不允许脱胶、鼓泡、凹陷、压痕以及表面划伤、麻点、裂痕、崩角和刃口，外表的圆角、倒棱应均匀一致；整体采用组合式柜体，含2个座人空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钢架部分：主框架采用40*60*1.5mm优质方管，焊接成型，表面粉末静电喷涂处理；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 导轨及铰链：优质三节静音导轨及铰链；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 拉手：铝合金条形暗拉手；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 可调脚：采用ABS专用注塑可调脚，金属螺杆，高度可调节；</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实验室专用水槽</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采用实验室专用高密度PP一体化成型水槽，易清洁，耐腐蚀，且利于台面残水自然回流；具耐酸碱、耐有机溶剂、耐紫外线等特点。</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优质化验水嘴：要求防酸碱、防锈、防虹吸、防阻塞，表面环氧树脂喷涂。出水嘴为铜质瓷芯，高头，便于多用途使用，可拆卸清洗阻塞。出水嘴可拆卸，内有成型螺纹，可方便连接循环等特殊用水水管。</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岛式插座</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1、钢制线盒，主框架采用裸板实际厚度大于1.0mm厚优质钢材产一级镀锌钢板成形、焊接制作，表面静电粉末喷涂处理。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220V交流输出为新国标五孔插座，</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教师椅</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弓形网椅</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黑色网布透气性好；海棉采用高密度一次性PU成型发泡海棉，软硬适中不变形。椅板采用1.5mm夹板热压成型；前置式倾仰机构，优质气压棒，经测试升降30万次无损害，黑色尼龙五星脚滑动自如，可承受300KG.</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电气布线（地面以上部分）</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DN25阻燃线管；4、2.5平方国标线材，符合国家标准。</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给、排水系统（地面以上部分）</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给水：采用PPR复合管敷设。排水：使用国标优质UPVC专用排水管。</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防静电地板规格尺寸600*600600*600mm，整体地面铺设，墙面顶面找平刷白。</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58" w:type="dxa"/>
            <w:gridSpan w:val="3"/>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（三）物理仪器室</w:t>
            </w:r>
          </w:p>
        </w:tc>
        <w:tc>
          <w:tcPr>
            <w:tcW w:w="666" w:type="dxa"/>
            <w:tcBorders>
              <w:tl2br w:val="nil"/>
              <w:tr2bl w:val="nil"/>
            </w:tcBorders>
            <w:shd w:val="clear" w:color="auto" w:fill="auto"/>
            <w:vAlign w:val="center"/>
          </w:tcPr>
          <w:p>
            <w:pPr>
              <w:widowControl/>
              <w:shd w:val="clear"/>
              <w:spacing w:line="360" w:lineRule="auto"/>
              <w:jc w:val="center"/>
              <w:rPr>
                <w:rFonts w:ascii="仿宋" w:hAnsi="仿宋" w:eastAsia="仿宋" w:cs="仿宋"/>
                <w:color w:val="auto"/>
                <w:sz w:val="24"/>
                <w:szCs w:val="24"/>
                <w:highlight w:val="none"/>
              </w:rPr>
            </w:pPr>
          </w:p>
        </w:tc>
        <w:tc>
          <w:tcPr>
            <w:tcW w:w="736" w:type="dxa"/>
            <w:tcBorders>
              <w:tl2br w:val="nil"/>
              <w:tr2bl w:val="nil"/>
            </w:tcBorders>
            <w:shd w:val="clear" w:color="auto" w:fill="auto"/>
            <w:vAlign w:val="center"/>
          </w:tcPr>
          <w:p>
            <w:pPr>
              <w:widowControl/>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仪器柜</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PP材质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柜体：侧板、顶底板采用改性PP材料增加强度，注塑模一次性成型，保证柜体之坚固及密封性，耐腐蚀性强。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下储物柜门：内框采用改性PP材质注塑模一次成型, 外嵌≧4.0mm厚钢化烤漆玻璃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上柜视窗们：内框采用改性PP材质注塑模一次成型, 外嵌≧4.0mm厚钢化烤漆玻璃，中间烤漆镂空制作。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 层板：上部配置阶梯层板，下部配置一块活动层板，层板全部采用改性PP材质注塑模一次成型。整体设计为活动式，可随意抽取放在合适的隔层，自由组合各层空间。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 门把手：采用经过改性PP材质注塑模一次成型，与柜门平行，开启方便。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 门铰链：采用经过射出成型的PP材料制成，耐腐蚀性好。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 螺丝：PP材质，也可选不锈钢304材质</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98"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w:t>
            </w:r>
          </w:p>
        </w:tc>
        <w:tc>
          <w:tcPr>
            <w:tcW w:w="5724"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墙面顶部刷白</w:t>
            </w:r>
          </w:p>
        </w:tc>
        <w:tc>
          <w:tcPr>
            <w:tcW w:w="66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736"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bl>
    <w:p>
      <w:pPr>
        <w:shd w:val="clear"/>
        <w:spacing w:line="360" w:lineRule="auto"/>
        <w:rPr>
          <w:rFonts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六、化学实验室</w:t>
      </w:r>
    </w:p>
    <w:tbl>
      <w:tblPr>
        <w:tblStyle w:val="21"/>
        <w:tblW w:w="8458"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802"/>
        <w:gridCol w:w="4857"/>
        <w:gridCol w:w="450"/>
        <w:gridCol w:w="550"/>
        <w:gridCol w:w="1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名称</w:t>
            </w:r>
          </w:p>
        </w:tc>
        <w:tc>
          <w:tcPr>
            <w:tcW w:w="4857"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技术参数</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单位</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数量</w:t>
            </w:r>
          </w:p>
        </w:tc>
        <w:tc>
          <w:tcPr>
            <w:tcW w:w="1200"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图片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458" w:type="dxa"/>
            <w:gridSpan w:val="6"/>
            <w:tcBorders>
              <w:tl2br w:val="nil"/>
              <w:tr2bl w:val="nil"/>
            </w:tcBorders>
            <w:shd w:val="clear" w:color="auto" w:fill="auto"/>
            <w:vAlign w:val="center"/>
          </w:tcPr>
          <w:p>
            <w:pPr>
              <w:widowControl/>
              <w:shd w:val="clear"/>
              <w:spacing w:line="360" w:lineRule="auto"/>
              <w:rPr>
                <w:rFonts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（一）化学实验室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教师演示讲台</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1.全木结构；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2.面板：采用≧12.7mm厚双面膜耐腐蚀实芯理化板制作，四角倒圆角。</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3.柜身：采用E1级三聚氰胺板制作，可见截面均经过PVC封边；整体结构设计合理，预留电脑主机、键盘托、实物展台、教师电源位置。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4.滑轨：三节静音滑轨；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5.铰链：采用优质铰链，开合十万次以上；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6.连接件：ABS专用连接组装件；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7.桌脚：采用ABS注塑专用桌垫固定；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8.防撞胶垫：采用橡胶材质，装于抽屉及门板内侧；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9.其他:台面装置教师电源主控台，预留多媒体设备（电脑；实物展台、DVD）等设备位置。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教师椅</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弓形网椅</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黑色网布透气性好；海棉采用高密度一次性PU成型发泡海棉，软硬适中不变形。椅板采用1.5mm夹板热压成型；前置式倾仰机构，优质气压棒，经测试升降30万次无损害，黑色尼龙五星脚滑动自如，可承受300KG.</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实验室专用水槽</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采用实验室专用高密度PP一体化成型水槽，易清洁，耐腐蚀，且利于台面残水自然回流；具耐酸碱、耐有机溶剂、耐紫外线等特点。</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优质化验水嘴：要求防酸碱、防锈、防虹吸、防阻塞，表面环氧树脂喷涂。出水嘴为铜质瓷芯，高头，便于多用途使用，可拆卸清洗阻塞。出水嘴可拆卸，内有成型螺纹，可方便连接循环等特殊用水水管。</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实验室专用洗眼器</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洗眼喷头：采用不助燃PC材质模铸一体成形制作，具有过滤泡棉及防尘功能，上面防尘盖平常可防尘，使用时可随时被水冲开，并降低突然打开时短暂的高水压，避免冲伤眼睛。</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通风化学学生实验桌</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1.新型钢制结构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台面：采用12.7mm厚双面膜耐腐蚀实芯理化板制作，前面后面均两角倒圆角。台面后方卡入学生桌铝型槽内，前方用预埋件与桌体固定。书包斗ABS工程塑料一次性注塑成型结合，成型尺寸410*330*120。镂空设计，底部设有排水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1.3脚架：采用多材质组合结构，椭圆管结构，下开口采用磨具成型改性工程塑料材料装饰，上端连接件采用铸铝一体成型，上框采用20*30距形管焊接成型，并用高强度内六角螺丝连接，便于组装及拆卸。</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1.4、金属表面经环氧树脂粉末喷涂高温固化处理。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1.5、桌脚：采用一体注塑模具成型。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全新钢塑水槽柜</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槽柜：整体采用三段式结构，前部凸起，采用实验室专用一次成型的绿色环保材质，背板和侧板采用1.0MM厚镀锌钢板后两侧圆弧角设计，前面门板两侧圆弧形设计，底座为专用一次成型绿色环保材质。内部钢框支撑，要求无毒无味，防水防潮，不生锈，承重力强，可重复拆卸拼装，专用连接件拼装。</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优质化验水嘴：要求防酸碱、防锈、防虹吸、防阻塞，表面环氧树脂喷涂。出水嘴为铜质瓷芯，高头，便于多用途使用，可拆卸清洗阻塞。出水嘴可拆卸，内有成型螺纹，可方便连接循环等特殊用水水管。</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PP一体化水槽</w:t>
            </w:r>
          </w:p>
        </w:tc>
        <w:tc>
          <w:tcPr>
            <w:tcW w:w="4857" w:type="dxa"/>
            <w:vMerge w:val="restart"/>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水槽为整体模具一体成型，尺寸450*600*250，并设有溢水口，底部带S弯防臭设计，与地面下水管密封连接；水柜内前方设置检修门，整体可拆卸背板。</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多功能实验下水装置</w:t>
            </w:r>
          </w:p>
        </w:tc>
        <w:tc>
          <w:tcPr>
            <w:tcW w:w="4857" w:type="dxa"/>
            <w:vMerge w:val="continue"/>
            <w:tcBorders>
              <w:tl2br w:val="nil"/>
              <w:tr2bl w:val="nil"/>
            </w:tcBorders>
            <w:shd w:val="clear" w:color="auto" w:fill="auto"/>
            <w:vAlign w:val="center"/>
          </w:tcPr>
          <w:p>
            <w:pPr>
              <w:widowControl/>
              <w:shd w:val="clear"/>
              <w:spacing w:line="360" w:lineRule="auto"/>
              <w:jc w:val="left"/>
              <w:rPr>
                <w:rFonts w:ascii="仿宋" w:hAnsi="仿宋" w:eastAsia="仿宋" w:cs="仿宋"/>
                <w:color w:val="auto"/>
                <w:sz w:val="24"/>
                <w:szCs w:val="24"/>
                <w:highlight w:val="none"/>
              </w:rPr>
            </w:pP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多功能柱</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整体采用实验室专用PP材质，四脚圆弧处理，地脚线缩进30mm，前后二块拼接而成，可拆装，内部隐藏实验线管及通风管道，方便检修。</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学生安全电源</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1．工作环境：温度-10ºC~+40ºC  相对湿度&lt;85％（25ºC）海拔&lt;4000M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市电AC220V/ 3A输出为2个新国标五孔插座。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3.学生电源采用耐磨、耐腐蚀、耐高温（≦140℃）的PC亮光薄膜面板，学生电源的控制采用“电容式”触摸键盘，贴片元件生产技术，微电脑控制，采用1.54寸液晶显示电源学生交直流电压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直流稳压电源：液晶显示，触摸按键调节，1.5-24V/2A，电压调节分辨率为0.1V。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  交流低压电源：液晶显示，触摸按键调节，1-24V/2A，电压调节分辨率为1V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6.学生低压电源都可接收老师发送的锁定信号，教师主控在锁定指示灯点亮后，学生只能接收老师输送的设定电源电压，学生自己无法操作。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1、标志：调节装置、输出插孔应有清晰明了、耐用的提示文字和符号；直流电压输出应能显示电压；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2、电压调节范围，V：AC/DC:0~30V;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3、内部导线连接：连线后应无应力；黄绿双色线必须是接地端子；部件固定牢固，无松动现场；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4、电压指示精度，V：显示值与输出值之间的误差应在±2V之内；</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教师演示电源</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1.教师演示台配备总漏电保护和分组保护，可分组控制学生的高低压电源，确保学生实验安全方便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2.教师电源总控采用7寸"电阻式"液晶屏，显示智能控制按键同时显示电源电压；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3.教师交流电源通过智能控制按键直接选取0～24V电压，最小调节单元可达1V,额定电流3A；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4.教师直流电源也是通过智能控制按键直接选取，调节范围为1.5～24V，分辨率可达0.1V,额定电流3A；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5.低压大电流值为40A，自动关断；</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6.220V交流输出为带安全门的新国标插座，带有电源指示 ，学生低压交流电源可通过智能控制按键直接选取0～24V电压，最小调节单元为1V，组输送至学生桌；低压直流电压教师能准确控制，最小调节单元为0.1V。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1、标志：调节装置、输出插孔应有清晰明了，耐用的提示文字和符号；直流电压输出应能显示电压；内部布线接线端子应有文字或符号明示；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2、内部导线连接：连接后应无应力；黄绿双色线必须是接地端子；部件固定牢固，无松动现向；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3、漏电保护：输入端应有漏电保护断路装置；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4、接地措施：接地电阻≦0.1Ω；绝缘电阻≧7MΩ；变压器、插座应可靠接地；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5、发热、K：变压器在1.06倍额定电压（233.2V）工作至温度状态，其绕组温升≦90K；</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6、操作性：各按组插座、开关工作有效，无影响正常工作和安全的异常现向；指示灯正常，无闪烁，损坏现向；漏电开关经试验后电路能正常断开；电压指示正常，无闪烁和损坏现向；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7、电压设置性能指示性：电压按设定值输入确认后，显示和输出应一致；电压设定值与实际输出值的误差应≦10%；</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实验凳</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1、凳脚材质：4个凳脚采用型钢一次成型。全圆满焊接完成，结构牢固，经高温粉体烤漆处理 螺旋升降式，升降距离为50mm，最高离地距离为500mm。Ф凳面直径315×高450-500mm，2、凳面材质：采用聚丙烯共聚级注塑。采用不锈钢螺丝与圆型托盘固定。3、脚垫材质：采用PP加耐磨纤维质塑料，实心倒勾式一体射出成型 凳面与凳脚留有一定的空间便于凳子挂在挂凳扣上。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技术要求满足：GB/T 3325-2017 金属家具通用技术条件：</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电气布线（地面以上部分）</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DN25阻燃线管；4、2.5平方国标线材，符合国家标准。</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给、排水系统（地面以上部分）</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给水：采用PPR复合管敷设。排水：使用国标优质UPVC专用排水管。</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吸风装置</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ABS工程注塑，隐藏伸缩型。吸风口是柱型、隐蔽式高低左右可调整，最高可调450mm,最低150mm</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18</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PP离心风机</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结构：PP蜗牛式离心风机。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（1)功率：5.5KW。风量：7100-13500m3/h。风压：926-735Pa。噪音：≤55dB(A)。室内换气次数：≥20次/h。终端流速：≥11.3米/秒整个通风系统均为中压系统（500 Pa＜P≤1500 Pa＝，低压系统（P≤500 Pa），主管内风速约8-14米/秒（m/s），支管内风速约6-8米/秒（m/s）。</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（2)每台通风设备都可以独立操作，相互之间不受影响。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（3)气流组织合理，排气顺畅，无气味溢出、气体排放符合国家规定排放标准。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（4)通风系统主管内壁光滑，以降低噪声向室内传播，同时管井外壁应同室内装修保持一致，美观耐用</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风管</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采用防腐蚀PP材质，整体焊接成型，具有整体结构性能好、严密性高等优点。同时具有耐酸碱性能。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管卡采用碳钢制作，表面镀铬处理。</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通风配件</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包含PP材质弯头、PP材质变径、PP材质手动阀</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22</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安装耗材及附件</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定制：固定通风管道的配件固定螺丝、结构胶、电动风量调节阀，根据通风管路定制、控制电动风阀风机软接头、风帽、防震垫、防火阀等。</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23</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通风系统调试费</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通风系统定制化安装，装完进行调试，保证每个通风口的风量达到实验室建设标准，主要调试范围包含：风量、风速、安装是否合理，有无影响正常教学。</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通风系统安装费</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根据化学实验室勘察情况出具合理的通风建设方案，经学校确认以后，进行生产发货，现场定制化安装，保证通风系统的正常使用。</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防静电地板规格尺寸600*600600*600mm，整体地面铺设，墙面顶面找平刷白。</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458" w:type="dxa"/>
            <w:gridSpan w:val="6"/>
            <w:tcBorders>
              <w:tl2br w:val="nil"/>
              <w:tr2bl w:val="nil"/>
            </w:tcBorders>
            <w:shd w:val="clear" w:color="auto" w:fill="auto"/>
            <w:vAlign w:val="center"/>
          </w:tcPr>
          <w:p>
            <w:pPr>
              <w:widowControl/>
              <w:shd w:val="clear"/>
              <w:spacing w:line="360" w:lineRule="auto"/>
              <w:rPr>
                <w:rFonts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（二）化学准备室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准备台</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钢木结构；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台面：采用12.7mm厚实验室专用理化板,周边加厚至25.4mm,倒圆角处理. ,防强酸强碱，耐磨耐高温；不含任何有毒物质，无辐射，受热不产生有毒气体和物质；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柜身：柜身为悬柜，基材为16mm厚E1级三聚氰胺板制作。可见截面均经过PVC封边;贴面和封边部件应严密、平整，不允许脱胶、鼓泡、凹陷、压痕以及表面划伤、麻点、裂痕、崩角和刃口，外表的圆角、倒棱应均匀一致；整体采用组合式柜体，含2个座人空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钢架部分：主框架采用40*60*1.5mm优质方管，焊接成型，表面粉末静电喷涂处理；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 导轨及铰链：优质三节静音导轨及铰链；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 拉手：铝合金条形暗拉手；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 可调脚：采用ABS专用注塑可调脚，金属螺杆，高度可调节，防滑减震；</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实验室专用水槽</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采用实验室专用高密度PP一体化成型水槽，易清洁，耐腐蚀，且利于台面残水自然回流；具耐酸碱、耐有机溶剂、耐紫外线等特点。</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优质化验水嘴：要求防酸碱、防锈、防虹吸、防阻塞，表面环氧树脂喷涂。出水嘴为铜质瓷芯，高头，便于多用途使用，可拆卸清洗阻塞。出水嘴可拆卸，内有成型螺纹，可方便连接循环等特殊用水水管。</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152400</wp:posOffset>
                  </wp:positionV>
                  <wp:extent cx="626110" cy="965200"/>
                  <wp:effectExtent l="0" t="0" r="2540" b="6350"/>
                  <wp:wrapNone/>
                  <wp:docPr id="10" name="ID_F2724C48B69A49908C099E50C61B3C44"/>
                  <wp:cNvGraphicFramePr/>
                  <a:graphic xmlns:a="http://schemas.openxmlformats.org/drawingml/2006/main">
                    <a:graphicData uri="http://schemas.openxmlformats.org/drawingml/2006/picture">
                      <pic:pic xmlns:pic="http://schemas.openxmlformats.org/drawingml/2006/picture">
                        <pic:nvPicPr>
                          <pic:cNvPr id="10" name="ID_F2724C48B69A49908C099E50C61B3C44"/>
                          <pic:cNvPicPr/>
                        </pic:nvPicPr>
                        <pic:blipFill>
                          <a:blip r:embed="rId15"/>
                          <a:stretch>
                            <a:fillRect/>
                          </a:stretch>
                        </pic:blipFill>
                        <pic:spPr>
                          <a:xfrm>
                            <a:off x="0" y="0"/>
                            <a:ext cx="626110" cy="96520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实验室专用试剂架</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铝合金结构，表面喷涂高温固化匀乳白环氧树脂喷涂理处理，具有较强的耐蚀性能，上下带塑胶模具堵头；</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试剂架立柱截面尺寸：42mm*82mm, 型材壁厚1.2mm；试剂架立柱双面升降槽，侧面双面镶嵌另色色条；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试剂架托架1.0mm镀锌钢板，一次性冲压成型；试剂架护栏：护栏壁厚1.2mm，单面镶嵌另色色条。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立杆牢固固定于C型钢架底端，层板采用8mm厚的玻璃，上下可调。</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滴水架</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高密度PP 类型：单面 底部托盘中间设有排水孔 可拆卸式滴水棒，具有锁扣功能</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实验室专用洗眼器</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洗眼喷头：采用不助燃PC材质模铸一体成形制作，具有过滤泡棉及防尘功能，上面防尘盖平常可防尘，使用时可随时被水冲开，并降低突然打开时短暂的高水压，避免冲伤眼睛。</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付</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仪器柜</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PP材质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柜体：侧板、顶底板采用改性PP材料增加强度，注塑模一次性成型，表面沙面和光面相结合处理,保证柜体之坚固及密封性，耐腐蚀性强。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下储物柜门：内框采用改性PP材质注塑模一次成型, 外嵌≧4.0mm厚钢化烤漆玻璃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上柜视窗们：内框采用改性PP材质注塑模一次成型, 外嵌≧4.0mm厚钢化烤漆玻璃，中间烤漆镂空制作。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 层板：上部配置阶梯层板，下部配置一块活动层板，层板全部采用改性PP材质注塑模一次成型，表面沙面和光面相结合处理，承重力强。整体设计为活动式，可随意抽取放在合适的隔层，自由组合各层空间。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 门把手：采用经过改性PP材质注塑模一次成型，与柜门平行，开启方便。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 门铰链：采用经过射出成型的PP材料制成，耐腐蚀性好。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 螺丝：PP材质，也可选不锈钢304材质</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小推车</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1.板材采用加厚款1.2mm304不锈钢，立柱采用Φ28mm圆管，层间距430MM，护栏高60MM，加强横梁承重更强更稳，单层载重150kg；</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2.推手握感舒适；整体焊接后打磨抛光处理；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3.配件：优质静音万向轮，360°全方位旋转，带刹车功能，移动方便；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4.产品经焊接、打磨抛光处理，无毛刺不刮手</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通风柜</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结构组合：采用三段组合式柜体，上部柜体（通风柜），中间（操作台面），下部柜体（内含单侧独立抽气式组成柜及另侧独立水、电、气体管线系统容纳柜设计；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2．外壳：采用厚1.0mm（含）以上优质镀锌钢板冲压成型制作，表面经耐酸碱环氧树脂喷涂处理；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3．内壳：采用5mm厚耐酸碱、耐高温的抗倍特板制作；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4．台面：要求采用12.7mm厚实芯理化板，边缘呈圆弧形，结构坚固致密，能抗强冲击，耐强酸碱，耐高温，更具有良好的承重性能；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5．照明：采用30W日光灯，并设有5mm厚磨沙玻璃；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6．拉手：采用ABS注塑；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7．气流板： 采用5mm厚抗倍特板经环氧树脂静电喷涂，安装位置与角度需使排气分布均匀，无死角，在标准状况下，导流板上方与中、下方出风口排风量比例各约50±10%，以确保不同比重之气体均能有效排除，另并具手动可调排风量比例设计，可提高中、下方出风口排风量比例至80%以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8．化验水斗：采用PP制作，耐酸碱一体成型小水杯；</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9．化验水咀：采用实验室专用单口烤漆水咀；</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10．窗口：采用5mm厚的钢化防暴玻璃。内部采用垂体平衡装置，可以停留在上下任何位置；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 液晶控制系统：通风柜控制器以微控制器为核心，采用模块化设计，其主要特点是功能完备，结构简单，界面清晰，操作容易；</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通风系统</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采用防腐蚀PP材质，整体焊接成型，具有整体结构性能好、严密性高等优点。同时具有耐酸碱性能。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管卡采用碳钢制作，表面经镀铬处理。</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根据现场实际情况，墙面顶面找平刷白。</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458" w:type="dxa"/>
            <w:gridSpan w:val="6"/>
            <w:tcBorders>
              <w:tl2br w:val="nil"/>
              <w:tr2bl w:val="nil"/>
            </w:tcBorders>
            <w:shd w:val="clear" w:color="auto" w:fill="auto"/>
            <w:vAlign w:val="center"/>
          </w:tcPr>
          <w:p>
            <w:pPr>
              <w:widowControl/>
              <w:shd w:val="clear"/>
              <w:spacing w:line="360" w:lineRule="auto"/>
              <w:rPr>
                <w:rFonts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bidi="ar"/>
              </w:rPr>
              <w:t>（三）化学仪器室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仪器柜</w:t>
            </w:r>
          </w:p>
        </w:tc>
        <w:tc>
          <w:tcPr>
            <w:tcW w:w="4857"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PP材质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柜体：侧板、顶底板采用改性PP材料增加强度，注塑模一次性成型，表面沙面和光面相结合处理,保证柜体之坚固及密封性，耐腐蚀性强。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下储物柜门：内框采用改性PP材质注塑模一次成型, 外嵌≧4.0mm厚钢化烤漆玻璃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上柜视窗们：内框采用改性PP材质注塑模一次成型, 外嵌≧4.0mm厚钢化烤漆玻璃，中间烤漆镂空制作。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 层板：上部配置阶梯层板，下部配置一块活动层板，层板全部采用改性PP材质注塑模一次成型，表面沙面和光面相结合处理，承重力强。整体设计为活动式，可随意抽取放在合适的隔层，自由组合各层空间。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 门把手：采用经过改性PP材质注塑模一次成型，与柜门平行，开启方便。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 门铰链：采用经过射出成型的PP材料制成，耐腐蚀性好。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 螺丝：PP材质，也可选不锈钢304材质</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9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802"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4857"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根据现场实际情况，墙面顶面找平刷白。</w:t>
            </w:r>
          </w:p>
        </w:tc>
        <w:tc>
          <w:tcPr>
            <w:tcW w:w="4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550"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0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bl>
    <w:p>
      <w:pPr>
        <w:shd w:val="clear"/>
        <w:spacing w:line="360" w:lineRule="auto"/>
        <w:rPr>
          <w:rFonts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七、生物实验室</w:t>
      </w:r>
    </w:p>
    <w:tbl>
      <w:tblPr>
        <w:tblStyle w:val="21"/>
        <w:tblW w:w="9238" w:type="dxa"/>
        <w:tblInd w:w="-3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4"/>
        <w:gridCol w:w="1243"/>
        <w:gridCol w:w="5309"/>
        <w:gridCol w:w="471"/>
        <w:gridCol w:w="471"/>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664"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序号</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名称</w:t>
            </w:r>
          </w:p>
        </w:tc>
        <w:tc>
          <w:tcPr>
            <w:tcW w:w="5309"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技术参数</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单位</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数量</w:t>
            </w:r>
          </w:p>
        </w:tc>
        <w:tc>
          <w:tcPr>
            <w:tcW w:w="1080"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1907" w:type="dxa"/>
            <w:gridSpan w:val="2"/>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一、生物实验室</w:t>
            </w:r>
          </w:p>
        </w:tc>
        <w:tc>
          <w:tcPr>
            <w:tcW w:w="5309"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c>
          <w:tcPr>
            <w:tcW w:w="471"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c>
          <w:tcPr>
            <w:tcW w:w="471"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0"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教师演示讲台</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1.全木结构；规格：3000*700*900mm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2.面板：采用12.7mm厚双面膜耐腐蚀实芯理化板制作，四角倒圆角。耐酸、耐碱、耐高温，坚固耐用，防潮、无细孔、不膨胀、不龟裂、不变形、不导电、便于维护及具有良好的承重性能；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3.柜身：采用E1级三聚氰胺板制作，可见截面均经过PVC封边；整体结构设计合理，预留电脑主机、键盘托、实物展台、教师电源位置。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4.滑轨：采用优质品牌三节静音滑轨；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5.铰链：采用优质铰链，开合十万次以上；</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6.连接件：ABS专用连接组装件；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7.桌脚：采用ABS注塑专用桌垫固定；</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8.防撞胶垫：采用橡胶材质，装于抽屉及门板内侧，减缓碰撞，保护柜体；</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9.其他:台面装置教师电源主控台，预留多媒体设备（电脑；实物展台、DVD）等设备位置。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24820-2009 实验室家具通用技术条件</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教师椅</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弓形网椅</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黑色网布透气性好；海棉采用高密度一次性PU成型发泡海棉，软硬适中不变形。椅板采用1.5mm夹板热压成型；前置式倾仰机构，优质气压棒，经测试升降30万次无损害，黑色尼龙五星脚滑动自如，可承受300KG.</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实验室专用水槽</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规格：550*445*300mm</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采用实验室专用高密度PP一体化成型水槽，易清洁，耐腐蚀，且利于台面残水自然回流，具耐酸碱、耐有机溶剂、耐紫外线等特点。</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产品使用表面应光滑顺畅，不应有划伤、裂纹、气泡、爆边等明显缺陷。</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drawing>
                <wp:anchor distT="0" distB="0" distL="114300" distR="114300" simplePos="0" relativeHeight="251662336" behindDoc="0" locked="0" layoutInCell="1" allowOverlap="1">
                  <wp:simplePos x="0" y="0"/>
                  <wp:positionH relativeFrom="column">
                    <wp:posOffset>-67945</wp:posOffset>
                  </wp:positionH>
                  <wp:positionV relativeFrom="paragraph">
                    <wp:posOffset>368300</wp:posOffset>
                  </wp:positionV>
                  <wp:extent cx="734695" cy="450850"/>
                  <wp:effectExtent l="0" t="0" r="8255" b="6350"/>
                  <wp:wrapNone/>
                  <wp:docPr id="12" name="ID_9C12F0EBD14F4F84B31C94FDB2F236FA"/>
                  <wp:cNvGraphicFramePr/>
                  <a:graphic xmlns:a="http://schemas.openxmlformats.org/drawingml/2006/main">
                    <a:graphicData uri="http://schemas.openxmlformats.org/drawingml/2006/picture">
                      <pic:pic xmlns:pic="http://schemas.openxmlformats.org/drawingml/2006/picture">
                        <pic:nvPicPr>
                          <pic:cNvPr id="12" name="ID_9C12F0EBD14F4F84B31C94FDB2F236FA"/>
                          <pic:cNvPicPr/>
                        </pic:nvPicPr>
                        <pic:blipFill>
                          <a:blip r:embed="rId16"/>
                          <a:stretch>
                            <a:fillRect/>
                          </a:stretch>
                        </pic:blipFill>
                        <pic:spPr>
                          <a:xfrm>
                            <a:off x="0" y="0"/>
                            <a:ext cx="734695" cy="45085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优质化验水嘴：要求防酸碱、防锈、防虹吸、防阻塞，表面环氧树脂喷涂。出水嘴为铜质瓷芯，高头，便于多用途使用，可拆卸清洗阻塞。出水嘴可拆卸，内有成型螺纹，可方便连接循环等特殊用水水管。</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50800</wp:posOffset>
                  </wp:positionV>
                  <wp:extent cx="544195" cy="1344930"/>
                  <wp:effectExtent l="0" t="0" r="8255" b="0"/>
                  <wp:wrapNone/>
                  <wp:docPr id="13" name="ID_F2E1BCE039354324A622ACA085C96C9A"/>
                  <wp:cNvGraphicFramePr/>
                  <a:graphic xmlns:a="http://schemas.openxmlformats.org/drawingml/2006/main">
                    <a:graphicData uri="http://schemas.openxmlformats.org/drawingml/2006/picture">
                      <pic:pic xmlns:pic="http://schemas.openxmlformats.org/drawingml/2006/picture">
                        <pic:nvPicPr>
                          <pic:cNvPr id="13" name="ID_F2E1BCE039354324A622ACA085C96C9A"/>
                          <pic:cNvPicPr/>
                        </pic:nvPicPr>
                        <pic:blipFill>
                          <a:blip r:embed="rId17"/>
                          <a:stretch>
                            <a:fillRect/>
                          </a:stretch>
                        </pic:blipFill>
                        <pic:spPr>
                          <a:xfrm>
                            <a:off x="0" y="0"/>
                            <a:ext cx="544195" cy="134493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2"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生物学生实验桌</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1.新型钢制结构；规格：1200*600*780mm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1.1台面：采用12.7mm厚双面膜耐腐蚀实芯理化板制作，前面后边两角均倒圆角。台面后方卡入学生桌铝型槽内，前方用预埋件与桌体固定，具有良好的承重性能。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1.2新型钢塑结构，学生位镂空式，美观大方。专用书包斗ABS工程塑料一次性注塑成型结合，成型尺寸约410*330*120。镂空设计，底部设有排水孔，便于清理，不屯垃圾，中间设挂凳卡。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1.3脚架：采用多材质组合结构，椭圆管结构，下开口采用磨具成型改性工程塑料材料装饰，上端连接件采用铸铝一体成型，上框采用20*30距形管焊接成型，并用高强度内六角螺丝连接，便于组装及拆卸。</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1.4、后档水板采用105*14*2mm厚一体成型铝合金、左右堵头连接件采用铸铝磨具一体成型，固定台面不易脱落，并用高强度内六角螺丝连接，便于组装及拆卸，外观流线形设计，简洁美观,易碰撞处全部采用倒圆角，产品款式要求整体设计美观、合理、安全、牢固、耐用。金属表面经环氧树脂粉末喷涂高温固化处理。要做到承重性能强和耐酸碱、耐腐蚀。</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1.5、桌脚：采用一体注塑模具成型，结构美观牢固，后脚采用一寸定向轮，方便移动，前脚采用防滑调整脚，同时可以与地面固定，防止桌移动。并用专用注塑模具件装饰。</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全新钢塑水槽柜</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规格：450*600*810mm</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槽柜：整体采用三段式结构，前部凸起，采用实验室专用一次成型的绿色环保材质，背板和侧板采用1.0MM厚镀锌钢板后两侧圆弧角设计，前面门板两侧圆弧形设计，底座为专用一次成型绿色环保材质。内部钢框支撑，要求无毒无味，防水防潮，不生锈，承重力强，可重复拆卸拼装，专用连接件拼装。</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1、外观要求：外表面光洁，色泽清晰，人体触及部位应无毛刺，快口，棱边等缺陷；金属件均应进行电镀，喷涂等防腐处理；金属件成型完整，无裂纹，凹坑、皱折等缺陷；塑料件色泽一致，无缺角、回料斑、缩痕、溢料、变形等缺陷；</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2、焊接要求：焊点美观，焊接可靠，平整，无穿孔等不良现向；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3、平整性，mm：底座与上台面定位应可靠，平整，连接件无松动，歪斜等装配缺陷；底平面和台面的高低差应≦4mm；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4、封闭门盖要求：安装，拆卸便利，各卡口定位有效可靠，安装后应平服，不应有自行脱落和翘曲现向；</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080"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drawing>
                <wp:anchor distT="0" distB="0" distL="114300" distR="114300" simplePos="0" relativeHeight="251663360" behindDoc="0" locked="0" layoutInCell="1" allowOverlap="1">
                  <wp:simplePos x="0" y="0"/>
                  <wp:positionH relativeFrom="column">
                    <wp:posOffset>-41910</wp:posOffset>
                  </wp:positionH>
                  <wp:positionV relativeFrom="paragraph">
                    <wp:posOffset>33655</wp:posOffset>
                  </wp:positionV>
                  <wp:extent cx="775335" cy="1668145"/>
                  <wp:effectExtent l="0" t="0" r="5715" b="8255"/>
                  <wp:wrapNone/>
                  <wp:docPr id="3" name="ID_87B393C5E22349FFB8E8B3FEBBCAD436"/>
                  <wp:cNvGraphicFramePr/>
                  <a:graphic xmlns:a="http://schemas.openxmlformats.org/drawingml/2006/main">
                    <a:graphicData uri="http://schemas.openxmlformats.org/drawingml/2006/picture">
                      <pic:pic xmlns:pic="http://schemas.openxmlformats.org/drawingml/2006/picture">
                        <pic:nvPicPr>
                          <pic:cNvPr id="3" name="ID_87B393C5E22349FFB8E8B3FEBBCAD436"/>
                          <pic:cNvPicPr/>
                        </pic:nvPicPr>
                        <pic:blipFill>
                          <a:blip r:embed="rId18"/>
                          <a:stretch>
                            <a:fillRect/>
                          </a:stretch>
                        </pic:blipFill>
                        <pic:spPr>
                          <a:xfrm>
                            <a:off x="0" y="0"/>
                            <a:ext cx="775335" cy="1668145"/>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2"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鹅颈式实验室专用优质化验水嘴：要求防酸碱、防锈、防虹吸、防阻塞，表面环氧树脂喷涂。出水嘴为铜质瓷芯，高头，便于多用途使用，可拆卸清洗阻塞。出水嘴可拆卸，内有成型螺纹，可方便连接循环等特殊用水水管。</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★技术要求满足：GB 18145-2014 《陶瓷片密封水嘴》标准要求</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PP一体化水槽</w:t>
            </w:r>
          </w:p>
        </w:tc>
        <w:tc>
          <w:tcPr>
            <w:tcW w:w="5309" w:type="dxa"/>
            <w:vMerge w:val="restart"/>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水槽为整体模具一体成型，尺寸450*600*250，并设有溢水口，底部带S弯防臭设计，与地面下水管密封连接；水柜内前方设置检修门，整体可拆卸背板，便于维修。</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多功能实验下水装置</w:t>
            </w:r>
          </w:p>
        </w:tc>
        <w:tc>
          <w:tcPr>
            <w:tcW w:w="5309" w:type="dxa"/>
            <w:vMerge w:val="continue"/>
            <w:tcBorders>
              <w:tl2br w:val="nil"/>
              <w:tr2bl w:val="nil"/>
            </w:tcBorders>
            <w:shd w:val="clear" w:color="auto" w:fill="auto"/>
            <w:vAlign w:val="center"/>
          </w:tcPr>
          <w:p>
            <w:pPr>
              <w:widowControl/>
              <w:shd w:val="clear"/>
              <w:spacing w:line="360" w:lineRule="auto"/>
              <w:jc w:val="left"/>
              <w:rPr>
                <w:rFonts w:ascii="仿宋" w:hAnsi="仿宋" w:eastAsia="仿宋" w:cs="仿宋"/>
                <w:color w:val="auto"/>
                <w:sz w:val="24"/>
                <w:szCs w:val="24"/>
                <w:highlight w:val="none"/>
              </w:rPr>
            </w:pP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多功能柱</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整体采用实验室专用PP材质，四脚圆弧处理，地脚线缩进30mm，前后二块拼接而成，可拆装，内部隐藏实验线管及通风管道，方便检修。</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安全光源</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LED灯，支架采用不锈钢材质，灯管角度可以自由调节，灯管采用LED灯，光照亮度温和（建议3000K），使用寿命长。</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2"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学生安全电源</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1.工作环境：温度-10ºC~+40ºC  相对湿度&lt;85％（25ºC）海拔&lt;4000M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2.市电AC220V/ 3A输出为2个新国标五孔插座。</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3.学生电源采用耐磨、耐腐蚀、耐高温（≦140℃）的PC亮光薄膜面板，学生电源的控制采用“电容式”触摸键盘，贴片元件生产技术，微电脑控制，采用1.54寸液晶显示电源学生交直流电压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4.直流稳压电源：液晶显示，触摸按键调节，1.5-24V/2A，电压调节分辨率为0.1V。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5.交流低压电源：液晶显示，触摸按键调节，1-24V/2A，电压调节分辨率为1V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6.学生低压电源都可接收老师发送的锁定信号，教师主控在锁定指示灯点亮后，学生只能接收老师输送的设定电源电压，学生自己无法操作。</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9"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教师演示电源</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1.教师演示台配备总漏电保护和分组保护，可分组控制学生的高低压电源，确保学生实验安全方便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2.教师电源总控采用≧7寸"电阻式"液晶屏，显示智能控制按键同时显示电源电压；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3.教师交流电源通过智能控制按键直接选取0～24V电压，最小调节单元可达1V,额定电流3A；</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4.教师直流电源也是通过智能控制按键直接选取，调节范围为1.5～24V，分辨率可达0.1V,额定电流3A；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5.低压大电流值为40A，自动关断；</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6.220V交流输出为带安全门的新国标插座，带有电源指示 ，学生低压交流电源可通过智能控制按键直接选取0～24V电压，最小调节单元为1V，组输送至学生桌；低压直流电压教师能准确控制，最小调节单元为0.1V。</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★技术要求满足：</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1、标志：调节装置、输出插孔应有清晰明了，耐用的提示文字和符号；直流电压输出应能显示电压；内部布线接线端子应有文字或符号明示；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2、内部导线连接：连接后应无应力；黄绿双色线必须是接地端子；部件固定牢固，无松动现向；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3、漏电保护：输入端应有漏电保护断路装置；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4、接地措施：接地电阻≦0.1Ω；绝缘电阻≧7MΩ；变压器、插座应可靠接地；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5、发热、K：变压器在1.06倍额定电压（233.2V）工作至温度状态，其绕组温升≦90K；</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6、操作性：各按组插座、开关工作有效，无影响正常工作和安全的异常现向；指示灯正常，无闪烁，损坏现向；漏电开关经试验后电路能正常断开；电压指示正常，无闪烁和损坏现向；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  7、电压设置性能指示性：电压按设定值输入确认后，显示和输出应一致；电压设定值与实际输出值的误差应≦10%；</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3"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实验凳</w:t>
            </w:r>
          </w:p>
        </w:tc>
        <w:tc>
          <w:tcPr>
            <w:tcW w:w="5309" w:type="dxa"/>
            <w:tcBorders>
              <w:tl2br w:val="nil"/>
              <w:tr2bl w:val="nil"/>
            </w:tcBorders>
            <w:shd w:val="clear" w:color="auto" w:fill="auto"/>
            <w:vAlign w:val="center"/>
          </w:tcPr>
          <w:p>
            <w:pPr>
              <w:widowControl/>
              <w:numPr>
                <w:ilvl w:val="0"/>
                <w:numId w:val="1"/>
              </w:numPr>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凳脚材质：4个凳脚采用壁厚≧1.7mm 钢管制作。结构牢固，表面处理为粉末静电喷涂。螺旋升降式，升降距离为50mm，最高离地距离为500mm。凳面直径315mm，高450-500mm</w:t>
            </w:r>
          </w:p>
          <w:p>
            <w:pPr>
              <w:widowControl/>
              <w:numPr>
                <w:ilvl w:val="0"/>
                <w:numId w:val="1"/>
              </w:numPr>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凳面材质：采用聚丙烯共聚级注塑。</w:t>
            </w:r>
          </w:p>
          <w:p>
            <w:pPr>
              <w:widowControl/>
              <w:numPr>
                <w:ilvl w:val="0"/>
                <w:numId w:val="1"/>
              </w:numPr>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脚垫材质：采用PP加耐磨纤维质塑料。</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w:t>
            </w:r>
          </w:p>
        </w:tc>
        <w:tc>
          <w:tcPr>
            <w:tcW w:w="1080"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drawing>
                <wp:anchor distT="0" distB="0" distL="114300" distR="114300" simplePos="0" relativeHeight="251664384" behindDoc="0" locked="0" layoutInCell="1" allowOverlap="1">
                  <wp:simplePos x="0" y="0"/>
                  <wp:positionH relativeFrom="column">
                    <wp:posOffset>-54610</wp:posOffset>
                  </wp:positionH>
                  <wp:positionV relativeFrom="paragraph">
                    <wp:posOffset>167005</wp:posOffset>
                  </wp:positionV>
                  <wp:extent cx="633730" cy="951230"/>
                  <wp:effectExtent l="0" t="0" r="13970" b="1270"/>
                  <wp:wrapNone/>
                  <wp:docPr id="14" name="ID_D70627DC24D848E2A2B57A68520BD07B"/>
                  <wp:cNvGraphicFramePr/>
                  <a:graphic xmlns:a="http://schemas.openxmlformats.org/drawingml/2006/main">
                    <a:graphicData uri="http://schemas.openxmlformats.org/drawingml/2006/picture">
                      <pic:pic xmlns:pic="http://schemas.openxmlformats.org/drawingml/2006/picture">
                        <pic:nvPicPr>
                          <pic:cNvPr id="14" name="ID_D70627DC24D848E2A2B57A68520BD07B"/>
                          <pic:cNvPicPr/>
                        </pic:nvPicPr>
                        <pic:blipFill>
                          <a:blip r:embed="rId19"/>
                          <a:stretch>
                            <a:fillRect/>
                          </a:stretch>
                        </pic:blipFill>
                        <pic:spPr>
                          <a:xfrm>
                            <a:off x="0" y="0"/>
                            <a:ext cx="633730" cy="95123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15</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电气布线（地面以上部分）</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DN25阻燃线管；4、2.5平方国标线材，符合国家标准。</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16</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给、排水系统（地面以上部分）</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给水：采用PPR复合管敷设。排水：使用国标优质UPVC专用排水管。</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17</w:t>
            </w:r>
          </w:p>
        </w:tc>
        <w:tc>
          <w:tcPr>
            <w:tcW w:w="1243"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30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防静电地板规格尺寸600*600600*600mm，整体地面铺设，墙面顶面找平刷白。</w:t>
            </w:r>
          </w:p>
        </w:tc>
        <w:tc>
          <w:tcPr>
            <w:tcW w:w="471"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471"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1907" w:type="dxa"/>
            <w:gridSpan w:val="2"/>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二、生物准备室</w:t>
            </w:r>
          </w:p>
        </w:tc>
        <w:tc>
          <w:tcPr>
            <w:tcW w:w="5309" w:type="dxa"/>
            <w:tcBorders>
              <w:tl2br w:val="nil"/>
              <w:tr2bl w:val="nil"/>
            </w:tcBorders>
            <w:shd w:val="clear" w:color="auto" w:fill="auto"/>
            <w:vAlign w:val="center"/>
          </w:tcPr>
          <w:p>
            <w:pPr>
              <w:widowControl/>
              <w:shd w:val="clear"/>
              <w:spacing w:line="360" w:lineRule="auto"/>
              <w:jc w:val="left"/>
              <w:rPr>
                <w:rFonts w:ascii="仿宋" w:hAnsi="仿宋" w:eastAsia="仿宋" w:cs="仿宋"/>
                <w:color w:val="auto"/>
                <w:sz w:val="24"/>
                <w:szCs w:val="24"/>
                <w:highlight w:val="none"/>
              </w:rPr>
            </w:pPr>
          </w:p>
        </w:tc>
        <w:tc>
          <w:tcPr>
            <w:tcW w:w="471" w:type="dxa"/>
            <w:tcBorders>
              <w:tl2br w:val="nil"/>
              <w:tr2bl w:val="nil"/>
            </w:tcBorders>
            <w:shd w:val="clear" w:color="auto" w:fill="auto"/>
            <w:vAlign w:val="center"/>
          </w:tcPr>
          <w:p>
            <w:pPr>
              <w:widowControl/>
              <w:shd w:val="clear"/>
              <w:spacing w:line="360" w:lineRule="auto"/>
              <w:jc w:val="center"/>
              <w:rPr>
                <w:rFonts w:ascii="仿宋" w:hAnsi="仿宋" w:eastAsia="仿宋" w:cs="仿宋"/>
                <w:color w:val="auto"/>
                <w:sz w:val="24"/>
                <w:szCs w:val="24"/>
                <w:highlight w:val="none"/>
              </w:rPr>
            </w:pPr>
          </w:p>
        </w:tc>
        <w:tc>
          <w:tcPr>
            <w:tcW w:w="471" w:type="dxa"/>
            <w:tcBorders>
              <w:tl2br w:val="nil"/>
              <w:tr2bl w:val="nil"/>
            </w:tcBorders>
            <w:shd w:val="clear" w:color="auto" w:fill="auto"/>
            <w:vAlign w:val="center"/>
          </w:tcPr>
          <w:p>
            <w:pPr>
              <w:widowControl/>
              <w:shd w:val="clear"/>
              <w:spacing w:line="360" w:lineRule="auto"/>
              <w:jc w:val="center"/>
              <w:rPr>
                <w:rFonts w:ascii="仿宋" w:hAnsi="仿宋" w:eastAsia="仿宋" w:cs="仿宋"/>
                <w:color w:val="auto"/>
                <w:sz w:val="24"/>
                <w:szCs w:val="24"/>
                <w:highlight w:val="none"/>
              </w:rPr>
            </w:pP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4"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准备台</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钢木结构；</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台面：采用12.7mm厚实验室专用理化板,周边加厚至25.4mm,倒圆角处理. ,防强酸强碱，耐磨耐高温；不含任何有毒物质，无辐射，受热不产生有毒气体和物质；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柜身：柜身为悬柜，基材为16mm厚E1级三聚氰胺板制作。可见截面均经过PVC封边;贴面和封边部件应严密、平整，不允许脱胶、鼓泡、凹陷、压痕以及表面划伤、麻点、裂痕、崩角和刃口，外表的圆角、倒棱应均匀一致；整体采用组合式柜体，含2个座人空位；</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钢架部分：主框架采用40*60*1.5mm优质方管，焊接成型，表面采用粉末静电喷涂处理，平整光滑，不允许有喷涂层脱落、鼓泡、凹陷、压痕以及表面划伤、麻点、裂痕、崩角和刃口等缺陷；</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5. 导轨及铰链：优质三节静音导轨及优质弯铰链；</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 拉手：铝合金条形暗拉手；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 可调脚：采用ABS专用注塑可调脚，金属螺杆，高度可调节；</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张</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实验室专用水槽</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采用实验室专用高密度PP一体化成型水槽，易清洁，耐腐蚀，且利于台面残水自然回流；具耐酸碱、耐有机溶剂、耐紫外线等特点。</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三联高低位龙头</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2"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实验室专用试剂架</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 铝合金结构，表面喷涂高温固化匀乳白环氧树脂喷涂理处理，具有较强的耐蚀性能，上下带塑胶模具堵头；</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 试剂架立柱截面尺寸：42mm*82mm, 型材壁厚1.2mm；试剂架立柱双面升降槽；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 试剂架托架1.0mm镀锌钢板，一次性冲压成型；试剂架护栏：护栏壁厚1.2mm；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 立杆牢固固定于C型钢架底端，层板采用8mm厚的玻璃，上下可调。</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滴水架</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高密度PP 类型：单面 底部托盘中间设有排水孔 可拆卸式滴水棒，具有锁扣功能，方便使用</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组</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6</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教师椅</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弓形网椅</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黑色网布透气性好；海棉采用高密度一次性PU成型发泡海棉，软硬适中不变形。椅板采用1.5mm夹板热压成型；前置式倾仰机构，优质气压棒，经测试升降30万次无损害，黑色尼龙五星脚滑动自如，可承受300KG.</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把</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电气布线（地面以上部分）</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DN25阻燃线管；4、2.5平方国标线材，符合国家标准。</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给、排水系统（地面以上部分）</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给水：采用PPR复合管敷设。排水：使用国标优质UPVC专用排水管。</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664"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243" w:type="dxa"/>
            <w:tcBorders>
              <w:tl2br w:val="nil"/>
              <w:tr2bl w:val="nil"/>
            </w:tcBorders>
            <w:shd w:val="clear" w:color="auto" w:fill="auto"/>
            <w:noWrap/>
            <w:vAlign w:val="center"/>
          </w:tcPr>
          <w:p>
            <w:pPr>
              <w:widowControl/>
              <w:shd w:val="clear"/>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30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根据现场实际情况，墙面顶面找平刷白。</w:t>
            </w:r>
          </w:p>
        </w:tc>
        <w:tc>
          <w:tcPr>
            <w:tcW w:w="471"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471"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1907" w:type="dxa"/>
            <w:gridSpan w:val="2"/>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三、生物仪器室</w:t>
            </w:r>
          </w:p>
        </w:tc>
        <w:tc>
          <w:tcPr>
            <w:tcW w:w="5309" w:type="dxa"/>
            <w:tcBorders>
              <w:tl2br w:val="nil"/>
              <w:tr2bl w:val="nil"/>
            </w:tcBorders>
            <w:shd w:val="clear" w:color="auto" w:fill="auto"/>
            <w:vAlign w:val="center"/>
          </w:tcPr>
          <w:p>
            <w:pPr>
              <w:widowControl/>
              <w:shd w:val="clear"/>
              <w:spacing w:line="360" w:lineRule="auto"/>
              <w:jc w:val="left"/>
              <w:rPr>
                <w:rFonts w:ascii="仿宋" w:hAnsi="仿宋" w:eastAsia="仿宋" w:cs="仿宋"/>
                <w:color w:val="auto"/>
                <w:sz w:val="24"/>
                <w:szCs w:val="24"/>
                <w:highlight w:val="none"/>
              </w:rPr>
            </w:pPr>
          </w:p>
        </w:tc>
        <w:tc>
          <w:tcPr>
            <w:tcW w:w="471" w:type="dxa"/>
            <w:tcBorders>
              <w:tl2br w:val="nil"/>
              <w:tr2bl w:val="nil"/>
            </w:tcBorders>
            <w:shd w:val="clear" w:color="auto" w:fill="auto"/>
            <w:vAlign w:val="center"/>
          </w:tcPr>
          <w:p>
            <w:pPr>
              <w:widowControl/>
              <w:shd w:val="clear"/>
              <w:spacing w:line="360" w:lineRule="auto"/>
              <w:jc w:val="center"/>
              <w:rPr>
                <w:rFonts w:ascii="仿宋" w:hAnsi="仿宋" w:eastAsia="仿宋" w:cs="仿宋"/>
                <w:color w:val="auto"/>
                <w:sz w:val="24"/>
                <w:szCs w:val="24"/>
                <w:highlight w:val="none"/>
              </w:rPr>
            </w:pPr>
          </w:p>
        </w:tc>
        <w:tc>
          <w:tcPr>
            <w:tcW w:w="471" w:type="dxa"/>
            <w:tcBorders>
              <w:tl2br w:val="nil"/>
              <w:tr2bl w:val="nil"/>
            </w:tcBorders>
            <w:shd w:val="clear" w:color="auto" w:fill="auto"/>
            <w:vAlign w:val="center"/>
          </w:tcPr>
          <w:p>
            <w:pPr>
              <w:widowControl/>
              <w:shd w:val="clear"/>
              <w:spacing w:line="360" w:lineRule="auto"/>
              <w:jc w:val="center"/>
              <w:rPr>
                <w:rFonts w:ascii="仿宋" w:hAnsi="仿宋" w:eastAsia="仿宋" w:cs="仿宋"/>
                <w:color w:val="auto"/>
                <w:sz w:val="24"/>
                <w:szCs w:val="24"/>
                <w:highlight w:val="none"/>
              </w:rPr>
            </w:pP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9" w:hRule="atLeast"/>
        </w:trPr>
        <w:tc>
          <w:tcPr>
            <w:tcW w:w="664"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243"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仪器柜</w:t>
            </w:r>
          </w:p>
        </w:tc>
        <w:tc>
          <w:tcPr>
            <w:tcW w:w="5309" w:type="dxa"/>
            <w:tcBorders>
              <w:tl2br w:val="nil"/>
              <w:tr2bl w:val="nil"/>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1.PP材质；规格1000*500*1970mm</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2.柜体：侧板、顶底板采用改性PP材料增加强度，注塑模一次性成型，表面沙面和光面相结合处理,保证柜体之坚固及密封性，耐腐蚀性强。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3.下储物柜门：内框采用改性PP材质注塑模一次成型, 外嵌≧4mm厚钢化烤漆玻璃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4.上柜视窗们：内框采用改性PP材质注塑模一次成型, 外嵌≧4mm厚钢化烤漆玻璃。</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 xml:space="preserve">5.层板：上部配置阶梯层板，下部配置一块活动层板，层板全部采用改性PP材质注塑模一次成型，表面沙面和光面相结合处理，承重力强。整体设计为活动式，可随意抽取放在合适的隔层，自由组合各层空间。 </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6.门把手：采用经过改性PP材质注塑模一次成型，与柜门平行，开启方便。</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7.门铰链：采用PP材料，耐腐蚀性好。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8.螺丝：PP材质，也可选不锈钢304材质</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个</w:t>
            </w:r>
          </w:p>
        </w:tc>
        <w:tc>
          <w:tcPr>
            <w:tcW w:w="471" w:type="dxa"/>
            <w:tcBorders>
              <w:tl2br w:val="nil"/>
              <w:tr2bl w:val="nil"/>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25</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664"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243"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装修装饰</w:t>
            </w:r>
          </w:p>
        </w:tc>
        <w:tc>
          <w:tcPr>
            <w:tcW w:w="5309" w:type="dxa"/>
            <w:tcBorders>
              <w:tl2br w:val="nil"/>
              <w:tr2bl w:val="nil"/>
            </w:tcBorders>
            <w:shd w:val="clear" w:color="auto" w:fill="auto"/>
            <w:noWrap/>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根据现场实际情况，墙面顶面找平刷白。</w:t>
            </w:r>
          </w:p>
        </w:tc>
        <w:tc>
          <w:tcPr>
            <w:tcW w:w="471"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471" w:type="dxa"/>
            <w:tcBorders>
              <w:tl2br w:val="nil"/>
              <w:tr2bl w:val="nil"/>
            </w:tcBorders>
            <w:shd w:val="clear" w:color="auto" w:fill="auto"/>
            <w:noWrap/>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080" w:type="dxa"/>
            <w:tcBorders>
              <w:tl2br w:val="nil"/>
              <w:tr2bl w:val="nil"/>
            </w:tcBorders>
            <w:shd w:val="clear" w:color="auto" w:fill="auto"/>
            <w:noWrap/>
            <w:vAlign w:val="center"/>
          </w:tcPr>
          <w:p>
            <w:pPr>
              <w:widowControl/>
              <w:shd w:val="clear"/>
              <w:spacing w:line="360" w:lineRule="auto"/>
              <w:rPr>
                <w:rFonts w:ascii="仿宋" w:hAnsi="仿宋" w:eastAsia="仿宋" w:cs="仿宋"/>
                <w:color w:val="auto"/>
                <w:sz w:val="24"/>
                <w:szCs w:val="24"/>
                <w:highlight w:val="none"/>
              </w:rPr>
            </w:pPr>
          </w:p>
        </w:tc>
      </w:tr>
    </w:tbl>
    <w:p>
      <w:pPr>
        <w:pStyle w:val="9"/>
        <w:shd w:val="clear"/>
        <w:spacing w:line="360" w:lineRule="auto"/>
        <w:rPr>
          <w:rFonts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9"/>
        <w:shd w:val="clear"/>
        <w:spacing w:line="360" w:lineRule="auto"/>
        <w:jc w:val="both"/>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八、计算机教室</w:t>
      </w:r>
    </w:p>
    <w:tbl>
      <w:tblPr>
        <w:tblStyle w:val="21"/>
        <w:tblW w:w="8378" w:type="dxa"/>
        <w:jc w:val="center"/>
        <w:tblLayout w:type="autofit"/>
        <w:tblCellMar>
          <w:top w:w="0" w:type="dxa"/>
          <w:left w:w="108" w:type="dxa"/>
          <w:bottom w:w="0" w:type="dxa"/>
          <w:right w:w="108" w:type="dxa"/>
        </w:tblCellMar>
      </w:tblPr>
      <w:tblGrid>
        <w:gridCol w:w="546"/>
        <w:gridCol w:w="1654"/>
        <w:gridCol w:w="4882"/>
        <w:gridCol w:w="607"/>
        <w:gridCol w:w="689"/>
      </w:tblGrid>
      <w:tr>
        <w:tblPrEx>
          <w:tblCellMar>
            <w:top w:w="0" w:type="dxa"/>
            <w:left w:w="108" w:type="dxa"/>
            <w:bottom w:w="0" w:type="dxa"/>
            <w:right w:w="108" w:type="dxa"/>
          </w:tblCellMar>
        </w:tblPrEx>
        <w:trPr>
          <w:trHeight w:val="148" w:hRule="atLeast"/>
          <w:jc w:val="center"/>
        </w:trPr>
        <w:tc>
          <w:tcPr>
            <w:tcW w:w="546" w:type="dxa"/>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654"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设备名称</w:t>
            </w:r>
          </w:p>
        </w:tc>
        <w:tc>
          <w:tcPr>
            <w:tcW w:w="488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技术参数</w:t>
            </w:r>
          </w:p>
        </w:tc>
        <w:tc>
          <w:tcPr>
            <w:tcW w:w="607"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单位</w:t>
            </w:r>
          </w:p>
        </w:tc>
        <w:tc>
          <w:tcPr>
            <w:tcW w:w="689"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r>
      <w:tr>
        <w:tblPrEx>
          <w:tblCellMar>
            <w:top w:w="0" w:type="dxa"/>
            <w:left w:w="108" w:type="dxa"/>
            <w:bottom w:w="0" w:type="dxa"/>
            <w:right w:w="108" w:type="dxa"/>
          </w:tblCellMar>
        </w:tblPrEx>
        <w:trPr>
          <w:trHeight w:val="869"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桌面虚拟化服务器</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CPU配置不低于2颗Intel Xeon Sliver 4110处理器，每颗CPU不低于8核心，主频不低于2.1GHz；内存插槽数≧8个，配置内存≧64GB ECC内存，支持最大内存扩展≧512GB；可插拔硬盘槽位≧8个，同时兼容2.5英寸和3.5英寸尺寸硬盘，本次要求配置SSD容量≧3块480GB，配置机械硬盘≧4块4TB SATA3.0企业级硬盘。配置≧550W服务器电源，标配导轨。支持≧120个终端。</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435"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学生瘦客户端</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X86架构，处理器不得低于四核，处理器主频不得低于2.0GHz，内存容量不低于4GB；硬盘不少于120GSSD的存储空间。提供接口不少于6个USB 2.0接口、1个百兆网口、1对音频输入输出接口</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100</w:t>
            </w:r>
          </w:p>
        </w:tc>
      </w:tr>
      <w:tr>
        <w:tblPrEx>
          <w:tblCellMar>
            <w:top w:w="0" w:type="dxa"/>
            <w:left w:w="108" w:type="dxa"/>
            <w:bottom w:w="0" w:type="dxa"/>
            <w:right w:w="108" w:type="dxa"/>
          </w:tblCellMar>
        </w:tblPrEx>
        <w:trPr>
          <w:trHeight w:val="435"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教室管理端</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配置≧Intel i5-6200U双核四线程处理器或以上；内存≧4GB；本地存储SSD≧256 GB；USB接口≧8个（包含≧2个USB 3.0接口），≧1个千兆网口，≧1个VGA接口，≧1个HDMI接口，≧1对音频输入输出接口</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09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桌面虚拟化软件</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软件无版权纠纷。</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集成管理：管理主界面应具有：镜像管理、桌面漫游、群组管理、客户端管理等功能模块，以便高效能管理。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具有高速缓存、离线模式、精简模式，为小硬盘电脑提供缓存帮助；</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支持离线模式，从网络引导的操作系统能够自动地在客户端电脑上进行完全缓存，从而当网络或服务器故障时，客户端电脑仍然可以离线正常从缓存数据引导启动和工作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客户机可以无条件跨网关、路由、VLAN和VPN连接至服务器</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学生电脑不需要安装操作系统和软件，连上网络就可以启动。支持Windows7、10、LINUX(Ubuntu)等操作系统。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云终端登陆到桌面后，可以在桌面显示该云终端名称，在托盘程序显示其连接的服务器及离线的百分比。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提供完善的方案排程功能，可以根据工作要求将设置的技术参数和需要推送的软件应用环境设置成应用方案，并设置时间排程，系统将根据排程设定的时间自动切换应用方案，这样可以灵活自动化地满足多种教学应用需求。</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云终端开机后可以提供多种桌面应用环境给用户选择，也可以由管理员在服务器端指定教学桌面环境给特定的云终端；云终端内置与服务端管理平台配套的受控组件，管理平台可向任意云终端发送远程命令，包括远程格式化硬盘、自动时间校对、文件分发、远程开关机等，并能自定义远程控制命令；云终端支持网络唤醒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当主控机宕机或网络中断时，支持云终端关机重启并继续使用，离线使用的次数可设定，当每次离线启动时，云终端开机画面提示用户剩余启动次数。</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系统部署完毕后，可以设定云终端锁定，禁止非管控的云终端加入系统。</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具有用户漫游功能，可以为用户分配用户名和密码，用户和镜像绑定。认证方式和非认证方式切换，无需管理员设定。用户开机后可以在电脑中随意选择登陆方式。采用用户名认证模式登陆后，系统交付具有其个人应用软件、桌面私有文档的个性化私人桌面，对于用户临时创建的文档，当用户在其他电脑登陆时不被还原，具有桌面漂移的特点；用户若不以用户名密码登录，则交付标准公共桌面。</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客户机系统启动后，不占用服务器资源，运行各类软件全部使用客户机本地CPU、内存、显卡资源。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100</w:t>
            </w:r>
          </w:p>
        </w:tc>
      </w:tr>
      <w:tr>
        <w:tblPrEx>
          <w:tblCellMar>
            <w:top w:w="0" w:type="dxa"/>
            <w:left w:w="108" w:type="dxa"/>
            <w:bottom w:w="0" w:type="dxa"/>
            <w:right w:w="108" w:type="dxa"/>
          </w:tblCellMar>
        </w:tblPrEx>
        <w:trPr>
          <w:trHeight w:val="209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云计算虚拟化平台</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软件无版权纠纷。</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为保证系统的安全，防止系统镜像感染病毒，镜像格式采用加密的文件格式，而非是通用的VHD和IMG格式。学生机电脑支持传统BIOS及UEFI固件，硬盘支持MBR和GPT分区格式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云服务器要求支持设置定时任务，可按照每天或者每周设置周期性任务，具体时间点能够设置到时分秒，定时任务包括开启云终端、关闭云终端、定时执行应用程序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需提供原厂自研配套的部署实施与运维工具，该工具需要能够自动识别安装部署与日常运行中的常见问题，检测包括但不限于云软件适用端口是否被关闭、占用；客户机与服务器之间通信带宽检测（非第三方工具）（提供证明材料。包括但不限于国家认可的第三方检测机构出具的检测报告、官网截图、产品彩页等）</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提供同步注册表、同步文件的功能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可在服务器端设置每台客户机的显示分辨率和色彩。</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为保障电子考试，在云服务器端可以设置客户机禁止共享，U盘可以设置禁用和只读两种模式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授权码管理：可批量设置Windows授权码，使得每台客户机启动后都具有操作系统唯一正版授权码，可以批量激活应用软件系统，从而简化管理和配置工作。</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在服务器端能够自动修改客户机操作系统登录用户名，使得每台客户机不是统一的登录名，登录名为每台客户机的机器名，以满足各类考试需要</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为保证网络带宽可以设定每台云终端上传、下载所使用的网络带宽。</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系统可以指定客户端电脑按还原或不还原的模式工作。可以设定开关机次数还原，也可以设定还原排程，按不同的镜像设定不同的还原排程。</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服务器端镜像提供映射模式，可以把镜像在服务器端直接映射成系统盘符操作。为方便教师操作，对于镜像快照的操作，提供快照向导的功能，可一步步提示用户操作。镜像限制功能，针对镜像节点可设置客户端数量登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为管理方便起见，系统管理员可以在软件中远程监看客户端电脑的屏幕并进行远程控制；系统管理员远程控制客户端电脑时，必须具备直接控制和授权控制两种方式。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客户机使用本地系统，管理端具有批量给终端分发系统功能，同网段和跨网段情况系统需提供组播协议和单播协议两种传输方式。用组播协议方式分发OS时，分发界面上能显示分发时间、发包数、丢包率等信息并能剔出接收数据不正常的客户端电脑，便于故障的排查。当客户端通过连接服务进行操作系统网络启动时，客户端电脑本地操作系统自动被隐藏</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09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7</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教学管理软件</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功能要求如下：</w:t>
            </w:r>
          </w:p>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全面支持Windows系列操作系统，包括Windows 10（32位、64位）操作系统、支持MAC系统及众多Linux发行版本，兼容虚拟机。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软件的加密方式支持包括但不限于：加密狗加密、服务器端授权、在线序列号加密、离线文件加密、自定义短码激活、mac地址预置激活等多种方式的激活方式。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屏幕广播：将教师机屏幕和教师讲话实时广播给单一、部分或全体学生，可选择全屏或窗口方式。支持教师根据需要选择屏幕的某个部分广播给学生，给教师留有一定的私人空间；屏幕广播的同时，支持教师指定学生演示教师机屏幕；广播多媒体课件，可使用屏幕笔添加批注，广播同时可进行屏幕录制。</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网络影院：实现教师机播放的视频同步广播到学生机，支持几乎所有常见的媒体音视频格式， Windows Media文件，VCD文件，DVD文件，Real文件，AVI文件，MP3等主流文件格式，支持720p、1080p的高清视频。</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视频直播：通过USB摄像头将教师的画面实时广播到学生机，达到更形象的教学效果，具有引导客户选择视频设备的提示画面，以便客户快速完成摄像头设备的设置。</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学生演示：教师选定一台学生机作为示范，由此学生代替教师进行示范教学。</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分组教学：通过分组教学，将学生分成几个组进行合作学习。小组长可使用多种功能来辅导同伴，例如：广播教学、监视、文件分发和网络影院。</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文件管理：有文件分发、收集、提交功能，可拖拽添加文件，可限制学生提交文件的数目和大小。</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屏幕监视：教师机可以监视单一、部分、全体学生机的屏幕，教师机每屏可监视多个学生屏幕（≧36个）。可以控制教师机监控的同屏幕各窗口间、屏幕与屏幕间的切换速度。可手动或自动循环监视。</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抢答和竞赛：教师可以出任意题目请学生作答，学生抢答时只需按下按钮即可，即可作答，作答正确给予奖励，并可升级，吸引学生注意力，主动参与活动。答题方式有：口头回答、文字输入作答、学生桌面演示作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班级模型：有单独的管理界面，实现对班级模型的统一管理，并能够导入、导出，调用不同网络教室中的班级模型，班级模型视图中可实时显示学生机电脑桌面。</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签到：提供学生名单管理工具，为软件和考试模块提供实名验证。提供点名功能，支持保留学生多次登录记录、考勤统计、签到信息的导出与对比。</w:t>
            </w:r>
            <w:r>
              <w:rPr>
                <w:rFonts w:hint="eastAsia" w:ascii="仿宋" w:hAnsi="仿宋" w:eastAsia="仿宋" w:cs="仿宋"/>
                <w:color w:val="auto"/>
                <w:kern w:val="0"/>
                <w:sz w:val="24"/>
                <w:szCs w:val="24"/>
                <w:highlight w:val="none"/>
                <w:lang w:bidi="ar"/>
              </w:rPr>
              <w:br w:type="textWrapping"/>
            </w:r>
            <w:r>
              <w:rPr>
                <w:rFonts w:hint="eastAsia" w:ascii="仿宋" w:hAnsi="仿宋" w:eastAsia="仿宋" w:cs="仿宋"/>
                <w:color w:val="auto"/>
                <w:kern w:val="0"/>
                <w:sz w:val="24"/>
                <w:szCs w:val="24"/>
                <w:highlight w:val="none"/>
                <w:lang w:bidi="ar"/>
              </w:rPr>
              <w:t>具备语音广播、语音对讲、电子点名、远程开关机、远程命令、远程设置、远程登录、支持远程为学生端安装/卸载应用程序、登录windows前接受广播、请求帮助、举手、发言、自动锁屏、防杀进程、黑屏肃静等功能。</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14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8</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液晶显示器</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≧21.5寸液晶显示器，分辨率≧1920*10180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102</w:t>
            </w:r>
          </w:p>
        </w:tc>
      </w:tr>
      <w:tr>
        <w:tblPrEx>
          <w:tblCellMar>
            <w:top w:w="0" w:type="dxa"/>
            <w:left w:w="108" w:type="dxa"/>
            <w:bottom w:w="0" w:type="dxa"/>
            <w:right w:w="108" w:type="dxa"/>
          </w:tblCellMar>
        </w:tblPrEx>
        <w:trPr>
          <w:trHeight w:val="9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9</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鼠标键盘</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有线鼠标、键盘</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102</w:t>
            </w:r>
          </w:p>
        </w:tc>
      </w:tr>
      <w:tr>
        <w:tblPrEx>
          <w:tblCellMar>
            <w:top w:w="0" w:type="dxa"/>
            <w:left w:w="108" w:type="dxa"/>
            <w:bottom w:w="0" w:type="dxa"/>
            <w:right w:w="108" w:type="dxa"/>
          </w:tblCellMar>
        </w:tblPrEx>
        <w:trPr>
          <w:trHeight w:val="14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接入交换机</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≧48个10/100/1000M自适应端口，≧4个SFP光口。</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台</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r>
      <w:tr>
        <w:tblPrEx>
          <w:tblCellMar>
            <w:top w:w="0" w:type="dxa"/>
            <w:left w:w="108" w:type="dxa"/>
            <w:bottom w:w="0" w:type="dxa"/>
            <w:right w:w="108" w:type="dxa"/>
          </w:tblCellMar>
        </w:tblPrEx>
        <w:trPr>
          <w:trHeight w:val="90"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11</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综合布线</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机房综合布线含6类非屏蔽网线</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点</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102</w:t>
            </w:r>
          </w:p>
        </w:tc>
      </w:tr>
      <w:tr>
        <w:tblPrEx>
          <w:tblCellMar>
            <w:top w:w="0" w:type="dxa"/>
            <w:left w:w="108" w:type="dxa"/>
            <w:bottom w:w="0" w:type="dxa"/>
            <w:right w:w="108" w:type="dxa"/>
          </w:tblCellMar>
        </w:tblPrEx>
        <w:trPr>
          <w:trHeight w:val="146"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13</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服务器机柜</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≧24U服务器机柜，含PDU电源</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套</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r>
        <w:tblPrEx>
          <w:tblCellMar>
            <w:top w:w="0" w:type="dxa"/>
            <w:left w:w="108" w:type="dxa"/>
            <w:bottom w:w="0" w:type="dxa"/>
            <w:right w:w="108" w:type="dxa"/>
          </w:tblCellMar>
        </w:tblPrEx>
        <w:trPr>
          <w:trHeight w:val="219" w:hRule="atLeast"/>
          <w:jc w:val="center"/>
        </w:trPr>
        <w:tc>
          <w:tcPr>
            <w:tcW w:w="54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14</w:t>
            </w:r>
          </w:p>
        </w:tc>
        <w:tc>
          <w:tcPr>
            <w:tcW w:w="16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装修装饰</w:t>
            </w:r>
          </w:p>
        </w:tc>
        <w:tc>
          <w:tcPr>
            <w:tcW w:w="48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防静电地板规格尺寸600*600mm，厚度国标，吊顶（包含灯光），墙面刷白，地面处理（防尘处理、地线处理等）</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689"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r>
      <w:tr>
        <w:tblPrEx>
          <w:tblCellMar>
            <w:top w:w="0" w:type="dxa"/>
            <w:left w:w="108" w:type="dxa"/>
            <w:bottom w:w="0" w:type="dxa"/>
            <w:right w:w="108" w:type="dxa"/>
          </w:tblCellMar>
        </w:tblPrEx>
        <w:trPr>
          <w:trHeight w:val="150" w:hRule="atLeast"/>
          <w:jc w:val="center"/>
        </w:trPr>
        <w:tc>
          <w:tcPr>
            <w:tcW w:w="546" w:type="dxa"/>
            <w:tcBorders>
              <w:top w:val="single" w:color="000000" w:sz="4" w:space="0"/>
              <w:left w:val="single" w:color="000000" w:sz="8"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12</w:t>
            </w:r>
          </w:p>
        </w:tc>
        <w:tc>
          <w:tcPr>
            <w:tcW w:w="1654"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辅材</w:t>
            </w:r>
          </w:p>
        </w:tc>
        <w:tc>
          <w:tcPr>
            <w:tcW w:w="488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left"/>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电源线、插线板、水晶头、PVC线槽等。</w:t>
            </w:r>
          </w:p>
        </w:tc>
        <w:tc>
          <w:tcPr>
            <w:tcW w:w="607"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批</w:t>
            </w:r>
          </w:p>
        </w:tc>
        <w:tc>
          <w:tcPr>
            <w:tcW w:w="689" w:type="dxa"/>
            <w:tcBorders>
              <w:top w:val="single" w:color="000000" w:sz="4" w:space="0"/>
              <w:left w:val="single" w:color="000000" w:sz="4" w:space="0"/>
              <w:bottom w:val="single" w:color="000000" w:sz="8" w:space="0"/>
              <w:right w:val="single" w:color="000000" w:sz="8" w:space="0"/>
            </w:tcBorders>
            <w:shd w:val="clear" w:color="auto" w:fill="auto"/>
            <w:vAlign w:val="center"/>
          </w:tcPr>
          <w:p>
            <w:pPr>
              <w:widowControl/>
              <w:shd w:val="clear"/>
              <w:spacing w:line="360" w:lineRule="auto"/>
              <w:jc w:val="center"/>
              <w:textAlignment w:val="cente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r>
    </w:tbl>
    <w:p>
      <w:pPr>
        <w:pStyle w:val="6"/>
        <w:shd w:val="clear"/>
        <w:rPr>
          <w:color w:val="auto"/>
          <w:highlight w:val="none"/>
          <w:lang w:val="zh-CN"/>
        </w:rPr>
      </w:pPr>
    </w:p>
    <w:p>
      <w:pPr>
        <w:pageBreakBefore/>
        <w:shd w:val="clear"/>
        <w:adjustRightInd w:val="0"/>
        <w:snapToGrid w:val="0"/>
        <w:spacing w:line="360" w:lineRule="auto"/>
        <w:jc w:val="center"/>
        <w:outlineLvl w:val="0"/>
        <w:rPr>
          <w:rFonts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rPr>
        <w:t xml:space="preserve">第四部分  </w:t>
      </w:r>
      <w:r>
        <w:rPr>
          <w:rFonts w:hint="eastAsia" w:ascii="仿宋" w:hAnsi="仿宋" w:eastAsia="仿宋" w:cs="仿宋"/>
          <w:b/>
          <w:color w:val="auto"/>
          <w:sz w:val="32"/>
          <w:szCs w:val="32"/>
          <w:highlight w:val="none"/>
          <w:lang w:val="zh-CN"/>
        </w:rPr>
        <w:t>合同条款及格式</w:t>
      </w:r>
      <w:bookmarkEnd w:id="314"/>
      <w:bookmarkEnd w:id="315"/>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乙方（中标供应商）：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灞桥区2021年新增教育建设奖补资金--五星中学设备采购项目</w:t>
      </w:r>
      <w:r>
        <w:rPr>
          <w:rFonts w:hint="eastAsia" w:ascii="仿宋" w:hAnsi="仿宋" w:eastAsia="仿宋" w:cs="仿宋"/>
          <w:bCs/>
          <w:color w:val="auto"/>
          <w:sz w:val="24"/>
          <w:szCs w:val="24"/>
          <w:highlight w:val="none"/>
        </w:rPr>
        <w:t>(项目编号：DX2022-164)由陕西笃信招标有限公司组织公开招标，</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（以下简称“乙方”）为本项目第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包的中标供应商。</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依据《中华人民共和国民法典》和《中华人民共和国政府采购法》，经双方协商按下述条款和条件签署本合同。</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一、合同价款</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元 </w:t>
      </w:r>
      <w:r>
        <w:rPr>
          <w:rFonts w:hint="eastAsia" w:ascii="仿宋" w:hAnsi="仿宋" w:eastAsia="仿宋" w:cs="仿宋"/>
          <w:bCs/>
          <w:color w:val="auto"/>
          <w:sz w:val="24"/>
          <w:szCs w:val="24"/>
          <w:highlight w:val="none"/>
        </w:rPr>
        <w:t>）。</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（二）合同总价包括：货物费、运输费（含保险费）、安装调试费、检测验收费及其它费用。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（三）合同总价一次性包死，不受市场价格变化因素的影响。</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二、产品清单（附后）</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rPr>
        <w:t>100%</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（二）支付方式：银行转帐。</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（三）结算方式：由乙方与采购人结算，发票开采购单位，到采购单位办理付款手续。</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四、交货地点及工期</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（一）交货地点：甲方指定地点。</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（二）交货期：30天</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五、运输</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（一）运输由乙方负责，运杂费已包含在合同总价内，包括从货物供应地点所含的运输费、装卸费、仓储费、保险费，安装调试费等。</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（二）运输方式由乙方自行选择，但必须保证按期交货。</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六、质量保证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1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七、售后服务</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 xml:space="preserve">八、技术与服务 </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九、验收</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十、违约责任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十一、合同争议解决的方式</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shd w:val="clear"/>
        <w:autoSpaceDE w:val="0"/>
        <w:autoSpaceDN w:val="0"/>
        <w:adjustRightInd w:val="0"/>
        <w:spacing w:line="360" w:lineRule="auto"/>
        <w:ind w:firstLine="482" w:firstLineChars="200"/>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十二、合同生效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rPr>
        <w:t>民法典</w:t>
      </w:r>
      <w:r>
        <w:rPr>
          <w:rFonts w:hint="eastAsia" w:ascii="仿宋" w:hAnsi="仿宋" w:eastAsia="仿宋" w:cs="仿宋"/>
          <w:bCs/>
          <w:color w:val="auto"/>
          <w:sz w:val="24"/>
          <w:szCs w:val="24"/>
          <w:highlight w:val="none"/>
          <w:lang w:val="zh-CN"/>
        </w:rPr>
        <w:t>》的有关规定承担相应责任。</w:t>
      </w:r>
    </w:p>
    <w:p>
      <w:pPr>
        <w:shd w:val="clear"/>
        <w:autoSpaceDE w:val="0"/>
        <w:autoSpaceDN w:val="0"/>
        <w:adjustRightInd w:val="0"/>
        <w:spacing w:line="360" w:lineRule="auto"/>
        <w:ind w:firstLine="480" w:firstLineChars="200"/>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vAlign w:val="center"/>
          </w:tcPr>
          <w:p>
            <w:pPr>
              <w:shd w:val="clear"/>
              <w:spacing w:line="360" w:lineRule="auto"/>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vAlign w:val="center"/>
          </w:tcPr>
          <w:p>
            <w:pPr>
              <w:shd w:val="clear"/>
              <w:spacing w:line="360" w:lineRule="auto"/>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vAlign w:val="center"/>
          </w:tcPr>
          <w:p>
            <w:pPr>
              <w:shd w:val="clea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shd w:val="clear"/>
        <w:autoSpaceDE w:val="0"/>
        <w:autoSpaceDN w:val="0"/>
        <w:adjustRightInd w:val="0"/>
        <w:spacing w:line="360" w:lineRule="auto"/>
        <w:jc w:val="center"/>
        <w:rPr>
          <w:rFonts w:ascii="仿宋_GB2312" w:hAnsi="仿宋_GB2312" w:eastAsia="仿宋_GB2312" w:cs="仿宋_GB2312"/>
          <w:b/>
          <w:bCs/>
          <w:color w:val="auto"/>
          <w:sz w:val="44"/>
          <w:szCs w:val="44"/>
          <w:highlight w:val="none"/>
          <w:lang w:val="zh-CN"/>
        </w:rPr>
      </w:pPr>
    </w:p>
    <w:p>
      <w:pPr>
        <w:shd w:val="clear"/>
        <w:autoSpaceDE w:val="0"/>
        <w:autoSpaceDN w:val="0"/>
        <w:adjustRightInd w:val="0"/>
        <w:spacing w:line="360" w:lineRule="auto"/>
        <w:jc w:val="center"/>
        <w:rPr>
          <w:rFonts w:ascii="仿宋_GB2312" w:hAnsi="仿宋_GB2312" w:eastAsia="仿宋_GB2312" w:cs="仿宋_GB2312"/>
          <w:b/>
          <w:bCs/>
          <w:color w:val="auto"/>
          <w:sz w:val="44"/>
          <w:szCs w:val="44"/>
          <w:highlight w:val="none"/>
          <w:lang w:val="zh-CN"/>
        </w:rPr>
        <w:sectPr>
          <w:headerReference r:id="rId6" w:type="default"/>
          <w:footerReference r:id="rId7" w:type="default"/>
          <w:pgSz w:w="11906" w:h="16838"/>
          <w:pgMar w:top="1417" w:right="1701" w:bottom="1417" w:left="1701" w:header="851" w:footer="992" w:gutter="0"/>
          <w:cols w:space="720" w:num="1"/>
          <w:docGrid w:linePitch="312" w:charSpace="0"/>
        </w:sectPr>
      </w:pPr>
    </w:p>
    <w:p>
      <w:pPr>
        <w:pageBreakBefore/>
        <w:shd w:val="clear"/>
        <w:autoSpaceDE w:val="0"/>
        <w:autoSpaceDN w:val="0"/>
        <w:adjustRightInd w:val="0"/>
        <w:snapToGrid w:val="0"/>
        <w:spacing w:line="360" w:lineRule="auto"/>
        <w:jc w:val="center"/>
        <w:outlineLvl w:val="0"/>
        <w:rPr>
          <w:rFonts w:ascii="仿宋" w:hAnsi="仿宋" w:eastAsia="仿宋" w:cs="仿宋"/>
          <w:b/>
          <w:bCs/>
          <w:color w:val="auto"/>
          <w:sz w:val="32"/>
          <w:szCs w:val="32"/>
          <w:highlight w:val="none"/>
        </w:rPr>
      </w:pPr>
      <w:bookmarkStart w:id="325" w:name="_Toc3105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投标文件格式</w:t>
      </w:r>
      <w:bookmarkEnd w:id="325"/>
    </w:p>
    <w:p>
      <w:pPr>
        <w:shd w:val="clear"/>
        <w:autoSpaceDE w:val="0"/>
        <w:autoSpaceDN w:val="0"/>
        <w:adjustRightInd w:val="0"/>
        <w:snapToGrid w:val="0"/>
        <w:spacing w:line="360" w:lineRule="auto"/>
        <w:jc w:val="right"/>
        <w:rPr>
          <w:rFonts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rPr>
      </w:pPr>
      <w:r>
        <w:rPr>
          <w:rFonts w:ascii="仿宋" w:hAnsi="仿宋" w:eastAsia="仿宋" w:cs="仿宋"/>
          <w:b/>
          <w:bCs/>
          <w:color w:val="auto"/>
          <w:sz w:val="32"/>
          <w:szCs w:val="32"/>
          <w:highlight w:val="none"/>
        </w:rPr>
        <w:t>政府采购项目</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计划编号：ZCBN-灞桥区-2022-00468</w:t>
      </w:r>
    </w:p>
    <w:p>
      <w:pPr>
        <w:shd w:val="clear"/>
        <w:tabs>
          <w:tab w:val="left" w:pos="5670"/>
        </w:tabs>
        <w:autoSpaceDE w:val="0"/>
        <w:autoSpaceDN w:val="0"/>
        <w:adjustRightInd w:val="0"/>
        <w:spacing w:line="360" w:lineRule="auto"/>
        <w:rPr>
          <w:rFonts w:ascii="仿宋" w:hAnsi="仿宋" w:eastAsia="仿宋" w:cs="仿宋"/>
          <w:b/>
          <w:bCs/>
          <w:color w:val="auto"/>
          <w:sz w:val="32"/>
          <w:szCs w:val="32"/>
          <w:highlight w:val="none"/>
          <w:lang w:val="zh-CN"/>
        </w:rPr>
      </w:pPr>
      <w:r>
        <w:rPr>
          <w:rFonts w:ascii="仿宋" w:hAnsi="仿宋" w:eastAsia="仿宋" w:cs="仿宋"/>
          <w:b/>
          <w:bCs/>
          <w:color w:val="auto"/>
          <w:sz w:val="32"/>
          <w:szCs w:val="32"/>
          <w:highlight w:val="none"/>
        </w:rPr>
        <w:t>项目编号：</w:t>
      </w:r>
      <w:r>
        <w:rPr>
          <w:rFonts w:hint="eastAsia" w:ascii="仿宋" w:hAnsi="仿宋" w:eastAsia="仿宋" w:cs="仿宋"/>
          <w:b/>
          <w:bCs/>
          <w:color w:val="auto"/>
          <w:sz w:val="32"/>
          <w:szCs w:val="32"/>
          <w:highlight w:val="none"/>
        </w:rPr>
        <w:t>DX2022-164</w:t>
      </w:r>
    </w:p>
    <w:p>
      <w:pPr>
        <w:shd w:val="clear"/>
        <w:tabs>
          <w:tab w:val="left" w:pos="5670"/>
        </w:tabs>
        <w:autoSpaceDE w:val="0"/>
        <w:autoSpaceDN w:val="0"/>
        <w:adjustRightInd w:val="0"/>
        <w:spacing w:line="360" w:lineRule="auto"/>
        <w:rPr>
          <w:rFonts w:ascii="宋体" w:hAnsi="宋体" w:cs="宋体"/>
          <w:b/>
          <w:bCs/>
          <w:color w:val="auto"/>
          <w:sz w:val="44"/>
          <w:szCs w:val="44"/>
          <w:highlight w:val="none"/>
        </w:rPr>
      </w:pPr>
    </w:p>
    <w:p>
      <w:pPr>
        <w:pStyle w:val="16"/>
        <w:shd w:val="clear"/>
        <w:rPr>
          <w:color w:val="auto"/>
          <w:highlight w:val="none"/>
        </w:rPr>
      </w:pPr>
    </w:p>
    <w:p>
      <w:pPr>
        <w:pStyle w:val="5"/>
        <w:shd w:val="clear"/>
        <w:spacing w:line="360" w:lineRule="auto"/>
        <w:ind w:firstLine="442"/>
        <w:jc w:val="center"/>
        <w:rPr>
          <w:rFonts w:ascii="宋体" w:hAnsi="宋体" w:cs="宋体"/>
          <w:b/>
          <w:bCs/>
          <w:color w:val="auto"/>
          <w:sz w:val="44"/>
          <w:szCs w:val="44"/>
          <w:highlight w:val="none"/>
        </w:rPr>
      </w:pPr>
      <w:r>
        <w:rPr>
          <w:rFonts w:hint="eastAsia" w:ascii="宋体" w:hAnsi="宋体" w:cs="宋体"/>
          <w:b/>
          <w:bCs/>
          <w:color w:val="auto"/>
          <w:sz w:val="44"/>
          <w:szCs w:val="44"/>
          <w:highlight w:val="none"/>
        </w:rPr>
        <w:t>灞桥区2021年新增教育建设奖补资金</w:t>
      </w:r>
    </w:p>
    <w:p>
      <w:pPr>
        <w:pStyle w:val="5"/>
        <w:shd w:val="clear"/>
        <w:spacing w:line="360" w:lineRule="auto"/>
        <w:ind w:firstLine="442"/>
        <w:jc w:val="center"/>
        <w:rPr>
          <w:rFonts w:ascii="仿宋" w:hAnsi="仿宋" w:eastAsia="仿宋" w:cs="仿宋"/>
          <w:color w:val="auto"/>
          <w:highlight w:val="none"/>
        </w:rPr>
      </w:pPr>
      <w:r>
        <w:rPr>
          <w:rFonts w:hint="eastAsia" w:ascii="宋体" w:hAnsi="宋体" w:cs="宋体"/>
          <w:b/>
          <w:bCs/>
          <w:color w:val="auto"/>
          <w:sz w:val="44"/>
          <w:szCs w:val="44"/>
          <w:highlight w:val="none"/>
        </w:rPr>
        <w:t>--五星中学设备采购项目</w:t>
      </w:r>
    </w:p>
    <w:p>
      <w:pPr>
        <w:shd w:val="clear"/>
        <w:tabs>
          <w:tab w:val="left" w:pos="5670"/>
        </w:tabs>
        <w:autoSpaceDE w:val="0"/>
        <w:autoSpaceDN w:val="0"/>
        <w:adjustRightInd w:val="0"/>
        <w:spacing w:line="360" w:lineRule="auto"/>
        <w:jc w:val="center"/>
        <w:rPr>
          <w:rFonts w:ascii="仿宋" w:hAnsi="仿宋" w:eastAsia="仿宋" w:cs="仿宋"/>
          <w:b/>
          <w:color w:val="auto"/>
          <w:sz w:val="44"/>
          <w:szCs w:val="44"/>
          <w:highlight w:val="none"/>
          <w:u w:val="single"/>
        </w:rPr>
      </w:pPr>
      <w:r>
        <w:rPr>
          <w:rFonts w:hint="eastAsia" w:ascii="仿宋" w:hAnsi="仿宋" w:eastAsia="仿宋" w:cs="仿宋"/>
          <w:b/>
          <w:color w:val="auto"/>
          <w:sz w:val="44"/>
          <w:szCs w:val="44"/>
          <w:highlight w:val="none"/>
        </w:rPr>
        <w:t>（第</w:t>
      </w:r>
      <w:r>
        <w:rPr>
          <w:rFonts w:hint="eastAsia" w:ascii="仿宋" w:hAnsi="仿宋" w:eastAsia="仿宋" w:cs="仿宋"/>
          <w:b/>
          <w:color w:val="auto"/>
          <w:sz w:val="44"/>
          <w:szCs w:val="44"/>
          <w:highlight w:val="none"/>
          <w:u w:val="single"/>
        </w:rPr>
        <w:t xml:space="preserve">   </w:t>
      </w:r>
      <w:r>
        <w:rPr>
          <w:rFonts w:hint="eastAsia" w:ascii="仿宋" w:hAnsi="仿宋" w:eastAsia="仿宋" w:cs="仿宋"/>
          <w:b/>
          <w:color w:val="auto"/>
          <w:sz w:val="44"/>
          <w:szCs w:val="44"/>
          <w:highlight w:val="none"/>
        </w:rPr>
        <w:t>标段）</w:t>
      </w:r>
    </w:p>
    <w:p>
      <w:pPr>
        <w:shd w:val="clear"/>
        <w:tabs>
          <w:tab w:val="left" w:pos="5670"/>
        </w:tabs>
        <w:autoSpaceDE w:val="0"/>
        <w:autoSpaceDN w:val="0"/>
        <w:adjustRightInd w:val="0"/>
        <w:spacing w:line="360" w:lineRule="auto"/>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rPr>
          <w:rFonts w:ascii="仿宋" w:hAnsi="仿宋" w:eastAsia="仿宋" w:cs="仿宋"/>
          <w:color w:val="auto"/>
          <w:sz w:val="32"/>
          <w:szCs w:val="32"/>
          <w:highlight w:val="none"/>
        </w:rPr>
      </w:pPr>
    </w:p>
    <w:p>
      <w:pPr>
        <w:pStyle w:val="36"/>
        <w:shd w:val="clear"/>
        <w:rPr>
          <w:rFonts w:ascii="仿宋" w:hAnsi="仿宋" w:eastAsia="仿宋" w:cs="仿宋"/>
          <w:color w:val="auto"/>
          <w:highlight w:val="none"/>
        </w:rPr>
      </w:pPr>
    </w:p>
    <w:p>
      <w:pPr>
        <w:pStyle w:val="36"/>
        <w:shd w:val="clear"/>
        <w:rPr>
          <w:rFonts w:ascii="仿宋" w:hAnsi="仿宋" w:eastAsia="仿宋" w:cs="仿宋"/>
          <w:color w:val="auto"/>
          <w:highlight w:val="none"/>
        </w:rPr>
      </w:pPr>
    </w:p>
    <w:p>
      <w:pPr>
        <w:pStyle w:val="36"/>
        <w:shd w:val="clear"/>
        <w:ind w:firstLine="0" w:firstLineChars="0"/>
        <w:rPr>
          <w:rFonts w:ascii="仿宋" w:hAnsi="仿宋" w:eastAsia="仿宋" w:cs="仿宋"/>
          <w:color w:val="auto"/>
          <w:highlight w:val="none"/>
        </w:rPr>
      </w:pPr>
    </w:p>
    <w:p>
      <w:pPr>
        <w:pStyle w:val="36"/>
        <w:shd w:val="clear"/>
        <w:ind w:firstLine="0" w:firstLineChars="0"/>
        <w:rPr>
          <w:rFonts w:ascii="仿宋" w:hAnsi="仿宋" w:eastAsia="仿宋" w:cs="仿宋"/>
          <w:color w:val="auto"/>
          <w:highlight w:val="none"/>
        </w:rPr>
      </w:pPr>
    </w:p>
    <w:p>
      <w:pPr>
        <w:pStyle w:val="16"/>
        <w:shd w:val="clear"/>
        <w:rPr>
          <w:rFonts w:ascii="仿宋" w:hAnsi="仿宋" w:eastAsia="仿宋" w:cs="仿宋"/>
          <w:color w:val="auto"/>
          <w:highlight w:val="none"/>
        </w:rPr>
      </w:pP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供  应  商：</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ascii="仿宋" w:hAnsi="仿宋" w:eastAsia="仿宋" w:cs="仿宋"/>
          <w:color w:val="auto"/>
          <w:highlight w:val="none"/>
          <w:lang w:val="zh-CN"/>
        </w:rPr>
      </w:pPr>
      <w:bookmarkStart w:id="326" w:name="_Toc16671"/>
      <w:bookmarkStart w:id="327" w:name="_Toc20494"/>
      <w:bookmarkStart w:id="328" w:name="_Toc32314"/>
      <w:bookmarkStart w:id="329" w:name="_Toc27884"/>
      <w:bookmarkStart w:id="330" w:name="_Toc14636"/>
      <w:bookmarkStart w:id="331" w:name="_Toc3821"/>
      <w:r>
        <w:rPr>
          <w:rFonts w:hint="eastAsia" w:ascii="仿宋" w:hAnsi="仿宋" w:eastAsia="仿宋" w:cs="仿宋"/>
          <w:b/>
          <w:bCs/>
          <w:color w:val="auto"/>
          <w:sz w:val="32"/>
          <w:szCs w:val="15"/>
          <w:highlight w:val="none"/>
          <w:lang w:val="zh-CN"/>
        </w:rPr>
        <w:t>一、投标函</w:t>
      </w:r>
      <w:bookmarkEnd w:id="326"/>
      <w:bookmarkEnd w:id="327"/>
      <w:bookmarkEnd w:id="328"/>
      <w:bookmarkEnd w:id="329"/>
      <w:bookmarkEnd w:id="330"/>
      <w:bookmarkEnd w:id="331"/>
    </w:p>
    <w:p>
      <w:pPr>
        <w:shd w:val="clear"/>
        <w:autoSpaceDE w:val="0"/>
        <w:autoSpaceDN w:val="0"/>
        <w:adjustRightInd w:val="0"/>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rPr>
        <w:t>灞桥区2021年新增教育建设奖补资金--五星中学设备采购项目</w:t>
      </w:r>
      <w:r>
        <w:rPr>
          <w:rFonts w:hint="eastAsia" w:ascii="仿宋" w:hAnsi="仿宋" w:eastAsia="仿宋" w:cs="仿宋"/>
          <w:color w:val="auto"/>
          <w:sz w:val="24"/>
          <w:szCs w:val="24"/>
          <w:highlight w:val="none"/>
        </w:rPr>
        <w:t>（项目编号：DX2022-164）的招标文件，经详细研究，我们决定参加本次项目第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标段招标活动并投标。为此，我方郑重声明以下诸点，并负法律责任。</w:t>
      </w:r>
    </w:p>
    <w:p>
      <w:pPr>
        <w:numPr>
          <w:ilvl w:val="0"/>
          <w:numId w:val="2"/>
        </w:num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shd w:val="clear"/>
        <w:spacing w:line="360" w:lineRule="auto"/>
        <w:ind w:firstLine="480" w:firstLineChars="200"/>
        <w:jc w:val="both"/>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三、我方提交的投标文件正本一份、副本三份，有效电子版一份及资格证明文件一份，并保证投标文件提供的数据和材料真实、准确。否则，愿承担相关的法律责任。</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shd w:val="clear"/>
        <w:autoSpaceDE w:val="0"/>
        <w:autoSpaceDN w:val="0"/>
        <w:adjustRightInd w:val="0"/>
        <w:spacing w:line="360" w:lineRule="auto"/>
        <w:ind w:firstLine="480" w:firstLineChars="200"/>
        <w:rPr>
          <w:rFonts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供应商全称（印章）：</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ascii="仿宋" w:hAnsi="仿宋" w:eastAsia="仿宋" w:cs="仿宋"/>
          <w:color w:val="auto"/>
          <w:sz w:val="24"/>
          <w:szCs w:val="24"/>
          <w:highlight w:val="none"/>
          <w:lang w:val="zh-CN"/>
        </w:rPr>
        <w:sectPr>
          <w:footerReference r:id="rId8" w:type="default"/>
          <w:pgSz w:w="11906" w:h="16838"/>
          <w:pgMar w:top="1417" w:right="1701" w:bottom="1417" w:left="1701" w:header="851" w:footer="992" w:gutter="0"/>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ascii="仿宋" w:hAnsi="仿宋" w:eastAsia="仿宋" w:cs="仿宋"/>
          <w:color w:val="auto"/>
          <w:sz w:val="32"/>
          <w:szCs w:val="15"/>
          <w:highlight w:val="none"/>
          <w:lang w:val="zh-CN"/>
        </w:rPr>
      </w:pPr>
      <w:bookmarkStart w:id="332" w:name="_Toc19367"/>
      <w:bookmarkStart w:id="333" w:name="_Toc4521"/>
      <w:bookmarkStart w:id="334" w:name="_Toc22952"/>
      <w:bookmarkStart w:id="335" w:name="_Toc16343"/>
      <w:bookmarkStart w:id="336" w:name="_Toc7809"/>
      <w:bookmarkStart w:id="337" w:name="_Toc3436"/>
      <w:bookmarkStart w:id="338" w:name="_Toc30144"/>
      <w:bookmarkStart w:id="339" w:name="_Toc12108"/>
      <w:bookmarkStart w:id="340" w:name="_Toc15900"/>
      <w:bookmarkStart w:id="341" w:name="_Toc22013"/>
      <w:bookmarkStart w:id="342" w:name="_Toc20056"/>
      <w:bookmarkStart w:id="343" w:name="_Toc16389"/>
      <w:bookmarkStart w:id="344" w:name="_Toc24304"/>
      <w:bookmarkStart w:id="345" w:name="_Toc18565"/>
      <w:bookmarkStart w:id="346" w:name="_Toc13002"/>
      <w:bookmarkStart w:id="347" w:name="_Toc18879"/>
      <w:bookmarkStart w:id="348" w:name="_Toc475451801"/>
      <w:bookmarkStart w:id="349" w:name="_Toc473056004"/>
      <w:bookmarkStart w:id="350" w:name="_Toc17040"/>
      <w:bookmarkStart w:id="351" w:name="_Toc475451554"/>
      <w:r>
        <w:rPr>
          <w:rFonts w:hint="eastAsia" w:ascii="仿宋" w:hAnsi="仿宋" w:eastAsia="仿宋" w:cs="仿宋"/>
          <w:color w:val="auto"/>
          <w:sz w:val="32"/>
          <w:szCs w:val="15"/>
          <w:highlight w:val="none"/>
          <w:lang w:val="zh-CN"/>
        </w:rPr>
        <w:t>二、开标一览表（唱标报告）</w:t>
      </w:r>
      <w:bookmarkEnd w:id="332"/>
      <w:bookmarkEnd w:id="333"/>
      <w:bookmarkEnd w:id="334"/>
      <w:bookmarkEnd w:id="335"/>
      <w:bookmarkEnd w:id="336"/>
      <w:bookmarkEnd w:id="337"/>
      <w:bookmarkEnd w:id="338"/>
      <w:bookmarkEnd w:id="339"/>
      <w:bookmarkEnd w:id="340"/>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标段</w:t>
            </w:r>
          </w:p>
        </w:tc>
        <w:tc>
          <w:tcPr>
            <w:tcW w:w="6488"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vAlign w:val="center"/>
          </w:tcPr>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vAlign w:val="center"/>
          </w:tcPr>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vAlign w:val="center"/>
          </w:tcPr>
          <w:p>
            <w:pPr>
              <w:widowControl/>
              <w:shd w:val="clear"/>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交货期</w:t>
            </w:r>
          </w:p>
        </w:tc>
        <w:tc>
          <w:tcPr>
            <w:tcW w:w="6488" w:type="dxa"/>
            <w:vAlign w:val="center"/>
          </w:tcPr>
          <w:p>
            <w:pPr>
              <w:widowControl/>
              <w:shd w:val="clear"/>
              <w:spacing w:line="360" w:lineRule="auto"/>
              <w:jc w:val="left"/>
              <w:rPr>
                <w:rFonts w:ascii="仿宋" w:hAnsi="仿宋" w:eastAsia="仿宋" w:cs="仿宋"/>
                <w:color w:val="auto"/>
                <w:kern w:val="0"/>
                <w:sz w:val="24"/>
                <w:szCs w:val="24"/>
                <w:highlight w:val="none"/>
              </w:rPr>
            </w:pPr>
          </w:p>
        </w:tc>
      </w:tr>
    </w:tbl>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ascii="仿宋" w:hAnsi="仿宋" w:eastAsia="仿宋" w:cs="仿宋"/>
          <w:bCs/>
          <w:color w:val="auto"/>
          <w:kern w:val="0"/>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ascii="仿宋" w:hAnsi="仿宋" w:eastAsia="仿宋" w:cs="仿宋"/>
          <w:color w:val="auto"/>
          <w:sz w:val="32"/>
          <w:szCs w:val="32"/>
          <w:highlight w:val="none"/>
        </w:rPr>
      </w:pPr>
      <w:bookmarkStart w:id="352" w:name="_Toc32341"/>
      <w:r>
        <w:rPr>
          <w:rFonts w:hint="eastAsia" w:ascii="仿宋" w:hAnsi="仿宋" w:eastAsia="仿宋" w:cs="仿宋"/>
          <w:color w:val="auto"/>
          <w:sz w:val="32"/>
          <w:szCs w:val="32"/>
          <w:highlight w:val="none"/>
        </w:rPr>
        <w:t>三、</w:t>
      </w:r>
      <w:bookmarkEnd w:id="341"/>
      <w:bookmarkEnd w:id="342"/>
      <w:bookmarkEnd w:id="343"/>
      <w:bookmarkEnd w:id="344"/>
      <w:bookmarkEnd w:id="345"/>
      <w:bookmarkEnd w:id="346"/>
      <w:bookmarkEnd w:id="347"/>
      <w:r>
        <w:rPr>
          <w:rFonts w:hint="eastAsia" w:ascii="仿宋" w:hAnsi="仿宋" w:eastAsia="仿宋" w:cs="仿宋"/>
          <w:color w:val="auto"/>
          <w:sz w:val="32"/>
          <w:szCs w:val="32"/>
          <w:highlight w:val="none"/>
        </w:rPr>
        <w:t>费用组成明细表</w:t>
      </w:r>
      <w:bookmarkEnd w:id="352"/>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widowControl/>
              <w:shd w:val="clear"/>
              <w:jc w:val="center"/>
              <w:textAlignment w:val="center"/>
              <w:rPr>
                <w:rFonts w:ascii="仿宋" w:hAnsi="仿宋" w:eastAsia="仿宋" w:cs="仿宋"/>
                <w:bCs/>
                <w:color w:val="auto"/>
                <w:szCs w:val="21"/>
                <w:highlight w:val="none"/>
              </w:rPr>
            </w:pPr>
            <w:bookmarkStart w:id="353" w:name="_Toc27541"/>
            <w:bookmarkStart w:id="354" w:name="_Toc2318"/>
            <w:bookmarkStart w:id="355" w:name="_Toc5122"/>
            <w:bookmarkStart w:id="356" w:name="_Toc10639"/>
            <w:bookmarkStart w:id="357" w:name="_Toc28835"/>
            <w:bookmarkStart w:id="358" w:name="_Toc5607"/>
            <w:bookmarkStart w:id="359" w:name="_Toc27212"/>
            <w:r>
              <w:rPr>
                <w:rFonts w:hint="eastAsia" w:ascii="仿宋" w:hAnsi="仿宋" w:eastAsia="仿宋" w:cs="仿宋"/>
                <w:bCs/>
                <w:color w:val="auto"/>
                <w:kern w:val="0"/>
                <w:szCs w:val="21"/>
                <w:highlight w:val="none"/>
                <w:lang w:bidi="ar"/>
              </w:rPr>
              <w:t>序号</w:t>
            </w:r>
          </w:p>
        </w:tc>
        <w:tc>
          <w:tcPr>
            <w:tcW w:w="1183" w:type="dxa"/>
            <w:vAlign w:val="center"/>
          </w:tcPr>
          <w:p>
            <w:pPr>
              <w:widowControl/>
              <w:shd w:val="clear"/>
              <w:jc w:val="center"/>
              <w:textAlignment w:val="center"/>
              <w:rPr>
                <w:rFonts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vAlign w:val="center"/>
          </w:tcPr>
          <w:p>
            <w:pPr>
              <w:widowControl/>
              <w:shd w:val="clear"/>
              <w:jc w:val="center"/>
              <w:textAlignment w:val="center"/>
              <w:rPr>
                <w:rFonts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单位</w:t>
            </w:r>
          </w:p>
        </w:tc>
        <w:tc>
          <w:tcPr>
            <w:tcW w:w="1137"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vAlign w:val="center"/>
          </w:tcPr>
          <w:p>
            <w:pPr>
              <w:shd w:val="clear"/>
              <w:jc w:val="center"/>
              <w:rPr>
                <w:rFonts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ind w:left="392"/>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vAlign w:val="center"/>
          </w:tcPr>
          <w:p>
            <w:pPr>
              <w:shd w:val="clear"/>
              <w:spacing w:line="360" w:lineRule="auto"/>
              <w:jc w:val="center"/>
              <w:rPr>
                <w:rFonts w:ascii="仿宋" w:hAnsi="仿宋" w:eastAsia="仿宋" w:cs="仿宋"/>
                <w:color w:val="auto"/>
                <w:sz w:val="24"/>
                <w:szCs w:val="24"/>
                <w:highlight w:val="none"/>
              </w:rPr>
            </w:pPr>
          </w:p>
        </w:tc>
        <w:tc>
          <w:tcPr>
            <w:tcW w:w="1183" w:type="dxa"/>
            <w:vAlign w:val="center"/>
          </w:tcPr>
          <w:p>
            <w:pPr>
              <w:shd w:val="clear"/>
              <w:spacing w:line="360" w:lineRule="auto"/>
              <w:rPr>
                <w:rFonts w:ascii="仿宋" w:hAnsi="仿宋" w:eastAsia="仿宋" w:cs="仿宋"/>
                <w:color w:val="auto"/>
                <w:sz w:val="24"/>
                <w:szCs w:val="24"/>
                <w:highlight w:val="none"/>
              </w:rPr>
            </w:pPr>
          </w:p>
        </w:tc>
        <w:tc>
          <w:tcPr>
            <w:tcW w:w="1367" w:type="dxa"/>
            <w:vAlign w:val="center"/>
          </w:tcPr>
          <w:p>
            <w:pPr>
              <w:shd w:val="clear"/>
              <w:spacing w:line="360" w:lineRule="auto"/>
              <w:jc w:val="center"/>
              <w:rPr>
                <w:rFonts w:ascii="仿宋" w:hAnsi="仿宋" w:eastAsia="仿宋" w:cs="仿宋"/>
                <w:color w:val="auto"/>
                <w:sz w:val="24"/>
                <w:szCs w:val="24"/>
                <w:highlight w:val="none"/>
              </w:rPr>
            </w:pPr>
          </w:p>
        </w:tc>
        <w:tc>
          <w:tcPr>
            <w:tcW w:w="1233" w:type="dxa"/>
            <w:vAlign w:val="center"/>
          </w:tcPr>
          <w:p>
            <w:pPr>
              <w:shd w:val="clear"/>
              <w:spacing w:line="360" w:lineRule="auto"/>
              <w:jc w:val="center"/>
              <w:rPr>
                <w:rFonts w:ascii="仿宋" w:hAnsi="仿宋" w:eastAsia="仿宋" w:cs="仿宋"/>
                <w:color w:val="auto"/>
                <w:sz w:val="24"/>
                <w:szCs w:val="24"/>
                <w:highlight w:val="none"/>
              </w:rPr>
            </w:pPr>
          </w:p>
        </w:tc>
        <w:tc>
          <w:tcPr>
            <w:tcW w:w="750" w:type="dxa"/>
            <w:vAlign w:val="center"/>
          </w:tcPr>
          <w:p>
            <w:pPr>
              <w:shd w:val="clear"/>
              <w:spacing w:line="360" w:lineRule="auto"/>
              <w:jc w:val="center"/>
              <w:rPr>
                <w:rFonts w:ascii="仿宋" w:hAnsi="仿宋" w:eastAsia="仿宋" w:cs="仿宋"/>
                <w:color w:val="auto"/>
                <w:sz w:val="24"/>
                <w:szCs w:val="24"/>
                <w:highlight w:val="none"/>
              </w:rPr>
            </w:pPr>
          </w:p>
        </w:tc>
        <w:tc>
          <w:tcPr>
            <w:tcW w:w="760" w:type="dxa"/>
            <w:vAlign w:val="center"/>
          </w:tcPr>
          <w:p>
            <w:pPr>
              <w:shd w:val="clear"/>
              <w:spacing w:line="360" w:lineRule="auto"/>
              <w:jc w:val="center"/>
              <w:rPr>
                <w:rFonts w:ascii="仿宋" w:hAnsi="仿宋" w:eastAsia="仿宋" w:cs="仿宋"/>
                <w:color w:val="auto"/>
                <w:sz w:val="24"/>
                <w:szCs w:val="24"/>
                <w:highlight w:val="none"/>
              </w:rPr>
            </w:pPr>
          </w:p>
        </w:tc>
        <w:tc>
          <w:tcPr>
            <w:tcW w:w="1137" w:type="dxa"/>
            <w:vAlign w:val="center"/>
          </w:tcPr>
          <w:p>
            <w:pPr>
              <w:shd w:val="clear"/>
              <w:spacing w:line="360" w:lineRule="auto"/>
              <w:jc w:val="center"/>
              <w:rPr>
                <w:rFonts w:ascii="仿宋" w:hAnsi="仿宋" w:eastAsia="仿宋" w:cs="仿宋"/>
                <w:color w:val="auto"/>
                <w:sz w:val="24"/>
                <w:szCs w:val="24"/>
                <w:highlight w:val="none"/>
              </w:rPr>
            </w:pPr>
          </w:p>
        </w:tc>
        <w:tc>
          <w:tcPr>
            <w:tcW w:w="1247" w:type="dxa"/>
            <w:vAlign w:val="center"/>
          </w:tcPr>
          <w:p>
            <w:pPr>
              <w:shd w:val="clear"/>
              <w:spacing w:line="360" w:lineRule="auto"/>
              <w:jc w:val="center"/>
              <w:rPr>
                <w:rFonts w:ascii="仿宋" w:hAnsi="仿宋" w:eastAsia="仿宋" w:cs="仿宋"/>
                <w:color w:val="auto"/>
                <w:sz w:val="24"/>
                <w:szCs w:val="24"/>
                <w:highlight w:val="none"/>
              </w:rPr>
            </w:pPr>
          </w:p>
        </w:tc>
        <w:tc>
          <w:tcPr>
            <w:tcW w:w="662" w:type="dxa"/>
            <w:vAlign w:val="center"/>
          </w:tcPr>
          <w:p>
            <w:pPr>
              <w:shd w:val="clear"/>
              <w:spacing w:line="360" w:lineRule="auto"/>
              <w:jc w:val="center"/>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vAlign w:val="center"/>
          </w:tcPr>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vAlign w:val="center"/>
          </w:tcPr>
          <w:p>
            <w:pPr>
              <w:shd w:val="clear"/>
              <w:jc w:val="center"/>
              <w:rPr>
                <w:rFonts w:ascii="仿宋" w:hAnsi="仿宋" w:eastAsia="仿宋" w:cs="仿宋"/>
                <w:color w:val="auto"/>
                <w:sz w:val="24"/>
                <w:szCs w:val="24"/>
                <w:highlight w:val="none"/>
              </w:rPr>
            </w:pPr>
          </w:p>
        </w:tc>
      </w:tr>
    </w:tbl>
    <w:p>
      <w:pPr>
        <w:shd w:val="clear"/>
        <w:ind w:left="420" w:leftChars="200"/>
        <w:rPr>
          <w:rFonts w:ascii="仿宋" w:hAnsi="仿宋" w:eastAsia="仿宋" w:cs="仿宋"/>
          <w:color w:val="auto"/>
          <w:sz w:val="24"/>
          <w:szCs w:val="24"/>
          <w:highlight w:val="none"/>
        </w:rPr>
      </w:pPr>
    </w:p>
    <w:p>
      <w:pPr>
        <w:pStyle w:val="36"/>
        <w:shd w:val="clear"/>
        <w:spacing w:line="360" w:lineRule="auto"/>
        <w:ind w:firstLine="480"/>
        <w:rPr>
          <w:rFonts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6"/>
        <w:shd w:val="clear"/>
        <w:spacing w:line="360" w:lineRule="auto"/>
        <w:ind w:firstLine="480"/>
        <w:rPr>
          <w:rFonts w:ascii="仿宋" w:hAnsi="仿宋" w:eastAsia="仿宋" w:cs="仿宋"/>
          <w:bCs/>
          <w:color w:val="auto"/>
          <w:kern w:val="0"/>
          <w:sz w:val="24"/>
          <w:szCs w:val="24"/>
          <w:highlight w:val="none"/>
        </w:rPr>
      </w:pPr>
    </w:p>
    <w:p>
      <w:pPr>
        <w:pStyle w:val="36"/>
        <w:shd w:val="clear"/>
        <w:spacing w:line="360" w:lineRule="auto"/>
        <w:ind w:firstLine="480"/>
        <w:rPr>
          <w:rFonts w:ascii="仿宋" w:hAnsi="仿宋" w:eastAsia="仿宋" w:cs="仿宋"/>
          <w:bCs/>
          <w:color w:val="auto"/>
          <w:kern w:val="0"/>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6"/>
        <w:shd w:val="clear"/>
        <w:spacing w:line="360" w:lineRule="auto"/>
        <w:ind w:firstLine="480"/>
        <w:rPr>
          <w:rFonts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ascii="仿宋" w:hAnsi="仿宋" w:eastAsia="仿宋" w:cs="仿宋"/>
          <w:color w:val="auto"/>
          <w:sz w:val="32"/>
          <w:szCs w:val="32"/>
          <w:highlight w:val="none"/>
          <w:lang w:val="zh-CN"/>
        </w:rPr>
      </w:pPr>
      <w:bookmarkStart w:id="360" w:name="_Toc6997"/>
      <w:r>
        <w:rPr>
          <w:rFonts w:hint="eastAsia" w:ascii="仿宋" w:hAnsi="仿宋" w:eastAsia="仿宋" w:cs="仿宋"/>
          <w:color w:val="auto"/>
          <w:sz w:val="32"/>
          <w:szCs w:val="32"/>
          <w:highlight w:val="none"/>
          <w:lang w:val="zh-CN"/>
        </w:rPr>
        <w:t>四、供应商资格证明文件</w:t>
      </w:r>
      <w:bookmarkEnd w:id="360"/>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rPr>
        <w:t>；</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rPr>
        <w:t>应有代收机构或税务机关的公章或业务专用章。依法免税的供应商应提供相关文件证明；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（5）出具履行合同所必需的设备和专业技术能力的书面声明；</w:t>
      </w:r>
    </w:p>
    <w:p>
      <w:pPr>
        <w:shd w:val="clear"/>
        <w:snapToGrid w:val="0"/>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）出具参加本次政府采购活动的书面声明。</w:t>
      </w:r>
    </w:p>
    <w:p>
      <w:pPr>
        <w:shd w:val="clear"/>
        <w:spacing w:line="360" w:lineRule="auto"/>
        <w:ind w:firstLine="482" w:firstLineChars="200"/>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（1）法定代表人授权书及被授权人身份证，并且提供有效的劳动合同或开标截止前六个月内任意一个月养老保险缴纳证明（法人参加只需提供法定代表人身份证明）；</w:t>
      </w:r>
    </w:p>
    <w:p>
      <w:pPr>
        <w:shd w:val="clear"/>
        <w:tabs>
          <w:tab w:val="left" w:pos="9030"/>
        </w:tabs>
        <w:snapToGrid w:val="0"/>
        <w:spacing w:line="360" w:lineRule="auto"/>
        <w:ind w:right="-65" w:firstLine="480" w:firstLineChars="200"/>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shd w:val="clear"/>
        <w:spacing w:line="360" w:lineRule="auto"/>
        <w:ind w:firstLine="482" w:firstLineChars="200"/>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w:t>
      </w:r>
      <w:r>
        <w:rPr>
          <w:rFonts w:hint="eastAsia" w:ascii="仿宋" w:hAnsi="仿宋" w:eastAsia="仿宋" w:cs="仿宋"/>
          <w:b/>
          <w:bCs/>
          <w:color w:val="auto"/>
          <w:sz w:val="24"/>
          <w:szCs w:val="24"/>
          <w:highlight w:val="none"/>
          <w:lang w:val="zh-CN"/>
        </w:rPr>
        <w:t>四、供应商资格证明文件</w:t>
      </w:r>
      <w:r>
        <w:rPr>
          <w:rFonts w:hint="eastAsia" w:ascii="仿宋" w:hAnsi="仿宋" w:eastAsia="仿宋" w:cs="仿宋"/>
          <w:b/>
          <w:bCs/>
          <w:color w:val="auto"/>
          <w:sz w:val="24"/>
          <w:szCs w:val="24"/>
          <w:highlight w:val="none"/>
        </w:rPr>
        <w:t>”单独胶装成册1本，与投标文件正本一同密封。</w:t>
      </w:r>
    </w:p>
    <w:p>
      <w:pPr>
        <w:pStyle w:val="16"/>
        <w:shd w:val="clear"/>
        <w:rPr>
          <w:rFonts w:ascii="仿宋" w:hAnsi="仿宋" w:eastAsia="仿宋" w:cs="仿宋"/>
          <w:color w:val="auto"/>
          <w:highlight w:val="none"/>
          <w:lang w:val="zh-CN"/>
        </w:rPr>
      </w:pPr>
    </w:p>
    <w:p>
      <w:pPr>
        <w:pageBreakBefore/>
        <w:shd w:val="clear"/>
        <w:spacing w:line="360" w:lineRule="auto"/>
        <w:jc w:val="center"/>
        <w:rPr>
          <w:rFonts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rPr>
        <w:t>供应商基本情况表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1620"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vAlign w:val="center"/>
          </w:tcPr>
          <w:p>
            <w:pPr>
              <w:shd w:val="clea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shd w:val="clear"/>
              <w:topLinePunct/>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vAlign w:val="center"/>
          </w:tcPr>
          <w:p>
            <w:pPr>
              <w:shd w:val="clea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shd w:val="clear"/>
              <w:topLinePunct/>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shd w:val="clea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vAlign w:val="center"/>
          </w:tcPr>
          <w:p>
            <w:pPr>
              <w:shd w:val="clea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shd w:val="clea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shd w:val="clear"/>
              <w:topLinePunct/>
              <w:spacing w:line="360" w:lineRule="auto"/>
              <w:jc w:val="center"/>
              <w:rPr>
                <w:rFonts w:ascii="仿宋" w:hAnsi="仿宋" w:eastAsia="仿宋" w:cs="仿宋"/>
                <w:color w:val="auto"/>
                <w:sz w:val="24"/>
                <w:szCs w:val="24"/>
                <w:highlight w:val="none"/>
              </w:rPr>
            </w:pPr>
          </w:p>
        </w:tc>
        <w:tc>
          <w:tcPr>
            <w:tcW w:w="1227" w:type="dxa"/>
            <w:vAlign w:val="center"/>
          </w:tcPr>
          <w:p>
            <w:pPr>
              <w:shd w:val="clea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shd w:val="clea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pPr>
              <w:shd w:val="clea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vAlign w:val="center"/>
          </w:tcPr>
          <w:p>
            <w:pPr>
              <w:shd w:val="clear"/>
              <w:topLinePunct/>
              <w:spacing w:line="360" w:lineRule="auto"/>
              <w:rPr>
                <w:rFonts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rPr>
          <w:rFonts w:ascii="仿宋" w:hAnsi="仿宋" w:eastAsia="仿宋" w:cs="仿宋"/>
          <w:color w:val="auto"/>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pageBreakBefore/>
        <w:shd w:val="clear"/>
        <w:jc w:val="center"/>
        <w:rPr>
          <w:rFonts w:ascii="仿宋" w:hAnsi="仿宋" w:eastAsia="仿宋" w:cs="仿宋"/>
          <w:b/>
          <w:bCs/>
          <w:color w:val="auto"/>
          <w:sz w:val="28"/>
          <w:szCs w:val="28"/>
          <w:highlight w:val="none"/>
        </w:rPr>
      </w:pPr>
      <w:bookmarkStart w:id="361" w:name="_Toc22457"/>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61"/>
      <w:bookmarkStart w:id="362" w:name="_Toc21445"/>
    </w:p>
    <w:p>
      <w:pPr>
        <w:pStyle w:val="16"/>
        <w:shd w:val="clear"/>
        <w:jc w:val="center"/>
        <w:rPr>
          <w:rFonts w:ascii="仿宋" w:hAnsi="仿宋" w:eastAsia="仿宋" w:cs="仿宋"/>
          <w:color w:val="auto"/>
          <w:sz w:val="24"/>
          <w:szCs w:val="24"/>
          <w:highlight w:val="none"/>
        </w:rPr>
      </w:pPr>
    </w:p>
    <w:p>
      <w:pPr>
        <w:pStyle w:val="16"/>
        <w:shd w:val="clear"/>
        <w:jc w:val="center"/>
        <w:rPr>
          <w:rFonts w:ascii="仿宋" w:hAnsi="仿宋" w:eastAsia="仿宋" w:cs="仿宋"/>
          <w:color w:val="auto"/>
          <w:sz w:val="24"/>
          <w:szCs w:val="24"/>
          <w:highlight w:val="none"/>
        </w:rPr>
      </w:pPr>
    </w:p>
    <w:p>
      <w:pPr>
        <w:pStyle w:val="16"/>
        <w:shd w:val="clear"/>
        <w:jc w:val="center"/>
        <w:rPr>
          <w:rFonts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（二）财务状况报告</w:t>
      </w:r>
      <w:bookmarkEnd w:id="362"/>
      <w:bookmarkStart w:id="363" w:name="_Toc17757"/>
    </w:p>
    <w:p>
      <w:pPr>
        <w:pStyle w:val="16"/>
        <w:shd w:val="clear"/>
        <w:jc w:val="center"/>
        <w:rPr>
          <w:rFonts w:eastAsia="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（三）税收缴纳证明</w:t>
      </w:r>
      <w:bookmarkEnd w:id="363"/>
    </w:p>
    <w:p>
      <w:pPr>
        <w:pStyle w:val="16"/>
        <w:shd w:val="clear"/>
        <w:spacing w:line="360" w:lineRule="auto"/>
        <w:rPr>
          <w:rFonts w:ascii="仿宋" w:hAnsi="仿宋" w:eastAsia="仿宋" w:cs="仿宋"/>
          <w:color w:val="auto"/>
          <w:highlight w:val="none"/>
        </w:rPr>
      </w:pPr>
    </w:p>
    <w:p>
      <w:pPr>
        <w:pStyle w:val="16"/>
        <w:shd w:val="clear"/>
        <w:jc w:val="center"/>
        <w:rPr>
          <w:rFonts w:eastAsia="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pPr>
        <w:shd w:val="clear"/>
        <w:spacing w:line="360" w:lineRule="auto"/>
        <w:ind w:firstLine="480"/>
        <w:rPr>
          <w:rFonts w:ascii="仿宋" w:hAnsi="仿宋" w:eastAsia="仿宋" w:cs="仿宋"/>
          <w:color w:val="auto"/>
          <w:kern w:val="0"/>
          <w:sz w:val="24"/>
          <w:highlight w:val="none"/>
        </w:rPr>
      </w:pPr>
    </w:p>
    <w:p>
      <w:pPr>
        <w:shd w:val="clear"/>
        <w:spacing w:line="360" w:lineRule="auto"/>
        <w:ind w:firstLine="480"/>
        <w:rPr>
          <w:rFonts w:ascii="仿宋" w:hAnsi="仿宋" w:eastAsia="仿宋" w:cs="仿宋"/>
          <w:color w:val="auto"/>
          <w:kern w:val="0"/>
          <w:sz w:val="24"/>
          <w:szCs w:val="22"/>
          <w:highlight w:val="none"/>
        </w:rPr>
        <w:sectPr>
          <w:pgSz w:w="11906" w:h="16838"/>
          <w:pgMar w:top="1417" w:right="1417" w:bottom="1417" w:left="1417" w:header="851" w:footer="992" w:gutter="0"/>
          <w:cols w:space="0" w:num="1"/>
          <w:docGrid w:linePitch="312" w:charSpace="0"/>
        </w:sectPr>
      </w:pPr>
    </w:p>
    <w:p>
      <w:pPr>
        <w:shd w:val="clear"/>
        <w:spacing w:line="360" w:lineRule="auto"/>
        <w:jc w:val="center"/>
        <w:rPr>
          <w:rFonts w:ascii="仿宋" w:hAnsi="仿宋" w:eastAsia="仿宋" w:cs="仿宋"/>
          <w:b/>
          <w:color w:val="auto"/>
          <w:sz w:val="28"/>
          <w:szCs w:val="28"/>
          <w:highlight w:val="none"/>
        </w:rPr>
      </w:pPr>
      <w:bookmarkStart w:id="364" w:name="_Toc8139"/>
      <w:r>
        <w:rPr>
          <w:rFonts w:hint="eastAsia" w:ascii="仿宋" w:hAnsi="仿宋" w:eastAsia="仿宋" w:cs="仿宋"/>
          <w:b/>
          <w:color w:val="auto"/>
          <w:sz w:val="28"/>
          <w:szCs w:val="28"/>
          <w:highlight w:val="none"/>
        </w:rPr>
        <w:t>（四）社会保障资金缴纳证明</w:t>
      </w:r>
      <w:bookmarkEnd w:id="364"/>
    </w:p>
    <w:p>
      <w:pPr>
        <w:pStyle w:val="16"/>
        <w:shd w:val="clear"/>
        <w:jc w:val="center"/>
        <w:rPr>
          <w:rFonts w:eastAsia="仿宋"/>
          <w:color w:val="auto"/>
          <w:sz w:val="24"/>
          <w:szCs w:val="24"/>
          <w:highlight w:val="none"/>
        </w:rPr>
      </w:pPr>
      <w:bookmarkStart w:id="365" w:name="_Toc8586"/>
      <w:r>
        <w:rPr>
          <w:rFonts w:hint="eastAsia" w:ascii="仿宋" w:hAnsi="仿宋" w:eastAsia="仿宋" w:cs="仿宋"/>
          <w:color w:val="auto"/>
          <w:sz w:val="24"/>
          <w:szCs w:val="24"/>
          <w:highlight w:val="none"/>
        </w:rPr>
        <w:t>提供扫描件或复印件加盖单位公章</w:t>
      </w:r>
    </w:p>
    <w:p>
      <w:pPr>
        <w:pageBreakBefore/>
        <w:shd w:val="clear"/>
        <w:spacing w:line="360" w:lineRule="auto"/>
        <w:jc w:val="center"/>
        <w:rPr>
          <w:rFonts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（五）出具履行合同所必需的设备和专业技术能力的书面声明</w:t>
      </w:r>
      <w:bookmarkEnd w:id="365"/>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shd w:val="clear"/>
        <w:spacing w:line="360" w:lineRule="auto"/>
        <w:ind w:firstLine="480" w:firstLineChars="200"/>
        <w:rPr>
          <w:rFonts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pPr>
        <w:shd w:val="clea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hd w:val="clear"/>
        <w:spacing w:before="240" w:beforeLines="100" w:after="120" w:afterLines="50" w:line="360" w:lineRule="auto"/>
        <w:ind w:firstLine="170"/>
        <w:rPr>
          <w:rFonts w:ascii="仿宋" w:hAnsi="仿宋" w:eastAsia="仿宋" w:cs="仿宋"/>
          <w:color w:val="auto"/>
          <w:spacing w:val="4"/>
          <w:sz w:val="24"/>
          <w:szCs w:val="24"/>
          <w:highlight w:val="none"/>
        </w:rPr>
      </w:pPr>
    </w:p>
    <w:p>
      <w:pPr>
        <w:shd w:val="clear"/>
        <w:spacing w:before="240" w:beforeLines="100" w:after="120" w:afterLines="50" w:line="360" w:lineRule="auto"/>
        <w:ind w:firstLine="170"/>
        <w:rPr>
          <w:rFonts w:ascii="仿宋" w:hAnsi="仿宋" w:eastAsia="仿宋" w:cs="仿宋"/>
          <w:color w:val="auto"/>
          <w:spacing w:val="4"/>
          <w:sz w:val="24"/>
          <w:szCs w:val="24"/>
          <w:highlight w:val="none"/>
        </w:rPr>
      </w:pPr>
    </w:p>
    <w:p>
      <w:pPr>
        <w:shd w:val="clear"/>
        <w:spacing w:line="360" w:lineRule="auto"/>
        <w:ind w:firstLine="3998" w:firstLineChars="166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998" w:firstLineChars="1666"/>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998" w:firstLineChars="1666"/>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rPr>
          <w:rFonts w:ascii="仿宋" w:hAnsi="仿宋" w:eastAsia="仿宋" w:cs="仿宋"/>
          <w:bCs/>
          <w:color w:val="auto"/>
          <w:sz w:val="24"/>
          <w:szCs w:val="24"/>
          <w:highlight w:val="none"/>
        </w:rPr>
      </w:pPr>
    </w:p>
    <w:p>
      <w:pPr>
        <w:shd w:val="clear"/>
        <w:spacing w:line="360" w:lineRule="auto"/>
        <w:rPr>
          <w:rFonts w:ascii="仿宋" w:hAnsi="仿宋" w:eastAsia="仿宋" w:cs="仿宋"/>
          <w:bCs/>
          <w:color w:val="auto"/>
          <w:sz w:val="24"/>
          <w:szCs w:val="24"/>
          <w:highlight w:val="none"/>
        </w:rPr>
      </w:pPr>
    </w:p>
    <w:p>
      <w:pPr>
        <w:shd w:val="clea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rPr>
          <w:rFonts w:ascii="仿宋" w:hAnsi="仿宋" w:eastAsia="仿宋" w:cs="仿宋"/>
          <w:b/>
          <w:color w:val="auto"/>
          <w:sz w:val="28"/>
          <w:szCs w:val="28"/>
          <w:highlight w:val="none"/>
        </w:rPr>
      </w:pPr>
      <w:bookmarkStart w:id="366" w:name="_Toc19749"/>
      <w:bookmarkStart w:id="367" w:name="_Toc1093"/>
      <w:r>
        <w:rPr>
          <w:rFonts w:hint="eastAsia" w:ascii="仿宋" w:hAnsi="仿宋" w:eastAsia="仿宋" w:cs="仿宋"/>
          <w:b/>
          <w:color w:val="auto"/>
          <w:sz w:val="28"/>
          <w:szCs w:val="28"/>
          <w:highlight w:val="none"/>
        </w:rPr>
        <w:t>（六）参加政府采购活动的书面声明</w:t>
      </w:r>
      <w:bookmarkEnd w:id="366"/>
      <w:bookmarkEnd w:id="367"/>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1、在参加本次政府采购活动前 3 年内的经营活动中____（填“没有”或“有”）重大违法记录。供应商在参加政府采购活动前 3 年内因违法经营被禁止在一定期限内参加政府采购活动，期限届满的，可以参加政府采购活动，但应提供期限届满的证明材料。 </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pPr>
        <w:widowControl/>
        <w:shd w:val="clear"/>
        <w:spacing w:line="360" w:lineRule="auto"/>
        <w:ind w:firstLine="480" w:firstLineChars="200"/>
        <w:jc w:val="left"/>
        <w:rPr>
          <w:rFonts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rPr>
          <w:rFonts w:ascii="仿宋" w:hAnsi="仿宋" w:eastAsia="仿宋" w:cs="仿宋"/>
          <w:b/>
          <w:color w:val="auto"/>
          <w:sz w:val="28"/>
          <w:szCs w:val="28"/>
          <w:highlight w:val="none"/>
          <w:lang w:val="zh-CN"/>
        </w:rPr>
      </w:pPr>
      <w:bookmarkStart w:id="368" w:name="_Toc19939"/>
      <w:r>
        <w:rPr>
          <w:rFonts w:hint="eastAsia" w:ascii="仿宋" w:hAnsi="仿宋" w:eastAsia="仿宋" w:cs="仿宋"/>
          <w:b/>
          <w:color w:val="auto"/>
          <w:sz w:val="28"/>
          <w:szCs w:val="28"/>
          <w:highlight w:val="none"/>
          <w:lang w:val="zh-CN"/>
        </w:rPr>
        <w:t>（七）特定资格要求</w:t>
      </w:r>
      <w:bookmarkEnd w:id="368"/>
    </w:p>
    <w:p>
      <w:pPr>
        <w:shd w:val="clear"/>
        <w:adjustRightInd w:val="0"/>
        <w:snapToGrid w:val="0"/>
        <w:spacing w:line="360" w:lineRule="auto"/>
        <w:jc w:val="center"/>
        <w:rPr>
          <w:rFonts w:ascii="仿宋" w:hAnsi="仿宋" w:eastAsia="仿宋" w:cs="仿宋"/>
          <w:b/>
          <w:color w:val="auto"/>
          <w:sz w:val="24"/>
          <w:szCs w:val="24"/>
          <w:highlight w:val="none"/>
        </w:rPr>
      </w:pPr>
      <w:bookmarkStart w:id="369" w:name="_Toc495681406"/>
      <w:bookmarkStart w:id="370" w:name="_Toc495681252"/>
      <w:bookmarkStart w:id="371" w:name="_Toc495908048"/>
      <w:bookmarkStart w:id="372" w:name="_Toc495681533"/>
      <w:bookmarkStart w:id="373" w:name="_Toc1610"/>
      <w:bookmarkStart w:id="374" w:name="_Toc495671263"/>
      <w:r>
        <w:rPr>
          <w:rFonts w:hint="eastAsia" w:ascii="仿宋" w:hAnsi="仿宋" w:eastAsia="仿宋" w:cs="仿宋"/>
          <w:b/>
          <w:color w:val="auto"/>
          <w:sz w:val="24"/>
          <w:szCs w:val="24"/>
          <w:highlight w:val="none"/>
        </w:rPr>
        <w:t>1、法定代表人身份证明</w:t>
      </w:r>
      <w:bookmarkEnd w:id="369"/>
      <w:bookmarkEnd w:id="370"/>
      <w:bookmarkEnd w:id="371"/>
      <w:bookmarkEnd w:id="372"/>
      <w:bookmarkEnd w:id="373"/>
      <w:bookmarkEnd w:id="374"/>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rPr>
          <w:rFonts w:ascii="仿宋" w:hAnsi="仿宋" w:eastAsia="仿宋" w:cs="仿宋"/>
          <w:color w:val="auto"/>
          <w:sz w:val="24"/>
          <w:szCs w:val="24"/>
          <w:highlight w:val="none"/>
        </w:rPr>
      </w:pPr>
    </w:p>
    <w:p>
      <w:pPr>
        <w:shd w:val="clear"/>
        <w:spacing w:line="360" w:lineRule="auto"/>
        <w:ind w:firstLine="5280" w:firstLineChars="2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rPr>
          <w:rFonts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5" w:name="_Toc495681253"/>
      <w:bookmarkStart w:id="376" w:name="_Toc495681534"/>
      <w:bookmarkStart w:id="377" w:name="_Toc495908049"/>
      <w:bookmarkStart w:id="378" w:name="_Toc495681407"/>
      <w:bookmarkStart w:id="379" w:name="_Toc495671264"/>
      <w:bookmarkStart w:id="380" w:name="_Toc18921"/>
      <w:r>
        <w:rPr>
          <w:rFonts w:hint="eastAsia" w:ascii="仿宋" w:hAnsi="仿宋" w:eastAsia="仿宋" w:cs="仿宋"/>
          <w:b/>
          <w:color w:val="auto"/>
          <w:sz w:val="24"/>
          <w:szCs w:val="24"/>
          <w:highlight w:val="none"/>
        </w:rPr>
        <w:t>2、法定代表人授权书</w:t>
      </w:r>
      <w:bookmarkEnd w:id="375"/>
      <w:bookmarkEnd w:id="376"/>
      <w:bookmarkEnd w:id="377"/>
      <w:bookmarkEnd w:id="378"/>
      <w:bookmarkEnd w:id="379"/>
      <w:bookmarkEnd w:id="380"/>
    </w:p>
    <w:p>
      <w:pPr>
        <w:shd w:val="clear"/>
        <w:autoSpaceDE w:val="0"/>
        <w:autoSpaceDN w:val="0"/>
        <w:adjustRightIn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投标文件、签订合同和处理有关事宜，其法律后果由我方承担。</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rPr>
          <w:rFonts w:ascii="仿宋" w:hAnsi="仿宋" w:eastAsia="仿宋" w:cs="仿宋"/>
          <w:bCs/>
          <w:color w:val="auto"/>
          <w:sz w:val="24"/>
          <w:szCs w:val="24"/>
          <w:highlight w:val="none"/>
        </w:rPr>
      </w:pPr>
    </w:p>
    <w:p>
      <w:pPr>
        <w:shd w:val="clear"/>
        <w:spacing w:line="360" w:lineRule="auto"/>
        <w:ind w:firstLine="42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bCs/>
          <w:color w:val="auto"/>
          <w:sz w:val="24"/>
          <w:szCs w:val="24"/>
          <w:highlight w:val="none"/>
        </w:rPr>
      </w:pPr>
    </w:p>
    <w:p>
      <w:pPr>
        <w:shd w:val="clear"/>
        <w:spacing w:line="360" w:lineRule="auto"/>
        <w:ind w:firstLine="480" w:firstLineChars="200"/>
        <w:rPr>
          <w:rFonts w:ascii="仿宋" w:hAnsi="仿宋" w:eastAsia="仿宋" w:cs="仿宋"/>
          <w:color w:val="auto"/>
          <w:sz w:val="24"/>
          <w:szCs w:val="24"/>
          <w:highlight w:val="none"/>
          <w:lang w:val="zh-CN"/>
        </w:rPr>
      </w:pP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1.后附被授权代表本单位证明：有效的劳动合同或开标前六个月任意一个月的养老保险缴纳证明。</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2.后附法定代表人和被授权委托代理人身份证复印件并加盖红色鲜章。</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rPr>
        <w:t>开标</w:t>
      </w:r>
      <w:r>
        <w:rPr>
          <w:rFonts w:hint="eastAsia" w:ascii="仿宋" w:hAnsi="仿宋" w:eastAsia="仿宋" w:cs="仿宋"/>
          <w:color w:val="auto"/>
          <w:sz w:val="24"/>
          <w:szCs w:val="24"/>
          <w:highlight w:val="none"/>
          <w:lang w:val="zh-CN"/>
        </w:rPr>
        <w:t>之日起不少于90天，仅限授权代表参加</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时提供。</w:t>
      </w:r>
    </w:p>
    <w:p>
      <w:pPr>
        <w:pStyle w:val="16"/>
        <w:shd w:val="clear"/>
        <w:rPr>
          <w:rFonts w:ascii="仿宋" w:hAnsi="仿宋" w:eastAsia="仿宋" w:cs="仿宋"/>
          <w:b/>
          <w:color w:val="auto"/>
          <w:sz w:val="24"/>
          <w:szCs w:val="24"/>
          <w:highlight w:val="none"/>
        </w:rPr>
      </w:pPr>
    </w:p>
    <w:p>
      <w:pPr>
        <w:pageBreakBefore/>
        <w:shd w:val="clear"/>
        <w:tabs>
          <w:tab w:val="left" w:pos="292"/>
          <w:tab w:val="center" w:pos="4327"/>
        </w:tabs>
        <w:adjustRightInd w:val="0"/>
        <w:snapToGrid w:val="0"/>
        <w:spacing w:line="360" w:lineRule="auto"/>
        <w:jc w:val="center"/>
        <w:rPr>
          <w:rFonts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rPr>
        <w:t>3、</w:t>
      </w:r>
      <w:r>
        <w:rPr>
          <w:rFonts w:hint="eastAsia" w:ascii="仿宋" w:hAnsi="仿宋" w:eastAsia="仿宋" w:cs="仿宋"/>
          <w:b/>
          <w:color w:val="auto"/>
          <w:sz w:val="24"/>
          <w:szCs w:val="24"/>
          <w:highlight w:val="none"/>
          <w:lang w:val="zh-CN"/>
        </w:rPr>
        <w:t>提供政府采购政策等证明材料</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rPr>
        <w:t>如适用</w:t>
      </w:r>
      <w:r>
        <w:rPr>
          <w:rFonts w:hint="eastAsia" w:ascii="仿宋" w:hAnsi="仿宋" w:eastAsia="仿宋" w:cs="仿宋"/>
          <w:color w:val="auto"/>
          <w:sz w:val="24"/>
          <w:szCs w:val="24"/>
          <w:highlight w:val="none"/>
        </w:rPr>
        <w:t>，请提供，格式见附件1，注：本项目属于零售业）；</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shd w:val="clea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pPr>
        <w:shd w:val="clear"/>
        <w:spacing w:line="360" w:lineRule="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附件1</w:t>
      </w:r>
    </w:p>
    <w:p>
      <w:pPr>
        <w:shd w:val="clear"/>
        <w:spacing w:line="360" w:lineRule="auto"/>
        <w:jc w:val="center"/>
        <w:rPr>
          <w:rFonts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本公司（联合体）郑重声明，根据《政府采购促进中小企业发展管理办法》（财库﹝2020﹞46号）的规定，本公司（联合体）参加</w:t>
      </w:r>
      <w:r>
        <w:rPr>
          <w:rFonts w:hint="eastAsia" w:ascii="仿宋" w:hAnsi="仿宋" w:eastAsia="仿宋" w:cs="仿宋"/>
          <w:color w:val="auto"/>
          <w:w w:val="95"/>
          <w:sz w:val="24"/>
          <w:szCs w:val="24"/>
          <w:highlight w:val="none"/>
          <w:u w:val="single"/>
        </w:rPr>
        <w:t>（单位名称）</w:t>
      </w:r>
      <w:r>
        <w:rPr>
          <w:rFonts w:hint="eastAsia" w:ascii="仿宋" w:hAnsi="仿宋" w:eastAsia="仿宋" w:cs="仿宋"/>
          <w:color w:val="auto"/>
          <w:w w:val="95"/>
          <w:sz w:val="24"/>
          <w:szCs w:val="24"/>
          <w:highlight w:val="none"/>
        </w:rPr>
        <w:t>的</w:t>
      </w:r>
      <w:r>
        <w:rPr>
          <w:rFonts w:hint="eastAsia" w:ascii="仿宋" w:hAnsi="仿宋" w:eastAsia="仿宋" w:cs="仿宋"/>
          <w:color w:val="auto"/>
          <w:w w:val="95"/>
          <w:sz w:val="24"/>
          <w:szCs w:val="24"/>
          <w:highlight w:val="none"/>
          <w:u w:val="single"/>
        </w:rPr>
        <w:t>（项目名称）</w:t>
      </w:r>
      <w:r>
        <w:rPr>
          <w:rFonts w:hint="eastAsia" w:ascii="仿宋" w:hAnsi="仿宋" w:eastAsia="仿宋" w:cs="仿宋"/>
          <w:color w:val="auto"/>
          <w:w w:val="95"/>
          <w:sz w:val="24"/>
          <w:szCs w:val="24"/>
          <w:highlight w:val="none"/>
        </w:rPr>
        <w:t>采购活动，提供的货物全部由符合政策要求的中小企业制造。相关企业（含联合体中的中小企业、签订分包意向协议的中小企业）的具体情况如下：</w:t>
      </w:r>
    </w:p>
    <w:p>
      <w:pPr>
        <w:shd w:val="clear"/>
        <w:tabs>
          <w:tab w:val="left" w:pos="1384"/>
          <w:tab w:val="left" w:pos="4562"/>
          <w:tab w:val="left" w:pos="6803"/>
        </w:tabs>
        <w:kinsoku w:val="0"/>
        <w:overflowPunct w:val="0"/>
        <w:spacing w:before="13" w:line="360" w:lineRule="auto"/>
        <w:ind w:left="105" w:right="142" w:firstLine="655"/>
        <w:rPr>
          <w:rFonts w:ascii="仿宋" w:hAnsi="仿宋" w:eastAsia="仿宋" w:cs="仿宋"/>
          <w:color w:val="auto"/>
          <w:w w:val="95"/>
          <w:sz w:val="24"/>
          <w:szCs w:val="24"/>
          <w:highlight w:val="none"/>
          <w:u w:val="single"/>
        </w:rPr>
      </w:pPr>
      <w:r>
        <w:rPr>
          <w:rFonts w:hint="eastAsia" w:ascii="仿宋" w:hAnsi="仿宋" w:eastAsia="仿宋" w:cs="仿宋"/>
          <w:color w:val="auto"/>
          <w:spacing w:val="1"/>
          <w:w w:val="99"/>
          <w:sz w:val="24"/>
          <w:szCs w:val="24"/>
          <w:highlight w:val="none"/>
        </w:rPr>
        <w:t>1</w:t>
      </w:r>
      <w:r>
        <w:rPr>
          <w:rFonts w:hint="eastAsia" w:ascii="仿宋" w:hAnsi="仿宋" w:eastAsia="仿宋" w:cs="仿宋"/>
          <w:color w:val="auto"/>
          <w:spacing w:val="-41"/>
          <w:w w:val="99"/>
          <w:sz w:val="24"/>
          <w:szCs w:val="24"/>
          <w:highlight w:val="none"/>
        </w:rPr>
        <w:t>.</w:t>
      </w:r>
      <w:r>
        <w:rPr>
          <w:rFonts w:hint="eastAsia" w:ascii="仿宋" w:hAnsi="仿宋" w:eastAsia="仿宋" w:cs="仿宋"/>
          <w:color w:val="auto"/>
          <w:w w:val="95"/>
          <w:sz w:val="24"/>
          <w:szCs w:val="24"/>
          <w:highlight w:val="none"/>
          <w:u w:val="single"/>
        </w:rPr>
        <w:t xml:space="preserve"> （标的名称）</w:t>
      </w:r>
      <w:r>
        <w:rPr>
          <w:rFonts w:hint="eastAsia" w:ascii="仿宋" w:hAnsi="仿宋" w:eastAsia="仿宋" w:cs="仿宋"/>
          <w:i/>
          <w:color w:val="auto"/>
          <w:spacing w:val="-135"/>
          <w:sz w:val="24"/>
          <w:szCs w:val="24"/>
          <w:highlight w:val="none"/>
        </w:rPr>
        <w:t xml:space="preserve"> </w:t>
      </w:r>
      <w:r>
        <w:rPr>
          <w:rFonts w:hint="eastAsia" w:ascii="仿宋" w:hAnsi="仿宋" w:eastAsia="仿宋" w:cs="仿宋"/>
          <w:color w:val="auto"/>
          <w:spacing w:val="-43"/>
          <w:w w:val="99"/>
          <w:sz w:val="24"/>
          <w:szCs w:val="24"/>
          <w:highlight w:val="none"/>
        </w:rPr>
        <w:t>，</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55"/>
          <w:w w:val="99"/>
          <w:sz w:val="24"/>
          <w:szCs w:val="24"/>
          <w:highlight w:val="none"/>
        </w:rPr>
        <w:t>于</w:t>
      </w:r>
      <w:r>
        <w:rPr>
          <w:rFonts w:hint="eastAsia" w:ascii="仿宋" w:hAnsi="仿宋" w:eastAsia="仿宋" w:cs="仿宋"/>
          <w:color w:val="auto"/>
          <w:w w:val="95"/>
          <w:sz w:val="24"/>
          <w:szCs w:val="24"/>
          <w:highlight w:val="none"/>
          <w:u w:val="single"/>
        </w:rPr>
        <w:t>（采购文件中明确的所属行业）行业</w:t>
      </w:r>
      <w:r>
        <w:rPr>
          <w:rFonts w:hint="eastAsia" w:ascii="仿宋" w:hAnsi="仿宋" w:eastAsia="仿宋" w:cs="仿宋"/>
          <w:color w:val="auto"/>
          <w:spacing w:val="7"/>
          <w:w w:val="99"/>
          <w:sz w:val="24"/>
          <w:szCs w:val="24"/>
          <w:highlight w:val="none"/>
        </w:rPr>
        <w:t>；</w:t>
      </w:r>
      <w:r>
        <w:rPr>
          <w:rFonts w:hint="eastAsia" w:ascii="仿宋" w:hAnsi="仿宋" w:eastAsia="仿宋" w:cs="仿宋"/>
          <w:color w:val="auto"/>
          <w:spacing w:val="5"/>
          <w:w w:val="99"/>
          <w:sz w:val="24"/>
          <w:szCs w:val="24"/>
          <w:highlight w:val="none"/>
        </w:rPr>
        <w:t>制</w:t>
      </w:r>
      <w:r>
        <w:rPr>
          <w:rFonts w:hint="eastAsia" w:ascii="仿宋" w:hAnsi="仿宋" w:eastAsia="仿宋" w:cs="仿宋"/>
          <w:color w:val="auto"/>
          <w:spacing w:val="7"/>
          <w:w w:val="99"/>
          <w:sz w:val="24"/>
          <w:szCs w:val="24"/>
          <w:highlight w:val="none"/>
        </w:rPr>
        <w:t>造</w:t>
      </w:r>
      <w:r>
        <w:rPr>
          <w:rFonts w:hint="eastAsia" w:ascii="仿宋" w:hAnsi="仿宋" w:eastAsia="仿宋" w:cs="仿宋"/>
          <w:color w:val="auto"/>
          <w:spacing w:val="5"/>
          <w:w w:val="99"/>
          <w:sz w:val="24"/>
          <w:szCs w:val="24"/>
          <w:highlight w:val="none"/>
        </w:rPr>
        <w:t>商</w:t>
      </w:r>
      <w:r>
        <w:rPr>
          <w:rFonts w:hint="eastAsia" w:ascii="仿宋" w:hAnsi="仿宋" w:eastAsia="仿宋" w:cs="仿宋"/>
          <w:color w:val="auto"/>
          <w:spacing w:val="-10"/>
          <w:w w:val="99"/>
          <w:sz w:val="24"/>
          <w:szCs w:val="24"/>
          <w:highlight w:val="none"/>
        </w:rPr>
        <w:t>为</w:t>
      </w:r>
      <w:r>
        <w:rPr>
          <w:rFonts w:hint="eastAsia" w:ascii="仿宋" w:hAnsi="仿宋" w:eastAsia="仿宋" w:cs="仿宋"/>
          <w:color w:val="auto"/>
          <w:w w:val="95"/>
          <w:sz w:val="24"/>
          <w:szCs w:val="24"/>
          <w:highlight w:val="none"/>
          <w:u w:val="single"/>
        </w:rPr>
        <w:t>（企业名称），</w:t>
      </w:r>
      <w:r>
        <w:rPr>
          <w:rFonts w:hint="eastAsia" w:ascii="仿宋" w:hAnsi="仿宋" w:eastAsia="仿宋" w:cs="仿宋"/>
          <w:color w:val="auto"/>
          <w:spacing w:val="5"/>
          <w:w w:val="99"/>
          <w:sz w:val="24"/>
          <w:szCs w:val="24"/>
          <w:highlight w:val="none"/>
        </w:rPr>
        <w:t>从</w:t>
      </w:r>
      <w:r>
        <w:rPr>
          <w:rFonts w:hint="eastAsia" w:ascii="仿宋" w:hAnsi="仿宋" w:eastAsia="仿宋" w:cs="仿宋"/>
          <w:color w:val="auto"/>
          <w:spacing w:val="7"/>
          <w:w w:val="99"/>
          <w:sz w:val="24"/>
          <w:szCs w:val="24"/>
          <w:highlight w:val="none"/>
        </w:rPr>
        <w:t>业</w:t>
      </w:r>
      <w:r>
        <w:rPr>
          <w:rFonts w:hint="eastAsia" w:ascii="仿宋" w:hAnsi="仿宋" w:eastAsia="仿宋" w:cs="仿宋"/>
          <w:color w:val="auto"/>
          <w:spacing w:val="5"/>
          <w:w w:val="99"/>
          <w:sz w:val="24"/>
          <w:szCs w:val="24"/>
          <w:highlight w:val="none"/>
        </w:rPr>
        <w:t>人</w:t>
      </w:r>
      <w:r>
        <w:rPr>
          <w:rFonts w:hint="eastAsia" w:ascii="仿宋" w:hAnsi="仿宋" w:eastAsia="仿宋" w:cs="仿宋"/>
          <w:color w:val="auto"/>
          <w:spacing w:val="4"/>
          <w:w w:val="99"/>
          <w:sz w:val="24"/>
          <w:szCs w:val="24"/>
          <w:highlight w:val="none"/>
        </w:rPr>
        <w:t>员</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pacing w:val="7"/>
          <w:w w:val="99"/>
          <w:sz w:val="24"/>
          <w:szCs w:val="24"/>
          <w:highlight w:val="none"/>
        </w:rPr>
        <w:t>人</w:t>
      </w:r>
      <w:r>
        <w:rPr>
          <w:rFonts w:hint="eastAsia" w:ascii="仿宋" w:hAnsi="仿宋" w:eastAsia="仿宋" w:cs="仿宋"/>
          <w:color w:val="auto"/>
          <w:spacing w:val="5"/>
          <w:w w:val="99"/>
          <w:sz w:val="24"/>
          <w:szCs w:val="24"/>
          <w:highlight w:val="none"/>
        </w:rPr>
        <w:t>，</w:t>
      </w:r>
      <w:r>
        <w:rPr>
          <w:rFonts w:hint="eastAsia" w:ascii="仿宋" w:hAnsi="仿宋" w:eastAsia="仿宋" w:cs="仿宋"/>
          <w:color w:val="auto"/>
          <w:spacing w:val="7"/>
          <w:w w:val="99"/>
          <w:sz w:val="24"/>
          <w:szCs w:val="24"/>
          <w:highlight w:val="none"/>
        </w:rPr>
        <w:t>营</w:t>
      </w:r>
      <w:r>
        <w:rPr>
          <w:rFonts w:hint="eastAsia" w:ascii="仿宋" w:hAnsi="仿宋" w:eastAsia="仿宋" w:cs="仿宋"/>
          <w:color w:val="auto"/>
          <w:spacing w:val="5"/>
          <w:w w:val="99"/>
          <w:sz w:val="24"/>
          <w:szCs w:val="24"/>
          <w:highlight w:val="none"/>
        </w:rPr>
        <w:t>业</w:t>
      </w:r>
      <w:r>
        <w:rPr>
          <w:rFonts w:hint="eastAsia" w:ascii="仿宋" w:hAnsi="仿宋" w:eastAsia="仿宋" w:cs="仿宋"/>
          <w:color w:val="auto"/>
          <w:w w:val="99"/>
          <w:sz w:val="24"/>
          <w:szCs w:val="24"/>
          <w:highlight w:val="none"/>
        </w:rPr>
        <w:t>收 入</w:t>
      </w:r>
      <w:r>
        <w:rPr>
          <w:rFonts w:hint="eastAsia" w:ascii="仿宋" w:hAnsi="仿宋" w:eastAsia="仿宋" w:cs="仿宋"/>
          <w:color w:val="auto"/>
          <w:spacing w:val="1"/>
          <w:w w:val="99"/>
          <w:sz w:val="24"/>
          <w:szCs w:val="24"/>
          <w:highlight w:val="none"/>
        </w:rPr>
        <w:t>为</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9"/>
          <w:sz w:val="24"/>
          <w:szCs w:val="24"/>
          <w:highlight w:val="none"/>
        </w:rPr>
        <w:t>万</w:t>
      </w:r>
      <w:r>
        <w:rPr>
          <w:rFonts w:hint="eastAsia" w:ascii="仿宋" w:hAnsi="仿宋" w:eastAsia="仿宋" w:cs="仿宋"/>
          <w:color w:val="auto"/>
          <w:spacing w:val="2"/>
          <w:w w:val="99"/>
          <w:sz w:val="24"/>
          <w:szCs w:val="24"/>
          <w:highlight w:val="none"/>
        </w:rPr>
        <w:t>元</w:t>
      </w:r>
      <w:r>
        <w:rPr>
          <w:rFonts w:hint="eastAsia" w:ascii="仿宋" w:hAnsi="仿宋" w:eastAsia="仿宋" w:cs="仿宋"/>
          <w:color w:val="auto"/>
          <w:spacing w:val="-22"/>
          <w:w w:val="99"/>
          <w:sz w:val="24"/>
          <w:szCs w:val="24"/>
          <w:highlight w:val="none"/>
        </w:rPr>
        <w:t>，</w:t>
      </w:r>
      <w:r>
        <w:rPr>
          <w:rFonts w:hint="eastAsia" w:ascii="仿宋" w:hAnsi="仿宋" w:eastAsia="仿宋" w:cs="仿宋"/>
          <w:color w:val="auto"/>
          <w:w w:val="99"/>
          <w:sz w:val="24"/>
          <w:szCs w:val="24"/>
          <w:highlight w:val="none"/>
        </w:rPr>
        <w:t>资</w:t>
      </w:r>
      <w:r>
        <w:rPr>
          <w:rFonts w:hint="eastAsia" w:ascii="仿宋" w:hAnsi="仿宋" w:eastAsia="仿宋" w:cs="仿宋"/>
          <w:color w:val="auto"/>
          <w:spacing w:val="2"/>
          <w:w w:val="99"/>
          <w:sz w:val="24"/>
          <w:szCs w:val="24"/>
          <w:highlight w:val="none"/>
        </w:rPr>
        <w:t>产</w:t>
      </w:r>
      <w:r>
        <w:rPr>
          <w:rFonts w:hint="eastAsia" w:ascii="仿宋" w:hAnsi="仿宋" w:eastAsia="仿宋" w:cs="仿宋"/>
          <w:color w:val="auto"/>
          <w:w w:val="99"/>
          <w:sz w:val="24"/>
          <w:szCs w:val="24"/>
          <w:highlight w:val="none"/>
        </w:rPr>
        <w:t>总额为</w:t>
      </w:r>
      <w:r>
        <w:rPr>
          <w:rFonts w:hint="eastAsia" w:ascii="仿宋" w:hAnsi="仿宋" w:eastAsia="仿宋" w:cs="仿宋"/>
          <w:color w:val="auto"/>
          <w:w w:val="99"/>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9"/>
          <w:sz w:val="24"/>
          <w:szCs w:val="24"/>
          <w:highlight w:val="none"/>
        </w:rPr>
        <w:t>万</w:t>
      </w:r>
      <w:r>
        <w:rPr>
          <w:rFonts w:hint="eastAsia" w:ascii="仿宋" w:hAnsi="仿宋" w:eastAsia="仿宋" w:cs="仿宋"/>
          <w:color w:val="auto"/>
          <w:spacing w:val="2"/>
          <w:w w:val="99"/>
          <w:sz w:val="24"/>
          <w:szCs w:val="24"/>
          <w:highlight w:val="none"/>
        </w:rPr>
        <w:t>元</w:t>
      </w:r>
      <w:r>
        <w:rPr>
          <w:rFonts w:hint="eastAsia" w:ascii="仿宋" w:hAnsi="仿宋" w:eastAsia="仿宋" w:cs="仿宋"/>
          <w:color w:val="auto"/>
          <w:spacing w:val="-22"/>
          <w:w w:val="99"/>
          <w:sz w:val="24"/>
          <w:szCs w:val="24"/>
          <w:highlight w:val="none"/>
        </w:rPr>
        <w:t>，</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36"/>
          <w:w w:val="99"/>
          <w:sz w:val="24"/>
          <w:szCs w:val="24"/>
          <w:highlight w:val="none"/>
        </w:rPr>
        <w:t>于</w:t>
      </w:r>
      <w:r>
        <w:rPr>
          <w:rFonts w:hint="eastAsia" w:ascii="仿宋" w:hAnsi="仿宋" w:eastAsia="仿宋" w:cs="仿宋"/>
          <w:color w:val="auto"/>
          <w:w w:val="95"/>
          <w:sz w:val="24"/>
          <w:szCs w:val="24"/>
          <w:highlight w:val="none"/>
          <w:u w:val="single"/>
        </w:rPr>
        <w:t>（中型企业、小 型企业、微型企业）；</w:t>
      </w:r>
    </w:p>
    <w:p>
      <w:pPr>
        <w:shd w:val="clear"/>
        <w:tabs>
          <w:tab w:val="left" w:pos="1065"/>
          <w:tab w:val="left" w:pos="4262"/>
          <w:tab w:val="left" w:pos="6477"/>
        </w:tabs>
        <w:kinsoku w:val="0"/>
        <w:overflowPunct w:val="0"/>
        <w:spacing w:before="20" w:line="360" w:lineRule="auto"/>
        <w:ind w:left="105" w:right="142" w:firstLine="655"/>
        <w:rPr>
          <w:rFonts w:ascii="仿宋" w:hAnsi="仿宋" w:eastAsia="仿宋" w:cs="仿宋"/>
          <w:color w:val="auto"/>
          <w:w w:val="95"/>
          <w:sz w:val="24"/>
          <w:szCs w:val="24"/>
          <w:highlight w:val="none"/>
          <w:u w:val="single"/>
        </w:rPr>
      </w:pPr>
      <w:r>
        <w:rPr>
          <w:rFonts w:hint="eastAsia" w:ascii="仿宋" w:hAnsi="仿宋" w:eastAsia="仿宋" w:cs="仿宋"/>
          <w:color w:val="auto"/>
          <w:spacing w:val="-21"/>
          <w:sz w:val="24"/>
          <w:szCs w:val="24"/>
          <w:highlight w:val="none"/>
        </w:rPr>
        <w:t>2.</w:t>
      </w:r>
      <w:r>
        <w:rPr>
          <w:rFonts w:hint="eastAsia" w:ascii="仿宋" w:hAnsi="仿宋" w:eastAsia="仿宋" w:cs="仿宋"/>
          <w:color w:val="auto"/>
          <w:w w:val="95"/>
          <w:sz w:val="24"/>
          <w:szCs w:val="24"/>
          <w:highlight w:val="none"/>
          <w:u w:val="single"/>
        </w:rPr>
        <w:t xml:space="preserve"> （标的名称），</w:t>
      </w:r>
      <w:r>
        <w:rPr>
          <w:rFonts w:hint="eastAsia" w:ascii="仿宋" w:hAnsi="仿宋" w:eastAsia="仿宋" w:cs="仿宋"/>
          <w:color w:val="auto"/>
          <w:spacing w:val="-87"/>
          <w:sz w:val="24"/>
          <w:szCs w:val="24"/>
          <w:highlight w:val="none"/>
        </w:rPr>
        <w:t xml:space="preserve">     </w:t>
      </w:r>
      <w:r>
        <w:rPr>
          <w:rFonts w:hint="eastAsia" w:ascii="仿宋" w:hAnsi="仿宋" w:eastAsia="仿宋" w:cs="仿宋"/>
          <w:color w:val="auto"/>
          <w:w w:val="99"/>
          <w:sz w:val="24"/>
          <w:szCs w:val="24"/>
          <w:highlight w:val="none"/>
        </w:rPr>
        <w:t>属</w:t>
      </w:r>
      <w:r>
        <w:rPr>
          <w:rFonts w:hint="eastAsia" w:ascii="仿宋" w:hAnsi="仿宋" w:eastAsia="仿宋" w:cs="仿宋"/>
          <w:color w:val="auto"/>
          <w:spacing w:val="-55"/>
          <w:w w:val="99"/>
          <w:sz w:val="24"/>
          <w:szCs w:val="24"/>
          <w:highlight w:val="none"/>
        </w:rPr>
        <w:t xml:space="preserve">于     </w:t>
      </w:r>
      <w:r>
        <w:rPr>
          <w:rFonts w:hint="eastAsia" w:ascii="仿宋" w:hAnsi="仿宋" w:eastAsia="仿宋" w:cs="仿宋"/>
          <w:color w:val="auto"/>
          <w:w w:val="95"/>
          <w:sz w:val="24"/>
          <w:szCs w:val="24"/>
          <w:highlight w:val="none"/>
          <w:u w:val="single"/>
        </w:rPr>
        <w:t>（采购文件中明确的所属行业）行业</w:t>
      </w:r>
      <w:r>
        <w:rPr>
          <w:rFonts w:hint="eastAsia" w:ascii="仿宋" w:hAnsi="仿宋" w:eastAsia="仿宋" w:cs="仿宋"/>
          <w:color w:val="auto"/>
          <w:spacing w:val="-50"/>
          <w:w w:val="95"/>
          <w:sz w:val="24"/>
          <w:szCs w:val="24"/>
          <w:highlight w:val="none"/>
        </w:rPr>
        <w:t>；</w:t>
      </w:r>
      <w:r>
        <w:rPr>
          <w:rFonts w:hint="eastAsia" w:ascii="仿宋" w:hAnsi="仿宋" w:eastAsia="仿宋" w:cs="仿宋"/>
          <w:color w:val="auto"/>
          <w:spacing w:val="5"/>
          <w:w w:val="99"/>
          <w:sz w:val="24"/>
          <w:szCs w:val="24"/>
          <w:highlight w:val="none"/>
        </w:rPr>
        <w:t>制造商为</w:t>
      </w:r>
      <w:r>
        <w:rPr>
          <w:rFonts w:hint="eastAsia" w:ascii="仿宋" w:hAnsi="仿宋" w:eastAsia="仿宋" w:cs="仿宋"/>
          <w:color w:val="auto"/>
          <w:w w:val="95"/>
          <w:sz w:val="24"/>
          <w:szCs w:val="24"/>
          <w:highlight w:val="none"/>
          <w:u w:val="single"/>
        </w:rPr>
        <w:t>（企业名称）</w:t>
      </w:r>
      <w:r>
        <w:rPr>
          <w:rFonts w:hint="eastAsia" w:ascii="仿宋" w:hAnsi="仿宋" w:eastAsia="仿宋" w:cs="仿宋"/>
          <w:color w:val="auto"/>
          <w:spacing w:val="-50"/>
          <w:w w:val="95"/>
          <w:sz w:val="24"/>
          <w:szCs w:val="24"/>
          <w:highlight w:val="none"/>
        </w:rPr>
        <w:t>，从业人员</w:t>
      </w:r>
      <w:r>
        <w:rPr>
          <w:rFonts w:hint="eastAsia" w:ascii="仿宋" w:hAnsi="仿宋" w:eastAsia="仿宋" w:cs="仿宋"/>
          <w:color w:val="auto"/>
          <w:spacing w:val="-50"/>
          <w:w w:val="95"/>
          <w:sz w:val="24"/>
          <w:szCs w:val="24"/>
          <w:highlight w:val="none"/>
          <w:u w:val="single"/>
        </w:rPr>
        <w:tab/>
      </w:r>
      <w:r>
        <w:rPr>
          <w:rFonts w:hint="eastAsia" w:ascii="仿宋" w:hAnsi="仿宋" w:eastAsia="仿宋" w:cs="仿宋"/>
          <w:color w:val="auto"/>
          <w:spacing w:val="5"/>
          <w:sz w:val="24"/>
          <w:szCs w:val="24"/>
          <w:highlight w:val="none"/>
        </w:rPr>
        <w:t>人，营业收入</w:t>
      </w:r>
      <w:r>
        <w:rPr>
          <w:rFonts w:hint="eastAsia" w:ascii="仿宋" w:hAnsi="仿宋" w:eastAsia="仿宋" w:cs="仿宋"/>
          <w:color w:val="auto"/>
          <w:w w:val="99"/>
          <w:sz w:val="24"/>
          <w:szCs w:val="24"/>
          <w:highlight w:val="none"/>
        </w:rPr>
        <w:t xml:space="preserve"> </w:t>
      </w:r>
      <w:r>
        <w:rPr>
          <w:rFonts w:hint="eastAsia" w:ascii="仿宋" w:hAnsi="仿宋" w:eastAsia="仿宋" w:cs="仿宋"/>
          <w:color w:val="auto"/>
          <w:w w:val="95"/>
          <w:sz w:val="24"/>
          <w:szCs w:val="24"/>
          <w:highlight w:val="none"/>
        </w:rPr>
        <w:t>为</w:t>
      </w:r>
      <w:r>
        <w:rPr>
          <w:rFonts w:hint="eastAsia" w:ascii="仿宋" w:hAnsi="仿宋" w:eastAsia="仿宋" w:cs="仿宋"/>
          <w:color w:val="auto"/>
          <w:w w:val="95"/>
          <w:sz w:val="24"/>
          <w:szCs w:val="24"/>
          <w:highlight w:val="none"/>
          <w:u w:val="single"/>
        </w:rPr>
        <w:tab/>
      </w:r>
      <w:r>
        <w:rPr>
          <w:rFonts w:hint="eastAsia" w:ascii="仿宋" w:hAnsi="仿宋" w:eastAsia="仿宋" w:cs="仿宋"/>
          <w:color w:val="auto"/>
          <w:w w:val="95"/>
          <w:sz w:val="24"/>
          <w:szCs w:val="24"/>
          <w:highlight w:val="none"/>
        </w:rPr>
        <w:t>万元，资产总额为</w:t>
      </w:r>
      <w:r>
        <w:rPr>
          <w:rFonts w:hint="eastAsia" w:ascii="仿宋" w:hAnsi="仿宋" w:eastAsia="仿宋" w:cs="仿宋"/>
          <w:color w:val="auto"/>
          <w:w w:val="95"/>
          <w:sz w:val="24"/>
          <w:szCs w:val="24"/>
          <w:highlight w:val="none"/>
          <w:u w:val="single"/>
        </w:rPr>
        <w:tab/>
      </w:r>
      <w:r>
        <w:rPr>
          <w:rFonts w:hint="eastAsia" w:ascii="仿宋" w:hAnsi="仿宋" w:eastAsia="仿宋" w:cs="仿宋"/>
          <w:color w:val="auto"/>
          <w:spacing w:val="5"/>
          <w:w w:val="99"/>
          <w:sz w:val="24"/>
          <w:szCs w:val="24"/>
          <w:highlight w:val="none"/>
        </w:rPr>
        <w:t>万元</w:t>
      </w:r>
      <w:r>
        <w:rPr>
          <w:rFonts w:hint="eastAsia" w:ascii="仿宋" w:hAnsi="仿宋" w:eastAsia="仿宋" w:cs="仿宋"/>
          <w:color w:val="auto"/>
          <w:spacing w:val="-59"/>
          <w:sz w:val="24"/>
          <w:szCs w:val="24"/>
          <w:highlight w:val="none"/>
        </w:rPr>
        <w:t>，</w:t>
      </w:r>
      <w:r>
        <w:rPr>
          <w:rFonts w:hint="eastAsia" w:ascii="仿宋" w:hAnsi="仿宋" w:eastAsia="仿宋" w:cs="仿宋"/>
          <w:color w:val="auto"/>
          <w:w w:val="95"/>
          <w:sz w:val="24"/>
          <w:szCs w:val="24"/>
          <w:highlight w:val="none"/>
        </w:rPr>
        <w:t>属于</w:t>
      </w:r>
      <w:r>
        <w:rPr>
          <w:rFonts w:hint="eastAsia" w:ascii="仿宋" w:hAnsi="仿宋" w:eastAsia="仿宋" w:cs="仿宋"/>
          <w:color w:val="auto"/>
          <w:w w:val="95"/>
          <w:sz w:val="24"/>
          <w:szCs w:val="24"/>
          <w:highlight w:val="none"/>
          <w:u w:val="single"/>
        </w:rPr>
        <w:t>（中型企业、小型 企业、微型企业）；</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 xml:space="preserve">…… </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以上企业，不属于大企业的分支机构，不存在控股股东为大企业的情形，也不存在与大企业的负责人为同一人的情形。</w:t>
      </w:r>
    </w:p>
    <w:p>
      <w:pPr>
        <w:shd w:val="clear"/>
        <w:kinsoku w:val="0"/>
        <w:overflowPunct w:val="0"/>
        <w:spacing w:before="34" w:line="360" w:lineRule="auto"/>
        <w:ind w:firstLine="456" w:firstLineChars="200"/>
        <w:rPr>
          <w:rFonts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本企业对上述声明内容的真实性负责。如有虚假，将依法承担相应责任。</w:t>
      </w:r>
    </w:p>
    <w:p>
      <w:pPr>
        <w:shd w:val="clear"/>
        <w:spacing w:line="360" w:lineRule="auto"/>
        <w:ind w:firstLine="3024" w:firstLineChars="1200"/>
        <w:rPr>
          <w:rFonts w:ascii="仿宋" w:hAnsi="仿宋" w:eastAsia="仿宋" w:cs="仿宋"/>
          <w:color w:val="auto"/>
          <w:spacing w:val="6"/>
          <w:sz w:val="24"/>
          <w:szCs w:val="24"/>
          <w:highlight w:val="none"/>
        </w:rPr>
      </w:pPr>
    </w:p>
    <w:p>
      <w:pPr>
        <w:shd w:val="clear"/>
        <w:spacing w:line="360" w:lineRule="auto"/>
        <w:ind w:firstLine="3024" w:firstLineChars="1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 xml:space="preserve"> </w:t>
      </w:r>
    </w:p>
    <w:p>
      <w:pPr>
        <w:shd w:val="clear"/>
        <w:spacing w:line="360" w:lineRule="auto"/>
        <w:ind w:firstLine="3024" w:firstLineChars="1200"/>
        <w:rPr>
          <w:rFonts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日    期：</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1、从业人员、营业收入、资产总额填报上一年度数据，无上一年度数据的新成立企业可不填报。</w:t>
      </w:r>
    </w:p>
    <w:p>
      <w:pPr>
        <w:pageBreakBefore/>
        <w:shd w:val="clear"/>
        <w:spacing w:line="360" w:lineRule="auto"/>
        <w:ind w:firstLine="482" w:firstLineChars="200"/>
        <w:rPr>
          <w:rFonts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shd w:val="clear"/>
        <w:spacing w:line="360" w:lineRule="auto"/>
        <w:jc w:val="center"/>
        <w:rPr>
          <w:rFonts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shd w:val="clear"/>
        <w:spacing w:line="360" w:lineRule="auto"/>
        <w:ind w:firstLine="504" w:firstLineChars="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hd w:val="clear"/>
        <w:spacing w:line="360" w:lineRule="auto"/>
        <w:ind w:firstLine="504" w:firstLineChars="200"/>
        <w:rPr>
          <w:rFonts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shd w:val="clear"/>
        <w:spacing w:line="360" w:lineRule="auto"/>
        <w:ind w:firstLine="504" w:firstLineChars="200"/>
        <w:rPr>
          <w:rFonts w:ascii="仿宋" w:hAnsi="仿宋" w:eastAsia="仿宋" w:cs="仿宋"/>
          <w:color w:val="auto"/>
          <w:spacing w:val="6"/>
          <w:sz w:val="24"/>
          <w:szCs w:val="24"/>
          <w:highlight w:val="none"/>
        </w:rPr>
      </w:pPr>
    </w:p>
    <w:p>
      <w:pPr>
        <w:shd w:val="clear"/>
        <w:spacing w:line="360" w:lineRule="auto"/>
        <w:ind w:firstLine="3840" w:firstLineChars="16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napToGrid w:val="0"/>
        <w:spacing w:line="360" w:lineRule="auto"/>
        <w:ind w:firstLine="3840" w:firstLineChars="16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rPr>
          <w:rFonts w:ascii="仿宋" w:hAnsi="仿宋" w:eastAsia="仿宋" w:cs="仿宋"/>
          <w:color w:val="auto"/>
          <w:sz w:val="24"/>
          <w:szCs w:val="24"/>
          <w:highlight w:val="none"/>
        </w:rPr>
      </w:pPr>
    </w:p>
    <w:p>
      <w:pPr>
        <w:shd w:val="clear"/>
        <w:adjustRightInd w:val="0"/>
        <w:snapToGrid w:val="0"/>
        <w:spacing w:line="360" w:lineRule="auto"/>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ascii="仿宋" w:hAnsi="仿宋" w:eastAsia="仿宋" w:cs="仿宋"/>
          <w:color w:val="auto"/>
          <w:szCs w:val="44"/>
          <w:highlight w:val="none"/>
          <w:lang w:val="zh-CN"/>
        </w:rPr>
      </w:pPr>
      <w:bookmarkStart w:id="381" w:name="_Toc24985"/>
      <w:r>
        <w:rPr>
          <w:rFonts w:hint="eastAsia" w:ascii="仿宋" w:hAnsi="仿宋" w:eastAsia="仿宋" w:cs="仿宋"/>
          <w:color w:val="auto"/>
          <w:sz w:val="32"/>
          <w:szCs w:val="32"/>
          <w:highlight w:val="none"/>
          <w:lang w:val="zh-CN"/>
        </w:rPr>
        <w:t>五、合同主要条款偏离表</w:t>
      </w:r>
      <w:bookmarkEnd w:id="348"/>
      <w:bookmarkEnd w:id="349"/>
      <w:bookmarkEnd w:id="350"/>
      <w:bookmarkEnd w:id="351"/>
      <w:bookmarkEnd w:id="353"/>
      <w:bookmarkEnd w:id="354"/>
      <w:bookmarkEnd w:id="355"/>
      <w:bookmarkEnd w:id="356"/>
      <w:bookmarkEnd w:id="357"/>
      <w:bookmarkEnd w:id="358"/>
      <w:bookmarkEnd w:id="359"/>
      <w:bookmarkEnd w:id="381"/>
    </w:p>
    <w:p>
      <w:pPr>
        <w:shd w:val="clear"/>
        <w:spacing w:line="360" w:lineRule="auto"/>
        <w:jc w:val="left"/>
        <w:rPr>
          <w:rFonts w:ascii="仿宋" w:hAnsi="仿宋" w:eastAsia="仿宋" w:cs="仿宋"/>
          <w:color w:val="auto"/>
          <w:sz w:val="24"/>
          <w:szCs w:val="24"/>
          <w:highlight w:val="none"/>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vAlign w:val="center"/>
          </w:tcPr>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38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341"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2678"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840" w:type="dxa"/>
          </w:tcPr>
          <w:p>
            <w:pPr>
              <w:shd w:val="clear"/>
              <w:adjustRightInd w:val="0"/>
              <w:snapToGrid w:val="0"/>
              <w:spacing w:line="360" w:lineRule="auto"/>
              <w:ind w:right="24"/>
              <w:rPr>
                <w:rFonts w:ascii="仿宋" w:hAnsi="仿宋" w:eastAsia="仿宋" w:cs="仿宋"/>
                <w:bCs/>
                <w:color w:val="auto"/>
                <w:sz w:val="24"/>
                <w:szCs w:val="24"/>
                <w:highlight w:val="none"/>
              </w:rPr>
            </w:pPr>
          </w:p>
        </w:tc>
        <w:tc>
          <w:tcPr>
            <w:tcW w:w="1731" w:type="dxa"/>
          </w:tcPr>
          <w:p>
            <w:pPr>
              <w:shd w:val="clear"/>
              <w:adjustRightInd w:val="0"/>
              <w:snapToGrid w:val="0"/>
              <w:spacing w:line="360" w:lineRule="auto"/>
              <w:ind w:right="24"/>
              <w:rPr>
                <w:rFonts w:ascii="仿宋" w:hAnsi="仿宋" w:eastAsia="仿宋" w:cs="仿宋"/>
                <w:bCs/>
                <w:color w:val="auto"/>
                <w:sz w:val="24"/>
                <w:szCs w:val="24"/>
                <w:highlight w:val="none"/>
              </w:rPr>
            </w:pPr>
          </w:p>
        </w:tc>
      </w:tr>
    </w:tbl>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3"/>
        </w:num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3"/>
        </w:num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供应商必须据实填写，不得虚假响应，否则将取消其投标或中标资格，并按有关规定进处罚。</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2" w:name="_Toc475451556"/>
      <w:bookmarkStart w:id="383" w:name="_Toc473056006"/>
      <w:bookmarkStart w:id="384" w:name="_Toc475451803"/>
    </w:p>
    <w:p>
      <w:pPr>
        <w:pStyle w:val="9"/>
        <w:keepNext w:val="0"/>
        <w:pageBreakBefore/>
        <w:shd w:val="clear"/>
        <w:adjustRightInd w:val="0"/>
        <w:spacing w:line="416" w:lineRule="atLeast"/>
        <w:textAlignment w:val="baseline"/>
        <w:rPr>
          <w:rFonts w:ascii="仿宋" w:hAnsi="仿宋" w:eastAsia="仿宋" w:cs="仿宋"/>
          <w:color w:val="auto"/>
          <w:sz w:val="24"/>
          <w:szCs w:val="24"/>
          <w:highlight w:val="none"/>
          <w:lang w:val="zh-CN"/>
        </w:rPr>
        <w:sectPr>
          <w:footerReference r:id="rId10" w:type="default"/>
          <w:headerReference r:id="rId9" w:type="even"/>
          <w:pgSz w:w="11906" w:h="16838"/>
          <w:pgMar w:top="1417" w:right="1701" w:bottom="1417" w:left="1701" w:header="851" w:footer="992" w:gutter="0"/>
          <w:cols w:space="720" w:num="1"/>
          <w:docGrid w:linePitch="312" w:charSpace="0"/>
        </w:sectPr>
      </w:pPr>
      <w:bookmarkStart w:id="385" w:name="_Toc11930"/>
    </w:p>
    <w:p>
      <w:pPr>
        <w:pageBreakBefore/>
        <w:shd w:val="clear"/>
        <w:adjustRightInd w:val="0"/>
        <w:snapToGrid w:val="0"/>
        <w:spacing w:line="360" w:lineRule="auto"/>
        <w:jc w:val="center"/>
        <w:outlineLvl w:val="1"/>
        <w:rPr>
          <w:rStyle w:val="34"/>
          <w:rFonts w:ascii="仿宋" w:hAnsi="仿宋" w:eastAsia="仿宋" w:cs="仿宋"/>
          <w:color w:val="auto"/>
          <w:sz w:val="32"/>
          <w:szCs w:val="21"/>
          <w:highlight w:val="none"/>
        </w:rPr>
      </w:pPr>
      <w:bookmarkStart w:id="386" w:name="_Toc24781"/>
      <w:bookmarkStart w:id="387" w:name="_Toc11729"/>
      <w:bookmarkStart w:id="388" w:name="_Toc18259"/>
      <w:bookmarkStart w:id="389" w:name="_Toc759"/>
      <w:bookmarkStart w:id="390" w:name="_Toc1307"/>
      <w:bookmarkStart w:id="391" w:name="_Toc31736"/>
      <w:bookmarkStart w:id="392" w:name="_Toc15409"/>
      <w:bookmarkStart w:id="393" w:name="_Toc2298"/>
      <w:bookmarkStart w:id="394" w:name="_Toc16548"/>
      <w:bookmarkStart w:id="395" w:name="_Toc26424"/>
      <w:bookmarkStart w:id="396" w:name="_Toc17397"/>
      <w:bookmarkStart w:id="397" w:name="_Toc8757"/>
      <w:bookmarkStart w:id="398" w:name="_Toc25362"/>
      <w:bookmarkStart w:id="399" w:name="_Toc3524"/>
      <w:bookmarkStart w:id="400" w:name="_Toc2566"/>
      <w:bookmarkStart w:id="401" w:name="_Toc21290"/>
      <w:bookmarkStart w:id="402" w:name="_Toc20878"/>
      <w:bookmarkStart w:id="403" w:name="_Toc32190"/>
      <w:bookmarkStart w:id="404" w:name="_Toc18203"/>
      <w:bookmarkStart w:id="405" w:name="_Toc15517"/>
      <w:bookmarkStart w:id="406" w:name="_Toc27892"/>
      <w:bookmarkStart w:id="407" w:name="_Toc26846"/>
      <w:bookmarkStart w:id="408" w:name="_Toc12016"/>
      <w:bookmarkStart w:id="409" w:name="_Toc30778"/>
      <w:r>
        <w:rPr>
          <w:rStyle w:val="34"/>
          <w:rFonts w:hint="eastAsia" w:ascii="仿宋" w:hAnsi="仿宋" w:eastAsia="仿宋" w:cs="仿宋"/>
          <w:color w:val="auto"/>
          <w:sz w:val="32"/>
          <w:szCs w:val="21"/>
          <w:highlight w:val="none"/>
        </w:rPr>
        <w:t>六、节能环保、环境标志产品明细表</w:t>
      </w:r>
      <w:bookmarkEnd w:id="386"/>
      <w:bookmarkEnd w:id="387"/>
      <w:bookmarkEnd w:id="388"/>
      <w:r>
        <w:rPr>
          <w:rStyle w:val="34"/>
          <w:rFonts w:hint="eastAsia" w:ascii="仿宋" w:hAnsi="仿宋" w:eastAsia="仿宋" w:cs="仿宋"/>
          <w:color w:val="auto"/>
          <w:sz w:val="32"/>
          <w:szCs w:val="21"/>
          <w:highlight w:val="none"/>
        </w:rPr>
        <w:t>（若有）</w:t>
      </w:r>
      <w:bookmarkEnd w:id="389"/>
    </w:p>
    <w:p>
      <w:pPr>
        <w:shd w:val="clear"/>
        <w:spacing w:line="360" w:lineRule="auto"/>
        <w:ind w:right="-197" w:rightChars="-94"/>
        <w:rPr>
          <w:rFonts w:ascii="仿宋" w:hAnsi="仿宋" w:eastAsia="仿宋" w:cs="仿宋"/>
          <w:b/>
          <w:bCs/>
          <w:color w:val="auto"/>
          <w:sz w:val="24"/>
          <w:szCs w:val="24"/>
          <w:highlight w:val="none"/>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tcPr>
          <w:p>
            <w:pPr>
              <w:shd w:val="clear"/>
              <w:autoSpaceDE w:val="0"/>
              <w:autoSpaceDN w:val="0"/>
              <w:adjustRightInd w:val="0"/>
              <w:snapToGrid w:val="0"/>
              <w:spacing w:line="360" w:lineRule="auto"/>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shd w:val="clear"/>
              <w:autoSpaceDE w:val="0"/>
              <w:autoSpaceDN w:val="0"/>
              <w:adjustRightInd w:val="0"/>
              <w:snapToGrid w:val="0"/>
              <w:jc w:val="center"/>
              <w:rPr>
                <w:rFonts w:ascii="仿宋" w:hAnsi="仿宋" w:eastAsia="仿宋" w:cs="仿宋"/>
                <w:color w:val="auto"/>
                <w:sz w:val="22"/>
                <w:szCs w:val="22"/>
                <w:highlight w:val="none"/>
              </w:rPr>
            </w:pPr>
          </w:p>
        </w:tc>
      </w:tr>
    </w:tbl>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ascii="仿宋" w:hAnsi="仿宋" w:eastAsia="仿宋" w:cs="仿宋"/>
          <w:color w:val="auto"/>
          <w:sz w:val="24"/>
          <w:szCs w:val="24"/>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ascii="仿宋" w:hAnsi="仿宋" w:eastAsia="仿宋" w:cs="仿宋"/>
          <w:color w:val="auto"/>
          <w:sz w:val="24"/>
          <w:szCs w:val="24"/>
          <w:highlight w:val="none"/>
          <w:lang w:val="zh-CN"/>
        </w:rPr>
        <w:sectPr>
          <w:footerReference r:id="rId12" w:type="default"/>
          <w:headerReference r:id="rId11" w:type="even"/>
          <w:pgSz w:w="11906" w:h="16838"/>
          <w:pgMar w:top="1417" w:right="1701" w:bottom="1417" w:left="1701" w:header="851" w:footer="992" w:gutter="0"/>
          <w:cols w:space="720" w:num="1"/>
          <w:docGrid w:linePitch="312" w:charSpace="0"/>
        </w:sectPr>
      </w:pPr>
    </w:p>
    <w:bookmarkEnd w:id="38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Pr>
        <w:pStyle w:val="9"/>
        <w:keepNext w:val="0"/>
        <w:pageBreakBefore/>
        <w:shd w:val="clear"/>
        <w:spacing w:line="360" w:lineRule="auto"/>
        <w:rPr>
          <w:rFonts w:ascii="仿宋" w:hAnsi="仿宋" w:eastAsia="仿宋" w:cs="仿宋"/>
          <w:b w:val="0"/>
          <w:color w:val="auto"/>
          <w:kern w:val="2"/>
          <w:sz w:val="24"/>
          <w:szCs w:val="24"/>
          <w:highlight w:val="none"/>
          <w:lang w:val="zh-CN"/>
        </w:rPr>
      </w:pPr>
      <w:bookmarkStart w:id="410" w:name="_Toc7823"/>
      <w:bookmarkStart w:id="411" w:name="_Toc28411"/>
      <w:bookmarkStart w:id="412" w:name="_Toc11371"/>
      <w:bookmarkStart w:id="413" w:name="_Toc14710"/>
      <w:bookmarkStart w:id="414" w:name="_Toc13042"/>
      <w:bookmarkStart w:id="415" w:name="_Toc8297"/>
      <w:bookmarkStart w:id="416" w:name="_Toc26791"/>
      <w:bookmarkStart w:id="417" w:name="_Toc14308"/>
      <w:bookmarkStart w:id="418" w:name="_Toc31212"/>
      <w:bookmarkStart w:id="419" w:name="_Toc4764"/>
      <w:bookmarkStart w:id="420" w:name="_Toc370"/>
      <w:bookmarkStart w:id="421" w:name="_Toc8261"/>
      <w:bookmarkStart w:id="422" w:name="_Toc4404"/>
      <w:bookmarkStart w:id="423" w:name="_Toc22966"/>
      <w:bookmarkStart w:id="424" w:name="_Toc518"/>
      <w:bookmarkStart w:id="425" w:name="_Toc4501"/>
      <w:r>
        <w:rPr>
          <w:rFonts w:hint="eastAsia" w:ascii="仿宋" w:hAnsi="仿宋" w:eastAsia="仿宋" w:cs="仿宋"/>
          <w:color w:val="auto"/>
          <w:sz w:val="32"/>
          <w:szCs w:val="21"/>
          <w:highlight w:val="none"/>
        </w:rPr>
        <w:t>七</w:t>
      </w:r>
      <w:r>
        <w:rPr>
          <w:rFonts w:hint="eastAsia" w:ascii="仿宋" w:hAnsi="仿宋" w:eastAsia="仿宋" w:cs="仿宋"/>
          <w:color w:val="auto"/>
          <w:sz w:val="32"/>
          <w:szCs w:val="21"/>
          <w:highlight w:val="none"/>
          <w:lang w:val="zh-CN"/>
        </w:rPr>
        <w:t>、技术规格偏离表</w:t>
      </w:r>
      <w:bookmarkEnd w:id="410"/>
      <w:bookmarkEnd w:id="411"/>
      <w:bookmarkEnd w:id="412"/>
      <w:bookmarkEnd w:id="413"/>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vAlign w:val="center"/>
          </w:tcPr>
          <w:p>
            <w:pPr>
              <w:shd w:val="clear"/>
              <w:adjustRightInd w:val="0"/>
              <w:snapToGrid w:val="0"/>
              <w:ind w:right="23"/>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vAlign w:val="center"/>
          </w:tcPr>
          <w:p>
            <w:pPr>
              <w:shd w:val="clear"/>
              <w:adjustRightInd w:val="0"/>
              <w:snapToGrid w:val="0"/>
              <w:ind w:right="23"/>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vAlign w:val="center"/>
          </w:tcPr>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shd w:val="clear"/>
              <w:adjustRightInd w:val="0"/>
              <w:snapToGrid w:val="0"/>
              <w:spacing w:line="360" w:lineRule="auto"/>
              <w:ind w:right="24"/>
              <w:rPr>
                <w:rFonts w:ascii="仿宋" w:hAnsi="仿宋" w:eastAsia="仿宋" w:cs="仿宋"/>
                <w:bCs/>
                <w:color w:val="auto"/>
                <w:szCs w:val="21"/>
                <w:highlight w:val="none"/>
              </w:rPr>
            </w:pPr>
          </w:p>
        </w:tc>
        <w:tc>
          <w:tcPr>
            <w:tcW w:w="1365" w:type="dxa"/>
          </w:tcPr>
          <w:p>
            <w:pPr>
              <w:shd w:val="clear"/>
              <w:adjustRightInd w:val="0"/>
              <w:snapToGrid w:val="0"/>
              <w:spacing w:line="360" w:lineRule="auto"/>
              <w:ind w:right="24"/>
              <w:rPr>
                <w:rFonts w:ascii="仿宋" w:hAnsi="仿宋" w:eastAsia="仿宋" w:cs="仿宋"/>
                <w:bCs/>
                <w:color w:val="auto"/>
                <w:szCs w:val="21"/>
                <w:highlight w:val="none"/>
              </w:rPr>
            </w:pPr>
          </w:p>
        </w:tc>
        <w:tc>
          <w:tcPr>
            <w:tcW w:w="2520" w:type="dxa"/>
          </w:tcPr>
          <w:p>
            <w:pPr>
              <w:shd w:val="clear"/>
              <w:adjustRightInd w:val="0"/>
              <w:snapToGrid w:val="0"/>
              <w:spacing w:line="360" w:lineRule="auto"/>
              <w:ind w:right="24"/>
              <w:rPr>
                <w:rFonts w:ascii="仿宋" w:hAnsi="仿宋" w:eastAsia="仿宋" w:cs="仿宋"/>
                <w:bCs/>
                <w:color w:val="auto"/>
                <w:szCs w:val="21"/>
                <w:highlight w:val="none"/>
              </w:rPr>
            </w:pPr>
          </w:p>
        </w:tc>
        <w:tc>
          <w:tcPr>
            <w:tcW w:w="2625" w:type="dxa"/>
          </w:tcPr>
          <w:p>
            <w:pPr>
              <w:shd w:val="clear"/>
              <w:adjustRightInd w:val="0"/>
              <w:snapToGrid w:val="0"/>
              <w:spacing w:line="360" w:lineRule="auto"/>
              <w:ind w:right="24"/>
              <w:rPr>
                <w:rFonts w:ascii="仿宋" w:hAnsi="仿宋" w:eastAsia="仿宋" w:cs="仿宋"/>
                <w:bCs/>
                <w:color w:val="auto"/>
                <w:szCs w:val="21"/>
                <w:highlight w:val="none"/>
              </w:rPr>
            </w:pPr>
          </w:p>
        </w:tc>
        <w:tc>
          <w:tcPr>
            <w:tcW w:w="840" w:type="dxa"/>
          </w:tcPr>
          <w:p>
            <w:pPr>
              <w:shd w:val="clear"/>
              <w:adjustRightInd w:val="0"/>
              <w:snapToGrid w:val="0"/>
              <w:spacing w:line="360" w:lineRule="auto"/>
              <w:ind w:right="24"/>
              <w:rPr>
                <w:rFonts w:ascii="仿宋" w:hAnsi="仿宋" w:eastAsia="仿宋" w:cs="仿宋"/>
                <w:bCs/>
                <w:color w:val="auto"/>
                <w:szCs w:val="21"/>
                <w:highlight w:val="none"/>
              </w:rPr>
            </w:pPr>
          </w:p>
        </w:tc>
        <w:tc>
          <w:tcPr>
            <w:tcW w:w="1680" w:type="dxa"/>
          </w:tcPr>
          <w:p>
            <w:pPr>
              <w:shd w:val="clear"/>
              <w:adjustRightInd w:val="0"/>
              <w:snapToGrid w:val="0"/>
              <w:spacing w:line="360" w:lineRule="auto"/>
              <w:ind w:right="24"/>
              <w:rPr>
                <w:rFonts w:ascii="仿宋" w:hAnsi="仿宋" w:eastAsia="仿宋" w:cs="仿宋"/>
                <w:bCs/>
                <w:color w:val="auto"/>
                <w:szCs w:val="21"/>
                <w:highlight w:val="none"/>
              </w:rPr>
            </w:pPr>
          </w:p>
        </w:tc>
      </w:tr>
    </w:tbl>
    <w:p>
      <w:pPr>
        <w:shd w:val="clear"/>
        <w:spacing w:line="540" w:lineRule="exact"/>
        <w:ind w:right="-197" w:rightChars="-94"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1.本表只填写投标文件中与招标文件有偏离（包括负偏离和正偏离）的内容，在投标文件中须一一列出，无偏离时须提供空白表。</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2.供应商必须据实填写，不得虚假响应，否则将取消其投标或中标资格，并按有关规定进处罚。</w:t>
      </w:r>
    </w:p>
    <w:p>
      <w:pPr>
        <w:shd w:val="clear"/>
        <w:rPr>
          <w:rFonts w:ascii="仿宋" w:hAnsi="仿宋" w:eastAsia="仿宋" w:cs="仿宋"/>
          <w:color w:val="auto"/>
          <w:highlight w:val="none"/>
        </w:rPr>
      </w:pPr>
    </w:p>
    <w:p>
      <w:pPr>
        <w:shd w:val="clear"/>
        <w:spacing w:line="360" w:lineRule="auto"/>
        <w:rPr>
          <w:rFonts w:ascii="仿宋" w:hAnsi="仿宋" w:eastAsia="仿宋" w:cs="仿宋"/>
          <w:color w:val="auto"/>
          <w:sz w:val="24"/>
          <w:szCs w:val="24"/>
          <w:highlight w:val="none"/>
        </w:rPr>
      </w:pPr>
    </w:p>
    <w:p>
      <w:pPr>
        <w:shd w:val="clear"/>
        <w:spacing w:line="360" w:lineRule="auto"/>
        <w:ind w:firstLine="560" w:firstLineChars="200"/>
        <w:rPr>
          <w:rFonts w:ascii="仿宋" w:hAnsi="仿宋" w:eastAsia="仿宋" w:cs="仿宋"/>
          <w:color w:val="auto"/>
          <w:sz w:val="28"/>
          <w:szCs w:val="28"/>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rPr>
          <w:rFonts w:ascii="仿宋" w:hAnsi="仿宋" w:eastAsia="仿宋" w:cs="仿宋"/>
          <w:color w:val="auto"/>
          <w:highlight w:val="none"/>
        </w:rPr>
        <w:sectPr>
          <w:pgSz w:w="11906" w:h="16838"/>
          <w:pgMar w:top="1418" w:right="1474" w:bottom="1418" w:left="1474" w:header="851" w:footer="992" w:gutter="0"/>
          <w:cols w:space="720" w:num="1"/>
          <w:docGrid w:linePitch="312" w:charSpace="0"/>
        </w:sectPr>
      </w:pPr>
      <w:r>
        <w:rPr>
          <w:rFonts w:hint="eastAsia" w:ascii="仿宋" w:hAnsi="仿宋" w:eastAsia="仿宋" w:cs="仿宋"/>
          <w:color w:val="auto"/>
          <w:sz w:val="24"/>
          <w:szCs w:val="24"/>
          <w:highlight w:val="none"/>
          <w:u w:val="single"/>
        </w:rPr>
        <w:br w:type="page"/>
      </w:r>
      <w:bookmarkEnd w:id="414"/>
      <w:bookmarkEnd w:id="415"/>
      <w:bookmarkEnd w:id="416"/>
      <w:bookmarkEnd w:id="417"/>
    </w:p>
    <w:p>
      <w:pPr>
        <w:pageBreakBefore/>
        <w:shd w:val="clear"/>
        <w:adjustRightInd w:val="0"/>
        <w:snapToGrid w:val="0"/>
        <w:spacing w:line="360" w:lineRule="auto"/>
        <w:jc w:val="center"/>
        <w:outlineLvl w:val="1"/>
        <w:rPr>
          <w:rStyle w:val="34"/>
          <w:rFonts w:ascii="仿宋" w:hAnsi="仿宋" w:eastAsia="仿宋" w:cs="仿宋"/>
          <w:color w:val="auto"/>
          <w:sz w:val="32"/>
          <w:szCs w:val="21"/>
          <w:highlight w:val="none"/>
        </w:rPr>
      </w:pPr>
      <w:bookmarkStart w:id="426" w:name="_Toc30747"/>
      <w:r>
        <w:rPr>
          <w:rStyle w:val="34"/>
          <w:rFonts w:hint="eastAsia" w:ascii="仿宋" w:hAnsi="仿宋" w:eastAsia="仿宋" w:cs="仿宋"/>
          <w:color w:val="auto"/>
          <w:sz w:val="32"/>
          <w:szCs w:val="21"/>
          <w:highlight w:val="none"/>
        </w:rPr>
        <w:t>八、</w:t>
      </w:r>
      <w:bookmarkEnd w:id="382"/>
      <w:bookmarkEnd w:id="383"/>
      <w:bookmarkEnd w:id="384"/>
      <w:bookmarkEnd w:id="418"/>
      <w:bookmarkEnd w:id="419"/>
      <w:bookmarkEnd w:id="420"/>
      <w:r>
        <w:rPr>
          <w:rStyle w:val="34"/>
          <w:rFonts w:hint="eastAsia" w:ascii="仿宋" w:hAnsi="仿宋" w:eastAsia="仿宋" w:cs="仿宋"/>
          <w:color w:val="auto"/>
          <w:sz w:val="32"/>
          <w:szCs w:val="21"/>
          <w:highlight w:val="none"/>
        </w:rPr>
        <w:t>技术方案</w:t>
      </w:r>
      <w:bookmarkEnd w:id="421"/>
      <w:bookmarkEnd w:id="422"/>
      <w:bookmarkEnd w:id="423"/>
      <w:bookmarkEnd w:id="424"/>
      <w:bookmarkEnd w:id="425"/>
      <w:bookmarkEnd w:id="426"/>
    </w:p>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p>
    <w:p>
      <w:pPr>
        <w:pageBreakBefore/>
        <w:shd w:val="clear"/>
        <w:adjustRightInd w:val="0"/>
        <w:snapToGrid w:val="0"/>
        <w:spacing w:line="360" w:lineRule="auto"/>
        <w:jc w:val="center"/>
        <w:outlineLvl w:val="1"/>
        <w:rPr>
          <w:rFonts w:ascii="仿宋" w:hAnsi="仿宋" w:eastAsia="仿宋" w:cs="仿宋"/>
          <w:b/>
          <w:color w:val="auto"/>
          <w:szCs w:val="32"/>
          <w:highlight w:val="none"/>
        </w:rPr>
      </w:pPr>
      <w:bookmarkStart w:id="427" w:name="_Toc22956"/>
      <w:bookmarkStart w:id="428" w:name="_Toc28055"/>
      <w:bookmarkStart w:id="429" w:name="_Toc27566"/>
      <w:bookmarkStart w:id="430" w:name="_Toc2686"/>
      <w:bookmarkStart w:id="431" w:name="_Toc25402"/>
      <w:bookmarkStart w:id="432" w:name="_Toc23262"/>
      <w:bookmarkStart w:id="433" w:name="_Toc24871"/>
      <w:bookmarkStart w:id="434" w:name="_Toc9259"/>
      <w:bookmarkStart w:id="435" w:name="_Toc20544"/>
      <w:r>
        <w:rPr>
          <w:rStyle w:val="34"/>
          <w:rFonts w:hint="eastAsia" w:ascii="仿宋" w:hAnsi="仿宋" w:eastAsia="仿宋" w:cs="仿宋"/>
          <w:color w:val="auto"/>
          <w:sz w:val="32"/>
          <w:szCs w:val="21"/>
          <w:highlight w:val="none"/>
        </w:rPr>
        <w:t>九、</w:t>
      </w:r>
      <w:bookmarkEnd w:id="427"/>
      <w:bookmarkEnd w:id="428"/>
      <w:bookmarkEnd w:id="429"/>
      <w:bookmarkEnd w:id="430"/>
      <w:bookmarkEnd w:id="431"/>
      <w:bookmarkEnd w:id="432"/>
      <w:bookmarkEnd w:id="433"/>
      <w:r>
        <w:rPr>
          <w:rStyle w:val="34"/>
          <w:rFonts w:hint="eastAsia" w:ascii="仿宋" w:hAnsi="仿宋" w:eastAsia="仿宋" w:cs="仿宋"/>
          <w:color w:val="auto"/>
          <w:sz w:val="32"/>
          <w:szCs w:val="21"/>
          <w:highlight w:val="none"/>
        </w:rPr>
        <w:t>质量保证及售后服务承诺</w:t>
      </w:r>
      <w:bookmarkEnd w:id="434"/>
      <w:bookmarkEnd w:id="435"/>
    </w:p>
    <w:p>
      <w:pPr>
        <w:shd w:val="clear"/>
        <w:rPr>
          <w:rFonts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6" w:name="_Toc30152"/>
      <w:bookmarkStart w:id="437" w:name="_Toc17895"/>
      <w:bookmarkStart w:id="438" w:name="_Toc15935"/>
    </w:p>
    <w:bookmarkEnd w:id="436"/>
    <w:p>
      <w:pPr>
        <w:shd w:val="clear"/>
        <w:spacing w:line="360" w:lineRule="auto"/>
        <w:rPr>
          <w:rFonts w:ascii="仿宋" w:hAnsi="仿宋" w:eastAsia="仿宋" w:cs="仿宋"/>
          <w:color w:val="auto"/>
          <w:sz w:val="24"/>
          <w:szCs w:val="24"/>
          <w:highlight w:val="none"/>
        </w:rPr>
      </w:pPr>
    </w:p>
    <w:bookmarkEnd w:id="437"/>
    <w:bookmarkEnd w:id="438"/>
    <w:p>
      <w:pPr>
        <w:shd w:val="clear"/>
        <w:rPr>
          <w:rFonts w:ascii="仿宋" w:hAnsi="仿宋" w:eastAsia="仿宋" w:cs="仿宋"/>
          <w:b/>
          <w:color w:val="auto"/>
          <w:sz w:val="32"/>
          <w:szCs w:val="32"/>
          <w:highlight w:val="none"/>
        </w:rPr>
      </w:pPr>
      <w:bookmarkStart w:id="439" w:name="_Toc23271"/>
      <w:bookmarkStart w:id="440" w:name="_Toc18031"/>
      <w:bookmarkStart w:id="441" w:name="_Toc6638"/>
      <w:bookmarkStart w:id="442" w:name="_Toc475451804"/>
      <w:bookmarkStart w:id="443" w:name="_Toc475451557"/>
      <w:bookmarkStart w:id="444" w:name="_Toc10131"/>
      <w:bookmarkStart w:id="445" w:name="_Toc473056008"/>
      <w:bookmarkStart w:id="446" w:name="_Toc19696"/>
      <w:bookmarkStart w:id="447" w:name="_Toc27139"/>
      <w:bookmarkStart w:id="448" w:name="_Toc8020"/>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ascii="仿宋" w:hAnsi="仿宋" w:eastAsia="仿宋" w:cs="仿宋"/>
          <w:b/>
          <w:color w:val="auto"/>
          <w:sz w:val="44"/>
          <w:szCs w:val="44"/>
          <w:highlight w:val="none"/>
        </w:rPr>
      </w:pPr>
      <w:bookmarkStart w:id="449" w:name="_Toc31948"/>
      <w:bookmarkStart w:id="450" w:name="_Toc8031"/>
      <w:r>
        <w:rPr>
          <w:rFonts w:hint="eastAsia" w:ascii="仿宋" w:hAnsi="仿宋" w:eastAsia="仿宋" w:cs="仿宋"/>
          <w:b/>
          <w:color w:val="auto"/>
          <w:sz w:val="32"/>
          <w:szCs w:val="32"/>
          <w:highlight w:val="none"/>
        </w:rPr>
        <w:t>十、近年业绩的有关证明材料</w:t>
      </w:r>
      <w:bookmarkEnd w:id="439"/>
      <w:bookmarkEnd w:id="440"/>
      <w:bookmarkEnd w:id="441"/>
      <w:bookmarkEnd w:id="442"/>
      <w:bookmarkEnd w:id="443"/>
      <w:bookmarkEnd w:id="444"/>
      <w:bookmarkEnd w:id="445"/>
      <w:bookmarkEnd w:id="446"/>
      <w:bookmarkEnd w:id="447"/>
      <w:bookmarkEnd w:id="448"/>
      <w:bookmarkEnd w:id="449"/>
      <w:bookmarkEnd w:id="450"/>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vAlign w:val="center"/>
          </w:tcPr>
          <w:p>
            <w:pPr>
              <w:shd w:val="clear"/>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hd w:val="clear"/>
              <w:spacing w:line="360" w:lineRule="auto"/>
              <w:rPr>
                <w:rFonts w:ascii="仿宋" w:hAnsi="仿宋" w:eastAsia="仿宋" w:cs="仿宋"/>
                <w:color w:val="auto"/>
                <w:sz w:val="24"/>
                <w:szCs w:val="24"/>
                <w:highlight w:val="none"/>
              </w:rPr>
            </w:pPr>
          </w:p>
        </w:tc>
        <w:tc>
          <w:tcPr>
            <w:tcW w:w="1620" w:type="dxa"/>
          </w:tcPr>
          <w:p>
            <w:pPr>
              <w:shd w:val="clear"/>
              <w:spacing w:line="360" w:lineRule="auto"/>
              <w:rPr>
                <w:rFonts w:ascii="仿宋" w:hAnsi="仿宋" w:eastAsia="仿宋" w:cs="仿宋"/>
                <w:color w:val="auto"/>
                <w:sz w:val="24"/>
                <w:szCs w:val="24"/>
                <w:highlight w:val="none"/>
              </w:rPr>
            </w:pPr>
          </w:p>
        </w:tc>
        <w:tc>
          <w:tcPr>
            <w:tcW w:w="252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470" w:type="dxa"/>
          </w:tcPr>
          <w:p>
            <w:pPr>
              <w:shd w:val="clear"/>
              <w:spacing w:line="360" w:lineRule="auto"/>
              <w:rPr>
                <w:rFonts w:ascii="仿宋" w:hAnsi="仿宋" w:eastAsia="仿宋" w:cs="仿宋"/>
                <w:color w:val="auto"/>
                <w:sz w:val="24"/>
                <w:szCs w:val="24"/>
                <w:highlight w:val="none"/>
              </w:rPr>
            </w:pPr>
          </w:p>
        </w:tc>
        <w:tc>
          <w:tcPr>
            <w:tcW w:w="1365" w:type="dxa"/>
          </w:tcPr>
          <w:p>
            <w:pPr>
              <w:shd w:val="clear"/>
              <w:spacing w:line="360" w:lineRule="auto"/>
              <w:rPr>
                <w:rFonts w:ascii="仿宋" w:hAnsi="仿宋" w:eastAsia="仿宋" w:cs="仿宋"/>
                <w:color w:val="auto"/>
                <w:sz w:val="24"/>
                <w:szCs w:val="24"/>
                <w:highlight w:val="none"/>
              </w:rPr>
            </w:pPr>
          </w:p>
        </w:tc>
      </w:tr>
    </w:tbl>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ascii="仿宋" w:hAnsi="仿宋" w:eastAsia="仿宋" w:cs="仿宋"/>
          <w:color w:val="auto"/>
          <w:sz w:val="24"/>
          <w:szCs w:val="24"/>
          <w:highlight w:val="none"/>
        </w:rPr>
      </w:pPr>
    </w:p>
    <w:p>
      <w:pPr>
        <w:shd w:val="clear"/>
        <w:spacing w:line="360" w:lineRule="auto"/>
        <w:ind w:right="-197" w:rightChars="-94" w:firstLine="480" w:firstLineChars="200"/>
        <w:jc w:val="left"/>
        <w:rPr>
          <w:rFonts w:ascii="仿宋" w:hAnsi="仿宋" w:eastAsia="仿宋" w:cs="仿宋"/>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51" w:name="_Toc19495"/>
      <w:bookmarkStart w:id="452" w:name="_Toc23592"/>
      <w:bookmarkStart w:id="453" w:name="_Toc18036"/>
      <w:bookmarkStart w:id="454" w:name="_Toc28776"/>
      <w:bookmarkStart w:id="455" w:name="_Toc11796"/>
      <w:bookmarkStart w:id="456" w:name="_Toc3523"/>
      <w:bookmarkStart w:id="457" w:name="_Toc17302"/>
      <w:bookmarkStart w:id="458" w:name="_Toc4012"/>
      <w:bookmarkStart w:id="459" w:name="_Toc32284"/>
      <w:bookmarkStart w:id="460" w:name="_Toc16864"/>
      <w:bookmarkStart w:id="461" w:name="_Toc24201"/>
      <w:bookmarkStart w:id="462" w:name="_Toc16096"/>
      <w:bookmarkStart w:id="463" w:name="_Toc31387"/>
      <w:bookmarkStart w:id="464" w:name="_Toc8517"/>
      <w:bookmarkStart w:id="465" w:name="_Toc14104"/>
      <w:bookmarkStart w:id="466" w:name="_Toc32626"/>
    </w:p>
    <w:bookmarkEnd w:id="451"/>
    <w:bookmarkEnd w:id="452"/>
    <w:bookmarkEnd w:id="453"/>
    <w:bookmarkEnd w:id="454"/>
    <w:bookmarkEnd w:id="455"/>
    <w:bookmarkEnd w:id="456"/>
    <w:bookmarkEnd w:id="457"/>
    <w:bookmarkEnd w:id="458"/>
    <w:p>
      <w:pPr>
        <w:pStyle w:val="9"/>
        <w:keepNext w:val="0"/>
        <w:pageBreakBefore/>
        <w:shd w:val="clear"/>
        <w:spacing w:line="360" w:lineRule="auto"/>
        <w:rPr>
          <w:rFonts w:ascii="仿宋" w:hAnsi="仿宋" w:eastAsia="仿宋" w:cs="仿宋"/>
          <w:b w:val="0"/>
          <w:bCs/>
          <w:color w:val="auto"/>
          <w:szCs w:val="44"/>
          <w:highlight w:val="none"/>
        </w:rPr>
      </w:pPr>
      <w:bookmarkStart w:id="467" w:name="_Toc1958"/>
      <w:r>
        <w:rPr>
          <w:rFonts w:hint="eastAsia" w:ascii="仿宋" w:hAnsi="仿宋" w:eastAsia="仿宋" w:cs="仿宋"/>
          <w:color w:val="auto"/>
          <w:sz w:val="36"/>
          <w:highlight w:val="none"/>
        </w:rPr>
        <w:t>十一</w:t>
      </w:r>
      <w:r>
        <w:rPr>
          <w:rFonts w:hint="eastAsia" w:ascii="仿宋" w:hAnsi="仿宋" w:eastAsia="仿宋" w:cs="仿宋"/>
          <w:color w:val="auto"/>
          <w:sz w:val="32"/>
          <w:szCs w:val="32"/>
          <w:highlight w:val="none"/>
        </w:rPr>
        <w:t>、供应商企业关系关联承诺书</w:t>
      </w:r>
      <w:bookmarkEnd w:id="459"/>
      <w:bookmarkEnd w:id="460"/>
      <w:bookmarkEnd w:id="461"/>
      <w:bookmarkEnd w:id="462"/>
      <w:bookmarkEnd w:id="463"/>
      <w:bookmarkEnd w:id="464"/>
      <w:bookmarkEnd w:id="465"/>
      <w:bookmarkEnd w:id="466"/>
      <w:bookmarkEnd w:id="467"/>
    </w:p>
    <w:p>
      <w:pPr>
        <w:shd w:val="clear"/>
        <w:spacing w:line="360" w:lineRule="auto"/>
        <w:rPr>
          <w:rFonts w:ascii="仿宋" w:hAnsi="仿宋" w:eastAsia="仿宋" w:cs="仿宋"/>
          <w:color w:val="auto"/>
          <w:spacing w:val="4"/>
          <w:sz w:val="24"/>
          <w:szCs w:val="24"/>
          <w:highlight w:val="none"/>
        </w:rPr>
      </w:pPr>
    </w:p>
    <w:p>
      <w:pPr>
        <w:shd w:val="clea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）的供应商，在此郑重声明：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1、供应商在本项目中，不存在与其它供应商负责人为同一人，有控股、管理等关联关系承诺。</w:t>
      </w:r>
    </w:p>
    <w:p>
      <w:pPr>
        <w:widowControl/>
        <w:shd w:val="clear"/>
        <w:spacing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ascii="仿宋" w:hAnsi="仿宋" w:eastAsia="仿宋" w:cs="仿宋"/>
          <w:color w:val="auto"/>
          <w:sz w:val="24"/>
          <w:szCs w:val="24"/>
          <w:highlight w:val="none"/>
        </w:rPr>
      </w:pPr>
    </w:p>
    <w:p>
      <w:pPr>
        <w:pStyle w:val="5"/>
        <w:shd w:val="clear"/>
        <w:ind w:firstLine="240"/>
        <w:rPr>
          <w:rFonts w:ascii="仿宋" w:hAnsi="仿宋" w:eastAsia="仿宋" w:cs="仿宋"/>
          <w:color w:val="auto"/>
          <w:sz w:val="24"/>
          <w:highlight w:val="none"/>
        </w:rPr>
      </w:pPr>
    </w:p>
    <w:p>
      <w:pPr>
        <w:shd w:val="clear"/>
        <w:autoSpaceDE w:val="0"/>
        <w:autoSpaceDN w:val="0"/>
        <w:adjustRightInd w:val="0"/>
        <w:spacing w:line="360" w:lineRule="auto"/>
        <w:jc w:val="center"/>
        <w:rPr>
          <w:rFonts w:ascii="仿宋" w:hAnsi="仿宋" w:eastAsia="仿宋" w:cs="仿宋"/>
          <w:b/>
          <w:color w:val="auto"/>
          <w:sz w:val="24"/>
          <w:szCs w:val="24"/>
          <w:highlight w:val="none"/>
        </w:rPr>
      </w:pPr>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ascii="仿宋" w:hAnsi="仿宋" w:eastAsia="仿宋" w:cs="仿宋"/>
          <w:b/>
          <w:color w:val="auto"/>
          <w:kern w:val="0"/>
          <w:sz w:val="32"/>
          <w:szCs w:val="24"/>
          <w:highlight w:val="none"/>
          <w:lang w:val="zh-CN"/>
        </w:rPr>
      </w:pPr>
      <w:bookmarkStart w:id="468" w:name="_Toc2681"/>
      <w:bookmarkStart w:id="469" w:name="_Toc5082"/>
      <w:bookmarkStart w:id="470" w:name="_Toc19579"/>
      <w:bookmarkStart w:id="471" w:name="_Toc26450"/>
      <w:bookmarkStart w:id="472" w:name="_Toc31226"/>
      <w:bookmarkStart w:id="473" w:name="_Toc19643"/>
      <w:bookmarkStart w:id="474" w:name="_Toc12844"/>
      <w:bookmarkStart w:id="475" w:name="_Toc2180"/>
      <w:bookmarkStart w:id="476" w:name="_Toc28697"/>
      <w:bookmarkStart w:id="477" w:name="_Toc14521"/>
      <w:bookmarkStart w:id="478" w:name="_Toc7489"/>
      <w:bookmarkStart w:id="479" w:name="_Toc26328"/>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rPr>
        <w:t>二</w:t>
      </w:r>
      <w:r>
        <w:rPr>
          <w:rFonts w:hint="eastAsia" w:ascii="仿宋" w:hAnsi="仿宋" w:eastAsia="仿宋" w:cs="仿宋"/>
          <w:b/>
          <w:color w:val="auto"/>
          <w:kern w:val="0"/>
          <w:sz w:val="32"/>
          <w:szCs w:val="24"/>
          <w:highlight w:val="none"/>
          <w:lang w:val="zh-CN"/>
        </w:rPr>
        <w:t>、供应商廉洁自律承诺书</w:t>
      </w:r>
      <w:bookmarkEnd w:id="468"/>
      <w:bookmarkEnd w:id="469"/>
      <w:bookmarkEnd w:id="470"/>
      <w:bookmarkEnd w:id="471"/>
      <w:bookmarkEnd w:id="472"/>
      <w:bookmarkEnd w:id="473"/>
      <w:bookmarkEnd w:id="474"/>
      <w:bookmarkEnd w:id="475"/>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color w:val="auto"/>
          <w:highlight w:val="none"/>
        </w:rPr>
        <w:fldChar w:fldCharType="begin"/>
      </w:r>
      <w:r>
        <w:rPr>
          <w:color w:val="auto"/>
          <w:highlight w:val="none"/>
        </w:rPr>
        <w:instrText xml:space="preserve"> HYPERLINK "http://www.yjbys.com/" </w:instrText>
      </w:r>
      <w:r>
        <w:rPr>
          <w:color w:val="auto"/>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pPr>
        <w:shd w:val="clea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ascii="仿宋" w:hAnsi="仿宋" w:eastAsia="仿宋" w:cs="仿宋"/>
          <w:color w:val="auto"/>
          <w:sz w:val="24"/>
          <w:szCs w:val="24"/>
          <w:highlight w:val="none"/>
        </w:rPr>
      </w:pPr>
      <w:bookmarkStart w:id="480" w:name="_Toc4293"/>
      <w:bookmarkStart w:id="481" w:name="_Toc25981"/>
      <w:bookmarkStart w:id="482" w:name="_Toc1644"/>
      <w:bookmarkStart w:id="483" w:name="_Toc7233"/>
    </w:p>
    <w:p>
      <w:pPr>
        <w:shd w:val="clear"/>
        <w:spacing w:line="360" w:lineRule="auto"/>
        <w:ind w:firstLine="4080" w:firstLineChars="17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ascii="仿宋" w:hAnsi="仿宋" w:eastAsia="仿宋" w:cs="仿宋"/>
          <w:color w:val="auto"/>
          <w:szCs w:val="22"/>
          <w:highlight w:val="none"/>
          <w:lang w:val="zh-CN"/>
        </w:rPr>
      </w:pPr>
      <w:bookmarkStart w:id="484" w:name="_Toc19539"/>
      <w:bookmarkStart w:id="485" w:name="_Toc25138"/>
      <w:r>
        <w:rPr>
          <w:rFonts w:hint="eastAsia" w:ascii="仿宋" w:hAnsi="仿宋" w:eastAsia="仿宋" w:cs="仿宋"/>
          <w:color w:val="auto"/>
          <w:sz w:val="32"/>
          <w:szCs w:val="21"/>
          <w:highlight w:val="none"/>
        </w:rPr>
        <w:t>十三</w:t>
      </w:r>
      <w:r>
        <w:rPr>
          <w:rFonts w:hint="eastAsia" w:ascii="仿宋" w:hAnsi="仿宋" w:eastAsia="仿宋" w:cs="仿宋"/>
          <w:color w:val="auto"/>
          <w:sz w:val="32"/>
          <w:szCs w:val="24"/>
          <w:highlight w:val="none"/>
          <w:lang w:val="zh-CN"/>
        </w:rPr>
        <w:t>、供应商认为有必要补充说明的事项</w:t>
      </w:r>
      <w:bookmarkEnd w:id="476"/>
      <w:bookmarkEnd w:id="477"/>
      <w:bookmarkEnd w:id="478"/>
      <w:bookmarkEnd w:id="479"/>
      <w:bookmarkEnd w:id="480"/>
      <w:bookmarkEnd w:id="481"/>
      <w:bookmarkEnd w:id="482"/>
      <w:bookmarkEnd w:id="483"/>
      <w:bookmarkEnd w:id="484"/>
      <w:bookmarkEnd w:id="485"/>
    </w:p>
    <w:bookmarkEnd w:id="316"/>
    <w:bookmarkEnd w:id="317"/>
    <w:bookmarkEnd w:id="318"/>
    <w:bookmarkEnd w:id="319"/>
    <w:bookmarkEnd w:id="320"/>
    <w:bookmarkEnd w:id="321"/>
    <w:bookmarkEnd w:id="322"/>
    <w:bookmarkEnd w:id="323"/>
    <w:bookmarkEnd w:id="324"/>
    <w:p>
      <w:pPr>
        <w:shd w:val="clear"/>
        <w:rPr>
          <w:rFonts w:ascii="仿宋" w:hAnsi="仿宋" w:eastAsia="仿宋" w:cs="仿宋"/>
          <w:color w:val="auto"/>
          <w:highlight w:val="none"/>
          <w:lang w:val="zh-CN"/>
        </w:rPr>
      </w:pPr>
    </w:p>
    <w:sectPr>
      <w:footerReference r:id="rId13" w:type="default"/>
      <w:pgSz w:w="11906" w:h="16838"/>
      <w:pgMar w:top="1417" w:right="1701" w:bottom="1417"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Wingdings 2">
    <w:altName w:val="Wingdings"/>
    <w:panose1 w:val="05020102010507070707"/>
    <w:charset w:val="02"/>
    <w:family w:val="decorative"/>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abstractNum w:abstractNumId="2">
    <w:nsid w:val="C40608AB"/>
    <w:multiLevelType w:val="singleLevel"/>
    <w:tmpl w:val="C40608AB"/>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35367D"/>
    <w:rsid w:val="00503251"/>
    <w:rsid w:val="006B4FAC"/>
    <w:rsid w:val="006D723B"/>
    <w:rsid w:val="007B72C1"/>
    <w:rsid w:val="008E09C7"/>
    <w:rsid w:val="00BA40C0"/>
    <w:rsid w:val="00DE34BA"/>
    <w:rsid w:val="00E9070B"/>
    <w:rsid w:val="01072ECF"/>
    <w:rsid w:val="01BF4CFA"/>
    <w:rsid w:val="01CE2DA2"/>
    <w:rsid w:val="02F65EA5"/>
    <w:rsid w:val="033663E9"/>
    <w:rsid w:val="0424200F"/>
    <w:rsid w:val="045B4C77"/>
    <w:rsid w:val="04CD44F6"/>
    <w:rsid w:val="051B4D72"/>
    <w:rsid w:val="054C4B68"/>
    <w:rsid w:val="0560491E"/>
    <w:rsid w:val="05CB26F0"/>
    <w:rsid w:val="05E17870"/>
    <w:rsid w:val="064C1A23"/>
    <w:rsid w:val="064E2CB2"/>
    <w:rsid w:val="06DB123D"/>
    <w:rsid w:val="06E762C1"/>
    <w:rsid w:val="07030667"/>
    <w:rsid w:val="075576BA"/>
    <w:rsid w:val="08DA1CCC"/>
    <w:rsid w:val="092F2224"/>
    <w:rsid w:val="094E1B96"/>
    <w:rsid w:val="0A195CCB"/>
    <w:rsid w:val="0ABA0821"/>
    <w:rsid w:val="0ABD0267"/>
    <w:rsid w:val="0AC83A82"/>
    <w:rsid w:val="0B725906"/>
    <w:rsid w:val="0BC342A5"/>
    <w:rsid w:val="0C39505A"/>
    <w:rsid w:val="0DD36A09"/>
    <w:rsid w:val="0F914EE8"/>
    <w:rsid w:val="0F987A35"/>
    <w:rsid w:val="0FEE4F26"/>
    <w:rsid w:val="108A40C0"/>
    <w:rsid w:val="10953ECE"/>
    <w:rsid w:val="111C783A"/>
    <w:rsid w:val="116B3023"/>
    <w:rsid w:val="1178071A"/>
    <w:rsid w:val="13023FD9"/>
    <w:rsid w:val="13FE1DA7"/>
    <w:rsid w:val="142B7B4A"/>
    <w:rsid w:val="143F67C8"/>
    <w:rsid w:val="15011221"/>
    <w:rsid w:val="152C2ACA"/>
    <w:rsid w:val="153E1FEF"/>
    <w:rsid w:val="15E74E5F"/>
    <w:rsid w:val="161768F2"/>
    <w:rsid w:val="16FE6533"/>
    <w:rsid w:val="170E6DF4"/>
    <w:rsid w:val="17276132"/>
    <w:rsid w:val="18124DBC"/>
    <w:rsid w:val="18A63803"/>
    <w:rsid w:val="18B90CA4"/>
    <w:rsid w:val="18EB42EB"/>
    <w:rsid w:val="19297178"/>
    <w:rsid w:val="194C152D"/>
    <w:rsid w:val="1A0E3F19"/>
    <w:rsid w:val="1A121B15"/>
    <w:rsid w:val="1AF228FD"/>
    <w:rsid w:val="1B377F57"/>
    <w:rsid w:val="1B430CEF"/>
    <w:rsid w:val="1BCB0C5B"/>
    <w:rsid w:val="1C044E7D"/>
    <w:rsid w:val="1C4F5F8B"/>
    <w:rsid w:val="1C760B0D"/>
    <w:rsid w:val="1C832EF3"/>
    <w:rsid w:val="1D5B1219"/>
    <w:rsid w:val="1D631BA7"/>
    <w:rsid w:val="1D9B202C"/>
    <w:rsid w:val="1DD871C9"/>
    <w:rsid w:val="1E017374"/>
    <w:rsid w:val="1E120164"/>
    <w:rsid w:val="1EA26830"/>
    <w:rsid w:val="1EA64545"/>
    <w:rsid w:val="1FB42CDC"/>
    <w:rsid w:val="2030768E"/>
    <w:rsid w:val="20561977"/>
    <w:rsid w:val="2070384A"/>
    <w:rsid w:val="20EF433C"/>
    <w:rsid w:val="212E2BED"/>
    <w:rsid w:val="21B30412"/>
    <w:rsid w:val="22364F87"/>
    <w:rsid w:val="2267000F"/>
    <w:rsid w:val="22710E72"/>
    <w:rsid w:val="23BD535D"/>
    <w:rsid w:val="243D57B7"/>
    <w:rsid w:val="24B347CF"/>
    <w:rsid w:val="253907E9"/>
    <w:rsid w:val="2578616C"/>
    <w:rsid w:val="270629C7"/>
    <w:rsid w:val="276E06FD"/>
    <w:rsid w:val="27DA227F"/>
    <w:rsid w:val="28874FC7"/>
    <w:rsid w:val="28EF40E2"/>
    <w:rsid w:val="29103985"/>
    <w:rsid w:val="29313E7E"/>
    <w:rsid w:val="29CE1C23"/>
    <w:rsid w:val="2A220659"/>
    <w:rsid w:val="2C79393B"/>
    <w:rsid w:val="2C84162D"/>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4B57FB8"/>
    <w:rsid w:val="35385DB0"/>
    <w:rsid w:val="35AD6FFF"/>
    <w:rsid w:val="35BD41C8"/>
    <w:rsid w:val="35FA112A"/>
    <w:rsid w:val="360953A3"/>
    <w:rsid w:val="365F178C"/>
    <w:rsid w:val="367403BC"/>
    <w:rsid w:val="36E66740"/>
    <w:rsid w:val="371D7D99"/>
    <w:rsid w:val="3806579E"/>
    <w:rsid w:val="38C0120A"/>
    <w:rsid w:val="395C33A4"/>
    <w:rsid w:val="395F3A3A"/>
    <w:rsid w:val="39A139DA"/>
    <w:rsid w:val="39F8254C"/>
    <w:rsid w:val="3AD8706D"/>
    <w:rsid w:val="3BA53C49"/>
    <w:rsid w:val="3C2E148B"/>
    <w:rsid w:val="3CF25686"/>
    <w:rsid w:val="3D3D5BAB"/>
    <w:rsid w:val="3E7D13AA"/>
    <w:rsid w:val="3EA65882"/>
    <w:rsid w:val="3F5D4F76"/>
    <w:rsid w:val="403D0274"/>
    <w:rsid w:val="40B569EF"/>
    <w:rsid w:val="412905E8"/>
    <w:rsid w:val="41EB2146"/>
    <w:rsid w:val="420E7E94"/>
    <w:rsid w:val="421D7ADC"/>
    <w:rsid w:val="4286079A"/>
    <w:rsid w:val="42B555A4"/>
    <w:rsid w:val="42D651EB"/>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AF90B35"/>
    <w:rsid w:val="4B665589"/>
    <w:rsid w:val="4CC96555"/>
    <w:rsid w:val="4D324DCC"/>
    <w:rsid w:val="4E0B07C7"/>
    <w:rsid w:val="4E91125B"/>
    <w:rsid w:val="4EC60B02"/>
    <w:rsid w:val="4ED714F3"/>
    <w:rsid w:val="4EFF70A2"/>
    <w:rsid w:val="4FFE2A4D"/>
    <w:rsid w:val="503F4646"/>
    <w:rsid w:val="50687576"/>
    <w:rsid w:val="50F002FC"/>
    <w:rsid w:val="510E5765"/>
    <w:rsid w:val="51860B4A"/>
    <w:rsid w:val="51FC39E5"/>
    <w:rsid w:val="52522CA0"/>
    <w:rsid w:val="526A7F2E"/>
    <w:rsid w:val="52C24E98"/>
    <w:rsid w:val="52CD68BD"/>
    <w:rsid w:val="53140DC1"/>
    <w:rsid w:val="53E96407"/>
    <w:rsid w:val="54385FC3"/>
    <w:rsid w:val="5459227D"/>
    <w:rsid w:val="546D50F9"/>
    <w:rsid w:val="55576F8D"/>
    <w:rsid w:val="55C854F9"/>
    <w:rsid w:val="569641F3"/>
    <w:rsid w:val="56D63ED7"/>
    <w:rsid w:val="57616100"/>
    <w:rsid w:val="578C3138"/>
    <w:rsid w:val="5801517A"/>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8C3C37"/>
    <w:rsid w:val="609B2F18"/>
    <w:rsid w:val="60AB52FB"/>
    <w:rsid w:val="612F0AAC"/>
    <w:rsid w:val="617B342C"/>
    <w:rsid w:val="618052A3"/>
    <w:rsid w:val="61A05A41"/>
    <w:rsid w:val="61A65A50"/>
    <w:rsid w:val="62D973EC"/>
    <w:rsid w:val="633E6B67"/>
    <w:rsid w:val="638A29AA"/>
    <w:rsid w:val="644B5969"/>
    <w:rsid w:val="6639491E"/>
    <w:rsid w:val="663A635E"/>
    <w:rsid w:val="663B7C52"/>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332F55"/>
    <w:rsid w:val="705661F5"/>
    <w:rsid w:val="70741DA4"/>
    <w:rsid w:val="715227D8"/>
    <w:rsid w:val="72785511"/>
    <w:rsid w:val="737D0386"/>
    <w:rsid w:val="74336640"/>
    <w:rsid w:val="745F5922"/>
    <w:rsid w:val="76876B6E"/>
    <w:rsid w:val="76CE179B"/>
    <w:rsid w:val="76F70D77"/>
    <w:rsid w:val="77250723"/>
    <w:rsid w:val="77253808"/>
    <w:rsid w:val="77DF601B"/>
    <w:rsid w:val="77E02A90"/>
    <w:rsid w:val="784C1F84"/>
    <w:rsid w:val="791D0736"/>
    <w:rsid w:val="79321132"/>
    <w:rsid w:val="79746AE6"/>
    <w:rsid w:val="7A172027"/>
    <w:rsid w:val="7A210D18"/>
    <w:rsid w:val="7AF21885"/>
    <w:rsid w:val="7C043FDC"/>
    <w:rsid w:val="7C0959BF"/>
    <w:rsid w:val="7C1F773E"/>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5"/>
    <w:qFormat/>
    <w:uiPriority w:val="0"/>
    <w:pPr>
      <w:keepNext/>
      <w:jc w:val="center"/>
      <w:outlineLvl w:val="0"/>
    </w:pPr>
    <w:rPr>
      <w:rFonts w:ascii="黑体" w:hAnsi="黑体"/>
      <w:b/>
      <w:kern w:val="0"/>
      <w:sz w:val="44"/>
    </w:rPr>
  </w:style>
  <w:style w:type="paragraph" w:styleId="9">
    <w:name w:val="heading 2"/>
    <w:basedOn w:val="1"/>
    <w:next w:val="1"/>
    <w:link w:val="34"/>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after="26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color="auto" w:fill="F9F2F4"/>
    </w:rPr>
  </w:style>
  <w:style w:type="character" w:styleId="30">
    <w:name w:val="HTML Keyboard"/>
    <w:basedOn w:val="23"/>
    <w:qFormat/>
    <w:uiPriority w:val="0"/>
    <w:rPr>
      <w:rFonts w:hint="default" w:ascii="Consolas" w:hAnsi="Consolas" w:eastAsia="Consolas" w:cs="Consolas"/>
      <w:color w:val="FFFFFF"/>
      <w:sz w:val="21"/>
      <w:szCs w:val="21"/>
      <w:shd w:val="clear" w:color="auto"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33">
    <w:name w:val="默认段落字体 Para Char Char Char Char"/>
    <w:basedOn w:val="1"/>
    <w:qFormat/>
    <w:uiPriority w:val="0"/>
  </w:style>
  <w:style w:type="character" w:customStyle="1" w:styleId="34">
    <w:name w:val="标题 2 字符"/>
    <w:link w:val="9"/>
    <w:qFormat/>
    <w:uiPriority w:val="0"/>
    <w:rPr>
      <w:rFonts w:ascii="黑体" w:hAnsi="黑体"/>
      <w:b/>
      <w:kern w:val="0"/>
      <w:sz w:val="44"/>
    </w:rPr>
  </w:style>
  <w:style w:type="character" w:customStyle="1" w:styleId="35">
    <w:name w:val="标题 1 字符"/>
    <w:link w:val="8"/>
    <w:qFormat/>
    <w:uiPriority w:val="0"/>
    <w:rPr>
      <w:rFonts w:ascii="黑体" w:hAnsi="黑体"/>
      <w:b/>
      <w:kern w:val="0"/>
      <w:sz w:val="44"/>
    </w:rPr>
  </w:style>
  <w:style w:type="paragraph" w:customStyle="1" w:styleId="36">
    <w:name w:val="列出段落1"/>
    <w:basedOn w:val="1"/>
    <w:qFormat/>
    <w:uiPriority w:val="34"/>
    <w:pPr>
      <w:ind w:firstLine="420" w:firstLineChars="200"/>
    </w:pPr>
    <w:rPr>
      <w:rFonts w:ascii="Calibri" w:hAnsi="Calibri" w:cs="黑体"/>
      <w:szCs w:val="22"/>
    </w:rPr>
  </w:style>
  <w:style w:type="character" w:customStyle="1" w:styleId="37">
    <w:name w:val="font61"/>
    <w:basedOn w:val="23"/>
    <w:qFormat/>
    <w:uiPriority w:val="0"/>
    <w:rPr>
      <w:rFonts w:hint="eastAsia" w:ascii="宋体" w:hAnsi="宋体" w:eastAsia="宋体" w:cs="宋体"/>
      <w:b/>
      <w:color w:val="000000"/>
      <w:sz w:val="20"/>
      <w:szCs w:val="20"/>
      <w:u w:val="none"/>
    </w:rPr>
  </w:style>
  <w:style w:type="character" w:customStyle="1" w:styleId="38">
    <w:name w:val="font11"/>
    <w:basedOn w:val="23"/>
    <w:qFormat/>
    <w:uiPriority w:val="0"/>
    <w:rPr>
      <w:rFonts w:hint="eastAsia" w:ascii="宋体" w:hAnsi="宋体" w:eastAsia="宋体" w:cs="宋体"/>
      <w:color w:val="000000"/>
      <w:sz w:val="21"/>
      <w:szCs w:val="21"/>
      <w:u w:val="none"/>
    </w:rPr>
  </w:style>
  <w:style w:type="character" w:customStyle="1" w:styleId="39">
    <w:name w:val="font01"/>
    <w:basedOn w:val="23"/>
    <w:qFormat/>
    <w:uiPriority w:val="0"/>
    <w:rPr>
      <w:rFonts w:hint="eastAsia" w:ascii="宋体" w:hAnsi="宋体" w:eastAsia="宋体" w:cs="宋体"/>
      <w:color w:val="000000"/>
      <w:sz w:val="18"/>
      <w:szCs w:val="18"/>
      <w:u w:val="none"/>
    </w:rPr>
  </w:style>
  <w:style w:type="character" w:customStyle="1" w:styleId="40">
    <w:name w:val="font21"/>
    <w:basedOn w:val="23"/>
    <w:qFormat/>
    <w:uiPriority w:val="0"/>
    <w:rPr>
      <w:rFonts w:ascii="Calibri" w:hAnsi="Calibri" w:cs="Calibri"/>
      <w:color w:val="000000"/>
      <w:sz w:val="21"/>
      <w:szCs w:val="21"/>
      <w:u w:val="none"/>
    </w:rPr>
  </w:style>
  <w:style w:type="character" w:customStyle="1" w:styleId="41">
    <w:name w:val="font51"/>
    <w:basedOn w:val="23"/>
    <w:qFormat/>
    <w:uiPriority w:val="0"/>
    <w:rPr>
      <w:rFonts w:hint="default" w:ascii="Times New Roman" w:hAnsi="Times New Roman" w:cs="Times New Roman"/>
      <w:color w:val="000000"/>
      <w:sz w:val="20"/>
      <w:szCs w:val="20"/>
      <w:u w:val="none"/>
    </w:rPr>
  </w:style>
  <w:style w:type="character" w:customStyle="1" w:styleId="42">
    <w:name w:val="font41"/>
    <w:basedOn w:val="23"/>
    <w:qFormat/>
    <w:uiPriority w:val="0"/>
    <w:rPr>
      <w:rFonts w:hint="default" w:ascii="Times New Roman" w:hAnsi="Times New Roman" w:cs="Times New Roman"/>
      <w:color w:val="000000"/>
      <w:sz w:val="20"/>
      <w:szCs w:val="20"/>
      <w:u w:val="none"/>
    </w:rPr>
  </w:style>
  <w:style w:type="character" w:customStyle="1" w:styleId="43">
    <w:name w:val="font71"/>
    <w:basedOn w:val="23"/>
    <w:qFormat/>
    <w:uiPriority w:val="0"/>
    <w:rPr>
      <w:rFonts w:hint="eastAsia" w:ascii="宋体" w:hAnsi="宋体" w:eastAsia="宋体" w:cs="宋体"/>
      <w:color w:val="FF0000"/>
      <w:sz w:val="18"/>
      <w:szCs w:val="18"/>
      <w:u w:val="none"/>
    </w:rPr>
  </w:style>
  <w:style w:type="character" w:customStyle="1" w:styleId="44">
    <w:name w:val="font31"/>
    <w:basedOn w:val="23"/>
    <w:qFormat/>
    <w:uiPriority w:val="0"/>
    <w:rPr>
      <w:rFonts w:hint="eastAsia" w:ascii="宋体" w:hAnsi="宋体" w:eastAsia="宋体" w:cs="宋体"/>
      <w:color w:val="000000"/>
      <w:sz w:val="18"/>
      <w:szCs w:val="18"/>
      <w:u w:val="none"/>
    </w:rPr>
  </w:style>
  <w:style w:type="character" w:customStyle="1" w:styleId="45">
    <w:name w:val="font101"/>
    <w:basedOn w:val="23"/>
    <w:qFormat/>
    <w:uiPriority w:val="0"/>
    <w:rPr>
      <w:rFonts w:hint="eastAsia" w:ascii="宋体" w:hAnsi="宋体" w:eastAsia="宋体" w:cs="宋体"/>
      <w:color w:val="FF0000"/>
      <w:sz w:val="18"/>
      <w:szCs w:val="18"/>
      <w:u w:val="none"/>
    </w:rPr>
  </w:style>
  <w:style w:type="character" w:customStyle="1" w:styleId="46">
    <w:name w:val="button"/>
    <w:basedOn w:val="23"/>
    <w:qFormat/>
    <w:uiPriority w:val="0"/>
  </w:style>
  <w:style w:type="character" w:customStyle="1" w:styleId="47">
    <w:name w:val="hour_pm"/>
    <w:basedOn w:val="23"/>
    <w:qFormat/>
    <w:uiPriority w:val="0"/>
  </w:style>
  <w:style w:type="character" w:customStyle="1" w:styleId="48">
    <w:name w:val="hover3"/>
    <w:basedOn w:val="23"/>
    <w:qFormat/>
    <w:uiPriority w:val="0"/>
    <w:rPr>
      <w:shd w:val="clear" w:color="auto" w:fill="EEEEEE"/>
    </w:rPr>
  </w:style>
  <w:style w:type="character" w:customStyle="1" w:styleId="49">
    <w:name w:val="tmpztreemove_arrow"/>
    <w:basedOn w:val="23"/>
    <w:qFormat/>
    <w:uiPriority w:val="0"/>
    <w:rPr>
      <w:shd w:val="clear" w:color="auto" w:fill="FFFFFF"/>
    </w:rPr>
  </w:style>
  <w:style w:type="character" w:customStyle="1" w:styleId="50">
    <w:name w:val="hour_am"/>
    <w:basedOn w:val="23"/>
    <w:qFormat/>
    <w:uiPriority w:val="0"/>
  </w:style>
  <w:style w:type="character" w:customStyle="1" w:styleId="51">
    <w:name w:val="old"/>
    <w:basedOn w:val="23"/>
    <w:qFormat/>
    <w:uiPriority w:val="0"/>
    <w:rPr>
      <w:color w:val="999999"/>
    </w:rPr>
  </w:style>
  <w:style w:type="character" w:customStyle="1" w:styleId="52">
    <w:name w:val="glyphicon4"/>
    <w:basedOn w:val="23"/>
    <w:qFormat/>
    <w:uiPriority w:val="0"/>
  </w:style>
  <w:style w:type="character" w:customStyle="1" w:styleId="53">
    <w:name w:val="indent"/>
    <w:basedOn w:val="23"/>
    <w:qFormat/>
    <w:uiPriority w:val="0"/>
  </w:style>
  <w:style w:type="character" w:customStyle="1" w:styleId="54">
    <w:name w:val="font112"/>
    <w:basedOn w:val="23"/>
    <w:qFormat/>
    <w:uiPriority w:val="0"/>
    <w:rPr>
      <w:rFonts w:ascii="Wingdings 2" w:hAnsi="Wingdings 2" w:eastAsia="Wingdings 2" w:cs="Wingdings 2"/>
      <w:color w:val="000000"/>
      <w:sz w:val="24"/>
      <w:szCs w:val="24"/>
      <w:u w:val="none"/>
    </w:rPr>
  </w:style>
  <w:style w:type="character" w:customStyle="1" w:styleId="55">
    <w:name w:val="font121"/>
    <w:basedOn w:val="23"/>
    <w:qFormat/>
    <w:uiPriority w:val="0"/>
    <w:rPr>
      <w:rFonts w:hint="eastAsia" w:ascii="宋体" w:hAnsi="宋体" w:eastAsia="宋体" w:cs="宋体"/>
      <w:color w:val="000000"/>
      <w:sz w:val="24"/>
      <w:szCs w:val="24"/>
      <w:u w:val="none"/>
    </w:rPr>
  </w:style>
  <w:style w:type="character" w:customStyle="1" w:styleId="56">
    <w:name w:val="font131"/>
    <w:basedOn w:val="23"/>
    <w:qFormat/>
    <w:uiPriority w:val="0"/>
    <w:rPr>
      <w:rFonts w:ascii="微软雅黑" w:hAnsi="微软雅黑" w:eastAsia="微软雅黑" w:cs="微软雅黑"/>
      <w:color w:val="000000"/>
      <w:sz w:val="24"/>
      <w:szCs w:val="24"/>
      <w:u w:val="none"/>
    </w:rPr>
  </w:style>
  <w:style w:type="character" w:customStyle="1" w:styleId="57">
    <w:name w:val="font141"/>
    <w:basedOn w:val="23"/>
    <w:qFormat/>
    <w:uiPriority w:val="0"/>
    <w:rPr>
      <w:rFonts w:ascii="微软雅黑" w:hAnsi="微软雅黑" w:eastAsia="微软雅黑" w:cs="微软雅黑"/>
      <w:color w:val="000000"/>
      <w:sz w:val="22"/>
      <w:szCs w:val="22"/>
      <w:u w:val="none"/>
    </w:rPr>
  </w:style>
  <w:style w:type="character" w:customStyle="1" w:styleId="58">
    <w:name w:val="font81"/>
    <w:basedOn w:val="23"/>
    <w:qFormat/>
    <w:uiPriority w:val="0"/>
    <w:rPr>
      <w:rFonts w:hint="eastAsia" w:ascii="仿宋" w:hAnsi="仿宋" w:eastAsia="仿宋" w:cs="仿宋"/>
      <w:color w:val="000000"/>
      <w:sz w:val="22"/>
      <w:szCs w:val="22"/>
      <w:u w:val="none"/>
    </w:rPr>
  </w:style>
  <w:style w:type="character" w:customStyle="1" w:styleId="59">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148</Pages>
  <Words>66553</Words>
  <Characters>73258</Characters>
  <Lines>628</Lines>
  <Paragraphs>176</Paragraphs>
  <TotalTime>0</TotalTime>
  <ScaleCrop>false</ScaleCrop>
  <LinksUpToDate>false</LinksUpToDate>
  <CharactersWithSpaces>81523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张亚娜</cp:lastModifiedBy>
  <cp:lastPrinted>2021-02-09T03:28:00Z</cp:lastPrinted>
  <dcterms:modified xsi:type="dcterms:W3CDTF">2022-07-25T11:55:58Z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