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ascii="仿宋" w:hAnsi="仿宋" w:eastAsia="仿宋" w:cs="仿宋"/>
          <w:b/>
          <w:bCs/>
          <w:color w:val="auto"/>
          <w:sz w:val="32"/>
          <w:szCs w:val="32"/>
          <w:highlight w:val="none"/>
          <w:lang w:val="zh-CN"/>
        </w:rPr>
      </w:pPr>
      <w:bookmarkStart w:id="0" w:name="_Toc4593"/>
      <w:bookmarkStart w:id="1" w:name="_Toc25835"/>
      <w:bookmarkStart w:id="2" w:name="_Toc20047"/>
      <w:bookmarkStart w:id="3" w:name="_Toc22159"/>
      <w:bookmarkStart w:id="4" w:name="_Toc6076"/>
      <w:bookmarkStart w:id="5" w:name="_Toc475451543"/>
      <w:bookmarkStart w:id="6" w:name="_Toc20135"/>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rPr>
        <w:t>DX2022-164</w:t>
      </w:r>
    </w:p>
    <w:p>
      <w:pPr>
        <w:shd w:val="clear"/>
        <w:tabs>
          <w:tab w:val="left" w:pos="5670"/>
        </w:tabs>
        <w:autoSpaceDE w:val="0"/>
        <w:autoSpaceDN w:val="0"/>
        <w:adjustRightInd w:val="0"/>
        <w:spacing w:line="360" w:lineRule="auto"/>
        <w:ind w:firstLine="300"/>
        <w:rPr>
          <w:rFonts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灞桥区2021年新增教育建设奖补资金</w:t>
      </w: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--五星中学设备采购项目</w:t>
      </w:r>
    </w:p>
    <w:p>
      <w:pPr>
        <w:pStyle w:val="2"/>
        <w:shd w:val="clear"/>
        <w:ind w:left="0" w:leftChars="0" w:firstLine="0" w:firstLineChars="0"/>
        <w:jc w:val="center"/>
        <w:rPr>
          <w:color w:val="auto"/>
          <w:highlight w:val="none"/>
        </w:rPr>
      </w:pPr>
      <w:r>
        <w:rPr>
          <w:rFonts w:hint="eastAsia" w:ascii="宋体" w:hAnsi="宋体" w:cs="宋体"/>
          <w:b/>
          <w:bCs/>
          <w:color w:val="auto"/>
          <w:sz w:val="44"/>
          <w:szCs w:val="44"/>
          <w:highlight w:val="none"/>
        </w:rPr>
        <w:t>（第七标段）</w:t>
      </w:r>
    </w:p>
    <w:p>
      <w:pPr>
        <w:shd w:val="clear"/>
        <w:tabs>
          <w:tab w:val="left" w:pos="5670"/>
        </w:tabs>
        <w:autoSpaceDE w:val="0"/>
        <w:autoSpaceDN w:val="0"/>
        <w:adjustRightInd w:val="0"/>
        <w:spacing w:line="360" w:lineRule="auto"/>
        <w:rPr>
          <w:rFonts w:ascii="宋体" w:hAnsi="宋体" w:cs="宋体"/>
          <w:b/>
          <w:bCs/>
          <w:color w:val="auto"/>
          <w:sz w:val="44"/>
          <w:szCs w:val="44"/>
          <w:highlight w:val="none"/>
        </w:rPr>
      </w:pPr>
    </w:p>
    <w:p>
      <w:pPr>
        <w:pStyle w:val="6"/>
        <w:shd w:val="clear"/>
        <w:rPr>
          <w:color w:val="auto"/>
          <w:highlight w:val="none"/>
        </w:rPr>
      </w:pP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ascii="宋体" w:hAnsi="宋体" w:cs="宋体"/>
          <w:b/>
          <w:color w:val="auto"/>
          <w:sz w:val="44"/>
          <w:szCs w:val="44"/>
          <w:highlight w:val="none"/>
        </w:rPr>
      </w:pP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lang w:val="zh-CN"/>
        </w:rPr>
      </w:pPr>
    </w:p>
    <w:p>
      <w:pPr>
        <w:pStyle w:val="5"/>
        <w:shd w:val="clear"/>
        <w:ind w:firstLine="321"/>
        <w:rPr>
          <w:rFonts w:ascii="仿宋" w:hAnsi="仿宋" w:eastAsia="仿宋" w:cs="仿宋"/>
          <w:b/>
          <w:bCs/>
          <w:color w:val="auto"/>
          <w:sz w:val="32"/>
          <w:szCs w:val="32"/>
          <w:highlight w:val="none"/>
          <w:lang w:val="zh-CN"/>
        </w:rPr>
      </w:pPr>
    </w:p>
    <w:p>
      <w:pPr>
        <w:pStyle w:val="5"/>
        <w:shd w:val="clear"/>
        <w:ind w:firstLine="321"/>
        <w:rPr>
          <w:rFonts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zh-CN"/>
        </w:rPr>
        <w:t>人：西安市灞桥区</w:t>
      </w:r>
      <w:r>
        <w:rPr>
          <w:rFonts w:hint="eastAsia" w:ascii="仿宋" w:hAnsi="仿宋" w:eastAsia="仿宋" w:cs="仿宋"/>
          <w:b/>
          <w:bCs/>
          <w:color w:val="auto"/>
          <w:sz w:val="32"/>
          <w:szCs w:val="32"/>
          <w:highlight w:val="none"/>
        </w:rPr>
        <w:t>教育局</w:t>
      </w:r>
    </w:p>
    <w:p>
      <w:pPr>
        <w:shd w:val="clear"/>
        <w:tabs>
          <w:tab w:val="left" w:pos="5670"/>
        </w:tabs>
        <w:autoSpaceDE w:val="0"/>
        <w:autoSpaceDN w:val="0"/>
        <w:adjustRightInd w:val="0"/>
        <w:spacing w:line="360" w:lineRule="auto"/>
        <w:ind w:firstLine="1285" w:firstLineChars="4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shd w:val="clear"/>
        <w:tabs>
          <w:tab w:val="right" w:leader="dot" w:pos="8504"/>
          <w:tab w:val="clear" w:pos="9060"/>
        </w:tabs>
        <w:rPr>
          <w:rFonts w:ascii="仿宋" w:hAnsi="仿宋" w:eastAsia="仿宋" w:cs="仿宋"/>
          <w:color w:val="auto"/>
          <w:szCs w:val="21"/>
          <w:highlight w:val="none"/>
        </w:rPr>
      </w:pPr>
      <w:r>
        <w:rPr>
          <w:rFonts w:hint="eastAsia" w:ascii="仿宋" w:hAnsi="仿宋" w:eastAsia="仿宋" w:cs="仿宋"/>
          <w:color w:val="auto"/>
          <w:sz w:val="18"/>
          <w:szCs w:val="18"/>
          <w:highlight w:val="none"/>
        </w:rPr>
        <w:fldChar w:fldCharType="begin"/>
      </w:r>
      <w:r>
        <w:rPr>
          <w:rFonts w:hint="eastAsia" w:ascii="仿宋" w:hAnsi="仿宋" w:eastAsia="仿宋" w:cs="仿宋"/>
          <w:color w:val="auto"/>
          <w:sz w:val="18"/>
          <w:szCs w:val="18"/>
          <w:highlight w:val="none"/>
        </w:rPr>
        <w:instrText xml:space="preserve">TOC \o "1-3" \h \u </w:instrText>
      </w:r>
      <w:r>
        <w:rPr>
          <w:rFonts w:hint="eastAsia" w:ascii="仿宋" w:hAnsi="仿宋" w:eastAsia="仿宋" w:cs="仿宋"/>
          <w:color w:val="auto"/>
          <w:sz w:val="18"/>
          <w:szCs w:val="18"/>
          <w:highlight w:val="none"/>
        </w:rPr>
        <w:fldChar w:fldCharType="separate"/>
      </w:r>
      <w:r>
        <w:rPr>
          <w:color w:val="auto"/>
          <w:highlight w:val="none"/>
        </w:rPr>
        <w:fldChar w:fldCharType="begin"/>
      </w:r>
      <w:r>
        <w:rPr>
          <w:color w:val="auto"/>
          <w:highlight w:val="none"/>
        </w:rPr>
        <w:instrText xml:space="preserve"> HYPERLINK \l "_Toc622" </w:instrText>
      </w:r>
      <w:r>
        <w:rPr>
          <w:color w:val="auto"/>
          <w:highlight w:val="none"/>
        </w:rPr>
        <w:fldChar w:fldCharType="separate"/>
      </w:r>
      <w:r>
        <w:rPr>
          <w:rFonts w:hint="eastAsia" w:ascii="仿宋" w:hAnsi="仿宋" w:eastAsia="仿宋" w:cs="仿宋"/>
          <w:color w:val="auto"/>
          <w:kern w:val="0"/>
          <w:szCs w:val="21"/>
          <w:highlight w:val="none"/>
          <w:lang w:val="zh-CN"/>
        </w:rPr>
        <w:t>第一部分  招标公告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_Toc622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"_Toc28565" </w:instrText>
      </w:r>
      <w:r>
        <w:rPr>
          <w:color w:val="auto"/>
          <w:highlight w:val="none"/>
        </w:rPr>
        <w:fldChar w:fldCharType="separate"/>
      </w:r>
      <w:r>
        <w:rPr>
          <w:rFonts w:hint="eastAsia" w:ascii="仿宋" w:hAnsi="仿宋" w:eastAsia="仿宋" w:cs="仿宋"/>
          <w:color w:val="auto"/>
          <w:szCs w:val="21"/>
          <w:highlight w:val="none"/>
          <w:lang w:val="zh-CN"/>
        </w:rPr>
        <w:t>第二部分</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zh-CN"/>
        </w:rPr>
        <w:t>供应商须知</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_Toc28565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"_Toc28781" </w:instrText>
      </w:r>
      <w:r>
        <w:rPr>
          <w:color w:val="auto"/>
          <w:highlight w:val="none"/>
        </w:rPr>
        <w:fldChar w:fldCharType="separate"/>
      </w:r>
      <w:r>
        <w:rPr>
          <w:rFonts w:hint="eastAsia" w:ascii="仿宋" w:hAnsi="仿宋" w:eastAsia="仿宋" w:cs="仿宋"/>
          <w:bCs/>
          <w:color w:val="auto"/>
          <w:szCs w:val="21"/>
          <w:highlight w:val="none"/>
          <w:lang w:val="zh-CN"/>
        </w:rPr>
        <w:t>一、总则</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_Toc28781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"_Toc27696" </w:instrText>
      </w:r>
      <w:r>
        <w:rPr>
          <w:color w:val="auto"/>
          <w:highlight w:val="none"/>
        </w:rPr>
        <w:fldChar w:fldCharType="separate"/>
      </w:r>
      <w:r>
        <w:rPr>
          <w:rFonts w:hint="eastAsia" w:ascii="仿宋" w:hAnsi="仿宋" w:eastAsia="仿宋" w:cs="仿宋"/>
          <w:bCs/>
          <w:color w:val="auto"/>
          <w:szCs w:val="21"/>
          <w:highlight w:val="none"/>
          <w:lang w:val="zh-CN"/>
        </w:rPr>
        <w:t>（一）适用范围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_Toc27696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"_Toc14450" </w:instrText>
      </w:r>
      <w:r>
        <w:rPr>
          <w:color w:val="auto"/>
          <w:highlight w:val="none"/>
        </w:rPr>
        <w:fldChar w:fldCharType="separate"/>
      </w:r>
      <w:r>
        <w:rPr>
          <w:rFonts w:hint="eastAsia" w:ascii="仿宋" w:hAnsi="仿宋" w:eastAsia="仿宋" w:cs="仿宋"/>
          <w:bCs/>
          <w:color w:val="auto"/>
          <w:szCs w:val="21"/>
          <w:highlight w:val="none"/>
          <w:lang w:val="zh-CN"/>
        </w:rPr>
        <w:t>（二）名词解释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_Toc14450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"_Toc9657" </w:instrText>
      </w:r>
      <w:r>
        <w:rPr>
          <w:color w:val="auto"/>
          <w:highlight w:val="none"/>
        </w:rPr>
        <w:fldChar w:fldCharType="separate"/>
      </w:r>
      <w:r>
        <w:rPr>
          <w:rFonts w:hint="eastAsia" w:ascii="仿宋" w:hAnsi="仿宋" w:eastAsia="仿宋" w:cs="仿宋"/>
          <w:bCs/>
          <w:color w:val="auto"/>
          <w:szCs w:val="21"/>
          <w:highlight w:val="none"/>
          <w:lang w:val="zh-CN"/>
        </w:rPr>
        <w:t>二、招标文件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_Toc9657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"_Toc30131" </w:instrText>
      </w:r>
      <w:r>
        <w:rPr>
          <w:color w:val="auto"/>
          <w:highlight w:val="none"/>
        </w:rPr>
        <w:fldChar w:fldCharType="separate"/>
      </w:r>
      <w:r>
        <w:rPr>
          <w:rFonts w:hint="eastAsia" w:ascii="仿宋" w:hAnsi="仿宋" w:eastAsia="仿宋" w:cs="仿宋"/>
          <w:color w:val="auto"/>
          <w:szCs w:val="21"/>
          <w:highlight w:val="none"/>
          <w:lang w:val="zh-CN"/>
        </w:rPr>
        <w:t>（一）招标文件的组成</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_Toc30131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"_Toc21637" </w:instrText>
      </w:r>
      <w:r>
        <w:rPr>
          <w:color w:val="auto"/>
          <w:highlight w:val="none"/>
        </w:rPr>
        <w:fldChar w:fldCharType="separate"/>
      </w:r>
      <w:r>
        <w:rPr>
          <w:rFonts w:hint="eastAsia" w:ascii="仿宋" w:hAnsi="仿宋" w:eastAsia="仿宋" w:cs="仿宋"/>
          <w:bCs/>
          <w:color w:val="auto"/>
          <w:szCs w:val="21"/>
          <w:highlight w:val="none"/>
        </w:rPr>
        <w:t>（二）</w:t>
      </w:r>
      <w:r>
        <w:rPr>
          <w:rFonts w:hint="eastAsia" w:ascii="仿宋" w:hAnsi="仿宋" w:eastAsia="仿宋" w:cs="仿宋"/>
          <w:bCs/>
          <w:color w:val="auto"/>
          <w:szCs w:val="21"/>
          <w:highlight w:val="none"/>
          <w:lang w:val="zh-CN"/>
        </w:rPr>
        <w:t>招标文件的修改或澄清</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_Toc21637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"_Toc18749" </w:instrText>
      </w:r>
      <w:r>
        <w:rPr>
          <w:color w:val="auto"/>
          <w:highlight w:val="none"/>
        </w:rPr>
        <w:fldChar w:fldCharType="separate"/>
      </w:r>
      <w:r>
        <w:rPr>
          <w:rFonts w:hint="eastAsia" w:ascii="仿宋" w:hAnsi="仿宋" w:eastAsia="仿宋" w:cs="仿宋"/>
          <w:bCs/>
          <w:color w:val="auto"/>
          <w:szCs w:val="21"/>
          <w:highlight w:val="none"/>
        </w:rPr>
        <w:t>（三）</w:t>
      </w:r>
      <w:r>
        <w:rPr>
          <w:rFonts w:hint="eastAsia" w:ascii="仿宋" w:hAnsi="仿宋" w:eastAsia="仿宋" w:cs="仿宋"/>
          <w:bCs/>
          <w:color w:val="auto"/>
          <w:szCs w:val="21"/>
          <w:highlight w:val="none"/>
          <w:lang w:val="zh-CN"/>
        </w:rPr>
        <w:t>招标文件的询问、质疑及答复</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_Toc18749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"_Toc32572" </w:instrText>
      </w:r>
      <w:r>
        <w:rPr>
          <w:color w:val="auto"/>
          <w:highlight w:val="none"/>
        </w:rPr>
        <w:fldChar w:fldCharType="separate"/>
      </w:r>
      <w:r>
        <w:rPr>
          <w:rFonts w:hint="eastAsia" w:ascii="仿宋" w:hAnsi="仿宋" w:eastAsia="仿宋" w:cs="仿宋"/>
          <w:bCs/>
          <w:color w:val="auto"/>
          <w:szCs w:val="21"/>
          <w:highlight w:val="none"/>
          <w:lang w:val="zh-CN"/>
        </w:rPr>
        <w:t>（四）招标文件的解释权</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_Toc32572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"_Toc2494" </w:instrText>
      </w:r>
      <w:r>
        <w:rPr>
          <w:color w:val="auto"/>
          <w:highlight w:val="none"/>
        </w:rPr>
        <w:fldChar w:fldCharType="separate"/>
      </w:r>
      <w:r>
        <w:rPr>
          <w:rFonts w:hint="eastAsia" w:ascii="仿宋" w:hAnsi="仿宋" w:eastAsia="仿宋" w:cs="仿宋"/>
          <w:color w:val="auto"/>
          <w:szCs w:val="21"/>
          <w:highlight w:val="none"/>
          <w:lang w:val="zh-CN"/>
        </w:rPr>
        <w:t>三、投标要求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_Toc2494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"_Toc27113" </w:instrText>
      </w:r>
      <w:r>
        <w:rPr>
          <w:color w:val="auto"/>
          <w:highlight w:val="none"/>
        </w:rPr>
        <w:fldChar w:fldCharType="separate"/>
      </w:r>
      <w:r>
        <w:rPr>
          <w:rFonts w:hint="eastAsia" w:ascii="仿宋" w:hAnsi="仿宋" w:eastAsia="仿宋" w:cs="仿宋"/>
          <w:bCs/>
          <w:color w:val="auto"/>
          <w:szCs w:val="21"/>
          <w:highlight w:val="none"/>
        </w:rPr>
        <w:t>（一）投标内容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_Toc27113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"_Toc31428" </w:instrText>
      </w:r>
      <w:r>
        <w:rPr>
          <w:color w:val="auto"/>
          <w:highlight w:val="none"/>
        </w:rPr>
        <w:fldChar w:fldCharType="separate"/>
      </w:r>
      <w:r>
        <w:rPr>
          <w:rFonts w:hint="eastAsia" w:ascii="仿宋" w:hAnsi="仿宋" w:eastAsia="仿宋" w:cs="仿宋"/>
          <w:color w:val="auto"/>
          <w:szCs w:val="21"/>
          <w:highlight w:val="none"/>
        </w:rPr>
        <w:t>（二）</w:t>
      </w:r>
      <w:r>
        <w:rPr>
          <w:rFonts w:hint="eastAsia" w:ascii="仿宋" w:hAnsi="仿宋" w:eastAsia="仿宋" w:cs="仿宋"/>
          <w:color w:val="auto"/>
          <w:szCs w:val="21"/>
          <w:highlight w:val="none"/>
          <w:lang w:val="zh-CN"/>
        </w:rPr>
        <w:t>合格的供应商要求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_Toc31428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"_Toc25295" </w:instrText>
      </w:r>
      <w:r>
        <w:rPr>
          <w:color w:val="auto"/>
          <w:highlight w:val="none"/>
        </w:rPr>
        <w:fldChar w:fldCharType="separate"/>
      </w:r>
      <w:r>
        <w:rPr>
          <w:rFonts w:hint="eastAsia" w:ascii="仿宋" w:hAnsi="仿宋" w:eastAsia="仿宋" w:cs="仿宋"/>
          <w:bCs/>
          <w:color w:val="auto"/>
          <w:szCs w:val="21"/>
          <w:highlight w:val="none"/>
        </w:rPr>
        <w:t>（三）</w:t>
      </w:r>
      <w:r>
        <w:rPr>
          <w:rFonts w:hint="eastAsia" w:ascii="仿宋" w:hAnsi="仿宋" w:eastAsia="仿宋" w:cs="仿宋"/>
          <w:bCs/>
          <w:color w:val="auto"/>
          <w:szCs w:val="21"/>
          <w:highlight w:val="none"/>
          <w:lang w:val="zh-CN"/>
        </w:rPr>
        <w:t>限制投标要求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_Toc25295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"_Toc3786" </w:instrText>
      </w:r>
      <w:r>
        <w:rPr>
          <w:color w:val="auto"/>
          <w:highlight w:val="none"/>
        </w:rPr>
        <w:fldChar w:fldCharType="separate"/>
      </w:r>
      <w:r>
        <w:rPr>
          <w:rFonts w:hint="eastAsia" w:ascii="仿宋" w:hAnsi="仿宋" w:eastAsia="仿宋" w:cs="仿宋"/>
          <w:bCs/>
          <w:color w:val="auto"/>
          <w:szCs w:val="21"/>
          <w:highlight w:val="none"/>
        </w:rPr>
        <w:t>（四）</w:t>
      </w:r>
      <w:r>
        <w:rPr>
          <w:rFonts w:hint="eastAsia" w:ascii="仿宋" w:hAnsi="仿宋" w:eastAsia="仿宋" w:cs="仿宋"/>
          <w:bCs/>
          <w:color w:val="auto"/>
          <w:szCs w:val="21"/>
          <w:highlight w:val="none"/>
          <w:lang w:val="zh-CN"/>
        </w:rPr>
        <w:t>投标文件有效期</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_Toc3786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"_Toc695" </w:instrText>
      </w:r>
      <w:r>
        <w:rPr>
          <w:color w:val="auto"/>
          <w:highlight w:val="none"/>
        </w:rPr>
        <w:fldChar w:fldCharType="separate"/>
      </w:r>
      <w:r>
        <w:rPr>
          <w:rFonts w:hint="eastAsia" w:ascii="仿宋" w:hAnsi="仿宋" w:eastAsia="仿宋" w:cs="仿宋"/>
          <w:color w:val="auto"/>
          <w:szCs w:val="21"/>
          <w:highlight w:val="none"/>
          <w:lang w:val="zh-CN"/>
        </w:rPr>
        <w:t>（五）投标文件的编写要求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"_Toc4804" </w:instrText>
      </w:r>
      <w:r>
        <w:rPr>
          <w:color w:val="auto"/>
          <w:highlight w:val="none"/>
        </w:rPr>
        <w:fldChar w:fldCharType="separate"/>
      </w:r>
      <w:r>
        <w:rPr>
          <w:rFonts w:hint="eastAsia" w:ascii="仿宋" w:hAnsi="仿宋" w:eastAsia="仿宋" w:cs="仿宋"/>
          <w:color w:val="auto"/>
          <w:szCs w:val="21"/>
          <w:highlight w:val="none"/>
          <w:lang w:val="zh-CN"/>
        </w:rPr>
        <w:t>（六）投标报价要求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_Toc4804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"_Toc25806" </w:instrText>
      </w:r>
      <w:r>
        <w:rPr>
          <w:color w:val="auto"/>
          <w:highlight w:val="none"/>
        </w:rPr>
        <w:fldChar w:fldCharType="separate"/>
      </w:r>
      <w:r>
        <w:rPr>
          <w:rFonts w:hint="eastAsia" w:ascii="仿宋" w:hAnsi="仿宋" w:eastAsia="仿宋" w:cs="仿宋"/>
          <w:color w:val="auto"/>
          <w:szCs w:val="21"/>
          <w:highlight w:val="none"/>
          <w:lang w:val="zh-CN"/>
        </w:rPr>
        <w:t>（七）投标文件的式样和签署</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_Toc25806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"_Toc22291" </w:instrText>
      </w:r>
      <w:r>
        <w:rPr>
          <w:color w:val="auto"/>
          <w:highlight w:val="none"/>
        </w:rPr>
        <w:fldChar w:fldCharType="separate"/>
      </w:r>
      <w:r>
        <w:rPr>
          <w:rFonts w:hint="eastAsia" w:ascii="仿宋" w:hAnsi="仿宋" w:eastAsia="仿宋" w:cs="仿宋"/>
          <w:color w:val="auto"/>
          <w:szCs w:val="21"/>
          <w:highlight w:val="none"/>
          <w:lang w:val="zh-CN"/>
        </w:rPr>
        <w:t>（八）投标文件的密封和提交</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_Toc22291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"_Toc14921" </w:instrText>
      </w:r>
      <w:r>
        <w:rPr>
          <w:color w:val="auto"/>
          <w:highlight w:val="none"/>
        </w:rPr>
        <w:fldChar w:fldCharType="separate"/>
      </w:r>
      <w:r>
        <w:rPr>
          <w:rFonts w:hint="eastAsia" w:ascii="仿宋" w:hAnsi="仿宋" w:eastAsia="仿宋" w:cs="仿宋"/>
          <w:color w:val="auto"/>
          <w:szCs w:val="21"/>
          <w:highlight w:val="none"/>
          <w:lang w:val="zh-CN"/>
        </w:rPr>
        <w:t>四、开标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_Toc14921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"_Toc18691" </w:instrText>
      </w:r>
      <w:r>
        <w:rPr>
          <w:color w:val="auto"/>
          <w:highlight w:val="none"/>
        </w:rPr>
        <w:fldChar w:fldCharType="separate"/>
      </w:r>
      <w:r>
        <w:rPr>
          <w:rFonts w:hint="eastAsia" w:ascii="仿宋" w:hAnsi="仿宋" w:eastAsia="仿宋" w:cs="仿宋"/>
          <w:color w:val="auto"/>
          <w:szCs w:val="21"/>
          <w:highlight w:val="none"/>
          <w:lang w:val="zh-CN"/>
        </w:rPr>
        <w:t>五、评标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_Toc18691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"_Toc114" </w:instrText>
      </w:r>
      <w:r>
        <w:rPr>
          <w:color w:val="auto"/>
          <w:highlight w:val="none"/>
        </w:rPr>
        <w:fldChar w:fldCharType="separate"/>
      </w:r>
      <w:r>
        <w:rPr>
          <w:rFonts w:hint="eastAsia" w:ascii="仿宋" w:hAnsi="仿宋" w:eastAsia="仿宋" w:cs="仿宋"/>
          <w:color w:val="auto"/>
          <w:szCs w:val="21"/>
          <w:highlight w:val="none"/>
          <w:lang w:val="zh-CN"/>
        </w:rPr>
        <w:t>六、评标程序及评标办法</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_Toc114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"_Toc11994" </w:instrText>
      </w:r>
      <w:r>
        <w:rPr>
          <w:color w:val="auto"/>
          <w:highlight w:val="none"/>
        </w:rPr>
        <w:fldChar w:fldCharType="separate"/>
      </w:r>
      <w:r>
        <w:rPr>
          <w:rFonts w:hint="eastAsia" w:ascii="仿宋" w:hAnsi="仿宋" w:eastAsia="仿宋" w:cs="仿宋"/>
          <w:color w:val="auto"/>
          <w:szCs w:val="21"/>
          <w:highlight w:val="none"/>
        </w:rPr>
        <w:t>（一）投标文件初审</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_Toc11994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"_Toc29000" </w:instrText>
      </w:r>
      <w:r>
        <w:rPr>
          <w:color w:val="auto"/>
          <w:highlight w:val="none"/>
        </w:rPr>
        <w:fldChar w:fldCharType="separate"/>
      </w:r>
      <w:r>
        <w:rPr>
          <w:rFonts w:hint="eastAsia" w:ascii="仿宋" w:hAnsi="仿宋" w:eastAsia="仿宋" w:cs="仿宋"/>
          <w:color w:val="auto"/>
          <w:szCs w:val="21"/>
          <w:highlight w:val="none"/>
          <w:lang w:val="zh-CN"/>
        </w:rPr>
        <w:t>（三）比较与评价</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_Toc29000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"_Toc9204" </w:instrText>
      </w:r>
      <w:r>
        <w:rPr>
          <w:color w:val="auto"/>
          <w:highlight w:val="none"/>
        </w:rPr>
        <w:fldChar w:fldCharType="separate"/>
      </w:r>
      <w:r>
        <w:rPr>
          <w:rFonts w:hint="eastAsia" w:ascii="仿宋" w:hAnsi="仿宋" w:eastAsia="仿宋" w:cs="仿宋"/>
          <w:color w:val="auto"/>
          <w:szCs w:val="21"/>
          <w:highlight w:val="none"/>
          <w:lang w:val="zh-CN"/>
        </w:rPr>
        <w:t>（二）投标文件的澄清、说明或者补正</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_Toc9204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"_Toc16187" </w:instrText>
      </w:r>
      <w:r>
        <w:rPr>
          <w:color w:val="auto"/>
          <w:highlight w:val="none"/>
        </w:rPr>
        <w:fldChar w:fldCharType="separate"/>
      </w:r>
      <w:r>
        <w:rPr>
          <w:rFonts w:hint="eastAsia" w:ascii="仿宋" w:hAnsi="仿宋" w:eastAsia="仿宋" w:cs="仿宋"/>
          <w:color w:val="auto"/>
          <w:szCs w:val="21"/>
          <w:highlight w:val="none"/>
          <w:lang w:val="zh-CN"/>
        </w:rPr>
        <w:t>（四）推荐中标候选人名单</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_Toc16187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"_Toc12272" </w:instrText>
      </w:r>
      <w:r>
        <w:rPr>
          <w:color w:val="auto"/>
          <w:highlight w:val="none"/>
        </w:rPr>
        <w:fldChar w:fldCharType="separate"/>
      </w:r>
      <w:r>
        <w:rPr>
          <w:rFonts w:hint="eastAsia" w:ascii="仿宋" w:hAnsi="仿宋" w:eastAsia="仿宋" w:cs="仿宋"/>
          <w:color w:val="auto"/>
          <w:szCs w:val="21"/>
          <w:highlight w:val="none"/>
          <w:lang w:val="zh-CN"/>
        </w:rPr>
        <w:t>七、确定中标供应商</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_Toc12272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"_Toc16609" </w:instrText>
      </w:r>
      <w:r>
        <w:rPr>
          <w:color w:val="auto"/>
          <w:highlight w:val="none"/>
        </w:rPr>
        <w:fldChar w:fldCharType="separate"/>
      </w:r>
      <w:r>
        <w:rPr>
          <w:rFonts w:hint="eastAsia" w:ascii="仿宋" w:hAnsi="仿宋" w:eastAsia="仿宋" w:cs="仿宋"/>
          <w:color w:val="auto"/>
          <w:szCs w:val="21"/>
          <w:highlight w:val="none"/>
          <w:lang w:val="zh-CN"/>
        </w:rPr>
        <w:t>八、合同</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_Toc16609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"_Toc9424" </w:instrText>
      </w:r>
      <w:r>
        <w:rPr>
          <w:color w:val="auto"/>
          <w:highlight w:val="none"/>
        </w:rPr>
        <w:fldChar w:fldCharType="separate"/>
      </w:r>
      <w:r>
        <w:rPr>
          <w:rFonts w:hint="eastAsia" w:ascii="仿宋" w:hAnsi="仿宋" w:eastAsia="仿宋" w:cs="仿宋"/>
          <w:color w:val="auto"/>
          <w:szCs w:val="21"/>
          <w:highlight w:val="none"/>
          <w:lang w:val="zh-CN"/>
        </w:rPr>
        <w:t>九、中标服务费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_Toc9424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"_Toc13550" </w:instrText>
      </w:r>
      <w:r>
        <w:rPr>
          <w:color w:val="auto"/>
          <w:highlight w:val="none"/>
        </w:rPr>
        <w:fldChar w:fldCharType="separate"/>
      </w:r>
      <w:r>
        <w:rPr>
          <w:rFonts w:hint="eastAsia" w:ascii="仿宋" w:hAnsi="仿宋" w:eastAsia="仿宋" w:cs="仿宋"/>
          <w:color w:val="auto"/>
          <w:szCs w:val="21"/>
          <w:highlight w:val="none"/>
          <w:lang w:val="zh-CN"/>
        </w:rPr>
        <w:t>十、废标或者采购方式的变更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_Toc13550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"_Toc4168" </w:instrText>
      </w:r>
      <w:r>
        <w:rPr>
          <w:color w:val="auto"/>
          <w:highlight w:val="none"/>
        </w:rPr>
        <w:fldChar w:fldCharType="separate"/>
      </w:r>
      <w:r>
        <w:rPr>
          <w:rFonts w:hint="eastAsia" w:ascii="仿宋" w:hAnsi="仿宋" w:eastAsia="仿宋" w:cs="仿宋"/>
          <w:color w:val="auto"/>
          <w:szCs w:val="21"/>
          <w:highlight w:val="none"/>
          <w:lang w:val="zh-CN"/>
        </w:rPr>
        <w:t>（一）废标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_Toc4168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"_Toc23755" </w:instrText>
      </w:r>
      <w:r>
        <w:rPr>
          <w:color w:val="auto"/>
          <w:highlight w:val="none"/>
        </w:rPr>
        <w:fldChar w:fldCharType="separate"/>
      </w:r>
      <w:r>
        <w:rPr>
          <w:rFonts w:hint="eastAsia" w:ascii="仿宋" w:hAnsi="仿宋" w:eastAsia="仿宋" w:cs="仿宋"/>
          <w:color w:val="auto"/>
          <w:szCs w:val="21"/>
          <w:highlight w:val="none"/>
          <w:lang w:val="zh-CN"/>
        </w:rPr>
        <w:t>（二）采购方式的变更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_Toc23755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"_Toc5755" </w:instrText>
      </w:r>
      <w:r>
        <w:rPr>
          <w:color w:val="auto"/>
          <w:highlight w:val="none"/>
        </w:rPr>
        <w:fldChar w:fldCharType="separate"/>
      </w:r>
      <w:r>
        <w:rPr>
          <w:rFonts w:hint="eastAsia" w:ascii="仿宋" w:hAnsi="仿宋" w:eastAsia="仿宋" w:cs="仿宋"/>
          <w:color w:val="auto"/>
          <w:szCs w:val="21"/>
          <w:highlight w:val="none"/>
          <w:lang w:val="zh-CN"/>
        </w:rPr>
        <w:t>十一、需要落实的政府采购政策</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_Toc5755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"_Toc6895" </w:instrText>
      </w:r>
      <w:r>
        <w:rPr>
          <w:color w:val="auto"/>
          <w:highlight w:val="none"/>
        </w:rPr>
        <w:fldChar w:fldCharType="separate"/>
      </w:r>
      <w:r>
        <w:rPr>
          <w:rFonts w:hint="eastAsia" w:ascii="仿宋" w:hAnsi="仿宋" w:eastAsia="仿宋" w:cs="仿宋"/>
          <w:color w:val="auto"/>
          <w:szCs w:val="21"/>
          <w:highlight w:val="none"/>
          <w:lang w:val="zh-CN"/>
        </w:rPr>
        <w:t>十二、质疑与投诉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_Toc6895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"_Toc2942" </w:instrText>
      </w:r>
      <w:r>
        <w:rPr>
          <w:color w:val="auto"/>
          <w:highlight w:val="none"/>
        </w:rPr>
        <w:fldChar w:fldCharType="separate"/>
      </w:r>
      <w:r>
        <w:rPr>
          <w:rFonts w:hint="eastAsia" w:ascii="仿宋" w:hAnsi="仿宋" w:eastAsia="仿宋" w:cs="仿宋"/>
          <w:bCs/>
          <w:color w:val="auto"/>
          <w:szCs w:val="21"/>
          <w:highlight w:val="none"/>
          <w:lang w:val="zh-CN"/>
        </w:rPr>
        <w:t>（一）质疑</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_Toc2942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"_Toc18625" </w:instrText>
      </w:r>
      <w:r>
        <w:rPr>
          <w:color w:val="auto"/>
          <w:highlight w:val="none"/>
        </w:rPr>
        <w:fldChar w:fldCharType="separate"/>
      </w:r>
      <w:r>
        <w:rPr>
          <w:rFonts w:hint="eastAsia" w:ascii="仿宋" w:hAnsi="仿宋" w:eastAsia="仿宋" w:cs="仿宋"/>
          <w:bCs/>
          <w:color w:val="auto"/>
          <w:szCs w:val="21"/>
          <w:highlight w:val="none"/>
          <w:lang w:val="zh-CN"/>
        </w:rPr>
        <w:t>（二）投诉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_Toc18625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"_Toc2581" </w:instrText>
      </w:r>
      <w:r>
        <w:rPr>
          <w:color w:val="auto"/>
          <w:highlight w:val="none"/>
        </w:rPr>
        <w:fldChar w:fldCharType="separate"/>
      </w:r>
      <w:r>
        <w:rPr>
          <w:rFonts w:hint="eastAsia" w:ascii="仿宋" w:hAnsi="仿宋" w:eastAsia="仿宋" w:cs="仿宋"/>
          <w:color w:val="auto"/>
          <w:szCs w:val="21"/>
          <w:highlight w:val="none"/>
        </w:rPr>
        <w:t xml:space="preserve">第三部分  </w:t>
      </w:r>
      <w:r>
        <w:rPr>
          <w:rFonts w:hint="eastAsia" w:ascii="仿宋" w:hAnsi="仿宋" w:eastAsia="仿宋" w:cs="仿宋"/>
          <w:color w:val="auto"/>
          <w:szCs w:val="21"/>
          <w:highlight w:val="none"/>
          <w:lang w:val="zh-CN"/>
        </w:rPr>
        <w:t>招标内容及要求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_Toc2581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"_Toc10479" </w:instrText>
      </w:r>
      <w:r>
        <w:rPr>
          <w:color w:val="auto"/>
          <w:highlight w:val="none"/>
        </w:rPr>
        <w:fldChar w:fldCharType="separate"/>
      </w:r>
      <w:r>
        <w:rPr>
          <w:rFonts w:hint="eastAsia" w:ascii="仿宋" w:hAnsi="仿宋" w:eastAsia="仿宋" w:cs="仿宋"/>
          <w:color w:val="auto"/>
          <w:szCs w:val="21"/>
          <w:highlight w:val="none"/>
        </w:rPr>
        <w:t xml:space="preserve">第四部分   </w:t>
      </w:r>
      <w:r>
        <w:rPr>
          <w:rFonts w:hint="eastAsia" w:ascii="仿宋" w:hAnsi="仿宋" w:eastAsia="仿宋" w:cs="仿宋"/>
          <w:color w:val="auto"/>
          <w:szCs w:val="21"/>
          <w:highlight w:val="none"/>
          <w:lang w:val="zh-CN"/>
        </w:rPr>
        <w:t>合同条款及格式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_Toc10479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"_Toc31053" </w:instrText>
      </w:r>
      <w:r>
        <w:rPr>
          <w:color w:val="auto"/>
          <w:highlight w:val="none"/>
        </w:rPr>
        <w:fldChar w:fldCharType="separate"/>
      </w:r>
      <w:r>
        <w:rPr>
          <w:rFonts w:hint="eastAsia" w:ascii="仿宋" w:hAnsi="仿宋" w:eastAsia="仿宋" w:cs="仿宋"/>
          <w:bCs/>
          <w:color w:val="auto"/>
          <w:szCs w:val="21"/>
          <w:highlight w:val="none"/>
          <w:lang w:val="zh-CN"/>
        </w:rPr>
        <w:t>第五部分</w:t>
      </w:r>
      <w:r>
        <w:rPr>
          <w:rFonts w:hint="eastAsia" w:ascii="仿宋" w:hAnsi="仿宋" w:eastAsia="仿宋" w:cs="仿宋"/>
          <w:bCs/>
          <w:color w:val="auto"/>
          <w:szCs w:val="21"/>
          <w:highlight w:val="none"/>
        </w:rPr>
        <w:t xml:space="preserve">  投标文件格式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_Toc31053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76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"_Toc16671" </w:instrText>
      </w:r>
      <w:r>
        <w:rPr>
          <w:color w:val="auto"/>
          <w:highlight w:val="none"/>
        </w:rPr>
        <w:fldChar w:fldCharType="separate"/>
      </w:r>
      <w:r>
        <w:rPr>
          <w:rFonts w:hint="eastAsia" w:ascii="仿宋" w:hAnsi="仿宋" w:eastAsia="仿宋" w:cs="仿宋"/>
          <w:bCs/>
          <w:color w:val="auto"/>
          <w:szCs w:val="21"/>
          <w:highlight w:val="none"/>
          <w:lang w:val="zh-CN"/>
        </w:rPr>
        <w:t>一、投标函</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_Toc16671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78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"_Toc16343" </w:instrText>
      </w:r>
      <w:r>
        <w:rPr>
          <w:color w:val="auto"/>
          <w:highlight w:val="none"/>
        </w:rPr>
        <w:fldChar w:fldCharType="separate"/>
      </w:r>
      <w:r>
        <w:rPr>
          <w:rFonts w:hint="eastAsia" w:ascii="仿宋" w:hAnsi="仿宋" w:eastAsia="仿宋" w:cs="仿宋"/>
          <w:color w:val="auto"/>
          <w:szCs w:val="21"/>
          <w:highlight w:val="none"/>
          <w:lang w:val="zh-CN"/>
        </w:rPr>
        <w:t>二、开标一览表（唱标报告）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_Toc16343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80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"_Toc32341" </w:instrText>
      </w:r>
      <w:r>
        <w:rPr>
          <w:color w:val="auto"/>
          <w:highlight w:val="none"/>
        </w:rPr>
        <w:fldChar w:fldCharType="separate"/>
      </w:r>
      <w:r>
        <w:rPr>
          <w:rFonts w:hint="eastAsia" w:ascii="仿宋" w:hAnsi="仿宋" w:eastAsia="仿宋" w:cs="仿宋"/>
          <w:color w:val="auto"/>
          <w:szCs w:val="21"/>
          <w:highlight w:val="none"/>
        </w:rPr>
        <w:t>三、费用组成明细表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_Toc32341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81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"_Toc6997" </w:instrText>
      </w:r>
      <w:r>
        <w:rPr>
          <w:color w:val="auto"/>
          <w:highlight w:val="none"/>
        </w:rPr>
        <w:fldChar w:fldCharType="separate"/>
      </w:r>
      <w:r>
        <w:rPr>
          <w:rFonts w:hint="eastAsia" w:ascii="仿宋" w:hAnsi="仿宋" w:eastAsia="仿宋" w:cs="仿宋"/>
          <w:color w:val="auto"/>
          <w:szCs w:val="21"/>
          <w:highlight w:val="none"/>
          <w:lang w:val="zh-CN"/>
        </w:rPr>
        <w:t>四、供应商资格证明文件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_Toc6997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82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"_Toc24985" </w:instrText>
      </w:r>
      <w:r>
        <w:rPr>
          <w:color w:val="auto"/>
          <w:highlight w:val="none"/>
        </w:rPr>
        <w:fldChar w:fldCharType="separate"/>
      </w:r>
      <w:r>
        <w:rPr>
          <w:rFonts w:hint="eastAsia" w:ascii="仿宋" w:hAnsi="仿宋" w:eastAsia="仿宋" w:cs="仿宋"/>
          <w:color w:val="auto"/>
          <w:szCs w:val="21"/>
          <w:highlight w:val="none"/>
          <w:lang w:val="zh-CN"/>
        </w:rPr>
        <w:t>五、合同主要条款偏离表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_Toc24985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"_Toc759" </w:instrText>
      </w:r>
      <w:r>
        <w:rPr>
          <w:color w:val="auto"/>
          <w:highlight w:val="none"/>
        </w:rPr>
        <w:fldChar w:fldCharType="separate"/>
      </w:r>
      <w:r>
        <w:rPr>
          <w:rFonts w:hint="eastAsia" w:ascii="仿宋" w:hAnsi="仿宋" w:eastAsia="仿宋" w:cs="仿宋"/>
          <w:color w:val="auto"/>
          <w:szCs w:val="21"/>
          <w:highlight w:val="none"/>
        </w:rPr>
        <w:t>六、节能环保、环境标志产品明细表（若有）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_Toc759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"_Toc7823" </w:instrText>
      </w:r>
      <w:r>
        <w:rPr>
          <w:color w:val="auto"/>
          <w:highlight w:val="none"/>
        </w:rPr>
        <w:fldChar w:fldCharType="separate"/>
      </w:r>
      <w:r>
        <w:rPr>
          <w:rFonts w:hint="eastAsia" w:ascii="仿宋" w:hAnsi="仿宋" w:eastAsia="仿宋" w:cs="仿宋"/>
          <w:color w:val="auto"/>
          <w:szCs w:val="21"/>
          <w:highlight w:val="none"/>
        </w:rPr>
        <w:t>七</w:t>
      </w:r>
      <w:r>
        <w:rPr>
          <w:rFonts w:hint="eastAsia" w:ascii="仿宋" w:hAnsi="仿宋" w:eastAsia="仿宋" w:cs="仿宋"/>
          <w:color w:val="auto"/>
          <w:szCs w:val="21"/>
          <w:highlight w:val="none"/>
          <w:lang w:val="zh-CN"/>
        </w:rPr>
        <w:t>、技术规格偏离表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_Toc7823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"_Toc30747" </w:instrText>
      </w:r>
      <w:r>
        <w:rPr>
          <w:color w:val="auto"/>
          <w:highlight w:val="none"/>
        </w:rPr>
        <w:fldChar w:fldCharType="separate"/>
      </w:r>
      <w:r>
        <w:rPr>
          <w:rFonts w:hint="eastAsia" w:ascii="仿宋" w:hAnsi="仿宋" w:eastAsia="仿宋" w:cs="仿宋"/>
          <w:color w:val="auto"/>
          <w:szCs w:val="21"/>
          <w:highlight w:val="none"/>
        </w:rPr>
        <w:t>八、技术方案</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_Toc30747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"_Toc9259" </w:instrText>
      </w:r>
      <w:r>
        <w:rPr>
          <w:color w:val="auto"/>
          <w:highlight w:val="none"/>
        </w:rPr>
        <w:fldChar w:fldCharType="separate"/>
      </w:r>
      <w:r>
        <w:rPr>
          <w:rFonts w:hint="eastAsia" w:ascii="仿宋" w:hAnsi="仿宋" w:eastAsia="仿宋" w:cs="仿宋"/>
          <w:color w:val="auto"/>
          <w:szCs w:val="21"/>
          <w:highlight w:val="none"/>
        </w:rPr>
        <w:t>九、质量保证及售后服务承诺</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_Toc9259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"_Toc31948" </w:instrText>
      </w:r>
      <w:r>
        <w:rPr>
          <w:color w:val="auto"/>
          <w:highlight w:val="none"/>
        </w:rPr>
        <w:fldChar w:fldCharType="separate"/>
      </w:r>
      <w:r>
        <w:rPr>
          <w:rFonts w:hint="eastAsia" w:ascii="仿宋" w:hAnsi="仿宋" w:eastAsia="仿宋" w:cs="仿宋"/>
          <w:color w:val="auto"/>
          <w:szCs w:val="21"/>
          <w:highlight w:val="none"/>
        </w:rPr>
        <w:t>十、近年业绩的有关证明材料</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_Toc31948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100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"_Toc1958" </w:instrText>
      </w:r>
      <w:r>
        <w:rPr>
          <w:color w:val="auto"/>
          <w:highlight w:val="none"/>
        </w:rPr>
        <w:fldChar w:fldCharType="separate"/>
      </w:r>
      <w:r>
        <w:rPr>
          <w:rFonts w:hint="eastAsia" w:ascii="仿宋" w:hAnsi="仿宋" w:eastAsia="仿宋" w:cs="仿宋"/>
          <w:color w:val="auto"/>
          <w:szCs w:val="21"/>
          <w:highlight w:val="none"/>
        </w:rPr>
        <w:t>十一、供应商企业关系关联承诺书</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_Toc1958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101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"_Toc26450" </w:instrText>
      </w:r>
      <w:r>
        <w:rPr>
          <w:color w:val="auto"/>
          <w:highlight w:val="none"/>
        </w:rPr>
        <w:fldChar w:fldCharType="separate"/>
      </w:r>
      <w:r>
        <w:rPr>
          <w:rFonts w:hint="eastAsia" w:ascii="仿宋" w:hAnsi="仿宋" w:eastAsia="仿宋" w:cs="仿宋"/>
          <w:color w:val="auto"/>
          <w:kern w:val="0"/>
          <w:szCs w:val="21"/>
          <w:highlight w:val="none"/>
          <w:lang w:val="zh-CN"/>
        </w:rPr>
        <w:t>十</w:t>
      </w:r>
      <w:r>
        <w:rPr>
          <w:rFonts w:hint="eastAsia" w:ascii="仿宋" w:hAnsi="仿宋" w:eastAsia="仿宋" w:cs="仿宋"/>
          <w:color w:val="auto"/>
          <w:kern w:val="0"/>
          <w:szCs w:val="21"/>
          <w:highlight w:val="none"/>
        </w:rPr>
        <w:t>二</w:t>
      </w:r>
      <w:r>
        <w:rPr>
          <w:rFonts w:hint="eastAsia" w:ascii="仿宋" w:hAnsi="仿宋" w:eastAsia="仿宋" w:cs="仿宋"/>
          <w:color w:val="auto"/>
          <w:kern w:val="0"/>
          <w:szCs w:val="21"/>
          <w:highlight w:val="none"/>
          <w:lang w:val="zh-CN"/>
        </w:rPr>
        <w:t>、供应商廉洁自律承诺书</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_Toc26450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102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color w:val="auto"/>
          <w:highlight w:val="none"/>
        </w:rPr>
      </w:pPr>
      <w:r>
        <w:rPr>
          <w:color w:val="auto"/>
          <w:highlight w:val="none"/>
        </w:rPr>
        <w:fldChar w:fldCharType="begin"/>
      </w:r>
      <w:r>
        <w:rPr>
          <w:color w:val="auto"/>
          <w:highlight w:val="none"/>
        </w:rPr>
        <w:instrText xml:space="preserve"> HYPERLINK \l "_Toc19539" </w:instrText>
      </w:r>
      <w:r>
        <w:rPr>
          <w:color w:val="auto"/>
          <w:highlight w:val="none"/>
        </w:rPr>
        <w:fldChar w:fldCharType="separate"/>
      </w:r>
      <w:r>
        <w:rPr>
          <w:rFonts w:hint="eastAsia" w:ascii="仿宋" w:hAnsi="仿宋" w:eastAsia="仿宋" w:cs="仿宋"/>
          <w:color w:val="auto"/>
          <w:szCs w:val="21"/>
          <w:highlight w:val="none"/>
        </w:rPr>
        <w:t>十三</w:t>
      </w:r>
      <w:r>
        <w:rPr>
          <w:rFonts w:hint="eastAsia" w:ascii="仿宋" w:hAnsi="仿宋" w:eastAsia="仿宋" w:cs="仿宋"/>
          <w:color w:val="auto"/>
          <w:szCs w:val="21"/>
          <w:highlight w:val="none"/>
          <w:lang w:val="zh-CN"/>
        </w:rPr>
        <w:t>、供应商认为有必要补充说明的事项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_Toc19539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103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color w:val="auto"/>
          <w:szCs w:val="18"/>
          <w:highlight w:val="none"/>
        </w:rPr>
        <w:fldChar w:fldCharType="end"/>
      </w:r>
      <w:bookmarkEnd w:id="0"/>
      <w:bookmarkEnd w:id="1"/>
      <w:bookmarkEnd w:id="2"/>
      <w:bookmarkEnd w:id="3"/>
      <w:bookmarkEnd w:id="4"/>
      <w:bookmarkEnd w:id="5"/>
      <w:bookmarkEnd w:id="6"/>
      <w:bookmarkEnd w:id="7"/>
      <w:bookmarkStart w:id="8" w:name="_Toc622"/>
      <w:bookmarkStart w:id="9" w:name="_Toc3130"/>
      <w:bookmarkStart w:id="10" w:name="_Toc26858"/>
      <w:bookmarkStart w:id="11" w:name="_Toc24650"/>
      <w:bookmarkStart w:id="12" w:name="_Toc28781"/>
      <w:bookmarkStart w:id="13" w:name="_Toc29439"/>
      <w:bookmarkStart w:id="14" w:name="_Toc28753"/>
      <w:bookmarkStart w:id="15" w:name="_Toc31912"/>
      <w:bookmarkStart w:id="16" w:name="_Toc8779"/>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6649"/>
      <w:bookmarkStart w:id="19" w:name="_Toc14692"/>
      <w:bookmarkStart w:id="20" w:name="_Toc28565"/>
      <w:bookmarkStart w:id="21" w:name="_Toc31741"/>
      <w:bookmarkStart w:id="22" w:name="_Toc26996"/>
      <w:bookmarkStart w:id="23" w:name="_Toc786"/>
      <w:bookmarkStart w:id="24" w:name="_Toc16458"/>
      <w:bookmarkStart w:id="25" w:name="_Toc28539"/>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其中包7（第七标段）：</w:t>
            </w:r>
            <w:r>
              <w:rPr>
                <w:rFonts w:hint="eastAsia" w:ascii="仿宋" w:hAnsi="仿宋" w:eastAsia="仿宋" w:cs="仿宋"/>
                <w:i w:val="0"/>
                <w:iCs w:val="0"/>
                <w:color w:val="auto"/>
                <w:kern w:val="0"/>
                <w:sz w:val="24"/>
                <w:szCs w:val="24"/>
                <w:highlight w:val="none"/>
                <w:u w:val="none"/>
                <w:lang w:val="en-US" w:eastAsia="zh-CN" w:bidi="ar"/>
              </w:rPr>
              <w:t>880000.00元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pageBreakBefore/>
        <w:shd w:val="clear"/>
        <w:spacing w:line="360" w:lineRule="auto"/>
        <w:ind w:firstLine="482" w:firstLineChars="200"/>
        <w:outlineLvl w:val="1"/>
        <w:rPr>
          <w:rFonts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一、总则</w:t>
      </w:r>
      <w:bookmarkEnd w:id="9"/>
      <w:bookmarkEnd w:id="10"/>
      <w:bookmarkEnd w:id="11"/>
      <w:bookmarkEnd w:id="12"/>
      <w:bookmarkEnd w:id="13"/>
      <w:bookmarkEnd w:id="14"/>
      <w:bookmarkEnd w:id="15"/>
      <w:bookmarkEnd w:id="16"/>
    </w:p>
    <w:p>
      <w:pPr>
        <w:shd w:val="clear"/>
        <w:spacing w:line="360" w:lineRule="auto"/>
        <w:ind w:firstLine="482" w:firstLineChars="200"/>
        <w:outlineLvl w:val="2"/>
        <w:rPr>
          <w:rFonts w:ascii="仿宋" w:hAnsi="仿宋" w:eastAsia="仿宋" w:cs="仿宋"/>
          <w:color w:val="auto"/>
          <w:sz w:val="24"/>
          <w:szCs w:val="24"/>
          <w:highlight w:val="none"/>
          <w:lang w:val="zh-CN"/>
        </w:rPr>
      </w:pPr>
      <w:bookmarkStart w:id="26" w:name="_Toc17517"/>
      <w:bookmarkStart w:id="27" w:name="_Toc29110"/>
      <w:bookmarkStart w:id="28" w:name="_Toc7648"/>
      <w:bookmarkStart w:id="29" w:name="_Toc14386"/>
      <w:bookmarkStart w:id="30" w:name="_Toc27696"/>
      <w:bookmarkStart w:id="31" w:name="_Toc20"/>
      <w:bookmarkStart w:id="32" w:name="_Toc6337"/>
      <w:bookmarkStart w:id="33" w:name="_Toc5427"/>
      <w:bookmarkStart w:id="34" w:name="_Toc6093"/>
      <w:r>
        <w:rPr>
          <w:rFonts w:hint="eastAsia" w:ascii="仿宋" w:hAnsi="仿宋" w:eastAsia="仿宋" w:cs="仿宋"/>
          <w:b/>
          <w:bCs/>
          <w:color w:val="auto"/>
          <w:sz w:val="24"/>
          <w:szCs w:val="24"/>
          <w:highlight w:val="none"/>
          <w:lang w:val="zh-CN"/>
        </w:rPr>
        <w:t>（一）适用范围</w:t>
      </w:r>
      <w:bookmarkEnd w:id="26"/>
      <w:bookmarkEnd w:id="27"/>
      <w:bookmarkEnd w:id="28"/>
      <w:bookmarkEnd w:id="29"/>
      <w:bookmarkEnd w:id="30"/>
      <w:bookmarkEnd w:id="31"/>
      <w:bookmarkEnd w:id="32"/>
      <w:bookmarkEnd w:id="33"/>
      <w:bookmarkEnd w:id="34"/>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1、本招标文件仅适用于本次招标所述的灞桥区2021年新增教育建设奖补资金--五星中学设备采购项目采购活动。</w:t>
      </w:r>
    </w:p>
    <w:bookmarkEnd w:id="17"/>
    <w:p>
      <w:pPr>
        <w:shd w:val="clear"/>
        <w:spacing w:line="360" w:lineRule="auto"/>
        <w:ind w:firstLine="482" w:firstLineChars="200"/>
        <w:outlineLvl w:val="2"/>
        <w:rPr>
          <w:rFonts w:ascii="仿宋" w:hAnsi="仿宋" w:eastAsia="仿宋" w:cs="仿宋"/>
          <w:color w:val="auto"/>
          <w:sz w:val="24"/>
          <w:szCs w:val="24"/>
          <w:highlight w:val="none"/>
          <w:lang w:val="zh-CN"/>
        </w:rPr>
      </w:pPr>
      <w:bookmarkStart w:id="35" w:name="_Toc11334"/>
      <w:bookmarkStart w:id="36" w:name="_Toc25233"/>
      <w:bookmarkStart w:id="37" w:name="_Toc20921"/>
      <w:bookmarkStart w:id="38" w:name="_Toc18376"/>
      <w:bookmarkStart w:id="39" w:name="_Toc5174"/>
      <w:bookmarkStart w:id="40" w:name="_Toc14450"/>
      <w:bookmarkStart w:id="41" w:name="_Toc20501"/>
      <w:bookmarkStart w:id="42" w:name="_Toc26769"/>
      <w:bookmarkStart w:id="43" w:name="_Toc97"/>
      <w:r>
        <w:rPr>
          <w:rFonts w:hint="eastAsia" w:ascii="仿宋" w:hAnsi="仿宋" w:eastAsia="仿宋" w:cs="仿宋"/>
          <w:b/>
          <w:bCs/>
          <w:color w:val="auto"/>
          <w:sz w:val="24"/>
          <w:szCs w:val="24"/>
          <w:highlight w:val="none"/>
          <w:lang w:val="zh-CN"/>
        </w:rPr>
        <w:t>（二）名词解释</w:t>
      </w:r>
      <w:bookmarkEnd w:id="35"/>
      <w:bookmarkEnd w:id="36"/>
      <w:bookmarkEnd w:id="37"/>
      <w:bookmarkEnd w:id="38"/>
      <w:bookmarkEnd w:id="39"/>
      <w:bookmarkEnd w:id="40"/>
      <w:bookmarkEnd w:id="41"/>
      <w:bookmarkEnd w:id="42"/>
      <w:bookmarkEnd w:id="43"/>
    </w:p>
    <w:p>
      <w:pPr>
        <w:shd w:val="clear"/>
        <w:autoSpaceDE w:val="0"/>
        <w:autoSpaceDN w:val="0"/>
        <w:adjustRightInd w:val="0"/>
        <w:spacing w:line="36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shd w:val="clear"/>
        <w:autoSpaceDE w:val="0"/>
        <w:autoSpaceDN w:val="0"/>
        <w:adjustRightInd w:val="0"/>
        <w:snapToGrid w:val="0"/>
        <w:spacing w:line="360" w:lineRule="auto"/>
        <w:ind w:firstLine="482" w:firstLineChars="200"/>
        <w:outlineLvl w:val="1"/>
        <w:rPr>
          <w:rFonts w:ascii="仿宋" w:hAnsi="仿宋" w:eastAsia="仿宋" w:cs="仿宋"/>
          <w:b/>
          <w:bCs/>
          <w:color w:val="auto"/>
          <w:sz w:val="24"/>
          <w:szCs w:val="24"/>
          <w:highlight w:val="none"/>
          <w:lang w:val="zh-CN"/>
        </w:rPr>
      </w:pPr>
      <w:bookmarkStart w:id="44" w:name="_Toc18136"/>
      <w:bookmarkStart w:id="45" w:name="_Toc32052"/>
      <w:bookmarkStart w:id="46" w:name="_Toc7846"/>
      <w:bookmarkStart w:id="47" w:name="_Toc9657"/>
      <w:bookmarkStart w:id="48" w:name="_Toc5144"/>
      <w:bookmarkStart w:id="49" w:name="_Toc13475"/>
      <w:bookmarkStart w:id="50" w:name="_Toc29138"/>
      <w:bookmarkStart w:id="51" w:name="_Toc24956"/>
      <w:r>
        <w:rPr>
          <w:rFonts w:hint="eastAsia" w:ascii="仿宋" w:hAnsi="仿宋" w:eastAsia="仿宋" w:cs="仿宋"/>
          <w:b/>
          <w:bCs/>
          <w:color w:val="auto"/>
          <w:sz w:val="24"/>
          <w:szCs w:val="24"/>
          <w:highlight w:val="none"/>
          <w:lang w:val="zh-CN"/>
        </w:rPr>
        <w:t>二、招标文件</w:t>
      </w:r>
      <w:bookmarkEnd w:id="44"/>
      <w:bookmarkEnd w:id="45"/>
      <w:bookmarkEnd w:id="46"/>
      <w:bookmarkEnd w:id="47"/>
      <w:bookmarkEnd w:id="48"/>
      <w:bookmarkEnd w:id="49"/>
      <w:bookmarkEnd w:id="50"/>
      <w:bookmarkEnd w:id="51"/>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52" w:name="_Toc1837"/>
      <w:bookmarkStart w:id="53" w:name="_Toc22798"/>
      <w:bookmarkStart w:id="54" w:name="_Toc24239"/>
      <w:bookmarkStart w:id="55" w:name="_Toc30131"/>
      <w:bookmarkStart w:id="56" w:name="_Toc16573"/>
      <w:bookmarkStart w:id="57" w:name="_Toc21955"/>
      <w:bookmarkStart w:id="58" w:name="_Toc23894"/>
      <w:bookmarkStart w:id="59" w:name="_Toc19188"/>
      <w:bookmarkStart w:id="60" w:name="_Toc27613"/>
      <w:r>
        <w:rPr>
          <w:rFonts w:hint="eastAsia" w:ascii="仿宋" w:hAnsi="仿宋" w:eastAsia="仿宋" w:cs="仿宋"/>
          <w:b/>
          <w:color w:val="auto"/>
          <w:sz w:val="24"/>
          <w:szCs w:val="24"/>
          <w:highlight w:val="none"/>
          <w:lang w:val="zh-CN"/>
        </w:rPr>
        <w:t>（一）招标文件</w:t>
      </w:r>
      <w:bookmarkEnd w:id="52"/>
      <w:bookmarkEnd w:id="53"/>
      <w:bookmarkEnd w:id="54"/>
      <w:r>
        <w:rPr>
          <w:rFonts w:hint="eastAsia" w:ascii="仿宋" w:hAnsi="仿宋" w:eastAsia="仿宋" w:cs="仿宋"/>
          <w:b/>
          <w:color w:val="auto"/>
          <w:sz w:val="24"/>
          <w:szCs w:val="24"/>
          <w:highlight w:val="none"/>
          <w:lang w:val="zh-CN"/>
        </w:rPr>
        <w:t>的组成</w:t>
      </w:r>
      <w:bookmarkEnd w:id="55"/>
      <w:bookmarkEnd w:id="56"/>
      <w:bookmarkEnd w:id="57"/>
      <w:bookmarkEnd w:id="58"/>
      <w:bookmarkEnd w:id="59"/>
      <w:bookmarkEnd w:id="60"/>
      <w:r>
        <w:rPr>
          <w:rFonts w:hint="eastAsia" w:ascii="仿宋" w:hAnsi="仿宋" w:eastAsia="仿宋" w:cs="仿宋"/>
          <w:b/>
          <w:color w:val="auto"/>
          <w:sz w:val="24"/>
          <w:szCs w:val="24"/>
          <w:highlight w:val="none"/>
          <w:lang w:val="zh-CN"/>
        </w:rPr>
        <w:t xml:space="preserve">   </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61" w:name="_Toc9208"/>
      <w:bookmarkStart w:id="62" w:name="_Toc6936"/>
      <w:bookmarkStart w:id="63" w:name="_Toc26386"/>
      <w:bookmarkStart w:id="64" w:name="_Toc16787"/>
      <w:bookmarkStart w:id="65" w:name="_Toc21971"/>
      <w:bookmarkStart w:id="66" w:name="_Toc21637"/>
      <w:bookmarkStart w:id="67" w:name="_Toc31680"/>
      <w:bookmarkStart w:id="68" w:name="_Toc28098"/>
      <w:bookmarkStart w:id="69" w:name="_Toc15799"/>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1"/>
      <w:bookmarkEnd w:id="62"/>
      <w:bookmarkEnd w:id="63"/>
      <w:bookmarkEnd w:id="64"/>
      <w:bookmarkEnd w:id="65"/>
      <w:bookmarkEnd w:id="66"/>
      <w:bookmarkEnd w:id="67"/>
      <w:bookmarkEnd w:id="68"/>
      <w:bookmarkEnd w:id="69"/>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70" w:name="_Toc2929"/>
      <w:bookmarkStart w:id="71" w:name="_Toc17894"/>
      <w:bookmarkStart w:id="72" w:name="_Toc12729"/>
      <w:bookmarkStart w:id="73" w:name="_Toc18749"/>
      <w:bookmarkStart w:id="74" w:name="_Toc1550"/>
      <w:bookmarkStart w:id="75" w:name="_Toc21498"/>
      <w:bookmarkStart w:id="76" w:name="_Toc31132"/>
      <w:bookmarkStart w:id="77" w:name="_Toc12617"/>
      <w:bookmarkStart w:id="78" w:name="_Toc19583"/>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0"/>
      <w:bookmarkEnd w:id="71"/>
      <w:bookmarkEnd w:id="72"/>
      <w:bookmarkEnd w:id="73"/>
      <w:bookmarkEnd w:id="74"/>
      <w:bookmarkEnd w:id="75"/>
      <w:bookmarkEnd w:id="76"/>
      <w:bookmarkEnd w:id="77"/>
      <w:bookmarkEnd w:id="78"/>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shd w:val="clear"/>
        <w:spacing w:before="0" w:beforeAutospacing="0" w:after="0" w:afterAutospacing="0" w:line="360" w:lineRule="auto"/>
        <w:ind w:firstLine="480" w:firstLineChars="200"/>
        <w:jc w:val="both"/>
        <w:rPr>
          <w:rFonts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shd w:val="clear"/>
        <w:spacing w:before="0" w:beforeAutospacing="0" w:after="0" w:afterAutospacing="0" w:line="360" w:lineRule="auto"/>
        <w:ind w:firstLine="480" w:firstLineChars="200"/>
        <w:jc w:val="both"/>
        <w:rPr>
          <w:rFonts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79" w:name="_Toc27651"/>
      <w:bookmarkStart w:id="80" w:name="_Toc1801"/>
      <w:bookmarkStart w:id="81" w:name="_Toc16614"/>
      <w:bookmarkStart w:id="82" w:name="_Toc17969"/>
      <w:bookmarkStart w:id="83" w:name="_Toc28965"/>
      <w:bookmarkStart w:id="84" w:name="_Toc27857"/>
      <w:bookmarkStart w:id="85" w:name="_Toc32572"/>
      <w:bookmarkStart w:id="86" w:name="_Toc23823"/>
      <w:bookmarkStart w:id="87" w:name="_Toc16954"/>
      <w:r>
        <w:rPr>
          <w:rFonts w:hint="eastAsia" w:ascii="仿宋" w:hAnsi="仿宋" w:eastAsia="仿宋" w:cs="仿宋"/>
          <w:b/>
          <w:bCs/>
          <w:color w:val="auto"/>
          <w:sz w:val="24"/>
          <w:szCs w:val="24"/>
          <w:highlight w:val="none"/>
          <w:lang w:val="zh-CN"/>
        </w:rPr>
        <w:t>（四）招标文件的解释权</w:t>
      </w:r>
      <w:bookmarkEnd w:id="79"/>
      <w:bookmarkEnd w:id="80"/>
      <w:bookmarkEnd w:id="81"/>
      <w:bookmarkEnd w:id="82"/>
      <w:bookmarkEnd w:id="83"/>
      <w:bookmarkEnd w:id="84"/>
      <w:bookmarkEnd w:id="85"/>
      <w:bookmarkEnd w:id="86"/>
      <w:bookmarkEnd w:id="87"/>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88" w:name="_Toc12572"/>
      <w:bookmarkStart w:id="89" w:name="_Toc549"/>
      <w:bookmarkStart w:id="90" w:name="_Toc30757"/>
      <w:bookmarkStart w:id="91" w:name="_Toc25911"/>
      <w:bookmarkStart w:id="92" w:name="_Toc8593"/>
      <w:bookmarkStart w:id="93" w:name="_Toc2494"/>
      <w:bookmarkStart w:id="94" w:name="_Toc13377"/>
      <w:bookmarkStart w:id="95" w:name="_Toc16073"/>
      <w:r>
        <w:rPr>
          <w:rFonts w:hint="eastAsia" w:ascii="仿宋" w:hAnsi="仿宋" w:eastAsia="仿宋" w:cs="仿宋"/>
          <w:b/>
          <w:color w:val="auto"/>
          <w:sz w:val="24"/>
          <w:szCs w:val="24"/>
          <w:highlight w:val="none"/>
          <w:lang w:val="zh-CN"/>
        </w:rPr>
        <w:t>三、投标要求</w:t>
      </w:r>
      <w:bookmarkEnd w:id="88"/>
      <w:bookmarkEnd w:id="89"/>
      <w:bookmarkEnd w:id="90"/>
      <w:bookmarkEnd w:id="91"/>
      <w:bookmarkEnd w:id="92"/>
      <w:bookmarkEnd w:id="93"/>
      <w:bookmarkEnd w:id="94"/>
      <w:bookmarkEnd w:id="95"/>
    </w:p>
    <w:p>
      <w:pPr>
        <w:shd w:val="clear"/>
        <w:snapToGrid w:val="0"/>
        <w:spacing w:line="360" w:lineRule="auto"/>
        <w:ind w:firstLine="482" w:firstLineChars="200"/>
        <w:outlineLvl w:val="2"/>
        <w:rPr>
          <w:rFonts w:ascii="仿宋" w:hAnsi="仿宋" w:eastAsia="仿宋" w:cs="仿宋"/>
          <w:color w:val="auto"/>
          <w:sz w:val="24"/>
          <w:szCs w:val="24"/>
          <w:highlight w:val="none"/>
        </w:rPr>
      </w:pPr>
      <w:bookmarkStart w:id="96" w:name="_Toc7693"/>
      <w:bookmarkStart w:id="97" w:name="_Toc17014"/>
      <w:bookmarkStart w:id="98" w:name="_Toc95"/>
      <w:bookmarkStart w:id="99" w:name="_Toc12545"/>
      <w:bookmarkStart w:id="100" w:name="_Toc9226"/>
      <w:bookmarkStart w:id="101" w:name="_Toc6311"/>
      <w:bookmarkStart w:id="102" w:name="_Toc5035"/>
      <w:bookmarkStart w:id="103" w:name="_Toc27113"/>
      <w:bookmarkStart w:id="104" w:name="_Toc9714"/>
      <w:r>
        <w:rPr>
          <w:rFonts w:hint="eastAsia" w:ascii="仿宋" w:hAnsi="仿宋" w:eastAsia="仿宋" w:cs="仿宋"/>
          <w:b/>
          <w:bCs/>
          <w:color w:val="auto"/>
          <w:sz w:val="24"/>
          <w:szCs w:val="24"/>
          <w:highlight w:val="none"/>
        </w:rPr>
        <w:t>（一）投标内容</w:t>
      </w:r>
      <w:bookmarkEnd w:id="96"/>
      <w:bookmarkEnd w:id="97"/>
      <w:bookmarkEnd w:id="98"/>
      <w:bookmarkEnd w:id="99"/>
      <w:bookmarkEnd w:id="100"/>
      <w:bookmarkEnd w:id="101"/>
      <w:bookmarkEnd w:id="102"/>
      <w:bookmarkEnd w:id="103"/>
      <w:bookmarkEnd w:id="104"/>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本次招标内容为灞桥区2021年新增教育建设奖补资金--五星中学设备采购项目，</w:t>
      </w:r>
      <w:r>
        <w:rPr>
          <w:rFonts w:hint="eastAsia" w:ascii="仿宋" w:hAnsi="仿宋" w:eastAsia="仿宋" w:cs="仿宋"/>
          <w:bCs/>
          <w:color w:val="auto"/>
          <w:sz w:val="24"/>
          <w:szCs w:val="24"/>
          <w:highlight w:val="none"/>
        </w:rPr>
        <w:t>各供应商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shd w:val="clear"/>
        <w:autoSpaceDE w:val="0"/>
        <w:autoSpaceDN w:val="0"/>
        <w:adjustRightInd w:val="0"/>
        <w:spacing w:line="360" w:lineRule="auto"/>
        <w:ind w:firstLine="482" w:firstLineChars="200"/>
        <w:outlineLvl w:val="2"/>
        <w:rPr>
          <w:rFonts w:ascii="仿宋" w:hAnsi="仿宋" w:eastAsia="仿宋" w:cs="仿宋"/>
          <w:b/>
          <w:color w:val="auto"/>
          <w:sz w:val="24"/>
          <w:szCs w:val="24"/>
          <w:highlight w:val="none"/>
        </w:rPr>
      </w:pPr>
      <w:bookmarkStart w:id="105" w:name="_Toc16292"/>
      <w:bookmarkStart w:id="106" w:name="_Toc15084"/>
      <w:bookmarkStart w:id="107" w:name="_Toc2941"/>
      <w:bookmarkStart w:id="108" w:name="_Toc16899"/>
      <w:bookmarkStart w:id="109" w:name="_Toc31428"/>
      <w:bookmarkStart w:id="110" w:name="_Toc6567"/>
      <w:bookmarkStart w:id="111" w:name="_Toc21302"/>
      <w:bookmarkStart w:id="112" w:name="_Toc27262"/>
      <w:bookmarkStart w:id="113" w:name="_Toc8899"/>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5"/>
      <w:bookmarkEnd w:id="106"/>
      <w:bookmarkEnd w:id="107"/>
      <w:bookmarkEnd w:id="108"/>
      <w:bookmarkEnd w:id="109"/>
      <w:bookmarkEnd w:id="110"/>
      <w:bookmarkEnd w:id="111"/>
      <w:bookmarkEnd w:id="112"/>
      <w:bookmarkEnd w:id="113"/>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rPr>
        <w:t>应有代收机构或税务机关的公章或业务专用章。依法免税的供应商应提供相关文件证明；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（5）出具履行合同所必需的设备和专业技术能力的书面声明；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）出具参加本次政府采购活动的书面声明。</w:t>
      </w:r>
    </w:p>
    <w:p>
      <w:pPr>
        <w:shd w:val="clear"/>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（1）法定代表人授权书及被授权人身份证，并且提供有效的劳动合同或开标截止前六个月内任意一个月养老保险缴纳证明（法人参加只需提供法定代表人身份证明）；</w:t>
      </w:r>
    </w:p>
    <w:p>
      <w:pPr>
        <w:shd w:val="clear"/>
        <w:tabs>
          <w:tab w:val="left" w:pos="9030"/>
        </w:tabs>
        <w:snapToGrid w:val="0"/>
        <w:spacing w:line="36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shd w:val="clear"/>
        <w:autoSpaceDE w:val="0"/>
        <w:autoSpaceDN w:val="0"/>
        <w:adjustRightInd w:val="0"/>
        <w:spacing w:line="360" w:lineRule="auto"/>
        <w:ind w:firstLine="482" w:firstLineChars="200"/>
        <w:outlineLvl w:val="2"/>
        <w:rPr>
          <w:rFonts w:ascii="仿宋" w:hAnsi="仿宋" w:eastAsia="仿宋" w:cs="仿宋"/>
          <w:b/>
          <w:bCs/>
          <w:color w:val="auto"/>
          <w:sz w:val="24"/>
          <w:szCs w:val="24"/>
          <w:highlight w:val="none"/>
        </w:rPr>
      </w:pPr>
      <w:bookmarkStart w:id="114" w:name="_Toc2160"/>
      <w:bookmarkStart w:id="115" w:name="_Toc16392"/>
      <w:bookmarkStart w:id="116" w:name="_Toc25295"/>
      <w:bookmarkStart w:id="117" w:name="_Toc28737"/>
      <w:bookmarkStart w:id="118" w:name="_Toc3918"/>
      <w:bookmarkStart w:id="119" w:name="_Toc15017"/>
      <w:bookmarkStart w:id="120" w:name="_Toc15273"/>
      <w:bookmarkStart w:id="121" w:name="_Toc12028"/>
      <w:bookmarkStart w:id="122" w:name="_Toc29705"/>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4"/>
      <w:bookmarkEnd w:id="115"/>
      <w:bookmarkEnd w:id="116"/>
      <w:bookmarkEnd w:id="117"/>
      <w:bookmarkEnd w:id="118"/>
      <w:bookmarkEnd w:id="119"/>
      <w:bookmarkEnd w:id="120"/>
      <w:bookmarkEnd w:id="121"/>
      <w:bookmarkEnd w:id="122"/>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shd w:val="clear"/>
        <w:autoSpaceDE w:val="0"/>
        <w:autoSpaceDN w:val="0"/>
        <w:adjustRightInd w:val="0"/>
        <w:spacing w:line="360" w:lineRule="auto"/>
        <w:ind w:firstLine="482" w:firstLineChars="200"/>
        <w:rPr>
          <w:rFonts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shd w:val="clear"/>
        <w:tabs>
          <w:tab w:val="left" w:pos="9030"/>
        </w:tabs>
        <w:snapToGrid w:val="0"/>
        <w:spacing w:line="360" w:lineRule="auto"/>
        <w:ind w:firstLine="482" w:firstLineChars="200"/>
        <w:outlineLvl w:val="2"/>
        <w:rPr>
          <w:rFonts w:ascii="仿宋" w:hAnsi="仿宋" w:eastAsia="仿宋" w:cs="仿宋"/>
          <w:b/>
          <w:bCs/>
          <w:color w:val="auto"/>
          <w:sz w:val="24"/>
          <w:szCs w:val="24"/>
          <w:highlight w:val="none"/>
          <w:lang w:val="zh-CN"/>
        </w:rPr>
      </w:pPr>
      <w:bookmarkStart w:id="123" w:name="_Toc9223"/>
      <w:bookmarkStart w:id="124" w:name="_Toc7380"/>
      <w:bookmarkStart w:id="125" w:name="_Toc29714"/>
      <w:bookmarkStart w:id="126" w:name="_Toc18636"/>
      <w:bookmarkStart w:id="127" w:name="_Toc2643"/>
      <w:bookmarkStart w:id="128" w:name="_Toc17603"/>
      <w:bookmarkStart w:id="129" w:name="_Toc3786"/>
      <w:bookmarkStart w:id="130" w:name="_Toc12838"/>
      <w:bookmarkStart w:id="131" w:name="_Toc1281"/>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3"/>
      <w:bookmarkEnd w:id="124"/>
      <w:bookmarkEnd w:id="125"/>
      <w:bookmarkEnd w:id="126"/>
      <w:bookmarkEnd w:id="127"/>
      <w:bookmarkEnd w:id="128"/>
      <w:bookmarkEnd w:id="129"/>
      <w:bookmarkEnd w:id="130"/>
      <w:bookmarkEnd w:id="131"/>
    </w:p>
    <w:p>
      <w:pPr>
        <w:shd w:val="clear"/>
        <w:tabs>
          <w:tab w:val="left" w:pos="9030"/>
        </w:tabs>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32" w:name="_Toc9574"/>
      <w:bookmarkStart w:id="133" w:name="_Toc21375"/>
      <w:bookmarkStart w:id="134" w:name="_Toc13087"/>
      <w:bookmarkStart w:id="135" w:name="_Toc8253"/>
      <w:bookmarkStart w:id="136" w:name="_Toc10986"/>
      <w:bookmarkStart w:id="137" w:name="_Toc21738"/>
      <w:bookmarkStart w:id="138" w:name="_Toc27607"/>
      <w:bookmarkStart w:id="139" w:name="_Toc695"/>
      <w:bookmarkStart w:id="140" w:name="_Toc11560"/>
      <w:r>
        <w:rPr>
          <w:rFonts w:hint="eastAsia" w:ascii="仿宋" w:hAnsi="仿宋" w:eastAsia="仿宋" w:cs="仿宋"/>
          <w:b/>
          <w:color w:val="auto"/>
          <w:sz w:val="24"/>
          <w:szCs w:val="24"/>
          <w:highlight w:val="none"/>
          <w:lang w:val="zh-CN"/>
        </w:rPr>
        <w:t>（五）投标文件的编写要求</w:t>
      </w:r>
      <w:bookmarkEnd w:id="132"/>
      <w:bookmarkEnd w:id="133"/>
      <w:bookmarkEnd w:id="134"/>
      <w:bookmarkEnd w:id="135"/>
      <w:bookmarkEnd w:id="136"/>
      <w:bookmarkEnd w:id="137"/>
      <w:bookmarkEnd w:id="138"/>
      <w:bookmarkEnd w:id="139"/>
      <w:bookmarkEnd w:id="140"/>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41" w:name="_Toc19554"/>
      <w:bookmarkStart w:id="142" w:name="_Toc14561"/>
      <w:bookmarkStart w:id="143" w:name="_Toc1681"/>
      <w:bookmarkStart w:id="144" w:name="_Toc11902"/>
      <w:bookmarkStart w:id="145" w:name="_Toc11144"/>
      <w:bookmarkStart w:id="146" w:name="_Toc4804"/>
      <w:bookmarkStart w:id="147" w:name="_Toc2115"/>
      <w:bookmarkStart w:id="148" w:name="_Toc4232"/>
      <w:bookmarkStart w:id="149" w:name="_Toc30294"/>
      <w:r>
        <w:rPr>
          <w:rFonts w:hint="eastAsia" w:ascii="仿宋" w:hAnsi="仿宋" w:eastAsia="仿宋" w:cs="仿宋"/>
          <w:b/>
          <w:color w:val="auto"/>
          <w:sz w:val="24"/>
          <w:szCs w:val="24"/>
          <w:highlight w:val="none"/>
          <w:lang w:val="zh-CN"/>
        </w:rPr>
        <w:t>（六）投标报价要求</w:t>
      </w:r>
      <w:bookmarkEnd w:id="141"/>
      <w:bookmarkEnd w:id="142"/>
      <w:bookmarkEnd w:id="143"/>
      <w:bookmarkEnd w:id="144"/>
      <w:bookmarkEnd w:id="145"/>
      <w:bookmarkEnd w:id="146"/>
      <w:bookmarkEnd w:id="147"/>
      <w:bookmarkEnd w:id="148"/>
      <w:bookmarkEnd w:id="149"/>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bookmarkStart w:id="150" w:name="_Toc10555"/>
      <w:r>
        <w:rPr>
          <w:rFonts w:hint="eastAsia" w:ascii="仿宋" w:hAnsi="仿宋" w:eastAsia="仿宋" w:cs="仿宋"/>
          <w:color w:val="auto"/>
          <w:sz w:val="24"/>
          <w:szCs w:val="24"/>
          <w:highlight w:val="none"/>
        </w:rPr>
        <w:t>1、供应商应在投标文件中的投标报价一览表上标明投标总报价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6"/>
        <w:shd w:val="clear"/>
        <w:spacing w:line="360" w:lineRule="auto"/>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0"/>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51" w:name="_Toc3341"/>
      <w:bookmarkStart w:id="152" w:name="_Toc26261"/>
      <w:bookmarkStart w:id="153" w:name="_Toc18340"/>
      <w:bookmarkStart w:id="154" w:name="_Toc25806"/>
      <w:bookmarkStart w:id="155" w:name="_Toc14066"/>
      <w:bookmarkStart w:id="156" w:name="_Toc6827"/>
      <w:bookmarkStart w:id="157" w:name="_Toc25857"/>
      <w:bookmarkStart w:id="158" w:name="_Toc11741"/>
      <w:bookmarkStart w:id="159" w:name="_Toc1086"/>
      <w:r>
        <w:rPr>
          <w:rFonts w:hint="eastAsia" w:ascii="仿宋" w:hAnsi="仿宋" w:eastAsia="仿宋" w:cs="仿宋"/>
          <w:b/>
          <w:color w:val="auto"/>
          <w:sz w:val="24"/>
          <w:szCs w:val="24"/>
          <w:highlight w:val="none"/>
          <w:lang w:val="zh-CN"/>
        </w:rPr>
        <w:t>（七）投标文件的式样和签署</w:t>
      </w:r>
      <w:bookmarkEnd w:id="151"/>
      <w:bookmarkEnd w:id="152"/>
      <w:bookmarkEnd w:id="153"/>
      <w:bookmarkEnd w:id="154"/>
      <w:bookmarkEnd w:id="155"/>
      <w:bookmarkEnd w:id="156"/>
      <w:bookmarkEnd w:id="157"/>
      <w:bookmarkEnd w:id="158"/>
      <w:bookmarkEnd w:id="159"/>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，U盘存储），投标文件的封面上应清楚地标记“正本”、“副本”、“电子版”字样。招标文件中“第五部分 四、供应商资格证明文件”单独胶装成册1本，与投标文件正本一同密封。</w:t>
      </w:r>
    </w:p>
    <w:p>
      <w:pPr>
        <w:shd w:val="clear"/>
        <w:tabs>
          <w:tab w:val="left" w:pos="9030"/>
        </w:tabs>
        <w:snapToGrid w:val="0"/>
        <w:spacing w:line="360" w:lineRule="auto"/>
        <w:ind w:firstLine="480" w:firstLineChars="200"/>
        <w:rPr>
          <w:rFonts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因字迹不清、表达不准或不按给定的投标文件格式编制的投标文件，所引起的不利后果由供应商自负。</w:t>
      </w:r>
    </w:p>
    <w:p>
      <w:pPr>
        <w:shd w:val="clear"/>
        <w:tabs>
          <w:tab w:val="left" w:pos="9030"/>
        </w:tabs>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投标文件必须加盖供应商公章并按照招标文件要求由法定代表人（或授权代表人）签字。若未按照要求签署的，按无效文件处理。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60" w:name="_Toc32210"/>
      <w:bookmarkStart w:id="161" w:name="_Toc7086"/>
      <w:bookmarkStart w:id="162" w:name="_Toc22291"/>
      <w:bookmarkStart w:id="163" w:name="_Toc12544"/>
      <w:bookmarkStart w:id="164" w:name="_Toc5650"/>
      <w:bookmarkStart w:id="165" w:name="_Toc22503"/>
      <w:bookmarkStart w:id="166" w:name="_Toc12685"/>
      <w:bookmarkStart w:id="167" w:name="_Toc19200"/>
      <w:bookmarkStart w:id="168" w:name="_Toc1531"/>
      <w:r>
        <w:rPr>
          <w:rFonts w:hint="eastAsia" w:ascii="仿宋" w:hAnsi="仿宋" w:eastAsia="仿宋" w:cs="仿宋"/>
          <w:b/>
          <w:color w:val="auto"/>
          <w:sz w:val="24"/>
          <w:szCs w:val="24"/>
          <w:highlight w:val="none"/>
          <w:lang w:val="zh-CN"/>
        </w:rPr>
        <w:t>（八）投标文件的密封和提交</w:t>
      </w:r>
      <w:bookmarkEnd w:id="160"/>
      <w:bookmarkEnd w:id="161"/>
      <w:bookmarkEnd w:id="162"/>
      <w:bookmarkEnd w:id="163"/>
      <w:bookmarkEnd w:id="164"/>
      <w:bookmarkEnd w:id="165"/>
      <w:bookmarkEnd w:id="166"/>
      <w:bookmarkEnd w:id="167"/>
      <w:bookmarkEnd w:id="168"/>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rPr>
        <w:t>3个包装袋。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69" w:name="_Toc27743"/>
      <w:bookmarkStart w:id="170" w:name="_Toc25855"/>
      <w:bookmarkStart w:id="171" w:name="_Toc3457"/>
      <w:bookmarkStart w:id="172" w:name="_Toc23613"/>
      <w:bookmarkStart w:id="173" w:name="_Toc14921"/>
      <w:bookmarkStart w:id="174" w:name="_Toc14306"/>
      <w:bookmarkStart w:id="175" w:name="_Toc21515"/>
      <w:bookmarkStart w:id="176" w:name="_Toc17873"/>
      <w:r>
        <w:rPr>
          <w:rFonts w:hint="eastAsia" w:ascii="仿宋" w:hAnsi="仿宋" w:eastAsia="仿宋" w:cs="仿宋"/>
          <w:b/>
          <w:color w:val="auto"/>
          <w:sz w:val="24"/>
          <w:szCs w:val="24"/>
          <w:highlight w:val="none"/>
          <w:lang w:val="zh-CN"/>
        </w:rPr>
        <w:t>四、开标</w:t>
      </w:r>
      <w:bookmarkEnd w:id="169"/>
      <w:bookmarkEnd w:id="170"/>
      <w:bookmarkEnd w:id="171"/>
      <w:bookmarkEnd w:id="172"/>
      <w:bookmarkEnd w:id="173"/>
      <w:bookmarkEnd w:id="174"/>
      <w:bookmarkEnd w:id="175"/>
      <w:bookmarkEnd w:id="176"/>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77" w:name="_Toc3139"/>
      <w:bookmarkStart w:id="178" w:name="_Toc22028"/>
      <w:bookmarkStart w:id="179" w:name="_Toc21519"/>
      <w:bookmarkStart w:id="180" w:name="_Toc8012"/>
      <w:bookmarkStart w:id="181" w:name="_Toc18691"/>
      <w:bookmarkStart w:id="182" w:name="_Toc11628"/>
      <w:bookmarkStart w:id="183" w:name="_Toc13967"/>
      <w:bookmarkStart w:id="184" w:name="_Toc16283"/>
      <w:r>
        <w:rPr>
          <w:rFonts w:hint="eastAsia" w:ascii="仿宋" w:hAnsi="仿宋" w:eastAsia="仿宋" w:cs="仿宋"/>
          <w:b/>
          <w:color w:val="auto"/>
          <w:sz w:val="24"/>
          <w:szCs w:val="24"/>
          <w:highlight w:val="none"/>
          <w:lang w:val="zh-CN"/>
        </w:rPr>
        <w:t>五、评标</w:t>
      </w:r>
      <w:bookmarkEnd w:id="177"/>
      <w:bookmarkEnd w:id="178"/>
      <w:bookmarkEnd w:id="179"/>
      <w:bookmarkEnd w:id="180"/>
      <w:bookmarkEnd w:id="181"/>
      <w:bookmarkEnd w:id="182"/>
      <w:bookmarkEnd w:id="183"/>
      <w:bookmarkEnd w:id="184"/>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rPr>
        <w:t>5人或以上单数，</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（五）公开开标后，直到向中标供应商授予合同为止，凡与审查、澄清、评价和比较投标的有关资料及授标意见等内容，评标委员会成员均不得向供应商及与评标无关的其他人透露。</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85" w:name="_Toc20761"/>
      <w:bookmarkStart w:id="186" w:name="_Toc14292"/>
      <w:bookmarkStart w:id="187" w:name="_Toc14972"/>
      <w:bookmarkStart w:id="188" w:name="_Toc114"/>
      <w:bookmarkStart w:id="189" w:name="_Toc18147"/>
      <w:bookmarkStart w:id="190" w:name="_Toc25493"/>
      <w:bookmarkStart w:id="191" w:name="_Toc6520"/>
      <w:bookmarkStart w:id="192" w:name="_Toc29394"/>
      <w:r>
        <w:rPr>
          <w:rFonts w:hint="eastAsia" w:ascii="仿宋" w:hAnsi="仿宋" w:eastAsia="仿宋" w:cs="仿宋"/>
          <w:b/>
          <w:color w:val="auto"/>
          <w:sz w:val="24"/>
          <w:szCs w:val="24"/>
          <w:highlight w:val="none"/>
          <w:lang w:val="zh-CN"/>
        </w:rPr>
        <w:t>六、</w:t>
      </w:r>
      <w:bookmarkStart w:id="193" w:name="_Toc495671240"/>
      <w:r>
        <w:rPr>
          <w:rFonts w:hint="eastAsia" w:ascii="仿宋" w:hAnsi="仿宋" w:eastAsia="仿宋" w:cs="仿宋"/>
          <w:b/>
          <w:color w:val="auto"/>
          <w:sz w:val="24"/>
          <w:szCs w:val="24"/>
          <w:highlight w:val="none"/>
          <w:lang w:val="zh-CN"/>
        </w:rPr>
        <w:t>评标程序及评标办法</w:t>
      </w:r>
      <w:bookmarkEnd w:id="185"/>
      <w:bookmarkEnd w:id="186"/>
      <w:bookmarkEnd w:id="187"/>
      <w:bookmarkEnd w:id="188"/>
      <w:bookmarkEnd w:id="189"/>
      <w:bookmarkEnd w:id="190"/>
      <w:bookmarkEnd w:id="191"/>
      <w:bookmarkEnd w:id="192"/>
      <w:bookmarkEnd w:id="193"/>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按照投标文件初审、澄清有关问题、比较与评价、推荐中标候选供应商名单的工作程序进行评标。</w:t>
      </w:r>
    </w:p>
    <w:p>
      <w:pPr>
        <w:shd w:val="clear"/>
        <w:tabs>
          <w:tab w:val="left" w:pos="9030"/>
        </w:tabs>
        <w:snapToGrid w:val="0"/>
        <w:spacing w:line="360" w:lineRule="auto"/>
        <w:ind w:firstLine="480" w:firstLineChars="200"/>
        <w:outlineLvl w:val="2"/>
        <w:rPr>
          <w:rFonts w:ascii="仿宋" w:hAnsi="仿宋" w:eastAsia="仿宋" w:cs="仿宋"/>
          <w:color w:val="auto"/>
          <w:sz w:val="24"/>
          <w:szCs w:val="24"/>
          <w:highlight w:val="none"/>
        </w:rPr>
      </w:pPr>
      <w:bookmarkStart w:id="194" w:name="_Toc19431"/>
      <w:bookmarkStart w:id="195" w:name="_Toc26"/>
      <w:bookmarkStart w:id="196" w:name="_Toc11994"/>
      <w:bookmarkStart w:id="197" w:name="_Toc21585"/>
      <w:bookmarkStart w:id="198" w:name="_Toc2042"/>
      <w:bookmarkStart w:id="199" w:name="_Toc14549"/>
      <w:bookmarkStart w:id="200" w:name="_Toc16065"/>
      <w:bookmarkStart w:id="201" w:name="_Toc1543"/>
      <w:bookmarkStart w:id="202" w:name="_Toc2630"/>
      <w:r>
        <w:rPr>
          <w:rFonts w:hint="eastAsia" w:ascii="仿宋" w:hAnsi="仿宋" w:eastAsia="仿宋" w:cs="仿宋"/>
          <w:color w:val="auto"/>
          <w:sz w:val="24"/>
          <w:szCs w:val="24"/>
          <w:highlight w:val="none"/>
        </w:rPr>
        <w:t>（一）投标文件初审</w:t>
      </w:r>
      <w:bookmarkEnd w:id="194"/>
      <w:bookmarkEnd w:id="195"/>
      <w:bookmarkEnd w:id="196"/>
      <w:bookmarkEnd w:id="197"/>
      <w:bookmarkEnd w:id="198"/>
      <w:bookmarkEnd w:id="199"/>
      <w:bookmarkEnd w:id="200"/>
      <w:bookmarkEnd w:id="201"/>
      <w:bookmarkEnd w:id="202"/>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1、投标文件的资格性审查：依据法律法规和招标文件的规定，采购人及采购代理机构对投标文件中的资格证明文件等进行审查，审查内容为公告中所列的供应商资格条件。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256"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资格审查项</w:t>
            </w:r>
          </w:p>
        </w:tc>
        <w:tc>
          <w:tcPr>
            <w:tcW w:w="5860"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营业执照等主体资格证明文件</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提供统一社会信用代码的营业执照或其他组织经营的合法凭证或自然人的提供身份证明文件。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财务状况报告</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税收缴纳证明</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社保缴纳证明</w:t>
            </w:r>
          </w:p>
        </w:tc>
        <w:tc>
          <w:tcPr>
            <w:tcW w:w="5860" w:type="dxa"/>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tc>
        <w:tc>
          <w:tcPr>
            <w:tcW w:w="5860"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1.出具履行合同所必需的设备和专业技术能力的书面声明；</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信用记录</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经查，供应商未被列入“信用中国”网站记录的“失信被执行人”或“重大税收违法失信主体”名单； 不处于“中国政府采购网”记录的“政府采购严重违法失信行为记录名单 ”中的禁止参加政府采购活动期间。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法定代表人授权委托书</w:t>
            </w:r>
          </w:p>
        </w:tc>
        <w:tc>
          <w:tcPr>
            <w:tcW w:w="5860"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法定代表人授权书及被授权人身份证，并且提供有效的劳动合同或开标截止前六个月内任意一个月养老保险缴纳证明（法人参加只需提供法定代表人身份证明）。</w:t>
            </w:r>
          </w:p>
        </w:tc>
      </w:tr>
    </w:tbl>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2、投标文件符合性审查：依据招标文件的规定，评标委员会从投标文件的有效性、完整性和对招标文件的响应程度进行审查，以确定是否对招标文件的实质性内容作出响应。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143"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符合性审查项</w:t>
            </w:r>
          </w:p>
        </w:tc>
        <w:tc>
          <w:tcPr>
            <w:tcW w:w="5822"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文件语言及有效期</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文件语言及有效期符合</w:t>
            </w:r>
            <w:r>
              <w:rPr>
                <w:rFonts w:hint="eastAsia" w:ascii="仿宋" w:hAnsi="仿宋" w:eastAsia="仿宋" w:cs="仿宋"/>
                <w:color w:val="auto"/>
                <w:sz w:val="24"/>
                <w:szCs w:val="24"/>
                <w:highlight w:val="none"/>
              </w:rPr>
              <w:t>招标</w:t>
            </w:r>
            <w:r>
              <w:rPr>
                <w:rFonts w:ascii="仿宋" w:hAnsi="仿宋" w:eastAsia="仿宋" w:cs="仿宋"/>
                <w:color w:val="auto"/>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文件的</w:t>
            </w: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函以及法定代表人授权委托书</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ascii="仿宋" w:hAnsi="仿宋" w:eastAsia="仿宋" w:cs="仿宋"/>
                <w:color w:val="auto"/>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开标一览表</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 投标报价符合唯一性要求：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 投标报价表填写符合要求；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 计量单位、报价货币均符合招标文件要求；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供应商承诺书</w:t>
            </w:r>
          </w:p>
        </w:tc>
        <w:tc>
          <w:tcPr>
            <w:tcW w:w="5822" w:type="dxa"/>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完全理解并接受《</w:t>
            </w:r>
            <w:r>
              <w:rPr>
                <w:rFonts w:hint="eastAsia" w:ascii="仿宋" w:hAnsi="仿宋" w:eastAsia="仿宋" w:cs="仿宋"/>
                <w:color w:val="auto"/>
                <w:sz w:val="24"/>
                <w:szCs w:val="24"/>
                <w:highlight w:val="none"/>
                <w:lang w:val="zh-CN"/>
              </w:rPr>
              <w:t>供应商廉洁自律承诺书</w:t>
            </w:r>
            <w:r>
              <w:rPr>
                <w:rFonts w:hint="eastAsia" w:ascii="仿宋" w:hAnsi="仿宋" w:eastAsia="仿宋" w:cs="仿宋"/>
                <w:color w:val="auto"/>
                <w:sz w:val="24"/>
                <w:szCs w:val="24"/>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无其他招标文件或法规明确规定响应无效的事项</w:t>
            </w:r>
          </w:p>
        </w:tc>
        <w:tc>
          <w:tcPr>
            <w:tcW w:w="5822"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没有不符合招标文件规定的被视为无效响应的其他条款。 </w:t>
            </w:r>
          </w:p>
        </w:tc>
      </w:tr>
    </w:tbl>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投标文件投标有效期不符合招标文件要求的；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投标文件递交份数不符合招标文件要求的；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投标文件含有采购人不能接受的附加条件的;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供应商出现多份报价，出现选择性报价的；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val="zh-CN"/>
        </w:rPr>
        <w:t>投标报价与市场价偏离较大，低于成本，形成不正当竞争；</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zh-CN"/>
        </w:rPr>
        <w:t>报价超过招标文件中规定的预算金额或者最高限价的；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11）提交的电子版文件无效或不完整的。</w:t>
      </w:r>
    </w:p>
    <w:p>
      <w:pPr>
        <w:shd w:val="clear"/>
        <w:autoSpaceDE w:val="0"/>
        <w:autoSpaceDN w:val="0"/>
        <w:adjustRightInd w:val="0"/>
        <w:snapToGrid w:val="0"/>
        <w:spacing w:line="360" w:lineRule="auto"/>
        <w:ind w:firstLine="480" w:firstLineChars="200"/>
        <w:outlineLvl w:val="2"/>
        <w:rPr>
          <w:rFonts w:ascii="仿宋" w:hAnsi="仿宋" w:eastAsia="仿宋" w:cs="仿宋"/>
          <w:color w:val="auto"/>
          <w:sz w:val="24"/>
          <w:szCs w:val="24"/>
          <w:highlight w:val="none"/>
          <w:lang w:val="zh-CN"/>
        </w:rPr>
      </w:pPr>
      <w:bookmarkStart w:id="203" w:name="_Toc29517"/>
      <w:bookmarkStart w:id="204" w:name="_Toc17700"/>
      <w:bookmarkStart w:id="205" w:name="_Toc2955"/>
      <w:bookmarkStart w:id="206" w:name="_Toc2488"/>
      <w:bookmarkStart w:id="207" w:name="_Toc1611"/>
      <w:bookmarkStart w:id="208" w:name="_Toc30113"/>
      <w:bookmarkStart w:id="209" w:name="_Toc31002"/>
      <w:bookmarkStart w:id="210" w:name="_Toc29000"/>
      <w:bookmarkStart w:id="211" w:name="_Toc1537"/>
      <w:bookmarkStart w:id="212" w:name="_Toc5181"/>
      <w:bookmarkStart w:id="213" w:name="_Toc13137"/>
      <w:bookmarkStart w:id="214" w:name="_Toc8286"/>
      <w:bookmarkStart w:id="215" w:name="_Toc27332"/>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）比较与评价</w:t>
      </w:r>
      <w:bookmarkEnd w:id="203"/>
      <w:bookmarkEnd w:id="204"/>
      <w:bookmarkEnd w:id="205"/>
      <w:bookmarkEnd w:id="206"/>
      <w:bookmarkEnd w:id="207"/>
      <w:bookmarkEnd w:id="208"/>
      <w:bookmarkEnd w:id="209"/>
      <w:bookmarkEnd w:id="210"/>
      <w:bookmarkEnd w:id="211"/>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vAlign w:val="center"/>
          </w:tcPr>
          <w:p>
            <w:pPr>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vAlign w:val="center"/>
          </w:tcPr>
          <w:p>
            <w:pPr>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优惠条件的供应商，价格给予10%的扣除，用扣除后的价格参与评审。</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vAlign w:val="center"/>
          </w:tcPr>
          <w:p>
            <w:pPr>
              <w:shd w:val="clear"/>
              <w:tabs>
                <w:tab w:val="left" w:pos="420"/>
                <w:tab w:val="center" w:pos="4153"/>
                <w:tab w:val="right" w:pos="8306"/>
              </w:tabs>
              <w:adjustRightInd w:val="0"/>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vAlign w:val="center"/>
          </w:tcPr>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分。</w:t>
            </w:r>
          </w:p>
        </w:tc>
        <w:tc>
          <w:tcPr>
            <w:tcW w:w="588" w:type="dxa"/>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技术指标</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投产品技术参数清楚、明确，完全满足或优于招标文件要求且证明材料齐全的得25分。所投产品技术参数每负偏离一项扣2分，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实施方案</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备货、供货进度及保证措施，拟投入本项目的人员安排及责任制度，安装、检测、调试措施，安全保障措施，应急处理措施。根据供应商的响应情况赋分。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内容完整，描述清晰，且能针对性满足项目需求的，得(5-10]分；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内容有缺项，描述简单，可行性一般，基本满足项目需要的，得(3-5]分；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内容笼统，描述简单，可行性差的得(0-3]分。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1.售后服务机构健全。配备专职售后人员，承诺售后服务具体措施、时限、响应速度等。根据响应情况计0-5分。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w:t>
            </w:r>
            <w:r>
              <w:rPr>
                <w:rFonts w:hint="eastAsia" w:ascii="仿宋" w:hAnsi="仿宋" w:eastAsia="仿宋" w:cs="仿宋"/>
                <w:color w:val="auto"/>
                <w:sz w:val="24"/>
                <w:szCs w:val="24"/>
                <w:highlight w:val="none"/>
                <w:lang w:val="zh-CN"/>
              </w:rPr>
              <w:t>为采购人</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z w:val="24"/>
                <w:szCs w:val="24"/>
                <w:highlight w:val="none"/>
                <w:lang w:val="zh-CN"/>
              </w:rPr>
              <w:t>计0</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分。</w:t>
            </w:r>
          </w:p>
        </w:tc>
        <w:tc>
          <w:tcPr>
            <w:tcW w:w="588" w:type="dxa"/>
            <w:vAlign w:val="center"/>
          </w:tcPr>
          <w:p>
            <w:pPr>
              <w:shd w:val="clear"/>
              <w:snapToGrid w:val="0"/>
              <w:spacing w:line="240" w:lineRule="atLeas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vAlign w:val="center"/>
          </w:tcPr>
          <w:p>
            <w:pPr>
              <w:widowControl/>
              <w:shd w:val="clear"/>
              <w:jc w:val="center"/>
              <w:rPr>
                <w:rFonts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vAlign w:val="center"/>
          </w:tcPr>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供应商具有近三年（2019年7月今以合同签订时间为准）的类似项目业绩，每提供一份得1分，满分</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分。投标文件中提供加盖供应商公章的合同复印件。</w:t>
            </w:r>
          </w:p>
        </w:tc>
        <w:tc>
          <w:tcPr>
            <w:tcW w:w="588" w:type="dxa"/>
            <w:vAlign w:val="center"/>
          </w:tcPr>
          <w:p>
            <w:pPr>
              <w:shd w:val="clear"/>
              <w:snapToGrid w:val="0"/>
              <w:spacing w:line="240" w:lineRule="atLeas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vAlign w:val="center"/>
          </w:tcPr>
          <w:p>
            <w:pPr>
              <w:widowControl/>
              <w:shd w:val="clea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演示</w:t>
            </w:r>
          </w:p>
        </w:tc>
        <w:tc>
          <w:tcPr>
            <w:tcW w:w="6929" w:type="dxa"/>
            <w:vAlign w:val="center"/>
          </w:tcPr>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为了保障供应商所投产品质量的稳定性与可靠性，需要对以下设备及系统进行视频演示，演示每满足一条得1.5分，不满足不得分，最高得15分。</w:t>
            </w:r>
          </w:p>
          <w:p>
            <w:pPr>
              <w:shd w:val="clear"/>
              <w:adjustRightInd w:val="0"/>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自助借还机演示：</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配套同品牌图书馆管理软件可支持远程监测设备当前的开关机状态并进行远程开机或远程关机操作；可支持远程查看设备使用时长和使用次数信息，进而分析对信息化装备及平台软件投入后的使用情况；可支持远程查看设备使用时长和使用次数信息，进而分析对信息化装备及平台软件投入后的使用情况；可支持远程桌面功能，管理人员可以看到设备的当前操作页面，并进行远程协助和控制管理。</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2.具备USB充电功能，4个USB接口集成于设备上，方便读者使用，非采用任何外接手段实现。</w:t>
            </w:r>
          </w:p>
          <w:p>
            <w:pPr>
              <w:shd w:val="clear"/>
              <w:adjustRightInd w:val="0"/>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馆员工作站（一体机）演示：</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设备内嵌身份证识别模块，能够读取居民二代身份证信息进行登录借还书操作。</w:t>
            </w:r>
          </w:p>
          <w:p>
            <w:pPr>
              <w:shd w:val="clear"/>
              <w:adjustRightInd w:val="0"/>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RFID安全门（单通道）演示：</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拓展功能：配套同品牌微信图书馆管理软件，读者无需在设备上登录，直接在微信端进行扫码借书操作，借书完成后门禁系统可判断书本是否完成借书操作并进行报警。</w:t>
            </w:r>
          </w:p>
          <w:p>
            <w:pPr>
              <w:shd w:val="clear"/>
              <w:adjustRightInd w:val="0"/>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区域图书馆集群管理软件演示：</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1.支持对RFID智慧图书馆设备（如自助借还书设备）远程监测开关机状态以及远程、重启、远程关机操作。</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2.支持远程推送视频文件至选定的RFID智慧图书馆设备（如自助借还书设备）进行播放，实现信息发布功能。</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3.支持远程桌面功能。管理人员可以远程看到RFID智慧图书馆设备（如自助借还书设备）的当前操作页面，并进行远程协助和控制管理。</w:t>
            </w:r>
          </w:p>
          <w:p>
            <w:pPr>
              <w:shd w:val="clear"/>
              <w:adjustRightInd w:val="0"/>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微型图书馆演示：</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1.设备稳定性：要求采用工业级电脑主机和电容触摸屏模块化分离设计，可分离式维护。</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2.智能照明系统：每格书柜内置照明灯光，方便读者查阅和借还书籍；读者触屏操作自动唤醒书柜照明灯光，操作完成返回主页一定时间内未操作书柜灯光自动熄灭。</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3.拓展功能模块：具备人脸识别功能，通过人脸注册进行登录，实现读者无卡登录、借书、还书功能。</w:t>
            </w:r>
          </w:p>
        </w:tc>
        <w:tc>
          <w:tcPr>
            <w:tcW w:w="588" w:type="dxa"/>
            <w:vAlign w:val="center"/>
          </w:tcPr>
          <w:p>
            <w:pPr>
              <w:shd w:val="clear"/>
              <w:snapToGrid w:val="0"/>
              <w:spacing w:line="240" w:lineRule="atLeas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r>
    </w:tbl>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shd w:val="clear"/>
        <w:tabs>
          <w:tab w:val="left" w:pos="9030"/>
        </w:tabs>
        <w:snapToGrid w:val="0"/>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w:t>
      </w:r>
      <w:r>
        <w:rPr>
          <w:rFonts w:hint="eastAsia" w:ascii="仿宋" w:hAnsi="仿宋" w:eastAsia="仿宋" w:cs="仿宋"/>
          <w:b/>
          <w:bCs/>
          <w:color w:val="auto"/>
          <w:sz w:val="24"/>
          <w:szCs w:val="24"/>
          <w:highlight w:val="none"/>
        </w:rPr>
        <w:t>4）本项目兼投不兼中，供应商根据自身情况可以投多个包，但最终只能中一个包，评标顺序依次为包1至包10。</w:t>
      </w:r>
    </w:p>
    <w:p>
      <w:pPr>
        <w:shd w:val="clear"/>
        <w:autoSpaceDE w:val="0"/>
        <w:autoSpaceDN w:val="0"/>
        <w:adjustRightInd w:val="0"/>
        <w:snapToGrid w:val="0"/>
        <w:spacing w:line="360" w:lineRule="auto"/>
        <w:ind w:firstLine="480" w:firstLineChars="200"/>
        <w:outlineLvl w:val="2"/>
        <w:rPr>
          <w:rFonts w:ascii="仿宋" w:hAnsi="仿宋" w:eastAsia="仿宋" w:cs="仿宋"/>
          <w:color w:val="auto"/>
          <w:sz w:val="24"/>
          <w:szCs w:val="24"/>
          <w:highlight w:val="none"/>
          <w:lang w:val="zh-CN"/>
        </w:rPr>
      </w:pPr>
      <w:bookmarkStart w:id="216" w:name="_Toc9204"/>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）投标文件的澄清、说明或者补正</w:t>
      </w:r>
      <w:bookmarkEnd w:id="212"/>
      <w:bookmarkEnd w:id="213"/>
      <w:bookmarkEnd w:id="214"/>
      <w:bookmarkEnd w:id="215"/>
      <w:bookmarkEnd w:id="216"/>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shd w:val="clear"/>
        <w:autoSpaceDE w:val="0"/>
        <w:autoSpaceDN w:val="0"/>
        <w:adjustRightInd w:val="0"/>
        <w:snapToGrid w:val="0"/>
        <w:spacing w:line="360" w:lineRule="auto"/>
        <w:ind w:firstLine="482" w:firstLineChars="200"/>
        <w:rPr>
          <w:rFonts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shd w:val="clear"/>
        <w:tabs>
          <w:tab w:val="left" w:pos="9030"/>
        </w:tabs>
        <w:snapToGrid w:val="0"/>
        <w:spacing w:line="360" w:lineRule="auto"/>
        <w:ind w:firstLine="480" w:firstLineChars="200"/>
        <w:outlineLvl w:val="2"/>
        <w:rPr>
          <w:rFonts w:ascii="仿宋" w:hAnsi="仿宋" w:eastAsia="仿宋" w:cs="仿宋"/>
          <w:color w:val="auto"/>
          <w:sz w:val="24"/>
          <w:szCs w:val="24"/>
          <w:highlight w:val="none"/>
          <w:lang w:val="zh-CN"/>
        </w:rPr>
      </w:pPr>
      <w:bookmarkStart w:id="217" w:name="_Toc10499"/>
      <w:bookmarkStart w:id="218" w:name="_Toc17060"/>
      <w:bookmarkStart w:id="219" w:name="_Toc16187"/>
      <w:bookmarkStart w:id="220" w:name="_Toc15871"/>
      <w:bookmarkStart w:id="221" w:name="_Toc9209"/>
      <w:bookmarkStart w:id="222" w:name="_Toc29598"/>
      <w:bookmarkStart w:id="223" w:name="_Toc17114"/>
      <w:bookmarkStart w:id="224" w:name="_Toc30211"/>
      <w:bookmarkStart w:id="225" w:name="_Toc16649"/>
      <w:r>
        <w:rPr>
          <w:rFonts w:hint="eastAsia" w:ascii="仿宋" w:hAnsi="仿宋" w:eastAsia="仿宋" w:cs="仿宋"/>
          <w:color w:val="auto"/>
          <w:sz w:val="24"/>
          <w:szCs w:val="24"/>
          <w:highlight w:val="none"/>
          <w:lang w:val="zh-CN"/>
        </w:rPr>
        <w:t>（四）推荐中标候选人名单</w:t>
      </w:r>
      <w:bookmarkEnd w:id="217"/>
      <w:bookmarkEnd w:id="218"/>
      <w:bookmarkEnd w:id="219"/>
      <w:bookmarkEnd w:id="220"/>
      <w:bookmarkEnd w:id="221"/>
      <w:bookmarkEnd w:id="222"/>
      <w:bookmarkEnd w:id="223"/>
      <w:bookmarkEnd w:id="224"/>
      <w:bookmarkEnd w:id="225"/>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rPr>
        <w:t>。</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26" w:name="_Toc18731"/>
      <w:bookmarkStart w:id="227" w:name="_Toc22251"/>
      <w:bookmarkStart w:id="228" w:name="_Toc13328"/>
      <w:bookmarkStart w:id="229" w:name="_Toc5432"/>
      <w:bookmarkStart w:id="230" w:name="_Toc561"/>
      <w:bookmarkStart w:id="231" w:name="_Toc12272"/>
      <w:bookmarkStart w:id="232" w:name="_Toc11082"/>
      <w:bookmarkStart w:id="233" w:name="_Toc2662"/>
      <w:r>
        <w:rPr>
          <w:rFonts w:hint="eastAsia" w:ascii="仿宋" w:hAnsi="仿宋" w:eastAsia="仿宋" w:cs="仿宋"/>
          <w:b/>
          <w:color w:val="auto"/>
          <w:sz w:val="24"/>
          <w:szCs w:val="24"/>
          <w:highlight w:val="none"/>
          <w:lang w:val="zh-CN"/>
        </w:rPr>
        <w:t>七、确定</w:t>
      </w:r>
      <w:bookmarkEnd w:id="226"/>
      <w:bookmarkEnd w:id="227"/>
      <w:r>
        <w:rPr>
          <w:rFonts w:hint="eastAsia" w:ascii="仿宋" w:hAnsi="仿宋" w:eastAsia="仿宋" w:cs="仿宋"/>
          <w:b/>
          <w:color w:val="auto"/>
          <w:sz w:val="24"/>
          <w:szCs w:val="24"/>
          <w:highlight w:val="none"/>
          <w:lang w:val="zh-CN"/>
        </w:rPr>
        <w:t>中标供应商</w:t>
      </w:r>
      <w:bookmarkEnd w:id="228"/>
      <w:bookmarkEnd w:id="229"/>
      <w:bookmarkEnd w:id="230"/>
      <w:bookmarkEnd w:id="231"/>
      <w:bookmarkEnd w:id="232"/>
      <w:bookmarkEnd w:id="233"/>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34" w:name="_Toc16609"/>
      <w:bookmarkStart w:id="235" w:name="_Toc27317"/>
      <w:bookmarkStart w:id="236" w:name="_Toc19938"/>
      <w:bookmarkStart w:id="237" w:name="_Toc7578"/>
      <w:bookmarkStart w:id="238" w:name="_Toc19571"/>
      <w:bookmarkStart w:id="239" w:name="_Toc7972"/>
      <w:bookmarkStart w:id="240" w:name="_Toc15275"/>
      <w:bookmarkStart w:id="241" w:name="_Toc21655"/>
      <w:r>
        <w:rPr>
          <w:rFonts w:hint="eastAsia" w:ascii="仿宋" w:hAnsi="仿宋" w:eastAsia="仿宋" w:cs="仿宋"/>
          <w:b/>
          <w:color w:val="auto"/>
          <w:sz w:val="24"/>
          <w:szCs w:val="24"/>
          <w:highlight w:val="none"/>
          <w:lang w:val="zh-CN"/>
        </w:rPr>
        <w:t>八、合同</w:t>
      </w:r>
      <w:bookmarkEnd w:id="234"/>
      <w:bookmarkEnd w:id="235"/>
      <w:bookmarkEnd w:id="236"/>
      <w:bookmarkEnd w:id="237"/>
      <w:bookmarkEnd w:id="238"/>
      <w:bookmarkEnd w:id="239"/>
      <w:bookmarkEnd w:id="240"/>
      <w:bookmarkEnd w:id="241"/>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42" w:name="_Toc5062"/>
      <w:bookmarkStart w:id="243" w:name="_Toc9424"/>
      <w:bookmarkStart w:id="244" w:name="_Toc28649"/>
      <w:bookmarkStart w:id="245" w:name="_Toc1946"/>
      <w:bookmarkStart w:id="246" w:name="_Toc15593"/>
      <w:bookmarkStart w:id="247" w:name="_Toc21976"/>
      <w:bookmarkStart w:id="248" w:name="_Toc27949"/>
      <w:bookmarkStart w:id="249" w:name="_Toc29523"/>
      <w:r>
        <w:rPr>
          <w:rFonts w:hint="eastAsia" w:ascii="仿宋" w:hAnsi="仿宋" w:eastAsia="仿宋" w:cs="仿宋"/>
          <w:b/>
          <w:color w:val="auto"/>
          <w:sz w:val="24"/>
          <w:szCs w:val="24"/>
          <w:highlight w:val="none"/>
          <w:lang w:val="zh-CN"/>
        </w:rPr>
        <w:t>九、中标服务费</w:t>
      </w:r>
      <w:bookmarkEnd w:id="242"/>
      <w:bookmarkEnd w:id="243"/>
      <w:bookmarkEnd w:id="244"/>
      <w:bookmarkEnd w:id="245"/>
      <w:bookmarkEnd w:id="246"/>
      <w:bookmarkEnd w:id="247"/>
      <w:bookmarkEnd w:id="248"/>
      <w:bookmarkEnd w:id="249"/>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bookmarkStart w:id="250" w:name="_Toc495671245"/>
      <w:bookmarkStart w:id="251" w:name="_Toc29526"/>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备注：</w:t>
      </w:r>
      <w:r>
        <w:rPr>
          <w:rFonts w:hint="eastAsia" w:ascii="仿宋" w:hAnsi="仿宋" w:eastAsia="仿宋" w:cs="仿宋"/>
          <w:color w:val="auto"/>
          <w:sz w:val="24"/>
          <w:szCs w:val="24"/>
          <w:highlight w:val="none"/>
        </w:rPr>
        <w:t>中标服务费不足6000元的，按6000元收取。</w:t>
      </w:r>
    </w:p>
    <w:p>
      <w:pPr>
        <w:shd w:val="clear"/>
        <w:jc w:val="right"/>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hd w:val="clear"/>
              <w:spacing w:line="360" w:lineRule="auto"/>
              <w:ind w:firstLine="1200" w:firstLineChars="500"/>
              <w:rPr>
                <w:rFonts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shd w:val="clear"/>
        <w:autoSpaceDE w:val="0"/>
        <w:autoSpaceDN w:val="0"/>
        <w:adjustRightInd w:val="0"/>
        <w:spacing w:line="360" w:lineRule="auto"/>
        <w:ind w:firstLine="482" w:firstLineChars="200"/>
        <w:outlineLvl w:val="1"/>
        <w:rPr>
          <w:rFonts w:ascii="仿宋" w:hAnsi="仿宋" w:eastAsia="仿宋" w:cs="仿宋"/>
          <w:b/>
          <w:color w:val="auto"/>
          <w:sz w:val="24"/>
          <w:szCs w:val="24"/>
          <w:highlight w:val="none"/>
          <w:lang w:val="zh-CN"/>
        </w:rPr>
      </w:pPr>
      <w:bookmarkStart w:id="252" w:name="_Toc13550"/>
      <w:bookmarkStart w:id="253" w:name="_Toc22638"/>
      <w:bookmarkStart w:id="254" w:name="_Toc2882"/>
      <w:bookmarkStart w:id="255" w:name="_Toc21712"/>
      <w:bookmarkStart w:id="256" w:name="_Toc11240"/>
      <w:bookmarkStart w:id="257" w:name="_Toc6650"/>
      <w:bookmarkStart w:id="258" w:name="_Toc32450"/>
      <w:r>
        <w:rPr>
          <w:rFonts w:hint="eastAsia" w:ascii="仿宋" w:hAnsi="仿宋" w:eastAsia="仿宋" w:cs="仿宋"/>
          <w:b/>
          <w:color w:val="auto"/>
          <w:sz w:val="24"/>
          <w:szCs w:val="24"/>
          <w:highlight w:val="none"/>
          <w:lang w:val="zh-CN"/>
        </w:rPr>
        <w:t>十、废标或者采购方式的变更</w:t>
      </w:r>
      <w:bookmarkEnd w:id="250"/>
      <w:bookmarkEnd w:id="251"/>
      <w:bookmarkEnd w:id="252"/>
      <w:bookmarkEnd w:id="253"/>
      <w:bookmarkEnd w:id="254"/>
      <w:bookmarkEnd w:id="255"/>
      <w:bookmarkEnd w:id="256"/>
      <w:bookmarkEnd w:id="257"/>
      <w:bookmarkEnd w:id="258"/>
    </w:p>
    <w:p>
      <w:pPr>
        <w:shd w:val="clear"/>
        <w:autoSpaceDE w:val="0"/>
        <w:autoSpaceDN w:val="0"/>
        <w:adjustRightInd w:val="0"/>
        <w:spacing w:line="360" w:lineRule="auto"/>
        <w:ind w:firstLine="480" w:firstLineChars="200"/>
        <w:outlineLvl w:val="2"/>
        <w:rPr>
          <w:rFonts w:ascii="仿宋" w:hAnsi="仿宋" w:eastAsia="仿宋" w:cs="仿宋"/>
          <w:color w:val="auto"/>
          <w:sz w:val="24"/>
          <w:szCs w:val="24"/>
          <w:highlight w:val="none"/>
          <w:lang w:val="zh-CN"/>
        </w:rPr>
      </w:pPr>
      <w:bookmarkStart w:id="259" w:name="_Toc18276"/>
      <w:bookmarkStart w:id="260" w:name="_Toc12765"/>
      <w:bookmarkStart w:id="261" w:name="_Toc16112"/>
      <w:bookmarkStart w:id="262" w:name="_Toc4168"/>
      <w:bookmarkStart w:id="263" w:name="_Toc19867"/>
      <w:bookmarkStart w:id="264" w:name="_Toc19552"/>
      <w:r>
        <w:rPr>
          <w:rFonts w:hint="eastAsia" w:ascii="仿宋" w:hAnsi="仿宋" w:eastAsia="仿宋" w:cs="仿宋"/>
          <w:color w:val="auto"/>
          <w:sz w:val="24"/>
          <w:szCs w:val="24"/>
          <w:highlight w:val="none"/>
          <w:lang w:val="zh-CN"/>
        </w:rPr>
        <w:t>（一）废标</w:t>
      </w:r>
      <w:bookmarkEnd w:id="259"/>
      <w:bookmarkEnd w:id="260"/>
      <w:bookmarkEnd w:id="261"/>
      <w:bookmarkEnd w:id="262"/>
      <w:bookmarkEnd w:id="263"/>
      <w:bookmarkEnd w:id="264"/>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shd w:val="clear"/>
        <w:autoSpaceDE w:val="0"/>
        <w:autoSpaceDN w:val="0"/>
        <w:adjustRightInd w:val="0"/>
        <w:spacing w:line="360" w:lineRule="auto"/>
        <w:ind w:firstLine="480" w:firstLineChars="200"/>
        <w:outlineLvl w:val="2"/>
        <w:rPr>
          <w:rFonts w:ascii="仿宋" w:hAnsi="仿宋" w:eastAsia="仿宋" w:cs="仿宋"/>
          <w:color w:val="auto"/>
          <w:sz w:val="24"/>
          <w:szCs w:val="24"/>
          <w:highlight w:val="none"/>
          <w:lang w:val="zh-CN"/>
        </w:rPr>
      </w:pPr>
      <w:bookmarkStart w:id="265" w:name="_Toc25928"/>
      <w:bookmarkStart w:id="266" w:name="_Toc10147"/>
      <w:bookmarkStart w:id="267" w:name="_Toc4528"/>
      <w:bookmarkStart w:id="268" w:name="_Toc27818"/>
      <w:bookmarkStart w:id="269" w:name="_Toc20612"/>
      <w:bookmarkStart w:id="270" w:name="_Toc23755"/>
      <w:r>
        <w:rPr>
          <w:rFonts w:hint="eastAsia" w:ascii="仿宋" w:hAnsi="仿宋" w:eastAsia="仿宋" w:cs="仿宋"/>
          <w:color w:val="auto"/>
          <w:sz w:val="24"/>
          <w:szCs w:val="24"/>
          <w:highlight w:val="none"/>
          <w:lang w:val="zh-CN"/>
        </w:rPr>
        <w:t>（二）采购方式的变更</w:t>
      </w:r>
      <w:bookmarkEnd w:id="265"/>
      <w:bookmarkEnd w:id="266"/>
      <w:bookmarkEnd w:id="267"/>
      <w:bookmarkEnd w:id="268"/>
      <w:bookmarkEnd w:id="269"/>
      <w:bookmarkEnd w:id="270"/>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71" w:name="_Toc29960"/>
      <w:bookmarkStart w:id="272" w:name="_Toc16329"/>
      <w:bookmarkStart w:id="273" w:name="_Toc495671239"/>
      <w:bookmarkStart w:id="274" w:name="_Toc5755"/>
      <w:bookmarkStart w:id="275" w:name="_Toc206"/>
      <w:bookmarkStart w:id="276" w:name="_Toc12871"/>
      <w:bookmarkStart w:id="277" w:name="_Toc21416"/>
      <w:bookmarkStart w:id="278" w:name="_Toc19640"/>
      <w:bookmarkStart w:id="279" w:name="_Toc22403"/>
      <w:r>
        <w:rPr>
          <w:rFonts w:hint="eastAsia" w:ascii="仿宋" w:hAnsi="仿宋" w:eastAsia="仿宋" w:cs="仿宋"/>
          <w:b/>
          <w:color w:val="auto"/>
          <w:sz w:val="24"/>
          <w:szCs w:val="24"/>
          <w:highlight w:val="none"/>
          <w:lang w:val="zh-CN"/>
        </w:rPr>
        <w:t>十一、需要落实的政府采购政策</w:t>
      </w:r>
      <w:bookmarkEnd w:id="271"/>
      <w:bookmarkEnd w:id="272"/>
      <w:bookmarkEnd w:id="273"/>
      <w:bookmarkEnd w:id="274"/>
      <w:bookmarkEnd w:id="275"/>
      <w:bookmarkEnd w:id="276"/>
      <w:bookmarkEnd w:id="277"/>
      <w:bookmarkEnd w:id="278"/>
      <w:bookmarkEnd w:id="279"/>
    </w:p>
    <w:p>
      <w:pPr>
        <w:shd w:val="clear"/>
        <w:snapToGrid w:val="0"/>
        <w:spacing w:line="360" w:lineRule="auto"/>
        <w:ind w:firstLine="480" w:firstLineChars="200"/>
        <w:rPr>
          <w:rFonts w:ascii="仿宋" w:hAnsi="仿宋" w:eastAsia="仿宋" w:cs="仿宋"/>
          <w:color w:val="auto"/>
          <w:sz w:val="24"/>
          <w:szCs w:val="24"/>
          <w:highlight w:val="none"/>
        </w:rPr>
      </w:pPr>
      <w:bookmarkStart w:id="280" w:name="_Toc5903"/>
      <w:bookmarkStart w:id="281" w:name="_Toc31691"/>
      <w:bookmarkStart w:id="282" w:name="_Toc19661"/>
      <w:bookmarkStart w:id="283" w:name="_Toc6204"/>
      <w:bookmarkStart w:id="284" w:name="_Toc26022"/>
      <w:bookmarkStart w:id="285" w:name="_Toc13861"/>
      <w:bookmarkStart w:id="286" w:name="_Toc19879"/>
      <w:r>
        <w:rPr>
          <w:rFonts w:hint="eastAsia" w:ascii="仿宋" w:hAnsi="仿宋" w:eastAsia="仿宋" w:cs="仿宋"/>
          <w:color w:val="auto"/>
          <w:sz w:val="24"/>
          <w:szCs w:val="24"/>
          <w:highlight w:val="none"/>
        </w:rPr>
        <w:t>（一）落实促进支持中小企业、监狱企业、残疾人福利性单位发展、脱贫攻坚工作的政策(如为专门面向中小企业的采购项目（或采购包），不执行1、2、3条款。)</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1、《政府采购促进中小企业发展管理办法》（财库〔2020〕46号）及《关于进一步加大政府采购支持中小企业力度的通知》（财库〔2022〕19号）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(1)在货物采购项目中，货物由中小企业制造，即货物由中小企业生产且使用该中小企业商号或者注册商标；</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(2)在工程采购项目中，工程由中小企业承建，即工程施工单位为中小企业；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(3)在服务采购项目中，服务由中小企业承接，即提供服务的人员为中小企业依照《中华人民共和国劳动合同法》订立劳动合同的从业人员。</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及《西安市财政局关于进一步加大政府采购支持中小企业力度的通知》市财函〔2022〕867号的相关规定，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2、《财政部 司法部关于政府采购支持监狱企业发展有关问题的通知》（财库〔2014〕68号）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3、《三部门联合发布关于促进残疾人就业政府采购政策的通知》（财库〔2017〕141号）；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（二）落实优先采购节能、环保产品的政策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2、《财政部 司法部关于政府采购支持监狱企业发展有关问题的通知》（财库〔2014〕68号）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3、《三部门联合发布关于促进残疾人就业政府采购政策的通知》（财库〔2017〕141号）；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（三）政府采购信用融资政策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（四）陕西省中小企业政府采购信用担保政策</w:t>
      </w:r>
    </w:p>
    <w:p>
      <w:pPr>
        <w:shd w:val="clear"/>
        <w:snapToGrid w:val="0"/>
        <w:spacing w:line="360" w:lineRule="auto"/>
        <w:ind w:firstLine="480" w:firstLineChars="200"/>
        <w:rPr>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87" w:name="_Toc3946"/>
      <w:bookmarkStart w:id="288" w:name="_Toc6895"/>
      <w:r>
        <w:rPr>
          <w:rFonts w:hint="eastAsia" w:ascii="仿宋" w:hAnsi="仿宋" w:eastAsia="仿宋" w:cs="仿宋"/>
          <w:b/>
          <w:color w:val="auto"/>
          <w:sz w:val="24"/>
          <w:szCs w:val="24"/>
          <w:highlight w:val="none"/>
          <w:lang w:val="zh-CN"/>
        </w:rPr>
        <w:t>十二、质疑与投诉</w:t>
      </w:r>
      <w:bookmarkEnd w:id="280"/>
      <w:bookmarkEnd w:id="281"/>
      <w:bookmarkEnd w:id="282"/>
      <w:bookmarkEnd w:id="283"/>
      <w:bookmarkEnd w:id="284"/>
      <w:bookmarkEnd w:id="285"/>
      <w:bookmarkEnd w:id="286"/>
      <w:bookmarkEnd w:id="287"/>
      <w:bookmarkEnd w:id="288"/>
    </w:p>
    <w:p>
      <w:pPr>
        <w:shd w:val="clear"/>
        <w:autoSpaceDE w:val="0"/>
        <w:autoSpaceDN w:val="0"/>
        <w:adjustRightInd w:val="0"/>
        <w:snapToGrid w:val="0"/>
        <w:spacing w:line="360" w:lineRule="auto"/>
        <w:ind w:firstLine="480" w:firstLineChars="200"/>
        <w:outlineLvl w:val="2"/>
        <w:rPr>
          <w:rFonts w:ascii="仿宋" w:hAnsi="仿宋" w:eastAsia="仿宋" w:cs="仿宋"/>
          <w:bCs/>
          <w:color w:val="auto"/>
          <w:sz w:val="24"/>
          <w:szCs w:val="24"/>
          <w:highlight w:val="none"/>
          <w:lang w:val="zh-CN"/>
        </w:rPr>
      </w:pPr>
      <w:bookmarkStart w:id="289" w:name="_Toc2942"/>
      <w:bookmarkStart w:id="290" w:name="_Toc6521"/>
      <w:bookmarkStart w:id="291" w:name="_Toc23643"/>
      <w:bookmarkStart w:id="292" w:name="_Toc8990"/>
      <w:bookmarkStart w:id="293" w:name="_Toc5806"/>
      <w:bookmarkStart w:id="294" w:name="_Toc6295"/>
      <w:bookmarkStart w:id="295" w:name="_Toc31018"/>
      <w:r>
        <w:rPr>
          <w:rFonts w:hint="eastAsia" w:ascii="仿宋" w:hAnsi="仿宋" w:eastAsia="仿宋" w:cs="仿宋"/>
          <w:bCs/>
          <w:color w:val="auto"/>
          <w:sz w:val="24"/>
          <w:szCs w:val="24"/>
          <w:highlight w:val="none"/>
          <w:lang w:val="zh-CN"/>
        </w:rPr>
        <w:t>（一）质疑</w:t>
      </w:r>
      <w:bookmarkEnd w:id="289"/>
      <w:bookmarkEnd w:id="290"/>
      <w:bookmarkEnd w:id="291"/>
      <w:bookmarkEnd w:id="292"/>
      <w:bookmarkEnd w:id="293"/>
      <w:bookmarkEnd w:id="294"/>
      <w:bookmarkEnd w:id="295"/>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rPr>
        <w:t>黄安舒</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w:t>
      </w:r>
      <w:r>
        <w:rPr>
          <w:rFonts w:hint="eastAsia" w:ascii="仿宋" w:hAnsi="仿宋" w:eastAsia="仿宋" w:cs="仿宋"/>
          <w:bCs/>
          <w:color w:val="auto"/>
          <w:sz w:val="24"/>
          <w:szCs w:val="24"/>
          <w:highlight w:val="none"/>
        </w:rPr>
        <w:t>：029-86253389、17782840194</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邮箱：2059407584@qq.com</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shd w:val="clear"/>
        <w:autoSpaceDE w:val="0"/>
        <w:autoSpaceDN w:val="0"/>
        <w:adjustRightInd w:val="0"/>
        <w:snapToGrid w:val="0"/>
        <w:spacing w:line="360" w:lineRule="auto"/>
        <w:ind w:firstLine="480" w:firstLineChars="200"/>
        <w:outlineLvl w:val="2"/>
        <w:rPr>
          <w:rFonts w:ascii="仿宋" w:hAnsi="仿宋" w:eastAsia="仿宋" w:cs="仿宋"/>
          <w:bCs/>
          <w:color w:val="auto"/>
          <w:sz w:val="24"/>
          <w:szCs w:val="24"/>
          <w:highlight w:val="none"/>
          <w:lang w:val="zh-CN"/>
        </w:rPr>
      </w:pPr>
      <w:bookmarkStart w:id="296" w:name="_Toc32713"/>
      <w:bookmarkStart w:id="297" w:name="_Toc5958"/>
      <w:bookmarkStart w:id="298" w:name="_Toc26510"/>
      <w:bookmarkStart w:id="299" w:name="_Toc17782"/>
      <w:bookmarkStart w:id="300" w:name="_Toc27095"/>
      <w:bookmarkStart w:id="301" w:name="_Toc18625"/>
      <w:bookmarkStart w:id="302" w:name="_Toc11431"/>
      <w:r>
        <w:rPr>
          <w:rFonts w:hint="eastAsia" w:ascii="仿宋" w:hAnsi="仿宋" w:eastAsia="仿宋" w:cs="仿宋"/>
          <w:bCs/>
          <w:color w:val="auto"/>
          <w:sz w:val="24"/>
          <w:szCs w:val="24"/>
          <w:highlight w:val="none"/>
          <w:lang w:val="zh-CN"/>
        </w:rPr>
        <w:t>（二）投诉</w:t>
      </w:r>
      <w:bookmarkEnd w:id="296"/>
      <w:bookmarkEnd w:id="297"/>
      <w:bookmarkEnd w:id="298"/>
      <w:bookmarkEnd w:id="299"/>
      <w:bookmarkEnd w:id="300"/>
      <w:bookmarkEnd w:id="301"/>
      <w:bookmarkEnd w:id="302"/>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shd w:val="clear"/>
        <w:autoSpaceDE w:val="0"/>
        <w:autoSpaceDN w:val="0"/>
        <w:adjustRightInd w:val="0"/>
        <w:snapToGrid w:val="0"/>
        <w:spacing w:line="360" w:lineRule="auto"/>
        <w:ind w:firstLine="480" w:firstLineChars="200"/>
        <w:rPr>
          <w:rFonts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ascii="仿宋" w:hAnsi="仿宋" w:eastAsia="仿宋" w:cs="仿宋"/>
          <w:color w:val="auto"/>
          <w:highlight w:val="none"/>
          <w:lang w:val="zh-CN"/>
        </w:rPr>
      </w:pPr>
    </w:p>
    <w:p>
      <w:pPr>
        <w:pStyle w:val="8"/>
        <w:keepNext w:val="0"/>
        <w:pageBreakBefore/>
        <w:shd w:val="clear"/>
        <w:rPr>
          <w:rFonts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cols w:space="720" w:num="1"/>
          <w:docGrid w:linePitch="312" w:charSpace="0"/>
        </w:sectPr>
      </w:pPr>
      <w:bookmarkStart w:id="303" w:name="_Toc16390"/>
      <w:bookmarkStart w:id="304" w:name="_Toc32356"/>
      <w:bookmarkStart w:id="305" w:name="_Toc475451545"/>
      <w:bookmarkStart w:id="306" w:name="_Toc21287"/>
      <w:bookmarkStart w:id="307" w:name="_Toc92"/>
      <w:bookmarkStart w:id="308" w:name="_Toc19653"/>
      <w:bookmarkStart w:id="309" w:name="_Toc10487"/>
      <w:bookmarkStart w:id="310" w:name="_Toc2506"/>
    </w:p>
    <w:bookmarkEnd w:id="303"/>
    <w:bookmarkEnd w:id="304"/>
    <w:bookmarkEnd w:id="305"/>
    <w:bookmarkEnd w:id="306"/>
    <w:bookmarkEnd w:id="307"/>
    <w:bookmarkEnd w:id="308"/>
    <w:bookmarkEnd w:id="309"/>
    <w:bookmarkEnd w:id="310"/>
    <w:p>
      <w:pPr>
        <w:pageBreakBefore/>
        <w:shd w:val="clear"/>
        <w:adjustRightInd w:val="0"/>
        <w:snapToGrid w:val="0"/>
        <w:spacing w:line="360" w:lineRule="auto"/>
        <w:jc w:val="center"/>
        <w:outlineLvl w:val="0"/>
        <w:rPr>
          <w:rFonts w:ascii="仿宋" w:hAnsi="仿宋" w:eastAsia="仿宋" w:cs="仿宋"/>
          <w:b/>
          <w:color w:val="auto"/>
          <w:sz w:val="32"/>
          <w:szCs w:val="32"/>
          <w:highlight w:val="none"/>
          <w:lang w:val="zh-CN"/>
        </w:rPr>
      </w:pPr>
      <w:bookmarkStart w:id="311" w:name="_Toc2581"/>
      <w:bookmarkStart w:id="312" w:name="_Toc5583"/>
      <w:bookmarkStart w:id="313" w:name="_Toc10479"/>
      <w:bookmarkStart w:id="314" w:name="_Toc6869"/>
      <w:bookmarkStart w:id="315" w:name="_Toc15680"/>
      <w:bookmarkStart w:id="316" w:name="_Toc25524"/>
      <w:bookmarkStart w:id="317" w:name="_Toc475451547"/>
      <w:bookmarkStart w:id="318" w:name="_Toc8548"/>
      <w:bookmarkStart w:id="319" w:name="_Toc14093"/>
      <w:bookmarkStart w:id="320" w:name="_Toc30412"/>
      <w:bookmarkStart w:id="321" w:name="_Toc23736"/>
      <w:bookmarkStart w:id="322" w:name="_Toc20745"/>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lang w:val="zh-CN"/>
        </w:rPr>
        <w:t>招标内容及要求</w:t>
      </w:r>
      <w:bookmarkEnd w:id="311"/>
    </w:p>
    <w:tbl>
      <w:tblPr>
        <w:tblStyle w:val="21"/>
        <w:tblW w:w="86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6"/>
        <w:gridCol w:w="1435"/>
        <w:gridCol w:w="5341"/>
        <w:gridCol w:w="457"/>
        <w:gridCol w:w="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序号</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名称</w:t>
            </w:r>
          </w:p>
        </w:tc>
        <w:tc>
          <w:tcPr>
            <w:tcW w:w="534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参数</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单位</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一</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创新科技室</w:t>
            </w:r>
          </w:p>
        </w:tc>
        <w:tc>
          <w:tcPr>
            <w:tcW w:w="5341" w:type="dxa"/>
            <w:tcBorders>
              <w:tl2br w:val="nil"/>
              <w:tr2bl w:val="nil"/>
            </w:tcBorders>
            <w:shd w:val="clear" w:color="auto" w:fill="auto"/>
            <w:vAlign w:val="center"/>
          </w:tcPr>
          <w:p>
            <w:pPr>
              <w:widowControl/>
              <w:shd w:val="clear"/>
              <w:spacing w:line="360" w:lineRule="auto"/>
              <w:jc w:val="left"/>
              <w:rPr>
                <w:rFonts w:ascii="仿宋" w:hAnsi="仿宋" w:eastAsia="仿宋" w:cs="仿宋"/>
                <w:b/>
                <w:bCs/>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1</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绚丽之光</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b/>
                <w:bCs/>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光的路径</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整体尺寸≧790*560*900mm设备用材：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⑤其他配置：3d模型，亚克力加工件等                                                                                                                               操作说明：</w:t>
            </w:r>
          </w:p>
          <w:p>
            <w:pPr>
              <w:widowControl/>
              <w:shd w:val="clear"/>
              <w:spacing w:line="360" w:lineRule="auto"/>
              <w:jc w:val="left"/>
              <w:textAlignment w:val="top"/>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1、转动大转盘 ，选择不同的光学元件，使激</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光对向所选光学元件；  </w:t>
            </w:r>
          </w:p>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2、转动光学元件 ，调整光学元件的角度，观察光线通过光学元件的路径变化。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3、按下“启动”按钮 ，观看光在各种光学元件中的传播路径。</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设备简介：设备由凹凸透镜、凹凸反光镜、直角三棱镜、楔形镜、五棱镜和平行玻璃砖 8 种光学元件、激光光源和操作按钮组成。分别展示光的发散、  会聚、反射、折射、平移等变化 ，从而了解光学元件的特性。光线在同种均匀介质里沿直线传播。但光线从一种介质射向另一种介质时，在两介质交界处，会发生折射或反射。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光压风车</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底座规格≧380*240*110mm；科普设备底座基于防水防电防跌落撞击等应用场景考虑，采用模具注塑成型，高密度ABS材质，底座四脚网格纹脚垫支撑，防止震动和滑动。性能、结构、安全、外观等应符合JY0001要求。操作说明：  按下  “启动”按钮 ，观看风车运动状态的变化。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设备简介：设备由展台、支架、风车、小射灯组成，观众按下开关 ，观看光压风车的自转现象。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穿墙而过</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底座规格≧380*240*110mm；科普设备底座基于防水防电防跌落撞击等应用场景考虑，采用模具注塑成型，高密度ABS材质，底座四脚网格纹脚垫支撑，防止震动和滑动。性能、结构、安全、外观等应符合JY0001要求。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操作说明：旋转透明通道 ，观看小球穿越“墙体”的神奇现象。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设备简介：演示装置包括两组方向相反的偏振膜、小球、透明管和转动装置。观众转动转盘 ，倾斜圆管 ，会发现小球会穿越圆管中的“墙”体。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1.4</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菲涅尔透镜</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操作说明：将物体放到透镜一侧进行观看，会看到放大的图像。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设备简介：展项主体为一面菲涅尔透镜，观众通过实验会发现“平面透镜”也能起到放大镜的效果。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1.5</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电影原理</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操作说明：打开开关，调节转速，观看动画的形成，注意调节圆盘转速的快慢，使电影的效果最好。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设备简介：展项由转筒、电机驱动机构、频闪灯、动画图片组等构成。打开开关，调节转速，会看到一张张图片交替变化，形成动画效果。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1.6</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琴弦影像</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操作说明：用手指拨动琴弦，然后转动滚筒，观察琴弦振动的轨迹。</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设备简介：展项由带黑白条纹的转筒和三根可拨动的琴弦构成。转动转筒，拨动琴弦，可看到声音的波形。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可展示或说明其科学原理。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2</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天籁之声</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触摸声音</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  操作说明：用小锤敲击音叉，用手触摸音叉，感觉声音的产生。</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光纤传声</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无皮鼓</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3</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电磁奥秘</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尖端放电</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雅各布天梯</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电动机原理</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操作说明：扳动手柄，将磁铁靠近电动机线圈，使电动机运转起来。相反，游客搬动手柄，将磁铁远离电动机线圈，运转的电动机便停止下来。</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3.4</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电磁加速器</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 按下“启动”按钮，观察通电后轨道内金属球运动情况。</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设备简介：展项由加速线圈、轨道、停球机构、防护罩等构成。观众按下“启动”按钮，停球机构将金属球释放，通电后轨道内金属球会越转越快。</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可展示或说明其科学原理。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3.5</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磁阻尼</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操作说明：将不同材质的圆环放到圆管最上端，然后同时松手，使其自由下落，比较它们下降的速度。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两根立柱和套在上面的各种圆环组成。两根立柱，一根内有磁铁，另一根为空心，将不同材质的圆环放到圆管最上端，然后同时松手，使其自由下落，会发现管里面有磁铁的金属环下落得格外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3.6</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磁生电</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设备简介：设备由线圈、磁棒和LED灯组构成，磁棒可以在线圈中来回滑动，LED灯串联在线圈中。当滑动磁棒时，会发现LED灯组会闪烁，说明线圈中产生了感应电流电流。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3.7</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人体导电</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操作说明：双手分别接触电极，看看灯亮了吗？</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设备简介：设备由两个电极、低压电源、灯带等构成，观众双手分别接触电极，将自己接入电路，此时灯泡会因为线路接通而点亮，说明人是导体。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3.8</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无形的力</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底座规格≧380*240*110mm；科普设备底座基于防水防电防跌落撞击等应用场景考虑，采用模具注塑成型，高密度ABS材质，底座四脚网格纹脚垫支撑，防止震动和滑动。性能、结构、安全、外观等应符合JY0001要求。                                                                          操作说明：按下按钮，观看金属环的运动状态的变化。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设备简介：展项由底座、电磁线圈、封闭金属环、铁心、防护罩、操作按钮等构成。按下按钮，会看到金属环快速跳到金属立柱的顶部，并悬浮在空中，这是怎么回事呢？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可展示或说明其科学原理。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3.9</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磁力线</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设备简介：展项由底座、旋转机构、永久磁铁、磁针组、防护罩、操作按钮等构成。按下按钮，会看到磁铁周围的磁针会跟随磁铁的转动而转动，本展项展示了磁体周围磁力线的存在。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3.10</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磁共振</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设备简介：展项由电磁线圈和轻质小球构成。当按下按钮，给线圈通电，会看到小球在来回跳动。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4</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运动之律</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阿基米德沉浮子</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操作说明：操作打气筒，往密封容器内打气，注意观察沉浮子的位置变化。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展项概述：此展项由内装液体的封闭透明容器、打气筒、沉浮子等构成，向观众展示阿基米德沉浮原理。大家知道，浸在液体内的物体受到液体对它向上的浮力，当重力与所受液体向上的浮力相等时，该物体可浮于液体中或液面，装置在未充气时，浮子只受重力和浮力作用，处于平衡状态，充气后，气压增大，气体对浮子的压力和向下的重力之和大于液体对浮子的浮力，浮子开始下沉。过一会儿气体泄露，气体对浮子压力减小，浮力大于重力和气体压力之和，浮子开始上升。</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虹吸</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操作说明：上下移动活动容器，观看各容器中液体的变化。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设备简介：虹吸，亦被称为“虹吸现象”。是一种依靠大气压强，使液体通过曲管（即“虹吸管”）经过高出液面的地方流向低处的现象。虹吸的产生必须满足下述三个条件：（1）虹吸管内充满液体；（2）虹吸管内的液柱所产生的压强低于大气压； （3）虹吸管出水口液面的高度低于其进水口液面的高度。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离心力</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操作说明：转动手轮，观看容器内沉浮子变化。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可展示或说明其科学原理。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4.4</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鱼洗</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操作说明：用手缓慢有节奏地摩擦盆边两耳，盆会像受击撞一样振动起来，盆内水波荡漾。摩擦得法，可喷出水柱。</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展项由仿制的古代盥洗用具“鱼洗”构成，当两手搓双耳时，产生两个振源，振波在水中传播，互相干涉，使能量叠加起来，所以这些能量较大的水点，会跳出水面。这是符合物理学的共振原理的。当两手搓双耳时，产生两个振源，振波在水中传播，互相干涉，使能量叠加起来，所以这些能量较大的水点，会跳出水面。这是符合物理学的共振原理的。</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4.5</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锥体上滚</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操作说明：将锥体放到轨道低端，松手后，观察锥体的运动方向。</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设备简介：设备由一个双锥体和倾斜轨道组成。将锥体放在轨道低端时，会惊奇的发现锥体竟然沿着轨道向上滚去。这其中的奥秘是什么呢?仔细观察，你会发现锥体上滚只是表面现象，实际上在锥体上滚过程中，它的重心却是由高到低变化的。倾斜轨道两边呈八字排列，一端低一端高，在低端，轨道间的距离小，支点靠近锥体的中心，锥体重心高，而在高端轨道间的距离大，支点靠近锥体外缘，锥体重心低。所以当把锥体放在轨道低端时，它会沿着轨道向上滚动，这就是锥体上滚的奥秘所在。物体在重力场中受到重力的作用，总会按照降低重心求稳定的规律进行运动。 “降低重心求稳定”的规律在汽车、航空等领域都有广泛的应用。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4.6</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哪个滚得快</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操作说明：将两个转轮分别放置在两条轨道的高端，接着拨动操作杆，使两个转轮同时向下滚。</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设备简介：设备由操作杆，两条长度和倾斜角度相同的轨道，两个大小相同质量相等但质量分布不同的圆形转轮组成。首先将两个转轮分别放置在两条轨道的高端，接着拨动操作杆，使两个转轮同时向下滚。猜猜看，哪个转轮滚得快？仔细观察你会发现，质量分布靠近转轴中心的转轮滚得快。这是为什么呢？原因就在于两个转轮的质量分布不同，其转动惯量大小也不相同。物体的质量分布越靠近转轴中心，转动惯量越小，转动状态越容易改变。因此，两个转轮从静止沿轨道下滚的过程中，转动惯量小的转轮比转动惯量大的转轮滚得快。转动惯量在科学实验、工程技术、航天、电力、机械、仪表等工业领域是一个重要参量。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5</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数学之趣</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概率</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  操作说明：旋转钉板，观看小球下落形成的曲线。</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设备简介：正态分布在自然界极为常见，因此是非常重要、有广泛应用的一种分布。该展项向观众展示正态概率分布规律。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项</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最速降线</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两条轨道、两个半径和质量相等的小球和操作杆组成。两条轨道的起点和终点高度相同，其中一条为直线轨道，另一条为曲线轨道。把两个小球分别放到起点位置，拉动操作杆，两个小球同时滚落，无论尝试多少次，曲线轨道上的小球总是最先到达终点。为什么沿着较长轨道滚落的小球用的时间最短呢？小球到达终点的先后不仅取决于轨道的长度，还与小球的下滑速度有关。实际上，曲线轨道是一条最速降线，在小球下降的初始阶段，通过较陡的轨道使小球尽快获得较大的速度；再充分利用较大速度走完平坦的曲线。因此，与其它轨道相比，最速降线上滚落的小球总是可以最先到达终点。最速降线在工程中应用广泛。我国古代建筑中“大屋顶”房子上的曲线就是最速降线，降落在屋顶上的雨水能够以最快的速度流走。</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混沌摆</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操作说明：转动手柄、观看三个小摆不规则的运动状态。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科学家们经过的多年的研究发现，混沌系统是一个非周期性的不可逆过程，它对初始值反应敏感，一个微小的扰动变化，就会产生意想不到的结果，而且长期行为不可预测。该展项由一组（3个）处于自由状态的摆组成，利用摆的对称性与摆的运动规律，向观众展示混沌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5.4</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双曲狭缝</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操作说明：拨动直杆，看看会发生什么现象。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可转动的直杆和带有双曲线狭缝的有机玻璃板组成。拨动直杆，会发现它可以神奇地穿过有机玻璃板上弯曲的狭缝。这其中的奥秘是什么呢？当倾斜的直杆绕竖直轴旋转时，会在空间划出双曲面。由于有机玻璃板是过竖直轴的平面，弯曲的狭缝正是有机玻璃板与双曲面的交线，直杆旋转时正好穿过弯曲的狭缝。火力发电厂的冷却塔结构是双曲面形状，它可以用直的钢梁建造。这样会减少风的阻力．也可以用最少的材料来维持结构的完整。</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5.5</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滚出直线</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设备简介：设备由大、小圆盘、动物模型、操作手轮组成。转动手轮，会看到小圆盘内切于大圆盘滚动，而小圆盘上的人偶居然沿直线往复运动。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科学原理：这是为什么呢？在平面上，一个动圆沿着一个固定圆的内侧作滚动时，此圆上一点的轨迹叫做内摆线。如果动圆半径正好是定圆半径的一半，动圆圆周上任意一点的轨迹均为直线。设备中小圆盘的直径恰好是大圆盘直径的一半，而人偶正好位于小圆盘的圆周上，所以它的运行轨迹是一条直线。在机械加工中，刨床上刀片的往复直线行走就是利用了内摆线这一特性。</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5.6</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抛物线</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从不同小孔丢下小球，看看能不能反弹击中铃铛</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5.7</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拓扑游戏</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试着将绳子从金属环中取出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6</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健康生活</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6.1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普氏摆</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功能概述：1922年，德国物理学家普费驰发现了人眼的一个奇异生理现象。即当一个用细绳悬吊的重摆在一个平面内作往复摆动时，如果用一块茶色镜片遮住一只眼睛，同时睁眼看到的这个运动着的摆的轨迹从单摆的轨迹变成了椭圆形轨迹。这是个谜，至今无人破解，本装置就再现这个实验。</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6.2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温柔电击</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尺寸：≧600mm*400mm*40mm；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材质：亚克力板。主要展示器件安装于两块亚克力前后板上；前板≧5mm厚透明亚克力板，后板≧5mm厚白色亚克力板；产品文字说明及图片，采用不低于丝网印刷技术UV印制的背景图，彩色图片须平板打印到背板上，保证不能因受潮褪色；前后板可用6颗50mm的工艺螺钉固定于墙体上；仪器整体具有防尘和安全防护装置。不使用外接电源，如产品需要供电采用模块化手摇发电机构和稳压稳流技术供电或电池供电。不使用AC220V电源，确保操作的安全性。</w:t>
            </w:r>
          </w:p>
          <w:p>
            <w:pPr>
              <w:widowControl/>
              <w:shd w:val="clear"/>
              <w:spacing w:line="360" w:lineRule="auto"/>
              <w:jc w:val="left"/>
              <w:textAlignment w:val="top"/>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可展示或说明其科学原理。</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6.3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手眼协调</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 xml:space="preserve">底座规格≧380*240*110mm；科普设备底座基于防水防电防跌落撞击等应用场景考虑，采用模具注塑成型，高密度ABS材质，底座四脚网格纹脚垫支撑，防止震动和滑动。性能、结构、安全、外观等应符合JY0001要求。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 操作说明：</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一、将套环放到任意一个端点，小心移动套环，不要触碰金属杆；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二、将环套移动到另外一端，游戏结束，数数自己触碰了几次金属杆。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设备简介：设备由曲线金属管和带套环的手柄组成。手持手柄，将套环移动到任一端的起点位置，沿金属管向另一端移动套环，在这个过程中，尽量保持套环不与金属管接触，否则会响起报警声。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科学原理：怎样才能提高手眼协调的能力呢？人的动作是由中枢神经系统控制和协调的。眼睛是传感器，脑是控制器，手是执行机构。对于不同的人，这些系统的性能是不一样的。经过反复训练，配合会更加熟练，手眼协调能力会不断提高。</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7</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材料科学</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7.1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绝缘体与导电体</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整体尺寸 ≧790*560*900mm设备用材：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①展台：围板≧1.2mm冷轧板，表面烤漆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②台面：康贝特板或人造大理石，厚度≧15mm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③说明牌：亚克力UV喷绘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④维修门：与展台一体</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⑤其他配置：3d模型，亚克力加工件等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功能概述：有5个大小相同的亚克力长管，每个长管的两端都有一个导电盖。长管里装有不同的材料，分别是：盐水、纯净水、钢叉、塑料汤勺、石墨铅笔。当学生们将9伏的电池、小灯泡以及长管连接并组成回路时，他们会发现装有不同材料的长管，会出现不同的效果：灯光发光是强是弱还是不发光。通过这个实验操作，让学生们了解到不同的材料的导电性是不同的 。</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7.2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液晶玻璃</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尺寸：≧600mm*400mm*40mm；材质：亚克力板。主要展示器件安装于两块亚克力前后板上；前板为5mm厚透明亚克力板，后板5mm厚白色亚克力板；产品文字说明及图片，采用不低于丝网印刷技术UV印制的背景图，彩色图片须平板打印到背板上，保证不能因受潮褪色；前后板可用6颗50mm的工艺螺钉固定于墙体上；仪器整体具有防尘和安全防护装置。不使用外接电源，如产品需要供电采用模块化手摇发电机构和稳压稳流技术供电。不使用AC220V电源，确保操作的安全性。原理说明：液晶是介于液态与晶态之间的物质，它具有液体的流动性和表面张力，还具有晶态的各向异性和双折射特性，经研究发现，入射到液晶材料里的光线受到了一定程度的极化，结果显示出不同的颜色，人们利用液晶的这一特性开发出了液晶温度计。</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7.3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会导电的布</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尺寸：≧600mm*400mm*40mm；材质：亚克力板。主要展示器件安装于两块亚克力前后板上；前板≧5mm厚透明亚克力板，后板≧5mm厚白色亚克力板；产品文字说明及图片，采用不低于丝网印刷技术UV印制的背景图，彩色图片须平板打印到背板上，保证不能因受潮褪色；前后板可用6颗50mm的工艺螺钉固定于墙体上；仪器整体具有防尘和安全防护装置。不使用外接电源，如产品需要供电采用模块化手摇发电机构和稳压稳流技术供电。不使用AC220V电源，确保操作的安全性。原理说明：将硅、砷化镓等半导体材料制成的纳米材料，具有许多优异性能。例如，纳米半导体材料中的量子隧道效应使某些半导体材料的电子输运反常、导电率降低，电导热系数也随颗粒尺寸的减小而下降，甚至出现负值。这些特性在大规模集成电路器件、光电器件等领域发挥重要的作用。</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8</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智能科技</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舞蹈机器人</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一、功能描述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1、双足、双手、双眼类人型的外观。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2、具备语音交互、动作实现、编程、配合集控模块可实现集体舞蹈等功能。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二、配置和技术参数：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1、配套有该产品正式出版的教学书籍。</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2、搭载15个或以上高速伺服驱动器；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3、内置智能语音交互平台；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4、配备专用App，通过蓝牙实现近场连接机器人；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5、支持 iOS 和 Android 设备通用；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6、可支持扩展进行集体控制；</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7、支持 Blockly 图形化逻辑编程；</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8、眼镜 LED 灯模组，可实现多状态提醒；</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9、防磨外壳采用品质磨砂面ABS，金属支架采用高级铝合金，抗打击，触感佳，防磨及耐用；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10、锂电池：＞2000mAh。</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项</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科普模型</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包括：</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3D打印作品、磁悬浮地球、火箭、空间站、卫星、飞机、斯特林发动机、牛顿摆球、DNA结构模型、驱逐舰、坦克，清洁能源小车等</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交互式3D智慧阅读系统</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机柜：防锈、防水、防磁、防腐蚀；整机设计紧凑、合理，操作简单，可按客户要求定制颜色和VI标识，立体环绕音响；</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显示器：≧55寸显示器，最大分辨率：1920x1080，亮度：≧450[cd/m2]；</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触摸屏：≧55寸多点红外触摸屏，竖屏，触摸≧6000万次无故障，平均无故障时间5万小时以上，表面硬度莫氏7级，具有防水、防尘、防暴功能；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主机：CPU：≧ I3 核心数量：双核心线程数：四线程</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内存条：≧4G DDR3内存主频：3.4GHz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主板：H81工业主板，支持4个USB，包含显卡、声卡模块；支持自动开机、来电自启动、CPU温度、风扇等状态监控功能；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硬盘：≧120G硬盘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电源：≧350W</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麦克风：收音头：永久极性电容收音头；灵敏度：58 dB ±3dB；频率范围；信噪比：≧60 dB；声道：立体声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Win7系统</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配麦克，便于语音识别和互动                                                         通过数据采集技术自动采集中国科协科普中国平台栏目及内容并进行数据清洗入库，方便查询浏览，具体包含栏目有：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二级栏目：科学原理一点通：</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数学、物理、化学、天文、地理、生物、文化、艺术、生活、自然、计算机科学与信息技术、材料能源、历史、气象知识、生态环保、十万个为什么。</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二级栏目V视快递：通过数据采集技术自动采集中国科协科普中国平台栏目V视快递及内容并进行数据清洗入库，方便查询浏览。</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二级栏目有：健康医疗、视频安全、航天航空、信息科技、前沿技术、气候环境、能源利用、应急避险。</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自动同步科普中国平台更新。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二级栏目科普游戏：益智乐园、自然科学、宇宙探索、防灾自救、动手实验、工程技术、虚拟生活、玩转科学。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二级栏目读宝典：社区居民科学素质读本、城镇劳动者科学素质读本、农民科学素质读本、中学生科学素质读本、小学生科学素质读本、领导干部和公务员科学素质读本。</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二级栏目科普大课堂：基础科学、应用科学、自然灾害、应急救护、事故灾难、公共卫生、生活、养生、疾病、母婴、生态环保、历史考古、动物科普、食品安全等。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二级科普真相：恶搞与澄清、流言与证实、谎言与真相。</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二级栏目有：健康讲座、健康漫画、医疗保健：</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其中健康讲座主要以短视频为主，提供日常疾病健康视频科普，实现日更新一部。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健康漫画：主要以漫画形式介绍养生保健知识，实现内容日更新。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医疗保健只要以图文提供健康资讯，三级栏目包含：饮食营养、孕期营养、老年保健、保健知识、中毒急救、中暑急救、孕妇急救、老人急救、春季保健、夏季保健、秋季保健、冬季保健、传染病、心理健康、慢病防治、科学防癌、急救复苏、合理用药、慢病防治、女性健康、科学育儿、蒙医蒙药等子模块，信息均实现每日自动采集和更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医生问答：提供权威医院专家关于疾病的问答知识服务、各类疾病知识短视频讲解服务。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子栏目有健康问答、专家讲解、医学文章、医学语音等4个子栏目。</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收集图文健康知识5万多条，日更新10条以上，医学专家视频1000多部，日更新5部。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科普大课堂：通过数据采集技术自动采集中国科协科普中国平台及其他权威科普网站来源的栏目及内容并进行数据清洗入库，方便查询浏览，具体包含栏目有：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级栏目：历史考古、动物科普、图解科学、基础科学、应用科学、军事科技、生态环保、未成年人教育、科普纵览、食品安全、纺织科普、自动化科普、珍稀动物、声学科普、水利科普、地质科普、化学科普、光学科普、生物工程科普、小学生科学素质读本、中学生科学素质读本。</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释疑解惑：二级栏目有：流言破解（科普真相）、与专家面对面、科学问题聚焦。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通过数据采集技术自动采集科普中国、昌平科普惠民网、腾讯科技网等网站科普信息资源。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信息均实现每日自动采集和更新。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其他科普栏目共计20多个。</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信息均来自国内可信度高的知名网站及科普中国平台。</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9</w:t>
            </w:r>
          </w:p>
        </w:tc>
        <w:tc>
          <w:tcPr>
            <w:tcW w:w="1435"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环境布置</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b/>
                <w:bCs/>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c>
          <w:tcPr>
            <w:tcW w:w="696" w:type="dxa"/>
            <w:tcBorders>
              <w:tl2br w:val="nil"/>
              <w:tr2bl w:val="nil"/>
            </w:tcBorders>
            <w:shd w:val="clear" w:color="auto" w:fill="auto"/>
            <w:noWrap/>
            <w:vAlign w:val="center"/>
          </w:tcPr>
          <w:p>
            <w:pPr>
              <w:widowControl/>
              <w:shd w:val="clear"/>
              <w:spacing w:line="360" w:lineRule="auto"/>
              <w:jc w:val="center"/>
              <w:rPr>
                <w:rFonts w:ascii="仿宋" w:hAnsi="仿宋" w:eastAsia="仿宋" w:cs="仿宋"/>
                <w:b/>
                <w:bCs/>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9.1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互动展示台</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根据现场环境及用户需求定制</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9.2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科普画</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根据现场环境及用户需求定制</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9.3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装修</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含墙面、地面处理、顶层处理等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色调：桌椅、墙面、地面、窗帘等着色配合协调。</w:t>
            </w: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w:t>
            </w:r>
          </w:p>
        </w:tc>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二</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图书馆</w:t>
            </w:r>
          </w:p>
        </w:tc>
        <w:tc>
          <w:tcPr>
            <w:tcW w:w="5341" w:type="dxa"/>
            <w:tcBorders>
              <w:tl2br w:val="nil"/>
              <w:tr2bl w:val="nil"/>
            </w:tcBorders>
            <w:shd w:val="clear" w:color="auto" w:fill="auto"/>
            <w:noWrap/>
            <w:vAlign w:val="center"/>
          </w:tcPr>
          <w:p>
            <w:pPr>
              <w:widowControl/>
              <w:shd w:val="clear"/>
              <w:spacing w:line="360" w:lineRule="auto"/>
              <w:jc w:val="left"/>
              <w:rPr>
                <w:rFonts w:ascii="仿宋" w:hAnsi="仿宋" w:eastAsia="仿宋" w:cs="仿宋"/>
                <w:color w:val="auto"/>
                <w:sz w:val="24"/>
                <w:highlight w:val="none"/>
              </w:rPr>
            </w:pPr>
          </w:p>
        </w:tc>
        <w:tc>
          <w:tcPr>
            <w:tcW w:w="457"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间</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RFID图书标签</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1.工作频率：13.56MHz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2.标签尺寸：≧50*50mm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3.存储容量：≧1024 bits</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4.工作温度：-10℃～50℃</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5.读取速度≦0.1s</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6.数据保存时间≧10年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7.有效使用寿命≧10 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8.有效使用次数≧10万次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1.标签中有存储器，存储在其中的资料可重复读、写。标签中须存储一些基本信息，中标人应根据采购人的需要提供最优化的数据结构存储方案和存取管理程序，优化读取速度，提高处理的效率；</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2.标签可以非接触式地读取和写入，加快文献流通的处理速度；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3.标签必须使用防冲突的运算法则，能保证多个标签同时可靠识别；</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4.标签具有较高的安全性，有不可改写的唯一序列号（UID）供识别和加密，防止存储在其中的信息被泄露或随意改写；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5.标签为无源标签，无需外接电源或者电池即可使用；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6.图书标签采用AFI 或EAS 位作为防盗的安全标志方法，且AFI标志位必须可以用户自由修改；</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7.RFID阅读产品设备可在短时间内读取存储在标签中的资料；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8.标签质保期内不开胶脱落，同时应保证采用中性粘胶对图书及其它介质黏贴表面无损害；</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枚</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RFID读者证</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1.工作频率：13.56MHz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2.尺寸：≧85*50mm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3.存储容量≧1024 bits</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4.工作温度：-10℃～50℃</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5.读取速度≦0.1s</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6.数据保存时间≧10年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7.有效使用寿命≧10 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8.有效使用次数≧10万次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1.标签中有存储器，存储在其中的资料可重复读、写；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2.标签可以非接触式地读取和写入，加快文献流通的处理速度；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3.标签必须使用防冲突的运算法则，能保证多个标签同时可靠识别；</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4.标签具有较高的安全性，有不可改写的唯一序列号（UID）供识别和加密，防止存储在其中的信息被泄露或随意改写；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1.标签为无源标签，无需外接电源或者电池即可使用；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5.RFID阅读产品设备可在非常短的时间内读取存储在标签中的资料；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6.有效识读距离：符合自助借还、书架、安全门等设备读取要求；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读者证一面可根据需要印制LOGO图案。</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张</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RFID层架标签</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1.工作频率：13.56MHz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2.尺寸：≧长84mm *宽20mm*厚5mm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3.存储容量：≧1024 bits</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4.工作温度：-10℃～50℃</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5.读取速度≦0.1s</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6.数据保存时间≧10年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7.有效使用寿命≧10 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8.有效使用次数≧10万次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9.材质：采用ABS材质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1.标签可以非接触式地读取和写入，加快文献流通的处理速度。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2.标签必须使用防冲突的运算法则，能保证多个标签同时可靠识别。</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3.标签具有较高的安全性，有不可改写的唯一序列号（UID）供识别和加密，防止存储在其中的信息被泄露或随意改写。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4.标签为无源标签，无需外接电源或者电池即可使用。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5.RFID阅读产品设备可在非常短的时间内读取存储在标签中的资料。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6.标签自带单面背胶，采用 3M 粘力较强胶水，胶水对书架表面无损害，保证在保质期内不开胶脱落。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层架位为层板防电磁屏蔽用RFID标签，自带背胶，可固定于图书馆的金属书架层板表面（钢木架），表面打印相关的层架信息。</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个</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4</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自助借还机</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1.外形尺寸：≧长550*宽500*高1560mm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2.设备质量：≧75KG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3.屏幕尺寸：≧21.5"电容屏触摸屏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4.设备材质：钣金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5.功率能耗：≦200W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6.工作频率：13.56MHz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7.操作系统：windows系统</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8.主机配置：工业级主机，运行内存≧4G，存储内存≧128G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可对粘贴有RFID标签流通资料进行扫描、识别和借还处理，用于读者自助进行流通资料的借出操作，方便读者和工作人员对流通资料进行借阅、归还处理。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1.系统具备可选择的借阅归还功能，系统可以被馆员设定为仅有借书或还书功能，且支持用户密码登录以及无证还书操作。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2.系统支持同时多本借还书，读者查询、续借等自助服务。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3.具备离线功能，网络中断时系统自动进入离线工作状态，读者依然可以进行离线还书操作，连线后自动恢复，并把离线时产生的数据进行自动上传，无需人工干预。</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4.具备定时开关机、上电自启等功能。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5.设备需具备媒体播放功能，设备在空闲时可自动轮播图片或其它用户自定义内容。</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配套同品牌图书馆管理软件可支持远程监测设备当前的开关机状态并进行远程开机或远程关机操作；可支持远程查看设备使用时长和使用次数信息，进而分析对信息化装备及平台软件投入后的使用情况；可支持远程查看设备使用时长和使用次数信息，进而分析对信息化装备及平台软件投入后的使用情况；可支持远程桌面功能，管理人员可以看到设备的当前操作页面，并进行远程协助和控制管理。</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★7.具备USB充电功能，4个USB接口集成于设备上，方便读者使用，非采用任何外接手段实现。</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拓展功能模块：</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8.设备支持条码读取功能，内部集成条码扫描仪，可进行条码扫描（一维码、二维码）实现读者登录借还书。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9.设备支持身份证识别，内部集成身份证识别模块，可进行读者身份证信息识别实现读者登录借还书操作。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10.设备支持社保卡识别，内部集成社保卡识别模块，可进行读者社保卡信息识别实现读者登录借还书操作。</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5</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升降式移动还书箱</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1.容量：约150册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2.材质工艺：型材+板材+丝印+纤维</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3.最大承重≧100kg</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采用工学、力学原理设计，结构稳定可适合不同环境，容量大，内部采用升降结构,根据负载自动升降，有效降低书籍滑落的撞击力，减少书籍破损。</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1.造型新颖、外观美观大方，可以很方便地融合到图书馆的家具设施和图书馆设备环境中。</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2.结构稳定，前两轮定向，后两轮自由转向，方便载重推动和转向。</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3.层板自带承重进深设计，层板表面采用固制木板或高密度板。</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4.周转箱为自动升降式，自带滑轮，便于移动和更换。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5.车轮：带刹车耐磨超静音轮。</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6.内部要求采用升降结构，根据负载自动升降，有效降低书籍滑落的撞击力，减少功能要求书籍破损。承载板可在图书重力作用下自行适度升降。</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7.滑轮可锁死，防止无意推动。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整体设计不易攀爬，防止倾倒。</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6</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综合导航检索平台</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1.操作系统：windows系统或安卓系统</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2.主机配置：工业级主机 运行内存≧4G（安卓版2G），存储内存≧128G（安卓版16G）。</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3.操作屏幕尺寸：≧32寸触摸屏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4.设备材质：钣金</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5.功率：≧100W</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1.通过与图书馆后台系统的无线对接，实现图书馆馆藏资源（含虚拟资源）查询检索功能，为读者提供便捷的服务，是读者获取图书馆资源的切入点。</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2.在人机交互界面实现对图书馆馆藏资源（含虚拟资源）的查询检索功能，为读者提供便捷的服务。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3.读者可以查询馆藏书籍的馆藏地信息、书刊信息状态。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4.系统提供书名、著者、索书号、出版社等各种检索入口。</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5.读者可以输入证件号和密码登录该查询系统，查看本人的适用规则、借阅历史等。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6.在OPAC查询机上读者可以自助进行图书信息、借阅情况等查询，并且该系统支持预约、续借等功能。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7.具有友好操作界面直接显示检索、图书推荐、图书管理、违规处罚、活动公告等操作跳转界面，操作便捷简单。</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8.具有新书到馆及图书排行榜等界面，读者可以直接点击图书管理进入该界面获取最新到馆新书或图书排行等信息。</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具备在线提问功能，问答信息可直接查询，未查询到可发起提问。</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7</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馆员工作站（一体机）</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1.主机配置：工业级主机，windows系统，≧4G运行内存，≧128G存储内存。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2.操作屏幕：≧21.5寸电容触摸屏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3.材质：亚克力+钢化玻璃</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4.工作频率：13.56MHz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5.标签转换：支持将图书条码转换成RFID标签数据</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采用模块化建设理念，能稳定读取小型电子标签，可将图书条形码编号写入到RFID电子标签中，让图书唯一识别编号跟RFID电子标签唯一识别号绑定，并对RFID标签进行识别和流通状态处理，辅助以其它装置用于流通部门对粘贴有RFID标签及条形码的流通资料进行快速的借还操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1.可对RFID标签非接触式地进行阅读，有读取RFID图书标签、改写图书标签的能力。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2.可与图书馆的管理软件系统对接，支持读者证查询、注册、修改、注销、续卡、挂失等操作。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3.可与图书馆的管理软件系统对接，支持工作人员处理各种图书借还、自助续借、预约、处理罚金、检测修改标签安全状态等业务。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4.系统提供准确的用户所需的工作统计，如操作数量、操作类型、成功与否的操作数据统计等。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5.设备集成条码扫描仪，可对条形码进行识别转换后通过图书感应模块对图书标签进行数据加工，转换率高。</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6.要求电脑主机、图书标签读写器、天线、条码扫描仪及电源开关为整体型设计，非散件方式，并且方便移动。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7.配套RFID系统操作软件，设备可拓展自助借还书功能，馆员和读者可在设备上进行借还书操作。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可选配模块：</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★8.设备内嵌身份证识别模块，能够读取居民二代身份证信息进行登录借还书操作。</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设备可集成二维码扫描仪，能够识别手机或者读者证上面的二维码进行扫码登录。</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RFID安全门（单通道）</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1.单通道宽度：900mm±10mm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2.工作温度：0℃~60℃</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3.输入电源：100～240V 50～60Hz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4.整机功耗：额定20W，最大30W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5.通信接口：以太网（TCP/IP）</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6.储存温度：-45℃~85℃</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7.相对湿度：5%-80%</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8.射频功率：1~8W可调</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1.支持多种防盗模式: AFI、EAS和EAS+AFI。集成三维全向感应技术；</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2.可以非接触式的快速识别粘贴在流通文献上的RFID标签。可以对图书馆内的印刷品、视听出版物、CD及 DVD等流通文献进行安全扫描操作，不能损坏粘贴在流通文献中的磁性介质的文献；</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3.具有音频和视觉警示信号，且信号源可设置，警示音量可调控；</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4.具备流量计数功能，数据可重置。LED 人员流量统计显示有三种模式:人员进+出的总和、进的人数、出的人数；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5.支持噪声检测，可检测周围环境是否有干扰信号；</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6.设备系统具有高侦测性能，要求无误报；</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7.对心脏起搏器的佩带者和磁性媒质软盘,磁带，录像带等无害；</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8.内置声光报警提示功能，音量可调节，可通过摇控器操作；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9.多通道安全门应具备单通道独立警示和提示功能；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10.系统设备具备扩展性，同一出入口可支持十片安全门并排安装(组成九通道)并且不会降低系统检测的灵敏度；</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11.支持数据的存储以及数据的导出功能；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★12.拓展功能：配套同品牌微信图书馆管理软件，读者无需在设备上登录，直接在微信端进行扫码借书操作，借书完成后门禁系统可判断书本是否完成借书操作并进行报警。</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配套RFID安全门智能控制软件，实现人流量的数据上传和报警数据上传。管理员可以在后台进行相关数据的统计分析。</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片</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9</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区域图书馆集群管理软件</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图书馆管理系统适用于图书馆图书管理相关业务开展，系统对图书馆的业务管理应提供一体化的解决方案。以书目为中心，涵盖现代图书馆各个业务环节，包括采访、编目、典藏、流通、检索、统计等。能实现多文种、多类型的实体文献著作处理，包括图书、连续出版物、试听材料、音乐、地图以及其他混合型材料。同时，还可对网络资源信息作为虚拟实体进行著录管理，支持符合ISO-2709标准的多种类型的MARC记录的导入和导出，并支持对MARC记录的全屏幕编辑、校对、修改。</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 软件要求包含以下功能模块：图书管理、期刊管理、典藏管理、流通管理、读者管理、OPAC检索、统计中心和系统管理等。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 图书采访和编目：支持图书订购、验收等批号的管理，支持将marc格式数据导入，支持读者图书荐购，图书采访批次列表管理。支持在同一界面自由切换编目模式（填空式的简单编目和marc编目）。要求支持分馆独立编目，不同分馆采用各自独立的索书号。</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 期刊管理：支持期刊编目，期刊类型管理，如半月刊、月刊、季刊等；支持期刊预订，预订后自动生成该刊的记到纪录；支持过刊处理、合订、入藏等。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 典藏管理：支持馆藏的导入、变更、清点、剔除、调拨等单项操作以及相应的批量操作；支持条码置换、馆藏修改及批量操作； 具备馆藏统计和输出功能等。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 流通管理：可处理的外借、归还、续借、预约、交款、赔书、退赔和违章处理这八项基本功能；进行流通时显示读者信息和文献信息。</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 读者管理：支持读者类型、单位管理；支持读者批量导入、列表管理；根据自定义的属性进行分类统计，具备读者统计、流通统计、财经统计等统计功能。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7. 系统管理：支持用户、角色权限管理；支持菜单及配置管理；支持分馆、分系统、馆藏地点、读者证类型、文献类型、借阅规则等参数设置。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 OPAC检索：可根据出版社、作者索书号、书名、IBSN、关键词、所属馆等检索方式进行单条件、多条件检索；馆员可自定义读者登录界面的提示信息，具备图书续借、图书预约、图书荐购、查询借阅历史、修改个人信息等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★9.支持对RFID智慧图书馆设备（如自助借还书设备）远程监测开关机状态以及远程、重启、远程关机操作。</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10.支持对RFID智慧图书馆设备（如自助借还书设备）的使用时长和使用次数信息统计，进而分析对信息化装备及平台软件投入后的使用情况。</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★11.支持远程推送视频文件至选定的RFID智慧图书馆设备（如自助借还书设备）进行播放，实现信息发布功能。</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b/>
                <w:bCs/>
                <w:color w:val="auto"/>
                <w:kern w:val="0"/>
                <w:sz w:val="24"/>
                <w:highlight w:val="none"/>
                <w:lang w:bidi="ar"/>
              </w:rPr>
              <w:br w:type="textWrapping"/>
            </w:r>
            <w:r>
              <w:rPr>
                <w:rFonts w:hint="eastAsia" w:ascii="仿宋" w:hAnsi="仿宋" w:eastAsia="仿宋" w:cs="仿宋"/>
                <w:color w:val="auto"/>
                <w:kern w:val="0"/>
                <w:sz w:val="24"/>
                <w:highlight w:val="none"/>
                <w:lang w:bidi="ar"/>
              </w:rPr>
              <w:t>★12.支持远程桌面功能。管理人员可以远程看到RFID智慧图书馆设备（如自助借还书设备）的当前操作页面，并进行远程协助和控制管理。</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b/>
                <w:bCs/>
                <w:color w:val="auto"/>
                <w:kern w:val="0"/>
                <w:sz w:val="24"/>
                <w:highlight w:val="none"/>
                <w:lang w:bidi="ar"/>
              </w:rPr>
              <w:br w:type="textWrapping"/>
            </w:r>
            <w:r>
              <w:rPr>
                <w:rFonts w:hint="eastAsia" w:ascii="仿宋" w:hAnsi="仿宋" w:eastAsia="仿宋" w:cs="仿宋"/>
                <w:color w:val="auto"/>
                <w:kern w:val="0"/>
                <w:sz w:val="24"/>
                <w:highlight w:val="none"/>
                <w:lang w:bidi="ar"/>
              </w:rPr>
              <w:t>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1.采用B/S架构，无需安装客户端，可部署在windows\Linux等主流操作系统。</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2.系统支持XML，符合最新的标准和技术路线。</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3.MARC编辑快速有效，提供MARC数据智能编辑手段，系统应能够提供MARC编辑时辅助分类，自动生成子段能够自定义，方便CNMARC数据的著录。</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4.系统具有高可移植性和可跨平台性。底层数据库采用mysql或其它大型数据库管理系统，支持ISO SQL标准，支持数据备份。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5.系统具有可靠的安全机制和备份机制。</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6.考虑配套使用，需与自助借还服务终端为同一品牌。</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10</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大数据分析系统（含75寸大屏）</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图书馆馆情大数据分析管理软件，可与图书馆各功能设备对接实时检测到在馆人数数和借阅趋势分析等相关数据，便于图书馆的管理。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1.具有可视化人性化的直观交互界面；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2.可实现实时统计在馆人数、到馆人数、借书数量、还书数量及办证数量；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3.可与图书馆业务系统、RFID智能化和管理系统无缝对接，实施监控在馆人数、阅读趋势、统计分析；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4.可以在图书馆主页或大屏幕上，以柱状、饼状图等信息显示各时间段进馆人数、办证、借还数量；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5.可实时监控RFID系统终端设备的数据信息，也可单独监控某个设备的数据信息；</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6.可分区分块统计分析；</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7.可与安全门禁实时动态联动，实现数据交互；</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8.可支持功能模块定制化；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9.读者通过安全门，系统自动实时更新；（设备可支持刷读者证进出安全门或者不刷读者证进出安全门）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10.读者办证：在自助设备上进行办证，办证成功系统自动实时更新当天办证人数以及饼图的办证人数比例；</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11.读者借书：需读者证，借书成功系统自动实时更新借书数、借还历史记录滚动文字以及饼图的借书人数比例；</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12.读者还书：还书成功系统自动实时更新还书数、借还历史记录滚动文字以及饼图的还书人数比例。</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11</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电子墨水屏</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一、硬件参数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1）显示触控屏参数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屏幕：≧10.3"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屏体分辨率：≧1440 x 1872 (227ppi)；</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材质：电子墨水屏，纯平盖板；</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屏幕强度：≧4H</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屏幕颜色：黑，白，16度灰显示屏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多点触摸：支持≧2点触控；</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背光：冷暖双色温背光</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触摸方式：电容触控。</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2）硬件配置参数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CPU: ≧四核 主频1.8G 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运行内存：≧2G；</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内置存储：≧32G；</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操作系统：Android 8.1；</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电池类型：≧4000mAh Polymer Li-on</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网络：WiFi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数据传输：Type-C；</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二、软件参数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操作系统：≧Android 6.0</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支持格式：支持pdf (reflowable), epub, Adobe DRM,mobi,djvu, txt, doc, rtf, html, chm, pdb,  fb2等文档格式；支持png, jpg, tiff, gif, bmp等图片格式；支持wav, mp3等音频格式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百度百科：支持百度百科内容查询；笔记:原笔迹手写</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推送：通过无线方式将电子书、应用、app应用推送至阅读器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字典：可以支持多语种字典安装与查询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阅读统计：支持用户阅读数据的记录：阅读数量、时长、标注数量、查字典次数、阅读内容偏好、阅读细节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应用市场：支持第三方eink优化应用安装</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OTA升级：支持系统无线升级</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三、资源参数</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提供不少于10000本适合小学使用的高清电子图书，图书资源针对小学，并按照学生、成人（家长、老师）身份设定了不同的图书分类方式，分类模块可定制，能更精准的引导阅读；图书内容定期更新，每月更新量不少于300本。</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2、通过在线书城下载，可直接阅读原版文本全文。</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3、提供不少于400套适合小学学生的图书测评题库，根据图书内容进行测评，可在线答题，在线获得测评结果。</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4、数据报告，可提供学生用户个人阅读能力雷达图、阅读图书数量、阅读图书类别、测评通过正确率等数据。</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5、支持成人用户、学生用户切换，学生用户支持图书下载、图书阅读、图书测评、读后感写作、数据统计等功能；成人用户支持图书下载、图书阅读、第三方APP接入、PDF, EPUB , TXT, DJVU, HTML, RTF, FB2, DOC, MOBI, CHM 等格式本地图书导入阅读、PNG, JPG,TIFF ,BMP等格式图片显示、文件管理、数据统计等功能。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6、支持图书字体切换、文字批注、字典、复制粘贴、书签等阅读功能。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7、支持刷新模式切换、OTA升级等功能。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8、可对接数字图书借阅机系统，实现账号、资源、数据打通，支持教师发布阅读任务，学生接收阅读任务，教师接收阅读任务反馈的阅读任务管理流程。</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12</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微型图书馆</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一、技术要求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工作频率：13.56Mhz</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外观尺寸：双柜：≧长2310mm* 高1780mm*宽400mm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藏书量≧384册（书本参考厚度15mm）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触控屏：≧19寸铝合金纯平电容触摸屏。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主机配置：嵌入式高端RISC工业级主机，运行内存≧2G，存储内存≧16G</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操作系统：Android 7.0以上</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网络连接：采用有线连接，支持wifi无线连接等多种连接方式（选配）。</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外观设计：采用藏书格加储物柜上下一体式设计，便于书本查阅和借还操作。储物柜采用内嵌式把手设计。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结构设计：双侧边带嵌入式把手，底部带万向轮设计，便于楼层搬运；同时底部滑轮可锁死，防止随意推动；底部加装固定件，长期放置防止推倒。</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天线板：单层≧3个天线板，相邻距离≧180mm；单个天线板厚度≧15mm，采用艺术镂空造型，带盘点指示灯。</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 xml:space="preserve">为确保开门方式不影响行人通行及安全，书柜门采用带嵌入式把手，右侧作为门轴的单开门设计。 </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二、功能要求</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智慧微型图书馆是可放置于室内或室外的移动图书流动设备，打破时间和空间的界限，真正走进学校教室和楼层，从而提升图书馆的服务性，更大程度发挥图书馆的作用，具有借书、还书、续借、预约、查询等图书馆服务功能，实现了图书借还管理的智能化、自动化、网络化和便利化。</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配套智慧微型图书馆系统软件，具备自助借、还书、续借等功能，读者根据软件操作界面提示，自助完成所有操作流程。</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系统支持一次多本借还，且图书能够在归还同时被再次上架（非机械传动），无需馆员协助处理，后续的读者可马上借阅此图书，从而实现图书的自循环借还服务。</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本地计算机能记录和保存所有操作日志和故障信息。</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具备自动备份功能，网络中断时系统自动进入离线工作状态，连线后自动恢复，无需人工干预。</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读卡模式：具备刷卡模式。读卡器需同时支持识别ISO14443A和ISO15693双协议。</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★设备稳定性：要求采用工业级电脑主机和电容触摸屏模块化分离设计，可分离式维护。</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b/>
                <w:bCs/>
                <w:color w:val="auto"/>
                <w:kern w:val="0"/>
                <w:sz w:val="24"/>
                <w:highlight w:val="none"/>
                <w:lang w:bidi="ar"/>
              </w:rPr>
              <w:br w:type="textWrapping"/>
            </w:r>
            <w:r>
              <w:rPr>
                <w:rFonts w:hint="eastAsia" w:ascii="仿宋" w:hAnsi="仿宋" w:eastAsia="仿宋" w:cs="仿宋"/>
                <w:color w:val="auto"/>
                <w:kern w:val="0"/>
                <w:sz w:val="24"/>
                <w:highlight w:val="none"/>
                <w:lang w:bidi="ar"/>
              </w:rPr>
              <w:t>★智能照明系统：每格书柜内置照明灯光，方便读者查阅和借还书籍；读者触屏操作自动唤醒书柜照明灯光，操作完成返回主页一定时间内未操作书柜灯光自动熄灭。</w:t>
            </w:r>
            <w:r>
              <w:rPr>
                <w:rFonts w:hint="eastAsia" w:ascii="仿宋" w:hAnsi="仿宋" w:eastAsia="仿宋" w:cs="仿宋"/>
                <w:b/>
                <w:bCs/>
                <w:color w:val="auto"/>
                <w:kern w:val="0"/>
                <w:sz w:val="24"/>
                <w:highlight w:val="none"/>
                <w:lang w:bidi="ar"/>
              </w:rPr>
              <w:t>（提供视频演示）</w:t>
            </w:r>
            <w:r>
              <w:rPr>
                <w:rFonts w:hint="eastAsia" w:ascii="仿宋" w:hAnsi="仿宋" w:eastAsia="仿宋" w:cs="仿宋"/>
                <w:b/>
                <w:bCs/>
                <w:color w:val="auto"/>
                <w:kern w:val="0"/>
                <w:sz w:val="24"/>
                <w:highlight w:val="none"/>
                <w:lang w:bidi="ar"/>
              </w:rPr>
              <w:br w:type="textWrapping"/>
            </w:r>
            <w:r>
              <w:rPr>
                <w:rFonts w:hint="eastAsia" w:ascii="仿宋" w:hAnsi="仿宋" w:eastAsia="仿宋" w:cs="仿宋"/>
                <w:color w:val="auto"/>
                <w:kern w:val="0"/>
                <w:sz w:val="24"/>
                <w:highlight w:val="none"/>
                <w:lang w:bidi="ar"/>
              </w:rPr>
              <w:t>系统至少提供简体中文、英文两种语言的视觉交互功能。针对读者操作配备语音提示、动画提示、读秒提示等执行方式。</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拓展功能模块：</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★具备人脸识别功能，通过人脸注册进行登录，实现读者无卡登录、借书、还书功能。</w:t>
            </w:r>
            <w:r>
              <w:rPr>
                <w:rFonts w:hint="eastAsia" w:ascii="仿宋" w:hAnsi="仿宋" w:eastAsia="仿宋" w:cs="仿宋"/>
                <w:b/>
                <w:bCs/>
                <w:color w:val="auto"/>
                <w:kern w:val="0"/>
                <w:sz w:val="24"/>
                <w:highlight w:val="none"/>
                <w:lang w:bidi="ar"/>
              </w:rPr>
              <w:t>（提供视频演示）</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台</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13</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数据加工</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1.将图书专用标签数据加工转换并准确安装在图书馆的馆藏图书内</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2.按照规范要求，为每一本需要进行处理的图书粘贴RFID标签，</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3.严格按中图法分类上架及定位。对粘贴了RFID标签的图书进行数据转换。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4.确保标签粘贴有效，并且不能对图书造成任何损坏，否则应为造成的损失向招标人提供赔偿。</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图书资料的数据转换有效无误，同时要能满足用户合理提出的RFID标签中数据存储的格式与内容的要求。将馆藏图书进行编目数据著录、MAC数据录入、贴条码、书标、书标保护膜，依据《中国机读目录格式》和《普通图书著录规则》的要求著录图书，图书分类引用《中国图书馆图书分类法》 (第五版）。中文图书主题标引用《中国分类主题词表》和《汉语主题词表》（增订本）。</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册</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14</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图书</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图书质量及技术规格：1、封面印刷：套印准确，字、图、点、线印迹清楚，不花、不毛、不糊，实地版墨色均匀，无回胶印，背面不脏。2、插图印刷：（1）套印准确，层次分明，轮廓实。电分制版无浮雕印。（2）网点清晰饱满，小点不秃，大点光洁不糊，质感好。（3）墨色均匀厚实，色彩鲜艳有光泽，肤色正，接版准确，色调深浅一致。3、正文印刷：（1）压力：压力适度，全书前后轻重一致。（2）墨色：全书前后墨色一致，浓淡适度。（3）套印：版面端正，正反套印准确。（4）文字：文字、标点清晰，笔锋挺秀，无缺笔断划，标题黑实不花，小字不糊不瞎。其他：书面无赃污、破损，无钉花、野墨。4、装订：（1）开本尺寸符合设计要求，套书规格一致，成品裁切方正，无明显刀花，无连接页、折角、破头。（2）书背平整，无空背、起泡、明显皱折，书脊字居中，封面齐色，边框色要正。（3）全书页码折正，书面平服，无皱折（八字折等）。（4）骑马钉、平钉的钉脚不翘,无断丝、凸肚，钉距匀称，坚实牢固易翻不脱页。</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册</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15</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系统集成</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包括安装调试培训等</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套</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16</w:t>
            </w:r>
          </w:p>
        </w:tc>
        <w:tc>
          <w:tcPr>
            <w:tcW w:w="1435"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书架</w:t>
            </w:r>
          </w:p>
        </w:tc>
        <w:tc>
          <w:tcPr>
            <w:tcW w:w="5341" w:type="dxa"/>
            <w:tcBorders>
              <w:tl2br w:val="nil"/>
              <w:tr2bl w:val="nil"/>
            </w:tcBorders>
            <w:shd w:val="clear" w:color="auto" w:fill="auto"/>
            <w:vAlign w:val="center"/>
          </w:tcPr>
          <w:p>
            <w:pPr>
              <w:widowControl/>
              <w:shd w:val="clear"/>
              <w:spacing w:line="360" w:lineRule="auto"/>
              <w:jc w:val="left"/>
              <w:textAlignment w:val="top"/>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1、每节规格：架高≧2000mm、架宽≧300m、节距≧900m、层数≧6层、隔板可移动，选用宝钢优质冷轧钢板。</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2、立柱：厚≧1.2mm优质冷轧钢板，折弯四次成型：底横板厚≧2mm。</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3、搁板选用厚≧1.0mm优质冷轧钢板，搁板中间采用加强筋与搁板、双柱双面书架进行焊接加聞。</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4、书架侧板、挂板采用厚≧1.2m优质钢板，侧面板上设计金属标签目录框，平整美观，保证标签卡片，随意插拔，结实耐用。</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5、表面采用静电喷塑技术，光亮平整、无颗粒、气炮、渣点现象，颜色均匀，焊接处转角过度自然。</w:t>
            </w:r>
          </w:p>
        </w:tc>
        <w:tc>
          <w:tcPr>
            <w:tcW w:w="4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节</w:t>
            </w:r>
          </w:p>
        </w:tc>
        <w:tc>
          <w:tcPr>
            <w:tcW w:w="69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12</w:t>
            </w:r>
          </w:p>
        </w:tc>
      </w:tr>
    </w:tbl>
    <w:p>
      <w:pPr>
        <w:pStyle w:val="2"/>
        <w:shd w:val="clear"/>
        <w:rPr>
          <w:color w:val="auto"/>
          <w:highlight w:val="none"/>
          <w:lang w:val="zh-CN"/>
        </w:rPr>
      </w:pPr>
    </w:p>
    <w:p>
      <w:pPr>
        <w:pageBreakBefore/>
        <w:shd w:val="clear"/>
        <w:adjustRightInd w:val="0"/>
        <w:snapToGrid w:val="0"/>
        <w:spacing w:line="360" w:lineRule="auto"/>
        <w:jc w:val="center"/>
        <w:outlineLvl w:val="0"/>
        <w:rPr>
          <w:rFonts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rPr>
        <w:t xml:space="preserve">第四部分  </w:t>
      </w:r>
      <w:r>
        <w:rPr>
          <w:rFonts w:hint="eastAsia" w:ascii="仿宋" w:hAnsi="仿宋" w:eastAsia="仿宋" w:cs="仿宋"/>
          <w:b/>
          <w:color w:val="auto"/>
          <w:sz w:val="32"/>
          <w:szCs w:val="32"/>
          <w:highlight w:val="none"/>
          <w:lang w:val="zh-CN"/>
        </w:rPr>
        <w:t>合同条款及格式</w:t>
      </w:r>
      <w:bookmarkEnd w:id="312"/>
      <w:bookmarkEnd w:id="313"/>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乙方（中标供应商）：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灞桥区2021年新增教育建设奖补资金--五星中学设备采购项目</w:t>
      </w:r>
      <w:r>
        <w:rPr>
          <w:rFonts w:hint="eastAsia" w:ascii="仿宋" w:hAnsi="仿宋" w:eastAsia="仿宋" w:cs="仿宋"/>
          <w:bCs/>
          <w:color w:val="auto"/>
          <w:sz w:val="24"/>
          <w:szCs w:val="24"/>
          <w:highlight w:val="none"/>
        </w:rPr>
        <w:t>(项目编号：DX2022-164)由陕西笃信招标有限公司组织公开招标，</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（以下简称“乙方”）为本项目第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包的中标供应商。</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依据《中华人民共和国民法典》和《中华人民共和国政府采购法》，经双方协商按下述条款和条件签署本合同。</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一、合同价款</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元 </w:t>
      </w:r>
      <w:r>
        <w:rPr>
          <w:rFonts w:hint="eastAsia" w:ascii="仿宋" w:hAnsi="仿宋" w:eastAsia="仿宋" w:cs="仿宋"/>
          <w:bCs/>
          <w:color w:val="auto"/>
          <w:sz w:val="24"/>
          <w:szCs w:val="24"/>
          <w:highlight w:val="none"/>
        </w:rPr>
        <w:t>）。</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（二）合同总价包括：货物费、运输费（含保险费）、安装调试费、检测验收费及其它费用。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（三）合同总价一次性包死，不受市场价格变化因素的影响。</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二、产品清单（附后）</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rPr>
        <w:t>100%</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（二）支付方式：银行转帐。</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（三）结算方式：由乙方与采购人结算，发票开采购单位，到采购单位办理付款手续。</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四、交货地点及工期</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（一）交货地点：甲方指定地点。</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（二）交货期：30天</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五、运输</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（一）运输由乙方负责，运杂费已包含在合同总价内，包括从货物供应地点所含的运输费、装卸费、仓储费、保险费，安装调试费等。</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（二）运输方式由乙方自行选择，但必须保证按期交货。</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六、质量保证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bookmarkStart w:id="484" w:name="_GoBack"/>
      <w:bookmarkEnd w:id="484"/>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1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七、售后服务</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 xml:space="preserve">八、技术与服务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九、验收</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十、违约责任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十一、合同争议解决的方式</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十二、合同生效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rPr>
        <w:t>民法典</w:t>
      </w:r>
      <w:r>
        <w:rPr>
          <w:rFonts w:hint="eastAsia" w:ascii="仿宋" w:hAnsi="仿宋" w:eastAsia="仿宋" w:cs="仿宋"/>
          <w:bCs/>
          <w:color w:val="auto"/>
          <w:sz w:val="24"/>
          <w:szCs w:val="24"/>
          <w:highlight w:val="none"/>
          <w:lang w:val="zh-CN"/>
        </w:rPr>
        <w:t>》的有关规定承担相应责任。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vAlign w:val="center"/>
          </w:tcPr>
          <w:p>
            <w:pPr>
              <w:shd w:val="clear"/>
              <w:spacing w:line="360" w:lineRule="auto"/>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vAlign w:val="center"/>
          </w:tcPr>
          <w:p>
            <w:pPr>
              <w:shd w:val="clear"/>
              <w:spacing w:line="360" w:lineRule="auto"/>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shd w:val="clear"/>
        <w:autoSpaceDE w:val="0"/>
        <w:autoSpaceDN w:val="0"/>
        <w:adjustRightInd w:val="0"/>
        <w:spacing w:line="360" w:lineRule="auto"/>
        <w:jc w:val="center"/>
        <w:rPr>
          <w:rFonts w:ascii="仿宋_GB2312" w:hAnsi="仿宋_GB2312" w:eastAsia="仿宋_GB2312" w:cs="仿宋_GB2312"/>
          <w:b/>
          <w:bCs/>
          <w:color w:val="auto"/>
          <w:sz w:val="44"/>
          <w:szCs w:val="44"/>
          <w:highlight w:val="none"/>
          <w:lang w:val="zh-CN"/>
        </w:rPr>
      </w:pPr>
    </w:p>
    <w:p>
      <w:pPr>
        <w:shd w:val="clear"/>
        <w:autoSpaceDE w:val="0"/>
        <w:autoSpaceDN w:val="0"/>
        <w:adjustRightInd w:val="0"/>
        <w:spacing w:line="360" w:lineRule="auto"/>
        <w:jc w:val="center"/>
        <w:rPr>
          <w:rFonts w:ascii="仿宋_GB2312" w:hAnsi="仿宋_GB2312" w:eastAsia="仿宋_GB2312" w:cs="仿宋_GB2312"/>
          <w:b/>
          <w:bCs/>
          <w:color w:val="auto"/>
          <w:sz w:val="44"/>
          <w:szCs w:val="44"/>
          <w:highlight w:val="none"/>
          <w:lang w:val="zh-CN"/>
        </w:rPr>
        <w:sectPr>
          <w:headerReference r:id="rId5" w:type="default"/>
          <w:footerReference r:id="rId6" w:type="default"/>
          <w:pgSz w:w="11906" w:h="16838"/>
          <w:pgMar w:top="1417" w:right="1701" w:bottom="1417" w:left="1701" w:header="851" w:footer="992" w:gutter="0"/>
          <w:cols w:space="720" w:num="1"/>
          <w:docGrid w:linePitch="312" w:charSpace="0"/>
        </w:sectPr>
      </w:pPr>
    </w:p>
    <w:p>
      <w:pPr>
        <w:pageBreakBefore/>
        <w:shd w:val="clear"/>
        <w:autoSpaceDE w:val="0"/>
        <w:autoSpaceDN w:val="0"/>
        <w:adjustRightInd w:val="0"/>
        <w:snapToGrid w:val="0"/>
        <w:spacing w:line="360" w:lineRule="auto"/>
        <w:jc w:val="center"/>
        <w:outlineLvl w:val="0"/>
        <w:rPr>
          <w:rFonts w:ascii="仿宋" w:hAnsi="仿宋" w:eastAsia="仿宋" w:cs="仿宋"/>
          <w:b/>
          <w:bCs/>
          <w:color w:val="auto"/>
          <w:sz w:val="32"/>
          <w:szCs w:val="32"/>
          <w:highlight w:val="none"/>
        </w:rPr>
      </w:pPr>
      <w:bookmarkStart w:id="323" w:name="_Toc3105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投标文件格式</w:t>
      </w:r>
      <w:bookmarkEnd w:id="323"/>
    </w:p>
    <w:p>
      <w:pPr>
        <w:shd w:val="clear"/>
        <w:autoSpaceDE w:val="0"/>
        <w:autoSpaceDN w:val="0"/>
        <w:adjustRightInd w:val="0"/>
        <w:snapToGrid w:val="0"/>
        <w:spacing w:line="360" w:lineRule="auto"/>
        <w:jc w:val="right"/>
        <w:rPr>
          <w:rFonts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rPr>
      </w:pPr>
      <w:r>
        <w:rPr>
          <w:rFonts w:ascii="仿宋" w:hAnsi="仿宋" w:eastAsia="仿宋" w:cs="仿宋"/>
          <w:b/>
          <w:bCs/>
          <w:color w:val="auto"/>
          <w:sz w:val="32"/>
          <w:szCs w:val="32"/>
          <w:highlight w:val="none"/>
        </w:rPr>
        <w:t>政府采购项目</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计划编号：ZCBN-灞桥区-2022-00468</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lang w:val="zh-CN"/>
        </w:rPr>
      </w:pPr>
      <w:r>
        <w:rPr>
          <w:rFonts w:ascii="仿宋" w:hAnsi="仿宋" w:eastAsia="仿宋" w:cs="仿宋"/>
          <w:b/>
          <w:bCs/>
          <w:color w:val="auto"/>
          <w:sz w:val="32"/>
          <w:szCs w:val="32"/>
          <w:highlight w:val="none"/>
        </w:rPr>
        <w:t>项目编号：</w:t>
      </w:r>
      <w:r>
        <w:rPr>
          <w:rFonts w:hint="eastAsia" w:ascii="仿宋" w:hAnsi="仿宋" w:eastAsia="仿宋" w:cs="仿宋"/>
          <w:b/>
          <w:bCs/>
          <w:color w:val="auto"/>
          <w:sz w:val="32"/>
          <w:szCs w:val="32"/>
          <w:highlight w:val="none"/>
        </w:rPr>
        <w:t>DX2022-164</w:t>
      </w:r>
    </w:p>
    <w:p>
      <w:pPr>
        <w:shd w:val="clear"/>
        <w:tabs>
          <w:tab w:val="left" w:pos="5670"/>
        </w:tabs>
        <w:autoSpaceDE w:val="0"/>
        <w:autoSpaceDN w:val="0"/>
        <w:adjustRightInd w:val="0"/>
        <w:spacing w:line="360" w:lineRule="auto"/>
        <w:rPr>
          <w:rFonts w:ascii="宋体" w:hAnsi="宋体" w:cs="宋体"/>
          <w:b/>
          <w:bCs/>
          <w:color w:val="auto"/>
          <w:sz w:val="44"/>
          <w:szCs w:val="44"/>
          <w:highlight w:val="none"/>
        </w:rPr>
      </w:pPr>
    </w:p>
    <w:p>
      <w:pPr>
        <w:pStyle w:val="16"/>
        <w:shd w:val="clear"/>
        <w:rPr>
          <w:color w:val="auto"/>
          <w:highlight w:val="none"/>
        </w:rPr>
      </w:pPr>
    </w:p>
    <w:p>
      <w:pPr>
        <w:pStyle w:val="5"/>
        <w:shd w:val="clear"/>
        <w:spacing w:line="360" w:lineRule="auto"/>
        <w:ind w:firstLine="442"/>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灞桥区2021年新增教育建设奖补资金</w:t>
      </w:r>
    </w:p>
    <w:p>
      <w:pPr>
        <w:pStyle w:val="5"/>
        <w:shd w:val="clear"/>
        <w:spacing w:line="360" w:lineRule="auto"/>
        <w:ind w:firstLine="442"/>
        <w:jc w:val="center"/>
        <w:rPr>
          <w:rFonts w:ascii="仿宋" w:hAnsi="仿宋" w:eastAsia="仿宋" w:cs="仿宋"/>
          <w:color w:val="auto"/>
          <w:highlight w:val="none"/>
        </w:rPr>
      </w:pPr>
      <w:r>
        <w:rPr>
          <w:rFonts w:hint="eastAsia" w:ascii="宋体" w:hAnsi="宋体" w:cs="宋体"/>
          <w:b/>
          <w:bCs/>
          <w:color w:val="auto"/>
          <w:sz w:val="44"/>
          <w:szCs w:val="44"/>
          <w:highlight w:val="none"/>
        </w:rPr>
        <w:t>--五星中学设备采购项目</w:t>
      </w:r>
    </w:p>
    <w:p>
      <w:pPr>
        <w:shd w:val="clear"/>
        <w:tabs>
          <w:tab w:val="left" w:pos="5670"/>
        </w:tabs>
        <w:autoSpaceDE w:val="0"/>
        <w:autoSpaceDN w:val="0"/>
        <w:adjustRightInd w:val="0"/>
        <w:spacing w:line="360" w:lineRule="auto"/>
        <w:jc w:val="center"/>
        <w:rPr>
          <w:rFonts w:ascii="仿宋" w:hAnsi="仿宋" w:eastAsia="仿宋" w:cs="仿宋"/>
          <w:b/>
          <w:color w:val="auto"/>
          <w:sz w:val="44"/>
          <w:szCs w:val="44"/>
          <w:highlight w:val="none"/>
          <w:u w:val="single"/>
        </w:rPr>
      </w:pPr>
      <w:r>
        <w:rPr>
          <w:rFonts w:hint="eastAsia" w:ascii="仿宋" w:hAnsi="仿宋" w:eastAsia="仿宋" w:cs="仿宋"/>
          <w:b/>
          <w:color w:val="auto"/>
          <w:sz w:val="44"/>
          <w:szCs w:val="44"/>
          <w:highlight w:val="none"/>
        </w:rPr>
        <w:t>（第</w:t>
      </w:r>
      <w:r>
        <w:rPr>
          <w:rFonts w:hint="eastAsia" w:ascii="仿宋" w:hAnsi="仿宋" w:eastAsia="仿宋" w:cs="仿宋"/>
          <w:b/>
          <w:color w:val="auto"/>
          <w:sz w:val="44"/>
          <w:szCs w:val="44"/>
          <w:highlight w:val="none"/>
          <w:u w:val="single"/>
        </w:rPr>
        <w:t xml:space="preserve">   </w:t>
      </w:r>
      <w:r>
        <w:rPr>
          <w:rFonts w:hint="eastAsia" w:ascii="仿宋" w:hAnsi="仿宋" w:eastAsia="仿宋" w:cs="仿宋"/>
          <w:b/>
          <w:color w:val="auto"/>
          <w:sz w:val="44"/>
          <w:szCs w:val="44"/>
          <w:highlight w:val="none"/>
        </w:rPr>
        <w:t>标段）</w:t>
      </w:r>
    </w:p>
    <w:p>
      <w:pPr>
        <w:shd w:val="clear"/>
        <w:tabs>
          <w:tab w:val="left" w:pos="5670"/>
        </w:tabs>
        <w:autoSpaceDE w:val="0"/>
        <w:autoSpaceDN w:val="0"/>
        <w:adjustRightInd w:val="0"/>
        <w:spacing w:line="360" w:lineRule="auto"/>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rPr>
          <w:rFonts w:ascii="仿宋" w:hAnsi="仿宋" w:eastAsia="仿宋" w:cs="仿宋"/>
          <w:color w:val="auto"/>
          <w:sz w:val="32"/>
          <w:szCs w:val="32"/>
          <w:highlight w:val="none"/>
        </w:rPr>
      </w:pPr>
    </w:p>
    <w:p>
      <w:pPr>
        <w:pStyle w:val="36"/>
        <w:shd w:val="clear"/>
        <w:rPr>
          <w:rFonts w:ascii="仿宋" w:hAnsi="仿宋" w:eastAsia="仿宋" w:cs="仿宋"/>
          <w:color w:val="auto"/>
          <w:highlight w:val="none"/>
        </w:rPr>
      </w:pPr>
    </w:p>
    <w:p>
      <w:pPr>
        <w:pStyle w:val="36"/>
        <w:shd w:val="clear"/>
        <w:rPr>
          <w:rFonts w:ascii="仿宋" w:hAnsi="仿宋" w:eastAsia="仿宋" w:cs="仿宋"/>
          <w:color w:val="auto"/>
          <w:highlight w:val="none"/>
        </w:rPr>
      </w:pPr>
    </w:p>
    <w:p>
      <w:pPr>
        <w:pStyle w:val="36"/>
        <w:shd w:val="clear"/>
        <w:ind w:firstLine="0" w:firstLineChars="0"/>
        <w:rPr>
          <w:rFonts w:ascii="仿宋" w:hAnsi="仿宋" w:eastAsia="仿宋" w:cs="仿宋"/>
          <w:color w:val="auto"/>
          <w:highlight w:val="none"/>
        </w:rPr>
      </w:pPr>
    </w:p>
    <w:p>
      <w:pPr>
        <w:pStyle w:val="36"/>
        <w:shd w:val="clear"/>
        <w:ind w:firstLine="0" w:firstLineChars="0"/>
        <w:rPr>
          <w:rFonts w:ascii="仿宋" w:hAnsi="仿宋" w:eastAsia="仿宋" w:cs="仿宋"/>
          <w:color w:val="auto"/>
          <w:highlight w:val="none"/>
        </w:rPr>
      </w:pPr>
    </w:p>
    <w:p>
      <w:pPr>
        <w:pStyle w:val="16"/>
        <w:shd w:val="clear"/>
        <w:rPr>
          <w:rFonts w:ascii="仿宋" w:hAnsi="仿宋" w:eastAsia="仿宋" w:cs="仿宋"/>
          <w:color w:val="auto"/>
          <w:highlight w:val="none"/>
        </w:rPr>
      </w:pP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供  应  商：</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ascii="仿宋" w:hAnsi="仿宋" w:eastAsia="仿宋" w:cs="仿宋"/>
          <w:color w:val="auto"/>
          <w:highlight w:val="none"/>
          <w:lang w:val="zh-CN"/>
        </w:rPr>
      </w:pPr>
      <w:bookmarkStart w:id="324" w:name="_Toc16671"/>
      <w:bookmarkStart w:id="325" w:name="_Toc27884"/>
      <w:bookmarkStart w:id="326" w:name="_Toc20494"/>
      <w:bookmarkStart w:id="327" w:name="_Toc3821"/>
      <w:bookmarkStart w:id="328" w:name="_Toc14636"/>
      <w:bookmarkStart w:id="329" w:name="_Toc32314"/>
      <w:r>
        <w:rPr>
          <w:rFonts w:hint="eastAsia" w:ascii="仿宋" w:hAnsi="仿宋" w:eastAsia="仿宋" w:cs="仿宋"/>
          <w:b/>
          <w:bCs/>
          <w:color w:val="auto"/>
          <w:sz w:val="32"/>
          <w:szCs w:val="15"/>
          <w:highlight w:val="none"/>
          <w:lang w:val="zh-CN"/>
        </w:rPr>
        <w:t>一、投标函</w:t>
      </w:r>
      <w:bookmarkEnd w:id="324"/>
      <w:bookmarkEnd w:id="325"/>
      <w:bookmarkEnd w:id="326"/>
      <w:bookmarkEnd w:id="327"/>
      <w:bookmarkEnd w:id="328"/>
      <w:bookmarkEnd w:id="329"/>
    </w:p>
    <w:p>
      <w:pPr>
        <w:shd w:val="clear"/>
        <w:autoSpaceDE w:val="0"/>
        <w:autoSpaceDN w:val="0"/>
        <w:adjustRightInd w:val="0"/>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rPr>
        <w:t>灞桥区2021年新增教育建设奖补资金--五星中学设备采购项目</w:t>
      </w:r>
      <w:r>
        <w:rPr>
          <w:rFonts w:hint="eastAsia" w:ascii="仿宋" w:hAnsi="仿宋" w:eastAsia="仿宋" w:cs="仿宋"/>
          <w:color w:val="auto"/>
          <w:sz w:val="24"/>
          <w:szCs w:val="24"/>
          <w:highlight w:val="none"/>
        </w:rPr>
        <w:t>（项目编号：DX2022-164）的招标文件，经详细研究，我们决定参加本次项目第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标段招标活动并投标。为此，我方郑重声明以下诸点，并负法律责任。</w:t>
      </w:r>
    </w:p>
    <w:p>
      <w:pPr>
        <w:numPr>
          <w:ilvl w:val="0"/>
          <w:numId w:val="1"/>
        </w:num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shd w:val="clear"/>
        <w:spacing w:line="360" w:lineRule="auto"/>
        <w:ind w:firstLine="480" w:firstLineChars="200"/>
        <w:jc w:val="both"/>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三、我方提交的投标文件正本一份、副本三份，有效电子版一份及资格证明文件一份，并保证投标文件提供的数据和材料真实、准确。否则，愿承担相关的法律责任。</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shd w:val="clear"/>
        <w:autoSpaceDE w:val="0"/>
        <w:autoSpaceDN w:val="0"/>
        <w:adjustRightInd w:val="0"/>
        <w:spacing w:line="360" w:lineRule="auto"/>
        <w:ind w:firstLine="480" w:firstLineChars="200"/>
        <w:rPr>
          <w:rFonts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供应商全称（印章）：</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ascii="仿宋" w:hAnsi="仿宋" w:eastAsia="仿宋" w:cs="仿宋"/>
          <w:color w:val="auto"/>
          <w:sz w:val="24"/>
          <w:szCs w:val="24"/>
          <w:highlight w:val="none"/>
          <w:lang w:val="zh-CN"/>
        </w:rPr>
        <w:sectPr>
          <w:footerReference r:id="rId7" w:type="default"/>
          <w:pgSz w:w="11906" w:h="16838"/>
          <w:pgMar w:top="1417" w:right="1701" w:bottom="1417" w:left="1701" w:header="851" w:footer="992" w:gutter="0"/>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ascii="仿宋" w:hAnsi="仿宋" w:eastAsia="仿宋" w:cs="仿宋"/>
          <w:color w:val="auto"/>
          <w:sz w:val="32"/>
          <w:szCs w:val="15"/>
          <w:highlight w:val="none"/>
          <w:lang w:val="zh-CN"/>
        </w:rPr>
      </w:pPr>
      <w:bookmarkStart w:id="330" w:name="_Toc22952"/>
      <w:bookmarkStart w:id="331" w:name="_Toc7809"/>
      <w:bookmarkStart w:id="332" w:name="_Toc19367"/>
      <w:bookmarkStart w:id="333" w:name="_Toc16343"/>
      <w:bookmarkStart w:id="334" w:name="_Toc3436"/>
      <w:bookmarkStart w:id="335" w:name="_Toc30144"/>
      <w:bookmarkStart w:id="336" w:name="_Toc15900"/>
      <w:bookmarkStart w:id="337" w:name="_Toc12108"/>
      <w:bookmarkStart w:id="338" w:name="_Toc4521"/>
      <w:bookmarkStart w:id="339" w:name="_Toc24304"/>
      <w:bookmarkStart w:id="340" w:name="_Toc13002"/>
      <w:bookmarkStart w:id="341" w:name="_Toc20056"/>
      <w:bookmarkStart w:id="342" w:name="_Toc16389"/>
      <w:bookmarkStart w:id="343" w:name="_Toc22013"/>
      <w:bookmarkStart w:id="344" w:name="_Toc18565"/>
      <w:bookmarkStart w:id="345" w:name="_Toc18879"/>
      <w:bookmarkStart w:id="346" w:name="_Toc473056004"/>
      <w:bookmarkStart w:id="347" w:name="_Toc475451554"/>
      <w:bookmarkStart w:id="348" w:name="_Toc17040"/>
      <w:bookmarkStart w:id="349" w:name="_Toc475451801"/>
      <w:r>
        <w:rPr>
          <w:rFonts w:hint="eastAsia" w:ascii="仿宋" w:hAnsi="仿宋" w:eastAsia="仿宋" w:cs="仿宋"/>
          <w:color w:val="auto"/>
          <w:sz w:val="32"/>
          <w:szCs w:val="15"/>
          <w:highlight w:val="none"/>
          <w:lang w:val="zh-CN"/>
        </w:rPr>
        <w:t>二、开标一览表（唱标报告）</w:t>
      </w:r>
      <w:bookmarkEnd w:id="330"/>
      <w:bookmarkEnd w:id="331"/>
      <w:bookmarkEnd w:id="332"/>
      <w:bookmarkEnd w:id="333"/>
      <w:bookmarkEnd w:id="334"/>
      <w:bookmarkEnd w:id="335"/>
      <w:bookmarkEnd w:id="336"/>
      <w:bookmarkEnd w:id="337"/>
      <w:bookmarkEnd w:id="338"/>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标段</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vAlign w:val="center"/>
          </w:tcPr>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vAlign w:val="center"/>
          </w:tcPr>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vAlign w:val="center"/>
          </w:tcPr>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交货期</w:t>
            </w:r>
          </w:p>
        </w:tc>
        <w:tc>
          <w:tcPr>
            <w:tcW w:w="6488" w:type="dxa"/>
            <w:vAlign w:val="center"/>
          </w:tcPr>
          <w:p>
            <w:pPr>
              <w:widowControl/>
              <w:shd w:val="clear"/>
              <w:spacing w:line="360" w:lineRule="auto"/>
              <w:jc w:val="left"/>
              <w:rPr>
                <w:rFonts w:ascii="仿宋" w:hAnsi="仿宋" w:eastAsia="仿宋" w:cs="仿宋"/>
                <w:color w:val="auto"/>
                <w:kern w:val="0"/>
                <w:sz w:val="24"/>
                <w:szCs w:val="24"/>
                <w:highlight w:val="none"/>
              </w:rPr>
            </w:pPr>
          </w:p>
        </w:tc>
      </w:tr>
    </w:tbl>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ascii="仿宋" w:hAnsi="仿宋" w:eastAsia="仿宋" w:cs="仿宋"/>
          <w:bCs/>
          <w:color w:val="auto"/>
          <w:kern w:val="0"/>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ascii="仿宋" w:hAnsi="仿宋" w:eastAsia="仿宋" w:cs="仿宋"/>
          <w:color w:val="auto"/>
          <w:sz w:val="32"/>
          <w:szCs w:val="32"/>
          <w:highlight w:val="none"/>
        </w:rPr>
      </w:pPr>
      <w:bookmarkStart w:id="350" w:name="_Toc32341"/>
      <w:r>
        <w:rPr>
          <w:rFonts w:hint="eastAsia" w:ascii="仿宋" w:hAnsi="仿宋" w:eastAsia="仿宋" w:cs="仿宋"/>
          <w:color w:val="auto"/>
          <w:sz w:val="32"/>
          <w:szCs w:val="32"/>
          <w:highlight w:val="none"/>
        </w:rPr>
        <w:t>三、</w:t>
      </w:r>
      <w:bookmarkEnd w:id="339"/>
      <w:bookmarkEnd w:id="340"/>
      <w:bookmarkEnd w:id="341"/>
      <w:bookmarkEnd w:id="342"/>
      <w:bookmarkEnd w:id="343"/>
      <w:bookmarkEnd w:id="344"/>
      <w:bookmarkEnd w:id="345"/>
      <w:r>
        <w:rPr>
          <w:rFonts w:hint="eastAsia" w:ascii="仿宋" w:hAnsi="仿宋" w:eastAsia="仿宋" w:cs="仿宋"/>
          <w:color w:val="auto"/>
          <w:sz w:val="32"/>
          <w:szCs w:val="32"/>
          <w:highlight w:val="none"/>
        </w:rPr>
        <w:t>费用组成明细表</w:t>
      </w:r>
      <w:bookmarkEnd w:id="350"/>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widowControl/>
              <w:shd w:val="clear"/>
              <w:jc w:val="center"/>
              <w:textAlignment w:val="center"/>
              <w:rPr>
                <w:rFonts w:ascii="仿宋" w:hAnsi="仿宋" w:eastAsia="仿宋" w:cs="仿宋"/>
                <w:bCs/>
                <w:color w:val="auto"/>
                <w:szCs w:val="21"/>
                <w:highlight w:val="none"/>
              </w:rPr>
            </w:pPr>
            <w:bookmarkStart w:id="351" w:name="_Toc2318"/>
            <w:bookmarkStart w:id="352" w:name="_Toc10639"/>
            <w:bookmarkStart w:id="353" w:name="_Toc27212"/>
            <w:bookmarkStart w:id="354" w:name="_Toc28835"/>
            <w:bookmarkStart w:id="355" w:name="_Toc5607"/>
            <w:bookmarkStart w:id="356" w:name="_Toc5122"/>
            <w:bookmarkStart w:id="357" w:name="_Toc27541"/>
            <w:r>
              <w:rPr>
                <w:rFonts w:hint="eastAsia" w:ascii="仿宋" w:hAnsi="仿宋" w:eastAsia="仿宋" w:cs="仿宋"/>
                <w:bCs/>
                <w:color w:val="auto"/>
                <w:kern w:val="0"/>
                <w:szCs w:val="21"/>
                <w:highlight w:val="none"/>
                <w:lang w:bidi="ar"/>
              </w:rPr>
              <w:t>序号</w:t>
            </w:r>
          </w:p>
        </w:tc>
        <w:tc>
          <w:tcPr>
            <w:tcW w:w="1183" w:type="dxa"/>
            <w:vAlign w:val="center"/>
          </w:tcPr>
          <w:p>
            <w:pPr>
              <w:widowControl/>
              <w:shd w:val="clear"/>
              <w:jc w:val="center"/>
              <w:textAlignment w:val="center"/>
              <w:rPr>
                <w:rFonts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vAlign w:val="center"/>
          </w:tcPr>
          <w:p>
            <w:pPr>
              <w:widowControl/>
              <w:shd w:val="clear"/>
              <w:jc w:val="center"/>
              <w:textAlignment w:val="center"/>
              <w:rPr>
                <w:rFonts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单位</w:t>
            </w:r>
          </w:p>
        </w:tc>
        <w:tc>
          <w:tcPr>
            <w:tcW w:w="1137"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vAlign w:val="center"/>
          </w:tcPr>
          <w:p>
            <w:pPr>
              <w:shd w:val="clear"/>
              <w:jc w:val="center"/>
              <w:rPr>
                <w:rFonts w:ascii="仿宋" w:hAnsi="仿宋" w:eastAsia="仿宋" w:cs="仿宋"/>
                <w:color w:val="auto"/>
                <w:sz w:val="24"/>
                <w:szCs w:val="24"/>
                <w:highlight w:val="none"/>
              </w:rPr>
            </w:pPr>
          </w:p>
        </w:tc>
      </w:tr>
    </w:tbl>
    <w:p>
      <w:pPr>
        <w:shd w:val="clear"/>
        <w:ind w:left="420" w:leftChars="200"/>
        <w:rPr>
          <w:rFonts w:ascii="仿宋" w:hAnsi="仿宋" w:eastAsia="仿宋" w:cs="仿宋"/>
          <w:color w:val="auto"/>
          <w:sz w:val="24"/>
          <w:szCs w:val="24"/>
          <w:highlight w:val="none"/>
        </w:rPr>
      </w:pPr>
    </w:p>
    <w:p>
      <w:pPr>
        <w:pStyle w:val="36"/>
        <w:shd w:val="clear"/>
        <w:spacing w:line="360" w:lineRule="auto"/>
        <w:ind w:firstLine="480"/>
        <w:rPr>
          <w:rFonts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6"/>
        <w:shd w:val="clear"/>
        <w:spacing w:line="360" w:lineRule="auto"/>
        <w:ind w:firstLine="480"/>
        <w:rPr>
          <w:rFonts w:ascii="仿宋" w:hAnsi="仿宋" w:eastAsia="仿宋" w:cs="仿宋"/>
          <w:bCs/>
          <w:color w:val="auto"/>
          <w:kern w:val="0"/>
          <w:sz w:val="24"/>
          <w:szCs w:val="24"/>
          <w:highlight w:val="none"/>
        </w:rPr>
      </w:pPr>
    </w:p>
    <w:p>
      <w:pPr>
        <w:pStyle w:val="36"/>
        <w:shd w:val="clear"/>
        <w:spacing w:line="360" w:lineRule="auto"/>
        <w:ind w:firstLine="480"/>
        <w:rPr>
          <w:rFonts w:ascii="仿宋" w:hAnsi="仿宋" w:eastAsia="仿宋" w:cs="仿宋"/>
          <w:bCs/>
          <w:color w:val="auto"/>
          <w:kern w:val="0"/>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6"/>
        <w:shd w:val="clear"/>
        <w:spacing w:line="360" w:lineRule="auto"/>
        <w:ind w:firstLine="480"/>
        <w:rPr>
          <w:rFonts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ascii="仿宋" w:hAnsi="仿宋" w:eastAsia="仿宋" w:cs="仿宋"/>
          <w:color w:val="auto"/>
          <w:sz w:val="32"/>
          <w:szCs w:val="32"/>
          <w:highlight w:val="none"/>
          <w:lang w:val="zh-CN"/>
        </w:rPr>
      </w:pPr>
      <w:bookmarkStart w:id="358" w:name="_Toc6997"/>
      <w:r>
        <w:rPr>
          <w:rFonts w:hint="eastAsia" w:ascii="仿宋" w:hAnsi="仿宋" w:eastAsia="仿宋" w:cs="仿宋"/>
          <w:color w:val="auto"/>
          <w:sz w:val="32"/>
          <w:szCs w:val="32"/>
          <w:highlight w:val="none"/>
          <w:lang w:val="zh-CN"/>
        </w:rPr>
        <w:t>四、供应商资格证明文件</w:t>
      </w:r>
      <w:bookmarkEnd w:id="358"/>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rPr>
        <w:t>应有代收机构或税务机关的公章或业务专用章。依法免税的供应商应提供相关文件证明；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（5）出具履行合同所必需的设备和专业技术能力的书面声明；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）出具参加本次政府采购活动的书面声明。</w:t>
      </w:r>
    </w:p>
    <w:p>
      <w:pPr>
        <w:shd w:val="clear"/>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（1）法定代表人授权书及被授权人身份证，并且提供有效的劳动合同或开标截止前六个月内任意一个月养老保险缴纳证明（法人参加只需提供法定代表人身份证明）；</w:t>
      </w:r>
    </w:p>
    <w:p>
      <w:pPr>
        <w:shd w:val="clear"/>
        <w:tabs>
          <w:tab w:val="left" w:pos="9030"/>
        </w:tabs>
        <w:snapToGrid w:val="0"/>
        <w:spacing w:line="360" w:lineRule="auto"/>
        <w:ind w:right="-65"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w:t>
      </w:r>
      <w:r>
        <w:rPr>
          <w:rFonts w:hint="eastAsia" w:ascii="仿宋" w:hAnsi="仿宋" w:eastAsia="仿宋" w:cs="仿宋"/>
          <w:b/>
          <w:bCs/>
          <w:color w:val="auto"/>
          <w:sz w:val="24"/>
          <w:szCs w:val="24"/>
          <w:highlight w:val="none"/>
          <w:lang w:val="zh-CN"/>
        </w:rPr>
        <w:t>四、供应商资格证明文件</w:t>
      </w:r>
      <w:r>
        <w:rPr>
          <w:rFonts w:hint="eastAsia" w:ascii="仿宋" w:hAnsi="仿宋" w:eastAsia="仿宋" w:cs="仿宋"/>
          <w:b/>
          <w:bCs/>
          <w:color w:val="auto"/>
          <w:sz w:val="24"/>
          <w:szCs w:val="24"/>
          <w:highlight w:val="none"/>
        </w:rPr>
        <w:t>”单独胶装成册1本，与投标文件正本一同密封。</w:t>
      </w:r>
    </w:p>
    <w:p>
      <w:pPr>
        <w:pStyle w:val="16"/>
        <w:shd w:val="clear"/>
        <w:rPr>
          <w:rFonts w:ascii="仿宋" w:hAnsi="仿宋" w:eastAsia="仿宋" w:cs="仿宋"/>
          <w:color w:val="auto"/>
          <w:highlight w:val="none"/>
          <w:lang w:val="zh-CN"/>
        </w:rPr>
      </w:pPr>
    </w:p>
    <w:p>
      <w:pPr>
        <w:pageBreakBefore/>
        <w:shd w:val="clear"/>
        <w:spacing w:line="360" w:lineRule="auto"/>
        <w:jc w:val="center"/>
        <w:rPr>
          <w:rFonts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rPr>
        <w:t>供应商基本情况表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vAlign w:val="center"/>
          </w:tcPr>
          <w:p>
            <w:pPr>
              <w:shd w:val="clea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shd w:val="clear"/>
              <w:topLinePunct/>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vAlign w:val="center"/>
          </w:tcPr>
          <w:p>
            <w:pPr>
              <w:shd w:val="clea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shd w:val="clear"/>
              <w:topLinePunct/>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vAlign w:val="center"/>
          </w:tcPr>
          <w:p>
            <w:pPr>
              <w:shd w:val="clear"/>
              <w:topLinePunct/>
              <w:spacing w:line="360" w:lineRule="auto"/>
              <w:rPr>
                <w:rFonts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rPr>
          <w:rFonts w:ascii="仿宋" w:hAnsi="仿宋" w:eastAsia="仿宋" w:cs="仿宋"/>
          <w:color w:val="auto"/>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pageBreakBefore/>
        <w:shd w:val="clear"/>
        <w:jc w:val="center"/>
        <w:rPr>
          <w:rFonts w:ascii="仿宋" w:hAnsi="仿宋" w:eastAsia="仿宋" w:cs="仿宋"/>
          <w:b/>
          <w:bCs/>
          <w:color w:val="auto"/>
          <w:sz w:val="28"/>
          <w:szCs w:val="28"/>
          <w:highlight w:val="none"/>
        </w:rPr>
      </w:pPr>
      <w:bookmarkStart w:id="359" w:name="_Toc22457"/>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59"/>
      <w:bookmarkStart w:id="360" w:name="_Toc21445"/>
    </w:p>
    <w:p>
      <w:pPr>
        <w:pStyle w:val="16"/>
        <w:shd w:val="clear"/>
        <w:jc w:val="center"/>
        <w:rPr>
          <w:rFonts w:ascii="仿宋" w:hAnsi="仿宋" w:eastAsia="仿宋" w:cs="仿宋"/>
          <w:color w:val="auto"/>
          <w:sz w:val="24"/>
          <w:szCs w:val="24"/>
          <w:highlight w:val="none"/>
        </w:rPr>
      </w:pPr>
    </w:p>
    <w:p>
      <w:pPr>
        <w:pStyle w:val="16"/>
        <w:shd w:val="clear"/>
        <w:jc w:val="center"/>
        <w:rPr>
          <w:rFonts w:ascii="仿宋" w:hAnsi="仿宋" w:eastAsia="仿宋" w:cs="仿宋"/>
          <w:color w:val="auto"/>
          <w:sz w:val="24"/>
          <w:szCs w:val="24"/>
          <w:highlight w:val="none"/>
        </w:rPr>
      </w:pPr>
    </w:p>
    <w:p>
      <w:pPr>
        <w:pStyle w:val="16"/>
        <w:shd w:val="clear"/>
        <w:jc w:val="center"/>
        <w:rPr>
          <w:rFonts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（二）财务状况报告</w:t>
      </w:r>
      <w:bookmarkEnd w:id="360"/>
      <w:bookmarkStart w:id="361" w:name="_Toc17757"/>
    </w:p>
    <w:p>
      <w:pPr>
        <w:pStyle w:val="16"/>
        <w:shd w:val="clear"/>
        <w:jc w:val="center"/>
        <w:rPr>
          <w:rFonts w:eastAsia="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（三）税收缴纳证明</w:t>
      </w:r>
      <w:bookmarkEnd w:id="361"/>
    </w:p>
    <w:p>
      <w:pPr>
        <w:pStyle w:val="16"/>
        <w:shd w:val="clear"/>
        <w:spacing w:line="360" w:lineRule="auto"/>
        <w:rPr>
          <w:rFonts w:ascii="仿宋" w:hAnsi="仿宋" w:eastAsia="仿宋" w:cs="仿宋"/>
          <w:color w:val="auto"/>
          <w:highlight w:val="none"/>
        </w:rPr>
      </w:pPr>
    </w:p>
    <w:p>
      <w:pPr>
        <w:pStyle w:val="16"/>
        <w:shd w:val="clear"/>
        <w:jc w:val="center"/>
        <w:rPr>
          <w:rFonts w:eastAsia="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pPr>
        <w:shd w:val="clear"/>
        <w:spacing w:line="360" w:lineRule="auto"/>
        <w:ind w:firstLine="480"/>
        <w:rPr>
          <w:rFonts w:ascii="仿宋" w:hAnsi="仿宋" w:eastAsia="仿宋" w:cs="仿宋"/>
          <w:color w:val="auto"/>
          <w:kern w:val="0"/>
          <w:sz w:val="24"/>
          <w:highlight w:val="none"/>
        </w:rPr>
      </w:pPr>
    </w:p>
    <w:p>
      <w:pPr>
        <w:shd w:val="clear"/>
        <w:spacing w:line="360" w:lineRule="auto"/>
        <w:ind w:firstLine="480"/>
        <w:rPr>
          <w:rFonts w:ascii="仿宋" w:hAnsi="仿宋" w:eastAsia="仿宋" w:cs="仿宋"/>
          <w:color w:val="auto"/>
          <w:kern w:val="0"/>
          <w:sz w:val="24"/>
          <w:szCs w:val="22"/>
          <w:highlight w:val="none"/>
        </w:rPr>
        <w:sectPr>
          <w:pgSz w:w="11906" w:h="16838"/>
          <w:pgMar w:top="1417" w:right="1417" w:bottom="1417" w:left="1417" w:header="851" w:footer="992" w:gutter="0"/>
          <w:cols w:space="0" w:num="1"/>
          <w:docGrid w:linePitch="312" w:charSpace="0"/>
        </w:sectPr>
      </w:pPr>
    </w:p>
    <w:p>
      <w:pPr>
        <w:shd w:val="clear"/>
        <w:spacing w:line="360" w:lineRule="auto"/>
        <w:jc w:val="center"/>
        <w:rPr>
          <w:rFonts w:ascii="仿宋" w:hAnsi="仿宋" w:eastAsia="仿宋" w:cs="仿宋"/>
          <w:b/>
          <w:color w:val="auto"/>
          <w:sz w:val="28"/>
          <w:szCs w:val="28"/>
          <w:highlight w:val="none"/>
        </w:rPr>
      </w:pPr>
      <w:bookmarkStart w:id="362" w:name="_Toc8139"/>
      <w:r>
        <w:rPr>
          <w:rFonts w:hint="eastAsia" w:ascii="仿宋" w:hAnsi="仿宋" w:eastAsia="仿宋" w:cs="仿宋"/>
          <w:b/>
          <w:color w:val="auto"/>
          <w:sz w:val="28"/>
          <w:szCs w:val="28"/>
          <w:highlight w:val="none"/>
        </w:rPr>
        <w:t>（四）社会保障资金缴纳证明</w:t>
      </w:r>
      <w:bookmarkEnd w:id="362"/>
    </w:p>
    <w:p>
      <w:pPr>
        <w:pStyle w:val="16"/>
        <w:shd w:val="clear"/>
        <w:jc w:val="center"/>
        <w:rPr>
          <w:rFonts w:eastAsia="仿宋"/>
          <w:color w:val="auto"/>
          <w:sz w:val="24"/>
          <w:szCs w:val="24"/>
          <w:highlight w:val="none"/>
        </w:rPr>
      </w:pPr>
      <w:bookmarkStart w:id="363" w:name="_Toc8586"/>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（五）出具履行合同所必需的设备和专业技术能力的书面声明</w:t>
      </w:r>
      <w:bookmarkEnd w:id="363"/>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shd w:val="clear"/>
        <w:spacing w:line="360" w:lineRule="auto"/>
        <w:ind w:firstLine="480" w:firstLineChars="200"/>
        <w:rPr>
          <w:rFonts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pPr>
        <w:shd w:val="clea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hd w:val="clear"/>
        <w:spacing w:before="240" w:beforeLines="100" w:after="120" w:afterLines="50" w:line="360" w:lineRule="auto"/>
        <w:ind w:firstLine="170"/>
        <w:rPr>
          <w:rFonts w:ascii="仿宋" w:hAnsi="仿宋" w:eastAsia="仿宋" w:cs="仿宋"/>
          <w:color w:val="auto"/>
          <w:spacing w:val="4"/>
          <w:sz w:val="24"/>
          <w:szCs w:val="24"/>
          <w:highlight w:val="none"/>
        </w:rPr>
      </w:pPr>
    </w:p>
    <w:p>
      <w:pPr>
        <w:shd w:val="clear"/>
        <w:spacing w:before="240" w:beforeLines="100" w:after="120" w:afterLines="50" w:line="360" w:lineRule="auto"/>
        <w:ind w:firstLine="170"/>
        <w:rPr>
          <w:rFonts w:ascii="仿宋" w:hAnsi="仿宋" w:eastAsia="仿宋" w:cs="仿宋"/>
          <w:color w:val="auto"/>
          <w:spacing w:val="4"/>
          <w:sz w:val="24"/>
          <w:szCs w:val="24"/>
          <w:highlight w:val="none"/>
        </w:rPr>
      </w:pPr>
    </w:p>
    <w:p>
      <w:pPr>
        <w:shd w:val="clear"/>
        <w:spacing w:line="360" w:lineRule="auto"/>
        <w:ind w:firstLine="3998" w:firstLineChars="166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998" w:firstLineChars="1666"/>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998" w:firstLineChars="1666"/>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rPr>
          <w:rFonts w:ascii="仿宋" w:hAnsi="仿宋" w:eastAsia="仿宋" w:cs="仿宋"/>
          <w:bCs/>
          <w:color w:val="auto"/>
          <w:sz w:val="24"/>
          <w:szCs w:val="24"/>
          <w:highlight w:val="none"/>
        </w:rPr>
      </w:pPr>
    </w:p>
    <w:p>
      <w:pPr>
        <w:shd w:val="clear"/>
        <w:spacing w:line="360" w:lineRule="auto"/>
        <w:rPr>
          <w:rFonts w:ascii="仿宋" w:hAnsi="仿宋" w:eastAsia="仿宋" w:cs="仿宋"/>
          <w:bCs/>
          <w:color w:val="auto"/>
          <w:sz w:val="24"/>
          <w:szCs w:val="24"/>
          <w:highlight w:val="none"/>
        </w:rPr>
      </w:pPr>
    </w:p>
    <w:p>
      <w:pPr>
        <w:shd w:val="clea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rPr>
          <w:rFonts w:ascii="仿宋" w:hAnsi="仿宋" w:eastAsia="仿宋" w:cs="仿宋"/>
          <w:b/>
          <w:color w:val="auto"/>
          <w:sz w:val="28"/>
          <w:szCs w:val="28"/>
          <w:highlight w:val="none"/>
        </w:rPr>
      </w:pPr>
      <w:bookmarkStart w:id="364" w:name="_Toc19749"/>
      <w:bookmarkStart w:id="365" w:name="_Toc1093"/>
      <w:r>
        <w:rPr>
          <w:rFonts w:hint="eastAsia" w:ascii="仿宋" w:hAnsi="仿宋" w:eastAsia="仿宋" w:cs="仿宋"/>
          <w:b/>
          <w:color w:val="auto"/>
          <w:sz w:val="28"/>
          <w:szCs w:val="28"/>
          <w:highlight w:val="none"/>
        </w:rPr>
        <w:t>（六）参加政府采购活动的书面声明</w:t>
      </w:r>
      <w:bookmarkEnd w:id="364"/>
      <w:bookmarkEnd w:id="365"/>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1、在参加本次政府采购活动前 3 年内的经营活动中____（填“没有”或“有”）重大违法记录。供应商在参加政府采购活动前 3 年内因违法经营被禁止在一定期限内参加政府采购活动，期限届满的，可以参加政府采购活动，但应提供期限届满的证明材料。 </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rPr>
          <w:rFonts w:ascii="仿宋" w:hAnsi="仿宋" w:eastAsia="仿宋" w:cs="仿宋"/>
          <w:b/>
          <w:color w:val="auto"/>
          <w:sz w:val="28"/>
          <w:szCs w:val="28"/>
          <w:highlight w:val="none"/>
          <w:lang w:val="zh-CN"/>
        </w:rPr>
      </w:pPr>
      <w:bookmarkStart w:id="366" w:name="_Toc19939"/>
      <w:r>
        <w:rPr>
          <w:rFonts w:hint="eastAsia" w:ascii="仿宋" w:hAnsi="仿宋" w:eastAsia="仿宋" w:cs="仿宋"/>
          <w:b/>
          <w:color w:val="auto"/>
          <w:sz w:val="28"/>
          <w:szCs w:val="28"/>
          <w:highlight w:val="none"/>
          <w:lang w:val="zh-CN"/>
        </w:rPr>
        <w:t>（七）特定资格要求</w:t>
      </w:r>
      <w:bookmarkEnd w:id="366"/>
    </w:p>
    <w:p>
      <w:pPr>
        <w:shd w:val="clear"/>
        <w:adjustRightInd w:val="0"/>
        <w:snapToGrid w:val="0"/>
        <w:spacing w:line="360" w:lineRule="auto"/>
        <w:jc w:val="center"/>
        <w:rPr>
          <w:rFonts w:ascii="仿宋" w:hAnsi="仿宋" w:eastAsia="仿宋" w:cs="仿宋"/>
          <w:b/>
          <w:color w:val="auto"/>
          <w:sz w:val="24"/>
          <w:szCs w:val="24"/>
          <w:highlight w:val="none"/>
        </w:rPr>
      </w:pPr>
      <w:bookmarkStart w:id="367" w:name="_Toc1610"/>
      <w:bookmarkStart w:id="368" w:name="_Toc495681252"/>
      <w:bookmarkStart w:id="369" w:name="_Toc495681533"/>
      <w:bookmarkStart w:id="370" w:name="_Toc495908048"/>
      <w:bookmarkStart w:id="371" w:name="_Toc495681406"/>
      <w:bookmarkStart w:id="372" w:name="_Toc495671263"/>
      <w:r>
        <w:rPr>
          <w:rFonts w:hint="eastAsia" w:ascii="仿宋" w:hAnsi="仿宋" w:eastAsia="仿宋" w:cs="仿宋"/>
          <w:b/>
          <w:color w:val="auto"/>
          <w:sz w:val="24"/>
          <w:szCs w:val="24"/>
          <w:highlight w:val="none"/>
        </w:rPr>
        <w:t>1、法定代表人身份证明</w:t>
      </w:r>
      <w:bookmarkEnd w:id="367"/>
      <w:bookmarkEnd w:id="368"/>
      <w:bookmarkEnd w:id="369"/>
      <w:bookmarkEnd w:id="370"/>
      <w:bookmarkEnd w:id="371"/>
      <w:bookmarkEnd w:id="372"/>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rPr>
          <w:rFonts w:ascii="仿宋" w:hAnsi="仿宋" w:eastAsia="仿宋" w:cs="仿宋"/>
          <w:color w:val="auto"/>
          <w:sz w:val="24"/>
          <w:szCs w:val="24"/>
          <w:highlight w:val="none"/>
        </w:rPr>
      </w:pPr>
    </w:p>
    <w:p>
      <w:pPr>
        <w:shd w:val="clear"/>
        <w:spacing w:line="360" w:lineRule="auto"/>
        <w:ind w:firstLine="5280" w:firstLineChars="2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rPr>
          <w:rFonts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3" w:name="_Toc495681407"/>
      <w:bookmarkStart w:id="374" w:name="_Toc495908049"/>
      <w:bookmarkStart w:id="375" w:name="_Toc18921"/>
      <w:bookmarkStart w:id="376" w:name="_Toc495681253"/>
      <w:bookmarkStart w:id="377" w:name="_Toc495681534"/>
      <w:bookmarkStart w:id="378" w:name="_Toc495671264"/>
      <w:r>
        <w:rPr>
          <w:rFonts w:hint="eastAsia" w:ascii="仿宋" w:hAnsi="仿宋" w:eastAsia="仿宋" w:cs="仿宋"/>
          <w:b/>
          <w:color w:val="auto"/>
          <w:sz w:val="24"/>
          <w:szCs w:val="24"/>
          <w:highlight w:val="none"/>
        </w:rPr>
        <w:t>2、法定代表人授权书</w:t>
      </w:r>
      <w:bookmarkEnd w:id="373"/>
      <w:bookmarkEnd w:id="374"/>
      <w:bookmarkEnd w:id="375"/>
      <w:bookmarkEnd w:id="376"/>
      <w:bookmarkEnd w:id="377"/>
      <w:bookmarkEnd w:id="378"/>
    </w:p>
    <w:p>
      <w:pPr>
        <w:shd w:val="clear"/>
        <w:autoSpaceDE w:val="0"/>
        <w:autoSpaceDN w:val="0"/>
        <w:adjustRightIn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投标文件、签订合同和处理有关事宜，其法律后果由我方承担。</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rPr>
          <w:rFonts w:ascii="仿宋" w:hAnsi="仿宋" w:eastAsia="仿宋" w:cs="仿宋"/>
          <w:bCs/>
          <w:color w:val="auto"/>
          <w:sz w:val="24"/>
          <w:szCs w:val="24"/>
          <w:highlight w:val="none"/>
        </w:rPr>
      </w:pPr>
    </w:p>
    <w:p>
      <w:pPr>
        <w:shd w:val="clear"/>
        <w:spacing w:line="360" w:lineRule="auto"/>
        <w:ind w:firstLine="42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color w:val="auto"/>
          <w:sz w:val="24"/>
          <w:szCs w:val="24"/>
          <w:highlight w:val="none"/>
          <w:lang w:val="zh-CN"/>
        </w:rPr>
      </w:pP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1.后附被授权代表本单位证明：有效的劳动合同或开标前六个月任意一个月的养老保险缴纳证明。</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2.后附法定代表人和被授权委托代理人身份证复印件并加盖红色鲜章。</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rPr>
        <w:t>开标</w:t>
      </w:r>
      <w:r>
        <w:rPr>
          <w:rFonts w:hint="eastAsia" w:ascii="仿宋" w:hAnsi="仿宋" w:eastAsia="仿宋" w:cs="仿宋"/>
          <w:color w:val="auto"/>
          <w:sz w:val="24"/>
          <w:szCs w:val="24"/>
          <w:highlight w:val="none"/>
          <w:lang w:val="zh-CN"/>
        </w:rPr>
        <w:t>之日起不少于90天，仅限授权代表参加</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时提供。</w:t>
      </w:r>
    </w:p>
    <w:p>
      <w:pPr>
        <w:pStyle w:val="16"/>
        <w:shd w:val="clear"/>
        <w:rPr>
          <w:rFonts w:ascii="仿宋" w:hAnsi="仿宋" w:eastAsia="仿宋" w:cs="仿宋"/>
          <w:b/>
          <w:color w:val="auto"/>
          <w:sz w:val="24"/>
          <w:szCs w:val="24"/>
          <w:highlight w:val="none"/>
        </w:rPr>
      </w:pPr>
    </w:p>
    <w:p>
      <w:pPr>
        <w:pageBreakBefore/>
        <w:shd w:val="clear"/>
        <w:tabs>
          <w:tab w:val="left" w:pos="292"/>
          <w:tab w:val="center" w:pos="4327"/>
        </w:tabs>
        <w:adjustRightInd w:val="0"/>
        <w:snapToGrid w:val="0"/>
        <w:spacing w:line="360" w:lineRule="auto"/>
        <w:jc w:val="center"/>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rPr>
        <w:t>3、</w:t>
      </w:r>
      <w:r>
        <w:rPr>
          <w:rFonts w:hint="eastAsia" w:ascii="仿宋" w:hAnsi="仿宋" w:eastAsia="仿宋" w:cs="仿宋"/>
          <w:b/>
          <w:color w:val="auto"/>
          <w:sz w:val="24"/>
          <w:szCs w:val="24"/>
          <w:highlight w:val="none"/>
          <w:lang w:val="zh-CN"/>
        </w:rPr>
        <w:t>提供政府采购政策等证明材料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rPr>
        <w:t>如适用</w:t>
      </w:r>
      <w:r>
        <w:rPr>
          <w:rFonts w:hint="eastAsia" w:ascii="仿宋" w:hAnsi="仿宋" w:eastAsia="仿宋" w:cs="仿宋"/>
          <w:color w:val="auto"/>
          <w:sz w:val="24"/>
          <w:szCs w:val="24"/>
          <w:highlight w:val="none"/>
        </w:rPr>
        <w:t>，请提供，格式见附件1，注：本项目属于零售业）；</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shd w:val="clea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pPr>
        <w:shd w:val="clea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附件1</w:t>
      </w:r>
    </w:p>
    <w:p>
      <w:pPr>
        <w:shd w:val="clear"/>
        <w:spacing w:line="360" w:lineRule="auto"/>
        <w:jc w:val="center"/>
        <w:rPr>
          <w:rFonts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本公司（联合体）郑重声明，根据《政府采购促进中小企业发展管理办法》（财库﹝2020﹞46号）的规定，本公司（联合体）参加</w:t>
      </w:r>
      <w:r>
        <w:rPr>
          <w:rFonts w:hint="eastAsia" w:ascii="仿宋" w:hAnsi="仿宋" w:eastAsia="仿宋" w:cs="仿宋"/>
          <w:color w:val="auto"/>
          <w:w w:val="95"/>
          <w:sz w:val="24"/>
          <w:szCs w:val="24"/>
          <w:highlight w:val="none"/>
          <w:u w:val="single"/>
        </w:rPr>
        <w:t>（单位名称）</w:t>
      </w:r>
      <w:r>
        <w:rPr>
          <w:rFonts w:hint="eastAsia" w:ascii="仿宋" w:hAnsi="仿宋" w:eastAsia="仿宋" w:cs="仿宋"/>
          <w:color w:val="auto"/>
          <w:w w:val="95"/>
          <w:sz w:val="24"/>
          <w:szCs w:val="24"/>
          <w:highlight w:val="none"/>
        </w:rPr>
        <w:t>的</w:t>
      </w:r>
      <w:r>
        <w:rPr>
          <w:rFonts w:hint="eastAsia" w:ascii="仿宋" w:hAnsi="仿宋" w:eastAsia="仿宋" w:cs="仿宋"/>
          <w:color w:val="auto"/>
          <w:w w:val="95"/>
          <w:sz w:val="24"/>
          <w:szCs w:val="24"/>
          <w:highlight w:val="none"/>
          <w:u w:val="single"/>
        </w:rPr>
        <w:t>（项目名称）</w:t>
      </w:r>
      <w:r>
        <w:rPr>
          <w:rFonts w:hint="eastAsia" w:ascii="仿宋" w:hAnsi="仿宋" w:eastAsia="仿宋" w:cs="仿宋"/>
          <w:color w:val="auto"/>
          <w:w w:val="95"/>
          <w:sz w:val="24"/>
          <w:szCs w:val="24"/>
          <w:highlight w:val="none"/>
        </w:rPr>
        <w:t>采购活动，提供的货物全部由符合政策要求的中小企业制造。相关企业（含联合体中的中小企业、签订分包意向协议的中小企业）的具体情况如下：</w:t>
      </w:r>
    </w:p>
    <w:p>
      <w:pPr>
        <w:shd w:val="clear"/>
        <w:tabs>
          <w:tab w:val="left" w:pos="1384"/>
          <w:tab w:val="left" w:pos="4562"/>
          <w:tab w:val="left" w:pos="6803"/>
        </w:tabs>
        <w:kinsoku w:val="0"/>
        <w:overflowPunct w:val="0"/>
        <w:spacing w:before="13" w:line="360" w:lineRule="auto"/>
        <w:ind w:left="105" w:right="142" w:firstLine="655"/>
        <w:rPr>
          <w:rFonts w:ascii="仿宋" w:hAnsi="仿宋" w:eastAsia="仿宋" w:cs="仿宋"/>
          <w:color w:val="auto"/>
          <w:w w:val="95"/>
          <w:sz w:val="24"/>
          <w:szCs w:val="24"/>
          <w:highlight w:val="none"/>
          <w:u w:val="single"/>
        </w:rPr>
      </w:pPr>
      <w:r>
        <w:rPr>
          <w:rFonts w:hint="eastAsia" w:ascii="仿宋" w:hAnsi="仿宋" w:eastAsia="仿宋" w:cs="仿宋"/>
          <w:color w:val="auto"/>
          <w:spacing w:val="1"/>
          <w:w w:val="99"/>
          <w:sz w:val="24"/>
          <w:szCs w:val="24"/>
          <w:highlight w:val="none"/>
        </w:rPr>
        <w:t>1</w:t>
      </w:r>
      <w:r>
        <w:rPr>
          <w:rFonts w:hint="eastAsia" w:ascii="仿宋" w:hAnsi="仿宋" w:eastAsia="仿宋" w:cs="仿宋"/>
          <w:color w:val="auto"/>
          <w:spacing w:val="-41"/>
          <w:w w:val="99"/>
          <w:sz w:val="24"/>
          <w:szCs w:val="24"/>
          <w:highlight w:val="none"/>
        </w:rPr>
        <w:t>.</w:t>
      </w:r>
      <w:r>
        <w:rPr>
          <w:rFonts w:hint="eastAsia" w:ascii="仿宋" w:hAnsi="仿宋" w:eastAsia="仿宋" w:cs="仿宋"/>
          <w:color w:val="auto"/>
          <w:w w:val="95"/>
          <w:sz w:val="24"/>
          <w:szCs w:val="24"/>
          <w:highlight w:val="none"/>
          <w:u w:val="single"/>
        </w:rPr>
        <w:t xml:space="preserve"> （标的名称）</w:t>
      </w:r>
      <w:r>
        <w:rPr>
          <w:rFonts w:hint="eastAsia" w:ascii="仿宋" w:hAnsi="仿宋" w:eastAsia="仿宋" w:cs="仿宋"/>
          <w:i/>
          <w:color w:val="auto"/>
          <w:spacing w:val="-135"/>
          <w:sz w:val="24"/>
          <w:szCs w:val="24"/>
          <w:highlight w:val="none"/>
        </w:rPr>
        <w:t xml:space="preserve"> </w:t>
      </w:r>
      <w:r>
        <w:rPr>
          <w:rFonts w:hint="eastAsia" w:ascii="仿宋" w:hAnsi="仿宋" w:eastAsia="仿宋" w:cs="仿宋"/>
          <w:color w:val="auto"/>
          <w:spacing w:val="-43"/>
          <w:w w:val="99"/>
          <w:sz w:val="24"/>
          <w:szCs w:val="24"/>
          <w:highlight w:val="none"/>
        </w:rPr>
        <w:t>，</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55"/>
          <w:w w:val="99"/>
          <w:sz w:val="24"/>
          <w:szCs w:val="24"/>
          <w:highlight w:val="none"/>
        </w:rPr>
        <w:t>于</w:t>
      </w:r>
      <w:r>
        <w:rPr>
          <w:rFonts w:hint="eastAsia" w:ascii="仿宋" w:hAnsi="仿宋" w:eastAsia="仿宋" w:cs="仿宋"/>
          <w:color w:val="auto"/>
          <w:w w:val="95"/>
          <w:sz w:val="24"/>
          <w:szCs w:val="24"/>
          <w:highlight w:val="none"/>
          <w:u w:val="single"/>
        </w:rPr>
        <w:t>（采购文件中明确的所属行业）行业</w:t>
      </w:r>
      <w:r>
        <w:rPr>
          <w:rFonts w:hint="eastAsia" w:ascii="仿宋" w:hAnsi="仿宋" w:eastAsia="仿宋" w:cs="仿宋"/>
          <w:color w:val="auto"/>
          <w:spacing w:val="7"/>
          <w:w w:val="99"/>
          <w:sz w:val="24"/>
          <w:szCs w:val="24"/>
          <w:highlight w:val="none"/>
        </w:rPr>
        <w:t>；</w:t>
      </w:r>
      <w:r>
        <w:rPr>
          <w:rFonts w:hint="eastAsia" w:ascii="仿宋" w:hAnsi="仿宋" w:eastAsia="仿宋" w:cs="仿宋"/>
          <w:color w:val="auto"/>
          <w:spacing w:val="5"/>
          <w:w w:val="99"/>
          <w:sz w:val="24"/>
          <w:szCs w:val="24"/>
          <w:highlight w:val="none"/>
        </w:rPr>
        <w:t>制</w:t>
      </w:r>
      <w:r>
        <w:rPr>
          <w:rFonts w:hint="eastAsia" w:ascii="仿宋" w:hAnsi="仿宋" w:eastAsia="仿宋" w:cs="仿宋"/>
          <w:color w:val="auto"/>
          <w:spacing w:val="7"/>
          <w:w w:val="99"/>
          <w:sz w:val="24"/>
          <w:szCs w:val="24"/>
          <w:highlight w:val="none"/>
        </w:rPr>
        <w:t>造</w:t>
      </w:r>
      <w:r>
        <w:rPr>
          <w:rFonts w:hint="eastAsia" w:ascii="仿宋" w:hAnsi="仿宋" w:eastAsia="仿宋" w:cs="仿宋"/>
          <w:color w:val="auto"/>
          <w:spacing w:val="5"/>
          <w:w w:val="99"/>
          <w:sz w:val="24"/>
          <w:szCs w:val="24"/>
          <w:highlight w:val="none"/>
        </w:rPr>
        <w:t>商</w:t>
      </w:r>
      <w:r>
        <w:rPr>
          <w:rFonts w:hint="eastAsia" w:ascii="仿宋" w:hAnsi="仿宋" w:eastAsia="仿宋" w:cs="仿宋"/>
          <w:color w:val="auto"/>
          <w:spacing w:val="-10"/>
          <w:w w:val="99"/>
          <w:sz w:val="24"/>
          <w:szCs w:val="24"/>
          <w:highlight w:val="none"/>
        </w:rPr>
        <w:t>为</w:t>
      </w:r>
      <w:r>
        <w:rPr>
          <w:rFonts w:hint="eastAsia" w:ascii="仿宋" w:hAnsi="仿宋" w:eastAsia="仿宋" w:cs="仿宋"/>
          <w:color w:val="auto"/>
          <w:w w:val="95"/>
          <w:sz w:val="24"/>
          <w:szCs w:val="24"/>
          <w:highlight w:val="none"/>
          <w:u w:val="single"/>
        </w:rPr>
        <w:t>（企业名称），</w:t>
      </w:r>
      <w:r>
        <w:rPr>
          <w:rFonts w:hint="eastAsia" w:ascii="仿宋" w:hAnsi="仿宋" w:eastAsia="仿宋" w:cs="仿宋"/>
          <w:color w:val="auto"/>
          <w:spacing w:val="5"/>
          <w:w w:val="99"/>
          <w:sz w:val="24"/>
          <w:szCs w:val="24"/>
          <w:highlight w:val="none"/>
        </w:rPr>
        <w:t>从</w:t>
      </w:r>
      <w:r>
        <w:rPr>
          <w:rFonts w:hint="eastAsia" w:ascii="仿宋" w:hAnsi="仿宋" w:eastAsia="仿宋" w:cs="仿宋"/>
          <w:color w:val="auto"/>
          <w:spacing w:val="7"/>
          <w:w w:val="99"/>
          <w:sz w:val="24"/>
          <w:szCs w:val="24"/>
          <w:highlight w:val="none"/>
        </w:rPr>
        <w:t>业</w:t>
      </w:r>
      <w:r>
        <w:rPr>
          <w:rFonts w:hint="eastAsia" w:ascii="仿宋" w:hAnsi="仿宋" w:eastAsia="仿宋" w:cs="仿宋"/>
          <w:color w:val="auto"/>
          <w:spacing w:val="5"/>
          <w:w w:val="99"/>
          <w:sz w:val="24"/>
          <w:szCs w:val="24"/>
          <w:highlight w:val="none"/>
        </w:rPr>
        <w:t>人</w:t>
      </w:r>
      <w:r>
        <w:rPr>
          <w:rFonts w:hint="eastAsia" w:ascii="仿宋" w:hAnsi="仿宋" w:eastAsia="仿宋" w:cs="仿宋"/>
          <w:color w:val="auto"/>
          <w:spacing w:val="4"/>
          <w:w w:val="99"/>
          <w:sz w:val="24"/>
          <w:szCs w:val="24"/>
          <w:highlight w:val="none"/>
        </w:rPr>
        <w:t>员</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pacing w:val="7"/>
          <w:w w:val="99"/>
          <w:sz w:val="24"/>
          <w:szCs w:val="24"/>
          <w:highlight w:val="none"/>
        </w:rPr>
        <w:t>人</w:t>
      </w:r>
      <w:r>
        <w:rPr>
          <w:rFonts w:hint="eastAsia" w:ascii="仿宋" w:hAnsi="仿宋" w:eastAsia="仿宋" w:cs="仿宋"/>
          <w:color w:val="auto"/>
          <w:spacing w:val="5"/>
          <w:w w:val="99"/>
          <w:sz w:val="24"/>
          <w:szCs w:val="24"/>
          <w:highlight w:val="none"/>
        </w:rPr>
        <w:t>，</w:t>
      </w:r>
      <w:r>
        <w:rPr>
          <w:rFonts w:hint="eastAsia" w:ascii="仿宋" w:hAnsi="仿宋" w:eastAsia="仿宋" w:cs="仿宋"/>
          <w:color w:val="auto"/>
          <w:spacing w:val="7"/>
          <w:w w:val="99"/>
          <w:sz w:val="24"/>
          <w:szCs w:val="24"/>
          <w:highlight w:val="none"/>
        </w:rPr>
        <w:t>营</w:t>
      </w:r>
      <w:r>
        <w:rPr>
          <w:rFonts w:hint="eastAsia" w:ascii="仿宋" w:hAnsi="仿宋" w:eastAsia="仿宋" w:cs="仿宋"/>
          <w:color w:val="auto"/>
          <w:spacing w:val="5"/>
          <w:w w:val="99"/>
          <w:sz w:val="24"/>
          <w:szCs w:val="24"/>
          <w:highlight w:val="none"/>
        </w:rPr>
        <w:t>业</w:t>
      </w:r>
      <w:r>
        <w:rPr>
          <w:rFonts w:hint="eastAsia" w:ascii="仿宋" w:hAnsi="仿宋" w:eastAsia="仿宋" w:cs="仿宋"/>
          <w:color w:val="auto"/>
          <w:w w:val="99"/>
          <w:sz w:val="24"/>
          <w:szCs w:val="24"/>
          <w:highlight w:val="none"/>
        </w:rPr>
        <w:t>收 入</w:t>
      </w:r>
      <w:r>
        <w:rPr>
          <w:rFonts w:hint="eastAsia" w:ascii="仿宋" w:hAnsi="仿宋" w:eastAsia="仿宋" w:cs="仿宋"/>
          <w:color w:val="auto"/>
          <w:spacing w:val="1"/>
          <w:w w:val="99"/>
          <w:sz w:val="24"/>
          <w:szCs w:val="24"/>
          <w:highlight w:val="none"/>
        </w:rPr>
        <w:t>为</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9"/>
          <w:sz w:val="24"/>
          <w:szCs w:val="24"/>
          <w:highlight w:val="none"/>
        </w:rPr>
        <w:t>万</w:t>
      </w:r>
      <w:r>
        <w:rPr>
          <w:rFonts w:hint="eastAsia" w:ascii="仿宋" w:hAnsi="仿宋" w:eastAsia="仿宋" w:cs="仿宋"/>
          <w:color w:val="auto"/>
          <w:spacing w:val="2"/>
          <w:w w:val="99"/>
          <w:sz w:val="24"/>
          <w:szCs w:val="24"/>
          <w:highlight w:val="none"/>
        </w:rPr>
        <w:t>元</w:t>
      </w:r>
      <w:r>
        <w:rPr>
          <w:rFonts w:hint="eastAsia" w:ascii="仿宋" w:hAnsi="仿宋" w:eastAsia="仿宋" w:cs="仿宋"/>
          <w:color w:val="auto"/>
          <w:spacing w:val="-22"/>
          <w:w w:val="99"/>
          <w:sz w:val="24"/>
          <w:szCs w:val="24"/>
          <w:highlight w:val="none"/>
        </w:rPr>
        <w:t>，</w:t>
      </w:r>
      <w:r>
        <w:rPr>
          <w:rFonts w:hint="eastAsia" w:ascii="仿宋" w:hAnsi="仿宋" w:eastAsia="仿宋" w:cs="仿宋"/>
          <w:color w:val="auto"/>
          <w:w w:val="99"/>
          <w:sz w:val="24"/>
          <w:szCs w:val="24"/>
          <w:highlight w:val="none"/>
        </w:rPr>
        <w:t>资</w:t>
      </w:r>
      <w:r>
        <w:rPr>
          <w:rFonts w:hint="eastAsia" w:ascii="仿宋" w:hAnsi="仿宋" w:eastAsia="仿宋" w:cs="仿宋"/>
          <w:color w:val="auto"/>
          <w:spacing w:val="2"/>
          <w:w w:val="99"/>
          <w:sz w:val="24"/>
          <w:szCs w:val="24"/>
          <w:highlight w:val="none"/>
        </w:rPr>
        <w:t>产</w:t>
      </w:r>
      <w:r>
        <w:rPr>
          <w:rFonts w:hint="eastAsia" w:ascii="仿宋" w:hAnsi="仿宋" w:eastAsia="仿宋" w:cs="仿宋"/>
          <w:color w:val="auto"/>
          <w:w w:val="99"/>
          <w:sz w:val="24"/>
          <w:szCs w:val="24"/>
          <w:highlight w:val="none"/>
        </w:rPr>
        <w:t>总额为</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9"/>
          <w:sz w:val="24"/>
          <w:szCs w:val="24"/>
          <w:highlight w:val="none"/>
        </w:rPr>
        <w:t>万</w:t>
      </w:r>
      <w:r>
        <w:rPr>
          <w:rFonts w:hint="eastAsia" w:ascii="仿宋" w:hAnsi="仿宋" w:eastAsia="仿宋" w:cs="仿宋"/>
          <w:color w:val="auto"/>
          <w:spacing w:val="2"/>
          <w:w w:val="99"/>
          <w:sz w:val="24"/>
          <w:szCs w:val="24"/>
          <w:highlight w:val="none"/>
        </w:rPr>
        <w:t>元</w:t>
      </w:r>
      <w:r>
        <w:rPr>
          <w:rFonts w:hint="eastAsia" w:ascii="仿宋" w:hAnsi="仿宋" w:eastAsia="仿宋" w:cs="仿宋"/>
          <w:color w:val="auto"/>
          <w:spacing w:val="-22"/>
          <w:w w:val="99"/>
          <w:sz w:val="24"/>
          <w:szCs w:val="24"/>
          <w:highlight w:val="none"/>
        </w:rPr>
        <w:t>，</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36"/>
          <w:w w:val="99"/>
          <w:sz w:val="24"/>
          <w:szCs w:val="24"/>
          <w:highlight w:val="none"/>
        </w:rPr>
        <w:t>于</w:t>
      </w:r>
      <w:r>
        <w:rPr>
          <w:rFonts w:hint="eastAsia" w:ascii="仿宋" w:hAnsi="仿宋" w:eastAsia="仿宋" w:cs="仿宋"/>
          <w:color w:val="auto"/>
          <w:w w:val="95"/>
          <w:sz w:val="24"/>
          <w:szCs w:val="24"/>
          <w:highlight w:val="none"/>
          <w:u w:val="single"/>
        </w:rPr>
        <w:t>（中型企业、小 型企业、微型企业）；</w:t>
      </w:r>
    </w:p>
    <w:p>
      <w:pPr>
        <w:shd w:val="clear"/>
        <w:tabs>
          <w:tab w:val="left" w:pos="1065"/>
          <w:tab w:val="left" w:pos="4262"/>
          <w:tab w:val="left" w:pos="6477"/>
        </w:tabs>
        <w:kinsoku w:val="0"/>
        <w:overflowPunct w:val="0"/>
        <w:spacing w:before="20" w:line="360" w:lineRule="auto"/>
        <w:ind w:left="105" w:right="142" w:firstLine="655"/>
        <w:rPr>
          <w:rFonts w:ascii="仿宋" w:hAnsi="仿宋" w:eastAsia="仿宋" w:cs="仿宋"/>
          <w:color w:val="auto"/>
          <w:w w:val="95"/>
          <w:sz w:val="24"/>
          <w:szCs w:val="24"/>
          <w:highlight w:val="none"/>
          <w:u w:val="single"/>
        </w:rPr>
      </w:pPr>
      <w:r>
        <w:rPr>
          <w:rFonts w:hint="eastAsia" w:ascii="仿宋" w:hAnsi="仿宋" w:eastAsia="仿宋" w:cs="仿宋"/>
          <w:color w:val="auto"/>
          <w:spacing w:val="-21"/>
          <w:sz w:val="24"/>
          <w:szCs w:val="24"/>
          <w:highlight w:val="none"/>
        </w:rPr>
        <w:t>2.</w:t>
      </w:r>
      <w:r>
        <w:rPr>
          <w:rFonts w:hint="eastAsia" w:ascii="仿宋" w:hAnsi="仿宋" w:eastAsia="仿宋" w:cs="仿宋"/>
          <w:color w:val="auto"/>
          <w:w w:val="95"/>
          <w:sz w:val="24"/>
          <w:szCs w:val="24"/>
          <w:highlight w:val="none"/>
          <w:u w:val="single"/>
        </w:rPr>
        <w:t xml:space="preserve"> （标的名称），</w:t>
      </w:r>
      <w:r>
        <w:rPr>
          <w:rFonts w:hint="eastAsia" w:ascii="仿宋" w:hAnsi="仿宋" w:eastAsia="仿宋" w:cs="仿宋"/>
          <w:color w:val="auto"/>
          <w:spacing w:val="-87"/>
          <w:sz w:val="24"/>
          <w:szCs w:val="24"/>
          <w:highlight w:val="none"/>
        </w:rPr>
        <w:t xml:space="preserve">     </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55"/>
          <w:w w:val="99"/>
          <w:sz w:val="24"/>
          <w:szCs w:val="24"/>
          <w:highlight w:val="none"/>
        </w:rPr>
        <w:t xml:space="preserve">于     </w:t>
      </w:r>
      <w:r>
        <w:rPr>
          <w:rFonts w:hint="eastAsia" w:ascii="仿宋" w:hAnsi="仿宋" w:eastAsia="仿宋" w:cs="仿宋"/>
          <w:color w:val="auto"/>
          <w:w w:val="95"/>
          <w:sz w:val="24"/>
          <w:szCs w:val="24"/>
          <w:highlight w:val="none"/>
          <w:u w:val="single"/>
        </w:rPr>
        <w:t>（采购文件中明确的所属行业）行业</w:t>
      </w:r>
      <w:r>
        <w:rPr>
          <w:rFonts w:hint="eastAsia" w:ascii="仿宋" w:hAnsi="仿宋" w:eastAsia="仿宋" w:cs="仿宋"/>
          <w:color w:val="auto"/>
          <w:spacing w:val="-50"/>
          <w:w w:val="95"/>
          <w:sz w:val="24"/>
          <w:szCs w:val="24"/>
          <w:highlight w:val="none"/>
        </w:rPr>
        <w:t>；</w:t>
      </w:r>
      <w:r>
        <w:rPr>
          <w:rFonts w:hint="eastAsia" w:ascii="仿宋" w:hAnsi="仿宋" w:eastAsia="仿宋" w:cs="仿宋"/>
          <w:color w:val="auto"/>
          <w:spacing w:val="5"/>
          <w:w w:val="99"/>
          <w:sz w:val="24"/>
          <w:szCs w:val="24"/>
          <w:highlight w:val="none"/>
        </w:rPr>
        <w:t>制造商为</w:t>
      </w:r>
      <w:r>
        <w:rPr>
          <w:rFonts w:hint="eastAsia" w:ascii="仿宋" w:hAnsi="仿宋" w:eastAsia="仿宋" w:cs="仿宋"/>
          <w:color w:val="auto"/>
          <w:w w:val="95"/>
          <w:sz w:val="24"/>
          <w:szCs w:val="24"/>
          <w:highlight w:val="none"/>
          <w:u w:val="single"/>
        </w:rPr>
        <w:t>（企业名称）</w:t>
      </w:r>
      <w:r>
        <w:rPr>
          <w:rFonts w:hint="eastAsia" w:ascii="仿宋" w:hAnsi="仿宋" w:eastAsia="仿宋" w:cs="仿宋"/>
          <w:color w:val="auto"/>
          <w:spacing w:val="-50"/>
          <w:w w:val="95"/>
          <w:sz w:val="24"/>
          <w:szCs w:val="24"/>
          <w:highlight w:val="none"/>
        </w:rPr>
        <w:t>，从业人员</w:t>
      </w:r>
      <w:r>
        <w:rPr>
          <w:rFonts w:hint="eastAsia" w:ascii="仿宋" w:hAnsi="仿宋" w:eastAsia="仿宋" w:cs="仿宋"/>
          <w:color w:val="auto"/>
          <w:spacing w:val="-50"/>
          <w:w w:val="95"/>
          <w:sz w:val="24"/>
          <w:szCs w:val="24"/>
          <w:highlight w:val="none"/>
          <w:u w:val="single"/>
        </w:rPr>
        <w:tab/>
      </w:r>
      <w:r>
        <w:rPr>
          <w:rFonts w:hint="eastAsia" w:ascii="仿宋" w:hAnsi="仿宋" w:eastAsia="仿宋" w:cs="仿宋"/>
          <w:color w:val="auto"/>
          <w:spacing w:val="5"/>
          <w:sz w:val="24"/>
          <w:szCs w:val="24"/>
          <w:highlight w:val="none"/>
        </w:rPr>
        <w:t>人，营业收入</w:t>
      </w:r>
      <w:r>
        <w:rPr>
          <w:rFonts w:hint="eastAsia" w:ascii="仿宋" w:hAnsi="仿宋" w:eastAsia="仿宋" w:cs="仿宋"/>
          <w:color w:val="auto"/>
          <w:w w:val="99"/>
          <w:sz w:val="24"/>
          <w:szCs w:val="24"/>
          <w:highlight w:val="none"/>
        </w:rPr>
        <w:t xml:space="preserve"> </w:t>
      </w:r>
      <w:r>
        <w:rPr>
          <w:rFonts w:hint="eastAsia" w:ascii="仿宋" w:hAnsi="仿宋" w:eastAsia="仿宋" w:cs="仿宋"/>
          <w:color w:val="auto"/>
          <w:w w:val="95"/>
          <w:sz w:val="24"/>
          <w:szCs w:val="24"/>
          <w:highlight w:val="none"/>
        </w:rPr>
        <w:t>为</w:t>
      </w:r>
      <w:r>
        <w:rPr>
          <w:rFonts w:hint="eastAsia" w:ascii="仿宋" w:hAnsi="仿宋" w:eastAsia="仿宋" w:cs="仿宋"/>
          <w:color w:val="auto"/>
          <w:w w:val="95"/>
          <w:sz w:val="24"/>
          <w:szCs w:val="24"/>
          <w:highlight w:val="none"/>
          <w:u w:val="single"/>
        </w:rPr>
        <w:tab/>
      </w:r>
      <w:r>
        <w:rPr>
          <w:rFonts w:hint="eastAsia" w:ascii="仿宋" w:hAnsi="仿宋" w:eastAsia="仿宋" w:cs="仿宋"/>
          <w:color w:val="auto"/>
          <w:w w:val="95"/>
          <w:sz w:val="24"/>
          <w:szCs w:val="24"/>
          <w:highlight w:val="none"/>
        </w:rPr>
        <w:t>万元，资产总额为</w:t>
      </w:r>
      <w:r>
        <w:rPr>
          <w:rFonts w:hint="eastAsia" w:ascii="仿宋" w:hAnsi="仿宋" w:eastAsia="仿宋" w:cs="仿宋"/>
          <w:color w:val="auto"/>
          <w:w w:val="95"/>
          <w:sz w:val="24"/>
          <w:szCs w:val="24"/>
          <w:highlight w:val="none"/>
          <w:u w:val="single"/>
        </w:rPr>
        <w:tab/>
      </w:r>
      <w:r>
        <w:rPr>
          <w:rFonts w:hint="eastAsia" w:ascii="仿宋" w:hAnsi="仿宋" w:eastAsia="仿宋" w:cs="仿宋"/>
          <w:color w:val="auto"/>
          <w:spacing w:val="5"/>
          <w:w w:val="99"/>
          <w:sz w:val="24"/>
          <w:szCs w:val="24"/>
          <w:highlight w:val="none"/>
        </w:rPr>
        <w:t>万元</w:t>
      </w:r>
      <w:r>
        <w:rPr>
          <w:rFonts w:hint="eastAsia" w:ascii="仿宋" w:hAnsi="仿宋" w:eastAsia="仿宋" w:cs="仿宋"/>
          <w:color w:val="auto"/>
          <w:spacing w:val="-59"/>
          <w:sz w:val="24"/>
          <w:szCs w:val="24"/>
          <w:highlight w:val="none"/>
        </w:rPr>
        <w:t>，</w:t>
      </w:r>
      <w:r>
        <w:rPr>
          <w:rFonts w:hint="eastAsia" w:ascii="仿宋" w:hAnsi="仿宋" w:eastAsia="仿宋" w:cs="仿宋"/>
          <w:color w:val="auto"/>
          <w:w w:val="95"/>
          <w:sz w:val="24"/>
          <w:szCs w:val="24"/>
          <w:highlight w:val="none"/>
        </w:rPr>
        <w:t>属于</w:t>
      </w:r>
      <w:r>
        <w:rPr>
          <w:rFonts w:hint="eastAsia" w:ascii="仿宋" w:hAnsi="仿宋" w:eastAsia="仿宋" w:cs="仿宋"/>
          <w:color w:val="auto"/>
          <w:w w:val="95"/>
          <w:sz w:val="24"/>
          <w:szCs w:val="24"/>
          <w:highlight w:val="none"/>
          <w:u w:val="single"/>
        </w:rPr>
        <w:t>（中型企业、小型 企业、微型企业）；</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 xml:space="preserve">…… </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以上企业，不属于大企业的分支机构，不存在控股股东为大企业的情形，也不存在与大企业的负责人为同一人的情形。</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本企业对上述声明内容的真实性负责。如有虚假，将依法承担相应责任。</w:t>
      </w:r>
    </w:p>
    <w:p>
      <w:pPr>
        <w:shd w:val="clear"/>
        <w:spacing w:line="360" w:lineRule="auto"/>
        <w:ind w:firstLine="3024" w:firstLineChars="1200"/>
        <w:rPr>
          <w:rFonts w:ascii="仿宋" w:hAnsi="仿宋" w:eastAsia="仿宋" w:cs="仿宋"/>
          <w:color w:val="auto"/>
          <w:spacing w:val="6"/>
          <w:sz w:val="24"/>
          <w:szCs w:val="24"/>
          <w:highlight w:val="none"/>
        </w:rPr>
      </w:pPr>
    </w:p>
    <w:p>
      <w:pPr>
        <w:shd w:val="clear"/>
        <w:spacing w:line="360" w:lineRule="auto"/>
        <w:ind w:firstLine="3024" w:firstLineChars="1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 xml:space="preserve"> </w:t>
      </w:r>
    </w:p>
    <w:p>
      <w:pPr>
        <w:shd w:val="clear"/>
        <w:spacing w:line="360" w:lineRule="auto"/>
        <w:ind w:firstLine="3024" w:firstLineChars="1200"/>
        <w:rPr>
          <w:rFonts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日    期：</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1、从业人员、营业收入、资产总额填报上一年度数据，无上一年度数据的新成立企业可不填报。</w:t>
      </w:r>
    </w:p>
    <w:p>
      <w:pPr>
        <w:pageBreakBefore/>
        <w:shd w:val="clear"/>
        <w:spacing w:line="360" w:lineRule="auto"/>
        <w:ind w:firstLine="482" w:firstLineChars="200"/>
        <w:rPr>
          <w:rFonts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shd w:val="clear"/>
        <w:spacing w:line="360" w:lineRule="auto"/>
        <w:jc w:val="center"/>
        <w:rPr>
          <w:rFonts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shd w:val="clear"/>
        <w:spacing w:line="360" w:lineRule="auto"/>
        <w:ind w:firstLine="504" w:firstLineChars="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hd w:val="clear"/>
        <w:spacing w:line="360" w:lineRule="auto"/>
        <w:ind w:firstLine="504" w:firstLineChars="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shd w:val="clear"/>
        <w:spacing w:line="360" w:lineRule="auto"/>
        <w:ind w:firstLine="504" w:firstLineChars="200"/>
        <w:rPr>
          <w:rFonts w:ascii="仿宋" w:hAnsi="仿宋" w:eastAsia="仿宋" w:cs="仿宋"/>
          <w:color w:val="auto"/>
          <w:spacing w:val="6"/>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napToGrid w:val="0"/>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rPr>
          <w:rFonts w:ascii="仿宋" w:hAnsi="仿宋" w:eastAsia="仿宋" w:cs="仿宋"/>
          <w:color w:val="auto"/>
          <w:sz w:val="24"/>
          <w:szCs w:val="24"/>
          <w:highlight w:val="none"/>
        </w:rPr>
      </w:pPr>
    </w:p>
    <w:p>
      <w:pPr>
        <w:shd w:val="clear"/>
        <w:adjustRightInd w:val="0"/>
        <w:snapToGrid w:val="0"/>
        <w:spacing w:line="360" w:lineRule="auto"/>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ascii="仿宋" w:hAnsi="仿宋" w:eastAsia="仿宋" w:cs="仿宋"/>
          <w:color w:val="auto"/>
          <w:szCs w:val="44"/>
          <w:highlight w:val="none"/>
          <w:lang w:val="zh-CN"/>
        </w:rPr>
      </w:pPr>
      <w:bookmarkStart w:id="379" w:name="_Toc24985"/>
      <w:r>
        <w:rPr>
          <w:rFonts w:hint="eastAsia" w:ascii="仿宋" w:hAnsi="仿宋" w:eastAsia="仿宋" w:cs="仿宋"/>
          <w:color w:val="auto"/>
          <w:sz w:val="32"/>
          <w:szCs w:val="32"/>
          <w:highlight w:val="none"/>
          <w:lang w:val="zh-CN"/>
        </w:rPr>
        <w:t>五、合同主要条款偏离表</w:t>
      </w:r>
      <w:bookmarkEnd w:id="346"/>
      <w:bookmarkEnd w:id="347"/>
      <w:bookmarkEnd w:id="348"/>
      <w:bookmarkEnd w:id="349"/>
      <w:bookmarkEnd w:id="351"/>
      <w:bookmarkEnd w:id="352"/>
      <w:bookmarkEnd w:id="353"/>
      <w:bookmarkEnd w:id="354"/>
      <w:bookmarkEnd w:id="355"/>
      <w:bookmarkEnd w:id="356"/>
      <w:bookmarkEnd w:id="357"/>
      <w:bookmarkEnd w:id="379"/>
    </w:p>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bl>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2"/>
        </w:num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2"/>
        </w:num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供应商必须据实填写，不得虚假响应，否则将取消其投标或中标资格，并按有关规定进处罚。</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0" w:name="_Toc475451556"/>
      <w:bookmarkStart w:id="381" w:name="_Toc475451803"/>
      <w:bookmarkStart w:id="382" w:name="_Toc473056006"/>
    </w:p>
    <w:p>
      <w:pPr>
        <w:pStyle w:val="9"/>
        <w:keepNext w:val="0"/>
        <w:pageBreakBefore/>
        <w:shd w:val="clear"/>
        <w:adjustRightInd w:val="0"/>
        <w:spacing w:line="416" w:lineRule="atLeast"/>
        <w:textAlignment w:val="baseline"/>
        <w:rPr>
          <w:rFonts w:ascii="仿宋" w:hAnsi="仿宋" w:eastAsia="仿宋" w:cs="仿宋"/>
          <w:color w:val="auto"/>
          <w:sz w:val="24"/>
          <w:szCs w:val="24"/>
          <w:highlight w:val="none"/>
          <w:lang w:val="zh-CN"/>
        </w:rPr>
        <w:sectPr>
          <w:footerReference r:id="rId9" w:type="default"/>
          <w:headerReference r:id="rId8" w:type="even"/>
          <w:pgSz w:w="11906" w:h="16838"/>
          <w:pgMar w:top="1417" w:right="1701" w:bottom="1417" w:left="1701" w:header="851" w:footer="992" w:gutter="0"/>
          <w:cols w:space="720" w:num="1"/>
          <w:docGrid w:linePitch="312" w:charSpace="0"/>
        </w:sectPr>
      </w:pPr>
      <w:bookmarkStart w:id="383" w:name="_Toc11930"/>
    </w:p>
    <w:p>
      <w:pPr>
        <w:pageBreakBefore/>
        <w:shd w:val="clear"/>
        <w:adjustRightInd w:val="0"/>
        <w:snapToGrid w:val="0"/>
        <w:spacing w:line="360" w:lineRule="auto"/>
        <w:jc w:val="center"/>
        <w:outlineLvl w:val="1"/>
        <w:rPr>
          <w:rStyle w:val="34"/>
          <w:rFonts w:ascii="仿宋" w:hAnsi="仿宋" w:eastAsia="仿宋" w:cs="仿宋"/>
          <w:color w:val="auto"/>
          <w:sz w:val="32"/>
          <w:szCs w:val="21"/>
          <w:highlight w:val="none"/>
        </w:rPr>
      </w:pPr>
      <w:bookmarkStart w:id="384" w:name="_Toc24781"/>
      <w:bookmarkStart w:id="385" w:name="_Toc18259"/>
      <w:bookmarkStart w:id="386" w:name="_Toc11729"/>
      <w:bookmarkStart w:id="387" w:name="_Toc759"/>
      <w:bookmarkStart w:id="388" w:name="_Toc20878"/>
      <w:bookmarkStart w:id="389" w:name="_Toc31736"/>
      <w:bookmarkStart w:id="390" w:name="_Toc25362"/>
      <w:bookmarkStart w:id="391" w:name="_Toc17397"/>
      <w:bookmarkStart w:id="392" w:name="_Toc2298"/>
      <w:bookmarkStart w:id="393" w:name="_Toc18203"/>
      <w:bookmarkStart w:id="394" w:name="_Toc26846"/>
      <w:bookmarkStart w:id="395" w:name="_Toc1307"/>
      <w:bookmarkStart w:id="396" w:name="_Toc32190"/>
      <w:bookmarkStart w:id="397" w:name="_Toc15517"/>
      <w:bookmarkStart w:id="398" w:name="_Toc15409"/>
      <w:bookmarkStart w:id="399" w:name="_Toc16548"/>
      <w:bookmarkStart w:id="400" w:name="_Toc12016"/>
      <w:bookmarkStart w:id="401" w:name="_Toc21290"/>
      <w:bookmarkStart w:id="402" w:name="_Toc3524"/>
      <w:bookmarkStart w:id="403" w:name="_Toc8757"/>
      <w:bookmarkStart w:id="404" w:name="_Toc27892"/>
      <w:bookmarkStart w:id="405" w:name="_Toc2566"/>
      <w:bookmarkStart w:id="406" w:name="_Toc26424"/>
      <w:bookmarkStart w:id="407" w:name="_Toc30778"/>
      <w:r>
        <w:rPr>
          <w:rStyle w:val="34"/>
          <w:rFonts w:hint="eastAsia" w:ascii="仿宋" w:hAnsi="仿宋" w:eastAsia="仿宋" w:cs="仿宋"/>
          <w:color w:val="auto"/>
          <w:sz w:val="32"/>
          <w:szCs w:val="21"/>
          <w:highlight w:val="none"/>
        </w:rPr>
        <w:t>六、节能环保、环境标志产品明细表</w:t>
      </w:r>
      <w:bookmarkEnd w:id="384"/>
      <w:bookmarkEnd w:id="385"/>
      <w:bookmarkEnd w:id="386"/>
      <w:r>
        <w:rPr>
          <w:rStyle w:val="34"/>
          <w:rFonts w:hint="eastAsia" w:ascii="仿宋" w:hAnsi="仿宋" w:eastAsia="仿宋" w:cs="仿宋"/>
          <w:color w:val="auto"/>
          <w:sz w:val="32"/>
          <w:szCs w:val="21"/>
          <w:highlight w:val="none"/>
        </w:rPr>
        <w:t>（若有）</w:t>
      </w:r>
      <w:bookmarkEnd w:id="387"/>
    </w:p>
    <w:p>
      <w:pPr>
        <w:shd w:val="clear"/>
        <w:spacing w:line="360" w:lineRule="auto"/>
        <w:ind w:right="-197" w:rightChars="-94"/>
        <w:rPr>
          <w:rFonts w:ascii="仿宋" w:hAnsi="仿宋" w:eastAsia="仿宋" w:cs="仿宋"/>
          <w:b/>
          <w:bCs/>
          <w:color w:val="auto"/>
          <w:sz w:val="24"/>
          <w:szCs w:val="24"/>
          <w:highlight w:val="none"/>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p>
        </w:tc>
      </w:tr>
    </w:tbl>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ascii="仿宋" w:hAnsi="仿宋" w:eastAsia="仿宋" w:cs="仿宋"/>
          <w:color w:val="auto"/>
          <w:sz w:val="24"/>
          <w:szCs w:val="24"/>
          <w:highlight w:val="none"/>
          <w:lang w:val="zh-CN"/>
        </w:rPr>
        <w:sectPr>
          <w:footerReference r:id="rId11" w:type="default"/>
          <w:headerReference r:id="rId10" w:type="even"/>
          <w:pgSz w:w="11906" w:h="16838"/>
          <w:pgMar w:top="1417" w:right="1701" w:bottom="1417" w:left="1701" w:header="851" w:footer="992" w:gutter="0"/>
          <w:cols w:space="720" w:num="1"/>
          <w:docGrid w:linePitch="312" w:charSpace="0"/>
        </w:sectPr>
      </w:pPr>
    </w:p>
    <w:bookmarkEnd w:id="38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pStyle w:val="9"/>
        <w:keepNext w:val="0"/>
        <w:pageBreakBefore/>
        <w:shd w:val="clear"/>
        <w:spacing w:line="360" w:lineRule="auto"/>
        <w:rPr>
          <w:rFonts w:ascii="仿宋" w:hAnsi="仿宋" w:eastAsia="仿宋" w:cs="仿宋"/>
          <w:b w:val="0"/>
          <w:color w:val="auto"/>
          <w:kern w:val="2"/>
          <w:sz w:val="24"/>
          <w:szCs w:val="24"/>
          <w:highlight w:val="none"/>
          <w:lang w:val="zh-CN"/>
        </w:rPr>
      </w:pPr>
      <w:bookmarkStart w:id="408" w:name="_Toc11371"/>
      <w:bookmarkStart w:id="409" w:name="_Toc28411"/>
      <w:bookmarkStart w:id="410" w:name="_Toc14710"/>
      <w:bookmarkStart w:id="411" w:name="_Toc7823"/>
      <w:bookmarkStart w:id="412" w:name="_Toc13042"/>
      <w:bookmarkStart w:id="413" w:name="_Toc8297"/>
      <w:bookmarkStart w:id="414" w:name="_Toc26791"/>
      <w:bookmarkStart w:id="415" w:name="_Toc14308"/>
      <w:bookmarkStart w:id="416" w:name="_Toc4764"/>
      <w:bookmarkStart w:id="417" w:name="_Toc370"/>
      <w:bookmarkStart w:id="418" w:name="_Toc31212"/>
      <w:bookmarkStart w:id="419" w:name="_Toc22966"/>
      <w:bookmarkStart w:id="420" w:name="_Toc518"/>
      <w:bookmarkStart w:id="421" w:name="_Toc8261"/>
      <w:bookmarkStart w:id="422" w:name="_Toc4404"/>
      <w:bookmarkStart w:id="423" w:name="_Toc4501"/>
      <w:r>
        <w:rPr>
          <w:rFonts w:hint="eastAsia" w:ascii="仿宋" w:hAnsi="仿宋" w:eastAsia="仿宋" w:cs="仿宋"/>
          <w:color w:val="auto"/>
          <w:sz w:val="32"/>
          <w:szCs w:val="21"/>
          <w:highlight w:val="none"/>
        </w:rPr>
        <w:t>七</w:t>
      </w:r>
      <w:r>
        <w:rPr>
          <w:rFonts w:hint="eastAsia" w:ascii="仿宋" w:hAnsi="仿宋" w:eastAsia="仿宋" w:cs="仿宋"/>
          <w:color w:val="auto"/>
          <w:sz w:val="32"/>
          <w:szCs w:val="21"/>
          <w:highlight w:val="none"/>
          <w:lang w:val="zh-CN"/>
        </w:rPr>
        <w:t>、技术规格偏离表</w:t>
      </w:r>
      <w:bookmarkEnd w:id="408"/>
      <w:bookmarkEnd w:id="409"/>
      <w:bookmarkEnd w:id="410"/>
      <w:bookmarkEnd w:id="411"/>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vAlign w:val="center"/>
          </w:tcPr>
          <w:p>
            <w:pPr>
              <w:shd w:val="clear"/>
              <w:adjustRightInd w:val="0"/>
              <w:snapToGrid w:val="0"/>
              <w:ind w:right="23"/>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vAlign w:val="center"/>
          </w:tcPr>
          <w:p>
            <w:pPr>
              <w:shd w:val="clear"/>
              <w:adjustRightInd w:val="0"/>
              <w:snapToGrid w:val="0"/>
              <w:ind w:right="23"/>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bl>
    <w:p>
      <w:pPr>
        <w:shd w:val="clear"/>
        <w:spacing w:line="540" w:lineRule="exact"/>
        <w:ind w:right="-197" w:rightChars="-94"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1.本表只填写投标文件中与招标文件有偏离（包括负偏离和正偏离）的内容，在投标文件中须一一列出，无偏离时须提供空白表。</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2.供应商必须据实填写，不得虚假响应，否则将取消其投标或中标资格，并按有关规定进处罚。</w:t>
      </w:r>
    </w:p>
    <w:p>
      <w:pPr>
        <w:shd w:val="clear"/>
        <w:rPr>
          <w:rFonts w:ascii="仿宋" w:hAnsi="仿宋" w:eastAsia="仿宋" w:cs="仿宋"/>
          <w:color w:val="auto"/>
          <w:highlight w:val="none"/>
        </w:rPr>
      </w:pPr>
    </w:p>
    <w:p>
      <w:pPr>
        <w:shd w:val="clear"/>
        <w:spacing w:line="360" w:lineRule="auto"/>
        <w:rPr>
          <w:rFonts w:ascii="仿宋" w:hAnsi="仿宋" w:eastAsia="仿宋" w:cs="仿宋"/>
          <w:color w:val="auto"/>
          <w:sz w:val="24"/>
          <w:szCs w:val="24"/>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rPr>
          <w:rFonts w:ascii="仿宋" w:hAnsi="仿宋" w:eastAsia="仿宋" w:cs="仿宋"/>
          <w:color w:val="auto"/>
          <w:highlight w:val="none"/>
        </w:rPr>
        <w:sectPr>
          <w:pgSz w:w="11906" w:h="16838"/>
          <w:pgMar w:top="1418" w:right="1474" w:bottom="1418" w:left="1474" w:header="851" w:footer="992" w:gutter="0"/>
          <w:cols w:space="720" w:num="1"/>
          <w:docGrid w:linePitch="312" w:charSpace="0"/>
        </w:sectPr>
      </w:pPr>
      <w:r>
        <w:rPr>
          <w:rFonts w:hint="eastAsia" w:ascii="仿宋" w:hAnsi="仿宋" w:eastAsia="仿宋" w:cs="仿宋"/>
          <w:color w:val="auto"/>
          <w:sz w:val="24"/>
          <w:szCs w:val="24"/>
          <w:highlight w:val="none"/>
          <w:u w:val="single"/>
        </w:rPr>
        <w:br w:type="page"/>
      </w:r>
      <w:bookmarkEnd w:id="412"/>
      <w:bookmarkEnd w:id="413"/>
      <w:bookmarkEnd w:id="414"/>
      <w:bookmarkEnd w:id="415"/>
    </w:p>
    <w:p>
      <w:pPr>
        <w:pageBreakBefore/>
        <w:shd w:val="clear"/>
        <w:adjustRightInd w:val="0"/>
        <w:snapToGrid w:val="0"/>
        <w:spacing w:line="360" w:lineRule="auto"/>
        <w:jc w:val="center"/>
        <w:outlineLvl w:val="1"/>
        <w:rPr>
          <w:rStyle w:val="34"/>
          <w:rFonts w:ascii="仿宋" w:hAnsi="仿宋" w:eastAsia="仿宋" w:cs="仿宋"/>
          <w:color w:val="auto"/>
          <w:sz w:val="32"/>
          <w:szCs w:val="21"/>
          <w:highlight w:val="none"/>
        </w:rPr>
      </w:pPr>
      <w:bookmarkStart w:id="424" w:name="_Toc30747"/>
      <w:r>
        <w:rPr>
          <w:rStyle w:val="34"/>
          <w:rFonts w:hint="eastAsia" w:ascii="仿宋" w:hAnsi="仿宋" w:eastAsia="仿宋" w:cs="仿宋"/>
          <w:color w:val="auto"/>
          <w:sz w:val="32"/>
          <w:szCs w:val="21"/>
          <w:highlight w:val="none"/>
        </w:rPr>
        <w:t>八、</w:t>
      </w:r>
      <w:bookmarkEnd w:id="380"/>
      <w:bookmarkEnd w:id="381"/>
      <w:bookmarkEnd w:id="382"/>
      <w:bookmarkEnd w:id="416"/>
      <w:bookmarkEnd w:id="417"/>
      <w:bookmarkEnd w:id="418"/>
      <w:r>
        <w:rPr>
          <w:rStyle w:val="34"/>
          <w:rFonts w:hint="eastAsia" w:ascii="仿宋" w:hAnsi="仿宋" w:eastAsia="仿宋" w:cs="仿宋"/>
          <w:color w:val="auto"/>
          <w:sz w:val="32"/>
          <w:szCs w:val="21"/>
          <w:highlight w:val="none"/>
        </w:rPr>
        <w:t>实施方案</w:t>
      </w:r>
      <w:bookmarkEnd w:id="419"/>
      <w:bookmarkEnd w:id="420"/>
      <w:bookmarkEnd w:id="421"/>
      <w:bookmarkEnd w:id="422"/>
      <w:bookmarkEnd w:id="423"/>
      <w:bookmarkEnd w:id="424"/>
    </w:p>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p>
    <w:p>
      <w:pPr>
        <w:pageBreakBefore/>
        <w:shd w:val="clear"/>
        <w:adjustRightInd w:val="0"/>
        <w:snapToGrid w:val="0"/>
        <w:spacing w:line="360" w:lineRule="auto"/>
        <w:jc w:val="center"/>
        <w:outlineLvl w:val="1"/>
        <w:rPr>
          <w:rFonts w:ascii="仿宋" w:hAnsi="仿宋" w:eastAsia="仿宋" w:cs="仿宋"/>
          <w:b/>
          <w:color w:val="auto"/>
          <w:szCs w:val="32"/>
          <w:highlight w:val="none"/>
        </w:rPr>
      </w:pPr>
      <w:bookmarkStart w:id="425" w:name="_Toc2686"/>
      <w:bookmarkStart w:id="426" w:name="_Toc22956"/>
      <w:bookmarkStart w:id="427" w:name="_Toc23262"/>
      <w:bookmarkStart w:id="428" w:name="_Toc27566"/>
      <w:bookmarkStart w:id="429" w:name="_Toc25402"/>
      <w:bookmarkStart w:id="430" w:name="_Toc28055"/>
      <w:bookmarkStart w:id="431" w:name="_Toc24871"/>
      <w:bookmarkStart w:id="432" w:name="_Toc9259"/>
      <w:bookmarkStart w:id="433" w:name="_Toc20544"/>
      <w:r>
        <w:rPr>
          <w:rStyle w:val="34"/>
          <w:rFonts w:hint="eastAsia" w:ascii="仿宋" w:hAnsi="仿宋" w:eastAsia="仿宋" w:cs="仿宋"/>
          <w:color w:val="auto"/>
          <w:sz w:val="32"/>
          <w:szCs w:val="21"/>
          <w:highlight w:val="none"/>
        </w:rPr>
        <w:t>九、</w:t>
      </w:r>
      <w:bookmarkEnd w:id="425"/>
      <w:bookmarkEnd w:id="426"/>
      <w:bookmarkEnd w:id="427"/>
      <w:bookmarkEnd w:id="428"/>
      <w:bookmarkEnd w:id="429"/>
      <w:bookmarkEnd w:id="430"/>
      <w:bookmarkEnd w:id="431"/>
      <w:r>
        <w:rPr>
          <w:rStyle w:val="34"/>
          <w:rFonts w:hint="eastAsia" w:ascii="仿宋" w:hAnsi="仿宋" w:eastAsia="仿宋" w:cs="仿宋"/>
          <w:color w:val="auto"/>
          <w:sz w:val="32"/>
          <w:szCs w:val="21"/>
          <w:highlight w:val="none"/>
        </w:rPr>
        <w:t>售后服务</w:t>
      </w:r>
      <w:bookmarkEnd w:id="432"/>
      <w:bookmarkEnd w:id="433"/>
    </w:p>
    <w:p>
      <w:pPr>
        <w:shd w:val="clear"/>
        <w:rPr>
          <w:rFonts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4" w:name="_Toc30152"/>
      <w:bookmarkStart w:id="435" w:name="_Toc17895"/>
      <w:bookmarkStart w:id="436" w:name="_Toc15935"/>
    </w:p>
    <w:bookmarkEnd w:id="434"/>
    <w:p>
      <w:pPr>
        <w:shd w:val="clear"/>
        <w:spacing w:line="360" w:lineRule="auto"/>
        <w:rPr>
          <w:rFonts w:ascii="仿宋" w:hAnsi="仿宋" w:eastAsia="仿宋" w:cs="仿宋"/>
          <w:color w:val="auto"/>
          <w:sz w:val="24"/>
          <w:szCs w:val="24"/>
          <w:highlight w:val="none"/>
        </w:rPr>
      </w:pPr>
    </w:p>
    <w:bookmarkEnd w:id="435"/>
    <w:bookmarkEnd w:id="436"/>
    <w:p>
      <w:pPr>
        <w:shd w:val="clear"/>
        <w:rPr>
          <w:rFonts w:ascii="仿宋" w:hAnsi="仿宋" w:eastAsia="仿宋" w:cs="仿宋"/>
          <w:b/>
          <w:color w:val="auto"/>
          <w:sz w:val="32"/>
          <w:szCs w:val="32"/>
          <w:highlight w:val="none"/>
        </w:rPr>
      </w:pPr>
      <w:bookmarkStart w:id="437" w:name="_Toc8020"/>
      <w:bookmarkStart w:id="438" w:name="_Toc18031"/>
      <w:bookmarkStart w:id="439" w:name="_Toc23271"/>
      <w:bookmarkStart w:id="440" w:name="_Toc473056008"/>
      <w:bookmarkStart w:id="441" w:name="_Toc27139"/>
      <w:bookmarkStart w:id="442" w:name="_Toc475451557"/>
      <w:bookmarkStart w:id="443" w:name="_Toc19696"/>
      <w:bookmarkStart w:id="444" w:name="_Toc6638"/>
      <w:bookmarkStart w:id="445" w:name="_Toc475451804"/>
      <w:bookmarkStart w:id="446" w:name="_Toc10131"/>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ascii="仿宋" w:hAnsi="仿宋" w:eastAsia="仿宋" w:cs="仿宋"/>
          <w:b/>
          <w:color w:val="auto"/>
          <w:sz w:val="44"/>
          <w:szCs w:val="44"/>
          <w:highlight w:val="none"/>
        </w:rPr>
      </w:pPr>
      <w:bookmarkStart w:id="447" w:name="_Toc31948"/>
      <w:bookmarkStart w:id="448" w:name="_Toc8031"/>
      <w:r>
        <w:rPr>
          <w:rFonts w:hint="eastAsia" w:ascii="仿宋" w:hAnsi="仿宋" w:eastAsia="仿宋" w:cs="仿宋"/>
          <w:b/>
          <w:color w:val="auto"/>
          <w:sz w:val="32"/>
          <w:szCs w:val="32"/>
          <w:highlight w:val="none"/>
        </w:rPr>
        <w:t>十、近年业绩的有关证明材料</w:t>
      </w:r>
      <w:bookmarkEnd w:id="437"/>
      <w:bookmarkEnd w:id="438"/>
      <w:bookmarkEnd w:id="439"/>
      <w:bookmarkEnd w:id="440"/>
      <w:bookmarkEnd w:id="441"/>
      <w:bookmarkEnd w:id="442"/>
      <w:bookmarkEnd w:id="443"/>
      <w:bookmarkEnd w:id="444"/>
      <w:bookmarkEnd w:id="445"/>
      <w:bookmarkEnd w:id="446"/>
      <w:bookmarkEnd w:id="447"/>
      <w:bookmarkEnd w:id="448"/>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bl>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ascii="仿宋" w:hAnsi="仿宋" w:eastAsia="仿宋" w:cs="仿宋"/>
          <w:color w:val="auto"/>
          <w:sz w:val="24"/>
          <w:szCs w:val="24"/>
          <w:highlight w:val="none"/>
        </w:rPr>
      </w:pPr>
    </w:p>
    <w:p>
      <w:pPr>
        <w:shd w:val="clear"/>
        <w:spacing w:line="360" w:lineRule="auto"/>
        <w:ind w:right="-197" w:rightChars="-94" w:firstLine="480" w:firstLineChars="200"/>
        <w:jc w:val="left"/>
        <w:rPr>
          <w:rFonts w:ascii="仿宋" w:hAnsi="仿宋" w:eastAsia="仿宋" w:cs="仿宋"/>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49" w:name="_Toc18036"/>
      <w:bookmarkStart w:id="450" w:name="_Toc28776"/>
      <w:bookmarkStart w:id="451" w:name="_Toc3523"/>
      <w:bookmarkStart w:id="452" w:name="_Toc4012"/>
      <w:bookmarkStart w:id="453" w:name="_Toc11796"/>
      <w:bookmarkStart w:id="454" w:name="_Toc23592"/>
      <w:bookmarkStart w:id="455" w:name="_Toc17302"/>
      <w:bookmarkStart w:id="456" w:name="_Toc19495"/>
      <w:bookmarkStart w:id="457" w:name="_Toc8517"/>
      <w:bookmarkStart w:id="458" w:name="_Toc32626"/>
      <w:bookmarkStart w:id="459" w:name="_Toc24201"/>
      <w:bookmarkStart w:id="460" w:name="_Toc16096"/>
      <w:bookmarkStart w:id="461" w:name="_Toc32284"/>
      <w:bookmarkStart w:id="462" w:name="_Toc14104"/>
      <w:bookmarkStart w:id="463" w:name="_Toc16864"/>
      <w:bookmarkStart w:id="464" w:name="_Toc31387"/>
    </w:p>
    <w:bookmarkEnd w:id="449"/>
    <w:bookmarkEnd w:id="450"/>
    <w:bookmarkEnd w:id="451"/>
    <w:bookmarkEnd w:id="452"/>
    <w:bookmarkEnd w:id="453"/>
    <w:bookmarkEnd w:id="454"/>
    <w:bookmarkEnd w:id="455"/>
    <w:bookmarkEnd w:id="456"/>
    <w:p>
      <w:pPr>
        <w:pStyle w:val="9"/>
        <w:keepNext w:val="0"/>
        <w:pageBreakBefore/>
        <w:shd w:val="clear"/>
        <w:spacing w:line="360" w:lineRule="auto"/>
        <w:rPr>
          <w:rFonts w:ascii="仿宋" w:hAnsi="仿宋" w:eastAsia="仿宋" w:cs="仿宋"/>
          <w:b w:val="0"/>
          <w:bCs/>
          <w:color w:val="auto"/>
          <w:szCs w:val="44"/>
          <w:highlight w:val="none"/>
        </w:rPr>
      </w:pPr>
      <w:bookmarkStart w:id="465" w:name="_Toc1958"/>
      <w:r>
        <w:rPr>
          <w:rFonts w:hint="eastAsia" w:ascii="仿宋" w:hAnsi="仿宋" w:eastAsia="仿宋" w:cs="仿宋"/>
          <w:color w:val="auto"/>
          <w:sz w:val="36"/>
          <w:highlight w:val="none"/>
        </w:rPr>
        <w:t>十一</w:t>
      </w:r>
      <w:r>
        <w:rPr>
          <w:rFonts w:hint="eastAsia" w:ascii="仿宋" w:hAnsi="仿宋" w:eastAsia="仿宋" w:cs="仿宋"/>
          <w:color w:val="auto"/>
          <w:sz w:val="32"/>
          <w:szCs w:val="32"/>
          <w:highlight w:val="none"/>
        </w:rPr>
        <w:t>、供应商企业关系关联承诺书</w:t>
      </w:r>
      <w:bookmarkEnd w:id="457"/>
      <w:bookmarkEnd w:id="458"/>
      <w:bookmarkEnd w:id="459"/>
      <w:bookmarkEnd w:id="460"/>
      <w:bookmarkEnd w:id="461"/>
      <w:bookmarkEnd w:id="462"/>
      <w:bookmarkEnd w:id="463"/>
      <w:bookmarkEnd w:id="464"/>
      <w:bookmarkEnd w:id="465"/>
    </w:p>
    <w:p>
      <w:pPr>
        <w:shd w:val="clear"/>
        <w:spacing w:line="360" w:lineRule="auto"/>
        <w:rPr>
          <w:rFonts w:ascii="仿宋" w:hAnsi="仿宋" w:eastAsia="仿宋" w:cs="仿宋"/>
          <w:color w:val="auto"/>
          <w:spacing w:val="4"/>
          <w:sz w:val="24"/>
          <w:szCs w:val="24"/>
          <w:highlight w:val="none"/>
        </w:rPr>
      </w:pPr>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）的供应商，在此郑重声明：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1、供应商在本项目中，不存在与其它供应商负责人为同一人，有控股、管理等关联关系承诺。</w:t>
      </w:r>
    </w:p>
    <w:p>
      <w:pPr>
        <w:widowControl/>
        <w:shd w:val="clear"/>
        <w:spacing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pStyle w:val="5"/>
        <w:shd w:val="clear"/>
        <w:ind w:firstLine="240"/>
        <w:rPr>
          <w:rFonts w:ascii="仿宋" w:hAnsi="仿宋" w:eastAsia="仿宋" w:cs="仿宋"/>
          <w:color w:val="auto"/>
          <w:sz w:val="24"/>
          <w:highlight w:val="none"/>
        </w:rPr>
      </w:pPr>
    </w:p>
    <w:p>
      <w:pPr>
        <w:shd w:val="clear"/>
        <w:autoSpaceDE w:val="0"/>
        <w:autoSpaceDN w:val="0"/>
        <w:adjustRightInd w:val="0"/>
        <w:spacing w:line="360" w:lineRule="auto"/>
        <w:jc w:val="center"/>
        <w:rPr>
          <w:rFonts w:ascii="仿宋" w:hAnsi="仿宋" w:eastAsia="仿宋" w:cs="仿宋"/>
          <w:b/>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ascii="仿宋" w:hAnsi="仿宋" w:eastAsia="仿宋" w:cs="仿宋"/>
          <w:b/>
          <w:color w:val="auto"/>
          <w:kern w:val="0"/>
          <w:sz w:val="32"/>
          <w:szCs w:val="24"/>
          <w:highlight w:val="none"/>
          <w:lang w:val="zh-CN"/>
        </w:rPr>
      </w:pPr>
      <w:bookmarkStart w:id="466" w:name="_Toc2681"/>
      <w:bookmarkStart w:id="467" w:name="_Toc31226"/>
      <w:bookmarkStart w:id="468" w:name="_Toc19643"/>
      <w:bookmarkStart w:id="469" w:name="_Toc2180"/>
      <w:bookmarkStart w:id="470" w:name="_Toc26450"/>
      <w:bookmarkStart w:id="471" w:name="_Toc12844"/>
      <w:bookmarkStart w:id="472" w:name="_Toc5082"/>
      <w:bookmarkStart w:id="473" w:name="_Toc19579"/>
      <w:bookmarkStart w:id="474" w:name="_Toc26328"/>
      <w:bookmarkStart w:id="475" w:name="_Toc7489"/>
      <w:bookmarkStart w:id="476" w:name="_Toc14521"/>
      <w:bookmarkStart w:id="477" w:name="_Toc28697"/>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rPr>
        <w:t>二</w:t>
      </w:r>
      <w:r>
        <w:rPr>
          <w:rFonts w:hint="eastAsia" w:ascii="仿宋" w:hAnsi="仿宋" w:eastAsia="仿宋" w:cs="仿宋"/>
          <w:b/>
          <w:color w:val="auto"/>
          <w:kern w:val="0"/>
          <w:sz w:val="32"/>
          <w:szCs w:val="24"/>
          <w:highlight w:val="none"/>
          <w:lang w:val="zh-CN"/>
        </w:rPr>
        <w:t>、供应商廉洁自律承诺书</w:t>
      </w:r>
      <w:bookmarkEnd w:id="466"/>
      <w:bookmarkEnd w:id="467"/>
      <w:bookmarkEnd w:id="468"/>
      <w:bookmarkEnd w:id="469"/>
      <w:bookmarkEnd w:id="470"/>
      <w:bookmarkEnd w:id="471"/>
      <w:bookmarkEnd w:id="472"/>
      <w:bookmarkEnd w:id="473"/>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color w:val="auto"/>
          <w:highlight w:val="none"/>
        </w:rPr>
        <w:fldChar w:fldCharType="begin"/>
      </w:r>
      <w:r>
        <w:rPr>
          <w:color w:val="auto"/>
          <w:highlight w:val="none"/>
        </w:rPr>
        <w:instrText xml:space="preserve"> HYPERLINK "http://www.yjbys.com/" </w:instrText>
      </w:r>
      <w:r>
        <w:rPr>
          <w:color w:val="auto"/>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ascii="仿宋" w:hAnsi="仿宋" w:eastAsia="仿宋" w:cs="仿宋"/>
          <w:color w:val="auto"/>
          <w:sz w:val="24"/>
          <w:szCs w:val="24"/>
          <w:highlight w:val="none"/>
        </w:rPr>
      </w:pPr>
      <w:bookmarkStart w:id="478" w:name="_Toc7233"/>
      <w:bookmarkStart w:id="479" w:name="_Toc25981"/>
      <w:bookmarkStart w:id="480" w:name="_Toc4293"/>
      <w:bookmarkStart w:id="481" w:name="_Toc1644"/>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ascii="仿宋" w:hAnsi="仿宋" w:eastAsia="仿宋" w:cs="仿宋"/>
          <w:color w:val="auto"/>
          <w:szCs w:val="22"/>
          <w:highlight w:val="none"/>
          <w:lang w:val="zh-CN"/>
        </w:rPr>
      </w:pPr>
      <w:bookmarkStart w:id="482" w:name="_Toc19539"/>
      <w:bookmarkStart w:id="483" w:name="_Toc25138"/>
      <w:r>
        <w:rPr>
          <w:rFonts w:hint="eastAsia" w:ascii="仿宋" w:hAnsi="仿宋" w:eastAsia="仿宋" w:cs="仿宋"/>
          <w:color w:val="auto"/>
          <w:sz w:val="32"/>
          <w:szCs w:val="21"/>
          <w:highlight w:val="none"/>
        </w:rPr>
        <w:t>十三</w:t>
      </w:r>
      <w:r>
        <w:rPr>
          <w:rFonts w:hint="eastAsia" w:ascii="仿宋" w:hAnsi="仿宋" w:eastAsia="仿宋" w:cs="仿宋"/>
          <w:color w:val="auto"/>
          <w:sz w:val="32"/>
          <w:szCs w:val="24"/>
          <w:highlight w:val="none"/>
          <w:lang w:val="zh-CN"/>
        </w:rPr>
        <w:t>、供应商认为有必要补充说明的事项</w:t>
      </w:r>
      <w:bookmarkEnd w:id="474"/>
      <w:bookmarkEnd w:id="475"/>
      <w:bookmarkEnd w:id="476"/>
      <w:bookmarkEnd w:id="477"/>
      <w:bookmarkEnd w:id="478"/>
      <w:bookmarkEnd w:id="479"/>
      <w:bookmarkEnd w:id="480"/>
      <w:bookmarkEnd w:id="481"/>
      <w:bookmarkEnd w:id="482"/>
      <w:bookmarkEnd w:id="483"/>
    </w:p>
    <w:bookmarkEnd w:id="314"/>
    <w:bookmarkEnd w:id="315"/>
    <w:bookmarkEnd w:id="316"/>
    <w:bookmarkEnd w:id="317"/>
    <w:bookmarkEnd w:id="318"/>
    <w:bookmarkEnd w:id="319"/>
    <w:bookmarkEnd w:id="320"/>
    <w:bookmarkEnd w:id="321"/>
    <w:bookmarkEnd w:id="322"/>
    <w:p>
      <w:pPr>
        <w:shd w:val="clear"/>
        <w:rPr>
          <w:rFonts w:ascii="仿宋" w:hAnsi="仿宋" w:eastAsia="仿宋" w:cs="仿宋"/>
          <w:color w:val="auto"/>
          <w:highlight w:val="none"/>
          <w:lang w:val="zh-CN"/>
        </w:rPr>
      </w:pPr>
    </w:p>
    <w:sectPr>
      <w:footerReference r:id="rId12" w:type="default"/>
      <w:pgSz w:w="11906" w:h="16838"/>
      <w:pgMar w:top="1417" w:right="1701" w:bottom="1417"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43D9C"/>
    <w:rsid w:val="008E09C7"/>
    <w:rsid w:val="00BE54F9"/>
    <w:rsid w:val="00CB1056"/>
    <w:rsid w:val="00DF42D7"/>
    <w:rsid w:val="00E9070B"/>
    <w:rsid w:val="01072ECF"/>
    <w:rsid w:val="01BF4CFA"/>
    <w:rsid w:val="01CE2DA2"/>
    <w:rsid w:val="02F65EA5"/>
    <w:rsid w:val="033663E9"/>
    <w:rsid w:val="0424200F"/>
    <w:rsid w:val="045B4C77"/>
    <w:rsid w:val="04CD44F6"/>
    <w:rsid w:val="051B4D72"/>
    <w:rsid w:val="054C4B68"/>
    <w:rsid w:val="0560491E"/>
    <w:rsid w:val="05CB26F0"/>
    <w:rsid w:val="05E17870"/>
    <w:rsid w:val="06067B46"/>
    <w:rsid w:val="064E2CB2"/>
    <w:rsid w:val="06DB123D"/>
    <w:rsid w:val="06E762C1"/>
    <w:rsid w:val="07030667"/>
    <w:rsid w:val="08DA1CCC"/>
    <w:rsid w:val="092F2224"/>
    <w:rsid w:val="094E1B96"/>
    <w:rsid w:val="0A195CCB"/>
    <w:rsid w:val="0ABA0821"/>
    <w:rsid w:val="0ABD0267"/>
    <w:rsid w:val="0AC83A82"/>
    <w:rsid w:val="0B725906"/>
    <w:rsid w:val="0BC342A5"/>
    <w:rsid w:val="0C39505A"/>
    <w:rsid w:val="0DD36A09"/>
    <w:rsid w:val="0F914EE8"/>
    <w:rsid w:val="0F987A35"/>
    <w:rsid w:val="0FEE4F26"/>
    <w:rsid w:val="108A40C0"/>
    <w:rsid w:val="10953ECE"/>
    <w:rsid w:val="111C783A"/>
    <w:rsid w:val="116B3023"/>
    <w:rsid w:val="1178071A"/>
    <w:rsid w:val="13023FD9"/>
    <w:rsid w:val="137308EB"/>
    <w:rsid w:val="13FE1DA7"/>
    <w:rsid w:val="142B7B4A"/>
    <w:rsid w:val="143F67C8"/>
    <w:rsid w:val="15011221"/>
    <w:rsid w:val="152C2ACA"/>
    <w:rsid w:val="153E1FEF"/>
    <w:rsid w:val="15E74E5F"/>
    <w:rsid w:val="161768F2"/>
    <w:rsid w:val="16FE6533"/>
    <w:rsid w:val="170E6DF4"/>
    <w:rsid w:val="17276132"/>
    <w:rsid w:val="18124DBC"/>
    <w:rsid w:val="18A63803"/>
    <w:rsid w:val="18B90CA4"/>
    <w:rsid w:val="18EB42EB"/>
    <w:rsid w:val="19297178"/>
    <w:rsid w:val="194C152D"/>
    <w:rsid w:val="194D1D28"/>
    <w:rsid w:val="1A0E3F19"/>
    <w:rsid w:val="1A121B15"/>
    <w:rsid w:val="1AF228FD"/>
    <w:rsid w:val="1B377F57"/>
    <w:rsid w:val="1B430CEF"/>
    <w:rsid w:val="1BCB0C5B"/>
    <w:rsid w:val="1C044E7D"/>
    <w:rsid w:val="1C13497F"/>
    <w:rsid w:val="1C760B0D"/>
    <w:rsid w:val="1C832EF3"/>
    <w:rsid w:val="1D5B1219"/>
    <w:rsid w:val="1D631BA7"/>
    <w:rsid w:val="1D9B202C"/>
    <w:rsid w:val="1DD871C9"/>
    <w:rsid w:val="1E017374"/>
    <w:rsid w:val="1E120164"/>
    <w:rsid w:val="1EA26830"/>
    <w:rsid w:val="1EA64545"/>
    <w:rsid w:val="1FB42CDC"/>
    <w:rsid w:val="2030768E"/>
    <w:rsid w:val="20561977"/>
    <w:rsid w:val="2070384A"/>
    <w:rsid w:val="20EF433C"/>
    <w:rsid w:val="212E2BED"/>
    <w:rsid w:val="21B30412"/>
    <w:rsid w:val="22364F87"/>
    <w:rsid w:val="2267000F"/>
    <w:rsid w:val="22710E72"/>
    <w:rsid w:val="23BD535D"/>
    <w:rsid w:val="243D57B7"/>
    <w:rsid w:val="24B347CF"/>
    <w:rsid w:val="253907E9"/>
    <w:rsid w:val="2578616C"/>
    <w:rsid w:val="276E06FD"/>
    <w:rsid w:val="27DA227F"/>
    <w:rsid w:val="28874FC7"/>
    <w:rsid w:val="28EF40E2"/>
    <w:rsid w:val="29103985"/>
    <w:rsid w:val="29313E7E"/>
    <w:rsid w:val="29CE1C23"/>
    <w:rsid w:val="2A220659"/>
    <w:rsid w:val="2C79393B"/>
    <w:rsid w:val="2C84162D"/>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42212BE"/>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801283"/>
    <w:rsid w:val="3BA53C49"/>
    <w:rsid w:val="3C2E148B"/>
    <w:rsid w:val="3CF25686"/>
    <w:rsid w:val="3D3D5BAB"/>
    <w:rsid w:val="3E7D13AA"/>
    <w:rsid w:val="3EA65882"/>
    <w:rsid w:val="3F5D4F76"/>
    <w:rsid w:val="403D0274"/>
    <w:rsid w:val="40B569EF"/>
    <w:rsid w:val="412905E8"/>
    <w:rsid w:val="41EB2146"/>
    <w:rsid w:val="420E7E94"/>
    <w:rsid w:val="421D7ADC"/>
    <w:rsid w:val="4286079A"/>
    <w:rsid w:val="42D651EB"/>
    <w:rsid w:val="43446DBF"/>
    <w:rsid w:val="436B5CCE"/>
    <w:rsid w:val="43925E9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3140DC1"/>
    <w:rsid w:val="53E96407"/>
    <w:rsid w:val="54385FC3"/>
    <w:rsid w:val="5459227D"/>
    <w:rsid w:val="546D50F9"/>
    <w:rsid w:val="55576F8D"/>
    <w:rsid w:val="55C854F9"/>
    <w:rsid w:val="569641F3"/>
    <w:rsid w:val="56D63ED7"/>
    <w:rsid w:val="574E1139"/>
    <w:rsid w:val="57616100"/>
    <w:rsid w:val="578C3138"/>
    <w:rsid w:val="5801517A"/>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9B2F18"/>
    <w:rsid w:val="60AB52FB"/>
    <w:rsid w:val="612F0AAC"/>
    <w:rsid w:val="617B342C"/>
    <w:rsid w:val="618052A3"/>
    <w:rsid w:val="61A05A41"/>
    <w:rsid w:val="61A65A50"/>
    <w:rsid w:val="62D973EC"/>
    <w:rsid w:val="633E6B67"/>
    <w:rsid w:val="638A29AA"/>
    <w:rsid w:val="644B5969"/>
    <w:rsid w:val="6639491E"/>
    <w:rsid w:val="663A635E"/>
    <w:rsid w:val="663B7C52"/>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332F55"/>
    <w:rsid w:val="705661F5"/>
    <w:rsid w:val="70741DA4"/>
    <w:rsid w:val="70BB526C"/>
    <w:rsid w:val="715227D8"/>
    <w:rsid w:val="72785511"/>
    <w:rsid w:val="737D0386"/>
    <w:rsid w:val="74336640"/>
    <w:rsid w:val="745F5922"/>
    <w:rsid w:val="74B014A8"/>
    <w:rsid w:val="74F43173"/>
    <w:rsid w:val="76F70D77"/>
    <w:rsid w:val="77250723"/>
    <w:rsid w:val="77253808"/>
    <w:rsid w:val="77DF601B"/>
    <w:rsid w:val="77E02A90"/>
    <w:rsid w:val="784C1F84"/>
    <w:rsid w:val="791D0736"/>
    <w:rsid w:val="79321132"/>
    <w:rsid w:val="79746AE6"/>
    <w:rsid w:val="7A172027"/>
    <w:rsid w:val="7A210D18"/>
    <w:rsid w:val="7AF21885"/>
    <w:rsid w:val="7C043FDC"/>
    <w:rsid w:val="7C0959BF"/>
    <w:rsid w:val="7C9E1718"/>
    <w:rsid w:val="7D4E4DE2"/>
    <w:rsid w:val="7D50736D"/>
    <w:rsid w:val="7D7D49E3"/>
    <w:rsid w:val="7E080F10"/>
    <w:rsid w:val="7EA644CC"/>
    <w:rsid w:val="7ED5572A"/>
    <w:rsid w:val="7EDA196C"/>
    <w:rsid w:val="7F4D1DB6"/>
    <w:rsid w:val="7F984EB2"/>
    <w:rsid w:val="7FA36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5"/>
    <w:qFormat/>
    <w:uiPriority w:val="0"/>
    <w:pPr>
      <w:keepNext/>
      <w:jc w:val="center"/>
      <w:outlineLvl w:val="0"/>
    </w:pPr>
    <w:rPr>
      <w:rFonts w:ascii="黑体" w:hAnsi="黑体"/>
      <w:b/>
      <w:kern w:val="0"/>
      <w:sz w:val="44"/>
    </w:rPr>
  </w:style>
  <w:style w:type="paragraph" w:styleId="9">
    <w:name w:val="heading 2"/>
    <w:basedOn w:val="1"/>
    <w:next w:val="1"/>
    <w:link w:val="34"/>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after="26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color="auto" w:fill="F9F2F4"/>
    </w:rPr>
  </w:style>
  <w:style w:type="character" w:styleId="30">
    <w:name w:val="HTML Keyboard"/>
    <w:basedOn w:val="23"/>
    <w:qFormat/>
    <w:uiPriority w:val="0"/>
    <w:rPr>
      <w:rFonts w:hint="default" w:ascii="Consolas" w:hAnsi="Consolas" w:eastAsia="Consolas" w:cs="Consolas"/>
      <w:color w:val="FFFFFF"/>
      <w:sz w:val="21"/>
      <w:szCs w:val="21"/>
      <w:shd w:val="clear" w:color="auto"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33">
    <w:name w:val="默认段落字体 Para Char Char Char Char"/>
    <w:basedOn w:val="1"/>
    <w:qFormat/>
    <w:uiPriority w:val="0"/>
  </w:style>
  <w:style w:type="character" w:customStyle="1" w:styleId="34">
    <w:name w:val="标题 2 字符"/>
    <w:link w:val="9"/>
    <w:qFormat/>
    <w:uiPriority w:val="0"/>
    <w:rPr>
      <w:rFonts w:ascii="黑体" w:hAnsi="黑体"/>
      <w:b/>
      <w:kern w:val="0"/>
      <w:sz w:val="44"/>
    </w:rPr>
  </w:style>
  <w:style w:type="character" w:customStyle="1" w:styleId="35">
    <w:name w:val="标题 1 字符"/>
    <w:link w:val="8"/>
    <w:qFormat/>
    <w:uiPriority w:val="0"/>
    <w:rPr>
      <w:rFonts w:ascii="黑体" w:hAnsi="黑体"/>
      <w:b/>
      <w:kern w:val="0"/>
      <w:sz w:val="44"/>
    </w:rPr>
  </w:style>
  <w:style w:type="paragraph" w:customStyle="1" w:styleId="36">
    <w:name w:val="列出段落1"/>
    <w:basedOn w:val="1"/>
    <w:qFormat/>
    <w:uiPriority w:val="34"/>
    <w:pPr>
      <w:ind w:firstLine="420" w:firstLineChars="200"/>
    </w:pPr>
    <w:rPr>
      <w:rFonts w:ascii="Calibri" w:hAnsi="Calibri" w:cs="黑体"/>
      <w:szCs w:val="22"/>
    </w:rPr>
  </w:style>
  <w:style w:type="character" w:customStyle="1" w:styleId="37">
    <w:name w:val="font61"/>
    <w:basedOn w:val="23"/>
    <w:qFormat/>
    <w:uiPriority w:val="0"/>
    <w:rPr>
      <w:rFonts w:hint="eastAsia" w:ascii="宋体" w:hAnsi="宋体" w:eastAsia="宋体" w:cs="宋体"/>
      <w:b/>
      <w:color w:val="000000"/>
      <w:sz w:val="20"/>
      <w:szCs w:val="20"/>
      <w:u w:val="none"/>
    </w:rPr>
  </w:style>
  <w:style w:type="character" w:customStyle="1" w:styleId="38">
    <w:name w:val="font11"/>
    <w:basedOn w:val="23"/>
    <w:qFormat/>
    <w:uiPriority w:val="0"/>
    <w:rPr>
      <w:rFonts w:hint="eastAsia" w:ascii="宋体" w:hAnsi="宋体" w:eastAsia="宋体" w:cs="宋体"/>
      <w:color w:val="000000"/>
      <w:sz w:val="21"/>
      <w:szCs w:val="21"/>
      <w:u w:val="none"/>
    </w:rPr>
  </w:style>
  <w:style w:type="character" w:customStyle="1" w:styleId="39">
    <w:name w:val="font01"/>
    <w:basedOn w:val="23"/>
    <w:qFormat/>
    <w:uiPriority w:val="0"/>
    <w:rPr>
      <w:rFonts w:hint="eastAsia" w:ascii="宋体" w:hAnsi="宋体" w:eastAsia="宋体" w:cs="宋体"/>
      <w:color w:val="000000"/>
      <w:sz w:val="18"/>
      <w:szCs w:val="18"/>
      <w:u w:val="none"/>
    </w:rPr>
  </w:style>
  <w:style w:type="character" w:customStyle="1" w:styleId="40">
    <w:name w:val="font21"/>
    <w:basedOn w:val="23"/>
    <w:qFormat/>
    <w:uiPriority w:val="0"/>
    <w:rPr>
      <w:rFonts w:ascii="Calibri" w:hAnsi="Calibri" w:cs="Calibri"/>
      <w:color w:val="000000"/>
      <w:sz w:val="21"/>
      <w:szCs w:val="21"/>
      <w:u w:val="none"/>
    </w:rPr>
  </w:style>
  <w:style w:type="character" w:customStyle="1" w:styleId="41">
    <w:name w:val="font51"/>
    <w:basedOn w:val="23"/>
    <w:qFormat/>
    <w:uiPriority w:val="0"/>
    <w:rPr>
      <w:rFonts w:hint="default" w:ascii="Times New Roman" w:hAnsi="Times New Roman" w:cs="Times New Roman"/>
      <w:color w:val="000000"/>
      <w:sz w:val="20"/>
      <w:szCs w:val="20"/>
      <w:u w:val="none"/>
    </w:rPr>
  </w:style>
  <w:style w:type="character" w:customStyle="1" w:styleId="42">
    <w:name w:val="font41"/>
    <w:basedOn w:val="23"/>
    <w:qFormat/>
    <w:uiPriority w:val="0"/>
    <w:rPr>
      <w:rFonts w:hint="default" w:ascii="Times New Roman" w:hAnsi="Times New Roman" w:cs="Times New Roman"/>
      <w:color w:val="000000"/>
      <w:sz w:val="20"/>
      <w:szCs w:val="20"/>
      <w:u w:val="none"/>
    </w:rPr>
  </w:style>
  <w:style w:type="character" w:customStyle="1" w:styleId="43">
    <w:name w:val="font71"/>
    <w:basedOn w:val="23"/>
    <w:qFormat/>
    <w:uiPriority w:val="0"/>
    <w:rPr>
      <w:rFonts w:hint="eastAsia" w:ascii="宋体" w:hAnsi="宋体" w:eastAsia="宋体" w:cs="宋体"/>
      <w:color w:val="FF0000"/>
      <w:sz w:val="18"/>
      <w:szCs w:val="18"/>
      <w:u w:val="none"/>
    </w:rPr>
  </w:style>
  <w:style w:type="character" w:customStyle="1" w:styleId="44">
    <w:name w:val="font31"/>
    <w:basedOn w:val="23"/>
    <w:qFormat/>
    <w:uiPriority w:val="0"/>
    <w:rPr>
      <w:rFonts w:hint="eastAsia" w:ascii="宋体" w:hAnsi="宋体" w:eastAsia="宋体" w:cs="宋体"/>
      <w:color w:val="000000"/>
      <w:sz w:val="18"/>
      <w:szCs w:val="18"/>
      <w:u w:val="none"/>
    </w:rPr>
  </w:style>
  <w:style w:type="character" w:customStyle="1" w:styleId="45">
    <w:name w:val="font101"/>
    <w:basedOn w:val="23"/>
    <w:qFormat/>
    <w:uiPriority w:val="0"/>
    <w:rPr>
      <w:rFonts w:hint="eastAsia" w:ascii="宋体" w:hAnsi="宋体" w:eastAsia="宋体" w:cs="宋体"/>
      <w:color w:val="FF0000"/>
      <w:sz w:val="18"/>
      <w:szCs w:val="18"/>
      <w:u w:val="none"/>
    </w:rPr>
  </w:style>
  <w:style w:type="character" w:customStyle="1" w:styleId="46">
    <w:name w:val="button"/>
    <w:basedOn w:val="23"/>
    <w:qFormat/>
    <w:uiPriority w:val="0"/>
  </w:style>
  <w:style w:type="character" w:customStyle="1" w:styleId="47">
    <w:name w:val="hour_pm"/>
    <w:basedOn w:val="23"/>
    <w:qFormat/>
    <w:uiPriority w:val="0"/>
  </w:style>
  <w:style w:type="character" w:customStyle="1" w:styleId="48">
    <w:name w:val="hover3"/>
    <w:basedOn w:val="23"/>
    <w:qFormat/>
    <w:uiPriority w:val="0"/>
    <w:rPr>
      <w:shd w:val="clear" w:color="auto" w:fill="EEEEEE"/>
    </w:rPr>
  </w:style>
  <w:style w:type="character" w:customStyle="1" w:styleId="49">
    <w:name w:val="tmpztreemove_arrow"/>
    <w:basedOn w:val="23"/>
    <w:qFormat/>
    <w:uiPriority w:val="0"/>
    <w:rPr>
      <w:shd w:val="clear" w:color="auto" w:fill="FFFFFF"/>
    </w:rPr>
  </w:style>
  <w:style w:type="character" w:customStyle="1" w:styleId="50">
    <w:name w:val="hour_am"/>
    <w:basedOn w:val="23"/>
    <w:qFormat/>
    <w:uiPriority w:val="0"/>
  </w:style>
  <w:style w:type="character" w:customStyle="1" w:styleId="51">
    <w:name w:val="old"/>
    <w:basedOn w:val="23"/>
    <w:qFormat/>
    <w:uiPriority w:val="0"/>
    <w:rPr>
      <w:color w:val="999999"/>
    </w:rPr>
  </w:style>
  <w:style w:type="character" w:customStyle="1" w:styleId="52">
    <w:name w:val="glyphicon4"/>
    <w:basedOn w:val="23"/>
    <w:qFormat/>
    <w:uiPriority w:val="0"/>
  </w:style>
  <w:style w:type="character" w:customStyle="1" w:styleId="53">
    <w:name w:val="indent"/>
    <w:basedOn w:val="23"/>
    <w:qFormat/>
    <w:uiPriority w:val="0"/>
  </w:style>
  <w:style w:type="character" w:customStyle="1" w:styleId="54">
    <w:name w:val="font112"/>
    <w:basedOn w:val="23"/>
    <w:qFormat/>
    <w:uiPriority w:val="0"/>
    <w:rPr>
      <w:rFonts w:ascii="Wingdings 2" w:hAnsi="Wingdings 2" w:eastAsia="Wingdings 2" w:cs="Wingdings 2"/>
      <w:color w:val="000000"/>
      <w:sz w:val="24"/>
      <w:szCs w:val="24"/>
      <w:u w:val="none"/>
    </w:rPr>
  </w:style>
  <w:style w:type="character" w:customStyle="1" w:styleId="55">
    <w:name w:val="font121"/>
    <w:basedOn w:val="23"/>
    <w:qFormat/>
    <w:uiPriority w:val="0"/>
    <w:rPr>
      <w:rFonts w:hint="eastAsia" w:ascii="宋体" w:hAnsi="宋体" w:eastAsia="宋体" w:cs="宋体"/>
      <w:color w:val="000000"/>
      <w:sz w:val="24"/>
      <w:szCs w:val="24"/>
      <w:u w:val="none"/>
    </w:rPr>
  </w:style>
  <w:style w:type="character" w:customStyle="1" w:styleId="56">
    <w:name w:val="font131"/>
    <w:basedOn w:val="23"/>
    <w:qFormat/>
    <w:uiPriority w:val="0"/>
    <w:rPr>
      <w:rFonts w:ascii="微软雅黑" w:hAnsi="微软雅黑" w:eastAsia="微软雅黑" w:cs="微软雅黑"/>
      <w:color w:val="000000"/>
      <w:sz w:val="24"/>
      <w:szCs w:val="24"/>
      <w:u w:val="none"/>
    </w:rPr>
  </w:style>
  <w:style w:type="character" w:customStyle="1" w:styleId="57">
    <w:name w:val="font141"/>
    <w:basedOn w:val="23"/>
    <w:qFormat/>
    <w:uiPriority w:val="0"/>
    <w:rPr>
      <w:rFonts w:ascii="微软雅黑" w:hAnsi="微软雅黑" w:eastAsia="微软雅黑" w:cs="微软雅黑"/>
      <w:color w:val="000000"/>
      <w:sz w:val="22"/>
      <w:szCs w:val="22"/>
      <w:u w:val="none"/>
    </w:rPr>
  </w:style>
  <w:style w:type="character" w:customStyle="1" w:styleId="58">
    <w:name w:val="font81"/>
    <w:basedOn w:val="23"/>
    <w:qFormat/>
    <w:uiPriority w:val="0"/>
    <w:rPr>
      <w:rFonts w:hint="eastAsia" w:ascii="仿宋" w:hAnsi="仿宋" w:eastAsia="仿宋" w:cs="仿宋"/>
      <w:color w:val="000000"/>
      <w:sz w:val="22"/>
      <w:szCs w:val="22"/>
      <w:u w:val="none"/>
    </w:rPr>
  </w:style>
  <w:style w:type="character" w:customStyle="1" w:styleId="59">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103</Pages>
  <Words>44636</Words>
  <Characters>47672</Characters>
  <Lines>409</Lines>
  <Paragraphs>115</Paragraphs>
  <TotalTime>0</TotalTime>
  <ScaleCrop>false</ScaleCrop>
  <LinksUpToDate>false</LinksUpToDate>
  <CharactersWithSpaces>52217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2022-07-25T04:39:41Z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