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4593"/>
      <w:bookmarkStart w:id="1" w:name="_Toc22159"/>
      <w:bookmarkStart w:id="2" w:name="_Toc475451543"/>
      <w:bookmarkStart w:id="3" w:name="_Toc6076"/>
      <w:bookmarkStart w:id="4" w:name="_Toc20135"/>
      <w:bookmarkStart w:id="5" w:name="_Toc20047"/>
      <w:bookmarkStart w:id="6" w:name="_Toc25835"/>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bookmarkStart w:id="484" w:name="_GoBack"/>
      <w:bookmarkEnd w:id="484"/>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第八标段）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6"/>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 w:val="0"/>
          <w:bCs w:val="0"/>
          <w:color w:val="auto"/>
          <w:sz w:val="18"/>
          <w:szCs w:val="18"/>
          <w:highlight w:val="none"/>
        </w:rPr>
        <w:fldChar w:fldCharType="begin"/>
      </w:r>
      <w:r>
        <w:rPr>
          <w:rFonts w:hint="eastAsia" w:ascii="仿宋" w:hAnsi="仿宋" w:eastAsia="仿宋" w:cs="仿宋"/>
          <w:b w:val="0"/>
          <w:bCs w:val="0"/>
          <w:color w:val="auto"/>
          <w:sz w:val="18"/>
          <w:szCs w:val="18"/>
          <w:highlight w:val="none"/>
        </w:rPr>
        <w:instrText xml:space="preserve">TOC \o "1-3" \h \u </w:instrText>
      </w:r>
      <w:r>
        <w:rPr>
          <w:rFonts w:hint="eastAsia" w:ascii="仿宋" w:hAnsi="仿宋" w:eastAsia="仿宋" w:cs="仿宋"/>
          <w:b w:val="0"/>
          <w:bCs w:val="0"/>
          <w:color w:val="auto"/>
          <w:sz w:val="18"/>
          <w:szCs w:val="18"/>
          <w:highlight w:val="none"/>
        </w:rPr>
        <w:fldChar w:fldCharType="separate"/>
      </w: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_Toc622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eastAsia="zh-CN" w:bidi="ar-SA"/>
        </w:rPr>
        <w:t>第一部分  招标公告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_Toc622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_Toc28565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第二部分</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zh-CN"/>
        </w:rPr>
        <w:t>供应商须知</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_Toc28565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_Toc28781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一、总则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_Toc28781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_Toc27696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（一）适用范围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_Toc27696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（二）名词解释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_Toc9657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二、招标文件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_Toc9657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_Toc30131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（一）招标文件的组成</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_Toc30131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_Toc21637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（二）</w:t>
      </w:r>
      <w:r>
        <w:rPr>
          <w:rFonts w:hint="eastAsia" w:ascii="仿宋" w:hAnsi="仿宋" w:eastAsia="仿宋" w:cs="仿宋"/>
          <w:bCs/>
          <w:color w:val="auto"/>
          <w:sz w:val="21"/>
          <w:szCs w:val="21"/>
          <w:highlight w:val="none"/>
          <w:lang w:val="zh-CN"/>
        </w:rPr>
        <w:t>招标文件的修改或澄清</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_Toc21637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_Toc18749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招标文件的询问、质疑及答复</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_Toc18749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_Toc32572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（四）招标文件的解释权</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_Toc32572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_Toc27113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（一）投标内容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_Toc27113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_Toc31428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合格的供应商要求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_Toc31428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_Toc25295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限制投标要求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_Toc25295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_Toc3786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（四）</w:t>
      </w:r>
      <w:r>
        <w:rPr>
          <w:rFonts w:hint="eastAsia" w:ascii="仿宋" w:hAnsi="仿宋" w:eastAsia="仿宋" w:cs="仿宋"/>
          <w:bCs/>
          <w:color w:val="auto"/>
          <w:sz w:val="21"/>
          <w:szCs w:val="21"/>
          <w:highlight w:val="none"/>
          <w:lang w:val="zh-CN"/>
        </w:rPr>
        <w:t>投标文件有效期</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_Toc3786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（五）投标文件的编写要求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_Toc4804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（六）投标报价要求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_Toc4804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_Toc25806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（七）投标文件的式样和签署</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_Toc25806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_Toc22291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（八）投标文件的密封和提交</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_Toc22291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_Toc14921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四、开标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_Toc14921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五、评标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六、评标程序及评标办法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_Toc11994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（一）投标文件初审</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_Toc11994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_Toc29000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（三）比较与评价</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_Toc29000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（二）投标文件的澄清、说明或者补正</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_Toc16187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（四）推荐中标候选人名单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_Toc16187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_Toc12272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七、确定中标供应商</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_Toc12272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_Toc16609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八、合同</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_Toc16609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_Toc9424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九、中标服务费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_Toc9424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_Toc13550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十、废标或者采购方式的变更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_Toc13550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_Toc4168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（一）废标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_Toc4168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_Toc23755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_Toc23755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_Toc5755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十一、需要落实的政府采购政策</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_Toc5755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_Toc6895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十二、质疑与投诉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_Toc6895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_Toc2942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（一）质疑</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_Toc2942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4"/>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_Toc18625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_Toc18625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 xml:space="preserve">第三部分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zh-CN"/>
        </w:rPr>
        <w:t>招标内容及要求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_Toc10479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 xml:space="preserve">第四部分   </w:t>
      </w:r>
      <w:r>
        <w:rPr>
          <w:rFonts w:hint="eastAsia" w:ascii="仿宋" w:hAnsi="仿宋" w:eastAsia="仿宋" w:cs="仿宋"/>
          <w:color w:val="auto"/>
          <w:sz w:val="21"/>
          <w:szCs w:val="21"/>
          <w:highlight w:val="none"/>
          <w:lang w:val="zh-CN"/>
        </w:rPr>
        <w:t>合同条款及格式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_Toc10479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8"/>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_Toc31053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第五部分</w:t>
      </w:r>
      <w:r>
        <w:rPr>
          <w:rFonts w:hint="eastAsia" w:ascii="仿宋" w:hAnsi="仿宋" w:eastAsia="仿宋" w:cs="仿宋"/>
          <w:bCs/>
          <w:color w:val="auto"/>
          <w:sz w:val="21"/>
          <w:szCs w:val="21"/>
          <w:highlight w:val="none"/>
        </w:rPr>
        <w:t xml:space="preserve"> </w:t>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投标文件格式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_Toc31053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_Toc16671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一、投标函</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_Toc16671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_Toc16343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二、开标一览表（唱标报告）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_Toc16343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_Toc32341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三、</w:t>
      </w:r>
      <w:r>
        <w:rPr>
          <w:rFonts w:hint="eastAsia" w:ascii="仿宋" w:hAnsi="仿宋" w:eastAsia="仿宋" w:cs="仿宋"/>
          <w:color w:val="auto"/>
          <w:sz w:val="21"/>
          <w:szCs w:val="21"/>
          <w:highlight w:val="none"/>
          <w:lang w:val="en-US" w:eastAsia="zh-CN"/>
        </w:rPr>
        <w:t>费用组成明细表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_Toc32341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_Toc6997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eastAsia="zh-CN"/>
        </w:rPr>
        <w:t>四、供应商资格证明文件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_Toc6997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_Toc24985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五、合同主要条款偏离表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_Toc24985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eastAsia="zh-CN"/>
        </w:rPr>
        <w:t>六</w:t>
      </w:r>
      <w:r>
        <w:rPr>
          <w:rFonts w:hint="eastAsia" w:ascii="仿宋" w:hAnsi="仿宋" w:eastAsia="仿宋" w:cs="仿宋"/>
          <w:color w:val="auto"/>
          <w:sz w:val="21"/>
          <w:szCs w:val="21"/>
          <w:highlight w:val="none"/>
        </w:rPr>
        <w:t>、节能环保、环境标志产品明细表</w:t>
      </w:r>
      <w:r>
        <w:rPr>
          <w:rFonts w:hint="eastAsia" w:ascii="仿宋" w:hAnsi="仿宋" w:eastAsia="仿宋" w:cs="仿宋"/>
          <w:color w:val="auto"/>
          <w:sz w:val="21"/>
          <w:szCs w:val="21"/>
          <w:highlight w:val="none"/>
          <w:lang w:eastAsia="zh-CN"/>
        </w:rPr>
        <w:t>（若有）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_Toc7823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七</w:t>
      </w:r>
      <w:r>
        <w:rPr>
          <w:rFonts w:hint="eastAsia" w:ascii="仿宋" w:hAnsi="仿宋" w:eastAsia="仿宋" w:cs="仿宋"/>
          <w:color w:val="auto"/>
          <w:sz w:val="21"/>
          <w:szCs w:val="21"/>
          <w:highlight w:val="none"/>
          <w:lang w:val="zh-CN"/>
        </w:rPr>
        <w:t>、技术规格偏离表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_Toc7823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59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_Toc30747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八</w:t>
      </w:r>
      <w:r>
        <w:rPr>
          <w:rFonts w:hint="eastAsia" w:ascii="仿宋" w:hAnsi="仿宋" w:eastAsia="仿宋" w:cs="仿宋"/>
          <w:color w:val="auto"/>
          <w:sz w:val="21"/>
          <w:szCs w:val="21"/>
          <w:highlight w:val="none"/>
        </w:rPr>
        <w:t>、技术方案</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_Toc30747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九</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质量保证及售后</w:t>
      </w:r>
      <w:r>
        <w:rPr>
          <w:rFonts w:hint="eastAsia" w:ascii="仿宋" w:hAnsi="仿宋" w:eastAsia="仿宋" w:cs="仿宋"/>
          <w:color w:val="auto"/>
          <w:sz w:val="21"/>
          <w:szCs w:val="21"/>
          <w:highlight w:val="none"/>
        </w:rPr>
        <w:t>服务承诺</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_Toc31948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w:t>
      </w:r>
      <w:r>
        <w:rPr>
          <w:rFonts w:hint="eastAsia" w:ascii="仿宋" w:hAnsi="仿宋" w:eastAsia="仿宋" w:cs="仿宋"/>
          <w:color w:val="auto"/>
          <w:sz w:val="21"/>
          <w:szCs w:val="21"/>
          <w:highlight w:val="none"/>
        </w:rPr>
        <w:t>、近年业绩的有关证明材料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_Toc31948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十一</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企业关系关联承诺书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_Toc26450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rPr>
        <w:t>十</w:t>
      </w:r>
      <w:r>
        <w:rPr>
          <w:rFonts w:hint="eastAsia" w:ascii="仿宋" w:hAnsi="仿宋" w:eastAsia="仿宋" w:cs="仿宋"/>
          <w:color w:val="auto"/>
          <w:kern w:val="0"/>
          <w:sz w:val="21"/>
          <w:szCs w:val="21"/>
          <w:highlight w:val="none"/>
          <w:lang w:val="en-US" w:eastAsia="zh-CN"/>
        </w:rPr>
        <w:t>二</w:t>
      </w:r>
      <w:r>
        <w:rPr>
          <w:rFonts w:hint="eastAsia" w:ascii="仿宋" w:hAnsi="仿宋" w:eastAsia="仿宋" w:cs="仿宋"/>
          <w:color w:val="auto"/>
          <w:kern w:val="0"/>
          <w:sz w:val="21"/>
          <w:szCs w:val="21"/>
          <w:highlight w:val="none"/>
          <w:lang w:val="zh-CN"/>
        </w:rPr>
        <w:t>、供应商廉洁自律承诺书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_Toc26450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9"/>
        <w:shd w:val="clear"/>
        <w:tabs>
          <w:tab w:val="right" w:leader="dot" w:pos="8504"/>
          <w:tab w:val="clear" w:pos="9060"/>
        </w:tabs>
        <w:spacing w:line="360" w:lineRule="auto"/>
        <w:rPr>
          <w:color w:val="auto"/>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_Toc19539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val="zh-CN"/>
        </w:rPr>
        <w:t>、供应商认为有必要补充说明的事项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_Toc19539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18"/>
          <w:highlight w:val="none"/>
        </w:rPr>
        <w:fldChar w:fldCharType="end"/>
      </w:r>
      <w:bookmarkEnd w:id="0"/>
      <w:bookmarkEnd w:id="1"/>
      <w:bookmarkEnd w:id="2"/>
      <w:bookmarkEnd w:id="3"/>
      <w:bookmarkEnd w:id="4"/>
      <w:bookmarkEnd w:id="5"/>
      <w:bookmarkEnd w:id="6"/>
      <w:bookmarkEnd w:id="7"/>
      <w:bookmarkStart w:id="8" w:name="_Toc622"/>
      <w:bookmarkStart w:id="9" w:name="_Toc3130"/>
      <w:bookmarkStart w:id="10" w:name="_Toc31912"/>
      <w:bookmarkStart w:id="11" w:name="_Toc29439"/>
      <w:bookmarkStart w:id="12" w:name="_Toc28781"/>
      <w:bookmarkStart w:id="13" w:name="_Toc24650"/>
      <w:bookmarkStart w:id="14" w:name="_Toc26858"/>
      <w:bookmarkStart w:id="15" w:name="_Toc8779"/>
      <w:bookmarkStart w:id="16" w:name="_Toc28753"/>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14692"/>
      <w:bookmarkStart w:id="19" w:name="_Toc31741"/>
      <w:bookmarkStart w:id="20" w:name="_Toc26996"/>
      <w:bookmarkStart w:id="21" w:name="_Toc28565"/>
      <w:bookmarkStart w:id="22" w:name="_Toc6649"/>
      <w:bookmarkStart w:id="23" w:name="_Toc16458"/>
      <w:bookmarkStart w:id="24" w:name="_Toc786"/>
      <w:bookmarkStart w:id="25" w:name="_Toc28539"/>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其中包8（第八标段）：</w:t>
            </w:r>
            <w:r>
              <w:rPr>
                <w:rFonts w:hint="eastAsia" w:ascii="仿宋" w:hAnsi="仿宋" w:eastAsia="仿宋" w:cs="仿宋"/>
                <w:i w:val="0"/>
                <w:iCs w:val="0"/>
                <w:color w:val="auto"/>
                <w:kern w:val="0"/>
                <w:sz w:val="24"/>
                <w:szCs w:val="24"/>
                <w:highlight w:val="none"/>
                <w:u w:val="none"/>
                <w:lang w:val="en-US" w:eastAsia="zh-CN" w:bidi="ar"/>
              </w:rPr>
              <w:t>1000000.00元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一、总则</w:t>
      </w:r>
      <w:bookmarkEnd w:id="9"/>
      <w:bookmarkEnd w:id="10"/>
      <w:bookmarkEnd w:id="11"/>
      <w:bookmarkEnd w:id="12"/>
      <w:bookmarkEnd w:id="13"/>
      <w:bookmarkEnd w:id="14"/>
      <w:bookmarkEnd w:id="15"/>
      <w:bookmarkEnd w:id="16"/>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6" w:name="_Toc27696"/>
      <w:bookmarkStart w:id="27" w:name="_Toc29110"/>
      <w:bookmarkStart w:id="28" w:name="_Toc6337"/>
      <w:bookmarkStart w:id="29" w:name="_Toc14386"/>
      <w:bookmarkStart w:id="30" w:name="_Toc17517"/>
      <w:bookmarkStart w:id="31" w:name="_Toc5427"/>
      <w:bookmarkStart w:id="32" w:name="_Toc20"/>
      <w:bookmarkStart w:id="33" w:name="_Toc7648"/>
      <w:bookmarkStart w:id="34" w:name="_Toc6093"/>
      <w:r>
        <w:rPr>
          <w:rFonts w:hint="eastAsia" w:ascii="仿宋" w:hAnsi="仿宋" w:eastAsia="仿宋" w:cs="仿宋"/>
          <w:b/>
          <w:bCs/>
          <w:color w:val="auto"/>
          <w:sz w:val="24"/>
          <w:szCs w:val="24"/>
          <w:highlight w:val="none"/>
          <w:lang w:val="zh-CN"/>
        </w:rPr>
        <w:t>（一）适用范围</w:t>
      </w:r>
      <w:bookmarkEnd w:id="26"/>
      <w:bookmarkEnd w:id="27"/>
      <w:bookmarkEnd w:id="28"/>
      <w:bookmarkEnd w:id="29"/>
      <w:bookmarkEnd w:id="30"/>
      <w:bookmarkEnd w:id="31"/>
      <w:bookmarkEnd w:id="32"/>
      <w:bookmarkEnd w:id="33"/>
      <w:bookmarkEnd w:id="34"/>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5" w:name="_Toc97"/>
      <w:bookmarkStart w:id="36" w:name="_Toc14450"/>
      <w:bookmarkStart w:id="37" w:name="_Toc25233"/>
      <w:bookmarkStart w:id="38" w:name="_Toc5174"/>
      <w:bookmarkStart w:id="39" w:name="_Toc20921"/>
      <w:bookmarkStart w:id="40" w:name="_Toc26769"/>
      <w:bookmarkStart w:id="41" w:name="_Toc11334"/>
      <w:bookmarkStart w:id="42" w:name="_Toc20501"/>
      <w:bookmarkStart w:id="43" w:name="_Toc18376"/>
      <w:r>
        <w:rPr>
          <w:rFonts w:hint="eastAsia" w:ascii="仿宋" w:hAnsi="仿宋" w:eastAsia="仿宋" w:cs="仿宋"/>
          <w:b/>
          <w:bCs/>
          <w:color w:val="auto"/>
          <w:sz w:val="24"/>
          <w:szCs w:val="24"/>
          <w:highlight w:val="none"/>
          <w:lang w:val="zh-CN"/>
        </w:rPr>
        <w:t>（二）名词解释</w:t>
      </w:r>
      <w:bookmarkEnd w:id="35"/>
      <w:bookmarkEnd w:id="36"/>
      <w:bookmarkEnd w:id="37"/>
      <w:bookmarkEnd w:id="38"/>
      <w:bookmarkEnd w:id="39"/>
      <w:bookmarkEnd w:id="40"/>
      <w:bookmarkEnd w:id="41"/>
      <w:bookmarkEnd w:id="42"/>
      <w:bookmarkEnd w:id="43"/>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4" w:name="_Toc9657"/>
      <w:bookmarkStart w:id="45" w:name="_Toc7846"/>
      <w:bookmarkStart w:id="46" w:name="_Toc18136"/>
      <w:bookmarkStart w:id="47" w:name="_Toc32052"/>
      <w:bookmarkStart w:id="48" w:name="_Toc24956"/>
      <w:bookmarkStart w:id="49" w:name="_Toc13475"/>
      <w:bookmarkStart w:id="50" w:name="_Toc29138"/>
      <w:bookmarkStart w:id="51" w:name="_Toc5144"/>
      <w:r>
        <w:rPr>
          <w:rFonts w:hint="eastAsia" w:ascii="仿宋" w:hAnsi="仿宋" w:eastAsia="仿宋" w:cs="仿宋"/>
          <w:b/>
          <w:bCs/>
          <w:color w:val="auto"/>
          <w:sz w:val="24"/>
          <w:szCs w:val="24"/>
          <w:highlight w:val="none"/>
          <w:lang w:val="zh-CN"/>
        </w:rPr>
        <w:t>二、招标文件</w:t>
      </w:r>
      <w:bookmarkEnd w:id="44"/>
      <w:bookmarkEnd w:id="45"/>
      <w:bookmarkEnd w:id="46"/>
      <w:bookmarkEnd w:id="47"/>
      <w:bookmarkEnd w:id="48"/>
      <w:bookmarkEnd w:id="49"/>
      <w:bookmarkEnd w:id="50"/>
      <w:bookmarkEnd w:id="51"/>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2" w:name="_Toc24239"/>
      <w:bookmarkStart w:id="53" w:name="_Toc22798"/>
      <w:bookmarkStart w:id="54" w:name="_Toc1837"/>
      <w:bookmarkStart w:id="55" w:name="_Toc21955"/>
      <w:bookmarkStart w:id="56" w:name="_Toc30131"/>
      <w:bookmarkStart w:id="57" w:name="_Toc19188"/>
      <w:bookmarkStart w:id="58" w:name="_Toc27613"/>
      <w:bookmarkStart w:id="59" w:name="_Toc23894"/>
      <w:bookmarkStart w:id="60" w:name="_Toc16573"/>
      <w:r>
        <w:rPr>
          <w:rFonts w:hint="eastAsia" w:ascii="仿宋" w:hAnsi="仿宋" w:eastAsia="仿宋" w:cs="仿宋"/>
          <w:b/>
          <w:color w:val="auto"/>
          <w:sz w:val="24"/>
          <w:szCs w:val="24"/>
          <w:highlight w:val="none"/>
          <w:lang w:val="zh-CN"/>
        </w:rPr>
        <w:t>（一）招标文件</w:t>
      </w:r>
      <w:bookmarkEnd w:id="52"/>
      <w:bookmarkEnd w:id="53"/>
      <w:bookmarkEnd w:id="54"/>
      <w:r>
        <w:rPr>
          <w:rFonts w:hint="eastAsia" w:ascii="仿宋" w:hAnsi="仿宋" w:eastAsia="仿宋" w:cs="仿宋"/>
          <w:b/>
          <w:color w:val="auto"/>
          <w:sz w:val="24"/>
          <w:szCs w:val="24"/>
          <w:highlight w:val="none"/>
          <w:lang w:val="zh-CN"/>
        </w:rPr>
        <w:t>的组成</w:t>
      </w:r>
      <w:bookmarkEnd w:id="55"/>
      <w:bookmarkEnd w:id="56"/>
      <w:bookmarkEnd w:id="57"/>
      <w:bookmarkEnd w:id="58"/>
      <w:bookmarkEnd w:id="59"/>
      <w:bookmarkEnd w:id="60"/>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1" w:name="_Toc16787"/>
      <w:bookmarkStart w:id="62" w:name="_Toc15799"/>
      <w:bookmarkStart w:id="63" w:name="_Toc21637"/>
      <w:bookmarkStart w:id="64" w:name="_Toc28098"/>
      <w:bookmarkStart w:id="65" w:name="_Toc9208"/>
      <w:bookmarkStart w:id="66" w:name="_Toc26386"/>
      <w:bookmarkStart w:id="67" w:name="_Toc21971"/>
      <w:bookmarkStart w:id="68" w:name="_Toc31680"/>
      <w:bookmarkStart w:id="69" w:name="_Toc6936"/>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1"/>
      <w:bookmarkEnd w:id="62"/>
      <w:bookmarkEnd w:id="63"/>
      <w:bookmarkEnd w:id="64"/>
      <w:bookmarkEnd w:id="65"/>
      <w:bookmarkEnd w:id="66"/>
      <w:bookmarkEnd w:id="67"/>
      <w:bookmarkEnd w:id="68"/>
      <w:bookmarkEnd w:id="6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0" w:name="_Toc2929"/>
      <w:bookmarkStart w:id="71" w:name="_Toc21498"/>
      <w:bookmarkStart w:id="72" w:name="_Toc1550"/>
      <w:bookmarkStart w:id="73" w:name="_Toc12729"/>
      <w:bookmarkStart w:id="74" w:name="_Toc31132"/>
      <w:bookmarkStart w:id="75" w:name="_Toc19583"/>
      <w:bookmarkStart w:id="76" w:name="_Toc17894"/>
      <w:bookmarkStart w:id="77" w:name="_Toc18749"/>
      <w:bookmarkStart w:id="78" w:name="_Toc12617"/>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0"/>
      <w:bookmarkEnd w:id="71"/>
      <w:bookmarkEnd w:id="72"/>
      <w:bookmarkEnd w:id="73"/>
      <w:bookmarkEnd w:id="74"/>
      <w:bookmarkEnd w:id="75"/>
      <w:bookmarkEnd w:id="76"/>
      <w:bookmarkEnd w:id="77"/>
      <w:bookmarkEnd w:id="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9" w:name="_Toc1801"/>
      <w:bookmarkStart w:id="80" w:name="_Toc27857"/>
      <w:bookmarkStart w:id="81" w:name="_Toc23823"/>
      <w:bookmarkStart w:id="82" w:name="_Toc28965"/>
      <w:bookmarkStart w:id="83" w:name="_Toc16614"/>
      <w:bookmarkStart w:id="84" w:name="_Toc27651"/>
      <w:bookmarkStart w:id="85" w:name="_Toc32572"/>
      <w:bookmarkStart w:id="86" w:name="_Toc17969"/>
      <w:bookmarkStart w:id="87" w:name="_Toc16954"/>
      <w:r>
        <w:rPr>
          <w:rFonts w:hint="eastAsia" w:ascii="仿宋" w:hAnsi="仿宋" w:eastAsia="仿宋" w:cs="仿宋"/>
          <w:b/>
          <w:bCs/>
          <w:color w:val="auto"/>
          <w:sz w:val="24"/>
          <w:szCs w:val="24"/>
          <w:highlight w:val="none"/>
          <w:lang w:val="zh-CN"/>
        </w:rPr>
        <w:t>（四）招标文件的解释权</w:t>
      </w:r>
      <w:bookmarkEnd w:id="79"/>
      <w:bookmarkEnd w:id="80"/>
      <w:bookmarkEnd w:id="81"/>
      <w:bookmarkEnd w:id="82"/>
      <w:bookmarkEnd w:id="83"/>
      <w:bookmarkEnd w:id="84"/>
      <w:bookmarkEnd w:id="85"/>
      <w:bookmarkEnd w:id="86"/>
      <w:bookmarkEnd w:id="87"/>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88" w:name="_Toc30757"/>
      <w:bookmarkStart w:id="89" w:name="_Toc549"/>
      <w:bookmarkStart w:id="90" w:name="_Toc8593"/>
      <w:bookmarkStart w:id="91" w:name="_Toc16073"/>
      <w:bookmarkStart w:id="92" w:name="_Toc13377"/>
      <w:bookmarkStart w:id="93" w:name="_Toc12572"/>
      <w:bookmarkStart w:id="94" w:name="_Toc25911"/>
      <w:bookmarkStart w:id="95" w:name="_Toc2494"/>
      <w:r>
        <w:rPr>
          <w:rFonts w:hint="eastAsia" w:ascii="仿宋" w:hAnsi="仿宋" w:eastAsia="仿宋" w:cs="仿宋"/>
          <w:b/>
          <w:color w:val="auto"/>
          <w:sz w:val="24"/>
          <w:szCs w:val="24"/>
          <w:highlight w:val="none"/>
          <w:lang w:val="zh-CN"/>
        </w:rPr>
        <w:t>三、投标要求</w:t>
      </w:r>
      <w:bookmarkEnd w:id="88"/>
      <w:bookmarkEnd w:id="89"/>
      <w:bookmarkEnd w:id="90"/>
      <w:bookmarkEnd w:id="91"/>
      <w:bookmarkEnd w:id="92"/>
      <w:bookmarkEnd w:id="93"/>
      <w:bookmarkEnd w:id="94"/>
      <w:bookmarkEnd w:id="95"/>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6" w:name="_Toc27113"/>
      <w:bookmarkStart w:id="97" w:name="_Toc7693"/>
      <w:bookmarkStart w:id="98" w:name="_Toc6311"/>
      <w:bookmarkStart w:id="99" w:name="_Toc5035"/>
      <w:bookmarkStart w:id="100" w:name="_Toc17014"/>
      <w:bookmarkStart w:id="101" w:name="_Toc95"/>
      <w:bookmarkStart w:id="102" w:name="_Toc12545"/>
      <w:bookmarkStart w:id="103" w:name="_Toc9226"/>
      <w:bookmarkStart w:id="104" w:name="_Toc9714"/>
      <w:r>
        <w:rPr>
          <w:rFonts w:hint="eastAsia" w:ascii="仿宋" w:hAnsi="仿宋" w:eastAsia="仿宋" w:cs="仿宋"/>
          <w:b/>
          <w:bCs/>
          <w:color w:val="auto"/>
          <w:sz w:val="24"/>
          <w:szCs w:val="24"/>
          <w:highlight w:val="none"/>
        </w:rPr>
        <w:t>（一）投标内容</w:t>
      </w:r>
      <w:bookmarkEnd w:id="96"/>
      <w:bookmarkEnd w:id="97"/>
      <w:bookmarkEnd w:id="98"/>
      <w:bookmarkEnd w:id="99"/>
      <w:bookmarkEnd w:id="100"/>
      <w:bookmarkEnd w:id="101"/>
      <w:bookmarkEnd w:id="102"/>
      <w:bookmarkEnd w:id="103"/>
      <w:bookmarkEnd w:id="104"/>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5" w:name="_Toc16899"/>
      <w:bookmarkStart w:id="106" w:name="_Toc15084"/>
      <w:bookmarkStart w:id="107" w:name="_Toc8899"/>
      <w:bookmarkStart w:id="108" w:name="_Toc2941"/>
      <w:bookmarkStart w:id="109" w:name="_Toc27262"/>
      <w:bookmarkStart w:id="110" w:name="_Toc16292"/>
      <w:bookmarkStart w:id="111" w:name="_Toc31428"/>
      <w:bookmarkStart w:id="112" w:name="_Toc6567"/>
      <w:bookmarkStart w:id="113" w:name="_Toc21302"/>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5"/>
      <w:bookmarkEnd w:id="106"/>
      <w:bookmarkEnd w:id="107"/>
      <w:bookmarkEnd w:id="108"/>
      <w:bookmarkEnd w:id="109"/>
      <w:bookmarkEnd w:id="110"/>
      <w:bookmarkEnd w:id="111"/>
      <w:bookmarkEnd w:id="112"/>
      <w:bookmarkEnd w:id="113"/>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4" w:name="_Toc25295"/>
      <w:bookmarkStart w:id="115" w:name="_Toc29705"/>
      <w:bookmarkStart w:id="116" w:name="_Toc15273"/>
      <w:bookmarkStart w:id="117" w:name="_Toc3918"/>
      <w:bookmarkStart w:id="118" w:name="_Toc16392"/>
      <w:bookmarkStart w:id="119" w:name="_Toc28737"/>
      <w:bookmarkStart w:id="120" w:name="_Toc12028"/>
      <w:bookmarkStart w:id="121" w:name="_Toc2160"/>
      <w:bookmarkStart w:id="122" w:name="_Toc15017"/>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4"/>
      <w:bookmarkEnd w:id="115"/>
      <w:bookmarkEnd w:id="116"/>
      <w:bookmarkEnd w:id="117"/>
      <w:bookmarkEnd w:id="118"/>
      <w:bookmarkEnd w:id="119"/>
      <w:bookmarkEnd w:id="120"/>
      <w:bookmarkEnd w:id="121"/>
      <w:bookmarkEnd w:id="12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3" w:name="_Toc7380"/>
      <w:bookmarkStart w:id="124" w:name="_Toc1281"/>
      <w:bookmarkStart w:id="125" w:name="_Toc18636"/>
      <w:bookmarkStart w:id="126" w:name="_Toc9223"/>
      <w:bookmarkStart w:id="127" w:name="_Toc17603"/>
      <w:bookmarkStart w:id="128" w:name="_Toc2643"/>
      <w:bookmarkStart w:id="129" w:name="_Toc12838"/>
      <w:bookmarkStart w:id="130" w:name="_Toc29714"/>
      <w:bookmarkStart w:id="131" w:name="_Toc3786"/>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3"/>
      <w:bookmarkEnd w:id="124"/>
      <w:bookmarkEnd w:id="125"/>
      <w:bookmarkEnd w:id="126"/>
      <w:bookmarkEnd w:id="127"/>
      <w:bookmarkEnd w:id="128"/>
      <w:bookmarkEnd w:id="129"/>
      <w:bookmarkEnd w:id="130"/>
      <w:bookmarkEnd w:id="13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2" w:name="_Toc27607"/>
      <w:bookmarkStart w:id="133" w:name="_Toc695"/>
      <w:bookmarkStart w:id="134" w:name="_Toc11560"/>
      <w:bookmarkStart w:id="135" w:name="_Toc21375"/>
      <w:bookmarkStart w:id="136" w:name="_Toc9574"/>
      <w:bookmarkStart w:id="137" w:name="_Toc10986"/>
      <w:bookmarkStart w:id="138" w:name="_Toc8253"/>
      <w:bookmarkStart w:id="139" w:name="_Toc21738"/>
      <w:bookmarkStart w:id="140" w:name="_Toc13087"/>
      <w:r>
        <w:rPr>
          <w:rFonts w:hint="eastAsia" w:ascii="仿宋" w:hAnsi="仿宋" w:eastAsia="仿宋" w:cs="仿宋"/>
          <w:b/>
          <w:color w:val="auto"/>
          <w:sz w:val="24"/>
          <w:szCs w:val="24"/>
          <w:highlight w:val="none"/>
          <w:lang w:val="zh-CN"/>
        </w:rPr>
        <w:t>（五）投标文件的编写要求</w:t>
      </w:r>
      <w:bookmarkEnd w:id="132"/>
      <w:bookmarkEnd w:id="133"/>
      <w:bookmarkEnd w:id="134"/>
      <w:bookmarkEnd w:id="135"/>
      <w:bookmarkEnd w:id="136"/>
      <w:bookmarkEnd w:id="137"/>
      <w:bookmarkEnd w:id="138"/>
      <w:bookmarkEnd w:id="139"/>
      <w:bookmarkEnd w:id="140"/>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1" w:name="_Toc1681"/>
      <w:bookmarkStart w:id="142" w:name="_Toc19554"/>
      <w:bookmarkStart w:id="143" w:name="_Toc30294"/>
      <w:bookmarkStart w:id="144" w:name="_Toc11144"/>
      <w:bookmarkStart w:id="145" w:name="_Toc2115"/>
      <w:bookmarkStart w:id="146" w:name="_Toc11902"/>
      <w:bookmarkStart w:id="147" w:name="_Toc4804"/>
      <w:bookmarkStart w:id="148" w:name="_Toc4232"/>
      <w:bookmarkStart w:id="149" w:name="_Toc14561"/>
      <w:r>
        <w:rPr>
          <w:rFonts w:hint="eastAsia" w:ascii="仿宋" w:hAnsi="仿宋" w:eastAsia="仿宋" w:cs="仿宋"/>
          <w:b/>
          <w:color w:val="auto"/>
          <w:sz w:val="24"/>
          <w:szCs w:val="24"/>
          <w:highlight w:val="none"/>
          <w:lang w:val="zh-CN"/>
        </w:rPr>
        <w:t>（六）投标报价要求</w:t>
      </w:r>
      <w:bookmarkEnd w:id="141"/>
      <w:bookmarkEnd w:id="142"/>
      <w:bookmarkEnd w:id="143"/>
      <w:bookmarkEnd w:id="144"/>
      <w:bookmarkEnd w:id="145"/>
      <w:bookmarkEnd w:id="146"/>
      <w:bookmarkEnd w:id="147"/>
      <w:bookmarkEnd w:id="148"/>
      <w:bookmarkEnd w:id="14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0"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0"/>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1" w:name="_Toc25857"/>
      <w:bookmarkStart w:id="152" w:name="_Toc6827"/>
      <w:bookmarkStart w:id="153" w:name="_Toc3341"/>
      <w:bookmarkStart w:id="154" w:name="_Toc18340"/>
      <w:bookmarkStart w:id="155" w:name="_Toc11741"/>
      <w:bookmarkStart w:id="156" w:name="_Toc14066"/>
      <w:bookmarkStart w:id="157" w:name="_Toc1086"/>
      <w:bookmarkStart w:id="158" w:name="_Toc26261"/>
      <w:bookmarkStart w:id="159" w:name="_Toc25806"/>
      <w:r>
        <w:rPr>
          <w:rFonts w:hint="eastAsia" w:ascii="仿宋" w:hAnsi="仿宋" w:eastAsia="仿宋" w:cs="仿宋"/>
          <w:b/>
          <w:color w:val="auto"/>
          <w:sz w:val="24"/>
          <w:szCs w:val="24"/>
          <w:highlight w:val="none"/>
          <w:lang w:val="zh-CN"/>
        </w:rPr>
        <w:t>（七）投标文件的式样和签署</w:t>
      </w:r>
      <w:bookmarkEnd w:id="151"/>
      <w:bookmarkEnd w:id="152"/>
      <w:bookmarkEnd w:id="153"/>
      <w:bookmarkEnd w:id="154"/>
      <w:bookmarkEnd w:id="155"/>
      <w:bookmarkEnd w:id="156"/>
      <w:bookmarkEnd w:id="157"/>
      <w:bookmarkEnd w:id="158"/>
      <w:bookmarkEnd w:id="15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0" w:name="_Toc12685"/>
      <w:bookmarkStart w:id="161" w:name="_Toc5650"/>
      <w:bookmarkStart w:id="162" w:name="_Toc19200"/>
      <w:bookmarkStart w:id="163" w:name="_Toc12544"/>
      <w:bookmarkStart w:id="164" w:name="_Toc22291"/>
      <w:bookmarkStart w:id="165" w:name="_Toc32210"/>
      <w:bookmarkStart w:id="166" w:name="_Toc22503"/>
      <w:bookmarkStart w:id="167" w:name="_Toc7086"/>
      <w:bookmarkStart w:id="168" w:name="_Toc1531"/>
      <w:r>
        <w:rPr>
          <w:rFonts w:hint="eastAsia" w:ascii="仿宋" w:hAnsi="仿宋" w:eastAsia="仿宋" w:cs="仿宋"/>
          <w:b/>
          <w:color w:val="auto"/>
          <w:sz w:val="24"/>
          <w:szCs w:val="24"/>
          <w:highlight w:val="none"/>
          <w:lang w:val="zh-CN"/>
        </w:rPr>
        <w:t>（八）投标文件的密封和提交</w:t>
      </w:r>
      <w:bookmarkEnd w:id="160"/>
      <w:bookmarkEnd w:id="161"/>
      <w:bookmarkEnd w:id="162"/>
      <w:bookmarkEnd w:id="163"/>
      <w:bookmarkEnd w:id="164"/>
      <w:bookmarkEnd w:id="165"/>
      <w:bookmarkEnd w:id="166"/>
      <w:bookmarkEnd w:id="167"/>
      <w:bookmarkEnd w:id="168"/>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69" w:name="_Toc21515"/>
      <w:bookmarkStart w:id="170" w:name="_Toc17873"/>
      <w:bookmarkStart w:id="171" w:name="_Toc14921"/>
      <w:bookmarkStart w:id="172" w:name="_Toc14306"/>
      <w:bookmarkStart w:id="173" w:name="_Toc23613"/>
      <w:bookmarkStart w:id="174" w:name="_Toc27743"/>
      <w:bookmarkStart w:id="175" w:name="_Toc3457"/>
      <w:bookmarkStart w:id="176" w:name="_Toc25855"/>
      <w:r>
        <w:rPr>
          <w:rFonts w:hint="eastAsia" w:ascii="仿宋" w:hAnsi="仿宋" w:eastAsia="仿宋" w:cs="仿宋"/>
          <w:b/>
          <w:color w:val="auto"/>
          <w:sz w:val="24"/>
          <w:szCs w:val="24"/>
          <w:highlight w:val="none"/>
          <w:lang w:val="zh-CN"/>
        </w:rPr>
        <w:t>四、开标</w:t>
      </w:r>
      <w:bookmarkEnd w:id="169"/>
      <w:bookmarkEnd w:id="170"/>
      <w:bookmarkEnd w:id="171"/>
      <w:bookmarkEnd w:id="172"/>
      <w:bookmarkEnd w:id="173"/>
      <w:bookmarkEnd w:id="174"/>
      <w:bookmarkEnd w:id="175"/>
      <w:bookmarkEnd w:id="176"/>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7" w:name="_Toc11628"/>
      <w:bookmarkStart w:id="178" w:name="_Toc3139"/>
      <w:bookmarkStart w:id="179" w:name="_Toc16283"/>
      <w:bookmarkStart w:id="180" w:name="_Toc8012"/>
      <w:bookmarkStart w:id="181" w:name="_Toc18691"/>
      <w:bookmarkStart w:id="182" w:name="_Toc21519"/>
      <w:bookmarkStart w:id="183" w:name="_Toc22028"/>
      <w:bookmarkStart w:id="184" w:name="_Toc13967"/>
      <w:r>
        <w:rPr>
          <w:rFonts w:hint="eastAsia" w:ascii="仿宋" w:hAnsi="仿宋" w:eastAsia="仿宋" w:cs="仿宋"/>
          <w:b/>
          <w:color w:val="auto"/>
          <w:sz w:val="24"/>
          <w:szCs w:val="24"/>
          <w:highlight w:val="none"/>
          <w:lang w:val="zh-CN"/>
        </w:rPr>
        <w:t>五、评标</w:t>
      </w:r>
      <w:bookmarkEnd w:id="177"/>
      <w:bookmarkEnd w:id="178"/>
      <w:bookmarkEnd w:id="179"/>
      <w:bookmarkEnd w:id="180"/>
      <w:bookmarkEnd w:id="181"/>
      <w:bookmarkEnd w:id="182"/>
      <w:bookmarkEnd w:id="183"/>
      <w:bookmarkEnd w:id="18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5" w:name="_Toc20761"/>
      <w:bookmarkStart w:id="186" w:name="_Toc25493"/>
      <w:bookmarkStart w:id="187" w:name="_Toc14292"/>
      <w:bookmarkStart w:id="188" w:name="_Toc6520"/>
      <w:bookmarkStart w:id="189" w:name="_Toc29394"/>
      <w:bookmarkStart w:id="190" w:name="_Toc14972"/>
      <w:bookmarkStart w:id="191" w:name="_Toc114"/>
      <w:bookmarkStart w:id="192" w:name="_Toc18147"/>
      <w:r>
        <w:rPr>
          <w:rFonts w:hint="eastAsia" w:ascii="仿宋" w:hAnsi="仿宋" w:eastAsia="仿宋" w:cs="仿宋"/>
          <w:b/>
          <w:color w:val="auto"/>
          <w:sz w:val="24"/>
          <w:szCs w:val="24"/>
          <w:highlight w:val="none"/>
          <w:lang w:val="zh-CN"/>
        </w:rPr>
        <w:t>六、</w:t>
      </w:r>
      <w:bookmarkStart w:id="193" w:name="_Toc495671240"/>
      <w:r>
        <w:rPr>
          <w:rFonts w:hint="eastAsia" w:ascii="仿宋" w:hAnsi="仿宋" w:eastAsia="仿宋" w:cs="仿宋"/>
          <w:b/>
          <w:color w:val="auto"/>
          <w:sz w:val="24"/>
          <w:szCs w:val="24"/>
          <w:highlight w:val="none"/>
          <w:lang w:val="zh-CN"/>
        </w:rPr>
        <w:t>评标程序及评标办法</w:t>
      </w:r>
      <w:bookmarkEnd w:id="185"/>
      <w:bookmarkEnd w:id="186"/>
      <w:bookmarkEnd w:id="187"/>
      <w:bookmarkEnd w:id="188"/>
      <w:bookmarkEnd w:id="189"/>
      <w:bookmarkEnd w:id="190"/>
      <w:bookmarkEnd w:id="191"/>
      <w:bookmarkEnd w:id="192"/>
      <w:bookmarkEnd w:id="19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4" w:name="_Toc26"/>
      <w:bookmarkStart w:id="195" w:name="_Toc16065"/>
      <w:bookmarkStart w:id="196" w:name="_Toc14549"/>
      <w:bookmarkStart w:id="197" w:name="_Toc21585"/>
      <w:bookmarkStart w:id="198" w:name="_Toc19431"/>
      <w:bookmarkStart w:id="199" w:name="_Toc2042"/>
      <w:bookmarkStart w:id="200" w:name="_Toc1543"/>
      <w:bookmarkStart w:id="201" w:name="_Toc11994"/>
      <w:bookmarkStart w:id="202" w:name="_Toc2630"/>
      <w:r>
        <w:rPr>
          <w:rFonts w:hint="eastAsia" w:ascii="仿宋" w:hAnsi="仿宋" w:eastAsia="仿宋" w:cs="仿宋"/>
          <w:color w:val="auto"/>
          <w:sz w:val="24"/>
          <w:szCs w:val="24"/>
          <w:highlight w:val="none"/>
        </w:rPr>
        <w:t>（一）投标文件初审</w:t>
      </w:r>
      <w:bookmarkEnd w:id="194"/>
      <w:bookmarkEnd w:id="195"/>
      <w:bookmarkEnd w:id="196"/>
      <w:bookmarkEnd w:id="197"/>
      <w:bookmarkEnd w:id="198"/>
      <w:bookmarkEnd w:id="199"/>
      <w:bookmarkEnd w:id="200"/>
      <w:bookmarkEnd w:id="201"/>
      <w:bookmarkEnd w:id="202"/>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3" w:name="_Toc1611"/>
      <w:bookmarkStart w:id="204" w:name="_Toc29517"/>
      <w:bookmarkStart w:id="205" w:name="_Toc1537"/>
      <w:bookmarkStart w:id="206" w:name="_Toc30113"/>
      <w:bookmarkStart w:id="207" w:name="_Toc31002"/>
      <w:bookmarkStart w:id="208" w:name="_Toc2955"/>
      <w:bookmarkStart w:id="209" w:name="_Toc17700"/>
      <w:bookmarkStart w:id="210" w:name="_Toc2488"/>
      <w:bookmarkStart w:id="211" w:name="_Toc29000"/>
      <w:bookmarkStart w:id="212" w:name="_Toc27332"/>
      <w:bookmarkStart w:id="213" w:name="_Toc5181"/>
      <w:bookmarkStart w:id="214" w:name="_Toc13137"/>
      <w:bookmarkStart w:id="215" w:name="_Toc8286"/>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3"/>
      <w:bookmarkEnd w:id="204"/>
      <w:bookmarkEnd w:id="205"/>
      <w:bookmarkEnd w:id="206"/>
      <w:bookmarkEnd w:id="207"/>
      <w:bookmarkEnd w:id="208"/>
      <w:bookmarkEnd w:id="209"/>
      <w:bookmarkEnd w:id="210"/>
      <w:bookmarkEnd w:id="21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指标</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所投产品技术参数清楚、明确，完全满足或优于招标文件要求且证明材料齐全的得</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分。所投产品技术参数每负偏离一项扣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其中★项每</w:t>
            </w:r>
            <w:r>
              <w:rPr>
                <w:rFonts w:hint="eastAsia" w:ascii="仿宋" w:hAnsi="仿宋" w:eastAsia="仿宋" w:cs="仿宋"/>
                <w:color w:val="auto"/>
                <w:sz w:val="24"/>
                <w:szCs w:val="24"/>
                <w:highlight w:val="none"/>
              </w:rPr>
              <w:t>负偏离一项扣</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noWrap w:val="0"/>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实施方案</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针对本项目有完善的项目实施及服务实施方案，供货组织安排、分工合理，责任明确，财力调配、运输、派送措施等。根据供应商的响应情况赋分</w:t>
            </w:r>
            <w:r>
              <w:rPr>
                <w:rFonts w:hint="eastAsia" w:ascii="仿宋" w:hAnsi="仿宋" w:eastAsia="仿宋" w:cs="仿宋"/>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4"/>
                <w:szCs w:val="24"/>
                <w:highlight w:val="none"/>
                <w:lang w:val="en-US" w:eastAsia="zh-CN"/>
              </w:rPr>
              <w:t>质量保证</w:t>
            </w:r>
          </w:p>
        </w:tc>
        <w:tc>
          <w:tcPr>
            <w:tcW w:w="6929" w:type="dxa"/>
            <w:noWrap w:val="0"/>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jc w:val="left"/>
              <w:textAlignment w:val="auto"/>
              <w:outlineLvl w:val="9"/>
              <w:rPr>
                <w:rFonts w:hint="eastAsia" w:ascii="仿宋" w:hAnsi="仿宋" w:eastAsia="仿宋" w:cs="仿宋"/>
                <w:color w:val="auto"/>
                <w:spacing w:val="0"/>
                <w:sz w:val="24"/>
                <w:szCs w:val="24"/>
                <w:highlight w:val="none"/>
                <w:lang w:val="zh-CN" w:eastAsia="zh-CN"/>
              </w:rPr>
            </w:pPr>
            <w:r>
              <w:rPr>
                <w:rFonts w:hint="eastAsia" w:ascii="仿宋" w:hAnsi="仿宋" w:eastAsia="仿宋" w:cs="仿宋"/>
                <w:color w:val="auto"/>
                <w:spacing w:val="0"/>
                <w:sz w:val="24"/>
                <w:szCs w:val="24"/>
                <w:highlight w:val="none"/>
                <w:lang w:val="zh-CN" w:eastAsia="zh-CN"/>
              </w:rPr>
              <w:t>1.产品货源渠道正常，提供产品货源渠道证明材料，按其响应程度计0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p>
            <w:pPr>
              <w:shd w:val="clear"/>
              <w:snapToGrid w:val="0"/>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0"/>
                <w:sz w:val="24"/>
                <w:szCs w:val="24"/>
                <w:highlight w:val="none"/>
                <w:lang w:val="zh-CN" w:eastAsia="zh-CN"/>
              </w:rPr>
              <w:t>2.</w:t>
            </w:r>
            <w:r>
              <w:rPr>
                <w:rFonts w:hint="eastAsia" w:ascii="仿宋" w:hAnsi="仿宋" w:eastAsia="仿宋" w:cs="仿宋"/>
                <w:color w:val="auto"/>
                <w:spacing w:val="0"/>
                <w:sz w:val="24"/>
                <w:szCs w:val="24"/>
                <w:highlight w:val="none"/>
                <w:lang w:eastAsia="zh-CN"/>
              </w:rPr>
              <w:t>响应产品技术质量保证完善，符合国际、国内相关标准或行业标准</w:t>
            </w:r>
            <w:r>
              <w:rPr>
                <w:rFonts w:hint="eastAsia" w:ascii="仿宋" w:hAnsi="仿宋" w:eastAsia="仿宋" w:cs="仿宋"/>
                <w:color w:val="auto"/>
                <w:spacing w:val="0"/>
                <w:sz w:val="24"/>
                <w:szCs w:val="24"/>
                <w:highlight w:val="none"/>
                <w:lang w:val="zh-CN" w:eastAsia="zh-CN"/>
              </w:rPr>
              <w:t>，按其响应程度计0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月今以合同签订时间为准）的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项目业绩，每提供一份得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演示</w:t>
            </w:r>
          </w:p>
        </w:tc>
        <w:tc>
          <w:tcPr>
            <w:tcW w:w="6929" w:type="dxa"/>
            <w:noWrap w:val="0"/>
            <w:vAlign w:val="center"/>
          </w:tcPr>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根据招标文件要求进行现场</w:t>
            </w:r>
            <w:r>
              <w:rPr>
                <w:rFonts w:hint="eastAsia" w:ascii="仿宋" w:hAnsi="仿宋" w:eastAsia="仿宋" w:cs="仿宋"/>
                <w:color w:val="auto"/>
                <w:sz w:val="24"/>
                <w:szCs w:val="24"/>
                <w:highlight w:val="none"/>
                <w:lang w:val="en-US" w:eastAsia="zh-CN"/>
              </w:rPr>
              <w:t>视频</w:t>
            </w:r>
            <w:r>
              <w:rPr>
                <w:rFonts w:hint="eastAsia" w:ascii="仿宋" w:hAnsi="仿宋" w:eastAsia="仿宋" w:cs="仿宋"/>
                <w:color w:val="auto"/>
                <w:sz w:val="24"/>
                <w:szCs w:val="24"/>
                <w:highlight w:val="none"/>
              </w:rPr>
              <w:t>演示</w:t>
            </w:r>
            <w:r>
              <w:rPr>
                <w:rFonts w:hint="eastAsia" w:ascii="仿宋" w:hAnsi="仿宋" w:eastAsia="仿宋" w:cs="仿宋"/>
                <w:color w:val="auto"/>
                <w:sz w:val="24"/>
                <w:szCs w:val="24"/>
                <w:highlight w:val="none"/>
                <w:lang w:val="en-US" w:eastAsia="zh-CN"/>
              </w:rPr>
              <w:t>或设备展示</w:t>
            </w:r>
            <w:r>
              <w:rPr>
                <w:rFonts w:hint="eastAsia" w:ascii="仿宋" w:hAnsi="仿宋" w:eastAsia="仿宋" w:cs="仿宋"/>
                <w:color w:val="auto"/>
                <w:sz w:val="24"/>
                <w:szCs w:val="24"/>
                <w:highlight w:val="none"/>
              </w:rPr>
              <w:t>，演示每满足一条得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分，不满足不得分，最高得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演示顺序根据提交投标文件顺序决定。演示时间不超过10分钟。演示设备自行准备，演示平台自行搭建。</w:t>
            </w:r>
          </w:p>
          <w:p>
            <w:pPr>
              <w:shd w:val="clear"/>
              <w:adjustRightInd w:val="0"/>
              <w:snapToGrid w:val="0"/>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IP网络音频系统软件演示</w:t>
            </w:r>
            <w:r>
              <w:rPr>
                <w:rFonts w:hint="eastAsia" w:ascii="仿宋" w:hAnsi="仿宋" w:eastAsia="仿宋" w:cs="仿宋"/>
                <w:b/>
                <w:bCs/>
                <w:color w:val="auto"/>
                <w:sz w:val="24"/>
                <w:szCs w:val="24"/>
                <w:highlight w:val="none"/>
                <w:lang w:eastAsia="zh-CN"/>
              </w:rPr>
              <w:t>：</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1、具有自动搜索设备功能，未添加的设备会以列表的形式呈现，快速将设备添加到系统中。</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数据界面具有在线用户、广播任务、求助报警、电子地图、终端占比，服务器CPU占用率、CPU温度、内存使用率、网速、硬盘等数据图文显示，其中在线用户、广播任务、求助报警可根据年月周选择不同时段进行图文显示。</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3.支持地图显示，可以实时显示设备的位置坐标信息、供电状态、工作状态等，并可实现圈选广播功能。</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4.支持远程电源管理，可控制电源管理设备启停时间、打开模式、短路输出状态、打开通道选择等。</w:t>
            </w:r>
          </w:p>
          <w:p>
            <w:pPr>
              <w:shd w:val="clear"/>
              <w:adjustRightInd w:val="0"/>
              <w:snapToGrid w:val="0"/>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IP网络控制主机演示</w:t>
            </w:r>
            <w:r>
              <w:rPr>
                <w:rFonts w:hint="eastAsia" w:ascii="仿宋" w:hAnsi="仿宋" w:eastAsia="仿宋" w:cs="仿宋"/>
                <w:b/>
                <w:bCs/>
                <w:color w:val="auto"/>
                <w:sz w:val="24"/>
                <w:szCs w:val="24"/>
                <w:highlight w:val="none"/>
                <w:lang w:eastAsia="zh-CN"/>
              </w:rPr>
              <w:t>：</w:t>
            </w:r>
          </w:p>
          <w:p>
            <w:pPr>
              <w:shd w:val="clear"/>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具有手持话柄，具有HDMI视频输出接口，可以实现异屏异显功能。</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6"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2"/>
      <w:bookmarkEnd w:id="213"/>
      <w:bookmarkEnd w:id="214"/>
      <w:bookmarkEnd w:id="215"/>
      <w:bookmarkEnd w:id="216"/>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7" w:name="_Toc9209"/>
      <w:bookmarkStart w:id="218" w:name="_Toc16187"/>
      <w:bookmarkStart w:id="219" w:name="_Toc16649"/>
      <w:bookmarkStart w:id="220" w:name="_Toc29598"/>
      <w:bookmarkStart w:id="221" w:name="_Toc30211"/>
      <w:bookmarkStart w:id="222" w:name="_Toc10499"/>
      <w:bookmarkStart w:id="223" w:name="_Toc15871"/>
      <w:bookmarkStart w:id="224" w:name="_Toc17114"/>
      <w:bookmarkStart w:id="225" w:name="_Toc17060"/>
      <w:r>
        <w:rPr>
          <w:rFonts w:hint="eastAsia" w:ascii="仿宋" w:hAnsi="仿宋" w:eastAsia="仿宋" w:cs="仿宋"/>
          <w:color w:val="auto"/>
          <w:sz w:val="24"/>
          <w:szCs w:val="24"/>
          <w:highlight w:val="none"/>
          <w:lang w:val="zh-CN"/>
        </w:rPr>
        <w:t>（四）推荐中标候选人名单</w:t>
      </w:r>
      <w:bookmarkEnd w:id="217"/>
      <w:bookmarkEnd w:id="218"/>
      <w:bookmarkEnd w:id="219"/>
      <w:bookmarkEnd w:id="220"/>
      <w:bookmarkEnd w:id="221"/>
      <w:bookmarkEnd w:id="222"/>
      <w:bookmarkEnd w:id="223"/>
      <w:bookmarkEnd w:id="224"/>
      <w:bookmarkEnd w:id="225"/>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6" w:name="_Toc18731"/>
      <w:bookmarkStart w:id="227" w:name="_Toc22251"/>
      <w:bookmarkStart w:id="228" w:name="_Toc2662"/>
      <w:bookmarkStart w:id="229" w:name="_Toc12272"/>
      <w:bookmarkStart w:id="230" w:name="_Toc561"/>
      <w:bookmarkStart w:id="231" w:name="_Toc13328"/>
      <w:bookmarkStart w:id="232" w:name="_Toc5432"/>
      <w:bookmarkStart w:id="233" w:name="_Toc11082"/>
      <w:r>
        <w:rPr>
          <w:rFonts w:hint="eastAsia" w:ascii="仿宋" w:hAnsi="仿宋" w:eastAsia="仿宋" w:cs="仿宋"/>
          <w:b/>
          <w:color w:val="auto"/>
          <w:sz w:val="24"/>
          <w:szCs w:val="24"/>
          <w:highlight w:val="none"/>
          <w:lang w:val="zh-CN"/>
        </w:rPr>
        <w:t>七、确定</w:t>
      </w:r>
      <w:bookmarkEnd w:id="226"/>
      <w:bookmarkEnd w:id="227"/>
      <w:r>
        <w:rPr>
          <w:rFonts w:hint="eastAsia" w:ascii="仿宋" w:hAnsi="仿宋" w:eastAsia="仿宋" w:cs="仿宋"/>
          <w:b/>
          <w:color w:val="auto"/>
          <w:sz w:val="24"/>
          <w:szCs w:val="24"/>
          <w:highlight w:val="none"/>
          <w:lang w:val="zh-CN"/>
        </w:rPr>
        <w:t>中标供应商</w:t>
      </w:r>
      <w:bookmarkEnd w:id="228"/>
      <w:bookmarkEnd w:id="229"/>
      <w:bookmarkEnd w:id="230"/>
      <w:bookmarkEnd w:id="231"/>
      <w:bookmarkEnd w:id="232"/>
      <w:bookmarkEnd w:id="233"/>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4" w:name="_Toc7972"/>
      <w:bookmarkStart w:id="235" w:name="_Toc7578"/>
      <w:bookmarkStart w:id="236" w:name="_Toc15275"/>
      <w:bookmarkStart w:id="237" w:name="_Toc27317"/>
      <w:bookmarkStart w:id="238" w:name="_Toc19571"/>
      <w:bookmarkStart w:id="239" w:name="_Toc19938"/>
      <w:bookmarkStart w:id="240" w:name="_Toc21655"/>
      <w:bookmarkStart w:id="241" w:name="_Toc16609"/>
      <w:r>
        <w:rPr>
          <w:rFonts w:hint="eastAsia" w:ascii="仿宋" w:hAnsi="仿宋" w:eastAsia="仿宋" w:cs="仿宋"/>
          <w:b/>
          <w:color w:val="auto"/>
          <w:sz w:val="24"/>
          <w:szCs w:val="24"/>
          <w:highlight w:val="none"/>
          <w:lang w:val="zh-CN"/>
        </w:rPr>
        <w:t>八、合同</w:t>
      </w:r>
      <w:bookmarkEnd w:id="234"/>
      <w:bookmarkEnd w:id="235"/>
      <w:bookmarkEnd w:id="236"/>
      <w:bookmarkEnd w:id="237"/>
      <w:bookmarkEnd w:id="238"/>
      <w:bookmarkEnd w:id="239"/>
      <w:bookmarkEnd w:id="240"/>
      <w:bookmarkEnd w:id="24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2" w:name="_Toc5062"/>
      <w:bookmarkStart w:id="243" w:name="_Toc1946"/>
      <w:bookmarkStart w:id="244" w:name="_Toc15593"/>
      <w:bookmarkStart w:id="245" w:name="_Toc28649"/>
      <w:bookmarkStart w:id="246" w:name="_Toc27949"/>
      <w:bookmarkStart w:id="247" w:name="_Toc29523"/>
      <w:bookmarkStart w:id="248" w:name="_Toc21976"/>
      <w:bookmarkStart w:id="249" w:name="_Toc9424"/>
      <w:r>
        <w:rPr>
          <w:rFonts w:hint="eastAsia" w:ascii="仿宋" w:hAnsi="仿宋" w:eastAsia="仿宋" w:cs="仿宋"/>
          <w:b/>
          <w:color w:val="auto"/>
          <w:sz w:val="24"/>
          <w:szCs w:val="24"/>
          <w:highlight w:val="none"/>
          <w:lang w:val="zh-CN"/>
        </w:rPr>
        <w:t>九、中标服务费</w:t>
      </w:r>
      <w:bookmarkEnd w:id="242"/>
      <w:bookmarkEnd w:id="243"/>
      <w:bookmarkEnd w:id="244"/>
      <w:bookmarkEnd w:id="245"/>
      <w:bookmarkEnd w:id="246"/>
      <w:bookmarkEnd w:id="247"/>
      <w:bookmarkEnd w:id="248"/>
      <w:bookmarkEnd w:id="249"/>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0" w:name="_Toc495671245"/>
      <w:bookmarkStart w:id="251" w:name="_Toc29526"/>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2" w:name="_Toc21712"/>
      <w:bookmarkStart w:id="253" w:name="_Toc13550"/>
      <w:bookmarkStart w:id="254" w:name="_Toc6650"/>
      <w:bookmarkStart w:id="255" w:name="_Toc32450"/>
      <w:bookmarkStart w:id="256" w:name="_Toc22638"/>
      <w:bookmarkStart w:id="257" w:name="_Toc11240"/>
      <w:bookmarkStart w:id="258" w:name="_Toc2882"/>
      <w:r>
        <w:rPr>
          <w:rFonts w:hint="eastAsia" w:ascii="仿宋" w:hAnsi="仿宋" w:eastAsia="仿宋" w:cs="仿宋"/>
          <w:b/>
          <w:color w:val="auto"/>
          <w:sz w:val="24"/>
          <w:szCs w:val="24"/>
          <w:highlight w:val="none"/>
          <w:lang w:val="zh-CN"/>
        </w:rPr>
        <w:t>十、废标或者采购方式的变更</w:t>
      </w:r>
      <w:bookmarkEnd w:id="250"/>
      <w:bookmarkEnd w:id="251"/>
      <w:bookmarkEnd w:id="252"/>
      <w:bookmarkEnd w:id="253"/>
      <w:bookmarkEnd w:id="254"/>
      <w:bookmarkEnd w:id="255"/>
      <w:bookmarkEnd w:id="256"/>
      <w:bookmarkEnd w:id="257"/>
      <w:bookmarkEnd w:id="258"/>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59" w:name="_Toc19867"/>
      <w:bookmarkStart w:id="260" w:name="_Toc4168"/>
      <w:bookmarkStart w:id="261" w:name="_Toc16112"/>
      <w:bookmarkStart w:id="262" w:name="_Toc12765"/>
      <w:bookmarkStart w:id="263" w:name="_Toc18276"/>
      <w:bookmarkStart w:id="264" w:name="_Toc19552"/>
      <w:r>
        <w:rPr>
          <w:rFonts w:hint="eastAsia" w:ascii="仿宋" w:hAnsi="仿宋" w:eastAsia="仿宋" w:cs="仿宋"/>
          <w:color w:val="auto"/>
          <w:sz w:val="24"/>
          <w:szCs w:val="24"/>
          <w:highlight w:val="none"/>
          <w:lang w:val="zh-CN"/>
        </w:rPr>
        <w:t>（一）废标</w:t>
      </w:r>
      <w:bookmarkEnd w:id="259"/>
      <w:bookmarkEnd w:id="260"/>
      <w:bookmarkEnd w:id="261"/>
      <w:bookmarkEnd w:id="262"/>
      <w:bookmarkEnd w:id="263"/>
      <w:bookmarkEnd w:id="264"/>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5" w:name="_Toc23755"/>
      <w:bookmarkStart w:id="266" w:name="_Toc20612"/>
      <w:bookmarkStart w:id="267" w:name="_Toc27818"/>
      <w:bookmarkStart w:id="268" w:name="_Toc25928"/>
      <w:bookmarkStart w:id="269" w:name="_Toc10147"/>
      <w:bookmarkStart w:id="270" w:name="_Toc4528"/>
      <w:r>
        <w:rPr>
          <w:rFonts w:hint="eastAsia" w:ascii="仿宋" w:hAnsi="仿宋" w:eastAsia="仿宋" w:cs="仿宋"/>
          <w:color w:val="auto"/>
          <w:sz w:val="24"/>
          <w:szCs w:val="24"/>
          <w:highlight w:val="none"/>
          <w:lang w:val="zh-CN"/>
        </w:rPr>
        <w:t>（二）采购方式的变更</w:t>
      </w:r>
      <w:bookmarkEnd w:id="265"/>
      <w:bookmarkEnd w:id="266"/>
      <w:bookmarkEnd w:id="267"/>
      <w:bookmarkEnd w:id="268"/>
      <w:bookmarkEnd w:id="269"/>
      <w:bookmarkEnd w:id="27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1" w:name="_Toc16329"/>
      <w:bookmarkStart w:id="272" w:name="_Toc12871"/>
      <w:bookmarkStart w:id="273" w:name="_Toc5755"/>
      <w:bookmarkStart w:id="274" w:name="_Toc22403"/>
      <w:bookmarkStart w:id="275" w:name="_Toc495671239"/>
      <w:bookmarkStart w:id="276" w:name="_Toc19640"/>
      <w:bookmarkStart w:id="277" w:name="_Toc206"/>
      <w:bookmarkStart w:id="278" w:name="_Toc21416"/>
      <w:bookmarkStart w:id="279" w:name="_Toc29960"/>
      <w:r>
        <w:rPr>
          <w:rFonts w:hint="eastAsia" w:ascii="仿宋" w:hAnsi="仿宋" w:eastAsia="仿宋" w:cs="仿宋"/>
          <w:b/>
          <w:color w:val="auto"/>
          <w:sz w:val="24"/>
          <w:szCs w:val="24"/>
          <w:highlight w:val="none"/>
          <w:lang w:val="zh-CN"/>
        </w:rPr>
        <w:t>十一、需要落实的政府采购政策</w:t>
      </w:r>
      <w:bookmarkEnd w:id="271"/>
      <w:bookmarkEnd w:id="272"/>
      <w:bookmarkEnd w:id="273"/>
      <w:bookmarkEnd w:id="274"/>
      <w:bookmarkEnd w:id="275"/>
      <w:bookmarkEnd w:id="276"/>
      <w:bookmarkEnd w:id="277"/>
      <w:bookmarkEnd w:id="278"/>
      <w:bookmarkEnd w:id="279"/>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0" w:name="_Toc31691"/>
      <w:bookmarkStart w:id="281" w:name="_Toc26022"/>
      <w:bookmarkStart w:id="282" w:name="_Toc5903"/>
      <w:bookmarkStart w:id="283" w:name="_Toc6204"/>
      <w:bookmarkStart w:id="284" w:name="_Toc19879"/>
      <w:bookmarkStart w:id="285" w:name="_Toc19661"/>
      <w:bookmarkStart w:id="286" w:name="_Toc13861"/>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7" w:name="_Toc6895"/>
      <w:bookmarkStart w:id="288" w:name="_Toc3946"/>
      <w:r>
        <w:rPr>
          <w:rFonts w:hint="eastAsia" w:ascii="仿宋" w:hAnsi="仿宋" w:eastAsia="仿宋" w:cs="仿宋"/>
          <w:b/>
          <w:color w:val="auto"/>
          <w:sz w:val="24"/>
          <w:szCs w:val="24"/>
          <w:highlight w:val="none"/>
          <w:lang w:val="zh-CN"/>
        </w:rPr>
        <w:t>十二、质疑与投诉</w:t>
      </w:r>
      <w:bookmarkEnd w:id="280"/>
      <w:bookmarkEnd w:id="281"/>
      <w:bookmarkEnd w:id="282"/>
      <w:bookmarkEnd w:id="283"/>
      <w:bookmarkEnd w:id="284"/>
      <w:bookmarkEnd w:id="285"/>
      <w:bookmarkEnd w:id="286"/>
      <w:bookmarkEnd w:id="287"/>
      <w:bookmarkEnd w:id="28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89" w:name="_Toc6521"/>
      <w:bookmarkStart w:id="290" w:name="_Toc23643"/>
      <w:bookmarkStart w:id="291" w:name="_Toc6295"/>
      <w:bookmarkStart w:id="292" w:name="_Toc31018"/>
      <w:bookmarkStart w:id="293" w:name="_Toc8990"/>
      <w:bookmarkStart w:id="294" w:name="_Toc2942"/>
      <w:bookmarkStart w:id="295" w:name="_Toc5806"/>
      <w:r>
        <w:rPr>
          <w:rFonts w:hint="eastAsia" w:ascii="仿宋" w:hAnsi="仿宋" w:eastAsia="仿宋" w:cs="仿宋"/>
          <w:bCs/>
          <w:color w:val="auto"/>
          <w:sz w:val="24"/>
          <w:szCs w:val="24"/>
          <w:highlight w:val="none"/>
          <w:lang w:val="zh-CN"/>
        </w:rPr>
        <w:t>（一）质疑</w:t>
      </w:r>
      <w:bookmarkEnd w:id="289"/>
      <w:bookmarkEnd w:id="290"/>
      <w:bookmarkEnd w:id="291"/>
      <w:bookmarkEnd w:id="292"/>
      <w:bookmarkEnd w:id="293"/>
      <w:bookmarkEnd w:id="294"/>
      <w:bookmarkEnd w:id="295"/>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6" w:name="_Toc11431"/>
      <w:bookmarkStart w:id="297" w:name="_Toc5958"/>
      <w:bookmarkStart w:id="298" w:name="_Toc27095"/>
      <w:bookmarkStart w:id="299" w:name="_Toc26510"/>
      <w:bookmarkStart w:id="300" w:name="_Toc32713"/>
      <w:bookmarkStart w:id="301" w:name="_Toc18625"/>
      <w:bookmarkStart w:id="302" w:name="_Toc17782"/>
      <w:r>
        <w:rPr>
          <w:rFonts w:hint="eastAsia" w:ascii="仿宋" w:hAnsi="仿宋" w:eastAsia="仿宋" w:cs="仿宋"/>
          <w:bCs/>
          <w:color w:val="auto"/>
          <w:sz w:val="24"/>
          <w:szCs w:val="24"/>
          <w:highlight w:val="none"/>
          <w:lang w:val="zh-CN"/>
        </w:rPr>
        <w:t>（二）投诉</w:t>
      </w:r>
      <w:bookmarkEnd w:id="296"/>
      <w:bookmarkEnd w:id="297"/>
      <w:bookmarkEnd w:id="298"/>
      <w:bookmarkEnd w:id="299"/>
      <w:bookmarkEnd w:id="300"/>
      <w:bookmarkEnd w:id="301"/>
      <w:bookmarkEnd w:id="302"/>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8"/>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03" w:name="_Toc19653"/>
      <w:bookmarkStart w:id="304" w:name="_Toc21287"/>
      <w:bookmarkStart w:id="305" w:name="_Toc32356"/>
      <w:bookmarkStart w:id="306" w:name="_Toc2506"/>
      <w:bookmarkStart w:id="307" w:name="_Toc92"/>
      <w:bookmarkStart w:id="308" w:name="_Toc10487"/>
      <w:bookmarkStart w:id="309" w:name="_Toc475451545"/>
      <w:bookmarkStart w:id="310" w:name="_Toc16390"/>
    </w:p>
    <w:bookmarkEnd w:id="303"/>
    <w:bookmarkEnd w:id="304"/>
    <w:bookmarkEnd w:id="305"/>
    <w:bookmarkEnd w:id="306"/>
    <w:bookmarkEnd w:id="307"/>
    <w:bookmarkEnd w:id="308"/>
    <w:bookmarkEnd w:id="309"/>
    <w:bookmarkEnd w:id="310"/>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1" w:name="_Toc2581"/>
      <w:bookmarkStart w:id="312" w:name="_Toc10479"/>
      <w:bookmarkStart w:id="313" w:name="_Toc5583"/>
      <w:bookmarkStart w:id="314" w:name="_Toc30412"/>
      <w:bookmarkStart w:id="315" w:name="_Toc8548"/>
      <w:bookmarkStart w:id="316" w:name="_Toc20745"/>
      <w:bookmarkStart w:id="317" w:name="_Toc475451547"/>
      <w:bookmarkStart w:id="318" w:name="_Toc23736"/>
      <w:bookmarkStart w:id="319" w:name="_Toc6869"/>
      <w:bookmarkStart w:id="320" w:name="_Toc15680"/>
      <w:bookmarkStart w:id="321" w:name="_Toc14093"/>
      <w:bookmarkStart w:id="322" w:name="_Toc25524"/>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1"/>
    </w:p>
    <w:p>
      <w:pPr>
        <w:pStyle w:val="9"/>
        <w:shd w:val="clear"/>
        <w:bidi w:val="0"/>
        <w:jc w:val="both"/>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一、校园监控</w:t>
      </w:r>
    </w:p>
    <w:tbl>
      <w:tblPr>
        <w:tblStyle w:val="21"/>
        <w:tblW w:w="90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57"/>
        <w:gridCol w:w="1080"/>
        <w:gridCol w:w="5606"/>
        <w:gridCol w:w="586"/>
        <w:gridCol w:w="676"/>
        <w:gridCol w:w="5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名称</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规格参数</w:t>
            </w:r>
          </w:p>
        </w:tc>
        <w:tc>
          <w:tcPr>
            <w:tcW w:w="58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暖光全彩定焦枪型网络摄像机</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1、采用高性能不低于400万像素1/3英寸CMOS图像传感器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2、可输出不低于400万(2560×1440)@25fps，最大可输出400万(2688×1520)@20fps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3、支持H.265编码，压缩比高，超低码流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4、内置高效暖光补光灯，最大补光监控距离30米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5、支持ROI，SMART H.264/H.265，灵活编码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6、走廊模式，宽动态，3D降噪，强光抑制，背光补偿，数字水印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7、智能侦测：区域入侵，绊线入侵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8、多种异常检测：动态检测，视频遮挡，场景变更，网络断开，IP冲突，非法访问，电压检测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9、DC12V/POE供电方式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10、IP67防护等级采用高性能400万像素1/3英寸CMOS图像传感器，低照度效果好，图像清晰度高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11、在IE浏览器下，具有TCP/IP、HTTP、HTTPS、FTP、DNS、DDNS、RTSP、IPv4/v6、SMTP、NTP、UPnP、SNMP、802.1x、QoS、组播、UDP、Bonjour设置选项。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12、同一静止场景相同图像质量下，开启智能编码功能和不开启智能编码功能相比，码流节约1/2左右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13、与PC端之间以长度为150m的五类非屏蔽网线直接连接，PC端连续发送2000个数据包，重复测试3次，每次丢包数不大于1个。</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080"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枪机壁装支架</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1、采用铝合金材质，不易生锈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2、支持最大承重1.0kg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3、支持水平：0~360°,竖直：-60°~0°旋转角度范围</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智能定焦枪型网络摄像机</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1、传感器类型：1/1.8英寸+1/3英寸CMOS；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2、像素：≥400万；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3、最大分辨率：2688×1520；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4、最低照度：0.001Lux（彩色模式）；0.0001Lux（黑白模式）；0Lux（补光灯开启）；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5、最大补光距离：50m（视频监控距离）7m（人脸检测距离）；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6、镜头类型：定焦；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7、镜头焦距：6mm；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8、通用行为分析：物品遗留;物品搬移；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9、热度图：支持；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10、周界防范：绊线入侵;区域入侵;快速移动（三项均支持人车分类及精准检测）;徘徊检测;人员聚集;停车检测；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11、人脸检测：支持人脸检测;支持跟踪;支持优选;支持抓拍;支持上报最优的人脸抓图;支持人脸增强，支持人脸曝光;支持人脸抠图区域可设：人脸， 单寸照， 自定义;支持实时抓拍、优选抓拍、质量优先三种抓拍策略;支持人脸角度过滤功能;支持优选时长可设；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12、人数统计：支持绊线人数统计，并可显示及输出日、月、年统计报表;支持区域内人数统计;支持排队管理功能;支持4个绊线人数统计，4个区域内人数统计，4个排队管理功能；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13、视频压缩标准：H.265;H.264;H.264H;H.264B;MJPEG（仅辅码流支持）；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14、智能编码：H.264:支持;H.265:支持；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15、透雾功能：支持；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16、内置扬声器：支持；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报警事件：无SD卡;SD卡空间不足;SD卡出错;网络断开;IP冲突;非法访问;动态检测;视频遮挡;绊线入侵;区域入侵;快速移动;物品遗留;物品搬移;徘徊检测;人员聚集;停车检测;场景变更;音频异常侦测;电压检测;人脸检测;区域内人数统计;滞留报警;人数统计;人数异常检测;安全异常;人数报警;排队时间报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18、接入标准：ONVIF（Profile S/Profile G/Profile T）;GB/T28181（双国标）;GA/T1400;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19、最大Micro SD卡：256 GB；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20、供电方式：DC12V/POE；</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21、防护等级：IP67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可通过客户端软件或IE浏览器开启/关闭区域裁剪功能可在视频图像上裁剪出指定大小的区域，并在三码流上预览，裁剪后的预览视频图像分辨率可设置为:1920×1080、1280×960、1280×720、704×576、704×480、640×480、352×240、320×240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★23、在IE浏览器下，具有TCP/IP、HTTP、HTTPS、FTP、DNS、DDNS、RTSP、PPPOE、IPV4/v6、SMTP、NTP、UPNP、SNMP、UDP、ARP、ICMP、IGMP、DHCP、802.1x、QoS、组播、UDP.Onvif、Bonjour设置选项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24、在互联网环境下，可通过手机app浏览样机监控画面，并具有抓拍和录像功能在局域网环境下，可通过远程监控平台浏览样机监控画面，并具有抓拍和录像功能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★25、在网络直连环境下，在只输出主码流、分辨率设置为2688×1520、帧率设置为30fps、码率设置为1Mbps时，视频图像传输至客户端的延时时间≦70ms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26、水平中心分辨力不小于1500TVL(分辨率设置为2688×1520、帧率设置为25fps、码率设置为1Mbps、RJ45输出)</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枪机壁装支架</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1、采用铝合金材质，不易生锈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2、支持最大承重1.0kg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3、支持水平：0~360°,竖直：-60°~0°旋转角度范围</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全彩智能球机</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1、传感器类型：1/2.8英寸CMOS；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2、像素：≥400万；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3、最大分辨率：2560×1440；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4、最低照度：彩色：0.005lux@F1.2黑白：0.0005lux@F1.20Lux（红外灯开启）；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5、最大补光距离：30m（白外）150m（红外）；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6、人脸最大可识别距离：230m；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7、车牌最大可识别距离：226m；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8、镜头焦距：4.8mm-110mm；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9、光学变倍：≥23倍；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10、可视域功能：支持；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11、周界防范：支持绊线入侵；支持区域入侵；支持穿越围栏；支持徘徊检测；支持物品遗留；支持物品搬移；支持快速移动；支持停车检测；支持人员聚集；支持人车分类报警；支持联动跟踪；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12、人脸检测：支持人脸检测；支持人脸轨迹框；支持优选；支持抓拍；支持上报最优的人脸抓图；支持人脸增强；支持人脸属性提取；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13、防抖功能：电子防抖；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14、透雾功能：电子透雾；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15、音频输入：1路（LINE IN；裸线）；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    音频输出：1路（LINE OUT；裸线）；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16、语音对讲：支持；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17、报警输入：2路，开关量输入（0~5V DC）；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18、供电方式：AC24V/2.2A±25%（标配）；</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球机壁装支架</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1、采用铝合金材质，不易生锈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2、支持最大承重7kg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3、支持壁装安装方式</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网络视频存储服务器</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1、高性能多核处理器及大容量服务器内存，保障海量数据处理的稳定性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2、整机默认支持1个千兆管理电口，4个千兆数据电口，可选配扩展支持电口或光口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3、最大支持400路（800 Mbps）前端接入、存储、转发，32路（64 Mbps）网络回放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4、接入支持ONVIF、GB28181、主动注册等协议接入，保障了对不同厂家前端设备的兼容性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5、支持JBOD、RAID 0/1/5/6/10/50/60、SRAID 支持全局热备和局部热备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6、支持视频流直存，减少流媒体服务器的成本</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7、支持存储配额管理，支持基于通道的维度进行存储周期管理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8、支持通用存储协议：ISCSI/SAMBA/NFS/FTP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9、针对关键重要的视频，提供对实时流和历史视频进行加锁，确保不被循环覆盖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10、配套支持统一云管理节点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11、支持N+M模式下的视频和图片集群功能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12、支持图片直存，可配合智能前端设备使用，支持人脸检测、人脸识别、视频结构化、人群分布图、打电话报警、吸烟报警 、通用行为分析、机动车检索、非机动车检索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13、支持一键诊断功能：支持硬盘状态、单盘性能、RAID状态、raid配置、硬盘盘组、网络状态、录像状态的健康状态诊断，诊断用户配置合规性，协助用户更好的使用设备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通过视图库接入前端设备，实现前端智能事件、图片上报EVS；支持通过视图库协议将人脸、结构化等告警事件、图片推动到平台可在设备前面板可选配的液晶屏上，显示时间、设备信息、网卡状态、远程设备状态、录像状态、Raid状态、硬盘状态、环控信息、报警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★15、具有备用电池模块，可安装2块电池，样机掉电时可保护缓存中数据，恢复供电后数据不丢失，可查看断电前10s、断电后17s的视频录像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★16、具有液晶屏提示、报警指示灯提示、SNMP Trap、声音提示、Email报警等报警方式，可对IP冲突、网口降速、电源故障、风扇故障、电池故障、无硬盘、存储错误、存储空间满、RAID异常、录像丢帧、Mac冲突、登陆锁定、网络安全异常、SSD健康异常、无热备盘等情况进行报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17、可对被监测的硬盘健康状态进行分级分类，类别包含“硬盘良好状态”、“硬盘告警状态”、“硬盘错误状态”、“硬盘即将损坏”和“硬盘损坏状态”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★18、支持纠删码技术。最多可以支持8个盘掉线或者损坏，数据仍然有效，保留的硬盘中的数据可正常读出，且新数据可正常写入.创建RAID后即为同步完成状态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主机单控可通过更换板卡方式可支持13个千兆电口，或者9个千兆电口+4个万兆光口,或者11个千兆电口+2个万兆光口主机可采用双控制器结构，双控制器结构最多支持26个千兆电口，或者10个千兆电口+8个万兆光口,或者18个千兆电口+4个万兆光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20、可通过客户端进行视频浏览、回放和下载；并支持多画面同时段录像同时回放，或不同时段录像同时回放；回放、网络下载录像速度不低于150MB/s</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综合监控管理平台（含服务器）</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1、管理存储二合一，单台设备接入支持1000个IP/ 3000个通道；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2、支持B/S、C/S客户端访问平台；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3、支持多个客户端同时访问平台；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4、支持单网卡同时接入700Mbps，存储700Mbps，转发700Mbps；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5、支持分布式部署，双机备份，N+M备份；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6、支持手机APP查看前端摄像机实时图像及录像，电子地图、告警处理、人脸识别等功能；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7、支持设备树的弹出、漫游、拉伸及回归；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8、支持设备树的设备节点显示（须勾选使能），在、离线数通道展示相应设备节点下；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9、支持以组织、收藏形式布局设备资源；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10、支持流媒体视频流的转发、回放及下载；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11、支持获取RTSP、RTMP协议实时码流（VLC网络串流）；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12、支持1/4/6/8/9/13/16/20/25/36/64多分屏画面显示；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13、支持九档屏显比例：满屏、1：1、4：3、3：4、5：4、4：5、16：9、9：16及64：9；</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14、支持去雾、去噪、去偏色及夜视增强灵敏度的视频增强；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15、支持平台与前端设备的语音对讲；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16、支持平台对前端设备的语音广播；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17、支持卡口过车信息接收及记录；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18、支持车辆信息列表、大图、统计显示及其导出；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19、标配≧8G内存；SSD≧128G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20、多址模式下支持接入、存储、转发各800Mbps；转发和存储性能相互独立；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21、绑定模式下支持接入、存储、转发各1600Mbps；转发和存储性能相互独立；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22、支持管理5000路视频监控，200路卡口，具有1亿的卡口过车数据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23、支持B/S、C/S等多个客户端同时访问平台，支持iphone、ipad、android等访问客户端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24、支持发送RTSP、RTMP协议实时码流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★25、支持进行flv、avi、mp4格式的视频预览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★26、支持HLS取视频流</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拼接屏</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1.背光类型  LED</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2.分辨率 ≧1920×1080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3.亮度 ≧500cd/m2</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4.静态对比度  1400:1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5.双边拼缝 ≦3.5mm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6.控制方式  按键控制，RS232串口控制，红外遥控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7.电压  AC90~264V(±5%),50/60Hz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8.典型功耗  150W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9.输入 VGA*1、CVBS*1、DVI-D*1、HDMI*1、RS232(RJ45)*1、USB（升级和多媒体）、IR*1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10.输出 RS232(RJ45)*1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1.低照度功能：内置低照度图像处理模块；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2.透雾功能：内置透雾图像处理引擎，采用专业 FPGA 图像处 理芯片；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3.断电记忆功能 ：大屏显示单元具备断电记忆功能，能保留断电前 一刻的操作设置，下次上电时处于相同状态；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4.图像冻结功能：支持图像冻结功能，可通过遥控器或大屏控制软 件将某一帧图像持续显示；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5.智能光控功能 可外接光控模块；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6.复合降噪技术：3D降噪和空间降噪相结合，保证帧内图像平滑，运动图像前后帧之间图像平滑，降低噪声对 图像质量的影响；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7.电源备份冗余：采用 1+1 电源模块，当其中一组模块电源系统发生故障，另一组电源模块保证持续供电，不影响 显示单元正常工作；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8.菜单自由定制：可根据特定需求对菜单位置及菜单语言进行自定义调整；</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9.数字信号备份 ：多个数字信号输入通道，在其中一个不能正常工 作的情况下，用户可以手动切换到其他通道不影 响图像显示；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10.智能温控：设备根据整体温度，自动控制风扇启动转速为设 备进行散热，当温度低于阈值将自动停止；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11.运动补偿功能：支持运动补偿功能，能解决高速运动物体出现拖尾、停 顿、锯齿等现象，能在带宽环境变化时，可对运动图像进 行帧率补偿；能在网络连接环境可能导致丢帧情况下，可 对运动图像进行帧率补偿。</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落地支架</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1、尺寸：55英寸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2、材质：铝型材（黑色）</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落地支架</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1、尺寸：55英寸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2、材质：铝型材（黑色）</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解码器</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支持4路本地信号采集（2路DVI-I和2路HDMI）</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支持9路HDMI信号输出接口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支持9路HDMI音频输出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支持MPEG2/MPEG4/H.264/H.265/SVAC/MJPEG标准网络视频流解码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支持QCIF/CIF/2CIF/HD1/D1/720P/1080P/300W/500W/600W/800W/1200W/3200W视频解码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支持通过串口控制屏幕开关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每3个输出口一组，每组共享如下解码能力：最大支持64个通道同时解码，最大支持1路3200W@25fps / 3路1200W@15fps / 4路800W@30fps / 6路600W@25fps / 8路500W @25fps / 9路400W@25fps / 10路300W @30fps / 16路1080P @30fps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支持单屏1/4/6/8/9/16/25/36分割，支持MxN自由分割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HDMI输出接口支持3840x2160,1920x1080,1280x1024，1280x720，1024x768五种显示分辨率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HDMI输入接口最大支持3840x2160分辨率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支持Onvif、RTSP协议接入，支持国标GB28181接入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支持多屏融合拼接，跨屏画面毫秒级完美同步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支持2个10M/100M/1000M自适应以太网接口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加强用户保密等级：HTTP的MD5加密，HTTPS和SSL证书认证，TELNET的密码修改同步应用的用户账号管理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采用标准网络协议和标准压缩算法，在各种平台上轻松实现互联互通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标准1.5U机箱，美观大方其他通讯接口:3个RS-232(2个RJ45、一个DB9)、1个RS-485、2个USB;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可通过HDMI接口同时将6路分辨率为3840×2160的视频图像和3路分辨率为2560×1600的视频图像显示输出至9台分辨率为3840×2160的显示终端上。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同时支持4路视频本地信号输入(支持的分辨率包括3840×2160、1920×1080、1600×1200、1680×1050、1440×900、1400×1050、1366×768、1280×1024、1280×960、1280×800、1280×720、1152×864、1024×768、800×600)，其中包括2路HDMI接口视频同时输入，2路DVI-I(包括DVI-D和VGA)接口视频同时输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★支持跨屏同步显示功能，所有跨屏信号源可同时发送至各个屏幕显示，时差小于1MS。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企业技术要求:每个输出口同时支持1/4/6/8/9/16/25/36分割显示，支持M×N开窗。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支持1×1;1×2;1×3;1×4;1×5;1×6;1×7;1×8;1×9;9×1;8×1;7×16×15×1;4×1;3×1;2×12X2;2×3;3×2;2×4;4×2;3×3;融合屏，每个融合屏支持1/4/9/16/25/36分割显示;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通过网络抓屏软件，可将远程电脑桌面实时解码上墙显示;可对桌面整屏、单窗口、自定义区域抓屏上墙;可同时支持多个抓屏任务。</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8" w:hRule="atLeast"/>
          <w:jc w:val="center"/>
        </w:trPr>
        <w:tc>
          <w:tcPr>
            <w:tcW w:w="457"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080"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系统集成费</w:t>
            </w:r>
          </w:p>
        </w:tc>
        <w:tc>
          <w:tcPr>
            <w:tcW w:w="560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辅材、安装、调试等</w:t>
            </w:r>
          </w:p>
        </w:tc>
        <w:tc>
          <w:tcPr>
            <w:tcW w:w="586"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67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96"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定制</w:t>
            </w:r>
          </w:p>
        </w:tc>
      </w:tr>
    </w:tbl>
    <w:p>
      <w:pPr>
        <w:shd w:val="clear"/>
        <w:rPr>
          <w:rFonts w:hint="eastAsia" w:ascii="仿宋" w:hAnsi="仿宋" w:eastAsia="仿宋" w:cs="仿宋"/>
          <w:color w:val="auto"/>
          <w:sz w:val="24"/>
          <w:szCs w:val="24"/>
          <w:highlight w:val="none"/>
          <w:lang w:val="en-US" w:eastAsia="zh-CN"/>
        </w:rPr>
        <w:sectPr>
          <w:footerReference r:id="rId5"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start="1"/>
          <w:cols w:space="425" w:num="1"/>
          <w:docGrid w:type="lines" w:linePitch="312" w:charSpace="0"/>
        </w:sectPr>
      </w:pPr>
    </w:p>
    <w:p>
      <w:pPr>
        <w:pStyle w:val="9"/>
        <w:shd w:val="clear"/>
        <w:bidi w:val="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二、校园弱电系统</w:t>
      </w:r>
    </w:p>
    <w:p>
      <w:pPr>
        <w:pStyle w:val="10"/>
        <w:keepNext/>
        <w:keepLines/>
        <w:pageBreakBefore w:val="0"/>
        <w:widowControl w:val="0"/>
        <w:shd w:val="clear"/>
        <w:kinsoku/>
        <w:wordWrap/>
        <w:overflowPunct/>
        <w:topLinePunct w:val="0"/>
        <w:autoSpaceDE/>
        <w:autoSpaceDN/>
        <w:bidi w:val="0"/>
        <w:adjustRightInd/>
        <w:snapToGrid/>
        <w:spacing w:before="0" w:after="0" w:line="360" w:lineRule="auto"/>
        <w:textAlignment w:val="auto"/>
        <w:rPr>
          <w:rFonts w:hint="eastAsia" w:ascii="仿宋" w:hAnsi="仿宋" w:eastAsia="仿宋" w:cs="仿宋"/>
          <w:b/>
          <w:color w:val="auto"/>
          <w:kern w:val="44"/>
          <w:sz w:val="24"/>
          <w:szCs w:val="24"/>
          <w:highlight w:val="none"/>
          <w:lang w:val="en-US" w:eastAsia="zh-CN" w:bidi="ar-SA"/>
        </w:rPr>
      </w:pPr>
      <w:r>
        <w:rPr>
          <w:rFonts w:hint="eastAsia" w:ascii="仿宋" w:hAnsi="仿宋" w:eastAsia="仿宋" w:cs="仿宋"/>
          <w:b/>
          <w:color w:val="auto"/>
          <w:kern w:val="44"/>
          <w:sz w:val="24"/>
          <w:szCs w:val="24"/>
          <w:highlight w:val="none"/>
          <w:lang w:val="en-US" w:eastAsia="zh-CN" w:bidi="ar-SA"/>
        </w:rPr>
        <w:t>（一）电子围栏</w:t>
      </w:r>
    </w:p>
    <w:tbl>
      <w:tblPr>
        <w:tblStyle w:val="21"/>
        <w:tblW w:w="88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284"/>
        <w:gridCol w:w="4968"/>
        <w:gridCol w:w="487"/>
        <w:gridCol w:w="711"/>
        <w:gridCol w:w="7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名称</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规格参数</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5"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机房报警主机</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1、终端主机具备液晶屏显示功能，报警记录，防区运行状态实时可查。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2、终端主机具有板载网络通信接口，可与智能终端或软件管理平台组成网络系统，最大可管理254台*128防区主机。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3、终端主机应具备自动控制功能，防区触发一次报警后0-850秒（可调）内进行自动恢复再次设防。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4、支持选配200米无线遥控设防撤防。</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6"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单防区高压脉冲探测器</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1、电压峰值：在高压模式下脉冲电压峰值&gt;9.5KV且&lt;10KV；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2、电流峰值：脉冲电流峰值&gt;5A且&lt;10A；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3、泄露电流≦0.03mA。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4、工作环境：高温≦（+55±2）℃；低温≧（-25±2）℃；湿度≦95%RH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5、绝缘电阻：≧500MΩ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6、脉冲输出电量：脉冲输出能量应＞0.2mC且＜0.3mC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7、脉冲输出能量：脉冲输出能量应＞0.4J且＜0.46J</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8、脉冲间隔时间: 脉冲发出间隔时间应为1S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9、设备电磁兼容性应满足国标：GB/T17626.2 ---- GB/T17626.6中各项测试指标等级3的要求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可控防区：1个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供电  AC220V/50Hz DC功率 ≦30W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脉冲幅度：0.9KV～10KV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脉冲持续时间：≦0.1S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每个脉冲最大能量：5.0J（焦耳）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通信：CAN总线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现场报警：12V驱动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高低压切换：白天夜晚自动切换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显示特性：液晶屏中文菜单显示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支持备用电源：12V/7AH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9"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双防区高压脉冲探测器</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1、电压峰值：在高压模式下脉冲电压峰值&gt;9.5KV且&lt;10KV；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2、电流峰值：脉冲电流峰值&gt;5A且&lt;10A；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3、泄露电流：主机在额定使用条件下,从供电电源的任何一极至易触及的金属零件上的泄漏电流≦0.03mA。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4、工作环境：高温≦（+55±2）℃；低温≧（-25±2）℃；湿度≦95%RH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5、绝缘电阻：主机在额定使用条件下供电电源输入端与脉冲电子围栏主机外壳、脉冲电子围栏前端之间的绝缘电阻应≧500MΩ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6、脉冲输出电量：脉冲输出能量应＞0.2mC＜0.3mC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7、脉冲输出能量：脉冲输出能量应＞0.4J＜0.46J</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8、脉冲间隔时间: 脉冲发出间隔时间应为1S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9、设备电磁兼容性应满足国标：GB/T17626.2 ---- GB/T17626.6中各项测试指标等级3的要求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可控防区：2个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供电  AC220V/50Hz DC功率 ≦30W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脉冲幅度：0.9KV～10KV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脉冲持续时间：≦0.1S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每个脉冲最大能量：5.0J（焦耳）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通信：CAN总线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现场报警：12V驱动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高低压切换：白天夜晚自动切换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显示特性：液晶屏中文菜单显示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支持备用电源：12V/7AH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适用相对湿度：≦95%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声光报警器 </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额定电压：DC 12V；闪动频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次：60次/分钟；声音大小：90DB；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材质：合金塑胶</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高压避雷器</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  料：氧化锌、复合材料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耐压：10kv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电子围栏专用</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低压避雷器套装</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浪涌保护器40ka防雷器</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φ32终端杆</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四线φ32×850×2mmHI型，加厚铝合金,每根承力杆上打绝缘子锁紧孔。</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45</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φ32绝缘子</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性能指标：抗氧化、耐腐蚀、ABS料1.0KV-1.5KV</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万向底座</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材质：钢镀锌2.0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外形：扇形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厚度：3mm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φ21中间承力杆</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四线φ21×800×1.5mmHI型，加厚铝合金,每根承力杆上打绝缘子锁紧孔。</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φ21半球绝缘子</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性能指标：抗氧化、耐腐蚀、绝缘子10000V-15000V</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万向底座</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材质：钢镀锌2.0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外形：扇形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厚度：3mm。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7"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多股合金线</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性能指标：每平方毫米，拉伸强度＞40KG、抗氧化、导电率：18.1KM、断裂拉伸率：中间值最小133％</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外形：多股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线径：2mm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米</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5100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高压绝缘导线</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性能指标：每平方毫米，拉伸强度＞40KG</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材质：低阻抗铝镁合金</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米</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360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紧线器</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性能指标：抗氧化、耐腐蚀、绝缘子10000V-15000V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外形：灰色12个收紧齿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线连接器</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材质：铝镁合金</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208</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拉力弹簧</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材质：不锈钢304</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警示牌</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材质：工程塑料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尺寸：200*140 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125</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接地桩</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材质：镀锌（带接地端）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规格：≧40*4*1000 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防雨箱</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材质：加厚不锈钢 201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规格：≧400*500*170 mm</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8防区联动模块</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CAN总线控制，常开/常闭可选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供电电压：5V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2"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电子地图接警软件</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1、电子地图上所对应的防区出现报警并可同时显示出不低于4路的视频信号；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2、通过软件可以对系统内的每个防区进行点对点控制（布防/撤防/设置参数等），超过128个防区，可组建局域网拓展到上千个防区；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3、电子地图可直观的显示报警防区的准确位置/报警类型/报警时间等，并将所有报警数据保存到电脑中， 方便查询和打印；防范区域平面图可根据实际情况设计。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软件具有对设备管理、用户权限管理、日志、存储管理等一系列的参数配置，防区报警后会自动产生报警记录，记录报警防区各种信息，软件具有对网络型脉冲电子围栏主机的布防、撤防、电压显示、工作模式转换、智能灯光联动等远程控制功能并提供视频联动、报警信号输出。灯光联动、短信  </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配件</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设备安装所需相应配件</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国标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线材</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实施所需相应线材</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批</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国标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jc w:val="center"/>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安装调试费人工费</w:t>
            </w:r>
          </w:p>
        </w:tc>
        <w:tc>
          <w:tcPr>
            <w:tcW w:w="4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安装、实施、调试、培训、维护等</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米</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1200</w:t>
            </w:r>
          </w:p>
        </w:tc>
        <w:tc>
          <w:tcPr>
            <w:tcW w:w="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施工</w:t>
            </w:r>
          </w:p>
        </w:tc>
      </w:tr>
    </w:tbl>
    <w:p>
      <w:pPr>
        <w:shd w:val="clear"/>
        <w:rPr>
          <w:rFonts w:hint="eastAsia" w:ascii="仿宋" w:hAnsi="仿宋" w:eastAsia="仿宋" w:cs="仿宋"/>
          <w:color w:val="auto"/>
          <w:sz w:val="24"/>
          <w:szCs w:val="24"/>
          <w:highlight w:val="none"/>
          <w:lang w:val="en-US" w:eastAsia="zh-CN"/>
        </w:rPr>
        <w:sectPr>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pStyle w:val="10"/>
        <w:keepNext/>
        <w:keepLines/>
        <w:pageBreakBefore w:val="0"/>
        <w:widowControl w:val="0"/>
        <w:shd w:val="clear"/>
        <w:kinsoku/>
        <w:wordWrap/>
        <w:overflowPunct/>
        <w:topLinePunct w:val="0"/>
        <w:autoSpaceDE/>
        <w:autoSpaceDN/>
        <w:bidi w:val="0"/>
        <w:adjustRightInd/>
        <w:snapToGrid/>
        <w:spacing w:before="0" w:after="0" w:line="360" w:lineRule="auto"/>
        <w:textAlignment w:val="auto"/>
        <w:rPr>
          <w:rFonts w:hint="eastAsia" w:ascii="仿宋" w:hAnsi="仿宋" w:eastAsia="仿宋" w:cs="仿宋"/>
          <w:b/>
          <w:color w:val="auto"/>
          <w:kern w:val="44"/>
          <w:sz w:val="24"/>
          <w:szCs w:val="24"/>
          <w:highlight w:val="none"/>
          <w:lang w:val="en-US" w:eastAsia="zh-CN" w:bidi="ar-SA"/>
        </w:rPr>
      </w:pPr>
      <w:r>
        <w:rPr>
          <w:rFonts w:hint="eastAsia" w:ascii="仿宋" w:hAnsi="仿宋" w:eastAsia="仿宋" w:cs="仿宋"/>
          <w:b/>
          <w:color w:val="auto"/>
          <w:kern w:val="44"/>
          <w:sz w:val="24"/>
          <w:szCs w:val="24"/>
          <w:highlight w:val="none"/>
          <w:lang w:val="en-US" w:eastAsia="zh-CN" w:bidi="ar-SA"/>
        </w:rPr>
        <w:t>（二）校园广播</w:t>
      </w:r>
    </w:p>
    <w:tbl>
      <w:tblPr>
        <w:tblStyle w:val="21"/>
        <w:tblW w:w="8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7"/>
        <w:gridCol w:w="1259"/>
        <w:gridCol w:w="4065"/>
        <w:gridCol w:w="582"/>
        <w:gridCol w:w="713"/>
        <w:gridCol w:w="1008"/>
        <w:gridCol w:w="4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名称</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规格参数</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设备使用场所</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i w:val="0"/>
                <w:iCs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工控计算机</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国产嵌入式服务器级系统 （LINUX系统）作为核心操作平台，标准RJ45网络接口，有以太网口的地方即可接入，支持跨网段和跨路由。</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2、电脑、智能手机及平板等终端无需安装任何用户程序，通过浏览器登录系统，全新的人机交互界面，支持3D动态拖放操作，实时数据推送。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3、操控方式：分辨率液晶，触摸屏，可抽拉隐藏式键盘、滑鼠板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4、处理器：I3  3.1GHz 支持</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5、硬盘：120GB固态硬盘，4* SATA3.0 硬盘接口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6、内存：DDR3代 8G内存，最大支持16GB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7、BIOS：64 Mb Flash ROM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8、系统：支持Windows® 7/8.1/10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9、显示：1* VGA 接口/HDMI2.0</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10、网络：1* RTL8111F 千兆网卡芯片，支持网络唤醒/PXE 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11、音频：MIC-in/Line-out/Line-in</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12、扩展插槽：1* PS/2 接口（可扩展键盘和鼠标）；2* 串口（COM 口）可扩展；4* USB3.0 接口；1* 13、RJ-45 千兆网络接口；1* 三层音频接口（MIC-in/Line-out/Line-in）；</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14、前置I/O接口：2* USB2.0接口</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消防控制中心</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IP网络音频系统软件V1.0</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需提供演示</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采用B/S架构，支持Web网页访问系统，可以随时随地管理广播任务。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★1、具有自动搜索设备功能，未添加的设备会以列表的形式呈现，快速将设备添加到系统中。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2、支持用户角色创建，可以给不同用户分配不同角色。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数据界面具有在线用户、广播任务、求助报警、电子地图、终端占比，服务器CPU占用率、CPU温度、内存使用率、网速、硬盘等数据图文显示，其中在线用户、广播任务、求助报警可根据年月周选择不同时段进行图文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★4、具有敏感词过滤功能，设置敏感词后，文字广播时如有敏感词出现会自动过滤。</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5、具有呼叫管理功能，可进行快捷呼叫、紧急呼叫、呼叫接驳等设置。</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6、具有采播功能，可选择音频采集器不同音频通道进行采集，没有选择的音频通道不在采集范围之内。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★7、具有摄像机管理功能，可以控制摄像机方向，并把摄像机画面推送给任务终端。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★8、添加用户需填入角色选择、授权状态、移动APP登录权限等信息，并且具有≧24个权限栏目可供选择。9、支持实时对讲、实时喊话录制生成MP3、MP4文件，并保存在服务器指定位置。用于事后追溯。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10、支持实时显示设备工作状态。可以远程查看设备当前执行的任务。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设备状态以表格和卡片两种模式呈现。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11、定时广播功能，可创建多套广播方案，每套广播方案可以设置不同定时任务，任务广播源可选择文件、文字、采集、视频等类型。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12、支持远程设置设备参数：音量、服务器地址、优先级、呼叫转移等。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★13、支持地图显示，可以实时显示设备的位置坐标信息、供电状态、工作状态等，并可实现圈选广播功能。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★14、支持远程电源管理，可控制电源管理设备启停时间、打开模式、短路输出状态、打开通道选择等。</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15、具有视频直播功能，可选择视频终端发起直播。16、支持消防联动功能，当消防主机收到触发时，联动设置启动。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17、支持GPS、北斗时钟授时，时间更准确。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18、支持局域网、广域网跨网广播，可以实现异地系统组建。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19、支持多种网络协议：TCP/IP、UDP、RTP、RTCP、RTMP、RTSP、SIP、单播、组播。</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消防控制中心</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IP网络控制主机</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需提供演示</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1、内置两个5W扬声器，强指向性话筒咪头，具有硬件紧急按键，用于紧急报警。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2、具有广播硬件按钮，支持一键全区广播。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3、具有音量调节硬件按钮，支持快捷调节音量。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4、支持实时显示所属分区设备的工作状态、在线状态、音量等。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5、支持列表显示、卡片显示设备列表。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6、具备自动刷新功能，可以实时与服务器保持数据同步。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7、支持对讲功能，可实时对任意对讲设备发起对讲。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8、支持拨号呼叫、快捷呼叫。</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9、支持分区广播、可实时对指定分区进行喊话广播。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10、支持音频采集功能，可以将线路输入的音频信号实时采集到指定设备播放，并可支持混音功能。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11、支持点播功能，实时点播媒体库音乐到指定终端。并支持歌曲名称实时显示、音量、切歌等。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12、支持来电记录功能，实时记录来/去/未接电情况。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13、支持POE供电。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14、支持IP获取方式设置，自动获取或手动设置。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15、支持来电铃声与去电铃声功能，并可进行设置。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16、支持场景音量设置、背光亮度设置等。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17、支持平台统一管理，实时接收平台广播。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18、内置Flash存储，可以存储音频、配置信息及备份，支持远程修改和升级。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★19、具有手持话柄。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20、支持跨网广播功能，支持音视频录播功能。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★21、具有HDMI视频输出接口，可以实现异屏异显功能。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★22、显示屏：TFT  11.6”LCD  1920*1080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★23、接口不少于：1个RJ45网络接口、1个电源开关、3个USB接口、1路短路输入、1路短路输出、2路线路输入、1路线路输出、1路麦克输入、1路485接口</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消防控制中心</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1"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IP网络接口单元</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1、不少于32路消防短路信号输入接口，0V及24V触发输入智能切换。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2、不少于16路短路输出接口。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3、支持一键状态复位实现解除当前报警触发。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4、支持一键恢复出厂设置方便系统维护管理。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5、支持系统后台WEB查看设备状态与管理设备信息；</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消防控制中心</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4"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电源时序器</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1、顺序开启逆序关闭，PASS键可全通道同时打开。</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2、RS232 CoM口接入中控控制（指令控制）或自带软件控制。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3、每路开关间隔时间/定时时间：默认1秒（通过软件自由设置）。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4、支持过流保护，支持面板独立控制各通道（可软件设定控制）。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5、通道数：8路万用插座继电器受控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6、单路功率/总功率/输出电流：2000W/ 6000W/ 30A 277VAC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7、短路过流保护断路器配置：断路器火线控制，过流保护，（40A短路保护）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消防控制中心</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IP网络音箱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喇叭采用5.5寸布盆低音，20芯3寸蚕丝膜高音；30W（额定）/60W（峰值）；≧1路麦克风、≧1路线路输入，≧1组功率输出，≧1路网络接口；≧3种安装方式（平挂180°水平角度，V型支架，三角支架万向调节或其他安装方式）；1组100V有线广播应急切换输入，网络通道优先，定压通道次之，自动检测切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2、服务软件远程调节音量，定时或实时播放音频节目，并可在本地用旋钮调节话筒和线路输入音量；具备IPX6防水设计；标准RJ45网络接口，有以太网口的地方即可接入，支持跨网段和跨路由。</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3、支持实时接收服务器音频广播功能。支持服务器分区分组远程管理功能。支持服务器远程参数修改。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67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U段无线扩声话筒</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1、无线接收，LCD液晶显示充电、发射信号、电池电量、音量大小等工作状态。</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67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IP网络数字功放</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1、内置网络IP解码模块，支持TCP/IP、UDP、IGMP（组播）协议，实现网络化传输16位立体声CD音质和音乐信号。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2、一个总音量调节旋钮，统一控制所有线路和话筒音量，两段参量均衡调节旋钮，用于调节高低音改善音质。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3、网络音量、每路线路输入音量、每路话筒音量均有独立调节旋钮控制音量大小。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4、不少于6路音源输入，不少于1路音源输出，MIC3具最高优先权，70V、100V定压输出，4-16Ω定阻输出。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5、额定功率：1000W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6、网络通讯协议：TCP、UDP、ARP、IcmP、IGMP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7、音频编码：MP2/MP3/Pcm/ADPcm</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室内壁挂音箱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1、额定功率：10W/15W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2、输入：70V/100V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3、阻抗：6.7KΩ/3.3KΩ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4、灵敏度：92dB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5、频率响应：110Hz-15KHz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6、喇叭单元：5.5"×1  1.5"×1</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93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5"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IP网络数字功放</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1、内置网络IP解码模块，支持TCP/IP、UDP、IGMP（组播）协议，实现网络化传输16位立体声CD音质和音乐信号。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2、一个总音量调节旋钮，统一控制所有线路和话筒音量，两段参量均衡调节旋钮，用于调节高低音改善音质。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3、网络音量、每路线路输入音量、每路话筒音量均有独立调节旋钮控制音量大小。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4、不少于6路音源输入，不少于1路音源输出，MIC3具最高优先权，70V、100V定压输出，4-16Ω定阻输出。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5、输出方式：包括但不限于70V，100V，4-16Ω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6、网络通讯协议：TCP、UDP、ARP、IcmP、IGMP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7、音频编码：MP2/MP3/Pcm/ADPcm</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4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室外防水音柱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1、额定功率：40W/45W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2、输入：70V/100V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3、阻抗：500Ω/250Ω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4、灵敏度：92dB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5、频率响应：150Hz-15KHz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6、喇叭单元：4"×4  2"×1</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IP网络音柱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技术参数：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1、网络通讯协议：TCP、UDP、ARP、HTTP、FTP等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2、网络芯片速率：10/100Mbps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3、音频编码：WAV、MP3、PCM、OPUS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4、额定功率：60W</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12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公共区域</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真分集无线话筒U段手持</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1、采用真分集设计，内置天线放大器，先进的PLL锁相环、微电脑CPU控制系统，兼容手动选频和红外自动对频锁定频道。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2、LCD动态液晶显示屏，显示话筒在线、掉频状态，音量指示、通道、频率等信息。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4、设有回声啸叫压低减弱功能，能有效减小回声啸叫。内置专业降噪压缩电路。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5、支持单通道平衡输出及6.35非平衡混合输出。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6、手持麦克风，内置LCD显示频道和电池电量，电池低压闪烁至1.8V自动关机。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7、空旷最大使用范围300米，复杂环境下使用距离150米。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8、频率范围：640-690MHz</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66370" cy="33655"/>
                  <wp:effectExtent l="0" t="0" r="0" b="4445"/>
                  <wp:wrapNone/>
                  <wp:docPr id="9" name="图片_2_SpCnt_1"/>
                  <wp:cNvGraphicFramePr/>
                  <a:graphic xmlns:a="http://schemas.openxmlformats.org/drawingml/2006/main">
                    <a:graphicData uri="http://schemas.openxmlformats.org/drawingml/2006/picture">
                      <pic:pic xmlns:pic="http://schemas.openxmlformats.org/drawingml/2006/picture">
                        <pic:nvPicPr>
                          <pic:cNvPr id="9" name="图片_2_SpCnt_1"/>
                          <pic:cNvPicPr/>
                        </pic:nvPicPr>
                        <pic:blipFill>
                          <a:blip r:embed="rId15"/>
                          <a:stretch>
                            <a:fillRect/>
                          </a:stretch>
                        </pic:blipFill>
                        <pic:spPr>
                          <a:xfrm>
                            <a:off x="0" y="0"/>
                            <a:ext cx="166370" cy="33655"/>
                          </a:xfrm>
                          <a:prstGeom prst="rect">
                            <a:avLst/>
                          </a:prstGeom>
                          <a:noFill/>
                          <a:ln>
                            <a:noFill/>
                          </a:ln>
                        </pic:spPr>
                      </pic:pic>
                    </a:graphicData>
                  </a:graphic>
                </wp:anchor>
              </w:drawing>
            </w:r>
            <w:r>
              <w:rPr>
                <w:rFonts w:hint="eastAsia" w:ascii="仿宋" w:hAnsi="仿宋" w:eastAsia="仿宋" w:cs="仿宋"/>
                <w:i w:val="0"/>
                <w:iCs w:val="0"/>
                <w:color w:val="auto"/>
                <w:kern w:val="0"/>
                <w:sz w:val="24"/>
                <w:szCs w:val="24"/>
                <w:highlight w:val="none"/>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66370" cy="33655"/>
                  <wp:effectExtent l="0" t="0" r="0" b="4445"/>
                  <wp:wrapNone/>
                  <wp:docPr id="10" name="图片_2_SpCnt_2"/>
                  <wp:cNvGraphicFramePr/>
                  <a:graphic xmlns:a="http://schemas.openxmlformats.org/drawingml/2006/main">
                    <a:graphicData uri="http://schemas.openxmlformats.org/drawingml/2006/picture">
                      <pic:pic xmlns:pic="http://schemas.openxmlformats.org/drawingml/2006/picture">
                        <pic:nvPicPr>
                          <pic:cNvPr id="10" name="图片_2_SpCnt_2"/>
                          <pic:cNvPicPr/>
                        </pic:nvPicPr>
                        <pic:blipFill>
                          <a:blip r:embed="rId16"/>
                          <a:stretch>
                            <a:fillRect/>
                          </a:stretch>
                        </pic:blipFill>
                        <pic:spPr>
                          <a:xfrm>
                            <a:off x="0" y="0"/>
                            <a:ext cx="166370" cy="33655"/>
                          </a:xfrm>
                          <a:prstGeom prst="rect">
                            <a:avLst/>
                          </a:prstGeom>
                          <a:noFill/>
                          <a:ln>
                            <a:noFill/>
                          </a:ln>
                        </pic:spPr>
                      </pic:pic>
                    </a:graphicData>
                  </a:graphic>
                </wp:anchor>
              </w:drawing>
            </w:r>
            <w:r>
              <w:rPr>
                <w:rFonts w:hint="eastAsia" w:ascii="仿宋" w:hAnsi="仿宋" w:eastAsia="仿宋" w:cs="仿宋"/>
                <w:i w:val="0"/>
                <w:iCs w:val="0"/>
                <w:color w:val="auto"/>
                <w:kern w:val="0"/>
                <w:sz w:val="24"/>
                <w:szCs w:val="24"/>
                <w:highlight w:val="none"/>
                <w:u w:val="none"/>
                <w:lang w:val="en-US" w:eastAsia="zh-CN" w:bidi="ar"/>
              </w:rPr>
              <w:t>室内体育场</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7"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采集器</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1、主要实现与服务器的互联互通。实时上报工作状态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2、可以通过internet网络，实时传输流媒体数据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3、可以通过服务器页面进行IP地址、服务器地址等参数设置。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4、可以对输入的6路模拟音频，实时采集到指定的区域或终端。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5、可以实现本地或远程控制打开任意音频通道，实现自动混音。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6、可以被平台其他设备监听。远程实时掌握设备的工作情况。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7、可通过前端页面对设备主动开启音频采集的优先级、音量进行绑定设置。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8、可以通过平台页面，实时对设备的通道进行开启，并可根据实际情况灵活指定播放区域。（通道，优先级，音量）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9、可以在平台页面创建定时任务，启动音频采集。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10、可以服务器远程升级设备固件</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室内体育场</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7"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IP网络数字功放</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1、内置网络IP解码模块，支持TCP/IP、UDP、IGMP（组播）协议，实现网络化传输16位立体声CD音质和音乐信号。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2、一个总音量调节旋钮，统一控制所有线路和话筒音量，两段参量均衡调节旋钮，用于调节高低音改善音质。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3、网络音量、每路线路输入音量、每路话筒音量均有独立调节旋钮控制音量大小。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4、不少于6路音源输入，不少于1路音源输出，MIC3具最高优先权，70V、100V定压输出，4-16Ω定阻输出。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5、额定功率：360W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6、输出方式：70V，100V，4-16Ω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7、网络通讯协议：TCP、UDP、ARP、IcmP、IGMP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8、网络芯片速率：10/100Mbps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9、音频编码：MP2/MP3/Pcm/ADPcm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10、音频采样，位率：8KHz～44.1KHz，16bit，8Kbps-320Kbps</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室内体育场</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室外防水音柱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额定功率：40W/45W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输入：70V/100V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阻抗：500Ω/250Ω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灵敏度：≧92dB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频率响应：150Hz-15KHz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喇叭单元：4"×4  2"×1</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4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室内体育场</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IP网络数字功放</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1、内置网络IP解码模块，支持TCP/IP、UDP、IGMP（组播）协议，实现网络化传输16位立体声CD音质和音乐信号。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2、一个总音量调节旋钮，统一控制所有线路和话筒音量，两段参量均衡调节旋钮，用于调节高低音改善音质。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3、网络音量、每路线路输入音量、每路话筒音量均有独立调节旋钮控制音量大小。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4、不少于6路音源输入，不少于1路音源输出，MIC3具最高优先权，70V、100V定压输出，4-16Ω定阻输出。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5、额定功率：360W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6、输出方式：70V，100V，4-16Ω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7、网络通讯协议：TCP、UDP、ARP、IcmP、IGMP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8、音频编码：MP2/MP3/Pcm/ADPcm</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游泳馆</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室外防水音柱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1、额定功率：40W/45W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2、输入：70V/100V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3、阻抗：500Ω/250Ω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4、灵敏度：92dB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5、频率响应：150Hz-15KHz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6、喇叭单元：4"×4  2"×1</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4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游泳馆</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7"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真分集无线话筒 U段手持</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1、采用真分集设计，内置天线放大器，先进的PLL锁相环、微电脑CPU控制系统，兼容手动选频和红外自动对频锁定频道。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2、LCD动态液晶显示屏，显示话筒在线、掉频状态，音量指示、通道、频率等信息。具自动扫频功能，采用多级窄带高频及中频选频滤波，具超强抗干扰能力，有效消除手机、电磁干扰。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3、每通道具有32个频率选择，共64个可调频点，易于操作。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4、设有回声啸叫压低减弱功能，能有效减小回声啸叫。内置专业降噪压缩电路，噪音大大减少，动态范围加大，复杂环境也具有良好的表现。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5、支持单通道平衡输出及6.35非平衡混合输出，适用不同传输距离场合，可自由选择连接。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6、手持麦克风，内置LCD显示频道和电池电量，电池低压闪烁至1.8V自动关机。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7、空旷最大使用范围300米，复杂环境下使用距离150米。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8、频率范围：640-690MHz</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2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分路器主机</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1、支持1-4台UHF无线接收器接入使用，共用一对天线。</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有源定向天线</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1、增益：+6-9dB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2、阻抗：50Ω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3、频宽：450MHz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4、插座：BNC</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对</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6"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电源时序器</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1、顺序开启逆序关闭，PASS键可全通道同时打开。</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2、RS232 CoM口接入中控控制（指令控制）或自带软件控制。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3、每路开关间隔时间/定时时间：默认1秒（通过软件自由设置）。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4、支持过流保护，支持面板独立控制各通道（可软件设定控制）。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5、通道数：8路万用插座继电器受控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6、单路功率/总功率/输出电流：2000W/ 6000W/ 30A 277VAC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7、短路过流保护断路器配置：断路器火线控制，过流保护，（40A短路保护）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12路模拟调音台</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1、麦克风输入：8路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2、立体声输入：2组</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3、最大输入电平：麦克风 +22dBu，线路 +20dBu</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4、最大输出电平：主输出 +28dBu，其它输出 +22dBu</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5、灵敏度：0VU=+4dBu</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6、频率响应：±1dB，20Hz-30KHz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7、麦克风共模抑制比@1KHz：&gt;80dB 典型值</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2"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IP网络数字功放</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1、内置网络IP解码模块，支持TCP/IP、UDP、IGMP（组播）协议，实现网络化传输16位立体声CD音质和音乐信号。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2、一个总音量调节旋钮，统一控制所有线路和话筒音量，两段参量均衡调节旋钮，用于调节高低音改善音质。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3、网络音量、每路线路输入音量、每路话筒音量均有独立调节旋钮控制音量大小。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4、不少于6路音源输入，不少于1路音源输出，MIC3具最高优先权，70V、100V定压输出，4-16Ω定阻输出。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5、额定功率：1000W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6、输出方式：70V，100V，4-16Ω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7、网络通讯协议：TCP、UDP、ARP、IcmP、IGMP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8、音频编码：MP2/MP3/Pcm/ADPcm</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室外防水音柱</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1、额定功率：120W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2、输入：70V/100V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3、阻抗：670Ω/330Ω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4、灵敏度：92dB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5、频率响应：50Hz-18KHz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6、喇叭单元：4.5"×4  3"×1</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6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7"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IP远程播控器（配遥控器）</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1、存储方式：内置2G内存或外置SD卡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2、支持音频格式：MP3、WMA、AAC、WAV、APE、FLAC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3、收音方式：FM 88</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4、录音输入幅度：MIC 5mV。LINE 500mV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5、输出：LINE 500mV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6、整机音噪比：≧85dB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7、整机失真度：&lt;0.1%（1KHz）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8、频率响应：20Hz-20KHz ±3dB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9、分区输出：10路分区输出，合计最大容量3200W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10、可控电源输出：-220V/50Hz（最大功率1600W）</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室外操场及看台</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系统集成费</w:t>
            </w:r>
          </w:p>
        </w:tc>
        <w:tc>
          <w:tcPr>
            <w:tcW w:w="4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辅材、安装、调试等</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c>
          <w:tcPr>
            <w:tcW w:w="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定制</w:t>
            </w:r>
          </w:p>
        </w:tc>
      </w:tr>
    </w:tbl>
    <w:p>
      <w:pPr>
        <w:shd w:val="clear"/>
        <w:rPr>
          <w:rFonts w:hint="eastAsia" w:ascii="仿宋" w:hAnsi="仿宋" w:eastAsia="仿宋" w:cs="仿宋"/>
          <w:color w:val="auto"/>
          <w:sz w:val="24"/>
          <w:szCs w:val="24"/>
          <w:highlight w:val="none"/>
          <w:lang w:val="en-US" w:eastAsia="zh-CN"/>
        </w:rPr>
        <w:sectPr>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pStyle w:val="10"/>
        <w:keepNext/>
        <w:keepLines/>
        <w:pageBreakBefore w:val="0"/>
        <w:widowControl w:val="0"/>
        <w:shd w:val="clear"/>
        <w:kinsoku/>
        <w:wordWrap/>
        <w:overflowPunct/>
        <w:topLinePunct w:val="0"/>
        <w:autoSpaceDE/>
        <w:autoSpaceDN/>
        <w:bidi w:val="0"/>
        <w:adjustRightInd/>
        <w:snapToGrid/>
        <w:spacing w:before="0" w:after="0" w:line="360" w:lineRule="auto"/>
        <w:textAlignment w:val="auto"/>
        <w:rPr>
          <w:rFonts w:hint="eastAsia" w:ascii="仿宋" w:hAnsi="仿宋" w:eastAsia="仿宋" w:cs="仿宋"/>
          <w:b/>
          <w:color w:val="auto"/>
          <w:kern w:val="44"/>
          <w:sz w:val="24"/>
          <w:szCs w:val="24"/>
          <w:highlight w:val="none"/>
          <w:lang w:val="en-US" w:eastAsia="zh-CN" w:bidi="ar-SA"/>
        </w:rPr>
      </w:pPr>
      <w:r>
        <w:rPr>
          <w:rFonts w:hint="eastAsia" w:ascii="仿宋" w:hAnsi="仿宋" w:eastAsia="仿宋" w:cs="仿宋"/>
          <w:b/>
          <w:color w:val="auto"/>
          <w:kern w:val="44"/>
          <w:sz w:val="24"/>
          <w:szCs w:val="24"/>
          <w:highlight w:val="none"/>
          <w:lang w:val="en-US" w:eastAsia="zh-CN" w:bidi="ar-SA"/>
        </w:rPr>
        <w:t>（三）消防安防控制室</w:t>
      </w:r>
    </w:p>
    <w:tbl>
      <w:tblPr>
        <w:tblStyle w:val="21"/>
        <w:tblW w:w="87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4"/>
        <w:gridCol w:w="1447"/>
        <w:gridCol w:w="4004"/>
        <w:gridCol w:w="1128"/>
        <w:gridCol w:w="770"/>
        <w:gridCol w:w="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名称</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规格参数</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型号</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7"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监控操作台</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框架选用1.5mm厚优质冷轧钢板，前后门和托盘厚1.0mm，每个工作位配备一组19寸机架和一个托盘和一个键盘抽屉。每个工位长度0.6高度0.75深度0.9米。</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联</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服务器机柜</w:t>
            </w:r>
          </w:p>
        </w:tc>
        <w:tc>
          <w:tcPr>
            <w:tcW w:w="4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 xml:space="preserve">42u 高2000宽600深1000立柱2.0  其余1.2带 3个托盘  4个风机 前后单开网门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定制</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r>
    </w:tbl>
    <w:p>
      <w:pPr>
        <w:pStyle w:val="2"/>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2"/>
      <w:bookmarkEnd w:id="313"/>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6" w:type="default"/>
          <w:footerReference r:id="rId7"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3"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3"/>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6"/>
        <w:shd w:val="clear"/>
        <w:rPr>
          <w:rFonts w:hint="eastAsia"/>
          <w:color w:val="auto"/>
          <w:highlight w:val="none"/>
          <w:lang w:eastAsia="zh-CN"/>
        </w:rPr>
      </w:pPr>
    </w:p>
    <w:p>
      <w:pPr>
        <w:pStyle w:val="5"/>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5"/>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6"/>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4" w:name="_Toc3821"/>
      <w:bookmarkStart w:id="325" w:name="_Toc32314"/>
      <w:bookmarkStart w:id="326" w:name="_Toc14636"/>
      <w:bookmarkStart w:id="327" w:name="_Toc16671"/>
      <w:bookmarkStart w:id="328" w:name="_Toc27884"/>
      <w:bookmarkStart w:id="329" w:name="_Toc20494"/>
      <w:r>
        <w:rPr>
          <w:rFonts w:hint="eastAsia" w:ascii="仿宋" w:hAnsi="仿宋" w:eastAsia="仿宋" w:cs="仿宋"/>
          <w:b/>
          <w:bCs/>
          <w:color w:val="auto"/>
          <w:sz w:val="32"/>
          <w:szCs w:val="15"/>
          <w:highlight w:val="none"/>
          <w:lang w:val="zh-CN"/>
        </w:rPr>
        <w:t>一、投标函</w:t>
      </w:r>
      <w:bookmarkEnd w:id="324"/>
      <w:bookmarkEnd w:id="325"/>
      <w:bookmarkEnd w:id="326"/>
      <w:bookmarkEnd w:id="327"/>
      <w:bookmarkEnd w:id="328"/>
      <w:bookmarkEnd w:id="329"/>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2"/>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8"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hint="eastAsia" w:ascii="仿宋" w:hAnsi="仿宋" w:eastAsia="仿宋" w:cs="仿宋"/>
          <w:color w:val="auto"/>
          <w:sz w:val="32"/>
          <w:szCs w:val="15"/>
          <w:highlight w:val="none"/>
          <w:lang w:val="zh-CN"/>
        </w:rPr>
      </w:pPr>
      <w:bookmarkStart w:id="330" w:name="_Toc19367"/>
      <w:bookmarkStart w:id="331" w:name="_Toc15900"/>
      <w:bookmarkStart w:id="332" w:name="_Toc3436"/>
      <w:bookmarkStart w:id="333" w:name="_Toc12108"/>
      <w:bookmarkStart w:id="334" w:name="_Toc22952"/>
      <w:bookmarkStart w:id="335" w:name="_Toc7809"/>
      <w:bookmarkStart w:id="336" w:name="_Toc16343"/>
      <w:bookmarkStart w:id="337" w:name="_Toc30144"/>
      <w:bookmarkStart w:id="338" w:name="_Toc4521"/>
      <w:bookmarkStart w:id="339" w:name="_Toc22013"/>
      <w:bookmarkStart w:id="340" w:name="_Toc16389"/>
      <w:bookmarkStart w:id="341" w:name="_Toc13002"/>
      <w:bookmarkStart w:id="342" w:name="_Toc18879"/>
      <w:bookmarkStart w:id="343" w:name="_Toc24304"/>
      <w:bookmarkStart w:id="344" w:name="_Toc20056"/>
      <w:bookmarkStart w:id="345" w:name="_Toc18565"/>
      <w:bookmarkStart w:id="346" w:name="_Toc17040"/>
      <w:bookmarkStart w:id="347" w:name="_Toc475451554"/>
      <w:bookmarkStart w:id="348" w:name="_Toc473056004"/>
      <w:bookmarkStart w:id="349" w:name="_Toc475451801"/>
      <w:r>
        <w:rPr>
          <w:rFonts w:hint="eastAsia" w:ascii="仿宋" w:hAnsi="仿宋" w:eastAsia="仿宋" w:cs="仿宋"/>
          <w:color w:val="auto"/>
          <w:sz w:val="32"/>
          <w:szCs w:val="15"/>
          <w:highlight w:val="none"/>
          <w:lang w:val="zh-CN"/>
        </w:rPr>
        <w:t>二、开标一览表（唱标报告）</w:t>
      </w:r>
      <w:bookmarkEnd w:id="330"/>
      <w:bookmarkEnd w:id="331"/>
      <w:bookmarkEnd w:id="332"/>
      <w:bookmarkEnd w:id="333"/>
      <w:bookmarkEnd w:id="334"/>
      <w:bookmarkEnd w:id="335"/>
      <w:bookmarkEnd w:id="336"/>
      <w:bookmarkEnd w:id="337"/>
      <w:bookmarkEnd w:id="338"/>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hint="eastAsia" w:ascii="仿宋" w:hAnsi="仿宋" w:eastAsia="仿宋" w:cs="仿宋"/>
          <w:color w:val="auto"/>
          <w:sz w:val="32"/>
          <w:szCs w:val="32"/>
          <w:highlight w:val="none"/>
        </w:rPr>
      </w:pPr>
      <w:bookmarkStart w:id="350" w:name="_Toc32341"/>
      <w:r>
        <w:rPr>
          <w:rFonts w:hint="eastAsia" w:ascii="仿宋" w:hAnsi="仿宋" w:eastAsia="仿宋" w:cs="仿宋"/>
          <w:color w:val="auto"/>
          <w:sz w:val="32"/>
          <w:szCs w:val="32"/>
          <w:highlight w:val="none"/>
        </w:rPr>
        <w:t>三、</w:t>
      </w:r>
      <w:bookmarkEnd w:id="339"/>
      <w:bookmarkEnd w:id="340"/>
      <w:bookmarkEnd w:id="341"/>
      <w:bookmarkEnd w:id="342"/>
      <w:bookmarkEnd w:id="343"/>
      <w:bookmarkEnd w:id="344"/>
      <w:bookmarkEnd w:id="345"/>
      <w:r>
        <w:rPr>
          <w:rFonts w:hint="eastAsia" w:ascii="仿宋" w:hAnsi="仿宋" w:eastAsia="仿宋" w:cs="仿宋"/>
          <w:color w:val="auto"/>
          <w:sz w:val="32"/>
          <w:szCs w:val="32"/>
          <w:highlight w:val="none"/>
          <w:lang w:val="en-US" w:eastAsia="zh-CN"/>
        </w:rPr>
        <w:t>费用组成明细表</w:t>
      </w:r>
      <w:bookmarkEnd w:id="350"/>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1" w:name="_Toc27541"/>
            <w:bookmarkStart w:id="352" w:name="_Toc27212"/>
            <w:bookmarkStart w:id="353" w:name="_Toc5122"/>
            <w:bookmarkStart w:id="354" w:name="_Toc10639"/>
            <w:bookmarkStart w:id="355" w:name="_Toc2318"/>
            <w:bookmarkStart w:id="356" w:name="_Toc5607"/>
            <w:bookmarkStart w:id="357" w:name="_Toc28835"/>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58" w:name="_Toc6997"/>
      <w:r>
        <w:rPr>
          <w:rFonts w:hint="eastAsia" w:ascii="仿宋" w:hAnsi="仿宋" w:eastAsia="仿宋" w:cs="仿宋"/>
          <w:color w:val="auto"/>
          <w:sz w:val="32"/>
          <w:szCs w:val="32"/>
          <w:highlight w:val="none"/>
          <w:lang w:val="zh-CN" w:eastAsia="zh-CN"/>
        </w:rPr>
        <w:t>四、供应商资格证明文件</w:t>
      </w:r>
      <w:bookmarkEnd w:id="358"/>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6"/>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59"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59"/>
      <w:bookmarkStart w:id="360" w:name="_Toc21445"/>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0"/>
      <w:bookmarkStart w:id="361" w:name="_Toc17757"/>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1"/>
    </w:p>
    <w:p>
      <w:pPr>
        <w:pStyle w:val="16"/>
        <w:shd w:val="clear"/>
        <w:spacing w:line="360" w:lineRule="auto"/>
        <w:outlineLvl w:val="9"/>
        <w:rPr>
          <w:rFonts w:hint="eastAsia" w:ascii="仿宋" w:hAnsi="仿宋" w:eastAsia="仿宋" w:cs="仿宋"/>
          <w:color w:val="auto"/>
          <w:highlight w:val="none"/>
          <w:lang w:eastAsia="zh-CN"/>
        </w:rPr>
      </w:pPr>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2" w:name="_Toc8139"/>
      <w:r>
        <w:rPr>
          <w:rFonts w:hint="eastAsia" w:ascii="仿宋" w:hAnsi="仿宋" w:eastAsia="仿宋" w:cs="仿宋"/>
          <w:b/>
          <w:color w:val="auto"/>
          <w:sz w:val="28"/>
          <w:szCs w:val="28"/>
          <w:highlight w:val="none"/>
          <w:lang w:eastAsia="zh-CN"/>
        </w:rPr>
        <w:t>（四）社会保障资金缴纳证明</w:t>
      </w:r>
      <w:bookmarkEnd w:id="362"/>
    </w:p>
    <w:p>
      <w:pPr>
        <w:pStyle w:val="16"/>
        <w:shd w:val="clear"/>
        <w:jc w:val="center"/>
        <w:rPr>
          <w:rFonts w:hint="default" w:eastAsia="仿宋"/>
          <w:b w:val="0"/>
          <w:bCs w:val="0"/>
          <w:color w:val="auto"/>
          <w:sz w:val="24"/>
          <w:szCs w:val="24"/>
          <w:highlight w:val="none"/>
          <w:lang w:val="en-US" w:eastAsia="zh-CN"/>
        </w:rPr>
      </w:pPr>
      <w:bookmarkStart w:id="363"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3"/>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4" w:name="_Toc19749"/>
      <w:bookmarkStart w:id="365" w:name="_Toc109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4"/>
      <w:bookmarkEnd w:id="365"/>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6"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6"/>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7" w:name="_Toc495681533"/>
      <w:bookmarkStart w:id="368" w:name="_Toc495671263"/>
      <w:bookmarkStart w:id="369" w:name="_Toc495681252"/>
      <w:bookmarkStart w:id="370" w:name="_Toc1610"/>
      <w:bookmarkStart w:id="371" w:name="_Toc495681406"/>
      <w:bookmarkStart w:id="372" w:name="_Toc495908048"/>
      <w:r>
        <w:rPr>
          <w:rFonts w:hint="eastAsia" w:ascii="仿宋" w:hAnsi="仿宋" w:eastAsia="仿宋" w:cs="仿宋"/>
          <w:b/>
          <w:color w:val="auto"/>
          <w:sz w:val="24"/>
          <w:szCs w:val="24"/>
          <w:highlight w:val="none"/>
        </w:rPr>
        <w:t>1、法定代表人身份证明</w:t>
      </w:r>
      <w:bookmarkEnd w:id="367"/>
      <w:bookmarkEnd w:id="368"/>
      <w:bookmarkEnd w:id="369"/>
      <w:bookmarkEnd w:id="370"/>
      <w:bookmarkEnd w:id="371"/>
      <w:bookmarkEnd w:id="372"/>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3" w:name="_Toc495681253"/>
      <w:bookmarkStart w:id="374" w:name="_Toc495681534"/>
      <w:bookmarkStart w:id="375" w:name="_Toc495908049"/>
      <w:bookmarkStart w:id="376" w:name="_Toc495681407"/>
      <w:bookmarkStart w:id="377" w:name="_Toc18921"/>
      <w:bookmarkStart w:id="378" w:name="_Toc495671264"/>
      <w:r>
        <w:rPr>
          <w:rFonts w:hint="eastAsia" w:ascii="仿宋" w:hAnsi="仿宋" w:eastAsia="仿宋" w:cs="仿宋"/>
          <w:b/>
          <w:color w:val="auto"/>
          <w:sz w:val="24"/>
          <w:szCs w:val="24"/>
          <w:highlight w:val="none"/>
        </w:rPr>
        <w:t>2、法定代表人授权书</w:t>
      </w:r>
      <w:bookmarkEnd w:id="373"/>
      <w:bookmarkEnd w:id="374"/>
      <w:bookmarkEnd w:id="375"/>
      <w:bookmarkEnd w:id="376"/>
      <w:bookmarkEnd w:id="377"/>
      <w:bookmarkEnd w:id="378"/>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highlight w:val="none"/>
          <w:lang w:val="zh-CN"/>
        </w:rPr>
        <w:t>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6"/>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hint="eastAsia" w:ascii="仿宋" w:hAnsi="仿宋" w:eastAsia="仿宋" w:cs="仿宋"/>
          <w:color w:val="auto"/>
          <w:szCs w:val="44"/>
          <w:highlight w:val="none"/>
          <w:lang w:val="zh-CN"/>
        </w:rPr>
      </w:pPr>
      <w:bookmarkStart w:id="379" w:name="_Toc24985"/>
      <w:r>
        <w:rPr>
          <w:rFonts w:hint="eastAsia" w:ascii="仿宋" w:hAnsi="仿宋" w:eastAsia="仿宋" w:cs="仿宋"/>
          <w:color w:val="auto"/>
          <w:sz w:val="32"/>
          <w:szCs w:val="32"/>
          <w:highlight w:val="none"/>
          <w:lang w:val="zh-CN"/>
        </w:rPr>
        <w:t>五、合同主要条款偏离表</w:t>
      </w:r>
      <w:bookmarkEnd w:id="346"/>
      <w:bookmarkEnd w:id="347"/>
      <w:bookmarkEnd w:id="348"/>
      <w:bookmarkEnd w:id="349"/>
      <w:bookmarkEnd w:id="351"/>
      <w:bookmarkEnd w:id="352"/>
      <w:bookmarkEnd w:id="353"/>
      <w:bookmarkEnd w:id="354"/>
      <w:bookmarkEnd w:id="355"/>
      <w:bookmarkEnd w:id="356"/>
      <w:bookmarkEnd w:id="357"/>
      <w:bookmarkEnd w:id="379"/>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3"/>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3"/>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0" w:name="_Toc475451556"/>
      <w:bookmarkStart w:id="381" w:name="_Toc475451803"/>
      <w:bookmarkStart w:id="382" w:name="_Toc473056006"/>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0" w:type="default"/>
          <w:headerReference r:id="rId9"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3"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4" w:name="_Toc18259"/>
      <w:bookmarkStart w:id="385" w:name="_Toc24781"/>
      <w:bookmarkStart w:id="386" w:name="_Toc11729"/>
      <w:bookmarkStart w:id="387" w:name="_Toc759"/>
      <w:bookmarkStart w:id="388" w:name="_Toc25362"/>
      <w:bookmarkStart w:id="389" w:name="_Toc2298"/>
      <w:bookmarkStart w:id="390" w:name="_Toc16548"/>
      <w:bookmarkStart w:id="391" w:name="_Toc12016"/>
      <w:bookmarkStart w:id="392" w:name="_Toc20878"/>
      <w:bookmarkStart w:id="393" w:name="_Toc15517"/>
      <w:bookmarkStart w:id="394" w:name="_Toc30778"/>
      <w:bookmarkStart w:id="395" w:name="_Toc17397"/>
      <w:bookmarkStart w:id="396" w:name="_Toc27892"/>
      <w:bookmarkStart w:id="397" w:name="_Toc31736"/>
      <w:bookmarkStart w:id="398" w:name="_Toc1307"/>
      <w:bookmarkStart w:id="399" w:name="_Toc32190"/>
      <w:bookmarkStart w:id="400" w:name="_Toc3524"/>
      <w:bookmarkStart w:id="401" w:name="_Toc21290"/>
      <w:bookmarkStart w:id="402" w:name="_Toc2566"/>
      <w:bookmarkStart w:id="403" w:name="_Toc26846"/>
      <w:bookmarkStart w:id="404" w:name="_Toc8757"/>
      <w:bookmarkStart w:id="405" w:name="_Toc26424"/>
      <w:bookmarkStart w:id="406" w:name="_Toc15409"/>
      <w:bookmarkStart w:id="407" w:name="_Toc18203"/>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4"/>
      <w:bookmarkEnd w:id="385"/>
      <w:bookmarkEnd w:id="386"/>
      <w:r>
        <w:rPr>
          <w:rStyle w:val="33"/>
          <w:rFonts w:hint="eastAsia" w:ascii="仿宋" w:hAnsi="仿宋" w:eastAsia="仿宋" w:cs="仿宋"/>
          <w:color w:val="auto"/>
          <w:sz w:val="32"/>
          <w:szCs w:val="21"/>
          <w:highlight w:val="none"/>
          <w:lang w:eastAsia="zh-CN"/>
        </w:rPr>
        <w:t>（若有）</w:t>
      </w:r>
      <w:bookmarkEnd w:id="387"/>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2" w:type="default"/>
          <w:headerReference r:id="rId11"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pStyle w:val="9"/>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08" w:name="_Toc11371"/>
      <w:bookmarkStart w:id="409" w:name="_Toc28411"/>
      <w:bookmarkStart w:id="410" w:name="_Toc14710"/>
      <w:bookmarkStart w:id="411" w:name="_Toc7823"/>
      <w:bookmarkStart w:id="412" w:name="_Toc13042"/>
      <w:bookmarkStart w:id="413" w:name="_Toc26791"/>
      <w:bookmarkStart w:id="414" w:name="_Toc14308"/>
      <w:bookmarkStart w:id="415" w:name="_Toc8297"/>
      <w:bookmarkStart w:id="416" w:name="_Toc31212"/>
      <w:bookmarkStart w:id="417" w:name="_Toc4764"/>
      <w:bookmarkStart w:id="418" w:name="_Toc370"/>
      <w:bookmarkStart w:id="419" w:name="_Toc22966"/>
      <w:bookmarkStart w:id="420" w:name="_Toc4404"/>
      <w:bookmarkStart w:id="421" w:name="_Toc518"/>
      <w:bookmarkStart w:id="422" w:name="_Toc4501"/>
      <w:bookmarkStart w:id="423" w:name="_Toc8261"/>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08"/>
      <w:bookmarkEnd w:id="409"/>
      <w:bookmarkEnd w:id="410"/>
      <w:bookmarkEnd w:id="411"/>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2"/>
      <w:bookmarkEnd w:id="413"/>
      <w:bookmarkEnd w:id="414"/>
      <w:bookmarkEnd w:id="415"/>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4" w:name="_Toc30747"/>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0"/>
      <w:bookmarkEnd w:id="381"/>
      <w:bookmarkEnd w:id="382"/>
      <w:bookmarkEnd w:id="416"/>
      <w:bookmarkEnd w:id="417"/>
      <w:bookmarkEnd w:id="418"/>
      <w:r>
        <w:rPr>
          <w:rStyle w:val="33"/>
          <w:rFonts w:hint="eastAsia" w:ascii="仿宋" w:hAnsi="仿宋" w:eastAsia="仿宋" w:cs="仿宋"/>
          <w:color w:val="auto"/>
          <w:sz w:val="32"/>
          <w:szCs w:val="21"/>
          <w:highlight w:val="none"/>
        </w:rPr>
        <w:t>技术方案</w:t>
      </w:r>
      <w:bookmarkEnd w:id="419"/>
      <w:bookmarkEnd w:id="420"/>
      <w:bookmarkEnd w:id="421"/>
      <w:bookmarkEnd w:id="422"/>
      <w:bookmarkEnd w:id="423"/>
      <w:bookmarkEnd w:id="424"/>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25" w:name="_Toc23262"/>
      <w:bookmarkStart w:id="426" w:name="_Toc25402"/>
      <w:bookmarkStart w:id="427" w:name="_Toc2686"/>
      <w:bookmarkStart w:id="428" w:name="_Toc24871"/>
      <w:bookmarkStart w:id="429" w:name="_Toc28055"/>
      <w:bookmarkStart w:id="430" w:name="_Toc27566"/>
      <w:bookmarkStart w:id="431" w:name="_Toc22956"/>
      <w:bookmarkStart w:id="432" w:name="_Toc9259"/>
      <w:bookmarkStart w:id="433" w:name="_Toc20544"/>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5"/>
      <w:bookmarkEnd w:id="426"/>
      <w:bookmarkEnd w:id="427"/>
      <w:bookmarkEnd w:id="428"/>
      <w:bookmarkEnd w:id="429"/>
      <w:bookmarkEnd w:id="430"/>
      <w:bookmarkEnd w:id="431"/>
      <w:r>
        <w:rPr>
          <w:rStyle w:val="33"/>
          <w:rFonts w:hint="eastAsia" w:ascii="仿宋" w:hAnsi="仿宋" w:eastAsia="仿宋" w:cs="仿宋"/>
          <w:color w:val="auto"/>
          <w:sz w:val="32"/>
          <w:szCs w:val="21"/>
          <w:highlight w:val="none"/>
          <w:lang w:eastAsia="zh-CN"/>
        </w:rPr>
        <w:t>质量保证及售后</w:t>
      </w:r>
      <w:r>
        <w:rPr>
          <w:rStyle w:val="33"/>
          <w:rFonts w:hint="eastAsia" w:ascii="仿宋" w:hAnsi="仿宋" w:eastAsia="仿宋" w:cs="仿宋"/>
          <w:color w:val="auto"/>
          <w:sz w:val="32"/>
          <w:szCs w:val="21"/>
          <w:highlight w:val="none"/>
        </w:rPr>
        <w:t>服务承诺</w:t>
      </w:r>
      <w:bookmarkEnd w:id="432"/>
      <w:bookmarkEnd w:id="433"/>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4" w:name="_Toc30152"/>
      <w:bookmarkStart w:id="435" w:name="_Toc17895"/>
      <w:bookmarkStart w:id="436" w:name="_Toc15935"/>
    </w:p>
    <w:bookmarkEnd w:id="434"/>
    <w:p>
      <w:pPr>
        <w:shd w:val="clear"/>
        <w:spacing w:line="360" w:lineRule="auto"/>
        <w:rPr>
          <w:rFonts w:hint="eastAsia" w:ascii="仿宋" w:hAnsi="仿宋" w:eastAsia="仿宋" w:cs="仿宋"/>
          <w:color w:val="auto"/>
          <w:sz w:val="24"/>
          <w:szCs w:val="24"/>
          <w:highlight w:val="none"/>
        </w:rPr>
      </w:pPr>
    </w:p>
    <w:bookmarkEnd w:id="435"/>
    <w:bookmarkEnd w:id="436"/>
    <w:p>
      <w:pPr>
        <w:shd w:val="clear"/>
        <w:rPr>
          <w:rFonts w:hint="eastAsia" w:ascii="仿宋" w:hAnsi="仿宋" w:eastAsia="仿宋" w:cs="仿宋"/>
          <w:b/>
          <w:color w:val="auto"/>
          <w:sz w:val="32"/>
          <w:szCs w:val="32"/>
          <w:highlight w:val="none"/>
        </w:rPr>
      </w:pPr>
      <w:bookmarkStart w:id="437" w:name="_Toc473056008"/>
      <w:bookmarkStart w:id="438" w:name="_Toc27139"/>
      <w:bookmarkStart w:id="439" w:name="_Toc10131"/>
      <w:bookmarkStart w:id="440" w:name="_Toc8020"/>
      <w:bookmarkStart w:id="441" w:name="_Toc18031"/>
      <w:bookmarkStart w:id="442" w:name="_Toc6638"/>
      <w:bookmarkStart w:id="443" w:name="_Toc475451804"/>
      <w:bookmarkStart w:id="444" w:name="_Toc19696"/>
      <w:bookmarkStart w:id="445" w:name="_Toc475451557"/>
      <w:bookmarkStart w:id="446" w:name="_Toc23271"/>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47" w:name="_Toc8031"/>
      <w:bookmarkStart w:id="448" w:name="_Toc31948"/>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、近年业绩的有关证明材料</w:t>
      </w:r>
      <w:bookmarkEnd w:id="437"/>
      <w:bookmarkEnd w:id="438"/>
      <w:bookmarkEnd w:id="439"/>
      <w:bookmarkEnd w:id="440"/>
      <w:bookmarkEnd w:id="441"/>
      <w:bookmarkEnd w:id="442"/>
      <w:bookmarkEnd w:id="443"/>
      <w:bookmarkEnd w:id="444"/>
      <w:bookmarkEnd w:id="445"/>
      <w:bookmarkEnd w:id="446"/>
      <w:bookmarkEnd w:id="447"/>
      <w:bookmarkEnd w:id="448"/>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49" w:name="_Toc17302"/>
      <w:bookmarkStart w:id="450" w:name="_Toc3523"/>
      <w:bookmarkStart w:id="451" w:name="_Toc19495"/>
      <w:bookmarkStart w:id="452" w:name="_Toc23592"/>
      <w:bookmarkStart w:id="453" w:name="_Toc4012"/>
      <w:bookmarkStart w:id="454" w:name="_Toc18036"/>
      <w:bookmarkStart w:id="455" w:name="_Toc28776"/>
      <w:bookmarkStart w:id="456" w:name="_Toc11796"/>
      <w:bookmarkStart w:id="457" w:name="_Toc16096"/>
      <w:bookmarkStart w:id="458" w:name="_Toc31387"/>
      <w:bookmarkStart w:id="459" w:name="_Toc8517"/>
      <w:bookmarkStart w:id="460" w:name="_Toc32284"/>
      <w:bookmarkStart w:id="461" w:name="_Toc32626"/>
      <w:bookmarkStart w:id="462" w:name="_Toc14104"/>
      <w:bookmarkStart w:id="463" w:name="_Toc16864"/>
      <w:bookmarkStart w:id="464" w:name="_Toc24201"/>
    </w:p>
    <w:bookmarkEnd w:id="449"/>
    <w:bookmarkEnd w:id="450"/>
    <w:bookmarkEnd w:id="451"/>
    <w:bookmarkEnd w:id="452"/>
    <w:bookmarkEnd w:id="453"/>
    <w:bookmarkEnd w:id="454"/>
    <w:bookmarkEnd w:id="455"/>
    <w:bookmarkEnd w:id="456"/>
    <w:p>
      <w:pPr>
        <w:pStyle w:val="9"/>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5" w:name="_Toc1958"/>
      <w:r>
        <w:rPr>
          <w:rFonts w:hint="eastAsia" w:ascii="仿宋" w:hAnsi="仿宋" w:eastAsia="仿宋" w:cs="仿宋"/>
          <w:color w:val="auto"/>
          <w:sz w:val="36"/>
          <w:highlight w:val="none"/>
          <w:lang w:val="en-US" w:eastAsia="zh-CN"/>
        </w:rPr>
        <w:t>十一</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57"/>
      <w:bookmarkEnd w:id="458"/>
      <w:bookmarkEnd w:id="459"/>
      <w:bookmarkEnd w:id="460"/>
      <w:bookmarkEnd w:id="461"/>
      <w:bookmarkEnd w:id="462"/>
      <w:bookmarkEnd w:id="463"/>
      <w:bookmarkEnd w:id="464"/>
      <w:bookmarkEnd w:id="465"/>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5"/>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6" w:name="_Toc19579"/>
      <w:bookmarkStart w:id="467" w:name="_Toc2681"/>
      <w:bookmarkStart w:id="468" w:name="_Toc5082"/>
      <w:bookmarkStart w:id="469" w:name="_Toc12844"/>
      <w:bookmarkStart w:id="470" w:name="_Toc2180"/>
      <w:bookmarkStart w:id="471" w:name="_Toc19643"/>
      <w:bookmarkStart w:id="472" w:name="_Toc31226"/>
      <w:bookmarkStart w:id="473" w:name="_Toc26450"/>
      <w:bookmarkStart w:id="474" w:name="_Toc7489"/>
      <w:bookmarkStart w:id="475" w:name="_Toc14521"/>
      <w:bookmarkStart w:id="476" w:name="_Toc28697"/>
      <w:bookmarkStart w:id="477" w:name="_Toc26328"/>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二</w:t>
      </w:r>
      <w:r>
        <w:rPr>
          <w:rFonts w:hint="eastAsia" w:ascii="仿宋" w:hAnsi="仿宋" w:eastAsia="仿宋" w:cs="仿宋"/>
          <w:b/>
          <w:color w:val="auto"/>
          <w:kern w:val="0"/>
          <w:sz w:val="32"/>
          <w:szCs w:val="24"/>
          <w:highlight w:val="none"/>
          <w:lang w:val="zh-CN"/>
        </w:rPr>
        <w:t>、供应商廉洁自律承诺书</w:t>
      </w:r>
      <w:bookmarkEnd w:id="466"/>
      <w:bookmarkEnd w:id="467"/>
      <w:bookmarkEnd w:id="468"/>
      <w:bookmarkEnd w:id="469"/>
      <w:bookmarkEnd w:id="470"/>
      <w:bookmarkEnd w:id="471"/>
      <w:bookmarkEnd w:id="472"/>
      <w:bookmarkEnd w:id="473"/>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78" w:name="_Toc1644"/>
      <w:bookmarkStart w:id="479" w:name="_Toc25981"/>
      <w:bookmarkStart w:id="480" w:name="_Toc4293"/>
      <w:bookmarkStart w:id="481" w:name="_Toc7233"/>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hint="eastAsia" w:ascii="仿宋" w:hAnsi="仿宋" w:eastAsia="仿宋" w:cs="仿宋"/>
          <w:color w:val="auto"/>
          <w:szCs w:val="22"/>
          <w:highlight w:val="none"/>
          <w:lang w:val="zh-CN"/>
        </w:rPr>
      </w:pPr>
      <w:bookmarkStart w:id="482" w:name="_Toc25138"/>
      <w:bookmarkStart w:id="483" w:name="_Toc19539"/>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三</w:t>
      </w:r>
      <w:r>
        <w:rPr>
          <w:rFonts w:hint="eastAsia" w:ascii="仿宋" w:hAnsi="仿宋" w:eastAsia="仿宋" w:cs="仿宋"/>
          <w:color w:val="auto"/>
          <w:sz w:val="32"/>
          <w:szCs w:val="24"/>
          <w:highlight w:val="none"/>
          <w:lang w:val="zh-CN"/>
        </w:rPr>
        <w:t>、供应商认为有必要补充说明的事项</w:t>
      </w:r>
      <w:bookmarkEnd w:id="474"/>
      <w:bookmarkEnd w:id="475"/>
      <w:bookmarkEnd w:id="476"/>
      <w:bookmarkEnd w:id="477"/>
      <w:bookmarkEnd w:id="478"/>
      <w:bookmarkEnd w:id="479"/>
      <w:bookmarkEnd w:id="480"/>
      <w:bookmarkEnd w:id="481"/>
      <w:bookmarkEnd w:id="482"/>
      <w:bookmarkEnd w:id="483"/>
    </w:p>
    <w:bookmarkEnd w:id="314"/>
    <w:bookmarkEnd w:id="315"/>
    <w:bookmarkEnd w:id="316"/>
    <w:bookmarkEnd w:id="317"/>
    <w:bookmarkEnd w:id="318"/>
    <w:bookmarkEnd w:id="319"/>
    <w:bookmarkEnd w:id="320"/>
    <w:bookmarkEnd w:id="321"/>
    <w:bookmarkEnd w:id="322"/>
    <w:p>
      <w:pPr>
        <w:shd w:val="clear"/>
        <w:rPr>
          <w:rFonts w:hint="eastAsia" w:ascii="仿宋" w:hAnsi="仿宋" w:eastAsia="仿宋" w:cs="仿宋"/>
          <w:color w:val="auto"/>
          <w:highlight w:val="none"/>
          <w:lang w:val="zh-CN"/>
        </w:rPr>
      </w:pPr>
    </w:p>
    <w:sectPr>
      <w:footerReference r:id="rId13"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9909C6D4"/>
    <w:multiLevelType w:val="singleLevel"/>
    <w:tmpl w:val="9909C6D4"/>
    <w:lvl w:ilvl="0" w:tentative="0">
      <w:start w:val="1"/>
      <w:numFmt w:val="decimal"/>
      <w:suff w:val="nothing"/>
      <w:lvlText w:val="%1、"/>
      <w:lvlJc w:val="left"/>
    </w:lvl>
  </w:abstractNum>
  <w:abstractNum w:abstractNumId="2">
    <w:nsid w:val="BA8B1867"/>
    <w:multiLevelType w:val="singleLevel"/>
    <w:tmpl w:val="BA8B1867"/>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BF4CFA"/>
    <w:rsid w:val="01CE2DA2"/>
    <w:rsid w:val="02560E10"/>
    <w:rsid w:val="02F65EA5"/>
    <w:rsid w:val="033663E9"/>
    <w:rsid w:val="0424200F"/>
    <w:rsid w:val="045B4C77"/>
    <w:rsid w:val="04CD44F6"/>
    <w:rsid w:val="051B4D72"/>
    <w:rsid w:val="054C4B68"/>
    <w:rsid w:val="0560491E"/>
    <w:rsid w:val="05CB26F0"/>
    <w:rsid w:val="05E17870"/>
    <w:rsid w:val="064E2CB2"/>
    <w:rsid w:val="065968F6"/>
    <w:rsid w:val="06DB123D"/>
    <w:rsid w:val="06E762C1"/>
    <w:rsid w:val="07030667"/>
    <w:rsid w:val="08DA1CCC"/>
    <w:rsid w:val="092F2224"/>
    <w:rsid w:val="094E1B96"/>
    <w:rsid w:val="0A195CCB"/>
    <w:rsid w:val="0ABA0821"/>
    <w:rsid w:val="0ABD0267"/>
    <w:rsid w:val="0AC83A82"/>
    <w:rsid w:val="0B725906"/>
    <w:rsid w:val="0BC342A5"/>
    <w:rsid w:val="0BE622E3"/>
    <w:rsid w:val="0C39505A"/>
    <w:rsid w:val="0DD36A09"/>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A0E3F19"/>
    <w:rsid w:val="1A121B15"/>
    <w:rsid w:val="1A4D2929"/>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F782143"/>
    <w:rsid w:val="1FB42CDC"/>
    <w:rsid w:val="2030768E"/>
    <w:rsid w:val="20561977"/>
    <w:rsid w:val="2070384A"/>
    <w:rsid w:val="20EF433C"/>
    <w:rsid w:val="212E2BED"/>
    <w:rsid w:val="21B30412"/>
    <w:rsid w:val="22364F87"/>
    <w:rsid w:val="2267000F"/>
    <w:rsid w:val="22710E72"/>
    <w:rsid w:val="23BD535D"/>
    <w:rsid w:val="23CA7689"/>
    <w:rsid w:val="243D57B7"/>
    <w:rsid w:val="24B347CF"/>
    <w:rsid w:val="253907E9"/>
    <w:rsid w:val="2578616C"/>
    <w:rsid w:val="276E06FD"/>
    <w:rsid w:val="27DA227F"/>
    <w:rsid w:val="28512A2A"/>
    <w:rsid w:val="28874FC7"/>
    <w:rsid w:val="28BA31BE"/>
    <w:rsid w:val="28EF40E2"/>
    <w:rsid w:val="29103985"/>
    <w:rsid w:val="29313E7E"/>
    <w:rsid w:val="29CE1C23"/>
    <w:rsid w:val="2A220659"/>
    <w:rsid w:val="2BF24EA5"/>
    <w:rsid w:val="2C79393B"/>
    <w:rsid w:val="2C84162D"/>
    <w:rsid w:val="2CD961F5"/>
    <w:rsid w:val="2D975164"/>
    <w:rsid w:val="2E027D31"/>
    <w:rsid w:val="2E3F3DC3"/>
    <w:rsid w:val="2EB81439"/>
    <w:rsid w:val="2EDB6767"/>
    <w:rsid w:val="2EEC419D"/>
    <w:rsid w:val="2F23488F"/>
    <w:rsid w:val="2F5B46BD"/>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45B1744"/>
    <w:rsid w:val="34BB1C6C"/>
    <w:rsid w:val="35385DB0"/>
    <w:rsid w:val="35AD6FFF"/>
    <w:rsid w:val="35BD41C8"/>
    <w:rsid w:val="35FA112A"/>
    <w:rsid w:val="360953A3"/>
    <w:rsid w:val="365F178C"/>
    <w:rsid w:val="367403BC"/>
    <w:rsid w:val="36E66740"/>
    <w:rsid w:val="371D7D99"/>
    <w:rsid w:val="3806579E"/>
    <w:rsid w:val="38C0120A"/>
    <w:rsid w:val="395F3A3A"/>
    <w:rsid w:val="39A139DA"/>
    <w:rsid w:val="39C80027"/>
    <w:rsid w:val="39F8254C"/>
    <w:rsid w:val="3AD8706D"/>
    <w:rsid w:val="3BA53C49"/>
    <w:rsid w:val="3C2E148B"/>
    <w:rsid w:val="3CF25686"/>
    <w:rsid w:val="3D3D5BAB"/>
    <w:rsid w:val="3E7D13AA"/>
    <w:rsid w:val="3EA65882"/>
    <w:rsid w:val="3F5D4F76"/>
    <w:rsid w:val="3FDF67ED"/>
    <w:rsid w:val="403D0274"/>
    <w:rsid w:val="40B569EF"/>
    <w:rsid w:val="412905E8"/>
    <w:rsid w:val="41EB2146"/>
    <w:rsid w:val="420E7E94"/>
    <w:rsid w:val="421D7ADC"/>
    <w:rsid w:val="4286079A"/>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D62208F"/>
    <w:rsid w:val="4E0B07C7"/>
    <w:rsid w:val="4E91125B"/>
    <w:rsid w:val="4EC60B02"/>
    <w:rsid w:val="4ED714F3"/>
    <w:rsid w:val="4EFF70A2"/>
    <w:rsid w:val="4FFE2A4D"/>
    <w:rsid w:val="500F30B2"/>
    <w:rsid w:val="503F464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447584"/>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9B2F18"/>
    <w:rsid w:val="60AB52FB"/>
    <w:rsid w:val="612F0AAC"/>
    <w:rsid w:val="617B342C"/>
    <w:rsid w:val="618052A3"/>
    <w:rsid w:val="61A05A41"/>
    <w:rsid w:val="61A65A50"/>
    <w:rsid w:val="62D973EC"/>
    <w:rsid w:val="633E6B67"/>
    <w:rsid w:val="638A29AA"/>
    <w:rsid w:val="644B5969"/>
    <w:rsid w:val="6639491E"/>
    <w:rsid w:val="663A635E"/>
    <w:rsid w:val="663B7C52"/>
    <w:rsid w:val="669979E6"/>
    <w:rsid w:val="66E64CB8"/>
    <w:rsid w:val="67314798"/>
    <w:rsid w:val="67A81366"/>
    <w:rsid w:val="67D609B5"/>
    <w:rsid w:val="69223D07"/>
    <w:rsid w:val="6A3C0184"/>
    <w:rsid w:val="6A421349"/>
    <w:rsid w:val="6A593808"/>
    <w:rsid w:val="6A820CB5"/>
    <w:rsid w:val="6AEF36AB"/>
    <w:rsid w:val="6BA83A30"/>
    <w:rsid w:val="6C441E01"/>
    <w:rsid w:val="6CA11C93"/>
    <w:rsid w:val="6D58673E"/>
    <w:rsid w:val="6D7C1D5A"/>
    <w:rsid w:val="6D7E166E"/>
    <w:rsid w:val="6E3F249C"/>
    <w:rsid w:val="6E515ED7"/>
    <w:rsid w:val="6E923519"/>
    <w:rsid w:val="6F450537"/>
    <w:rsid w:val="6F961D52"/>
    <w:rsid w:val="6FB74706"/>
    <w:rsid w:val="70332F55"/>
    <w:rsid w:val="705661F5"/>
    <w:rsid w:val="70741DA4"/>
    <w:rsid w:val="715227D8"/>
    <w:rsid w:val="72785511"/>
    <w:rsid w:val="737D0386"/>
    <w:rsid w:val="74336640"/>
    <w:rsid w:val="745F5922"/>
    <w:rsid w:val="76F70D77"/>
    <w:rsid w:val="77250723"/>
    <w:rsid w:val="77253808"/>
    <w:rsid w:val="77DF601B"/>
    <w:rsid w:val="77E02A90"/>
    <w:rsid w:val="784C1F84"/>
    <w:rsid w:val="78A4106E"/>
    <w:rsid w:val="791D0736"/>
    <w:rsid w:val="79321132"/>
    <w:rsid w:val="79746AE6"/>
    <w:rsid w:val="7A172027"/>
    <w:rsid w:val="7A210D18"/>
    <w:rsid w:val="7AF21885"/>
    <w:rsid w:val="7C043FDC"/>
    <w:rsid w:val="7C0959BF"/>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4"/>
    <w:qFormat/>
    <w:uiPriority w:val="0"/>
    <w:pPr>
      <w:keepNext/>
      <w:jc w:val="center"/>
      <w:outlineLvl w:val="0"/>
    </w:pPr>
    <w:rPr>
      <w:rFonts w:ascii="黑体" w:hAnsi="黑体"/>
      <w:b/>
      <w:kern w:val="0"/>
      <w:sz w:val="44"/>
    </w:rPr>
  </w:style>
  <w:style w:type="paragraph" w:styleId="9">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afterLines="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9"/>
    <w:qFormat/>
    <w:uiPriority w:val="0"/>
    <w:rPr>
      <w:rFonts w:ascii="黑体" w:hAnsi="黑体"/>
      <w:b/>
      <w:kern w:val="0"/>
      <w:sz w:val="44"/>
    </w:rPr>
  </w:style>
  <w:style w:type="character" w:customStyle="1" w:styleId="34">
    <w:name w:val="标题 1 Char"/>
    <w:link w:val="8"/>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96</Pages>
  <Words>37785</Words>
  <Characters>42033</Characters>
  <Lines>0</Lines>
  <Paragraphs>0</Paragraphs>
  <TotalTime>0</TotalTime>
  <ScaleCrop>false</ScaleCrop>
  <LinksUpToDate>false</LinksUpToDate>
  <CharactersWithSpaces>45312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3782187EF9FE478F887A4F2B644D2676</vt:lpwstr>
  </property>
</Properties>
</file>