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color w:val="auto"/>
          <w:sz w:val="24"/>
          <w:highlight w:val="none"/>
        </w:rPr>
        <w:drawing>
          <wp:inline distT="0" distB="0" distL="0" distR="0">
            <wp:extent cx="5318760" cy="806450"/>
            <wp:effectExtent l="0" t="0" r="15240"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18760" cy="806450"/>
                    </a:xfrm>
                    <a:prstGeom prst="rect">
                      <a:avLst/>
                    </a:prstGeom>
                    <a:noFill/>
                    <a:ln>
                      <a:noFill/>
                    </a:ln>
                  </pic:spPr>
                </pic:pic>
              </a:graphicData>
            </a:graphic>
          </wp:inline>
        </w:drawing>
      </w:r>
    </w:p>
    <w:p>
      <w:pPr>
        <w:jc w:val="right"/>
        <w:rPr>
          <w:rFonts w:hint="eastAsia" w:ascii="宋体" w:hAnsi="宋体" w:eastAsia="宋体" w:cs="宋体"/>
          <w:b/>
          <w:color w:val="auto"/>
          <w:sz w:val="28"/>
          <w:szCs w:val="18"/>
          <w:highlight w:val="none"/>
          <w:lang w:eastAsia="zh-CN"/>
        </w:rPr>
      </w:pPr>
      <w:r>
        <w:rPr>
          <w:rFonts w:hint="eastAsia" w:ascii="宋体" w:hAnsi="宋体" w:eastAsia="宋体" w:cs="宋体"/>
          <w:color w:val="auto"/>
          <w:sz w:val="24"/>
          <w:highlight w:val="none"/>
        </w:rPr>
        <w:br w:type="textWrapping"/>
      </w:r>
      <w:r>
        <w:rPr>
          <w:rFonts w:hint="eastAsia" w:ascii="宋体" w:hAnsi="宋体" w:eastAsia="宋体" w:cs="宋体"/>
          <w:color w:val="auto"/>
          <w:sz w:val="21"/>
          <w:szCs w:val="16"/>
          <w:highlight w:val="none"/>
        </w:rPr>
        <w:t xml:space="preserve">                                </w:t>
      </w:r>
      <w:r>
        <w:rPr>
          <w:rFonts w:hint="eastAsia" w:ascii="宋体" w:hAnsi="宋体" w:eastAsia="宋体" w:cs="宋体"/>
          <w:b/>
          <w:color w:val="auto"/>
          <w:sz w:val="28"/>
          <w:szCs w:val="18"/>
          <w:highlight w:val="none"/>
        </w:rPr>
        <w:t>项目编号：</w:t>
      </w:r>
      <w:r>
        <w:rPr>
          <w:rFonts w:hint="eastAsia" w:ascii="宋体" w:hAnsi="宋体" w:cs="宋体"/>
          <w:b/>
          <w:color w:val="auto"/>
          <w:sz w:val="28"/>
          <w:szCs w:val="18"/>
          <w:highlight w:val="none"/>
          <w:lang w:eastAsia="zh-CN"/>
        </w:rPr>
        <w:t>ZXHC2022-ZCBQ-0930</w:t>
      </w:r>
    </w:p>
    <w:p>
      <w:pPr>
        <w:tabs>
          <w:tab w:val="left" w:pos="8640"/>
        </w:tabs>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jc w:val="center"/>
        <w:rPr>
          <w:rFonts w:hint="eastAsia" w:ascii="宋体" w:hAnsi="宋体" w:eastAsia="宋体" w:cs="宋体"/>
          <w:color w:val="auto"/>
          <w:sz w:val="48"/>
          <w:szCs w:val="48"/>
          <w:highlight w:val="none"/>
          <w:lang w:eastAsia="zh-CN"/>
        </w:rPr>
      </w:pPr>
      <w:r>
        <w:rPr>
          <w:rFonts w:hint="eastAsia" w:ascii="宋体" w:hAnsi="宋体" w:cs="宋体"/>
          <w:b/>
          <w:color w:val="auto"/>
          <w:sz w:val="48"/>
          <w:szCs w:val="48"/>
          <w:highlight w:val="none"/>
          <w:lang w:eastAsia="zh-CN"/>
        </w:rPr>
        <w:t>灞桥葡萄宣传片拍摄制作播放</w:t>
      </w:r>
      <w:r>
        <w:rPr>
          <w:rFonts w:hint="eastAsia" w:ascii="宋体" w:hAnsi="宋体" w:eastAsia="宋体" w:cs="宋体"/>
          <w:b/>
          <w:color w:val="auto"/>
          <w:sz w:val="48"/>
          <w:szCs w:val="48"/>
          <w:highlight w:val="none"/>
          <w:lang w:eastAsia="zh-CN"/>
        </w:rPr>
        <w:t>项目</w:t>
      </w:r>
    </w:p>
    <w:p>
      <w:pPr>
        <w:jc w:val="center"/>
        <w:rPr>
          <w:rFonts w:hint="eastAsia" w:ascii="宋体" w:hAnsi="宋体" w:eastAsia="宋体" w:cs="宋体"/>
          <w:color w:val="auto"/>
          <w:sz w:val="48"/>
          <w:highlight w:val="none"/>
        </w:rPr>
      </w:pPr>
    </w:p>
    <w:p>
      <w:pPr>
        <w:rPr>
          <w:rFonts w:hint="eastAsia" w:ascii="宋体" w:hAnsi="宋体" w:eastAsia="宋体" w:cs="宋体"/>
          <w:color w:val="auto"/>
          <w:sz w:val="4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sz w:val="48"/>
          <w:highlight w:val="none"/>
        </w:rPr>
      </w:pPr>
    </w:p>
    <w:p>
      <w:pPr>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p>
    <w:p>
      <w:pPr>
        <w:spacing w:line="360" w:lineRule="auto"/>
        <w:rPr>
          <w:rFonts w:hint="eastAsia" w:ascii="宋体" w:hAnsi="宋体" w:eastAsia="宋体" w:cs="宋体"/>
          <w:color w:val="auto"/>
          <w:sz w:val="32"/>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spacing w:line="360" w:lineRule="auto"/>
        <w:rPr>
          <w:rFonts w:hint="eastAsia" w:ascii="宋体" w:hAnsi="宋体" w:eastAsia="宋体" w:cs="宋体"/>
          <w:color w:val="auto"/>
          <w:sz w:val="32"/>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32"/>
          <w:highlight w:val="none"/>
        </w:rPr>
      </w:pPr>
    </w:p>
    <w:p>
      <w:pPr>
        <w:spacing w:line="360" w:lineRule="auto"/>
        <w:ind w:firstLine="1968" w:firstLineChars="7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u w:val="single"/>
          <w:lang w:eastAsia="zh-CN"/>
        </w:rPr>
        <w:t>西安市灞桥区农业农村局</w:t>
      </w:r>
      <w:r>
        <w:rPr>
          <w:rFonts w:hint="eastAsia" w:ascii="宋体" w:hAnsi="宋体" w:eastAsia="宋体" w:cs="宋体"/>
          <w:b/>
          <w:color w:val="auto"/>
          <w:sz w:val="28"/>
          <w:szCs w:val="28"/>
          <w:highlight w:val="none"/>
          <w:u w:val="single"/>
          <w:lang w:val="en-US" w:eastAsia="zh-CN"/>
        </w:rPr>
        <w:t xml:space="preserve">      </w:t>
      </w:r>
    </w:p>
    <w:p>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陕西中信海诚造价咨询有限公司</w:t>
      </w:r>
    </w:p>
    <w:p>
      <w:pPr>
        <w:spacing w:line="360" w:lineRule="auto"/>
        <w:rPr>
          <w:rFonts w:hint="eastAsia" w:ascii="宋体" w:hAnsi="宋体" w:eastAsia="宋体" w:cs="宋体"/>
          <w:b/>
          <w:color w:val="auto"/>
          <w:szCs w:val="21"/>
          <w:highlight w:val="none"/>
        </w:rPr>
      </w:pPr>
    </w:p>
    <w:p>
      <w:pPr>
        <w:spacing w:line="360" w:lineRule="auto"/>
        <w:jc w:val="center"/>
        <w:rPr>
          <w:rFonts w:hint="eastAsia" w:ascii="宋体" w:hAnsi="宋体" w:eastAsia="宋体" w:cs="宋体"/>
          <w:color w:val="auto"/>
          <w:sz w:val="36"/>
          <w:szCs w:val="21"/>
          <w:highlight w:val="none"/>
        </w:rPr>
      </w:pPr>
      <w:r>
        <w:rPr>
          <w:rFonts w:hint="eastAsia" w:ascii="宋体" w:hAnsi="宋体" w:eastAsia="宋体" w:cs="宋体"/>
          <w:b/>
          <w:color w:val="auto"/>
          <w:sz w:val="32"/>
          <w:szCs w:val="32"/>
          <w:highlight w:val="none"/>
        </w:rPr>
        <w:t>二〇二二年</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rPr>
        <w:t>月</w:t>
      </w:r>
    </w:p>
    <w:p>
      <w:pPr>
        <w:jc w:val="center"/>
        <w:rPr>
          <w:rFonts w:hint="eastAsia" w:ascii="宋体" w:hAnsi="宋体" w:eastAsia="宋体" w:cs="宋体"/>
          <w:b/>
          <w:color w:val="auto"/>
          <w:sz w:val="40"/>
          <w:szCs w:val="40"/>
          <w:highlight w:val="none"/>
        </w:rPr>
        <w:sectPr>
          <w:footerReference r:id="rId7" w:type="first"/>
          <w:headerReference r:id="rId3" w:type="default"/>
          <w:footerReference r:id="rId5" w:type="default"/>
          <w:headerReference r:id="rId4" w:type="even"/>
          <w:footerReference r:id="rId6" w:type="even"/>
          <w:footnotePr>
            <w:pos w:val="beneathText"/>
          </w:footnotePr>
          <w:pgSz w:w="11906" w:h="16838"/>
          <w:pgMar w:top="1418" w:right="1531" w:bottom="1191" w:left="1531" w:header="851" w:footer="992" w:gutter="0"/>
          <w:pgNumType w:fmt="decimal"/>
          <w:cols w:space="720" w:num="1"/>
          <w:titlePg/>
          <w:docGrid w:linePitch="312" w:charSpace="0"/>
        </w:sectPr>
      </w:pPr>
    </w:p>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lang w:val="zh-CN"/>
        </w:rPr>
        <w:t>目录</w:t>
      </w:r>
    </w:p>
    <w:p>
      <w:pPr>
        <w:pStyle w:val="20"/>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_Toc10137 </w:instrText>
      </w:r>
      <w:r>
        <w:rPr>
          <w:rFonts w:hint="eastAsia" w:ascii="宋体" w:hAnsi="宋体" w:eastAsia="宋体" w:cs="宋体"/>
          <w:highlight w:val="none"/>
        </w:rPr>
        <w:fldChar w:fldCharType="separate"/>
      </w:r>
      <w:r>
        <w:rPr>
          <w:rFonts w:hint="eastAsia" w:ascii="宋体" w:hAnsi="宋体" w:eastAsia="宋体" w:cs="宋体"/>
          <w:highlight w:val="none"/>
        </w:rPr>
        <w:t>第一章  竞争性磋商公告</w:t>
      </w:r>
      <w:r>
        <w:tab/>
      </w:r>
      <w:r>
        <w:fldChar w:fldCharType="begin"/>
      </w:r>
      <w:r>
        <w:instrText xml:space="preserve"> PAGEREF _Toc10137 \h </w:instrText>
      </w:r>
      <w:r>
        <w:fldChar w:fldCharType="separate"/>
      </w:r>
      <w:r>
        <w:t>3</w:t>
      </w:r>
      <w:r>
        <w:fldChar w:fldCharType="end"/>
      </w:r>
      <w:r>
        <w:rPr>
          <w:rFonts w:hint="eastAsia" w:ascii="宋体" w:hAnsi="宋体" w:eastAsia="宋体" w:cs="宋体"/>
          <w:color w:val="auto"/>
          <w:highlight w:val="none"/>
        </w:rPr>
        <w:fldChar w:fldCharType="end"/>
      </w:r>
    </w:p>
    <w:p>
      <w:pPr>
        <w:pStyle w:val="20"/>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_Toc30546 </w:instrText>
      </w:r>
      <w:r>
        <w:rPr>
          <w:rFonts w:hint="eastAsia" w:ascii="宋体" w:hAnsi="宋体" w:eastAsia="宋体" w:cs="宋体"/>
          <w:highlight w:val="none"/>
        </w:rPr>
        <w:fldChar w:fldCharType="separate"/>
      </w:r>
      <w:r>
        <w:rPr>
          <w:rFonts w:hint="eastAsia" w:ascii="宋体" w:hAnsi="宋体" w:eastAsia="宋体" w:cs="宋体"/>
          <w:highlight w:val="none"/>
        </w:rPr>
        <w:t>第二章  磋商须知前附表</w:t>
      </w:r>
      <w:r>
        <w:tab/>
      </w:r>
      <w:r>
        <w:fldChar w:fldCharType="begin"/>
      </w:r>
      <w:r>
        <w:instrText xml:space="preserve"> PAGEREF _Toc30546 \h </w:instrText>
      </w:r>
      <w:r>
        <w:fldChar w:fldCharType="separate"/>
      </w:r>
      <w:r>
        <w:t>6</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_Toc11482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（一）总则</w:t>
      </w:r>
      <w:r>
        <w:tab/>
      </w:r>
      <w:r>
        <w:fldChar w:fldCharType="begin"/>
      </w:r>
      <w:r>
        <w:instrText xml:space="preserve"> PAGEREF _Toc11482 \h </w:instrText>
      </w:r>
      <w:r>
        <w:fldChar w:fldCharType="separate"/>
      </w:r>
      <w:r>
        <w:t>11</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_Toc4064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（二）磋商文件说明</w:t>
      </w:r>
      <w:r>
        <w:tab/>
      </w:r>
      <w:r>
        <w:fldChar w:fldCharType="begin"/>
      </w:r>
      <w:r>
        <w:instrText xml:space="preserve"> PAGEREF _Toc4064 \h </w:instrText>
      </w:r>
      <w:r>
        <w:fldChar w:fldCharType="separate"/>
      </w:r>
      <w:r>
        <w:t>12</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_Toc18147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（三）磋商响应文件的编写</w:t>
      </w:r>
      <w:r>
        <w:tab/>
      </w:r>
      <w:r>
        <w:fldChar w:fldCharType="begin"/>
      </w:r>
      <w:r>
        <w:instrText xml:space="preserve"> PAGEREF _Toc18147 \h </w:instrText>
      </w:r>
      <w:r>
        <w:fldChar w:fldCharType="separate"/>
      </w:r>
      <w:r>
        <w:t>13</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_Toc198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（四）磋商响应文件的递交</w:t>
      </w:r>
      <w:r>
        <w:tab/>
      </w:r>
      <w:r>
        <w:fldChar w:fldCharType="begin"/>
      </w:r>
      <w:r>
        <w:instrText xml:space="preserve"> PAGEREF _Toc198 \h </w:instrText>
      </w:r>
      <w:r>
        <w:fldChar w:fldCharType="separate"/>
      </w:r>
      <w:r>
        <w:t>17</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_Toc30917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 开标/评审</w:t>
      </w:r>
      <w:r>
        <w:tab/>
      </w:r>
      <w:r>
        <w:fldChar w:fldCharType="begin"/>
      </w:r>
      <w:r>
        <w:instrText xml:space="preserve"> PAGEREF _Toc30917 \h </w:instrText>
      </w:r>
      <w:r>
        <w:fldChar w:fldCharType="separate"/>
      </w:r>
      <w:r>
        <w:t>18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_Toc6277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 授予合同</w:t>
      </w:r>
      <w:r>
        <w:tab/>
      </w:r>
      <w:r>
        <w:fldChar w:fldCharType="begin"/>
      </w:r>
      <w:r>
        <w:instrText xml:space="preserve"> PAGEREF _Toc6277 \h </w:instrText>
      </w:r>
      <w:r>
        <w:fldChar w:fldCharType="separate"/>
      </w:r>
      <w:r>
        <w:t>25</w:t>
      </w:r>
      <w:r>
        <w:fldChar w:fldCharType="end"/>
      </w:r>
      <w:r>
        <w:rPr>
          <w:rFonts w:hint="eastAsia" w:ascii="宋体" w:hAnsi="宋体" w:eastAsia="宋体" w:cs="宋体"/>
          <w:color w:val="auto"/>
          <w:highlight w:val="none"/>
        </w:rPr>
        <w:fldChar w:fldCharType="end"/>
      </w:r>
    </w:p>
    <w:p>
      <w:pPr>
        <w:pStyle w:val="20"/>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_Toc30719 </w:instrText>
      </w:r>
      <w:r>
        <w:rPr>
          <w:rFonts w:hint="eastAsia" w:ascii="宋体" w:hAnsi="宋体" w:eastAsia="宋体" w:cs="宋体"/>
          <w:highlight w:val="none"/>
        </w:rPr>
        <w:fldChar w:fldCharType="separate"/>
      </w:r>
      <w:r>
        <w:rPr>
          <w:rFonts w:hint="eastAsia" w:ascii="宋体" w:hAnsi="宋体" w:eastAsia="宋体" w:cs="宋体"/>
        </w:rPr>
        <w:t xml:space="preserve">第三章 </w:t>
      </w:r>
      <w:r>
        <w:rPr>
          <w:rFonts w:hint="eastAsia" w:ascii="宋体" w:hAnsi="宋体" w:eastAsia="宋体" w:cs="宋体"/>
          <w:highlight w:val="none"/>
        </w:rPr>
        <w:t>采购内容及要求</w:t>
      </w:r>
      <w:r>
        <w:tab/>
      </w:r>
      <w:r>
        <w:fldChar w:fldCharType="begin"/>
      </w:r>
      <w:r>
        <w:instrText xml:space="preserve"> PAGEREF _Toc30719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_Toc23443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一、商务要求</w:t>
      </w:r>
      <w:r>
        <w:tab/>
      </w:r>
      <w:r>
        <w:fldChar w:fldCharType="begin"/>
      </w:r>
      <w:r>
        <w:instrText xml:space="preserve"> PAGEREF _Toc23443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_Toc12350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（一）主要商务条款和要求</w:t>
      </w:r>
      <w:r>
        <w:tab/>
      </w:r>
      <w:r>
        <w:fldChar w:fldCharType="begin"/>
      </w:r>
      <w:r>
        <w:instrText xml:space="preserve"> PAGEREF _Toc12350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_Toc25526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（二）商务条件响应说明</w:t>
      </w:r>
      <w:r>
        <w:tab/>
      </w:r>
      <w:r>
        <w:fldChar w:fldCharType="begin"/>
      </w:r>
      <w:r>
        <w:instrText xml:space="preserve"> PAGEREF _Toc25526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_Toc26072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二、采购内容</w:t>
      </w:r>
      <w:r>
        <w:tab/>
      </w:r>
      <w:r>
        <w:fldChar w:fldCharType="begin"/>
      </w:r>
      <w:r>
        <w:instrText xml:space="preserve"> PAGEREF _Toc26072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_Toc14084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（一）</w:t>
      </w:r>
      <w:r>
        <w:rPr>
          <w:rFonts w:hint="eastAsia" w:ascii="宋体" w:hAnsi="宋体" w:eastAsia="宋体" w:cs="宋体"/>
          <w:bCs/>
          <w:szCs w:val="24"/>
          <w:highlight w:val="none"/>
        </w:rPr>
        <w:t>内容和要求</w:t>
      </w:r>
      <w:r>
        <w:tab/>
      </w:r>
      <w:r>
        <w:fldChar w:fldCharType="begin"/>
      </w:r>
      <w:r>
        <w:instrText xml:space="preserve"> PAGEREF _Toc14084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_Toc30008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（二）</w:t>
      </w:r>
      <w:r>
        <w:rPr>
          <w:rFonts w:hint="eastAsia" w:ascii="宋体" w:hAnsi="宋体" w:eastAsia="宋体" w:cs="宋体"/>
          <w:bCs/>
          <w:szCs w:val="24"/>
          <w:highlight w:val="none"/>
        </w:rPr>
        <w:t>项目具体要求</w:t>
      </w:r>
      <w:r>
        <w:tab/>
      </w:r>
      <w:r>
        <w:fldChar w:fldCharType="begin"/>
      </w:r>
      <w:r>
        <w:instrText xml:space="preserve"> PAGEREF _Toc30008 \h </w:instrText>
      </w:r>
      <w:r>
        <w:fldChar w:fldCharType="separate"/>
      </w:r>
      <w:r>
        <w:t>28</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_Toc15401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eastAsia="zh-CN"/>
        </w:rPr>
        <w:t>（三）</w:t>
      </w:r>
      <w:r>
        <w:rPr>
          <w:rFonts w:hint="eastAsia" w:ascii="宋体" w:hAnsi="宋体" w:eastAsia="宋体" w:cs="宋体"/>
          <w:bCs/>
          <w:szCs w:val="24"/>
          <w:highlight w:val="none"/>
        </w:rPr>
        <w:t>技术要求</w:t>
      </w:r>
      <w:r>
        <w:tab/>
      </w:r>
      <w:r>
        <w:fldChar w:fldCharType="begin"/>
      </w:r>
      <w:r>
        <w:instrText xml:space="preserve"> PAGEREF _Toc15401 \h </w:instrText>
      </w:r>
      <w:r>
        <w:fldChar w:fldCharType="separate"/>
      </w:r>
      <w:r>
        <w:t>29</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_Toc24218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（四）拍摄设备要求</w:t>
      </w:r>
      <w:r>
        <w:tab/>
      </w:r>
      <w:r>
        <w:fldChar w:fldCharType="begin"/>
      </w:r>
      <w:r>
        <w:instrText xml:space="preserve"> PAGEREF _Toc24218 \h </w:instrText>
      </w:r>
      <w:r>
        <w:fldChar w:fldCharType="separate"/>
      </w:r>
      <w:r>
        <w:t>29</w:t>
      </w:r>
      <w:r>
        <w:fldChar w:fldCharType="end"/>
      </w:r>
      <w:r>
        <w:rPr>
          <w:rFonts w:hint="eastAsia" w:ascii="宋体" w:hAnsi="宋体" w:eastAsia="宋体" w:cs="宋体"/>
          <w:color w:val="auto"/>
          <w:highlight w:val="none"/>
        </w:rPr>
        <w:fldChar w:fldCharType="end"/>
      </w:r>
    </w:p>
    <w:p>
      <w:pPr>
        <w:pStyle w:val="20"/>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_Toc23976 </w:instrText>
      </w:r>
      <w:r>
        <w:rPr>
          <w:rFonts w:hint="eastAsia" w:ascii="宋体" w:hAnsi="宋体" w:eastAsia="宋体" w:cs="宋体"/>
          <w:highlight w:val="none"/>
        </w:rPr>
        <w:fldChar w:fldCharType="separate"/>
      </w:r>
      <w:r>
        <w:rPr>
          <w:rFonts w:hint="eastAsia" w:ascii="宋体" w:hAnsi="宋体" w:eastAsia="宋体" w:cs="宋体"/>
          <w:highlight w:val="none"/>
        </w:rPr>
        <w:t>第四章  合同一般条款（参考格式）</w:t>
      </w:r>
      <w:r>
        <w:tab/>
      </w:r>
      <w:r>
        <w:fldChar w:fldCharType="begin"/>
      </w:r>
      <w:r>
        <w:instrText xml:space="preserve"> PAGEREF _Toc23976 \h </w:instrText>
      </w:r>
      <w:r>
        <w:fldChar w:fldCharType="separate"/>
      </w:r>
      <w:r>
        <w:t>31</w:t>
      </w:r>
      <w:r>
        <w:fldChar w:fldCharType="end"/>
      </w:r>
      <w:r>
        <w:rPr>
          <w:rFonts w:hint="eastAsia" w:ascii="宋体" w:hAnsi="宋体" w:eastAsia="宋体" w:cs="宋体"/>
          <w:color w:val="auto"/>
          <w:highlight w:val="none"/>
        </w:rPr>
        <w:fldChar w:fldCharType="end"/>
      </w:r>
    </w:p>
    <w:p>
      <w:pPr>
        <w:pStyle w:val="20"/>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_Toc2252 </w:instrText>
      </w:r>
      <w:r>
        <w:rPr>
          <w:rFonts w:hint="eastAsia" w:ascii="宋体" w:hAnsi="宋体" w:eastAsia="宋体" w:cs="宋体"/>
          <w:highlight w:val="none"/>
        </w:rPr>
        <w:fldChar w:fldCharType="separate"/>
      </w:r>
      <w:r>
        <w:rPr>
          <w:rFonts w:hint="eastAsia" w:ascii="宋体" w:hAnsi="宋体" w:eastAsia="宋体" w:cs="宋体"/>
          <w:highlight w:val="none"/>
        </w:rPr>
        <w:t>第五章  附件--磋商响应文件格式</w:t>
      </w:r>
      <w:r>
        <w:tab/>
      </w:r>
      <w:r>
        <w:fldChar w:fldCharType="begin"/>
      </w:r>
      <w:r>
        <w:instrText xml:space="preserve"> PAGEREF _Toc2252 \h </w:instrText>
      </w:r>
      <w:r>
        <w:fldChar w:fldCharType="separate"/>
      </w:r>
      <w:r>
        <w:t>33</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_Toc15394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一、封面</w:t>
      </w:r>
      <w:r>
        <w:tab/>
      </w:r>
      <w:r>
        <w:fldChar w:fldCharType="begin"/>
      </w:r>
      <w:r>
        <w:instrText xml:space="preserve"> PAGEREF _Toc15394 \h </w:instrText>
      </w:r>
      <w:r>
        <w:fldChar w:fldCharType="separate"/>
      </w:r>
      <w:r>
        <w:t>33</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_Toc15055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二、目录</w:t>
      </w:r>
      <w:r>
        <w:tab/>
      </w:r>
      <w:r>
        <w:fldChar w:fldCharType="begin"/>
      </w:r>
      <w:r>
        <w:instrText xml:space="preserve"> PAGEREF _Toc15055 \h </w:instrText>
      </w:r>
      <w:r>
        <w:fldChar w:fldCharType="separate"/>
      </w:r>
      <w:r>
        <w:t>35</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_Toc4080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三、磋商响应函</w:t>
      </w:r>
      <w:r>
        <w:tab/>
      </w:r>
      <w:r>
        <w:fldChar w:fldCharType="begin"/>
      </w:r>
      <w:r>
        <w:instrText xml:space="preserve"> PAGEREF _Toc4080 \h </w:instrText>
      </w:r>
      <w:r>
        <w:fldChar w:fldCharType="separate"/>
      </w:r>
      <w:r>
        <w:t>36</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_Toc2945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四、首次磋商报价表</w:t>
      </w:r>
      <w:r>
        <w:tab/>
      </w:r>
      <w:r>
        <w:fldChar w:fldCharType="begin"/>
      </w:r>
      <w:r>
        <w:instrText xml:space="preserve"> PAGEREF _Toc2945 \h </w:instrText>
      </w:r>
      <w:r>
        <w:fldChar w:fldCharType="separate"/>
      </w:r>
      <w:r>
        <w:t>37</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_Toc7326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五、响应方案</w:t>
      </w:r>
      <w:r>
        <w:tab/>
      </w:r>
      <w:r>
        <w:fldChar w:fldCharType="begin"/>
      </w:r>
      <w:r>
        <w:instrText xml:space="preserve"> PAGEREF _Toc7326 \h </w:instrText>
      </w:r>
      <w:r>
        <w:fldChar w:fldCharType="separate"/>
      </w:r>
      <w:r>
        <w:t>41</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_Toc16328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六、供应商资格证明文件及其他</w:t>
      </w:r>
      <w:r>
        <w:tab/>
      </w:r>
      <w:r>
        <w:fldChar w:fldCharType="begin"/>
      </w:r>
      <w:r>
        <w:instrText xml:space="preserve"> PAGEREF _Toc16328 \h </w:instrText>
      </w:r>
      <w:r>
        <w:fldChar w:fldCharType="separate"/>
      </w:r>
      <w:r>
        <w:t>42</w:t>
      </w:r>
      <w:r>
        <w:fldChar w:fldCharType="end"/>
      </w:r>
      <w:r>
        <w:rPr>
          <w:rFonts w:hint="eastAsia" w:ascii="宋体" w:hAnsi="宋体" w:eastAsia="宋体" w:cs="宋体"/>
          <w:color w:val="auto"/>
          <w:highlight w:val="none"/>
        </w:rPr>
        <w:fldChar w:fldCharType="end"/>
      </w:r>
    </w:p>
    <w:p>
      <w:pPr>
        <w:pStyle w:val="21"/>
        <w:tabs>
          <w:tab w:val="right" w:leader="dot" w:pos="850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_Toc27897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七、陕西省政府采购供应商拒绝政府采购领域商业贿赂承诺书</w:t>
      </w:r>
      <w:r>
        <w:tab/>
      </w:r>
      <w:r>
        <w:fldChar w:fldCharType="begin"/>
      </w:r>
      <w:r>
        <w:instrText xml:space="preserve"> PAGEREF _Toc27897 \h </w:instrText>
      </w:r>
      <w:r>
        <w:fldChar w:fldCharType="separate"/>
      </w:r>
      <w:r>
        <w:t>53</w:t>
      </w:r>
      <w:r>
        <w:fldChar w:fldCharType="end"/>
      </w:r>
      <w:r>
        <w:rPr>
          <w:rFonts w:hint="eastAsia" w:ascii="宋体" w:hAnsi="宋体" w:eastAsia="宋体" w:cs="宋体"/>
          <w:color w:val="auto"/>
          <w:highlight w:val="none"/>
        </w:rPr>
        <w:fldChar w:fldCharType="end"/>
      </w:r>
    </w:p>
    <w:p>
      <w:pPr>
        <w:spacing w:line="360" w:lineRule="auto"/>
        <w:rPr>
          <w:rFonts w:hint="eastAsia" w:ascii="宋体" w:hAnsi="宋体" w:eastAsia="宋体" w:cs="宋体"/>
          <w:b/>
          <w:color w:val="auto"/>
          <w:sz w:val="36"/>
          <w:szCs w:val="36"/>
          <w:highlight w:val="none"/>
        </w:rPr>
      </w:pPr>
      <w:r>
        <w:rPr>
          <w:rFonts w:hint="eastAsia" w:ascii="宋体" w:hAnsi="宋体" w:eastAsia="宋体" w:cs="宋体"/>
          <w:color w:val="auto"/>
          <w:highlight w:val="none"/>
        </w:rPr>
        <w:fldChar w:fldCharType="end"/>
      </w:r>
      <w:r>
        <w:rPr>
          <w:rFonts w:hint="eastAsia" w:ascii="宋体" w:hAnsi="宋体" w:eastAsia="宋体" w:cs="宋体"/>
          <w:b/>
          <w:color w:val="auto"/>
          <w:sz w:val="36"/>
          <w:szCs w:val="36"/>
          <w:highlight w:val="none"/>
        </w:rPr>
        <w:t xml:space="preserve"> </w:t>
      </w:r>
    </w:p>
    <w:p>
      <w:pPr>
        <w:pStyle w:val="21"/>
        <w:tabs>
          <w:tab w:val="right" w:leader="dot" w:pos="8504"/>
        </w:tabs>
        <w:spacing w:line="360" w:lineRule="auto"/>
        <w:rPr>
          <w:rFonts w:hint="eastAsia" w:ascii="宋体" w:hAnsi="宋体" w:eastAsia="宋体" w:cs="宋体"/>
          <w:b/>
          <w:bCs/>
          <w:color w:val="auto"/>
          <w:sz w:val="28"/>
          <w:szCs w:val="28"/>
          <w:highlight w:val="none"/>
        </w:rPr>
      </w:pPr>
    </w:p>
    <w:p>
      <w:pPr>
        <w:pStyle w:val="23"/>
        <w:rPr>
          <w:rFonts w:hint="eastAsia" w:ascii="宋体" w:hAnsi="宋体" w:eastAsia="宋体" w:cs="宋体"/>
          <w:color w:val="auto"/>
          <w:highlight w:val="none"/>
        </w:rPr>
        <w:sectPr>
          <w:headerReference r:id="rId8" w:type="first"/>
          <w:footerReference r:id="rId10" w:type="first"/>
          <w:footerReference r:id="rId9" w:type="default"/>
          <w:footnotePr>
            <w:pos w:val="beneathText"/>
          </w:footnotePr>
          <w:pgSz w:w="11906" w:h="16838"/>
          <w:pgMar w:top="1418" w:right="1644" w:bottom="1191" w:left="1758" w:header="851" w:footer="992" w:gutter="0"/>
          <w:pgNumType w:fmt="decimal"/>
          <w:cols w:space="720" w:num="1"/>
          <w:docGrid w:linePitch="312" w:charSpace="0"/>
        </w:sectPr>
      </w:pPr>
      <w:bookmarkStart w:id="0" w:name="_Toc193702467"/>
      <w:bookmarkStart w:id="1" w:name="_Toc519085725"/>
      <w:bookmarkStart w:id="2" w:name="_Toc18412"/>
      <w:bookmarkStart w:id="3" w:name="_Toc20476"/>
      <w:bookmarkStart w:id="4" w:name="_Toc519091920"/>
      <w:bookmarkStart w:id="5" w:name="_Toc246928891"/>
      <w:bookmarkStart w:id="6" w:name="_Toc519091192"/>
    </w:p>
    <w:p>
      <w:pPr>
        <w:pStyle w:val="23"/>
        <w:rPr>
          <w:rFonts w:hint="eastAsia" w:ascii="宋体" w:hAnsi="宋体" w:eastAsia="宋体" w:cs="宋体"/>
          <w:color w:val="auto"/>
          <w:highlight w:val="none"/>
        </w:rPr>
      </w:pPr>
      <w:bookmarkStart w:id="7" w:name="_Toc10137"/>
      <w:r>
        <w:rPr>
          <w:rFonts w:hint="eastAsia" w:ascii="宋体" w:hAnsi="宋体" w:eastAsia="宋体" w:cs="宋体"/>
          <w:color w:val="auto"/>
          <w:highlight w:val="none"/>
        </w:rPr>
        <w:t>第一</w:t>
      </w:r>
      <w:bookmarkEnd w:id="0"/>
      <w:r>
        <w:rPr>
          <w:rFonts w:hint="eastAsia" w:ascii="宋体" w:hAnsi="宋体" w:eastAsia="宋体" w:cs="宋体"/>
          <w:color w:val="auto"/>
          <w:highlight w:val="none"/>
        </w:rPr>
        <w:t>章  竞争性磋商公告</w:t>
      </w:r>
      <w:bookmarkEnd w:id="1"/>
      <w:bookmarkEnd w:id="2"/>
      <w:bookmarkEnd w:id="3"/>
      <w:bookmarkEnd w:id="4"/>
      <w:bookmarkEnd w:id="5"/>
      <w:bookmarkEnd w:id="6"/>
      <w:bookmarkEnd w:id="7"/>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jc w:val="left"/>
        <w:textAlignment w:val="baseline"/>
        <w:rPr>
          <w:rFonts w:hint="eastAsia" w:ascii="宋体" w:hAnsi="宋体" w:eastAsia="宋体" w:cs="宋体"/>
          <w:b w:val="0"/>
          <w:bCs w:val="0"/>
          <w:sz w:val="24"/>
          <w:szCs w:val="24"/>
        </w:rPr>
      </w:pPr>
      <w:bookmarkStart w:id="8" w:name="_Toc519091202"/>
      <w:bookmarkStart w:id="9" w:name="_Toc246928893"/>
      <w:bookmarkStart w:id="10" w:name="_Toc519085735"/>
      <w:bookmarkStart w:id="11" w:name="_Toc519091921"/>
      <w:r>
        <w:rPr>
          <w:rFonts w:hint="eastAsia" w:ascii="宋体" w:hAnsi="宋体" w:eastAsia="宋体" w:cs="宋体"/>
          <w:color w:val="auto"/>
          <w:sz w:val="24"/>
          <w:szCs w:val="24"/>
          <w:highlight w:val="none"/>
          <w:shd w:val="clear" w:color="auto" w:fill="FFFFFF"/>
        </w:rPr>
        <w:t> </w:t>
      </w:r>
      <w:r>
        <w:rPr>
          <w:rStyle w:val="29"/>
          <w:rFonts w:hint="eastAsia" w:ascii="宋体" w:hAnsi="宋体" w:eastAsia="宋体" w:cs="宋体"/>
          <w:b/>
          <w:bCs/>
          <w:i w:val="0"/>
          <w:iCs w:val="0"/>
          <w:caps w:val="0"/>
          <w:color w:val="333333"/>
          <w:spacing w:val="0"/>
          <w:sz w:val="24"/>
          <w:szCs w:val="24"/>
          <w:shd w:val="clear" w:fill="FFFFFF"/>
          <w:vertAlign w:val="baseline"/>
        </w:rPr>
        <w:t>项目概况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灞桥葡萄宣传片拍摄制作播放采购项目的潜在供应商应在西安市碑林区含光北路 2 号广丰国际大厦 II 区 806 室获取采购文件，并于 2022年10月20日 14时30分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项目编号：ZXHC2022-ZCBQ-0930</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项目名称：灞桥葡萄宣传片拍摄制作播放</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预算金额：395,000.00元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合同包1(宣传片):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合同包预算金额：395,000.00元</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合同包最高限价：395,000.00元</w:t>
      </w:r>
    </w:p>
    <w:tbl>
      <w:tblPr>
        <w:tblStyle w:val="26"/>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8"/>
        <w:gridCol w:w="1877"/>
        <w:gridCol w:w="1877"/>
        <w:gridCol w:w="845"/>
        <w:gridCol w:w="1413"/>
        <w:gridCol w:w="136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广告服务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395,000.00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395,000.00</w:t>
            </w:r>
          </w:p>
        </w:tc>
      </w:tr>
    </w:tbl>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合同履行期限：合同签订后20日历日内完成。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合同包1(宣传片)落实政府采购政策需满足的资格要求如下: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2）《关于进一步加大政府采购支持中小企业力度的通知》（财库〔2022〕19号）；（3）《财政部司法部关于政府采购支持监狱企业发展有关问题的通知》（财库〔2014〕68号）；（4）《国务院办公厅关于建立政府强制采购节能产品制度的通知》（国办发〔2007〕51号）；（5）《环境标志产品政府采购实施的意见》（财库[2006]90号）；（6）《节能产品政府采购实施意见》（财库[2004]185号）；（7）《关于促进残疾人就业政府采购政策的通知》（财库〔2017〕141号）；（8）《财政部 发展改革委 生态环境部 市场监管总局关于调整优化节能产品、环境标志产品政府采购执行机制的通知》（财库〔2019〕9号）；（9）《关于运用政府采购政策支持乡村产业振兴的通知》（财库〔2021〕19号）； （10）关于印发《商品包装政府采购需求标准（试行）》、 《快递包装政府采购需求标准（试行）》的通知（财办库〔2020〕123号）；（11）《陕西省财政厅关于加快推进我省中小企业政府采购信用融资工作的通知》（陕财办采〔2020〕15号）及《陕西省财政厅关于印发《陕西省中小企业政府采购信用融资办法》（陕财办采〔2018〕23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合同包1(宣传片)特定资格要求如下: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32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（1）单位负责人为同一人或者存在直接控股、管理关系的不同供应商，不得同时参加本项目采购活动；（2）本项目专门面向小微企业采购。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2022年10月09日 至 2022年10月14日 ，每天上午 09:00:00 至 12:00:00 ，下午 14:00:00 至 18:00:00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途径：西安市碑林区含光北路 2 号广丰国际大厦 II 区 806 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2022年10月20日 14时30分00秒 （北京时间）</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提交投标文件地点：西安市碑林区含光北路 2 号广丰国际大厦 II 区 806 室开标室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开标地点：西安市碑林区含光北路 2 号广丰国际大厦 II 区 806 室开标室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五、公告期限</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2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报名时请携带身份证原件和复印件及单位介绍信原件加盖公章，谢绝邮寄。2.注意事项：供应商须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9"/>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名称：西安市灞桥区农业农村局</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地址：西安市灞桥区纺一路107号</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联系方式：许院029-83522424</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名称：陕西中信海诚造价咨询有限公司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地址：西安市碑林区含光北路 2 号广丰国际大厦 II 区 806 室</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联系方式：029-85262287</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项目联系人：田雨</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电话：029-85262287</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p>
    <w:p>
      <w:pPr>
        <w:pStyle w:val="22"/>
        <w:shd w:val="clear" w:color="auto" w:fill="FFFFFF"/>
        <w:spacing w:beforeAutospacing="0" w:afterAutospacing="0" w:line="360" w:lineRule="auto"/>
        <w:ind w:firstLine="320"/>
        <w:jc w:val="right"/>
        <w:rPr>
          <w:rFonts w:hint="eastAsia" w:ascii="宋体" w:hAnsi="宋体" w:eastAsia="宋体" w:cs="宋体"/>
          <w:color w:val="auto"/>
          <w:szCs w:val="24"/>
          <w:highlight w:val="none"/>
          <w:shd w:val="clear" w:color="auto" w:fill="FFFFFF"/>
        </w:rPr>
      </w:pPr>
    </w:p>
    <w:p>
      <w:pPr>
        <w:pStyle w:val="22"/>
        <w:shd w:val="clear" w:color="auto" w:fill="FFFFFF"/>
        <w:spacing w:beforeAutospacing="0" w:afterAutospacing="0" w:line="510" w:lineRule="atLeast"/>
        <w:ind w:firstLine="420"/>
        <w:rPr>
          <w:rFonts w:hint="eastAsia" w:ascii="宋体" w:hAnsi="宋体" w:eastAsia="宋体" w:cs="宋体"/>
          <w:color w:val="auto"/>
          <w:szCs w:val="24"/>
          <w:highlight w:val="none"/>
        </w:rPr>
      </w:pPr>
    </w:p>
    <w:p>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3"/>
        <w:rPr>
          <w:rFonts w:hint="eastAsia" w:ascii="宋体" w:hAnsi="宋体" w:eastAsia="宋体" w:cs="宋体"/>
          <w:color w:val="auto"/>
          <w:highlight w:val="none"/>
        </w:rPr>
      </w:pPr>
      <w:bookmarkStart w:id="12" w:name="_Toc21986"/>
      <w:bookmarkStart w:id="13" w:name="_Toc23234"/>
      <w:bookmarkStart w:id="14" w:name="_Toc30546"/>
      <w:r>
        <w:rPr>
          <w:rFonts w:hint="eastAsia" w:ascii="宋体" w:hAnsi="宋体" w:eastAsia="宋体" w:cs="宋体"/>
          <w:color w:val="auto"/>
          <w:highlight w:val="none"/>
        </w:rPr>
        <w:t>第二章  磋商须知前附表</w:t>
      </w:r>
      <w:bookmarkEnd w:id="8"/>
      <w:bookmarkEnd w:id="9"/>
      <w:bookmarkEnd w:id="10"/>
      <w:bookmarkEnd w:id="11"/>
      <w:bookmarkEnd w:id="12"/>
      <w:bookmarkEnd w:id="13"/>
      <w:bookmarkEnd w:id="14"/>
    </w:p>
    <w:tbl>
      <w:tblPr>
        <w:tblStyle w:val="2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15"/>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763"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1915"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6465"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6465" w:type="dxa"/>
            <w:vAlign w:val="center"/>
          </w:tcPr>
          <w:p>
            <w:pPr>
              <w:spacing w:line="360" w:lineRule="auto"/>
              <w:ind w:leftChars="-9" w:hanging="19" w:hangingChars="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西安市灞桥区农业农村局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465" w:type="dxa"/>
            <w:vAlign w:val="center"/>
          </w:tcPr>
          <w:p>
            <w:pPr>
              <w:adjustRightInd w:val="0"/>
              <w:snapToGrid w:val="0"/>
              <w:spacing w:line="466" w:lineRule="exact"/>
              <w:jc w:val="lef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eastAsia="zh-CN"/>
              </w:rPr>
              <w:t>ZXHC2022-ZCBQ-0930</w:t>
            </w: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w:t>
            </w:r>
          </w:p>
        </w:tc>
        <w:tc>
          <w:tcPr>
            <w:tcW w:w="6465" w:type="dxa"/>
            <w:vAlign w:val="center"/>
          </w:tcPr>
          <w:p>
            <w:pPr>
              <w:spacing w:line="360" w:lineRule="auto"/>
              <w:ind w:leftChars="-9" w:hanging="19" w:hangingChars="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465" w:type="dxa"/>
            <w:vAlign w:val="center"/>
          </w:tcPr>
          <w:p>
            <w:pPr>
              <w:spacing w:line="360" w:lineRule="auto"/>
              <w:ind w:leftChars="-9" w:hanging="19" w:hangingChars="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采购内容及范围</w:t>
            </w:r>
          </w:p>
        </w:tc>
        <w:tc>
          <w:tcPr>
            <w:tcW w:w="6465" w:type="dxa"/>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465" w:type="dxa"/>
            <w:vAlign w:val="center"/>
          </w:tcPr>
          <w:p>
            <w:pPr>
              <w:pStyle w:val="38"/>
              <w:spacing w:line="360" w:lineRule="auto"/>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90日历日（从提交磋商响应文件的截止之日起算）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w:t>
            </w:r>
          </w:p>
        </w:tc>
        <w:tc>
          <w:tcPr>
            <w:tcW w:w="6465" w:type="dxa"/>
            <w:vAlign w:val="center"/>
          </w:tcPr>
          <w:p>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Cs w:val="21"/>
                <w:highlight w:val="none"/>
              </w:rPr>
            </w:pPr>
            <w:bookmarkStart w:id="15" w:name="_Toc519085736"/>
            <w:bookmarkStart w:id="16" w:name="_Toc519091203"/>
            <w:r>
              <w:rPr>
                <w:rFonts w:hint="eastAsia" w:ascii="宋体" w:hAnsi="宋体" w:eastAsia="宋体" w:cs="宋体"/>
                <w:color w:val="auto"/>
                <w:sz w:val="24"/>
                <w:szCs w:val="24"/>
                <w:highlight w:val="none"/>
              </w:rPr>
              <w:t>磋商响应文件份数</w:t>
            </w:r>
            <w:bookmarkEnd w:id="15"/>
            <w:bookmarkEnd w:id="16"/>
          </w:p>
        </w:tc>
        <w:tc>
          <w:tcPr>
            <w:tcW w:w="6465"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highlight w:val="none"/>
              </w:rPr>
              <w:t>正本壹份，副本贰份</w:t>
            </w:r>
            <w:r>
              <w:rPr>
                <w:rFonts w:hint="eastAsia" w:ascii="宋体" w:hAnsi="宋体" w:eastAsia="宋体" w:cs="宋体"/>
                <w:color w:val="auto"/>
                <w:kern w:val="0"/>
                <w:sz w:val="24"/>
                <w:highlight w:val="none"/>
              </w:rPr>
              <w:t>，电子版（U盘，含磋商响应文件所有内容word版）一套。副本可以是正本的复印件（但有盖章的页或封面必须加盖</w:t>
            </w:r>
            <w:r>
              <w:rPr>
                <w:rFonts w:hint="eastAsia" w:ascii="宋体" w:hAnsi="宋体" w:cs="宋体"/>
                <w:color w:val="auto"/>
                <w:kern w:val="0"/>
                <w:sz w:val="24"/>
                <w:highlight w:val="none"/>
                <w:lang w:val="en-US" w:eastAsia="zh-CN"/>
              </w:rPr>
              <w:t>鲜章</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制作及装订</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要求</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磋商响应文件</w:t>
            </w:r>
            <w:r>
              <w:rPr>
                <w:rFonts w:hint="eastAsia" w:ascii="宋体" w:hAnsi="宋体" w:eastAsia="宋体" w:cs="宋体"/>
                <w:b/>
                <w:bCs/>
                <w:color w:val="auto"/>
                <w:sz w:val="24"/>
                <w:highlight w:val="none"/>
                <w:u w:val="single"/>
              </w:rPr>
              <w:t>制作规范、书脊及目录清晰、页码标注、对应精准、双面打印</w:t>
            </w:r>
            <w:r>
              <w:rPr>
                <w:rFonts w:hint="eastAsia" w:ascii="宋体" w:hAnsi="宋体" w:eastAsia="宋体" w:cs="宋体"/>
                <w:b/>
                <w:bCs/>
                <w:color w:val="auto"/>
                <w:sz w:val="24"/>
                <w:highlight w:val="none"/>
              </w:rPr>
              <w:t>。</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磋商响应文件应牢固装订成册，不可插页抽页。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widowControl/>
              <w:spacing w:line="360" w:lineRule="auto"/>
              <w:ind w:right="-197" w:rightChars="-9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6465" w:type="dxa"/>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综合评分法</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pStyle w:val="39"/>
              <w:ind w:firstLine="0" w:firstLineChars="0"/>
              <w:jc w:val="center"/>
              <w:rPr>
                <w:rFonts w:hint="eastAsia" w:ascii="宋体" w:hAnsi="宋体" w:eastAsia="宋体" w:cs="宋体"/>
                <w:color w:val="auto"/>
                <w:kern w:val="2"/>
                <w:sz w:val="24"/>
                <w:szCs w:val="24"/>
                <w:highlight w:val="none"/>
              </w:rPr>
            </w:pPr>
            <w:bookmarkStart w:id="17" w:name="_Toc519091204"/>
            <w:bookmarkStart w:id="18" w:name="_Toc519085737"/>
            <w:r>
              <w:rPr>
                <w:rFonts w:hint="eastAsia" w:ascii="宋体" w:hAnsi="宋体" w:eastAsia="宋体" w:cs="宋体"/>
                <w:color w:val="auto"/>
                <w:kern w:val="2"/>
                <w:sz w:val="24"/>
                <w:szCs w:val="24"/>
                <w:highlight w:val="none"/>
              </w:rPr>
              <w:t>代理服务费</w:t>
            </w:r>
            <w:bookmarkEnd w:id="17"/>
            <w:bookmarkEnd w:id="18"/>
          </w:p>
        </w:tc>
        <w:tc>
          <w:tcPr>
            <w:tcW w:w="6465" w:type="dxa"/>
            <w:vAlign w:val="center"/>
          </w:tcPr>
          <w:p>
            <w:pPr>
              <w:numPr>
                <w:ilvl w:val="0"/>
                <w:numId w:val="2"/>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成交供应商应向招标代理机构交纳招标代理服务费。</w:t>
            </w:r>
          </w:p>
          <w:p>
            <w:pPr>
              <w:numPr>
                <w:ilvl w:val="0"/>
                <w:numId w:val="2"/>
              </w:num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招标代理服务费的收取参照《招标代理服务收费管理暂行办法》的通知（计价格〔2002〕1980号）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《国家发展和改革委员会办公厅关于招标代理服务收费有关问题的通知》（发改办价格〔2003〕857号）</w:t>
            </w:r>
            <w:r>
              <w:rPr>
                <w:rFonts w:hint="eastAsia" w:ascii="宋体" w:hAnsi="宋体" w:eastAsia="宋体" w:cs="宋体"/>
                <w:color w:val="auto"/>
                <w:sz w:val="24"/>
                <w:highlight w:val="none"/>
                <w:lang w:val="en-US" w:eastAsia="zh-CN"/>
              </w:rPr>
              <w:t>规定，</w:t>
            </w:r>
            <w:r>
              <w:rPr>
                <w:rFonts w:hint="eastAsia" w:ascii="宋体" w:hAnsi="宋体" w:eastAsia="宋体" w:cs="宋体"/>
                <w:color w:val="auto"/>
                <w:sz w:val="24"/>
                <w:highlight w:val="none"/>
                <w:lang w:val="zh-CN"/>
              </w:rPr>
              <w:t>不足</w:t>
            </w:r>
            <w:r>
              <w:rPr>
                <w:rFonts w:hint="eastAsia" w:ascii="宋体" w:hAnsi="宋体" w:eastAsia="宋体" w:cs="宋体"/>
                <w:color w:val="auto"/>
                <w:sz w:val="24"/>
                <w:highlight w:val="none"/>
                <w:lang w:val="en-US" w:eastAsia="zh-CN"/>
              </w:rPr>
              <w:t>捌</w:t>
            </w:r>
            <w:r>
              <w:rPr>
                <w:rFonts w:hint="eastAsia" w:ascii="宋体" w:hAnsi="宋体" w:eastAsia="宋体" w:cs="宋体"/>
                <w:color w:val="auto"/>
                <w:sz w:val="24"/>
                <w:highlight w:val="none"/>
                <w:lang w:val="zh-CN"/>
              </w:rPr>
              <w:t>仟元按</w:t>
            </w:r>
            <w:r>
              <w:rPr>
                <w:rFonts w:hint="eastAsia" w:ascii="宋体" w:hAnsi="宋体" w:eastAsia="宋体" w:cs="宋体"/>
                <w:color w:val="auto"/>
                <w:sz w:val="24"/>
                <w:highlight w:val="none"/>
                <w:lang w:val="en-US" w:eastAsia="zh-CN"/>
              </w:rPr>
              <w:t>捌</w:t>
            </w:r>
            <w:r>
              <w:rPr>
                <w:rFonts w:hint="eastAsia" w:ascii="宋体" w:hAnsi="宋体" w:eastAsia="宋体" w:cs="宋体"/>
                <w:color w:val="auto"/>
                <w:sz w:val="24"/>
                <w:highlight w:val="none"/>
                <w:lang w:val="zh-CN"/>
              </w:rPr>
              <w:t>仟元收取</w:t>
            </w:r>
            <w:r>
              <w:rPr>
                <w:rFonts w:hint="eastAsia" w:ascii="宋体" w:hAnsi="宋体" w:eastAsia="宋体" w:cs="宋体"/>
                <w:color w:val="auto"/>
                <w:sz w:val="24"/>
                <w:highlight w:val="none"/>
              </w:rPr>
              <w:t>，具体收费金额将在结果公告中公布。</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缴纳方式：采用现金或转账方式缴纳（账号信息如下）。</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开户名称:陕西中信海诚造价咨询有限公司</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开户行名称:中国建设银行股份有限公司西安含光南路支行</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号：61050172650000000220</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2"/>
                <w:highlight w:val="none"/>
              </w:rPr>
              <w:t>转账事由：</w:t>
            </w:r>
            <w:r>
              <w:rPr>
                <w:rFonts w:hint="eastAsia" w:ascii="宋体" w:hAnsi="宋体" w:eastAsia="宋体" w:cs="宋体"/>
                <w:color w:val="auto"/>
                <w:sz w:val="24"/>
                <w:szCs w:val="22"/>
                <w:highlight w:val="none"/>
                <w:u w:val="single"/>
              </w:rPr>
              <w:t xml:space="preserve"> （项目简称或项目编号） </w:t>
            </w:r>
            <w:r>
              <w:rPr>
                <w:rFonts w:hint="eastAsia" w:ascii="宋体" w:hAnsi="宋体" w:eastAsia="宋体" w:cs="宋体"/>
                <w:color w:val="auto"/>
                <w:sz w:val="24"/>
                <w:szCs w:val="22"/>
                <w:highlight w:val="none"/>
              </w:rPr>
              <w:t>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知识产权</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供应商应保证，在中华人民共和国境内使用投标货物、服务或其任何一部分时，不会产生因第三方提出侵犯其专利权或其他知识产权而引起的法律和经济纠纷。如供应商不拥有相应的知识产权，则在报价中须包括合法获取该知识产权的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分包或转包</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本项目不允许将成交项目分包或转包。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本项目不接受备选方案。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虚假响应</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u w:val="single"/>
              </w:rPr>
              <w:t>响应文件中提供虚假或失实材料的，采购人或磋商小组向财政部门报告说明，按照《中华人民共和国政府采购采购法》第七十七条处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供应商失信行为</w:t>
            </w:r>
          </w:p>
        </w:tc>
        <w:tc>
          <w:tcPr>
            <w:tcW w:w="6465" w:type="dxa"/>
            <w:vAlign w:val="center"/>
          </w:tcPr>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shd w:val="clear" w:color="auto" w:fill="FFFFFF"/>
              </w:rPr>
              <w:t>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供应商质疑投诉</w:t>
            </w:r>
          </w:p>
        </w:tc>
        <w:tc>
          <w:tcPr>
            <w:tcW w:w="6465" w:type="dxa"/>
            <w:vAlign w:val="center"/>
          </w:tcPr>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（1）质疑</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1、投标人认为采购文件、采购过程或中标/成交结果使自身的合法权益受到损害，可以在法定期限内，以书面形式一次性向采购代理机构或采购人提出质疑。</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（1）提出质疑应当提交质疑函和必要的证明材料，质疑函应当包括以下主要内容：</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①投标人的姓名或者名称、地址、邮编、联系人及联系电话；②质疑项目的名称、编号；③具体、明确的质疑事项和与质疑事项相关的请求；④事实依据；⑤必要的法律依据；⑥提出质疑的日期。</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（2）质疑函应当由法定代表人签字并加盖公章，公章不得以合同章或其他印章代替。</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（3）质疑人可以委托代理人办理质疑事项，代理人办理质疑事项时，除提交质疑函外，还应当提交法人授权委托书及代理人的有效身份证明，授权委托书应当载明委托代理的具体权限和事项。</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（4）有下列情形之一的，属于无效质疑：</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①质疑人不是参与本次政府采购项目的投标人或潜在投标人；</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②质疑人与质疑事项不存在利害关系的；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③未在法定期限内提出质疑的；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④质疑未以书面形式提出，或质疑函主要内容构成不完整的；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⑤质疑函没有合法有效的签字、盖章或授权的；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⑥以非法手段取得证据、材料的；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⑦质疑答复后，同一质疑人就同一事项再次提出质疑的；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⑧不符合法律、法规、规章和政府采购监管机构规定的其他条件的。</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2、符合要求的质疑，采购代理机构将予以受理并答复，具体联系方式如下：</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 系 人：蔺工</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联系电话：029-85262287</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3、采购代理机构或采购人将在收到书面质疑后7个工作日内（不含接收当日）做出答复，并以书面形式通知质疑人和其他有关投标人。</w:t>
            </w:r>
          </w:p>
          <w:p>
            <w:pPr>
              <w:snapToGrid w:val="0"/>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（2）投诉</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1、质疑人对采购代理机构或采购人的答复不满意，以及采购代理机构或采购人未在规定时间内做出答复的，可以在答复期满后15个工作日内向政府采购监管机构提出投诉。</w:t>
            </w:r>
          </w:p>
          <w:p>
            <w:pPr>
              <w:spacing w:line="360" w:lineRule="auto"/>
              <w:jc w:val="left"/>
              <w:rPr>
                <w:rFonts w:hint="eastAsia" w:ascii="宋体" w:hAnsi="宋体" w:eastAsia="宋体" w:cs="宋体"/>
                <w:b/>
                <w:bCs/>
                <w:color w:val="auto"/>
                <w:sz w:val="24"/>
                <w:highlight w:val="none"/>
              </w:rPr>
            </w:pPr>
            <w:bookmarkStart w:id="19" w:name="_Toc16055"/>
            <w:bookmarkStart w:id="20" w:name="_Toc4526"/>
            <w:bookmarkStart w:id="21" w:name="_Toc20832"/>
            <w:bookmarkStart w:id="22" w:name="_Toc2508"/>
            <w:r>
              <w:rPr>
                <w:rFonts w:hint="eastAsia" w:ascii="宋体" w:hAnsi="宋体" w:eastAsia="宋体" w:cs="宋体"/>
                <w:color w:val="auto"/>
                <w:sz w:val="24"/>
                <w:szCs w:val="22"/>
                <w:highlight w:val="none"/>
              </w:rPr>
              <w:t>2、投诉的事项不得超出已质疑事项的范围。</w:t>
            </w:r>
            <w:bookmarkEnd w:id="19"/>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szCs w:val="22"/>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关于验收</w:t>
            </w:r>
          </w:p>
        </w:tc>
        <w:tc>
          <w:tcPr>
            <w:tcW w:w="6465" w:type="dxa"/>
            <w:vAlign w:val="center"/>
          </w:tcPr>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成交供应商与采购人应严格按照财政部《关于进一步加强政府采购需求和履约验收管理的指导意见》（财库〔2016〕205号）的要求进行验收。</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（一）服务期满后，采购人进行验收，确认服务标准和服务方式是否达到采购要求（必要时采购人可委托技术专家对项目进行验收）。验收合格后，填写政府采购项目验收单（一式伍份）作为对项目的最终认可。</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（二）验收依据</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1、磋商文件、响应文件、澄清表（函）；</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2、本合同及附件文本；</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3、合同签订时国家及行业现行的标准和技术规范。</w:t>
            </w:r>
          </w:p>
          <w:p>
            <w:pPr>
              <w:spacing w:line="58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（三）成交服务商应向采购人提交项目实施过程中的所有资料，以便采购人日后管理和维护。</w:t>
            </w:r>
          </w:p>
          <w:p>
            <w:pPr>
              <w:spacing w:line="58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（四）验收的三个关键环节：</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（1）设备验收</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乙方负责将设备运至现场后，采购人或甲方根据响应文件中约定硬件设备清单和实际运抵的设备进行逐一核对、清点并确认收货。经双方共同确认后，双方代表应于当日内签字确认。</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项目初验：成交供应商安装调试合格后，且对甲方进行必要的培训和服务后，向甲方提出验收申请，甲方接到验收申请后组织验收（必要时可聘请相应专家或委托相应部门验收），验收合格后，出具使用验收合格证明。</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（3）项目正式验收</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经甲方和成交供应商共同递交项目初验合格证明材料后，由项目主管部门（采购人）组织人员对项目进行全面验收，对所有设备和系统的稳定性、运行/使用状况进行验收，合格后由项目主管部门（采购人）向成交供应商出具验收报告。验收报告作为付款依据，成交供应商要向甲方提交实施过程中的所有资料，以便日后管理和维护。</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（4）验收依据</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合同文本、合同附件、竞争性磋商文件、响应文件；</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验收不合格的产品，乙方需在7个工作日内补充、更换，保证产品正常使用，保证设备运行，无安全隐患和明显的潜在风险。如接到通知后7个日历日内未保证货物运行正常，则终止其供货合同，并赔偿甲方的损失。</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（四）成交供应商对最终的产品</w:t>
            </w:r>
            <w:r>
              <w:rPr>
                <w:rFonts w:hint="eastAsia" w:ascii="宋体" w:hAnsi="宋体" w:cs="宋体"/>
                <w:color w:val="auto"/>
                <w:sz w:val="24"/>
                <w:szCs w:val="22"/>
                <w:highlight w:val="none"/>
                <w:lang w:val="en-US" w:eastAsia="zh-CN"/>
              </w:rPr>
              <w:t>或服务</w:t>
            </w:r>
            <w:r>
              <w:rPr>
                <w:rFonts w:hint="eastAsia" w:ascii="宋体" w:hAnsi="宋体" w:eastAsia="宋体" w:cs="宋体"/>
                <w:color w:val="auto"/>
                <w:sz w:val="24"/>
                <w:szCs w:val="22"/>
                <w:highlight w:val="none"/>
              </w:rPr>
              <w:t>质量负完全责任。</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（1）合同；</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（2）国家有关的验收标准及规范；</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（3）生产厂家的生产标准；</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（4）竞争性磋商文件、响应文件。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numPr>
                <w:ilvl w:val="0"/>
                <w:numId w:val="1"/>
              </w:numPr>
              <w:tabs>
                <w:tab w:val="left" w:pos="420"/>
              </w:tabs>
              <w:spacing w:line="360" w:lineRule="auto"/>
              <w:jc w:val="center"/>
              <w:rPr>
                <w:rFonts w:hint="eastAsia" w:ascii="宋体" w:hAnsi="宋体" w:eastAsia="宋体" w:cs="宋体"/>
                <w:color w:val="auto"/>
                <w:sz w:val="24"/>
                <w:highlight w:val="none"/>
              </w:rPr>
            </w:pPr>
          </w:p>
        </w:tc>
        <w:tc>
          <w:tcPr>
            <w:tcW w:w="1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行业划分</w:t>
            </w:r>
          </w:p>
        </w:tc>
        <w:tc>
          <w:tcPr>
            <w:tcW w:w="6465" w:type="dxa"/>
            <w:vAlign w:val="center"/>
          </w:tcPr>
          <w:p>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根据中小企业划型标准规定（工信部联企业[2011]300号），</w:t>
            </w: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本项目属于</w:t>
            </w:r>
            <w:r>
              <w:rPr>
                <w:rFonts w:hint="eastAsia" w:ascii="宋体" w:hAnsi="宋体" w:cs="宋体"/>
                <w:color w:val="auto"/>
                <w:kern w:val="0"/>
                <w:sz w:val="24"/>
                <w:highlight w:val="none"/>
                <w:lang w:val="en-US" w:eastAsia="zh-CN"/>
              </w:rPr>
              <w:t>其他未列明行业</w:t>
            </w:r>
            <w:r>
              <w:rPr>
                <w:rFonts w:hint="eastAsia" w:ascii="宋体" w:hAnsi="宋体" w:eastAsia="宋体" w:cs="宋体"/>
                <w:color w:val="auto"/>
                <w:kern w:val="0"/>
                <w:sz w:val="24"/>
                <w:highlight w:val="none"/>
              </w:rPr>
              <w:t>。</w:t>
            </w:r>
          </w:p>
        </w:tc>
      </w:tr>
    </w:tbl>
    <w:p>
      <w:pPr>
        <w:pStyle w:val="4"/>
        <w:spacing w:line="360" w:lineRule="auto"/>
        <w:rPr>
          <w:rFonts w:hint="eastAsia" w:ascii="宋体" w:hAnsi="宋体" w:eastAsia="宋体" w:cs="宋体"/>
          <w:color w:val="auto"/>
          <w:highlight w:val="none"/>
        </w:rPr>
        <w:sectPr>
          <w:footnotePr>
            <w:pos w:val="beneathText"/>
          </w:footnotePr>
          <w:pgSz w:w="11906" w:h="16838"/>
          <w:pgMar w:top="1418" w:right="1644" w:bottom="1191" w:left="1758" w:header="851" w:footer="992" w:gutter="0"/>
          <w:pgNumType w:fmt="decimal"/>
          <w:cols w:space="720" w:num="1"/>
          <w:titlePg/>
          <w:docGrid w:linePitch="312" w:charSpace="0"/>
        </w:sectPr>
      </w:pPr>
      <w:bookmarkStart w:id="23" w:name="_Toc246928894"/>
    </w:p>
    <w:bookmarkEnd w:id="23"/>
    <w:p>
      <w:pPr>
        <w:pStyle w:val="5"/>
        <w:spacing w:line="360" w:lineRule="auto"/>
        <w:rPr>
          <w:rFonts w:hint="eastAsia" w:ascii="宋体" w:hAnsi="宋体" w:eastAsia="宋体" w:cs="宋体"/>
          <w:color w:val="auto"/>
          <w:sz w:val="24"/>
          <w:szCs w:val="24"/>
          <w:highlight w:val="none"/>
        </w:rPr>
      </w:pPr>
      <w:bookmarkStart w:id="24" w:name="_Toc27137"/>
      <w:bookmarkStart w:id="25" w:name="_Toc11482"/>
      <w:bookmarkStart w:id="26" w:name="_Toc1751"/>
      <w:bookmarkStart w:id="27" w:name="_Toc246928896"/>
      <w:r>
        <w:rPr>
          <w:rFonts w:hint="eastAsia" w:ascii="宋体" w:hAnsi="宋体" w:eastAsia="宋体" w:cs="宋体"/>
          <w:color w:val="auto"/>
          <w:sz w:val="24"/>
          <w:szCs w:val="24"/>
          <w:highlight w:val="none"/>
        </w:rPr>
        <w:t>（一）总则</w:t>
      </w:r>
      <w:bookmarkEnd w:id="24"/>
      <w:bookmarkEnd w:id="25"/>
      <w:bookmarkEnd w:id="26"/>
    </w:p>
    <w:p>
      <w:pPr>
        <w:pStyle w:val="6"/>
        <w:rPr>
          <w:rFonts w:hint="eastAsia" w:ascii="宋体" w:hAnsi="宋体" w:eastAsia="宋体" w:cs="宋体"/>
          <w:color w:val="auto"/>
          <w:sz w:val="24"/>
          <w:szCs w:val="24"/>
          <w:highlight w:val="none"/>
        </w:rPr>
      </w:pPr>
      <w:bookmarkStart w:id="28" w:name="_Toc130"/>
      <w:r>
        <w:rPr>
          <w:rFonts w:hint="eastAsia" w:ascii="宋体" w:hAnsi="宋体" w:eastAsia="宋体" w:cs="宋体"/>
          <w:color w:val="auto"/>
          <w:sz w:val="24"/>
          <w:szCs w:val="24"/>
          <w:highlight w:val="none"/>
        </w:rPr>
        <w:t>1 适用范围</w:t>
      </w:r>
      <w:bookmarkEnd w:id="27"/>
      <w:bookmarkEnd w:id="28"/>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1.1本磋商文件仅适用于本竞争性磋商公告中所叙述项目的服务采购。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本次采购属政府采购，采购人，采购代理机构、供应商、磋商小组的相关行为均受《中华人民共和国政府采购法》、《政府采购竞争性磋商采购方式管理暂行办法》、财政部规章及政府采购项目所在地有关法规、规章的约束，其权利受到上述法律法规的保护。</w:t>
      </w:r>
    </w:p>
    <w:p>
      <w:pPr>
        <w:pStyle w:val="6"/>
        <w:jc w:val="left"/>
        <w:rPr>
          <w:rFonts w:hint="eastAsia" w:ascii="宋体" w:hAnsi="宋体" w:eastAsia="宋体" w:cs="宋体"/>
          <w:color w:val="auto"/>
          <w:sz w:val="24"/>
          <w:szCs w:val="24"/>
          <w:highlight w:val="none"/>
        </w:rPr>
      </w:pPr>
      <w:bookmarkStart w:id="29" w:name="_Toc246928897"/>
      <w:bookmarkStart w:id="30" w:name="_Toc22193"/>
      <w:r>
        <w:rPr>
          <w:rFonts w:hint="eastAsia" w:ascii="宋体" w:hAnsi="宋体" w:eastAsia="宋体" w:cs="宋体"/>
          <w:color w:val="auto"/>
          <w:sz w:val="24"/>
          <w:szCs w:val="24"/>
          <w:highlight w:val="none"/>
        </w:rPr>
        <w:t>2 定义</w:t>
      </w:r>
      <w:bookmarkEnd w:id="29"/>
      <w:bookmarkEnd w:id="30"/>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w:t>
      </w:r>
      <w:r>
        <w:rPr>
          <w:rFonts w:hint="eastAsia" w:ascii="宋体" w:hAnsi="宋体" w:cs="宋体"/>
          <w:color w:val="auto"/>
          <w:sz w:val="24"/>
          <w:highlight w:val="none"/>
          <w:lang w:eastAsia="zh-CN"/>
        </w:rPr>
        <w:t>西安市灞桥区农业农村局</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“采购代理机构”系指陕西中信海诚造价咨询有限公司。</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“供应商”系指响应采购人要求提交磋商响应文件的单位。</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“采购文件”系指采购人或代理机构编制并向供应商发售的磋商文件。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2.4 “响应文件”系指供应商按照采购文件要求编制并向采购人或代理机构递交的响应文件。</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2.5 “法定代表人”系指依照法律或者法人组织章程规定，代表法人行使职权的负责人，是法人的法定代表人。参与本项目的其他组织的负责人在响应文件中签署即可具有效力。</w:t>
      </w:r>
    </w:p>
    <w:p>
      <w:pPr>
        <w:pStyle w:val="6"/>
        <w:rPr>
          <w:rFonts w:hint="eastAsia" w:ascii="宋体" w:hAnsi="宋体" w:eastAsia="宋体" w:cs="宋体"/>
          <w:color w:val="auto"/>
          <w:sz w:val="24"/>
          <w:szCs w:val="24"/>
          <w:highlight w:val="none"/>
        </w:rPr>
      </w:pPr>
      <w:bookmarkStart w:id="31" w:name="_Toc246928898"/>
      <w:bookmarkStart w:id="32" w:name="_Toc5058"/>
      <w:r>
        <w:rPr>
          <w:rFonts w:hint="eastAsia" w:ascii="宋体" w:hAnsi="宋体" w:eastAsia="宋体" w:cs="宋体"/>
          <w:color w:val="auto"/>
          <w:sz w:val="24"/>
          <w:szCs w:val="24"/>
          <w:highlight w:val="none"/>
        </w:rPr>
        <w:t>3 合格的磋商供应商</w:t>
      </w:r>
      <w:bookmarkEnd w:id="31"/>
      <w:bookmarkEnd w:id="32"/>
    </w:p>
    <w:p>
      <w:pPr>
        <w:spacing w:line="360" w:lineRule="auto"/>
        <w:rPr>
          <w:rFonts w:hint="eastAsia" w:ascii="宋体" w:hAnsi="宋体" w:eastAsia="宋体" w:cs="宋体"/>
          <w:color w:val="auto"/>
          <w:sz w:val="24"/>
          <w:highlight w:val="none"/>
        </w:rPr>
      </w:pPr>
      <w:bookmarkStart w:id="33" w:name="_Toc246928899"/>
      <w:r>
        <w:rPr>
          <w:rFonts w:hint="eastAsia" w:ascii="宋体" w:hAnsi="宋体" w:eastAsia="宋体" w:cs="宋体"/>
          <w:color w:val="auto"/>
          <w:sz w:val="24"/>
          <w:highlight w:val="none"/>
        </w:rPr>
        <w:t>3.1 凡具备供应商条件且有能力提供采购服务的供应商均可报价。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 供应商必须在磋商公告载明的地点购买磋商文件并登记备案，未经购买磋商文件并登记备案的潜在供应商均无资格参加本次报价。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 供应商应参照《中华人民共和国政府采购法》及其他有关的中国法律和法规。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 供应商在过去和现在都不应直接或间接地与采购人及为采购本次服务进行咨询的单位或其附属机构有任何关联。</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3.5 只有在法律上和财务上独立，合法运作，并独立于采购代理机构和采购人的供应商才能参加磋商。</w:t>
      </w:r>
    </w:p>
    <w:p>
      <w:pPr>
        <w:pStyle w:val="6"/>
        <w:rPr>
          <w:rFonts w:hint="eastAsia" w:ascii="宋体" w:hAnsi="宋体" w:eastAsia="宋体" w:cs="宋体"/>
          <w:color w:val="auto"/>
          <w:sz w:val="24"/>
          <w:szCs w:val="24"/>
          <w:highlight w:val="none"/>
        </w:rPr>
      </w:pPr>
      <w:bookmarkStart w:id="34" w:name="_Toc16933"/>
      <w:r>
        <w:rPr>
          <w:rFonts w:hint="eastAsia" w:ascii="宋体" w:hAnsi="宋体" w:eastAsia="宋体" w:cs="宋体"/>
          <w:color w:val="auto"/>
          <w:sz w:val="24"/>
          <w:szCs w:val="24"/>
          <w:highlight w:val="none"/>
        </w:rPr>
        <w:t>4 费用</w:t>
      </w:r>
      <w:bookmarkEnd w:id="33"/>
      <w:bookmarkEnd w:id="34"/>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供应商应承担所有与编写和提交磋商响应文件有关的费用，无论磋商过程中的做法和结果如何，采购人在任何情况下均无义务和责任承担这些费用。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4.2 采购人或采购代理机构不组织现场踏勘， 供应商可携带工具自行踏勘现场，自行负责因踏勘所产生的费用和其他一切后果，采购人和采购代理机构不承担任何责任。</w:t>
      </w:r>
    </w:p>
    <w:p>
      <w:pPr>
        <w:pStyle w:val="5"/>
        <w:spacing w:line="360" w:lineRule="auto"/>
        <w:rPr>
          <w:rFonts w:hint="eastAsia" w:ascii="宋体" w:hAnsi="宋体" w:eastAsia="宋体" w:cs="宋体"/>
          <w:b w:val="0"/>
          <w:color w:val="auto"/>
          <w:sz w:val="24"/>
          <w:szCs w:val="24"/>
          <w:highlight w:val="none"/>
        </w:rPr>
      </w:pPr>
      <w:bookmarkStart w:id="35" w:name="_Toc22765"/>
      <w:bookmarkStart w:id="36" w:name="_Toc11747"/>
      <w:bookmarkStart w:id="37" w:name="_Toc4064"/>
      <w:bookmarkStart w:id="38" w:name="_Toc246928901"/>
      <w:r>
        <w:rPr>
          <w:rFonts w:hint="eastAsia" w:ascii="宋体" w:hAnsi="宋体" w:eastAsia="宋体" w:cs="宋体"/>
          <w:color w:val="auto"/>
          <w:sz w:val="24"/>
          <w:szCs w:val="24"/>
          <w:highlight w:val="none"/>
        </w:rPr>
        <w:t>（二）磋商文件说明</w:t>
      </w:r>
      <w:bookmarkEnd w:id="35"/>
      <w:bookmarkEnd w:id="36"/>
      <w:bookmarkEnd w:id="37"/>
    </w:p>
    <w:p>
      <w:pPr>
        <w:pStyle w:val="6"/>
        <w:rPr>
          <w:rFonts w:hint="eastAsia" w:ascii="宋体" w:hAnsi="宋体" w:eastAsia="宋体" w:cs="宋体"/>
          <w:color w:val="auto"/>
          <w:sz w:val="24"/>
          <w:szCs w:val="24"/>
          <w:highlight w:val="none"/>
        </w:rPr>
      </w:pPr>
      <w:bookmarkStart w:id="39" w:name="_Toc30384"/>
      <w:r>
        <w:rPr>
          <w:rFonts w:hint="eastAsia" w:ascii="宋体" w:hAnsi="宋体" w:eastAsia="宋体" w:cs="宋体"/>
          <w:color w:val="auto"/>
          <w:sz w:val="24"/>
          <w:szCs w:val="24"/>
          <w:highlight w:val="none"/>
        </w:rPr>
        <w:t>5 磋商文件的构成</w:t>
      </w:r>
      <w:bookmarkEnd w:id="38"/>
      <w:bookmarkEnd w:id="39"/>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磋商文件用以阐明所需提供的服务、采购、磋商程序和合同条件。磋商文件包括：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 竞争性磋商公告；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 磋商须知前附表；</w:t>
      </w:r>
    </w:p>
    <w:p>
      <w:pPr>
        <w:tabs>
          <w:tab w:val="left" w:pos="241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 采购内容及要求；</w:t>
      </w:r>
      <w:r>
        <w:rPr>
          <w:rFonts w:hint="eastAsia" w:ascii="宋体" w:hAnsi="宋体" w:eastAsia="宋体" w:cs="宋体"/>
          <w:color w:val="auto"/>
          <w:sz w:val="24"/>
          <w:highlight w:val="none"/>
        </w:rPr>
        <w:tab/>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合同一般条款；</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附件—磋商响应文件格式。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 供应商应认真阅读磋商文件中所有的事项、格式、条款和规范要求等。</w:t>
      </w:r>
    </w:p>
    <w:p>
      <w:pPr>
        <w:pStyle w:val="6"/>
        <w:rPr>
          <w:rFonts w:hint="eastAsia" w:ascii="宋体" w:hAnsi="宋体" w:eastAsia="宋体" w:cs="宋体"/>
          <w:color w:val="auto"/>
          <w:sz w:val="24"/>
          <w:szCs w:val="24"/>
          <w:highlight w:val="none"/>
        </w:rPr>
      </w:pPr>
      <w:bookmarkStart w:id="40" w:name="_Toc246928902"/>
      <w:bookmarkStart w:id="41" w:name="_Toc24386"/>
      <w:r>
        <w:rPr>
          <w:rFonts w:hint="eastAsia" w:ascii="宋体" w:hAnsi="宋体" w:eastAsia="宋体" w:cs="宋体"/>
          <w:color w:val="auto"/>
          <w:sz w:val="24"/>
          <w:szCs w:val="24"/>
          <w:highlight w:val="none"/>
        </w:rPr>
        <w:t>6 磋商文件的澄清</w:t>
      </w:r>
      <w:bookmarkEnd w:id="40"/>
      <w:bookmarkEnd w:id="41"/>
    </w:p>
    <w:p>
      <w:pPr>
        <w:spacing w:line="360" w:lineRule="auto"/>
        <w:rPr>
          <w:rFonts w:hint="eastAsia" w:ascii="宋体" w:hAnsi="宋体" w:eastAsia="宋体" w:cs="宋体"/>
          <w:color w:val="auto"/>
          <w:sz w:val="24"/>
          <w:highlight w:val="none"/>
        </w:rPr>
      </w:pPr>
      <w:bookmarkStart w:id="42" w:name="_Toc246928903"/>
      <w:r>
        <w:rPr>
          <w:rFonts w:hint="eastAsia" w:ascii="宋体" w:hAnsi="宋体" w:eastAsia="宋体" w:cs="宋体"/>
          <w:color w:val="auto"/>
          <w:sz w:val="24"/>
          <w:highlight w:val="none"/>
        </w:rPr>
        <w:t>6.1 任何要求对磋商文件澄清的供应商，均应以书面形式在磋商时间前通知采购代理机构。采购代理机构将视情况确定采用适当方式予以澄清或以书面形式予以答复，并在其认为必要时，将不标明查询来源的书面答复通知磋商文件收受人。</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供应商收到上述通知后，应当立即向采购代理机构发出回函予以确认。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6.3 该澄清的内容为磋商文件的组成部分。</w:t>
      </w:r>
    </w:p>
    <w:p>
      <w:pPr>
        <w:pStyle w:val="6"/>
        <w:rPr>
          <w:rFonts w:hint="eastAsia" w:ascii="宋体" w:hAnsi="宋体" w:eastAsia="宋体" w:cs="宋体"/>
          <w:color w:val="auto"/>
          <w:sz w:val="24"/>
          <w:szCs w:val="24"/>
          <w:highlight w:val="none"/>
        </w:rPr>
      </w:pPr>
      <w:bookmarkStart w:id="43" w:name="_Toc26475"/>
      <w:r>
        <w:rPr>
          <w:rFonts w:hint="eastAsia" w:ascii="宋体" w:hAnsi="宋体" w:eastAsia="宋体" w:cs="宋体"/>
          <w:color w:val="auto"/>
          <w:sz w:val="24"/>
          <w:szCs w:val="24"/>
          <w:highlight w:val="none"/>
        </w:rPr>
        <w:t>7 磋商文件的修改</w:t>
      </w:r>
      <w:bookmarkEnd w:id="42"/>
      <w:bookmarkEnd w:id="43"/>
    </w:p>
    <w:p>
      <w:pPr>
        <w:spacing w:line="360" w:lineRule="auto"/>
        <w:rPr>
          <w:rFonts w:hint="eastAsia" w:ascii="宋体" w:hAnsi="宋体" w:eastAsia="宋体" w:cs="宋体"/>
          <w:color w:val="auto"/>
          <w:sz w:val="24"/>
          <w:highlight w:val="none"/>
        </w:rPr>
      </w:pPr>
      <w:bookmarkStart w:id="44" w:name="_Toc246928904"/>
      <w:r>
        <w:rPr>
          <w:rFonts w:hint="eastAsia" w:ascii="宋体" w:hAnsi="宋体" w:eastAsia="宋体" w:cs="宋体"/>
          <w:color w:val="auto"/>
          <w:sz w:val="24"/>
          <w:highlight w:val="none"/>
        </w:rPr>
        <w:t>7.1 在磋商截止期前，无论出于何种原因，采购人可主动地或在解答供应商要求澄清的问题时对磋商文件进行修改。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磋商文件的修改将以书面形式通知所有磋商文件的收受人，供应商在收到该通知后应立即以书面形式予以确认。</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为使供应商在准备磋商响应文件时，有充分的时间对磋商文件的修改进行研究考虑，采购人可自行决定，酌情推迟磋商响应文件截止日期和磋商时间，并以书面形式通知所有已购买磋商文件的供应商。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7.4 磋商文件的修改书将构成磋商文件的一部分，对采购人和供应商都具有约束力。</w:t>
      </w:r>
    </w:p>
    <w:p>
      <w:pPr>
        <w:pStyle w:val="5"/>
        <w:ind w:firstLine="562"/>
        <w:rPr>
          <w:rFonts w:hint="eastAsia" w:ascii="宋体" w:hAnsi="宋体" w:eastAsia="宋体" w:cs="宋体"/>
          <w:color w:val="auto"/>
          <w:sz w:val="24"/>
          <w:szCs w:val="24"/>
          <w:highlight w:val="none"/>
        </w:rPr>
      </w:pPr>
      <w:bookmarkStart w:id="45" w:name="_Toc18147"/>
      <w:bookmarkStart w:id="46" w:name="_Toc19570"/>
      <w:bookmarkStart w:id="47" w:name="_Toc13059"/>
      <w:r>
        <w:rPr>
          <w:rFonts w:hint="eastAsia" w:ascii="宋体" w:hAnsi="宋体" w:eastAsia="宋体" w:cs="宋体"/>
          <w:color w:val="auto"/>
          <w:sz w:val="24"/>
          <w:szCs w:val="24"/>
          <w:highlight w:val="none"/>
        </w:rPr>
        <w:t>（三）磋商响应文件的编写</w:t>
      </w:r>
      <w:bookmarkEnd w:id="44"/>
      <w:bookmarkEnd w:id="45"/>
      <w:bookmarkEnd w:id="46"/>
      <w:bookmarkEnd w:id="47"/>
    </w:p>
    <w:p>
      <w:pPr>
        <w:pStyle w:val="6"/>
        <w:rPr>
          <w:rFonts w:hint="eastAsia" w:ascii="宋体" w:hAnsi="宋体" w:eastAsia="宋体" w:cs="宋体"/>
          <w:color w:val="auto"/>
          <w:sz w:val="24"/>
          <w:szCs w:val="24"/>
          <w:highlight w:val="none"/>
        </w:rPr>
      </w:pPr>
      <w:bookmarkStart w:id="48" w:name="_Toc246928905"/>
      <w:bookmarkStart w:id="49" w:name="_Toc26353"/>
      <w:r>
        <w:rPr>
          <w:rFonts w:hint="eastAsia" w:ascii="宋体" w:hAnsi="宋体" w:eastAsia="宋体" w:cs="宋体"/>
          <w:color w:val="auto"/>
          <w:sz w:val="24"/>
          <w:szCs w:val="24"/>
          <w:highlight w:val="none"/>
        </w:rPr>
        <w:t>8 磋商语言</w:t>
      </w:r>
      <w:bookmarkEnd w:id="48"/>
      <w:bookmarkEnd w:id="49"/>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由供应商编写的磋商响应文件和往来传真应以中文书写。</w:t>
      </w:r>
    </w:p>
    <w:p>
      <w:pPr>
        <w:pStyle w:val="6"/>
        <w:rPr>
          <w:rFonts w:hint="eastAsia" w:ascii="宋体" w:hAnsi="宋体" w:eastAsia="宋体" w:cs="宋体"/>
          <w:color w:val="auto"/>
          <w:sz w:val="24"/>
          <w:szCs w:val="24"/>
          <w:highlight w:val="none"/>
        </w:rPr>
      </w:pPr>
      <w:bookmarkStart w:id="50" w:name="_Toc246928906"/>
      <w:bookmarkStart w:id="51" w:name="_Toc32313"/>
      <w:r>
        <w:rPr>
          <w:rFonts w:hint="eastAsia" w:ascii="宋体" w:hAnsi="宋体" w:eastAsia="宋体" w:cs="宋体"/>
          <w:color w:val="auto"/>
          <w:sz w:val="24"/>
          <w:szCs w:val="24"/>
          <w:highlight w:val="none"/>
        </w:rPr>
        <w:t>9 计量单位</w:t>
      </w:r>
      <w:bookmarkEnd w:id="50"/>
      <w:bookmarkEnd w:id="51"/>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除在磋商文件中有特殊要求外，计量单位应使用中华人民共和国法定计量单位及通用图形符号。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本次采购、报价、磋商、评审和合同授予均以项目为单位，供应商必须就整个项目进行响应，不得将整个项目中的内容拆开响应。拆开响应的，按无效磋商处理。</w:t>
      </w:r>
    </w:p>
    <w:p>
      <w:pPr>
        <w:pStyle w:val="6"/>
        <w:rPr>
          <w:rFonts w:hint="eastAsia" w:ascii="宋体" w:hAnsi="宋体" w:eastAsia="宋体" w:cs="宋体"/>
          <w:color w:val="auto"/>
          <w:sz w:val="24"/>
          <w:szCs w:val="24"/>
          <w:highlight w:val="none"/>
        </w:rPr>
      </w:pPr>
      <w:bookmarkStart w:id="52" w:name="_Toc31126"/>
      <w:bookmarkStart w:id="53" w:name="_Toc246928907"/>
      <w:r>
        <w:rPr>
          <w:rFonts w:hint="eastAsia" w:ascii="宋体" w:hAnsi="宋体" w:eastAsia="宋体" w:cs="宋体"/>
          <w:color w:val="auto"/>
          <w:sz w:val="24"/>
          <w:szCs w:val="24"/>
          <w:highlight w:val="none"/>
        </w:rPr>
        <w:t>10 磋商响应文件的构成</w:t>
      </w:r>
      <w:bookmarkEnd w:id="52"/>
      <w:bookmarkEnd w:id="5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供应商编写的磋商响应文件应包括下列部分：</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一、磋商响应函</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二、首次磋商报价表</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三、法定代表人授权委托书</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四、响应方案</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五、供应商资格证明文件及其他</w:t>
      </w:r>
    </w:p>
    <w:p>
      <w:pPr>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六、陕西省政府采购供应商拒绝政府采购领域商业贿赂承诺书</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 供应商提供的所有资格证明文件均应当为合法、有效文件，否则将被视为该文件无效投标。</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10.3 上述文件应当按照磋商文件规定的格式填写、签署和盖章。</w:t>
      </w:r>
    </w:p>
    <w:p>
      <w:pPr>
        <w:pStyle w:val="6"/>
        <w:rPr>
          <w:rFonts w:hint="eastAsia" w:ascii="宋体" w:hAnsi="宋体" w:eastAsia="宋体" w:cs="宋体"/>
          <w:color w:val="auto"/>
          <w:sz w:val="24"/>
          <w:szCs w:val="24"/>
          <w:highlight w:val="none"/>
        </w:rPr>
      </w:pPr>
      <w:bookmarkStart w:id="54" w:name="_Toc29843"/>
      <w:bookmarkStart w:id="55" w:name="_Toc246928909"/>
      <w:r>
        <w:rPr>
          <w:rFonts w:hint="eastAsia" w:ascii="宋体" w:hAnsi="宋体" w:eastAsia="宋体" w:cs="宋体"/>
          <w:color w:val="auto"/>
          <w:sz w:val="24"/>
          <w:szCs w:val="24"/>
          <w:highlight w:val="none"/>
        </w:rPr>
        <w:t>11 磋商报价</w:t>
      </w:r>
      <w:bookmarkEnd w:id="54"/>
      <w:bookmarkEnd w:id="5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 所有报价均以人民币报价。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11.2供应商依据磋商文件提供的采购要求等资料并自行考虑风险因素计算磋商报价，一旦成交，磋商报价将不会因国家政策调整及市场变化因素而得到调整。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 磋商报价为完成本项目所发生的各项费用、税金以及合同包含的所有风险、责任等各项应有费用，包括调研、人员收入费、保险费、税金、差旅、材料印刷、编制等一切费用及其它相关的费用。供应商漏报或不报，采购人或采购代理机构将视为有关费用已包括在磋商报价中而不予支付。</w:t>
      </w:r>
    </w:p>
    <w:p>
      <w:pPr>
        <w:pStyle w:val="6"/>
        <w:rPr>
          <w:rFonts w:hint="eastAsia" w:ascii="宋体" w:hAnsi="宋体" w:eastAsia="宋体" w:cs="宋体"/>
          <w:color w:val="auto"/>
          <w:sz w:val="24"/>
          <w:szCs w:val="24"/>
          <w:highlight w:val="none"/>
        </w:rPr>
      </w:pPr>
      <w:bookmarkStart w:id="56" w:name="_Toc246928911"/>
      <w:bookmarkStart w:id="57" w:name="_Toc27218"/>
      <w:bookmarkStart w:id="58" w:name="_Hlk47648326"/>
      <w:r>
        <w:rPr>
          <w:rFonts w:hint="eastAsia" w:ascii="宋体" w:hAnsi="宋体" w:eastAsia="宋体" w:cs="宋体"/>
          <w:color w:val="auto"/>
          <w:sz w:val="24"/>
          <w:szCs w:val="24"/>
          <w:highlight w:val="none"/>
        </w:rPr>
        <w:t>12证明供应商资格的证明文件</w:t>
      </w:r>
      <w:bookmarkEnd w:id="56"/>
      <w:bookmarkEnd w:id="57"/>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12.1响应文件的</w:t>
      </w:r>
      <w:r>
        <w:rPr>
          <w:rFonts w:hint="eastAsia" w:ascii="宋体" w:hAnsi="宋体" w:eastAsia="宋体" w:cs="宋体"/>
          <w:b/>
          <w:bCs/>
          <w:color w:val="auto"/>
          <w:sz w:val="24"/>
          <w:szCs w:val="22"/>
          <w:highlight w:val="none"/>
          <w:u w:val="single"/>
        </w:rPr>
        <w:t>资格性审查</w:t>
      </w:r>
      <w:r>
        <w:rPr>
          <w:rFonts w:hint="eastAsia" w:ascii="宋体" w:hAnsi="宋体" w:eastAsia="宋体" w:cs="宋体"/>
          <w:color w:val="auto"/>
          <w:sz w:val="24"/>
          <w:szCs w:val="22"/>
          <w:highlight w:val="none"/>
        </w:rPr>
        <w:t>：依据法律法规和磋商文件的规定，采购人对响应文件中的资格证明文件进行审查。审查内容见下表：</w:t>
      </w: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826"/>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审查项</w:t>
            </w:r>
          </w:p>
        </w:tc>
        <w:tc>
          <w:tcPr>
            <w:tcW w:w="6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合法有效的企事业法人、其他组织或自然人</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供应商为具有独立承担民事责任能力的法人或其他组织或自然人，并提供法人或者其他组织合法有效的统一社会信用代码的营业执照，事业单位应提供事业单位法人证书，自然人应提供身份证明文件。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授权委托书或法定代表人证明书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供应商应授权合法的人员参加磋商全过程，其中法定代表人直接参加磋商的，须出具法人身份证，并与营业执照上信息一致。法定代表人授权代表参加磋商的，须出具法定代表人授权书及授权代表身份证。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具有良好的商业信誉和健全的财务会计制度</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通过“信用中国”网站（www.creditchina.gov.cn）和中国政府采购网（www.ccgp.gov.cn）查询供应商信用记录，被列入失信被执行人、重大税收违法案件当事人名单、政府采购严重违法失信行为记录名单的单位将被拒绝参与本项目投标。</w:t>
            </w:r>
          </w:p>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提供2021年度经审计的财务报告（至少包括资产负债表、利润表、现金流量表及其附注，成立时间至提交竞争性磋商响应文件截止时间不足一年的可提供成立后任意时段的资产负债表）或其基本存款账户开户银行开具的资信证明（如基本户银行不具备开具资信证明条件，由其上级部门开具，供应商应附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有依法缴纳税收和社会保障资金的良好记录</w:t>
            </w:r>
          </w:p>
        </w:tc>
        <w:tc>
          <w:tcPr>
            <w:tcW w:w="6004" w:type="dxa"/>
            <w:tcBorders>
              <w:top w:val="single" w:color="auto" w:sz="4" w:space="0"/>
              <w:left w:val="single" w:color="auto" w:sz="4" w:space="0"/>
              <w:bottom w:val="single" w:color="auto" w:sz="4" w:space="0"/>
              <w:right w:val="single" w:color="auto" w:sz="4" w:space="0"/>
            </w:tcBorders>
            <w:vAlign w:val="center"/>
          </w:tcPr>
          <w:p>
            <w:pPr>
              <w:numPr>
                <w:ilvl w:val="0"/>
                <w:numId w:val="3"/>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税收缴纳证明：提供响应文件递交截止时间前6个月内任意1个月已缴纳税收凭证或税务机关开具的完税证明（任意税种）；</w:t>
            </w:r>
          </w:p>
          <w:p>
            <w:pPr>
              <w:numPr>
                <w:ilvl w:val="0"/>
                <w:numId w:val="3"/>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社会保障资金缴纳证明：提供响应文件递交截止时间前6个月内任意1个月已缴纳的社会保障资金缴存单据或社保机构开具的社会保险参保缴费情况证明；</w:t>
            </w:r>
          </w:p>
          <w:p>
            <w:pPr>
              <w:numPr>
                <w:ilvl w:val="0"/>
                <w:numId w:val="3"/>
              </w:numPr>
              <w:pBdr>
                <w:bottom w:val="single" w:color="auto" w:sz="4" w:space="1"/>
              </w:pBd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依法免税的应提供相关文件证明；依法不需要缴纳社会保障资金的应提供相关文件证明。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具有履行合同所必需的设备和专业技术能力</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kern w:val="28"/>
                <w:sz w:val="24"/>
                <w:szCs w:val="24"/>
                <w:highlight w:val="none"/>
              </w:rPr>
              <w:t>具备履行合同所必需的设备和专业技术能力的说明或承诺。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近三年内，在经营活动中没有重大违法记录</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82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特定资格要求</w:t>
            </w:r>
          </w:p>
        </w:tc>
        <w:tc>
          <w:tcPr>
            <w:tcW w:w="6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单位负责人为同一人或者存在直接控股、管理关系的不同供应商，不得</w:t>
            </w:r>
            <w:r>
              <w:rPr>
                <w:rFonts w:hint="eastAsia" w:ascii="宋体" w:hAnsi="宋体" w:eastAsia="宋体" w:cs="宋体"/>
                <w:color w:val="auto"/>
                <w:kern w:val="28"/>
                <w:sz w:val="24"/>
                <w:szCs w:val="24"/>
                <w:highlight w:val="none"/>
                <w:lang w:val="en-US" w:eastAsia="zh-CN"/>
              </w:rPr>
              <w:t>同时</w:t>
            </w:r>
            <w:r>
              <w:rPr>
                <w:rFonts w:hint="eastAsia" w:ascii="宋体" w:hAnsi="宋体" w:eastAsia="宋体" w:cs="宋体"/>
                <w:color w:val="auto"/>
                <w:kern w:val="28"/>
                <w:sz w:val="24"/>
                <w:szCs w:val="24"/>
                <w:highlight w:val="none"/>
              </w:rPr>
              <w:t>参加本项目采购活动</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2）本项目</w:t>
            </w:r>
            <w:r>
              <w:rPr>
                <w:rFonts w:hint="eastAsia" w:ascii="宋体" w:hAnsi="宋体" w:cs="宋体"/>
                <w:color w:val="auto"/>
                <w:kern w:val="28"/>
                <w:sz w:val="24"/>
                <w:szCs w:val="24"/>
                <w:highlight w:val="none"/>
                <w:lang w:eastAsia="zh-CN"/>
              </w:rPr>
              <w:t>专门面向小微企业采购</w:t>
            </w:r>
            <w:r>
              <w:rPr>
                <w:rFonts w:hint="eastAsia" w:ascii="宋体" w:hAnsi="宋体" w:eastAsia="宋体" w:cs="宋体"/>
                <w:color w:val="auto"/>
                <w:kern w:val="28"/>
                <w:sz w:val="24"/>
                <w:szCs w:val="24"/>
                <w:highlight w:val="none"/>
              </w:rPr>
              <w:t>。</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本项目不接受联合体参与。</w:t>
            </w:r>
          </w:p>
        </w:tc>
      </w:tr>
    </w:tbl>
    <w:p>
      <w:pPr>
        <w:pStyle w:val="39"/>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注：供应商或磋商响应文件出现不满足以上任意情形的将按照无效响应文件处理。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 供应商必须按要求提交证明文件，以证明其有资格参加磋商和成交后有履行合同的能力，并作为其磋商文件的一部分。</w:t>
      </w:r>
      <w:bookmarkStart w:id="59" w:name="_Hlk48043531"/>
    </w:p>
    <w:p>
      <w:pPr>
        <w:pStyle w:val="6"/>
        <w:rPr>
          <w:rFonts w:hint="eastAsia" w:ascii="宋体" w:hAnsi="宋体" w:eastAsia="宋体" w:cs="宋体"/>
          <w:color w:val="auto"/>
          <w:sz w:val="24"/>
          <w:szCs w:val="24"/>
          <w:highlight w:val="none"/>
        </w:rPr>
      </w:pPr>
      <w:bookmarkStart w:id="60" w:name="_Toc246928912"/>
      <w:bookmarkStart w:id="61" w:name="_Toc2847"/>
      <w:r>
        <w:rPr>
          <w:rFonts w:hint="eastAsia" w:ascii="宋体" w:hAnsi="宋体" w:eastAsia="宋体" w:cs="宋体"/>
          <w:color w:val="auto"/>
          <w:sz w:val="24"/>
          <w:szCs w:val="24"/>
          <w:highlight w:val="none"/>
        </w:rPr>
        <w:t xml:space="preserve">13 </w:t>
      </w:r>
      <w:bookmarkEnd w:id="60"/>
      <w:r>
        <w:rPr>
          <w:rFonts w:hint="eastAsia" w:ascii="宋体" w:hAnsi="宋体" w:eastAsia="宋体" w:cs="宋体"/>
          <w:color w:val="auto"/>
          <w:sz w:val="24"/>
          <w:szCs w:val="24"/>
          <w:highlight w:val="none"/>
        </w:rPr>
        <w:t>证明供应商符合性的条件</w:t>
      </w:r>
      <w:bookmarkEnd w:id="61"/>
    </w:p>
    <w:p>
      <w:pPr>
        <w:overflowPunct w:val="0"/>
        <w:adjustRightInd w:val="0"/>
        <w:snapToGrid w:val="0"/>
        <w:spacing w:line="360" w:lineRule="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13.1响应文件的</w:t>
      </w:r>
      <w:r>
        <w:rPr>
          <w:rFonts w:hint="eastAsia" w:ascii="宋体" w:hAnsi="宋体" w:eastAsia="宋体" w:cs="宋体"/>
          <w:b/>
          <w:bCs/>
          <w:color w:val="auto"/>
          <w:sz w:val="24"/>
          <w:szCs w:val="22"/>
          <w:highlight w:val="none"/>
          <w:u w:val="single"/>
        </w:rPr>
        <w:t>符合性审查</w:t>
      </w:r>
      <w:r>
        <w:rPr>
          <w:rFonts w:hint="eastAsia" w:ascii="宋体" w:hAnsi="宋体" w:eastAsia="宋体" w:cs="宋体"/>
          <w:color w:val="auto"/>
          <w:sz w:val="24"/>
          <w:szCs w:val="22"/>
          <w:highlight w:val="none"/>
        </w:rPr>
        <w:t>：依据法律法规和磋商文件的规定，</w:t>
      </w:r>
      <w:r>
        <w:rPr>
          <w:rFonts w:hint="eastAsia" w:ascii="宋体" w:hAnsi="宋体" w:cs="宋体"/>
          <w:color w:val="auto"/>
          <w:sz w:val="24"/>
          <w:szCs w:val="22"/>
          <w:highlight w:val="none"/>
          <w:lang w:val="en-US" w:eastAsia="zh-CN"/>
        </w:rPr>
        <w:t>磋商小组</w:t>
      </w:r>
      <w:r>
        <w:rPr>
          <w:rFonts w:hint="eastAsia" w:ascii="宋体" w:hAnsi="宋体" w:eastAsia="宋体" w:cs="宋体"/>
          <w:color w:val="auto"/>
          <w:sz w:val="24"/>
          <w:szCs w:val="22"/>
          <w:highlight w:val="none"/>
        </w:rPr>
        <w:t>对响应文件中的响应文件进行审查。审查内容见下表：</w:t>
      </w:r>
    </w:p>
    <w:p>
      <w:pPr>
        <w:rPr>
          <w:rFonts w:hint="eastAsia" w:ascii="宋体" w:hAnsi="宋体" w:eastAsia="宋体" w:cs="宋体"/>
          <w:color w:val="auto"/>
          <w:highlight w:val="none"/>
        </w:rPr>
      </w:pPr>
    </w:p>
    <w:tbl>
      <w:tblPr>
        <w:tblStyle w:val="26"/>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91"/>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rPr>
              <w:t>序号</w:t>
            </w:r>
          </w:p>
        </w:tc>
        <w:tc>
          <w:tcPr>
            <w:tcW w:w="16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8"/>
                <w:sz w:val="24"/>
                <w:szCs w:val="24"/>
                <w:highlight w:val="none"/>
              </w:rPr>
            </w:pPr>
            <w:r>
              <w:rPr>
                <w:rFonts w:hint="eastAsia" w:ascii="宋体" w:hAnsi="宋体" w:eastAsia="宋体" w:cs="宋体"/>
                <w:b/>
                <w:color w:val="auto"/>
                <w:kern w:val="28"/>
                <w:sz w:val="24"/>
                <w:szCs w:val="24"/>
                <w:highlight w:val="none"/>
              </w:rPr>
              <w:t>审查项</w:t>
            </w:r>
          </w:p>
        </w:tc>
        <w:tc>
          <w:tcPr>
            <w:tcW w:w="61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8"/>
                <w:sz w:val="24"/>
                <w:szCs w:val="24"/>
                <w:highlight w:val="none"/>
              </w:rPr>
            </w:pPr>
            <w:r>
              <w:rPr>
                <w:rFonts w:hint="eastAsia" w:ascii="宋体" w:hAnsi="宋体" w:eastAsia="宋体" w:cs="宋体"/>
                <w:b/>
                <w:color w:val="auto"/>
                <w:kern w:val="28"/>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pPr>
              <w:spacing w:line="360" w:lineRule="auto"/>
              <w:jc w:val="center"/>
              <w:rPr>
                <w:rFonts w:hint="eastAsia" w:ascii="宋体" w:hAnsi="宋体" w:eastAsia="宋体" w:cs="宋体"/>
                <w:color w:val="auto"/>
                <w:kern w:val="28"/>
                <w:sz w:val="24"/>
                <w:szCs w:val="24"/>
                <w:highlight w:val="none"/>
                <w:lang w:val="en-US" w:eastAsia="zh-CN" w:bidi="ar-SA"/>
              </w:rPr>
            </w:pPr>
            <w:r>
              <w:rPr>
                <w:rFonts w:hint="eastAsia" w:ascii="宋体" w:hAnsi="宋体" w:eastAsia="宋体" w:cs="宋体"/>
                <w:color w:val="auto"/>
                <w:sz w:val="24"/>
                <w:szCs w:val="24"/>
                <w:highlight w:val="none"/>
              </w:rPr>
              <w:t>基本信息</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供应商名称与获取竞争性磋商文件登记的单位名称一致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响应文件份数</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响应文件签署</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8"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center"/>
              <w:rPr>
                <w:rFonts w:hint="eastAsia" w:ascii="宋体" w:hAnsi="宋体" w:eastAsia="宋体" w:cs="宋体"/>
                <w:bCs/>
                <w:color w:val="auto"/>
                <w:sz w:val="24"/>
                <w:szCs w:val="24"/>
                <w:highlight w:val="none"/>
              </w:rPr>
            </w:pP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13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w:t>
            </w:r>
          </w:p>
        </w:tc>
      </w:tr>
    </w:tbl>
    <w:p>
      <w:pPr>
        <w:pStyle w:val="39"/>
        <w:ind w:firstLine="0" w:firstLineChars="0"/>
        <w:rPr>
          <w:rFonts w:hint="eastAsia" w:ascii="宋体" w:hAnsi="宋体" w:eastAsia="宋体" w:cs="宋体"/>
          <w:color w:val="auto"/>
          <w:highlight w:val="none"/>
        </w:rPr>
      </w:pPr>
      <w:bookmarkStart w:id="62" w:name="_Toc246928913"/>
      <w:r>
        <w:rPr>
          <w:rFonts w:hint="eastAsia" w:ascii="宋体" w:hAnsi="宋体" w:eastAsia="宋体" w:cs="宋体"/>
          <w:color w:val="auto"/>
          <w:sz w:val="24"/>
          <w:highlight w:val="none"/>
        </w:rPr>
        <w:t>注：供应商或磋商响应文件出现不满足以上情形的将按照无效响应文件处理。</w:t>
      </w:r>
    </w:p>
    <w:bookmarkEnd w:id="59"/>
    <w:p>
      <w:pPr>
        <w:pStyle w:val="6"/>
        <w:rPr>
          <w:rFonts w:hint="eastAsia" w:ascii="宋体" w:hAnsi="宋体" w:eastAsia="宋体" w:cs="宋体"/>
          <w:color w:val="auto"/>
          <w:sz w:val="24"/>
          <w:szCs w:val="24"/>
          <w:highlight w:val="none"/>
        </w:rPr>
      </w:pPr>
      <w:bookmarkStart w:id="63" w:name="_Toc17138"/>
      <w:r>
        <w:rPr>
          <w:rFonts w:hint="eastAsia" w:ascii="宋体" w:hAnsi="宋体" w:eastAsia="宋体" w:cs="宋体"/>
          <w:color w:val="auto"/>
          <w:sz w:val="24"/>
          <w:szCs w:val="24"/>
          <w:highlight w:val="none"/>
        </w:rPr>
        <w:t>14 磋商保证金</w:t>
      </w:r>
      <w:bookmarkEnd w:id="62"/>
      <w:bookmarkEnd w:id="6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 磋商保证金金额及方式见磋商须知前附表。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对于未能按要求提交磋商保证金的供应商，采购人将视为不响应磋商文件而予以拒绝。</w:t>
      </w:r>
    </w:p>
    <w:bookmarkEnd w:id="58"/>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w:t>
      </w:r>
      <w:r>
        <w:rPr>
          <w:rFonts w:hint="eastAsia" w:ascii="宋体" w:hAnsi="宋体" w:eastAsia="宋体" w:cs="宋体"/>
          <w:color w:val="auto"/>
          <w:sz w:val="24"/>
          <w:szCs w:val="24"/>
          <w:highlight w:val="none"/>
        </w:rPr>
        <w:t>未成交供应商的磋商保证金，将在成交通知书发出后五个工作日内退还；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 xml:space="preserve">14.4 </w:t>
      </w:r>
      <w:r>
        <w:rPr>
          <w:rFonts w:hint="eastAsia" w:ascii="宋体" w:hAnsi="宋体" w:eastAsia="宋体" w:cs="宋体"/>
          <w:color w:val="auto"/>
          <w:sz w:val="24"/>
          <w:szCs w:val="24"/>
          <w:highlight w:val="none"/>
        </w:rPr>
        <w:t>成交供应商的磋商保证金，在采购合同签订并按规定交纳招标代理服务费后五个工作日内退还。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磋商保证金是为了保护采购人和采购代理机构免遭因供应商的行为蒙受损失而要求的。发生下列情形之一，磋商保证金将不予退还：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14.5.1供应商在开标时间后至磋商有效期满前，擅自撤销投标的；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14.5.2成交供应商擅自放弃成交的；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14.5.3成交供应商不按规定与采购人签订合同的；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14.5.4提交了磋商保证金而无故未提交响应文件的（响应文件递交迟到并经代理机构在递交现场确认为迟到的除外）。</w:t>
      </w:r>
    </w:p>
    <w:p>
      <w:pPr>
        <w:pStyle w:val="6"/>
        <w:rPr>
          <w:rFonts w:hint="eastAsia" w:ascii="宋体" w:hAnsi="宋体" w:eastAsia="宋体" w:cs="宋体"/>
          <w:color w:val="auto"/>
          <w:sz w:val="24"/>
          <w:szCs w:val="24"/>
          <w:highlight w:val="none"/>
        </w:rPr>
      </w:pPr>
      <w:bookmarkStart w:id="64" w:name="_Toc24104"/>
      <w:bookmarkStart w:id="65" w:name="_Toc246928914"/>
      <w:r>
        <w:rPr>
          <w:rFonts w:hint="eastAsia" w:ascii="宋体" w:hAnsi="宋体" w:eastAsia="宋体" w:cs="宋体"/>
          <w:color w:val="auto"/>
          <w:sz w:val="24"/>
          <w:szCs w:val="24"/>
          <w:highlight w:val="none"/>
        </w:rPr>
        <w:t xml:space="preserve">15 </w:t>
      </w:r>
      <w:bookmarkEnd w:id="64"/>
      <w:bookmarkEnd w:id="65"/>
      <w:r>
        <w:rPr>
          <w:rFonts w:hint="eastAsia" w:ascii="宋体" w:hAnsi="宋体" w:eastAsia="宋体" w:cs="宋体"/>
          <w:color w:val="auto"/>
          <w:sz w:val="24"/>
          <w:szCs w:val="24"/>
          <w:highlight w:val="none"/>
        </w:rPr>
        <w:t>磋商有效期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15.1  磋商响应文件从磋商之日起，磋商有效期为90日历天。磋商有效期不满足要求的磋商属于无效磋商情形。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  特殊情况下，采购人可于磋商有效期满之前要求供应商同意延长有效期，要求与答复均应为书面形式。供应商可以拒绝上述要求，其磋商保证金不被没收。对于同意该要求的供应商，既不要求也不允许其修改磋商响应文件，但将要求其相应延长磋商保证金的有效期，有关退还和没收磋商保证金的规定在磋商有效期的延长期内继续有效。</w:t>
      </w:r>
    </w:p>
    <w:p>
      <w:pPr>
        <w:pStyle w:val="6"/>
        <w:rPr>
          <w:rFonts w:hint="eastAsia" w:ascii="宋体" w:hAnsi="宋体" w:eastAsia="宋体" w:cs="宋体"/>
          <w:color w:val="auto"/>
          <w:sz w:val="24"/>
          <w:szCs w:val="24"/>
          <w:highlight w:val="none"/>
        </w:rPr>
      </w:pPr>
      <w:bookmarkStart w:id="66" w:name="_Toc246928915"/>
      <w:bookmarkStart w:id="67" w:name="_Toc17920"/>
      <w:r>
        <w:rPr>
          <w:rFonts w:hint="eastAsia" w:ascii="宋体" w:hAnsi="宋体" w:eastAsia="宋体" w:cs="宋体"/>
          <w:color w:val="auto"/>
          <w:sz w:val="24"/>
          <w:szCs w:val="24"/>
          <w:highlight w:val="none"/>
        </w:rPr>
        <w:t>16 磋商响应文件的</w:t>
      </w:r>
      <w:bookmarkEnd w:id="66"/>
      <w:r>
        <w:rPr>
          <w:rFonts w:hint="eastAsia" w:ascii="宋体" w:hAnsi="宋体" w:eastAsia="宋体" w:cs="宋体"/>
          <w:color w:val="auto"/>
          <w:sz w:val="24"/>
          <w:szCs w:val="24"/>
          <w:highlight w:val="none"/>
        </w:rPr>
        <w:t>数量及签署规定</w:t>
      </w:r>
      <w:bookmarkEnd w:id="6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供应商应当按照磋商须知前附表准备响应文件。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磋商响应文件的正本需打印或用不褪色墨水书写，并编制详细的目录，统一装订、标码，由供应商的法定代表人或授权代表在磋商文件要求签字盖章的地方签字并盖章，一旦正本和副本有差异，以正本为准。授权代表须持有书面的“法定代表人授权委托书”（标准格式附后），并将其附在磋商响应文件中。如对磋商响应文件进行了修改，则应当由授权代表在修改的每一页上签字。磋商响应文件的副本可以采用正本的复印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16.3 任何行间插字、涂改和增删，必须由供应商的法定代表人或其授权的代表签字并加盖公章后才有效。</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16.4磋商响应文件因字迹潦草或表达不清所引起的后果由供应商负责。</w:t>
      </w:r>
    </w:p>
    <w:p>
      <w:pPr>
        <w:pStyle w:val="5"/>
        <w:ind w:firstLine="480"/>
        <w:rPr>
          <w:rFonts w:hint="eastAsia" w:ascii="宋体" w:hAnsi="宋体" w:eastAsia="宋体" w:cs="宋体"/>
          <w:b w:val="0"/>
          <w:color w:val="auto"/>
          <w:sz w:val="24"/>
          <w:szCs w:val="24"/>
          <w:highlight w:val="none"/>
        </w:rPr>
      </w:pPr>
      <w:bookmarkStart w:id="68" w:name="_Toc12625"/>
      <w:bookmarkStart w:id="69" w:name="_Toc198"/>
      <w:bookmarkStart w:id="70" w:name="_Toc246928916"/>
      <w:bookmarkStart w:id="71" w:name="_Toc12925"/>
      <w:r>
        <w:rPr>
          <w:rFonts w:hint="eastAsia" w:ascii="宋体" w:hAnsi="宋体" w:eastAsia="宋体" w:cs="宋体"/>
          <w:color w:val="auto"/>
          <w:sz w:val="24"/>
          <w:szCs w:val="24"/>
          <w:highlight w:val="none"/>
        </w:rPr>
        <w:t>（四）磋商响应文件的递交</w:t>
      </w:r>
      <w:bookmarkEnd w:id="68"/>
      <w:bookmarkEnd w:id="69"/>
      <w:bookmarkEnd w:id="70"/>
      <w:bookmarkEnd w:id="71"/>
    </w:p>
    <w:p>
      <w:pPr>
        <w:pStyle w:val="6"/>
        <w:rPr>
          <w:rFonts w:hint="eastAsia" w:ascii="宋体" w:hAnsi="宋体" w:eastAsia="宋体" w:cs="宋体"/>
          <w:color w:val="auto"/>
          <w:sz w:val="24"/>
          <w:szCs w:val="24"/>
          <w:highlight w:val="none"/>
        </w:rPr>
      </w:pPr>
      <w:bookmarkStart w:id="72" w:name="_Toc20393"/>
      <w:bookmarkStart w:id="73" w:name="_Toc246928917"/>
      <w:r>
        <w:rPr>
          <w:rFonts w:hint="eastAsia" w:ascii="宋体" w:hAnsi="宋体" w:eastAsia="宋体" w:cs="宋体"/>
          <w:color w:val="auto"/>
          <w:sz w:val="24"/>
          <w:szCs w:val="24"/>
          <w:highlight w:val="none"/>
        </w:rPr>
        <w:t>17 磋商响应文件的密封和标记</w:t>
      </w:r>
      <w:bookmarkEnd w:id="72"/>
      <w:bookmarkEnd w:id="73"/>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磋商响应文件必须密封递交。对封装材料及样式不作特别规定，但供应商应当保证其封装的可靠性，不致因搬运、堆放等原因散开。磋商时，供应商应当将磋商响应文件正本以密封袋/箱单独密封，所有的副本以密封袋/箱单独密封。密封袋/箱正面和磋商文件封面须标明“正本”“副本”。</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17.2有关包装袋/箱上均应当：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17.2.1 注明磋商公告中指明的项目名称、项目编号、供应商名称、正/副本</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（磋商时间）</w:t>
      </w:r>
      <w:r>
        <w:rPr>
          <w:rFonts w:hint="eastAsia" w:ascii="宋体" w:hAnsi="宋体" w:eastAsia="宋体" w:cs="宋体"/>
          <w:color w:val="auto"/>
          <w:sz w:val="24"/>
          <w:szCs w:val="24"/>
          <w:highlight w:val="none"/>
        </w:rPr>
        <w:t>前不得启封等字样。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17.2.2</w:t>
      </w:r>
      <w:r>
        <w:rPr>
          <w:rFonts w:hint="eastAsia" w:ascii="宋体" w:hAnsi="宋体" w:eastAsia="宋体" w:cs="宋体"/>
          <w:color w:val="auto"/>
          <w:sz w:val="24"/>
          <w:highlight w:val="none"/>
        </w:rPr>
        <w:t>磋商响应文件袋面按照规定加盖供应商公章。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17.2.3 </w:t>
      </w:r>
      <w:r>
        <w:rPr>
          <w:rFonts w:hint="eastAsia" w:ascii="宋体" w:hAnsi="宋体" w:eastAsia="宋体" w:cs="宋体"/>
          <w:color w:val="auto"/>
          <w:sz w:val="24"/>
          <w:highlight w:val="none"/>
        </w:rPr>
        <w:t>如果供应商未按上述要求密封及加写标记，采购代理机构对磋商响应文件的误投或过早启封概不负责。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17.2.4响应文件应密封完好，响应文件袋正面按照规定加盖供应商公章。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17.2.5如果未按上述规定进行密封和标记，磋商小组有权拒绝供应商的响应文件，不予受理则按无效投标处理。</w:t>
      </w:r>
    </w:p>
    <w:p>
      <w:pPr>
        <w:pStyle w:val="6"/>
        <w:rPr>
          <w:rFonts w:hint="eastAsia" w:ascii="宋体" w:hAnsi="宋体" w:eastAsia="宋体" w:cs="宋体"/>
          <w:color w:val="auto"/>
          <w:sz w:val="24"/>
          <w:szCs w:val="24"/>
          <w:highlight w:val="none"/>
        </w:rPr>
      </w:pPr>
      <w:bookmarkStart w:id="74" w:name="_Toc246928918"/>
      <w:bookmarkStart w:id="75" w:name="_Toc9257"/>
      <w:r>
        <w:rPr>
          <w:rFonts w:hint="eastAsia" w:ascii="宋体" w:hAnsi="宋体" w:eastAsia="宋体" w:cs="宋体"/>
          <w:color w:val="auto"/>
          <w:sz w:val="24"/>
          <w:szCs w:val="24"/>
          <w:highlight w:val="none"/>
        </w:rPr>
        <w:t>18 磋商响应文件截止时间</w:t>
      </w:r>
      <w:bookmarkEnd w:id="74"/>
      <w:bookmarkEnd w:id="7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 所有磋商响应文件都必须按磋商公告中规定的磋商响应文件截止时间前送达磋商文件规定的递交地点。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18.2 采购人或采购代理机构有权按本须知的规定，通过修改磋商文件延长磋商响应文件截止时间。在此情况下，采购人和供应商受磋商响应文件截止时间制约的所有权利和义务均应当延长至新的截止期。</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采购人及采购代理机构将拒绝接收磋商文件规定的磋商响应文件截止时间之后递交的任何磋商响应文件。</w:t>
      </w:r>
    </w:p>
    <w:p>
      <w:pPr>
        <w:pStyle w:val="6"/>
        <w:rPr>
          <w:rFonts w:hint="eastAsia" w:ascii="宋体" w:hAnsi="宋体" w:eastAsia="宋体" w:cs="宋体"/>
          <w:color w:val="auto"/>
          <w:sz w:val="24"/>
          <w:szCs w:val="24"/>
          <w:highlight w:val="none"/>
        </w:rPr>
      </w:pPr>
      <w:bookmarkStart w:id="76" w:name="_Toc26319"/>
      <w:r>
        <w:rPr>
          <w:rFonts w:hint="eastAsia" w:ascii="宋体" w:hAnsi="宋体" w:eastAsia="宋体" w:cs="宋体"/>
          <w:color w:val="auto"/>
          <w:sz w:val="24"/>
          <w:szCs w:val="24"/>
          <w:highlight w:val="none"/>
        </w:rPr>
        <w:t>19 磋商响应文件的修改与撤回</w:t>
      </w:r>
      <w:bookmarkEnd w:id="76"/>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供应商在磋商响应文件截止时间前，可以对所递交的磋商响应文件进行补充、修改或者撤回，并书面通知采购代理机构。补充、修改的内容应当按磋商文件要求签署、盖章，并作为磋商响应文件的组成部分。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磋商响应文件截止时间后，供应商不得对其磋商响应文件做任何修改。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 从磋商响应文件截止时间至供应商在磋商响应函格式中确定的磋商有效期之间，供应商不得撤销其磋商，否则其磋商保证金将按照本须知的规定不予退还。</w:t>
      </w:r>
    </w:p>
    <w:p>
      <w:pPr>
        <w:pStyle w:val="5"/>
        <w:ind w:firstLine="480"/>
        <w:rPr>
          <w:rFonts w:hint="eastAsia" w:ascii="宋体" w:hAnsi="宋体" w:eastAsia="宋体" w:cs="宋体"/>
          <w:b w:val="0"/>
          <w:color w:val="auto"/>
          <w:sz w:val="24"/>
          <w:szCs w:val="24"/>
          <w:highlight w:val="none"/>
        </w:rPr>
      </w:pPr>
      <w:bookmarkStart w:id="77" w:name="_Toc20956"/>
      <w:bookmarkStart w:id="78" w:name="_Toc385506493"/>
      <w:bookmarkStart w:id="79" w:name="_Toc30917"/>
      <w:bookmarkStart w:id="80" w:name="_Toc891"/>
      <w:bookmarkStart w:id="81" w:name="_Toc246928919"/>
      <w:bookmarkStart w:id="82" w:name="_Toc492955421"/>
      <w:bookmarkStart w:id="83" w:name="_Toc497711547"/>
      <w:bookmarkStart w:id="84" w:name="_Toc389620199"/>
      <w:bookmarkStart w:id="85" w:name="_Toc497712095"/>
      <w:bookmarkStart w:id="86" w:name="_Toc497551782"/>
      <w:bookmarkStart w:id="87" w:name="_Toc497546880"/>
      <w:bookmarkStart w:id="88" w:name="_Toc385992360"/>
      <w:bookmarkStart w:id="89" w:name="_Toc246928925"/>
      <w:r>
        <w:rPr>
          <w:rFonts w:hint="eastAsia" w:ascii="宋体" w:hAnsi="宋体" w:eastAsia="宋体" w:cs="宋体"/>
          <w:color w:val="auto"/>
          <w:sz w:val="24"/>
          <w:szCs w:val="24"/>
          <w:highlight w:val="none"/>
        </w:rPr>
        <w:t>（五） 开标/评审</w:t>
      </w:r>
      <w:bookmarkEnd w:id="77"/>
      <w:bookmarkEnd w:id="78"/>
      <w:bookmarkEnd w:id="79"/>
      <w:bookmarkEnd w:id="80"/>
      <w:bookmarkEnd w:id="81"/>
    </w:p>
    <w:p>
      <w:pPr>
        <w:pStyle w:val="6"/>
        <w:rPr>
          <w:rFonts w:hint="eastAsia" w:ascii="宋体" w:hAnsi="宋体" w:eastAsia="宋体" w:cs="宋体"/>
          <w:color w:val="auto"/>
          <w:sz w:val="24"/>
          <w:szCs w:val="24"/>
          <w:highlight w:val="none"/>
        </w:rPr>
      </w:pPr>
      <w:bookmarkStart w:id="90" w:name="_Toc246928920"/>
      <w:bookmarkStart w:id="91" w:name="_Toc23915"/>
      <w:bookmarkStart w:id="92" w:name="_Toc385506494"/>
      <w:r>
        <w:rPr>
          <w:rFonts w:hint="eastAsia" w:ascii="宋体" w:hAnsi="宋体" w:eastAsia="宋体" w:cs="宋体"/>
          <w:color w:val="auto"/>
          <w:sz w:val="24"/>
          <w:szCs w:val="24"/>
          <w:highlight w:val="none"/>
        </w:rPr>
        <w:t xml:space="preserve">20 </w:t>
      </w:r>
      <w:bookmarkEnd w:id="90"/>
      <w:r>
        <w:rPr>
          <w:rFonts w:hint="eastAsia" w:ascii="宋体" w:hAnsi="宋体" w:eastAsia="宋体" w:cs="宋体"/>
          <w:color w:val="auto"/>
          <w:sz w:val="24"/>
          <w:szCs w:val="24"/>
          <w:highlight w:val="none"/>
        </w:rPr>
        <w:t>开标</w:t>
      </w:r>
      <w:bookmarkEnd w:id="91"/>
      <w:bookmarkEnd w:id="92"/>
    </w:p>
    <w:p>
      <w:pPr>
        <w:spacing w:line="360" w:lineRule="auto"/>
        <w:rPr>
          <w:rFonts w:hint="eastAsia" w:ascii="宋体" w:hAnsi="宋体" w:eastAsia="宋体" w:cs="宋体"/>
          <w:color w:val="auto"/>
          <w:sz w:val="24"/>
          <w:highlight w:val="none"/>
        </w:rPr>
      </w:pPr>
      <w:bookmarkStart w:id="93" w:name="_Toc246928921"/>
      <w:bookmarkStart w:id="94" w:name="_Toc385506495"/>
      <w:r>
        <w:rPr>
          <w:rFonts w:hint="eastAsia" w:ascii="宋体" w:hAnsi="宋体" w:eastAsia="宋体" w:cs="宋体"/>
          <w:color w:val="auto"/>
          <w:sz w:val="24"/>
          <w:highlight w:val="none"/>
        </w:rPr>
        <w:t>20.1 采购代理机构按磋商公告中规定的时间和地点接受供应商递交的磋商响应文件。供应商应派代表签到，并参加磋商。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20.2开标时，采购代理机构当众拆封所有密封完好的响应文件。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磋商有效供应商不足三家的，按照国家相关法律法律及省市规定执行。</w:t>
      </w:r>
    </w:p>
    <w:p>
      <w:pPr>
        <w:pStyle w:val="6"/>
        <w:rPr>
          <w:rFonts w:hint="eastAsia" w:ascii="宋体" w:hAnsi="宋体" w:eastAsia="宋体" w:cs="宋体"/>
          <w:color w:val="auto"/>
          <w:sz w:val="24"/>
          <w:szCs w:val="24"/>
          <w:highlight w:val="none"/>
        </w:rPr>
      </w:pPr>
      <w:bookmarkStart w:id="95" w:name="_Toc25482"/>
      <w:r>
        <w:rPr>
          <w:rFonts w:hint="eastAsia" w:ascii="宋体" w:hAnsi="宋体" w:eastAsia="宋体" w:cs="宋体"/>
          <w:color w:val="auto"/>
          <w:sz w:val="24"/>
          <w:szCs w:val="24"/>
          <w:highlight w:val="none"/>
        </w:rPr>
        <w:t>21 磋商小组</w:t>
      </w:r>
      <w:bookmarkEnd w:id="93"/>
      <w:bookmarkEnd w:id="94"/>
      <w:bookmarkEnd w:id="9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 根据本次采购项目的特点，参照《中华人民共和国政府采购法》等有关规定组建磋商小组。</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磋商小组成员由采购人代表和有关技术、经济等方面的专家组成，其中技术、经济专家人数不少于磋商小组总人数的2/3本项目磋商小组专家的产生方式符合国家和地方有关评审专家产生方式的规定。</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磋商小组成员对各供应商磋商响应文件进行审查、评估和比较，并推荐出成交候选供应商。</w:t>
      </w:r>
    </w:p>
    <w:p>
      <w:pPr>
        <w:pStyle w:val="6"/>
        <w:rPr>
          <w:rFonts w:hint="eastAsia" w:ascii="宋体" w:hAnsi="宋体" w:eastAsia="宋体" w:cs="宋体"/>
          <w:color w:val="auto"/>
          <w:sz w:val="24"/>
          <w:szCs w:val="24"/>
          <w:highlight w:val="none"/>
        </w:rPr>
      </w:pPr>
      <w:bookmarkStart w:id="96" w:name="_Toc246928924"/>
      <w:bookmarkStart w:id="97" w:name="_Toc27132"/>
      <w:bookmarkStart w:id="98" w:name="_Toc385506496"/>
      <w:r>
        <w:rPr>
          <w:rFonts w:hint="eastAsia" w:ascii="宋体" w:hAnsi="宋体" w:eastAsia="宋体" w:cs="宋体"/>
          <w:color w:val="auto"/>
          <w:sz w:val="24"/>
          <w:szCs w:val="24"/>
          <w:highlight w:val="none"/>
        </w:rPr>
        <w:t>22 评审</w:t>
      </w:r>
      <w:bookmarkEnd w:id="96"/>
      <w:bookmarkEnd w:id="97"/>
      <w:bookmarkEnd w:id="98"/>
      <w:r>
        <w:rPr>
          <w:rFonts w:hint="eastAsia" w:ascii="宋体" w:hAnsi="宋体" w:eastAsia="宋体" w:cs="宋体"/>
          <w:color w:val="auto"/>
          <w:sz w:val="24"/>
          <w:szCs w:val="24"/>
          <w:highlight w:val="none"/>
        </w:rPr>
        <w:t>程序</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磋商小组将遵循公开、公平、公正和择优的原则，对所有供应商的磋商响应文件评审，都采用相同的程序和标准。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评审过程的保密：磋商中不公开供应商的磋商报价，在磋商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22.3磋商小组对于采购人资格性审查合格的供应商进行符合性审查，审查全都合格的供应商才有参加磋商与承诺的资格。</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 对磋商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磋商响应文件的实质性内容。</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22.4.1 澄清文件将作为磋商响应文件的一部分。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 算术错误将按以下方法更正：</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22.4.2.1 磋商响应文件的大写金额和小写金额不一致的，以大写金额为准；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22.4.2.2 总价金额与按单价汇总金额不一致的，以单价金额计算结果为准；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22.4.2.3 单价金额小数点有明显错位的，应当以总价为准，并修改单价；</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22.4.2.4 对不同文字文本磋商响应文件的解释发生异议的，以中文文本为准；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22.4.2.5 对于供应商不接受对其错误的更改，其磋商属于无效磋商情形。</w:t>
      </w:r>
    </w:p>
    <w:p>
      <w:pPr>
        <w:pStyle w:val="6"/>
        <w:rPr>
          <w:rFonts w:hint="eastAsia" w:ascii="宋体" w:hAnsi="宋体" w:eastAsia="宋体" w:cs="宋体"/>
          <w:color w:val="auto"/>
          <w:sz w:val="24"/>
          <w:szCs w:val="24"/>
          <w:highlight w:val="none"/>
        </w:rPr>
      </w:pPr>
      <w:bookmarkStart w:id="99" w:name="_Toc4426"/>
      <w:bookmarkStart w:id="100" w:name="_Toc385506498"/>
      <w:r>
        <w:rPr>
          <w:rFonts w:hint="eastAsia" w:ascii="宋体" w:hAnsi="宋体" w:eastAsia="宋体" w:cs="宋体"/>
          <w:color w:val="auto"/>
          <w:sz w:val="24"/>
          <w:szCs w:val="24"/>
          <w:highlight w:val="none"/>
        </w:rPr>
        <w:t xml:space="preserve">23 </w:t>
      </w:r>
      <w:bookmarkEnd w:id="99"/>
      <w:bookmarkEnd w:id="100"/>
      <w:r>
        <w:rPr>
          <w:rFonts w:hint="eastAsia" w:ascii="宋体" w:hAnsi="宋体" w:eastAsia="宋体" w:cs="宋体"/>
          <w:color w:val="auto"/>
          <w:sz w:val="24"/>
          <w:szCs w:val="24"/>
          <w:highlight w:val="none"/>
        </w:rPr>
        <w:t>磋商</w:t>
      </w:r>
    </w:p>
    <w:p>
      <w:pPr>
        <w:snapToGrid w:val="0"/>
        <w:spacing w:line="360" w:lineRule="auto"/>
        <w:rPr>
          <w:rFonts w:hint="eastAsia" w:ascii="宋体" w:hAnsi="宋体" w:eastAsia="宋体" w:cs="宋体"/>
          <w:color w:val="auto"/>
          <w:sz w:val="24"/>
          <w:highlight w:val="none"/>
        </w:rPr>
      </w:pPr>
      <w:bookmarkStart w:id="101" w:name="_Toc385506499"/>
      <w:r>
        <w:rPr>
          <w:rFonts w:hint="eastAsia" w:ascii="宋体" w:hAnsi="宋体" w:eastAsia="宋体" w:cs="宋体"/>
          <w:color w:val="auto"/>
          <w:sz w:val="24"/>
          <w:highlight w:val="none"/>
        </w:rPr>
        <w:t>23.1磋商小组根据各磋商供应商响应文件响应情况决定是否与各供应商进行磋商。</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经磋商小组评审，报价、质量和服务均能满足采购文件实质性响应要求的供应商才具有最后报价的机会。供应商应按磋商小组规定的时间进行最后报价，并由法定代表人或其授权人签字，所有报价现场均不对供应商公布。该磋商报价为不可更改价格，作为磋商小组评审的依据。</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磋商小组认为供应商的最后报价或者某些分项报价明显不合理或者低于成本，有可能影响服务质量和不能诚信履约的，磋商小组有权要求供应商提供书面或口头解释说明，并提交相关证明材料；如供应商在开标现场规定时间内不能够提供相关材料证明其报价的合理性或不能有力口头证明其报价合理性，磋商小组可认为其报价为无效报价。</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23.4在磋商过程中，磋商小组可以根据磋商文件和磋商情况实质性变动采购需求中的技术、服务要求以及合同草案条款，但不得变动磋商文件中的其他内容。实质性变动的内容，须经采购人代表确认。</w:t>
      </w:r>
    </w:p>
    <w:p>
      <w:pPr>
        <w:pStyle w:val="6"/>
        <w:rPr>
          <w:rFonts w:hint="eastAsia" w:ascii="宋体" w:hAnsi="宋体" w:eastAsia="宋体" w:cs="宋体"/>
          <w:color w:val="auto"/>
          <w:sz w:val="24"/>
          <w:szCs w:val="24"/>
          <w:highlight w:val="none"/>
        </w:rPr>
      </w:pPr>
      <w:bookmarkStart w:id="102" w:name="_Toc25956"/>
      <w:r>
        <w:rPr>
          <w:rFonts w:hint="eastAsia" w:ascii="宋体" w:hAnsi="宋体" w:eastAsia="宋体" w:cs="宋体"/>
          <w:color w:val="auto"/>
          <w:sz w:val="24"/>
          <w:szCs w:val="24"/>
          <w:highlight w:val="none"/>
        </w:rPr>
        <w:t xml:space="preserve">24 </w:t>
      </w:r>
      <w:bookmarkEnd w:id="101"/>
      <w:bookmarkEnd w:id="102"/>
      <w:r>
        <w:rPr>
          <w:rFonts w:hint="eastAsia" w:ascii="宋体" w:hAnsi="宋体" w:eastAsia="宋体" w:cs="宋体"/>
          <w:color w:val="auto"/>
          <w:sz w:val="24"/>
          <w:szCs w:val="24"/>
          <w:highlight w:val="none"/>
        </w:rPr>
        <w:t>评审原则及主要方法</w:t>
      </w:r>
    </w:p>
    <w:p>
      <w:pPr>
        <w:overflowPunct w:val="0"/>
        <w:adjustRightInd w:val="0"/>
        <w:snapToGrid w:val="0"/>
        <w:spacing w:line="360" w:lineRule="auto"/>
        <w:rPr>
          <w:rFonts w:hint="eastAsia" w:ascii="宋体" w:hAnsi="宋体" w:eastAsia="宋体" w:cs="宋体"/>
          <w:color w:val="auto"/>
          <w:sz w:val="24"/>
          <w:highlight w:val="none"/>
        </w:rPr>
      </w:pPr>
      <w:bookmarkStart w:id="103" w:name="_Hlt491765714"/>
      <w:bookmarkEnd w:id="103"/>
      <w:bookmarkStart w:id="104" w:name="_Toc2888"/>
      <w:bookmarkStart w:id="105" w:name="_Toc858"/>
      <w:r>
        <w:rPr>
          <w:rFonts w:hint="eastAsia" w:ascii="宋体" w:hAnsi="宋体" w:eastAsia="宋体" w:cs="宋体"/>
          <w:color w:val="auto"/>
          <w:sz w:val="24"/>
          <w:highlight w:val="none"/>
        </w:rPr>
        <w:t>24.1 磋商小组将遵循公平、公正和择优的原则，对所有提交最后报价的供应商的响应文件评审，都采用相同的程序和标准。</w:t>
      </w:r>
    </w:p>
    <w:p>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 评审过程的保密：在响应文件的评审、比较、成交候选供应商推荐以及授予合同的过程中，供应商向采购人和磋商小组施加影响的任何行为，都将会导致其报价被拒绝。</w:t>
      </w:r>
    </w:p>
    <w:p>
      <w:pPr>
        <w:overflowPunct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24.3评审办法：综合评分法，是指响应文件满足磋商文件全部实质性要求且按评审因素的量化指标评审得分最高的供应商为成交候选供应商的评审方法（本项目不保证最低价中标），本项目磋商小组根据量化指标评审得分由高到底推荐3名以上成交候选供应商。</w:t>
      </w:r>
    </w:p>
    <w:p>
      <w:pPr>
        <w:pStyle w:val="13"/>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评分标准</w:t>
      </w:r>
    </w:p>
    <w:tbl>
      <w:tblPr>
        <w:tblStyle w:val="26"/>
        <w:tblW w:w="858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637"/>
        <w:gridCol w:w="85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bookmarkStart w:id="106" w:name="_Toc30099"/>
            <w:r>
              <w:rPr>
                <w:rFonts w:hint="eastAsia" w:ascii="宋体" w:hAnsi="宋体" w:eastAsia="宋体" w:cs="宋体"/>
                <w:sz w:val="24"/>
                <w:szCs w:val="24"/>
              </w:rPr>
              <w:t>项别</w:t>
            </w:r>
          </w:p>
        </w:tc>
        <w:tc>
          <w:tcPr>
            <w:tcW w:w="14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总分值</w:t>
            </w:r>
          </w:p>
        </w:tc>
        <w:tc>
          <w:tcPr>
            <w:tcW w:w="62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分项最高分值</w:t>
            </w:r>
          </w:p>
        </w:tc>
        <w:tc>
          <w:tcPr>
            <w:tcW w:w="62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价格</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rPr>
            </w:pPr>
            <w:r>
              <w:rPr>
                <w:rFonts w:hint="eastAsia" w:ascii="宋体" w:hAnsi="宋体" w:cs="宋体"/>
                <w:sz w:val="24"/>
                <w:szCs w:val="24"/>
                <w:lang w:val="en-US" w:eastAsia="zh-CN"/>
              </w:rPr>
              <w:t>最终</w:t>
            </w:r>
            <w:r>
              <w:rPr>
                <w:rFonts w:hint="eastAsia" w:ascii="宋体" w:hAnsi="宋体" w:eastAsia="宋体" w:cs="宋体"/>
                <w:sz w:val="24"/>
                <w:szCs w:val="24"/>
              </w:rPr>
              <w:t>有效投标最低报价为基准价得满分</w:t>
            </w:r>
            <w:r>
              <w:rPr>
                <w:rFonts w:hint="eastAsia" w:ascii="宋体" w:hAnsi="宋体" w:eastAsia="宋体" w:cs="宋体"/>
                <w:sz w:val="24"/>
                <w:szCs w:val="24"/>
                <w:lang w:val="en-US" w:eastAsia="zh-CN"/>
              </w:rPr>
              <w:t>10</w:t>
            </w:r>
            <w:r>
              <w:rPr>
                <w:rFonts w:hint="eastAsia" w:ascii="宋体" w:hAnsi="宋体" w:eastAsia="宋体" w:cs="宋体"/>
                <w:sz w:val="24"/>
                <w:szCs w:val="24"/>
              </w:rPr>
              <w:t>分；其他各投标供应商的报价得分按下列公式计算：（基准价/投标报价）×</w:t>
            </w:r>
            <w:r>
              <w:rPr>
                <w:rFonts w:hint="eastAsia" w:ascii="宋体" w:hAnsi="宋体" w:eastAsia="宋体" w:cs="宋体"/>
                <w:sz w:val="24"/>
                <w:szCs w:val="24"/>
                <w:lang w:val="en-US" w:eastAsia="zh-CN"/>
              </w:rPr>
              <w:t>10</w:t>
            </w:r>
            <w:r>
              <w:rPr>
                <w:rFonts w:hint="eastAsia" w:ascii="宋体" w:hAnsi="宋体" w:eastAsia="宋体" w:cs="宋体"/>
                <w:sz w:val="24"/>
                <w:szCs w:val="24"/>
              </w:rPr>
              <w:t>。</w:t>
            </w:r>
          </w:p>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rPr>
            </w:pPr>
            <w:r>
              <w:rPr>
                <w:rFonts w:hint="eastAsia" w:ascii="宋体" w:hAnsi="宋体" w:cs="宋体"/>
                <w:sz w:val="24"/>
              </w:rPr>
              <w:t>说明：对于非专门面向中小企业、监狱企业、福利企业的项目，对全部由小型和微型企业、监狱企业、福利企业提供服务的价格</w:t>
            </w:r>
            <w:r>
              <w:rPr>
                <w:rFonts w:hint="eastAsia" w:ascii="宋体" w:hAnsi="宋体" w:cs="宋体"/>
                <w:sz w:val="24"/>
                <w:highlight w:val="none"/>
              </w:rPr>
              <w:t>给予</w:t>
            </w:r>
            <w:r>
              <w:rPr>
                <w:rFonts w:hint="eastAsia" w:ascii="宋体" w:hAnsi="宋体" w:cs="宋体"/>
                <w:sz w:val="24"/>
                <w:highlight w:val="none"/>
                <w:lang w:val="en-US" w:eastAsia="zh-CN"/>
              </w:rPr>
              <w:t>10</w:t>
            </w:r>
            <w:r>
              <w:rPr>
                <w:rFonts w:hint="eastAsia" w:ascii="宋体" w:hAnsi="宋体" w:cs="宋体"/>
                <w:sz w:val="24"/>
                <w:highlight w:val="none"/>
              </w:rPr>
              <w:t>%的扣除，用扣</w:t>
            </w:r>
            <w:r>
              <w:rPr>
                <w:rFonts w:hint="eastAsia" w:ascii="宋体" w:hAnsi="宋体" w:cs="宋体"/>
                <w:sz w:val="24"/>
              </w:rPr>
              <w:t>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技术评审</w:t>
            </w:r>
          </w:p>
        </w:tc>
        <w:tc>
          <w:tcPr>
            <w:tcW w:w="63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35</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供应商具有针对本项目背景、需求的理解进行说明；总体服务方案及措施描述，方案详细可行、科学合理。</w:t>
            </w:r>
          </w:p>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有针对本项目特点、需求，分析内容完全符合项目建设，实施方案详细可行的计 (10-15]分；分析内容基本符合项目建设的实施方案一般的计(5-10]分，分析空洞、无实质方案内容，计[1-5]分。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82"/>
              </w:tabs>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针对本项目制定详细、完善的宣传片拍摄方案。包括拍摄方案、大纲内容、表现形式等内容符合项目的。要求主题明确、叙事清晰，剧情紧凑、情节过渡顺畅自然。完全符合的计(10-15]分，基本符合的计(5-10]分，方案内容偏离较大的计[1-5]分，未提供的不计分，最高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6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应急处理预案：</w:t>
            </w:r>
            <w:r>
              <w:rPr>
                <w:rFonts w:hint="eastAsia" w:ascii="宋体" w:hAnsi="宋体" w:cs="宋体"/>
                <w:sz w:val="24"/>
                <w:szCs w:val="24"/>
                <w:highlight w:val="none"/>
                <w:lang w:val="en-US" w:eastAsia="zh-CN"/>
              </w:rPr>
              <w:t>拍摄过程中</w:t>
            </w:r>
            <w:r>
              <w:rPr>
                <w:rFonts w:hint="eastAsia" w:ascii="宋体" w:hAnsi="宋体" w:eastAsia="宋体" w:cs="宋体"/>
                <w:sz w:val="24"/>
                <w:szCs w:val="24"/>
                <w:highlight w:val="none"/>
                <w:lang w:val="en-US" w:eastAsia="zh-CN"/>
              </w:rPr>
              <w:t>未达到预期效果的补救措施、实施过程中突发事件的解决和处理方案等，方案合理、措施明确、切实可行。</w:t>
            </w:r>
          </w:p>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理解服务内容，适合项目需要的得（0～5分）。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实施方案</w:t>
            </w:r>
          </w:p>
        </w:tc>
        <w:tc>
          <w:tcPr>
            <w:tcW w:w="63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1.供应商有合理的进度安排计划，有能够保障项目顺利进行的进度保障措施，按其响应程度计[1-5]分；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p>
        </w:tc>
        <w:tc>
          <w:tcPr>
            <w:tcW w:w="63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2.供应商有户外拍摄、工作人员的安全保障方案，按其响应程度计[1-5]分。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人员及设备配置</w:t>
            </w:r>
          </w:p>
        </w:tc>
        <w:tc>
          <w:tcPr>
            <w:tcW w:w="63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6256" w:type="dxa"/>
            <w:tcBorders>
              <w:top w:val="single" w:color="auto" w:sz="4" w:space="0"/>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人员投入：具备成熟的制作团队，包括导演、编导、摄像、后期包装以及灯光、录音、场务等，前期摄制组以及后期制作组的人员安排合理，分工明确，按其响应程度计[1-5]分，未提供不得分。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textAlignment w:val="auto"/>
              <w:rPr>
                <w:highlight w:val="none"/>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textAlignment w:val="auto"/>
              <w:rPr>
                <w:highlight w:val="none"/>
              </w:rPr>
            </w:pPr>
          </w:p>
        </w:tc>
        <w:tc>
          <w:tcPr>
            <w:tcW w:w="85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highlight w:val="no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投入：设备配置齐全，拟投入本项目的摄像机、录音设备、照相机、监视器、后期非线编辑设备以及其他自行配装高性能的辅助设备等，能够支持整个项目的完成实施，有详细的说明情况。按其响应程度计[1-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质量保证及合理化建议</w:t>
            </w:r>
          </w:p>
        </w:tc>
        <w:tc>
          <w:tcPr>
            <w:tcW w:w="637"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整点难点分析：针对本项目开展存在的重点、难点分析准确、充分，提出针对性强、科学合理的应对措施，计(5-10]分；对项目开展存在的重点、难点分析较薄弱、无实质性内容，计[0-5]分。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none"/>
                <w:lang w:val="en-US" w:eastAsia="zh-CN"/>
              </w:rPr>
            </w:pP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5</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应急处理预案：</w:t>
            </w:r>
            <w:r>
              <w:rPr>
                <w:rFonts w:hint="eastAsia" w:ascii="宋体" w:hAnsi="宋体" w:cs="宋体"/>
                <w:sz w:val="24"/>
                <w:szCs w:val="24"/>
                <w:highlight w:val="none"/>
                <w:lang w:val="en-US" w:eastAsia="zh-CN"/>
              </w:rPr>
              <w:t>后期服务</w:t>
            </w:r>
            <w:r>
              <w:rPr>
                <w:rFonts w:hint="eastAsia" w:ascii="宋体" w:hAnsi="宋体" w:eastAsia="宋体" w:cs="宋体"/>
                <w:sz w:val="24"/>
                <w:szCs w:val="24"/>
                <w:highlight w:val="none"/>
                <w:lang w:val="en-US" w:eastAsia="zh-CN"/>
              </w:rPr>
              <w:t>未达到预期效果的补救措施、实施过程中突发事件的解决和处理方案等，方案合理、措施明确、切实可行。</w:t>
            </w:r>
          </w:p>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理解服务内容，适合项目需要的得（0～5分）。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3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256" w:type="dxa"/>
            <w:tcBorders>
              <w:left w:val="single" w:color="auto" w:sz="4" w:space="0"/>
              <w:bottom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保证措施：针对本项目的管理与保障措施全面、可行，能够保障项目顺利实施，计(5-10]分；管理与保障措施较薄弱、无实质性内容，计[0-5]分。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464"/>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ab/>
            </w:r>
            <w:r>
              <w:rPr>
                <w:rFonts w:hint="eastAsia" w:ascii="宋体" w:hAnsi="宋体" w:cs="宋体"/>
                <w:sz w:val="24"/>
                <w:szCs w:val="24"/>
                <w:lang w:val="en-US" w:eastAsia="zh-CN"/>
              </w:rPr>
              <w:t>服务承诺</w:t>
            </w:r>
          </w:p>
        </w:tc>
        <w:tc>
          <w:tcPr>
            <w:tcW w:w="6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85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256" w:type="dxa"/>
            <w:tcBorders>
              <w:top w:val="single" w:color="auto" w:sz="4" w:space="0"/>
              <w:left w:val="single" w:color="auto" w:sz="4" w:space="0"/>
              <w:right w:val="single" w:color="auto" w:sz="4" w:space="0"/>
            </w:tcBorders>
            <w:vAlign w:val="center"/>
          </w:tcPr>
          <w:p>
            <w:pPr>
              <w:keepNext w:val="0"/>
              <w:keepLines w:val="0"/>
              <w:pageBreakBefore w:val="0"/>
              <w:widowControl w:val="0"/>
              <w:tabs>
                <w:tab w:val="left" w:pos="547"/>
              </w:tabs>
              <w:kinsoku/>
              <w:wordWrap/>
              <w:overflowPunct/>
              <w:topLinePunct w:val="0"/>
              <w:autoSpaceDE/>
              <w:autoSpaceDN/>
              <w:bidi w:val="0"/>
              <w:adjustRightInd/>
              <w:snapToGrid/>
              <w:spacing w:line="360" w:lineRule="auto"/>
              <w:ind w:left="-84" w:leftChars="-4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服务承诺：完全承诺竞争性磋商文件及合同条款的要求，对服务期限内服务质量、人员到位情况、后期服务的响应时间及配合程度等做出实质性承诺。按其响应程度得得0-5分。须承诺作品为原创作品，不得抄袭，如作品中含有的非原创性的内容，包括画面、音乐、文本等元素，必须确保无知识产权纠纷。如有任何侵权行为均由供应商承担相应责任和赔偿。按其响应程度得（0～5分]。</w:t>
            </w:r>
          </w:p>
        </w:tc>
      </w:tr>
    </w:tbl>
    <w:p>
      <w:pPr>
        <w:pStyle w:val="6"/>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25 </w:t>
      </w:r>
      <w:r>
        <w:rPr>
          <w:rFonts w:hint="eastAsia" w:ascii="宋体" w:hAnsi="宋体" w:eastAsia="宋体" w:cs="宋体"/>
          <w:color w:val="auto"/>
          <w:sz w:val="24"/>
          <w:szCs w:val="24"/>
          <w:highlight w:val="none"/>
          <w:lang w:val="zh-CN"/>
        </w:rPr>
        <w:t>需要落实的政府采购政策</w:t>
      </w:r>
      <w:bookmarkEnd w:id="106"/>
    </w:p>
    <w:p>
      <w:pPr>
        <w:spacing w:line="360" w:lineRule="auto"/>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25.1磋商响应文件经审查合格的</w:t>
      </w:r>
      <w:r>
        <w:rPr>
          <w:rFonts w:hint="eastAsia" w:ascii="宋体" w:hAnsi="宋体" w:eastAsia="宋体" w:cs="宋体"/>
          <w:color w:val="auto"/>
          <w:sz w:val="24"/>
          <w:szCs w:val="24"/>
          <w:highlight w:val="none"/>
        </w:rPr>
        <w:t>，为有效投标。</w:t>
      </w:r>
      <w:r>
        <w:rPr>
          <w:rFonts w:hint="eastAsia" w:ascii="宋体" w:hAnsi="宋体" w:eastAsia="宋体" w:cs="宋体"/>
          <w:color w:val="auto"/>
          <w:spacing w:val="4"/>
          <w:sz w:val="24"/>
          <w:highlight w:val="none"/>
        </w:rPr>
        <w:t>对于符合政策性优惠的，其评标价按照以下规则进行计算调整，以下规则不累计享受。</w:t>
      </w:r>
    </w:p>
    <w:p>
      <w:pPr>
        <w:spacing w:line="360" w:lineRule="auto"/>
        <w:ind w:left="1267" w:leftChars="249" w:hanging="744" w:hangingChars="3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25.1.1供应商为小型和微型企业、监狱企业、</w:t>
      </w:r>
      <w:r>
        <w:rPr>
          <w:rFonts w:hint="eastAsia" w:ascii="宋体" w:hAnsi="宋体" w:eastAsia="宋体" w:cs="宋体"/>
          <w:color w:val="auto"/>
          <w:sz w:val="24"/>
          <w:highlight w:val="none"/>
        </w:rPr>
        <w:t>残疾人福利性单位</w:t>
      </w:r>
      <w:r>
        <w:rPr>
          <w:rFonts w:hint="eastAsia" w:ascii="宋体" w:hAnsi="宋体" w:eastAsia="宋体" w:cs="宋体"/>
          <w:color w:val="auto"/>
          <w:spacing w:val="4"/>
          <w:sz w:val="24"/>
          <w:highlight w:val="none"/>
        </w:rPr>
        <w:t>的评标价计算规则：</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25.1.1.1供应商为非联合体投标的情况：其评标价=磋商报价*（1-</w:t>
      </w:r>
      <w:r>
        <w:rPr>
          <w:rFonts w:hint="eastAsia" w:ascii="宋体" w:hAnsi="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25.1.1.2供应商为小微企业联合体的情况：</w:t>
      </w:r>
      <w:r>
        <w:rPr>
          <w:rFonts w:hint="eastAsia" w:ascii="宋体" w:hAnsi="宋体" w:eastAsia="宋体" w:cs="宋体"/>
          <w:color w:val="auto"/>
          <w:spacing w:val="4"/>
          <w:sz w:val="24"/>
          <w:szCs w:val="22"/>
          <w:highlight w:val="none"/>
        </w:rPr>
        <w:t>其评标价=磋商报价*（1-</w:t>
      </w:r>
      <w:r>
        <w:rPr>
          <w:rFonts w:hint="eastAsia" w:ascii="宋体" w:hAnsi="宋体" w:cs="宋体"/>
          <w:color w:val="auto"/>
          <w:spacing w:val="4"/>
          <w:sz w:val="24"/>
          <w:szCs w:val="22"/>
          <w:highlight w:val="none"/>
          <w:lang w:val="en-US" w:eastAsia="zh-CN"/>
        </w:rPr>
        <w:t>10</w:t>
      </w:r>
      <w:r>
        <w:rPr>
          <w:rFonts w:hint="eastAsia" w:ascii="宋体" w:hAnsi="宋体" w:eastAsia="宋体" w:cs="宋体"/>
          <w:color w:val="auto"/>
          <w:spacing w:val="4"/>
          <w:sz w:val="24"/>
          <w:szCs w:val="22"/>
          <w:highlight w:val="none"/>
        </w:rPr>
        <w:t>%）；</w:t>
      </w:r>
    </w:p>
    <w:p>
      <w:pPr>
        <w:spacing w:line="360" w:lineRule="auto"/>
        <w:ind w:left="1391" w:leftChars="249" w:hanging="868" w:hanging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25.1.1.3供应商为联合体投标且联合协议中约定监狱企业、</w:t>
      </w:r>
      <w:r>
        <w:rPr>
          <w:rFonts w:hint="eastAsia" w:ascii="宋体" w:hAnsi="宋体" w:eastAsia="宋体" w:cs="宋体"/>
          <w:color w:val="auto"/>
          <w:sz w:val="24"/>
          <w:highlight w:val="none"/>
        </w:rPr>
        <w:t>残疾人福利性单位</w:t>
      </w:r>
      <w:r>
        <w:rPr>
          <w:rFonts w:hint="eastAsia" w:ascii="宋体" w:hAnsi="宋体" w:eastAsia="宋体" w:cs="宋体"/>
          <w:color w:val="auto"/>
          <w:spacing w:val="4"/>
          <w:sz w:val="24"/>
          <w:highlight w:val="none"/>
        </w:rPr>
        <w:t>的协议合同金额占到联合体协议合同总金额30％以上的情况：</w:t>
      </w:r>
    </w:p>
    <w:p>
      <w:pPr>
        <w:spacing w:line="360" w:lineRule="auto"/>
        <w:ind w:left="523" w:leftChars="249" w:firstLine="868" w:firstLineChars="3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其评标价=磋商报价*（1-</w:t>
      </w:r>
      <w:r>
        <w:rPr>
          <w:rFonts w:hint="eastAsia" w:ascii="宋体" w:hAnsi="宋体" w:cs="宋体"/>
          <w:color w:val="auto"/>
          <w:spacing w:val="4"/>
          <w:sz w:val="24"/>
          <w:highlight w:val="none"/>
          <w:lang w:val="en-US" w:eastAsia="zh-CN"/>
        </w:rPr>
        <w:t>4</w:t>
      </w:r>
      <w:r>
        <w:rPr>
          <w:rFonts w:hint="eastAsia" w:ascii="宋体" w:hAnsi="宋体" w:eastAsia="宋体" w:cs="宋体"/>
          <w:color w:val="auto"/>
          <w:spacing w:val="4"/>
          <w:sz w:val="24"/>
          <w:highlight w:val="none"/>
        </w:rPr>
        <w:t>%）；</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25.1.1.4投标服务涉及提供的所有投标产品进入 “节能产品政府采购清单” （且产品的国家节能产品认证证书在有效期内）的，其评标价=磋商报价*（1-3%）；（不是所有投标产品的不享受此项优惠）</w:t>
      </w:r>
    </w:p>
    <w:p>
      <w:pPr>
        <w:spacing w:line="360" w:lineRule="auto"/>
        <w:ind w:left="1391" w:leftChars="249" w:hanging="868" w:hangingChars="35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szCs w:val="22"/>
          <w:highlight w:val="none"/>
        </w:rPr>
        <w:t xml:space="preserve">25.1.1.5投标服务涉及提供的所有投标产品进入“环境标志产品政府采购清单”（且产品的中国环境标志产品认证证书在有效期内）的，其评标价=磋商报价*（1-3%）；（不是所有投标产品的不享受此项优惠）    </w:t>
      </w:r>
    </w:p>
    <w:p>
      <w:pPr>
        <w:spacing w:line="360" w:lineRule="auto"/>
        <w:ind w:firstLine="495"/>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25.2确认为小微企业（含小型、微型企业，下同）投标的，应当同时符合以下条件：</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25.2.1符合国务院有关部门根据企业从业人员、营业收入、资产总额等指标制定的中小企业划型标准《</w:t>
      </w:r>
      <w:r>
        <w:rPr>
          <w:rFonts w:hint="eastAsia" w:ascii="宋体" w:hAnsi="宋体" w:eastAsia="宋体" w:cs="宋体"/>
          <w:color w:val="auto"/>
          <w:kern w:val="0"/>
          <w:sz w:val="24"/>
          <w:highlight w:val="none"/>
        </w:rPr>
        <w:t>工业和信息化部、国家统计局、国家发展和改革委员会、财政部关于印发中小企业划型标准规定的通知》</w:t>
      </w:r>
      <w:r>
        <w:rPr>
          <w:rFonts w:hint="eastAsia" w:ascii="宋体" w:hAnsi="宋体" w:eastAsia="宋体" w:cs="宋体"/>
          <w:color w:val="auto"/>
          <w:spacing w:val="4"/>
          <w:sz w:val="24"/>
          <w:highlight w:val="none"/>
        </w:rPr>
        <w:t>（工信部联企业〔2011〕300号）；</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25.2.2符合财政部关于印发《政府采购促进中小企业发展管理办法》的通知（财库【2020】46号）；</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25.2.2.1在货物采购项目中，货物由中小企业制造，即货物由中小企业生产且使用该中小企业商号或者注册商标；</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25.2.2.2在工程采购项目中，工程由中小企业承接，即工程施工单位为中小企业；</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25.2.2.3在服务采购项目中，服务由中小企业承接，即提供服务的人员为中小企业依照《中华人民共和国劳动合同法》订立劳动合同的从业人员。</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25.2.3在货物采购项目中，供应商提供的货物既有中小企业制造货物，也有大型企业制造货物的，不享受本项目列明的中小企业扶持政策。</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25.2.4以联合体形式参加政府采购活动，联合体各方均为中小企业的，联合体视同中小企业。其中联合体各方均为小微企业的，联合体视同小微企业。</w:t>
      </w:r>
    </w:p>
    <w:p>
      <w:pPr>
        <w:spacing w:line="360" w:lineRule="auto"/>
        <w:ind w:left="1143" w:leftChars="249" w:hanging="620" w:hangingChars="25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25.2.5投标时须</w:t>
      </w:r>
      <w:r>
        <w:rPr>
          <w:rFonts w:hint="eastAsia" w:ascii="宋体" w:hAnsi="宋体" w:eastAsia="宋体" w:cs="宋体"/>
          <w:color w:val="auto"/>
          <w:sz w:val="24"/>
          <w:highlight w:val="none"/>
        </w:rPr>
        <w:t>提供“中小企业声明函”（中标单位如为小微企业并填写声明函，代理机构将在《陕西省政府采购网》发布成交公告时同步公告声明函相关信息）。</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25.3确认为监狱企业投标的，应当同时符合以下条件：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25.3.1符合《财政部、司法部关于政府采购支持监狱企业发展有关问题的通知》</w:t>
      </w:r>
      <w:r>
        <w:rPr>
          <w:rFonts w:hint="eastAsia" w:ascii="宋体" w:hAnsi="宋体" w:eastAsia="宋体" w:cs="宋体"/>
          <w:color w:val="auto"/>
          <w:sz w:val="24"/>
          <w:highlight w:val="none"/>
        </w:rPr>
        <w:t>（财库[2014]68号）文件规定的</w:t>
      </w:r>
      <w:r>
        <w:rPr>
          <w:rFonts w:hint="eastAsia" w:ascii="宋体" w:hAnsi="宋体" w:eastAsia="宋体" w:cs="宋体"/>
          <w:color w:val="auto"/>
          <w:spacing w:val="4"/>
          <w:sz w:val="24"/>
          <w:highlight w:val="none"/>
        </w:rPr>
        <w:t>监狱企业，提供本企业的服务。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25.3.2投标时须提供由省级以上监狱管理局、戒毒管理局（含新疆生产建设兵团）出具的属于监狱企业的证明文件。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25.4.确认为残疾人福利性单位投标的，应当同时符合以下条件：</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25.4.1符合《财政部、民政部、中国残疾人联合会关于促进残疾人就业政府采购政策的通知》（财库[2017]141号）文件规定的残疾人福利性单位，提供本单位的服务（以下简称产品），或者提供其他残疾人福利性单位承担的服务（不包括使用非残疾人福利性单位注册商标的服务）.</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25.4.2投标时须提供《残疾人福利性单位声明函》，并对声明的真实性负责。</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25.4.3供应商提供的《残疾人福利性单位声明函》与事实不符的，依照《政府采购法》第七十七条第一款的规定追究法律责任。</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25.5符合</w:t>
      </w:r>
      <w:r>
        <w:rPr>
          <w:rFonts w:hint="eastAsia" w:ascii="宋体" w:hAnsi="宋体" w:eastAsia="宋体" w:cs="宋体"/>
          <w:color w:val="auto"/>
          <w:sz w:val="24"/>
          <w:szCs w:val="24"/>
          <w:highlight w:val="none"/>
          <w:shd w:val="clear" w:color="auto" w:fill="FFFFFF"/>
        </w:rPr>
        <w:t>《关于运用政府采购政策支持乡村产业振兴的通知》（财库〔2021〕19号）</w:t>
      </w:r>
      <w:r>
        <w:rPr>
          <w:rFonts w:hint="eastAsia" w:ascii="宋体" w:hAnsi="宋体" w:eastAsia="宋体" w:cs="宋体"/>
          <w:color w:val="auto"/>
          <w:spacing w:val="4"/>
          <w:sz w:val="24"/>
          <w:highlight w:val="none"/>
        </w:rPr>
        <w:t>文件规定的投标产品或供应商：</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25.5.1投标产品为贫困地区农副产品的评标价计算规则：其评标价=磋商报价*（1-5%）；</w:t>
      </w:r>
    </w:p>
    <w:p>
      <w:pPr>
        <w:spacing w:line="360" w:lineRule="auto"/>
        <w:ind w:left="1019" w:leftChars="249" w:hanging="496" w:hanging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30.5.1.1贫困地区农副产品是指832个国家级贫困县域内注册的企业、农民专业合作社、家庭农场等出产的农副产品。</w:t>
      </w:r>
    </w:p>
    <w:p>
      <w:pPr>
        <w:spacing w:line="360" w:lineRule="auto"/>
        <w:ind w:left="1019" w:leftChars="249" w:hanging="496" w:hangingChars="200"/>
        <w:rPr>
          <w:rFonts w:hint="eastAsia" w:ascii="宋体" w:hAnsi="宋体" w:eastAsia="宋体" w:cs="宋体"/>
          <w:color w:val="auto"/>
          <w:spacing w:val="4"/>
          <w:sz w:val="24"/>
          <w:szCs w:val="22"/>
          <w:highlight w:val="none"/>
        </w:rPr>
      </w:pPr>
      <w:r>
        <w:rPr>
          <w:rFonts w:hint="eastAsia" w:ascii="宋体" w:hAnsi="宋体" w:eastAsia="宋体" w:cs="宋体"/>
          <w:color w:val="auto"/>
          <w:spacing w:val="4"/>
          <w:sz w:val="24"/>
          <w:highlight w:val="none"/>
        </w:rPr>
        <w:t>25.</w:t>
      </w:r>
      <w:r>
        <w:rPr>
          <w:rFonts w:hint="eastAsia" w:ascii="宋体" w:hAnsi="宋体" w:eastAsia="宋体" w:cs="宋体"/>
          <w:color w:val="auto"/>
          <w:spacing w:val="4"/>
          <w:sz w:val="24"/>
          <w:highlight w:val="none"/>
          <w:shd w:val="clear" w:color="auto" w:fill="FFFFFF"/>
        </w:rPr>
        <w:t>5.2供应商</w:t>
      </w:r>
      <w:r>
        <w:rPr>
          <w:rFonts w:hint="eastAsia" w:ascii="宋体" w:hAnsi="宋体" w:eastAsia="宋体" w:cs="宋体"/>
          <w:color w:val="auto"/>
          <w:spacing w:val="4"/>
          <w:sz w:val="24"/>
          <w:szCs w:val="22"/>
          <w:highlight w:val="none"/>
        </w:rPr>
        <w:t>为物业公司提供物业服务的评标价计算规则：其评标价=磋商报价*（1-5%）；</w:t>
      </w:r>
    </w:p>
    <w:p>
      <w:pPr>
        <w:spacing w:line="360" w:lineRule="auto"/>
        <w:ind w:left="1019" w:leftChars="249" w:hanging="496" w:hanging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highlight w:val="none"/>
        </w:rPr>
        <w:t>25.</w:t>
      </w:r>
      <w:r>
        <w:rPr>
          <w:rFonts w:hint="eastAsia" w:ascii="宋体" w:hAnsi="宋体" w:eastAsia="宋体" w:cs="宋体"/>
          <w:color w:val="auto"/>
          <w:spacing w:val="4"/>
          <w:sz w:val="24"/>
          <w:szCs w:val="22"/>
          <w:highlight w:val="none"/>
        </w:rPr>
        <w:t>5.2.1采购物业服务的，有条件的应当优先采购注册地在832个国家级贫困县域内，且聘用建档立卡贫困人员物业公司提供的物业服务。对注册地在832个国家级贫困县域内，且聘用建档立卡贫困人员达到公司员工（含服务外包用工）30%</w:t>
      </w:r>
      <w:r>
        <w:rPr>
          <w:rFonts w:hint="eastAsia" w:ascii="宋体" w:hAnsi="宋体" w:eastAsia="宋体" w:cs="宋体"/>
          <w:color w:val="auto"/>
          <w:spacing w:val="4"/>
          <w:sz w:val="24"/>
          <w:highlight w:val="none"/>
        </w:rPr>
        <w:t>以上的物业公司提供的物业服务。</w:t>
      </w:r>
    </w:p>
    <w:p>
      <w:pPr>
        <w:pStyle w:val="5"/>
        <w:ind w:firstLine="480"/>
        <w:rPr>
          <w:rFonts w:hint="eastAsia" w:ascii="宋体" w:hAnsi="宋体" w:eastAsia="宋体" w:cs="宋体"/>
          <w:b w:val="0"/>
          <w:color w:val="auto"/>
          <w:sz w:val="24"/>
          <w:szCs w:val="24"/>
          <w:highlight w:val="none"/>
        </w:rPr>
      </w:pPr>
      <w:bookmarkStart w:id="107" w:name="_Toc6277"/>
      <w:r>
        <w:rPr>
          <w:rFonts w:hint="eastAsia" w:ascii="宋体" w:hAnsi="宋体" w:eastAsia="宋体" w:cs="宋体"/>
          <w:color w:val="auto"/>
          <w:sz w:val="24"/>
          <w:szCs w:val="24"/>
          <w:highlight w:val="none"/>
        </w:rPr>
        <w:t xml:space="preserve">（六） </w:t>
      </w:r>
      <w:bookmarkStart w:id="108" w:name="_Hlt497547134"/>
      <w:bookmarkEnd w:id="108"/>
      <w:r>
        <w:rPr>
          <w:rFonts w:hint="eastAsia" w:ascii="宋体" w:hAnsi="宋体" w:eastAsia="宋体" w:cs="宋体"/>
          <w:color w:val="auto"/>
          <w:sz w:val="24"/>
          <w:szCs w:val="24"/>
          <w:highlight w:val="none"/>
        </w:rPr>
        <w:t>授予合同</w:t>
      </w:r>
      <w:bookmarkEnd w:id="82"/>
      <w:bookmarkEnd w:id="83"/>
      <w:bookmarkEnd w:id="84"/>
      <w:bookmarkEnd w:id="85"/>
      <w:bookmarkEnd w:id="86"/>
      <w:bookmarkEnd w:id="87"/>
      <w:bookmarkEnd w:id="88"/>
      <w:bookmarkEnd w:id="89"/>
      <w:bookmarkEnd w:id="104"/>
      <w:bookmarkEnd w:id="105"/>
      <w:bookmarkEnd w:id="107"/>
    </w:p>
    <w:p>
      <w:pPr>
        <w:pStyle w:val="6"/>
        <w:rPr>
          <w:rFonts w:hint="eastAsia" w:ascii="宋体" w:hAnsi="宋体" w:eastAsia="宋体" w:cs="宋体"/>
          <w:color w:val="auto"/>
          <w:sz w:val="24"/>
          <w:szCs w:val="24"/>
          <w:highlight w:val="none"/>
        </w:rPr>
      </w:pPr>
      <w:bookmarkStart w:id="109" w:name="_Toc389620200"/>
      <w:bookmarkStart w:id="110" w:name="_Toc15472"/>
      <w:bookmarkStart w:id="111" w:name="_Toc385992361"/>
      <w:bookmarkStart w:id="112" w:name="_Toc246928926"/>
      <w:r>
        <w:rPr>
          <w:rFonts w:hint="eastAsia" w:ascii="宋体" w:hAnsi="宋体" w:eastAsia="宋体" w:cs="宋体"/>
          <w:color w:val="auto"/>
          <w:sz w:val="24"/>
          <w:szCs w:val="24"/>
          <w:highlight w:val="none"/>
        </w:rPr>
        <w:t>26 成交准则</w:t>
      </w:r>
      <w:bookmarkEnd w:id="109"/>
      <w:bookmarkEnd w:id="110"/>
      <w:bookmarkEnd w:id="111"/>
      <w:bookmarkEnd w:id="112"/>
    </w:p>
    <w:p>
      <w:pPr>
        <w:spacing w:before="12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26.1合同将授予项目报价符合磋商文件要求、并能圆满地履行合同的、对采购人最为有利的供应商。</w:t>
      </w:r>
    </w:p>
    <w:p>
      <w:pPr>
        <w:spacing w:line="360" w:lineRule="auto"/>
        <w:rPr>
          <w:rFonts w:hint="eastAsia" w:ascii="宋体" w:hAnsi="宋体" w:eastAsia="宋体" w:cs="宋体"/>
          <w:color w:val="auto"/>
          <w:sz w:val="24"/>
          <w:highlight w:val="none"/>
        </w:rPr>
      </w:pPr>
      <w:bookmarkStart w:id="113" w:name="_Toc385992362"/>
      <w:bookmarkStart w:id="114" w:name="_Toc389620201"/>
      <w:r>
        <w:rPr>
          <w:rFonts w:hint="eastAsia" w:ascii="宋体" w:hAnsi="宋体" w:eastAsia="宋体" w:cs="宋体"/>
          <w:color w:val="auto"/>
          <w:sz w:val="24"/>
          <w:highlight w:val="none"/>
        </w:rPr>
        <w:t>26.2 磋商小组将根据评审方法推荐成交候选供应商名单。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 采购代理机构在评审结束后将评审报告送采购人，采购人在收到评审报告后按照评审报告中推荐的成交候选供应商顺序确定成交供应商。</w:t>
      </w:r>
    </w:p>
    <w:p>
      <w:pPr>
        <w:spacing w:line="360" w:lineRule="auto"/>
        <w:rPr>
          <w:rFonts w:hint="eastAsia" w:ascii="宋体" w:hAnsi="宋体" w:eastAsia="宋体" w:cs="宋体"/>
          <w:color w:val="auto"/>
          <w:sz w:val="24"/>
          <w:highlight w:val="none"/>
          <w:shd w:val="pct10" w:color="auto" w:fill="FFFFFF"/>
        </w:rPr>
      </w:pPr>
      <w:r>
        <w:rPr>
          <w:rFonts w:hint="eastAsia" w:ascii="宋体" w:hAnsi="宋体" w:eastAsia="宋体" w:cs="宋体"/>
          <w:color w:val="auto"/>
          <w:sz w:val="24"/>
          <w:highlight w:val="none"/>
        </w:rPr>
        <w:t>26.4 成交供应商因不可抗力或自身原因不能履行政府采购合同的，采购人可以再排位在成交供应商之后的第一位的成交候选供应商签订政府采购合同，以此类推。</w:t>
      </w:r>
    </w:p>
    <w:bookmarkEnd w:id="113"/>
    <w:bookmarkEnd w:id="114"/>
    <w:p>
      <w:pPr>
        <w:pStyle w:val="6"/>
        <w:rPr>
          <w:rFonts w:hint="eastAsia" w:ascii="宋体" w:hAnsi="宋体" w:eastAsia="宋体" w:cs="宋体"/>
          <w:color w:val="auto"/>
          <w:sz w:val="24"/>
          <w:szCs w:val="24"/>
          <w:highlight w:val="none"/>
        </w:rPr>
      </w:pPr>
      <w:bookmarkStart w:id="115" w:name="_Toc389620203"/>
      <w:bookmarkStart w:id="116" w:name="_Toc385992364"/>
      <w:bookmarkStart w:id="117" w:name="_Toc246928927"/>
      <w:bookmarkStart w:id="118" w:name="_Toc25642"/>
      <w:r>
        <w:rPr>
          <w:rFonts w:hint="eastAsia" w:ascii="宋体" w:hAnsi="宋体" w:eastAsia="宋体" w:cs="宋体"/>
          <w:color w:val="auto"/>
          <w:sz w:val="24"/>
          <w:szCs w:val="24"/>
          <w:highlight w:val="none"/>
        </w:rPr>
        <w:t xml:space="preserve">27 </w:t>
      </w:r>
      <w:bookmarkEnd w:id="115"/>
      <w:bookmarkEnd w:id="116"/>
      <w:r>
        <w:rPr>
          <w:rFonts w:hint="eastAsia" w:ascii="宋体" w:hAnsi="宋体" w:eastAsia="宋体" w:cs="宋体"/>
          <w:color w:val="auto"/>
          <w:sz w:val="24"/>
          <w:szCs w:val="24"/>
          <w:highlight w:val="none"/>
        </w:rPr>
        <w:t>成交通知</w:t>
      </w:r>
      <w:bookmarkEnd w:id="117"/>
      <w:r>
        <w:rPr>
          <w:rFonts w:hint="eastAsia" w:ascii="宋体" w:hAnsi="宋体" w:eastAsia="宋体" w:cs="宋体"/>
          <w:color w:val="auto"/>
          <w:sz w:val="24"/>
          <w:szCs w:val="24"/>
          <w:highlight w:val="none"/>
        </w:rPr>
        <w:t>书</w:t>
      </w:r>
      <w:bookmarkEnd w:id="118"/>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 在磋商有效期内，确定成交供应商后，成交结果在财政部门指定的政府采购信息发布媒体上公告。</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27.2 采购代理机构向成交供应商发出成交通知书，对于其他供应商，将在保证金有效期内无息退还其磋商保证金。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27.3 成交通知书将作为签订合同的依据。</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27.4 对未成交者，采购人不做出解释，同时亦不退还磋商响应文件。</w:t>
      </w:r>
    </w:p>
    <w:p>
      <w:pPr>
        <w:pStyle w:val="6"/>
        <w:rPr>
          <w:rFonts w:hint="eastAsia" w:ascii="宋体" w:hAnsi="宋体" w:eastAsia="宋体" w:cs="宋体"/>
          <w:color w:val="auto"/>
          <w:sz w:val="24"/>
          <w:szCs w:val="24"/>
          <w:highlight w:val="none"/>
        </w:rPr>
      </w:pPr>
      <w:bookmarkStart w:id="119" w:name="_Toc4188"/>
      <w:bookmarkStart w:id="120" w:name="_Toc389620205"/>
      <w:bookmarkStart w:id="121" w:name="_Toc246928928"/>
      <w:bookmarkStart w:id="122" w:name="_Toc385992366"/>
      <w:r>
        <w:rPr>
          <w:rFonts w:hint="eastAsia" w:ascii="宋体" w:hAnsi="宋体" w:eastAsia="宋体" w:cs="宋体"/>
          <w:color w:val="auto"/>
          <w:sz w:val="24"/>
          <w:szCs w:val="24"/>
          <w:highlight w:val="none"/>
        </w:rPr>
        <w:t>28 签订合同</w:t>
      </w:r>
      <w:bookmarkEnd w:id="119"/>
      <w:bookmarkEnd w:id="120"/>
      <w:bookmarkEnd w:id="121"/>
      <w:bookmarkEnd w:id="122"/>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28.1成交供应商应当自成交通知书发出之日起30日内，按照磋商文件确定的事项与采购人签订政府采购合同。</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磋商文件、成交供应商的磋商响应文件和补充文件（如澄清、承诺等）等，均为签订合同的依据。所签订的合同不得对磋商文件和成交供应商磋商响应文件作实质性修改。</w:t>
      </w:r>
      <w:bookmarkStart w:id="123" w:name="_Toc389620207"/>
      <w:bookmarkStart w:id="124" w:name="_Toc385992368"/>
    </w:p>
    <w:p>
      <w:pPr>
        <w:pStyle w:val="6"/>
        <w:rPr>
          <w:rFonts w:hint="eastAsia" w:ascii="宋体" w:hAnsi="宋体" w:eastAsia="宋体" w:cs="宋体"/>
          <w:color w:val="auto"/>
          <w:sz w:val="24"/>
          <w:szCs w:val="24"/>
          <w:highlight w:val="none"/>
        </w:rPr>
      </w:pPr>
      <w:bookmarkStart w:id="125" w:name="_Toc25305"/>
      <w:bookmarkStart w:id="126" w:name="_Toc246928929"/>
      <w:r>
        <w:rPr>
          <w:rFonts w:hint="eastAsia" w:ascii="宋体" w:hAnsi="宋体" w:eastAsia="宋体" w:cs="宋体"/>
          <w:color w:val="auto"/>
          <w:sz w:val="24"/>
          <w:szCs w:val="24"/>
          <w:highlight w:val="none"/>
        </w:rPr>
        <w:t>29 招标代理服务费</w:t>
      </w:r>
      <w:bookmarkEnd w:id="123"/>
      <w:bookmarkEnd w:id="124"/>
      <w:bookmarkEnd w:id="125"/>
      <w:bookmarkEnd w:id="126"/>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29.1</w:t>
      </w:r>
      <w:r>
        <w:rPr>
          <w:rFonts w:hint="eastAsia" w:ascii="宋体" w:hAnsi="宋体" w:eastAsia="宋体" w:cs="宋体"/>
          <w:color w:val="auto"/>
          <w:sz w:val="24"/>
          <w:highlight w:val="none"/>
        </w:rPr>
        <w:t>代理服务费按约定详见磋商须知前附表。</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29.2 招标代理服务费的交纳方式：在领取成交通知书时按29.1的规定，向采购代理机构直接交纳服务费，采用现金或银行转账方式一次性交纳。</w:t>
      </w:r>
    </w:p>
    <w:p>
      <w:pPr>
        <w:pStyle w:val="6"/>
        <w:jc w:val="left"/>
        <w:rPr>
          <w:rFonts w:hint="eastAsia" w:ascii="宋体" w:hAnsi="宋体" w:eastAsia="宋体" w:cs="宋体"/>
          <w:color w:val="auto"/>
          <w:sz w:val="24"/>
          <w:szCs w:val="24"/>
          <w:highlight w:val="none"/>
        </w:rPr>
      </w:pPr>
      <w:bookmarkStart w:id="127" w:name="_Toc25238"/>
      <w:r>
        <w:rPr>
          <w:rFonts w:hint="eastAsia" w:ascii="宋体" w:hAnsi="宋体" w:eastAsia="宋体" w:cs="宋体"/>
          <w:color w:val="auto"/>
          <w:sz w:val="24"/>
          <w:szCs w:val="24"/>
          <w:highlight w:val="none"/>
        </w:rPr>
        <w:t>30 其他</w:t>
      </w:r>
      <w:bookmarkEnd w:id="127"/>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30</w:t>
      </w:r>
      <w:r>
        <w:rPr>
          <w:rFonts w:hint="eastAsia" w:ascii="宋体" w:hAnsi="宋体" w:eastAsia="宋体" w:cs="宋体"/>
          <w:color w:val="auto"/>
          <w:sz w:val="24"/>
          <w:highlight w:val="none"/>
        </w:rPr>
        <w:t>.1开标后，如果供应商的报价超过了采购预算，采购人不能支付的，应予无效投标处理。如果供应商的报价均超过了采购预算，采购人不能支付的，根据《中华人民共和国政府采购法》的规定，应予废标。废标后，报告同级人民政府财政部门同意，重新组织招标或采用其他方式继续采购。</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30</w:t>
      </w:r>
      <w:r>
        <w:rPr>
          <w:rFonts w:hint="eastAsia" w:ascii="宋体" w:hAnsi="宋体" w:eastAsia="宋体" w:cs="宋体"/>
          <w:color w:val="auto"/>
          <w:sz w:val="24"/>
          <w:highlight w:val="none"/>
        </w:rPr>
        <w:t>.2响应文件递交截止时间结束后，参加投标的供应商不足三家，或在评标期间，出现符合专业条件的供应商或者对竞争性磋商文件做出实质性响应的供应商不足三家情形的，</w:t>
      </w:r>
      <w:r>
        <w:rPr>
          <w:rFonts w:hint="eastAsia" w:ascii="宋体" w:hAnsi="宋体" w:eastAsia="宋体" w:cs="宋体"/>
          <w:color w:val="auto"/>
          <w:sz w:val="24"/>
          <w:szCs w:val="24"/>
          <w:highlight w:val="none"/>
        </w:rPr>
        <w:t>按照中华人民共和国财政部第87号令--《政府采购货物和服务招标投标管理办法》</w:t>
      </w:r>
      <w:r>
        <w:rPr>
          <w:rFonts w:hint="eastAsia" w:ascii="宋体" w:hAnsi="宋体" w:eastAsia="宋体" w:cs="宋体"/>
          <w:color w:val="auto"/>
          <w:sz w:val="24"/>
          <w:highlight w:val="none"/>
        </w:rPr>
        <w:t>的规定，报告设区的市、自治州以上人民政府财政部门，由财政部门按照相关原则，做出重新组织招标或采取其他方式继续采购的决定。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本次项目的验收费用由成交供应商承担。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本采购文件的解释权归采购人及采购代理机构所有。</w:t>
      </w:r>
    </w:p>
    <w:p>
      <w:pPr>
        <w:rPr>
          <w:rFonts w:hint="eastAsia" w:ascii="宋体" w:hAnsi="宋体" w:eastAsia="宋体" w:cs="宋体"/>
          <w:b/>
          <w:color w:val="auto"/>
          <w:sz w:val="24"/>
          <w:highlight w:val="none"/>
        </w:rPr>
      </w:pPr>
    </w:p>
    <w:p>
      <w:pPr>
        <w:pStyle w:val="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信用融资</w:t>
      </w:r>
    </w:p>
    <w:p>
      <w:pPr>
        <w:spacing w:line="360" w:lineRule="auto"/>
        <w:ind w:firstLine="496" w:firstLineChars="200"/>
        <w:jc w:val="left"/>
        <w:rPr>
          <w:rFonts w:hint="eastAsia" w:ascii="宋体" w:hAnsi="宋体" w:eastAsia="宋体" w:cs="宋体"/>
          <w:color w:val="auto"/>
          <w:spacing w:val="4"/>
          <w:sz w:val="24"/>
          <w:highlight w:val="none"/>
        </w:rPr>
      </w:pPr>
      <w:bookmarkStart w:id="128" w:name="_Toc519085741"/>
      <w:bookmarkStart w:id="129" w:name="_Toc30360"/>
      <w:bookmarkStart w:id="130" w:name="_Toc519091208"/>
      <w:bookmarkStart w:id="131" w:name="_Toc18307"/>
      <w:bookmarkStart w:id="132" w:name="_Toc519091922"/>
      <w:bookmarkStart w:id="133" w:name="_Toc246928930"/>
      <w:bookmarkStart w:id="134" w:name="_Toc497712133"/>
      <w:bookmarkStart w:id="135" w:name="_Toc497546918"/>
      <w:bookmarkStart w:id="136" w:name="_Toc519091923"/>
      <w:bookmarkStart w:id="137" w:name="_Toc93800308"/>
      <w:bookmarkStart w:id="138" w:name="_Toc9436"/>
      <w:bookmarkStart w:id="139" w:name="_Toc497711585"/>
      <w:bookmarkStart w:id="140" w:name="_Toc497551820"/>
      <w:bookmarkStart w:id="141" w:name="_Toc21234"/>
      <w:bookmarkStart w:id="142" w:name="_Toc492955459"/>
      <w:r>
        <w:rPr>
          <w:rFonts w:hint="eastAsia" w:ascii="宋体" w:hAnsi="宋体" w:eastAsia="宋体" w:cs="宋体"/>
          <w:color w:val="auto"/>
          <w:spacing w:val="4"/>
          <w:sz w:val="24"/>
          <w:highlight w:val="none"/>
        </w:rPr>
        <w:t>根据《陕西省中小企业政府采购信用融资办法》（陕财办采〔2018〕23号）、《陕西省财政厅关于加快推进我省中小企业政府采购信用融资工作的通知》（陕财办采〔2020〕15 号）的有关规定，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96" w:firstLineChars="200"/>
        <w:jc w:val="left"/>
        <w:rPr>
          <w:rFonts w:hint="eastAsia" w:ascii="宋体" w:hAnsi="宋体" w:eastAsia="宋体" w:cs="宋体"/>
          <w:color w:val="auto"/>
          <w:spacing w:val="4"/>
          <w:sz w:val="24"/>
          <w:highlight w:val="none"/>
        </w:rPr>
      </w:pPr>
    </w:p>
    <w:p>
      <w:pPr>
        <w:wordWrap w:val="0"/>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融资政策链接：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"http://www.ccgp-shaanxi.gov.cn/zcdservice/zcd/shanxi/article/zcfg" </w:instrText>
      </w:r>
      <w:r>
        <w:rPr>
          <w:rFonts w:hint="eastAsia" w:ascii="宋体" w:hAnsi="宋体" w:eastAsia="宋体" w:cs="宋体"/>
          <w:color w:val="auto"/>
          <w:sz w:val="24"/>
          <w:szCs w:val="24"/>
          <w:highlight w:val="none"/>
        </w:rPr>
        <w:fldChar w:fldCharType="separate"/>
      </w:r>
      <w:r>
        <w:rPr>
          <w:rStyle w:val="33"/>
          <w:rFonts w:hint="eastAsia" w:ascii="宋体" w:hAnsi="宋体" w:eastAsia="宋体" w:cs="宋体"/>
          <w:color w:val="auto"/>
          <w:sz w:val="24"/>
          <w:szCs w:val="24"/>
          <w:highlight w:val="none"/>
        </w:rPr>
        <w:t>http://www.ccgp-shaanxi.gov.cn/zcdservice/zcd/shanxi/article/zcfg</w:t>
      </w:r>
      <w:r>
        <w:rPr>
          <w:rFonts w:hint="eastAsia" w:ascii="宋体" w:hAnsi="宋体" w:eastAsia="宋体" w:cs="宋体"/>
          <w:color w:val="auto"/>
          <w:sz w:val="24"/>
          <w:szCs w:val="24"/>
          <w:highlight w:val="none"/>
        </w:rPr>
        <w:fldChar w:fldCharType="end"/>
      </w:r>
    </w:p>
    <w:p>
      <w:pPr>
        <w:numPr>
          <w:ilvl w:val="0"/>
          <w:numId w:val="0"/>
        </w:numPr>
        <w:spacing w:line="360" w:lineRule="auto"/>
        <w:ind w:firstLine="496"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融资渠道链接：http://www.ccgp-shaanxi.gov.cn/zcdservice/zcd/shanxi/</w:t>
      </w:r>
    </w:p>
    <w:p>
      <w:pPr>
        <w:ind w:firstLine="496" w:firstLineChars="200"/>
        <w:jc w:val="left"/>
        <w:rPr>
          <w:rFonts w:hint="eastAsia" w:ascii="宋体" w:hAnsi="宋体" w:eastAsia="宋体" w:cs="宋体"/>
          <w:color w:val="auto"/>
          <w:highlight w:val="none"/>
        </w:rPr>
      </w:pPr>
      <w:r>
        <w:rPr>
          <w:rFonts w:hint="eastAsia" w:ascii="宋体" w:hAnsi="宋体" w:eastAsia="宋体" w:cs="宋体"/>
          <w:color w:val="auto"/>
          <w:spacing w:val="4"/>
          <w:sz w:val="24"/>
          <w:szCs w:val="20"/>
          <w:highlight w:val="none"/>
        </w:rPr>
        <w:t>担保合作机构名单链接：http://xaczj.xa.gov.cn/zfcg/cgfg/5db9054565cbd804f69e97e0.html</w:t>
      </w:r>
      <w:r>
        <w:rPr>
          <w:rFonts w:hint="eastAsia" w:ascii="宋体" w:hAnsi="宋体" w:eastAsia="宋体" w:cs="宋体"/>
          <w:color w:val="auto"/>
          <w:highlight w:val="none"/>
        </w:rPr>
        <w:br w:type="page"/>
      </w:r>
    </w:p>
    <w:bookmarkEnd w:id="128"/>
    <w:bookmarkEnd w:id="129"/>
    <w:bookmarkEnd w:id="130"/>
    <w:bookmarkEnd w:id="131"/>
    <w:bookmarkEnd w:id="132"/>
    <w:p>
      <w:pPr>
        <w:pStyle w:val="23"/>
        <w:numPr>
          <w:ilvl w:val="0"/>
          <w:numId w:val="5"/>
        </w:num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bookmarkStart w:id="143" w:name="_Toc30719"/>
      <w:r>
        <w:rPr>
          <w:rFonts w:hint="eastAsia" w:ascii="宋体" w:hAnsi="宋体" w:eastAsia="宋体" w:cs="宋体"/>
          <w:color w:val="auto"/>
          <w:highlight w:val="none"/>
        </w:rPr>
        <w:t>采购内容及要求</w:t>
      </w:r>
      <w:bookmarkEnd w:id="143"/>
    </w:p>
    <w:p>
      <w:pPr>
        <w:pStyle w:val="5"/>
        <w:spacing w:before="0" w:after="120" w:afterLines="50" w:line="360" w:lineRule="auto"/>
        <w:jc w:val="both"/>
        <w:rPr>
          <w:rFonts w:ascii="宋体" w:hAnsi="宋体" w:eastAsia="宋体" w:cs="宋体"/>
          <w:bCs/>
          <w:color w:val="auto"/>
          <w:sz w:val="24"/>
          <w:szCs w:val="24"/>
          <w:highlight w:val="none"/>
        </w:rPr>
      </w:pPr>
      <w:bookmarkStart w:id="144" w:name="_Toc10350"/>
      <w:bookmarkStart w:id="145" w:name="_Toc11218"/>
      <w:bookmarkStart w:id="146" w:name="_Toc23443"/>
      <w:r>
        <w:rPr>
          <w:rFonts w:hint="eastAsia" w:ascii="宋体" w:hAnsi="宋体" w:eastAsia="宋体" w:cs="宋体"/>
          <w:bCs/>
          <w:color w:val="auto"/>
          <w:sz w:val="24"/>
          <w:szCs w:val="24"/>
          <w:highlight w:val="none"/>
        </w:rPr>
        <w:t>一、商务要求</w:t>
      </w:r>
      <w:bookmarkEnd w:id="144"/>
      <w:bookmarkEnd w:id="145"/>
      <w:bookmarkEnd w:id="146"/>
    </w:p>
    <w:p>
      <w:pPr>
        <w:pStyle w:val="5"/>
        <w:spacing w:before="0" w:after="120" w:afterLines="50" w:line="360" w:lineRule="auto"/>
        <w:jc w:val="both"/>
        <w:rPr>
          <w:rFonts w:ascii="宋体" w:hAnsi="宋体" w:eastAsia="宋体" w:cs="宋体"/>
          <w:bCs/>
          <w:color w:val="auto"/>
          <w:sz w:val="24"/>
          <w:szCs w:val="24"/>
          <w:highlight w:val="none"/>
        </w:rPr>
      </w:pPr>
      <w:bookmarkStart w:id="147" w:name="_Toc7470"/>
      <w:bookmarkStart w:id="148" w:name="_Toc71729639"/>
      <w:bookmarkStart w:id="149" w:name="_Toc23997"/>
      <w:bookmarkStart w:id="150" w:name="_Toc12350"/>
      <w:r>
        <w:rPr>
          <w:rFonts w:hint="eastAsia" w:ascii="宋体" w:hAnsi="宋体" w:eastAsia="宋体" w:cs="宋体"/>
          <w:bCs/>
          <w:color w:val="auto"/>
          <w:sz w:val="24"/>
          <w:szCs w:val="24"/>
          <w:highlight w:val="none"/>
        </w:rPr>
        <w:t>（一）主要商务条款和要求</w:t>
      </w:r>
      <w:bookmarkEnd w:id="147"/>
      <w:bookmarkEnd w:id="148"/>
      <w:bookmarkEnd w:id="149"/>
      <w:bookmarkEnd w:id="150"/>
    </w:p>
    <w:p>
      <w:pPr>
        <w:pStyle w:val="12"/>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期：</w:t>
      </w:r>
      <w:r>
        <w:rPr>
          <w:rFonts w:hint="eastAsia" w:ascii="宋体" w:hAnsi="宋体" w:cs="宋体"/>
          <w:color w:val="auto"/>
          <w:sz w:val="24"/>
          <w:highlight w:val="none"/>
          <w:lang w:eastAsia="zh-CN"/>
        </w:rPr>
        <w:t>合同签订后20</w:t>
      </w:r>
      <w:r>
        <w:rPr>
          <w:rFonts w:hint="eastAsia" w:ascii="宋体" w:hAnsi="宋体" w:cs="宋体"/>
          <w:color w:val="auto"/>
          <w:sz w:val="24"/>
          <w:highlight w:val="none"/>
          <w:lang w:val="en-US" w:eastAsia="zh-CN"/>
        </w:rPr>
        <w:t>日历日</w:t>
      </w:r>
      <w:r>
        <w:rPr>
          <w:rFonts w:hint="eastAsia" w:ascii="宋体" w:hAnsi="宋体" w:cs="宋体"/>
          <w:color w:val="auto"/>
          <w:sz w:val="24"/>
          <w:highlight w:val="none"/>
          <w:lang w:eastAsia="zh-CN"/>
        </w:rPr>
        <w:t>内完成工作</w:t>
      </w:r>
      <w:r>
        <w:rPr>
          <w:rFonts w:hint="eastAsia" w:ascii="宋体" w:hAnsi="宋体" w:cs="宋体"/>
          <w:color w:val="auto"/>
          <w:sz w:val="24"/>
          <w:highlight w:val="none"/>
        </w:rPr>
        <w:t>。</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服务</w:t>
      </w:r>
      <w:r>
        <w:rPr>
          <w:rFonts w:hint="eastAsia" w:ascii="宋体" w:hAnsi="宋体" w:cs="宋体"/>
          <w:bCs/>
          <w:color w:val="auto"/>
          <w:sz w:val="24"/>
          <w:highlight w:val="none"/>
        </w:rPr>
        <w:t>地点：采购人指定地点。</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.付款进度安排：</w:t>
      </w:r>
      <w:r>
        <w:rPr>
          <w:rFonts w:hint="eastAsia" w:ascii="宋体" w:hAnsi="宋体" w:cs="宋体"/>
          <w:bCs/>
          <w:color w:val="auto"/>
          <w:sz w:val="24"/>
          <w:highlight w:val="none"/>
          <w:lang w:val="en-US" w:eastAsia="zh-CN"/>
        </w:rPr>
        <w:t>完成所有服务内容</w:t>
      </w:r>
      <w:r>
        <w:rPr>
          <w:rFonts w:hint="eastAsia" w:ascii="宋体" w:hAnsi="宋体" w:cs="宋体"/>
          <w:bCs/>
          <w:color w:val="auto"/>
          <w:sz w:val="24"/>
          <w:highlight w:val="none"/>
        </w:rPr>
        <w:t>，一次性支付合同款项。</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.资金支付方式：银行转账。乙方须向甲方出具合法有效的完税发票，甲方进行支付结算。</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.验收：由采购人负责组织验收或者邀请有关专家或质检机构或采购代理机构共同进行验收。</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.验收标准：验收以合同、谈判文件、谈判响应文件、澄清、及国家相应的标准、规范等为依据。</w:t>
      </w:r>
    </w:p>
    <w:p>
      <w:pPr>
        <w:pStyle w:val="5"/>
        <w:spacing w:before="0" w:after="120" w:afterLines="50" w:line="360" w:lineRule="auto"/>
        <w:jc w:val="both"/>
        <w:rPr>
          <w:rFonts w:ascii="宋体" w:hAnsi="宋体" w:eastAsia="宋体" w:cs="宋体"/>
          <w:bCs/>
          <w:color w:val="auto"/>
          <w:sz w:val="24"/>
          <w:szCs w:val="24"/>
          <w:highlight w:val="none"/>
        </w:rPr>
      </w:pPr>
      <w:bookmarkStart w:id="151" w:name="_Toc1447"/>
      <w:bookmarkStart w:id="152" w:name="_Toc13413"/>
      <w:bookmarkStart w:id="153" w:name="_Toc25526"/>
      <w:bookmarkStart w:id="154" w:name="_Toc71729640"/>
      <w:r>
        <w:rPr>
          <w:rFonts w:hint="eastAsia" w:ascii="宋体" w:hAnsi="宋体" w:eastAsia="宋体" w:cs="宋体"/>
          <w:bCs/>
          <w:color w:val="auto"/>
          <w:sz w:val="24"/>
          <w:szCs w:val="24"/>
          <w:highlight w:val="none"/>
        </w:rPr>
        <w:t>（二）商务条件响应说明</w:t>
      </w:r>
      <w:bookmarkEnd w:id="151"/>
      <w:bookmarkEnd w:id="152"/>
      <w:bookmarkEnd w:id="153"/>
      <w:bookmarkEnd w:id="154"/>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1.主要商务条款为合同条款的补充内容，与合同格式中规定不一致的，以本商务条款为准。</w:t>
      </w:r>
    </w:p>
    <w:p>
      <w:pPr>
        <w:widowControl/>
        <w:snapToGrid w:val="0"/>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2.供应商在谈判响应文件中应对上表所列的商务条款和要求做出逐条响应，供应商对商务条款的响应将作为合同的主要内容。</w:t>
      </w:r>
    </w:p>
    <w:p>
      <w:pPr>
        <w:spacing w:line="360" w:lineRule="auto"/>
        <w:rPr>
          <w:rFonts w:hint="eastAsia" w:ascii="宋体" w:hAnsi="宋体" w:cs="宋体"/>
          <w:b/>
          <w:bCs/>
          <w:color w:val="auto"/>
          <w:sz w:val="44"/>
          <w:szCs w:val="44"/>
          <w:highlight w:val="none"/>
        </w:rPr>
      </w:pPr>
      <w:r>
        <w:rPr>
          <w:rFonts w:hint="eastAsia" w:ascii="宋体" w:hAnsi="宋体" w:cs="宋体"/>
          <w:bCs/>
          <w:color w:val="auto"/>
          <w:sz w:val="24"/>
          <w:highlight w:val="none"/>
        </w:rPr>
        <w:t>3</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商务要求</w:t>
      </w:r>
      <w:r>
        <w:rPr>
          <w:rFonts w:hint="eastAsia" w:ascii="宋体" w:hAnsi="宋体" w:eastAsia="宋体" w:cs="宋体"/>
          <w:bCs/>
          <w:color w:val="auto"/>
          <w:sz w:val="24"/>
          <w:highlight w:val="none"/>
        </w:rPr>
        <w:t>为实质性</w:t>
      </w:r>
      <w:r>
        <w:rPr>
          <w:rFonts w:hint="eastAsia" w:ascii="宋体" w:hAnsi="宋体" w:eastAsia="宋体" w:cs="宋体"/>
          <w:bCs/>
          <w:color w:val="auto"/>
          <w:sz w:val="24"/>
          <w:highlight w:val="none"/>
          <w:lang w:val="en-US" w:eastAsia="zh-CN"/>
        </w:rPr>
        <w:t>条款</w:t>
      </w:r>
      <w:r>
        <w:rPr>
          <w:rFonts w:hint="eastAsia" w:ascii="宋体" w:hAnsi="宋体" w:cs="宋体"/>
          <w:bCs/>
          <w:color w:val="auto"/>
          <w:sz w:val="24"/>
          <w:highlight w:val="none"/>
        </w:rPr>
        <w:t>，不接受负偏离。</w:t>
      </w:r>
      <w:bookmarkStart w:id="155" w:name="_Toc19200"/>
      <w:bookmarkStart w:id="156" w:name="_Toc71729642"/>
    </w:p>
    <w:bookmarkEnd w:id="155"/>
    <w:bookmarkEnd w:id="156"/>
    <w:p>
      <w:pPr>
        <w:spacing w:line="360" w:lineRule="auto"/>
        <w:rPr>
          <w:rFonts w:ascii="宋体" w:hAnsi="宋体" w:cs="宋体"/>
          <w:bCs/>
          <w:color w:val="auto"/>
          <w:sz w:val="24"/>
          <w:highlight w:val="none"/>
        </w:rPr>
      </w:pPr>
    </w:p>
    <w:p>
      <w:pPr>
        <w:pStyle w:val="5"/>
        <w:spacing w:before="0" w:after="120" w:afterLines="50" w:line="360" w:lineRule="auto"/>
        <w:jc w:val="both"/>
        <w:rPr>
          <w:rFonts w:hint="eastAsia" w:ascii="宋体" w:hAnsi="宋体" w:eastAsia="宋体" w:cs="宋体"/>
          <w:color w:val="auto"/>
          <w:highlight w:val="none"/>
        </w:rPr>
      </w:pPr>
      <w:bookmarkStart w:id="157" w:name="_Toc71729641"/>
      <w:bookmarkStart w:id="158" w:name="_Toc26072"/>
      <w:bookmarkStart w:id="159" w:name="_Toc7169"/>
      <w:bookmarkStart w:id="160" w:name="_Toc19618"/>
      <w:r>
        <w:rPr>
          <w:rFonts w:hint="eastAsia" w:ascii="宋体" w:hAnsi="宋体" w:eastAsia="宋体" w:cs="宋体"/>
          <w:bCs/>
          <w:color w:val="auto"/>
          <w:sz w:val="24"/>
          <w:szCs w:val="24"/>
          <w:highlight w:val="none"/>
        </w:rPr>
        <w:t>二、采购内容</w:t>
      </w:r>
      <w:bookmarkEnd w:id="157"/>
      <w:bookmarkEnd w:id="158"/>
      <w:bookmarkEnd w:id="159"/>
      <w:bookmarkEnd w:id="160"/>
    </w:p>
    <w:p>
      <w:pPr>
        <w:pStyle w:val="5"/>
        <w:spacing w:before="0" w:after="120" w:afterLines="50" w:line="360" w:lineRule="auto"/>
        <w:jc w:val="both"/>
        <w:rPr>
          <w:rFonts w:hint="eastAsia" w:ascii="宋体" w:hAnsi="宋体" w:eastAsia="宋体" w:cs="宋体"/>
          <w:bCs/>
          <w:color w:val="auto"/>
          <w:sz w:val="24"/>
          <w:szCs w:val="24"/>
          <w:highlight w:val="none"/>
        </w:rPr>
      </w:pPr>
      <w:bookmarkStart w:id="161" w:name="_Toc14084"/>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内容和要求</w:t>
      </w:r>
      <w:bookmarkEnd w:id="161"/>
    </w:p>
    <w:p>
      <w:pPr>
        <w:autoSpaceDN w:val="0"/>
        <w:spacing w:line="360" w:lineRule="auto"/>
        <w:jc w:val="left"/>
        <w:rPr>
          <w:rFonts w:hint="eastAsia"/>
          <w:color w:val="auto"/>
          <w:sz w:val="24"/>
          <w:szCs w:val="24"/>
          <w:highlight w:val="none"/>
        </w:rPr>
      </w:pPr>
      <w:r>
        <w:rPr>
          <w:color w:val="auto"/>
          <w:sz w:val="24"/>
          <w:szCs w:val="24"/>
          <w:highlight w:val="none"/>
        </w:rPr>
        <w:t>　　所有参加</w:t>
      </w:r>
      <w:r>
        <w:rPr>
          <w:rFonts w:hint="eastAsia"/>
          <w:color w:val="auto"/>
          <w:sz w:val="24"/>
          <w:szCs w:val="24"/>
          <w:highlight w:val="none"/>
        </w:rPr>
        <w:t>竞标的</w:t>
      </w:r>
      <w:r>
        <w:rPr>
          <w:color w:val="auto"/>
          <w:sz w:val="24"/>
          <w:szCs w:val="24"/>
          <w:highlight w:val="none"/>
        </w:rPr>
        <w:t>单位提供</w:t>
      </w:r>
      <w:r>
        <w:rPr>
          <w:rFonts w:hint="eastAsia"/>
          <w:color w:val="auto"/>
          <w:sz w:val="24"/>
          <w:szCs w:val="24"/>
          <w:highlight w:val="none"/>
        </w:rPr>
        <w:t>提供以下内容</w:t>
      </w:r>
      <w:r>
        <w:rPr>
          <w:color w:val="auto"/>
          <w:sz w:val="24"/>
          <w:szCs w:val="24"/>
          <w:highlight w:val="none"/>
        </w:rPr>
        <w:t>：</w:t>
      </w:r>
      <w:r>
        <w:rPr>
          <w:rFonts w:hint="eastAsia"/>
          <w:color w:val="auto"/>
          <w:sz w:val="24"/>
          <w:szCs w:val="24"/>
          <w:highlight w:val="none"/>
        </w:rPr>
        <w:t>根据主办单位要求，拍摄制作完成宣传片成片。宣传片整体风格要求大气、专业，展示</w:t>
      </w:r>
      <w:r>
        <w:rPr>
          <w:rFonts w:hint="eastAsia"/>
          <w:color w:val="auto"/>
          <w:sz w:val="24"/>
          <w:szCs w:val="24"/>
          <w:highlight w:val="none"/>
          <w:lang w:eastAsia="zh-CN"/>
        </w:rPr>
        <w:t>灞桥区葡萄产业发展</w:t>
      </w:r>
      <w:r>
        <w:rPr>
          <w:rFonts w:hint="eastAsia"/>
          <w:color w:val="auto"/>
          <w:sz w:val="24"/>
          <w:szCs w:val="24"/>
          <w:highlight w:val="none"/>
        </w:rPr>
        <w:t>前景。整体节奏适中，画面丰富，剪辑得当。内容虚实结合，即有</w:t>
      </w:r>
      <w:r>
        <w:rPr>
          <w:rFonts w:hint="eastAsia"/>
          <w:color w:val="auto"/>
          <w:sz w:val="24"/>
          <w:szCs w:val="24"/>
          <w:highlight w:val="none"/>
          <w:lang w:eastAsia="zh-CN"/>
        </w:rPr>
        <w:t>产业发展、产业带头人采访</w:t>
      </w:r>
      <w:r>
        <w:rPr>
          <w:rFonts w:hint="eastAsia"/>
          <w:color w:val="auto"/>
          <w:sz w:val="24"/>
          <w:szCs w:val="24"/>
          <w:highlight w:val="none"/>
        </w:rPr>
        <w:t>的实景画面，又有结合动画等方式的愿景展望。</w:t>
      </w:r>
    </w:p>
    <w:p>
      <w:pPr>
        <w:pStyle w:val="5"/>
        <w:spacing w:before="0" w:after="120" w:afterLines="50" w:line="360" w:lineRule="auto"/>
        <w:jc w:val="both"/>
        <w:rPr>
          <w:rFonts w:hint="eastAsia" w:ascii="宋体" w:hAnsi="宋体" w:eastAsia="宋体" w:cs="宋体"/>
          <w:bCs/>
          <w:color w:val="auto"/>
          <w:sz w:val="24"/>
          <w:szCs w:val="24"/>
          <w:highlight w:val="none"/>
        </w:rPr>
      </w:pPr>
      <w:bookmarkStart w:id="162" w:name="_Toc30008"/>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项目具体要求</w:t>
      </w:r>
      <w:bookmarkEnd w:id="162"/>
    </w:p>
    <w:p>
      <w:pPr>
        <w:autoSpaceDN w:val="0"/>
        <w:spacing w:line="408" w:lineRule="auto"/>
        <w:ind w:firstLine="720" w:firstLineChars="300"/>
        <w:jc w:val="left"/>
        <w:rPr>
          <w:rFonts w:hint="eastAsia" w:ascii="Times New Roman" w:hAnsi="Times New Roman" w:eastAsia="宋体" w:cs="Times New Roman"/>
          <w:color w:val="auto"/>
          <w:sz w:val="24"/>
          <w:szCs w:val="24"/>
          <w:highlight w:val="none"/>
          <w:lang w:val="en-US" w:eastAsia="zh-CN"/>
        </w:rPr>
      </w:pPr>
      <w:r>
        <w:rPr>
          <w:rFonts w:hint="eastAsia"/>
          <w:color w:val="auto"/>
          <w:sz w:val="24"/>
          <w:szCs w:val="24"/>
          <w:highlight w:val="none"/>
          <w:lang w:eastAsia="zh-CN"/>
        </w:rPr>
        <w:t>为了做好灞桥葡萄的推介宣传工作，</w:t>
      </w:r>
      <w:r>
        <w:rPr>
          <w:rFonts w:hint="eastAsia"/>
          <w:color w:val="auto"/>
          <w:sz w:val="24"/>
          <w:szCs w:val="24"/>
          <w:highlight w:val="none"/>
        </w:rPr>
        <w:t>展示灞桥区</w:t>
      </w:r>
      <w:r>
        <w:rPr>
          <w:rFonts w:hint="eastAsia"/>
          <w:color w:val="auto"/>
          <w:sz w:val="24"/>
          <w:szCs w:val="24"/>
          <w:highlight w:val="none"/>
          <w:lang w:val="en-US" w:eastAsia="zh-CN"/>
        </w:rPr>
        <w:t>名优农产品的特色</w:t>
      </w:r>
      <w:r>
        <w:rPr>
          <w:rFonts w:hint="eastAsia"/>
          <w:color w:val="auto"/>
          <w:sz w:val="24"/>
          <w:szCs w:val="24"/>
          <w:highlight w:val="none"/>
        </w:rPr>
        <w:t>，</w:t>
      </w:r>
      <w:r>
        <w:rPr>
          <w:rFonts w:hint="eastAsia"/>
          <w:color w:val="auto"/>
          <w:sz w:val="24"/>
          <w:szCs w:val="24"/>
          <w:highlight w:val="none"/>
          <w:lang w:eastAsia="zh-CN"/>
        </w:rPr>
        <w:t>宣传片</w:t>
      </w:r>
      <w:r>
        <w:rPr>
          <w:rFonts w:hint="eastAsia"/>
          <w:color w:val="auto"/>
          <w:sz w:val="24"/>
          <w:szCs w:val="24"/>
          <w:highlight w:val="none"/>
        </w:rPr>
        <w:t>主要为主流媒体网站、手机端、刻录光盘赠送等用途。总长度分别为</w:t>
      </w:r>
      <w:r>
        <w:rPr>
          <w:rFonts w:hint="eastAsia"/>
          <w:color w:val="auto"/>
          <w:sz w:val="24"/>
          <w:szCs w:val="24"/>
          <w:highlight w:val="none"/>
          <w:lang w:val="en-US" w:eastAsia="zh-CN"/>
        </w:rPr>
        <w:t>25分钟</w:t>
      </w:r>
      <w:r>
        <w:rPr>
          <w:rFonts w:hint="eastAsia"/>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同时该宣传片要求在省级及以上电视及网络媒体农业类频道进行播放，播放次数不少于三次。</w:t>
      </w:r>
    </w:p>
    <w:p>
      <w:pPr>
        <w:autoSpaceDN w:val="0"/>
        <w:spacing w:line="408" w:lineRule="auto"/>
        <w:ind w:firstLine="720" w:firstLineChars="300"/>
        <w:jc w:val="left"/>
        <w:rPr>
          <w:rFonts w:hint="eastAsia"/>
          <w:color w:val="auto"/>
          <w:sz w:val="24"/>
          <w:szCs w:val="24"/>
          <w:highlight w:val="none"/>
        </w:rPr>
      </w:pPr>
      <w:r>
        <w:rPr>
          <w:rFonts w:hint="eastAsia"/>
          <w:color w:val="auto"/>
          <w:sz w:val="24"/>
          <w:szCs w:val="24"/>
          <w:highlight w:val="none"/>
        </w:rPr>
        <w:t>包括前期策划、撰稿、实景拍摄、图片编辑、二维/三维动画制作、特效、解说词、背景音乐等。具体要求如下：</w:t>
      </w:r>
    </w:p>
    <w:p>
      <w:pPr>
        <w:autoSpaceDN w:val="0"/>
        <w:spacing w:line="360" w:lineRule="auto"/>
        <w:jc w:val="left"/>
        <w:rPr>
          <w:rFonts w:hint="eastAsia" w:eastAsia="宋体"/>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策划、撰稿：拍摄前期要求提供策划方案，完成解说词，提供主要画面分镜</w:t>
      </w:r>
      <w:r>
        <w:rPr>
          <w:rFonts w:hint="eastAsia"/>
          <w:color w:val="auto"/>
          <w:sz w:val="24"/>
          <w:szCs w:val="24"/>
          <w:highlight w:val="none"/>
          <w:lang w:eastAsia="zh-CN"/>
        </w:rPr>
        <w:t>，经采购人确认后使用</w:t>
      </w:r>
      <w:r>
        <w:rPr>
          <w:rFonts w:hint="eastAsia"/>
          <w:color w:val="auto"/>
          <w:sz w:val="24"/>
          <w:szCs w:val="24"/>
          <w:highlight w:val="none"/>
        </w:rPr>
        <w:t>。</w:t>
      </w:r>
    </w:p>
    <w:p>
      <w:pPr>
        <w:autoSpaceDN w:val="0"/>
        <w:spacing w:line="360" w:lineRule="auto"/>
        <w:jc w:val="left"/>
        <w:rPr>
          <w:rFonts w:hint="eastAsia"/>
          <w:color w:val="auto"/>
          <w:sz w:val="24"/>
          <w:szCs w:val="24"/>
          <w:highlight w:val="none"/>
        </w:rPr>
      </w:pPr>
      <w:r>
        <w:rPr>
          <w:rFonts w:hint="eastAsia"/>
          <w:color w:val="auto"/>
          <w:sz w:val="24"/>
          <w:szCs w:val="24"/>
          <w:highlight w:val="none"/>
        </w:rPr>
        <w:t>2、实景拍摄：根据要求进行实景拍摄，要求多角度、全方位，很好地</w:t>
      </w:r>
      <w:r>
        <w:rPr>
          <w:rFonts w:hint="eastAsia"/>
          <w:color w:val="auto"/>
          <w:sz w:val="24"/>
          <w:szCs w:val="24"/>
          <w:highlight w:val="none"/>
          <w:lang w:eastAsia="zh-CN"/>
        </w:rPr>
        <w:t>灞桥区农业生产的优良</w:t>
      </w:r>
      <w:r>
        <w:rPr>
          <w:rFonts w:hint="eastAsia"/>
          <w:color w:val="auto"/>
          <w:sz w:val="24"/>
          <w:szCs w:val="24"/>
          <w:highlight w:val="none"/>
        </w:rPr>
        <w:t>大环境，</w:t>
      </w:r>
      <w:r>
        <w:rPr>
          <w:rFonts w:hint="eastAsia"/>
          <w:color w:val="auto"/>
          <w:sz w:val="24"/>
          <w:szCs w:val="24"/>
          <w:highlight w:val="none"/>
          <w:lang w:eastAsia="zh-CN"/>
        </w:rPr>
        <w:t>灞桥区葡萄种植从业人员</w:t>
      </w:r>
      <w:r>
        <w:rPr>
          <w:rFonts w:hint="eastAsia"/>
          <w:color w:val="auto"/>
          <w:sz w:val="24"/>
          <w:szCs w:val="24"/>
          <w:highlight w:val="none"/>
        </w:rPr>
        <w:t>面貌，</w:t>
      </w:r>
      <w:r>
        <w:rPr>
          <w:rFonts w:hint="eastAsia"/>
          <w:color w:val="auto"/>
          <w:sz w:val="24"/>
          <w:szCs w:val="24"/>
          <w:highlight w:val="none"/>
          <w:lang w:eastAsia="zh-CN"/>
        </w:rPr>
        <w:t>灞桥区葡萄提质增效带动产业农民增收</w:t>
      </w:r>
      <w:r>
        <w:rPr>
          <w:rFonts w:hint="eastAsia"/>
          <w:color w:val="auto"/>
          <w:sz w:val="24"/>
          <w:szCs w:val="24"/>
          <w:highlight w:val="none"/>
        </w:rPr>
        <w:t>等内容。</w:t>
      </w:r>
    </w:p>
    <w:p>
      <w:pPr>
        <w:autoSpaceDN w:val="0"/>
        <w:spacing w:line="360" w:lineRule="auto"/>
        <w:jc w:val="left"/>
        <w:rPr>
          <w:rFonts w:hint="eastAsia" w:eastAsia="宋体"/>
          <w:color w:val="auto"/>
          <w:sz w:val="24"/>
          <w:szCs w:val="24"/>
          <w:highlight w:val="none"/>
          <w:lang w:eastAsia="zh-CN"/>
        </w:rPr>
      </w:pPr>
      <w:r>
        <w:rPr>
          <w:rFonts w:hint="eastAsia"/>
          <w:color w:val="auto"/>
          <w:sz w:val="24"/>
          <w:szCs w:val="24"/>
          <w:highlight w:val="none"/>
        </w:rPr>
        <w:t>3、图片编辑：对一些无法使用视频方式呈现的画面，采用图片替代，对图片进行编辑</w:t>
      </w:r>
      <w:r>
        <w:rPr>
          <w:rFonts w:hint="eastAsia"/>
          <w:color w:val="auto"/>
          <w:sz w:val="24"/>
          <w:szCs w:val="24"/>
          <w:highlight w:val="none"/>
          <w:lang w:eastAsia="zh-CN"/>
        </w:rPr>
        <w:t>，经采购人确认后使用</w:t>
      </w:r>
      <w:r>
        <w:rPr>
          <w:rFonts w:hint="eastAsia"/>
          <w:color w:val="auto"/>
          <w:sz w:val="24"/>
          <w:szCs w:val="24"/>
          <w:highlight w:val="none"/>
        </w:rPr>
        <w:t>。</w:t>
      </w:r>
    </w:p>
    <w:p>
      <w:pPr>
        <w:autoSpaceDN w:val="0"/>
        <w:spacing w:line="360" w:lineRule="auto"/>
        <w:jc w:val="left"/>
        <w:rPr>
          <w:rFonts w:hint="eastAsia" w:eastAsia="宋体"/>
          <w:color w:val="auto"/>
          <w:sz w:val="24"/>
          <w:szCs w:val="24"/>
          <w:highlight w:val="none"/>
          <w:lang w:eastAsia="zh-CN"/>
        </w:rPr>
      </w:pPr>
      <w:r>
        <w:rPr>
          <w:rFonts w:hint="eastAsia"/>
          <w:color w:val="auto"/>
          <w:sz w:val="24"/>
          <w:szCs w:val="24"/>
          <w:highlight w:val="none"/>
        </w:rPr>
        <w:t>4、二维/三维动画制作：根据需要，在无法用拍摄方式呈现的，制作动画充实画面。如新校区的建筑立体图等</w:t>
      </w:r>
      <w:r>
        <w:rPr>
          <w:rFonts w:hint="eastAsia"/>
          <w:color w:val="auto"/>
          <w:sz w:val="24"/>
          <w:szCs w:val="24"/>
          <w:highlight w:val="none"/>
          <w:lang w:eastAsia="zh-CN"/>
        </w:rPr>
        <w:t>，经采购人确认后使用</w:t>
      </w:r>
      <w:r>
        <w:rPr>
          <w:rFonts w:hint="eastAsia"/>
          <w:color w:val="auto"/>
          <w:sz w:val="24"/>
          <w:szCs w:val="24"/>
          <w:highlight w:val="none"/>
        </w:rPr>
        <w:t>。</w:t>
      </w:r>
    </w:p>
    <w:p>
      <w:pPr>
        <w:autoSpaceDN w:val="0"/>
        <w:spacing w:line="360" w:lineRule="auto"/>
        <w:jc w:val="left"/>
        <w:rPr>
          <w:rFonts w:hint="eastAsia"/>
          <w:color w:val="auto"/>
          <w:sz w:val="24"/>
          <w:szCs w:val="24"/>
          <w:highlight w:val="none"/>
        </w:rPr>
      </w:pPr>
      <w:r>
        <w:rPr>
          <w:rFonts w:hint="eastAsia"/>
          <w:color w:val="auto"/>
          <w:sz w:val="24"/>
          <w:szCs w:val="24"/>
          <w:highlight w:val="none"/>
        </w:rPr>
        <w:t>5、特效：根据需要完成特效制作，使画面更加生动、丰富。</w:t>
      </w:r>
    </w:p>
    <w:p>
      <w:pPr>
        <w:autoSpaceDN w:val="0"/>
        <w:spacing w:line="360" w:lineRule="auto"/>
        <w:jc w:val="left"/>
        <w:rPr>
          <w:rFonts w:hint="eastAsia"/>
          <w:color w:val="auto"/>
          <w:sz w:val="24"/>
          <w:szCs w:val="24"/>
          <w:highlight w:val="none"/>
        </w:rPr>
      </w:pPr>
      <w:r>
        <w:rPr>
          <w:rFonts w:hint="eastAsia"/>
          <w:color w:val="auto"/>
          <w:sz w:val="24"/>
          <w:szCs w:val="24"/>
          <w:highlight w:val="none"/>
        </w:rPr>
        <w:t>6、解说：要求男声，大气、沉稳、富于感染力</w:t>
      </w:r>
      <w:r>
        <w:rPr>
          <w:rFonts w:hint="eastAsia"/>
          <w:color w:val="auto"/>
          <w:sz w:val="24"/>
          <w:szCs w:val="24"/>
          <w:highlight w:val="none"/>
          <w:lang w:eastAsia="zh-CN"/>
        </w:rPr>
        <w:t>，经采购人确认后使用</w:t>
      </w:r>
      <w:r>
        <w:rPr>
          <w:rFonts w:hint="eastAsia"/>
          <w:color w:val="auto"/>
          <w:sz w:val="24"/>
          <w:szCs w:val="24"/>
          <w:highlight w:val="none"/>
        </w:rPr>
        <w:t>。</w:t>
      </w:r>
    </w:p>
    <w:p>
      <w:pPr>
        <w:autoSpaceDN w:val="0"/>
        <w:spacing w:line="360" w:lineRule="auto"/>
        <w:jc w:val="left"/>
        <w:rPr>
          <w:color w:val="auto"/>
          <w:sz w:val="24"/>
          <w:szCs w:val="24"/>
          <w:highlight w:val="none"/>
        </w:rPr>
      </w:pPr>
      <w:r>
        <w:rPr>
          <w:rFonts w:hint="eastAsia"/>
          <w:color w:val="auto"/>
          <w:sz w:val="24"/>
          <w:szCs w:val="24"/>
          <w:highlight w:val="none"/>
        </w:rPr>
        <w:t>7、背景音乐：大气、优美。</w:t>
      </w:r>
    </w:p>
    <w:p>
      <w:pPr>
        <w:pStyle w:val="5"/>
        <w:spacing w:before="0" w:after="120" w:afterLines="50" w:line="360" w:lineRule="auto"/>
        <w:jc w:val="both"/>
        <w:rPr>
          <w:rFonts w:hint="eastAsia" w:ascii="宋体" w:hAnsi="宋体" w:eastAsia="宋体" w:cs="宋体"/>
          <w:bCs/>
          <w:color w:val="auto"/>
          <w:sz w:val="24"/>
          <w:szCs w:val="24"/>
          <w:highlight w:val="none"/>
        </w:rPr>
      </w:pPr>
      <w:bookmarkStart w:id="163" w:name="_Toc15401"/>
      <w:r>
        <w:rPr>
          <w:rFonts w:hint="eastAsia" w:ascii="宋体" w:hAnsi="宋体" w:eastAsia="宋体" w:cs="宋体"/>
          <w:bCs/>
          <w:color w:val="auto"/>
          <w:sz w:val="24"/>
          <w:szCs w:val="24"/>
          <w:highlight w:val="none"/>
          <w:lang w:eastAsia="zh-CN"/>
        </w:rPr>
        <w:t>（三）</w:t>
      </w:r>
      <w:r>
        <w:rPr>
          <w:rFonts w:hint="eastAsia" w:ascii="宋体" w:hAnsi="宋体" w:eastAsia="宋体" w:cs="宋体"/>
          <w:bCs/>
          <w:color w:val="auto"/>
          <w:sz w:val="24"/>
          <w:szCs w:val="24"/>
          <w:highlight w:val="none"/>
        </w:rPr>
        <w:t>技术要求</w:t>
      </w:r>
      <w:bookmarkEnd w:id="163"/>
    </w:p>
    <w:p>
      <w:pPr>
        <w:autoSpaceDN w:val="0"/>
        <w:spacing w:line="360" w:lineRule="auto"/>
        <w:ind w:firstLine="345"/>
        <w:jc w:val="left"/>
        <w:rPr>
          <w:rFonts w:hint="eastAsia"/>
          <w:color w:val="auto"/>
          <w:sz w:val="24"/>
          <w:szCs w:val="24"/>
          <w:highlight w:val="none"/>
        </w:rPr>
      </w:pPr>
      <w:r>
        <w:rPr>
          <w:color w:val="auto"/>
          <w:sz w:val="24"/>
          <w:szCs w:val="24"/>
          <w:highlight w:val="none"/>
        </w:rPr>
        <w:t>通过专业的创意和策划，利用摄影摄像、虚拟机理动画、航拍、影视特效、音效、场景等手段</w:t>
      </w:r>
      <w:r>
        <w:rPr>
          <w:rFonts w:hint="eastAsia"/>
          <w:color w:val="auto"/>
          <w:sz w:val="24"/>
          <w:szCs w:val="24"/>
          <w:highlight w:val="none"/>
        </w:rPr>
        <w:t>。</w:t>
      </w:r>
      <w:r>
        <w:rPr>
          <w:color w:val="auto"/>
          <w:sz w:val="24"/>
          <w:szCs w:val="24"/>
          <w:highlight w:val="none"/>
        </w:rPr>
        <w:t>要求宣传片在拍摄摄制中效果好，高度清晰。</w:t>
      </w:r>
      <w:r>
        <w:rPr>
          <w:rFonts w:hint="eastAsia"/>
          <w:color w:val="auto"/>
          <w:sz w:val="24"/>
          <w:szCs w:val="24"/>
          <w:highlight w:val="none"/>
          <w:lang w:val="en-US" w:eastAsia="zh-CN"/>
        </w:rPr>
        <w:t>MP4、MOV</w:t>
      </w:r>
      <w:r>
        <w:rPr>
          <w:color w:val="auto"/>
          <w:sz w:val="24"/>
          <w:szCs w:val="24"/>
          <w:highlight w:val="none"/>
        </w:rPr>
        <w:t>均能播放，并可在电视、网络上发布传</w:t>
      </w:r>
      <w:r>
        <w:rPr>
          <w:rFonts w:hint="eastAsia"/>
          <w:color w:val="auto"/>
          <w:sz w:val="24"/>
          <w:szCs w:val="24"/>
          <w:highlight w:val="none"/>
        </w:rPr>
        <w:t>播</w:t>
      </w:r>
      <w:r>
        <w:rPr>
          <w:color w:val="auto"/>
          <w:sz w:val="24"/>
          <w:szCs w:val="24"/>
          <w:highlight w:val="none"/>
        </w:rPr>
        <w:t>。</w:t>
      </w:r>
    </w:p>
    <w:p>
      <w:pPr>
        <w:autoSpaceDN w:val="0"/>
        <w:spacing w:line="360" w:lineRule="auto"/>
        <w:ind w:left="426"/>
        <w:jc w:val="left"/>
        <w:rPr>
          <w:rFonts w:hint="eastAsia" w:eastAsia="宋体"/>
          <w:color w:val="auto"/>
          <w:sz w:val="24"/>
          <w:szCs w:val="24"/>
          <w:highlight w:val="none"/>
          <w:lang w:eastAsia="zh-CN"/>
        </w:rPr>
      </w:pPr>
      <w:r>
        <w:rPr>
          <w:rFonts w:hint="eastAsia"/>
          <w:color w:val="auto"/>
          <w:sz w:val="24"/>
          <w:szCs w:val="24"/>
          <w:highlight w:val="none"/>
        </w:rPr>
        <w:t>1、二维/三维动画镜头根据具体需要应不少于</w:t>
      </w:r>
      <w:r>
        <w:rPr>
          <w:rFonts w:hint="eastAsia"/>
          <w:color w:val="auto"/>
          <w:sz w:val="24"/>
          <w:szCs w:val="24"/>
          <w:highlight w:val="none"/>
          <w:lang w:val="en-US" w:eastAsia="zh-CN"/>
        </w:rPr>
        <w:t>3</w:t>
      </w:r>
      <w:r>
        <w:rPr>
          <w:rFonts w:hint="eastAsia"/>
          <w:color w:val="auto"/>
          <w:sz w:val="24"/>
          <w:szCs w:val="24"/>
          <w:highlight w:val="none"/>
        </w:rPr>
        <w:t>0秒钟</w:t>
      </w:r>
      <w:r>
        <w:rPr>
          <w:rFonts w:hint="eastAsia"/>
          <w:color w:val="auto"/>
          <w:sz w:val="24"/>
          <w:szCs w:val="24"/>
          <w:highlight w:val="none"/>
          <w:lang w:eastAsia="zh-CN"/>
        </w:rPr>
        <w:t>。</w:t>
      </w:r>
    </w:p>
    <w:p>
      <w:pPr>
        <w:autoSpaceDN w:val="0"/>
        <w:spacing w:line="360" w:lineRule="auto"/>
        <w:ind w:left="426"/>
        <w:jc w:val="left"/>
        <w:rPr>
          <w:rFonts w:hint="eastAsia"/>
          <w:color w:val="auto"/>
          <w:sz w:val="24"/>
          <w:szCs w:val="24"/>
          <w:highlight w:val="none"/>
        </w:rPr>
      </w:pPr>
      <w:r>
        <w:rPr>
          <w:rFonts w:hint="eastAsia"/>
          <w:color w:val="auto"/>
          <w:sz w:val="24"/>
          <w:szCs w:val="24"/>
          <w:highlight w:val="none"/>
        </w:rPr>
        <w:t>2、原始画面质量不低于</w:t>
      </w:r>
      <w:r>
        <w:rPr>
          <w:rFonts w:hint="eastAsia"/>
          <w:color w:val="auto"/>
          <w:sz w:val="24"/>
          <w:szCs w:val="24"/>
          <w:highlight w:val="none"/>
          <w:lang w:val="en-US" w:eastAsia="zh-CN"/>
        </w:rPr>
        <w:t>1080</w:t>
      </w:r>
      <w:r>
        <w:rPr>
          <w:rFonts w:hint="eastAsia"/>
          <w:color w:val="auto"/>
          <w:sz w:val="24"/>
          <w:szCs w:val="24"/>
          <w:highlight w:val="none"/>
        </w:rPr>
        <w:t>P。</w:t>
      </w:r>
    </w:p>
    <w:p>
      <w:pPr>
        <w:pStyle w:val="5"/>
        <w:spacing w:before="0" w:after="120" w:afterLines="50" w:line="360" w:lineRule="auto"/>
        <w:jc w:val="both"/>
        <w:rPr>
          <w:rFonts w:hint="eastAsia" w:ascii="宋体" w:hAnsi="宋体" w:eastAsia="宋体" w:cs="宋体"/>
          <w:bCs/>
          <w:color w:val="auto"/>
          <w:sz w:val="24"/>
          <w:szCs w:val="24"/>
          <w:highlight w:val="none"/>
          <w:lang w:val="en-US" w:eastAsia="zh-CN"/>
        </w:rPr>
      </w:pPr>
      <w:bookmarkStart w:id="164" w:name="_Toc24218"/>
      <w:r>
        <w:rPr>
          <w:rFonts w:hint="eastAsia" w:ascii="宋体" w:hAnsi="宋体" w:eastAsia="宋体" w:cs="宋体"/>
          <w:bCs/>
          <w:color w:val="auto"/>
          <w:sz w:val="24"/>
          <w:szCs w:val="24"/>
          <w:highlight w:val="none"/>
          <w:lang w:val="en-US" w:eastAsia="zh-CN"/>
        </w:rPr>
        <w:t>（四）拍摄设备要求</w:t>
      </w:r>
      <w:bookmarkEnd w:id="164"/>
    </w:p>
    <w:p>
      <w:pPr>
        <w:autoSpaceDN w:val="0"/>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根据拍摄脚本要求，拍摄设备需具备但不低于以下设备标准：</w:t>
      </w:r>
    </w:p>
    <w:p>
      <w:pPr>
        <w:keepNext w:val="0"/>
        <w:keepLines w:val="0"/>
        <w:pageBreakBefore w:val="0"/>
        <w:widowControl w:val="0"/>
        <w:numPr>
          <w:ilvl w:val="0"/>
          <w:numId w:val="6"/>
        </w:numPr>
        <w:kinsoku/>
        <w:wordWrap/>
        <w:overflowPunct/>
        <w:topLinePunct w:val="0"/>
        <w:autoSpaceDE/>
        <w:autoSpaceDN w:val="0"/>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拍摄器材</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ARRI ALEXA Mini 4K高清电影机</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12广角 25mm 35mm 50mm 85mm 105mm 45-250长焦等电影镜头组</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监视器</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无线无损图传</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2米长重型桌面滑轨</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便携式轻轨</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重型滑轨一套</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三轴大范围延迟摄影滑轨</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大疆悟2航拍器</w:t>
      </w:r>
    </w:p>
    <w:p>
      <w:pPr>
        <w:numPr>
          <w:ilvl w:val="0"/>
          <w:numId w:val="7"/>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索尼RS2全能版套装稳定器</w:t>
      </w:r>
    </w:p>
    <w:p>
      <w:pPr>
        <w:keepNext w:val="0"/>
        <w:keepLines w:val="0"/>
        <w:pageBreakBefore w:val="0"/>
        <w:widowControl w:val="0"/>
        <w:numPr>
          <w:ilvl w:val="0"/>
          <w:numId w:val="6"/>
        </w:numPr>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灯光器材</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500Ｗ超大功率影视ＬＥＤ聚光灯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400Ｗ大功率影视ＬＥＤ聚光灯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大功率ＬＥＤ影视平板灯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KINOFLO 4尺4管灯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575Ｗ便携式镝灯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手持ＬＥＤ棒灯</w:t>
      </w:r>
    </w:p>
    <w:p>
      <w:pPr>
        <w:numPr>
          <w:ilvl w:val="0"/>
          <w:numId w:val="8"/>
        </w:numPr>
        <w:autoSpaceDN w:val="0"/>
        <w:spacing w:line="360" w:lineRule="auto"/>
        <w:ind w:left="210" w:leftChars="0" w:firstLine="0" w:firstLineChars="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 旗板、魔术腿、反光板等附件</w:t>
      </w:r>
    </w:p>
    <w:p>
      <w:pPr>
        <w:keepNext w:val="0"/>
        <w:keepLines w:val="0"/>
        <w:pageBreakBefore w:val="0"/>
        <w:widowControl w:val="0"/>
        <w:numPr>
          <w:ilvl w:val="0"/>
          <w:numId w:val="6"/>
        </w:numPr>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车辆要求</w:t>
      </w:r>
    </w:p>
    <w:p>
      <w:pPr>
        <w:numPr>
          <w:ilvl w:val="0"/>
          <w:numId w:val="9"/>
        </w:numPr>
        <w:autoSpaceDN w:val="0"/>
        <w:spacing w:line="360" w:lineRule="auto"/>
        <w:ind w:left="210" w:leftChars="0" w:firstLine="0" w:firstLineChars="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要配备1辆7座商务车作为拍摄交通工具</w:t>
      </w:r>
    </w:p>
    <w:p>
      <w:pPr>
        <w:bidi w:val="0"/>
        <w:rPr>
          <w:rFonts w:hint="eastAsia"/>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3"/>
        <w:rPr>
          <w:rFonts w:hint="eastAsia" w:ascii="宋体" w:hAnsi="宋体" w:eastAsia="宋体" w:cs="宋体"/>
          <w:color w:val="auto"/>
          <w:highlight w:val="none"/>
        </w:rPr>
      </w:pPr>
      <w:bookmarkStart w:id="165" w:name="_Toc23976"/>
      <w:r>
        <w:rPr>
          <w:rFonts w:hint="eastAsia" w:ascii="宋体" w:hAnsi="宋体" w:eastAsia="宋体" w:cs="宋体"/>
          <w:color w:val="auto"/>
          <w:highlight w:val="none"/>
        </w:rPr>
        <w:t>第四</w:t>
      </w:r>
      <w:bookmarkEnd w:id="133"/>
      <w:bookmarkStart w:id="166" w:name="_Toc246928931"/>
      <w:r>
        <w:rPr>
          <w:rFonts w:hint="eastAsia" w:ascii="宋体" w:hAnsi="宋体" w:eastAsia="宋体" w:cs="宋体"/>
          <w:color w:val="auto"/>
          <w:highlight w:val="none"/>
        </w:rPr>
        <w:t>章  合同一般条款</w:t>
      </w:r>
      <w:bookmarkEnd w:id="134"/>
      <w:bookmarkEnd w:id="135"/>
      <w:bookmarkEnd w:id="136"/>
      <w:bookmarkEnd w:id="137"/>
      <w:bookmarkEnd w:id="138"/>
      <w:bookmarkEnd w:id="139"/>
      <w:bookmarkEnd w:id="140"/>
      <w:bookmarkEnd w:id="141"/>
      <w:bookmarkEnd w:id="142"/>
      <w:bookmarkEnd w:id="166"/>
      <w:r>
        <w:rPr>
          <w:rFonts w:hint="eastAsia" w:ascii="宋体" w:hAnsi="宋体" w:eastAsia="宋体" w:cs="宋体"/>
          <w:color w:val="auto"/>
          <w:highlight w:val="none"/>
        </w:rPr>
        <w:t>（参考格式）</w:t>
      </w:r>
      <w:bookmarkEnd w:id="165"/>
    </w:p>
    <w:p>
      <w:pPr>
        <w:jc w:val="center"/>
        <w:rPr>
          <w:rFonts w:hint="eastAsia" w:ascii="宋体" w:hAnsi="宋体" w:eastAsia="宋体" w:cs="宋体"/>
          <w:color w:val="auto"/>
          <w:highlight w:val="none"/>
        </w:rPr>
      </w:pPr>
      <w:bookmarkStart w:id="167" w:name="_Toc246928960"/>
      <w:bookmarkStart w:id="168" w:name="_Toc385992402"/>
      <w:bookmarkStart w:id="169" w:name="_Toc497711586"/>
      <w:bookmarkStart w:id="170" w:name="_Toc497712134"/>
      <w:bookmarkStart w:id="171" w:name="_Toc497551821"/>
      <w:bookmarkStart w:id="172" w:name="_Toc389620242"/>
      <w:bookmarkStart w:id="173" w:name="_Toc492955460"/>
      <w:bookmarkStart w:id="174" w:name="_Toc497546919"/>
      <w:r>
        <w:rPr>
          <w:rFonts w:hint="eastAsia" w:ascii="宋体" w:hAnsi="宋体" w:eastAsia="宋体" w:cs="宋体"/>
          <w:b/>
          <w:color w:val="auto"/>
          <w:sz w:val="24"/>
          <w:highlight w:val="none"/>
        </w:rPr>
        <w:t>政府采购合同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西安市灞桥区农业农村局</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（以下简称甲方）</w:t>
      </w:r>
      <w:r>
        <w:rPr>
          <w:rFonts w:hint="eastAsia" w:ascii="宋体" w:hAnsi="宋体" w:eastAsia="宋体" w:cs="宋体"/>
          <w:color w:val="auto"/>
          <w:sz w:val="24"/>
          <w:highlight w:val="none"/>
        </w:rPr>
        <w:t>采购，在</w:t>
      </w:r>
      <w:r>
        <w:rPr>
          <w:rFonts w:hint="eastAsia" w:ascii="宋体" w:hAnsi="宋体" w:cs="宋体"/>
          <w:color w:val="auto"/>
          <w:sz w:val="24"/>
          <w:highlight w:val="none"/>
          <w:u w:val="single"/>
          <w:lang w:val="en-US" w:eastAsia="zh-CN"/>
        </w:rPr>
        <w:t>西安市灞桥区财政局</w:t>
      </w:r>
      <w:r>
        <w:rPr>
          <w:rFonts w:hint="eastAsia" w:ascii="宋体" w:hAnsi="宋体" w:eastAsia="宋体" w:cs="宋体"/>
          <w:color w:val="auto"/>
          <w:sz w:val="24"/>
          <w:highlight w:val="none"/>
        </w:rPr>
        <w:t>的监督管理下，由</w:t>
      </w:r>
      <w:r>
        <w:rPr>
          <w:rFonts w:hint="eastAsia" w:ascii="宋体" w:hAnsi="宋体" w:eastAsia="宋体" w:cs="宋体"/>
          <w:color w:val="auto"/>
          <w:sz w:val="24"/>
          <w:highlight w:val="none"/>
          <w:u w:val="single"/>
        </w:rPr>
        <w:t>陕西</w:t>
      </w:r>
      <w:r>
        <w:rPr>
          <w:rFonts w:hint="eastAsia" w:ascii="宋体" w:hAnsi="宋体" w:eastAsia="宋体" w:cs="宋体"/>
          <w:color w:val="auto"/>
          <w:sz w:val="24"/>
          <w:highlight w:val="none"/>
          <w:u w:val="single"/>
          <w:lang w:val="en-US" w:eastAsia="zh-CN"/>
        </w:rPr>
        <w:t>中信海诚造价咨询</w:t>
      </w:r>
      <w:r>
        <w:rPr>
          <w:rFonts w:hint="eastAsia" w:ascii="宋体" w:hAnsi="宋体" w:eastAsia="宋体" w:cs="宋体"/>
          <w:color w:val="auto"/>
          <w:sz w:val="24"/>
          <w:highlight w:val="none"/>
          <w:u w:val="single"/>
        </w:rPr>
        <w:t>有限公司</w:t>
      </w:r>
      <w:r>
        <w:rPr>
          <w:rFonts w:hint="eastAsia" w:ascii="宋体" w:hAnsi="宋体" w:eastAsia="宋体" w:cs="宋体"/>
          <w:color w:val="auto"/>
          <w:sz w:val="24"/>
          <w:highlight w:val="none"/>
        </w:rPr>
        <w:t>组织采购，选定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(以下简称乙方）为该项目成交供应商。依据《中华人民共和国民法典》和《中华人民共和国政府采购法》，经甲、乙双方共同协商，按下述条款和条件签署本合同。</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一、合同内容</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灞桥葡萄宣传片拍摄制作播放</w:t>
      </w:r>
      <w:r>
        <w:rPr>
          <w:rFonts w:hint="eastAsia" w:ascii="宋体" w:hAnsi="宋体" w:eastAsia="宋体" w:cs="宋体"/>
          <w:color w:val="auto"/>
          <w:sz w:val="24"/>
          <w:highlight w:val="none"/>
          <w:u w:val="single"/>
          <w:lang w:eastAsia="zh-CN"/>
        </w:rPr>
        <w:t>项目</w:t>
      </w:r>
      <w:r>
        <w:rPr>
          <w:rFonts w:hint="eastAsia" w:ascii="宋体" w:hAnsi="宋体" w:eastAsia="宋体" w:cs="宋体"/>
          <w:color w:val="auto"/>
          <w:sz w:val="24"/>
          <w:highlight w:val="none"/>
        </w:rPr>
        <w:t>，乙方负责按照合同确定的项目内容及组织安排完成项目，确保各项服务指标达到要求。</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二、合同价格</w:t>
      </w:r>
    </w:p>
    <w:p>
      <w:pPr>
        <w:spacing w:line="360" w:lineRule="auto"/>
        <w:ind w:left="420" w:leftChars="200"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r>
        <w:rPr>
          <w:rFonts w:hint="eastAsia" w:ascii="宋体" w:hAnsi="宋体" w:eastAsia="宋体" w:cs="宋体"/>
          <w:color w:val="auto"/>
          <w:sz w:val="24"/>
          <w:highlight w:val="none"/>
          <w:u w:val="single"/>
        </w:rPr>
        <w:t xml:space="preserve">人民币       元整（¥         元） </w:t>
      </w:r>
    </w:p>
    <w:p>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说明：合同总价一次包死，不受市场价格变化的影响，并作为结算的唯一依据。</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三、合同款项支付</w:t>
      </w:r>
    </w:p>
    <w:p>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single"/>
          <w:lang w:val="en-US" w:eastAsia="zh-CN"/>
        </w:rPr>
        <w:t xml:space="preserve">                   。</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四、服务条件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（一）服务地点：采购人指定地点。</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（二）服务期：</w:t>
      </w:r>
      <w:r>
        <w:rPr>
          <w:rFonts w:hint="eastAsia" w:ascii="宋体" w:hAnsi="宋体" w:cs="宋体"/>
          <w:color w:val="auto"/>
          <w:sz w:val="24"/>
          <w:highlight w:val="none"/>
          <w:u w:val="single"/>
          <w:lang w:eastAsia="zh-CN"/>
        </w:rPr>
        <w:t>合同签订后20日</w:t>
      </w:r>
      <w:r>
        <w:rPr>
          <w:rFonts w:hint="eastAsia" w:ascii="宋体" w:hAnsi="宋体" w:cs="宋体"/>
          <w:color w:val="auto"/>
          <w:sz w:val="24"/>
          <w:highlight w:val="none"/>
          <w:u w:val="single"/>
          <w:lang w:val="en-US" w:eastAsia="zh-CN"/>
        </w:rPr>
        <w:t>历日</w:t>
      </w:r>
      <w:r>
        <w:rPr>
          <w:rFonts w:hint="eastAsia" w:ascii="宋体" w:hAnsi="宋体" w:cs="宋体"/>
          <w:color w:val="auto"/>
          <w:sz w:val="24"/>
          <w:highlight w:val="none"/>
          <w:u w:val="single"/>
          <w:lang w:eastAsia="zh-CN"/>
        </w:rPr>
        <w:t>内完成工作</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成交供应商未征得采购人同意和谅解而单方面延迟服务，将按违约终止合同。</w:t>
      </w:r>
    </w:p>
    <w:p>
      <w:pPr>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成交供应商遇到可能妨碍按时服务和提供服务的情况，应当及时以书面形式通知采购人，说明原由、拖延的期限等；采购人、采购代理机构在收到通知后，尽快进行情况评估并确定是否通过修改合同，酌情延长服务时间或者通过协商加收误期赔偿金。</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五、质量保证</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成交供应商应当明确服务公约，坚持质量优先、管理先行，切实加强文博融媒体平台运维监管，显著提升影响力。</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知识产权：成交供应商应保证采购人在使用成交服务时，不承担任何涉及知识产权法律诉讼的责任。</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六、服务承诺</w:t>
      </w:r>
    </w:p>
    <w:p>
      <w:pPr>
        <w:spacing w:line="360" w:lineRule="auto"/>
        <w:ind w:firstLine="600" w:firstLineChars="25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（此处填写内容应与响应文件一致）</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 甲方乙方的权利和义务</w:t>
      </w:r>
    </w:p>
    <w:p>
      <w:pPr>
        <w:snapToGrid w:val="0"/>
        <w:spacing w:line="360" w:lineRule="auto"/>
        <w:ind w:firstLine="600" w:firstLineChars="25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 甲方的权利和义务</w:t>
      </w:r>
    </w:p>
    <w:p>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2. 乙方的权利和义务</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八、违约责任</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（一）按《中华人民共和国民法典》中的相关条款执行。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（二）未按合同要求提供服务不能满足采购要求，采购人有权终止合同，甚至对供方违约行为进行追究。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（三）如有纠纷，双方友好协商解决，协商不成时可诉讼到甲方所在地人民法院解决。</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九、其他事项</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val="en-US" w:eastAsia="zh-CN"/>
        </w:rPr>
        <w:t>西安市灞桥区财政局</w:t>
      </w:r>
      <w:r>
        <w:rPr>
          <w:rFonts w:hint="eastAsia" w:ascii="宋体" w:hAnsi="宋体" w:eastAsia="宋体" w:cs="宋体"/>
          <w:color w:val="auto"/>
          <w:sz w:val="24"/>
          <w:highlight w:val="none"/>
        </w:rPr>
        <w:t>在合同的履行期间以及履行期后，可以随时检查项目的执行情况，对采购标准、采购内容进行调查核实，并对发现的问题进行处理。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（二）本合同一式六份，甲方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四份，乙方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一份，采购代理机构一份，甲乙双方签字盖章后生效。</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Cs/>
          <w:color w:val="auto"/>
          <w:sz w:val="24"/>
          <w:highlight w:val="none"/>
        </w:rPr>
        <w:t>磋商文件、响应文件也是合同的组成部分，合同中未约定的以磋商文件、响应文件为准。</w:t>
      </w:r>
    </w:p>
    <w:p>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合同签订地点：   </w:t>
      </w:r>
    </w:p>
    <w:p>
      <w:pPr>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    年   月    日</w:t>
      </w: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单位名称：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单位名称： </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地    址：</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法人代表：                         法人代表： </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联系电话： </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 户 行：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开 户 行： </w:t>
      </w:r>
    </w:p>
    <w:p>
      <w:pPr>
        <w:adjustRightInd w:val="0"/>
        <w:snapToGrid w:val="0"/>
        <w:spacing w:line="360" w:lineRule="auto"/>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账    号：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账    号：</w:t>
      </w:r>
    </w:p>
    <w:p>
      <w:pPr>
        <w:pStyle w:val="4"/>
        <w:spacing w:before="312" w:beforeLines="100" w:after="312" w:afterLines="100" w:line="360" w:lineRule="auto"/>
        <w:jc w:val="both"/>
        <w:rPr>
          <w:rFonts w:hint="eastAsia" w:ascii="宋体" w:hAnsi="宋体" w:eastAsia="宋体" w:cs="宋体"/>
          <w:color w:val="auto"/>
          <w:sz w:val="24"/>
          <w:highlight w:val="none"/>
          <w:u w:val="single"/>
        </w:rPr>
        <w:sectPr>
          <w:headerReference r:id="rId11" w:type="default"/>
          <w:pgSz w:w="11906" w:h="16838"/>
          <w:pgMar w:top="1440" w:right="1800" w:bottom="1440" w:left="1800" w:header="851" w:footer="992" w:gutter="0"/>
          <w:pgNumType w:fmt="decimal"/>
          <w:cols w:space="720" w:num="1"/>
          <w:docGrid w:type="lines" w:linePitch="312" w:charSpace="0"/>
        </w:sectPr>
      </w:pPr>
    </w:p>
    <w:p>
      <w:pPr>
        <w:pStyle w:val="23"/>
        <w:rPr>
          <w:rFonts w:hint="eastAsia" w:ascii="宋体" w:hAnsi="宋体" w:eastAsia="宋体" w:cs="宋体"/>
          <w:color w:val="auto"/>
          <w:highlight w:val="none"/>
        </w:rPr>
      </w:pPr>
      <w:bookmarkStart w:id="175" w:name="_Toc519091924"/>
      <w:bookmarkStart w:id="176" w:name="_Toc15378"/>
      <w:bookmarkStart w:id="177" w:name="_Toc3770"/>
      <w:bookmarkStart w:id="178" w:name="_Toc519091209"/>
      <w:bookmarkStart w:id="179" w:name="_Toc519085742"/>
      <w:bookmarkStart w:id="180" w:name="_Toc2252"/>
      <w:r>
        <w:rPr>
          <w:rFonts w:hint="eastAsia" w:ascii="宋体" w:hAnsi="宋体" w:eastAsia="宋体" w:cs="宋体"/>
          <w:color w:val="auto"/>
          <w:highlight w:val="none"/>
        </w:rPr>
        <w:t>第五章  附件--磋商响应文件格式</w:t>
      </w:r>
      <w:bookmarkEnd w:id="167"/>
      <w:bookmarkEnd w:id="175"/>
      <w:bookmarkEnd w:id="176"/>
      <w:bookmarkEnd w:id="177"/>
      <w:bookmarkEnd w:id="178"/>
      <w:bookmarkEnd w:id="179"/>
      <w:bookmarkEnd w:id="180"/>
    </w:p>
    <w:bookmarkEnd w:id="168"/>
    <w:bookmarkEnd w:id="169"/>
    <w:bookmarkEnd w:id="170"/>
    <w:bookmarkEnd w:id="171"/>
    <w:bookmarkEnd w:id="172"/>
    <w:bookmarkEnd w:id="173"/>
    <w:bookmarkEnd w:id="174"/>
    <w:p>
      <w:pPr>
        <w:spacing w:line="360" w:lineRule="auto"/>
        <w:rPr>
          <w:rFonts w:hint="eastAsia" w:ascii="宋体" w:hAnsi="宋体" w:eastAsia="宋体" w:cs="宋体"/>
          <w:b/>
          <w:bCs/>
          <w:color w:val="auto"/>
          <w:sz w:val="24"/>
          <w:szCs w:val="24"/>
          <w:highlight w:val="none"/>
        </w:rPr>
      </w:pPr>
      <w:bookmarkStart w:id="181" w:name="_Toc357087379"/>
      <w:bookmarkStart w:id="182" w:name="_Toc357061558"/>
      <w:bookmarkStart w:id="183" w:name="_Toc30434"/>
      <w:bookmarkStart w:id="184" w:name="_Toc18978"/>
      <w:bookmarkStart w:id="185" w:name="_Toc246928961"/>
      <w:bookmarkStart w:id="186" w:name="_Toc128557264"/>
      <w:bookmarkStart w:id="187" w:name="_Toc246928962"/>
      <w:bookmarkStart w:id="188" w:name="_Toc389620244"/>
      <w:bookmarkStart w:id="189" w:name="_Toc497546922"/>
      <w:bookmarkStart w:id="190" w:name="_Toc497711589"/>
      <w:bookmarkStart w:id="191" w:name="_Toc385992404"/>
      <w:bookmarkStart w:id="192" w:name="_Toc492955463"/>
      <w:bookmarkStart w:id="193" w:name="_Toc497551824"/>
      <w:bookmarkStart w:id="194" w:name="_Toc497712137"/>
    </w:p>
    <w:p>
      <w:pPr>
        <w:pStyle w:val="5"/>
        <w:spacing w:line="360" w:lineRule="auto"/>
        <w:rPr>
          <w:rFonts w:hint="eastAsia" w:ascii="宋体" w:hAnsi="宋体" w:eastAsia="宋体" w:cs="宋体"/>
          <w:color w:val="auto"/>
          <w:highlight w:val="none"/>
        </w:rPr>
      </w:pPr>
      <w:bookmarkStart w:id="195" w:name="_Toc15394"/>
      <w:r>
        <w:rPr>
          <w:rFonts w:hint="eastAsia" w:ascii="宋体" w:hAnsi="宋体" w:eastAsia="宋体" w:cs="宋体"/>
          <w:bCs/>
          <w:color w:val="auto"/>
          <w:sz w:val="24"/>
          <w:szCs w:val="24"/>
          <w:highlight w:val="none"/>
        </w:rPr>
        <w:t>一、</w:t>
      </w:r>
      <w:bookmarkEnd w:id="181"/>
      <w:bookmarkEnd w:id="182"/>
      <w:r>
        <w:rPr>
          <w:rFonts w:hint="eastAsia" w:ascii="宋体" w:hAnsi="宋体" w:eastAsia="宋体" w:cs="宋体"/>
          <w:bCs/>
          <w:color w:val="auto"/>
          <w:sz w:val="24"/>
          <w:szCs w:val="24"/>
          <w:highlight w:val="none"/>
        </w:rPr>
        <w:t>封面</w:t>
      </w:r>
      <w:bookmarkEnd w:id="183"/>
      <w:bookmarkEnd w:id="184"/>
      <w:bookmarkEnd w:id="195"/>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18"/>
          <w:szCs w:val="16"/>
          <w:highlight w:val="none"/>
        </w:rPr>
        <w:t xml:space="preserve">     </w:t>
      </w:r>
      <w:r>
        <w:rPr>
          <w:rFonts w:hint="eastAsia" w:ascii="宋体" w:hAnsi="宋体" w:eastAsia="宋体" w:cs="宋体"/>
          <w:color w:val="auto"/>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0"/>
          <w:szCs w:val="30"/>
          <w:highlight w:val="none"/>
        </w:rPr>
        <w:t>正本/副本</w:t>
      </w:r>
      <w:r>
        <w:rPr>
          <w:rFonts w:hint="eastAsia" w:ascii="宋体" w:hAnsi="宋体" w:eastAsia="宋体" w:cs="宋体"/>
          <w:b/>
          <w:bCs/>
          <w:color w:val="auto"/>
          <w:sz w:val="32"/>
          <w:szCs w:val="32"/>
          <w:highlight w:val="none"/>
        </w:rPr>
        <w:t>）</w:t>
      </w: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32"/>
          <w:highlight w:val="none"/>
        </w:rPr>
      </w:pPr>
    </w:p>
    <w:p>
      <w:pPr>
        <w:spacing w:line="360" w:lineRule="auto"/>
        <w:jc w:val="left"/>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32"/>
          <w:highlight w:val="none"/>
        </w:rPr>
        <w:t>项目编号：</w:t>
      </w:r>
    </w:p>
    <w:p>
      <w:pPr>
        <w:jc w:val="center"/>
        <w:rPr>
          <w:rFonts w:hint="eastAsia" w:ascii="宋体" w:hAnsi="宋体" w:eastAsia="宋体" w:cs="宋体"/>
          <w:b/>
          <w:color w:val="auto"/>
          <w:sz w:val="44"/>
          <w:szCs w:val="44"/>
          <w:highlight w:val="none"/>
        </w:rPr>
      </w:pPr>
    </w:p>
    <w:p>
      <w:pPr>
        <w:jc w:val="center"/>
        <w:rPr>
          <w:rFonts w:hint="eastAsia" w:ascii="宋体" w:hAnsi="宋体" w:eastAsia="宋体" w:cs="宋体"/>
          <w:b/>
          <w:color w:val="auto"/>
          <w:sz w:val="44"/>
          <w:szCs w:val="44"/>
          <w:highlight w:val="none"/>
        </w:rPr>
      </w:pPr>
    </w:p>
    <w:p>
      <w:pPr>
        <w:spacing w:line="480" w:lineRule="auto"/>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xml:space="preserve">            </w:t>
      </w:r>
      <w:r>
        <w:rPr>
          <w:rFonts w:hint="eastAsia" w:ascii="宋体" w:hAnsi="宋体" w:eastAsia="宋体" w:cs="宋体"/>
          <w:b/>
          <w:color w:val="auto"/>
          <w:sz w:val="36"/>
          <w:szCs w:val="36"/>
          <w:highlight w:val="none"/>
          <w:u w:val="single"/>
        </w:rPr>
        <w:t xml:space="preserve">                   项目名称</w:t>
      </w:r>
    </w:p>
    <w:p>
      <w:pPr>
        <w:spacing w:line="480" w:lineRule="auto"/>
        <w:rPr>
          <w:rFonts w:hint="eastAsia" w:ascii="宋体" w:hAnsi="宋体" w:eastAsia="宋体" w:cs="宋体"/>
          <w:b/>
          <w:color w:val="auto"/>
          <w:sz w:val="36"/>
          <w:szCs w:val="36"/>
          <w:highlight w:val="none"/>
          <w:u w:val="single"/>
        </w:rPr>
      </w:pPr>
    </w:p>
    <w:p>
      <w:pPr>
        <w:rPr>
          <w:rFonts w:hint="eastAsia" w:ascii="宋体" w:hAnsi="宋体" w:eastAsia="宋体" w:cs="宋体"/>
          <w:b/>
          <w:color w:val="auto"/>
          <w:sz w:val="48"/>
          <w:highlight w:val="none"/>
        </w:rPr>
      </w:pPr>
    </w:p>
    <w:p>
      <w:pPr>
        <w:jc w:val="center"/>
        <w:rPr>
          <w:rFonts w:hint="eastAsia" w:ascii="宋体" w:hAnsi="宋体" w:eastAsia="宋体" w:cs="宋体"/>
          <w:b/>
          <w:color w:val="auto"/>
          <w:sz w:val="72"/>
          <w:szCs w:val="48"/>
          <w:highlight w:val="none"/>
        </w:rPr>
      </w:pPr>
      <w:r>
        <w:rPr>
          <w:rFonts w:hint="eastAsia" w:ascii="宋体" w:hAnsi="宋体" w:eastAsia="宋体" w:cs="宋体"/>
          <w:b/>
          <w:color w:val="auto"/>
          <w:sz w:val="72"/>
          <w:szCs w:val="48"/>
          <w:highlight w:val="none"/>
        </w:rPr>
        <w:t xml:space="preserve">磋商响应文件 </w:t>
      </w: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p>
    <w:p>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360" w:lineRule="auto"/>
        <w:ind w:firstLine="1265" w:firstLineChars="45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磋商供应商：</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 xml:space="preserve">（盖章）   </w:t>
      </w:r>
    </w:p>
    <w:p>
      <w:pPr>
        <w:jc w:val="center"/>
        <w:rPr>
          <w:rFonts w:hint="eastAsia" w:ascii="宋体" w:hAnsi="宋体" w:eastAsia="宋体" w:cs="宋体"/>
          <w:b/>
          <w:color w:val="auto"/>
          <w:sz w:val="28"/>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月</w:t>
      </w:r>
      <w:r>
        <w:rPr>
          <w:rFonts w:hint="eastAsia" w:ascii="宋体" w:hAnsi="宋体" w:eastAsia="宋体" w:cs="宋体"/>
          <w:b/>
          <w:color w:val="auto"/>
          <w:sz w:val="28"/>
          <w:highlight w:val="none"/>
          <w:u w:val="single"/>
        </w:rPr>
        <w:t xml:space="preserve">   </w:t>
      </w:r>
      <w:r>
        <w:rPr>
          <w:rFonts w:hint="eastAsia" w:ascii="宋体" w:hAnsi="宋体" w:eastAsia="宋体" w:cs="宋体"/>
          <w:b/>
          <w:color w:val="auto"/>
          <w:sz w:val="28"/>
          <w:highlight w:val="none"/>
        </w:rPr>
        <w:t>日</w:t>
      </w:r>
    </w:p>
    <w:p>
      <w:pPr>
        <w:rPr>
          <w:rFonts w:hint="eastAsia" w:ascii="宋体" w:hAnsi="宋体" w:eastAsia="宋体" w:cs="宋体"/>
          <w:color w:val="auto"/>
          <w:highlight w:val="none"/>
        </w:rPr>
      </w:pPr>
      <w:bookmarkStart w:id="196" w:name="_Toc21305"/>
      <w:bookmarkStart w:id="197" w:name="_Toc357087380"/>
    </w:p>
    <w:p>
      <w:pPr>
        <w:rPr>
          <w:rFonts w:hint="eastAsia" w:ascii="宋体" w:hAnsi="宋体" w:eastAsia="宋体" w:cs="宋体"/>
          <w:color w:val="auto"/>
          <w:highlight w:val="none"/>
        </w:rPr>
      </w:pP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p>
      <w:pPr>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书脊格式（规定格式）</w:t>
      </w:r>
    </w:p>
    <w:p>
      <w:pPr>
        <w:widowControl/>
        <w:spacing w:line="400" w:lineRule="exact"/>
        <w:jc w:val="center"/>
        <w:rPr>
          <w:rFonts w:hint="eastAsia" w:ascii="宋体" w:hAnsi="宋体" w:eastAsia="宋体" w:cs="宋体"/>
          <w:color w:val="auto"/>
          <w:kern w:val="0"/>
          <w:sz w:val="28"/>
          <w:szCs w:val="28"/>
          <w:highlight w:val="none"/>
          <w:u w:color="000000"/>
        </w:rPr>
      </w:pPr>
      <w:r>
        <w:rPr>
          <w:rFonts w:hint="eastAsia" w:ascii="宋体" w:hAnsi="宋体" w:eastAsia="宋体" w:cs="宋体"/>
          <w:color w:val="auto"/>
          <w:kern w:val="0"/>
          <w:sz w:val="28"/>
          <w:szCs w:val="28"/>
          <w:highlight w:val="none"/>
          <w:u w:color="000000"/>
        </w:rPr>
        <w:t>书脊格式</w:t>
      </w:r>
    </w:p>
    <w:p>
      <w:pPr>
        <w:widowControl/>
        <w:spacing w:line="400" w:lineRule="exact"/>
        <w:jc w:val="center"/>
        <w:rPr>
          <w:rFonts w:hint="eastAsia" w:ascii="宋体" w:hAnsi="宋体" w:eastAsia="宋体" w:cs="宋体"/>
          <w:color w:val="auto"/>
          <w:kern w:val="0"/>
          <w:sz w:val="28"/>
          <w:szCs w:val="28"/>
          <w:highlight w:val="none"/>
          <w:u w:color="000000"/>
        </w:rPr>
      </w:pPr>
    </w:p>
    <w:tbl>
      <w:tblPr>
        <w:tblStyle w:val="26"/>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3" w:hRule="atLeast"/>
        </w:trPr>
        <w:tc>
          <w:tcPr>
            <w:tcW w:w="817" w:type="dxa"/>
            <w:textDirection w:val="tbRlV"/>
            <w:vAlign w:val="center"/>
          </w:tcPr>
          <w:p>
            <w:pPr>
              <w:widowControl/>
              <w:spacing w:line="400" w:lineRule="exact"/>
              <w:ind w:left="113" w:right="113"/>
              <w:textAlignment w:val="baseline"/>
              <w:rPr>
                <w:rFonts w:hint="eastAsia" w:ascii="宋体" w:hAnsi="宋体" w:eastAsia="宋体" w:cs="宋体"/>
                <w:b/>
                <w:color w:val="auto"/>
                <w:kern w:val="0"/>
                <w:szCs w:val="21"/>
                <w:highlight w:val="none"/>
                <w:u w:color="000000"/>
              </w:rPr>
            </w:pPr>
            <w:r>
              <w:rPr>
                <w:rFonts w:hint="eastAsia" w:ascii="宋体" w:hAnsi="宋体" w:eastAsia="宋体" w:cs="宋体"/>
                <w:b/>
                <w:bCs/>
                <w:color w:val="auto"/>
                <w:kern w:val="0"/>
                <w:szCs w:val="21"/>
                <w:highlight w:val="none"/>
                <w:u w:color="000000"/>
              </w:rPr>
              <w:t>项目编号：              项目名称：                          投标单位名称：</w:t>
            </w:r>
          </w:p>
        </w:tc>
      </w:tr>
    </w:tbl>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bookmarkStart w:id="238" w:name="_GoBack"/>
      <w:bookmarkEnd w:id="238"/>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color w:val="auto"/>
          <w:kern w:val="0"/>
          <w:sz w:val="28"/>
          <w:szCs w:val="28"/>
          <w:highlight w:val="none"/>
          <w:u w:color="000000"/>
        </w:rPr>
      </w:pPr>
    </w:p>
    <w:p>
      <w:pPr>
        <w:widowControl/>
        <w:spacing w:line="400" w:lineRule="exact"/>
        <w:jc w:val="center"/>
        <w:rPr>
          <w:rFonts w:hint="eastAsia" w:ascii="宋体" w:hAnsi="宋体" w:eastAsia="宋体" w:cs="宋体"/>
          <w:bCs/>
          <w:color w:val="auto"/>
          <w:kern w:val="0"/>
          <w:sz w:val="22"/>
          <w:szCs w:val="28"/>
          <w:highlight w:val="none"/>
        </w:rPr>
      </w:pPr>
    </w:p>
    <w:p>
      <w:pPr>
        <w:rPr>
          <w:rFonts w:hint="eastAsia" w:ascii="宋体" w:hAnsi="宋体" w:eastAsia="宋体" w:cs="宋体"/>
          <w:b/>
          <w:color w:val="auto"/>
          <w:sz w:val="24"/>
          <w:highlight w:val="none"/>
        </w:rPr>
      </w:pPr>
      <w:r>
        <w:rPr>
          <w:rFonts w:hint="eastAsia" w:ascii="宋体" w:hAnsi="宋体" w:eastAsia="宋体" w:cs="宋体"/>
          <w:bCs/>
          <w:color w:val="auto"/>
          <w:kern w:val="0"/>
          <w:sz w:val="22"/>
          <w:szCs w:val="28"/>
          <w:highlight w:val="none"/>
        </w:rPr>
        <w:t>注:书脊内容如果编辑空间不够，可以简写书脊内容标书厚度如小于1cm，可简化书脊</w:t>
      </w:r>
      <w:r>
        <w:rPr>
          <w:rFonts w:hint="eastAsia" w:ascii="宋体" w:hAnsi="宋体" w:eastAsia="宋体" w:cs="宋体"/>
          <w:b/>
          <w:color w:val="auto"/>
          <w:sz w:val="24"/>
          <w:highlight w:val="none"/>
        </w:rPr>
        <w:t>。</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198" w:name="_Toc16296"/>
      <w:r>
        <w:rPr>
          <w:rFonts w:hint="eastAsia" w:ascii="宋体" w:hAnsi="宋体" w:eastAsia="宋体" w:cs="宋体"/>
          <w:color w:val="auto"/>
          <w:highlight w:val="none"/>
        </w:rPr>
        <w:br w:type="page"/>
      </w:r>
    </w:p>
    <w:p>
      <w:pPr>
        <w:pStyle w:val="5"/>
        <w:rPr>
          <w:rFonts w:hint="eastAsia" w:ascii="宋体" w:hAnsi="宋体" w:eastAsia="宋体" w:cs="宋体"/>
          <w:color w:val="auto"/>
          <w:sz w:val="24"/>
          <w:szCs w:val="24"/>
          <w:highlight w:val="none"/>
        </w:rPr>
      </w:pPr>
      <w:bookmarkStart w:id="199" w:name="_Toc15055"/>
      <w:r>
        <w:rPr>
          <w:rFonts w:hint="eastAsia" w:ascii="宋体" w:hAnsi="宋体" w:eastAsia="宋体" w:cs="宋体"/>
          <w:color w:val="auto"/>
          <w:sz w:val="24"/>
          <w:szCs w:val="24"/>
          <w:highlight w:val="none"/>
        </w:rPr>
        <w:t>二、目录</w:t>
      </w:r>
      <w:bookmarkEnd w:id="198"/>
      <w:bookmarkEnd w:id="199"/>
    </w:p>
    <w:p>
      <w:pPr>
        <w:rPr>
          <w:rFonts w:hint="eastAsia" w:ascii="宋体" w:hAnsi="宋体" w:eastAsia="宋体" w:cs="宋体"/>
          <w:color w:val="auto"/>
          <w:szCs w:val="22"/>
          <w:highlight w:val="none"/>
        </w:rPr>
      </w:pPr>
    </w:p>
    <w:p>
      <w:pPr>
        <w:rPr>
          <w:rFonts w:hint="eastAsia" w:ascii="宋体" w:hAnsi="宋体" w:eastAsia="宋体" w:cs="宋体"/>
          <w:color w:val="auto"/>
          <w:sz w:val="24"/>
          <w:szCs w:val="24"/>
          <w:highlight w:val="none"/>
        </w:rPr>
        <w:sectPr>
          <w:footnotePr>
            <w:pos w:val="beneathText"/>
          </w:footnotePr>
          <w:pgSz w:w="11906" w:h="16838"/>
          <w:pgMar w:top="1440" w:right="1644" w:bottom="1219" w:left="1644" w:header="850" w:footer="992" w:gutter="0"/>
          <w:pgNumType w:fmt="decimal"/>
          <w:cols w:space="0" w:num="1"/>
          <w:titlePg/>
          <w:docGrid w:linePitch="312" w:charSpace="0"/>
        </w:sectPr>
      </w:pPr>
      <w:r>
        <w:rPr>
          <w:rFonts w:hint="eastAsia" w:ascii="宋体" w:hAnsi="宋体" w:eastAsia="宋体" w:cs="宋体"/>
          <w:color w:val="auto"/>
          <w:sz w:val="24"/>
          <w:szCs w:val="24"/>
          <w:highlight w:val="none"/>
        </w:rPr>
        <w:t>根据响应文件自行编制</w:t>
      </w:r>
      <w:r>
        <w:rPr>
          <w:rFonts w:hint="eastAsia" w:ascii="宋体" w:hAnsi="宋体" w:eastAsia="宋体" w:cs="宋体"/>
          <w:color w:val="auto"/>
          <w:sz w:val="24"/>
          <w:szCs w:val="24"/>
          <w:highlight w:val="none"/>
          <w:u w:val="single"/>
        </w:rPr>
        <w:t>详细、清晰、精准的目录</w:t>
      </w:r>
      <w:r>
        <w:rPr>
          <w:rFonts w:hint="eastAsia" w:ascii="宋体" w:hAnsi="宋体" w:eastAsia="宋体" w:cs="宋体"/>
          <w:color w:val="auto"/>
          <w:sz w:val="24"/>
          <w:szCs w:val="24"/>
          <w:highlight w:val="none"/>
        </w:rPr>
        <w:t>。</w:t>
      </w:r>
    </w:p>
    <w:p>
      <w:pPr>
        <w:widowControl/>
        <w:jc w:val="left"/>
        <w:rPr>
          <w:rFonts w:hint="eastAsia" w:ascii="宋体" w:hAnsi="宋体" w:eastAsia="宋体" w:cs="宋体"/>
          <w:color w:val="auto"/>
          <w:highlight w:val="none"/>
        </w:rPr>
      </w:pPr>
    </w:p>
    <w:p>
      <w:pPr>
        <w:pStyle w:val="5"/>
        <w:rPr>
          <w:rFonts w:hint="eastAsia" w:ascii="宋体" w:hAnsi="宋体" w:eastAsia="宋体" w:cs="宋体"/>
          <w:color w:val="auto"/>
          <w:sz w:val="24"/>
          <w:szCs w:val="24"/>
          <w:highlight w:val="none"/>
        </w:rPr>
      </w:pPr>
      <w:bookmarkStart w:id="200" w:name="_Toc519085751"/>
      <w:bookmarkStart w:id="201" w:name="_Toc4080"/>
      <w:r>
        <w:rPr>
          <w:rFonts w:hint="eastAsia" w:ascii="宋体" w:hAnsi="宋体" w:eastAsia="宋体" w:cs="宋体"/>
          <w:color w:val="auto"/>
          <w:sz w:val="24"/>
          <w:szCs w:val="24"/>
          <w:highlight w:val="none"/>
        </w:rPr>
        <w:t>三、</w:t>
      </w:r>
      <w:bookmarkEnd w:id="185"/>
      <w:bookmarkEnd w:id="196"/>
      <w:bookmarkEnd w:id="197"/>
      <w:bookmarkEnd w:id="200"/>
      <w:r>
        <w:rPr>
          <w:rFonts w:hint="eastAsia" w:ascii="宋体" w:hAnsi="宋体" w:eastAsia="宋体" w:cs="宋体"/>
          <w:color w:val="auto"/>
          <w:sz w:val="24"/>
          <w:szCs w:val="24"/>
          <w:highlight w:val="none"/>
        </w:rPr>
        <w:t>磋商响应函</w:t>
      </w:r>
      <w:bookmarkEnd w:id="201"/>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pacing w:val="4"/>
          <w:sz w:val="24"/>
          <w:highlight w:val="none"/>
          <w:u w:val="single"/>
        </w:rPr>
        <w:t xml:space="preserve">     （采购人名称）   </w:t>
      </w:r>
    </w:p>
    <w:p>
      <w:pPr>
        <w:spacing w:line="400" w:lineRule="atLeast"/>
        <w:rPr>
          <w:rFonts w:hint="eastAsia" w:ascii="宋体" w:hAnsi="宋体" w:eastAsia="宋体" w:cs="宋体"/>
          <w:color w:val="auto"/>
          <w:sz w:val="24"/>
          <w:highlight w:val="none"/>
        </w:rPr>
      </w:pPr>
    </w:p>
    <w:p>
      <w:pPr>
        <w:spacing w:line="400" w:lineRule="atLeas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采购项目的竞争性磋商文件，签字代表</w:t>
      </w:r>
      <w:r>
        <w:rPr>
          <w:rFonts w:hint="eastAsia" w:ascii="宋体" w:hAnsi="宋体" w:eastAsia="宋体" w:cs="宋体"/>
          <w:color w:val="auto"/>
          <w:sz w:val="24"/>
          <w:highlight w:val="none"/>
          <w:u w:val="single"/>
        </w:rPr>
        <w:t xml:space="preserve">              (全名、职务)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 xml:space="preserve"> (供应商名称、地址）</w:t>
      </w:r>
      <w:r>
        <w:rPr>
          <w:rFonts w:hint="eastAsia" w:ascii="宋体" w:hAnsi="宋体" w:eastAsia="宋体" w:cs="宋体"/>
          <w:color w:val="auto"/>
          <w:sz w:val="24"/>
          <w:highlight w:val="none"/>
        </w:rPr>
        <w:t>提交包含下述内容的磋商响应文件正本</w:t>
      </w:r>
      <w:r>
        <w:rPr>
          <w:rFonts w:hint="eastAsia" w:ascii="宋体" w:hAnsi="宋体" w:eastAsia="宋体" w:cs="宋体"/>
          <w:color w:val="auto"/>
          <w:sz w:val="24"/>
          <w:highlight w:val="none"/>
          <w:u w:val="single"/>
        </w:rPr>
        <w:t xml:space="preserve"> 壹 </w:t>
      </w:r>
      <w:r>
        <w:rPr>
          <w:rFonts w:hint="eastAsia" w:ascii="宋体" w:hAnsi="宋体" w:eastAsia="宋体" w:cs="宋体"/>
          <w:color w:val="auto"/>
          <w:sz w:val="24"/>
          <w:highlight w:val="none"/>
        </w:rPr>
        <w:t>份、副本一式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份，电子版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磋商响应函；</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首次磋商报价表；</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按磋商须知要求提供的全部文件和磋商文件要求的响应文件；</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供应商资格证明文件；</w:t>
      </w:r>
    </w:p>
    <w:p>
      <w:pPr>
        <w:spacing w:line="400" w:lineRule="atLeas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 已交纳磋商保证金，金额为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据此函，签字代表宣布同意如下：</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所附开标一览表中规定的报价为：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（即：大写金额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2.供应商将按磋商文件的规定履行合同责任和义务;</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3. 供应商已详细审查全部磋商文件，包括修改文件（如有的话）以及全部参考资料和有关附件。我们完全理解并同意放弃对这方面有不明及误解的权利；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4. 磋商报价自磋商响应文件截止之日起有效期为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如果在响应文件截止时间后，供应商在磋商有效期内撤回磋商报价；或成交后未按磋商文件中磋商须知规定的向采购代理机构交纳足额的招标代理服务费，其磋商保证金将被贵方没收；</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6. 供应商同意提供按照贵方可能要求的与其报价有关的一切数据或资料，完全理解贵方不一定要接受最低价的磋商报价或收到的任何磋商报价。</w:t>
      </w:r>
    </w:p>
    <w:p>
      <w:pPr>
        <w:spacing w:line="400" w:lineRule="atLeast"/>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与本磋商有关的一切正式往来通讯请寄：</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40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供应商代表姓名、职务（印刷体）：</w:t>
      </w:r>
      <w:r>
        <w:rPr>
          <w:rFonts w:hint="eastAsia" w:ascii="宋体" w:hAnsi="宋体" w:eastAsia="宋体" w:cs="宋体"/>
          <w:color w:val="auto"/>
          <w:sz w:val="24"/>
          <w:highlight w:val="none"/>
          <w:u w:val="single"/>
        </w:rPr>
        <w:t xml:space="preserve">                                   </w:t>
      </w:r>
    </w:p>
    <w:p>
      <w:pPr>
        <w:spacing w:line="40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40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atLeast"/>
        <w:ind w:firstLine="422"/>
        <w:jc w:val="center"/>
        <w:rPr>
          <w:rFonts w:hint="eastAsia" w:ascii="宋体" w:hAnsi="宋体" w:eastAsia="宋体" w:cs="宋体"/>
          <w:b/>
          <w:color w:val="auto"/>
          <w:highlight w:val="none"/>
        </w:rPr>
        <w:sectPr>
          <w:pgSz w:w="11906" w:h="16838"/>
          <w:pgMar w:top="1418" w:right="1644" w:bottom="1191" w:left="1758" w:header="720" w:footer="720" w:gutter="0"/>
          <w:pgNumType w:fmt="decimal"/>
          <w:cols w:space="720" w:num="1"/>
          <w:docGrid w:linePitch="312" w:charSpace="0"/>
        </w:sectPr>
      </w:pPr>
      <w:r>
        <w:rPr>
          <w:rFonts w:hint="eastAsia" w:ascii="宋体" w:hAnsi="宋体" w:eastAsia="宋体" w:cs="宋体"/>
          <w:color w:val="auto"/>
          <w:sz w:val="24"/>
          <w:highlight w:val="none"/>
        </w:rPr>
        <w:t xml:space="preserve">   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bookmarkEnd w:id="186"/>
      <w:bookmarkEnd w:id="187"/>
      <w:bookmarkStart w:id="202" w:name="_Toc519085752"/>
    </w:p>
    <w:p>
      <w:pPr>
        <w:pStyle w:val="5"/>
        <w:ind w:firstLine="562"/>
        <w:rPr>
          <w:rFonts w:hint="eastAsia" w:ascii="宋体" w:hAnsi="宋体" w:eastAsia="宋体" w:cs="宋体"/>
          <w:color w:val="auto"/>
          <w:sz w:val="24"/>
          <w:szCs w:val="24"/>
          <w:highlight w:val="none"/>
        </w:rPr>
      </w:pPr>
      <w:bookmarkStart w:id="203" w:name="_Toc2945"/>
      <w:r>
        <w:rPr>
          <w:rFonts w:hint="eastAsia" w:ascii="宋体" w:hAnsi="宋体" w:eastAsia="宋体" w:cs="宋体"/>
          <w:color w:val="auto"/>
          <w:sz w:val="24"/>
          <w:szCs w:val="24"/>
          <w:highlight w:val="none"/>
        </w:rPr>
        <w:t>四、</w:t>
      </w:r>
      <w:bookmarkEnd w:id="202"/>
      <w:r>
        <w:rPr>
          <w:rFonts w:hint="eastAsia" w:ascii="宋体" w:hAnsi="宋体" w:eastAsia="宋体" w:cs="宋体"/>
          <w:color w:val="auto"/>
          <w:sz w:val="24"/>
          <w:szCs w:val="24"/>
          <w:highlight w:val="none"/>
        </w:rPr>
        <w:t>首次磋商报价表</w:t>
      </w:r>
      <w:bookmarkEnd w:id="203"/>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2"/>
          <w:highlight w:val="none"/>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2"/>
          <w:highlight w:val="none"/>
        </w:rPr>
        <w:t xml:space="preserve"> 单位：元</w:t>
      </w:r>
    </w:p>
    <w:bookmarkEnd w:id="188"/>
    <w:bookmarkEnd w:id="189"/>
    <w:bookmarkEnd w:id="190"/>
    <w:bookmarkEnd w:id="191"/>
    <w:bookmarkEnd w:id="192"/>
    <w:bookmarkEnd w:id="193"/>
    <w:bookmarkEnd w:id="194"/>
    <w:p>
      <w:pPr>
        <w:rPr>
          <w:rFonts w:hint="eastAsia" w:ascii="宋体" w:hAnsi="宋体" w:eastAsia="宋体" w:cs="宋体"/>
          <w:color w:val="auto"/>
          <w:highlight w:val="none"/>
        </w:rPr>
      </w:pPr>
      <w:bookmarkStart w:id="204" w:name="_Hlt491766443"/>
      <w:bookmarkStart w:id="205" w:name="_Toc497712138"/>
      <w:bookmarkStart w:id="206" w:name="_Toc389620245"/>
      <w:bookmarkStart w:id="207" w:name="_Toc246928964"/>
      <w:bookmarkStart w:id="208" w:name="_Toc497546923"/>
      <w:bookmarkStart w:id="209" w:name="_Toc492955464"/>
      <w:bookmarkStart w:id="210" w:name="_Toc385992405"/>
      <w:bookmarkStart w:id="211" w:name="_Toc497551825"/>
      <w:bookmarkStart w:id="212" w:name="_Toc497711590"/>
    </w:p>
    <w:tbl>
      <w:tblPr>
        <w:tblStyle w:val="2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项目名称</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spacing w:line="360" w:lineRule="auto"/>
              <w:jc w:val="center"/>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项目编号</w:t>
            </w:r>
          </w:p>
        </w:tc>
        <w:tc>
          <w:tcPr>
            <w:tcW w:w="670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总报价</w:t>
            </w:r>
          </w:p>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（人民币）</w:t>
            </w:r>
          </w:p>
        </w:tc>
        <w:tc>
          <w:tcPr>
            <w:tcW w:w="6704" w:type="dxa"/>
            <w:vAlign w:val="center"/>
          </w:tcPr>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小写金额：￥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w:t>
            </w:r>
          </w:p>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大写金额：</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服务期</w:t>
            </w:r>
          </w:p>
        </w:tc>
        <w:tc>
          <w:tcPr>
            <w:tcW w:w="6704" w:type="dxa"/>
            <w:vAlign w:val="center"/>
          </w:tcPr>
          <w:p>
            <w:pPr>
              <w:spacing w:line="360" w:lineRule="auto"/>
              <w:jc w:val="center"/>
              <w:rPr>
                <w:rFonts w:hint="eastAsia"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付款方式</w:t>
            </w:r>
          </w:p>
          <w:p>
            <w:pPr>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是否响应</w:t>
            </w:r>
          </w:p>
        </w:tc>
        <w:tc>
          <w:tcPr>
            <w:tcW w:w="6704" w:type="dxa"/>
            <w:vAlign w:val="center"/>
          </w:tcPr>
          <w:p>
            <w:pPr>
              <w:spacing w:line="36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 w:val="24"/>
                <w:szCs w:val="22"/>
                <w:highlight w:val="none"/>
              </w:rPr>
              <w:t>备注：表内报价内容以元为单位，保留小数点后两位。</w:t>
            </w:r>
          </w:p>
        </w:tc>
      </w:tr>
    </w:tbl>
    <w:p>
      <w:pPr>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r>
        <w:rPr>
          <w:rFonts w:hint="eastAsia" w:ascii="宋体" w:hAnsi="宋体" w:eastAsia="宋体" w:cs="宋体"/>
          <w:color w:val="auto"/>
          <w:sz w:val="24"/>
          <w:highlight w:val="none"/>
          <w:lang w:val="en-US" w:eastAsia="zh-CN"/>
        </w:rPr>
        <w:t>报价不得超出采购预算，</w:t>
      </w:r>
      <w:r>
        <w:rPr>
          <w:rFonts w:hint="eastAsia" w:ascii="宋体" w:hAnsi="宋体" w:eastAsia="宋体" w:cs="宋体"/>
          <w:color w:val="auto"/>
          <w:sz w:val="24"/>
          <w:highlight w:val="none"/>
        </w:rPr>
        <w:t>供应商的报价应考虑到该采购项目所发生的一切费用。</w:t>
      </w:r>
    </w:p>
    <w:p>
      <w:pPr>
        <w:ind w:firstLine="420"/>
        <w:rPr>
          <w:rFonts w:hint="eastAsia" w:ascii="宋体" w:hAnsi="宋体" w:eastAsia="宋体" w:cs="宋体"/>
          <w:color w:val="auto"/>
          <w:sz w:val="24"/>
          <w:highlight w:val="none"/>
        </w:rPr>
      </w:pPr>
    </w:p>
    <w:p>
      <w:pPr>
        <w:rPr>
          <w:rFonts w:hint="eastAsia" w:ascii="宋体" w:hAnsi="宋体" w:eastAsia="宋体" w:cs="宋体"/>
          <w:color w:val="auto"/>
          <w:sz w:val="30"/>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pacing w:line="416" w:lineRule="atLeast"/>
        <w:textAlignment w:val="baseline"/>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9"/>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1、分项报价表（格式）</w:t>
      </w:r>
    </w:p>
    <w:p>
      <w:pPr>
        <w:spacing w:line="400" w:lineRule="atLeas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pStyle w:val="13"/>
        <w:rPr>
          <w:rFonts w:hint="eastAsia" w:ascii="宋体" w:hAnsi="宋体" w:eastAsia="宋体" w:cs="宋体"/>
          <w:color w:val="auto"/>
          <w:sz w:val="24"/>
          <w:highlight w:val="none"/>
          <w:u w:val="single"/>
        </w:rPr>
      </w:pPr>
    </w:p>
    <w:tbl>
      <w:tblPr>
        <w:tblStyle w:val="26"/>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67"/>
        <w:gridCol w:w="1680"/>
        <w:gridCol w:w="1288"/>
        <w:gridCol w:w="1611"/>
        <w:gridCol w:w="1205"/>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02" w:type="dxa"/>
            <w:noWrap w:val="0"/>
            <w:vAlign w:val="center"/>
          </w:tcPr>
          <w:p>
            <w:pPr>
              <w:jc w:val="center"/>
              <w:rPr>
                <w:rFonts w:hint="eastAsia"/>
                <w:color w:val="auto"/>
                <w:sz w:val="24"/>
                <w:highlight w:val="none"/>
              </w:rPr>
            </w:pPr>
            <w:r>
              <w:rPr>
                <w:rFonts w:hint="eastAsia"/>
                <w:color w:val="auto"/>
                <w:sz w:val="24"/>
                <w:highlight w:val="none"/>
              </w:rPr>
              <w:t>序号</w:t>
            </w:r>
          </w:p>
        </w:tc>
        <w:tc>
          <w:tcPr>
            <w:tcW w:w="1867" w:type="dxa"/>
            <w:noWrap w:val="0"/>
            <w:vAlign w:val="center"/>
          </w:tcPr>
          <w:p>
            <w:pPr>
              <w:pStyle w:val="15"/>
              <w:jc w:val="center"/>
              <w:rPr>
                <w:rFonts w:hint="eastAsia" w:hAnsi="宋体"/>
                <w:color w:val="auto"/>
                <w:sz w:val="24"/>
                <w:szCs w:val="24"/>
                <w:highlight w:val="none"/>
              </w:rPr>
            </w:pPr>
            <w:r>
              <w:rPr>
                <w:rFonts w:hint="eastAsia" w:hAnsi="宋体"/>
                <w:color w:val="auto"/>
                <w:sz w:val="24"/>
                <w:szCs w:val="24"/>
                <w:highlight w:val="none"/>
                <w:lang w:val="en-US" w:eastAsia="zh-CN"/>
              </w:rPr>
              <w:t>服务</w:t>
            </w:r>
            <w:r>
              <w:rPr>
                <w:rFonts w:hint="eastAsia" w:hAnsi="宋体"/>
                <w:color w:val="auto"/>
                <w:sz w:val="24"/>
                <w:szCs w:val="24"/>
                <w:highlight w:val="none"/>
              </w:rPr>
              <w:t>内容</w:t>
            </w:r>
          </w:p>
        </w:tc>
        <w:tc>
          <w:tcPr>
            <w:tcW w:w="1680" w:type="dxa"/>
            <w:noWrap w:val="0"/>
            <w:vAlign w:val="center"/>
          </w:tcPr>
          <w:p>
            <w:pPr>
              <w:pStyle w:val="15"/>
              <w:jc w:val="center"/>
              <w:rPr>
                <w:rFonts w:hint="eastAsia" w:hAnsi="宋体"/>
                <w:color w:val="auto"/>
                <w:sz w:val="24"/>
                <w:szCs w:val="24"/>
                <w:highlight w:val="none"/>
              </w:rPr>
            </w:pPr>
            <w:r>
              <w:rPr>
                <w:rFonts w:hint="eastAsia" w:hAnsi="宋体"/>
                <w:color w:val="auto"/>
                <w:sz w:val="24"/>
                <w:szCs w:val="24"/>
                <w:highlight w:val="none"/>
              </w:rPr>
              <w:t>单位</w:t>
            </w:r>
          </w:p>
        </w:tc>
        <w:tc>
          <w:tcPr>
            <w:tcW w:w="1288" w:type="dxa"/>
            <w:noWrap w:val="0"/>
            <w:vAlign w:val="center"/>
          </w:tcPr>
          <w:p>
            <w:pPr>
              <w:pStyle w:val="15"/>
              <w:jc w:val="center"/>
              <w:rPr>
                <w:rFonts w:hint="eastAsia" w:hAnsi="宋体"/>
                <w:color w:val="auto"/>
                <w:sz w:val="24"/>
                <w:szCs w:val="24"/>
                <w:highlight w:val="none"/>
              </w:rPr>
            </w:pPr>
            <w:r>
              <w:rPr>
                <w:rFonts w:hint="eastAsia" w:hAnsi="宋体"/>
                <w:color w:val="auto"/>
                <w:sz w:val="24"/>
                <w:szCs w:val="24"/>
                <w:highlight w:val="none"/>
              </w:rPr>
              <w:t>…</w:t>
            </w:r>
          </w:p>
        </w:tc>
        <w:tc>
          <w:tcPr>
            <w:tcW w:w="1611" w:type="dxa"/>
            <w:noWrap w:val="0"/>
            <w:vAlign w:val="center"/>
          </w:tcPr>
          <w:p>
            <w:pPr>
              <w:pStyle w:val="15"/>
              <w:jc w:val="center"/>
              <w:rPr>
                <w:rFonts w:hint="eastAsia" w:hAnsi="宋体"/>
                <w:color w:val="auto"/>
                <w:sz w:val="24"/>
                <w:szCs w:val="24"/>
                <w:highlight w:val="none"/>
              </w:rPr>
            </w:pPr>
            <w:r>
              <w:rPr>
                <w:rFonts w:hint="eastAsia" w:hAnsi="宋体"/>
                <w:color w:val="auto"/>
                <w:sz w:val="24"/>
                <w:szCs w:val="24"/>
                <w:highlight w:val="none"/>
              </w:rPr>
              <w:t>数量</w:t>
            </w:r>
          </w:p>
        </w:tc>
        <w:tc>
          <w:tcPr>
            <w:tcW w:w="1205" w:type="dxa"/>
            <w:noWrap w:val="0"/>
            <w:vAlign w:val="center"/>
          </w:tcPr>
          <w:p>
            <w:pPr>
              <w:jc w:val="center"/>
              <w:rPr>
                <w:color w:val="auto"/>
                <w:sz w:val="24"/>
                <w:highlight w:val="none"/>
              </w:rPr>
            </w:pPr>
            <w:r>
              <w:rPr>
                <w:rFonts w:hint="eastAsia"/>
                <w:color w:val="auto"/>
                <w:sz w:val="24"/>
                <w:highlight w:val="none"/>
              </w:rPr>
              <w:t>单价</w:t>
            </w:r>
          </w:p>
        </w:tc>
        <w:tc>
          <w:tcPr>
            <w:tcW w:w="1169" w:type="dxa"/>
            <w:noWrap w:val="0"/>
            <w:vAlign w:val="center"/>
          </w:tcPr>
          <w:p>
            <w:pPr>
              <w:jc w:val="center"/>
              <w:rPr>
                <w:rFonts w:hint="eastAsia"/>
                <w:color w:val="auto"/>
                <w:sz w:val="24"/>
                <w:highlight w:val="none"/>
              </w:rPr>
            </w:pPr>
            <w:r>
              <w:rPr>
                <w:rFonts w:hint="eastAsia"/>
                <w:color w:val="auto"/>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1" w:hRule="atLeast"/>
          <w:jc w:val="center"/>
        </w:trPr>
        <w:tc>
          <w:tcPr>
            <w:tcW w:w="602"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1867" w:type="dxa"/>
            <w:noWrap w:val="0"/>
            <w:vAlign w:val="center"/>
          </w:tcPr>
          <w:p>
            <w:pPr>
              <w:jc w:val="center"/>
              <w:rPr>
                <w:rFonts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1867" w:type="dxa"/>
            <w:noWrap w:val="0"/>
            <w:vAlign w:val="center"/>
          </w:tcPr>
          <w:p>
            <w:pPr>
              <w:jc w:val="center"/>
              <w:rPr>
                <w:rFonts w:hint="eastAsia"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1867" w:type="dxa"/>
            <w:noWrap w:val="0"/>
            <w:vAlign w:val="center"/>
          </w:tcPr>
          <w:p>
            <w:pPr>
              <w:jc w:val="center"/>
              <w:rPr>
                <w:rFonts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1867" w:type="dxa"/>
            <w:noWrap w:val="0"/>
            <w:vAlign w:val="center"/>
          </w:tcPr>
          <w:p>
            <w:pPr>
              <w:jc w:val="center"/>
              <w:rPr>
                <w:rFonts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1867" w:type="dxa"/>
            <w:noWrap w:val="0"/>
            <w:vAlign w:val="center"/>
          </w:tcPr>
          <w:p>
            <w:pPr>
              <w:jc w:val="center"/>
              <w:rPr>
                <w:rFonts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w:t>
            </w:r>
          </w:p>
        </w:tc>
        <w:tc>
          <w:tcPr>
            <w:tcW w:w="1867" w:type="dxa"/>
            <w:noWrap w:val="0"/>
            <w:vAlign w:val="center"/>
          </w:tcPr>
          <w:p>
            <w:pPr>
              <w:jc w:val="center"/>
              <w:rPr>
                <w:rFonts w:hint="eastAsia"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602" w:type="dxa"/>
            <w:noWrap w:val="0"/>
            <w:vAlign w:val="center"/>
          </w:tcPr>
          <w:p>
            <w:pPr>
              <w:jc w:val="center"/>
              <w:rPr>
                <w:rFonts w:ascii="宋体" w:hAnsi="宋体"/>
                <w:color w:val="auto"/>
                <w:sz w:val="24"/>
                <w:highlight w:val="none"/>
              </w:rPr>
            </w:pPr>
            <w:r>
              <w:rPr>
                <w:rFonts w:ascii="宋体" w:hAnsi="宋体"/>
                <w:color w:val="auto"/>
                <w:sz w:val="24"/>
                <w:highlight w:val="none"/>
              </w:rPr>
              <w:t>N</w:t>
            </w:r>
          </w:p>
        </w:tc>
        <w:tc>
          <w:tcPr>
            <w:tcW w:w="1867" w:type="dxa"/>
            <w:noWrap w:val="0"/>
            <w:vAlign w:val="center"/>
          </w:tcPr>
          <w:p>
            <w:pPr>
              <w:jc w:val="center"/>
              <w:rPr>
                <w:rFonts w:ascii="宋体" w:hAnsi="宋体"/>
                <w:color w:val="auto"/>
                <w:sz w:val="24"/>
                <w:highlight w:val="none"/>
              </w:rPr>
            </w:pPr>
          </w:p>
        </w:tc>
        <w:tc>
          <w:tcPr>
            <w:tcW w:w="1680" w:type="dxa"/>
            <w:noWrap w:val="0"/>
            <w:vAlign w:val="center"/>
          </w:tcPr>
          <w:p>
            <w:pPr>
              <w:jc w:val="center"/>
              <w:rPr>
                <w:rFonts w:hint="eastAsia" w:ascii="宋体" w:hAnsi="宋体"/>
                <w:color w:val="auto"/>
                <w:sz w:val="24"/>
                <w:highlight w:val="none"/>
              </w:rPr>
            </w:pPr>
          </w:p>
        </w:tc>
        <w:tc>
          <w:tcPr>
            <w:tcW w:w="1288" w:type="dxa"/>
            <w:noWrap w:val="0"/>
            <w:vAlign w:val="center"/>
          </w:tcPr>
          <w:p>
            <w:pPr>
              <w:jc w:val="center"/>
              <w:rPr>
                <w:rFonts w:hint="eastAsia" w:ascii="宋体" w:hAnsi="宋体"/>
                <w:color w:val="auto"/>
                <w:sz w:val="24"/>
                <w:highlight w:val="none"/>
              </w:rPr>
            </w:pPr>
          </w:p>
        </w:tc>
        <w:tc>
          <w:tcPr>
            <w:tcW w:w="1611" w:type="dxa"/>
            <w:noWrap w:val="0"/>
            <w:vAlign w:val="center"/>
          </w:tcPr>
          <w:p>
            <w:pPr>
              <w:pStyle w:val="15"/>
              <w:rPr>
                <w:rFonts w:hint="eastAsia" w:hAnsi="宋体"/>
                <w:color w:val="auto"/>
                <w:sz w:val="24"/>
                <w:szCs w:val="24"/>
                <w:highlight w:val="none"/>
              </w:rPr>
            </w:pPr>
          </w:p>
        </w:tc>
        <w:tc>
          <w:tcPr>
            <w:tcW w:w="1205" w:type="dxa"/>
            <w:noWrap w:val="0"/>
            <w:vAlign w:val="center"/>
          </w:tcPr>
          <w:p>
            <w:pPr>
              <w:pStyle w:val="15"/>
              <w:rPr>
                <w:rFonts w:hint="eastAsia" w:hAnsi="宋体"/>
                <w:color w:val="auto"/>
                <w:sz w:val="24"/>
                <w:szCs w:val="24"/>
                <w:highlight w:val="none"/>
              </w:rPr>
            </w:pPr>
          </w:p>
        </w:tc>
        <w:tc>
          <w:tcPr>
            <w:tcW w:w="1169" w:type="dxa"/>
            <w:noWrap w:val="0"/>
            <w:vAlign w:val="center"/>
          </w:tcPr>
          <w:p>
            <w:pPr>
              <w:pStyle w:val="15"/>
              <w:rPr>
                <w:rFonts w:hint="eastAsia" w:hAnsi="宋体"/>
                <w:color w:val="auto"/>
                <w:spacing w:val="-6"/>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9422" w:type="dxa"/>
            <w:gridSpan w:val="7"/>
            <w:noWrap w:val="0"/>
            <w:vAlign w:val="center"/>
          </w:tcPr>
          <w:p>
            <w:pPr>
              <w:pStyle w:val="15"/>
              <w:rPr>
                <w:rFonts w:hint="eastAsia" w:hAnsi="宋体"/>
                <w:color w:val="auto"/>
                <w:spacing w:val="-6"/>
                <w:sz w:val="24"/>
                <w:szCs w:val="24"/>
                <w:highlight w:val="none"/>
              </w:rPr>
            </w:pPr>
            <w:r>
              <w:rPr>
                <w:rFonts w:hint="eastAsia" w:hAnsi="宋体"/>
                <w:color w:val="auto"/>
                <w:spacing w:val="-6"/>
                <w:sz w:val="24"/>
                <w:szCs w:val="24"/>
                <w:highlight w:val="none"/>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1" w:hRule="atLeast"/>
          <w:jc w:val="center"/>
        </w:trPr>
        <w:tc>
          <w:tcPr>
            <w:tcW w:w="9422" w:type="dxa"/>
            <w:gridSpan w:val="7"/>
            <w:noWrap w:val="0"/>
            <w:vAlign w:val="center"/>
          </w:tcPr>
          <w:p>
            <w:pPr>
              <w:pStyle w:val="15"/>
              <w:rPr>
                <w:rFonts w:hint="eastAsia" w:hAnsi="宋体"/>
                <w:color w:val="auto"/>
                <w:spacing w:val="-6"/>
                <w:sz w:val="24"/>
                <w:szCs w:val="24"/>
                <w:highlight w:val="none"/>
              </w:rPr>
            </w:pPr>
            <w:r>
              <w:rPr>
                <w:rFonts w:hint="eastAsia" w:hAnsi="宋体"/>
                <w:color w:val="auto"/>
                <w:spacing w:val="-6"/>
                <w:sz w:val="24"/>
                <w:szCs w:val="24"/>
                <w:highlight w:val="none"/>
              </w:rPr>
              <w:t>备注：表内总报价内容以万元为单位，保留小数点后两位。各分项可以元为单位分别报价。</w:t>
            </w:r>
          </w:p>
        </w:tc>
      </w:tr>
    </w:tbl>
    <w:p>
      <w:pPr>
        <w:rPr>
          <w:rFonts w:hint="eastAsia"/>
          <w:color w:val="auto"/>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kinsoku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注：1、本表中的“总价”与“首次磋商报价表”中的</w:t>
      </w:r>
      <w:r>
        <w:rPr>
          <w:rFonts w:hint="eastAsia" w:ascii="宋体" w:hAnsi="宋体" w:eastAsia="宋体" w:cs="宋体"/>
          <w:color w:val="auto"/>
          <w:spacing w:val="-6"/>
          <w:sz w:val="24"/>
          <w:highlight w:val="none"/>
        </w:rPr>
        <w:t>“磋商总价”</w:t>
      </w:r>
      <w:r>
        <w:rPr>
          <w:rFonts w:hint="eastAsia" w:ascii="宋体" w:hAnsi="宋体" w:eastAsia="宋体" w:cs="宋体"/>
          <w:color w:val="auto"/>
          <w:sz w:val="24"/>
          <w:highlight w:val="none"/>
        </w:rPr>
        <w:t>一致。各子项分别报价。</w:t>
      </w:r>
    </w:p>
    <w:p>
      <w:pPr>
        <w:pStyle w:val="13"/>
        <w:rPr>
          <w:rFonts w:hint="eastAsia" w:ascii="宋体" w:hAnsi="宋体" w:eastAsia="宋体" w:cs="宋体"/>
          <w:color w:val="auto"/>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spacing w:line="400" w:lineRule="atLeast"/>
        <w:rPr>
          <w:rFonts w:hint="eastAsia" w:ascii="宋体" w:hAnsi="宋体" w:eastAsia="宋体" w:cs="宋体"/>
          <w:color w:val="auto"/>
          <w:sz w:val="24"/>
          <w:highlight w:val="none"/>
        </w:rPr>
      </w:pP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9"/>
        <w:ind w:firstLine="560"/>
        <w:jc w:val="center"/>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2、</w:t>
      </w:r>
      <w:bookmarkStart w:id="213" w:name="_Toc15553"/>
      <w:r>
        <w:rPr>
          <w:rFonts w:hint="eastAsia" w:ascii="宋体" w:hAnsi="宋体" w:eastAsia="宋体" w:cs="宋体"/>
          <w:b/>
          <w:color w:val="auto"/>
          <w:highlight w:val="none"/>
        </w:rPr>
        <w:t>技术偏离表（格式）</w:t>
      </w:r>
    </w:p>
    <w:p>
      <w:pPr>
        <w:pStyle w:val="39"/>
        <w:ind w:firstLineChars="71"/>
        <w:rPr>
          <w:rFonts w:hint="eastAsia" w:ascii="宋体" w:hAnsi="宋体" w:eastAsia="宋体" w:cs="宋体"/>
          <w:b/>
          <w:color w:val="auto"/>
          <w:highlight w:val="none"/>
        </w:rPr>
      </w:pPr>
    </w:p>
    <w:p>
      <w:pPr>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99"/>
        <w:gridCol w:w="2151"/>
        <w:gridCol w:w="2930"/>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3" w:type="dxa"/>
            <w:noWrap w:val="0"/>
            <w:vAlign w:val="center"/>
          </w:tcPr>
          <w:p>
            <w:pPr>
              <w:pStyle w:val="15"/>
              <w:spacing w:line="400" w:lineRule="exact"/>
              <w:jc w:val="center"/>
              <w:rPr>
                <w:rFonts w:hint="eastAsia" w:hAnsi="宋体"/>
                <w:color w:val="auto"/>
                <w:sz w:val="24"/>
                <w:szCs w:val="24"/>
                <w:highlight w:val="none"/>
              </w:rPr>
            </w:pPr>
            <w:r>
              <w:rPr>
                <w:rFonts w:hint="eastAsia" w:hAnsi="宋体"/>
                <w:color w:val="auto"/>
                <w:sz w:val="24"/>
                <w:szCs w:val="24"/>
                <w:highlight w:val="none"/>
              </w:rPr>
              <w:t>序号</w:t>
            </w:r>
          </w:p>
        </w:tc>
        <w:tc>
          <w:tcPr>
            <w:tcW w:w="1799" w:type="dxa"/>
            <w:noWrap w:val="0"/>
            <w:vAlign w:val="center"/>
          </w:tcPr>
          <w:p>
            <w:pPr>
              <w:pStyle w:val="15"/>
              <w:spacing w:line="400" w:lineRule="exact"/>
              <w:ind w:firstLine="600" w:firstLineChars="250"/>
              <w:rPr>
                <w:rFonts w:hint="eastAsia" w:hAnsi="宋体"/>
                <w:color w:val="auto"/>
                <w:sz w:val="24"/>
                <w:szCs w:val="24"/>
                <w:highlight w:val="none"/>
              </w:rPr>
            </w:pPr>
            <w:r>
              <w:rPr>
                <w:rFonts w:hint="eastAsia" w:hAnsi="宋体"/>
                <w:color w:val="auto"/>
                <w:sz w:val="24"/>
                <w:szCs w:val="24"/>
                <w:highlight w:val="none"/>
              </w:rPr>
              <w:t>名称</w:t>
            </w:r>
          </w:p>
        </w:tc>
        <w:tc>
          <w:tcPr>
            <w:tcW w:w="2151" w:type="dxa"/>
            <w:tcBorders>
              <w:right w:val="single" w:color="auto" w:sz="4" w:space="0"/>
            </w:tcBorders>
            <w:noWrap w:val="0"/>
            <w:vAlign w:val="center"/>
          </w:tcPr>
          <w:p>
            <w:pPr>
              <w:pStyle w:val="15"/>
              <w:spacing w:line="400" w:lineRule="exact"/>
              <w:jc w:val="center"/>
              <w:rPr>
                <w:rFonts w:hint="eastAsia" w:hAnsi="宋体"/>
                <w:color w:val="auto"/>
                <w:sz w:val="24"/>
                <w:szCs w:val="24"/>
                <w:highlight w:val="none"/>
              </w:rPr>
            </w:pPr>
            <w:r>
              <w:rPr>
                <w:rFonts w:hint="eastAsia" w:hAnsi="宋体"/>
                <w:color w:val="auto"/>
                <w:sz w:val="24"/>
                <w:highlight w:val="none"/>
              </w:rPr>
              <w:t>磋 商</w:t>
            </w:r>
            <w:r>
              <w:rPr>
                <w:rFonts w:hint="eastAsia" w:hAnsi="宋体"/>
                <w:color w:val="auto"/>
                <w:sz w:val="24"/>
                <w:szCs w:val="24"/>
                <w:highlight w:val="none"/>
              </w:rPr>
              <w:t xml:space="preserve"> 要 求</w:t>
            </w:r>
          </w:p>
          <w:p>
            <w:pPr>
              <w:pStyle w:val="15"/>
              <w:spacing w:line="400" w:lineRule="exact"/>
              <w:jc w:val="center"/>
              <w:rPr>
                <w:rFonts w:hint="eastAsia" w:hAnsi="宋体"/>
                <w:color w:val="auto"/>
                <w:sz w:val="24"/>
                <w:szCs w:val="24"/>
                <w:highlight w:val="none"/>
              </w:rPr>
            </w:pPr>
            <w:r>
              <w:rPr>
                <w:rFonts w:hint="eastAsia" w:hAnsi="宋体"/>
                <w:color w:val="auto"/>
                <w:sz w:val="24"/>
                <w:szCs w:val="24"/>
                <w:highlight w:val="none"/>
              </w:rPr>
              <w:t>技 术 指 标</w:t>
            </w:r>
          </w:p>
        </w:tc>
        <w:tc>
          <w:tcPr>
            <w:tcW w:w="2930"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hAnsi="宋体"/>
                <w:color w:val="auto"/>
                <w:sz w:val="24"/>
                <w:szCs w:val="24"/>
                <w:highlight w:val="none"/>
              </w:rPr>
            </w:pPr>
            <w:r>
              <w:rPr>
                <w:rFonts w:hint="eastAsia" w:hAnsi="宋体"/>
                <w:color w:val="auto"/>
                <w:sz w:val="24"/>
                <w:szCs w:val="24"/>
                <w:highlight w:val="none"/>
              </w:rPr>
              <w:t xml:space="preserve">磋 商 响 应 </w:t>
            </w:r>
          </w:p>
          <w:p>
            <w:pPr>
              <w:pStyle w:val="15"/>
              <w:spacing w:line="400" w:lineRule="exact"/>
              <w:jc w:val="center"/>
              <w:rPr>
                <w:rFonts w:hint="eastAsia" w:hAnsi="宋体"/>
                <w:color w:val="auto"/>
                <w:sz w:val="24"/>
                <w:szCs w:val="24"/>
                <w:highlight w:val="none"/>
              </w:rPr>
            </w:pPr>
            <w:r>
              <w:rPr>
                <w:rFonts w:hint="eastAsia" w:hAnsi="宋体"/>
                <w:color w:val="auto"/>
                <w:sz w:val="24"/>
                <w:szCs w:val="24"/>
                <w:highlight w:val="none"/>
              </w:rPr>
              <w:t>技 术 指 标</w:t>
            </w:r>
          </w:p>
        </w:tc>
        <w:tc>
          <w:tcPr>
            <w:tcW w:w="1653" w:type="dxa"/>
            <w:tcBorders>
              <w:left w:val="single" w:color="auto" w:sz="4" w:space="0"/>
            </w:tcBorders>
            <w:noWrap w:val="0"/>
            <w:vAlign w:val="center"/>
          </w:tcPr>
          <w:p>
            <w:pPr>
              <w:pStyle w:val="15"/>
              <w:spacing w:line="400" w:lineRule="exact"/>
              <w:jc w:val="center"/>
              <w:rPr>
                <w:rFonts w:hint="eastAsia" w:hAnsi="宋体"/>
                <w:color w:val="auto"/>
                <w:sz w:val="24"/>
                <w:szCs w:val="24"/>
                <w:highlight w:val="none"/>
              </w:rPr>
            </w:pPr>
            <w:r>
              <w:rPr>
                <w:rFonts w:hint="eastAsia" w:hAnsi="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ind w:left="-120" w:leftChars="-57"/>
              <w:rPr>
                <w:rFonts w:hint="eastAsia" w:hAnsi="宋体"/>
                <w:color w:val="auto"/>
                <w:sz w:val="24"/>
                <w:szCs w:val="24"/>
                <w:highlight w:val="none"/>
              </w:rPr>
            </w:pPr>
          </w:p>
        </w:tc>
        <w:tc>
          <w:tcPr>
            <w:tcW w:w="1799" w:type="dxa"/>
            <w:noWrap w:val="0"/>
            <w:vAlign w:val="top"/>
          </w:tcPr>
          <w:p>
            <w:pPr>
              <w:pStyle w:val="15"/>
              <w:spacing w:line="400" w:lineRule="exact"/>
              <w:rPr>
                <w:rFonts w:hint="eastAsia" w:hAnsi="宋体"/>
                <w:color w:val="auto"/>
                <w:sz w:val="24"/>
                <w:szCs w:val="24"/>
                <w:highlight w:val="none"/>
              </w:rPr>
            </w:pPr>
          </w:p>
        </w:tc>
        <w:tc>
          <w:tcPr>
            <w:tcW w:w="2151" w:type="dxa"/>
            <w:noWrap w:val="0"/>
            <w:vAlign w:val="center"/>
          </w:tcPr>
          <w:p>
            <w:pPr>
              <w:pStyle w:val="15"/>
              <w:spacing w:line="600" w:lineRule="exact"/>
              <w:rPr>
                <w:rFonts w:hint="eastAsia" w:hAnsi="宋体"/>
                <w:color w:val="auto"/>
                <w:sz w:val="24"/>
                <w:szCs w:val="24"/>
                <w:highlight w:val="none"/>
              </w:rPr>
            </w:pPr>
          </w:p>
        </w:tc>
        <w:tc>
          <w:tcPr>
            <w:tcW w:w="2930" w:type="dxa"/>
            <w:tcBorders>
              <w:top w:val="single" w:color="auto" w:sz="4" w:space="0"/>
            </w:tcBorders>
            <w:noWrap w:val="0"/>
            <w:vAlign w:val="center"/>
          </w:tcPr>
          <w:p>
            <w:pPr>
              <w:pStyle w:val="15"/>
              <w:spacing w:line="600" w:lineRule="exact"/>
              <w:rPr>
                <w:rFonts w:hint="eastAsia" w:hAnsi="宋体"/>
                <w:color w:val="auto"/>
                <w:sz w:val="24"/>
                <w:szCs w:val="24"/>
                <w:highlight w:val="none"/>
              </w:rPr>
            </w:pPr>
          </w:p>
        </w:tc>
        <w:tc>
          <w:tcPr>
            <w:tcW w:w="1653" w:type="dxa"/>
            <w:noWrap w:val="0"/>
            <w:vAlign w:val="center"/>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6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4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top"/>
          </w:tcPr>
          <w:p>
            <w:pPr>
              <w:pStyle w:val="15"/>
              <w:spacing w:line="600" w:lineRule="exact"/>
              <w:rPr>
                <w:rFonts w:hint="eastAsia" w:hAnsi="宋体"/>
                <w:color w:val="auto"/>
                <w:sz w:val="24"/>
                <w:szCs w:val="24"/>
                <w:highlight w:val="none"/>
              </w:rPr>
            </w:pPr>
          </w:p>
        </w:tc>
        <w:tc>
          <w:tcPr>
            <w:tcW w:w="1799" w:type="dxa"/>
            <w:noWrap w:val="0"/>
            <w:vAlign w:val="top"/>
          </w:tcPr>
          <w:p>
            <w:pPr>
              <w:pStyle w:val="15"/>
              <w:spacing w:line="400" w:lineRule="exact"/>
              <w:rPr>
                <w:rFonts w:hint="eastAsia" w:hAnsi="宋体"/>
                <w:color w:val="auto"/>
                <w:sz w:val="24"/>
                <w:szCs w:val="24"/>
                <w:highlight w:val="none"/>
              </w:rPr>
            </w:pPr>
          </w:p>
        </w:tc>
        <w:tc>
          <w:tcPr>
            <w:tcW w:w="2151" w:type="dxa"/>
            <w:noWrap w:val="0"/>
            <w:vAlign w:val="top"/>
          </w:tcPr>
          <w:p>
            <w:pPr>
              <w:pStyle w:val="15"/>
              <w:spacing w:line="600" w:lineRule="exact"/>
              <w:rPr>
                <w:rFonts w:hint="eastAsia" w:hAnsi="宋体"/>
                <w:color w:val="auto"/>
                <w:sz w:val="24"/>
                <w:szCs w:val="24"/>
                <w:highlight w:val="none"/>
              </w:rPr>
            </w:pPr>
          </w:p>
        </w:tc>
        <w:tc>
          <w:tcPr>
            <w:tcW w:w="2930" w:type="dxa"/>
            <w:noWrap w:val="0"/>
            <w:vAlign w:val="top"/>
          </w:tcPr>
          <w:p>
            <w:pPr>
              <w:pStyle w:val="15"/>
              <w:spacing w:line="600" w:lineRule="exact"/>
              <w:rPr>
                <w:rFonts w:hint="eastAsia" w:hAnsi="宋体"/>
                <w:color w:val="auto"/>
                <w:sz w:val="24"/>
                <w:szCs w:val="24"/>
                <w:highlight w:val="none"/>
              </w:rPr>
            </w:pPr>
          </w:p>
        </w:tc>
        <w:tc>
          <w:tcPr>
            <w:tcW w:w="1653" w:type="dxa"/>
            <w:noWrap w:val="0"/>
            <w:vAlign w:val="top"/>
          </w:tcPr>
          <w:p>
            <w:pPr>
              <w:pStyle w:val="15"/>
              <w:spacing w:line="600" w:lineRule="exact"/>
              <w:rPr>
                <w:rFonts w:hint="eastAsia" w:hAnsi="宋体"/>
                <w:color w:val="auto"/>
                <w:sz w:val="24"/>
                <w:szCs w:val="24"/>
                <w:highlight w:val="none"/>
              </w:rPr>
            </w:pPr>
          </w:p>
        </w:tc>
      </w:tr>
    </w:tbl>
    <w:p>
      <w:pPr>
        <w:pStyle w:val="3"/>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声明：除上表所列偏离项外，我公司所有技术条款均响应磋商文件要求。</w:t>
      </w:r>
    </w:p>
    <w:p>
      <w:pPr>
        <w:spacing w:line="480" w:lineRule="auto"/>
        <w:ind w:right="-161" w:firstLine="2640" w:firstLineChars="1100"/>
        <w:rPr>
          <w:rFonts w:hint="eastAsia" w:ascii="宋体" w:hAnsi="宋体" w:eastAsia="宋体" w:cs="宋体"/>
          <w:color w:val="auto"/>
          <w:sz w:val="24"/>
          <w:szCs w:val="24"/>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480" w:lineRule="exact"/>
        <w:rPr>
          <w:rFonts w:hint="eastAsia" w:ascii="宋体" w:hAnsi="宋体" w:eastAsia="宋体" w:cs="宋体"/>
          <w:color w:val="auto"/>
          <w:szCs w:val="24"/>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39"/>
        <w:ind w:firstLine="560"/>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3</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商务</w:t>
      </w:r>
      <w:r>
        <w:rPr>
          <w:rFonts w:hint="eastAsia" w:ascii="宋体" w:hAnsi="宋体" w:eastAsia="宋体" w:cs="宋体"/>
          <w:b/>
          <w:color w:val="auto"/>
          <w:highlight w:val="none"/>
        </w:rPr>
        <w:t>偏离表（格式）</w:t>
      </w:r>
    </w:p>
    <w:p>
      <w:pPr>
        <w:spacing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pStyle w:val="13"/>
        <w:spacing w:line="360" w:lineRule="auto"/>
        <w:rPr>
          <w:rFonts w:hint="eastAsia" w:ascii="宋体" w:hAnsi="宋体" w:eastAsia="宋体" w:cs="宋体"/>
          <w:color w:val="auto"/>
          <w:sz w:val="21"/>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firstLine="120" w:firstLineChars="50"/>
              <w:rPr>
                <w:rFonts w:hint="eastAsia" w:ascii="宋体" w:hAnsi="宋体"/>
                <w:color w:val="auto"/>
                <w:sz w:val="24"/>
                <w:highlight w:val="none"/>
              </w:rPr>
            </w:pPr>
            <w:r>
              <w:rPr>
                <w:rFonts w:hint="eastAsia" w:ascii="宋体" w:hAnsi="宋体"/>
                <w:color w:val="auto"/>
                <w:sz w:val="24"/>
                <w:highlight w:val="none"/>
              </w:rPr>
              <w:t>序号</w:t>
            </w:r>
          </w:p>
        </w:tc>
        <w:tc>
          <w:tcPr>
            <w:tcW w:w="3425" w:type="dxa"/>
            <w:noWrap w:val="0"/>
            <w:vAlign w:val="center"/>
          </w:tcPr>
          <w:p>
            <w:pPr>
              <w:spacing w:line="560" w:lineRule="exact"/>
              <w:ind w:right="-168" w:rightChars="-80"/>
              <w:jc w:val="center"/>
              <w:rPr>
                <w:rFonts w:hint="eastAsia" w:ascii="宋体" w:hAnsi="宋体"/>
                <w:color w:val="auto"/>
                <w:sz w:val="24"/>
                <w:highlight w:val="none"/>
              </w:rPr>
            </w:pPr>
            <w:r>
              <w:rPr>
                <w:rFonts w:hint="eastAsia" w:ascii="宋体" w:hAnsi="宋体"/>
                <w:color w:val="auto"/>
                <w:sz w:val="24"/>
                <w:highlight w:val="none"/>
              </w:rPr>
              <w:t>磋商文件要求</w:t>
            </w:r>
          </w:p>
        </w:tc>
        <w:tc>
          <w:tcPr>
            <w:tcW w:w="2992" w:type="dxa"/>
            <w:noWrap w:val="0"/>
            <w:vAlign w:val="center"/>
          </w:tcPr>
          <w:p>
            <w:pPr>
              <w:spacing w:line="560" w:lineRule="exact"/>
              <w:ind w:right="-168" w:rightChars="-80" w:firstLine="360" w:firstLineChars="150"/>
              <w:rPr>
                <w:rFonts w:hint="eastAsia" w:ascii="宋体" w:hAnsi="宋体"/>
                <w:color w:val="auto"/>
                <w:sz w:val="24"/>
                <w:highlight w:val="none"/>
              </w:rPr>
            </w:pPr>
            <w:r>
              <w:rPr>
                <w:rFonts w:hint="eastAsia" w:ascii="宋体" w:hAnsi="宋体"/>
                <w:color w:val="auto"/>
                <w:sz w:val="24"/>
                <w:highlight w:val="none"/>
              </w:rPr>
              <w:t>响应文件实际数据</w:t>
            </w:r>
          </w:p>
        </w:tc>
        <w:tc>
          <w:tcPr>
            <w:tcW w:w="1866" w:type="dxa"/>
            <w:noWrap w:val="0"/>
            <w:vAlign w:val="center"/>
          </w:tcPr>
          <w:p>
            <w:pPr>
              <w:spacing w:line="560" w:lineRule="exact"/>
              <w:ind w:right="-168" w:rightChars="-80" w:firstLine="360" w:firstLineChars="150"/>
              <w:rPr>
                <w:rFonts w:hint="eastAsia" w:ascii="宋体" w:hAnsi="宋体"/>
                <w:color w:val="auto"/>
                <w:sz w:val="24"/>
                <w:highlight w:val="none"/>
              </w:rPr>
            </w:pPr>
            <w:r>
              <w:rPr>
                <w:rFonts w:hint="eastAsia" w:ascii="宋体" w:hAnsi="宋体"/>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spacing w:line="560" w:lineRule="exact"/>
              <w:ind w:right="-168" w:rightChars="-80"/>
              <w:jc w:val="center"/>
              <w:rPr>
                <w:rFonts w:hint="eastAsia" w:ascii="宋体" w:hAnsi="宋体"/>
                <w:color w:val="auto"/>
                <w:sz w:val="24"/>
                <w:highlight w:val="none"/>
              </w:rPr>
            </w:pPr>
          </w:p>
        </w:tc>
        <w:tc>
          <w:tcPr>
            <w:tcW w:w="3425" w:type="dxa"/>
            <w:noWrap w:val="0"/>
            <w:vAlign w:val="center"/>
          </w:tcPr>
          <w:p>
            <w:pPr>
              <w:spacing w:line="560" w:lineRule="exact"/>
              <w:ind w:right="-168" w:rightChars="-80"/>
              <w:jc w:val="center"/>
              <w:rPr>
                <w:rFonts w:hint="eastAsia" w:ascii="宋体" w:hAnsi="宋体"/>
                <w:color w:val="auto"/>
                <w:sz w:val="24"/>
                <w:highlight w:val="none"/>
              </w:rPr>
            </w:pPr>
          </w:p>
        </w:tc>
        <w:tc>
          <w:tcPr>
            <w:tcW w:w="2992" w:type="dxa"/>
            <w:noWrap w:val="0"/>
            <w:vAlign w:val="center"/>
          </w:tcPr>
          <w:p>
            <w:pPr>
              <w:spacing w:line="560" w:lineRule="exact"/>
              <w:ind w:right="-168" w:rightChars="-80"/>
              <w:jc w:val="center"/>
              <w:rPr>
                <w:rFonts w:hint="eastAsia" w:ascii="宋体" w:hAnsi="宋体"/>
                <w:color w:val="auto"/>
                <w:sz w:val="24"/>
                <w:highlight w:val="none"/>
              </w:rPr>
            </w:pPr>
          </w:p>
        </w:tc>
        <w:tc>
          <w:tcPr>
            <w:tcW w:w="1866" w:type="dxa"/>
            <w:noWrap w:val="0"/>
            <w:vAlign w:val="center"/>
          </w:tcPr>
          <w:p>
            <w:pPr>
              <w:spacing w:line="560" w:lineRule="exact"/>
              <w:ind w:right="-168" w:rightChars="-80"/>
              <w:jc w:val="center"/>
              <w:rPr>
                <w:rFonts w:hint="eastAsia" w:ascii="宋体" w:hAnsi="宋体"/>
                <w:color w:val="auto"/>
                <w:sz w:val="24"/>
                <w:highlight w:val="none"/>
              </w:rPr>
            </w:pPr>
          </w:p>
        </w:tc>
      </w:tr>
    </w:tbl>
    <w:p>
      <w:pPr>
        <w:pStyle w:val="3"/>
        <w:rPr>
          <w:rFonts w:hint="eastAsia" w:ascii="宋体" w:hAnsi="宋体" w:eastAsia="宋体" w:cs="宋体"/>
          <w:color w:val="auto"/>
          <w:highlight w:val="none"/>
        </w:rPr>
      </w:pPr>
    </w:p>
    <w:p>
      <w:pPr>
        <w:pStyle w:val="3"/>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声明：除上表所列偏离项外，我公司所有商务条款均响应磋商文件要求。</w:t>
      </w:r>
    </w:p>
    <w:p>
      <w:pPr>
        <w:spacing w:line="480" w:lineRule="auto"/>
        <w:ind w:right="-161" w:firstLine="2640" w:firstLineChars="1100"/>
        <w:rPr>
          <w:rFonts w:hint="eastAsia" w:ascii="宋体" w:hAnsi="宋体" w:eastAsia="宋体" w:cs="宋体"/>
          <w:color w:val="auto"/>
          <w:sz w:val="24"/>
          <w:szCs w:val="24"/>
          <w:highlight w:val="none"/>
        </w:rPr>
      </w:pPr>
    </w:p>
    <w:p>
      <w:pPr>
        <w:spacing w:line="480" w:lineRule="auto"/>
        <w:ind w:right="-161"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color w:val="auto"/>
          <w:sz w:val="24"/>
          <w:szCs w:val="24"/>
          <w:highlight w:val="none"/>
          <w:u w:val="single"/>
        </w:rPr>
        <w:t xml:space="preserve">                      </w:t>
      </w:r>
    </w:p>
    <w:p>
      <w:pPr>
        <w:spacing w:line="480" w:lineRule="auto"/>
        <w:ind w:right="-161"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u w:val="single"/>
        </w:rPr>
        <w:t xml:space="preserve">      </w:t>
      </w:r>
    </w:p>
    <w:p>
      <w:pPr>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Cs w:val="24"/>
          <w:highlight w:val="none"/>
        </w:rPr>
      </w:pPr>
    </w:p>
    <w:p>
      <w:pPr>
        <w:pStyle w:val="3"/>
        <w:ind w:firstLine="0" w:firstLineChars="0"/>
        <w:rPr>
          <w:rFonts w:hint="eastAsia" w:ascii="宋体" w:hAnsi="宋体" w:eastAsia="宋体" w:cs="宋体"/>
          <w:color w:val="auto"/>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spacing w:line="480" w:lineRule="exact"/>
        <w:rPr>
          <w:rFonts w:hint="eastAsia" w:ascii="宋体" w:hAnsi="宋体" w:eastAsia="宋体" w:cs="宋体"/>
          <w:color w:val="auto"/>
          <w:szCs w:val="24"/>
          <w:highlight w:val="none"/>
        </w:rPr>
        <w:sectPr>
          <w:pgSz w:w="11906" w:h="16838"/>
          <w:pgMar w:top="1418" w:right="1644" w:bottom="1191" w:left="1758" w:header="720" w:footer="720" w:gutter="0"/>
          <w:pgNumType w:fmt="decimal"/>
          <w:cols w:space="720" w:num="1"/>
          <w:docGrid w:linePitch="312" w:charSpace="0"/>
        </w:sectPr>
      </w:pPr>
    </w:p>
    <w:p>
      <w:pPr>
        <w:widowControl/>
        <w:jc w:val="left"/>
        <w:rPr>
          <w:rFonts w:hint="eastAsia" w:ascii="宋体" w:hAnsi="宋体" w:eastAsia="宋体" w:cs="宋体"/>
          <w:b/>
          <w:color w:val="auto"/>
          <w:kern w:val="0"/>
          <w:sz w:val="28"/>
          <w:highlight w:val="none"/>
        </w:rPr>
      </w:pPr>
    </w:p>
    <w:bookmarkEnd w:id="204"/>
    <w:bookmarkEnd w:id="205"/>
    <w:bookmarkEnd w:id="206"/>
    <w:bookmarkEnd w:id="207"/>
    <w:bookmarkEnd w:id="208"/>
    <w:bookmarkEnd w:id="209"/>
    <w:bookmarkEnd w:id="210"/>
    <w:bookmarkEnd w:id="211"/>
    <w:bookmarkEnd w:id="212"/>
    <w:bookmarkEnd w:id="213"/>
    <w:p>
      <w:pPr>
        <w:rPr>
          <w:rFonts w:hint="eastAsia" w:ascii="宋体" w:hAnsi="宋体" w:eastAsia="宋体" w:cs="宋体"/>
          <w:color w:val="auto"/>
          <w:highlight w:val="none"/>
        </w:rPr>
      </w:pPr>
      <w:bookmarkStart w:id="214" w:name="_Toc497551832"/>
      <w:bookmarkStart w:id="215" w:name="_Toc173809567"/>
      <w:bookmarkStart w:id="216" w:name="_Toc167595494"/>
      <w:bookmarkStart w:id="217" w:name="_Toc492955471"/>
      <w:bookmarkStart w:id="218" w:name="_Toc497712145"/>
      <w:bookmarkStart w:id="219" w:name="_Toc497711597"/>
      <w:bookmarkStart w:id="220" w:name="_Toc246928970"/>
      <w:bookmarkStart w:id="221" w:name="_Toc497546930"/>
    </w:p>
    <w:bookmarkEnd w:id="214"/>
    <w:bookmarkEnd w:id="215"/>
    <w:bookmarkEnd w:id="216"/>
    <w:bookmarkEnd w:id="217"/>
    <w:bookmarkEnd w:id="218"/>
    <w:bookmarkEnd w:id="219"/>
    <w:bookmarkEnd w:id="220"/>
    <w:bookmarkEnd w:id="221"/>
    <w:p>
      <w:pPr>
        <w:pStyle w:val="5"/>
        <w:ind w:firstLine="562"/>
        <w:rPr>
          <w:rFonts w:hint="eastAsia" w:ascii="宋体" w:hAnsi="宋体" w:eastAsia="宋体" w:cs="宋体"/>
          <w:color w:val="auto"/>
          <w:sz w:val="24"/>
          <w:szCs w:val="24"/>
          <w:highlight w:val="none"/>
        </w:rPr>
      </w:pPr>
      <w:bookmarkStart w:id="222" w:name="_Toc7326"/>
      <w:bookmarkStart w:id="223" w:name="_Toc519085755"/>
      <w:r>
        <w:rPr>
          <w:rFonts w:hint="eastAsia" w:ascii="宋体" w:hAnsi="宋体" w:eastAsia="宋体" w:cs="宋体"/>
          <w:color w:val="auto"/>
          <w:sz w:val="24"/>
          <w:szCs w:val="24"/>
          <w:highlight w:val="none"/>
        </w:rPr>
        <w:t>五、响应方案</w:t>
      </w:r>
      <w:bookmarkEnd w:id="222"/>
      <w:bookmarkEnd w:id="223"/>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磋商响应方案：</w:t>
      </w:r>
    </w:p>
    <w:p>
      <w:pPr>
        <w:spacing w:line="50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注：供应商根据本项目实际情况编写，格式自拟。</w:t>
      </w: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tabs>
          <w:tab w:val="center" w:pos="4419"/>
        </w:tabs>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5"/>
        <w:ind w:firstLine="560"/>
        <w:rPr>
          <w:rFonts w:hint="eastAsia" w:ascii="宋体" w:hAnsi="宋体" w:eastAsia="宋体" w:cs="宋体"/>
          <w:color w:val="auto"/>
          <w:highlight w:val="none"/>
        </w:rPr>
      </w:pPr>
      <w:bookmarkStart w:id="224" w:name="_Toc519085756"/>
      <w:r>
        <w:rPr>
          <w:rFonts w:hint="eastAsia" w:ascii="宋体" w:hAnsi="宋体" w:eastAsia="宋体" w:cs="宋体"/>
          <w:color w:val="auto"/>
          <w:highlight w:val="none"/>
        </w:rPr>
        <w:br w:type="page"/>
      </w:r>
      <w:bookmarkStart w:id="225" w:name="_Toc16328"/>
      <w:r>
        <w:rPr>
          <w:rFonts w:hint="eastAsia" w:ascii="宋体" w:hAnsi="宋体" w:eastAsia="宋体" w:cs="宋体"/>
          <w:color w:val="auto"/>
          <w:sz w:val="24"/>
          <w:szCs w:val="24"/>
          <w:highlight w:val="none"/>
        </w:rPr>
        <w:t>六、供应商资格证明文件及其他</w:t>
      </w:r>
      <w:bookmarkEnd w:id="224"/>
      <w:bookmarkEnd w:id="225"/>
    </w:p>
    <w:p>
      <w:pPr>
        <w:widowControl/>
        <w:jc w:val="left"/>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bookmarkStart w:id="226" w:name="_Toc332805171"/>
      <w:bookmarkStart w:id="227" w:name="_Toc332805616"/>
      <w:bookmarkStart w:id="228" w:name="_Toc332805617"/>
      <w:bookmarkStart w:id="229" w:name="_Toc332805172"/>
      <w:r>
        <w:rPr>
          <w:rFonts w:hint="eastAsia" w:ascii="宋体" w:hAnsi="宋体" w:eastAsia="宋体" w:cs="宋体"/>
          <w:color w:val="auto"/>
          <w:sz w:val="24"/>
          <w:szCs w:val="24"/>
          <w:highlight w:val="none"/>
        </w:rPr>
        <w:t>1、满足《中华人民共和国政府采购法》第二十二条规定</w:t>
      </w:r>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①.合法有效的企事业法人、其他组织或自然人；</w:t>
      </w:r>
    </w:p>
    <w:p>
      <w:pPr>
        <w:pStyle w:val="15"/>
        <w:tabs>
          <w:tab w:val="left" w:pos="5580"/>
        </w:tabs>
        <w:spacing w:before="120" w:line="360" w:lineRule="auto"/>
        <w:rPr>
          <w:rFonts w:hint="eastAsia" w:ascii="宋体" w:hAnsi="宋体" w:eastAsia="宋体" w:cs="宋体"/>
          <w:b/>
          <w:color w:val="auto"/>
          <w:szCs w:val="24"/>
          <w:highlight w:val="none"/>
        </w:rPr>
      </w:pPr>
    </w:p>
    <w:p>
      <w:pPr>
        <w:pStyle w:val="15"/>
        <w:tabs>
          <w:tab w:val="left" w:pos="5580"/>
        </w:tabs>
        <w:spacing w:before="120" w:line="360" w:lineRule="auto"/>
        <w:rPr>
          <w:rFonts w:hint="eastAsia" w:ascii="宋体" w:hAnsi="宋体" w:eastAsia="宋体" w:cs="宋体"/>
          <w:b/>
          <w:color w:val="auto"/>
          <w:szCs w:val="24"/>
          <w:highlight w:val="none"/>
        </w:rPr>
      </w:pPr>
    </w:p>
    <w:p>
      <w:pPr>
        <w:pStyle w:val="15"/>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p>
      <w:pPr>
        <w:pStyle w:val="15"/>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1、如供应商是企业（包括合伙企业），应提供在工商部门注册的有效“企业法人营业执照”或“营业执照”；</w:t>
      </w:r>
    </w:p>
    <w:p>
      <w:pPr>
        <w:pStyle w:val="15"/>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2、如供应商是事业单位，应提供有效的“事业单位法人证书”；</w:t>
      </w:r>
    </w:p>
    <w:p>
      <w:pPr>
        <w:pStyle w:val="15"/>
        <w:tabs>
          <w:tab w:val="left" w:pos="5580"/>
        </w:tabs>
        <w:spacing w:before="120" w:line="360" w:lineRule="auto"/>
        <w:ind w:firstLine="352" w:firstLineChars="147"/>
        <w:rPr>
          <w:rFonts w:hint="eastAsia" w:ascii="宋体" w:hAnsi="宋体" w:eastAsia="宋体" w:cs="宋体"/>
          <w:color w:val="auto"/>
          <w:szCs w:val="24"/>
          <w:highlight w:val="none"/>
        </w:rPr>
      </w:pPr>
      <w:r>
        <w:rPr>
          <w:rFonts w:hint="eastAsia" w:ascii="宋体" w:hAnsi="宋体" w:eastAsia="宋体" w:cs="宋体"/>
          <w:color w:val="auto"/>
          <w:szCs w:val="24"/>
          <w:highlight w:val="none"/>
        </w:rPr>
        <w:t>3、如供应商是个体工商户，应提供有效的“个体工商户营业执照”；</w:t>
      </w:r>
    </w:p>
    <w:p>
      <w:pPr>
        <w:pStyle w:val="15"/>
        <w:tabs>
          <w:tab w:val="left" w:pos="5580"/>
        </w:tabs>
        <w:spacing w:before="120" w:line="360" w:lineRule="auto"/>
        <w:ind w:firstLine="352" w:firstLineChars="147"/>
        <w:rPr>
          <w:rFonts w:hint="eastAsia" w:ascii="宋体" w:hAnsi="宋体" w:eastAsia="宋体" w:cs="宋体"/>
          <w:color w:val="auto"/>
          <w:szCs w:val="24"/>
          <w:highlight w:val="none"/>
        </w:rPr>
        <w:sectPr>
          <w:pgSz w:w="11906" w:h="16838"/>
          <w:pgMar w:top="1417" w:right="1644" w:bottom="1417" w:left="1757" w:header="850" w:footer="850" w:gutter="0"/>
          <w:pgNumType w:fmt="decimal"/>
          <w:cols w:space="720" w:num="1"/>
          <w:titlePg/>
          <w:docGrid w:linePitch="312" w:charSpace="0"/>
        </w:sectPr>
      </w:pPr>
      <w:r>
        <w:rPr>
          <w:rFonts w:hint="eastAsia" w:ascii="宋体" w:hAnsi="宋体" w:eastAsia="宋体" w:cs="宋体"/>
          <w:color w:val="auto"/>
          <w:szCs w:val="24"/>
          <w:highlight w:val="none"/>
        </w:rPr>
        <w:t>4、如供应商为自然人，应提供有效的自然人身份证明。</w:t>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法定代表人证明书或授权委托书</w:t>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（1）法定代表人证明书</w:t>
      </w:r>
    </w:p>
    <w:p>
      <w:pPr>
        <w:tabs>
          <w:tab w:val="left" w:pos="210"/>
        </w:tabs>
        <w:spacing w:line="320" w:lineRule="exact"/>
        <w:jc w:val="center"/>
        <w:rPr>
          <w:rFonts w:hint="eastAsia" w:ascii="宋体" w:hAnsi="宋体" w:eastAsia="宋体" w:cs="宋体"/>
          <w:b/>
          <w:color w:val="auto"/>
          <w:kern w:val="0"/>
          <w:sz w:val="24"/>
          <w:szCs w:val="24"/>
          <w:highlight w:val="none"/>
        </w:rPr>
      </w:pPr>
    </w:p>
    <w:tbl>
      <w:tblPr>
        <w:tblStyle w:val="2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151"/>
        <w:gridCol w:w="2145"/>
        <w:gridCol w:w="184"/>
        <w:gridCol w:w="214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6" w:type="dxa"/>
            <w:gridSpan w:val="6"/>
            <w:vAlign w:val="center"/>
          </w:tcPr>
          <w:p>
            <w:pPr>
              <w:tabs>
                <w:tab w:val="left" w:pos="210"/>
              </w:tabs>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致：陕西中信海诚造价咨询有限公司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329" w:type="dxa"/>
            <w:gridSpan w:val="2"/>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45"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97"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2151" w:type="dxa"/>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571" w:type="dxa"/>
            <w:gridSpan w:val="4"/>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64" w:type="dxa"/>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296" w:type="dxa"/>
            <w:gridSpan w:val="2"/>
            <w:vMerge w:val="restart"/>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426" w:type="dxa"/>
            <w:gridSpan w:val="3"/>
            <w:vAlign w:val="center"/>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64" w:type="dxa"/>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296" w:type="dxa"/>
            <w:gridSpan w:val="2"/>
            <w:vMerge w:val="continue"/>
            <w:vAlign w:val="center"/>
          </w:tcPr>
          <w:p>
            <w:pPr>
              <w:tabs>
                <w:tab w:val="left" w:pos="210"/>
              </w:tabs>
              <w:spacing w:line="320" w:lineRule="exact"/>
              <w:jc w:val="center"/>
              <w:rPr>
                <w:rFonts w:hint="eastAsia" w:ascii="宋体" w:hAnsi="宋体" w:eastAsia="宋体" w:cs="宋体"/>
                <w:color w:val="auto"/>
                <w:kern w:val="0"/>
                <w:sz w:val="24"/>
                <w:szCs w:val="24"/>
                <w:highlight w:val="none"/>
              </w:rPr>
            </w:pPr>
          </w:p>
        </w:tc>
        <w:tc>
          <w:tcPr>
            <w:tcW w:w="4426" w:type="dxa"/>
            <w:gridSpan w:val="3"/>
            <w:vAlign w:val="bottom"/>
          </w:tcPr>
          <w:p>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center"/>
              <w:rPr>
                <w:rFonts w:hint="eastAsia" w:ascii="宋体" w:hAnsi="宋体" w:eastAsia="宋体" w:cs="宋体"/>
                <w:color w:val="auto"/>
                <w:kern w:val="0"/>
                <w:sz w:val="24"/>
                <w:szCs w:val="24"/>
                <w:highlight w:val="none"/>
              </w:rPr>
            </w:pPr>
          </w:p>
          <w:p>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pStyle w:val="8"/>
        <w:tabs>
          <w:tab w:val="left" w:pos="210"/>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kern w:val="2"/>
          <w:sz w:val="24"/>
          <w:szCs w:val="24"/>
          <w:highlight w:val="none"/>
        </w:rPr>
        <w:t>（2）法定代表人授权委托书</w:t>
      </w:r>
    </w:p>
    <w:p>
      <w:pPr>
        <w:pStyle w:val="15"/>
        <w:spacing w:line="500" w:lineRule="exact"/>
        <w:rPr>
          <w:rFonts w:hint="eastAsia" w:ascii="宋体" w:hAnsi="宋体" w:eastAsia="宋体" w:cs="宋体"/>
          <w:b/>
          <w:bCs/>
          <w:color w:val="auto"/>
          <w:szCs w:val="24"/>
          <w:highlight w:val="none"/>
        </w:rPr>
      </w:pPr>
      <w:r>
        <w:rPr>
          <w:rFonts w:hint="eastAsia" w:ascii="宋体" w:hAnsi="宋体" w:eastAsia="宋体" w:cs="宋体"/>
          <w:color w:val="auto"/>
          <w:spacing w:val="4"/>
          <w:highlight w:val="none"/>
          <w:u w:val="single"/>
        </w:rPr>
        <w:t xml:space="preserve">     （采购人名称）   </w:t>
      </w:r>
      <w:r>
        <w:rPr>
          <w:rFonts w:hint="eastAsia" w:ascii="宋体" w:hAnsi="宋体" w:eastAsia="宋体" w:cs="宋体"/>
          <w:color w:val="auto"/>
          <w:szCs w:val="24"/>
          <w:highlight w:val="none"/>
        </w:rPr>
        <w:t>：</w:t>
      </w:r>
    </w:p>
    <w:p>
      <w:pPr>
        <w:pStyle w:val="15"/>
        <w:spacing w:line="500" w:lineRule="exact"/>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本授权书声明：注册于（</w:t>
      </w:r>
      <w:r>
        <w:rPr>
          <w:rFonts w:hint="eastAsia" w:ascii="宋体" w:hAnsi="宋体" w:eastAsia="宋体" w:cs="宋体"/>
          <w:color w:val="auto"/>
          <w:szCs w:val="24"/>
          <w:highlight w:val="none"/>
          <w:u w:val="single"/>
        </w:rPr>
        <w:t xml:space="preserve">工商行政管理局名称）之（委托单位全称） </w:t>
      </w:r>
      <w:r>
        <w:rPr>
          <w:rFonts w:hint="eastAsia" w:ascii="宋体" w:hAnsi="宋体" w:eastAsia="宋体" w:cs="宋体"/>
          <w:color w:val="auto"/>
          <w:szCs w:val="24"/>
          <w:highlight w:val="none"/>
        </w:rPr>
        <w:t>的法定代表人</w:t>
      </w:r>
      <w:r>
        <w:rPr>
          <w:rFonts w:hint="eastAsia" w:ascii="宋体" w:hAnsi="宋体" w:eastAsia="宋体" w:cs="宋体"/>
          <w:color w:val="auto"/>
          <w:szCs w:val="24"/>
          <w:highlight w:val="none"/>
          <w:u w:val="single"/>
        </w:rPr>
        <w:t>（姓名、性别、职务）</w:t>
      </w:r>
      <w:r>
        <w:rPr>
          <w:rFonts w:hint="eastAsia" w:ascii="宋体" w:hAnsi="宋体" w:eastAsia="宋体" w:cs="宋体"/>
          <w:color w:val="auto"/>
          <w:szCs w:val="24"/>
          <w:highlight w:val="none"/>
        </w:rPr>
        <w:t>授权本公司的</w:t>
      </w:r>
      <w:r>
        <w:rPr>
          <w:rFonts w:hint="eastAsia" w:ascii="宋体" w:hAnsi="宋体" w:eastAsia="宋体" w:cs="宋体"/>
          <w:color w:val="auto"/>
          <w:szCs w:val="24"/>
          <w:highlight w:val="none"/>
          <w:u w:val="single"/>
        </w:rPr>
        <w:t>（被授权人姓名、性别、职务）</w:t>
      </w:r>
      <w:r>
        <w:rPr>
          <w:rFonts w:hint="eastAsia" w:ascii="宋体" w:hAnsi="宋体" w:eastAsia="宋体" w:cs="宋体"/>
          <w:color w:val="auto"/>
          <w:szCs w:val="24"/>
          <w:highlight w:val="none"/>
        </w:rPr>
        <w:t>为合法代理人，就贵方组织的有关</w:t>
      </w:r>
      <w:r>
        <w:rPr>
          <w:rFonts w:hint="eastAsia" w:ascii="宋体" w:hAnsi="宋体" w:eastAsia="宋体" w:cs="宋体"/>
          <w:color w:val="auto"/>
          <w:szCs w:val="24"/>
          <w:highlight w:val="none"/>
          <w:u w:val="single"/>
        </w:rPr>
        <w:t>（项目名称：           项目编号：   ）</w:t>
      </w:r>
      <w:r>
        <w:rPr>
          <w:rFonts w:hint="eastAsia" w:ascii="宋体" w:hAnsi="宋体" w:eastAsia="宋体" w:cs="宋体"/>
          <w:color w:val="auto"/>
          <w:szCs w:val="24"/>
          <w:highlight w:val="none"/>
        </w:rPr>
        <w:t>的磋商采购的具体事务，签署全部有关文件、文书、协议、合同，本公司对被授权人在本项目中的签名承担全部法律责任。本授权书自响应文件递交截止时间起计算有效期为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天。</w:t>
      </w:r>
    </w:p>
    <w:p>
      <w:pPr>
        <w:pStyle w:val="15"/>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委托单位：    （公章）                  法定代表人（签字）：</w:t>
      </w:r>
    </w:p>
    <w:p>
      <w:pPr>
        <w:pStyle w:val="15"/>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pPr>
        <w:pStyle w:val="15"/>
        <w:spacing w:line="500" w:lineRule="exact"/>
        <w:ind w:firstLine="480" w:firstLineChars="200"/>
        <w:rPr>
          <w:rFonts w:hint="eastAsia" w:ascii="宋体" w:hAnsi="宋体" w:eastAsia="宋体" w:cs="宋体"/>
          <w:color w:val="auto"/>
          <w:szCs w:val="24"/>
          <w:highlight w:val="none"/>
        </w:rPr>
      </w:pPr>
    </w:p>
    <w:p>
      <w:pPr>
        <w:pStyle w:val="15"/>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附：被授权人姓名：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 xml:space="preserve">             </w:t>
      </w:r>
    </w:p>
    <w:p>
      <w:pPr>
        <w:pStyle w:val="15"/>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 xml:space="preserve">联系地址：  </w:t>
      </w:r>
      <w:r>
        <w:rPr>
          <w:rFonts w:hint="eastAsia" w:ascii="宋体" w:hAnsi="宋体" w:eastAsia="宋体" w:cs="宋体"/>
          <w:color w:val="auto"/>
          <w:szCs w:val="24"/>
          <w:highlight w:val="none"/>
          <w:u w:val="single"/>
        </w:rPr>
        <w:t xml:space="preserve">                                                </w:t>
      </w:r>
    </w:p>
    <w:p>
      <w:pPr>
        <w:pStyle w:val="15"/>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联系电话：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p>
    <w:p>
      <w:pPr>
        <w:pStyle w:val="15"/>
        <w:spacing w:line="500" w:lineRule="exact"/>
        <w:ind w:firstLine="960" w:firstLineChars="4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被授权人签字：</w:t>
      </w:r>
      <w:r>
        <w:rPr>
          <w:rFonts w:hint="eastAsia" w:ascii="宋体" w:hAnsi="宋体" w:eastAsia="宋体" w:cs="宋体"/>
          <w:color w:val="auto"/>
          <w:szCs w:val="24"/>
          <w:highlight w:val="none"/>
          <w:u w:val="single"/>
        </w:rPr>
        <w:t xml:space="preserve">            </w:t>
      </w:r>
    </w:p>
    <w:p>
      <w:pPr>
        <w:pStyle w:val="15"/>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说明：授权书内容填写要明确，文字要工整清楚，涂改无效。</w:t>
      </w:r>
    </w:p>
    <w:p>
      <w:pPr>
        <w:pStyle w:val="15"/>
        <w:spacing w:line="500" w:lineRule="exact"/>
        <w:ind w:firstLine="2760" w:firstLineChars="1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法定代表人/被授权人身份证复印件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193"/>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4002" w:hRule="atLeast"/>
          <w:jc w:val="center"/>
        </w:trPr>
        <w:tc>
          <w:tcPr>
            <w:tcW w:w="4193" w:type="dxa"/>
            <w:shd w:val="clear" w:color="auto" w:fill="E0E0E0"/>
            <w:vAlign w:val="center"/>
          </w:tcPr>
          <w:p>
            <w:pPr>
              <w:pStyle w:val="15"/>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法定代表人身份证复印件（正、反两面）</w:t>
            </w:r>
          </w:p>
        </w:tc>
        <w:tc>
          <w:tcPr>
            <w:tcW w:w="4193" w:type="dxa"/>
            <w:shd w:val="clear" w:color="auto" w:fill="E0E0E0"/>
            <w:vAlign w:val="center"/>
          </w:tcPr>
          <w:p>
            <w:pPr>
              <w:pStyle w:val="15"/>
              <w:spacing w:line="5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shd w:val="pct10" w:color="auto" w:fill="FFFFFF"/>
              </w:rPr>
              <w:t>被授权人身份证复印件（正、反两面）</w:t>
            </w:r>
          </w:p>
        </w:tc>
      </w:tr>
    </w:tbl>
    <w:p>
      <w:pPr>
        <w:pStyle w:val="15"/>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法定代表人直接参与投标的，无需提供此授权书。</w:t>
      </w:r>
    </w:p>
    <w:p>
      <w:pPr>
        <w:spacing w:line="360" w:lineRule="auto"/>
        <w:ind w:left="1"/>
        <w:jc w:val="center"/>
        <w:rPr>
          <w:rFonts w:hint="eastAsia" w:ascii="宋体" w:hAnsi="宋体" w:eastAsia="宋体" w:cs="宋体"/>
          <w:b/>
          <w:color w:val="auto"/>
          <w:sz w:val="32"/>
          <w:szCs w:val="32"/>
          <w:highlight w:val="none"/>
        </w:rPr>
      </w:pPr>
    </w:p>
    <w:p>
      <w:pPr>
        <w:spacing w:line="360" w:lineRule="auto"/>
        <w:ind w:left="1"/>
        <w:jc w:val="center"/>
        <w:rPr>
          <w:rFonts w:hint="eastAsia" w:ascii="宋体" w:hAnsi="宋体" w:eastAsia="宋体" w:cs="宋体"/>
          <w:b/>
          <w:color w:val="auto"/>
          <w:sz w:val="32"/>
          <w:szCs w:val="32"/>
          <w:highlight w:val="none"/>
        </w:rPr>
        <w:sectPr>
          <w:pgSz w:w="11906" w:h="16838"/>
          <w:pgMar w:top="1418" w:right="1644" w:bottom="1191" w:left="1758" w:header="720" w:footer="720" w:gutter="0"/>
          <w:pgNumType w:fmt="decimal"/>
          <w:cols w:space="720" w:num="1"/>
          <w:docGrid w:linePitch="312" w:charSpace="0"/>
        </w:sectPr>
      </w:pPr>
    </w:p>
    <w:bookmarkEnd w:id="226"/>
    <w:bookmarkEnd w:id="227"/>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②.具有良好的商业信誉和健全的财务会计制度；</w:t>
      </w:r>
    </w:p>
    <w:p>
      <w:pPr>
        <w:tabs>
          <w:tab w:val="left" w:pos="3060"/>
          <w:tab w:val="left" w:pos="5580"/>
        </w:tabs>
        <w:spacing w:before="120" w:line="360" w:lineRule="auto"/>
        <w:ind w:left="3057" w:hanging="1619"/>
        <w:rPr>
          <w:rFonts w:hint="eastAsia" w:ascii="宋体" w:hAnsi="宋体" w:eastAsia="宋体" w:cs="宋体"/>
          <w:b/>
          <w:color w:val="auto"/>
          <w:sz w:val="24"/>
          <w:highlight w:val="none"/>
        </w:rPr>
      </w:pPr>
    </w:p>
    <w:p>
      <w:pPr>
        <w:tabs>
          <w:tab w:val="left" w:pos="3060"/>
          <w:tab w:val="left" w:pos="5580"/>
        </w:tabs>
        <w:spacing w:before="120" w:line="360" w:lineRule="auto"/>
        <w:ind w:left="3057" w:hanging="1619"/>
        <w:rPr>
          <w:rFonts w:hint="eastAsia" w:ascii="宋体" w:hAnsi="宋体" w:eastAsia="宋体" w:cs="宋体"/>
          <w:b/>
          <w:color w:val="auto"/>
          <w:sz w:val="24"/>
          <w:highlight w:val="none"/>
        </w:rPr>
      </w:pPr>
    </w:p>
    <w:p>
      <w:pPr>
        <w:tabs>
          <w:tab w:val="left" w:pos="5580"/>
        </w:tabs>
        <w:spacing w:before="120" w:line="31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1、供应商为法人的，应提供2020年度或2021年度经具备资质的财务审计公司审计的财务报告，包括资产负债表、利润表、现金流量表及其附注或其基本存款账户开户银行开具的资信证明（如基本户银行不具备开具资信证明条件，由其上级部门开具，供应商应附相关说明）。</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2、部分其他组织和自然人，没有经审计的财务报告，可以提供响应文件递交截止时间前三个月内其开户银行出具的资信证明。</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3、信用记录</w:t>
      </w:r>
    </w:p>
    <w:p>
      <w:pPr>
        <w:spacing w:line="360" w:lineRule="auto"/>
        <w:ind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3.1信用记录由采购人进行查询并审查。</w:t>
      </w:r>
    </w:p>
    <w:p>
      <w:pPr>
        <w:spacing w:line="360" w:lineRule="auto"/>
        <w:ind w:firstLine="480" w:firstLineChars="200"/>
        <w:jc w:val="left"/>
        <w:rPr>
          <w:rFonts w:hint="eastAsia" w:ascii="宋体" w:hAnsi="宋体" w:eastAsia="宋体" w:cs="宋体"/>
          <w:b/>
          <w:color w:val="auto"/>
          <w:sz w:val="24"/>
          <w:highlight w:val="none"/>
        </w:rPr>
        <w:sectPr>
          <w:pgSz w:w="11906" w:h="16838"/>
          <w:pgMar w:top="1417" w:right="1644" w:bottom="1417" w:left="1757" w:header="850" w:footer="850" w:gutter="0"/>
          <w:pgNumType w:fmt="decimal"/>
          <w:cols w:space="720" w:num="1"/>
          <w:titlePg/>
          <w:docGrid w:linePitch="312" w:charSpace="0"/>
        </w:sectPr>
      </w:pPr>
      <w:r>
        <w:rPr>
          <w:rFonts w:hint="eastAsia" w:ascii="宋体" w:hAnsi="宋体" w:eastAsia="宋体" w:cs="宋体"/>
          <w:color w:val="auto"/>
          <w:kern w:val="28"/>
          <w:sz w:val="24"/>
          <w:szCs w:val="24"/>
          <w:highlight w:val="none"/>
        </w:rPr>
        <w:t>3.2供应商未被列入“信用中国”网站(www.creditchina.gov.cn)“记录失信被执行人或重大税收违法案件当事人名单；不属于中国政府采购网(www.ccgp.gov.cn)“政府采购严重违法失信行为信息记录”中的禁止参加政府采购活动期间。</w:t>
      </w:r>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③.具有履行合同所必需的设备和专业技术能力；</w:t>
      </w:r>
    </w:p>
    <w:p>
      <w:pPr>
        <w:spacing w:line="360" w:lineRule="auto"/>
        <w:rPr>
          <w:rFonts w:hint="eastAsia" w:ascii="宋体" w:hAnsi="宋体" w:eastAsia="宋体" w:cs="宋体"/>
          <w:color w:val="auto"/>
          <w:spacing w:val="4"/>
          <w:sz w:val="24"/>
          <w:highlight w:val="none"/>
          <w:u w:val="single"/>
        </w:rPr>
      </w:pPr>
    </w:p>
    <w:p>
      <w:pPr>
        <w:spacing w:line="360" w:lineRule="auto"/>
        <w:jc w:val="center"/>
        <w:rPr>
          <w:rFonts w:hint="eastAsia" w:ascii="宋体" w:hAnsi="宋体" w:eastAsia="宋体" w:cs="宋体"/>
          <w:color w:val="auto"/>
          <w:spacing w:val="4"/>
          <w:sz w:val="24"/>
          <w:highlight w:val="none"/>
        </w:rPr>
      </w:pPr>
      <w:r>
        <w:rPr>
          <w:rFonts w:hint="eastAsia" w:ascii="宋体" w:hAnsi="宋体" w:eastAsia="宋体" w:cs="宋体"/>
          <w:b/>
          <w:color w:val="auto"/>
          <w:sz w:val="24"/>
          <w:highlight w:val="none"/>
        </w:rPr>
        <w:t>具有履行合同所必需的设备和专业技术能力的承诺函</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before="240" w:beforeLines="100" w:after="12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u w:val="single"/>
        </w:rPr>
        <w:t>（公司或其他组织）</w:t>
      </w:r>
      <w:r>
        <w:rPr>
          <w:rFonts w:hint="eastAsia" w:ascii="宋体" w:hAnsi="宋体" w:eastAsia="宋体" w:cs="宋体"/>
          <w:color w:val="auto"/>
          <w:spacing w:val="4"/>
          <w:sz w:val="24"/>
          <w:highlight w:val="none"/>
        </w:rPr>
        <w:t>于</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日在中华人民共和国境内</w:t>
      </w:r>
      <w:r>
        <w:rPr>
          <w:rFonts w:hint="eastAsia" w:ascii="宋体" w:hAnsi="宋体" w:eastAsia="宋体" w:cs="宋体"/>
          <w:color w:val="auto"/>
          <w:spacing w:val="4"/>
          <w:sz w:val="24"/>
          <w:highlight w:val="none"/>
          <w:u w:val="single"/>
        </w:rPr>
        <w:t>（详细注册地址）</w:t>
      </w:r>
      <w:r>
        <w:rPr>
          <w:rFonts w:hint="eastAsia" w:ascii="宋体" w:hAnsi="宋体" w:eastAsia="宋体" w:cs="宋体"/>
          <w:color w:val="auto"/>
          <w:spacing w:val="4"/>
          <w:sz w:val="24"/>
          <w:highlight w:val="none"/>
        </w:rPr>
        <w:t>合法注册并经营，公司主营业务为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，营业（生产经营）面积为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。主要设备有</w:t>
      </w:r>
      <w:r>
        <w:rPr>
          <w:rFonts w:hint="eastAsia" w:ascii="宋体" w:hAnsi="宋体" w:eastAsia="宋体" w:cs="宋体"/>
          <w:color w:val="auto"/>
          <w:spacing w:val="4"/>
          <w:sz w:val="24"/>
          <w:highlight w:val="none"/>
          <w:u w:val="single"/>
        </w:rPr>
        <w:t>（品种、数量）</w:t>
      </w:r>
      <w:r>
        <w:rPr>
          <w:rFonts w:hint="eastAsia" w:ascii="宋体" w:hAnsi="宋体" w:eastAsia="宋体" w:cs="宋体"/>
          <w:color w:val="auto"/>
          <w:spacing w:val="4"/>
          <w:sz w:val="24"/>
          <w:highlight w:val="none"/>
        </w:rPr>
        <w:t>，其中用于履行本合同所必需的设备有</w:t>
      </w:r>
      <w:r>
        <w:rPr>
          <w:rFonts w:hint="eastAsia" w:ascii="宋体" w:hAnsi="宋体" w:eastAsia="宋体" w:cs="宋体"/>
          <w:color w:val="auto"/>
          <w:spacing w:val="4"/>
          <w:sz w:val="24"/>
          <w:highlight w:val="none"/>
          <w:u w:val="single"/>
        </w:rPr>
        <w:t>（ 品种、数量）</w:t>
      </w:r>
      <w:r>
        <w:rPr>
          <w:rFonts w:hint="eastAsia" w:ascii="宋体" w:hAnsi="宋体" w:eastAsia="宋体" w:cs="宋体"/>
          <w:color w:val="auto"/>
          <w:spacing w:val="4"/>
          <w:sz w:val="24"/>
          <w:highlight w:val="none"/>
        </w:rPr>
        <w:t>；现有员工数量为</w:t>
      </w:r>
      <w:r>
        <w:rPr>
          <w:rFonts w:hint="eastAsia" w:ascii="宋体" w:hAnsi="宋体" w:eastAsia="宋体" w:cs="宋体"/>
          <w:color w:val="auto"/>
          <w:spacing w:val="4"/>
          <w:sz w:val="24"/>
          <w:highlight w:val="none"/>
          <w:u w:val="single"/>
        </w:rPr>
        <w:t>（）</w:t>
      </w:r>
      <w:r>
        <w:rPr>
          <w:rFonts w:hint="eastAsia" w:ascii="宋体" w:hAnsi="宋体" w:eastAsia="宋体" w:cs="宋体"/>
          <w:color w:val="auto"/>
          <w:spacing w:val="4"/>
          <w:sz w:val="24"/>
          <w:highlight w:val="none"/>
        </w:rPr>
        <w:t>，其中与履行本合同相关的专业技术人员有</w:t>
      </w:r>
      <w:r>
        <w:rPr>
          <w:rFonts w:hint="eastAsia" w:ascii="宋体" w:hAnsi="宋体" w:eastAsia="宋体" w:cs="宋体"/>
          <w:color w:val="auto"/>
          <w:spacing w:val="4"/>
          <w:sz w:val="24"/>
          <w:highlight w:val="none"/>
          <w:u w:val="single"/>
        </w:rPr>
        <w:t>（专业能力、数量）</w:t>
      </w:r>
      <w:r>
        <w:rPr>
          <w:rFonts w:hint="eastAsia" w:ascii="宋体" w:hAnsi="宋体" w:eastAsia="宋体" w:cs="宋体"/>
          <w:color w:val="auto"/>
          <w:spacing w:val="4"/>
          <w:sz w:val="24"/>
          <w:highlight w:val="none"/>
        </w:rPr>
        <w:t>，本单位郑重承诺，具有履行本合同所必需的设备和专业技术能力。</w:t>
      </w:r>
    </w:p>
    <w:p>
      <w:pPr>
        <w:spacing w:before="240" w:beforeLines="100" w:after="120" w:afterLines="50" w:line="360" w:lineRule="auto"/>
        <w:ind w:firstLine="170"/>
        <w:rPr>
          <w:rFonts w:hint="eastAsia" w:ascii="宋体" w:hAnsi="宋体" w:eastAsia="宋体" w:cs="宋体"/>
          <w:color w:val="auto"/>
          <w:spacing w:val="4"/>
          <w:sz w:val="24"/>
          <w:highlight w:val="none"/>
        </w:rPr>
      </w:pPr>
    </w:p>
    <w:p>
      <w:pPr>
        <w:spacing w:before="240" w:beforeLines="100" w:after="12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240" w:beforeLines="100" w:after="12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法定代表人或委托代理人（签字或盖章）：</w:t>
      </w:r>
      <w:r>
        <w:rPr>
          <w:rFonts w:hint="eastAsia" w:ascii="宋体" w:hAnsi="宋体" w:eastAsia="宋体" w:cs="宋体"/>
          <w:color w:val="auto"/>
          <w:sz w:val="24"/>
          <w:highlight w:val="none"/>
          <w:u w:val="single"/>
        </w:rPr>
        <w:t xml:space="preserve">                                             </w:t>
      </w:r>
    </w:p>
    <w:p>
      <w:pPr>
        <w:spacing w:before="240" w:beforeLines="100" w:after="12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tabs>
          <w:tab w:val="left" w:pos="5580"/>
        </w:tabs>
        <w:spacing w:before="120" w:line="360" w:lineRule="auto"/>
        <w:outlineLvl w:val="3"/>
        <w:rPr>
          <w:rFonts w:hint="eastAsia" w:ascii="宋体" w:hAnsi="宋体" w:eastAsia="宋体" w:cs="宋体"/>
          <w:b/>
          <w:color w:val="auto"/>
          <w:sz w:val="24"/>
          <w:highlight w:val="none"/>
        </w:rPr>
        <w:sectPr>
          <w:pgSz w:w="11906" w:h="16838"/>
          <w:pgMar w:top="1417" w:right="1644" w:bottom="1417" w:left="1757" w:header="850" w:footer="850" w:gutter="0"/>
          <w:pgNumType w:fmt="decimal"/>
          <w:cols w:space="720" w:num="1"/>
          <w:titlePg/>
          <w:docGrid w:linePitch="312" w:charSpace="0"/>
        </w:sectPr>
      </w:pPr>
    </w:p>
    <w:bookmarkEnd w:id="228"/>
    <w:bookmarkEnd w:id="229"/>
    <w:p>
      <w:pPr>
        <w:tabs>
          <w:tab w:val="left" w:pos="5580"/>
        </w:tabs>
        <w:spacing w:before="120" w:line="360" w:lineRule="auto"/>
        <w:outlineLvl w:val="3"/>
        <w:rPr>
          <w:rFonts w:hint="eastAsia" w:ascii="宋体" w:hAnsi="宋体" w:eastAsia="宋体" w:cs="宋体"/>
          <w:b/>
          <w:color w:val="auto"/>
          <w:szCs w:val="24"/>
          <w:highlight w:val="none"/>
        </w:rPr>
      </w:pPr>
      <w:r>
        <w:rPr>
          <w:rFonts w:hint="eastAsia" w:ascii="宋体" w:hAnsi="宋体" w:eastAsia="宋体" w:cs="宋体"/>
          <w:b/>
          <w:color w:val="auto"/>
          <w:sz w:val="24"/>
          <w:highlight w:val="none"/>
        </w:rPr>
        <w:t>④.有依法缴纳税收和社会保障资金的良好记录；</w:t>
      </w:r>
    </w:p>
    <w:p>
      <w:pPr>
        <w:spacing w:before="120" w:line="360" w:lineRule="auto"/>
        <w:rPr>
          <w:rFonts w:hint="eastAsia" w:ascii="宋体" w:hAnsi="宋体" w:eastAsia="宋体" w:cs="宋体"/>
          <w:color w:val="auto"/>
          <w:sz w:val="24"/>
          <w:highlight w:val="none"/>
        </w:rPr>
      </w:pPr>
    </w:p>
    <w:p>
      <w:pPr>
        <w:spacing w:before="120"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pStyle w:val="25"/>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1、税收缴纳证明：</w:t>
      </w:r>
      <w:r>
        <w:rPr>
          <w:rFonts w:hint="eastAsia" w:ascii="宋体" w:hAnsi="宋体" w:eastAsia="宋体" w:cs="宋体"/>
          <w:color w:val="auto"/>
          <w:kern w:val="28"/>
          <w:sz w:val="24"/>
          <w:szCs w:val="24"/>
          <w:highlight w:val="none"/>
        </w:rPr>
        <w:t>提供响应文件递交截止时间前6个月内任意1个月</w:t>
      </w:r>
      <w:r>
        <w:rPr>
          <w:rFonts w:hint="eastAsia" w:ascii="宋体" w:hAnsi="宋体" w:eastAsia="宋体" w:cs="宋体"/>
          <w:color w:val="auto"/>
          <w:sz w:val="24"/>
          <w:highlight w:val="none"/>
        </w:rPr>
        <w:t>已缴纳税收凭证或税务机关开具的完税证明（任意税种）；</w:t>
      </w:r>
    </w:p>
    <w:p>
      <w:pPr>
        <w:pStyle w:val="25"/>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2、社会保障资金缴纳证明：</w:t>
      </w:r>
      <w:r>
        <w:rPr>
          <w:rFonts w:hint="eastAsia" w:ascii="宋体" w:hAnsi="宋体" w:eastAsia="宋体" w:cs="宋体"/>
          <w:color w:val="auto"/>
          <w:kern w:val="28"/>
          <w:sz w:val="24"/>
          <w:szCs w:val="24"/>
          <w:highlight w:val="none"/>
        </w:rPr>
        <w:t>提供响应文件递交截止时间前6个月内任意1个月</w:t>
      </w:r>
      <w:r>
        <w:rPr>
          <w:rFonts w:hint="eastAsia" w:ascii="宋体" w:hAnsi="宋体" w:eastAsia="宋体" w:cs="宋体"/>
          <w:color w:val="auto"/>
          <w:sz w:val="24"/>
          <w:highlight w:val="none"/>
        </w:rPr>
        <w:t>已缴纳的社会保障资金缴存单据或社保机构开具的社会保险参保缴费情况证明；</w:t>
      </w:r>
    </w:p>
    <w:p>
      <w:pPr>
        <w:pStyle w:val="25"/>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3、其他组织和自然人也需要提供依法缴纳税收的凭据和缴纳社会保险的凭据；</w:t>
      </w:r>
    </w:p>
    <w:p>
      <w:pPr>
        <w:pStyle w:val="25"/>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4、依法免税和不需要缴纳社会保障资金的供应商，应提供相应文件证明其依法免税或不需要缴纳社会保障资金。</w:t>
      </w:r>
    </w:p>
    <w:p>
      <w:pPr>
        <w:pStyle w:val="25"/>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pStyle w:val="25"/>
        <w:rPr>
          <w:rFonts w:hint="eastAsia" w:ascii="宋体" w:hAnsi="宋体" w:eastAsia="宋体" w:cs="宋体"/>
          <w:color w:val="auto"/>
          <w:sz w:val="24"/>
          <w:highlight w:val="none"/>
        </w:rPr>
      </w:pPr>
    </w:p>
    <w:p>
      <w:pPr>
        <w:tabs>
          <w:tab w:val="left" w:pos="5580"/>
        </w:tabs>
        <w:spacing w:before="120" w:line="360" w:lineRule="auto"/>
        <w:outlineLvl w:val="3"/>
        <w:rPr>
          <w:rFonts w:hint="eastAsia" w:ascii="宋体" w:hAnsi="宋体" w:eastAsia="宋体" w:cs="宋体"/>
          <w:b/>
          <w:color w:val="auto"/>
          <w:sz w:val="24"/>
          <w:highlight w:val="none"/>
        </w:rPr>
        <w:sectPr>
          <w:pgSz w:w="11906" w:h="16838"/>
          <w:pgMar w:top="1417" w:right="1644" w:bottom="1417" w:left="1757" w:header="850" w:footer="850" w:gutter="0"/>
          <w:pgNumType w:fmt="decimal"/>
          <w:cols w:space="720" w:num="1"/>
          <w:titlePg/>
          <w:docGrid w:linePitch="312" w:charSpace="0"/>
        </w:sectPr>
      </w:pPr>
      <w:bookmarkStart w:id="230" w:name="_Toc519085757"/>
      <w:bookmarkStart w:id="231" w:name="_Toc14151"/>
    </w:p>
    <w:p>
      <w:pPr>
        <w:tabs>
          <w:tab w:val="left" w:pos="5580"/>
        </w:tabs>
        <w:spacing w:before="120" w:line="360" w:lineRule="auto"/>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⑤.近三年内，在经营活动中没有重大违法记录；</w:t>
      </w:r>
    </w:p>
    <w:p>
      <w:pPr>
        <w:spacing w:before="120" w:line="360" w:lineRule="auto"/>
        <w:jc w:val="center"/>
        <w:rPr>
          <w:rFonts w:hint="eastAsia" w:ascii="宋体" w:hAnsi="宋体" w:eastAsia="宋体" w:cs="宋体"/>
          <w:b/>
          <w:color w:val="auto"/>
          <w:sz w:val="24"/>
          <w:highlight w:val="none"/>
        </w:rPr>
      </w:pPr>
    </w:p>
    <w:p>
      <w:pPr>
        <w:spacing w:line="360" w:lineRule="auto"/>
        <w:ind w:left="1"/>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供应商无重大违法记录的书面声明格式</w:t>
      </w:r>
    </w:p>
    <w:p>
      <w:pPr>
        <w:spacing w:line="360" w:lineRule="auto"/>
        <w:rPr>
          <w:rFonts w:hint="eastAsia" w:ascii="宋体" w:hAnsi="宋体" w:eastAsia="宋体" w:cs="宋体"/>
          <w:b/>
          <w:color w:val="auto"/>
          <w:spacing w:val="4"/>
          <w:sz w:val="24"/>
          <w:highlight w:val="none"/>
          <w:u w:val="single"/>
        </w:rPr>
      </w:pPr>
    </w:p>
    <w:p>
      <w:pPr>
        <w:spacing w:line="48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r>
        <w:rPr>
          <w:rFonts w:hint="eastAsia" w:ascii="宋体" w:hAnsi="宋体" w:eastAsia="宋体" w:cs="宋体"/>
          <w:color w:val="auto"/>
          <w:spacing w:val="4"/>
          <w:sz w:val="24"/>
          <w:highlight w:val="none"/>
        </w:rPr>
        <w:t>：</w:t>
      </w:r>
    </w:p>
    <w:p>
      <w:pPr>
        <w:spacing w:line="48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公司）为在中华人民共和国境内合法注册并经营的机构。在此郑重声明，我公司在参与本次政府采购活动前3年内在经营活动中没有重大违法记录。</w:t>
      </w:r>
    </w:p>
    <w:p>
      <w:pPr>
        <w:spacing w:line="480" w:lineRule="auto"/>
        <w:ind w:firstLine="496" w:firstLineChars="200"/>
        <w:rPr>
          <w:rFonts w:hint="eastAsia" w:ascii="宋体" w:hAnsi="宋体" w:eastAsia="宋体" w:cs="宋体"/>
          <w:color w:val="auto"/>
          <w:spacing w:val="4"/>
          <w:sz w:val="24"/>
          <w:highlight w:val="none"/>
        </w:rPr>
      </w:pPr>
    </w:p>
    <w:p>
      <w:pPr>
        <w:spacing w:line="480" w:lineRule="auto"/>
        <w:ind w:firstLine="496" w:firstLineChars="200"/>
        <w:rPr>
          <w:rFonts w:hint="eastAsia" w:ascii="宋体" w:hAnsi="宋体" w:eastAsia="宋体" w:cs="宋体"/>
          <w:color w:val="auto"/>
          <w:spacing w:val="4"/>
          <w:sz w:val="24"/>
          <w:highlight w:val="none"/>
        </w:rPr>
      </w:pPr>
    </w:p>
    <w:p>
      <w:pPr>
        <w:spacing w:before="240" w:beforeLines="100" w:after="120" w:afterLines="50" w:line="360" w:lineRule="auto"/>
        <w:ind w:firstLine="2480" w:firstLineChars="1000"/>
        <w:jc w:val="left"/>
        <w:rPr>
          <w:rFonts w:hint="eastAsia" w:ascii="宋体" w:hAnsi="宋体" w:eastAsia="宋体" w:cs="宋体"/>
          <w:color w:val="auto"/>
          <w:spacing w:val="14"/>
          <w:kern w:val="0"/>
          <w:sz w:val="24"/>
          <w:highlight w:val="none"/>
        </w:rPr>
      </w:pPr>
      <w:r>
        <w:rPr>
          <w:rFonts w:hint="eastAsia" w:ascii="宋体" w:hAnsi="宋体" w:eastAsia="宋体" w:cs="宋体"/>
          <w:color w:val="auto"/>
          <w:spacing w:val="4"/>
          <w:sz w:val="24"/>
          <w:highlight w:val="none"/>
        </w:rPr>
        <w:t>供应商名称（盖章）：</w:t>
      </w:r>
      <w:r>
        <w:rPr>
          <w:rFonts w:hint="eastAsia" w:ascii="宋体" w:hAnsi="宋体" w:eastAsia="宋体" w:cs="宋体"/>
          <w:color w:val="auto"/>
          <w:spacing w:val="14"/>
          <w:kern w:val="0"/>
          <w:sz w:val="24"/>
          <w:highlight w:val="none"/>
          <w:u w:val="single"/>
        </w:rPr>
        <w:t xml:space="preserve">（单位全称）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14"/>
          <w:kern w:val="0"/>
          <w:sz w:val="24"/>
          <w:highlight w:val="none"/>
          <w:u w:val="single"/>
        </w:rPr>
        <w:t xml:space="preserve">      </w:t>
      </w:r>
    </w:p>
    <w:p>
      <w:pPr>
        <w:spacing w:before="240" w:beforeLines="100" w:after="120" w:afterLines="50" w:line="360" w:lineRule="auto"/>
        <w:ind w:firstLine="2520" w:firstLineChars="1050"/>
        <w:jc w:val="left"/>
        <w:rPr>
          <w:rFonts w:hint="eastAsia" w:ascii="宋体" w:hAnsi="宋体" w:eastAsia="宋体" w:cs="宋体"/>
          <w:color w:val="auto"/>
          <w:spacing w:val="4"/>
          <w:sz w:val="24"/>
          <w:highlight w:val="none"/>
        </w:rPr>
      </w:pPr>
      <w:r>
        <w:rPr>
          <w:rFonts w:hint="eastAsia" w:ascii="宋体" w:hAnsi="宋体" w:eastAsia="宋体" w:cs="宋体"/>
          <w:color w:val="auto"/>
          <w:kern w:val="0"/>
          <w:sz w:val="24"/>
          <w:highlight w:val="none"/>
        </w:rPr>
        <w:t>法定代表人或委托代理人（签字或盖章）：</w:t>
      </w:r>
      <w:r>
        <w:rPr>
          <w:rFonts w:hint="eastAsia" w:ascii="宋体" w:hAnsi="宋体" w:eastAsia="宋体" w:cs="宋体"/>
          <w:color w:val="auto"/>
          <w:sz w:val="24"/>
          <w:highlight w:val="none"/>
          <w:u w:val="single"/>
        </w:rPr>
        <w:t xml:space="preserve">                                             </w:t>
      </w:r>
    </w:p>
    <w:p>
      <w:pPr>
        <w:spacing w:before="240" w:beforeLines="100" w:after="120" w:afterLines="50" w:line="360" w:lineRule="auto"/>
        <w:ind w:firstLine="17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 xml:space="preserve">                                         日期：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ind w:firstLine="496" w:firstLineChars="200"/>
        <w:rPr>
          <w:rFonts w:hint="eastAsia" w:ascii="宋体" w:hAnsi="宋体" w:eastAsia="宋体" w:cs="宋体"/>
          <w:color w:val="auto"/>
          <w:spacing w:val="4"/>
          <w:sz w:val="24"/>
          <w:highlight w:val="none"/>
        </w:rPr>
        <w:sectPr>
          <w:pgSz w:w="11906" w:h="16838"/>
          <w:pgMar w:top="1417" w:right="1644" w:bottom="1417" w:left="1757" w:header="850" w:footer="850" w:gutter="0"/>
          <w:pgNumType w:fmt="decimal"/>
          <w:cols w:space="720" w:num="1"/>
          <w:titlePg/>
          <w:docGrid w:linePitch="312" w:charSpace="0"/>
        </w:sectPr>
      </w:pPr>
      <w:r>
        <w:rPr>
          <w:rFonts w:hint="eastAsia" w:ascii="宋体" w:hAnsi="宋体" w:eastAsia="宋体" w:cs="宋体"/>
          <w:color w:val="auto"/>
          <w:spacing w:val="4"/>
          <w:sz w:val="24"/>
          <w:highlight w:val="none"/>
        </w:rPr>
        <w:t>说明：重大违法记录是指供应商因违法经营受到刑事处罚或者责令停产停业、吊销许可证或者执照、较大数额罚款等行政处罚。</w:t>
      </w:r>
    </w:p>
    <w:p>
      <w:pPr>
        <w:pStyle w:val="6"/>
        <w:rPr>
          <w:rFonts w:hint="eastAsia" w:ascii="宋体" w:hAnsi="宋体" w:eastAsia="宋体" w:cs="宋体"/>
          <w:color w:val="auto"/>
          <w:sz w:val="24"/>
          <w:szCs w:val="24"/>
          <w:highlight w:val="none"/>
        </w:rPr>
      </w:pPr>
      <w:bookmarkStart w:id="232" w:name="_Toc332805175"/>
      <w:bookmarkStart w:id="233" w:name="_Toc332805620"/>
      <w:r>
        <w:rPr>
          <w:rFonts w:hint="eastAsia" w:ascii="宋体" w:hAnsi="宋体" w:eastAsia="宋体" w:cs="宋体"/>
          <w:color w:val="auto"/>
          <w:sz w:val="24"/>
          <w:szCs w:val="24"/>
          <w:highlight w:val="none"/>
        </w:rPr>
        <w:t>2、本项目的特定资格要求：</w:t>
      </w:r>
    </w:p>
    <w:bookmarkEnd w:id="232"/>
    <w:bookmarkEnd w:id="233"/>
    <w:p>
      <w:pPr>
        <w:pStyle w:val="8"/>
        <w:jc w:val="center"/>
        <w:rPr>
          <w:rFonts w:hint="eastAsia" w:ascii="宋体" w:hAnsi="宋体" w:eastAsia="宋体" w:cs="宋体"/>
          <w:color w:val="auto"/>
          <w:highlight w:val="none"/>
        </w:rPr>
      </w:pPr>
      <w:r>
        <w:rPr>
          <w:rFonts w:hint="eastAsia" w:ascii="宋体" w:hAnsi="宋体" w:eastAsia="宋体" w:cs="宋体"/>
          <w:color w:val="auto"/>
          <w:highlight w:val="none"/>
        </w:rPr>
        <w:t>投标声明（格式）</w:t>
      </w:r>
    </w:p>
    <w:p>
      <w:pPr>
        <w:spacing w:line="360" w:lineRule="auto"/>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rPr>
        <w:t>致：</w:t>
      </w:r>
      <w:r>
        <w:rPr>
          <w:rFonts w:hint="eastAsia" w:ascii="宋体" w:hAnsi="宋体" w:eastAsia="宋体" w:cs="宋体"/>
          <w:color w:val="auto"/>
          <w:spacing w:val="4"/>
          <w:sz w:val="24"/>
          <w:highlight w:val="none"/>
          <w:u w:val="single"/>
        </w:rPr>
        <w:t xml:space="preserve">     （采购人名称）  </w:t>
      </w:r>
    </w:p>
    <w:p>
      <w:pPr>
        <w:spacing w:before="240" w:beforeLines="100" w:after="120" w:afterLines="50"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我公司参与本项目以单个主体进行参与，没有与其他供应商组成联合体。我公司的</w:t>
      </w:r>
      <w:r>
        <w:rPr>
          <w:rFonts w:hint="eastAsia" w:ascii="宋体" w:hAnsi="宋体" w:eastAsia="宋体" w:cs="宋体"/>
          <w:color w:val="auto"/>
          <w:sz w:val="24"/>
          <w:szCs w:val="24"/>
          <w:highlight w:val="none"/>
          <w:lang w:val="zh-CN"/>
        </w:rPr>
        <w:t>单位负责人</w:t>
      </w:r>
      <w:r>
        <w:rPr>
          <w:rFonts w:hint="eastAsia" w:ascii="宋体" w:hAnsi="宋体" w:eastAsia="宋体" w:cs="宋体"/>
          <w:color w:val="auto"/>
          <w:sz w:val="24"/>
          <w:szCs w:val="24"/>
          <w:highlight w:val="none"/>
        </w:rPr>
        <w:t>不与其他投标供应商的单位负责人</w:t>
      </w:r>
      <w:r>
        <w:rPr>
          <w:rFonts w:hint="eastAsia" w:ascii="宋体" w:hAnsi="宋体" w:eastAsia="宋体" w:cs="宋体"/>
          <w:color w:val="auto"/>
          <w:sz w:val="24"/>
          <w:szCs w:val="24"/>
          <w:highlight w:val="none"/>
          <w:lang w:val="zh-CN"/>
        </w:rPr>
        <w:t>为同一人，</w:t>
      </w:r>
      <w:r>
        <w:rPr>
          <w:rFonts w:hint="eastAsia" w:ascii="宋体" w:hAnsi="宋体" w:eastAsia="宋体" w:cs="宋体"/>
          <w:color w:val="auto"/>
          <w:sz w:val="24"/>
          <w:szCs w:val="24"/>
          <w:highlight w:val="none"/>
        </w:rPr>
        <w:t>不存在与其他供应商有</w:t>
      </w:r>
      <w:r>
        <w:rPr>
          <w:rFonts w:hint="eastAsia" w:ascii="宋体" w:hAnsi="宋体" w:eastAsia="宋体" w:cs="宋体"/>
          <w:color w:val="auto"/>
          <w:sz w:val="24"/>
          <w:szCs w:val="24"/>
          <w:highlight w:val="none"/>
          <w:lang w:val="zh-CN"/>
        </w:rPr>
        <w:t>直接控股、管理关系。</w:t>
      </w:r>
    </w:p>
    <w:p>
      <w:pPr>
        <w:spacing w:before="240" w:beforeLines="100" w:after="120" w:afterLines="50" w:line="360" w:lineRule="auto"/>
        <w:ind w:firstLine="170"/>
        <w:rPr>
          <w:rFonts w:hint="eastAsia" w:ascii="宋体" w:hAnsi="宋体" w:eastAsia="宋体" w:cs="宋体"/>
          <w:color w:val="auto"/>
          <w:spacing w:val="4"/>
          <w:sz w:val="24"/>
          <w:highlight w:val="none"/>
        </w:rPr>
      </w:pPr>
    </w:p>
    <w:p>
      <w:pPr>
        <w:spacing w:before="240" w:beforeLines="100" w:after="120" w:afterLines="50" w:line="360" w:lineRule="auto"/>
        <w:ind w:firstLine="170"/>
        <w:rPr>
          <w:rFonts w:hint="eastAsia" w:ascii="宋体" w:hAnsi="宋体" w:eastAsia="宋体" w:cs="宋体"/>
          <w:color w:val="auto"/>
          <w:spacing w:val="4"/>
          <w:sz w:val="24"/>
          <w:highlight w:val="none"/>
        </w:rPr>
      </w:pPr>
    </w:p>
    <w:p>
      <w:pPr>
        <w:kinsoku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                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highlight w:val="none"/>
        </w:rPr>
      </w:pPr>
    </w:p>
    <w:p>
      <w:pPr>
        <w:spacing w:line="360" w:lineRule="auto"/>
        <w:ind w:firstLine="643" w:firstLineChars="200"/>
        <w:jc w:val="center"/>
        <w:rPr>
          <w:rFonts w:hint="eastAsia" w:ascii="宋体" w:hAnsi="宋体" w:eastAsia="宋体" w:cs="宋体"/>
          <w:color w:val="auto"/>
          <w:sz w:val="24"/>
          <w:highlight w:val="none"/>
        </w:rPr>
      </w:pPr>
      <w:r>
        <w:rPr>
          <w:rFonts w:hint="eastAsia" w:ascii="宋体" w:hAnsi="宋体" w:eastAsia="宋体" w:cs="宋体"/>
          <w:b/>
          <w:bCs/>
          <w:color w:val="auto"/>
          <w:kern w:val="44"/>
          <w:sz w:val="32"/>
          <w:szCs w:val="44"/>
          <w:highlight w:val="none"/>
        </w:rPr>
        <w:t xml:space="preserve">                    </w:t>
      </w:r>
      <w:r>
        <w:rPr>
          <w:rFonts w:hint="eastAsia" w:ascii="宋体" w:hAnsi="宋体" w:eastAsia="宋体" w:cs="宋体"/>
          <w:color w:val="auto"/>
          <w:sz w:val="24"/>
          <w:highlight w:val="none"/>
        </w:rPr>
        <w:t xml:space="preserve">  年   月   日</w:t>
      </w:r>
    </w:p>
    <w:p>
      <w:pPr>
        <w:rPr>
          <w:rFonts w:hint="eastAsia" w:ascii="宋体" w:hAnsi="宋体" w:eastAsia="宋体" w:cs="宋体"/>
          <w:color w:val="auto"/>
          <w:highlight w:val="none"/>
        </w:rPr>
        <w:sectPr>
          <w:pgSz w:w="11906" w:h="16838"/>
          <w:pgMar w:top="1417" w:right="1644" w:bottom="1191" w:left="1757" w:header="720" w:footer="720" w:gutter="0"/>
          <w:pgNumType w:fmt="decimal"/>
          <w:cols w:space="720" w:num="1"/>
          <w:docGrid w:linePitch="312" w:charSpace="0"/>
        </w:sectPr>
      </w:pPr>
    </w:p>
    <w:p>
      <w:pPr>
        <w:pStyle w:val="8"/>
        <w:jc w:val="center"/>
        <w:rPr>
          <w:rFonts w:hint="eastAsia" w:ascii="宋体" w:hAnsi="宋体" w:eastAsia="宋体" w:cs="宋体"/>
          <w:color w:val="auto"/>
          <w:sz w:val="24"/>
          <w:szCs w:val="24"/>
          <w:highlight w:val="none"/>
        </w:rPr>
      </w:pPr>
      <w:bookmarkStart w:id="234" w:name="_Toc15317"/>
      <w:bookmarkStart w:id="235" w:name="_Toc25333"/>
      <w:r>
        <w:rPr>
          <w:rFonts w:hint="eastAsia" w:ascii="宋体" w:hAnsi="宋体" w:eastAsia="宋体" w:cs="宋体"/>
          <w:color w:val="auto"/>
          <w:sz w:val="24"/>
          <w:szCs w:val="24"/>
          <w:highlight w:val="none"/>
        </w:rPr>
        <w:t>供应商满足政府采购相关优惠政策的声明或证明材料</w:t>
      </w:r>
      <w:bookmarkEnd w:id="234"/>
      <w:bookmarkEnd w:id="235"/>
    </w:p>
    <w:p>
      <w:pPr>
        <w:spacing w:before="120" w:line="360" w:lineRule="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color w:val="auto"/>
          <w:highlight w:val="none"/>
        </w:rPr>
      </w:pPr>
    </w:p>
    <w:p>
      <w:pPr>
        <w:widowControl/>
        <w:spacing w:line="432"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凡满足政府采购相关优惠政策的供应商自行根据相关政策规定提供声明和证明材料，如供应商不符合要求无需提供。</w:t>
      </w:r>
    </w:p>
    <w:p>
      <w:pPr>
        <w:spacing w:line="500" w:lineRule="exact"/>
        <w:ind w:firstLine="480" w:firstLineChars="200"/>
        <w:jc w:val="left"/>
        <w:rPr>
          <w:rFonts w:hint="eastAsia" w:ascii="宋体" w:hAnsi="宋体" w:eastAsia="宋体" w:cs="宋体"/>
          <w:color w:val="auto"/>
          <w:sz w:val="24"/>
          <w:szCs w:val="24"/>
          <w:highlight w:val="none"/>
        </w:rPr>
        <w:sectPr>
          <w:pgSz w:w="11906" w:h="16838"/>
          <w:pgMar w:top="1418" w:right="1644" w:bottom="1191" w:left="1758" w:header="720" w:footer="720" w:gutter="0"/>
          <w:pgNumType w:fmt="decimal"/>
          <w:cols w:space="720" w:num="1"/>
          <w:docGrid w:linePitch="312" w:charSpace="0"/>
        </w:sectPr>
      </w:pPr>
    </w:p>
    <w:p>
      <w:pPr>
        <w:widowControl/>
        <w:spacing w:line="5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bidi="ar"/>
        </w:rPr>
        <w:t>中小企业声明函（工程、服务）</w:t>
      </w:r>
    </w:p>
    <w:p>
      <w:pPr>
        <w:widowControl/>
        <w:spacing w:line="500" w:lineRule="exact"/>
        <w:jc w:val="center"/>
        <w:rPr>
          <w:rFonts w:hint="eastAsia" w:ascii="宋体" w:hAnsi="宋体" w:eastAsia="宋体" w:cs="宋体"/>
          <w:b/>
          <w:color w:val="auto"/>
          <w:kern w:val="0"/>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4"/>
          <w:szCs w:val="24"/>
          <w:highlight w:val="none"/>
          <w:lang w:bidi="ar"/>
        </w:rPr>
        <w:t>（单位名称）</w:t>
      </w:r>
      <w:r>
        <w:rPr>
          <w:rFonts w:hint="eastAsia" w:ascii="宋体" w:hAnsi="宋体" w:eastAsia="宋体" w:cs="宋体"/>
          <w:color w:val="auto"/>
          <w:kern w:val="0"/>
          <w:sz w:val="24"/>
          <w:szCs w:val="24"/>
          <w:highlight w:val="none"/>
          <w:lang w:bidi="ar"/>
        </w:rPr>
        <w:t>的</w:t>
      </w:r>
      <w:r>
        <w:rPr>
          <w:rFonts w:hint="eastAsia" w:ascii="宋体" w:hAnsi="宋体" w:eastAsia="宋体" w:cs="宋体"/>
          <w:i/>
          <w:color w:val="auto"/>
          <w:kern w:val="0"/>
          <w:sz w:val="24"/>
          <w:szCs w:val="24"/>
          <w:highlight w:val="none"/>
          <w:lang w:bidi="ar"/>
        </w:rPr>
        <w:t>（项目名称）</w:t>
      </w:r>
      <w:r>
        <w:rPr>
          <w:rFonts w:hint="eastAsia" w:ascii="宋体" w:hAnsi="宋体" w:eastAsia="宋体" w:cs="宋体"/>
          <w:color w:val="auto"/>
          <w:kern w:val="0"/>
          <w:sz w:val="24"/>
          <w:szCs w:val="24"/>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u w:val="single"/>
          <w:lang w:bidi="ar"/>
        </w:rPr>
        <w:t xml:space="preserve"> （标的名称）</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u w:val="single"/>
          <w:lang w:bidi="ar"/>
        </w:rPr>
        <w:t xml:space="preserve"> （标的名称）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bidi="ar"/>
        </w:rPr>
        <w:t>（采购文件中明确的所属行业）</w:t>
      </w:r>
      <w:r>
        <w:rPr>
          <w:rFonts w:hint="eastAsia" w:ascii="宋体" w:hAnsi="宋体" w:eastAsia="宋体" w:cs="宋体"/>
          <w:color w:val="auto"/>
          <w:kern w:val="0"/>
          <w:sz w:val="24"/>
          <w:szCs w:val="24"/>
          <w:highlight w:val="none"/>
          <w:lang w:bidi="ar"/>
        </w:rPr>
        <w:t>；承建（承接）企业为</w:t>
      </w:r>
      <w:r>
        <w:rPr>
          <w:rFonts w:hint="eastAsia" w:ascii="宋体" w:hAnsi="宋体" w:eastAsia="宋体" w:cs="宋体"/>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本企业对上述声明内容的真实性负责。如有虚假，将依法承担相应责任。 </w:t>
      </w:r>
    </w:p>
    <w:p>
      <w:pPr>
        <w:widowControl/>
        <w:spacing w:line="360" w:lineRule="auto"/>
        <w:jc w:val="left"/>
        <w:rPr>
          <w:rFonts w:hint="eastAsia" w:ascii="宋体" w:hAnsi="宋体" w:eastAsia="宋体" w:cs="宋体"/>
          <w:color w:val="auto"/>
          <w:kern w:val="0"/>
          <w:sz w:val="24"/>
          <w:szCs w:val="24"/>
          <w:highlight w:val="none"/>
          <w:lang w:bidi="ar"/>
        </w:rPr>
      </w:pP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企业名称（盖章）： </w:t>
      </w:r>
    </w:p>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日   期：</w:t>
      </w:r>
    </w:p>
    <w:p>
      <w:pPr>
        <w:tabs>
          <w:tab w:val="left" w:pos="5670"/>
        </w:tabs>
        <w:spacing w:line="360" w:lineRule="auto"/>
        <w:ind w:firstLine="482" w:firstLineChars="200"/>
        <w:rPr>
          <w:rFonts w:hint="eastAsia" w:ascii="宋体" w:hAnsi="宋体" w:eastAsia="宋体" w:cs="宋体"/>
          <w:b/>
          <w:bCs/>
          <w:color w:val="auto"/>
          <w:sz w:val="24"/>
          <w:szCs w:val="24"/>
          <w:highlight w:val="none"/>
        </w:rPr>
      </w:pPr>
    </w:p>
    <w:p>
      <w:pPr>
        <w:tabs>
          <w:tab w:val="left" w:pos="5670"/>
        </w:tabs>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非</w:t>
      </w:r>
      <w:r>
        <w:rPr>
          <w:rFonts w:hint="eastAsia" w:ascii="宋体" w:hAnsi="宋体" w:cs="宋体"/>
          <w:b/>
          <w:bCs/>
          <w:color w:val="auto"/>
          <w:sz w:val="24"/>
          <w:szCs w:val="24"/>
          <w:highlight w:val="none"/>
          <w:lang w:val="en-US" w:eastAsia="zh-CN"/>
        </w:rPr>
        <w:t>中型/</w:t>
      </w:r>
      <w:r>
        <w:rPr>
          <w:rFonts w:hint="eastAsia" w:ascii="宋体" w:hAnsi="宋体" w:eastAsia="宋体" w:cs="宋体"/>
          <w:b/>
          <w:bCs/>
          <w:color w:val="auto"/>
          <w:sz w:val="24"/>
          <w:szCs w:val="24"/>
          <w:highlight w:val="none"/>
        </w:rPr>
        <w:t>小型/微型企业无需出具此函。</w:t>
      </w:r>
    </w:p>
    <w:p>
      <w:pPr>
        <w:widowControl/>
        <w:numPr>
          <w:ilvl w:val="0"/>
          <w:numId w:val="0"/>
        </w:numPr>
        <w:spacing w:line="360" w:lineRule="auto"/>
        <w:ind w:left="420" w:leftChars="0"/>
        <w:jc w:val="left"/>
        <w:rPr>
          <w:rFonts w:hint="eastAsia" w:ascii="宋体" w:hAnsi="宋体" w:eastAsia="宋体" w:cs="宋体"/>
          <w:b/>
          <w:bCs/>
          <w:color w:val="auto"/>
          <w:sz w:val="24"/>
          <w:szCs w:val="24"/>
          <w:highlight w:val="none"/>
          <w:u w:val="single"/>
        </w:rPr>
      </w:pPr>
    </w:p>
    <w:p>
      <w:pPr>
        <w:rPr>
          <w:rFonts w:hint="eastAsia" w:ascii="宋体" w:hAnsi="宋体" w:eastAsia="宋体" w:cs="宋体"/>
          <w:color w:val="auto"/>
          <w:highlight w:val="none"/>
        </w:rPr>
      </w:pP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spacing w:line="500" w:lineRule="exact"/>
        <w:ind w:firstLine="420" w:firstLineChars="20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残疾人福利性单位声明函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项目编号：____）采购活动提供本单位制造的货物（由本单位承担工程/提供服务），或者提供其他残疾人福利性单位制造的货物（不包括使用非残疾人福利性单位注册商标的货物）。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（加盖公章）</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Cs w:val="24"/>
          <w:highlight w:val="none"/>
        </w:rPr>
        <w:t>签字或盖章</w:t>
      </w:r>
      <w:r>
        <w:rPr>
          <w:rFonts w:hint="eastAsia" w:ascii="宋体" w:hAnsi="宋体" w:eastAsia="宋体" w:cs="宋体"/>
          <w:color w:val="auto"/>
          <w:sz w:val="24"/>
          <w:szCs w:val="24"/>
          <w:highlight w:val="none"/>
        </w:rPr>
        <w:t>）</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tabs>
          <w:tab w:val="left" w:pos="5670"/>
        </w:tabs>
        <w:spacing w:line="500" w:lineRule="exact"/>
        <w:ind w:firstLine="480" w:firstLineChars="200"/>
        <w:jc w:val="left"/>
        <w:rPr>
          <w:rFonts w:hint="eastAsia" w:ascii="宋体" w:hAnsi="宋体" w:eastAsia="宋体" w:cs="宋体"/>
          <w:color w:val="auto"/>
          <w:sz w:val="24"/>
          <w:szCs w:val="24"/>
          <w:highlight w:val="none"/>
        </w:rPr>
      </w:pP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（三）为安置的每位残疾人按月足额缴纳了基本养老保险、基本医疗保险、失业保险、工伤保险和生育保险等社会保险费；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spacing w:line="500" w:lineRule="exact"/>
        <w:ind w:firstLine="482" w:firstLineChars="200"/>
        <w:jc w:val="left"/>
        <w:rPr>
          <w:rFonts w:hint="eastAsia" w:ascii="宋体" w:hAnsi="宋体" w:eastAsia="宋体" w:cs="宋体"/>
          <w:b/>
          <w:color w:val="auto"/>
          <w:sz w:val="30"/>
          <w:szCs w:val="30"/>
          <w:highlight w:val="none"/>
        </w:rPr>
      </w:pPr>
      <w:r>
        <w:rPr>
          <w:rFonts w:hint="eastAsia" w:ascii="宋体" w:hAnsi="宋体" w:eastAsia="宋体" w:cs="宋体"/>
          <w:b/>
          <w:bCs/>
          <w:color w:val="auto"/>
          <w:sz w:val="24"/>
          <w:szCs w:val="24"/>
          <w:highlight w:val="none"/>
        </w:rPr>
        <w:t>非残疾人福利性单位无需出具此函。</w:t>
      </w:r>
    </w:p>
    <w:p>
      <w:pPr>
        <w:pStyle w:val="7"/>
        <w:rPr>
          <w:rFonts w:hint="eastAsia" w:ascii="宋体" w:hAnsi="宋体" w:eastAsia="宋体" w:cs="宋体"/>
          <w:color w:val="auto"/>
          <w:highlight w:val="none"/>
        </w:rPr>
        <w:sectPr>
          <w:pgSz w:w="11906" w:h="16838"/>
          <w:pgMar w:top="1417" w:right="1644" w:bottom="1191" w:left="1757" w:header="720" w:footer="720" w:gutter="0"/>
          <w:pgNumType w:fmt="decimal"/>
          <w:cols w:space="720" w:num="1"/>
          <w:docGrid w:linePitch="312" w:charSpace="0"/>
        </w:sectPr>
      </w:pPr>
    </w:p>
    <w:p>
      <w:pPr>
        <w:tabs>
          <w:tab w:val="left" w:pos="5670"/>
        </w:tabs>
        <w:spacing w:line="500" w:lineRule="exact"/>
        <w:ind w:firstLine="3313" w:firstLineChars="110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监狱企业证明函</w:t>
      </w:r>
    </w:p>
    <w:p>
      <w:pPr>
        <w:spacing w:line="500" w:lineRule="exact"/>
        <w:jc w:val="center"/>
        <w:rPr>
          <w:rFonts w:hint="eastAsia" w:ascii="宋体" w:hAnsi="宋体" w:eastAsia="宋体" w:cs="宋体"/>
          <w:b/>
          <w:color w:val="auto"/>
          <w:sz w:val="30"/>
          <w:szCs w:val="30"/>
          <w:highlight w:val="none"/>
        </w:rPr>
      </w:pP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非监狱企业无需出具此函。</w:t>
      </w:r>
    </w:p>
    <w:p>
      <w:pPr>
        <w:pStyle w:val="5"/>
        <w:ind w:firstLine="560"/>
        <w:rPr>
          <w:rFonts w:hint="eastAsia" w:ascii="宋体" w:hAnsi="宋体" w:eastAsia="宋体" w:cs="宋体"/>
          <w:color w:val="auto"/>
          <w:sz w:val="24"/>
          <w:szCs w:val="24"/>
          <w:highlight w:val="none"/>
        </w:rPr>
      </w:pPr>
      <w:bookmarkStart w:id="236" w:name="_Toc27897"/>
      <w:r>
        <w:rPr>
          <w:rFonts w:hint="eastAsia" w:ascii="宋体" w:hAnsi="宋体" w:eastAsia="宋体" w:cs="宋体"/>
          <w:color w:val="auto"/>
          <w:sz w:val="24"/>
          <w:szCs w:val="24"/>
          <w:highlight w:val="none"/>
        </w:rPr>
        <w:t>七、陕西省政府采购供应商拒绝政府采购领域商业贿赂承诺书</w:t>
      </w:r>
      <w:bookmarkEnd w:id="230"/>
      <w:bookmarkEnd w:id="236"/>
    </w:p>
    <w:p>
      <w:pPr>
        <w:pStyle w:val="39"/>
        <w:ind w:firstLine="482"/>
        <w:rPr>
          <w:rFonts w:hint="eastAsia" w:ascii="宋体" w:hAnsi="宋体" w:eastAsia="宋体" w:cs="宋体"/>
          <w:b/>
          <w:color w:val="auto"/>
          <w:sz w:val="24"/>
          <w:highlight w:val="none"/>
        </w:rPr>
      </w:pPr>
    </w:p>
    <w:p>
      <w:pPr>
        <w:widowControl/>
        <w:spacing w:line="408" w:lineRule="auto"/>
        <w:ind w:left="239" w:leftChars="114" w:firstLine="470" w:firstLineChars="196"/>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为响应党中央、国务院关于治理政府采购领域商业贿赂行为的号召，我公司在此庄严承诺：</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1、在参与政府采购活动中遵纪守法、诚信经营、公平竞标。</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2、不向政府采购人、采购代理机构和政府采购评审专家进行任何形式的商业贿赂以谋取交易机会。</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3、不向政府采购代理机构和采购人提供虚假资质文件或采用虚假应标方式参与政府采购市场竞争并谋取中标、成交。</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4、不采取“围标、陪标”等商业欺诈手段获得政府采购定单。</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5、不采取不正当手段诋毁、排挤其他供应商。</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6、不在提供商品和服务时“偷梁换柱、以次充好”损害采购人的合法权益。</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7、不与采购人、采购代理机构政府采购评审专家或其它供应商恶意串通，进行质疑和投诉，维护政府采购市场秩序。</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9、不发生其他有悖于政府采购公开、公平、公正和诚信原则的行为。</w:t>
      </w:r>
      <w:r>
        <w:rPr>
          <w:rFonts w:hint="eastAsia" w:ascii="宋体" w:hAnsi="宋体" w:eastAsia="宋体" w:cs="宋体"/>
          <w:color w:val="auto"/>
          <w:kern w:val="0"/>
          <w:sz w:val="24"/>
          <w:highlight w:val="none"/>
        </w:rPr>
        <w:br w:type="textWrapping"/>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承诺单位：（盖章）</w:t>
      </w:r>
      <w:r>
        <w:rPr>
          <w:rFonts w:hint="eastAsia" w:ascii="宋体" w:hAnsi="宋体" w:eastAsia="宋体" w:cs="宋体"/>
          <w:color w:val="auto"/>
          <w:kern w:val="0"/>
          <w:sz w:val="24"/>
          <w:highlight w:val="none"/>
        </w:rPr>
        <w:br w:type="textWrapping"/>
      </w: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kern w:val="0"/>
          <w:sz w:val="24"/>
          <w:highlight w:val="none"/>
        </w:rPr>
        <w:t>：（签字或盖章）</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地  址：                        </w:t>
      </w:r>
    </w:p>
    <w:p>
      <w:pPr>
        <w:widowControl/>
        <w:spacing w:line="408" w:lineRule="auto"/>
        <w:ind w:left="239" w:leftChars="114"/>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  编：</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电  话：                                                            年  月  日</w:t>
      </w:r>
    </w:p>
    <w:p>
      <w:pPr>
        <w:widowControl/>
        <w:spacing w:line="408" w:lineRule="auto"/>
        <w:ind w:left="239" w:leftChars="114"/>
        <w:jc w:val="left"/>
        <w:rPr>
          <w:rFonts w:hint="eastAsia" w:ascii="宋体" w:hAnsi="宋体" w:eastAsia="宋体" w:cs="宋体"/>
          <w:color w:val="auto"/>
          <w:kern w:val="0"/>
          <w:sz w:val="24"/>
          <w:highlight w:val="none"/>
        </w:rPr>
      </w:pPr>
    </w:p>
    <w:p>
      <w:pPr>
        <w:spacing w:line="360" w:lineRule="auto"/>
        <w:ind w:left="1"/>
        <w:jc w:val="center"/>
        <w:rPr>
          <w:rFonts w:hint="eastAsia" w:ascii="宋体" w:hAnsi="宋体" w:eastAsia="宋体" w:cs="宋体"/>
          <w:b/>
          <w:color w:val="auto"/>
          <w:highlight w:val="none"/>
        </w:rPr>
      </w:pPr>
      <w:r>
        <w:rPr>
          <w:rFonts w:hint="eastAsia" w:ascii="宋体" w:hAnsi="宋体" w:eastAsia="宋体" w:cs="宋体"/>
          <w:b/>
          <w:color w:val="auto"/>
          <w:sz w:val="32"/>
          <w:szCs w:val="32"/>
          <w:highlight w:val="none"/>
        </w:rPr>
        <w:br w:type="page"/>
      </w:r>
      <w:bookmarkStart w:id="237" w:name="_Toc519085758"/>
    </w:p>
    <w:bookmarkEnd w:id="231"/>
    <w:bookmarkEnd w:id="237"/>
    <w:p>
      <w:pPr>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rPr>
        <w:t>附件：（如用）</w:t>
      </w:r>
      <w:r>
        <w:rPr>
          <w:rFonts w:hint="eastAsia" w:ascii="宋体" w:hAnsi="宋体" w:eastAsia="宋体" w:cs="宋体"/>
          <w:b/>
          <w:color w:val="auto"/>
          <w:sz w:val="32"/>
          <w:szCs w:val="22"/>
          <w:highlight w:val="none"/>
        </w:rPr>
        <w:t xml:space="preserve">政府采购投标担保函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（采购人名称）</w:t>
      </w:r>
      <w:r>
        <w:rPr>
          <w:rFonts w:hint="eastAsia" w:ascii="宋体" w:hAnsi="宋体" w:eastAsia="宋体" w:cs="宋体"/>
          <w:color w:val="auto"/>
          <w:sz w:val="24"/>
          <w:szCs w:val="24"/>
          <w:highlight w:val="none"/>
        </w:rPr>
        <w:t>:</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（以下简称“供应商”）拟参加编号为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（项目编号）的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以下简称“本项目”）投标，根据本项目采购文件，供应商参加投标时应向你方交纳磋商保证金，且可以投标担保函的形式交纳磋商保证金。应供应商的申请，我方以保证的方式向你方提供如下磋商保证金担保：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一、保证责任的情形及保证金额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（一）在供应商出现下列情形之一时，我方承担保证责任：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1．成交后供应商无正当理由不与采购人或者采购代理机构签订《政府采购合同》；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2．采购文件规定的供应商应当缴纳保证金的其他情形。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（二）我方承担保证责任的最高金额为人民币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），即本项目的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磋商保证金金额。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二、保证的方式及保证期间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我方保证的方式为：连带责任保证。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我方的保证期间为：自本保函生效之日起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个月止。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三、承担保证责任的程序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2．我方在收到索赔通知及相关证明材料后，在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个工作日内进行审查，符合应承担保证责任情形的，我方应按照你方的要求代供应商向你方支付磋商保证金。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四、保证责任的终止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1．保证期间届满你方未向我方书面主张保证责任的，自保证期间届满次日起，我方保证责任自动终止。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2．我方按照本保函向你贵方履行了保证责任后，自我方向你贵方支付款项（支付款项从我方账户划出）之日起，保证责任终止。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3．按照法律法规的规定或出现我方保证责任终止的其它情形的，我方在本保函项下的保证责任亦终止。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五、免责条款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1．依照法律规定或你方与供应商的另行约定，全部或者部分免除供应商磋商保证金义务时，我方亦免除相应的保证责任。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2．因你方原因致使供应商发生本保函第一条第（一）款约定情形的，我方不承担保证责任。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3．因不可抗力造成供应商发生本保函第一条约定情形的，我方不承担保证责任。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4．你方或其他有权机关对采购文件进行任何澄清或修改，加重我方保证责任的，我方对加重部分不承担保证责任，但该澄清或修改经我方事先书面同意的除外。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六、争议的解决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因本保函发生的纠纷，由你我双方协商解决，协商不成的，通过诉讼程序解决，诉讼管辖地法院为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法院。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七、保函的生效  </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本保函自我方加盖公章之日起生效。   </w:t>
      </w:r>
    </w:p>
    <w:p>
      <w:pPr>
        <w:spacing w:line="520" w:lineRule="exact"/>
        <w:rPr>
          <w:rFonts w:hint="eastAsia" w:ascii="宋体" w:hAnsi="宋体" w:eastAsia="宋体" w:cs="宋体"/>
          <w:color w:val="auto"/>
          <w:sz w:val="24"/>
          <w:szCs w:val="24"/>
          <w:highlight w:val="none"/>
        </w:rPr>
      </w:pPr>
    </w:p>
    <w:p>
      <w:pPr>
        <w:spacing w:line="520" w:lineRule="exact"/>
        <w:rPr>
          <w:rFonts w:hint="eastAsia" w:ascii="宋体" w:hAnsi="宋体" w:eastAsia="宋体" w:cs="宋体"/>
          <w:color w:val="auto"/>
          <w:sz w:val="24"/>
          <w:szCs w:val="24"/>
          <w:highlight w:val="none"/>
        </w:rPr>
      </w:pPr>
    </w:p>
    <w:p>
      <w:pPr>
        <w:spacing w:line="520" w:lineRule="exact"/>
        <w:rPr>
          <w:rFonts w:hint="eastAsia" w:ascii="宋体" w:hAnsi="宋体" w:eastAsia="宋体" w:cs="宋体"/>
          <w:color w:val="auto"/>
          <w:sz w:val="24"/>
          <w:szCs w:val="24"/>
          <w:highlight w:val="none"/>
        </w:rPr>
      </w:pPr>
    </w:p>
    <w:p>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保证人：（公章）                                   </w:t>
      </w:r>
    </w:p>
    <w:p>
      <w:pPr>
        <w:spacing w:line="520" w:lineRule="exact"/>
        <w:rPr>
          <w:rFonts w:hint="eastAsia" w:ascii="宋体" w:hAnsi="宋体" w:eastAsia="宋体" w:cs="宋体"/>
          <w:color w:val="auto"/>
          <w:sz w:val="24"/>
          <w:szCs w:val="24"/>
          <w:highlight w:val="none"/>
        </w:rPr>
        <w:sectPr>
          <w:pgSz w:w="11906" w:h="16838"/>
          <w:pgMar w:top="1418" w:right="1644" w:bottom="1191" w:left="1758" w:header="720" w:footer="720" w:gutter="0"/>
          <w:pgNumType w:fmt="decimal"/>
          <w:cols w:space="720" w:num="1"/>
          <w:docGrid w:linePitch="312" w:charSpace="0"/>
        </w:sectPr>
      </w:pPr>
      <w:r>
        <w:rPr>
          <w:rFonts w:hint="eastAsia" w:ascii="宋体" w:hAnsi="宋体" w:eastAsia="宋体" w:cs="宋体"/>
          <w:color w:val="auto"/>
          <w:sz w:val="24"/>
          <w:szCs w:val="24"/>
          <w:highlight w:val="none"/>
        </w:rPr>
        <w:t xml:space="preserve">                                      年     月      日</w:t>
      </w:r>
    </w:p>
    <w:p>
      <w:pPr>
        <w:pStyle w:val="35"/>
        <w:rPr>
          <w:rFonts w:hint="eastAsia"/>
        </w:rPr>
      </w:pPr>
      <w:r>
        <w:rPr>
          <w:rFonts w:hint="eastAsia" w:ascii="宋体" w:hAnsi="宋体" w:eastAsia="宋体" w:cs="宋体"/>
          <w:b/>
          <w:color w:val="auto"/>
          <w:sz w:val="30"/>
          <w:szCs w:val="30"/>
          <w:highlight w:val="none"/>
        </w:rPr>
        <w:t>附件：（如用）</w:t>
      </w:r>
      <w:r>
        <w:rPr>
          <w:rFonts w:hint="eastAsia" w:ascii="宋体" w:hAnsi="宋体" w:cs="宋体"/>
          <w:b/>
          <w:color w:val="auto"/>
          <w:sz w:val="30"/>
          <w:szCs w:val="30"/>
          <w:highlight w:val="none"/>
          <w:lang w:val="en-US" w:eastAsia="zh-CN"/>
        </w:rPr>
        <w:t>竞标</w:t>
      </w:r>
      <w:r>
        <w:rPr>
          <w:rFonts w:hint="eastAsia" w:ascii="宋体" w:hAnsi="宋体" w:cs="宋体"/>
          <w:b/>
          <w:color w:val="auto"/>
          <w:sz w:val="32"/>
          <w:szCs w:val="22"/>
          <w:highlight w:val="none"/>
          <w:lang w:val="en-US" w:eastAsia="zh-CN"/>
        </w:rPr>
        <w:t>放弃函</w:t>
      </w:r>
      <w:r>
        <w:rPr>
          <w:rFonts w:hint="eastAsia" w:ascii="宋体" w:hAnsi="宋体" w:eastAsia="宋体" w:cs="宋体"/>
          <w:b/>
          <w:color w:val="auto"/>
          <w:sz w:val="32"/>
          <w:szCs w:val="22"/>
          <w:highlight w:val="none"/>
        </w:rPr>
        <w:t xml:space="preserve"> </w:t>
      </w:r>
    </w:p>
    <w:p>
      <w:pPr>
        <w:spacing w:line="520" w:lineRule="exact"/>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13"/>
        <w:jc w:val="center"/>
        <w:rPr>
          <w:rFonts w:hint="eastAsia" w:ascii="宋体" w:hAnsi="宋体" w:eastAsia="宋体" w:cs="宋体"/>
          <w:sz w:val="32"/>
          <w:szCs w:val="32"/>
          <w:lang w:bidi="ar"/>
        </w:rPr>
      </w:pPr>
      <w:r>
        <w:rPr>
          <w:rFonts w:hint="eastAsia" w:ascii="宋体" w:hAnsi="宋体" w:cs="宋体"/>
          <w:b/>
          <w:color w:val="auto"/>
          <w:sz w:val="30"/>
          <w:szCs w:val="30"/>
          <w:highlight w:val="none"/>
          <w:lang w:val="en-US" w:eastAsia="zh-CN"/>
        </w:rPr>
        <w:t>竞标</w:t>
      </w:r>
      <w:r>
        <w:rPr>
          <w:rFonts w:hint="eastAsia" w:ascii="宋体" w:hAnsi="宋体" w:eastAsia="宋体" w:cs="宋体"/>
          <w:sz w:val="32"/>
          <w:szCs w:val="32"/>
          <w:lang w:bidi="ar"/>
        </w:rPr>
        <w:t>放弃函</w:t>
      </w:r>
    </w:p>
    <w:p>
      <w:pPr>
        <w:rPr>
          <w:rFonts w:hint="eastAsia" w:ascii="宋体" w:hAnsi="宋体" w:eastAsia="宋体" w:cs="宋体"/>
          <w:b/>
          <w:sz w:val="32"/>
          <w:szCs w:val="32"/>
          <w:lang w:bidi="ar"/>
        </w:rPr>
      </w:pPr>
    </w:p>
    <w:p>
      <w:pPr>
        <w:pStyle w:val="13"/>
        <w:rPr>
          <w:rFonts w:hint="eastAsia" w:ascii="宋体" w:hAnsi="宋体" w:eastAsia="宋体" w:cs="宋体"/>
        </w:rPr>
      </w:pPr>
    </w:p>
    <w:p>
      <w:pPr>
        <w:spacing w:line="480" w:lineRule="auto"/>
        <w:rPr>
          <w:rFonts w:hint="eastAsia" w:ascii="宋体" w:hAnsi="宋体" w:eastAsia="宋体" w:cs="宋体"/>
          <w:bCs/>
          <w:sz w:val="28"/>
          <w:szCs w:val="28"/>
          <w:lang w:bidi="ar"/>
        </w:rPr>
      </w:pPr>
      <w:r>
        <w:rPr>
          <w:rFonts w:hint="eastAsia" w:ascii="宋体" w:hAnsi="宋体" w:eastAsia="宋体" w:cs="宋体"/>
          <w:bCs/>
          <w:sz w:val="28"/>
          <w:szCs w:val="28"/>
          <w:lang w:bidi="ar"/>
        </w:rPr>
        <w:t>陕西中信海诚造价咨询有限公司：</w:t>
      </w:r>
    </w:p>
    <w:p>
      <w:pPr>
        <w:pStyle w:val="13"/>
        <w:spacing w:line="480" w:lineRule="auto"/>
        <w:ind w:firstLine="642"/>
        <w:rPr>
          <w:rFonts w:hint="eastAsia" w:ascii="宋体" w:hAnsi="宋体" w:eastAsia="宋体" w:cs="宋体"/>
          <w:b w:val="0"/>
          <w:bCs/>
          <w:szCs w:val="28"/>
          <w:lang w:bidi="ar"/>
        </w:rPr>
      </w:pPr>
      <w:r>
        <w:rPr>
          <w:rFonts w:hint="eastAsia" w:ascii="宋体" w:hAnsi="宋体" w:eastAsia="宋体" w:cs="宋体"/>
          <w:b w:val="0"/>
          <w:bCs/>
          <w:szCs w:val="28"/>
          <w:lang w:bidi="ar"/>
        </w:rPr>
        <w:t>我公司参与贵公司组织的</w:t>
      </w:r>
      <w:r>
        <w:rPr>
          <w:rFonts w:hint="eastAsia" w:ascii="宋体" w:hAnsi="宋体" w:eastAsia="宋体" w:cs="宋体"/>
          <w:b w:val="0"/>
          <w:bCs/>
          <w:szCs w:val="28"/>
          <w:u w:val="single"/>
          <w:lang w:bidi="ar"/>
        </w:rPr>
        <w:t xml:space="preserve">  灞桥葡萄宣传片拍摄制作播放（项目编号：ZXHC2022-ZCBQ-0930</w:t>
      </w:r>
      <w:r>
        <w:rPr>
          <w:rFonts w:hint="eastAsia" w:ascii="宋体" w:hAnsi="宋体" w:eastAsia="宋体" w:cs="宋体"/>
          <w:b w:val="0"/>
          <w:bCs/>
          <w:szCs w:val="28"/>
          <w:u w:val="single"/>
          <w:lang w:val="en-US" w:eastAsia="zh-CN" w:bidi="ar"/>
        </w:rPr>
        <w:t xml:space="preserve"> </w:t>
      </w:r>
      <w:r>
        <w:rPr>
          <w:rFonts w:hint="eastAsia" w:ascii="宋体" w:hAnsi="宋体" w:eastAsia="宋体" w:cs="宋体"/>
          <w:b w:val="0"/>
          <w:bCs/>
          <w:szCs w:val="28"/>
          <w:u w:val="single"/>
          <w:lang w:bidi="ar"/>
        </w:rPr>
        <w:t>）</w:t>
      </w:r>
      <w:r>
        <w:rPr>
          <w:rFonts w:hint="eastAsia" w:ascii="宋体" w:hAnsi="宋体" w:eastAsia="宋体" w:cs="宋体"/>
          <w:b w:val="0"/>
          <w:bCs/>
          <w:szCs w:val="28"/>
          <w:lang w:bidi="ar"/>
        </w:rPr>
        <w:t xml:space="preserve">因 </w:t>
      </w:r>
      <w:r>
        <w:rPr>
          <w:rFonts w:hint="eastAsia" w:ascii="宋体" w:hAnsi="宋体" w:eastAsia="宋体" w:cs="宋体"/>
          <w:b w:val="0"/>
          <w:bCs/>
          <w:szCs w:val="28"/>
          <w:u w:val="single"/>
          <w:lang w:bidi="ar"/>
        </w:rPr>
        <w:t>（原  因）</w:t>
      </w:r>
      <w:r>
        <w:rPr>
          <w:rFonts w:hint="eastAsia" w:ascii="宋体" w:hAnsi="宋体" w:eastAsia="宋体" w:cs="宋体"/>
          <w:b w:val="0"/>
          <w:bCs/>
          <w:szCs w:val="28"/>
          <w:lang w:bidi="ar"/>
        </w:rPr>
        <w:t>不能继续参与本项目的投标，现</w:t>
      </w:r>
      <w:r>
        <w:rPr>
          <w:rFonts w:hint="eastAsia" w:ascii="宋体" w:hAnsi="宋体" w:eastAsia="宋体" w:cs="宋体"/>
          <w:b w:val="0"/>
          <w:bCs/>
          <w:szCs w:val="28"/>
          <w:lang w:val="en-US" w:eastAsia="zh-CN" w:bidi="ar"/>
        </w:rPr>
        <w:t>书面</w:t>
      </w:r>
      <w:r>
        <w:rPr>
          <w:rFonts w:hint="eastAsia" w:ascii="宋体" w:hAnsi="宋体" w:eastAsia="宋体" w:cs="宋体"/>
          <w:b w:val="0"/>
          <w:bCs/>
          <w:szCs w:val="28"/>
          <w:lang w:bidi="ar"/>
        </w:rPr>
        <w:t>出具此函。</w:t>
      </w:r>
    </w:p>
    <w:p>
      <w:pPr>
        <w:pStyle w:val="13"/>
        <w:spacing w:line="480" w:lineRule="auto"/>
        <w:ind w:firstLine="642"/>
        <w:rPr>
          <w:rFonts w:hint="eastAsia" w:ascii="宋体" w:hAnsi="宋体" w:eastAsia="宋体" w:cs="宋体"/>
          <w:b w:val="0"/>
          <w:bCs/>
          <w:szCs w:val="28"/>
          <w:lang w:bidi="ar"/>
        </w:rPr>
      </w:pPr>
      <w:r>
        <w:rPr>
          <w:rFonts w:hint="eastAsia" w:ascii="宋体" w:hAnsi="宋体" w:eastAsia="宋体" w:cs="宋体"/>
          <w:b w:val="0"/>
          <w:bCs/>
          <w:szCs w:val="28"/>
          <w:lang w:bidi="ar"/>
        </w:rPr>
        <w:t>特此说明！</w:t>
      </w:r>
    </w:p>
    <w:p>
      <w:pPr>
        <w:pStyle w:val="13"/>
        <w:spacing w:line="480" w:lineRule="auto"/>
        <w:ind w:firstLine="642"/>
        <w:rPr>
          <w:rFonts w:hint="eastAsia" w:ascii="宋体" w:hAnsi="宋体" w:eastAsia="宋体" w:cs="宋体"/>
          <w:b w:val="0"/>
          <w:bCs/>
          <w:szCs w:val="28"/>
          <w:u w:val="single"/>
          <w:lang w:bidi="ar"/>
        </w:rPr>
      </w:pPr>
    </w:p>
    <w:p>
      <w:pPr>
        <w:pStyle w:val="13"/>
        <w:ind w:firstLine="642"/>
        <w:rPr>
          <w:rFonts w:hint="eastAsia" w:ascii="宋体" w:hAnsi="宋体" w:eastAsia="宋体" w:cs="宋体"/>
          <w:sz w:val="32"/>
          <w:szCs w:val="32"/>
          <w:u w:val="single"/>
          <w:lang w:bidi="ar"/>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0"/>
        <w:gridCol w:w="2863"/>
        <w:gridCol w:w="2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tl2br w:val="nil"/>
              <w:tr2bl w:val="nil"/>
            </w:tcBorders>
          </w:tcPr>
          <w:p>
            <w:pPr>
              <w:pStyle w:val="13"/>
              <w:spacing w:line="324" w:lineRule="auto"/>
              <w:rPr>
                <w:rFonts w:hint="eastAsia" w:ascii="宋体" w:hAnsi="宋体" w:eastAsia="宋体" w:cs="宋体"/>
                <w:sz w:val="32"/>
                <w:szCs w:val="32"/>
                <w:u w:val="single"/>
                <w:lang w:bidi="ar"/>
              </w:rPr>
            </w:pPr>
            <w:r>
              <w:rPr>
                <w:rFonts w:hint="eastAsia" w:ascii="宋体" w:hAnsi="宋体" w:eastAsia="宋体" w:cs="宋体"/>
                <w:sz w:val="32"/>
                <w:szCs w:val="32"/>
                <w:lang w:bidi="ar"/>
              </w:rPr>
              <w:t>供应商名称：</w:t>
            </w:r>
          </w:p>
          <w:p>
            <w:pPr>
              <w:pStyle w:val="13"/>
              <w:rPr>
                <w:rFonts w:hint="eastAsia" w:ascii="宋体" w:hAnsi="宋体" w:eastAsia="宋体" w:cs="宋体"/>
                <w:sz w:val="32"/>
                <w:szCs w:val="32"/>
                <w:u w:val="single"/>
                <w:lang w:bidi="ar"/>
              </w:rPr>
            </w:pPr>
          </w:p>
        </w:tc>
        <w:tc>
          <w:tcPr>
            <w:tcW w:w="3285" w:type="dxa"/>
            <w:tcBorders>
              <w:tl2br w:val="nil"/>
              <w:tr2bl w:val="nil"/>
            </w:tcBorders>
          </w:tcPr>
          <w:p>
            <w:pPr>
              <w:pStyle w:val="13"/>
              <w:rPr>
                <w:rFonts w:hint="eastAsia" w:ascii="宋体" w:hAnsi="宋体" w:eastAsia="宋体" w:cs="宋体"/>
                <w:sz w:val="32"/>
                <w:szCs w:val="32"/>
                <w:u w:val="single"/>
                <w:lang w:bidi="ar"/>
              </w:rPr>
            </w:pPr>
          </w:p>
        </w:tc>
        <w:tc>
          <w:tcPr>
            <w:tcW w:w="3285" w:type="dxa"/>
            <w:tcBorders>
              <w:tl2br w:val="nil"/>
              <w:tr2bl w:val="nil"/>
            </w:tcBorders>
          </w:tcPr>
          <w:p>
            <w:pPr>
              <w:pStyle w:val="13"/>
              <w:rPr>
                <w:rFonts w:hint="eastAsia" w:ascii="宋体" w:hAnsi="宋体" w:eastAsia="宋体" w:cs="宋体"/>
                <w:sz w:val="32"/>
                <w:szCs w:val="32"/>
                <w:u w:val="singl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4" w:type="dxa"/>
            <w:tcBorders>
              <w:tl2br w:val="nil"/>
              <w:tr2bl w:val="nil"/>
            </w:tcBorders>
          </w:tcPr>
          <w:p>
            <w:pPr>
              <w:pStyle w:val="13"/>
              <w:rPr>
                <w:rFonts w:hint="eastAsia" w:ascii="宋体" w:hAnsi="宋体" w:eastAsia="宋体" w:cs="宋体"/>
                <w:sz w:val="32"/>
                <w:szCs w:val="32"/>
                <w:u w:val="single"/>
                <w:lang w:bidi="ar"/>
              </w:rPr>
            </w:pPr>
          </w:p>
        </w:tc>
        <w:tc>
          <w:tcPr>
            <w:tcW w:w="3285" w:type="dxa"/>
            <w:tcBorders>
              <w:tl2br w:val="nil"/>
              <w:tr2bl w:val="nil"/>
            </w:tcBorders>
          </w:tcPr>
          <w:p>
            <w:pPr>
              <w:pStyle w:val="13"/>
              <w:rPr>
                <w:rFonts w:hint="eastAsia" w:ascii="宋体" w:hAnsi="宋体" w:eastAsia="宋体" w:cs="宋体"/>
                <w:sz w:val="32"/>
                <w:szCs w:val="32"/>
                <w:u w:val="single"/>
                <w:lang w:bidi="ar"/>
              </w:rPr>
            </w:pPr>
          </w:p>
        </w:tc>
        <w:tc>
          <w:tcPr>
            <w:tcW w:w="3285" w:type="dxa"/>
            <w:tcBorders>
              <w:tl2br w:val="nil"/>
              <w:tr2bl w:val="nil"/>
            </w:tcBorders>
          </w:tcPr>
          <w:p>
            <w:pPr>
              <w:pStyle w:val="13"/>
              <w:rPr>
                <w:rFonts w:hint="eastAsia" w:ascii="宋体" w:hAnsi="宋体" w:eastAsia="宋体" w:cs="宋体"/>
                <w:sz w:val="32"/>
                <w:szCs w:val="32"/>
                <w:u w:val="single"/>
                <w:lang w:bidi="ar"/>
              </w:rPr>
            </w:pPr>
            <w:r>
              <w:rPr>
                <w:rFonts w:hint="eastAsia" w:ascii="宋体" w:hAnsi="宋体" w:eastAsia="宋体" w:cs="宋体"/>
                <w:sz w:val="32"/>
                <w:szCs w:val="32"/>
                <w:u w:val="single"/>
                <w:lang w:bidi="ar"/>
              </w:rPr>
              <w:t xml:space="preserve">    年   月   日</w:t>
            </w:r>
          </w:p>
          <w:p>
            <w:pPr>
              <w:pStyle w:val="13"/>
              <w:rPr>
                <w:rFonts w:hint="eastAsia" w:ascii="宋体" w:hAnsi="宋体" w:eastAsia="宋体" w:cs="宋体"/>
                <w:sz w:val="32"/>
                <w:szCs w:val="32"/>
                <w:u w:val="single"/>
                <w:lang w:bidi="ar"/>
              </w:rPr>
            </w:pPr>
          </w:p>
        </w:tc>
      </w:tr>
    </w:tbl>
    <w:p>
      <w:pPr>
        <w:pStyle w:val="13"/>
        <w:ind w:firstLine="642"/>
        <w:rPr>
          <w:rFonts w:hint="eastAsia" w:ascii="宋体" w:hAnsi="宋体" w:eastAsia="宋体" w:cs="宋体"/>
          <w:sz w:val="30"/>
          <w:lang w:bidi="ar"/>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ind w:left="0" w:leftChars="0" w:firstLine="0" w:firstLineChars="0"/>
        <w:rPr>
          <w:rFonts w:hint="eastAsia" w:ascii="宋体" w:hAnsi="宋体" w:eastAsia="宋体" w:cs="宋体"/>
          <w:color w:val="auto"/>
          <w:sz w:val="28"/>
          <w:szCs w:val="36"/>
          <w:highlight w:val="none"/>
        </w:rPr>
      </w:pPr>
    </w:p>
    <w:sectPr>
      <w:pgSz w:w="11906" w:h="16838"/>
      <w:pgMar w:top="1418" w:right="1644" w:bottom="1191" w:left="1758"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hint="default" w:ascii="仿宋_GB2312" w:eastAsia="仿宋_GB2312"/>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rPr>
        <w:rFonts w:hint="eastAsia" w:ascii="宋体" w:hAnsi="宋体" w:cs="宋体"/>
        <w:szCs w:val="18"/>
        <w:lang w:eastAsia="zh-CN"/>
      </w:rPr>
      <w:t>灞桥葡萄宣传片拍摄制作播放项目</w:t>
    </w:r>
    <w:r>
      <w:rPr>
        <w:rFonts w:hint="eastAsia" w:ascii="宋体" w:hAnsi="宋体" w:cs="宋体"/>
        <w:szCs w:val="18"/>
        <w:lang w:val="en-US" w:eastAsia="zh-CN"/>
      </w:rPr>
      <w:t xml:space="preserve">                                           </w:t>
    </w:r>
    <w:r>
      <w:rPr>
        <w:rFonts w:hint="eastAsia" w:ascii="宋体" w:hAnsi="宋体" w:cs="宋体"/>
        <w:szCs w:val="18"/>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18"/>
      </w:rPr>
    </w:pPr>
    <w:r>
      <w:rPr>
        <w:rFonts w:hint="eastAsia" w:ascii="宋体" w:hAnsi="宋体" w:cs="宋体"/>
        <w:szCs w:val="18"/>
        <w:lang w:eastAsia="zh-CN"/>
      </w:rPr>
      <w:t>灞桥葡萄宣传片拍摄制作播放项目</w:t>
    </w:r>
    <w:r>
      <w:rPr>
        <w:rFonts w:hint="eastAsia" w:ascii="宋体" w:hAnsi="宋体" w:cs="宋体"/>
        <w:szCs w:val="18"/>
        <w:lang w:val="en-US" w:eastAsia="zh-CN"/>
      </w:rPr>
      <w:t xml:space="preserve">                                           </w:t>
    </w:r>
    <w:r>
      <w:rPr>
        <w:rFonts w:hint="eastAsia" w:ascii="宋体" w:hAnsi="宋体" w:cs="宋体"/>
        <w:szCs w:val="18"/>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宋体" w:hAnsi="宋体" w:cs="宋体"/>
        <w:szCs w:val="18"/>
        <w:lang w:eastAsia="zh-CN"/>
      </w:rPr>
      <w:t>灞桥葡萄宣传片拍摄制作播放项目</w:t>
    </w:r>
    <w:r>
      <w:rPr>
        <w:rFonts w:hint="eastAsia" w:ascii="宋体" w:hAnsi="宋体" w:cs="宋体"/>
        <w:szCs w:val="18"/>
        <w:lang w:val="en-US" w:eastAsia="zh-CN"/>
      </w:rPr>
      <w:t xml:space="preserve">                                         </w:t>
    </w:r>
    <w:r>
      <w:rPr>
        <w:rFonts w:hint="eastAsia" w:ascii="宋体" w:hAnsi="宋体" w:cs="宋体"/>
        <w:szCs w:val="18"/>
      </w:rPr>
      <w:t xml:space="preserve">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A515E"/>
    <w:multiLevelType w:val="singleLevel"/>
    <w:tmpl w:val="C94A515E"/>
    <w:lvl w:ilvl="0" w:tentative="0">
      <w:start w:val="1"/>
      <w:numFmt w:val="decimal"/>
      <w:suff w:val="nothing"/>
      <w:lvlText w:val="（%1）"/>
      <w:lvlJc w:val="left"/>
      <w:pPr>
        <w:tabs>
          <w:tab w:val="left" w:pos="0"/>
        </w:tabs>
        <w:ind w:left="210"/>
      </w:pPr>
      <w:rPr>
        <w:rFonts w:hint="default"/>
      </w:rPr>
    </w:lvl>
  </w:abstractNum>
  <w:abstractNum w:abstractNumId="1">
    <w:nsid w:val="CE377CDD"/>
    <w:multiLevelType w:val="singleLevel"/>
    <w:tmpl w:val="CE377CDD"/>
    <w:lvl w:ilvl="0" w:tentative="0">
      <w:start w:val="1"/>
      <w:numFmt w:val="decimal"/>
      <w:suff w:val="nothing"/>
      <w:lvlText w:val="%1、"/>
      <w:lvlJc w:val="left"/>
    </w:lvl>
  </w:abstractNum>
  <w:abstractNum w:abstractNumId="2">
    <w:nsid w:val="D3C6480A"/>
    <w:multiLevelType w:val="singleLevel"/>
    <w:tmpl w:val="D3C6480A"/>
    <w:lvl w:ilvl="0" w:tentative="0">
      <w:start w:val="1"/>
      <w:numFmt w:val="decimal"/>
      <w:suff w:val="nothing"/>
      <w:lvlText w:val="（%1）"/>
      <w:lvlJc w:val="left"/>
      <w:pPr>
        <w:tabs>
          <w:tab w:val="left" w:pos="0"/>
        </w:tabs>
        <w:ind w:left="210"/>
      </w:pPr>
      <w:rPr>
        <w:rFonts w:hint="default"/>
      </w:rPr>
    </w:lvl>
  </w:abstractNum>
  <w:abstractNum w:abstractNumId="3">
    <w:nsid w:val="FD8D00FB"/>
    <w:multiLevelType w:val="singleLevel"/>
    <w:tmpl w:val="FD8D00FB"/>
    <w:lvl w:ilvl="0" w:tentative="0">
      <w:start w:val="3"/>
      <w:numFmt w:val="chineseCounting"/>
      <w:suff w:val="space"/>
      <w:lvlText w:val="第%1章"/>
      <w:lvlJc w:val="left"/>
      <w:rPr>
        <w:rFonts w:hint="eastAsia"/>
      </w:rPr>
    </w:lvl>
  </w:abstractNum>
  <w:abstractNum w:abstractNumId="4">
    <w:nsid w:val="005859CF"/>
    <w:multiLevelType w:val="singleLevel"/>
    <w:tmpl w:val="005859CF"/>
    <w:lvl w:ilvl="0" w:tentative="0">
      <w:start w:val="1"/>
      <w:numFmt w:val="decimal"/>
      <w:lvlText w:val="%1."/>
      <w:lvlJc w:val="left"/>
      <w:pPr>
        <w:ind w:left="425" w:hanging="425"/>
      </w:pPr>
      <w:rPr>
        <w:rFonts w:hint="default"/>
      </w:rPr>
    </w:lvl>
  </w:abstractNum>
  <w:abstractNum w:abstractNumId="5">
    <w:nsid w:val="654653E7"/>
    <w:multiLevelType w:val="singleLevel"/>
    <w:tmpl w:val="654653E7"/>
    <w:lvl w:ilvl="0" w:tentative="0">
      <w:start w:val="1"/>
      <w:numFmt w:val="decimal"/>
      <w:suff w:val="nothing"/>
      <w:lvlText w:val="%1、"/>
      <w:lvlJc w:val="left"/>
    </w:lvl>
  </w:abstractNum>
  <w:abstractNum w:abstractNumId="6">
    <w:nsid w:val="69843588"/>
    <w:multiLevelType w:val="singleLevel"/>
    <w:tmpl w:val="69843588"/>
    <w:lvl w:ilvl="0" w:tentative="0">
      <w:start w:val="1"/>
      <w:numFmt w:val="decimal"/>
      <w:suff w:val="nothing"/>
      <w:lvlText w:val="%1、"/>
      <w:lvlJc w:val="left"/>
    </w:lvl>
  </w:abstractNum>
  <w:abstractNum w:abstractNumId="7">
    <w:nsid w:val="70E23EC0"/>
    <w:multiLevelType w:val="singleLevel"/>
    <w:tmpl w:val="70E23EC0"/>
    <w:lvl w:ilvl="0" w:tentative="0">
      <w:start w:val="1"/>
      <w:numFmt w:val="decimal"/>
      <w:lvlText w:val="%1."/>
      <w:lvlJc w:val="left"/>
      <w:pPr>
        <w:ind w:left="425" w:hanging="425"/>
      </w:pPr>
      <w:rPr>
        <w:rFonts w:hint="default"/>
      </w:rPr>
    </w:lvl>
  </w:abstractNum>
  <w:abstractNum w:abstractNumId="8">
    <w:nsid w:val="7D1A93C0"/>
    <w:multiLevelType w:val="singleLevel"/>
    <w:tmpl w:val="7D1A93C0"/>
    <w:lvl w:ilvl="0" w:tentative="0">
      <w:start w:val="1"/>
      <w:numFmt w:val="decimal"/>
      <w:suff w:val="nothing"/>
      <w:lvlText w:val="（%1）"/>
      <w:lvlJc w:val="left"/>
      <w:pPr>
        <w:tabs>
          <w:tab w:val="left" w:pos="0"/>
        </w:tabs>
        <w:ind w:left="210"/>
      </w:pPr>
      <w:rPr>
        <w:rFonts w:hint="default"/>
      </w:rPr>
    </w:lvl>
  </w:abstractNum>
  <w:num w:numId="1">
    <w:abstractNumId w:val="7"/>
  </w:num>
  <w:num w:numId="2">
    <w:abstractNumId w:val="1"/>
  </w:num>
  <w:num w:numId="3">
    <w:abstractNumId w:val="6"/>
  </w:num>
  <w:num w:numId="4">
    <w:abstractNumId w:val="4"/>
  </w:num>
  <w:num w:numId="5">
    <w:abstractNumId w:val="3"/>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YWZlNTFhYzMxNzBjZjA4NjBjODcxZGQzMDU4NDcifQ=="/>
  </w:docVars>
  <w:rsids>
    <w:rsidRoot w:val="68E14B9D"/>
    <w:rsid w:val="00030E3B"/>
    <w:rsid w:val="00036460"/>
    <w:rsid w:val="000450A9"/>
    <w:rsid w:val="00082611"/>
    <w:rsid w:val="000F5B9D"/>
    <w:rsid w:val="00173181"/>
    <w:rsid w:val="00181BEC"/>
    <w:rsid w:val="00184E6A"/>
    <w:rsid w:val="001E01C9"/>
    <w:rsid w:val="001E264E"/>
    <w:rsid w:val="0022440F"/>
    <w:rsid w:val="0023578A"/>
    <w:rsid w:val="00287BB1"/>
    <w:rsid w:val="002A0EFA"/>
    <w:rsid w:val="002A6B4B"/>
    <w:rsid w:val="0030743C"/>
    <w:rsid w:val="00317B43"/>
    <w:rsid w:val="00321DA0"/>
    <w:rsid w:val="003A6814"/>
    <w:rsid w:val="00402832"/>
    <w:rsid w:val="00433134"/>
    <w:rsid w:val="00460885"/>
    <w:rsid w:val="004819D5"/>
    <w:rsid w:val="00486D75"/>
    <w:rsid w:val="004C5F35"/>
    <w:rsid w:val="004D6D2A"/>
    <w:rsid w:val="00503783"/>
    <w:rsid w:val="005C3B13"/>
    <w:rsid w:val="005C5513"/>
    <w:rsid w:val="005E4180"/>
    <w:rsid w:val="00675F3D"/>
    <w:rsid w:val="0068355E"/>
    <w:rsid w:val="00685920"/>
    <w:rsid w:val="006B636F"/>
    <w:rsid w:val="00792F0C"/>
    <w:rsid w:val="007C7A9A"/>
    <w:rsid w:val="0092286A"/>
    <w:rsid w:val="00941083"/>
    <w:rsid w:val="00966EE6"/>
    <w:rsid w:val="009C267F"/>
    <w:rsid w:val="009D1750"/>
    <w:rsid w:val="009E795C"/>
    <w:rsid w:val="00A0287F"/>
    <w:rsid w:val="00A53485"/>
    <w:rsid w:val="00AD41B0"/>
    <w:rsid w:val="00B3567E"/>
    <w:rsid w:val="00B875DD"/>
    <w:rsid w:val="00B94F7A"/>
    <w:rsid w:val="00BE24F7"/>
    <w:rsid w:val="00C236C0"/>
    <w:rsid w:val="00C920C1"/>
    <w:rsid w:val="00C92D04"/>
    <w:rsid w:val="00CD4BDE"/>
    <w:rsid w:val="00D459A3"/>
    <w:rsid w:val="00D75AED"/>
    <w:rsid w:val="00D9767A"/>
    <w:rsid w:val="00DA3868"/>
    <w:rsid w:val="00DA50FE"/>
    <w:rsid w:val="00DB7D6D"/>
    <w:rsid w:val="00E12827"/>
    <w:rsid w:val="00E332EB"/>
    <w:rsid w:val="00E36116"/>
    <w:rsid w:val="00E4172E"/>
    <w:rsid w:val="00EA6363"/>
    <w:rsid w:val="00ED7CAD"/>
    <w:rsid w:val="00EE06DE"/>
    <w:rsid w:val="00EF7C50"/>
    <w:rsid w:val="00F03510"/>
    <w:rsid w:val="00FB3B8E"/>
    <w:rsid w:val="00FB6A73"/>
    <w:rsid w:val="00FF48CE"/>
    <w:rsid w:val="026B0E48"/>
    <w:rsid w:val="02B03C97"/>
    <w:rsid w:val="02F60B1E"/>
    <w:rsid w:val="032A0C79"/>
    <w:rsid w:val="03564A79"/>
    <w:rsid w:val="039E4FA9"/>
    <w:rsid w:val="03EA7A50"/>
    <w:rsid w:val="04DA3A06"/>
    <w:rsid w:val="04E50E24"/>
    <w:rsid w:val="04FB2EB1"/>
    <w:rsid w:val="050642F1"/>
    <w:rsid w:val="05216ABC"/>
    <w:rsid w:val="05650933"/>
    <w:rsid w:val="058E78B6"/>
    <w:rsid w:val="061625F6"/>
    <w:rsid w:val="069B07AA"/>
    <w:rsid w:val="07460585"/>
    <w:rsid w:val="07E763D1"/>
    <w:rsid w:val="080816E0"/>
    <w:rsid w:val="080D4F1E"/>
    <w:rsid w:val="08A544E7"/>
    <w:rsid w:val="08CE1BEC"/>
    <w:rsid w:val="09836E04"/>
    <w:rsid w:val="0A797E83"/>
    <w:rsid w:val="0AB82D91"/>
    <w:rsid w:val="0B853613"/>
    <w:rsid w:val="0BE06551"/>
    <w:rsid w:val="0BED551C"/>
    <w:rsid w:val="0CF54666"/>
    <w:rsid w:val="0D8A1CC4"/>
    <w:rsid w:val="0DA36D2B"/>
    <w:rsid w:val="0E0F7F0B"/>
    <w:rsid w:val="0E8925F9"/>
    <w:rsid w:val="0EA9019B"/>
    <w:rsid w:val="0EEB1858"/>
    <w:rsid w:val="0F31639B"/>
    <w:rsid w:val="0F466F3B"/>
    <w:rsid w:val="0F9676F6"/>
    <w:rsid w:val="0FD47384"/>
    <w:rsid w:val="10B479C8"/>
    <w:rsid w:val="10B87336"/>
    <w:rsid w:val="10DF0397"/>
    <w:rsid w:val="10F5023B"/>
    <w:rsid w:val="11474561"/>
    <w:rsid w:val="119B329C"/>
    <w:rsid w:val="11A623CB"/>
    <w:rsid w:val="11F936D7"/>
    <w:rsid w:val="12064962"/>
    <w:rsid w:val="12766E6A"/>
    <w:rsid w:val="12974D99"/>
    <w:rsid w:val="12A91934"/>
    <w:rsid w:val="12C25A87"/>
    <w:rsid w:val="136E2B1F"/>
    <w:rsid w:val="13F83460"/>
    <w:rsid w:val="141F29DC"/>
    <w:rsid w:val="142E0338"/>
    <w:rsid w:val="14876231"/>
    <w:rsid w:val="149C06D4"/>
    <w:rsid w:val="14C0167F"/>
    <w:rsid w:val="14FF7444"/>
    <w:rsid w:val="15031B13"/>
    <w:rsid w:val="15AA110F"/>
    <w:rsid w:val="15C80202"/>
    <w:rsid w:val="15CA5D30"/>
    <w:rsid w:val="15F06E59"/>
    <w:rsid w:val="16365C85"/>
    <w:rsid w:val="166070CD"/>
    <w:rsid w:val="166A5115"/>
    <w:rsid w:val="16B62592"/>
    <w:rsid w:val="16B67B5B"/>
    <w:rsid w:val="173B0CF0"/>
    <w:rsid w:val="17800EAB"/>
    <w:rsid w:val="17F142F2"/>
    <w:rsid w:val="17FE4ED6"/>
    <w:rsid w:val="183250CC"/>
    <w:rsid w:val="18B84D23"/>
    <w:rsid w:val="18D64480"/>
    <w:rsid w:val="19695EA1"/>
    <w:rsid w:val="197C23D2"/>
    <w:rsid w:val="1A311299"/>
    <w:rsid w:val="1AA54730"/>
    <w:rsid w:val="1C1E6EE4"/>
    <w:rsid w:val="1CE15080"/>
    <w:rsid w:val="1CF1611C"/>
    <w:rsid w:val="1D2753DD"/>
    <w:rsid w:val="1DE11FCD"/>
    <w:rsid w:val="1EA9562C"/>
    <w:rsid w:val="1ED86328"/>
    <w:rsid w:val="1F1D0FA8"/>
    <w:rsid w:val="1F420552"/>
    <w:rsid w:val="1F8C4ACB"/>
    <w:rsid w:val="1F9E003B"/>
    <w:rsid w:val="1FB15B3E"/>
    <w:rsid w:val="1FD910B2"/>
    <w:rsid w:val="20861FCF"/>
    <w:rsid w:val="20974C17"/>
    <w:rsid w:val="209835A7"/>
    <w:rsid w:val="21162ADA"/>
    <w:rsid w:val="21282C9D"/>
    <w:rsid w:val="21413C8E"/>
    <w:rsid w:val="21855480"/>
    <w:rsid w:val="219F4C39"/>
    <w:rsid w:val="21E83927"/>
    <w:rsid w:val="226465C1"/>
    <w:rsid w:val="22761F52"/>
    <w:rsid w:val="22922850"/>
    <w:rsid w:val="22B42350"/>
    <w:rsid w:val="231478EE"/>
    <w:rsid w:val="23191484"/>
    <w:rsid w:val="238F5A30"/>
    <w:rsid w:val="23C267AF"/>
    <w:rsid w:val="243B0C17"/>
    <w:rsid w:val="247D7612"/>
    <w:rsid w:val="24913C2C"/>
    <w:rsid w:val="24AA3792"/>
    <w:rsid w:val="24C03050"/>
    <w:rsid w:val="24D90E50"/>
    <w:rsid w:val="24DA2E77"/>
    <w:rsid w:val="2593449F"/>
    <w:rsid w:val="25D91DE0"/>
    <w:rsid w:val="264F1DAC"/>
    <w:rsid w:val="27071896"/>
    <w:rsid w:val="2731493A"/>
    <w:rsid w:val="27806612"/>
    <w:rsid w:val="27B6239D"/>
    <w:rsid w:val="27BF5A1F"/>
    <w:rsid w:val="27ED457B"/>
    <w:rsid w:val="28D477F0"/>
    <w:rsid w:val="296E4EFF"/>
    <w:rsid w:val="29B45308"/>
    <w:rsid w:val="2A6718E9"/>
    <w:rsid w:val="2AAA2651"/>
    <w:rsid w:val="2AFB5D2C"/>
    <w:rsid w:val="2B2506EE"/>
    <w:rsid w:val="2B684EC8"/>
    <w:rsid w:val="2B9619FE"/>
    <w:rsid w:val="2B9F3D2E"/>
    <w:rsid w:val="2BBE6F14"/>
    <w:rsid w:val="2BD44CEC"/>
    <w:rsid w:val="2C627A2D"/>
    <w:rsid w:val="2C931228"/>
    <w:rsid w:val="2CEB3084"/>
    <w:rsid w:val="2D003251"/>
    <w:rsid w:val="2D2A4919"/>
    <w:rsid w:val="2D823B19"/>
    <w:rsid w:val="2DBF32F7"/>
    <w:rsid w:val="2DE8293D"/>
    <w:rsid w:val="2E430855"/>
    <w:rsid w:val="2E9A01D7"/>
    <w:rsid w:val="2E9F2BA8"/>
    <w:rsid w:val="2EC754FB"/>
    <w:rsid w:val="2F5F081F"/>
    <w:rsid w:val="2F7C1992"/>
    <w:rsid w:val="2FA46994"/>
    <w:rsid w:val="2FD40A9F"/>
    <w:rsid w:val="30271754"/>
    <w:rsid w:val="307870CA"/>
    <w:rsid w:val="308A4FC2"/>
    <w:rsid w:val="3094301A"/>
    <w:rsid w:val="30E635EF"/>
    <w:rsid w:val="31081ED3"/>
    <w:rsid w:val="31501BB8"/>
    <w:rsid w:val="329F6F59"/>
    <w:rsid w:val="32F403E5"/>
    <w:rsid w:val="331308B2"/>
    <w:rsid w:val="33416A59"/>
    <w:rsid w:val="339B5E6E"/>
    <w:rsid w:val="351F4A4B"/>
    <w:rsid w:val="35306081"/>
    <w:rsid w:val="35483492"/>
    <w:rsid w:val="35C175DC"/>
    <w:rsid w:val="362A5F1F"/>
    <w:rsid w:val="36B710D8"/>
    <w:rsid w:val="36C13A2C"/>
    <w:rsid w:val="370F5C4C"/>
    <w:rsid w:val="37111B4C"/>
    <w:rsid w:val="37415A36"/>
    <w:rsid w:val="37FA47B3"/>
    <w:rsid w:val="382261BB"/>
    <w:rsid w:val="382A7843"/>
    <w:rsid w:val="384D3846"/>
    <w:rsid w:val="386E4086"/>
    <w:rsid w:val="38A7009D"/>
    <w:rsid w:val="38E04A8D"/>
    <w:rsid w:val="39001ECA"/>
    <w:rsid w:val="391B520F"/>
    <w:rsid w:val="398A71F8"/>
    <w:rsid w:val="39966A11"/>
    <w:rsid w:val="39A07173"/>
    <w:rsid w:val="3A084A21"/>
    <w:rsid w:val="3A380EDB"/>
    <w:rsid w:val="3A700EB7"/>
    <w:rsid w:val="3B0B7CC2"/>
    <w:rsid w:val="3B2108CB"/>
    <w:rsid w:val="3BE25AF6"/>
    <w:rsid w:val="3C1F5239"/>
    <w:rsid w:val="3C2F4ACA"/>
    <w:rsid w:val="3C826B6D"/>
    <w:rsid w:val="3C834E16"/>
    <w:rsid w:val="3CE61944"/>
    <w:rsid w:val="3D1A1C6E"/>
    <w:rsid w:val="3D962D4C"/>
    <w:rsid w:val="3E0C32FF"/>
    <w:rsid w:val="3E1F633A"/>
    <w:rsid w:val="3E254B56"/>
    <w:rsid w:val="3E7816C7"/>
    <w:rsid w:val="3F6D58F2"/>
    <w:rsid w:val="3FA7438D"/>
    <w:rsid w:val="40526335"/>
    <w:rsid w:val="40B862C7"/>
    <w:rsid w:val="40D55FC1"/>
    <w:rsid w:val="415226C1"/>
    <w:rsid w:val="42165935"/>
    <w:rsid w:val="42214C53"/>
    <w:rsid w:val="4224223B"/>
    <w:rsid w:val="42375BDE"/>
    <w:rsid w:val="42A17DA3"/>
    <w:rsid w:val="42B747E8"/>
    <w:rsid w:val="42D95A64"/>
    <w:rsid w:val="42FA51D3"/>
    <w:rsid w:val="43075DC8"/>
    <w:rsid w:val="43B17D90"/>
    <w:rsid w:val="44CC2F1C"/>
    <w:rsid w:val="44F07810"/>
    <w:rsid w:val="459D5052"/>
    <w:rsid w:val="45C47D8D"/>
    <w:rsid w:val="45E75709"/>
    <w:rsid w:val="46C603C0"/>
    <w:rsid w:val="46FE3916"/>
    <w:rsid w:val="48093BFD"/>
    <w:rsid w:val="485F5A2D"/>
    <w:rsid w:val="48A94357"/>
    <w:rsid w:val="48E26672"/>
    <w:rsid w:val="490E096C"/>
    <w:rsid w:val="4910720E"/>
    <w:rsid w:val="494F1608"/>
    <w:rsid w:val="495E2DA2"/>
    <w:rsid w:val="4A655B5A"/>
    <w:rsid w:val="4AE03396"/>
    <w:rsid w:val="4AE62AAE"/>
    <w:rsid w:val="4BA267E9"/>
    <w:rsid w:val="4BD86D8D"/>
    <w:rsid w:val="4C01632E"/>
    <w:rsid w:val="4C331B03"/>
    <w:rsid w:val="4C504CF2"/>
    <w:rsid w:val="4C7C04B3"/>
    <w:rsid w:val="4C8C76CE"/>
    <w:rsid w:val="4CFB7112"/>
    <w:rsid w:val="4D2B6942"/>
    <w:rsid w:val="4D482242"/>
    <w:rsid w:val="4D602B6B"/>
    <w:rsid w:val="4DAA5044"/>
    <w:rsid w:val="4E616C3D"/>
    <w:rsid w:val="4F133DD7"/>
    <w:rsid w:val="4FA450F9"/>
    <w:rsid w:val="4FDD71CE"/>
    <w:rsid w:val="50D11BCF"/>
    <w:rsid w:val="50FF44A5"/>
    <w:rsid w:val="514029A7"/>
    <w:rsid w:val="51E01378"/>
    <w:rsid w:val="51F90549"/>
    <w:rsid w:val="5204726D"/>
    <w:rsid w:val="52112A75"/>
    <w:rsid w:val="52281D83"/>
    <w:rsid w:val="53394028"/>
    <w:rsid w:val="535139C7"/>
    <w:rsid w:val="53E3498A"/>
    <w:rsid w:val="54533A36"/>
    <w:rsid w:val="54816FCD"/>
    <w:rsid w:val="54B35A61"/>
    <w:rsid w:val="54C622AA"/>
    <w:rsid w:val="54DA4E6B"/>
    <w:rsid w:val="551B0923"/>
    <w:rsid w:val="55664D9D"/>
    <w:rsid w:val="55C77991"/>
    <w:rsid w:val="55CB1AB1"/>
    <w:rsid w:val="5609092B"/>
    <w:rsid w:val="56360DA6"/>
    <w:rsid w:val="56813D4A"/>
    <w:rsid w:val="56893461"/>
    <w:rsid w:val="56FC12E0"/>
    <w:rsid w:val="575241F5"/>
    <w:rsid w:val="576553EC"/>
    <w:rsid w:val="58834162"/>
    <w:rsid w:val="58A21DAF"/>
    <w:rsid w:val="59116EBF"/>
    <w:rsid w:val="5918439C"/>
    <w:rsid w:val="597E4CEF"/>
    <w:rsid w:val="59B3689E"/>
    <w:rsid w:val="59DC482A"/>
    <w:rsid w:val="5AC5005A"/>
    <w:rsid w:val="5B5E4E03"/>
    <w:rsid w:val="5B871FF5"/>
    <w:rsid w:val="5B8A674F"/>
    <w:rsid w:val="5BA94701"/>
    <w:rsid w:val="5BBC3C32"/>
    <w:rsid w:val="5BDA07F6"/>
    <w:rsid w:val="5CCA4DB2"/>
    <w:rsid w:val="5D5B4236"/>
    <w:rsid w:val="5D6448D7"/>
    <w:rsid w:val="5D85684A"/>
    <w:rsid w:val="5DBB6A4D"/>
    <w:rsid w:val="5DDD08B6"/>
    <w:rsid w:val="5DF07ECB"/>
    <w:rsid w:val="5E731AA7"/>
    <w:rsid w:val="5EAB07C7"/>
    <w:rsid w:val="5F8C3876"/>
    <w:rsid w:val="6153538F"/>
    <w:rsid w:val="61EC16EE"/>
    <w:rsid w:val="629757F9"/>
    <w:rsid w:val="62E14735"/>
    <w:rsid w:val="630A013F"/>
    <w:rsid w:val="63DF696F"/>
    <w:rsid w:val="64002006"/>
    <w:rsid w:val="640A041F"/>
    <w:rsid w:val="64291F0A"/>
    <w:rsid w:val="64384F95"/>
    <w:rsid w:val="643A5DAD"/>
    <w:rsid w:val="64422923"/>
    <w:rsid w:val="64820305"/>
    <w:rsid w:val="64FA7634"/>
    <w:rsid w:val="6541152B"/>
    <w:rsid w:val="65441F93"/>
    <w:rsid w:val="65C629FA"/>
    <w:rsid w:val="65D469A4"/>
    <w:rsid w:val="65EE0C62"/>
    <w:rsid w:val="663303D2"/>
    <w:rsid w:val="66E84C26"/>
    <w:rsid w:val="671A529D"/>
    <w:rsid w:val="676F4FF1"/>
    <w:rsid w:val="67F667BA"/>
    <w:rsid w:val="681328AA"/>
    <w:rsid w:val="68153217"/>
    <w:rsid w:val="68493A94"/>
    <w:rsid w:val="687C4C4A"/>
    <w:rsid w:val="68820D13"/>
    <w:rsid w:val="68910BAB"/>
    <w:rsid w:val="68A06514"/>
    <w:rsid w:val="68E14B9D"/>
    <w:rsid w:val="69010F7C"/>
    <w:rsid w:val="69303956"/>
    <w:rsid w:val="69551FF4"/>
    <w:rsid w:val="6A905B81"/>
    <w:rsid w:val="6B981E05"/>
    <w:rsid w:val="6D0936FF"/>
    <w:rsid w:val="6D0F055C"/>
    <w:rsid w:val="6D545F9D"/>
    <w:rsid w:val="6D650477"/>
    <w:rsid w:val="6DAF7683"/>
    <w:rsid w:val="6DB34CEE"/>
    <w:rsid w:val="6DD57802"/>
    <w:rsid w:val="6E6D107E"/>
    <w:rsid w:val="6E9175C9"/>
    <w:rsid w:val="6F115FA3"/>
    <w:rsid w:val="6F4110B0"/>
    <w:rsid w:val="6F67333C"/>
    <w:rsid w:val="6F9603E0"/>
    <w:rsid w:val="6FA74C06"/>
    <w:rsid w:val="70166085"/>
    <w:rsid w:val="710A080E"/>
    <w:rsid w:val="712C5ABF"/>
    <w:rsid w:val="71D465A4"/>
    <w:rsid w:val="721335B7"/>
    <w:rsid w:val="72C749B5"/>
    <w:rsid w:val="73521564"/>
    <w:rsid w:val="739E141C"/>
    <w:rsid w:val="73E12740"/>
    <w:rsid w:val="740D5398"/>
    <w:rsid w:val="74A06B32"/>
    <w:rsid w:val="74E71794"/>
    <w:rsid w:val="74F61A28"/>
    <w:rsid w:val="75174EF0"/>
    <w:rsid w:val="756861B9"/>
    <w:rsid w:val="757F435D"/>
    <w:rsid w:val="7593069C"/>
    <w:rsid w:val="75E94D61"/>
    <w:rsid w:val="760F6440"/>
    <w:rsid w:val="763216AE"/>
    <w:rsid w:val="770D097D"/>
    <w:rsid w:val="77841CB6"/>
    <w:rsid w:val="77884403"/>
    <w:rsid w:val="78424E47"/>
    <w:rsid w:val="7847671C"/>
    <w:rsid w:val="78744B90"/>
    <w:rsid w:val="78866844"/>
    <w:rsid w:val="7906183C"/>
    <w:rsid w:val="790C7500"/>
    <w:rsid w:val="7964518E"/>
    <w:rsid w:val="79BE73E0"/>
    <w:rsid w:val="79C41825"/>
    <w:rsid w:val="7AA064A2"/>
    <w:rsid w:val="7AA560F1"/>
    <w:rsid w:val="7AC12467"/>
    <w:rsid w:val="7AE46050"/>
    <w:rsid w:val="7AEC71D1"/>
    <w:rsid w:val="7B181812"/>
    <w:rsid w:val="7B214172"/>
    <w:rsid w:val="7B22333A"/>
    <w:rsid w:val="7B4302CD"/>
    <w:rsid w:val="7B9421BA"/>
    <w:rsid w:val="7C141288"/>
    <w:rsid w:val="7CF62216"/>
    <w:rsid w:val="7D5A1073"/>
    <w:rsid w:val="7DD54611"/>
    <w:rsid w:val="7E0740D3"/>
    <w:rsid w:val="7E0C4283"/>
    <w:rsid w:val="7E121065"/>
    <w:rsid w:val="7E4F53C3"/>
    <w:rsid w:val="7EC07DE8"/>
    <w:rsid w:val="7ED26BFB"/>
    <w:rsid w:val="7F2D1569"/>
    <w:rsid w:val="7F4671AE"/>
    <w:rsid w:val="7F8C7D2E"/>
    <w:rsid w:val="7FDE549E"/>
    <w:rsid w:val="7FEB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jc w:val="center"/>
      <w:outlineLvl w:val="0"/>
    </w:pPr>
    <w:rPr>
      <w:b/>
      <w:kern w:val="44"/>
      <w:sz w:val="36"/>
    </w:rPr>
  </w:style>
  <w:style w:type="paragraph" w:styleId="5">
    <w:name w:val="heading 2"/>
    <w:basedOn w:val="1"/>
    <w:next w:val="1"/>
    <w:link w:val="45"/>
    <w:qFormat/>
    <w:uiPriority w:val="0"/>
    <w:pPr>
      <w:keepNext/>
      <w:keepLines/>
      <w:spacing w:line="415" w:lineRule="auto"/>
      <w:jc w:val="center"/>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paragraph" w:styleId="8">
    <w:name w:val="heading 5"/>
    <w:basedOn w:val="1"/>
    <w:next w:val="1"/>
    <w:qFormat/>
    <w:uiPriority w:val="0"/>
    <w:pPr>
      <w:keepNext/>
      <w:keepLines/>
      <w:adjustRightInd w:val="0"/>
      <w:spacing w:line="376" w:lineRule="atLeast"/>
      <w:outlineLvl w:val="4"/>
    </w:pPr>
    <w:rPr>
      <w:b/>
      <w:kern w:val="0"/>
      <w:sz w:val="28"/>
    </w:rPr>
  </w:style>
  <w:style w:type="paragraph" w:styleId="9">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2"/>
    <w:qFormat/>
    <w:uiPriority w:val="99"/>
  </w:style>
  <w:style w:type="paragraph" w:styleId="3">
    <w:name w:val="Body Text Indent"/>
    <w:basedOn w:val="1"/>
    <w:link w:val="41"/>
    <w:qFormat/>
    <w:uiPriority w:val="99"/>
    <w:pPr>
      <w:ind w:firstLine="420" w:firstLineChars="200"/>
    </w:pPr>
    <w:rPr>
      <w:rFonts w:ascii="Calibri" w:hAnsi="Calibri"/>
      <w:szCs w:val="24"/>
    </w:rPr>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420"/>
    </w:pPr>
  </w:style>
  <w:style w:type="paragraph" w:styleId="12">
    <w:name w:val="annotation text"/>
    <w:basedOn w:val="1"/>
    <w:link w:val="54"/>
    <w:semiHidden/>
    <w:unhideWhenUsed/>
    <w:qFormat/>
    <w:uiPriority w:val="0"/>
    <w:pPr>
      <w:jc w:val="left"/>
    </w:pPr>
  </w:style>
  <w:style w:type="paragraph" w:styleId="13">
    <w:name w:val="Body Text"/>
    <w:basedOn w:val="1"/>
    <w:next w:val="1"/>
    <w:qFormat/>
    <w:uiPriority w:val="0"/>
    <w:rPr>
      <w:b/>
      <w:sz w:val="28"/>
    </w:rPr>
  </w:style>
  <w:style w:type="paragraph" w:styleId="14">
    <w:name w:val="toc 3"/>
    <w:basedOn w:val="1"/>
    <w:next w:val="1"/>
    <w:semiHidden/>
    <w:unhideWhenUsed/>
    <w:qFormat/>
    <w:uiPriority w:val="0"/>
    <w:pPr>
      <w:ind w:left="840" w:leftChars="400"/>
    </w:pPr>
  </w:style>
  <w:style w:type="paragraph" w:styleId="15">
    <w:name w:val="Plain Text"/>
    <w:basedOn w:val="1"/>
    <w:next w:val="1"/>
    <w:qFormat/>
    <w:uiPriority w:val="0"/>
    <w:rPr>
      <w:rFonts w:hint="eastAsia" w:ascii="宋体" w:hAnsi="Courier New"/>
      <w:sz w:val="24"/>
    </w:rPr>
  </w:style>
  <w:style w:type="paragraph" w:styleId="16">
    <w:name w:val="Date"/>
    <w:basedOn w:val="1"/>
    <w:next w:val="1"/>
    <w:qFormat/>
    <w:uiPriority w:val="0"/>
    <w:pPr>
      <w:ind w:left="100" w:leftChars="2500"/>
    </w:pPr>
    <w:rPr>
      <w:b/>
      <w:sz w:val="36"/>
    </w:rPr>
  </w:style>
  <w:style w:type="paragraph" w:styleId="17">
    <w:name w:val="Balloon Text"/>
    <w:basedOn w:val="1"/>
    <w:link w:val="46"/>
    <w:qFormat/>
    <w:uiPriority w:val="0"/>
    <w:rPr>
      <w:sz w:val="18"/>
      <w:szCs w:val="18"/>
    </w:rPr>
  </w:style>
  <w:style w:type="paragraph" w:styleId="18">
    <w:name w:val="footer"/>
    <w:basedOn w:val="1"/>
    <w:link w:val="44"/>
    <w:qFormat/>
    <w:uiPriority w:val="0"/>
    <w:pPr>
      <w:tabs>
        <w:tab w:val="center" w:pos="4153"/>
        <w:tab w:val="right" w:pos="8306"/>
      </w:tabs>
      <w:snapToGrid w:val="0"/>
      <w:jc w:val="left"/>
    </w:pPr>
    <w:rPr>
      <w:sz w:val="18"/>
    </w:rPr>
  </w:style>
  <w:style w:type="paragraph" w:styleId="19">
    <w:name w:val="header"/>
    <w:basedOn w:val="1"/>
    <w:link w:val="43"/>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20">
    <w:name w:val="toc 1"/>
    <w:basedOn w:val="1"/>
    <w:next w:val="1"/>
    <w:qFormat/>
    <w:uiPriority w:val="39"/>
    <w:pPr>
      <w:jc w:val="left"/>
    </w:pPr>
    <w:rPr>
      <w:b/>
      <w:bCs/>
      <w:caps/>
      <w:sz w:val="20"/>
    </w:rPr>
  </w:style>
  <w:style w:type="paragraph" w:styleId="21">
    <w:name w:val="toc 2"/>
    <w:basedOn w:val="1"/>
    <w:next w:val="1"/>
    <w:qFormat/>
    <w:uiPriority w:val="39"/>
    <w:pPr>
      <w:ind w:left="210"/>
      <w:jc w:val="left"/>
    </w:pPr>
    <w:rPr>
      <w:smallCaps/>
      <w:sz w:val="20"/>
    </w:rPr>
  </w:style>
  <w:style w:type="paragraph" w:styleId="22">
    <w:name w:val="Normal (Web)"/>
    <w:basedOn w:val="1"/>
    <w:qFormat/>
    <w:uiPriority w:val="99"/>
    <w:pPr>
      <w:widowControl/>
      <w:spacing w:beforeAutospacing="1" w:afterAutospacing="1"/>
      <w:jc w:val="left"/>
    </w:pPr>
    <w:rPr>
      <w:rFonts w:ascii="宋体" w:hAnsi="宋体"/>
      <w:kern w:val="0"/>
      <w:sz w:val="24"/>
    </w:rPr>
  </w:style>
  <w:style w:type="paragraph" w:styleId="23">
    <w:name w:val="Title"/>
    <w:basedOn w:val="1"/>
    <w:next w:val="1"/>
    <w:qFormat/>
    <w:uiPriority w:val="0"/>
    <w:pPr>
      <w:spacing w:before="240" w:after="60"/>
      <w:jc w:val="center"/>
      <w:outlineLvl w:val="0"/>
    </w:pPr>
    <w:rPr>
      <w:rFonts w:ascii="等线 Light" w:hAnsi="等线 Light"/>
      <w:b/>
      <w:bCs/>
      <w:sz w:val="32"/>
      <w:szCs w:val="32"/>
    </w:rPr>
  </w:style>
  <w:style w:type="paragraph" w:styleId="24">
    <w:name w:val="annotation subject"/>
    <w:basedOn w:val="12"/>
    <w:next w:val="12"/>
    <w:link w:val="55"/>
    <w:semiHidden/>
    <w:unhideWhenUsed/>
    <w:qFormat/>
    <w:uiPriority w:val="0"/>
    <w:rPr>
      <w:b/>
      <w:bCs/>
    </w:rPr>
  </w:style>
  <w:style w:type="paragraph" w:styleId="25">
    <w:name w:val="Body Text First Indent"/>
    <w:basedOn w:val="13"/>
    <w:qFormat/>
    <w:uiPriority w:val="0"/>
    <w:pPr>
      <w:adjustRightInd w:val="0"/>
      <w:ind w:firstLine="420"/>
      <w:jc w:val="left"/>
      <w:textAlignment w:val="baseline"/>
    </w:pPr>
    <w:rPr>
      <w:b w:val="0"/>
      <w:kern w:val="0"/>
      <w:sz w:val="21"/>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basedOn w:val="28"/>
    <w:qFormat/>
    <w:uiPriority w:val="22"/>
    <w:rPr>
      <w:b/>
    </w:rPr>
  </w:style>
  <w:style w:type="character" w:styleId="30">
    <w:name w:val="page number"/>
    <w:basedOn w:val="28"/>
    <w:qFormat/>
    <w:uiPriority w:val="0"/>
  </w:style>
  <w:style w:type="character" w:styleId="31">
    <w:name w:val="FollowedHyperlink"/>
    <w:basedOn w:val="28"/>
    <w:semiHidden/>
    <w:unhideWhenUsed/>
    <w:qFormat/>
    <w:uiPriority w:val="0"/>
    <w:rPr>
      <w:color w:val="800080"/>
      <w:u w:val="none"/>
    </w:rPr>
  </w:style>
  <w:style w:type="character" w:styleId="32">
    <w:name w:val="Emphasis"/>
    <w:basedOn w:val="28"/>
    <w:qFormat/>
    <w:uiPriority w:val="0"/>
  </w:style>
  <w:style w:type="character" w:styleId="33">
    <w:name w:val="Hyperlink"/>
    <w:qFormat/>
    <w:uiPriority w:val="99"/>
    <w:rPr>
      <w:color w:val="333333"/>
      <w:u w:val="none"/>
    </w:rPr>
  </w:style>
  <w:style w:type="character" w:styleId="34">
    <w:name w:val="annotation reference"/>
    <w:basedOn w:val="28"/>
    <w:semiHidden/>
    <w:unhideWhenUsed/>
    <w:qFormat/>
    <w:uiPriority w:val="0"/>
    <w:rPr>
      <w:sz w:val="21"/>
      <w:szCs w:val="21"/>
    </w:rPr>
  </w:style>
  <w:style w:type="paragraph" w:customStyle="1" w:styleId="35">
    <w:name w:val="无间隔1"/>
    <w:qFormat/>
    <w:uiPriority w:val="99"/>
    <w:rPr>
      <w:rFonts w:ascii="Times New Roman" w:hAnsi="Times New Roman" w:eastAsia="宋体" w:cs="Times New Roman"/>
      <w:sz w:val="22"/>
      <w:szCs w:val="22"/>
      <w:lang w:val="en-US" w:eastAsia="zh-CN" w:bidi="ar-SA"/>
    </w:rPr>
  </w:style>
  <w:style w:type="paragraph" w:customStyle="1" w:styleId="36">
    <w:name w:val="首行缩进"/>
    <w:basedOn w:val="1"/>
    <w:qFormat/>
    <w:uiPriority w:val="0"/>
    <w:pPr>
      <w:spacing w:line="360" w:lineRule="auto"/>
      <w:ind w:firstLine="480" w:firstLineChars="200"/>
    </w:pPr>
    <w:rPr>
      <w:rFonts w:ascii="宋体" w:hAnsi="宋体" w:cs="宋体"/>
      <w:kern w:val="0"/>
      <w:sz w:val="24"/>
    </w:rPr>
  </w:style>
  <w:style w:type="paragraph" w:customStyle="1" w:styleId="37">
    <w:name w:val="_Style 6"/>
    <w:basedOn w:val="4"/>
    <w:next w:val="1"/>
    <w:qFormat/>
    <w:uiPriority w:val="39"/>
    <w:pPr>
      <w:widowControl/>
      <w:spacing w:before="240" w:line="259" w:lineRule="auto"/>
      <w:jc w:val="left"/>
      <w:outlineLvl w:val="9"/>
    </w:pPr>
    <w:rPr>
      <w:rFonts w:ascii="等线 Light" w:hAnsi="等线 Light" w:eastAsia="等线 Light"/>
      <w:b w:val="0"/>
      <w:color w:val="2F5496"/>
      <w:kern w:val="0"/>
      <w:sz w:val="32"/>
      <w:szCs w:val="32"/>
    </w:rPr>
  </w:style>
  <w:style w:type="paragraph" w:customStyle="1" w:styleId="38">
    <w:name w:val="列出段落1"/>
    <w:basedOn w:val="1"/>
    <w:qFormat/>
    <w:uiPriority w:val="0"/>
    <w:pPr>
      <w:ind w:firstLine="420" w:firstLineChars="200"/>
    </w:pPr>
    <w:rPr>
      <w:szCs w:val="24"/>
    </w:rPr>
  </w:style>
  <w:style w:type="paragraph" w:customStyle="1" w:styleId="3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0">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1">
    <w:name w:val="正文文本缩进 字符"/>
    <w:basedOn w:val="28"/>
    <w:link w:val="3"/>
    <w:qFormat/>
    <w:uiPriority w:val="99"/>
    <w:rPr>
      <w:rFonts w:ascii="Calibri" w:hAnsi="Calibri" w:eastAsia="宋体" w:cs="Times New Roman"/>
      <w:kern w:val="2"/>
      <w:sz w:val="21"/>
      <w:szCs w:val="24"/>
    </w:rPr>
  </w:style>
  <w:style w:type="character" w:customStyle="1" w:styleId="42">
    <w:name w:val="正文文本首行缩进 2 字符"/>
    <w:basedOn w:val="41"/>
    <w:link w:val="2"/>
    <w:qFormat/>
    <w:uiPriority w:val="99"/>
    <w:rPr>
      <w:rFonts w:ascii="Calibri" w:hAnsi="Calibri" w:eastAsia="宋体" w:cs="Times New Roman"/>
      <w:kern w:val="2"/>
      <w:sz w:val="21"/>
      <w:szCs w:val="24"/>
    </w:rPr>
  </w:style>
  <w:style w:type="character" w:customStyle="1" w:styleId="43">
    <w:name w:val="页眉 字符"/>
    <w:basedOn w:val="28"/>
    <w:link w:val="19"/>
    <w:qFormat/>
    <w:uiPriority w:val="0"/>
    <w:rPr>
      <w:rFonts w:ascii="Times New Roman" w:hAnsi="Times New Roman" w:eastAsia="宋体" w:cs="Times New Roman"/>
      <w:sz w:val="18"/>
    </w:rPr>
  </w:style>
  <w:style w:type="character" w:customStyle="1" w:styleId="44">
    <w:name w:val="页脚 字符"/>
    <w:basedOn w:val="28"/>
    <w:link w:val="18"/>
    <w:qFormat/>
    <w:uiPriority w:val="0"/>
    <w:rPr>
      <w:rFonts w:ascii="Times New Roman" w:hAnsi="Times New Roman" w:eastAsia="宋体" w:cs="Times New Roman"/>
      <w:kern w:val="2"/>
      <w:sz w:val="18"/>
    </w:rPr>
  </w:style>
  <w:style w:type="character" w:customStyle="1" w:styleId="45">
    <w:name w:val="标题 2 字符"/>
    <w:link w:val="5"/>
    <w:qFormat/>
    <w:uiPriority w:val="0"/>
    <w:rPr>
      <w:rFonts w:ascii="Arial" w:hAnsi="Arial" w:eastAsia="黑体"/>
      <w:b/>
      <w:sz w:val="32"/>
    </w:rPr>
  </w:style>
  <w:style w:type="character" w:customStyle="1" w:styleId="46">
    <w:name w:val="批注框文本 字符"/>
    <w:basedOn w:val="28"/>
    <w:link w:val="17"/>
    <w:qFormat/>
    <w:uiPriority w:val="0"/>
    <w:rPr>
      <w:kern w:val="2"/>
      <w:sz w:val="18"/>
      <w:szCs w:val="18"/>
    </w:rPr>
  </w:style>
  <w:style w:type="character" w:customStyle="1" w:styleId="47">
    <w:name w:val="beforeinfotext"/>
    <w:basedOn w:val="28"/>
    <w:qFormat/>
    <w:uiPriority w:val="0"/>
    <w:rPr>
      <w:color w:val="666666"/>
    </w:rPr>
  </w:style>
  <w:style w:type="paragraph" w:customStyle="1" w:styleId="48">
    <w:name w:val="title12"/>
    <w:basedOn w:val="1"/>
    <w:qFormat/>
    <w:uiPriority w:val="0"/>
    <w:pPr>
      <w:spacing w:before="100"/>
      <w:jc w:val="left"/>
    </w:pPr>
    <w:rPr>
      <w:b/>
      <w:kern w:val="0"/>
      <w:sz w:val="15"/>
      <w:szCs w:val="15"/>
    </w:rPr>
  </w:style>
  <w:style w:type="character" w:customStyle="1" w:styleId="49">
    <w:name w:val="number"/>
    <w:basedOn w:val="28"/>
    <w:qFormat/>
    <w:uiPriority w:val="0"/>
    <w:rPr>
      <w:color w:val="FF8833"/>
      <w:sz w:val="12"/>
      <w:szCs w:val="12"/>
    </w:rPr>
  </w:style>
  <w:style w:type="character" w:customStyle="1" w:styleId="50">
    <w:name w:val="proollist"/>
    <w:basedOn w:val="28"/>
    <w:qFormat/>
    <w:uiPriority w:val="0"/>
  </w:style>
  <w:style w:type="character" w:customStyle="1" w:styleId="51">
    <w:name w:val="phone"/>
    <w:basedOn w:val="28"/>
    <w:qFormat/>
    <w:uiPriority w:val="0"/>
    <w:rPr>
      <w:color w:val="FF8833"/>
      <w:sz w:val="12"/>
      <w:szCs w:val="12"/>
    </w:rPr>
  </w:style>
  <w:style w:type="character" w:customStyle="1" w:styleId="52">
    <w:name w:val="stclosebtn"/>
    <w:basedOn w:val="28"/>
    <w:qFormat/>
    <w:uiPriority w:val="0"/>
  </w:style>
  <w:style w:type="paragraph" w:customStyle="1" w:styleId="53">
    <w:name w:val="正文缩进1"/>
    <w:basedOn w:val="1"/>
    <w:qFormat/>
    <w:uiPriority w:val="0"/>
    <w:pPr>
      <w:autoSpaceDE w:val="0"/>
      <w:autoSpaceDN w:val="0"/>
      <w:adjustRightInd w:val="0"/>
      <w:ind w:firstLine="420"/>
      <w:jc w:val="left"/>
    </w:pPr>
    <w:rPr>
      <w:rFonts w:ascii="宋体"/>
      <w:kern w:val="0"/>
      <w:sz w:val="24"/>
    </w:rPr>
  </w:style>
  <w:style w:type="character" w:customStyle="1" w:styleId="54">
    <w:name w:val="批注文字 字符"/>
    <w:basedOn w:val="28"/>
    <w:link w:val="12"/>
    <w:semiHidden/>
    <w:qFormat/>
    <w:uiPriority w:val="0"/>
    <w:rPr>
      <w:kern w:val="2"/>
      <w:sz w:val="21"/>
    </w:rPr>
  </w:style>
  <w:style w:type="character" w:customStyle="1" w:styleId="55">
    <w:name w:val="批注主题 字符"/>
    <w:basedOn w:val="54"/>
    <w:link w:val="24"/>
    <w:semiHidden/>
    <w:qFormat/>
    <w:uiPriority w:val="0"/>
    <w:rPr>
      <w:b/>
      <w:bCs/>
      <w:kern w:val="2"/>
      <w:sz w:val="21"/>
    </w:rPr>
  </w:style>
  <w:style w:type="character" w:customStyle="1" w:styleId="56">
    <w:name w:val="font21"/>
    <w:basedOn w:val="28"/>
    <w:qFormat/>
    <w:uiPriority w:val="0"/>
    <w:rPr>
      <w:rFonts w:hint="eastAsia" w:ascii="宋体" w:hAnsi="宋体" w:eastAsia="宋体" w:cs="宋体"/>
      <w:color w:val="000000"/>
      <w:sz w:val="20"/>
      <w:szCs w:val="20"/>
      <w:u w:val="none"/>
    </w:rPr>
  </w:style>
  <w:style w:type="character" w:customStyle="1" w:styleId="57">
    <w:name w:val="font31"/>
    <w:basedOn w:val="28"/>
    <w:qFormat/>
    <w:uiPriority w:val="0"/>
    <w:rPr>
      <w:rFonts w:hint="eastAsia" w:ascii="宋体" w:hAnsi="宋体" w:eastAsia="宋体" w:cs="宋体"/>
      <w:b/>
      <w:bCs/>
      <w:color w:val="000000"/>
      <w:sz w:val="20"/>
      <w:szCs w:val="20"/>
      <w:u w:val="none"/>
    </w:rPr>
  </w:style>
  <w:style w:type="paragraph" w:styleId="58">
    <w:name w:val="List Paragraph"/>
    <w:basedOn w:val="1"/>
    <w:qFormat/>
    <w:uiPriority w:val="34"/>
    <w:pPr>
      <w:ind w:firstLine="420" w:firstLineChars="200"/>
    </w:pPr>
    <w:rPr>
      <w:rFonts w:ascii="Calibri" w:hAnsi="Calibri"/>
    </w:rPr>
  </w:style>
  <w:style w:type="paragraph" w:customStyle="1" w:styleId="59">
    <w:name w:val="p0"/>
    <w:basedOn w:val="1"/>
    <w:qFormat/>
    <w:uiPriority w:val="0"/>
    <w:pPr>
      <w:widowControl/>
    </w:pPr>
    <w:rPr>
      <w:kern w:val="0"/>
      <w:szCs w:val="21"/>
    </w:rPr>
  </w:style>
  <w:style w:type="character" w:customStyle="1" w:styleId="60">
    <w:name w:val="font71"/>
    <w:basedOn w:val="28"/>
    <w:qFormat/>
    <w:uiPriority w:val="0"/>
    <w:rPr>
      <w:rFonts w:hint="eastAsia" w:ascii="宋体" w:hAnsi="宋体" w:eastAsia="宋体" w:cs="宋体"/>
      <w:color w:val="000000"/>
      <w:sz w:val="28"/>
      <w:szCs w:val="28"/>
      <w:u w:val="single"/>
    </w:rPr>
  </w:style>
  <w:style w:type="paragraph" w:customStyle="1" w:styleId="61">
    <w:name w:val="列出段落3"/>
    <w:basedOn w:val="1"/>
    <w:qFormat/>
    <w:uiPriority w:val="34"/>
    <w:pPr>
      <w:ind w:firstLine="420" w:firstLineChars="200"/>
    </w:pPr>
    <w:rPr>
      <w:rFonts w:ascii="Calibri" w:hAnsi="Calibri"/>
      <w:szCs w:val="2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3">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6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5">
    <w:name w:val="xl41"/>
    <w:basedOn w:val="1"/>
    <w:next w:val="66"/>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kern w:val="0"/>
      <w:sz w:val="22"/>
      <w:szCs w:val="20"/>
    </w:rPr>
  </w:style>
  <w:style w:type="paragraph" w:customStyle="1" w:styleId="66">
    <w:name w:val="xl68"/>
    <w:basedOn w:val="1"/>
    <w:next w:val="1"/>
    <w:qFormat/>
    <w:uiPriority w:val="99"/>
    <w:pPr>
      <w:widowControl/>
      <w:spacing w:before="100" w:beforeAutospacing="1" w:after="100" w:afterAutospacing="1"/>
      <w:jc w:val="left"/>
      <w:textAlignment w:val="center"/>
    </w:pPr>
    <w:rPr>
      <w:rFonts w:ascii="Arial" w:hAnsi="Arial"/>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22783</Words>
  <Characters>24273</Characters>
  <Lines>326</Lines>
  <Paragraphs>91</Paragraphs>
  <TotalTime>78</TotalTime>
  <ScaleCrop>false</ScaleCrop>
  <LinksUpToDate>false</LinksUpToDate>
  <CharactersWithSpaces>27069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2020-08-10T02:16:00Z</dcterms:created>
  <dc:creator>吃猫的鱼</dc:creator>
  <cp:lastModifiedBy>笑颜</cp:lastModifiedBy>
  <cp:lastPrinted>2022-10-20T07:54:49Z</cp:lastPrinted>
  <dcterms:modified xsi:type="dcterms:W3CDTF">2022-10-20T08:19:55Z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FD28A38497044DB88D7959137B4B08CE</vt:lpwstr>
  </property>
</Properties>
</file>