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left"/>
        <w:rPr>
          <w:rFonts w:ascii="宋体" w:hAnsi="宋体" w:eastAsia="宋体" w:cs="宋体"/>
          <w:b/>
          <w:sz w:val="30"/>
        </w:rPr>
      </w:pPr>
      <w:bookmarkStart w:id="0" w:name="OLE_LINK9"/>
      <w:r>
        <w:rPr>
          <w:rFonts w:hint="eastAsia" w:ascii="宋体" w:hAnsi="宋体" w:eastAsia="宋体" w:cs="宋体"/>
          <w:b/>
          <w:sz w:val="30"/>
        </w:rPr>
        <w:t>政府采购项目</w:t>
      </w:r>
    </w:p>
    <w:p>
      <w:pPr>
        <w:adjustRightInd w:val="0"/>
        <w:snapToGrid w:val="0"/>
        <w:spacing w:line="360" w:lineRule="auto"/>
        <w:jc w:val="left"/>
        <w:rPr>
          <w:rFonts w:hint="default" w:ascii="宋体" w:hAnsi="宋体" w:eastAsia="宋体" w:cs="宋体"/>
          <w:b/>
          <w:sz w:val="30"/>
          <w:lang w:val="en-US"/>
        </w:rPr>
      </w:pPr>
      <w:r>
        <w:rPr>
          <w:rFonts w:hint="eastAsia" w:ascii="宋体" w:hAnsi="宋体" w:eastAsia="宋体" w:cs="宋体"/>
          <w:b/>
          <w:sz w:val="30"/>
        </w:rPr>
        <w:t>项目编号：</w:t>
      </w:r>
      <w:r>
        <w:rPr>
          <w:rFonts w:hint="eastAsia" w:ascii="宋体" w:hAnsi="宋体" w:eastAsia="宋体" w:cs="宋体"/>
          <w:b/>
          <w:sz w:val="30"/>
          <w:lang w:eastAsia="zh-CN"/>
        </w:rPr>
        <w:t>ZMZB2022BQJYJ-297</w:t>
      </w:r>
    </w:p>
    <w:p>
      <w:pPr>
        <w:adjustRightInd w:val="0"/>
        <w:snapToGrid w:val="0"/>
        <w:spacing w:line="360" w:lineRule="auto"/>
        <w:rPr>
          <w:rFonts w:ascii="宋体" w:hAnsi="宋体" w:eastAsia="宋体" w:cs="宋体"/>
          <w:b/>
          <w:sz w:val="48"/>
          <w:szCs w:val="48"/>
        </w:rPr>
      </w:pPr>
    </w:p>
    <w:p>
      <w:pPr>
        <w:tabs>
          <w:tab w:val="left" w:pos="0"/>
        </w:tabs>
        <w:adjustRightInd w:val="0"/>
        <w:snapToGrid w:val="0"/>
        <w:spacing w:line="360" w:lineRule="auto"/>
        <w:jc w:val="center"/>
        <w:rPr>
          <w:rFonts w:hint="eastAsia" w:ascii="宋体" w:hAnsi="宋体" w:eastAsia="宋体" w:cs="宋体"/>
          <w:b/>
          <w:sz w:val="56"/>
          <w:szCs w:val="56"/>
          <w:lang w:eastAsia="zh-CN"/>
        </w:rPr>
      </w:pPr>
      <w:r>
        <w:rPr>
          <w:rFonts w:hint="eastAsia" w:ascii="宋体" w:hAnsi="宋体" w:eastAsia="宋体" w:cs="宋体"/>
          <w:b/>
          <w:sz w:val="56"/>
          <w:szCs w:val="56"/>
          <w:lang w:eastAsia="zh-CN"/>
        </w:rPr>
        <w:t>西安市灞桥区教育局（本级）</w:t>
      </w:r>
    </w:p>
    <w:p>
      <w:pPr>
        <w:tabs>
          <w:tab w:val="left" w:pos="0"/>
        </w:tabs>
        <w:adjustRightInd w:val="0"/>
        <w:snapToGrid w:val="0"/>
        <w:spacing w:line="360" w:lineRule="auto"/>
        <w:jc w:val="center"/>
        <w:rPr>
          <w:rFonts w:ascii="宋体" w:hAnsi="宋体" w:eastAsia="宋体" w:cs="宋体"/>
          <w:b/>
          <w:sz w:val="56"/>
          <w:szCs w:val="56"/>
        </w:rPr>
      </w:pPr>
      <w:r>
        <w:rPr>
          <w:rFonts w:hint="eastAsia" w:ascii="宋体" w:hAnsi="宋体" w:eastAsia="宋体" w:cs="宋体"/>
          <w:b/>
          <w:sz w:val="56"/>
          <w:szCs w:val="56"/>
          <w:lang w:eastAsia="zh-CN"/>
        </w:rPr>
        <w:t>西安市第五十五中学智慧黑板采购项目</w:t>
      </w:r>
    </w:p>
    <w:p>
      <w:pPr>
        <w:tabs>
          <w:tab w:val="left" w:pos="0"/>
        </w:tabs>
        <w:adjustRightInd w:val="0"/>
        <w:snapToGrid w:val="0"/>
        <w:spacing w:line="360" w:lineRule="auto"/>
        <w:jc w:val="left"/>
        <w:rPr>
          <w:rFonts w:ascii="宋体" w:hAnsi="宋体" w:eastAsia="宋体" w:cs="宋体"/>
          <w:b/>
          <w:sz w:val="72"/>
          <w:szCs w:val="72"/>
        </w:rPr>
      </w:pPr>
      <w:r>
        <w:drawing>
          <wp:anchor distT="0" distB="0" distL="114300" distR="114300" simplePos="0" relativeHeight="251667456" behindDoc="0" locked="0" layoutInCell="1" allowOverlap="1">
            <wp:simplePos x="0" y="0"/>
            <wp:positionH relativeFrom="column">
              <wp:posOffset>2202180</wp:posOffset>
            </wp:positionH>
            <wp:positionV relativeFrom="paragraph">
              <wp:posOffset>528955</wp:posOffset>
            </wp:positionV>
            <wp:extent cx="2095500" cy="1087120"/>
            <wp:effectExtent l="0" t="0" r="0" b="17780"/>
            <wp:wrapSquare wrapText="bothSides"/>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21" cstate="print"/>
                    <a:stretch>
                      <a:fillRect/>
                    </a:stretch>
                  </pic:blipFill>
                  <pic:spPr>
                    <a:xfrm>
                      <a:off x="0" y="0"/>
                      <a:ext cx="2095500" cy="1087120"/>
                    </a:xfrm>
                    <a:prstGeom prst="rect">
                      <a:avLst/>
                    </a:prstGeom>
                    <a:noFill/>
                    <a:ln>
                      <a:noFill/>
                    </a:ln>
                  </pic:spPr>
                </pic:pic>
              </a:graphicData>
            </a:graphic>
          </wp:anchor>
        </w:drawing>
      </w:r>
    </w:p>
    <w:p>
      <w:pPr>
        <w:tabs>
          <w:tab w:val="left" w:pos="0"/>
        </w:tabs>
        <w:adjustRightInd w:val="0"/>
        <w:snapToGrid w:val="0"/>
        <w:spacing w:line="360" w:lineRule="auto"/>
        <w:jc w:val="both"/>
        <w:rPr>
          <w:rFonts w:hint="eastAsia" w:ascii="宋体" w:hAnsi="宋体" w:eastAsia="宋体" w:cs="宋体"/>
          <w:b/>
          <w:sz w:val="72"/>
          <w:szCs w:val="72"/>
        </w:rPr>
      </w:pPr>
    </w:p>
    <w:p>
      <w:pPr>
        <w:pStyle w:val="7"/>
        <w:rPr>
          <w:rFonts w:hint="eastAsia"/>
        </w:rPr>
      </w:pPr>
    </w:p>
    <w:p>
      <w:pPr>
        <w:tabs>
          <w:tab w:val="left" w:pos="0"/>
        </w:tabs>
        <w:adjustRightInd w:val="0"/>
        <w:snapToGrid w:val="0"/>
        <w:spacing w:line="360" w:lineRule="auto"/>
        <w:jc w:val="center"/>
        <w:rPr>
          <w:rFonts w:ascii="宋体" w:hAnsi="宋体" w:eastAsia="宋体" w:cs="宋体"/>
          <w:b/>
          <w:sz w:val="30"/>
        </w:rPr>
      </w:pPr>
      <w:r>
        <w:rPr>
          <w:rFonts w:hint="eastAsia" w:ascii="宋体" w:hAnsi="宋体" w:eastAsia="宋体" w:cs="宋体"/>
          <w:b/>
          <w:sz w:val="72"/>
          <w:szCs w:val="72"/>
        </w:rPr>
        <w:t>竞争性谈判文件</w:t>
      </w:r>
    </w:p>
    <w:p>
      <w:pPr>
        <w:adjustRightInd w:val="0"/>
        <w:snapToGrid w:val="0"/>
        <w:spacing w:line="360" w:lineRule="auto"/>
        <w:jc w:val="center"/>
        <w:rPr>
          <w:rFonts w:ascii="宋体" w:hAnsi="宋体" w:eastAsia="宋体" w:cs="宋体"/>
          <w:b/>
          <w:sz w:val="30"/>
        </w:rPr>
      </w:pPr>
    </w:p>
    <w:p>
      <w:pPr>
        <w:rPr>
          <w:rFonts w:ascii="宋体" w:hAnsi="宋体" w:eastAsia="宋体" w:cs="宋体"/>
          <w:b/>
          <w:sz w:val="30"/>
        </w:rPr>
      </w:pPr>
    </w:p>
    <w:p/>
    <w:p/>
    <w:p>
      <w:pPr>
        <w:adjustRightInd w:val="0"/>
        <w:snapToGrid w:val="0"/>
        <w:spacing w:line="360" w:lineRule="auto"/>
        <w:jc w:val="center"/>
        <w:rPr>
          <w:rFonts w:ascii="宋体" w:hAnsi="宋体" w:eastAsia="宋体" w:cs="宋体"/>
          <w:b/>
          <w:sz w:val="32"/>
          <w:szCs w:val="32"/>
        </w:rPr>
      </w:pPr>
      <w:r>
        <w:rPr>
          <w:rFonts w:hint="eastAsia" w:ascii="宋体" w:hAnsi="宋体" w:eastAsia="宋体" w:cs="宋体"/>
          <w:b/>
          <w:sz w:val="32"/>
          <w:szCs w:val="32"/>
        </w:rPr>
        <w:t>陕西卓佲项目管理有限公司</w:t>
      </w:r>
    </w:p>
    <w:p>
      <w:pPr>
        <w:adjustRightInd w:val="0"/>
        <w:snapToGrid w:val="0"/>
        <w:spacing w:line="600" w:lineRule="auto"/>
        <w:jc w:val="center"/>
        <w:rPr>
          <w:rFonts w:ascii="宋体" w:hAnsi="宋体" w:eastAsia="宋体" w:cs="宋体"/>
          <w:b/>
          <w:sz w:val="32"/>
          <w:szCs w:val="32"/>
        </w:rPr>
        <w:sectPr>
          <w:headerReference r:id="rId4" w:type="first"/>
          <w:headerReference r:id="rId3" w:type="default"/>
          <w:footerReference r:id="rId5" w:type="default"/>
          <w:pgSz w:w="11906" w:h="16838"/>
          <w:pgMar w:top="1440" w:right="1080" w:bottom="1440" w:left="1080" w:header="851" w:footer="992" w:gutter="0"/>
          <w:pgNumType w:fmt="decimal" w:start="1"/>
          <w:cols w:space="720" w:num="1"/>
          <w:docGrid w:type="lines" w:linePitch="312" w:charSpace="0"/>
        </w:sectPr>
      </w:pPr>
      <w:r>
        <w:rPr>
          <w:rFonts w:hint="eastAsia" w:ascii="宋体" w:hAnsi="宋体" w:eastAsia="宋体" w:cs="宋体"/>
          <w:b/>
          <w:sz w:val="32"/>
          <w:szCs w:val="32"/>
        </w:rPr>
        <w:t>202</w:t>
      </w:r>
      <w:r>
        <w:rPr>
          <w:rFonts w:hint="eastAsia" w:ascii="宋体" w:hAnsi="宋体" w:eastAsia="宋体" w:cs="宋体"/>
          <w:b/>
          <w:sz w:val="32"/>
          <w:szCs w:val="32"/>
          <w:lang w:val="en-US" w:eastAsia="zh-CN"/>
        </w:rPr>
        <w:t>2</w:t>
      </w:r>
      <w:r>
        <w:rPr>
          <w:rFonts w:hint="eastAsia" w:ascii="宋体" w:hAnsi="宋体" w:eastAsia="宋体" w:cs="宋体"/>
          <w:b/>
          <w:sz w:val="32"/>
          <w:szCs w:val="32"/>
        </w:rPr>
        <w:t>年</w:t>
      </w:r>
      <w:r>
        <w:rPr>
          <w:rFonts w:hint="eastAsia" w:ascii="宋体" w:hAnsi="宋体" w:eastAsia="宋体" w:cs="宋体"/>
          <w:b/>
          <w:sz w:val="32"/>
          <w:szCs w:val="32"/>
          <w:lang w:val="en-US" w:eastAsia="zh-CN"/>
        </w:rPr>
        <w:t>10</w:t>
      </w:r>
      <w:r>
        <w:rPr>
          <w:rFonts w:hint="eastAsia" w:ascii="宋体" w:hAnsi="宋体" w:eastAsia="宋体" w:cs="宋体"/>
          <w:b/>
          <w:sz w:val="32"/>
          <w:szCs w:val="32"/>
        </w:rPr>
        <w:t>月</w:t>
      </w:r>
    </w:p>
    <w:p>
      <w:pPr>
        <w:pStyle w:val="16"/>
        <w:tabs>
          <w:tab w:val="right" w:leader="dot" w:pos="8306"/>
        </w:tabs>
        <w:spacing w:line="360" w:lineRule="auto"/>
        <w:jc w:val="center"/>
        <w:rPr>
          <w:rFonts w:ascii="宋体" w:hAnsi="宋体" w:eastAsia="宋体" w:cs="宋体"/>
          <w:b/>
          <w:bCs/>
          <w:sz w:val="52"/>
          <w:szCs w:val="52"/>
        </w:rPr>
      </w:pPr>
      <w:r>
        <w:rPr>
          <w:rFonts w:hint="eastAsia" w:ascii="宋体" w:hAnsi="宋体" w:eastAsia="宋体" w:cs="宋体"/>
          <w:b/>
          <w:bCs/>
          <w:sz w:val="52"/>
          <w:szCs w:val="52"/>
        </w:rPr>
        <w:t>目录</w:t>
      </w:r>
    </w:p>
    <w:p>
      <w:pPr>
        <w:pStyle w:val="16"/>
        <w:tabs>
          <w:tab w:val="right" w:leader="dot" w:pos="9746"/>
        </w:tabs>
      </w:pPr>
      <w:r>
        <w:rPr>
          <w:rFonts w:hint="eastAsia" w:asciiTheme="minorEastAsia" w:hAnsiTheme="minorEastAsia" w:cstheme="minorEastAsia"/>
          <w:sz w:val="96"/>
          <w:szCs w:val="96"/>
        </w:rPr>
        <w:fldChar w:fldCharType="begin"/>
      </w:r>
      <w:r>
        <w:rPr>
          <w:rFonts w:hint="eastAsia" w:asciiTheme="minorEastAsia" w:hAnsiTheme="minorEastAsia" w:cstheme="minorEastAsia"/>
          <w:sz w:val="96"/>
          <w:szCs w:val="96"/>
        </w:rPr>
        <w:instrText xml:space="preserve">TOC \o "1-2" \h \u </w:instrText>
      </w:r>
      <w:r>
        <w:rPr>
          <w:rFonts w:hint="eastAsia" w:asciiTheme="minorEastAsia" w:hAnsiTheme="minorEastAsia" w:cstheme="minorEastAsia"/>
          <w:sz w:val="96"/>
          <w:szCs w:val="96"/>
        </w:rPr>
        <w:fldChar w:fldCharType="separate"/>
      </w:r>
      <w:r>
        <w:rPr>
          <w:rFonts w:hint="eastAsia" w:asciiTheme="minorEastAsia" w:hAnsiTheme="minorEastAsia" w:cstheme="minorEastAsia"/>
          <w:szCs w:val="96"/>
        </w:rPr>
        <w:fldChar w:fldCharType="begin"/>
      </w:r>
      <w:r>
        <w:rPr>
          <w:rFonts w:hint="eastAsia" w:asciiTheme="minorEastAsia" w:hAnsiTheme="minorEastAsia" w:cstheme="minorEastAsia"/>
          <w:szCs w:val="96"/>
        </w:rPr>
        <w:instrText xml:space="preserve"> HYPERLINK \l _Toc457 </w:instrText>
      </w:r>
      <w:r>
        <w:rPr>
          <w:rFonts w:hint="eastAsia" w:asciiTheme="minorEastAsia" w:hAnsiTheme="minorEastAsia" w:cstheme="minorEastAsia"/>
          <w:szCs w:val="96"/>
        </w:rPr>
        <w:fldChar w:fldCharType="separate"/>
      </w:r>
      <w:r>
        <w:rPr>
          <w:rFonts w:hint="eastAsia" w:ascii="宋体" w:hAnsi="宋体" w:cs="宋体"/>
          <w:szCs w:val="36"/>
        </w:rPr>
        <w:t>第一部分  竞争性谈判公告</w:t>
      </w:r>
      <w:r>
        <w:tab/>
      </w:r>
      <w:r>
        <w:fldChar w:fldCharType="begin"/>
      </w:r>
      <w:r>
        <w:instrText xml:space="preserve"> PAGEREF _Toc457 \h </w:instrText>
      </w:r>
      <w:r>
        <w:fldChar w:fldCharType="separate"/>
      </w:r>
      <w:r>
        <w:t>1</w:t>
      </w:r>
      <w:r>
        <w:fldChar w:fldCharType="end"/>
      </w:r>
      <w:r>
        <w:rPr>
          <w:rFonts w:hint="eastAsia" w:asciiTheme="minorEastAsia" w:hAnsiTheme="minorEastAsia" w:cstheme="minorEastAsia"/>
          <w:szCs w:val="96"/>
        </w:rPr>
        <w:fldChar w:fldCharType="end"/>
      </w:r>
    </w:p>
    <w:p>
      <w:pPr>
        <w:pStyle w:val="16"/>
        <w:tabs>
          <w:tab w:val="right" w:leader="dot" w:pos="9746"/>
        </w:tabs>
      </w:pPr>
      <w:r>
        <w:rPr>
          <w:rFonts w:hint="eastAsia" w:asciiTheme="minorEastAsia" w:hAnsiTheme="minorEastAsia" w:eastAsiaTheme="minorEastAsia" w:cstheme="minorEastAsia"/>
          <w:szCs w:val="96"/>
        </w:rPr>
        <w:fldChar w:fldCharType="begin"/>
      </w:r>
      <w:r>
        <w:rPr>
          <w:rFonts w:hint="eastAsia" w:asciiTheme="minorEastAsia" w:hAnsiTheme="minorEastAsia" w:eastAsiaTheme="minorEastAsia" w:cstheme="minorEastAsia"/>
          <w:szCs w:val="96"/>
        </w:rPr>
        <w:instrText xml:space="preserve"> HYPERLINK \l _Toc5904 </w:instrText>
      </w:r>
      <w:r>
        <w:rPr>
          <w:rFonts w:hint="eastAsia" w:asciiTheme="minorEastAsia" w:hAnsiTheme="minorEastAsia" w:eastAsiaTheme="minorEastAsia" w:cstheme="minorEastAsia"/>
          <w:szCs w:val="96"/>
        </w:rPr>
        <w:fldChar w:fldCharType="separate"/>
      </w:r>
      <w:r>
        <w:rPr>
          <w:rFonts w:hint="eastAsia" w:ascii="宋体" w:hAnsi="宋体" w:cs="宋体"/>
        </w:rPr>
        <w:t>第二部分  供应商须知前附表</w:t>
      </w:r>
      <w:r>
        <w:tab/>
      </w:r>
      <w:r>
        <w:fldChar w:fldCharType="begin"/>
      </w:r>
      <w:r>
        <w:instrText xml:space="preserve"> PAGEREF _Toc5904 \h </w:instrText>
      </w:r>
      <w:r>
        <w:fldChar w:fldCharType="separate"/>
      </w:r>
      <w:r>
        <w:t>5</w:t>
      </w:r>
      <w:r>
        <w:fldChar w:fldCharType="end"/>
      </w:r>
      <w:r>
        <w:rPr>
          <w:rFonts w:hint="eastAsia" w:asciiTheme="minorEastAsia" w:hAnsiTheme="minorEastAsia" w:eastAsiaTheme="minorEastAsia" w:cstheme="minorEastAsia"/>
          <w:szCs w:val="96"/>
        </w:rPr>
        <w:fldChar w:fldCharType="end"/>
      </w:r>
    </w:p>
    <w:p>
      <w:pPr>
        <w:pStyle w:val="16"/>
        <w:tabs>
          <w:tab w:val="right" w:leader="dot" w:pos="9746"/>
        </w:tabs>
      </w:pPr>
      <w:r>
        <w:rPr>
          <w:rFonts w:hint="eastAsia" w:asciiTheme="minorEastAsia" w:hAnsiTheme="minorEastAsia" w:eastAsiaTheme="minorEastAsia" w:cstheme="minorEastAsia"/>
          <w:szCs w:val="96"/>
        </w:rPr>
        <w:fldChar w:fldCharType="begin"/>
      </w:r>
      <w:r>
        <w:rPr>
          <w:rFonts w:hint="eastAsia" w:asciiTheme="minorEastAsia" w:hAnsiTheme="minorEastAsia" w:eastAsiaTheme="minorEastAsia" w:cstheme="minorEastAsia"/>
          <w:szCs w:val="96"/>
        </w:rPr>
        <w:instrText xml:space="preserve"> HYPERLINK \l _Toc16020 </w:instrText>
      </w:r>
      <w:r>
        <w:rPr>
          <w:rFonts w:hint="eastAsia" w:asciiTheme="minorEastAsia" w:hAnsiTheme="minorEastAsia" w:eastAsiaTheme="minorEastAsia" w:cstheme="minorEastAsia"/>
          <w:szCs w:val="96"/>
        </w:rPr>
        <w:fldChar w:fldCharType="separate"/>
      </w:r>
      <w:r>
        <w:rPr>
          <w:rFonts w:hint="eastAsia" w:ascii="宋体" w:hAnsi="宋体" w:cs="宋体"/>
        </w:rPr>
        <w:t>第三部分  供应商须知</w:t>
      </w:r>
      <w:r>
        <w:tab/>
      </w:r>
      <w:r>
        <w:fldChar w:fldCharType="begin"/>
      </w:r>
      <w:r>
        <w:instrText xml:space="preserve"> PAGEREF _Toc16020 \h </w:instrText>
      </w:r>
      <w:r>
        <w:fldChar w:fldCharType="separate"/>
      </w:r>
      <w:r>
        <w:t>11</w:t>
      </w:r>
      <w:r>
        <w:fldChar w:fldCharType="end"/>
      </w:r>
      <w:r>
        <w:rPr>
          <w:rFonts w:hint="eastAsia" w:asciiTheme="minorEastAsia" w:hAnsiTheme="minorEastAsia" w:eastAsiaTheme="minorEastAsia" w:cstheme="minorEastAsia"/>
          <w:szCs w:val="96"/>
        </w:rPr>
        <w:fldChar w:fldCharType="end"/>
      </w:r>
    </w:p>
    <w:p>
      <w:pPr>
        <w:pStyle w:val="17"/>
        <w:tabs>
          <w:tab w:val="right" w:leader="dot" w:pos="9746"/>
        </w:tabs>
      </w:pPr>
      <w:r>
        <w:rPr>
          <w:rFonts w:hint="eastAsia" w:asciiTheme="minorEastAsia" w:hAnsiTheme="minorEastAsia" w:eastAsiaTheme="minorEastAsia" w:cstheme="minorEastAsia"/>
          <w:szCs w:val="96"/>
        </w:rPr>
        <w:fldChar w:fldCharType="begin"/>
      </w:r>
      <w:r>
        <w:rPr>
          <w:rFonts w:hint="eastAsia" w:asciiTheme="minorEastAsia" w:hAnsiTheme="minorEastAsia" w:eastAsiaTheme="minorEastAsia" w:cstheme="minorEastAsia"/>
          <w:szCs w:val="96"/>
        </w:rPr>
        <w:instrText xml:space="preserve"> HYPERLINK \l _Toc5160 </w:instrText>
      </w:r>
      <w:r>
        <w:rPr>
          <w:rFonts w:hint="eastAsia" w:asciiTheme="minorEastAsia" w:hAnsiTheme="minorEastAsia" w:eastAsiaTheme="minorEastAsia" w:cstheme="minorEastAsia"/>
          <w:szCs w:val="96"/>
        </w:rPr>
        <w:fldChar w:fldCharType="separate"/>
      </w:r>
      <w:r>
        <w:rPr>
          <w:rFonts w:hint="eastAsia" w:ascii="宋体" w:hAnsi="宋体" w:cs="宋体"/>
        </w:rPr>
        <w:t>一、 总 则</w:t>
      </w:r>
      <w:r>
        <w:tab/>
      </w:r>
      <w:r>
        <w:fldChar w:fldCharType="begin"/>
      </w:r>
      <w:r>
        <w:instrText xml:space="preserve"> PAGEREF _Toc5160 \h </w:instrText>
      </w:r>
      <w:r>
        <w:fldChar w:fldCharType="separate"/>
      </w:r>
      <w:r>
        <w:t>11</w:t>
      </w:r>
      <w:r>
        <w:fldChar w:fldCharType="end"/>
      </w:r>
      <w:r>
        <w:rPr>
          <w:rFonts w:hint="eastAsia" w:asciiTheme="minorEastAsia" w:hAnsiTheme="minorEastAsia" w:eastAsiaTheme="minorEastAsia" w:cstheme="minorEastAsia"/>
          <w:szCs w:val="96"/>
        </w:rPr>
        <w:fldChar w:fldCharType="end"/>
      </w:r>
    </w:p>
    <w:p>
      <w:pPr>
        <w:pStyle w:val="17"/>
        <w:tabs>
          <w:tab w:val="right" w:leader="dot" w:pos="9746"/>
        </w:tabs>
      </w:pPr>
      <w:r>
        <w:rPr>
          <w:rFonts w:hint="eastAsia" w:asciiTheme="minorEastAsia" w:hAnsiTheme="minorEastAsia" w:eastAsiaTheme="minorEastAsia" w:cstheme="minorEastAsia"/>
          <w:szCs w:val="96"/>
        </w:rPr>
        <w:fldChar w:fldCharType="begin"/>
      </w:r>
      <w:r>
        <w:rPr>
          <w:rFonts w:hint="eastAsia" w:asciiTheme="minorEastAsia" w:hAnsiTheme="minorEastAsia" w:eastAsiaTheme="minorEastAsia" w:cstheme="minorEastAsia"/>
          <w:szCs w:val="96"/>
        </w:rPr>
        <w:instrText xml:space="preserve"> HYPERLINK \l _Toc26750 </w:instrText>
      </w:r>
      <w:r>
        <w:rPr>
          <w:rFonts w:hint="eastAsia" w:asciiTheme="minorEastAsia" w:hAnsiTheme="minorEastAsia" w:eastAsiaTheme="minorEastAsia" w:cstheme="minorEastAsia"/>
          <w:szCs w:val="96"/>
        </w:rPr>
        <w:fldChar w:fldCharType="separate"/>
      </w:r>
      <w:r>
        <w:rPr>
          <w:rFonts w:hint="eastAsia" w:ascii="宋体" w:hAnsi="宋体" w:cs="宋体"/>
        </w:rPr>
        <w:t>二、 竞争性谈判文件</w:t>
      </w:r>
      <w:r>
        <w:tab/>
      </w:r>
      <w:r>
        <w:fldChar w:fldCharType="begin"/>
      </w:r>
      <w:r>
        <w:instrText xml:space="preserve"> PAGEREF _Toc26750 \h </w:instrText>
      </w:r>
      <w:r>
        <w:fldChar w:fldCharType="separate"/>
      </w:r>
      <w:r>
        <w:t>13</w:t>
      </w:r>
      <w:r>
        <w:fldChar w:fldCharType="end"/>
      </w:r>
      <w:r>
        <w:rPr>
          <w:rFonts w:hint="eastAsia" w:asciiTheme="minorEastAsia" w:hAnsiTheme="minorEastAsia" w:eastAsiaTheme="minorEastAsia" w:cstheme="minorEastAsia"/>
          <w:szCs w:val="96"/>
        </w:rPr>
        <w:fldChar w:fldCharType="end"/>
      </w:r>
    </w:p>
    <w:p>
      <w:pPr>
        <w:pStyle w:val="17"/>
        <w:tabs>
          <w:tab w:val="right" w:leader="dot" w:pos="9746"/>
        </w:tabs>
      </w:pPr>
      <w:r>
        <w:rPr>
          <w:rFonts w:hint="eastAsia" w:asciiTheme="minorEastAsia" w:hAnsiTheme="minorEastAsia" w:eastAsiaTheme="minorEastAsia" w:cstheme="minorEastAsia"/>
          <w:szCs w:val="96"/>
        </w:rPr>
        <w:fldChar w:fldCharType="begin"/>
      </w:r>
      <w:r>
        <w:rPr>
          <w:rFonts w:hint="eastAsia" w:asciiTheme="minorEastAsia" w:hAnsiTheme="minorEastAsia" w:eastAsiaTheme="minorEastAsia" w:cstheme="minorEastAsia"/>
          <w:szCs w:val="96"/>
        </w:rPr>
        <w:instrText xml:space="preserve"> HYPERLINK \l _Toc257 </w:instrText>
      </w:r>
      <w:r>
        <w:rPr>
          <w:rFonts w:hint="eastAsia" w:asciiTheme="minorEastAsia" w:hAnsiTheme="minorEastAsia" w:eastAsiaTheme="minorEastAsia" w:cstheme="minorEastAsia"/>
          <w:szCs w:val="96"/>
        </w:rPr>
        <w:fldChar w:fldCharType="separate"/>
      </w:r>
      <w:r>
        <w:rPr>
          <w:rFonts w:hint="eastAsia" w:ascii="宋体" w:hAnsi="宋体" w:cs="宋体"/>
        </w:rPr>
        <w:t>三、 响应文件</w:t>
      </w:r>
      <w:r>
        <w:tab/>
      </w:r>
      <w:r>
        <w:fldChar w:fldCharType="begin"/>
      </w:r>
      <w:r>
        <w:instrText xml:space="preserve"> PAGEREF _Toc257 \h </w:instrText>
      </w:r>
      <w:r>
        <w:fldChar w:fldCharType="separate"/>
      </w:r>
      <w:r>
        <w:t>15</w:t>
      </w:r>
      <w:r>
        <w:fldChar w:fldCharType="end"/>
      </w:r>
      <w:r>
        <w:rPr>
          <w:rFonts w:hint="eastAsia" w:asciiTheme="minorEastAsia" w:hAnsiTheme="minorEastAsia" w:eastAsiaTheme="minorEastAsia" w:cstheme="minorEastAsia"/>
          <w:szCs w:val="96"/>
        </w:rPr>
        <w:fldChar w:fldCharType="end"/>
      </w:r>
    </w:p>
    <w:p>
      <w:pPr>
        <w:pStyle w:val="17"/>
        <w:tabs>
          <w:tab w:val="right" w:leader="dot" w:pos="9746"/>
        </w:tabs>
      </w:pPr>
      <w:r>
        <w:rPr>
          <w:rFonts w:hint="eastAsia" w:asciiTheme="minorEastAsia" w:hAnsiTheme="minorEastAsia" w:eastAsiaTheme="minorEastAsia" w:cstheme="minorEastAsia"/>
          <w:szCs w:val="96"/>
        </w:rPr>
        <w:fldChar w:fldCharType="begin"/>
      </w:r>
      <w:r>
        <w:rPr>
          <w:rFonts w:hint="eastAsia" w:asciiTheme="minorEastAsia" w:hAnsiTheme="minorEastAsia" w:eastAsiaTheme="minorEastAsia" w:cstheme="minorEastAsia"/>
          <w:szCs w:val="96"/>
        </w:rPr>
        <w:instrText xml:space="preserve"> HYPERLINK \l _Toc28125 </w:instrText>
      </w:r>
      <w:r>
        <w:rPr>
          <w:rFonts w:hint="eastAsia" w:asciiTheme="minorEastAsia" w:hAnsiTheme="minorEastAsia" w:eastAsiaTheme="minorEastAsia" w:cstheme="minorEastAsia"/>
          <w:szCs w:val="96"/>
        </w:rPr>
        <w:fldChar w:fldCharType="separate"/>
      </w:r>
      <w:r>
        <w:rPr>
          <w:rFonts w:hint="eastAsia" w:ascii="宋体" w:hAnsi="宋体" w:cs="宋体"/>
        </w:rPr>
        <w:t>四、 响应文件的递交</w:t>
      </w:r>
      <w:r>
        <w:tab/>
      </w:r>
      <w:r>
        <w:fldChar w:fldCharType="begin"/>
      </w:r>
      <w:r>
        <w:instrText xml:space="preserve"> PAGEREF _Toc28125 \h </w:instrText>
      </w:r>
      <w:r>
        <w:fldChar w:fldCharType="separate"/>
      </w:r>
      <w:r>
        <w:t>16</w:t>
      </w:r>
      <w:r>
        <w:fldChar w:fldCharType="end"/>
      </w:r>
      <w:r>
        <w:rPr>
          <w:rFonts w:hint="eastAsia" w:asciiTheme="minorEastAsia" w:hAnsiTheme="minorEastAsia" w:eastAsiaTheme="minorEastAsia" w:cstheme="minorEastAsia"/>
          <w:szCs w:val="96"/>
        </w:rPr>
        <w:fldChar w:fldCharType="end"/>
      </w:r>
    </w:p>
    <w:p>
      <w:pPr>
        <w:pStyle w:val="17"/>
        <w:tabs>
          <w:tab w:val="right" w:leader="dot" w:pos="9746"/>
        </w:tabs>
      </w:pPr>
      <w:r>
        <w:rPr>
          <w:rFonts w:hint="eastAsia" w:asciiTheme="minorEastAsia" w:hAnsiTheme="minorEastAsia" w:eastAsiaTheme="minorEastAsia" w:cstheme="minorEastAsia"/>
          <w:szCs w:val="96"/>
        </w:rPr>
        <w:fldChar w:fldCharType="begin"/>
      </w:r>
      <w:r>
        <w:rPr>
          <w:rFonts w:hint="eastAsia" w:asciiTheme="minorEastAsia" w:hAnsiTheme="minorEastAsia" w:eastAsiaTheme="minorEastAsia" w:cstheme="minorEastAsia"/>
          <w:szCs w:val="96"/>
        </w:rPr>
        <w:instrText xml:space="preserve"> HYPERLINK \l _Toc5225 </w:instrText>
      </w:r>
      <w:r>
        <w:rPr>
          <w:rFonts w:hint="eastAsia" w:asciiTheme="minorEastAsia" w:hAnsiTheme="minorEastAsia" w:eastAsiaTheme="minorEastAsia" w:cstheme="minorEastAsia"/>
          <w:szCs w:val="96"/>
        </w:rPr>
        <w:fldChar w:fldCharType="separate"/>
      </w:r>
      <w:r>
        <w:rPr>
          <w:rFonts w:hint="eastAsia" w:ascii="宋体" w:hAnsi="宋体" w:cs="宋体"/>
        </w:rPr>
        <w:t>五、 谈判、评审、定标</w:t>
      </w:r>
      <w:r>
        <w:tab/>
      </w:r>
      <w:r>
        <w:fldChar w:fldCharType="begin"/>
      </w:r>
      <w:r>
        <w:instrText xml:space="preserve"> PAGEREF _Toc5225 \h </w:instrText>
      </w:r>
      <w:r>
        <w:fldChar w:fldCharType="separate"/>
      </w:r>
      <w:r>
        <w:t>16</w:t>
      </w:r>
      <w:r>
        <w:fldChar w:fldCharType="end"/>
      </w:r>
      <w:r>
        <w:rPr>
          <w:rFonts w:hint="eastAsia" w:asciiTheme="minorEastAsia" w:hAnsiTheme="minorEastAsia" w:eastAsiaTheme="minorEastAsia" w:cstheme="minorEastAsia"/>
          <w:szCs w:val="96"/>
        </w:rPr>
        <w:fldChar w:fldCharType="end"/>
      </w:r>
    </w:p>
    <w:p>
      <w:pPr>
        <w:pStyle w:val="17"/>
        <w:tabs>
          <w:tab w:val="right" w:leader="dot" w:pos="9746"/>
        </w:tabs>
      </w:pPr>
      <w:r>
        <w:rPr>
          <w:rFonts w:hint="eastAsia" w:asciiTheme="minorEastAsia" w:hAnsiTheme="minorEastAsia" w:eastAsiaTheme="minorEastAsia" w:cstheme="minorEastAsia"/>
          <w:szCs w:val="96"/>
        </w:rPr>
        <w:fldChar w:fldCharType="begin"/>
      </w:r>
      <w:r>
        <w:rPr>
          <w:rFonts w:hint="eastAsia" w:asciiTheme="minorEastAsia" w:hAnsiTheme="minorEastAsia" w:eastAsiaTheme="minorEastAsia" w:cstheme="minorEastAsia"/>
          <w:szCs w:val="96"/>
        </w:rPr>
        <w:instrText xml:space="preserve"> HYPERLINK \l _Toc32331 </w:instrText>
      </w:r>
      <w:r>
        <w:rPr>
          <w:rFonts w:hint="eastAsia" w:asciiTheme="minorEastAsia" w:hAnsiTheme="minorEastAsia" w:eastAsiaTheme="minorEastAsia" w:cstheme="minorEastAsia"/>
          <w:szCs w:val="96"/>
        </w:rPr>
        <w:fldChar w:fldCharType="separate"/>
      </w:r>
      <w:r>
        <w:rPr>
          <w:rFonts w:hint="eastAsia" w:ascii="宋体" w:hAnsi="宋体" w:cs="宋体"/>
        </w:rPr>
        <w:t>六、 签订合同</w:t>
      </w:r>
      <w:r>
        <w:tab/>
      </w:r>
      <w:r>
        <w:fldChar w:fldCharType="begin"/>
      </w:r>
      <w:r>
        <w:instrText xml:space="preserve"> PAGEREF _Toc32331 \h </w:instrText>
      </w:r>
      <w:r>
        <w:fldChar w:fldCharType="separate"/>
      </w:r>
      <w:r>
        <w:t>19</w:t>
      </w:r>
      <w:r>
        <w:fldChar w:fldCharType="end"/>
      </w:r>
      <w:r>
        <w:rPr>
          <w:rFonts w:hint="eastAsia" w:asciiTheme="minorEastAsia" w:hAnsiTheme="minorEastAsia" w:eastAsiaTheme="minorEastAsia" w:cstheme="minorEastAsia"/>
          <w:szCs w:val="96"/>
        </w:rPr>
        <w:fldChar w:fldCharType="end"/>
      </w:r>
    </w:p>
    <w:p>
      <w:pPr>
        <w:pStyle w:val="17"/>
        <w:tabs>
          <w:tab w:val="right" w:leader="dot" w:pos="9746"/>
        </w:tabs>
      </w:pPr>
      <w:r>
        <w:rPr>
          <w:rFonts w:hint="eastAsia" w:asciiTheme="minorEastAsia" w:hAnsiTheme="minorEastAsia" w:eastAsiaTheme="minorEastAsia" w:cstheme="minorEastAsia"/>
          <w:szCs w:val="96"/>
        </w:rPr>
        <w:fldChar w:fldCharType="begin"/>
      </w:r>
      <w:r>
        <w:rPr>
          <w:rFonts w:hint="eastAsia" w:asciiTheme="minorEastAsia" w:hAnsiTheme="minorEastAsia" w:eastAsiaTheme="minorEastAsia" w:cstheme="minorEastAsia"/>
          <w:szCs w:val="96"/>
        </w:rPr>
        <w:instrText xml:space="preserve"> HYPERLINK \l _Toc14403 </w:instrText>
      </w:r>
      <w:r>
        <w:rPr>
          <w:rFonts w:hint="eastAsia" w:asciiTheme="minorEastAsia" w:hAnsiTheme="minorEastAsia" w:eastAsiaTheme="minorEastAsia" w:cstheme="minorEastAsia"/>
          <w:szCs w:val="96"/>
        </w:rPr>
        <w:fldChar w:fldCharType="separate"/>
      </w:r>
      <w:r>
        <w:rPr>
          <w:rFonts w:hint="eastAsia" w:ascii="宋体" w:hAnsi="宋体" w:cs="宋体"/>
        </w:rPr>
        <w:t>七、 质疑和投诉</w:t>
      </w:r>
      <w:r>
        <w:tab/>
      </w:r>
      <w:r>
        <w:fldChar w:fldCharType="begin"/>
      </w:r>
      <w:r>
        <w:instrText xml:space="preserve"> PAGEREF _Toc14403 \h </w:instrText>
      </w:r>
      <w:r>
        <w:fldChar w:fldCharType="separate"/>
      </w:r>
      <w:r>
        <w:t>20</w:t>
      </w:r>
      <w:r>
        <w:fldChar w:fldCharType="end"/>
      </w:r>
      <w:r>
        <w:rPr>
          <w:rFonts w:hint="eastAsia" w:asciiTheme="minorEastAsia" w:hAnsiTheme="minorEastAsia" w:eastAsiaTheme="minorEastAsia" w:cstheme="minorEastAsia"/>
          <w:szCs w:val="96"/>
        </w:rPr>
        <w:fldChar w:fldCharType="end"/>
      </w:r>
    </w:p>
    <w:p>
      <w:pPr>
        <w:pStyle w:val="16"/>
        <w:tabs>
          <w:tab w:val="right" w:leader="dot" w:pos="9746"/>
        </w:tabs>
      </w:pPr>
      <w:r>
        <w:rPr>
          <w:rFonts w:hint="eastAsia" w:asciiTheme="minorEastAsia" w:hAnsiTheme="minorEastAsia" w:eastAsiaTheme="minorEastAsia" w:cstheme="minorEastAsia"/>
          <w:szCs w:val="96"/>
        </w:rPr>
        <w:fldChar w:fldCharType="begin"/>
      </w:r>
      <w:r>
        <w:rPr>
          <w:rFonts w:hint="eastAsia" w:asciiTheme="minorEastAsia" w:hAnsiTheme="minorEastAsia" w:eastAsiaTheme="minorEastAsia" w:cstheme="minorEastAsia"/>
          <w:szCs w:val="96"/>
        </w:rPr>
        <w:instrText xml:space="preserve"> HYPERLINK \l _Toc13043 </w:instrText>
      </w:r>
      <w:r>
        <w:rPr>
          <w:rFonts w:hint="eastAsia" w:asciiTheme="minorEastAsia" w:hAnsiTheme="minorEastAsia" w:eastAsiaTheme="minorEastAsia" w:cstheme="minorEastAsia"/>
          <w:szCs w:val="96"/>
        </w:rPr>
        <w:fldChar w:fldCharType="separate"/>
      </w:r>
      <w:r>
        <w:rPr>
          <w:rFonts w:hint="eastAsia" w:ascii="宋体" w:hAnsi="宋体" w:cs="宋体"/>
        </w:rPr>
        <w:t>第四部分  评审标准</w:t>
      </w:r>
      <w:r>
        <w:tab/>
      </w:r>
      <w:r>
        <w:fldChar w:fldCharType="begin"/>
      </w:r>
      <w:r>
        <w:instrText xml:space="preserve"> PAGEREF _Toc13043 \h </w:instrText>
      </w:r>
      <w:r>
        <w:fldChar w:fldCharType="separate"/>
      </w:r>
      <w:r>
        <w:t>22</w:t>
      </w:r>
      <w:r>
        <w:fldChar w:fldCharType="end"/>
      </w:r>
      <w:r>
        <w:rPr>
          <w:rFonts w:hint="eastAsia" w:asciiTheme="minorEastAsia" w:hAnsiTheme="minorEastAsia" w:eastAsiaTheme="minorEastAsia" w:cstheme="minorEastAsia"/>
          <w:szCs w:val="96"/>
        </w:rPr>
        <w:fldChar w:fldCharType="end"/>
      </w:r>
    </w:p>
    <w:p>
      <w:pPr>
        <w:pStyle w:val="16"/>
        <w:tabs>
          <w:tab w:val="right" w:leader="dot" w:pos="9746"/>
        </w:tabs>
      </w:pPr>
      <w:r>
        <w:rPr>
          <w:rFonts w:hint="eastAsia" w:asciiTheme="minorEastAsia" w:hAnsiTheme="minorEastAsia" w:eastAsiaTheme="minorEastAsia" w:cstheme="minorEastAsia"/>
          <w:szCs w:val="96"/>
        </w:rPr>
        <w:fldChar w:fldCharType="begin"/>
      </w:r>
      <w:r>
        <w:rPr>
          <w:rFonts w:hint="eastAsia" w:asciiTheme="minorEastAsia" w:hAnsiTheme="minorEastAsia" w:eastAsiaTheme="minorEastAsia" w:cstheme="minorEastAsia"/>
          <w:szCs w:val="96"/>
        </w:rPr>
        <w:instrText xml:space="preserve"> HYPERLINK \l _Toc23240 </w:instrText>
      </w:r>
      <w:r>
        <w:rPr>
          <w:rFonts w:hint="eastAsia" w:asciiTheme="minorEastAsia" w:hAnsiTheme="minorEastAsia" w:eastAsiaTheme="minorEastAsia" w:cstheme="minorEastAsia"/>
          <w:szCs w:val="96"/>
        </w:rPr>
        <w:fldChar w:fldCharType="separate"/>
      </w:r>
      <w:r>
        <w:rPr>
          <w:rFonts w:hint="eastAsia" w:ascii="宋体" w:hAnsi="宋体" w:cs="宋体"/>
          <w:szCs w:val="32"/>
        </w:rPr>
        <w:t xml:space="preserve">第五部分 </w:t>
      </w:r>
      <w:r>
        <w:rPr>
          <w:rFonts w:hint="eastAsia" w:ascii="宋体" w:hAnsi="宋体" w:cs="宋体"/>
        </w:rPr>
        <w:t>采购要求</w:t>
      </w:r>
      <w:r>
        <w:tab/>
      </w:r>
      <w:r>
        <w:fldChar w:fldCharType="begin"/>
      </w:r>
      <w:r>
        <w:instrText xml:space="preserve"> PAGEREF _Toc23240 \h </w:instrText>
      </w:r>
      <w:r>
        <w:fldChar w:fldCharType="separate"/>
      </w:r>
      <w:r>
        <w:t>23</w:t>
      </w:r>
      <w:r>
        <w:fldChar w:fldCharType="end"/>
      </w:r>
      <w:r>
        <w:rPr>
          <w:rFonts w:hint="eastAsia" w:asciiTheme="minorEastAsia" w:hAnsiTheme="minorEastAsia" w:eastAsiaTheme="minorEastAsia" w:cstheme="minorEastAsia"/>
          <w:szCs w:val="96"/>
        </w:rPr>
        <w:fldChar w:fldCharType="end"/>
      </w:r>
    </w:p>
    <w:p>
      <w:pPr>
        <w:pStyle w:val="16"/>
        <w:tabs>
          <w:tab w:val="right" w:leader="dot" w:pos="9746"/>
        </w:tabs>
      </w:pPr>
      <w:r>
        <w:rPr>
          <w:rFonts w:hint="eastAsia" w:asciiTheme="minorEastAsia" w:hAnsiTheme="minorEastAsia" w:eastAsiaTheme="minorEastAsia" w:cstheme="minorEastAsia"/>
          <w:szCs w:val="96"/>
        </w:rPr>
        <w:fldChar w:fldCharType="begin"/>
      </w:r>
      <w:r>
        <w:rPr>
          <w:rFonts w:hint="eastAsia" w:asciiTheme="minorEastAsia" w:hAnsiTheme="minorEastAsia" w:eastAsiaTheme="minorEastAsia" w:cstheme="minorEastAsia"/>
          <w:szCs w:val="96"/>
        </w:rPr>
        <w:instrText xml:space="preserve"> HYPERLINK \l _Toc9864 </w:instrText>
      </w:r>
      <w:r>
        <w:rPr>
          <w:rFonts w:hint="eastAsia" w:asciiTheme="minorEastAsia" w:hAnsiTheme="minorEastAsia" w:eastAsiaTheme="minorEastAsia" w:cstheme="minorEastAsia"/>
          <w:szCs w:val="96"/>
        </w:rPr>
        <w:fldChar w:fldCharType="separate"/>
      </w:r>
      <w:r>
        <w:rPr>
          <w:rFonts w:hint="eastAsia" w:ascii="宋体" w:hAnsi="宋体" w:cs="宋体"/>
          <w:szCs w:val="36"/>
          <w:lang w:eastAsia="zh-CN"/>
        </w:rPr>
        <w:t>第六部分</w:t>
      </w:r>
      <w:r>
        <w:rPr>
          <w:rFonts w:hint="eastAsia" w:ascii="宋体" w:hAnsi="宋体" w:cs="宋体"/>
          <w:szCs w:val="36"/>
          <w:lang w:val="en-US" w:eastAsia="zh-CN"/>
        </w:rPr>
        <w:t xml:space="preserve"> </w:t>
      </w:r>
      <w:r>
        <w:rPr>
          <w:rFonts w:hint="eastAsia" w:ascii="宋体" w:hAnsi="宋体" w:cs="宋体"/>
          <w:szCs w:val="36"/>
        </w:rPr>
        <w:t>合同条款</w:t>
      </w:r>
      <w:r>
        <w:tab/>
      </w:r>
      <w:r>
        <w:fldChar w:fldCharType="begin"/>
      </w:r>
      <w:r>
        <w:instrText xml:space="preserve"> PAGEREF _Toc9864 \h </w:instrText>
      </w:r>
      <w:r>
        <w:fldChar w:fldCharType="separate"/>
      </w:r>
      <w:r>
        <w:t>33</w:t>
      </w:r>
      <w:r>
        <w:fldChar w:fldCharType="end"/>
      </w:r>
      <w:r>
        <w:rPr>
          <w:rFonts w:hint="eastAsia" w:asciiTheme="minorEastAsia" w:hAnsiTheme="minorEastAsia" w:eastAsiaTheme="minorEastAsia" w:cstheme="minorEastAsia"/>
          <w:szCs w:val="96"/>
        </w:rPr>
        <w:fldChar w:fldCharType="end"/>
      </w:r>
    </w:p>
    <w:p>
      <w:pPr>
        <w:pStyle w:val="16"/>
        <w:tabs>
          <w:tab w:val="right" w:leader="dot" w:pos="9746"/>
        </w:tabs>
      </w:pPr>
      <w:r>
        <w:rPr>
          <w:rFonts w:hint="eastAsia" w:asciiTheme="minorEastAsia" w:hAnsiTheme="minorEastAsia" w:eastAsiaTheme="minorEastAsia" w:cstheme="minorEastAsia"/>
          <w:szCs w:val="96"/>
        </w:rPr>
        <w:fldChar w:fldCharType="begin"/>
      </w:r>
      <w:r>
        <w:rPr>
          <w:rFonts w:hint="eastAsia" w:asciiTheme="minorEastAsia" w:hAnsiTheme="minorEastAsia" w:eastAsiaTheme="minorEastAsia" w:cstheme="minorEastAsia"/>
          <w:szCs w:val="96"/>
        </w:rPr>
        <w:instrText xml:space="preserve"> HYPERLINK \l _Toc6334 </w:instrText>
      </w:r>
      <w:r>
        <w:rPr>
          <w:rFonts w:hint="eastAsia" w:asciiTheme="minorEastAsia" w:hAnsiTheme="minorEastAsia" w:eastAsiaTheme="minorEastAsia" w:cstheme="minorEastAsia"/>
          <w:szCs w:val="96"/>
        </w:rPr>
        <w:fldChar w:fldCharType="separate"/>
      </w:r>
      <w:r>
        <w:rPr>
          <w:rFonts w:hint="eastAsia" w:ascii="宋体" w:hAnsi="宋体" w:cs="宋体"/>
        </w:rPr>
        <w:t>第七部分  响应文件格式</w:t>
      </w:r>
      <w:r>
        <w:tab/>
      </w:r>
      <w:r>
        <w:fldChar w:fldCharType="begin"/>
      </w:r>
      <w:r>
        <w:instrText xml:space="preserve"> PAGEREF _Toc6334 \h </w:instrText>
      </w:r>
      <w:r>
        <w:fldChar w:fldCharType="separate"/>
      </w:r>
      <w:r>
        <w:t>37</w:t>
      </w:r>
      <w:r>
        <w:fldChar w:fldCharType="end"/>
      </w:r>
      <w:r>
        <w:rPr>
          <w:rFonts w:hint="eastAsia" w:asciiTheme="minorEastAsia" w:hAnsiTheme="minorEastAsia" w:eastAsiaTheme="minorEastAsia" w:cstheme="minorEastAsia"/>
          <w:szCs w:val="96"/>
        </w:rPr>
        <w:fldChar w:fldCharType="end"/>
      </w:r>
    </w:p>
    <w:p>
      <w:pPr>
        <w:pStyle w:val="17"/>
        <w:tabs>
          <w:tab w:val="right" w:leader="dot" w:pos="9746"/>
        </w:tabs>
      </w:pPr>
      <w:r>
        <w:rPr>
          <w:rFonts w:hint="eastAsia" w:asciiTheme="minorEastAsia" w:hAnsiTheme="minorEastAsia" w:eastAsiaTheme="minorEastAsia" w:cstheme="minorEastAsia"/>
          <w:szCs w:val="96"/>
        </w:rPr>
        <w:fldChar w:fldCharType="begin"/>
      </w:r>
      <w:r>
        <w:rPr>
          <w:rFonts w:hint="eastAsia" w:asciiTheme="minorEastAsia" w:hAnsiTheme="minorEastAsia" w:eastAsiaTheme="minorEastAsia" w:cstheme="minorEastAsia"/>
          <w:szCs w:val="96"/>
        </w:rPr>
        <w:instrText xml:space="preserve"> HYPERLINK \l _Toc29805 </w:instrText>
      </w:r>
      <w:r>
        <w:rPr>
          <w:rFonts w:hint="eastAsia" w:asciiTheme="minorEastAsia" w:hAnsiTheme="minorEastAsia" w:eastAsiaTheme="minorEastAsia" w:cstheme="minorEastAsia"/>
          <w:szCs w:val="96"/>
        </w:rPr>
        <w:fldChar w:fldCharType="separate"/>
      </w:r>
      <w:r>
        <w:rPr>
          <w:rFonts w:hint="eastAsia" w:ascii="宋体" w:hAnsi="宋体" w:cs="宋体"/>
        </w:rPr>
        <w:t>第一部分响应函</w:t>
      </w:r>
      <w:r>
        <w:tab/>
      </w:r>
      <w:r>
        <w:fldChar w:fldCharType="begin"/>
      </w:r>
      <w:r>
        <w:instrText xml:space="preserve"> PAGEREF _Toc29805 \h </w:instrText>
      </w:r>
      <w:r>
        <w:fldChar w:fldCharType="separate"/>
      </w:r>
      <w:r>
        <w:t>39</w:t>
      </w:r>
      <w:r>
        <w:fldChar w:fldCharType="end"/>
      </w:r>
      <w:r>
        <w:rPr>
          <w:rFonts w:hint="eastAsia" w:asciiTheme="minorEastAsia" w:hAnsiTheme="minorEastAsia" w:eastAsiaTheme="minorEastAsia" w:cstheme="minorEastAsia"/>
          <w:szCs w:val="96"/>
        </w:rPr>
        <w:fldChar w:fldCharType="end"/>
      </w:r>
    </w:p>
    <w:p>
      <w:pPr>
        <w:pStyle w:val="17"/>
        <w:tabs>
          <w:tab w:val="right" w:leader="dot" w:pos="9746"/>
        </w:tabs>
      </w:pPr>
      <w:r>
        <w:rPr>
          <w:rFonts w:hint="eastAsia" w:asciiTheme="minorEastAsia" w:hAnsiTheme="minorEastAsia" w:eastAsiaTheme="minorEastAsia" w:cstheme="minorEastAsia"/>
          <w:szCs w:val="96"/>
        </w:rPr>
        <w:fldChar w:fldCharType="begin"/>
      </w:r>
      <w:r>
        <w:rPr>
          <w:rFonts w:hint="eastAsia" w:asciiTheme="minorEastAsia" w:hAnsiTheme="minorEastAsia" w:eastAsiaTheme="minorEastAsia" w:cstheme="minorEastAsia"/>
          <w:szCs w:val="96"/>
        </w:rPr>
        <w:instrText xml:space="preserve"> HYPERLINK \l _Toc8708 </w:instrText>
      </w:r>
      <w:r>
        <w:rPr>
          <w:rFonts w:hint="eastAsia" w:asciiTheme="minorEastAsia" w:hAnsiTheme="minorEastAsia" w:eastAsiaTheme="minorEastAsia" w:cstheme="minorEastAsia"/>
          <w:szCs w:val="96"/>
        </w:rPr>
        <w:fldChar w:fldCharType="separate"/>
      </w:r>
      <w:r>
        <w:rPr>
          <w:rFonts w:hint="eastAsia" w:ascii="宋体" w:hAnsi="宋体" w:cs="宋体"/>
        </w:rPr>
        <w:t>第二部分响应一览表</w:t>
      </w:r>
      <w:r>
        <w:tab/>
      </w:r>
      <w:r>
        <w:fldChar w:fldCharType="begin"/>
      </w:r>
      <w:r>
        <w:instrText xml:space="preserve"> PAGEREF _Toc8708 \h </w:instrText>
      </w:r>
      <w:r>
        <w:fldChar w:fldCharType="separate"/>
      </w:r>
      <w:r>
        <w:t>40</w:t>
      </w:r>
      <w:r>
        <w:fldChar w:fldCharType="end"/>
      </w:r>
      <w:r>
        <w:rPr>
          <w:rFonts w:hint="eastAsia" w:asciiTheme="minorEastAsia" w:hAnsiTheme="minorEastAsia" w:eastAsiaTheme="minorEastAsia" w:cstheme="minorEastAsia"/>
          <w:szCs w:val="96"/>
        </w:rPr>
        <w:fldChar w:fldCharType="end"/>
      </w:r>
    </w:p>
    <w:p>
      <w:pPr>
        <w:pStyle w:val="17"/>
        <w:tabs>
          <w:tab w:val="right" w:leader="dot" w:pos="9746"/>
        </w:tabs>
      </w:pPr>
      <w:r>
        <w:rPr>
          <w:rFonts w:hint="eastAsia" w:asciiTheme="minorEastAsia" w:hAnsiTheme="minorEastAsia" w:eastAsiaTheme="minorEastAsia" w:cstheme="minorEastAsia"/>
          <w:szCs w:val="96"/>
        </w:rPr>
        <w:fldChar w:fldCharType="begin"/>
      </w:r>
      <w:r>
        <w:rPr>
          <w:rFonts w:hint="eastAsia" w:asciiTheme="minorEastAsia" w:hAnsiTheme="minorEastAsia" w:eastAsiaTheme="minorEastAsia" w:cstheme="minorEastAsia"/>
          <w:szCs w:val="96"/>
        </w:rPr>
        <w:instrText xml:space="preserve"> HYPERLINK \l _Toc7242 </w:instrText>
      </w:r>
      <w:r>
        <w:rPr>
          <w:rFonts w:hint="eastAsia" w:asciiTheme="minorEastAsia" w:hAnsiTheme="minorEastAsia" w:eastAsiaTheme="minorEastAsia" w:cstheme="minorEastAsia"/>
          <w:szCs w:val="96"/>
        </w:rPr>
        <w:fldChar w:fldCharType="separate"/>
      </w:r>
      <w:r>
        <w:rPr>
          <w:rFonts w:hint="eastAsia"/>
          <w:szCs w:val="36"/>
        </w:rPr>
        <w:t>分项报价表</w:t>
      </w:r>
      <w:r>
        <w:tab/>
      </w:r>
      <w:r>
        <w:fldChar w:fldCharType="begin"/>
      </w:r>
      <w:r>
        <w:instrText xml:space="preserve"> PAGEREF _Toc7242 \h </w:instrText>
      </w:r>
      <w:r>
        <w:fldChar w:fldCharType="separate"/>
      </w:r>
      <w:r>
        <w:t>41</w:t>
      </w:r>
      <w:r>
        <w:fldChar w:fldCharType="end"/>
      </w:r>
      <w:r>
        <w:rPr>
          <w:rFonts w:hint="eastAsia" w:asciiTheme="minorEastAsia" w:hAnsiTheme="minorEastAsia" w:eastAsiaTheme="minorEastAsia" w:cstheme="minorEastAsia"/>
          <w:szCs w:val="96"/>
        </w:rPr>
        <w:fldChar w:fldCharType="end"/>
      </w:r>
    </w:p>
    <w:p>
      <w:pPr>
        <w:pStyle w:val="17"/>
        <w:tabs>
          <w:tab w:val="right" w:leader="dot" w:pos="9746"/>
        </w:tabs>
      </w:pPr>
      <w:r>
        <w:rPr>
          <w:rFonts w:hint="eastAsia" w:asciiTheme="minorEastAsia" w:hAnsiTheme="minorEastAsia" w:eastAsiaTheme="minorEastAsia" w:cstheme="minorEastAsia"/>
          <w:szCs w:val="96"/>
        </w:rPr>
        <w:fldChar w:fldCharType="begin"/>
      </w:r>
      <w:r>
        <w:rPr>
          <w:rFonts w:hint="eastAsia" w:asciiTheme="minorEastAsia" w:hAnsiTheme="minorEastAsia" w:eastAsiaTheme="minorEastAsia" w:cstheme="minorEastAsia"/>
          <w:szCs w:val="96"/>
        </w:rPr>
        <w:instrText xml:space="preserve"> HYPERLINK \l _Toc18887 </w:instrText>
      </w:r>
      <w:r>
        <w:rPr>
          <w:rFonts w:hint="eastAsia" w:asciiTheme="minorEastAsia" w:hAnsiTheme="minorEastAsia" w:eastAsiaTheme="minorEastAsia" w:cstheme="minorEastAsia"/>
          <w:szCs w:val="96"/>
        </w:rPr>
        <w:fldChar w:fldCharType="separate"/>
      </w:r>
      <w:r>
        <w:rPr>
          <w:rFonts w:hint="eastAsia" w:ascii="宋体" w:hAnsi="宋体" w:cs="宋体"/>
        </w:rPr>
        <w:t>第三部分 商务及技术响应说明</w:t>
      </w:r>
      <w:r>
        <w:tab/>
      </w:r>
      <w:r>
        <w:fldChar w:fldCharType="begin"/>
      </w:r>
      <w:r>
        <w:instrText xml:space="preserve"> PAGEREF _Toc18887 \h </w:instrText>
      </w:r>
      <w:r>
        <w:fldChar w:fldCharType="separate"/>
      </w:r>
      <w:r>
        <w:t>42</w:t>
      </w:r>
      <w:r>
        <w:fldChar w:fldCharType="end"/>
      </w:r>
      <w:r>
        <w:rPr>
          <w:rFonts w:hint="eastAsia" w:asciiTheme="minorEastAsia" w:hAnsiTheme="minorEastAsia" w:eastAsiaTheme="minorEastAsia" w:cstheme="minorEastAsia"/>
          <w:szCs w:val="96"/>
        </w:rPr>
        <w:fldChar w:fldCharType="end"/>
      </w:r>
    </w:p>
    <w:p>
      <w:pPr>
        <w:pStyle w:val="17"/>
        <w:tabs>
          <w:tab w:val="right" w:leader="dot" w:pos="9746"/>
        </w:tabs>
      </w:pPr>
      <w:r>
        <w:rPr>
          <w:rFonts w:hint="eastAsia" w:asciiTheme="minorEastAsia" w:hAnsiTheme="minorEastAsia" w:eastAsiaTheme="minorEastAsia" w:cstheme="minorEastAsia"/>
          <w:szCs w:val="96"/>
        </w:rPr>
        <w:fldChar w:fldCharType="begin"/>
      </w:r>
      <w:r>
        <w:rPr>
          <w:rFonts w:hint="eastAsia" w:asciiTheme="minorEastAsia" w:hAnsiTheme="minorEastAsia" w:eastAsiaTheme="minorEastAsia" w:cstheme="minorEastAsia"/>
          <w:szCs w:val="96"/>
        </w:rPr>
        <w:instrText xml:space="preserve"> HYPERLINK \l _Toc15377 </w:instrText>
      </w:r>
      <w:r>
        <w:rPr>
          <w:rFonts w:hint="eastAsia" w:asciiTheme="minorEastAsia" w:hAnsiTheme="minorEastAsia" w:eastAsiaTheme="minorEastAsia" w:cstheme="minorEastAsia"/>
          <w:szCs w:val="96"/>
        </w:rPr>
        <w:fldChar w:fldCharType="separate"/>
      </w:r>
      <w:r>
        <w:rPr>
          <w:rFonts w:hint="eastAsia" w:ascii="宋体" w:hAnsi="宋体" w:cs="宋体"/>
        </w:rPr>
        <w:t>第四部分 供应商资格要求</w:t>
      </w:r>
      <w:r>
        <w:tab/>
      </w:r>
      <w:r>
        <w:fldChar w:fldCharType="begin"/>
      </w:r>
      <w:r>
        <w:instrText xml:space="preserve"> PAGEREF _Toc15377 \h </w:instrText>
      </w:r>
      <w:r>
        <w:fldChar w:fldCharType="separate"/>
      </w:r>
      <w:r>
        <w:t>44</w:t>
      </w:r>
      <w:r>
        <w:fldChar w:fldCharType="end"/>
      </w:r>
      <w:r>
        <w:rPr>
          <w:rFonts w:hint="eastAsia" w:asciiTheme="minorEastAsia" w:hAnsiTheme="minorEastAsia" w:eastAsiaTheme="minorEastAsia" w:cstheme="minorEastAsia"/>
          <w:szCs w:val="96"/>
        </w:rPr>
        <w:fldChar w:fldCharType="end"/>
      </w:r>
    </w:p>
    <w:p>
      <w:pPr>
        <w:pStyle w:val="17"/>
        <w:tabs>
          <w:tab w:val="right" w:leader="dot" w:pos="9746"/>
        </w:tabs>
      </w:pPr>
      <w:r>
        <w:rPr>
          <w:rFonts w:hint="eastAsia" w:asciiTheme="minorEastAsia" w:hAnsiTheme="minorEastAsia" w:eastAsiaTheme="minorEastAsia" w:cstheme="minorEastAsia"/>
          <w:szCs w:val="96"/>
        </w:rPr>
        <w:fldChar w:fldCharType="begin"/>
      </w:r>
      <w:r>
        <w:rPr>
          <w:rFonts w:hint="eastAsia" w:asciiTheme="minorEastAsia" w:hAnsiTheme="minorEastAsia" w:eastAsiaTheme="minorEastAsia" w:cstheme="minorEastAsia"/>
          <w:szCs w:val="96"/>
        </w:rPr>
        <w:instrText xml:space="preserve"> HYPERLINK \l _Toc17891 </w:instrText>
      </w:r>
      <w:r>
        <w:rPr>
          <w:rFonts w:hint="eastAsia" w:asciiTheme="minorEastAsia" w:hAnsiTheme="minorEastAsia" w:eastAsiaTheme="minorEastAsia" w:cstheme="minorEastAsia"/>
          <w:szCs w:val="96"/>
        </w:rPr>
        <w:fldChar w:fldCharType="separate"/>
      </w:r>
      <w:r>
        <w:rPr>
          <w:rFonts w:hint="eastAsia" w:ascii="宋体" w:hAnsi="宋体" w:cs="宋体"/>
          <w:szCs w:val="36"/>
        </w:rPr>
        <w:t>第五部分 技术与服务方案</w:t>
      </w:r>
      <w:r>
        <w:tab/>
      </w:r>
      <w:r>
        <w:fldChar w:fldCharType="begin"/>
      </w:r>
      <w:r>
        <w:instrText xml:space="preserve"> PAGEREF _Toc17891 \h </w:instrText>
      </w:r>
      <w:r>
        <w:fldChar w:fldCharType="separate"/>
      </w:r>
      <w:r>
        <w:t>53</w:t>
      </w:r>
      <w:r>
        <w:fldChar w:fldCharType="end"/>
      </w:r>
      <w:r>
        <w:rPr>
          <w:rFonts w:hint="eastAsia" w:asciiTheme="minorEastAsia" w:hAnsiTheme="minorEastAsia" w:eastAsiaTheme="minorEastAsia" w:cstheme="minorEastAsia"/>
          <w:szCs w:val="96"/>
        </w:rPr>
        <w:fldChar w:fldCharType="end"/>
      </w:r>
    </w:p>
    <w:p>
      <w:pPr>
        <w:pStyle w:val="17"/>
        <w:tabs>
          <w:tab w:val="right" w:leader="dot" w:pos="9746"/>
        </w:tabs>
      </w:pPr>
      <w:r>
        <w:rPr>
          <w:rFonts w:hint="eastAsia" w:asciiTheme="minorEastAsia" w:hAnsiTheme="minorEastAsia" w:eastAsiaTheme="minorEastAsia" w:cstheme="minorEastAsia"/>
          <w:szCs w:val="96"/>
        </w:rPr>
        <w:fldChar w:fldCharType="begin"/>
      </w:r>
      <w:r>
        <w:rPr>
          <w:rFonts w:hint="eastAsia" w:asciiTheme="minorEastAsia" w:hAnsiTheme="minorEastAsia" w:eastAsiaTheme="minorEastAsia" w:cstheme="minorEastAsia"/>
          <w:szCs w:val="96"/>
        </w:rPr>
        <w:instrText xml:space="preserve"> HYPERLINK \l _Toc21385 </w:instrText>
      </w:r>
      <w:r>
        <w:rPr>
          <w:rFonts w:hint="eastAsia" w:asciiTheme="minorEastAsia" w:hAnsiTheme="minorEastAsia" w:eastAsiaTheme="minorEastAsia" w:cstheme="minorEastAsia"/>
          <w:szCs w:val="96"/>
        </w:rPr>
        <w:fldChar w:fldCharType="separate"/>
      </w:r>
      <w:r>
        <w:rPr>
          <w:rFonts w:hint="eastAsia" w:ascii="宋体" w:hAnsi="宋体" w:cs="宋体"/>
          <w:szCs w:val="36"/>
        </w:rPr>
        <w:t>第六部分 服务承诺</w:t>
      </w:r>
      <w:r>
        <w:tab/>
      </w:r>
      <w:r>
        <w:fldChar w:fldCharType="begin"/>
      </w:r>
      <w:r>
        <w:instrText xml:space="preserve"> PAGEREF _Toc21385 \h </w:instrText>
      </w:r>
      <w:r>
        <w:fldChar w:fldCharType="separate"/>
      </w:r>
      <w:r>
        <w:t>54</w:t>
      </w:r>
      <w:r>
        <w:fldChar w:fldCharType="end"/>
      </w:r>
      <w:r>
        <w:rPr>
          <w:rFonts w:hint="eastAsia" w:asciiTheme="minorEastAsia" w:hAnsiTheme="minorEastAsia" w:eastAsiaTheme="minorEastAsia" w:cstheme="minorEastAsia"/>
          <w:szCs w:val="96"/>
        </w:rPr>
        <w:fldChar w:fldCharType="end"/>
      </w:r>
    </w:p>
    <w:p>
      <w:pPr>
        <w:pStyle w:val="17"/>
        <w:tabs>
          <w:tab w:val="right" w:leader="dot" w:pos="9746"/>
        </w:tabs>
      </w:pPr>
      <w:r>
        <w:rPr>
          <w:rFonts w:hint="eastAsia" w:asciiTheme="minorEastAsia" w:hAnsiTheme="minorEastAsia" w:eastAsiaTheme="minorEastAsia" w:cstheme="minorEastAsia"/>
          <w:szCs w:val="96"/>
        </w:rPr>
        <w:fldChar w:fldCharType="begin"/>
      </w:r>
      <w:r>
        <w:rPr>
          <w:rFonts w:hint="eastAsia" w:asciiTheme="minorEastAsia" w:hAnsiTheme="minorEastAsia" w:eastAsiaTheme="minorEastAsia" w:cstheme="minorEastAsia"/>
          <w:szCs w:val="96"/>
        </w:rPr>
        <w:instrText xml:space="preserve"> HYPERLINK \l _Toc438 </w:instrText>
      </w:r>
      <w:r>
        <w:rPr>
          <w:rFonts w:hint="eastAsia" w:asciiTheme="minorEastAsia" w:hAnsiTheme="minorEastAsia" w:eastAsiaTheme="minorEastAsia" w:cstheme="minorEastAsia"/>
          <w:szCs w:val="96"/>
        </w:rPr>
        <w:fldChar w:fldCharType="separate"/>
      </w:r>
      <w:r>
        <w:rPr>
          <w:rFonts w:hint="eastAsia" w:ascii="宋体" w:hAnsi="宋体" w:eastAsia="宋体" w:cs="宋体"/>
        </w:rPr>
        <w:t>第七部分 供应商认为有必要说明的其他问题</w:t>
      </w:r>
      <w:r>
        <w:tab/>
      </w:r>
      <w:r>
        <w:fldChar w:fldCharType="begin"/>
      </w:r>
      <w:r>
        <w:instrText xml:space="preserve"> PAGEREF _Toc438 \h </w:instrText>
      </w:r>
      <w:r>
        <w:fldChar w:fldCharType="separate"/>
      </w:r>
      <w:r>
        <w:t>55</w:t>
      </w:r>
      <w:r>
        <w:fldChar w:fldCharType="end"/>
      </w:r>
      <w:r>
        <w:rPr>
          <w:rFonts w:hint="eastAsia" w:asciiTheme="minorEastAsia" w:hAnsiTheme="minorEastAsia" w:eastAsiaTheme="minorEastAsia" w:cstheme="minorEastAsia"/>
          <w:szCs w:val="96"/>
        </w:rPr>
        <w:fldChar w:fldCharType="end"/>
      </w:r>
    </w:p>
    <w:p>
      <w:pPr>
        <w:pStyle w:val="17"/>
        <w:tabs>
          <w:tab w:val="right" w:leader="dot" w:pos="9746"/>
        </w:tabs>
      </w:pPr>
      <w:r>
        <w:rPr>
          <w:rFonts w:hint="eastAsia" w:asciiTheme="minorEastAsia" w:hAnsiTheme="minorEastAsia" w:eastAsiaTheme="minorEastAsia" w:cstheme="minorEastAsia"/>
          <w:szCs w:val="96"/>
        </w:rPr>
        <w:fldChar w:fldCharType="begin"/>
      </w:r>
      <w:r>
        <w:rPr>
          <w:rFonts w:hint="eastAsia" w:asciiTheme="minorEastAsia" w:hAnsiTheme="minorEastAsia" w:eastAsiaTheme="minorEastAsia" w:cstheme="minorEastAsia"/>
          <w:szCs w:val="96"/>
        </w:rPr>
        <w:instrText xml:space="preserve"> HYPERLINK \l _Toc10372 </w:instrText>
      </w:r>
      <w:r>
        <w:rPr>
          <w:rFonts w:hint="eastAsia" w:asciiTheme="minorEastAsia" w:hAnsiTheme="minorEastAsia" w:eastAsiaTheme="minorEastAsia" w:cstheme="minorEastAsia"/>
          <w:szCs w:val="96"/>
        </w:rPr>
        <w:fldChar w:fldCharType="separate"/>
      </w:r>
      <w:r>
        <w:rPr>
          <w:rFonts w:hint="eastAsia" w:ascii="宋体" w:hAnsi="宋体" w:cs="宋体"/>
        </w:rPr>
        <w:t>附件一、封袋正面标识式样</w:t>
      </w:r>
      <w:r>
        <w:tab/>
      </w:r>
      <w:r>
        <w:fldChar w:fldCharType="begin"/>
      </w:r>
      <w:r>
        <w:instrText xml:space="preserve"> PAGEREF _Toc10372 \h </w:instrText>
      </w:r>
      <w:r>
        <w:fldChar w:fldCharType="separate"/>
      </w:r>
      <w:r>
        <w:t>56</w:t>
      </w:r>
      <w:r>
        <w:fldChar w:fldCharType="end"/>
      </w:r>
      <w:r>
        <w:rPr>
          <w:rFonts w:hint="eastAsia" w:asciiTheme="minorEastAsia" w:hAnsiTheme="minorEastAsia" w:eastAsiaTheme="minorEastAsia" w:cstheme="minorEastAsia"/>
          <w:szCs w:val="96"/>
        </w:rPr>
        <w:fldChar w:fldCharType="end"/>
      </w:r>
    </w:p>
    <w:p>
      <w:pPr>
        <w:pStyle w:val="17"/>
        <w:tabs>
          <w:tab w:val="right" w:leader="dot" w:pos="9746"/>
        </w:tabs>
      </w:pPr>
      <w:r>
        <w:rPr>
          <w:rFonts w:hint="eastAsia" w:asciiTheme="minorEastAsia" w:hAnsiTheme="minorEastAsia" w:eastAsiaTheme="minorEastAsia" w:cstheme="minorEastAsia"/>
          <w:szCs w:val="96"/>
        </w:rPr>
        <w:fldChar w:fldCharType="begin"/>
      </w:r>
      <w:r>
        <w:rPr>
          <w:rFonts w:hint="eastAsia" w:asciiTheme="minorEastAsia" w:hAnsiTheme="minorEastAsia" w:eastAsiaTheme="minorEastAsia" w:cstheme="minorEastAsia"/>
          <w:szCs w:val="96"/>
        </w:rPr>
        <w:instrText xml:space="preserve"> HYPERLINK \l _Toc15368 </w:instrText>
      </w:r>
      <w:r>
        <w:rPr>
          <w:rFonts w:hint="eastAsia" w:asciiTheme="minorEastAsia" w:hAnsiTheme="minorEastAsia" w:eastAsiaTheme="minorEastAsia" w:cstheme="minorEastAsia"/>
          <w:szCs w:val="96"/>
        </w:rPr>
        <w:fldChar w:fldCharType="separate"/>
      </w:r>
      <w:r>
        <w:rPr>
          <w:rFonts w:hint="eastAsia" w:ascii="宋体" w:hAnsi="宋体" w:cs="宋体"/>
        </w:rPr>
        <w:t>附件二、中小企业</w:t>
      </w:r>
      <w:r>
        <w:rPr>
          <w:rFonts w:hint="eastAsia" w:ascii="宋体" w:hAnsi="宋体" w:cs="宋体"/>
          <w:lang w:val="en-US" w:eastAsia="zh-CN"/>
        </w:rPr>
        <w:t>声明函</w:t>
      </w:r>
      <w:r>
        <w:rPr>
          <w:rFonts w:hint="eastAsia" w:ascii="宋体" w:hAnsi="宋体" w:cs="宋体"/>
        </w:rPr>
        <w:t>（</w:t>
      </w:r>
      <w:r>
        <w:rPr>
          <w:rFonts w:hint="eastAsia" w:ascii="宋体" w:hAnsi="宋体" w:cs="宋体"/>
          <w:lang w:val="en-US" w:eastAsia="zh-CN"/>
        </w:rPr>
        <w:t>货物</w:t>
      </w:r>
      <w:r>
        <w:rPr>
          <w:rFonts w:hint="eastAsia" w:ascii="宋体" w:hAnsi="宋体" w:cs="宋体"/>
        </w:rPr>
        <w:t>）</w:t>
      </w:r>
      <w:r>
        <w:tab/>
      </w:r>
      <w:r>
        <w:fldChar w:fldCharType="begin"/>
      </w:r>
      <w:r>
        <w:instrText xml:space="preserve"> PAGEREF _Toc15368 \h </w:instrText>
      </w:r>
      <w:r>
        <w:fldChar w:fldCharType="separate"/>
      </w:r>
      <w:r>
        <w:t>58</w:t>
      </w:r>
      <w:r>
        <w:fldChar w:fldCharType="end"/>
      </w:r>
      <w:r>
        <w:rPr>
          <w:rFonts w:hint="eastAsia" w:asciiTheme="minorEastAsia" w:hAnsiTheme="minorEastAsia" w:eastAsiaTheme="minorEastAsia" w:cstheme="minorEastAsia"/>
          <w:szCs w:val="96"/>
        </w:rPr>
        <w:fldChar w:fldCharType="end"/>
      </w:r>
    </w:p>
    <w:p>
      <w:pPr>
        <w:pStyle w:val="17"/>
        <w:tabs>
          <w:tab w:val="right" w:leader="dot" w:pos="9746"/>
        </w:tabs>
      </w:pPr>
      <w:r>
        <w:rPr>
          <w:rFonts w:hint="eastAsia" w:asciiTheme="minorEastAsia" w:hAnsiTheme="minorEastAsia" w:eastAsiaTheme="minorEastAsia" w:cstheme="minorEastAsia"/>
          <w:szCs w:val="96"/>
        </w:rPr>
        <w:fldChar w:fldCharType="begin"/>
      </w:r>
      <w:r>
        <w:rPr>
          <w:rFonts w:hint="eastAsia" w:asciiTheme="minorEastAsia" w:hAnsiTheme="minorEastAsia" w:eastAsiaTheme="minorEastAsia" w:cstheme="minorEastAsia"/>
          <w:szCs w:val="96"/>
        </w:rPr>
        <w:instrText xml:space="preserve"> HYPERLINK \l _Toc21987 </w:instrText>
      </w:r>
      <w:r>
        <w:rPr>
          <w:rFonts w:hint="eastAsia" w:asciiTheme="minorEastAsia" w:hAnsiTheme="minorEastAsia" w:eastAsiaTheme="minorEastAsia" w:cstheme="minorEastAsia"/>
          <w:szCs w:val="96"/>
        </w:rPr>
        <w:fldChar w:fldCharType="separate"/>
      </w:r>
      <w:r>
        <w:rPr>
          <w:rFonts w:hint="eastAsia" w:ascii="宋体" w:hAnsi="宋体" w:cs="宋体"/>
        </w:rPr>
        <w:t>附件三、残疾人福利性单位声明</w:t>
      </w:r>
      <w:r>
        <w:tab/>
      </w:r>
      <w:r>
        <w:fldChar w:fldCharType="begin"/>
      </w:r>
      <w:r>
        <w:instrText xml:space="preserve"> PAGEREF _Toc21987 \h </w:instrText>
      </w:r>
      <w:r>
        <w:fldChar w:fldCharType="separate"/>
      </w:r>
      <w:r>
        <w:t>62</w:t>
      </w:r>
      <w:r>
        <w:fldChar w:fldCharType="end"/>
      </w:r>
      <w:r>
        <w:rPr>
          <w:rFonts w:hint="eastAsia" w:asciiTheme="minorEastAsia" w:hAnsiTheme="minorEastAsia" w:eastAsiaTheme="minorEastAsia" w:cstheme="minorEastAsia"/>
          <w:szCs w:val="96"/>
        </w:rPr>
        <w:fldChar w:fldCharType="end"/>
      </w:r>
    </w:p>
    <w:p>
      <w:pPr>
        <w:pStyle w:val="17"/>
        <w:tabs>
          <w:tab w:val="right" w:leader="dot" w:pos="9746"/>
        </w:tabs>
      </w:pPr>
      <w:r>
        <w:rPr>
          <w:rFonts w:hint="eastAsia" w:asciiTheme="minorEastAsia" w:hAnsiTheme="minorEastAsia" w:eastAsiaTheme="minorEastAsia" w:cstheme="minorEastAsia"/>
          <w:szCs w:val="96"/>
        </w:rPr>
        <w:fldChar w:fldCharType="begin"/>
      </w:r>
      <w:r>
        <w:rPr>
          <w:rFonts w:hint="eastAsia" w:asciiTheme="minorEastAsia" w:hAnsiTheme="minorEastAsia" w:eastAsiaTheme="minorEastAsia" w:cstheme="minorEastAsia"/>
          <w:szCs w:val="96"/>
        </w:rPr>
        <w:instrText xml:space="preserve"> HYPERLINK \l _Toc1674 </w:instrText>
      </w:r>
      <w:r>
        <w:rPr>
          <w:rFonts w:hint="eastAsia" w:asciiTheme="minorEastAsia" w:hAnsiTheme="minorEastAsia" w:eastAsiaTheme="minorEastAsia" w:cstheme="minorEastAsia"/>
          <w:szCs w:val="96"/>
        </w:rPr>
        <w:fldChar w:fldCharType="separate"/>
      </w:r>
      <w:r>
        <w:rPr>
          <w:rFonts w:hint="eastAsia" w:ascii="宋体" w:hAnsi="宋体" w:cs="宋体"/>
        </w:rPr>
        <w:t>附件四、监狱企业证明文件</w:t>
      </w:r>
      <w:r>
        <w:tab/>
      </w:r>
      <w:r>
        <w:fldChar w:fldCharType="begin"/>
      </w:r>
      <w:r>
        <w:instrText xml:space="preserve"> PAGEREF _Toc1674 \h </w:instrText>
      </w:r>
      <w:r>
        <w:fldChar w:fldCharType="separate"/>
      </w:r>
      <w:r>
        <w:t>62</w:t>
      </w:r>
      <w:r>
        <w:fldChar w:fldCharType="end"/>
      </w:r>
      <w:r>
        <w:rPr>
          <w:rFonts w:hint="eastAsia" w:asciiTheme="minorEastAsia" w:hAnsiTheme="minorEastAsia" w:eastAsiaTheme="minorEastAsia" w:cstheme="minorEastAsia"/>
          <w:szCs w:val="96"/>
        </w:rPr>
        <w:fldChar w:fldCharType="end"/>
      </w:r>
    </w:p>
    <w:p>
      <w:pPr>
        <w:pStyle w:val="17"/>
        <w:tabs>
          <w:tab w:val="right" w:leader="dot" w:pos="9746"/>
        </w:tabs>
      </w:pPr>
      <w:r>
        <w:rPr>
          <w:rFonts w:hint="eastAsia" w:asciiTheme="minorEastAsia" w:hAnsiTheme="minorEastAsia" w:eastAsiaTheme="minorEastAsia" w:cstheme="minorEastAsia"/>
          <w:szCs w:val="96"/>
        </w:rPr>
        <w:fldChar w:fldCharType="begin"/>
      </w:r>
      <w:r>
        <w:rPr>
          <w:rFonts w:hint="eastAsia" w:asciiTheme="minorEastAsia" w:hAnsiTheme="minorEastAsia" w:eastAsiaTheme="minorEastAsia" w:cstheme="minorEastAsia"/>
          <w:szCs w:val="96"/>
        </w:rPr>
        <w:instrText xml:space="preserve"> HYPERLINK \l _Toc18334 </w:instrText>
      </w:r>
      <w:r>
        <w:rPr>
          <w:rFonts w:hint="eastAsia" w:asciiTheme="minorEastAsia" w:hAnsiTheme="minorEastAsia" w:eastAsiaTheme="minorEastAsia" w:cstheme="minorEastAsia"/>
          <w:szCs w:val="96"/>
        </w:rPr>
        <w:fldChar w:fldCharType="separate"/>
      </w:r>
      <w:r>
        <w:rPr>
          <w:rFonts w:hint="eastAsia" w:ascii="宋体" w:hAnsi="宋体" w:cs="宋体"/>
        </w:rPr>
        <w:t>附件五、“节能产品”，“环境标志产品”证明材料</w:t>
      </w:r>
      <w:r>
        <w:tab/>
      </w:r>
      <w:r>
        <w:fldChar w:fldCharType="begin"/>
      </w:r>
      <w:r>
        <w:instrText xml:space="preserve"> PAGEREF _Toc18334 \h </w:instrText>
      </w:r>
      <w:r>
        <w:fldChar w:fldCharType="separate"/>
      </w:r>
      <w:r>
        <w:t>62</w:t>
      </w:r>
      <w:r>
        <w:fldChar w:fldCharType="end"/>
      </w:r>
      <w:r>
        <w:rPr>
          <w:rFonts w:hint="eastAsia" w:asciiTheme="minorEastAsia" w:hAnsiTheme="minorEastAsia" w:eastAsiaTheme="minorEastAsia" w:cstheme="minorEastAsia"/>
          <w:szCs w:val="96"/>
        </w:rPr>
        <w:fldChar w:fldCharType="end"/>
      </w:r>
    </w:p>
    <w:p>
      <w:pPr>
        <w:pStyle w:val="17"/>
        <w:tabs>
          <w:tab w:val="right" w:leader="dot" w:pos="9746"/>
        </w:tabs>
      </w:pPr>
      <w:r>
        <w:rPr>
          <w:rFonts w:hint="eastAsia" w:asciiTheme="minorEastAsia" w:hAnsiTheme="minorEastAsia" w:eastAsiaTheme="minorEastAsia" w:cstheme="minorEastAsia"/>
          <w:szCs w:val="96"/>
        </w:rPr>
        <w:fldChar w:fldCharType="begin"/>
      </w:r>
      <w:r>
        <w:rPr>
          <w:rFonts w:hint="eastAsia" w:asciiTheme="minorEastAsia" w:hAnsiTheme="minorEastAsia" w:eastAsiaTheme="minorEastAsia" w:cstheme="minorEastAsia"/>
          <w:szCs w:val="96"/>
        </w:rPr>
        <w:instrText xml:space="preserve"> HYPERLINK \l _Toc25142 </w:instrText>
      </w:r>
      <w:r>
        <w:rPr>
          <w:rFonts w:hint="eastAsia" w:asciiTheme="minorEastAsia" w:hAnsiTheme="minorEastAsia" w:eastAsiaTheme="minorEastAsia" w:cstheme="minorEastAsia"/>
          <w:szCs w:val="96"/>
        </w:rPr>
        <w:fldChar w:fldCharType="separate"/>
      </w:r>
      <w:r>
        <w:rPr>
          <w:rFonts w:hint="eastAsia" w:ascii="宋体" w:hAnsi="宋体" w:cs="宋体"/>
        </w:rPr>
        <w:t>附件六、质疑函范本</w:t>
      </w:r>
      <w:r>
        <w:tab/>
      </w:r>
      <w:r>
        <w:fldChar w:fldCharType="begin"/>
      </w:r>
      <w:r>
        <w:instrText xml:space="preserve"> PAGEREF _Toc25142 \h </w:instrText>
      </w:r>
      <w:r>
        <w:fldChar w:fldCharType="separate"/>
      </w:r>
      <w:r>
        <w:t>63</w:t>
      </w:r>
      <w:r>
        <w:fldChar w:fldCharType="end"/>
      </w:r>
      <w:r>
        <w:rPr>
          <w:rFonts w:hint="eastAsia" w:asciiTheme="minorEastAsia" w:hAnsiTheme="minorEastAsia" w:eastAsiaTheme="minorEastAsia" w:cstheme="minorEastAsia"/>
          <w:szCs w:val="96"/>
        </w:rPr>
        <w:fldChar w:fldCharType="end"/>
      </w:r>
    </w:p>
    <w:p>
      <w:pPr>
        <w:pStyle w:val="3"/>
        <w:spacing w:line="312" w:lineRule="auto"/>
        <w:ind w:firstLine="643" w:firstLineChars="200"/>
        <w:rPr>
          <w:rFonts w:asciiTheme="minorEastAsia" w:hAnsiTheme="minorEastAsia" w:eastAsiaTheme="minorEastAsia" w:cstheme="minorEastAsia"/>
          <w:sz w:val="24"/>
          <w:szCs w:val="24"/>
        </w:rPr>
        <w:sectPr>
          <w:headerReference r:id="rId6" w:type="default"/>
          <w:footerReference r:id="rId7" w:type="default"/>
          <w:pgSz w:w="11906" w:h="16838"/>
          <w:pgMar w:top="1440" w:right="1080" w:bottom="1440" w:left="1080" w:header="851" w:footer="992" w:gutter="0"/>
          <w:pgNumType w:fmt="decimal"/>
          <w:cols w:space="720" w:num="1"/>
          <w:docGrid w:type="lines" w:linePitch="312" w:charSpace="0"/>
        </w:sectPr>
      </w:pPr>
      <w:r>
        <w:rPr>
          <w:rFonts w:hint="eastAsia" w:asciiTheme="minorEastAsia" w:hAnsiTheme="minorEastAsia" w:eastAsiaTheme="minorEastAsia" w:cstheme="minorEastAsia"/>
          <w:szCs w:val="96"/>
        </w:rPr>
        <w:fldChar w:fldCharType="end"/>
      </w:r>
    </w:p>
    <w:p>
      <w:pPr>
        <w:pStyle w:val="3"/>
        <w:rPr>
          <w:rFonts w:ascii="宋体" w:cs="宋体"/>
        </w:rPr>
      </w:pPr>
      <w:bookmarkStart w:id="1" w:name="_Toc457"/>
      <w:bookmarkStart w:id="2" w:name="_Toc438048787"/>
      <w:bookmarkStart w:id="3" w:name="_Toc30089"/>
      <w:r>
        <w:rPr>
          <w:rFonts w:hint="eastAsia" w:ascii="宋体" w:hAnsi="宋体" w:cs="宋体"/>
          <w:sz w:val="36"/>
          <w:szCs w:val="36"/>
        </w:rPr>
        <w:t>第一部分  竞争性谈判公告</w:t>
      </w:r>
      <w:bookmarkEnd w:id="1"/>
    </w:p>
    <w:p>
      <w:pPr>
        <w:pageBreakBefore w:val="0"/>
        <w:widowControl w:val="0"/>
        <w:kinsoku/>
        <w:wordWrap/>
        <w:overflowPunct/>
        <w:topLinePunct w:val="0"/>
        <w:autoSpaceDE/>
        <w:autoSpaceDN/>
        <w:bidi w:val="0"/>
        <w:adjustRightInd/>
        <w:snapToGrid/>
        <w:spacing w:line="360" w:lineRule="auto"/>
        <w:ind w:firstLine="640" w:firstLineChars="200"/>
        <w:jc w:val="center"/>
        <w:textAlignment w:val="auto"/>
        <w:rPr>
          <w:rFonts w:hint="eastAsia"/>
          <w:sz w:val="32"/>
          <w:szCs w:val="40"/>
          <w:lang w:val="en-US" w:eastAsia="zh-CN"/>
        </w:rPr>
      </w:pPr>
      <w:r>
        <w:rPr>
          <w:rFonts w:hint="eastAsia"/>
          <w:sz w:val="32"/>
          <w:szCs w:val="40"/>
          <w:lang w:val="en-US" w:eastAsia="zh-CN"/>
        </w:rPr>
        <w:t>西安市灞桥区教育局（本级）西安市第五十五中学智慧黑板采购项目竞争性谈判公告</w:t>
      </w:r>
    </w:p>
    <w:p>
      <w:pPr>
        <w:spacing w:line="360" w:lineRule="auto"/>
        <w:rPr>
          <w:rStyle w:val="26"/>
          <w:rFonts w:hint="eastAsia" w:ascii="宋体" w:hAnsi="宋体" w:eastAsia="宋体" w:cs="宋体"/>
          <w:b/>
          <w:bCs/>
          <w:i w:val="0"/>
          <w:iCs w:val="0"/>
          <w:caps w:val="0"/>
          <w:color w:val="333333"/>
          <w:spacing w:val="0"/>
          <w:sz w:val="24"/>
          <w:szCs w:val="24"/>
          <w:shd w:val="clear" w:fill="FFFFFF"/>
        </w:rPr>
      </w:pPr>
      <w:r>
        <w:rPr>
          <w:rStyle w:val="26"/>
          <w:rFonts w:hint="eastAsia" w:ascii="宋体" w:hAnsi="宋体" w:eastAsia="宋体" w:cs="宋体"/>
          <w:b/>
          <w:bCs/>
          <w:i w:val="0"/>
          <w:iCs w:val="0"/>
          <w:caps w:val="0"/>
          <w:color w:val="333333"/>
          <w:spacing w:val="0"/>
          <w:sz w:val="24"/>
          <w:szCs w:val="24"/>
          <w:shd w:val="clear" w:fill="FFFFFF"/>
        </w:rPr>
        <w:t>项目概况</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西安市第五十五中学智慧黑板采购项目</w:t>
      </w:r>
      <w:r>
        <w:rPr>
          <w:rFonts w:hint="eastAsia" w:ascii="宋体" w:hAnsi="宋体" w:eastAsia="宋体" w:cs="宋体"/>
          <w:sz w:val="24"/>
          <w:szCs w:val="24"/>
        </w:rPr>
        <w:t>采购项目的潜在供应商应在西安市雁塔区科技路10号华奥大厦A座20层2002室获取采购文件，并于 2022年</w:t>
      </w:r>
      <w:r>
        <w:rPr>
          <w:rFonts w:hint="eastAsia" w:ascii="宋体" w:hAnsi="宋体" w:eastAsia="宋体" w:cs="宋体"/>
          <w:sz w:val="24"/>
          <w:szCs w:val="24"/>
          <w:lang w:val="en-US" w:eastAsia="zh-CN"/>
        </w:rPr>
        <w:t>10</w:t>
      </w:r>
      <w:r>
        <w:rPr>
          <w:rFonts w:hint="eastAsia" w:ascii="宋体" w:hAnsi="宋体" w:eastAsia="宋体" w:cs="宋体"/>
          <w:sz w:val="24"/>
          <w:szCs w:val="24"/>
        </w:rPr>
        <w:t>月</w:t>
      </w:r>
      <w:r>
        <w:rPr>
          <w:rFonts w:hint="eastAsia" w:ascii="宋体" w:hAnsi="宋体" w:eastAsia="宋体" w:cs="宋体"/>
          <w:sz w:val="24"/>
          <w:szCs w:val="24"/>
          <w:lang w:val="en-US" w:eastAsia="zh-CN"/>
        </w:rPr>
        <w:t>28</w:t>
      </w:r>
      <w:r>
        <w:rPr>
          <w:rFonts w:hint="eastAsia" w:ascii="宋体" w:hAnsi="宋体" w:eastAsia="宋体" w:cs="宋体"/>
          <w:sz w:val="24"/>
          <w:szCs w:val="24"/>
        </w:rPr>
        <w:t>日 14时</w:t>
      </w:r>
      <w:r>
        <w:rPr>
          <w:rFonts w:hint="eastAsia" w:ascii="宋体" w:hAnsi="宋体" w:eastAsia="宋体" w:cs="宋体"/>
          <w:sz w:val="24"/>
          <w:szCs w:val="24"/>
          <w:lang w:val="en-US" w:eastAsia="zh-CN"/>
        </w:rPr>
        <w:t>30</w:t>
      </w:r>
      <w:r>
        <w:rPr>
          <w:rFonts w:hint="eastAsia" w:ascii="宋体" w:hAnsi="宋体" w:eastAsia="宋体" w:cs="宋体"/>
          <w:sz w:val="24"/>
          <w:szCs w:val="24"/>
        </w:rPr>
        <w:t>分 （北京时间）前提交响应文件。</w:t>
      </w: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一、项目基本情况</w:t>
      </w:r>
    </w:p>
    <w:p>
      <w:pPr>
        <w:spacing w:line="360" w:lineRule="auto"/>
        <w:rPr>
          <w:rFonts w:hint="eastAsia" w:ascii="宋体" w:hAnsi="宋体" w:eastAsia="宋体" w:cs="宋体"/>
          <w:sz w:val="24"/>
          <w:szCs w:val="24"/>
          <w:lang w:eastAsia="zh-CN"/>
        </w:rPr>
      </w:pPr>
      <w:r>
        <w:rPr>
          <w:rFonts w:hint="eastAsia" w:ascii="宋体" w:hAnsi="宋体" w:eastAsia="宋体" w:cs="宋体"/>
          <w:sz w:val="24"/>
          <w:szCs w:val="24"/>
        </w:rPr>
        <w:t>项目编号：</w:t>
      </w:r>
      <w:r>
        <w:rPr>
          <w:rFonts w:hint="eastAsia" w:ascii="宋体" w:hAnsi="宋体" w:eastAsia="宋体" w:cs="宋体"/>
          <w:sz w:val="24"/>
          <w:szCs w:val="24"/>
          <w:lang w:eastAsia="zh-CN"/>
        </w:rPr>
        <w:t>ZMZB2022BQJYJ-297</w:t>
      </w:r>
    </w:p>
    <w:p>
      <w:pPr>
        <w:spacing w:line="360" w:lineRule="auto"/>
        <w:rPr>
          <w:rFonts w:hint="eastAsia" w:ascii="宋体" w:hAnsi="宋体" w:eastAsia="宋体" w:cs="宋体"/>
          <w:sz w:val="24"/>
          <w:szCs w:val="24"/>
          <w:lang w:eastAsia="zh-CN"/>
        </w:rPr>
      </w:pPr>
      <w:r>
        <w:rPr>
          <w:rFonts w:hint="eastAsia" w:ascii="宋体" w:hAnsi="宋体" w:eastAsia="宋体" w:cs="宋体"/>
          <w:sz w:val="24"/>
          <w:szCs w:val="24"/>
        </w:rPr>
        <w:t>项目名称：</w:t>
      </w:r>
      <w:r>
        <w:rPr>
          <w:rFonts w:hint="eastAsia" w:ascii="宋体" w:hAnsi="宋体" w:eastAsia="宋体" w:cs="宋体"/>
          <w:sz w:val="24"/>
          <w:szCs w:val="24"/>
          <w:lang w:eastAsia="zh-CN"/>
        </w:rPr>
        <w:t>西安市第五十五中学智慧黑板采购项目</w:t>
      </w:r>
    </w:p>
    <w:p>
      <w:pPr>
        <w:spacing w:line="360" w:lineRule="auto"/>
        <w:rPr>
          <w:rFonts w:hint="eastAsia" w:ascii="宋体" w:hAnsi="宋体" w:eastAsia="宋体" w:cs="宋体"/>
          <w:sz w:val="24"/>
          <w:szCs w:val="24"/>
        </w:rPr>
      </w:pPr>
      <w:r>
        <w:rPr>
          <w:rFonts w:hint="eastAsia" w:ascii="宋体" w:hAnsi="宋体" w:eastAsia="宋体" w:cs="宋体"/>
          <w:sz w:val="24"/>
          <w:szCs w:val="24"/>
        </w:rPr>
        <w:t>采购方式：竞争性谈判</w:t>
      </w:r>
    </w:p>
    <w:p>
      <w:pPr>
        <w:spacing w:line="360" w:lineRule="auto"/>
        <w:rPr>
          <w:rFonts w:hint="eastAsia" w:ascii="宋体" w:hAnsi="宋体" w:eastAsia="宋体" w:cs="宋体"/>
          <w:sz w:val="24"/>
          <w:szCs w:val="24"/>
        </w:rPr>
      </w:pPr>
      <w:r>
        <w:rPr>
          <w:rFonts w:hint="eastAsia" w:ascii="宋体" w:hAnsi="宋体" w:eastAsia="宋体" w:cs="宋体"/>
          <w:sz w:val="24"/>
          <w:szCs w:val="24"/>
        </w:rPr>
        <w:t>预算金额：</w:t>
      </w:r>
      <w:r>
        <w:rPr>
          <w:rFonts w:hint="eastAsia" w:ascii="宋体" w:hAnsi="宋体" w:eastAsia="宋体" w:cs="宋体"/>
          <w:sz w:val="24"/>
          <w:szCs w:val="24"/>
          <w:lang w:val="en-US" w:eastAsia="zh-CN"/>
        </w:rPr>
        <w:t>560</w:t>
      </w:r>
      <w:r>
        <w:rPr>
          <w:rFonts w:hint="eastAsia" w:ascii="宋体" w:hAnsi="宋体" w:eastAsia="宋体" w:cs="宋体"/>
          <w:sz w:val="24"/>
          <w:szCs w:val="24"/>
        </w:rPr>
        <w:t>,</w:t>
      </w:r>
      <w:r>
        <w:rPr>
          <w:rFonts w:hint="eastAsia" w:ascii="宋体" w:hAnsi="宋体" w:eastAsia="宋体" w:cs="宋体"/>
          <w:sz w:val="24"/>
          <w:szCs w:val="24"/>
          <w:lang w:val="en-US" w:eastAsia="zh-CN"/>
        </w:rPr>
        <w:t>000</w:t>
      </w:r>
      <w:r>
        <w:rPr>
          <w:rFonts w:hint="eastAsia" w:ascii="宋体" w:hAnsi="宋体" w:eastAsia="宋体" w:cs="宋体"/>
          <w:sz w:val="24"/>
          <w:szCs w:val="24"/>
        </w:rPr>
        <w:t>.00元</w:t>
      </w:r>
    </w:p>
    <w:p>
      <w:pPr>
        <w:spacing w:line="360" w:lineRule="auto"/>
        <w:rPr>
          <w:rFonts w:hint="eastAsia" w:ascii="宋体" w:hAnsi="宋体" w:eastAsia="宋体" w:cs="宋体"/>
          <w:sz w:val="24"/>
          <w:szCs w:val="24"/>
        </w:rPr>
      </w:pPr>
      <w:r>
        <w:rPr>
          <w:rFonts w:hint="eastAsia" w:ascii="宋体" w:hAnsi="宋体" w:eastAsia="宋体" w:cs="宋体"/>
          <w:sz w:val="24"/>
          <w:szCs w:val="24"/>
        </w:rPr>
        <w:t>采购需求：</w:t>
      </w:r>
    </w:p>
    <w:p>
      <w:pPr>
        <w:spacing w:line="360" w:lineRule="auto"/>
        <w:rPr>
          <w:rFonts w:hint="eastAsia" w:ascii="宋体" w:hAnsi="宋体" w:eastAsia="宋体" w:cs="宋体"/>
          <w:sz w:val="24"/>
          <w:szCs w:val="24"/>
        </w:rPr>
      </w:pPr>
      <w:r>
        <w:rPr>
          <w:rFonts w:hint="eastAsia" w:ascii="宋体" w:hAnsi="宋体" w:eastAsia="宋体" w:cs="宋体"/>
          <w:sz w:val="24"/>
          <w:szCs w:val="24"/>
        </w:rPr>
        <w:t>合同包1(</w:t>
      </w:r>
      <w:r>
        <w:rPr>
          <w:rFonts w:hint="eastAsia" w:ascii="宋体" w:hAnsi="宋体" w:eastAsia="宋体" w:cs="宋体"/>
          <w:sz w:val="24"/>
          <w:szCs w:val="24"/>
          <w:lang w:eastAsia="zh-CN"/>
        </w:rPr>
        <w:t>西安市第五十五中学智慧黑板采购项目</w:t>
      </w:r>
      <w:r>
        <w:rPr>
          <w:rFonts w:hint="eastAsia" w:ascii="宋体" w:hAnsi="宋体" w:eastAsia="宋体" w:cs="宋体"/>
          <w:sz w:val="24"/>
          <w:szCs w:val="24"/>
        </w:rPr>
        <w:t>):</w:t>
      </w:r>
    </w:p>
    <w:p>
      <w:pPr>
        <w:spacing w:line="360" w:lineRule="auto"/>
        <w:rPr>
          <w:rFonts w:hint="eastAsia" w:ascii="宋体" w:hAnsi="宋体" w:eastAsia="宋体" w:cs="宋体"/>
          <w:sz w:val="24"/>
          <w:szCs w:val="24"/>
        </w:rPr>
      </w:pPr>
      <w:r>
        <w:rPr>
          <w:rFonts w:hint="eastAsia" w:ascii="宋体" w:hAnsi="宋体" w:eastAsia="宋体" w:cs="宋体"/>
          <w:sz w:val="24"/>
          <w:szCs w:val="24"/>
        </w:rPr>
        <w:t>合同包预算金额：</w:t>
      </w:r>
      <w:r>
        <w:rPr>
          <w:rFonts w:hint="eastAsia" w:ascii="宋体" w:hAnsi="宋体" w:eastAsia="宋体" w:cs="宋体"/>
          <w:sz w:val="24"/>
          <w:szCs w:val="24"/>
          <w:lang w:val="en-US" w:eastAsia="zh-CN"/>
        </w:rPr>
        <w:t>560</w:t>
      </w:r>
      <w:r>
        <w:rPr>
          <w:rFonts w:hint="eastAsia" w:ascii="宋体" w:hAnsi="宋体" w:eastAsia="宋体" w:cs="宋体"/>
          <w:sz w:val="24"/>
          <w:szCs w:val="24"/>
        </w:rPr>
        <w:t>,</w:t>
      </w:r>
      <w:r>
        <w:rPr>
          <w:rFonts w:hint="eastAsia" w:ascii="宋体" w:hAnsi="宋体" w:eastAsia="宋体" w:cs="宋体"/>
          <w:sz w:val="24"/>
          <w:szCs w:val="24"/>
          <w:lang w:val="en-US" w:eastAsia="zh-CN"/>
        </w:rPr>
        <w:t>000</w:t>
      </w:r>
      <w:r>
        <w:rPr>
          <w:rFonts w:hint="eastAsia" w:ascii="宋体" w:hAnsi="宋体" w:eastAsia="宋体" w:cs="宋体"/>
          <w:sz w:val="24"/>
          <w:szCs w:val="24"/>
        </w:rPr>
        <w:t>.00元</w:t>
      </w:r>
    </w:p>
    <w:p>
      <w:pPr>
        <w:spacing w:line="360" w:lineRule="auto"/>
        <w:rPr>
          <w:rFonts w:hint="eastAsia" w:ascii="宋体" w:hAnsi="宋体" w:eastAsia="宋体" w:cs="宋体"/>
          <w:sz w:val="24"/>
          <w:szCs w:val="24"/>
        </w:rPr>
      </w:pPr>
      <w:r>
        <w:rPr>
          <w:rFonts w:hint="eastAsia" w:ascii="宋体" w:hAnsi="宋体" w:eastAsia="宋体" w:cs="宋体"/>
          <w:sz w:val="24"/>
          <w:szCs w:val="24"/>
        </w:rPr>
        <w:t>合同包最高限价：</w:t>
      </w:r>
      <w:r>
        <w:rPr>
          <w:rFonts w:hint="eastAsia" w:ascii="宋体" w:hAnsi="宋体" w:eastAsia="宋体" w:cs="宋体"/>
          <w:sz w:val="24"/>
          <w:szCs w:val="24"/>
          <w:lang w:val="en-US" w:eastAsia="zh-CN"/>
        </w:rPr>
        <w:t>560</w:t>
      </w:r>
      <w:r>
        <w:rPr>
          <w:rFonts w:hint="eastAsia" w:ascii="宋体" w:hAnsi="宋体" w:eastAsia="宋体" w:cs="宋体"/>
          <w:sz w:val="24"/>
          <w:szCs w:val="24"/>
        </w:rPr>
        <w:t>,</w:t>
      </w:r>
      <w:r>
        <w:rPr>
          <w:rFonts w:hint="eastAsia" w:ascii="宋体" w:hAnsi="宋体" w:eastAsia="宋体" w:cs="宋体"/>
          <w:sz w:val="24"/>
          <w:szCs w:val="24"/>
          <w:lang w:val="en-US" w:eastAsia="zh-CN"/>
        </w:rPr>
        <w:t>000</w:t>
      </w:r>
      <w:r>
        <w:rPr>
          <w:rFonts w:hint="eastAsia" w:ascii="宋体" w:hAnsi="宋体" w:eastAsia="宋体" w:cs="宋体"/>
          <w:sz w:val="24"/>
          <w:szCs w:val="24"/>
        </w:rPr>
        <w:t>.00元</w:t>
      </w:r>
    </w:p>
    <w:tbl>
      <w:tblPr>
        <w:tblStyle w:val="23"/>
        <w:tblW w:w="937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11"/>
        <w:gridCol w:w="1299"/>
        <w:gridCol w:w="2389"/>
        <w:gridCol w:w="840"/>
        <w:gridCol w:w="1356"/>
        <w:gridCol w:w="1440"/>
        <w:gridCol w:w="144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rPr>
          <w:trHeight w:val="814" w:hRule="atLeast"/>
          <w:tblHeader/>
        </w:trPr>
        <w:tc>
          <w:tcPr>
            <w:tcW w:w="61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品目号</w:t>
            </w:r>
          </w:p>
        </w:tc>
        <w:tc>
          <w:tcPr>
            <w:tcW w:w="171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品目名称</w:t>
            </w:r>
          </w:p>
        </w:tc>
        <w:tc>
          <w:tcPr>
            <w:tcW w:w="25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采购标的</w:t>
            </w:r>
          </w:p>
        </w:tc>
        <w:tc>
          <w:tcPr>
            <w:tcW w:w="8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数量（单位）</w:t>
            </w:r>
          </w:p>
        </w:tc>
        <w:tc>
          <w:tcPr>
            <w:tcW w:w="13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技术规格、参数及要求</w:t>
            </w:r>
          </w:p>
        </w:tc>
        <w:tc>
          <w:tcPr>
            <w:tcW w:w="117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品目预算(元)</w:t>
            </w:r>
          </w:p>
        </w:tc>
        <w:tc>
          <w:tcPr>
            <w:tcW w:w="117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18"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触控一体机</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西安市第五十五中学智慧黑板</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1(批)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560</w:t>
            </w:r>
            <w:r>
              <w:rPr>
                <w:rFonts w:hint="eastAsia" w:ascii="宋体" w:hAnsi="宋体" w:eastAsia="宋体" w:cs="宋体"/>
                <w:sz w:val="24"/>
                <w:szCs w:val="24"/>
              </w:rPr>
              <w:t>,</w:t>
            </w:r>
            <w:r>
              <w:rPr>
                <w:rFonts w:hint="eastAsia" w:ascii="宋体" w:hAnsi="宋体" w:eastAsia="宋体" w:cs="宋体"/>
                <w:sz w:val="24"/>
                <w:szCs w:val="24"/>
                <w:lang w:val="en-US" w:eastAsia="zh-CN"/>
              </w:rPr>
              <w:t>000</w:t>
            </w:r>
            <w:r>
              <w:rPr>
                <w:rFonts w:hint="eastAsia" w:ascii="宋体" w:hAnsi="宋体" w:eastAsia="宋体" w:cs="宋体"/>
                <w:sz w:val="24"/>
                <w:szCs w:val="24"/>
              </w:rPr>
              <w:t>.00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560</w:t>
            </w:r>
            <w:r>
              <w:rPr>
                <w:rFonts w:hint="eastAsia" w:ascii="宋体" w:hAnsi="宋体" w:eastAsia="宋体" w:cs="宋体"/>
                <w:sz w:val="24"/>
                <w:szCs w:val="24"/>
              </w:rPr>
              <w:t>,</w:t>
            </w:r>
            <w:r>
              <w:rPr>
                <w:rFonts w:hint="eastAsia" w:ascii="宋体" w:hAnsi="宋体" w:eastAsia="宋体" w:cs="宋体"/>
                <w:sz w:val="24"/>
                <w:szCs w:val="24"/>
                <w:lang w:val="en-US" w:eastAsia="zh-CN"/>
              </w:rPr>
              <w:t>000</w:t>
            </w:r>
            <w:r>
              <w:rPr>
                <w:rFonts w:hint="eastAsia" w:ascii="宋体" w:hAnsi="宋体" w:eastAsia="宋体" w:cs="宋体"/>
                <w:sz w:val="24"/>
                <w:szCs w:val="24"/>
              </w:rPr>
              <w:t>.00</w:t>
            </w:r>
          </w:p>
        </w:tc>
      </w:tr>
    </w:tbl>
    <w:p>
      <w:pPr>
        <w:spacing w:line="360" w:lineRule="auto"/>
        <w:rPr>
          <w:rFonts w:hint="eastAsia" w:ascii="宋体" w:hAnsi="宋体" w:eastAsia="宋体" w:cs="宋体"/>
          <w:sz w:val="24"/>
          <w:szCs w:val="24"/>
        </w:rPr>
      </w:pPr>
      <w:r>
        <w:rPr>
          <w:rFonts w:hint="eastAsia" w:ascii="宋体" w:hAnsi="宋体" w:eastAsia="宋体" w:cs="宋体"/>
          <w:sz w:val="24"/>
          <w:szCs w:val="24"/>
        </w:rPr>
        <w:t>本合同包不接受联合体投标</w:t>
      </w:r>
    </w:p>
    <w:p>
      <w:pPr>
        <w:spacing w:line="360" w:lineRule="auto"/>
        <w:rPr>
          <w:rFonts w:hint="eastAsia" w:ascii="宋体" w:hAnsi="宋体" w:eastAsia="宋体" w:cs="宋体"/>
          <w:sz w:val="24"/>
          <w:szCs w:val="24"/>
        </w:rPr>
      </w:pPr>
      <w:r>
        <w:rPr>
          <w:rFonts w:hint="eastAsia" w:ascii="宋体" w:hAnsi="宋体" w:eastAsia="宋体" w:cs="宋体"/>
          <w:sz w:val="24"/>
          <w:szCs w:val="24"/>
        </w:rPr>
        <w:t>合同履行期限：自合同签订后到该项目质保期结束（具体服务起止日期可随合同签订时间相应顺延）</w:t>
      </w: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二、申请人的资格要求：</w:t>
      </w:r>
    </w:p>
    <w:p>
      <w:pPr>
        <w:spacing w:line="360" w:lineRule="auto"/>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pPr>
        <w:spacing w:line="360" w:lineRule="auto"/>
        <w:rPr>
          <w:rFonts w:hint="eastAsia" w:ascii="宋体" w:hAnsi="宋体" w:eastAsia="宋体" w:cs="宋体"/>
          <w:sz w:val="24"/>
          <w:szCs w:val="24"/>
        </w:rPr>
      </w:pPr>
      <w:r>
        <w:rPr>
          <w:rFonts w:hint="eastAsia" w:ascii="宋体" w:hAnsi="宋体" w:eastAsia="宋体" w:cs="宋体"/>
          <w:sz w:val="24"/>
          <w:szCs w:val="24"/>
        </w:rPr>
        <w:t>2.落实政府采购政策需满足的资格要求：</w:t>
      </w:r>
    </w:p>
    <w:p>
      <w:pPr>
        <w:spacing w:line="360" w:lineRule="auto"/>
        <w:rPr>
          <w:rFonts w:hint="eastAsia" w:ascii="宋体" w:hAnsi="宋体" w:eastAsia="宋体" w:cs="宋体"/>
          <w:sz w:val="24"/>
          <w:szCs w:val="24"/>
        </w:rPr>
      </w:pPr>
      <w:r>
        <w:rPr>
          <w:rFonts w:hint="eastAsia" w:ascii="宋体" w:hAnsi="宋体" w:eastAsia="宋体" w:cs="宋体"/>
          <w:sz w:val="24"/>
          <w:szCs w:val="24"/>
        </w:rPr>
        <w:t>合同包1(</w:t>
      </w:r>
      <w:r>
        <w:rPr>
          <w:rFonts w:hint="eastAsia" w:ascii="宋体" w:hAnsi="宋体" w:eastAsia="宋体" w:cs="宋体"/>
          <w:sz w:val="24"/>
          <w:szCs w:val="24"/>
          <w:lang w:eastAsia="zh-CN"/>
        </w:rPr>
        <w:t>西安市第五十五中学智慧黑板采购项目</w:t>
      </w:r>
      <w:r>
        <w:rPr>
          <w:rFonts w:hint="eastAsia" w:ascii="宋体" w:hAnsi="宋体" w:eastAsia="宋体" w:cs="宋体"/>
          <w:sz w:val="24"/>
          <w:szCs w:val="24"/>
        </w:rPr>
        <w:t>)落实政府采购政策需满足的资格要求如下:</w:t>
      </w:r>
    </w:p>
    <w:p>
      <w:pPr>
        <w:spacing w:line="360" w:lineRule="auto"/>
        <w:rPr>
          <w:rFonts w:hint="eastAsia" w:ascii="宋体" w:hAnsi="宋体" w:eastAsia="宋体" w:cs="宋体"/>
          <w:sz w:val="24"/>
          <w:szCs w:val="24"/>
        </w:rPr>
      </w:pPr>
      <w:r>
        <w:rPr>
          <w:rFonts w:hint="eastAsia" w:ascii="宋体" w:hAnsi="宋体" w:eastAsia="宋体" w:cs="宋体"/>
          <w:sz w:val="24"/>
          <w:szCs w:val="24"/>
        </w:rPr>
        <w:t>（1）《政府采购促进中小企业发展管理办法》（财库〔2020〕46号）； </w:t>
      </w:r>
      <w:r>
        <w:rPr>
          <w:rFonts w:hint="eastAsia" w:ascii="宋体" w:hAnsi="宋体" w:eastAsia="宋体" w:cs="宋体"/>
          <w:sz w:val="24"/>
          <w:szCs w:val="24"/>
        </w:rPr>
        <w:br w:type="textWrapping"/>
      </w:r>
      <w:r>
        <w:rPr>
          <w:rFonts w:hint="eastAsia" w:ascii="宋体" w:hAnsi="宋体" w:eastAsia="宋体" w:cs="宋体"/>
          <w:sz w:val="24"/>
          <w:szCs w:val="24"/>
        </w:rPr>
        <w:t>（2）《财政部 司法部关于政府采购支持监狱企业发展有关问题的通知》（财库〔2014〕68号）；</w:t>
      </w:r>
      <w:r>
        <w:rPr>
          <w:rFonts w:hint="eastAsia" w:ascii="宋体" w:hAnsi="宋体" w:eastAsia="宋体" w:cs="宋体"/>
          <w:sz w:val="24"/>
          <w:szCs w:val="24"/>
        </w:rPr>
        <w:br w:type="textWrapping"/>
      </w:r>
      <w:r>
        <w:rPr>
          <w:rFonts w:hint="eastAsia" w:ascii="宋体" w:hAnsi="宋体" w:eastAsia="宋体" w:cs="宋体"/>
          <w:sz w:val="24"/>
          <w:szCs w:val="24"/>
        </w:rPr>
        <w:t>（3）《国务院办公厅关于建立政府强制采购节能产品制度的通知》（国办发〔2007〕51号）；</w:t>
      </w:r>
      <w:r>
        <w:rPr>
          <w:rFonts w:hint="eastAsia" w:ascii="宋体" w:hAnsi="宋体" w:eastAsia="宋体" w:cs="宋体"/>
          <w:sz w:val="24"/>
          <w:szCs w:val="24"/>
        </w:rPr>
        <w:br w:type="textWrapping"/>
      </w:r>
      <w:r>
        <w:rPr>
          <w:rFonts w:hint="eastAsia" w:ascii="宋体" w:hAnsi="宋体" w:eastAsia="宋体" w:cs="宋体"/>
          <w:sz w:val="24"/>
          <w:szCs w:val="24"/>
        </w:rPr>
        <w:t>（4）《节能产品政府采购实施意见》（财库〔2004〕185号）；</w:t>
      </w:r>
      <w:r>
        <w:rPr>
          <w:rFonts w:hint="eastAsia" w:ascii="宋体" w:hAnsi="宋体" w:eastAsia="宋体" w:cs="宋体"/>
          <w:sz w:val="24"/>
          <w:szCs w:val="24"/>
        </w:rPr>
        <w:br w:type="textWrapping"/>
      </w:r>
      <w:r>
        <w:rPr>
          <w:rFonts w:hint="eastAsia" w:ascii="宋体" w:hAnsi="宋体" w:eastAsia="宋体" w:cs="宋体"/>
          <w:sz w:val="24"/>
          <w:szCs w:val="24"/>
        </w:rPr>
        <w:t>（5）《环境标志产品政府采购实施的意见》（财库〔2006〕90号）；</w:t>
      </w:r>
      <w:r>
        <w:rPr>
          <w:rFonts w:hint="eastAsia" w:ascii="宋体" w:hAnsi="宋体" w:eastAsia="宋体" w:cs="宋体"/>
          <w:sz w:val="24"/>
          <w:szCs w:val="24"/>
        </w:rPr>
        <w:br w:type="textWrapping"/>
      </w:r>
      <w:r>
        <w:rPr>
          <w:rFonts w:hint="eastAsia" w:ascii="宋体" w:hAnsi="宋体" w:eastAsia="宋体" w:cs="宋体"/>
          <w:sz w:val="24"/>
          <w:szCs w:val="24"/>
        </w:rPr>
        <w:t>（6）《三部门联合发布关于促进残疾人就业政府采购政策的通知》（财库〔2017〕141号）。</w:t>
      </w:r>
      <w:r>
        <w:rPr>
          <w:rFonts w:hint="eastAsia" w:ascii="宋体" w:hAnsi="宋体" w:eastAsia="宋体" w:cs="宋体"/>
          <w:sz w:val="24"/>
          <w:szCs w:val="24"/>
        </w:rPr>
        <w:br w:type="textWrapping"/>
      </w:r>
      <w:r>
        <w:rPr>
          <w:rFonts w:hint="eastAsia" w:ascii="宋体" w:hAnsi="宋体" w:eastAsia="宋体" w:cs="宋体"/>
          <w:sz w:val="24"/>
          <w:szCs w:val="24"/>
        </w:rPr>
        <w:t>（7）《财政部 发展改革委 生态环境部 市场监管总局关于调整优化节能产品、环境标志产品政府采购执行机制的通知》（财库〔2019〕9号）。</w:t>
      </w:r>
      <w:r>
        <w:rPr>
          <w:rFonts w:hint="eastAsia" w:ascii="宋体" w:hAnsi="宋体" w:eastAsia="宋体" w:cs="宋体"/>
          <w:sz w:val="24"/>
          <w:szCs w:val="24"/>
        </w:rPr>
        <w:br w:type="textWrapping"/>
      </w:r>
      <w:r>
        <w:rPr>
          <w:rFonts w:hint="eastAsia" w:ascii="宋体" w:hAnsi="宋体" w:eastAsia="宋体" w:cs="宋体"/>
          <w:sz w:val="24"/>
          <w:szCs w:val="24"/>
        </w:rPr>
        <w:t>（8）陕西省财政厅关于印发《陕西省中小企业政府采购信用融资办法》（陕财办采〔2018〕23号）。</w:t>
      </w:r>
    </w:p>
    <w:p>
      <w:pPr>
        <w:spacing w:line="360" w:lineRule="auto"/>
        <w:rPr>
          <w:rFonts w:hint="eastAsia" w:ascii="宋体" w:hAnsi="宋体" w:eastAsia="宋体" w:cs="宋体"/>
          <w:sz w:val="24"/>
          <w:szCs w:val="24"/>
        </w:rPr>
      </w:pPr>
      <w:r>
        <w:rPr>
          <w:rFonts w:hint="eastAsia" w:ascii="宋体" w:hAnsi="宋体" w:eastAsia="宋体" w:cs="宋体"/>
          <w:sz w:val="24"/>
          <w:szCs w:val="24"/>
        </w:rPr>
        <w:t>3.本项目的特定资格要求：</w:t>
      </w:r>
    </w:p>
    <w:p>
      <w:pPr>
        <w:spacing w:line="360" w:lineRule="auto"/>
        <w:rPr>
          <w:rFonts w:hint="eastAsia" w:ascii="宋体" w:hAnsi="宋体" w:eastAsia="宋体" w:cs="宋体"/>
          <w:sz w:val="24"/>
          <w:szCs w:val="24"/>
        </w:rPr>
      </w:pPr>
      <w:r>
        <w:rPr>
          <w:rFonts w:hint="eastAsia" w:ascii="宋体" w:hAnsi="宋体" w:eastAsia="宋体" w:cs="宋体"/>
          <w:sz w:val="24"/>
          <w:szCs w:val="24"/>
        </w:rPr>
        <w:t>合同包1(</w:t>
      </w:r>
      <w:r>
        <w:rPr>
          <w:rFonts w:hint="eastAsia" w:ascii="宋体" w:hAnsi="宋体" w:eastAsia="宋体" w:cs="宋体"/>
          <w:sz w:val="24"/>
          <w:szCs w:val="24"/>
          <w:lang w:eastAsia="zh-CN"/>
        </w:rPr>
        <w:t>西安市第五十五中学智慧黑板采购项目</w:t>
      </w:r>
      <w:r>
        <w:rPr>
          <w:rFonts w:hint="eastAsia" w:ascii="宋体" w:hAnsi="宋体" w:eastAsia="宋体" w:cs="宋体"/>
          <w:sz w:val="24"/>
          <w:szCs w:val="24"/>
        </w:rPr>
        <w:t>)特定资格要求如下:</w:t>
      </w:r>
    </w:p>
    <w:p>
      <w:pPr>
        <w:spacing w:line="360" w:lineRule="auto"/>
        <w:rPr>
          <w:rFonts w:hint="eastAsia" w:ascii="宋体" w:hAnsi="宋体" w:eastAsia="宋体" w:cs="宋体"/>
          <w:sz w:val="24"/>
          <w:szCs w:val="24"/>
        </w:rPr>
      </w:pPr>
      <w:r>
        <w:rPr>
          <w:rFonts w:hint="eastAsia" w:ascii="宋体" w:hAnsi="宋体" w:eastAsia="宋体" w:cs="宋体"/>
          <w:sz w:val="24"/>
          <w:szCs w:val="24"/>
        </w:rPr>
        <w:t>（1）具有独立承担民事责任能力的法人、其他组织或自然人，提供合法有效的统一社会信用代码营业执照（事业单位提供事业单位法人证书，自然人应提供身份证）；</w:t>
      </w:r>
      <w:r>
        <w:rPr>
          <w:rFonts w:hint="eastAsia" w:ascii="宋体" w:hAnsi="宋体" w:eastAsia="宋体" w:cs="宋体"/>
          <w:sz w:val="24"/>
          <w:szCs w:val="24"/>
        </w:rPr>
        <w:br w:type="textWrapping"/>
      </w:r>
      <w:r>
        <w:rPr>
          <w:rFonts w:hint="eastAsia" w:ascii="宋体" w:hAnsi="宋体" w:eastAsia="宋体" w:cs="宋体"/>
          <w:sz w:val="24"/>
          <w:szCs w:val="24"/>
        </w:rPr>
        <w:t>（2）财务状况证明：供应商提供2021年度经审计完整的财务审计报告（成立时间至提交响应文件截止时间不足一年的可提供成立后任意时段的资产负债表），或其开标前三个月内银行出具的资信证明，或财政部门认可的政府采购专业担保机构出具的投标担保函；</w:t>
      </w:r>
      <w:r>
        <w:rPr>
          <w:rFonts w:hint="eastAsia" w:ascii="宋体" w:hAnsi="宋体" w:eastAsia="宋体" w:cs="宋体"/>
          <w:sz w:val="24"/>
          <w:szCs w:val="24"/>
        </w:rPr>
        <w:br w:type="textWrapping"/>
      </w:r>
      <w:r>
        <w:rPr>
          <w:rFonts w:hint="eastAsia" w:ascii="宋体" w:hAnsi="宋体" w:eastAsia="宋体" w:cs="宋体"/>
          <w:sz w:val="24"/>
          <w:szCs w:val="24"/>
        </w:rPr>
        <w:t>（3）具有履行合同所必需的设备和专业技术能力的书面声明；</w:t>
      </w:r>
      <w:r>
        <w:rPr>
          <w:rFonts w:hint="eastAsia" w:ascii="宋体" w:hAnsi="宋体" w:eastAsia="宋体" w:cs="宋体"/>
          <w:sz w:val="24"/>
          <w:szCs w:val="24"/>
        </w:rPr>
        <w:br w:type="textWrapping"/>
      </w:r>
      <w:r>
        <w:rPr>
          <w:rFonts w:hint="eastAsia" w:ascii="宋体" w:hAnsi="宋体" w:eastAsia="宋体" w:cs="宋体"/>
          <w:sz w:val="24"/>
          <w:szCs w:val="24"/>
        </w:rPr>
        <w:t>（4）税收缴纳证明：提供</w:t>
      </w:r>
      <w:r>
        <w:rPr>
          <w:rFonts w:hint="eastAsia" w:ascii="宋体" w:hAnsi="宋体" w:eastAsia="宋体" w:cs="宋体"/>
          <w:sz w:val="24"/>
          <w:szCs w:val="24"/>
          <w:lang w:val="en-US" w:eastAsia="zh-CN"/>
        </w:rPr>
        <w:t>2022</w:t>
      </w:r>
      <w:r>
        <w:rPr>
          <w:rFonts w:hint="eastAsia" w:ascii="宋体" w:hAnsi="宋体" w:eastAsia="宋体" w:cs="宋体"/>
          <w:sz w:val="24"/>
          <w:szCs w:val="24"/>
        </w:rPr>
        <w:t>年</w:t>
      </w:r>
      <w:r>
        <w:rPr>
          <w:rFonts w:hint="eastAsia" w:ascii="宋体" w:hAnsi="宋体" w:eastAsia="宋体" w:cs="宋体"/>
          <w:sz w:val="24"/>
          <w:szCs w:val="24"/>
          <w:lang w:val="en-US" w:eastAsia="zh-CN"/>
        </w:rPr>
        <w:t>1</w:t>
      </w:r>
      <w:r>
        <w:rPr>
          <w:rFonts w:hint="eastAsia" w:ascii="宋体" w:hAnsi="宋体" w:eastAsia="宋体" w:cs="宋体"/>
          <w:sz w:val="24"/>
          <w:szCs w:val="24"/>
        </w:rPr>
        <w:t>月以来至少一个月的纳税证明或完税证明，依法免税的单位应提供相关证明材料；</w:t>
      </w:r>
      <w:r>
        <w:rPr>
          <w:rFonts w:hint="eastAsia" w:ascii="宋体" w:hAnsi="宋体" w:eastAsia="宋体" w:cs="宋体"/>
          <w:sz w:val="24"/>
          <w:szCs w:val="24"/>
        </w:rPr>
        <w:br w:type="textWrapping"/>
      </w:r>
      <w:r>
        <w:rPr>
          <w:rFonts w:hint="eastAsia" w:ascii="宋体" w:hAnsi="宋体" w:eastAsia="宋体" w:cs="宋体"/>
          <w:sz w:val="24"/>
          <w:szCs w:val="24"/>
        </w:rPr>
        <w:t>（5）社会保障资金缴纳证明：提供</w:t>
      </w:r>
      <w:r>
        <w:rPr>
          <w:rFonts w:hint="eastAsia" w:ascii="宋体" w:hAnsi="宋体" w:eastAsia="宋体" w:cs="宋体"/>
          <w:sz w:val="24"/>
          <w:szCs w:val="24"/>
          <w:lang w:val="en-US" w:eastAsia="zh-CN"/>
        </w:rPr>
        <w:t>2022</w:t>
      </w:r>
      <w:r>
        <w:rPr>
          <w:rFonts w:hint="eastAsia" w:ascii="宋体" w:hAnsi="宋体" w:eastAsia="宋体" w:cs="宋体"/>
          <w:sz w:val="24"/>
          <w:szCs w:val="24"/>
        </w:rPr>
        <w:t>年</w:t>
      </w:r>
      <w:r>
        <w:rPr>
          <w:rFonts w:hint="eastAsia" w:ascii="宋体" w:hAnsi="宋体" w:eastAsia="宋体" w:cs="宋体"/>
          <w:sz w:val="24"/>
          <w:szCs w:val="24"/>
          <w:lang w:val="en-US" w:eastAsia="zh-CN"/>
        </w:rPr>
        <w:t>1</w:t>
      </w:r>
      <w:r>
        <w:rPr>
          <w:rFonts w:hint="eastAsia" w:ascii="宋体" w:hAnsi="宋体" w:eastAsia="宋体" w:cs="宋体"/>
          <w:sz w:val="24"/>
          <w:szCs w:val="24"/>
        </w:rPr>
        <w:t>月以来至少一个月的社会保障资金缴存单据或社保机构开具的社会保险参保缴费情况证明。依法不需要缴纳社会保障资金的供应商应提供相关文件证明；</w:t>
      </w:r>
      <w:r>
        <w:rPr>
          <w:rFonts w:hint="eastAsia" w:ascii="宋体" w:hAnsi="宋体" w:eastAsia="宋体" w:cs="宋体"/>
          <w:sz w:val="24"/>
          <w:szCs w:val="24"/>
        </w:rPr>
        <w:br w:type="textWrapping"/>
      </w:r>
      <w:r>
        <w:rPr>
          <w:rFonts w:hint="eastAsia" w:ascii="宋体" w:hAnsi="宋体" w:eastAsia="宋体" w:cs="宋体"/>
          <w:sz w:val="24"/>
          <w:szCs w:val="24"/>
        </w:rPr>
        <w:t>（6）参加政府采购活动前</w:t>
      </w:r>
      <w:r>
        <w:rPr>
          <w:rFonts w:hint="eastAsia" w:ascii="宋体" w:hAnsi="宋体" w:eastAsia="宋体" w:cs="宋体"/>
          <w:sz w:val="24"/>
          <w:szCs w:val="24"/>
          <w:lang w:val="en-US" w:eastAsia="zh-CN"/>
        </w:rPr>
        <w:t>3</w:t>
      </w:r>
      <w:r>
        <w:rPr>
          <w:rFonts w:hint="eastAsia" w:ascii="宋体" w:hAnsi="宋体" w:eastAsia="宋体" w:cs="宋体"/>
          <w:sz w:val="24"/>
          <w:szCs w:val="24"/>
        </w:rPr>
        <w:t>年内在经营活动中没有重大违法记录的书面声明；</w:t>
      </w:r>
      <w:r>
        <w:rPr>
          <w:rFonts w:hint="eastAsia" w:ascii="宋体" w:hAnsi="宋体" w:eastAsia="宋体" w:cs="宋体"/>
          <w:sz w:val="24"/>
          <w:szCs w:val="24"/>
        </w:rPr>
        <w:br w:type="textWrapping"/>
      </w:r>
      <w:r>
        <w:rPr>
          <w:rFonts w:hint="eastAsia" w:ascii="宋体" w:hAnsi="宋体" w:eastAsia="宋体" w:cs="宋体"/>
          <w:sz w:val="24"/>
          <w:szCs w:val="24"/>
        </w:rPr>
        <w:t>（7）非法定代表人参加谈判的，须提供法定代表人委托授权书及被授权人身份证，法定代表人参加谈判时,只需提供法定代表人身份证；</w:t>
      </w:r>
      <w:r>
        <w:rPr>
          <w:rFonts w:hint="eastAsia" w:ascii="宋体" w:hAnsi="宋体" w:eastAsia="宋体" w:cs="宋体"/>
          <w:sz w:val="24"/>
          <w:szCs w:val="24"/>
        </w:rPr>
        <w:br w:type="textWrapping"/>
      </w:r>
      <w:r>
        <w:rPr>
          <w:rFonts w:hint="eastAsia" w:ascii="宋体" w:hAnsi="宋体" w:eastAsia="宋体" w:cs="宋体"/>
          <w:sz w:val="24"/>
          <w:szCs w:val="24"/>
        </w:rPr>
        <w:t>（8）本项目不接受联合体响应。</w:t>
      </w: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三、获取招标文件</w:t>
      </w:r>
    </w:p>
    <w:p>
      <w:pPr>
        <w:spacing w:line="360" w:lineRule="auto"/>
        <w:rPr>
          <w:rFonts w:hint="eastAsia" w:ascii="宋体" w:hAnsi="宋体" w:eastAsia="宋体" w:cs="宋体"/>
          <w:sz w:val="24"/>
          <w:szCs w:val="24"/>
        </w:rPr>
      </w:pPr>
      <w:r>
        <w:rPr>
          <w:rFonts w:hint="eastAsia" w:ascii="宋体" w:hAnsi="宋体" w:eastAsia="宋体" w:cs="宋体"/>
          <w:sz w:val="24"/>
          <w:szCs w:val="24"/>
        </w:rPr>
        <w:t>时间：2022年</w:t>
      </w:r>
      <w:r>
        <w:rPr>
          <w:rFonts w:hint="eastAsia" w:ascii="宋体" w:hAnsi="宋体" w:eastAsia="宋体" w:cs="宋体"/>
          <w:sz w:val="24"/>
          <w:szCs w:val="24"/>
          <w:lang w:val="en-US" w:eastAsia="zh-CN"/>
        </w:rPr>
        <w:t>10</w:t>
      </w:r>
      <w:r>
        <w:rPr>
          <w:rFonts w:hint="eastAsia" w:ascii="宋体" w:hAnsi="宋体" w:eastAsia="宋体" w:cs="宋体"/>
          <w:sz w:val="24"/>
          <w:szCs w:val="24"/>
        </w:rPr>
        <w:t>月</w:t>
      </w:r>
      <w:r>
        <w:rPr>
          <w:rFonts w:hint="eastAsia" w:ascii="宋体" w:hAnsi="宋体" w:eastAsia="宋体" w:cs="宋体"/>
          <w:sz w:val="24"/>
          <w:szCs w:val="24"/>
          <w:lang w:val="en-US" w:eastAsia="zh-CN"/>
        </w:rPr>
        <w:t>24</w:t>
      </w:r>
      <w:r>
        <w:rPr>
          <w:rFonts w:hint="eastAsia" w:ascii="宋体" w:hAnsi="宋体" w:eastAsia="宋体" w:cs="宋体"/>
          <w:sz w:val="24"/>
          <w:szCs w:val="24"/>
        </w:rPr>
        <w:t>日至2022年</w:t>
      </w:r>
      <w:r>
        <w:rPr>
          <w:rFonts w:hint="eastAsia" w:ascii="宋体" w:hAnsi="宋体" w:eastAsia="宋体" w:cs="宋体"/>
          <w:sz w:val="24"/>
          <w:szCs w:val="24"/>
          <w:lang w:val="en-US" w:eastAsia="zh-CN"/>
        </w:rPr>
        <w:t>10</w:t>
      </w:r>
      <w:r>
        <w:rPr>
          <w:rFonts w:hint="eastAsia" w:ascii="宋体" w:hAnsi="宋体" w:eastAsia="宋体" w:cs="宋体"/>
          <w:sz w:val="24"/>
          <w:szCs w:val="24"/>
        </w:rPr>
        <w:t>月</w:t>
      </w:r>
      <w:r>
        <w:rPr>
          <w:rFonts w:hint="eastAsia" w:ascii="宋体" w:hAnsi="宋体" w:eastAsia="宋体" w:cs="宋体"/>
          <w:sz w:val="24"/>
          <w:szCs w:val="24"/>
          <w:lang w:val="en-US" w:eastAsia="zh-CN"/>
        </w:rPr>
        <w:t>27</w:t>
      </w:r>
      <w:r>
        <w:rPr>
          <w:rFonts w:hint="eastAsia" w:ascii="宋体" w:hAnsi="宋体" w:eastAsia="宋体" w:cs="宋体"/>
          <w:sz w:val="24"/>
          <w:szCs w:val="24"/>
        </w:rPr>
        <w:t>日，每天上午09:00:00至12:00:00，下午13:30:00至17:00:00（北京时间）</w:t>
      </w:r>
    </w:p>
    <w:p>
      <w:pPr>
        <w:spacing w:line="360" w:lineRule="auto"/>
        <w:rPr>
          <w:rFonts w:hint="eastAsia" w:ascii="宋体" w:hAnsi="宋体" w:eastAsia="宋体" w:cs="宋体"/>
          <w:sz w:val="24"/>
          <w:szCs w:val="24"/>
        </w:rPr>
      </w:pPr>
      <w:r>
        <w:rPr>
          <w:rFonts w:hint="eastAsia" w:ascii="宋体" w:hAnsi="宋体" w:eastAsia="宋体" w:cs="宋体"/>
          <w:sz w:val="24"/>
          <w:szCs w:val="24"/>
        </w:rPr>
        <w:t>途径：西安市雁塔区科技路10号华奥大厦A座20层2002室</w:t>
      </w:r>
    </w:p>
    <w:p>
      <w:pPr>
        <w:spacing w:line="360" w:lineRule="auto"/>
        <w:rPr>
          <w:rFonts w:hint="eastAsia" w:ascii="宋体" w:hAnsi="宋体" w:eastAsia="宋体" w:cs="宋体"/>
          <w:sz w:val="24"/>
          <w:szCs w:val="24"/>
        </w:rPr>
      </w:pPr>
      <w:r>
        <w:rPr>
          <w:rFonts w:hint="eastAsia" w:ascii="宋体" w:hAnsi="宋体" w:eastAsia="宋体" w:cs="宋体"/>
          <w:sz w:val="24"/>
          <w:szCs w:val="24"/>
        </w:rPr>
        <w:t>方式：现场获取</w:t>
      </w:r>
    </w:p>
    <w:p>
      <w:pPr>
        <w:spacing w:line="360" w:lineRule="auto"/>
        <w:rPr>
          <w:rFonts w:hint="eastAsia" w:ascii="宋体" w:hAnsi="宋体" w:eastAsia="宋体" w:cs="宋体"/>
          <w:sz w:val="24"/>
          <w:szCs w:val="24"/>
        </w:rPr>
      </w:pPr>
      <w:r>
        <w:rPr>
          <w:rFonts w:hint="eastAsia" w:ascii="宋体" w:hAnsi="宋体" w:eastAsia="宋体" w:cs="宋体"/>
          <w:sz w:val="24"/>
          <w:szCs w:val="24"/>
        </w:rPr>
        <w:t>售价：免费获取</w:t>
      </w: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四、提交投标文件截止时间、开标时间和地点</w:t>
      </w:r>
    </w:p>
    <w:p>
      <w:pPr>
        <w:spacing w:line="360" w:lineRule="auto"/>
        <w:rPr>
          <w:rFonts w:hint="eastAsia" w:ascii="宋体" w:hAnsi="宋体" w:eastAsia="宋体" w:cs="宋体"/>
          <w:sz w:val="24"/>
          <w:szCs w:val="24"/>
        </w:rPr>
      </w:pPr>
      <w:r>
        <w:rPr>
          <w:rFonts w:hint="eastAsia" w:ascii="宋体" w:hAnsi="宋体" w:eastAsia="宋体" w:cs="宋体"/>
          <w:sz w:val="24"/>
          <w:szCs w:val="24"/>
        </w:rPr>
        <w:t>时间：2022年</w:t>
      </w:r>
      <w:r>
        <w:rPr>
          <w:rFonts w:hint="eastAsia" w:ascii="宋体" w:hAnsi="宋体" w:eastAsia="宋体" w:cs="宋体"/>
          <w:sz w:val="24"/>
          <w:szCs w:val="24"/>
          <w:lang w:val="en-US" w:eastAsia="zh-CN"/>
        </w:rPr>
        <w:t>10</w:t>
      </w:r>
      <w:r>
        <w:rPr>
          <w:rFonts w:hint="eastAsia" w:ascii="宋体" w:hAnsi="宋体" w:eastAsia="宋体" w:cs="宋体"/>
          <w:sz w:val="24"/>
          <w:szCs w:val="24"/>
        </w:rPr>
        <w:t>月</w:t>
      </w:r>
      <w:r>
        <w:rPr>
          <w:rFonts w:hint="eastAsia" w:ascii="宋体" w:hAnsi="宋体" w:eastAsia="宋体" w:cs="宋体"/>
          <w:sz w:val="24"/>
          <w:szCs w:val="24"/>
          <w:lang w:val="en-US" w:eastAsia="zh-CN"/>
        </w:rPr>
        <w:t>28</w:t>
      </w:r>
      <w:r>
        <w:rPr>
          <w:rFonts w:hint="eastAsia" w:ascii="宋体" w:hAnsi="宋体" w:eastAsia="宋体" w:cs="宋体"/>
          <w:sz w:val="24"/>
          <w:szCs w:val="24"/>
        </w:rPr>
        <w:t>日</w:t>
      </w:r>
      <w:r>
        <w:rPr>
          <w:rFonts w:hint="eastAsia" w:ascii="宋体" w:hAnsi="宋体" w:eastAsia="宋体" w:cs="宋体"/>
          <w:sz w:val="24"/>
          <w:szCs w:val="24"/>
          <w:lang w:val="en-US" w:eastAsia="zh-CN"/>
        </w:rPr>
        <w:t xml:space="preserve">14 </w:t>
      </w:r>
      <w:r>
        <w:rPr>
          <w:rFonts w:hint="eastAsia" w:ascii="宋体" w:hAnsi="宋体" w:eastAsia="宋体" w:cs="宋体"/>
          <w:sz w:val="24"/>
          <w:szCs w:val="24"/>
        </w:rPr>
        <w:t>时</w:t>
      </w:r>
      <w:r>
        <w:rPr>
          <w:rFonts w:hint="eastAsia" w:ascii="宋体" w:hAnsi="宋体" w:eastAsia="宋体" w:cs="宋体"/>
          <w:sz w:val="24"/>
          <w:szCs w:val="24"/>
          <w:lang w:val="en-US" w:eastAsia="zh-CN"/>
        </w:rPr>
        <w:t>30</w:t>
      </w:r>
      <w:r>
        <w:rPr>
          <w:rFonts w:hint="eastAsia" w:ascii="宋体" w:hAnsi="宋体" w:eastAsia="宋体" w:cs="宋体"/>
          <w:sz w:val="24"/>
          <w:szCs w:val="24"/>
        </w:rPr>
        <w:t>分</w:t>
      </w:r>
      <w:r>
        <w:rPr>
          <w:rFonts w:hint="eastAsia" w:ascii="宋体" w:hAnsi="宋体" w:eastAsia="宋体" w:cs="宋体"/>
          <w:sz w:val="24"/>
          <w:szCs w:val="24"/>
          <w:lang w:val="en-US" w:eastAsia="zh-CN"/>
        </w:rPr>
        <w:t>00</w:t>
      </w:r>
      <w:r>
        <w:rPr>
          <w:rFonts w:hint="eastAsia" w:ascii="宋体" w:hAnsi="宋体" w:eastAsia="宋体" w:cs="宋体"/>
          <w:sz w:val="24"/>
          <w:szCs w:val="24"/>
        </w:rPr>
        <w:t>秒 （北京时间）</w:t>
      </w:r>
    </w:p>
    <w:p>
      <w:pPr>
        <w:spacing w:line="360" w:lineRule="auto"/>
        <w:rPr>
          <w:rFonts w:hint="eastAsia" w:ascii="宋体" w:hAnsi="宋体" w:eastAsia="宋体" w:cs="宋体"/>
          <w:sz w:val="24"/>
          <w:szCs w:val="24"/>
        </w:rPr>
      </w:pPr>
      <w:r>
        <w:rPr>
          <w:rFonts w:hint="eastAsia" w:ascii="宋体" w:hAnsi="宋体" w:eastAsia="宋体" w:cs="宋体"/>
          <w:sz w:val="24"/>
          <w:szCs w:val="24"/>
        </w:rPr>
        <w:t>提交投标文件地点：西安市雁塔区科技路10号华奥大厦A座20层2002室开标室</w:t>
      </w:r>
    </w:p>
    <w:p>
      <w:pPr>
        <w:spacing w:line="360" w:lineRule="auto"/>
        <w:rPr>
          <w:rFonts w:hint="eastAsia" w:ascii="宋体" w:hAnsi="宋体" w:eastAsia="宋体" w:cs="宋体"/>
          <w:sz w:val="24"/>
          <w:szCs w:val="24"/>
        </w:rPr>
      </w:pPr>
      <w:r>
        <w:rPr>
          <w:rFonts w:hint="eastAsia" w:ascii="宋体" w:hAnsi="宋体" w:eastAsia="宋体" w:cs="宋体"/>
          <w:sz w:val="24"/>
          <w:szCs w:val="24"/>
        </w:rPr>
        <w:t>开标地点：西安市雁塔区科技路10号华奥大厦A座20层2002室开标室</w:t>
      </w: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五、公告期限</w:t>
      </w:r>
    </w:p>
    <w:p>
      <w:pPr>
        <w:spacing w:line="360" w:lineRule="auto"/>
        <w:rPr>
          <w:rFonts w:hint="eastAsia" w:ascii="宋体" w:hAnsi="宋体" w:eastAsia="宋体" w:cs="宋体"/>
          <w:sz w:val="24"/>
          <w:szCs w:val="24"/>
        </w:rPr>
      </w:pPr>
      <w:r>
        <w:rPr>
          <w:rFonts w:hint="eastAsia" w:ascii="宋体" w:hAnsi="宋体" w:eastAsia="宋体" w:cs="宋体"/>
          <w:sz w:val="24"/>
          <w:szCs w:val="24"/>
        </w:rPr>
        <w:t>自本公告发布之日起3个工作日。</w:t>
      </w: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六、其他补充事宜</w:t>
      </w:r>
    </w:p>
    <w:p>
      <w:pPr>
        <w:spacing w:line="360" w:lineRule="auto"/>
        <w:rPr>
          <w:rFonts w:hint="eastAsia" w:ascii="宋体" w:hAnsi="宋体" w:eastAsia="宋体" w:cs="宋体"/>
          <w:sz w:val="24"/>
          <w:szCs w:val="24"/>
        </w:rPr>
      </w:pPr>
      <w:r>
        <w:rPr>
          <w:rFonts w:hint="eastAsia" w:ascii="宋体" w:hAnsi="宋体" w:eastAsia="宋体" w:cs="宋体"/>
          <w:sz w:val="24"/>
          <w:szCs w:val="24"/>
        </w:rPr>
        <w:t>（1）现场获取竞争性谈判文件时请提供单位介绍信原件、身份证原件及复印件加盖公章；网上获取请提前电话咨询后，提供单位介绍信、身份证复印件加盖公章扫描件发送至shanxizhuoming_zb@163.com邮箱（邮件标题命名格式为“供应商名称+联系人+联系电话+项目名称”）。</w:t>
      </w:r>
    </w:p>
    <w:p>
      <w:pPr>
        <w:spacing w:line="360" w:lineRule="auto"/>
        <w:rPr>
          <w:rFonts w:hint="eastAsia" w:ascii="宋体" w:hAnsi="宋体" w:eastAsia="宋体" w:cs="宋体"/>
          <w:sz w:val="24"/>
          <w:szCs w:val="24"/>
        </w:rPr>
      </w:pPr>
      <w:r>
        <w:rPr>
          <w:rFonts w:hint="eastAsia" w:ascii="宋体" w:hAnsi="宋体" w:eastAsia="宋体" w:cs="宋体"/>
          <w:sz w:val="24"/>
          <w:szCs w:val="24"/>
        </w:rPr>
        <w:t>（2）请供应商按照陕西省财政厅关于政府采购供应商注册登记有关事项的通知中的要求，通过陕西省政府采购网（http://www.ccgp-shaanxi.gov.cn/）注册登记加入陕西省政府采购供应商库。</w:t>
      </w: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七、对本次招标提出询问，请按以下方式联系。</w:t>
      </w:r>
    </w:p>
    <w:p>
      <w:pPr>
        <w:spacing w:line="360" w:lineRule="auto"/>
        <w:rPr>
          <w:rFonts w:hint="eastAsia" w:ascii="宋体" w:hAnsi="宋体" w:eastAsia="宋体" w:cs="宋体"/>
          <w:sz w:val="24"/>
          <w:szCs w:val="24"/>
        </w:rPr>
      </w:pPr>
      <w:r>
        <w:rPr>
          <w:rFonts w:hint="eastAsia" w:ascii="宋体" w:hAnsi="宋体" w:eastAsia="宋体" w:cs="宋体"/>
          <w:sz w:val="24"/>
          <w:szCs w:val="24"/>
        </w:rPr>
        <w:t>1.采购人信息</w:t>
      </w:r>
    </w:p>
    <w:p>
      <w:pPr>
        <w:spacing w:line="360" w:lineRule="auto"/>
        <w:rPr>
          <w:rFonts w:hint="eastAsia" w:ascii="宋体" w:hAnsi="宋体" w:eastAsia="宋体" w:cs="宋体"/>
          <w:sz w:val="24"/>
          <w:szCs w:val="24"/>
          <w:lang w:eastAsia="zh-CN"/>
        </w:rPr>
      </w:pPr>
      <w:r>
        <w:rPr>
          <w:rFonts w:hint="eastAsia" w:ascii="宋体" w:hAnsi="宋体" w:eastAsia="宋体" w:cs="宋体"/>
          <w:sz w:val="24"/>
          <w:szCs w:val="24"/>
        </w:rPr>
        <w:t>名称：</w:t>
      </w:r>
      <w:r>
        <w:rPr>
          <w:rFonts w:hint="eastAsia" w:ascii="宋体" w:hAnsi="宋体" w:eastAsia="宋体" w:cs="宋体"/>
          <w:sz w:val="24"/>
          <w:szCs w:val="24"/>
          <w:lang w:eastAsia="zh-CN"/>
        </w:rPr>
        <w:t>西安市灞桥区教育局（本级）</w:t>
      </w:r>
    </w:p>
    <w:p>
      <w:pPr>
        <w:spacing w:line="360" w:lineRule="auto"/>
        <w:rPr>
          <w:rFonts w:ascii="宋体" w:hAnsi="宋体" w:cs="宋体"/>
          <w:sz w:val="24"/>
          <w:szCs w:val="24"/>
        </w:rPr>
      </w:pPr>
      <w:r>
        <w:rPr>
          <w:rFonts w:hint="eastAsia" w:ascii="宋体" w:hAnsi="宋体" w:cs="宋体"/>
          <w:sz w:val="24"/>
          <w:szCs w:val="24"/>
        </w:rPr>
        <w:t>地址：西安市区灞桥区纺东街419号</w:t>
      </w:r>
    </w:p>
    <w:p>
      <w:pPr>
        <w:spacing w:line="360" w:lineRule="auto"/>
        <w:rPr>
          <w:rFonts w:ascii="宋体" w:hAnsi="宋体" w:cs="宋体"/>
          <w:sz w:val="24"/>
          <w:szCs w:val="24"/>
        </w:rPr>
      </w:pPr>
      <w:r>
        <w:rPr>
          <w:rFonts w:hint="eastAsia" w:ascii="宋体" w:hAnsi="宋体" w:cs="宋体"/>
          <w:sz w:val="24"/>
          <w:szCs w:val="24"/>
        </w:rPr>
        <w:t>联系方式：</w:t>
      </w:r>
      <w:r>
        <w:rPr>
          <w:rFonts w:hint="eastAsia" w:ascii="宋体" w:hAnsi="宋体" w:cs="宋体"/>
          <w:sz w:val="24"/>
          <w:szCs w:val="24"/>
          <w:lang w:eastAsia="zh-CN"/>
        </w:rPr>
        <w:t>吕老师</w:t>
      </w:r>
      <w:r>
        <w:rPr>
          <w:rFonts w:hint="eastAsia" w:ascii="宋体" w:hAnsi="宋体" w:cs="宋体"/>
          <w:sz w:val="24"/>
          <w:szCs w:val="24"/>
          <w:lang w:val="en-US" w:eastAsia="zh-CN"/>
        </w:rPr>
        <w:t xml:space="preserve">  </w:t>
      </w:r>
      <w:r>
        <w:rPr>
          <w:rFonts w:hint="eastAsia" w:ascii="宋体" w:hAnsi="宋体" w:cs="宋体"/>
          <w:sz w:val="24"/>
          <w:szCs w:val="24"/>
        </w:rPr>
        <w:t xml:space="preserve">029-83552661        </w:t>
      </w:r>
    </w:p>
    <w:p>
      <w:pPr>
        <w:spacing w:line="360" w:lineRule="auto"/>
        <w:rPr>
          <w:rFonts w:ascii="宋体" w:hAnsi="宋体" w:cs="宋体"/>
          <w:sz w:val="24"/>
          <w:szCs w:val="24"/>
        </w:rPr>
      </w:pPr>
      <w:r>
        <w:rPr>
          <w:rFonts w:hint="eastAsia" w:ascii="宋体" w:hAnsi="宋体" w:cs="宋体"/>
          <w:sz w:val="24"/>
          <w:szCs w:val="24"/>
        </w:rPr>
        <w:t>2.釆购代理机构信息</w:t>
      </w:r>
    </w:p>
    <w:p>
      <w:pPr>
        <w:spacing w:line="360" w:lineRule="auto"/>
        <w:rPr>
          <w:rFonts w:ascii="宋体" w:hAnsi="宋体" w:cs="宋体"/>
          <w:sz w:val="24"/>
          <w:szCs w:val="24"/>
        </w:rPr>
      </w:pPr>
      <w:r>
        <w:rPr>
          <w:rFonts w:hint="eastAsia" w:ascii="宋体" w:hAnsi="宋体" w:cs="宋体"/>
          <w:sz w:val="24"/>
          <w:szCs w:val="24"/>
        </w:rPr>
        <w:t>名称：陕西卓佲项目管理有限公司</w:t>
      </w:r>
    </w:p>
    <w:p>
      <w:pPr>
        <w:spacing w:line="360" w:lineRule="auto"/>
        <w:rPr>
          <w:rFonts w:ascii="宋体" w:hAnsi="宋体" w:cs="宋体"/>
          <w:sz w:val="24"/>
          <w:szCs w:val="24"/>
        </w:rPr>
      </w:pPr>
      <w:r>
        <w:rPr>
          <w:rFonts w:hint="eastAsia" w:ascii="宋体" w:hAnsi="宋体" w:cs="宋体"/>
          <w:sz w:val="24"/>
          <w:szCs w:val="24"/>
        </w:rPr>
        <w:t>地址：西安市雁塔区科技路10号华奥大厦A座20层2002室</w:t>
      </w:r>
    </w:p>
    <w:p>
      <w:pPr>
        <w:spacing w:line="360" w:lineRule="auto"/>
        <w:rPr>
          <w:rFonts w:ascii="宋体" w:hAnsi="宋体" w:cs="宋体"/>
          <w:sz w:val="24"/>
          <w:szCs w:val="24"/>
        </w:rPr>
      </w:pPr>
      <w:r>
        <w:rPr>
          <w:rFonts w:hint="eastAsia" w:ascii="宋体" w:hAnsi="宋体" w:cs="宋体"/>
          <w:sz w:val="24"/>
          <w:szCs w:val="24"/>
        </w:rPr>
        <w:t>联系方式：029-88440695</w:t>
      </w:r>
    </w:p>
    <w:p>
      <w:pPr>
        <w:spacing w:line="360" w:lineRule="auto"/>
        <w:rPr>
          <w:rFonts w:ascii="宋体" w:hAnsi="宋体" w:cs="宋体"/>
          <w:sz w:val="24"/>
          <w:szCs w:val="24"/>
        </w:rPr>
      </w:pPr>
      <w:r>
        <w:rPr>
          <w:rFonts w:hint="eastAsia" w:ascii="宋体" w:hAnsi="宋体" w:cs="宋体"/>
          <w:sz w:val="24"/>
          <w:szCs w:val="24"/>
        </w:rPr>
        <w:t>3.项目联系方式</w:t>
      </w:r>
    </w:p>
    <w:p>
      <w:pPr>
        <w:spacing w:line="360" w:lineRule="auto"/>
        <w:rPr>
          <w:rFonts w:ascii="宋体" w:hAnsi="宋体" w:cs="宋体"/>
          <w:sz w:val="24"/>
          <w:szCs w:val="24"/>
        </w:rPr>
      </w:pPr>
      <w:r>
        <w:rPr>
          <w:rFonts w:hint="eastAsia" w:ascii="宋体" w:hAnsi="宋体" w:cs="宋体"/>
          <w:sz w:val="24"/>
          <w:szCs w:val="24"/>
        </w:rPr>
        <w:t>项目联系人：魏萌</w:t>
      </w:r>
      <w:r>
        <w:rPr>
          <w:rFonts w:hint="eastAsia" w:ascii="宋体" w:hAnsi="宋体" w:cs="宋体"/>
          <w:sz w:val="24"/>
          <w:szCs w:val="24"/>
          <w:lang w:val="en-US" w:eastAsia="zh-CN"/>
        </w:rPr>
        <w:t xml:space="preserve">  </w:t>
      </w:r>
      <w:r>
        <w:rPr>
          <w:rFonts w:hint="eastAsia" w:ascii="宋体" w:hAnsi="宋体" w:cs="宋体"/>
          <w:sz w:val="24"/>
          <w:szCs w:val="24"/>
          <w:lang w:eastAsia="zh-CN"/>
        </w:rPr>
        <w:t>杜华龙</w:t>
      </w:r>
      <w:r>
        <w:rPr>
          <w:rFonts w:hint="eastAsia" w:ascii="宋体" w:hAnsi="宋体" w:cs="宋体"/>
          <w:sz w:val="24"/>
          <w:szCs w:val="24"/>
        </w:rPr>
        <w:t xml:space="preserve"> </w:t>
      </w:r>
    </w:p>
    <w:p>
      <w:pPr>
        <w:spacing w:line="360" w:lineRule="auto"/>
        <w:rPr>
          <w:rFonts w:ascii="宋体" w:hAnsi="宋体" w:cs="宋体"/>
          <w:sz w:val="24"/>
          <w:szCs w:val="24"/>
        </w:rPr>
      </w:pPr>
      <w:r>
        <w:rPr>
          <w:rFonts w:hint="eastAsia" w:ascii="宋体" w:hAnsi="宋体" w:cs="宋体"/>
          <w:sz w:val="24"/>
          <w:szCs w:val="24"/>
        </w:rPr>
        <w:t>电话：029-88440695</w:t>
      </w:r>
    </w:p>
    <w:p>
      <w:pPr>
        <w:spacing w:line="360" w:lineRule="auto"/>
        <w:jc w:val="right"/>
        <w:rPr>
          <w:rFonts w:hint="eastAsia" w:ascii="宋体" w:hAnsi="宋体" w:eastAsia="宋体" w:cs="宋体"/>
          <w:sz w:val="24"/>
          <w:szCs w:val="24"/>
        </w:rPr>
      </w:pPr>
      <w:r>
        <w:rPr>
          <w:rFonts w:hint="eastAsia" w:ascii="宋体" w:hAnsi="宋体" w:eastAsia="宋体" w:cs="宋体"/>
          <w:sz w:val="24"/>
          <w:szCs w:val="24"/>
        </w:rPr>
        <w:t>陕西卓佲项目管理有限公司</w:t>
      </w:r>
    </w:p>
    <w:p>
      <w:pPr>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lang w:val="en-US" w:eastAsia="zh-CN"/>
        </w:rPr>
      </w:pPr>
      <w:r>
        <w:rPr>
          <w:rFonts w:hint="eastAsia" w:ascii="宋体" w:hAnsi="宋体" w:cs="宋体"/>
          <w:color w:val="auto"/>
          <w:sz w:val="24"/>
          <w:szCs w:val="24"/>
          <w:lang w:val="en-US" w:eastAsia="zh-CN"/>
        </w:rPr>
        <w:t xml:space="preserve">  </w:t>
      </w:r>
      <w:r>
        <w:rPr>
          <w:rFonts w:hint="eastAsia" w:ascii="宋体" w:hAnsi="宋体" w:eastAsia="宋体" w:cs="宋体"/>
          <w:sz w:val="24"/>
          <w:szCs w:val="24"/>
          <w:lang w:val="en-US" w:eastAsia="zh-CN"/>
        </w:rPr>
        <w:t>2022年10月24日</w:t>
      </w:r>
    </w:p>
    <w:p>
      <w:pPr>
        <w:pStyle w:val="3"/>
        <w:pageBreakBefore w:val="0"/>
        <w:widowControl w:val="0"/>
        <w:kinsoku/>
        <w:wordWrap/>
        <w:overflowPunct/>
        <w:topLinePunct w:val="0"/>
        <w:autoSpaceDE/>
        <w:autoSpaceDN/>
        <w:bidi w:val="0"/>
        <w:adjustRightInd/>
        <w:snapToGrid/>
        <w:spacing w:line="360" w:lineRule="auto"/>
        <w:textAlignment w:val="auto"/>
        <w:rPr>
          <w:rFonts w:ascii="宋体" w:hAnsi="宋体" w:cs="宋体"/>
        </w:rPr>
        <w:sectPr>
          <w:footerReference r:id="rId8" w:type="default"/>
          <w:pgSz w:w="11906" w:h="16838"/>
          <w:pgMar w:top="1440" w:right="1423" w:bottom="1440" w:left="1463" w:header="851" w:footer="992" w:gutter="0"/>
          <w:pgNumType w:fmt="decimal" w:start="1"/>
          <w:cols w:space="0" w:num="1"/>
          <w:docGrid w:type="lines" w:linePitch="312" w:charSpace="0"/>
        </w:sectPr>
      </w:pPr>
    </w:p>
    <w:p>
      <w:pPr>
        <w:pStyle w:val="3"/>
        <w:rPr>
          <w:rFonts w:ascii="宋体" w:hAnsi="宋体" w:cs="宋体"/>
        </w:rPr>
      </w:pPr>
      <w:bookmarkStart w:id="4" w:name="_Toc5904"/>
      <w:r>
        <w:rPr>
          <w:rFonts w:hint="eastAsia" w:ascii="宋体" w:hAnsi="宋体" w:cs="宋体"/>
        </w:rPr>
        <w:t>第二部分  供应商须知前附表</w:t>
      </w:r>
      <w:bookmarkEnd w:id="2"/>
      <w:bookmarkEnd w:id="3"/>
      <w:bookmarkEnd w:id="4"/>
    </w:p>
    <w:p>
      <w:pPr>
        <w:ind w:firstLine="240" w:firstLineChars="100"/>
        <w:rPr>
          <w:rFonts w:ascii="宋体" w:hAnsi="宋体" w:eastAsia="宋体" w:cs="宋体"/>
          <w:sz w:val="24"/>
          <w:szCs w:val="24"/>
        </w:rPr>
      </w:pPr>
    </w:p>
    <w:tbl>
      <w:tblPr>
        <w:tblStyle w:val="23"/>
        <w:tblpPr w:leftFromText="180" w:rightFromText="180" w:vertAnchor="text" w:horzAnchor="page" w:tblpX="1509" w:tblpY="309"/>
        <w:tblOverlap w:val="never"/>
        <w:tblW w:w="9218"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05"/>
        <w:gridCol w:w="1336"/>
        <w:gridCol w:w="737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84" w:hRule="atLeast"/>
        </w:trPr>
        <w:tc>
          <w:tcPr>
            <w:tcW w:w="505" w:type="dxa"/>
            <w:vAlign w:val="center"/>
          </w:tcPr>
          <w:p>
            <w:pPr>
              <w:spacing w:before="156" w:beforeLines="50" w:line="360" w:lineRule="auto"/>
              <w:jc w:val="center"/>
              <w:rPr>
                <w:rFonts w:ascii="宋体" w:hAnsi="宋体" w:cs="宋体"/>
                <w:b/>
                <w:sz w:val="24"/>
                <w:szCs w:val="24"/>
              </w:rPr>
            </w:pPr>
            <w:r>
              <w:rPr>
                <w:rFonts w:hint="eastAsia" w:ascii="宋体" w:hAnsi="宋体" w:cs="宋体"/>
                <w:b/>
                <w:sz w:val="24"/>
                <w:szCs w:val="24"/>
              </w:rPr>
              <w:t>序号</w:t>
            </w:r>
          </w:p>
        </w:tc>
        <w:tc>
          <w:tcPr>
            <w:tcW w:w="1336" w:type="dxa"/>
            <w:vAlign w:val="center"/>
          </w:tcPr>
          <w:p>
            <w:pPr>
              <w:spacing w:before="156" w:beforeLines="50" w:line="360" w:lineRule="auto"/>
              <w:jc w:val="center"/>
              <w:rPr>
                <w:rFonts w:ascii="宋体" w:hAnsi="宋体" w:cs="宋体"/>
                <w:b/>
                <w:sz w:val="24"/>
                <w:szCs w:val="24"/>
              </w:rPr>
            </w:pPr>
            <w:r>
              <w:rPr>
                <w:rFonts w:hint="eastAsia" w:ascii="宋体" w:hAnsi="宋体" w:cs="宋体"/>
                <w:b/>
                <w:sz w:val="24"/>
                <w:szCs w:val="24"/>
              </w:rPr>
              <w:t>内容</w:t>
            </w:r>
          </w:p>
        </w:tc>
        <w:tc>
          <w:tcPr>
            <w:tcW w:w="7377" w:type="dxa"/>
          </w:tcPr>
          <w:p>
            <w:pPr>
              <w:spacing w:before="156" w:beforeLines="50" w:line="360" w:lineRule="auto"/>
              <w:jc w:val="center"/>
              <w:rPr>
                <w:rFonts w:ascii="宋体" w:hAnsi="宋体" w:cs="宋体"/>
                <w:b/>
                <w:sz w:val="24"/>
                <w:szCs w:val="24"/>
              </w:rPr>
            </w:pPr>
            <w:r>
              <w:rPr>
                <w:rFonts w:hint="eastAsia" w:ascii="宋体" w:hAnsi="宋体" w:cs="宋体"/>
                <w:b/>
                <w:sz w:val="24"/>
                <w:szCs w:val="24"/>
              </w:rPr>
              <w:t>说明和要求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84" w:hRule="atLeast"/>
        </w:trPr>
        <w:tc>
          <w:tcPr>
            <w:tcW w:w="505" w:type="dxa"/>
            <w:vAlign w:val="center"/>
          </w:tcPr>
          <w:p>
            <w:pPr>
              <w:spacing w:before="156" w:beforeLines="50" w:line="360" w:lineRule="auto"/>
              <w:jc w:val="center"/>
              <w:rPr>
                <w:rFonts w:ascii="宋体" w:hAnsi="宋体" w:cs="宋体"/>
                <w:b/>
                <w:sz w:val="24"/>
                <w:szCs w:val="24"/>
              </w:rPr>
            </w:pPr>
            <w:r>
              <w:rPr>
                <w:rFonts w:hint="eastAsia" w:ascii="宋体" w:hAnsi="宋体" w:cs="宋体"/>
                <w:b/>
                <w:sz w:val="24"/>
                <w:szCs w:val="24"/>
              </w:rPr>
              <w:t>1</w:t>
            </w:r>
          </w:p>
        </w:tc>
        <w:tc>
          <w:tcPr>
            <w:tcW w:w="1336" w:type="dxa"/>
            <w:vAlign w:val="center"/>
          </w:tcPr>
          <w:p>
            <w:pPr>
              <w:spacing w:line="360" w:lineRule="auto"/>
              <w:jc w:val="center"/>
              <w:rPr>
                <w:rFonts w:ascii="宋体" w:hAnsi="宋体" w:cs="宋体"/>
                <w:sz w:val="24"/>
                <w:szCs w:val="24"/>
              </w:rPr>
            </w:pPr>
            <w:r>
              <w:rPr>
                <w:rFonts w:hint="eastAsia" w:ascii="宋体" w:hAnsi="宋体" w:cs="宋体"/>
                <w:sz w:val="24"/>
                <w:szCs w:val="24"/>
              </w:rPr>
              <w:t>资格要求</w:t>
            </w:r>
          </w:p>
        </w:tc>
        <w:tc>
          <w:tcPr>
            <w:tcW w:w="7377" w:type="dxa"/>
          </w:tcPr>
          <w:p>
            <w:pPr>
              <w:numPr>
                <w:ilvl w:val="0"/>
                <w:numId w:val="1"/>
              </w:numPr>
              <w:spacing w:line="360" w:lineRule="auto"/>
              <w:rPr>
                <w:rFonts w:ascii="宋体" w:hAnsi="宋体" w:cs="宋体"/>
                <w:sz w:val="24"/>
                <w:szCs w:val="24"/>
              </w:rPr>
            </w:pPr>
            <w:r>
              <w:rPr>
                <w:rFonts w:hint="eastAsia" w:ascii="宋体" w:hAnsi="宋体" w:cs="宋体"/>
                <w:sz w:val="24"/>
                <w:szCs w:val="24"/>
              </w:rPr>
              <w:t>基本资格条件：满足《中华人民共和国政府采购法》第二十二条规定。</w:t>
            </w:r>
          </w:p>
          <w:p>
            <w:pPr>
              <w:spacing w:line="360" w:lineRule="auto"/>
              <w:rPr>
                <w:rFonts w:ascii="宋体" w:hAnsi="宋体" w:cs="宋体"/>
                <w:sz w:val="24"/>
                <w:szCs w:val="24"/>
              </w:rPr>
            </w:pPr>
            <w:r>
              <w:rPr>
                <w:rFonts w:hint="eastAsia" w:ascii="宋体" w:hAnsi="宋体" w:cs="宋体"/>
                <w:sz w:val="24"/>
                <w:szCs w:val="24"/>
              </w:rPr>
              <w:t>（二）特定资格条件：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color w:val="auto"/>
                <w:sz w:val="24"/>
                <w:szCs w:val="28"/>
                <w:lang w:eastAsia="zh-CN"/>
              </w:rPr>
              <w:t>（</w:t>
            </w:r>
            <w:r>
              <w:rPr>
                <w:rFonts w:hint="eastAsia"/>
                <w:color w:val="auto"/>
                <w:sz w:val="24"/>
                <w:szCs w:val="28"/>
                <w:lang w:val="en-US" w:eastAsia="zh-CN"/>
              </w:rPr>
              <w:t>1）</w:t>
            </w:r>
            <w:r>
              <w:rPr>
                <w:rFonts w:hint="eastAsia"/>
                <w:color w:val="auto"/>
                <w:sz w:val="24"/>
                <w:szCs w:val="28"/>
              </w:rPr>
              <w:t>具有独立承担民事责任能力的法人、其他组织或自然人，提供合法有效的统一社会信用代码营业执照（事业单位提供事业单位法人证书，自然人应提供身份证）；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color w:val="auto"/>
                <w:sz w:val="24"/>
                <w:szCs w:val="28"/>
                <w:lang w:eastAsia="zh-CN"/>
              </w:rPr>
              <w:t>（</w:t>
            </w:r>
            <w:r>
              <w:rPr>
                <w:rFonts w:hint="eastAsia"/>
                <w:color w:val="auto"/>
                <w:sz w:val="24"/>
                <w:szCs w:val="28"/>
                <w:lang w:val="en-US" w:eastAsia="zh-CN"/>
              </w:rPr>
              <w:t>2）</w:t>
            </w:r>
            <w:r>
              <w:rPr>
                <w:rFonts w:hint="eastAsia"/>
                <w:color w:val="auto"/>
                <w:sz w:val="24"/>
                <w:szCs w:val="28"/>
              </w:rPr>
              <w:t>财务状况证明：供应商提供2021年度经审计完整的财务审计报告（成立时间至提交响应文件截止时间不足一年的可提供成立后任意时段的资产负债表），或其开标前三个月内银行出具的资信证明，或财政部门认可的政府采购专业担保机构出具的投标担保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color w:val="auto"/>
                <w:sz w:val="24"/>
                <w:szCs w:val="28"/>
                <w:lang w:eastAsia="zh-CN"/>
              </w:rPr>
              <w:t>（</w:t>
            </w:r>
            <w:r>
              <w:rPr>
                <w:rFonts w:hint="eastAsia"/>
                <w:color w:val="auto"/>
                <w:sz w:val="24"/>
                <w:szCs w:val="28"/>
                <w:lang w:val="en-US" w:eastAsia="zh-CN"/>
              </w:rPr>
              <w:t>3）</w:t>
            </w:r>
            <w:r>
              <w:rPr>
                <w:rFonts w:hint="eastAsia"/>
                <w:color w:val="auto"/>
                <w:sz w:val="24"/>
                <w:szCs w:val="28"/>
              </w:rPr>
              <w:t>具有履行合同所必需的设备和专业技术能力的书面声明；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color w:val="auto"/>
                <w:sz w:val="24"/>
                <w:szCs w:val="28"/>
                <w:lang w:eastAsia="zh-CN"/>
              </w:rPr>
              <w:t>（</w:t>
            </w:r>
            <w:r>
              <w:rPr>
                <w:rFonts w:hint="eastAsia"/>
                <w:color w:val="auto"/>
                <w:sz w:val="24"/>
                <w:szCs w:val="28"/>
                <w:lang w:val="en-US" w:eastAsia="zh-CN"/>
              </w:rPr>
              <w:t>4</w:t>
            </w:r>
            <w:r>
              <w:rPr>
                <w:rFonts w:hint="eastAsia"/>
                <w:color w:val="auto"/>
                <w:sz w:val="24"/>
                <w:szCs w:val="28"/>
                <w:lang w:eastAsia="zh-CN"/>
              </w:rPr>
              <w:t>）</w:t>
            </w:r>
            <w:r>
              <w:rPr>
                <w:rFonts w:hint="eastAsia"/>
                <w:color w:val="auto"/>
                <w:sz w:val="24"/>
                <w:szCs w:val="28"/>
              </w:rPr>
              <w:t>税收缴纳证明：提供 202</w:t>
            </w:r>
            <w:r>
              <w:rPr>
                <w:rFonts w:hint="eastAsia"/>
                <w:color w:val="auto"/>
                <w:sz w:val="24"/>
                <w:szCs w:val="28"/>
                <w:lang w:val="en-US" w:eastAsia="zh-CN"/>
              </w:rPr>
              <w:t>2</w:t>
            </w:r>
            <w:r>
              <w:rPr>
                <w:rFonts w:hint="eastAsia"/>
                <w:color w:val="auto"/>
                <w:sz w:val="24"/>
                <w:szCs w:val="28"/>
              </w:rPr>
              <w:t>年 </w:t>
            </w:r>
            <w:r>
              <w:rPr>
                <w:rFonts w:hint="eastAsia"/>
                <w:color w:val="auto"/>
                <w:sz w:val="24"/>
                <w:szCs w:val="28"/>
                <w:lang w:val="en-US" w:eastAsia="zh-CN"/>
              </w:rPr>
              <w:t>1</w:t>
            </w:r>
            <w:r>
              <w:rPr>
                <w:rFonts w:hint="eastAsia"/>
                <w:color w:val="auto"/>
                <w:sz w:val="24"/>
                <w:szCs w:val="28"/>
              </w:rPr>
              <w:t>月以来至少一个月的纳税证明或完税证明，依法免税的单位应提供相关证明材料；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color w:val="auto"/>
                <w:sz w:val="24"/>
                <w:szCs w:val="28"/>
                <w:lang w:eastAsia="zh-CN"/>
              </w:rPr>
              <w:t>（</w:t>
            </w:r>
            <w:r>
              <w:rPr>
                <w:rFonts w:hint="eastAsia"/>
                <w:color w:val="auto"/>
                <w:sz w:val="24"/>
                <w:szCs w:val="28"/>
                <w:lang w:val="en-US" w:eastAsia="zh-CN"/>
              </w:rPr>
              <w:t>5</w:t>
            </w:r>
            <w:r>
              <w:rPr>
                <w:rFonts w:hint="eastAsia"/>
                <w:color w:val="auto"/>
                <w:sz w:val="24"/>
                <w:szCs w:val="28"/>
                <w:lang w:eastAsia="zh-CN"/>
              </w:rPr>
              <w:t>）</w:t>
            </w:r>
            <w:r>
              <w:rPr>
                <w:rFonts w:hint="eastAsia"/>
                <w:color w:val="auto"/>
                <w:sz w:val="24"/>
                <w:szCs w:val="28"/>
              </w:rPr>
              <w:t>社会保障资金缴纳证明：提供 202</w:t>
            </w:r>
            <w:r>
              <w:rPr>
                <w:rFonts w:hint="eastAsia"/>
                <w:color w:val="auto"/>
                <w:sz w:val="24"/>
                <w:szCs w:val="28"/>
                <w:lang w:val="en-US" w:eastAsia="zh-CN"/>
              </w:rPr>
              <w:t>2</w:t>
            </w:r>
            <w:r>
              <w:rPr>
                <w:rFonts w:hint="eastAsia"/>
                <w:color w:val="auto"/>
                <w:sz w:val="24"/>
                <w:szCs w:val="28"/>
              </w:rPr>
              <w:t> 年</w:t>
            </w:r>
            <w:r>
              <w:rPr>
                <w:rFonts w:hint="eastAsia"/>
                <w:color w:val="auto"/>
                <w:sz w:val="24"/>
                <w:szCs w:val="28"/>
                <w:lang w:val="en-US" w:eastAsia="zh-CN"/>
              </w:rPr>
              <w:t>1</w:t>
            </w:r>
            <w:r>
              <w:rPr>
                <w:rFonts w:hint="eastAsia"/>
                <w:color w:val="auto"/>
                <w:sz w:val="24"/>
                <w:szCs w:val="28"/>
              </w:rPr>
              <w:t>月以来至少一个月的社会保障资金缴存单据或社保机构开具的社会保险参保缴费情况证明。依法不需要缴纳社会保障资金的供应商应提供相关文件证明；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color w:val="auto"/>
                <w:sz w:val="24"/>
                <w:szCs w:val="28"/>
                <w:lang w:eastAsia="zh-CN"/>
              </w:rPr>
              <w:t>（</w:t>
            </w:r>
            <w:r>
              <w:rPr>
                <w:rFonts w:hint="eastAsia"/>
                <w:color w:val="auto"/>
                <w:sz w:val="24"/>
                <w:szCs w:val="28"/>
                <w:lang w:val="en-US" w:eastAsia="zh-CN"/>
              </w:rPr>
              <w:t>6</w:t>
            </w:r>
            <w:r>
              <w:rPr>
                <w:rFonts w:hint="eastAsia"/>
                <w:color w:val="auto"/>
                <w:sz w:val="24"/>
                <w:szCs w:val="28"/>
                <w:lang w:eastAsia="zh-CN"/>
              </w:rPr>
              <w:t>）</w:t>
            </w:r>
            <w:r>
              <w:rPr>
                <w:rFonts w:hint="eastAsia"/>
                <w:color w:val="auto"/>
                <w:sz w:val="24"/>
                <w:szCs w:val="28"/>
              </w:rPr>
              <w:t>参加政府采购活动前 3 年内在经营活动中没有重大违法记录的书面声明；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color w:val="auto"/>
                <w:sz w:val="24"/>
                <w:szCs w:val="28"/>
                <w:lang w:eastAsia="zh-CN"/>
              </w:rPr>
              <w:t>（</w:t>
            </w:r>
            <w:r>
              <w:rPr>
                <w:rFonts w:hint="eastAsia"/>
                <w:color w:val="auto"/>
                <w:sz w:val="24"/>
                <w:szCs w:val="28"/>
                <w:lang w:val="en-US" w:eastAsia="zh-CN"/>
              </w:rPr>
              <w:t>7</w:t>
            </w:r>
            <w:r>
              <w:rPr>
                <w:rFonts w:hint="eastAsia"/>
                <w:color w:val="auto"/>
                <w:sz w:val="24"/>
                <w:szCs w:val="28"/>
                <w:lang w:eastAsia="zh-CN"/>
              </w:rPr>
              <w:t>）</w:t>
            </w:r>
            <w:r>
              <w:rPr>
                <w:rFonts w:hint="eastAsia" w:ascii="宋体" w:hAnsi="宋体" w:eastAsia="宋体" w:cs="宋体"/>
                <w:sz w:val="24"/>
                <w:szCs w:val="24"/>
                <w:highlight w:val="none"/>
              </w:rPr>
              <w:t>非法定代表人参加投标的，须提供法定代表人委托授权书及被授权人身份证，法定代表人参加投标时,</w:t>
            </w:r>
            <w:r>
              <w:rPr>
                <w:rFonts w:hint="eastAsia" w:ascii="宋体" w:hAnsi="宋体" w:cs="宋体"/>
                <w:sz w:val="24"/>
                <w:szCs w:val="24"/>
                <w:highlight w:val="none"/>
                <w:lang w:eastAsia="zh-CN"/>
              </w:rPr>
              <w:t>只需</w:t>
            </w:r>
            <w:r>
              <w:rPr>
                <w:rFonts w:hint="eastAsia" w:ascii="宋体" w:hAnsi="宋体" w:eastAsia="宋体" w:cs="宋体"/>
                <w:sz w:val="24"/>
                <w:szCs w:val="24"/>
                <w:highlight w:val="none"/>
              </w:rPr>
              <w:t>提供法定代表人身份证；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8"/>
                <w:lang w:eastAsia="zh-CN"/>
              </w:rPr>
            </w:pPr>
            <w:r>
              <w:rPr>
                <w:rFonts w:hint="eastAsia"/>
                <w:color w:val="auto"/>
                <w:sz w:val="24"/>
                <w:szCs w:val="28"/>
                <w:lang w:eastAsia="zh-CN"/>
              </w:rPr>
              <w:t>（</w:t>
            </w:r>
            <w:r>
              <w:rPr>
                <w:rFonts w:hint="eastAsia"/>
                <w:color w:val="auto"/>
                <w:sz w:val="24"/>
                <w:szCs w:val="28"/>
                <w:lang w:val="en-US" w:eastAsia="zh-CN"/>
              </w:rPr>
              <w:t>8</w:t>
            </w:r>
            <w:r>
              <w:rPr>
                <w:rFonts w:hint="eastAsia"/>
                <w:color w:val="auto"/>
                <w:sz w:val="24"/>
                <w:szCs w:val="28"/>
                <w:lang w:eastAsia="zh-CN"/>
              </w:rPr>
              <w:t>）本项目不接受联合体响应。</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ascii="宋体" w:hAnsi="宋体" w:cs="宋体"/>
                <w:sz w:val="24"/>
                <w:szCs w:val="24"/>
              </w:rPr>
            </w:pPr>
            <w:r>
              <w:rPr>
                <w:rFonts w:hint="eastAsia" w:ascii="宋体" w:hAnsi="宋体" w:cs="宋体"/>
                <w:b/>
                <w:bCs/>
                <w:sz w:val="24"/>
                <w:szCs w:val="24"/>
                <w:lang w:eastAsia="zh-CN"/>
              </w:rPr>
              <w:t>以上项</w:t>
            </w:r>
            <w:r>
              <w:rPr>
                <w:rFonts w:hint="eastAsia" w:ascii="宋体" w:hAnsi="宋体" w:cs="宋体"/>
                <w:b/>
                <w:bCs/>
                <w:sz w:val="24"/>
                <w:szCs w:val="24"/>
              </w:rPr>
              <w:t>为资格审查必备资质。响应文件的正本和全部副本必须附上述资格证明文件，缺少其中一项或某项达不到采购文件要求，其响应文件按无效文件处理。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84" w:hRule="atLeast"/>
        </w:trPr>
        <w:tc>
          <w:tcPr>
            <w:tcW w:w="505" w:type="dxa"/>
            <w:vAlign w:val="center"/>
          </w:tcPr>
          <w:p>
            <w:pPr>
              <w:spacing w:before="156" w:beforeLines="50" w:line="360" w:lineRule="auto"/>
              <w:jc w:val="center"/>
              <w:rPr>
                <w:rFonts w:ascii="宋体" w:hAnsi="宋体" w:cs="宋体"/>
                <w:b/>
                <w:sz w:val="24"/>
                <w:szCs w:val="24"/>
              </w:rPr>
            </w:pPr>
            <w:r>
              <w:rPr>
                <w:rFonts w:hint="eastAsia" w:ascii="宋体" w:hAnsi="宋体" w:cs="宋体"/>
                <w:b/>
                <w:sz w:val="24"/>
                <w:szCs w:val="24"/>
              </w:rPr>
              <w:t>2</w:t>
            </w:r>
          </w:p>
        </w:tc>
        <w:tc>
          <w:tcPr>
            <w:tcW w:w="1336" w:type="dxa"/>
            <w:vAlign w:val="center"/>
          </w:tcPr>
          <w:p>
            <w:pPr>
              <w:spacing w:line="360" w:lineRule="auto"/>
              <w:jc w:val="center"/>
              <w:rPr>
                <w:rFonts w:ascii="宋体" w:hAnsi="宋体" w:cs="宋体"/>
                <w:sz w:val="24"/>
                <w:szCs w:val="24"/>
              </w:rPr>
            </w:pPr>
            <w:r>
              <w:rPr>
                <w:rFonts w:hint="eastAsia" w:ascii="宋体" w:hAnsi="宋体" w:cs="宋体"/>
                <w:sz w:val="24"/>
                <w:szCs w:val="24"/>
              </w:rPr>
              <w:t>符合性审查</w:t>
            </w:r>
          </w:p>
        </w:tc>
        <w:tc>
          <w:tcPr>
            <w:tcW w:w="7377" w:type="dxa"/>
          </w:tcPr>
          <w:p>
            <w:pPr>
              <w:pStyle w:val="8"/>
              <w:snapToGrid w:val="0"/>
              <w:spacing w:line="360" w:lineRule="auto"/>
              <w:rPr>
                <w:rFonts w:hAnsi="宋体" w:cs="宋体"/>
                <w:kern w:val="0"/>
                <w:sz w:val="24"/>
                <w:szCs w:val="24"/>
              </w:rPr>
            </w:pPr>
            <w:r>
              <w:rPr>
                <w:rFonts w:hint="eastAsia" w:hAnsi="宋体" w:cs="宋体"/>
                <w:kern w:val="0"/>
                <w:sz w:val="24"/>
                <w:szCs w:val="24"/>
              </w:rPr>
              <w:t>有下列情形之一的，应在符合性审查时按照无效响应处理。</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0"/>
              <w:textAlignment w:val="auto"/>
              <w:rPr>
                <w:rFonts w:ascii="宋体" w:hAnsi="宋体" w:cs="宋体"/>
                <w:sz w:val="24"/>
                <w:szCs w:val="24"/>
                <w:highlight w:val="none"/>
              </w:rPr>
            </w:pPr>
            <w:r>
              <w:rPr>
                <w:rFonts w:hint="eastAsia" w:ascii="宋体" w:hAnsi="宋体" w:cs="宋体"/>
                <w:sz w:val="24"/>
                <w:szCs w:val="24"/>
                <w:highlight w:val="none"/>
              </w:rPr>
              <w:t xml:space="preserve">响应报价超过采购预算或者最高限价；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0"/>
              <w:textAlignment w:val="auto"/>
              <w:rPr>
                <w:rFonts w:ascii="宋体" w:hAnsi="宋体" w:cs="宋体"/>
                <w:sz w:val="24"/>
                <w:szCs w:val="24"/>
                <w:highlight w:val="none"/>
              </w:rPr>
            </w:pPr>
            <w:r>
              <w:rPr>
                <w:rFonts w:hint="eastAsia" w:ascii="宋体" w:hAnsi="宋体" w:cs="宋体"/>
                <w:sz w:val="24"/>
                <w:szCs w:val="24"/>
                <w:highlight w:val="none"/>
                <w:lang w:val="en-US" w:eastAsia="zh-CN"/>
              </w:rPr>
              <w:t>交货期</w:t>
            </w:r>
            <w:r>
              <w:rPr>
                <w:rFonts w:hint="eastAsia" w:ascii="宋体" w:hAnsi="宋体" w:cs="宋体"/>
                <w:sz w:val="24"/>
                <w:szCs w:val="24"/>
                <w:highlight w:val="none"/>
              </w:rPr>
              <w:t>不满足竞争性谈判文件要求；</w:t>
            </w:r>
          </w:p>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highlight w:val="none"/>
                <w:lang w:eastAsia="zh-CN"/>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3</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质保期</w:t>
            </w:r>
            <w:r>
              <w:rPr>
                <w:rFonts w:hint="eastAsia" w:ascii="宋体" w:hAnsi="宋体" w:cs="宋体"/>
                <w:sz w:val="24"/>
                <w:szCs w:val="24"/>
                <w:highlight w:val="none"/>
              </w:rPr>
              <w:t>不满足竞争性谈判文件要求；</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0"/>
              <w:textAlignment w:val="auto"/>
              <w:rPr>
                <w:rFonts w:ascii="宋体" w:hAnsi="宋体" w:cs="宋体"/>
                <w:sz w:val="24"/>
                <w:szCs w:val="24"/>
                <w:highlight w:val="none"/>
              </w:rPr>
            </w:pPr>
            <w:r>
              <w:rPr>
                <w:rFonts w:hint="eastAsia" w:ascii="宋体" w:hAnsi="宋体" w:cs="宋体"/>
                <w:sz w:val="24"/>
                <w:szCs w:val="24"/>
                <w:highlight w:val="none"/>
              </w:rPr>
              <w:t>响应文件的数量、签署、盖章、装订不符合竞争性谈判文件要求；</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0"/>
              <w:textAlignment w:val="auto"/>
              <w:rPr>
                <w:rFonts w:ascii="宋体" w:hAnsi="宋体" w:cs="宋体"/>
                <w:sz w:val="24"/>
                <w:szCs w:val="24"/>
                <w:highlight w:val="none"/>
              </w:rPr>
            </w:pPr>
            <w:r>
              <w:rPr>
                <w:rFonts w:hint="eastAsia" w:ascii="宋体" w:hAnsi="宋体" w:cs="宋体"/>
                <w:sz w:val="24"/>
                <w:szCs w:val="24"/>
                <w:highlight w:val="none"/>
              </w:rPr>
              <w:t>响应文件无投标有效期或有效期达不到竞争性谈判文件要求的；</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0"/>
              <w:textAlignment w:val="auto"/>
              <w:rPr>
                <w:rFonts w:ascii="宋体" w:hAnsi="宋体" w:cs="宋体"/>
                <w:sz w:val="24"/>
                <w:szCs w:val="24"/>
              </w:rPr>
            </w:pPr>
            <w:r>
              <w:rPr>
                <w:rFonts w:hint="eastAsia" w:ascii="宋体" w:hAnsi="宋体" w:cs="宋体"/>
                <w:sz w:val="24"/>
                <w:szCs w:val="24"/>
              </w:rPr>
              <w:t>供应商针对同一项目递交两份或多份内容不同的响应文件，未书面声明哪一份是有效的或出现选择性报价的；</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0"/>
              <w:textAlignment w:val="auto"/>
              <w:rPr>
                <w:rFonts w:ascii="宋体" w:hAnsi="宋体" w:cs="宋体"/>
                <w:sz w:val="24"/>
                <w:szCs w:val="24"/>
              </w:rPr>
            </w:pPr>
            <w:r>
              <w:rPr>
                <w:rFonts w:hint="eastAsia" w:ascii="宋体" w:hAnsi="宋体" w:cs="宋体"/>
                <w:sz w:val="24"/>
                <w:szCs w:val="24"/>
              </w:rPr>
              <w:t>响应文件标的数量不满足采购要求；</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0"/>
              <w:textAlignment w:val="auto"/>
              <w:rPr>
                <w:rFonts w:ascii="宋体" w:hAnsi="宋体" w:cs="宋体"/>
                <w:sz w:val="24"/>
                <w:szCs w:val="24"/>
              </w:rPr>
            </w:pPr>
            <w:r>
              <w:rPr>
                <w:rFonts w:hint="eastAsia" w:ascii="宋体" w:hAnsi="宋体" w:cs="宋体"/>
                <w:sz w:val="24"/>
                <w:szCs w:val="24"/>
              </w:rPr>
              <w:t>响应产品的技术参数、性能指标与竞争性谈判文件要求出现重大负偏差的或不满足实质性条款；</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0"/>
              <w:textAlignment w:val="auto"/>
              <w:rPr>
                <w:rFonts w:ascii="宋体" w:hAnsi="宋体" w:cs="宋体"/>
                <w:sz w:val="24"/>
                <w:szCs w:val="24"/>
              </w:rPr>
            </w:pPr>
            <w:r>
              <w:rPr>
                <w:rFonts w:hint="eastAsia" w:ascii="宋体" w:hAnsi="宋体" w:cs="宋体"/>
                <w:sz w:val="24"/>
                <w:szCs w:val="24"/>
              </w:rPr>
              <w:t>响应文件含有采购人不能接受的附加条件的；</w:t>
            </w:r>
          </w:p>
          <w:p>
            <w:pPr>
              <w:spacing w:line="360" w:lineRule="auto"/>
            </w:pPr>
            <w:r>
              <w:rPr>
                <w:rFonts w:hint="eastAsia" w:ascii="宋体" w:hAnsi="宋体" w:cs="宋体"/>
                <w:b/>
                <w:bCs/>
                <w:sz w:val="24"/>
                <w:szCs w:val="24"/>
                <w:highlight w:val="none"/>
              </w:rPr>
              <w:t>（</w:t>
            </w:r>
            <w:r>
              <w:rPr>
                <w:rFonts w:hint="eastAsia" w:ascii="宋体" w:hAnsi="宋体" w:cs="宋体"/>
                <w:b/>
                <w:bCs/>
                <w:sz w:val="24"/>
                <w:szCs w:val="24"/>
                <w:highlight w:val="none"/>
                <w:lang w:val="en-US" w:eastAsia="zh-CN"/>
              </w:rPr>
              <w:t>9</w:t>
            </w:r>
            <w:r>
              <w:rPr>
                <w:rFonts w:hint="eastAsia" w:ascii="宋体" w:hAnsi="宋体" w:cs="宋体"/>
                <w:b/>
                <w:bCs/>
                <w:sz w:val="24"/>
                <w:szCs w:val="24"/>
                <w:highlight w:val="none"/>
              </w:rPr>
              <w:t>）</w:t>
            </w:r>
            <w:r>
              <w:rPr>
                <w:rFonts w:ascii="宋体" w:hAnsi="宋体" w:cs="宋体"/>
                <w:b/>
                <w:bCs/>
                <w:sz w:val="24"/>
                <w:szCs w:val="24"/>
                <w:highlight w:val="none"/>
              </w:rPr>
              <w:t>供应商</w:t>
            </w:r>
            <w:r>
              <w:rPr>
                <w:rFonts w:hint="eastAsia" w:ascii="宋体" w:hAnsi="宋体" w:cs="宋体"/>
                <w:b/>
                <w:bCs/>
                <w:sz w:val="24"/>
                <w:szCs w:val="24"/>
                <w:highlight w:val="none"/>
              </w:rPr>
              <w:t>提供赠品、回扣或者与采购无关的其他商品、服务（不包括采购项目本身所包括涉及的采购事项，</w:t>
            </w:r>
            <w:r>
              <w:rPr>
                <w:rFonts w:ascii="宋体" w:hAnsi="宋体" w:cs="宋体"/>
                <w:b/>
                <w:bCs/>
                <w:sz w:val="24"/>
                <w:szCs w:val="24"/>
                <w:highlight w:val="none"/>
              </w:rPr>
              <w:t>供应商</w:t>
            </w:r>
            <w:r>
              <w:rPr>
                <w:rFonts w:hint="eastAsia" w:ascii="宋体" w:hAnsi="宋体" w:cs="宋体"/>
                <w:b/>
                <w:bCs/>
                <w:sz w:val="24"/>
                <w:szCs w:val="24"/>
                <w:highlight w:val="none"/>
              </w:rPr>
              <w:t>不能以“赠送、赠予”等任何名义提供货物和服务以规避</w:t>
            </w:r>
            <w:r>
              <w:rPr>
                <w:rFonts w:hint="eastAsia" w:ascii="宋体" w:hAnsi="宋体" w:cs="宋体"/>
                <w:b/>
                <w:bCs/>
                <w:sz w:val="24"/>
                <w:szCs w:val="24"/>
                <w:highlight w:val="none"/>
                <w:lang w:eastAsia="zh-CN"/>
              </w:rPr>
              <w:t>竞争性谈判文件</w:t>
            </w:r>
            <w:r>
              <w:rPr>
                <w:rFonts w:hint="eastAsia" w:ascii="宋体" w:hAnsi="宋体" w:cs="宋体"/>
                <w:b/>
                <w:bCs/>
                <w:sz w:val="24"/>
                <w:szCs w:val="24"/>
                <w:highlight w:val="none"/>
              </w:rPr>
              <w:t>的约束）。否则，供应商的投标行为将作为以不正当手段排挤其他供应商认定；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b/>
                <w:bCs/>
                <w:sz w:val="24"/>
                <w:szCs w:val="24"/>
              </w:rPr>
            </w:pPr>
            <w:r>
              <w:rPr>
                <w:rFonts w:hint="eastAsia" w:ascii="宋体" w:hAnsi="宋体" w:cs="宋体"/>
                <w:sz w:val="24"/>
                <w:szCs w:val="24"/>
              </w:rPr>
              <w:t>（1</w:t>
            </w:r>
            <w:r>
              <w:rPr>
                <w:rFonts w:hint="eastAsia" w:ascii="宋体" w:hAnsi="宋体" w:cs="宋体"/>
                <w:sz w:val="24"/>
                <w:szCs w:val="24"/>
                <w:lang w:val="en-US" w:eastAsia="zh-CN"/>
              </w:rPr>
              <w:t>0</w:t>
            </w:r>
            <w:r>
              <w:rPr>
                <w:rFonts w:hint="eastAsia" w:ascii="宋体" w:hAnsi="宋体" w:cs="宋体"/>
                <w:sz w:val="24"/>
                <w:szCs w:val="24"/>
              </w:rPr>
              <w:t>）法律、法规和竞争性谈判文件规定的其他无效情形。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37" w:hRule="atLeast"/>
        </w:trPr>
        <w:tc>
          <w:tcPr>
            <w:tcW w:w="505" w:type="dxa"/>
            <w:vAlign w:val="center"/>
          </w:tcPr>
          <w:p>
            <w:pPr>
              <w:spacing w:before="156" w:beforeLines="50" w:line="360" w:lineRule="auto"/>
              <w:jc w:val="center"/>
              <w:rPr>
                <w:rFonts w:ascii="宋体" w:hAnsi="宋体" w:cs="宋体"/>
                <w:b/>
                <w:sz w:val="24"/>
                <w:szCs w:val="24"/>
              </w:rPr>
            </w:pPr>
            <w:r>
              <w:rPr>
                <w:rFonts w:hint="eastAsia" w:ascii="宋体" w:hAnsi="宋体" w:cs="宋体"/>
                <w:b/>
                <w:sz w:val="24"/>
                <w:szCs w:val="24"/>
              </w:rPr>
              <w:t>3</w:t>
            </w:r>
          </w:p>
        </w:tc>
        <w:tc>
          <w:tcPr>
            <w:tcW w:w="1336" w:type="dxa"/>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商务条款</w:t>
            </w:r>
          </w:p>
        </w:tc>
        <w:tc>
          <w:tcPr>
            <w:tcW w:w="737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b/>
                <w:bCs/>
                <w:sz w:val="24"/>
                <w:szCs w:val="28"/>
                <w:highlight w:val="none"/>
                <w:lang w:val="en-US" w:eastAsia="zh-CN"/>
              </w:rPr>
            </w:pPr>
            <w:r>
              <w:rPr>
                <w:rFonts w:hint="eastAsia" w:ascii="宋体" w:hAnsi="宋体" w:cs="宋体"/>
                <w:b/>
                <w:bCs/>
                <w:sz w:val="24"/>
                <w:szCs w:val="24"/>
                <w:highlight w:val="none"/>
                <w:lang w:val="en-US" w:eastAsia="zh-CN"/>
              </w:rPr>
              <w:t>1、</w:t>
            </w:r>
            <w:r>
              <w:rPr>
                <w:rFonts w:hint="eastAsia"/>
                <w:b/>
                <w:bCs/>
                <w:sz w:val="24"/>
                <w:szCs w:val="28"/>
                <w:highlight w:val="none"/>
                <w:lang w:val="en-US" w:eastAsia="zh-CN"/>
              </w:rPr>
              <w:t>交货期：</w:t>
            </w:r>
            <w:r>
              <w:rPr>
                <w:rFonts w:hint="eastAsia" w:asciiTheme="minorEastAsia" w:hAnsiTheme="minorEastAsia" w:cstheme="minorEastAsia"/>
                <w:b/>
                <w:bCs/>
                <w:color w:val="000000"/>
                <w:sz w:val="24"/>
                <w:szCs w:val="24"/>
                <w:highlight w:val="none"/>
                <w:lang w:val="en-US" w:eastAsia="zh-CN"/>
              </w:rPr>
              <w:t>合同签订后10</w:t>
            </w:r>
            <w:r>
              <w:rPr>
                <w:rFonts w:hint="eastAsia" w:asciiTheme="minorEastAsia" w:hAnsiTheme="minorEastAsia" w:cstheme="minorEastAsia"/>
                <w:b/>
                <w:bCs/>
                <w:color w:val="000000"/>
                <w:sz w:val="24"/>
                <w:szCs w:val="24"/>
                <w:highlight w:val="none"/>
                <w:lang w:eastAsia="zh-CN"/>
              </w:rPr>
              <w:t>日历天</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b/>
                <w:bCs/>
                <w:sz w:val="24"/>
                <w:szCs w:val="28"/>
                <w:highlight w:val="none"/>
                <w:lang w:val="en-US" w:eastAsia="zh-CN"/>
              </w:rPr>
            </w:pPr>
            <w:r>
              <w:rPr>
                <w:rFonts w:hint="eastAsia" w:ascii="宋体" w:hAnsi="宋体" w:cs="宋体"/>
                <w:b/>
                <w:bCs/>
                <w:sz w:val="24"/>
                <w:szCs w:val="24"/>
                <w:highlight w:val="none"/>
                <w:lang w:val="en-US" w:eastAsia="zh-CN"/>
              </w:rPr>
              <w:t>2、</w:t>
            </w:r>
            <w:r>
              <w:rPr>
                <w:rFonts w:hint="eastAsia"/>
                <w:b/>
                <w:bCs/>
                <w:sz w:val="24"/>
                <w:szCs w:val="28"/>
                <w:highlight w:val="none"/>
                <w:lang w:val="en-US" w:eastAsia="zh-CN"/>
              </w:rPr>
              <w:t>质保期：验收合格后1年</w:t>
            </w:r>
          </w:p>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b/>
                <w:bCs/>
                <w:sz w:val="24"/>
                <w:szCs w:val="28"/>
                <w:highlight w:val="none"/>
                <w:lang w:val="en-US" w:eastAsia="zh-CN"/>
              </w:rPr>
            </w:pPr>
            <w:r>
              <w:rPr>
                <w:rFonts w:hint="eastAsia"/>
                <w:b/>
                <w:bCs/>
                <w:sz w:val="24"/>
                <w:szCs w:val="28"/>
                <w:highlight w:val="none"/>
                <w:lang w:val="en-US" w:eastAsia="zh-CN"/>
              </w:rPr>
              <w:t>3、交货地点：采购人指定地点</w:t>
            </w:r>
          </w:p>
          <w:p>
            <w:pPr>
              <w:keepNext w:val="0"/>
              <w:keepLines w:val="0"/>
              <w:pageBreakBefore w:val="0"/>
              <w:widowControl w:val="0"/>
              <w:kinsoku/>
              <w:wordWrap/>
              <w:overflowPunct/>
              <w:topLinePunct w:val="0"/>
              <w:autoSpaceDE/>
              <w:autoSpaceDN/>
              <w:bidi w:val="0"/>
              <w:adjustRightInd/>
              <w:snapToGrid/>
              <w:spacing w:line="360" w:lineRule="auto"/>
              <w:textAlignment w:val="auto"/>
              <w:rPr>
                <w:b/>
                <w:bCs/>
                <w:sz w:val="24"/>
                <w:szCs w:val="28"/>
                <w:highlight w:val="none"/>
              </w:rPr>
            </w:pPr>
            <w:r>
              <w:rPr>
                <w:rFonts w:hint="eastAsia"/>
                <w:b/>
                <w:bCs/>
                <w:sz w:val="24"/>
                <w:szCs w:val="28"/>
                <w:highlight w:val="none"/>
                <w:lang w:val="en-US" w:eastAsia="zh-CN"/>
              </w:rPr>
              <w:t>4</w:t>
            </w:r>
            <w:r>
              <w:rPr>
                <w:b/>
                <w:bCs/>
                <w:sz w:val="24"/>
                <w:szCs w:val="28"/>
                <w:highlight w:val="none"/>
              </w:rPr>
              <w:t>、付款方式：</w:t>
            </w:r>
          </w:p>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（1）全部产品安装调试完毕并验收合格后，甲方向乙方支付合同总价100%的价款。</w:t>
            </w:r>
          </w:p>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（2）结算方式：银行转账。</w:t>
            </w:r>
          </w:p>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（3）结算单位：由采购人负责结算，乙方开具合同总价数的全额发票交采购人。</w:t>
            </w:r>
          </w:p>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highlight w:val="none"/>
              </w:rPr>
            </w:pPr>
            <w:r>
              <w:rPr>
                <w:rFonts w:hint="eastAsia" w:ascii="宋体" w:hAnsi="宋体" w:cs="宋体"/>
                <w:b/>
                <w:bCs/>
                <w:sz w:val="24"/>
                <w:szCs w:val="24"/>
                <w:highlight w:val="none"/>
                <w:lang w:val="en-US" w:eastAsia="zh-CN"/>
              </w:rPr>
              <w:t>备注：商务条款为实质性条款，不允许负偏离。</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2" w:hRule="atLeast"/>
        </w:trPr>
        <w:tc>
          <w:tcPr>
            <w:tcW w:w="505" w:type="dxa"/>
            <w:vAlign w:val="center"/>
          </w:tcPr>
          <w:p>
            <w:pPr>
              <w:spacing w:line="360" w:lineRule="auto"/>
              <w:jc w:val="center"/>
              <w:rPr>
                <w:rFonts w:hint="eastAsia" w:ascii="宋体" w:hAnsi="宋体" w:cs="宋体" w:eastAsiaTheme="minorEastAsia"/>
                <w:sz w:val="24"/>
                <w:szCs w:val="24"/>
                <w:lang w:eastAsia="zh-CN"/>
              </w:rPr>
            </w:pPr>
            <w:r>
              <w:rPr>
                <w:rFonts w:hint="eastAsia" w:ascii="宋体" w:hAnsi="宋体" w:cs="宋体"/>
                <w:sz w:val="24"/>
                <w:szCs w:val="24"/>
                <w:lang w:val="en-US" w:eastAsia="zh-CN"/>
              </w:rPr>
              <w:t>4</w:t>
            </w:r>
          </w:p>
        </w:tc>
        <w:tc>
          <w:tcPr>
            <w:tcW w:w="1336" w:type="dxa"/>
            <w:vAlign w:val="center"/>
          </w:tcPr>
          <w:p>
            <w:pPr>
              <w:spacing w:line="360" w:lineRule="auto"/>
              <w:jc w:val="center"/>
              <w:rPr>
                <w:rFonts w:ascii="宋体" w:hAnsi="宋体" w:cs="宋体"/>
                <w:sz w:val="24"/>
                <w:szCs w:val="24"/>
              </w:rPr>
            </w:pPr>
            <w:r>
              <w:rPr>
                <w:rFonts w:hint="eastAsia" w:ascii="宋体" w:hAnsi="宋体" w:cs="宋体"/>
                <w:sz w:val="24"/>
                <w:szCs w:val="24"/>
              </w:rPr>
              <w:t>备选方案</w:t>
            </w:r>
          </w:p>
        </w:tc>
        <w:tc>
          <w:tcPr>
            <w:tcW w:w="7377" w:type="dxa"/>
            <w:vAlign w:val="center"/>
          </w:tcPr>
          <w:p>
            <w:pPr>
              <w:spacing w:line="500" w:lineRule="exact"/>
              <w:jc w:val="left"/>
              <w:rPr>
                <w:rFonts w:ascii="宋体" w:hAnsi="宋体" w:cs="宋体"/>
                <w:sz w:val="24"/>
                <w:szCs w:val="24"/>
              </w:rPr>
            </w:pPr>
            <w:r>
              <w:rPr>
                <w:rFonts w:hint="eastAsia" w:ascii="宋体" w:hAnsi="宋体" w:cs="宋体"/>
                <w:sz w:val="24"/>
                <w:szCs w:val="24"/>
              </w:rPr>
              <w:t>不允许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2" w:hRule="atLeast"/>
        </w:trPr>
        <w:tc>
          <w:tcPr>
            <w:tcW w:w="505" w:type="dxa"/>
            <w:vAlign w:val="center"/>
          </w:tcPr>
          <w:p>
            <w:pPr>
              <w:spacing w:line="360" w:lineRule="auto"/>
              <w:jc w:val="center"/>
              <w:rPr>
                <w:rFonts w:hint="eastAsia" w:ascii="宋体" w:hAnsi="宋体" w:cs="宋体" w:eastAsiaTheme="minorEastAsia"/>
                <w:sz w:val="24"/>
                <w:szCs w:val="24"/>
                <w:lang w:eastAsia="zh-CN"/>
              </w:rPr>
            </w:pPr>
            <w:r>
              <w:rPr>
                <w:rFonts w:hint="eastAsia" w:ascii="宋体" w:hAnsi="宋体" w:cs="宋体"/>
                <w:sz w:val="24"/>
                <w:szCs w:val="24"/>
                <w:lang w:val="en-US" w:eastAsia="zh-CN"/>
              </w:rPr>
              <w:t>5</w:t>
            </w:r>
          </w:p>
        </w:tc>
        <w:tc>
          <w:tcPr>
            <w:tcW w:w="1336" w:type="dxa"/>
            <w:vAlign w:val="center"/>
          </w:tcPr>
          <w:p>
            <w:pPr>
              <w:spacing w:line="360" w:lineRule="auto"/>
              <w:jc w:val="center"/>
              <w:rPr>
                <w:rFonts w:ascii="宋体" w:hAnsi="宋体" w:cs="宋体"/>
                <w:sz w:val="24"/>
                <w:szCs w:val="24"/>
              </w:rPr>
            </w:pPr>
            <w:r>
              <w:rPr>
                <w:rFonts w:hint="eastAsia" w:ascii="宋体" w:hAnsi="宋体" w:cs="宋体"/>
                <w:sz w:val="24"/>
                <w:szCs w:val="24"/>
              </w:rPr>
              <w:t>联合体</w:t>
            </w:r>
          </w:p>
        </w:tc>
        <w:tc>
          <w:tcPr>
            <w:tcW w:w="7377" w:type="dxa"/>
            <w:vAlign w:val="center"/>
          </w:tcPr>
          <w:p>
            <w:pPr>
              <w:spacing w:line="400" w:lineRule="exact"/>
              <w:rPr>
                <w:rFonts w:ascii="宋体" w:hAnsi="宋体" w:cs="宋体"/>
                <w:sz w:val="24"/>
                <w:szCs w:val="24"/>
              </w:rPr>
            </w:pPr>
            <w:r>
              <w:rPr>
                <w:rFonts w:hint="eastAsia" w:ascii="宋体" w:hAnsi="宋体" w:cs="宋体"/>
                <w:sz w:val="24"/>
                <w:szCs w:val="24"/>
              </w:rPr>
              <w:t>不接受联合体</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69" w:hRule="atLeast"/>
        </w:trPr>
        <w:tc>
          <w:tcPr>
            <w:tcW w:w="505" w:type="dxa"/>
            <w:vAlign w:val="center"/>
          </w:tcPr>
          <w:p>
            <w:pPr>
              <w:spacing w:line="360" w:lineRule="auto"/>
              <w:jc w:val="center"/>
              <w:rPr>
                <w:rFonts w:hint="eastAsia" w:ascii="宋体" w:hAnsi="宋体" w:cs="宋体" w:eastAsiaTheme="minorEastAsia"/>
                <w:sz w:val="24"/>
                <w:szCs w:val="24"/>
                <w:lang w:eastAsia="zh-CN"/>
              </w:rPr>
            </w:pPr>
            <w:r>
              <w:rPr>
                <w:rFonts w:hint="eastAsia" w:ascii="宋体" w:hAnsi="宋体" w:cs="宋体"/>
                <w:sz w:val="24"/>
                <w:szCs w:val="24"/>
                <w:lang w:val="en-US" w:eastAsia="zh-CN"/>
              </w:rPr>
              <w:t>6</w:t>
            </w:r>
          </w:p>
        </w:tc>
        <w:tc>
          <w:tcPr>
            <w:tcW w:w="1336" w:type="dxa"/>
            <w:vAlign w:val="center"/>
          </w:tcPr>
          <w:p>
            <w:pPr>
              <w:spacing w:line="360" w:lineRule="auto"/>
              <w:jc w:val="center"/>
              <w:rPr>
                <w:rFonts w:ascii="宋体" w:hAnsi="宋体" w:cs="宋体"/>
                <w:sz w:val="24"/>
                <w:szCs w:val="24"/>
              </w:rPr>
            </w:pPr>
            <w:r>
              <w:rPr>
                <w:rFonts w:hint="eastAsia" w:ascii="宋体" w:hAnsi="宋体" w:cs="宋体"/>
                <w:sz w:val="24"/>
                <w:szCs w:val="24"/>
              </w:rPr>
              <w:t>响应有效期</w:t>
            </w:r>
          </w:p>
        </w:tc>
        <w:tc>
          <w:tcPr>
            <w:tcW w:w="7377" w:type="dxa"/>
            <w:vAlign w:val="center"/>
          </w:tcPr>
          <w:p>
            <w:pPr>
              <w:spacing w:line="360" w:lineRule="auto"/>
              <w:rPr>
                <w:rFonts w:ascii="宋体" w:hAnsi="宋体" w:cs="宋体"/>
                <w:sz w:val="24"/>
                <w:szCs w:val="24"/>
              </w:rPr>
            </w:pPr>
            <w:r>
              <w:rPr>
                <w:rFonts w:hint="eastAsia" w:ascii="宋体" w:hAnsi="宋体" w:cs="宋体"/>
                <w:sz w:val="24"/>
                <w:szCs w:val="24"/>
              </w:rPr>
              <w:t>法定代表人授权书期限及响应文件有效期为从谈判之日起有效期为</w:t>
            </w:r>
            <w:r>
              <w:rPr>
                <w:rFonts w:hint="eastAsia" w:ascii="宋体" w:hAnsi="宋体" w:cs="宋体"/>
                <w:sz w:val="24"/>
                <w:szCs w:val="24"/>
                <w:lang w:val="en-US" w:eastAsia="zh-CN"/>
              </w:rPr>
              <w:t>9</w:t>
            </w:r>
            <w:r>
              <w:rPr>
                <w:rFonts w:hint="eastAsia" w:ascii="宋体" w:hAnsi="宋体" w:cs="宋体"/>
                <w:sz w:val="24"/>
                <w:szCs w:val="24"/>
              </w:rPr>
              <w:t>0日历天。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00" w:hRule="atLeast"/>
        </w:trPr>
        <w:tc>
          <w:tcPr>
            <w:tcW w:w="505" w:type="dxa"/>
            <w:vAlign w:val="center"/>
          </w:tcPr>
          <w:p>
            <w:pPr>
              <w:spacing w:line="360" w:lineRule="auto"/>
              <w:jc w:val="center"/>
              <w:rPr>
                <w:rFonts w:hint="eastAsia" w:ascii="宋体" w:hAnsi="宋体" w:cs="宋体" w:eastAsiaTheme="minorEastAsia"/>
                <w:sz w:val="24"/>
                <w:szCs w:val="24"/>
                <w:lang w:eastAsia="zh-CN"/>
              </w:rPr>
            </w:pPr>
            <w:r>
              <w:rPr>
                <w:rFonts w:hint="eastAsia" w:ascii="宋体" w:hAnsi="宋体" w:cs="宋体"/>
                <w:sz w:val="24"/>
                <w:szCs w:val="24"/>
                <w:lang w:val="en-US" w:eastAsia="zh-CN"/>
              </w:rPr>
              <w:t>7</w:t>
            </w:r>
          </w:p>
        </w:tc>
        <w:tc>
          <w:tcPr>
            <w:tcW w:w="1336" w:type="dxa"/>
            <w:vAlign w:val="center"/>
          </w:tcPr>
          <w:p>
            <w:pPr>
              <w:spacing w:line="360" w:lineRule="auto"/>
              <w:jc w:val="center"/>
              <w:rPr>
                <w:rFonts w:ascii="宋体" w:hAnsi="宋体" w:cs="宋体"/>
                <w:sz w:val="24"/>
                <w:szCs w:val="24"/>
              </w:rPr>
            </w:pPr>
            <w:r>
              <w:rPr>
                <w:rFonts w:hint="eastAsia" w:ascii="宋体" w:hAnsi="宋体" w:cs="宋体"/>
                <w:sz w:val="24"/>
                <w:szCs w:val="24"/>
              </w:rPr>
              <w:t>货币及报价</w:t>
            </w:r>
          </w:p>
        </w:tc>
        <w:tc>
          <w:tcPr>
            <w:tcW w:w="7377" w:type="dxa"/>
            <w:vAlign w:val="center"/>
          </w:tcPr>
          <w:p>
            <w:pPr>
              <w:numPr>
                <w:ilvl w:val="0"/>
                <w:numId w:val="3"/>
              </w:numPr>
              <w:spacing w:line="360" w:lineRule="auto"/>
              <w:ind w:firstLine="0"/>
              <w:jc w:val="left"/>
              <w:rPr>
                <w:rFonts w:ascii="宋体" w:hAnsi="宋体" w:cs="宋体"/>
                <w:sz w:val="24"/>
                <w:szCs w:val="24"/>
              </w:rPr>
            </w:pPr>
            <w:r>
              <w:rPr>
                <w:rFonts w:hint="eastAsia" w:ascii="宋体" w:hAnsi="宋体" w:cs="宋体"/>
                <w:sz w:val="24"/>
                <w:szCs w:val="24"/>
              </w:rPr>
              <w:t>供应商应当根据竞争性谈判文件的要求和范围，以人民币为货币，以元为报价单位，保留小数点后两位。</w:t>
            </w:r>
          </w:p>
          <w:p>
            <w:pPr>
              <w:numPr>
                <w:ilvl w:val="0"/>
                <w:numId w:val="3"/>
              </w:numPr>
              <w:spacing w:line="360" w:lineRule="auto"/>
              <w:ind w:firstLine="0"/>
              <w:jc w:val="left"/>
              <w:rPr>
                <w:rFonts w:ascii="宋体" w:hAnsi="宋体" w:cs="宋体"/>
                <w:sz w:val="24"/>
                <w:szCs w:val="24"/>
              </w:rPr>
            </w:pPr>
            <w:r>
              <w:rPr>
                <w:rFonts w:hint="eastAsia" w:ascii="宋体" w:hAnsi="宋体" w:cs="宋体"/>
                <w:sz w:val="24"/>
                <w:szCs w:val="24"/>
              </w:rPr>
              <w:t>供应商应在响应报价表中标明完成本次采购所要求的货物、服务且验收合格的所有费用，包括产品费、安装调试费、运杂费（含保险）、仓储保管费、技术培训费、检测费、施工费、运输费、人工费、税金及进口产品国家按现行税收政策征收的一切税费等。任何有选择的报价将不予接受，否则按无效响应处理。</w:t>
            </w:r>
          </w:p>
          <w:p>
            <w:pPr>
              <w:spacing w:line="360" w:lineRule="auto"/>
              <w:jc w:val="left"/>
              <w:rPr>
                <w:rFonts w:ascii="宋体" w:hAnsi="宋体" w:cs="宋体"/>
                <w:sz w:val="24"/>
                <w:szCs w:val="24"/>
              </w:rPr>
            </w:pPr>
            <w:r>
              <w:rPr>
                <w:rFonts w:hint="eastAsia" w:ascii="宋体" w:hAnsi="宋体" w:cs="宋体"/>
                <w:sz w:val="24"/>
                <w:szCs w:val="24"/>
              </w:rPr>
              <w:t>供应商应在响应文件中的响应一览表上</w:t>
            </w:r>
            <w:r>
              <w:rPr>
                <w:rFonts w:hint="eastAsia" w:ascii="宋体" w:hAnsi="宋体" w:cs="宋体"/>
                <w:sz w:val="24"/>
                <w:szCs w:val="24"/>
                <w:lang w:eastAsia="zh-CN"/>
              </w:rPr>
              <w:t>按照采购文件要求填写</w:t>
            </w:r>
            <w:r>
              <w:rPr>
                <w:rFonts w:hint="eastAsia" w:ascii="宋体" w:hAnsi="宋体" w:cs="宋体"/>
                <w:sz w:val="24"/>
                <w:szCs w:val="24"/>
              </w:rPr>
              <w:t>，并由法定代表人或被授权人代表签署；任何有选择的报价不予接受。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005" w:hRule="atLeast"/>
        </w:trPr>
        <w:tc>
          <w:tcPr>
            <w:tcW w:w="505" w:type="dxa"/>
            <w:vAlign w:val="center"/>
          </w:tcPr>
          <w:p>
            <w:pPr>
              <w:spacing w:line="360" w:lineRule="auto"/>
              <w:jc w:val="center"/>
              <w:rPr>
                <w:rFonts w:hint="eastAsia" w:ascii="宋体" w:hAnsi="宋体" w:cs="宋体" w:eastAsiaTheme="minorEastAsia"/>
                <w:sz w:val="24"/>
                <w:szCs w:val="24"/>
                <w:lang w:eastAsia="zh-CN"/>
              </w:rPr>
            </w:pPr>
            <w:r>
              <w:rPr>
                <w:rFonts w:hint="eastAsia" w:ascii="宋体" w:hAnsi="宋体" w:cs="宋体"/>
                <w:sz w:val="24"/>
                <w:szCs w:val="24"/>
                <w:lang w:val="en-US" w:eastAsia="zh-CN"/>
              </w:rPr>
              <w:t>8</w:t>
            </w:r>
          </w:p>
        </w:tc>
        <w:tc>
          <w:tcPr>
            <w:tcW w:w="1336" w:type="dxa"/>
            <w:vAlign w:val="center"/>
          </w:tcPr>
          <w:p>
            <w:pPr>
              <w:spacing w:line="360" w:lineRule="auto"/>
              <w:jc w:val="center"/>
              <w:rPr>
                <w:rFonts w:ascii="宋体" w:hAnsi="宋体" w:cs="宋体"/>
                <w:sz w:val="24"/>
                <w:szCs w:val="24"/>
              </w:rPr>
            </w:pPr>
            <w:r>
              <w:rPr>
                <w:rFonts w:hint="eastAsia" w:ascii="宋体" w:hAnsi="宋体" w:cs="宋体"/>
                <w:sz w:val="24"/>
                <w:szCs w:val="24"/>
              </w:rPr>
              <w:t>响应文件份数及装订要求</w:t>
            </w:r>
          </w:p>
        </w:tc>
        <w:tc>
          <w:tcPr>
            <w:tcW w:w="7377" w:type="dxa"/>
            <w:vAlign w:val="center"/>
          </w:tcPr>
          <w:p>
            <w:pPr>
              <w:spacing w:line="336" w:lineRule="auto"/>
              <w:jc w:val="left"/>
              <w:rPr>
                <w:rFonts w:ascii="宋体" w:hAnsi="宋体" w:cs="宋体"/>
                <w:sz w:val="24"/>
                <w:szCs w:val="24"/>
              </w:rPr>
            </w:pPr>
            <w:r>
              <w:rPr>
                <w:rFonts w:hint="eastAsia" w:ascii="宋体" w:hAnsi="宋体" w:cs="宋体"/>
                <w:sz w:val="24"/>
                <w:szCs w:val="24"/>
              </w:rPr>
              <w:t>1、响应文件正本</w:t>
            </w:r>
            <w:r>
              <w:rPr>
                <w:rFonts w:hint="eastAsia" w:ascii="宋体" w:hAnsi="宋体" w:cs="宋体"/>
                <w:sz w:val="24"/>
                <w:szCs w:val="24"/>
                <w:u w:val="single"/>
              </w:rPr>
              <w:t>壹</w:t>
            </w:r>
            <w:r>
              <w:rPr>
                <w:rFonts w:hint="eastAsia" w:ascii="宋体" w:hAnsi="宋体" w:cs="宋体"/>
                <w:sz w:val="24"/>
                <w:szCs w:val="24"/>
              </w:rPr>
              <w:t>份、副本</w:t>
            </w:r>
            <w:r>
              <w:rPr>
                <w:rFonts w:hint="eastAsia" w:ascii="宋体" w:hAnsi="宋体" w:cs="宋体"/>
                <w:sz w:val="24"/>
                <w:szCs w:val="24"/>
                <w:u w:val="single"/>
              </w:rPr>
              <w:t>叁</w:t>
            </w:r>
            <w:r>
              <w:rPr>
                <w:rFonts w:hint="eastAsia" w:ascii="宋体" w:hAnsi="宋体" w:cs="宋体"/>
                <w:sz w:val="24"/>
                <w:szCs w:val="24"/>
              </w:rPr>
              <w:t>份、响应一览表</w:t>
            </w:r>
            <w:r>
              <w:rPr>
                <w:rFonts w:hint="eastAsia" w:ascii="宋体" w:hAnsi="宋体" w:cs="宋体"/>
                <w:sz w:val="24"/>
                <w:szCs w:val="24"/>
                <w:u w:val="single"/>
              </w:rPr>
              <w:t>壹</w:t>
            </w:r>
            <w:r>
              <w:rPr>
                <w:rFonts w:hint="eastAsia" w:ascii="宋体" w:hAnsi="宋体" w:cs="宋体"/>
                <w:sz w:val="24"/>
                <w:szCs w:val="24"/>
              </w:rPr>
              <w:t>份、电子文档</w:t>
            </w:r>
            <w:r>
              <w:rPr>
                <w:rFonts w:hint="eastAsia" w:ascii="宋体" w:hAnsi="宋体" w:cs="宋体"/>
                <w:sz w:val="24"/>
                <w:szCs w:val="24"/>
                <w:u w:val="single"/>
              </w:rPr>
              <w:t>壹</w:t>
            </w:r>
            <w:r>
              <w:rPr>
                <w:rFonts w:hint="eastAsia" w:ascii="宋体" w:hAnsi="宋体" w:cs="宋体"/>
                <w:sz w:val="24"/>
                <w:szCs w:val="24"/>
              </w:rPr>
              <w:t>份；</w:t>
            </w:r>
          </w:p>
          <w:p>
            <w:pPr>
              <w:spacing w:line="336" w:lineRule="auto"/>
              <w:jc w:val="left"/>
              <w:rPr>
                <w:rFonts w:ascii="宋体" w:hAnsi="宋体" w:cs="宋体"/>
                <w:sz w:val="24"/>
                <w:szCs w:val="24"/>
              </w:rPr>
            </w:pPr>
            <w:r>
              <w:rPr>
                <w:rFonts w:hint="eastAsia" w:ascii="宋体" w:hAnsi="宋体" w:cs="宋体"/>
                <w:sz w:val="24"/>
                <w:szCs w:val="24"/>
              </w:rPr>
              <w:t>2、正、副本分别</w:t>
            </w:r>
            <w:r>
              <w:rPr>
                <w:rFonts w:hint="eastAsia" w:ascii="宋体" w:hAnsi="宋体" w:cs="宋体"/>
                <w:b/>
                <w:bCs/>
                <w:sz w:val="24"/>
                <w:szCs w:val="24"/>
              </w:rPr>
              <w:t>胶装装订成册</w:t>
            </w:r>
            <w:r>
              <w:rPr>
                <w:rFonts w:hint="eastAsia" w:ascii="宋体" w:hAnsi="宋体" w:cs="宋体"/>
                <w:sz w:val="24"/>
                <w:szCs w:val="24"/>
              </w:rPr>
              <w:t>，</w:t>
            </w:r>
            <w:r>
              <w:rPr>
                <w:rFonts w:hint="eastAsia" w:ascii="宋体" w:hAnsi="宋体" w:cs="宋体"/>
                <w:b/>
                <w:bCs/>
                <w:sz w:val="24"/>
                <w:szCs w:val="24"/>
              </w:rPr>
              <w:t>在书脊处标明项目名称、项目编号、供应商名称（机打或手写均可）</w:t>
            </w:r>
            <w:r>
              <w:rPr>
                <w:rFonts w:hint="eastAsia" w:ascii="宋体" w:hAnsi="宋体" w:cs="宋体"/>
                <w:sz w:val="24"/>
                <w:szCs w:val="24"/>
              </w:rPr>
              <w:t>，逐页标注连页码，且封面须清楚地标明“正本”或“副本”；若正本和副本不符，以正本书面文件为准；同时提供与正本内容一致的电子版（U盘、电子文档应为PDF与WORD格式各一份，PDF版本需为正本签署盖章扫描件）。</w:t>
            </w:r>
          </w:p>
          <w:p>
            <w:pPr>
              <w:spacing w:line="360" w:lineRule="auto"/>
              <w:jc w:val="left"/>
              <w:rPr>
                <w:rFonts w:ascii="宋体" w:hAnsi="宋体" w:cs="宋体"/>
                <w:sz w:val="24"/>
                <w:szCs w:val="24"/>
              </w:rPr>
            </w:pPr>
            <w:r>
              <w:rPr>
                <w:rFonts w:hint="eastAsia" w:ascii="宋体" w:hAnsi="宋体" w:cs="宋体"/>
                <w:sz w:val="24"/>
                <w:szCs w:val="24"/>
              </w:rPr>
              <w:t>3、所有的副本可以为正本的复印件。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906" w:hRule="atLeast"/>
        </w:trPr>
        <w:tc>
          <w:tcPr>
            <w:tcW w:w="505" w:type="dxa"/>
            <w:vAlign w:val="center"/>
          </w:tcPr>
          <w:p>
            <w:pPr>
              <w:spacing w:line="360" w:lineRule="auto"/>
              <w:jc w:val="center"/>
              <w:rPr>
                <w:rFonts w:hint="eastAsia" w:ascii="宋体" w:hAnsi="宋体" w:cs="宋体" w:eastAsiaTheme="minorEastAsia"/>
                <w:sz w:val="24"/>
                <w:szCs w:val="24"/>
                <w:lang w:eastAsia="zh-CN"/>
              </w:rPr>
            </w:pPr>
            <w:r>
              <w:rPr>
                <w:rFonts w:hint="eastAsia" w:ascii="宋体" w:hAnsi="宋体" w:cs="宋体"/>
                <w:sz w:val="24"/>
                <w:szCs w:val="24"/>
                <w:lang w:val="en-US" w:eastAsia="zh-CN"/>
              </w:rPr>
              <w:t>9</w:t>
            </w:r>
          </w:p>
        </w:tc>
        <w:tc>
          <w:tcPr>
            <w:tcW w:w="1336" w:type="dxa"/>
            <w:vAlign w:val="center"/>
          </w:tcPr>
          <w:p>
            <w:pPr>
              <w:spacing w:line="360" w:lineRule="auto"/>
              <w:jc w:val="center"/>
              <w:rPr>
                <w:rFonts w:ascii="宋体" w:hAnsi="宋体" w:cs="宋体"/>
                <w:sz w:val="24"/>
                <w:szCs w:val="24"/>
              </w:rPr>
            </w:pPr>
            <w:r>
              <w:rPr>
                <w:rFonts w:hint="eastAsia" w:ascii="宋体" w:hAnsi="宋体" w:cs="宋体"/>
                <w:sz w:val="24"/>
                <w:szCs w:val="24"/>
              </w:rPr>
              <w:t>响应文件的签署</w:t>
            </w:r>
          </w:p>
        </w:tc>
        <w:tc>
          <w:tcPr>
            <w:tcW w:w="7377" w:type="dxa"/>
            <w:vAlign w:val="center"/>
          </w:tcPr>
          <w:p>
            <w:pPr>
              <w:numPr>
                <w:ilvl w:val="0"/>
                <w:numId w:val="4"/>
              </w:numPr>
              <w:spacing w:line="336" w:lineRule="auto"/>
              <w:ind w:firstLine="0"/>
              <w:jc w:val="left"/>
              <w:rPr>
                <w:rFonts w:ascii="宋体" w:hAnsi="宋体" w:cs="宋体"/>
                <w:sz w:val="24"/>
                <w:szCs w:val="24"/>
              </w:rPr>
            </w:pPr>
            <w:r>
              <w:rPr>
                <w:rFonts w:hint="eastAsia" w:ascii="宋体" w:hAnsi="宋体" w:cs="宋体"/>
                <w:sz w:val="24"/>
                <w:szCs w:val="24"/>
              </w:rPr>
              <w:t>供应商在响应文件中指定的页面的落款处，按采购文件要求由供应商的法定代表人或其授权代表在规定的签章处签字或盖章。</w:t>
            </w:r>
          </w:p>
          <w:p>
            <w:pPr>
              <w:numPr>
                <w:ilvl w:val="0"/>
                <w:numId w:val="4"/>
              </w:numPr>
              <w:spacing w:line="336" w:lineRule="auto"/>
              <w:ind w:firstLine="0"/>
              <w:jc w:val="left"/>
              <w:rPr>
                <w:rFonts w:ascii="宋体" w:hAnsi="宋体" w:cs="宋体"/>
                <w:sz w:val="24"/>
                <w:szCs w:val="24"/>
              </w:rPr>
            </w:pPr>
            <w:r>
              <w:rPr>
                <w:rFonts w:hint="eastAsia" w:ascii="宋体" w:hAnsi="宋体" w:cs="宋体"/>
                <w:sz w:val="24"/>
                <w:szCs w:val="24"/>
              </w:rPr>
              <w:t>响应文件应字迹清楚、内容齐全、不得涂改或增删。如有修改和增删，必须有供应商公章及法定代表人或其授权的供应商代表签字。</w:t>
            </w:r>
          </w:p>
          <w:p>
            <w:pPr>
              <w:spacing w:line="360" w:lineRule="auto"/>
              <w:jc w:val="left"/>
              <w:rPr>
                <w:rFonts w:ascii="宋体" w:hAnsi="宋体" w:cs="宋体"/>
                <w:b/>
                <w:bCs/>
                <w:color w:val="000000"/>
                <w:sz w:val="24"/>
                <w:szCs w:val="24"/>
              </w:rPr>
            </w:pPr>
            <w:r>
              <w:rPr>
                <w:rFonts w:hint="eastAsia" w:ascii="宋体" w:hAnsi="宋体" w:cs="宋体"/>
                <w:sz w:val="24"/>
                <w:szCs w:val="24"/>
              </w:rPr>
              <w:t>因响应文件字迹潦草或表达不清所引起的不利后果由供应商承担。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62" w:hRule="atLeast"/>
        </w:trPr>
        <w:tc>
          <w:tcPr>
            <w:tcW w:w="505" w:type="dxa"/>
            <w:vAlign w:val="center"/>
          </w:tcPr>
          <w:p>
            <w:pPr>
              <w:spacing w:line="360" w:lineRule="auto"/>
              <w:jc w:val="center"/>
              <w:rPr>
                <w:rFonts w:hint="eastAsia" w:ascii="宋体" w:hAnsi="宋体" w:cs="宋体" w:eastAsiaTheme="minorEastAsia"/>
                <w:sz w:val="24"/>
                <w:szCs w:val="24"/>
                <w:lang w:val="en-US" w:eastAsia="zh-CN"/>
              </w:rPr>
            </w:pPr>
            <w:r>
              <w:rPr>
                <w:rFonts w:hint="eastAsia" w:ascii="宋体" w:hAnsi="宋体" w:cs="宋体"/>
                <w:sz w:val="24"/>
                <w:szCs w:val="24"/>
              </w:rPr>
              <w:t>1</w:t>
            </w:r>
            <w:r>
              <w:rPr>
                <w:rFonts w:hint="eastAsia" w:ascii="宋体" w:hAnsi="宋体" w:cs="宋体"/>
                <w:sz w:val="24"/>
                <w:szCs w:val="24"/>
                <w:lang w:val="en-US" w:eastAsia="zh-CN"/>
              </w:rPr>
              <w:t>0</w:t>
            </w:r>
          </w:p>
        </w:tc>
        <w:tc>
          <w:tcPr>
            <w:tcW w:w="1336" w:type="dxa"/>
            <w:vAlign w:val="center"/>
          </w:tcPr>
          <w:p>
            <w:pPr>
              <w:spacing w:line="360" w:lineRule="auto"/>
              <w:jc w:val="center"/>
              <w:rPr>
                <w:rFonts w:ascii="宋体" w:hAnsi="宋体" w:cs="宋体"/>
                <w:sz w:val="24"/>
                <w:szCs w:val="24"/>
              </w:rPr>
            </w:pPr>
            <w:r>
              <w:rPr>
                <w:rFonts w:hint="eastAsia" w:ascii="宋体" w:hAnsi="宋体" w:cs="宋体"/>
                <w:sz w:val="24"/>
                <w:szCs w:val="24"/>
              </w:rPr>
              <w:t>响应文件的密封</w:t>
            </w:r>
          </w:p>
        </w:tc>
        <w:tc>
          <w:tcPr>
            <w:tcW w:w="7377" w:type="dxa"/>
            <w:vAlign w:val="center"/>
          </w:tcPr>
          <w:p>
            <w:pPr>
              <w:pStyle w:val="42"/>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1、装袋要求：</w:t>
            </w:r>
          </w:p>
          <w:p>
            <w:pPr>
              <w:pStyle w:val="42"/>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响应一览表密封单独装袋；</w:t>
            </w:r>
          </w:p>
          <w:p>
            <w:pPr>
              <w:pStyle w:val="42"/>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电子文档密封单独装袋；</w:t>
            </w:r>
          </w:p>
          <w:p>
            <w:pPr>
              <w:spacing w:line="360" w:lineRule="auto"/>
              <w:ind w:right="158" w:rightChars="75"/>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所有正本密封单独装袋，也可分册密封装袋；</w:t>
            </w:r>
          </w:p>
          <w:p>
            <w:pPr>
              <w:spacing w:line="360" w:lineRule="auto"/>
              <w:ind w:right="158" w:rightChars="75"/>
              <w:rPr>
                <w:rFonts w:hint="eastAsia" w:ascii="宋体" w:hAnsi="宋体" w:eastAsia="宋体" w:cs="宋体"/>
                <w:kern w:val="2"/>
                <w:sz w:val="24"/>
                <w:szCs w:val="24"/>
                <w:highlight w:val="none"/>
                <w:lang w:val="zh-CN" w:eastAsia="zh-CN" w:bidi="ar-SA"/>
              </w:rPr>
            </w:pPr>
            <w:r>
              <w:rPr>
                <w:rFonts w:hint="eastAsia" w:ascii="宋体" w:hAnsi="宋体" w:eastAsia="宋体" w:cs="宋体"/>
                <w:kern w:val="2"/>
                <w:sz w:val="24"/>
                <w:szCs w:val="24"/>
                <w:highlight w:val="none"/>
                <w:lang w:val="en-US" w:eastAsia="zh-CN" w:bidi="ar-SA"/>
              </w:rPr>
              <w:t>所有副本密封单独装袋，</w:t>
            </w:r>
            <w:r>
              <w:rPr>
                <w:rFonts w:hint="eastAsia" w:ascii="宋体" w:hAnsi="宋体" w:eastAsia="宋体" w:cs="宋体"/>
                <w:kern w:val="2"/>
                <w:sz w:val="24"/>
                <w:szCs w:val="24"/>
                <w:highlight w:val="none"/>
                <w:lang w:val="zh-CN" w:eastAsia="zh-CN" w:bidi="ar-SA"/>
              </w:rPr>
              <w:t>也可分册</w:t>
            </w:r>
            <w:r>
              <w:rPr>
                <w:rFonts w:hint="eastAsia" w:ascii="宋体" w:hAnsi="宋体" w:eastAsia="宋体" w:cs="宋体"/>
                <w:kern w:val="2"/>
                <w:sz w:val="24"/>
                <w:szCs w:val="24"/>
                <w:highlight w:val="none"/>
                <w:lang w:val="en-US" w:eastAsia="zh-CN" w:bidi="ar-SA"/>
              </w:rPr>
              <w:t>密封</w:t>
            </w:r>
            <w:r>
              <w:rPr>
                <w:rFonts w:hint="eastAsia" w:ascii="宋体" w:hAnsi="宋体" w:eastAsia="宋体" w:cs="宋体"/>
                <w:kern w:val="2"/>
                <w:sz w:val="24"/>
                <w:szCs w:val="24"/>
                <w:highlight w:val="none"/>
                <w:lang w:val="zh-CN" w:eastAsia="zh-CN" w:bidi="ar-SA"/>
              </w:rPr>
              <w:t>装袋；</w:t>
            </w:r>
          </w:p>
          <w:p>
            <w:pPr>
              <w:numPr>
                <w:ilvl w:val="0"/>
                <w:numId w:val="0"/>
              </w:numPr>
              <w:spacing w:line="336" w:lineRule="auto"/>
              <w:ind w:leftChars="0"/>
              <w:jc w:val="left"/>
              <w:rPr>
                <w:rFonts w:hint="eastAsia" w:ascii="宋体" w:hAnsi="宋体" w:cs="宋体"/>
                <w:sz w:val="24"/>
                <w:szCs w:val="24"/>
              </w:rPr>
            </w:pPr>
            <w:r>
              <w:rPr>
                <w:rFonts w:hint="eastAsia" w:ascii="宋体" w:hAnsi="宋体" w:cs="宋体"/>
                <w:sz w:val="24"/>
                <w:szCs w:val="24"/>
                <w:lang w:val="en-US" w:eastAsia="zh-CN"/>
              </w:rPr>
              <w:t>2、</w:t>
            </w:r>
            <w:r>
              <w:rPr>
                <w:rFonts w:hint="eastAsia" w:ascii="宋体" w:hAnsi="宋体" w:cs="宋体"/>
                <w:sz w:val="24"/>
                <w:szCs w:val="24"/>
              </w:rPr>
              <w:t>在封袋正面标明“正本”“副本”“电子版”“</w:t>
            </w:r>
            <w:r>
              <w:rPr>
                <w:rFonts w:hint="eastAsia" w:ascii="宋体" w:hAnsi="宋体" w:cs="宋体"/>
                <w:sz w:val="24"/>
                <w:szCs w:val="24"/>
                <w:lang w:eastAsia="zh-CN"/>
              </w:rPr>
              <w:t>响应一览表</w:t>
            </w:r>
            <w:r>
              <w:rPr>
                <w:rFonts w:hint="eastAsia" w:ascii="宋体" w:hAnsi="宋体" w:cs="宋体"/>
                <w:sz w:val="24"/>
                <w:szCs w:val="24"/>
              </w:rPr>
              <w:t>”字样。封袋应密封完整</w:t>
            </w:r>
            <w:r>
              <w:rPr>
                <w:rFonts w:hint="eastAsia" w:ascii="宋体" w:hAnsi="宋体" w:cs="宋体"/>
                <w:sz w:val="24"/>
                <w:szCs w:val="24"/>
                <w:lang w:eastAsia="zh-CN"/>
              </w:rPr>
              <w:t>（密封以不泄露供应商商业机密、</w:t>
            </w:r>
            <w:r>
              <w:rPr>
                <w:rFonts w:hint="eastAsia" w:ascii="宋体" w:hAnsi="宋体" w:cs="宋体"/>
                <w:sz w:val="24"/>
                <w:szCs w:val="24"/>
                <w:lang w:val="en-US" w:eastAsia="zh-CN"/>
              </w:rPr>
              <w:t>响应文件</w:t>
            </w:r>
            <w:r>
              <w:rPr>
                <w:rFonts w:hint="eastAsia" w:ascii="宋体" w:hAnsi="宋体" w:cs="宋体"/>
                <w:sz w:val="24"/>
                <w:szCs w:val="24"/>
                <w:lang w:eastAsia="zh-CN"/>
              </w:rPr>
              <w:t>内容为标准，</w:t>
            </w:r>
            <w:r>
              <w:rPr>
                <w:rFonts w:hint="eastAsia" w:ascii="宋体" w:hAnsi="宋体" w:cs="宋体"/>
                <w:sz w:val="24"/>
                <w:szCs w:val="24"/>
              </w:rPr>
              <w:t>封面标识见</w:t>
            </w:r>
            <w:r>
              <w:rPr>
                <w:rFonts w:hint="eastAsia" w:ascii="宋体" w:hAnsi="宋体" w:cs="宋体"/>
                <w:sz w:val="24"/>
                <w:szCs w:val="24"/>
                <w:lang w:eastAsia="zh-CN"/>
              </w:rPr>
              <w:t>竞争性谈判文件</w:t>
            </w:r>
            <w:r>
              <w:rPr>
                <w:rFonts w:hint="eastAsia" w:ascii="宋体" w:hAnsi="宋体" w:cs="宋体"/>
                <w:sz w:val="24"/>
                <w:szCs w:val="24"/>
              </w:rPr>
              <w:t>附件一</w:t>
            </w:r>
            <w:r>
              <w:rPr>
                <w:rFonts w:hint="eastAsia" w:ascii="宋体" w:hAnsi="宋体" w:cs="宋体"/>
                <w:sz w:val="24"/>
                <w:szCs w:val="24"/>
                <w:lang w:eastAsia="zh-CN"/>
              </w:rPr>
              <w:t>）</w:t>
            </w:r>
            <w:r>
              <w:rPr>
                <w:rFonts w:hint="eastAsia" w:ascii="宋体" w:hAnsi="宋体" w:cs="宋体"/>
                <w:sz w:val="24"/>
                <w:szCs w:val="24"/>
              </w:rPr>
              <w:t>，如果未按上述规定进行密封，供应商的</w:t>
            </w:r>
            <w:r>
              <w:rPr>
                <w:rFonts w:hint="eastAsia" w:ascii="宋体" w:hAnsi="宋体" w:cs="宋体"/>
                <w:sz w:val="24"/>
                <w:szCs w:val="24"/>
                <w:lang w:eastAsia="zh-CN"/>
              </w:rPr>
              <w:t>响应文件</w:t>
            </w:r>
            <w:r>
              <w:rPr>
                <w:rFonts w:hint="eastAsia" w:ascii="宋体" w:hAnsi="宋体" w:cs="宋体"/>
                <w:sz w:val="24"/>
                <w:szCs w:val="24"/>
              </w:rPr>
              <w:t>有权被拒绝。</w:t>
            </w:r>
          </w:p>
          <w:p>
            <w:pPr>
              <w:numPr>
                <w:ilvl w:val="0"/>
                <w:numId w:val="0"/>
              </w:numPr>
              <w:spacing w:line="336" w:lineRule="auto"/>
              <w:ind w:leftChars="0"/>
              <w:jc w:val="left"/>
              <w:rPr>
                <w:rFonts w:hint="eastAsia" w:ascii="宋体" w:hAnsi="宋体" w:cs="宋体"/>
                <w:sz w:val="24"/>
                <w:szCs w:val="24"/>
                <w:highlight w:val="none"/>
              </w:rPr>
            </w:pPr>
            <w:r>
              <w:rPr>
                <w:rFonts w:hint="eastAsia" w:ascii="宋体" w:hAnsi="宋体" w:cs="宋体"/>
                <w:sz w:val="24"/>
                <w:szCs w:val="24"/>
                <w:highlight w:val="none"/>
                <w:lang w:val="en-US" w:eastAsia="zh-CN"/>
              </w:rPr>
              <w:t>3、</w:t>
            </w:r>
            <w:r>
              <w:rPr>
                <w:rFonts w:hint="eastAsia" w:ascii="宋体" w:hAnsi="宋体" w:cs="宋体"/>
                <w:sz w:val="24"/>
                <w:szCs w:val="24"/>
                <w:highlight w:val="none"/>
              </w:rPr>
              <w:t>如果供应商未按上述要求密封及加写标记，误投或过早启封的响应文件，将自行承担其响应文件被视为无效响应文件的风险。</w:t>
            </w:r>
          </w:p>
          <w:p>
            <w:pPr>
              <w:numPr>
                <w:ilvl w:val="0"/>
                <w:numId w:val="0"/>
              </w:numPr>
              <w:spacing w:line="336" w:lineRule="auto"/>
              <w:jc w:val="left"/>
              <w:rPr>
                <w:rFonts w:hint="eastAsia" w:ascii="宋体" w:hAnsi="宋体" w:cs="宋体"/>
                <w:sz w:val="24"/>
                <w:szCs w:val="24"/>
                <w:highlight w:val="none"/>
              </w:rPr>
            </w:pPr>
            <w:r>
              <w:rPr>
                <w:rFonts w:hint="eastAsia" w:ascii="宋体" w:hAnsi="宋体" w:cs="宋体"/>
                <w:sz w:val="24"/>
                <w:szCs w:val="24"/>
                <w:highlight w:val="none"/>
                <w:lang w:val="en-US" w:eastAsia="zh-CN"/>
              </w:rPr>
              <w:t>4、</w:t>
            </w:r>
            <w:r>
              <w:rPr>
                <w:rFonts w:hint="eastAsia" w:ascii="宋体" w:hAnsi="宋体" w:cs="宋体"/>
                <w:sz w:val="24"/>
                <w:szCs w:val="24"/>
                <w:highlight w:val="none"/>
              </w:rPr>
              <w:t>本次招标只接受简体中文文字的响应文件；如响应文件中出现外文资料，</w:t>
            </w:r>
            <w:r>
              <w:rPr>
                <w:rFonts w:hint="eastAsia" w:ascii="宋体" w:hAnsi="宋体" w:cs="宋体"/>
                <w:sz w:val="24"/>
                <w:szCs w:val="24"/>
                <w:lang w:eastAsia="zh-CN"/>
              </w:rPr>
              <w:t>需</w:t>
            </w:r>
            <w:r>
              <w:rPr>
                <w:rFonts w:hint="eastAsia" w:ascii="宋体" w:hAnsi="宋体" w:cs="宋体"/>
                <w:sz w:val="24"/>
                <w:szCs w:val="24"/>
              </w:rPr>
              <w:t>配以中文译文。否则，由此引发的一切责任由供应商自负</w:t>
            </w:r>
            <w:r>
              <w:rPr>
                <w:rFonts w:hint="eastAsia" w:ascii="宋体" w:hAnsi="宋体" w:cs="宋体"/>
                <w:sz w:val="24"/>
                <w:szCs w:val="24"/>
                <w:highlight w:val="none"/>
              </w:rPr>
              <w:t>。</w:t>
            </w:r>
          </w:p>
          <w:p>
            <w:pPr>
              <w:spacing w:line="360" w:lineRule="auto"/>
              <w:jc w:val="left"/>
              <w:rPr>
                <w:rFonts w:ascii="宋体" w:hAnsi="宋体" w:cs="宋体"/>
                <w:color w:val="FF0000"/>
                <w:sz w:val="24"/>
                <w:szCs w:val="24"/>
              </w:rPr>
            </w:pPr>
            <w:r>
              <w:rPr>
                <w:rFonts w:hint="eastAsia" w:ascii="宋体" w:hAnsi="宋体" w:cs="宋体"/>
                <w:sz w:val="24"/>
                <w:szCs w:val="24"/>
                <w:highlight w:val="none"/>
                <w:lang w:val="en-US" w:eastAsia="zh-CN"/>
              </w:rPr>
              <w:t>5、</w:t>
            </w:r>
            <w:r>
              <w:rPr>
                <w:rFonts w:hint="eastAsia" w:ascii="宋体" w:hAnsi="宋体" w:cs="宋体"/>
                <w:sz w:val="24"/>
                <w:szCs w:val="24"/>
                <w:highlight w:val="none"/>
              </w:rPr>
              <w:t>拒绝接受以电话、传真、电子邮件形式的响应。</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2" w:hRule="atLeast"/>
        </w:trPr>
        <w:tc>
          <w:tcPr>
            <w:tcW w:w="505" w:type="dxa"/>
            <w:vAlign w:val="center"/>
          </w:tcPr>
          <w:p>
            <w:pPr>
              <w:spacing w:line="360" w:lineRule="auto"/>
              <w:jc w:val="center"/>
              <w:rPr>
                <w:rFonts w:hint="eastAsia" w:ascii="宋体" w:hAnsi="宋体" w:cs="宋体" w:eastAsiaTheme="minorEastAsia"/>
                <w:color w:val="FF0000"/>
                <w:sz w:val="24"/>
                <w:szCs w:val="24"/>
                <w:lang w:val="en-US" w:eastAsia="zh-CN"/>
              </w:rPr>
            </w:pPr>
            <w:r>
              <w:rPr>
                <w:rFonts w:hint="eastAsia" w:ascii="宋体" w:hAnsi="宋体" w:cs="宋体"/>
                <w:sz w:val="24"/>
                <w:szCs w:val="24"/>
              </w:rPr>
              <w:t>1</w:t>
            </w:r>
            <w:r>
              <w:rPr>
                <w:rFonts w:hint="eastAsia" w:ascii="宋体" w:hAnsi="宋体" w:cs="宋体"/>
                <w:sz w:val="24"/>
                <w:szCs w:val="24"/>
                <w:lang w:val="en-US" w:eastAsia="zh-CN"/>
              </w:rPr>
              <w:t>1</w:t>
            </w:r>
          </w:p>
        </w:tc>
        <w:tc>
          <w:tcPr>
            <w:tcW w:w="1336" w:type="dxa"/>
            <w:vAlign w:val="center"/>
          </w:tcPr>
          <w:p>
            <w:pPr>
              <w:spacing w:line="360" w:lineRule="auto"/>
              <w:jc w:val="center"/>
              <w:rPr>
                <w:rFonts w:ascii="宋体" w:hAnsi="宋体" w:cs="宋体"/>
                <w:b w:val="0"/>
                <w:bCs w:val="0"/>
                <w:sz w:val="24"/>
                <w:szCs w:val="24"/>
              </w:rPr>
            </w:pPr>
            <w:r>
              <w:rPr>
                <w:rFonts w:hint="eastAsia" w:ascii="宋体" w:hAnsi="宋体" w:cs="宋体"/>
                <w:b w:val="0"/>
                <w:bCs w:val="0"/>
                <w:sz w:val="24"/>
                <w:szCs w:val="24"/>
              </w:rPr>
              <w:t>成交原则</w:t>
            </w:r>
          </w:p>
        </w:tc>
        <w:tc>
          <w:tcPr>
            <w:tcW w:w="7377" w:type="dxa"/>
            <w:vAlign w:val="center"/>
          </w:tcPr>
          <w:p>
            <w:pPr>
              <w:spacing w:line="360" w:lineRule="auto"/>
              <w:rPr>
                <w:rFonts w:ascii="宋体" w:hAnsi="宋体" w:cs="宋体"/>
                <w:sz w:val="24"/>
                <w:szCs w:val="24"/>
              </w:rPr>
            </w:pPr>
            <w:r>
              <w:rPr>
                <w:rFonts w:hint="eastAsia" w:ascii="宋体" w:hAnsi="宋体" w:cs="宋体"/>
                <w:sz w:val="24"/>
                <w:szCs w:val="24"/>
              </w:rPr>
              <w:t>质量和服务均能满足采购文件实质性响应要求且最后报价最低的原则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hint="eastAsia" w:ascii="宋体" w:hAnsi="宋体" w:cs="宋体" w:eastAsiaTheme="minorEastAsia"/>
                <w:color w:val="000000"/>
                <w:kern w:val="2"/>
                <w:sz w:val="24"/>
                <w:szCs w:val="24"/>
                <w:highlight w:val="none"/>
                <w:lang w:val="en-US" w:eastAsia="zh-CN" w:bidi="ar-SA"/>
              </w:rPr>
            </w:pPr>
            <w:r>
              <w:rPr>
                <w:rFonts w:hint="eastAsia" w:ascii="宋体" w:hAnsi="宋体" w:cs="宋体"/>
                <w:sz w:val="24"/>
                <w:szCs w:val="24"/>
                <w:highlight w:val="none"/>
              </w:rPr>
              <w:t>1</w:t>
            </w:r>
            <w:r>
              <w:rPr>
                <w:rFonts w:hint="eastAsia" w:ascii="宋体" w:hAnsi="宋体" w:cs="宋体"/>
                <w:sz w:val="24"/>
                <w:szCs w:val="24"/>
                <w:highlight w:val="none"/>
                <w:lang w:val="en-US" w:eastAsia="zh-CN"/>
              </w:rPr>
              <w:t>2</w:t>
            </w:r>
          </w:p>
        </w:tc>
        <w:tc>
          <w:tcPr>
            <w:tcW w:w="1336" w:type="dxa"/>
            <w:vAlign w:val="center"/>
          </w:tcPr>
          <w:p>
            <w:pPr>
              <w:spacing w:line="360" w:lineRule="auto"/>
              <w:jc w:val="center"/>
              <w:rPr>
                <w:rFonts w:hint="eastAsia" w:ascii="宋体" w:hAnsi="宋体" w:cs="宋体" w:eastAsiaTheme="minorEastAsia"/>
                <w:b w:val="0"/>
                <w:bCs w:val="0"/>
                <w:kern w:val="2"/>
                <w:sz w:val="24"/>
                <w:szCs w:val="24"/>
                <w:highlight w:val="none"/>
                <w:lang w:val="en-US" w:eastAsia="zh-CN" w:bidi="ar-SA"/>
              </w:rPr>
            </w:pPr>
            <w:r>
              <w:rPr>
                <w:rFonts w:hint="eastAsia" w:ascii="宋体" w:hAnsi="宋体" w:cs="宋体"/>
                <w:b w:val="0"/>
                <w:bCs w:val="0"/>
                <w:sz w:val="24"/>
                <w:szCs w:val="24"/>
                <w:highlight w:val="none"/>
              </w:rPr>
              <w:t>是否采购进口产品</w:t>
            </w:r>
          </w:p>
        </w:tc>
        <w:tc>
          <w:tcPr>
            <w:tcW w:w="7377" w:type="dxa"/>
            <w:vAlign w:val="center"/>
          </w:tcPr>
          <w:p>
            <w:pPr>
              <w:spacing w:line="360" w:lineRule="auto"/>
              <w:rPr>
                <w:rFonts w:hint="eastAsia" w:ascii="宋体" w:hAnsi="宋体" w:cs="宋体" w:eastAsiaTheme="minorEastAsia"/>
                <w:kern w:val="2"/>
                <w:sz w:val="24"/>
                <w:szCs w:val="24"/>
                <w:highlight w:val="none"/>
                <w:lang w:val="en-US" w:eastAsia="zh-CN" w:bidi="ar-SA"/>
              </w:rPr>
            </w:pPr>
            <w:r>
              <w:rPr>
                <w:rFonts w:hint="eastAsia" w:ascii="宋体" w:hAnsi="宋体" w:cs="宋体"/>
                <w:sz w:val="24"/>
                <w:szCs w:val="24"/>
                <w:highlight w:val="none"/>
              </w:rPr>
              <w:t>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hint="eastAsia" w:ascii="宋体" w:hAnsi="宋体" w:cs="宋体" w:eastAsiaTheme="minorEastAsia"/>
                <w:kern w:val="2"/>
                <w:sz w:val="24"/>
                <w:szCs w:val="24"/>
                <w:highlight w:val="none"/>
                <w:lang w:val="en-US" w:eastAsia="zh-CN" w:bidi="ar-SA"/>
              </w:rPr>
            </w:pPr>
            <w:r>
              <w:rPr>
                <w:rFonts w:hint="eastAsia" w:ascii="宋体" w:hAnsi="宋体" w:cs="宋体"/>
                <w:sz w:val="24"/>
                <w:szCs w:val="24"/>
                <w:highlight w:val="none"/>
              </w:rPr>
              <w:t>1</w:t>
            </w:r>
            <w:r>
              <w:rPr>
                <w:rFonts w:hint="eastAsia" w:ascii="宋体" w:hAnsi="宋体" w:cs="宋体"/>
                <w:sz w:val="24"/>
                <w:szCs w:val="24"/>
                <w:highlight w:val="none"/>
                <w:lang w:val="en-US" w:eastAsia="zh-CN"/>
              </w:rPr>
              <w:t>3</w:t>
            </w:r>
          </w:p>
        </w:tc>
        <w:tc>
          <w:tcPr>
            <w:tcW w:w="1336" w:type="dxa"/>
            <w:vAlign w:val="center"/>
          </w:tcPr>
          <w:p>
            <w:pPr>
              <w:spacing w:line="360" w:lineRule="auto"/>
              <w:jc w:val="center"/>
              <w:rPr>
                <w:rFonts w:hint="eastAsia" w:ascii="宋体" w:hAnsi="宋体" w:cs="宋体" w:eastAsiaTheme="minorEastAsia"/>
                <w:b w:val="0"/>
                <w:bCs w:val="0"/>
                <w:kern w:val="2"/>
                <w:sz w:val="24"/>
                <w:szCs w:val="24"/>
                <w:highlight w:val="none"/>
                <w:lang w:val="en-US" w:eastAsia="zh-CN" w:bidi="ar-SA"/>
              </w:rPr>
            </w:pPr>
            <w:r>
              <w:rPr>
                <w:rFonts w:hint="eastAsia" w:ascii="宋体" w:hAnsi="宋体" w:cs="宋体"/>
                <w:b w:val="0"/>
                <w:bCs w:val="0"/>
                <w:sz w:val="24"/>
                <w:szCs w:val="24"/>
                <w:highlight w:val="none"/>
              </w:rPr>
              <w:t>现场勘查</w:t>
            </w:r>
          </w:p>
        </w:tc>
        <w:tc>
          <w:tcPr>
            <w:tcW w:w="7377" w:type="dxa"/>
            <w:vAlign w:val="center"/>
          </w:tcPr>
          <w:p>
            <w:pPr>
              <w:spacing w:line="360" w:lineRule="auto"/>
              <w:rPr>
                <w:rFonts w:hint="eastAsia" w:ascii="宋体" w:hAnsi="宋体" w:cs="宋体" w:eastAsiaTheme="minorEastAsia"/>
                <w:kern w:val="2"/>
                <w:sz w:val="24"/>
                <w:szCs w:val="24"/>
                <w:highlight w:val="none"/>
                <w:lang w:val="en-US" w:eastAsia="zh-CN" w:bidi="ar-SA"/>
              </w:rPr>
            </w:pPr>
            <w:r>
              <w:rPr>
                <w:rFonts w:hint="eastAsia" w:ascii="宋体" w:hAnsi="宋体" w:cs="宋体"/>
                <w:sz w:val="24"/>
                <w:szCs w:val="24"/>
                <w:highlight w:val="none"/>
              </w:rPr>
              <w:t>不组织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hint="default" w:ascii="宋体" w:hAnsi="宋体" w:cs="宋体" w:eastAsiaTheme="minorEastAsia"/>
                <w:kern w:val="2"/>
                <w:sz w:val="24"/>
                <w:szCs w:val="24"/>
                <w:lang w:val="en-US" w:eastAsia="zh-CN" w:bidi="ar-SA"/>
              </w:rPr>
            </w:pPr>
            <w:r>
              <w:rPr>
                <w:rFonts w:hint="eastAsia" w:ascii="宋体" w:hAnsi="宋体" w:cs="宋体"/>
                <w:sz w:val="24"/>
                <w:szCs w:val="24"/>
                <w:lang w:val="en-US" w:eastAsia="zh-CN"/>
              </w:rPr>
              <w:t>14</w:t>
            </w:r>
          </w:p>
        </w:tc>
        <w:tc>
          <w:tcPr>
            <w:tcW w:w="1336" w:type="dxa"/>
            <w:vAlign w:val="center"/>
          </w:tcPr>
          <w:p>
            <w:pPr>
              <w:spacing w:line="360" w:lineRule="auto"/>
              <w:jc w:val="center"/>
              <w:rPr>
                <w:rFonts w:hint="eastAsia" w:ascii="宋体" w:hAnsi="宋体" w:cs="宋体" w:eastAsiaTheme="minorEastAsia"/>
                <w:kern w:val="2"/>
                <w:sz w:val="24"/>
                <w:szCs w:val="24"/>
                <w:lang w:val="en-US" w:eastAsia="zh-CN" w:bidi="ar-SA"/>
              </w:rPr>
            </w:pPr>
            <w:r>
              <w:rPr>
                <w:rFonts w:hint="eastAsia" w:ascii="宋体" w:hAnsi="宋体" w:cs="宋体"/>
                <w:sz w:val="24"/>
                <w:szCs w:val="24"/>
              </w:rPr>
              <w:t>代理服务费</w:t>
            </w:r>
          </w:p>
        </w:tc>
        <w:tc>
          <w:tcPr>
            <w:tcW w:w="7377" w:type="dxa"/>
            <w:vAlign w:val="center"/>
          </w:tcPr>
          <w:p>
            <w:pPr>
              <w:spacing w:line="560" w:lineRule="exact"/>
              <w:ind w:firstLine="480" w:firstLineChars="200"/>
              <w:jc w:val="left"/>
              <w:rPr>
                <w:rFonts w:hint="eastAsia" w:ascii="宋体" w:hAnsi="宋体" w:cs="宋体"/>
                <w:sz w:val="24"/>
                <w:szCs w:val="24"/>
                <w:highlight w:val="none"/>
                <w:lang w:eastAsia="zh-CN"/>
              </w:rPr>
            </w:pPr>
            <w:r>
              <w:rPr>
                <w:rFonts w:hint="eastAsia" w:ascii="宋体" w:hAnsi="宋体" w:cs="宋体"/>
                <w:sz w:val="24"/>
                <w:szCs w:val="24"/>
                <w:highlight w:val="none"/>
              </w:rPr>
              <w:t>参照国家计委颁布的《招标代理服务收费管理暂行办法》（计价格[2002]1980号）和发改办价格[2003]857号文件等法律法规规定的计价标准收取（含税），按照中标金额差额定率累进法计算，由中标/成交单位一次性支付</w:t>
            </w:r>
            <w:r>
              <w:rPr>
                <w:rFonts w:hint="eastAsia" w:ascii="宋体" w:hAnsi="宋体" w:cs="宋体"/>
                <w:sz w:val="24"/>
                <w:szCs w:val="24"/>
                <w:highlight w:val="none"/>
                <w:lang w:eastAsia="zh-CN"/>
              </w:rPr>
              <w:t>。</w:t>
            </w:r>
          </w:p>
          <w:p>
            <w:pPr>
              <w:spacing w:line="560" w:lineRule="exact"/>
              <w:ind w:firstLine="480" w:firstLineChars="200"/>
              <w:jc w:val="left"/>
              <w:rPr>
                <w:rFonts w:hint="eastAsia" w:ascii="宋体" w:hAnsi="宋体" w:cs="宋体" w:eastAsiaTheme="minorEastAsia"/>
                <w:kern w:val="2"/>
                <w:sz w:val="24"/>
                <w:szCs w:val="24"/>
                <w:lang w:val="en-US" w:eastAsia="zh-CN" w:bidi="ar-SA"/>
              </w:rPr>
            </w:pPr>
            <w:r>
              <w:rPr>
                <w:rFonts w:hint="eastAsia" w:ascii="宋体" w:hAnsi="宋体" w:cs="宋体"/>
                <w:sz w:val="24"/>
                <w:szCs w:val="24"/>
              </w:rPr>
              <w:t>供应商将招标代理服务费计入响应报价但不单独列明，中标</w:t>
            </w:r>
            <w:r>
              <w:rPr>
                <w:rFonts w:hint="eastAsia" w:ascii="宋体" w:hAnsi="宋体" w:cs="宋体"/>
                <w:sz w:val="24"/>
                <w:szCs w:val="24"/>
                <w:lang w:eastAsia="zh-CN"/>
              </w:rPr>
              <w:t>（</w:t>
            </w:r>
            <w:r>
              <w:rPr>
                <w:rFonts w:hint="eastAsia" w:ascii="宋体" w:hAnsi="宋体" w:cs="宋体"/>
                <w:sz w:val="24"/>
                <w:szCs w:val="24"/>
                <w:lang w:val="en-US" w:eastAsia="zh-CN"/>
              </w:rPr>
              <w:t>成交</w:t>
            </w:r>
            <w:r>
              <w:rPr>
                <w:rFonts w:hint="eastAsia" w:ascii="宋体" w:hAnsi="宋体" w:cs="宋体"/>
                <w:sz w:val="24"/>
                <w:szCs w:val="24"/>
                <w:lang w:eastAsia="zh-CN"/>
              </w:rPr>
              <w:t>）</w:t>
            </w:r>
            <w:r>
              <w:rPr>
                <w:rFonts w:hint="eastAsia" w:ascii="宋体" w:hAnsi="宋体" w:cs="宋体"/>
                <w:sz w:val="24"/>
                <w:szCs w:val="24"/>
              </w:rPr>
              <w:t>供应商在领取中标</w:t>
            </w:r>
            <w:r>
              <w:rPr>
                <w:rFonts w:hint="eastAsia" w:ascii="宋体" w:hAnsi="宋体" w:cs="宋体"/>
                <w:sz w:val="24"/>
                <w:szCs w:val="24"/>
                <w:lang w:eastAsia="zh-CN"/>
              </w:rPr>
              <w:t>（</w:t>
            </w:r>
            <w:r>
              <w:rPr>
                <w:rFonts w:hint="eastAsia" w:ascii="宋体" w:hAnsi="宋体" w:cs="宋体"/>
                <w:sz w:val="24"/>
                <w:szCs w:val="24"/>
                <w:lang w:val="en-US" w:eastAsia="zh-CN"/>
              </w:rPr>
              <w:t>成交</w:t>
            </w:r>
            <w:r>
              <w:rPr>
                <w:rFonts w:hint="eastAsia" w:ascii="宋体" w:hAnsi="宋体" w:cs="宋体"/>
                <w:sz w:val="24"/>
                <w:szCs w:val="24"/>
                <w:lang w:eastAsia="zh-CN"/>
              </w:rPr>
              <w:t>）</w:t>
            </w:r>
            <w:r>
              <w:rPr>
                <w:rFonts w:hint="eastAsia" w:ascii="宋体" w:hAnsi="宋体" w:cs="宋体"/>
                <w:sz w:val="24"/>
                <w:szCs w:val="24"/>
              </w:rPr>
              <w:t>通知书前须向采购代理机构一次性支付招标代理服务费</w:t>
            </w:r>
            <w:r>
              <w:rPr>
                <w:rFonts w:hint="eastAsia" w:ascii="宋体" w:hAnsi="宋体" w:cs="宋体"/>
                <w:sz w:val="24"/>
                <w:szCs w:val="24"/>
                <w:lang w:eastAsia="zh-CN"/>
              </w:rPr>
              <w:t>。代理服务费以转账、电汇或现金等形式交纳。</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hint="eastAsia" w:ascii="宋体" w:hAnsi="宋体" w:cs="宋体" w:eastAsiaTheme="minorEastAsia"/>
                <w:b/>
                <w:bCs/>
                <w:kern w:val="2"/>
                <w:sz w:val="24"/>
                <w:szCs w:val="24"/>
                <w:highlight w:val="none"/>
                <w:lang w:val="en-US" w:eastAsia="zh-CN" w:bidi="ar-SA"/>
              </w:rPr>
            </w:pPr>
            <w:r>
              <w:rPr>
                <w:rFonts w:hint="eastAsia" w:ascii="宋体" w:hAnsi="宋体" w:cs="宋体"/>
                <w:b/>
                <w:bCs/>
                <w:sz w:val="24"/>
                <w:szCs w:val="24"/>
                <w:highlight w:val="none"/>
              </w:rPr>
              <w:t>1</w:t>
            </w:r>
            <w:r>
              <w:rPr>
                <w:rFonts w:hint="eastAsia" w:ascii="宋体" w:hAnsi="宋体" w:cs="宋体"/>
                <w:b/>
                <w:bCs/>
                <w:sz w:val="24"/>
                <w:szCs w:val="24"/>
                <w:highlight w:val="none"/>
                <w:lang w:val="en-US" w:eastAsia="zh-CN"/>
              </w:rPr>
              <w:t>5</w:t>
            </w:r>
          </w:p>
        </w:tc>
        <w:tc>
          <w:tcPr>
            <w:tcW w:w="1336" w:type="dxa"/>
            <w:vAlign w:val="center"/>
          </w:tcPr>
          <w:p>
            <w:pPr>
              <w:spacing w:line="360" w:lineRule="auto"/>
              <w:jc w:val="center"/>
              <w:rPr>
                <w:rFonts w:hint="eastAsia" w:ascii="宋体" w:hAnsi="宋体" w:cs="宋体" w:eastAsiaTheme="minorEastAsia"/>
                <w:b/>
                <w:bCs/>
                <w:kern w:val="2"/>
                <w:sz w:val="24"/>
                <w:szCs w:val="24"/>
                <w:highlight w:val="none"/>
                <w:lang w:val="en-US" w:eastAsia="zh-CN" w:bidi="ar-SA"/>
              </w:rPr>
            </w:pPr>
            <w:r>
              <w:rPr>
                <w:rFonts w:hint="eastAsia" w:ascii="宋体" w:hAnsi="宋体" w:cs="宋体"/>
                <w:b/>
                <w:bCs/>
                <w:sz w:val="24"/>
                <w:szCs w:val="24"/>
                <w:highlight w:val="none"/>
              </w:rPr>
              <w:t>是否专门面向中小企业</w:t>
            </w:r>
          </w:p>
        </w:tc>
        <w:tc>
          <w:tcPr>
            <w:tcW w:w="7377" w:type="dxa"/>
            <w:vAlign w:val="center"/>
          </w:tcPr>
          <w:p>
            <w:pPr>
              <w:ind w:right="158" w:rightChars="75"/>
              <w:rPr>
                <w:rFonts w:hint="eastAsia" w:eastAsia="宋体" w:asciiTheme="minorHAnsi" w:hAnsiTheme="minorHAnsi" w:cstheme="minorBidi"/>
                <w:b/>
                <w:bCs/>
                <w:kern w:val="2"/>
                <w:sz w:val="24"/>
                <w:szCs w:val="24"/>
                <w:highlight w:val="none"/>
                <w:lang w:val="en-US" w:eastAsia="zh-CN" w:bidi="ar-SA"/>
              </w:rPr>
            </w:pPr>
            <w:r>
              <w:rPr>
                <w:rFonts w:hint="eastAsia" w:eastAsia="宋体" w:cstheme="minorBidi"/>
                <w:b/>
                <w:bCs/>
                <w:kern w:val="2"/>
                <w:sz w:val="24"/>
                <w:szCs w:val="24"/>
                <w:highlight w:val="none"/>
                <w:lang w:val="en-US" w:eastAsia="zh-CN" w:bidi="ar-SA"/>
              </w:rPr>
              <w:t>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hint="default" w:ascii="宋体" w:hAnsi="宋体" w:eastAsia="宋体" w:cs="宋体"/>
                <w:kern w:val="2"/>
                <w:sz w:val="24"/>
                <w:szCs w:val="24"/>
                <w:highlight w:val="none"/>
                <w:lang w:val="en-US" w:eastAsia="zh-CN" w:bidi="ar-SA"/>
              </w:rPr>
            </w:pPr>
            <w:r>
              <w:rPr>
                <w:rFonts w:hint="eastAsia" w:ascii="宋体" w:hAnsi="宋体" w:cs="宋体"/>
                <w:sz w:val="24"/>
                <w:szCs w:val="24"/>
                <w:highlight w:val="none"/>
                <w:lang w:val="en-US" w:eastAsia="zh-CN"/>
              </w:rPr>
              <w:t>16</w:t>
            </w:r>
          </w:p>
        </w:tc>
        <w:tc>
          <w:tcPr>
            <w:tcW w:w="1336" w:type="dxa"/>
            <w:vAlign w:val="center"/>
          </w:tcPr>
          <w:p>
            <w:pPr>
              <w:spacing w:line="360" w:lineRule="auto"/>
              <w:jc w:val="center"/>
              <w:rPr>
                <w:rFonts w:ascii="宋体" w:hAnsi="宋体" w:cs="宋体"/>
                <w:sz w:val="24"/>
                <w:szCs w:val="24"/>
                <w:highlight w:val="none"/>
                <w:lang w:val="zh-CN"/>
              </w:rPr>
            </w:pPr>
            <w:r>
              <w:rPr>
                <w:rFonts w:hint="eastAsia" w:ascii="宋体" w:hAnsi="宋体" w:cs="宋体"/>
                <w:sz w:val="24"/>
                <w:szCs w:val="24"/>
                <w:highlight w:val="none"/>
                <w:lang w:val="zh-CN"/>
              </w:rPr>
              <w:t>供应商</w:t>
            </w:r>
          </w:p>
          <w:p>
            <w:pPr>
              <w:spacing w:line="360" w:lineRule="auto"/>
              <w:jc w:val="center"/>
              <w:rPr>
                <w:rFonts w:hint="eastAsia" w:ascii="宋体" w:hAnsi="宋体" w:cs="宋体" w:eastAsiaTheme="minorEastAsia"/>
                <w:kern w:val="2"/>
                <w:sz w:val="24"/>
                <w:szCs w:val="24"/>
                <w:highlight w:val="none"/>
                <w:lang w:val="zh-CN" w:eastAsia="zh-CN" w:bidi="ar-SA"/>
              </w:rPr>
            </w:pPr>
            <w:r>
              <w:rPr>
                <w:rFonts w:hint="eastAsia" w:ascii="宋体" w:hAnsi="宋体" w:cs="宋体"/>
                <w:sz w:val="24"/>
                <w:szCs w:val="24"/>
                <w:highlight w:val="none"/>
                <w:lang w:val="zh-CN"/>
              </w:rPr>
              <w:t>提出质疑的时间、形式</w:t>
            </w:r>
          </w:p>
        </w:tc>
        <w:tc>
          <w:tcPr>
            <w:tcW w:w="7377" w:type="dxa"/>
            <w:vAlign w:val="center"/>
          </w:tcPr>
          <w:p>
            <w:pPr>
              <w:spacing w:line="360" w:lineRule="auto"/>
              <w:jc w:val="left"/>
              <w:rPr>
                <w:rFonts w:ascii="宋体" w:hAnsi="宋体" w:cs="宋体"/>
                <w:sz w:val="24"/>
                <w:szCs w:val="24"/>
                <w:highlight w:val="none"/>
                <w:lang w:val="zh-CN"/>
              </w:rPr>
            </w:pPr>
            <w:r>
              <w:rPr>
                <w:rFonts w:hint="eastAsia" w:ascii="宋体" w:hAnsi="宋体" w:cs="宋体"/>
                <w:sz w:val="24"/>
                <w:szCs w:val="24"/>
                <w:highlight w:val="none"/>
                <w:lang w:val="zh-CN"/>
              </w:rPr>
              <w:t>时间：供应商认为采购文件、采购过程和中标、成交结果使自己的权益受到损害的，可以在知道或者应知其权益受到损害之日起七个工作日内，超过期限的采购人或采购代理机构不再受理。</w:t>
            </w:r>
          </w:p>
          <w:p>
            <w:pPr>
              <w:spacing w:line="360" w:lineRule="auto"/>
              <w:jc w:val="left"/>
              <w:rPr>
                <w:rFonts w:ascii="宋体" w:hAnsi="宋体" w:cs="宋体"/>
                <w:sz w:val="24"/>
                <w:szCs w:val="24"/>
                <w:highlight w:val="none"/>
                <w:lang w:val="zh-CN"/>
              </w:rPr>
            </w:pPr>
            <w:r>
              <w:rPr>
                <w:rFonts w:hint="eastAsia" w:ascii="宋体" w:hAnsi="宋体" w:cs="宋体"/>
                <w:sz w:val="24"/>
                <w:szCs w:val="24"/>
                <w:highlight w:val="none"/>
                <w:lang w:val="zh-CN"/>
              </w:rPr>
              <w:t>形式：书面；</w:t>
            </w:r>
          </w:p>
          <w:p>
            <w:pPr>
              <w:spacing w:line="360" w:lineRule="auto"/>
              <w:jc w:val="left"/>
              <w:rPr>
                <w:rFonts w:hint="eastAsia" w:asciiTheme="minorHAnsi" w:hAnsiTheme="minorHAnsi" w:eastAsiaTheme="minorEastAsia" w:cstheme="minorBidi"/>
                <w:kern w:val="2"/>
                <w:sz w:val="21"/>
                <w:szCs w:val="22"/>
                <w:highlight w:val="none"/>
                <w:lang w:val="en-US" w:eastAsia="zh-CN" w:bidi="ar-SA"/>
              </w:rPr>
            </w:pPr>
            <w:r>
              <w:rPr>
                <w:rFonts w:hint="eastAsia" w:ascii="宋体" w:hAnsi="宋体" w:cs="宋体"/>
                <w:sz w:val="24"/>
                <w:szCs w:val="24"/>
                <w:highlight w:val="none"/>
              </w:rPr>
              <w:t>环节：</w:t>
            </w:r>
            <w:r>
              <w:rPr>
                <w:rFonts w:hint="eastAsia" w:ascii="宋体" w:hAnsi="宋体" w:cs="宋体"/>
                <w:sz w:val="24"/>
                <w:szCs w:val="24"/>
                <w:highlight w:val="none"/>
                <w:lang w:val="zh-CN"/>
              </w:rPr>
              <w:t>供应商应当在法定质疑期内一次性提出针对同一采购程序环节的质疑。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hint="default" w:ascii="宋体" w:hAnsi="宋体" w:eastAsia="宋体" w:cs="宋体"/>
                <w:kern w:val="2"/>
                <w:sz w:val="24"/>
                <w:szCs w:val="24"/>
                <w:highlight w:val="none"/>
                <w:lang w:val="en-US" w:eastAsia="zh-CN" w:bidi="ar-SA"/>
              </w:rPr>
            </w:pPr>
            <w:r>
              <w:rPr>
                <w:rFonts w:hint="eastAsia" w:ascii="宋体" w:hAnsi="宋体" w:cs="宋体"/>
                <w:sz w:val="24"/>
                <w:szCs w:val="24"/>
                <w:highlight w:val="none"/>
                <w:lang w:val="en-US" w:eastAsia="zh-CN"/>
              </w:rPr>
              <w:t>17</w:t>
            </w:r>
          </w:p>
        </w:tc>
        <w:tc>
          <w:tcPr>
            <w:tcW w:w="1336" w:type="dxa"/>
            <w:vAlign w:val="center"/>
          </w:tcPr>
          <w:p>
            <w:pPr>
              <w:spacing w:line="360" w:lineRule="auto"/>
              <w:jc w:val="center"/>
              <w:rPr>
                <w:rFonts w:hint="eastAsia" w:ascii="宋体" w:hAnsi="宋体" w:cs="宋体" w:eastAsiaTheme="minorEastAsia"/>
                <w:kern w:val="2"/>
                <w:sz w:val="24"/>
                <w:szCs w:val="24"/>
                <w:highlight w:val="none"/>
                <w:lang w:val="zh-CN" w:eastAsia="zh-CN" w:bidi="ar-SA"/>
              </w:rPr>
            </w:pPr>
            <w:r>
              <w:rPr>
                <w:rFonts w:hint="eastAsia" w:ascii="宋体" w:hAnsi="宋体" w:cs="宋体"/>
                <w:sz w:val="24"/>
                <w:szCs w:val="24"/>
                <w:highlight w:val="none"/>
                <w:lang w:val="zh-CN"/>
              </w:rPr>
              <w:t>对供应商提出质疑答复时间、形式</w:t>
            </w:r>
          </w:p>
        </w:tc>
        <w:tc>
          <w:tcPr>
            <w:tcW w:w="7377" w:type="dxa"/>
            <w:vAlign w:val="center"/>
          </w:tcPr>
          <w:p>
            <w:pPr>
              <w:spacing w:line="360" w:lineRule="auto"/>
              <w:jc w:val="left"/>
              <w:rPr>
                <w:rFonts w:ascii="宋体" w:hAnsi="宋体" w:cs="宋体"/>
                <w:sz w:val="24"/>
                <w:szCs w:val="24"/>
                <w:highlight w:val="none"/>
                <w:lang w:val="zh-CN"/>
              </w:rPr>
            </w:pPr>
            <w:r>
              <w:rPr>
                <w:rFonts w:hint="eastAsia" w:ascii="宋体" w:hAnsi="宋体" w:cs="宋体"/>
                <w:sz w:val="24"/>
                <w:szCs w:val="24"/>
                <w:highlight w:val="none"/>
                <w:lang w:val="zh-CN"/>
              </w:rPr>
              <w:t>时间：自收到供应商质疑函之日起7个工作日内</w:t>
            </w:r>
          </w:p>
          <w:p>
            <w:pPr>
              <w:spacing w:line="360" w:lineRule="auto"/>
              <w:jc w:val="left"/>
              <w:rPr>
                <w:rFonts w:hint="eastAsia" w:ascii="宋体" w:hAnsi="宋体" w:cs="宋体" w:eastAsiaTheme="minorEastAsia"/>
                <w:kern w:val="2"/>
                <w:sz w:val="24"/>
                <w:szCs w:val="24"/>
                <w:highlight w:val="none"/>
                <w:lang w:val="zh-CN" w:eastAsia="zh-CN" w:bidi="ar-SA"/>
              </w:rPr>
            </w:pPr>
            <w:r>
              <w:rPr>
                <w:rFonts w:hint="eastAsia" w:ascii="宋体" w:hAnsi="宋体" w:cs="宋体"/>
                <w:sz w:val="24"/>
                <w:szCs w:val="24"/>
                <w:highlight w:val="none"/>
                <w:lang w:val="zh-CN"/>
              </w:rPr>
              <w:t>形式：书面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hint="default" w:ascii="宋体" w:hAnsi="宋体" w:cs="宋体" w:eastAsiaTheme="minorEastAsia"/>
                <w:kern w:val="2"/>
                <w:sz w:val="24"/>
                <w:szCs w:val="24"/>
                <w:highlight w:val="none"/>
                <w:lang w:val="en-US" w:eastAsia="zh-CN" w:bidi="ar-SA"/>
              </w:rPr>
            </w:pPr>
            <w:r>
              <w:rPr>
                <w:rFonts w:hint="eastAsia" w:ascii="宋体" w:hAnsi="宋体" w:cs="宋体"/>
                <w:sz w:val="24"/>
                <w:szCs w:val="24"/>
                <w:highlight w:val="none"/>
                <w:lang w:val="en-US" w:eastAsia="zh-CN"/>
              </w:rPr>
              <w:t>18</w:t>
            </w:r>
          </w:p>
        </w:tc>
        <w:tc>
          <w:tcPr>
            <w:tcW w:w="1336" w:type="dxa"/>
            <w:vAlign w:val="center"/>
          </w:tcPr>
          <w:p>
            <w:pPr>
              <w:spacing w:line="360" w:lineRule="auto"/>
              <w:jc w:val="center"/>
              <w:rPr>
                <w:rFonts w:hint="eastAsia" w:ascii="宋体" w:hAnsi="宋体" w:cs="宋体" w:eastAsiaTheme="minorEastAsia"/>
                <w:kern w:val="2"/>
                <w:sz w:val="24"/>
                <w:szCs w:val="24"/>
                <w:highlight w:val="none"/>
                <w:lang w:val="zh-CN" w:eastAsia="zh-CN" w:bidi="ar-SA"/>
              </w:rPr>
            </w:pPr>
            <w:r>
              <w:rPr>
                <w:rFonts w:hint="eastAsia" w:ascii="宋体" w:hAnsi="宋体" w:cs="宋体"/>
                <w:sz w:val="24"/>
                <w:szCs w:val="24"/>
                <w:highlight w:val="none"/>
                <w:lang w:val="zh-CN"/>
              </w:rPr>
              <w:t>供应商信用信息查询</w:t>
            </w:r>
            <w:r>
              <w:rPr>
                <w:rFonts w:hint="eastAsia" w:ascii="宋体" w:hAnsi="宋体" w:cs="宋体"/>
                <w:sz w:val="24"/>
                <w:szCs w:val="24"/>
                <w:highlight w:val="none"/>
                <w:lang w:val="en-US" w:eastAsia="zh-CN"/>
              </w:rPr>
              <w:t>截止</w:t>
            </w:r>
            <w:r>
              <w:rPr>
                <w:rFonts w:hint="eastAsia" w:ascii="宋体" w:hAnsi="宋体" w:cs="宋体"/>
                <w:sz w:val="24"/>
                <w:szCs w:val="24"/>
                <w:highlight w:val="none"/>
                <w:lang w:val="zh-CN"/>
              </w:rPr>
              <w:t>时点</w:t>
            </w:r>
          </w:p>
        </w:tc>
        <w:tc>
          <w:tcPr>
            <w:tcW w:w="7377" w:type="dxa"/>
            <w:vAlign w:val="center"/>
          </w:tcPr>
          <w:p>
            <w:pPr>
              <w:spacing w:line="360" w:lineRule="auto"/>
              <w:rPr>
                <w:rFonts w:hint="eastAsia" w:ascii="宋体" w:hAnsi="宋体" w:cs="宋体" w:eastAsiaTheme="minorEastAsia"/>
                <w:kern w:val="2"/>
                <w:sz w:val="24"/>
                <w:szCs w:val="24"/>
                <w:highlight w:val="none"/>
                <w:lang w:val="zh-CN" w:eastAsia="zh-CN" w:bidi="ar-SA"/>
              </w:rPr>
            </w:pPr>
            <w:r>
              <w:rPr>
                <w:rFonts w:hint="eastAsia" w:ascii="宋体" w:hAnsi="宋体" w:cs="宋体"/>
                <w:sz w:val="24"/>
                <w:szCs w:val="24"/>
                <w:highlight w:val="none"/>
                <w:lang w:val="en-US" w:eastAsia="zh-CN"/>
              </w:rPr>
              <w:t>响应</w:t>
            </w:r>
            <w:r>
              <w:rPr>
                <w:rFonts w:hint="eastAsia" w:ascii="宋体" w:hAnsi="宋体" w:cs="宋体"/>
                <w:sz w:val="24"/>
                <w:szCs w:val="24"/>
                <w:highlight w:val="none"/>
              </w:rPr>
              <w:t>文件递交截止日，由采购人和采购代理机构共同查询。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cstheme="minorEastAsia"/>
                <w:kern w:val="2"/>
                <w:sz w:val="24"/>
                <w:szCs w:val="24"/>
                <w:lang w:val="en-US" w:eastAsia="zh-CN" w:bidi="ar-SA"/>
              </w:rPr>
              <w:t>19</w:t>
            </w:r>
          </w:p>
        </w:tc>
        <w:tc>
          <w:tcPr>
            <w:tcW w:w="1336" w:type="dxa"/>
            <w:vAlign w:val="center"/>
          </w:tcPr>
          <w:p>
            <w:pPr>
              <w:spacing w:line="360" w:lineRule="auto"/>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bidi="ar-SA"/>
              </w:rPr>
              <w:t>弃标须知</w:t>
            </w:r>
          </w:p>
        </w:tc>
        <w:tc>
          <w:tcPr>
            <w:tcW w:w="7377" w:type="dxa"/>
            <w:vAlign w:val="center"/>
          </w:tcPr>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根据市财函〔2021〕431号文第16条规定：供应商登记免费领取采购文件的，如不参与项目投标，应在递交投标（或</w:t>
            </w: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rPr>
              <w:t>）文件截止时间前一日以书面形式告知采购代理机构。否则，采购代理机构可以向财政部门反应情况并提供佐证。供应商一年内累计出现三次该情形，将被监管部门记录为失信行为。</w:t>
            </w:r>
          </w:p>
          <w:p>
            <w:pPr>
              <w:pStyle w:val="8"/>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z w:val="24"/>
                <w:szCs w:val="24"/>
                <w:lang w:val="en-US" w:eastAsia="zh-CN" w:bidi="ar-SA"/>
              </w:rPr>
              <w:t>确认通知格式</w:t>
            </w:r>
            <w:r>
              <w:rPr>
                <w:rFonts w:hint="eastAsia" w:asciiTheme="minorEastAsia" w:hAnsiTheme="minorEastAsia" w:cstheme="minorEastAsia"/>
                <w:b/>
                <w:bCs/>
                <w:sz w:val="24"/>
                <w:szCs w:val="24"/>
                <w:lang w:val="en-US" w:eastAsia="zh-CN" w:bidi="ar-SA"/>
              </w:rPr>
              <w:t>下附</w:t>
            </w:r>
            <w:r>
              <w:rPr>
                <w:rFonts w:hint="eastAsia" w:asciiTheme="minorEastAsia" w:hAnsiTheme="minorEastAsia" w:eastAsiaTheme="minorEastAsia" w:cstheme="minorEastAsia"/>
                <w:b/>
                <w:bCs/>
                <w:sz w:val="24"/>
                <w:szCs w:val="24"/>
                <w:lang w:val="en-US" w:eastAsia="zh-CN" w:bidi="ar-SA"/>
              </w:rPr>
              <w:t>，供应商无论是否参与本项目投标，均需在递交响应文件</w:t>
            </w:r>
            <w:r>
              <w:rPr>
                <w:rFonts w:hint="eastAsia" w:asciiTheme="minorEastAsia" w:hAnsiTheme="minorEastAsia" w:eastAsiaTheme="minorEastAsia" w:cstheme="minorEastAsia"/>
                <w:b/>
                <w:bCs/>
                <w:sz w:val="24"/>
                <w:szCs w:val="24"/>
              </w:rPr>
              <w:t>截止时间前一日以书面形式告知采购代理机构。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hint="default" w:ascii="宋体" w:cs="宋体"/>
                <w:kern w:val="2"/>
                <w:sz w:val="24"/>
                <w:szCs w:val="24"/>
                <w:lang w:val="en-US" w:eastAsia="zh-CN" w:bidi="ar-SA"/>
              </w:rPr>
            </w:pPr>
            <w:bookmarkStart w:id="5" w:name="_Toc19272"/>
            <w:r>
              <w:rPr>
                <w:rFonts w:hint="eastAsia" w:ascii="宋体" w:cs="宋体"/>
                <w:kern w:val="2"/>
                <w:sz w:val="24"/>
                <w:szCs w:val="24"/>
                <w:lang w:val="en-US" w:eastAsia="zh-CN" w:bidi="ar-SA"/>
              </w:rPr>
              <w:t>20</w:t>
            </w:r>
          </w:p>
        </w:tc>
        <w:tc>
          <w:tcPr>
            <w:tcW w:w="1336" w:type="dxa"/>
            <w:vAlign w:val="center"/>
          </w:tcPr>
          <w:p>
            <w:pPr>
              <w:jc w:val="center"/>
              <w:rPr>
                <w:rFonts w:hint="eastAsia" w:ascii="宋体" w:cs="宋体" w:eastAsiaTheme="minorEastAsia"/>
                <w:sz w:val="24"/>
                <w:szCs w:val="24"/>
                <w:lang w:val="en-US" w:eastAsia="zh-CN" w:bidi="ar-SA"/>
              </w:rPr>
            </w:pPr>
            <w:r>
              <w:rPr>
                <w:rFonts w:hint="eastAsia" w:ascii="宋体" w:cs="宋体"/>
                <w:sz w:val="24"/>
                <w:szCs w:val="24"/>
                <w:lang w:val="en-US" w:eastAsia="zh-CN" w:bidi="ar-SA"/>
              </w:rPr>
              <w:t>确认通知</w:t>
            </w:r>
          </w:p>
        </w:tc>
        <w:tc>
          <w:tcPr>
            <w:tcW w:w="7377" w:type="dxa"/>
            <w:vAlign w:val="center"/>
          </w:tcPr>
          <w:tbl>
            <w:tblPr>
              <w:tblStyle w:val="23"/>
              <w:tblW w:w="7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7" w:hRule="atLeast"/>
              </w:trPr>
              <w:tc>
                <w:tcPr>
                  <w:tcW w:w="7320" w:type="dxa"/>
                  <w:noWrap w:val="0"/>
                  <w:vAlign w:val="top"/>
                </w:tcPr>
                <w:p>
                  <w:pPr>
                    <w:spacing w:line="360" w:lineRule="auto"/>
                    <w:jc w:val="center"/>
                    <w:rPr>
                      <w:rFonts w:hint="eastAsia" w:hAnsi="宋体" w:cs="宋体"/>
                      <w:b/>
                      <w:kern w:val="2"/>
                      <w:sz w:val="24"/>
                      <w:szCs w:val="24"/>
                    </w:rPr>
                  </w:pPr>
                  <w:r>
                    <w:rPr>
                      <w:rFonts w:hint="eastAsia" w:hAnsi="宋体" w:cs="宋体"/>
                      <w:b/>
                      <w:kern w:val="2"/>
                      <w:sz w:val="24"/>
                      <w:szCs w:val="24"/>
                    </w:rPr>
                    <w:t>确认通知（格式）</w:t>
                  </w:r>
                </w:p>
                <w:p>
                  <w:pPr>
                    <w:spacing w:line="360" w:lineRule="auto"/>
                    <w:rPr>
                      <w:rFonts w:hint="default" w:hAnsi="宋体" w:cs="宋体" w:eastAsiaTheme="minorEastAsia"/>
                      <w:kern w:val="2"/>
                      <w:sz w:val="24"/>
                      <w:szCs w:val="24"/>
                      <w:u w:val="none"/>
                      <w:lang w:val="en-US" w:eastAsia="zh-CN"/>
                    </w:rPr>
                  </w:pPr>
                  <w:r>
                    <w:rPr>
                      <w:rFonts w:hint="eastAsia" w:hAnsi="宋体" w:cs="宋体"/>
                      <w:kern w:val="2"/>
                      <w:sz w:val="24"/>
                      <w:szCs w:val="24"/>
                      <w:u w:val="single"/>
                    </w:rPr>
                    <w:t xml:space="preserve">  </w:t>
                  </w:r>
                  <w:r>
                    <w:rPr>
                      <w:rFonts w:hint="eastAsia" w:hAnsi="宋体" w:cs="宋体"/>
                      <w:kern w:val="2"/>
                      <w:sz w:val="24"/>
                      <w:szCs w:val="24"/>
                      <w:u w:val="single"/>
                      <w:lang w:val="en-US" w:eastAsia="zh-CN"/>
                    </w:rPr>
                    <w:t xml:space="preserve">                       </w:t>
                  </w:r>
                  <w:r>
                    <w:rPr>
                      <w:rFonts w:hint="eastAsia" w:hAnsi="宋体" w:cs="宋体"/>
                      <w:kern w:val="2"/>
                      <w:sz w:val="24"/>
                      <w:szCs w:val="24"/>
                      <w:u w:val="none"/>
                      <w:lang w:val="en-US" w:eastAsia="zh-CN"/>
                    </w:rPr>
                    <w:t>（采购人/采购代理机构）</w:t>
                  </w:r>
                </w:p>
                <w:p>
                  <w:pPr>
                    <w:spacing w:line="360" w:lineRule="auto"/>
                    <w:ind w:firstLine="480" w:firstLineChars="200"/>
                    <w:rPr>
                      <w:rFonts w:hAnsi="宋体" w:cs="宋体"/>
                      <w:kern w:val="2"/>
                      <w:sz w:val="24"/>
                      <w:szCs w:val="24"/>
                    </w:rPr>
                  </w:pPr>
                  <w:r>
                    <w:rPr>
                      <w:rFonts w:hint="eastAsia" w:hAnsi="宋体" w:cs="宋体"/>
                      <w:kern w:val="2"/>
                      <w:sz w:val="24"/>
                      <w:szCs w:val="24"/>
                    </w:rPr>
                    <w:t>我方已于</w:t>
                  </w:r>
                  <w:r>
                    <w:rPr>
                      <w:rFonts w:hint="eastAsia" w:hAnsi="宋体" w:cs="宋体"/>
                      <w:kern w:val="2"/>
                      <w:sz w:val="24"/>
                      <w:szCs w:val="24"/>
                      <w:u w:val="single"/>
                    </w:rPr>
                    <w:t>202</w:t>
                  </w:r>
                  <w:r>
                    <w:rPr>
                      <w:rFonts w:hint="eastAsia" w:hAnsi="宋体" w:cs="宋体"/>
                      <w:kern w:val="2"/>
                      <w:sz w:val="24"/>
                      <w:szCs w:val="24"/>
                      <w:u w:val="single"/>
                      <w:lang w:val="en-US" w:eastAsia="zh-CN"/>
                    </w:rPr>
                    <w:t>2</w:t>
                  </w:r>
                  <w:r>
                    <w:rPr>
                      <w:rFonts w:hint="eastAsia" w:hAnsi="宋体" w:cs="宋体"/>
                      <w:kern w:val="2"/>
                      <w:sz w:val="24"/>
                      <w:szCs w:val="24"/>
                    </w:rPr>
                    <w:t>年</w:t>
                  </w:r>
                  <w:r>
                    <w:rPr>
                      <w:rFonts w:hint="eastAsia" w:hAnsi="宋体" w:cs="宋体"/>
                      <w:kern w:val="2"/>
                      <w:sz w:val="24"/>
                      <w:szCs w:val="24"/>
                      <w:u w:val="single"/>
                    </w:rPr>
                    <w:t xml:space="preserve">  </w:t>
                  </w:r>
                  <w:r>
                    <w:rPr>
                      <w:rFonts w:hint="eastAsia" w:hAnsi="宋体" w:cs="宋体"/>
                      <w:kern w:val="2"/>
                      <w:sz w:val="24"/>
                      <w:szCs w:val="24"/>
                    </w:rPr>
                    <w:t>月</w:t>
                  </w:r>
                  <w:r>
                    <w:rPr>
                      <w:rFonts w:hint="eastAsia" w:hAnsi="宋体" w:cs="宋体"/>
                      <w:kern w:val="2"/>
                      <w:sz w:val="24"/>
                      <w:szCs w:val="24"/>
                      <w:u w:val="single"/>
                    </w:rPr>
                    <w:t xml:space="preserve">  </w:t>
                  </w:r>
                  <w:r>
                    <w:rPr>
                      <w:rFonts w:hint="eastAsia" w:hAnsi="宋体" w:cs="宋体"/>
                      <w:kern w:val="2"/>
                      <w:sz w:val="24"/>
                      <w:szCs w:val="24"/>
                    </w:rPr>
                    <w:t>日收到你方</w:t>
                  </w:r>
                  <w:r>
                    <w:rPr>
                      <w:rFonts w:hint="eastAsia" w:hAnsi="宋体" w:cs="宋体"/>
                      <w:kern w:val="2"/>
                      <w:sz w:val="24"/>
                      <w:szCs w:val="24"/>
                      <w:u w:val="single"/>
                    </w:rPr>
                    <w:t>202</w:t>
                  </w:r>
                  <w:r>
                    <w:rPr>
                      <w:rFonts w:hint="eastAsia" w:hAnsi="宋体" w:cs="宋体"/>
                      <w:kern w:val="2"/>
                      <w:sz w:val="24"/>
                      <w:szCs w:val="24"/>
                      <w:u w:val="single"/>
                      <w:lang w:val="en-US" w:eastAsia="zh-CN"/>
                    </w:rPr>
                    <w:t>2</w:t>
                  </w:r>
                  <w:r>
                    <w:rPr>
                      <w:rFonts w:hint="eastAsia" w:hAnsi="宋体" w:cs="宋体"/>
                      <w:kern w:val="2"/>
                      <w:sz w:val="24"/>
                      <w:szCs w:val="24"/>
                    </w:rPr>
                    <w:t>年</w:t>
                  </w:r>
                  <w:r>
                    <w:rPr>
                      <w:rFonts w:hint="eastAsia" w:hAnsi="宋体" w:cs="宋体"/>
                      <w:kern w:val="2"/>
                      <w:sz w:val="24"/>
                      <w:szCs w:val="24"/>
                      <w:u w:val="single"/>
                    </w:rPr>
                    <w:t xml:space="preserve">  </w:t>
                  </w:r>
                  <w:r>
                    <w:rPr>
                      <w:rFonts w:hint="eastAsia" w:hAnsi="宋体" w:cs="宋体"/>
                      <w:kern w:val="2"/>
                      <w:sz w:val="24"/>
                      <w:szCs w:val="24"/>
                    </w:rPr>
                    <w:t>月</w:t>
                  </w:r>
                  <w:r>
                    <w:rPr>
                      <w:rFonts w:hint="eastAsia" w:hAnsi="宋体" w:cs="宋体"/>
                      <w:kern w:val="2"/>
                      <w:sz w:val="24"/>
                      <w:szCs w:val="24"/>
                      <w:u w:val="single"/>
                    </w:rPr>
                    <w:t xml:space="preserve">  </w:t>
                  </w:r>
                  <w:r>
                    <w:rPr>
                      <w:rFonts w:hint="eastAsia" w:hAnsi="宋体" w:cs="宋体"/>
                      <w:kern w:val="2"/>
                      <w:sz w:val="24"/>
                      <w:szCs w:val="24"/>
                    </w:rPr>
                    <w:t>日发出的</w:t>
                  </w:r>
                  <w:r>
                    <w:rPr>
                      <w:rFonts w:hint="eastAsia" w:hAnsi="宋体" w:cs="宋体"/>
                      <w:kern w:val="2"/>
                      <w:sz w:val="24"/>
                      <w:szCs w:val="24"/>
                      <w:u w:val="single"/>
                      <w:lang w:val="en-US" w:eastAsia="zh-CN"/>
                    </w:rPr>
                    <w:t>西安市灞桥区教育局（本级）西安市第五十五中学智慧黑板采购项目</w:t>
                  </w:r>
                  <w:r>
                    <w:rPr>
                      <w:rFonts w:hint="eastAsia" w:hAnsi="宋体" w:cs="宋体"/>
                      <w:kern w:val="2"/>
                      <w:sz w:val="24"/>
                      <w:szCs w:val="24"/>
                      <w:lang w:val="en-US" w:eastAsia="zh-CN"/>
                    </w:rPr>
                    <w:t>竞争性谈判</w:t>
                  </w:r>
                  <w:r>
                    <w:rPr>
                      <w:rFonts w:hint="eastAsia" w:hAnsi="宋体" w:cs="宋体"/>
                      <w:kern w:val="2"/>
                      <w:sz w:val="24"/>
                      <w:szCs w:val="24"/>
                    </w:rPr>
                    <w:t>文件，并确认</w:t>
                  </w:r>
                  <w:r>
                    <w:rPr>
                      <w:rFonts w:hint="eastAsia" w:hAnsi="宋体" w:cs="宋体"/>
                      <w:kern w:val="2"/>
                      <w:sz w:val="24"/>
                      <w:szCs w:val="24"/>
                      <w:u w:val="single"/>
                    </w:rPr>
                    <w:t>（参加/不参加）</w:t>
                  </w:r>
                  <w:r>
                    <w:rPr>
                      <w:rFonts w:hint="eastAsia" w:hAnsi="宋体" w:cs="宋体"/>
                      <w:kern w:val="2"/>
                      <w:sz w:val="24"/>
                      <w:szCs w:val="24"/>
                    </w:rPr>
                    <w:t>本项目投标。</w:t>
                  </w:r>
                </w:p>
                <w:p>
                  <w:pPr>
                    <w:spacing w:line="360" w:lineRule="auto"/>
                    <w:ind w:firstLine="480" w:firstLineChars="200"/>
                    <w:rPr>
                      <w:rFonts w:hAnsi="宋体" w:cs="宋体"/>
                      <w:kern w:val="2"/>
                      <w:sz w:val="24"/>
                      <w:szCs w:val="24"/>
                    </w:rPr>
                  </w:pPr>
                  <w:r>
                    <w:rPr>
                      <w:rFonts w:hint="eastAsia" w:hAnsi="宋体" w:cs="宋体"/>
                      <w:kern w:val="2"/>
                      <w:sz w:val="24"/>
                      <w:szCs w:val="24"/>
                    </w:rPr>
                    <w:t>特此确认。</w:t>
                  </w:r>
                </w:p>
                <w:p>
                  <w:pPr>
                    <w:spacing w:line="360" w:lineRule="auto"/>
                    <w:rPr>
                      <w:rFonts w:hAnsi="宋体" w:cs="宋体"/>
                      <w:kern w:val="2"/>
                      <w:sz w:val="24"/>
                      <w:szCs w:val="24"/>
                    </w:rPr>
                  </w:pPr>
                  <w:r>
                    <w:rPr>
                      <w:rFonts w:hint="eastAsia" w:hAnsi="宋体" w:cs="宋体"/>
                      <w:kern w:val="2"/>
                      <w:sz w:val="24"/>
                      <w:szCs w:val="24"/>
                    </w:rPr>
                    <w:t xml:space="preserve">                                 </w:t>
                  </w:r>
                  <w:r>
                    <w:rPr>
                      <w:rFonts w:hint="eastAsia" w:hAnsi="宋体" w:cs="宋体"/>
                      <w:kern w:val="2"/>
                      <w:sz w:val="24"/>
                      <w:szCs w:val="24"/>
                      <w:lang w:val="en-US" w:eastAsia="zh-CN"/>
                    </w:rPr>
                    <w:t>供应商</w:t>
                  </w:r>
                  <w:r>
                    <w:rPr>
                      <w:rFonts w:hint="eastAsia" w:hAnsi="宋体" w:cs="宋体"/>
                      <w:kern w:val="2"/>
                      <w:sz w:val="24"/>
                      <w:szCs w:val="24"/>
                    </w:rPr>
                    <w:t>名称：（加盖公章）</w:t>
                  </w:r>
                </w:p>
                <w:p>
                  <w:pPr>
                    <w:spacing w:line="360" w:lineRule="auto"/>
                    <w:rPr>
                      <w:rFonts w:hAnsi="宋体" w:cs="宋体"/>
                      <w:kern w:val="2"/>
                      <w:sz w:val="24"/>
                      <w:szCs w:val="24"/>
                    </w:rPr>
                  </w:pPr>
                  <w:r>
                    <w:rPr>
                      <w:rFonts w:hint="eastAsia" w:hAnsi="宋体" w:cs="宋体"/>
                      <w:kern w:val="2"/>
                      <w:sz w:val="24"/>
                      <w:szCs w:val="24"/>
                    </w:rPr>
                    <w:t xml:space="preserve">                                 法定代表人：（签字或盖章）</w:t>
                  </w:r>
                </w:p>
                <w:p>
                  <w:pPr>
                    <w:spacing w:line="360" w:lineRule="auto"/>
                    <w:jc w:val="center"/>
                    <w:rPr>
                      <w:rFonts w:hint="eastAsia" w:hAnsi="宋体" w:cs="宋体"/>
                      <w:b/>
                      <w:kern w:val="2"/>
                      <w:sz w:val="24"/>
                      <w:szCs w:val="24"/>
                    </w:rPr>
                  </w:pPr>
                  <w:r>
                    <w:rPr>
                      <w:rFonts w:hint="eastAsia" w:hAnsi="宋体" w:cs="宋体"/>
                      <w:kern w:val="2"/>
                      <w:sz w:val="24"/>
                      <w:szCs w:val="24"/>
                    </w:rPr>
                    <w:t xml:space="preserve">                    </w:t>
                  </w:r>
                  <w:r>
                    <w:rPr>
                      <w:rFonts w:hint="eastAsia" w:hAnsi="宋体" w:cs="宋体"/>
                      <w:kern w:val="2"/>
                      <w:sz w:val="24"/>
                      <w:szCs w:val="24"/>
                      <w:lang w:val="en-US" w:eastAsia="zh-CN"/>
                    </w:rPr>
                    <w:t xml:space="preserve">        </w:t>
                  </w:r>
                  <w:r>
                    <w:rPr>
                      <w:rFonts w:hint="eastAsia" w:hAnsi="宋体" w:cs="宋体"/>
                      <w:kern w:val="2"/>
                      <w:sz w:val="24"/>
                      <w:szCs w:val="24"/>
                    </w:rPr>
                    <w:t>日期：   年   月   日</w:t>
                  </w:r>
                </w:p>
              </w:tc>
            </w:tr>
          </w:tbl>
          <w:p>
            <w:pPr>
              <w:spacing w:line="360" w:lineRule="auto"/>
              <w:ind w:firstLine="480" w:firstLineChars="200"/>
              <w:jc w:val="left"/>
              <w:rPr>
                <w:rFonts w:hint="eastAsia" w:ascii="宋体" w:cs="宋体"/>
                <w:sz w:val="24"/>
                <w:szCs w:val="24"/>
                <w:lang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hint="default" w:ascii="宋体" w:cs="宋体" w:hAnsiTheme="minorHAnsi" w:eastAsiaTheme="minorEastAsia"/>
                <w:kern w:val="2"/>
                <w:sz w:val="24"/>
                <w:szCs w:val="24"/>
                <w:lang w:val="en-US" w:eastAsia="zh-CN" w:bidi="ar-SA"/>
              </w:rPr>
            </w:pPr>
            <w:r>
              <w:rPr>
                <w:rFonts w:hint="eastAsia" w:ascii="宋体" w:cs="宋体"/>
                <w:kern w:val="2"/>
                <w:sz w:val="24"/>
                <w:szCs w:val="24"/>
                <w:lang w:val="en-US" w:eastAsia="zh-CN" w:bidi="ar-SA"/>
              </w:rPr>
              <w:t>21</w:t>
            </w:r>
          </w:p>
        </w:tc>
        <w:tc>
          <w:tcPr>
            <w:tcW w:w="1336" w:type="dxa"/>
            <w:vAlign w:val="center"/>
          </w:tcPr>
          <w:p>
            <w:pPr>
              <w:jc w:val="center"/>
              <w:rPr>
                <w:rFonts w:hint="eastAsia" w:ascii="宋体" w:cs="宋体" w:hAnsiTheme="minorHAnsi" w:eastAsiaTheme="minorEastAsia"/>
                <w:kern w:val="2"/>
                <w:sz w:val="24"/>
                <w:szCs w:val="24"/>
                <w:lang w:val="en-US" w:eastAsia="zh-CN" w:bidi="ar-SA"/>
              </w:rPr>
            </w:pPr>
            <w:r>
              <w:rPr>
                <w:rFonts w:hint="eastAsia" w:ascii="宋体" w:cs="宋体"/>
                <w:sz w:val="24"/>
                <w:szCs w:val="24"/>
                <w:lang w:bidi="ar-SA"/>
              </w:rPr>
              <w:t>政府采购信用融资</w:t>
            </w:r>
          </w:p>
        </w:tc>
        <w:tc>
          <w:tcPr>
            <w:tcW w:w="7377" w:type="dxa"/>
            <w:vAlign w:val="center"/>
          </w:tcPr>
          <w:p>
            <w:pPr>
              <w:spacing w:line="360" w:lineRule="auto"/>
              <w:ind w:firstLine="480" w:firstLineChars="200"/>
              <w:jc w:val="left"/>
              <w:rPr>
                <w:rFonts w:hint="eastAsia" w:ascii="宋体" w:cs="宋体"/>
                <w:sz w:val="24"/>
                <w:szCs w:val="24"/>
                <w:lang w:bidi="ar-SA"/>
              </w:rPr>
            </w:pPr>
            <w:r>
              <w:rPr>
                <w:rFonts w:hint="eastAsia" w:ascii="宋体" w:cs="宋体"/>
                <w:sz w:val="24"/>
                <w:szCs w:val="24"/>
                <w:lang w:bidi="ar-SA"/>
              </w:rPr>
              <w:t>成交供应商缴纳履约保证金时可自愿选择通过担保机构保函的形式缴纳；</w:t>
            </w:r>
            <w:r>
              <w:rPr>
                <w:rFonts w:hint="eastAsia" w:ascii="宋体" w:cs="宋体"/>
                <w:sz w:val="24"/>
                <w:szCs w:val="24"/>
                <w:lang w:val="en-US" w:eastAsia="zh-CN" w:bidi="ar-SA"/>
              </w:rPr>
              <w:t>成交</w:t>
            </w:r>
            <w:r>
              <w:rPr>
                <w:rFonts w:hint="eastAsia" w:ascii="宋体" w:cs="宋体"/>
                <w:sz w:val="24"/>
                <w:szCs w:val="24"/>
                <w:lang w:bidi="ar-SA"/>
              </w:rPr>
              <w:t>供应商如果需要融资贷款服务的，可凭</w:t>
            </w:r>
            <w:r>
              <w:rPr>
                <w:rFonts w:hint="eastAsia" w:ascii="宋体" w:cs="宋体"/>
                <w:sz w:val="24"/>
                <w:szCs w:val="24"/>
                <w:lang w:eastAsia="zh-CN" w:bidi="ar-SA"/>
              </w:rPr>
              <w:t>成交</w:t>
            </w:r>
            <w:r>
              <w:rPr>
                <w:rFonts w:hint="eastAsia" w:ascii="宋体" w:cs="宋体"/>
                <w:sz w:val="24"/>
                <w:szCs w:val="24"/>
                <w:lang w:bidi="ar-SA"/>
              </w:rPr>
              <w:t>通知书、政府采购合同等相关资料，按照实施方案规定的程序申请办理，具体规定可登陆西安市财政局网站(http://xaczj.xa.gov.cn/)政府采购专栏中西安市政府采购信用担保及信用融资合作机构联系名单</w:t>
            </w:r>
          </w:p>
          <w:p>
            <w:pPr>
              <w:spacing w:line="360" w:lineRule="auto"/>
              <w:ind w:firstLine="480" w:firstLineChars="200"/>
              <w:jc w:val="left"/>
              <w:rPr>
                <w:rFonts w:hint="eastAsia" w:ascii="宋体" w:cs="宋体" w:hAnsiTheme="minorHAnsi" w:eastAsiaTheme="minorEastAsia"/>
                <w:kern w:val="2"/>
                <w:sz w:val="24"/>
                <w:szCs w:val="24"/>
                <w:lang w:val="en-US" w:eastAsia="zh-CN" w:bidi="ar-SA"/>
              </w:rPr>
            </w:pPr>
            <w:r>
              <w:rPr>
                <w:rFonts w:hint="eastAsia" w:ascii="宋体" w:cs="宋体"/>
                <w:sz w:val="24"/>
                <w:szCs w:val="24"/>
                <w:lang w:bidi="ar-SA"/>
              </w:rPr>
              <w:t>（http://xaczj.xa.gov.cn/zfcg/cgfg/5db9054565cbd804f69e97e0.html）查询了解。</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hint="default" w:ascii="宋体" w:hAnsi="宋体" w:cs="宋体" w:eastAsiaTheme="minorEastAsia"/>
                <w:kern w:val="2"/>
                <w:sz w:val="24"/>
                <w:szCs w:val="24"/>
                <w:lang w:val="en-US" w:eastAsia="zh-CN" w:bidi="ar-SA"/>
              </w:rPr>
            </w:pPr>
            <w:r>
              <w:rPr>
                <w:rFonts w:hint="eastAsia" w:ascii="宋体" w:hAnsi="宋体" w:cs="宋体"/>
                <w:sz w:val="24"/>
                <w:szCs w:val="24"/>
                <w:lang w:val="en-US" w:eastAsia="zh-CN"/>
              </w:rPr>
              <w:t>22</w:t>
            </w:r>
          </w:p>
        </w:tc>
        <w:tc>
          <w:tcPr>
            <w:tcW w:w="1336" w:type="dxa"/>
            <w:vAlign w:val="center"/>
          </w:tcPr>
          <w:p>
            <w:pPr>
              <w:spacing w:line="360" w:lineRule="auto"/>
              <w:jc w:val="center"/>
              <w:rPr>
                <w:rFonts w:hint="eastAsia" w:ascii="宋体" w:hAnsi="宋体" w:cs="宋体" w:eastAsiaTheme="minorEastAsia"/>
                <w:kern w:val="2"/>
                <w:sz w:val="24"/>
                <w:szCs w:val="24"/>
                <w:lang w:val="en-US" w:eastAsia="zh-CN" w:bidi="ar-SA"/>
              </w:rPr>
            </w:pPr>
            <w:r>
              <w:rPr>
                <w:rFonts w:hint="eastAsia" w:ascii="宋体" w:hAnsi="宋体" w:cs="宋体"/>
                <w:sz w:val="24"/>
                <w:szCs w:val="24"/>
              </w:rPr>
              <w:t>其他</w:t>
            </w:r>
          </w:p>
        </w:tc>
        <w:tc>
          <w:tcPr>
            <w:tcW w:w="7377" w:type="dxa"/>
            <w:vAlign w:val="center"/>
          </w:tcPr>
          <w:p>
            <w:pPr>
              <w:spacing w:line="560" w:lineRule="exact"/>
              <w:jc w:val="left"/>
              <w:rPr>
                <w:rFonts w:hint="eastAsia" w:ascii="宋体" w:hAnsi="宋体" w:cs="宋体"/>
                <w:sz w:val="24"/>
                <w:szCs w:val="24"/>
                <w:lang w:val="en-US" w:eastAsia="zh-CN"/>
              </w:rPr>
            </w:pPr>
            <w:r>
              <w:rPr>
                <w:rFonts w:hint="eastAsia" w:ascii="宋体" w:hAnsi="宋体" w:cs="宋体"/>
                <w:sz w:val="24"/>
                <w:szCs w:val="24"/>
                <w:lang w:val="en-US" w:eastAsia="zh-CN"/>
              </w:rPr>
              <w:t>本项目所属行业为</w:t>
            </w:r>
            <w:r>
              <w:rPr>
                <w:rFonts w:hint="eastAsia" w:ascii="宋体" w:hAnsi="宋体" w:cs="宋体"/>
                <w:sz w:val="24"/>
                <w:szCs w:val="24"/>
                <w:highlight w:val="none"/>
                <w:lang w:val="en-US" w:eastAsia="zh-CN"/>
              </w:rPr>
              <w:t>工业。</w:t>
            </w:r>
          </w:p>
          <w:p>
            <w:pPr>
              <w:spacing w:line="560" w:lineRule="exact"/>
              <w:jc w:val="left"/>
              <w:rPr>
                <w:rFonts w:hint="eastAsia" w:ascii="宋体" w:hAnsi="宋体" w:cs="宋体" w:eastAsiaTheme="minorEastAsia"/>
                <w:kern w:val="2"/>
                <w:sz w:val="24"/>
                <w:szCs w:val="24"/>
                <w:lang w:val="en-US" w:eastAsia="zh-CN" w:bidi="ar-SA"/>
              </w:rPr>
            </w:pPr>
            <w:r>
              <w:rPr>
                <w:rFonts w:hint="eastAsia" w:ascii="宋体" w:hAnsi="宋体" w:cs="宋体"/>
                <w:sz w:val="24"/>
                <w:szCs w:val="24"/>
              </w:rPr>
              <w:t>凡是需要法定代表人签字或盖章之处，非法人单位的负责人均参照执行。</w:t>
            </w:r>
          </w:p>
        </w:tc>
      </w:tr>
    </w:tbl>
    <w:p>
      <w:pPr>
        <w:pStyle w:val="3"/>
        <w:keepLines w:val="0"/>
        <w:ind w:firstLine="643" w:firstLineChars="200"/>
        <w:rPr>
          <w:rFonts w:hint="eastAsia" w:ascii="宋体" w:hAnsi="宋体" w:cs="宋体"/>
        </w:rPr>
        <w:sectPr>
          <w:pgSz w:w="11906" w:h="16838"/>
          <w:pgMar w:top="1440" w:right="1706" w:bottom="1440" w:left="1800" w:header="851" w:footer="992" w:gutter="0"/>
          <w:pgNumType w:fmt="decimal"/>
          <w:cols w:space="720" w:num="1"/>
          <w:docGrid w:type="lines" w:linePitch="312" w:charSpace="0"/>
        </w:sectPr>
      </w:pPr>
    </w:p>
    <w:p>
      <w:pPr>
        <w:pStyle w:val="3"/>
        <w:keepLines w:val="0"/>
        <w:ind w:firstLine="643" w:firstLineChars="200"/>
        <w:rPr>
          <w:rFonts w:ascii="宋体" w:hAnsi="宋体" w:cs="宋体"/>
        </w:rPr>
      </w:pPr>
      <w:bookmarkStart w:id="6" w:name="_Toc16020"/>
      <w:r>
        <w:rPr>
          <w:rFonts w:hint="eastAsia" w:ascii="宋体" w:hAnsi="宋体" w:cs="宋体"/>
        </w:rPr>
        <w:t>第三部分  供应商须知</w:t>
      </w:r>
      <w:bookmarkEnd w:id="5"/>
      <w:bookmarkEnd w:id="6"/>
    </w:p>
    <w:p>
      <w:pPr>
        <w:pStyle w:val="4"/>
        <w:numPr>
          <w:ilvl w:val="0"/>
          <w:numId w:val="5"/>
        </w:numPr>
        <w:rPr>
          <w:rFonts w:ascii="宋体" w:hAnsi="宋体" w:cs="宋体"/>
        </w:rPr>
      </w:pPr>
      <w:bookmarkStart w:id="7" w:name="_Toc26739"/>
      <w:bookmarkStart w:id="8" w:name="_Toc15735"/>
      <w:bookmarkStart w:id="9" w:name="_Toc5160"/>
      <w:r>
        <w:rPr>
          <w:rFonts w:hint="eastAsia" w:ascii="宋体" w:hAnsi="宋体" w:cs="宋体"/>
        </w:rPr>
        <w:t>总 则</w:t>
      </w:r>
      <w:bookmarkEnd w:id="7"/>
      <w:bookmarkEnd w:id="8"/>
      <w:bookmarkEnd w:id="9"/>
    </w:p>
    <w:p>
      <w:pPr>
        <w:pStyle w:val="5"/>
        <w:numPr>
          <w:ilvl w:val="0"/>
          <w:numId w:val="6"/>
        </w:numPr>
        <w:spacing w:line="500" w:lineRule="exact"/>
        <w:ind w:firstLine="643" w:firstLineChars="200"/>
        <w:rPr>
          <w:rFonts w:ascii="宋体" w:hAnsi="宋体" w:cs="宋体"/>
          <w:szCs w:val="28"/>
        </w:rPr>
      </w:pPr>
      <w:bookmarkStart w:id="10" w:name="_Toc6742"/>
      <w:bookmarkStart w:id="11" w:name="_Toc380336725"/>
      <w:bookmarkStart w:id="12" w:name="_Toc358364319"/>
      <w:bookmarkStart w:id="13" w:name="_Toc9257"/>
      <w:r>
        <w:rPr>
          <w:rFonts w:hint="eastAsia" w:ascii="宋体" w:hAnsi="宋体" w:cs="宋体"/>
          <w:szCs w:val="28"/>
        </w:rPr>
        <w:t>适用范围</w:t>
      </w:r>
      <w:bookmarkEnd w:id="10"/>
      <w:bookmarkEnd w:id="11"/>
      <w:bookmarkEnd w:id="12"/>
      <w:bookmarkEnd w:id="13"/>
    </w:p>
    <w:p>
      <w:pPr>
        <w:widowControl/>
        <w:spacing w:line="500" w:lineRule="exact"/>
        <w:ind w:firstLine="480" w:firstLineChars="200"/>
        <w:rPr>
          <w:rFonts w:ascii="宋体" w:hAnsi="宋体" w:cs="宋体"/>
          <w:kern w:val="0"/>
          <w:sz w:val="24"/>
          <w:szCs w:val="24"/>
        </w:rPr>
      </w:pPr>
      <w:r>
        <w:rPr>
          <w:rFonts w:hint="eastAsia" w:ascii="宋体" w:hAnsi="宋体" w:cs="宋体"/>
          <w:kern w:val="0"/>
          <w:sz w:val="24"/>
          <w:szCs w:val="24"/>
        </w:rPr>
        <w:t>1.1 本谈判文件适用于本次采购活动的全过程。</w:t>
      </w:r>
    </w:p>
    <w:p>
      <w:pPr>
        <w:widowControl/>
        <w:spacing w:line="500" w:lineRule="exact"/>
        <w:ind w:firstLine="480" w:firstLineChars="200"/>
        <w:rPr>
          <w:rFonts w:ascii="宋体" w:hAnsi="宋体" w:cs="宋体"/>
          <w:kern w:val="0"/>
          <w:sz w:val="24"/>
          <w:szCs w:val="24"/>
        </w:rPr>
      </w:pPr>
      <w:r>
        <w:rPr>
          <w:rFonts w:hint="eastAsia" w:ascii="宋体" w:hAnsi="宋体" w:cs="宋体"/>
          <w:kern w:val="0"/>
          <w:sz w:val="24"/>
          <w:szCs w:val="24"/>
        </w:rPr>
        <w:t>1.2 采购人、采购代理机构、供应商、谈判小组的相关行为均受《中华人民共和国政府采购法》及实施条例、财政部规章及政府采购项目所在地有关法规</w:t>
      </w:r>
      <w:r>
        <w:rPr>
          <w:rFonts w:hint="eastAsia" w:ascii="宋体" w:hAnsi="宋体" w:cs="宋体"/>
          <w:color w:val="000000"/>
          <w:kern w:val="0"/>
          <w:sz w:val="24"/>
          <w:szCs w:val="24"/>
        </w:rPr>
        <w:t>、规章</w:t>
      </w:r>
      <w:r>
        <w:rPr>
          <w:rFonts w:hint="eastAsia" w:ascii="宋体" w:hAnsi="宋体" w:cs="宋体"/>
          <w:kern w:val="0"/>
          <w:sz w:val="24"/>
          <w:szCs w:val="24"/>
        </w:rPr>
        <w:t>的约束，其权利受到上述法律法规的保护。</w:t>
      </w:r>
    </w:p>
    <w:p>
      <w:pPr>
        <w:pStyle w:val="5"/>
        <w:numPr>
          <w:ilvl w:val="0"/>
          <w:numId w:val="6"/>
        </w:numPr>
        <w:spacing w:line="500" w:lineRule="exact"/>
        <w:ind w:firstLine="643" w:firstLineChars="200"/>
        <w:rPr>
          <w:rFonts w:ascii="宋体" w:hAnsi="宋体" w:cs="宋体"/>
          <w:szCs w:val="28"/>
        </w:rPr>
      </w:pPr>
      <w:bookmarkStart w:id="14" w:name="_Toc17676"/>
      <w:bookmarkStart w:id="15" w:name="_Toc358364321"/>
      <w:bookmarkStart w:id="16" w:name="_Toc23781"/>
      <w:bookmarkStart w:id="17" w:name="_Toc380336727"/>
      <w:r>
        <w:rPr>
          <w:rFonts w:hint="eastAsia" w:ascii="宋体" w:hAnsi="宋体" w:cs="宋体"/>
          <w:szCs w:val="28"/>
        </w:rPr>
        <w:t>合格的</w:t>
      </w:r>
      <w:bookmarkEnd w:id="14"/>
      <w:bookmarkEnd w:id="15"/>
      <w:bookmarkEnd w:id="16"/>
      <w:bookmarkEnd w:id="17"/>
      <w:r>
        <w:rPr>
          <w:rFonts w:hint="eastAsia" w:ascii="宋体" w:hAnsi="宋体" w:cs="宋体"/>
          <w:szCs w:val="28"/>
        </w:rPr>
        <w:t>供应商</w:t>
      </w:r>
    </w:p>
    <w:p>
      <w:pPr>
        <w:tabs>
          <w:tab w:val="left" w:pos="0"/>
        </w:tabs>
        <w:spacing w:line="500" w:lineRule="exact"/>
        <w:ind w:firstLine="420" w:firstLineChars="175"/>
        <w:jc w:val="left"/>
        <w:rPr>
          <w:rFonts w:ascii="宋体" w:hAnsi="宋体" w:cs="宋体"/>
          <w:sz w:val="24"/>
          <w:szCs w:val="24"/>
        </w:rPr>
      </w:pPr>
      <w:r>
        <w:rPr>
          <w:rFonts w:hint="eastAsia" w:ascii="宋体" w:hAnsi="宋体" w:cs="宋体"/>
          <w:sz w:val="24"/>
          <w:szCs w:val="24"/>
        </w:rPr>
        <w:t>2.1供应商应遵守有关的国家法律、法规和条例，具备《中华人民共和国政府采购法》和本文件中规定的条件：</w:t>
      </w:r>
    </w:p>
    <w:p>
      <w:pPr>
        <w:numPr>
          <w:ilvl w:val="0"/>
          <w:numId w:val="7"/>
        </w:numPr>
        <w:spacing w:line="500" w:lineRule="exact"/>
        <w:ind w:firstLine="480" w:firstLineChars="200"/>
        <w:jc w:val="left"/>
        <w:rPr>
          <w:rFonts w:ascii="宋体" w:hAnsi="宋体" w:cs="宋体"/>
          <w:sz w:val="24"/>
          <w:szCs w:val="24"/>
        </w:rPr>
      </w:pPr>
      <w:r>
        <w:rPr>
          <w:rFonts w:hint="eastAsia" w:ascii="宋体" w:hAnsi="宋体" w:cs="宋体"/>
          <w:sz w:val="24"/>
          <w:szCs w:val="24"/>
        </w:rPr>
        <w:t>具有独立承担民事责任的能力；</w:t>
      </w:r>
    </w:p>
    <w:p>
      <w:pPr>
        <w:numPr>
          <w:ilvl w:val="0"/>
          <w:numId w:val="7"/>
        </w:numPr>
        <w:spacing w:line="500" w:lineRule="exact"/>
        <w:ind w:firstLine="480" w:firstLineChars="200"/>
        <w:jc w:val="left"/>
        <w:rPr>
          <w:rFonts w:ascii="宋体" w:hAnsi="宋体" w:cs="宋体"/>
          <w:sz w:val="24"/>
          <w:szCs w:val="24"/>
        </w:rPr>
      </w:pPr>
      <w:r>
        <w:rPr>
          <w:rFonts w:hint="eastAsia" w:ascii="宋体" w:hAnsi="宋体" w:cs="宋体"/>
          <w:sz w:val="24"/>
          <w:szCs w:val="24"/>
        </w:rPr>
        <w:t>具有良好的商业信誉和健全的财务会计制度；</w:t>
      </w:r>
    </w:p>
    <w:p>
      <w:pPr>
        <w:numPr>
          <w:ilvl w:val="0"/>
          <w:numId w:val="7"/>
        </w:numPr>
        <w:spacing w:line="500" w:lineRule="exact"/>
        <w:ind w:firstLine="480" w:firstLineChars="200"/>
        <w:jc w:val="left"/>
        <w:rPr>
          <w:rFonts w:ascii="宋体" w:hAnsi="宋体" w:cs="宋体"/>
          <w:sz w:val="24"/>
          <w:szCs w:val="24"/>
        </w:rPr>
      </w:pPr>
      <w:r>
        <w:rPr>
          <w:rFonts w:hint="eastAsia" w:ascii="宋体" w:hAnsi="宋体" w:cs="宋体"/>
          <w:sz w:val="24"/>
          <w:szCs w:val="24"/>
        </w:rPr>
        <w:t>具有履行合同所必需的设备和专业技术能力；</w:t>
      </w:r>
    </w:p>
    <w:p>
      <w:pPr>
        <w:numPr>
          <w:ilvl w:val="0"/>
          <w:numId w:val="7"/>
        </w:numPr>
        <w:spacing w:line="500" w:lineRule="exact"/>
        <w:ind w:firstLine="480" w:firstLineChars="200"/>
        <w:jc w:val="left"/>
        <w:rPr>
          <w:rFonts w:ascii="宋体" w:hAnsi="宋体" w:cs="宋体"/>
          <w:sz w:val="24"/>
          <w:szCs w:val="24"/>
        </w:rPr>
      </w:pPr>
      <w:r>
        <w:rPr>
          <w:rFonts w:hint="eastAsia" w:ascii="宋体" w:hAnsi="宋体" w:cs="宋体"/>
          <w:sz w:val="24"/>
          <w:szCs w:val="24"/>
        </w:rPr>
        <w:t>具有依法缴纳税收和社会保障资金的良好记录；</w:t>
      </w:r>
    </w:p>
    <w:p>
      <w:pPr>
        <w:numPr>
          <w:ilvl w:val="0"/>
          <w:numId w:val="7"/>
        </w:numPr>
        <w:spacing w:line="500" w:lineRule="exact"/>
        <w:ind w:firstLine="480" w:firstLineChars="200"/>
        <w:jc w:val="left"/>
        <w:rPr>
          <w:rFonts w:ascii="宋体" w:hAnsi="宋体" w:cs="宋体"/>
          <w:sz w:val="24"/>
          <w:szCs w:val="24"/>
        </w:rPr>
      </w:pPr>
      <w:r>
        <w:rPr>
          <w:rFonts w:hint="eastAsia" w:ascii="宋体" w:hAnsi="宋体" w:cs="宋体"/>
          <w:sz w:val="24"/>
          <w:szCs w:val="24"/>
        </w:rPr>
        <w:t>参加此项采购活动前三年内，在经营活动中没有重大违法记录；</w:t>
      </w:r>
    </w:p>
    <w:p>
      <w:pPr>
        <w:numPr>
          <w:ilvl w:val="0"/>
          <w:numId w:val="7"/>
        </w:numPr>
        <w:spacing w:line="500" w:lineRule="exact"/>
        <w:ind w:firstLine="480" w:firstLineChars="200"/>
        <w:jc w:val="left"/>
        <w:rPr>
          <w:rFonts w:ascii="宋体" w:hAnsi="宋体" w:cs="宋体"/>
          <w:sz w:val="24"/>
          <w:szCs w:val="24"/>
        </w:rPr>
      </w:pPr>
      <w:r>
        <w:rPr>
          <w:rFonts w:hint="eastAsia" w:ascii="宋体" w:hAnsi="宋体" w:cs="宋体"/>
          <w:sz w:val="24"/>
          <w:szCs w:val="24"/>
        </w:rPr>
        <w:t>法律、行政法规规定的其他条件。</w:t>
      </w:r>
    </w:p>
    <w:p>
      <w:pPr>
        <w:tabs>
          <w:tab w:val="left" w:pos="0"/>
        </w:tabs>
        <w:spacing w:line="500" w:lineRule="exact"/>
        <w:ind w:firstLine="420" w:firstLineChars="175"/>
        <w:jc w:val="left"/>
        <w:rPr>
          <w:rFonts w:ascii="宋体" w:hAnsi="宋体" w:cs="宋体"/>
          <w:sz w:val="24"/>
          <w:szCs w:val="24"/>
        </w:rPr>
      </w:pPr>
      <w:r>
        <w:rPr>
          <w:rFonts w:hint="eastAsia" w:ascii="宋体" w:hAnsi="宋体" w:cs="宋体"/>
          <w:sz w:val="24"/>
          <w:szCs w:val="24"/>
        </w:rPr>
        <w:t>2.2供应商应独立于采购人，不得直接或间接地与采购人为采购本次采购的货物进行设计、编制技术规格和其它文件所委托的咨询公司或其附属机构有任何关联。</w:t>
      </w:r>
    </w:p>
    <w:p>
      <w:pPr>
        <w:tabs>
          <w:tab w:val="left" w:pos="0"/>
        </w:tabs>
        <w:spacing w:line="500" w:lineRule="exact"/>
        <w:ind w:left="420" w:leftChars="200"/>
        <w:jc w:val="left"/>
        <w:rPr>
          <w:rFonts w:ascii="宋体" w:hAnsi="宋体" w:cs="宋体"/>
          <w:kern w:val="0"/>
          <w:sz w:val="24"/>
          <w:szCs w:val="24"/>
        </w:rPr>
      </w:pPr>
      <w:r>
        <w:rPr>
          <w:rFonts w:hint="eastAsia" w:ascii="宋体" w:hAnsi="宋体" w:cs="宋体"/>
          <w:kern w:val="0"/>
          <w:sz w:val="24"/>
          <w:szCs w:val="24"/>
        </w:rPr>
        <w:t>2.3供应商存在下列情形之一，其响应文件按无效文件处理。</w:t>
      </w:r>
    </w:p>
    <w:p>
      <w:pPr>
        <w:tabs>
          <w:tab w:val="left" w:pos="0"/>
        </w:tabs>
        <w:spacing w:line="500" w:lineRule="exact"/>
        <w:ind w:firstLine="480" w:firstLineChars="200"/>
        <w:rPr>
          <w:rFonts w:ascii="宋体" w:hAnsi="宋体" w:cs="宋体"/>
          <w:kern w:val="0"/>
          <w:sz w:val="24"/>
          <w:szCs w:val="24"/>
        </w:rPr>
      </w:pPr>
      <w:r>
        <w:rPr>
          <w:rFonts w:hint="eastAsia" w:ascii="宋体" w:hAnsi="宋体" w:cs="宋体"/>
          <w:kern w:val="0"/>
          <w:sz w:val="24"/>
          <w:szCs w:val="24"/>
        </w:rPr>
        <w:t>（1）与采购人采购代理机构存在隶属关系或者其他利害关系；</w:t>
      </w:r>
    </w:p>
    <w:p>
      <w:pPr>
        <w:tabs>
          <w:tab w:val="left" w:pos="0"/>
        </w:tabs>
        <w:spacing w:line="500" w:lineRule="exact"/>
        <w:ind w:firstLine="480" w:firstLineChars="200"/>
        <w:rPr>
          <w:rFonts w:ascii="宋体" w:hAnsi="宋体" w:cs="宋体"/>
          <w:kern w:val="0"/>
          <w:sz w:val="24"/>
          <w:szCs w:val="24"/>
        </w:rPr>
      </w:pPr>
      <w:r>
        <w:rPr>
          <w:rFonts w:hint="eastAsia" w:ascii="宋体" w:hAnsi="宋体" w:cs="宋体"/>
          <w:kern w:val="0"/>
          <w:sz w:val="24"/>
          <w:szCs w:val="24"/>
        </w:rPr>
        <w:t>（2）与参与同一合同项下的其他供应商的法定代表人（或者负责人）为同一人，或者与其他供应商存在直接控股、管理关系；</w:t>
      </w:r>
    </w:p>
    <w:p>
      <w:pPr>
        <w:tabs>
          <w:tab w:val="left" w:pos="0"/>
        </w:tabs>
        <w:spacing w:line="500" w:lineRule="exact"/>
        <w:ind w:firstLine="480" w:firstLineChars="200"/>
        <w:rPr>
          <w:rFonts w:ascii="宋体" w:hAnsi="宋体" w:cs="宋体"/>
          <w:kern w:val="0"/>
          <w:sz w:val="24"/>
          <w:szCs w:val="24"/>
        </w:rPr>
      </w:pPr>
      <w:r>
        <w:rPr>
          <w:rFonts w:hint="eastAsia" w:ascii="宋体" w:hAnsi="宋体" w:cs="宋体"/>
          <w:kern w:val="0"/>
          <w:sz w:val="24"/>
          <w:szCs w:val="24"/>
        </w:rPr>
        <w:t>（3）</w:t>
      </w:r>
      <w:r>
        <w:rPr>
          <w:rFonts w:hint="eastAsia" w:ascii="宋体" w:hAnsi="宋体" w:cs="宋体"/>
          <w:color w:val="000000"/>
          <w:sz w:val="24"/>
          <w:szCs w:val="24"/>
        </w:rPr>
        <w:t>受到刑事处罚或者责令停产停业、吊销许可证或者执照、较大数额罚款等行政处罚，供应商在参加政府采购活动前3年内因违法经营被禁止在一定期限内参加政府采购活动（期限届满的，可以参加政府采购活动）</w:t>
      </w:r>
      <w:r>
        <w:rPr>
          <w:rFonts w:hint="eastAsia" w:ascii="宋体" w:hAnsi="宋体" w:cs="宋体"/>
          <w:kern w:val="0"/>
          <w:sz w:val="24"/>
          <w:szCs w:val="24"/>
        </w:rPr>
        <w:t>。</w:t>
      </w:r>
    </w:p>
    <w:p>
      <w:pPr>
        <w:tabs>
          <w:tab w:val="left" w:pos="0"/>
        </w:tabs>
        <w:spacing w:line="500" w:lineRule="exact"/>
        <w:ind w:firstLine="480" w:firstLineChars="200"/>
        <w:rPr>
          <w:rFonts w:ascii="宋体" w:hAnsi="宋体" w:cs="宋体"/>
          <w:color w:val="000000"/>
          <w:kern w:val="0"/>
          <w:sz w:val="24"/>
          <w:szCs w:val="24"/>
        </w:rPr>
      </w:pPr>
      <w:r>
        <w:rPr>
          <w:rFonts w:hint="eastAsia" w:ascii="宋体" w:hAnsi="宋体" w:cs="宋体"/>
          <w:color w:val="000000"/>
          <w:kern w:val="0"/>
          <w:sz w:val="24"/>
          <w:szCs w:val="24"/>
        </w:rPr>
        <w:t>（4）在谈判截止日前被列入失信被执行人、重大税收违法案件当事人名单、政府采购严重违法失信行为记录名单（处罚期限届满的除外）（以信用中国网（www.creditchina.gov.cn）、中国政府采购网（www.ccgp.gov.cn）查询结果为准。</w:t>
      </w:r>
    </w:p>
    <w:p>
      <w:pPr>
        <w:pStyle w:val="5"/>
        <w:numPr>
          <w:ilvl w:val="0"/>
          <w:numId w:val="6"/>
        </w:numPr>
        <w:spacing w:line="500" w:lineRule="exact"/>
        <w:ind w:firstLine="643" w:firstLineChars="200"/>
        <w:rPr>
          <w:rFonts w:ascii="宋体" w:hAnsi="宋体" w:cs="宋体"/>
          <w:szCs w:val="28"/>
        </w:rPr>
      </w:pPr>
      <w:bookmarkStart w:id="18" w:name="_Toc380336728"/>
      <w:bookmarkStart w:id="19" w:name="_Toc358364322"/>
      <w:bookmarkStart w:id="20" w:name="_Toc22444"/>
      <w:bookmarkStart w:id="21" w:name="_Toc540"/>
      <w:r>
        <w:rPr>
          <w:rFonts w:hint="eastAsia" w:ascii="宋体" w:hAnsi="宋体" w:cs="宋体"/>
          <w:szCs w:val="28"/>
        </w:rPr>
        <w:t>费用</w:t>
      </w:r>
      <w:bookmarkEnd w:id="18"/>
      <w:bookmarkEnd w:id="19"/>
      <w:bookmarkEnd w:id="20"/>
      <w:bookmarkEnd w:id="21"/>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ascii="宋体" w:hAnsi="宋体" w:cs="宋体"/>
          <w:sz w:val="24"/>
          <w:szCs w:val="24"/>
        </w:rPr>
      </w:pPr>
      <w:bookmarkStart w:id="22" w:name="_Toc17817"/>
      <w:r>
        <w:rPr>
          <w:rFonts w:hint="eastAsia" w:ascii="宋体" w:hAnsi="宋体" w:cs="宋体"/>
          <w:sz w:val="24"/>
          <w:szCs w:val="24"/>
        </w:rPr>
        <w:t>供应商必须从代理机构</w:t>
      </w:r>
      <w:r>
        <w:rPr>
          <w:rFonts w:hint="eastAsia" w:ascii="宋体" w:hAnsi="宋体" w:cs="宋体"/>
          <w:sz w:val="24"/>
          <w:szCs w:val="24"/>
          <w:lang w:val="en-US" w:eastAsia="zh-CN"/>
        </w:rPr>
        <w:t>获取</w:t>
      </w:r>
      <w:r>
        <w:rPr>
          <w:rFonts w:hint="eastAsia" w:ascii="宋体" w:hAnsi="宋体" w:cs="宋体"/>
          <w:sz w:val="24"/>
          <w:szCs w:val="24"/>
        </w:rPr>
        <w:t>谈判文件，供应商自行转让或复制谈判文件视为无效。</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ascii="宋体" w:hAnsi="宋体" w:cs="宋体"/>
          <w:sz w:val="24"/>
        </w:rPr>
      </w:pPr>
      <w:r>
        <w:rPr>
          <w:rFonts w:hint="eastAsia" w:ascii="宋体" w:hAnsi="宋体" w:cs="宋体"/>
          <w:sz w:val="24"/>
        </w:rPr>
        <w:t>无论采购过程和结果如何，供应商自行承担与采购有关的全部费用。</w:t>
      </w:r>
    </w:p>
    <w:bookmarkEnd w:id="22"/>
    <w:p>
      <w:pPr>
        <w:rPr>
          <w:rFonts w:ascii="宋体" w:hAnsi="宋体" w:eastAsia="宋体" w:cs="宋体"/>
          <w:kern w:val="0"/>
          <w:sz w:val="24"/>
          <w:szCs w:val="24"/>
        </w:rPr>
      </w:pPr>
    </w:p>
    <w:p>
      <w:pPr>
        <w:pStyle w:val="5"/>
        <w:numPr>
          <w:ilvl w:val="0"/>
          <w:numId w:val="6"/>
        </w:numPr>
        <w:spacing w:line="500" w:lineRule="exact"/>
        <w:ind w:left="-142" w:leftChars="0" w:firstLine="562" w:firstLineChars="0"/>
        <w:rPr>
          <w:rFonts w:ascii="宋体" w:hAnsi="宋体" w:cs="宋体"/>
          <w:szCs w:val="28"/>
        </w:rPr>
      </w:pPr>
      <w:r>
        <w:rPr>
          <w:rFonts w:hint="eastAsia" w:ascii="宋体" w:hAnsi="宋体" w:cs="宋体"/>
          <w:szCs w:val="28"/>
        </w:rPr>
        <w:t>实质性偏离</w:t>
      </w:r>
    </w:p>
    <w:p>
      <w:pPr>
        <w:widowControl/>
        <w:spacing w:line="500" w:lineRule="exact"/>
        <w:ind w:firstLine="480" w:firstLineChars="200"/>
        <w:jc w:val="left"/>
        <w:rPr>
          <w:rFonts w:ascii="宋体" w:hAnsi="宋体" w:cs="宋体"/>
          <w:sz w:val="24"/>
          <w:szCs w:val="24"/>
        </w:rPr>
      </w:pPr>
      <w:r>
        <w:rPr>
          <w:rFonts w:hint="eastAsia" w:ascii="宋体" w:hAnsi="宋体" w:cs="宋体"/>
          <w:sz w:val="24"/>
          <w:szCs w:val="24"/>
          <w:lang w:eastAsia="zh-CN"/>
        </w:rPr>
        <w:t>响应</w:t>
      </w:r>
      <w:r>
        <w:rPr>
          <w:rFonts w:hint="eastAsia" w:ascii="宋体" w:hAnsi="宋体" w:cs="宋体"/>
          <w:sz w:val="24"/>
          <w:szCs w:val="24"/>
        </w:rPr>
        <w:t>文件应当对</w:t>
      </w:r>
      <w:r>
        <w:rPr>
          <w:rFonts w:hint="eastAsia" w:ascii="宋体" w:hAnsi="宋体" w:cs="宋体"/>
          <w:sz w:val="24"/>
          <w:szCs w:val="24"/>
          <w:lang w:eastAsia="zh-CN"/>
        </w:rPr>
        <w:t>竞争性谈判</w:t>
      </w:r>
      <w:r>
        <w:rPr>
          <w:rFonts w:hint="eastAsia" w:ascii="宋体" w:hAnsi="宋体" w:cs="宋体"/>
          <w:sz w:val="24"/>
          <w:szCs w:val="24"/>
        </w:rPr>
        <w:t>文件实质性要求和条件作出满足性或有利于采购人的响应，否则，供应商的</w:t>
      </w:r>
      <w:r>
        <w:rPr>
          <w:rFonts w:hint="eastAsia" w:ascii="宋体" w:hAnsi="宋体" w:cs="宋体"/>
          <w:sz w:val="24"/>
          <w:szCs w:val="24"/>
          <w:lang w:eastAsia="zh-CN"/>
        </w:rPr>
        <w:t>响应</w:t>
      </w:r>
      <w:r>
        <w:rPr>
          <w:rFonts w:hint="eastAsia" w:ascii="宋体" w:hAnsi="宋体" w:cs="宋体"/>
          <w:sz w:val="24"/>
          <w:szCs w:val="24"/>
        </w:rPr>
        <w:t>无效。</w:t>
      </w:r>
    </w:p>
    <w:p>
      <w:pPr>
        <w:rPr>
          <w:rFonts w:ascii="宋体" w:hAnsi="宋体" w:eastAsia="宋体" w:cs="宋体"/>
        </w:rPr>
      </w:pPr>
      <w:r>
        <w:rPr>
          <w:rFonts w:hint="eastAsia" w:ascii="宋体" w:hAnsi="宋体" w:eastAsia="宋体" w:cs="宋体"/>
        </w:rPr>
        <w:br w:type="page"/>
      </w:r>
    </w:p>
    <w:p>
      <w:pPr>
        <w:pStyle w:val="4"/>
        <w:numPr>
          <w:ilvl w:val="0"/>
          <w:numId w:val="5"/>
        </w:numPr>
        <w:rPr>
          <w:rFonts w:ascii="宋体" w:hAnsi="宋体" w:cs="宋体"/>
        </w:rPr>
      </w:pPr>
      <w:bookmarkStart w:id="23" w:name="_Toc26750"/>
      <w:r>
        <w:rPr>
          <w:rFonts w:hint="eastAsia" w:ascii="宋体" w:hAnsi="宋体" w:cs="宋体"/>
        </w:rPr>
        <w:t>竞争性谈判文件</w:t>
      </w:r>
      <w:bookmarkEnd w:id="23"/>
    </w:p>
    <w:p>
      <w:pPr>
        <w:pStyle w:val="5"/>
        <w:numPr>
          <w:ilvl w:val="0"/>
          <w:numId w:val="8"/>
        </w:numPr>
        <w:rPr>
          <w:rFonts w:ascii="宋体" w:hAnsi="宋体" w:eastAsia="宋体" w:cs="宋体"/>
        </w:rPr>
      </w:pPr>
      <w:bookmarkStart w:id="24" w:name="_Toc5801"/>
      <w:r>
        <w:rPr>
          <w:rFonts w:hint="eastAsia" w:ascii="宋体" w:hAnsi="宋体" w:eastAsia="宋体" w:cs="宋体"/>
        </w:rPr>
        <w:t>竞争性谈判文件的构成</w:t>
      </w:r>
      <w:bookmarkEnd w:id="24"/>
    </w:p>
    <w:p>
      <w:pPr>
        <w:tabs>
          <w:tab w:val="left" w:pos="0"/>
        </w:tabs>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竞争性谈判文件是供应商准备响应文件和参加谈判的依据，同时也是评审的重要依据，具有准法律文件性质。本竞争性谈判文件包括以下内容：</w:t>
      </w:r>
    </w:p>
    <w:p>
      <w:pPr>
        <w:numPr>
          <w:ilvl w:val="0"/>
          <w:numId w:val="9"/>
        </w:numPr>
        <w:tabs>
          <w:tab w:val="left" w:pos="0"/>
        </w:tabs>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竞争性谈判公告；</w:t>
      </w:r>
    </w:p>
    <w:p>
      <w:pPr>
        <w:numPr>
          <w:ilvl w:val="0"/>
          <w:numId w:val="9"/>
        </w:numPr>
        <w:tabs>
          <w:tab w:val="left" w:pos="0"/>
        </w:tabs>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供应商须知前附表；</w:t>
      </w:r>
    </w:p>
    <w:p>
      <w:pPr>
        <w:numPr>
          <w:ilvl w:val="0"/>
          <w:numId w:val="9"/>
        </w:numPr>
        <w:tabs>
          <w:tab w:val="left" w:pos="0"/>
        </w:tabs>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供应商须知；</w:t>
      </w:r>
    </w:p>
    <w:p>
      <w:pPr>
        <w:numPr>
          <w:ilvl w:val="0"/>
          <w:numId w:val="9"/>
        </w:numPr>
        <w:tabs>
          <w:tab w:val="left" w:pos="0"/>
        </w:tabs>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评审标准；</w:t>
      </w:r>
    </w:p>
    <w:p>
      <w:pPr>
        <w:numPr>
          <w:ilvl w:val="0"/>
          <w:numId w:val="9"/>
        </w:numPr>
        <w:tabs>
          <w:tab w:val="left" w:pos="0"/>
        </w:tabs>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采购要求；</w:t>
      </w:r>
    </w:p>
    <w:p>
      <w:pPr>
        <w:numPr>
          <w:ilvl w:val="0"/>
          <w:numId w:val="9"/>
        </w:numPr>
        <w:tabs>
          <w:tab w:val="left" w:pos="0"/>
        </w:tabs>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合同主要条款；</w:t>
      </w:r>
    </w:p>
    <w:p>
      <w:pPr>
        <w:numPr>
          <w:ilvl w:val="0"/>
          <w:numId w:val="9"/>
        </w:numPr>
        <w:tabs>
          <w:tab w:val="left" w:pos="0"/>
        </w:tabs>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响应文件格式。</w:t>
      </w:r>
    </w:p>
    <w:p>
      <w:pPr>
        <w:tabs>
          <w:tab w:val="left" w:pos="0"/>
        </w:tabs>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cs="宋体"/>
          <w:sz w:val="24"/>
          <w:szCs w:val="24"/>
        </w:rPr>
        <w:t>供应商应认真阅读谈判文件中所有的条款、事项、格式和技术规范、参数及要求等。供应商没有按照谈判文件要求提交全部资料，或者没有对谈判文件在各方面都做出实质性响应，将导致其谈判被拒绝或被认定为无效响应</w:t>
      </w:r>
      <w:r>
        <w:rPr>
          <w:rFonts w:hint="eastAsia" w:ascii="宋体" w:hAnsi="宋体" w:eastAsia="宋体" w:cs="宋体"/>
          <w:sz w:val="24"/>
        </w:rPr>
        <w:t>。</w:t>
      </w:r>
    </w:p>
    <w:p>
      <w:pPr>
        <w:pStyle w:val="5"/>
        <w:numPr>
          <w:ilvl w:val="0"/>
          <w:numId w:val="8"/>
        </w:numPr>
        <w:rPr>
          <w:rFonts w:ascii="宋体" w:hAnsi="宋体" w:eastAsia="宋体" w:cs="宋体"/>
        </w:rPr>
      </w:pPr>
      <w:bookmarkStart w:id="25" w:name="_Toc19797"/>
      <w:r>
        <w:rPr>
          <w:rFonts w:hint="eastAsia" w:ascii="宋体" w:hAnsi="宋体" w:eastAsia="宋体" w:cs="宋体"/>
        </w:rPr>
        <w:t>竞争性谈判文件的澄清</w:t>
      </w:r>
      <w:bookmarkEnd w:id="25"/>
    </w:p>
    <w:p>
      <w:pPr>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供应商应认真阅读和充分理解竞争性谈判文件中所有的事项，如有问题或疑议请及时函告。否则，视为同意竞争性谈判文件的一切条款和要求并承担由此引起的一切法律责任。凡因供应商对竞争性谈判文件阅读不深、理解不透、误解、疏漏、或因市场行情了解不清造成的后果和风险均由供应商</w:t>
      </w:r>
      <w:r>
        <w:rPr>
          <w:rFonts w:hint="eastAsia" w:ascii="宋体" w:hAnsi="宋体" w:cs="宋体"/>
          <w:sz w:val="24"/>
          <w:szCs w:val="24"/>
        </w:rPr>
        <w:t>自行承担</w:t>
      </w:r>
      <w:r>
        <w:rPr>
          <w:rFonts w:hint="eastAsia" w:ascii="宋体" w:hAnsi="宋体" w:eastAsia="宋体" w:cs="宋体"/>
          <w:sz w:val="24"/>
          <w:szCs w:val="24"/>
        </w:rPr>
        <w:t>。</w:t>
      </w:r>
    </w:p>
    <w:p>
      <w:pPr>
        <w:tabs>
          <w:tab w:val="left" w:pos="0"/>
        </w:tabs>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cs="宋体"/>
          <w:sz w:val="24"/>
          <w:szCs w:val="24"/>
        </w:rPr>
        <w:t>任何对谈判文件进行询问的供应商，采购人或代理机构在3个工作日内对供应商依法提出的询问作出答复。</w:t>
      </w:r>
    </w:p>
    <w:p>
      <w:pPr>
        <w:pStyle w:val="5"/>
        <w:numPr>
          <w:ilvl w:val="0"/>
          <w:numId w:val="8"/>
        </w:numPr>
        <w:rPr>
          <w:rFonts w:ascii="宋体" w:hAnsi="宋体" w:eastAsia="宋体" w:cs="宋体"/>
        </w:rPr>
      </w:pPr>
      <w:bookmarkStart w:id="26" w:name="_Toc6390"/>
      <w:r>
        <w:rPr>
          <w:rFonts w:hint="eastAsia" w:ascii="宋体" w:hAnsi="宋体" w:eastAsia="宋体" w:cs="宋体"/>
        </w:rPr>
        <w:t>竞争性谈判文件的修改</w:t>
      </w:r>
      <w:bookmarkEnd w:id="26"/>
    </w:p>
    <w:p>
      <w:pPr>
        <w:tabs>
          <w:tab w:val="left" w:pos="0"/>
        </w:tabs>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在谈判截止时间前，无论出于何种原因，代理机构可主动地或在解答供应商提出的澄清问题时，对竞争性谈判文件进行修改。竞争性谈判文件的澄清和修改将以书面形式通知所有供应商，并作为竞争性谈判文件的补充，与其具有同等法律效力。</w:t>
      </w:r>
    </w:p>
    <w:p>
      <w:pPr>
        <w:tabs>
          <w:tab w:val="left" w:pos="0"/>
        </w:tabs>
        <w:adjustRightInd w:val="0"/>
        <w:snapToGrid w:val="0"/>
        <w:spacing w:line="360" w:lineRule="auto"/>
        <w:ind w:firstLine="480" w:firstLineChars="200"/>
        <w:jc w:val="left"/>
        <w:rPr>
          <w:rFonts w:ascii="宋体" w:hAnsi="宋体" w:eastAsia="宋体" w:cs="宋体"/>
          <w:b/>
          <w:bCs/>
          <w:sz w:val="24"/>
          <w:szCs w:val="24"/>
        </w:rPr>
      </w:pPr>
      <w:r>
        <w:rPr>
          <w:rFonts w:hint="eastAsia" w:ascii="宋体" w:hAnsi="宋体" w:eastAsia="宋体" w:cs="宋体"/>
          <w:sz w:val="24"/>
          <w:szCs w:val="24"/>
        </w:rPr>
        <w:t>为方便供应商对竞争性谈判文件修改或澄清内容有充分的时间进行补充修改，代理机构可适当延长谈判截止时间和谈判时间，在竞争性谈判文件要求提交响应文件的截止期前，将变更时间书面通知所有购买竞争性谈判文件的供应商。</w:t>
      </w:r>
    </w:p>
    <w:p>
      <w:pPr>
        <w:pStyle w:val="5"/>
        <w:numPr>
          <w:ilvl w:val="0"/>
          <w:numId w:val="8"/>
        </w:numPr>
        <w:rPr>
          <w:rFonts w:ascii="宋体" w:hAnsi="宋体" w:eastAsia="宋体" w:cs="宋体"/>
        </w:rPr>
      </w:pPr>
      <w:bookmarkStart w:id="27" w:name="_Toc5095"/>
      <w:r>
        <w:rPr>
          <w:rFonts w:hint="eastAsia" w:ascii="宋体" w:hAnsi="宋体" w:eastAsia="宋体" w:cs="宋体"/>
        </w:rPr>
        <w:t>竞争性谈判文件的解释权归代理机构。</w:t>
      </w:r>
      <w:bookmarkEnd w:id="27"/>
    </w:p>
    <w:p>
      <w:pPr>
        <w:widowControl/>
        <w:numPr>
          <w:ilvl w:val="0"/>
          <w:numId w:val="10"/>
        </w:numPr>
        <w:spacing w:line="360" w:lineRule="auto"/>
        <w:ind w:firstLine="643" w:firstLineChars="200"/>
        <w:jc w:val="center"/>
        <w:outlineLvl w:val="1"/>
        <w:rPr>
          <w:rFonts w:ascii="宋体" w:hAnsi="宋体" w:eastAsia="宋体" w:cs="宋体"/>
          <w:b/>
          <w:bCs/>
          <w:kern w:val="0"/>
          <w:sz w:val="32"/>
          <w:szCs w:val="28"/>
        </w:rPr>
        <w:sectPr>
          <w:pgSz w:w="11906" w:h="16838"/>
          <w:pgMar w:top="1440" w:right="1706" w:bottom="1440" w:left="1800" w:header="851" w:footer="992" w:gutter="0"/>
          <w:pgNumType w:fmt="decimal"/>
          <w:cols w:space="720" w:num="1"/>
          <w:docGrid w:type="lines" w:linePitch="312" w:charSpace="0"/>
        </w:sectPr>
      </w:pPr>
    </w:p>
    <w:p>
      <w:pPr>
        <w:pStyle w:val="4"/>
        <w:numPr>
          <w:ilvl w:val="0"/>
          <w:numId w:val="5"/>
        </w:numPr>
        <w:rPr>
          <w:rFonts w:ascii="宋体" w:hAnsi="宋体" w:cs="宋体"/>
        </w:rPr>
      </w:pPr>
      <w:bookmarkStart w:id="28" w:name="_Toc257"/>
      <w:r>
        <w:rPr>
          <w:rFonts w:hint="eastAsia" w:ascii="宋体" w:hAnsi="宋体" w:cs="宋体"/>
        </w:rPr>
        <w:t>响应文件</w:t>
      </w:r>
      <w:bookmarkEnd w:id="28"/>
    </w:p>
    <w:p>
      <w:pPr>
        <w:pStyle w:val="5"/>
        <w:keepNext/>
        <w:keepLines/>
        <w:pageBreakBefore w:val="0"/>
        <w:widowControl w:val="0"/>
        <w:numPr>
          <w:ilvl w:val="0"/>
          <w:numId w:val="11"/>
        </w:numPr>
        <w:kinsoku/>
        <w:wordWrap/>
        <w:overflowPunct/>
        <w:topLinePunct w:val="0"/>
        <w:autoSpaceDE/>
        <w:autoSpaceDN/>
        <w:bidi w:val="0"/>
        <w:adjustRightInd/>
        <w:snapToGrid w:val="0"/>
        <w:spacing w:before="100" w:after="100" w:line="336" w:lineRule="auto"/>
        <w:ind w:firstLine="420"/>
        <w:textAlignment w:val="auto"/>
        <w:rPr>
          <w:rFonts w:ascii="宋体" w:hAnsi="宋体" w:eastAsia="宋体" w:cs="宋体"/>
        </w:rPr>
      </w:pPr>
      <w:bookmarkStart w:id="29" w:name="_Toc17549"/>
      <w:r>
        <w:rPr>
          <w:rFonts w:hint="eastAsia" w:ascii="宋体" w:hAnsi="宋体" w:eastAsia="宋体" w:cs="宋体"/>
        </w:rPr>
        <w:t>响应文件的编制</w:t>
      </w:r>
      <w:bookmarkEnd w:id="29"/>
    </w:p>
    <w:p>
      <w:pPr>
        <w:tabs>
          <w:tab w:val="left" w:pos="0"/>
        </w:tabs>
        <w:spacing w:line="500" w:lineRule="exact"/>
        <w:ind w:firstLine="420" w:firstLineChars="175"/>
        <w:jc w:val="left"/>
        <w:rPr>
          <w:rFonts w:ascii="宋体" w:hAnsi="宋体" w:cs="宋体"/>
          <w:sz w:val="24"/>
          <w:szCs w:val="24"/>
        </w:rPr>
      </w:pPr>
      <w:r>
        <w:rPr>
          <w:rFonts w:hint="eastAsia" w:ascii="宋体" w:hAnsi="宋体" w:cs="宋体"/>
          <w:sz w:val="24"/>
          <w:szCs w:val="24"/>
        </w:rPr>
        <w:t xml:space="preserve"> 供应商需依据谈判文件内容和响应文件格式的要求编制响应文件，具体内容参见“第七部分 响应文件格式”。</w:t>
      </w:r>
    </w:p>
    <w:p>
      <w:pPr>
        <w:widowControl/>
        <w:spacing w:line="500" w:lineRule="exact"/>
        <w:ind w:firstLine="480" w:firstLineChars="200"/>
        <w:jc w:val="left"/>
        <w:rPr>
          <w:rFonts w:ascii="宋体" w:hAnsi="宋体" w:cs="宋体"/>
          <w:sz w:val="24"/>
          <w:szCs w:val="24"/>
        </w:rPr>
      </w:pPr>
      <w:r>
        <w:rPr>
          <w:rFonts w:hint="eastAsia" w:ascii="宋体" w:hAnsi="宋体" w:cs="宋体"/>
          <w:sz w:val="24"/>
          <w:szCs w:val="24"/>
        </w:rPr>
        <w:t>响应文件规格幅面（A4），</w:t>
      </w:r>
      <w:r>
        <w:rPr>
          <w:rFonts w:hint="eastAsia" w:ascii="宋体" w:hAnsi="宋体" w:cs="宋体"/>
          <w:b/>
          <w:bCs/>
          <w:sz w:val="24"/>
          <w:szCs w:val="24"/>
        </w:rPr>
        <w:t>推荐采用双面打印</w:t>
      </w:r>
      <w:r>
        <w:rPr>
          <w:rFonts w:hint="eastAsia" w:ascii="宋体" w:hAnsi="宋体" w:cs="宋体"/>
          <w:sz w:val="24"/>
          <w:szCs w:val="24"/>
        </w:rPr>
        <w:t>，按照谈判文件所规定的内容顺序，统一编目、编页码装订，由于编排混乱导致响应文件被误读或查找不到，其责任应当由供应商承担。装订必须采用胶装形式，不得采用活页装订，必须编排页码。</w:t>
      </w:r>
    </w:p>
    <w:p>
      <w:pPr>
        <w:pStyle w:val="5"/>
        <w:keepNext/>
        <w:keepLines/>
        <w:pageBreakBefore w:val="0"/>
        <w:widowControl w:val="0"/>
        <w:numPr>
          <w:ilvl w:val="0"/>
          <w:numId w:val="11"/>
        </w:numPr>
        <w:kinsoku/>
        <w:wordWrap/>
        <w:overflowPunct/>
        <w:topLinePunct w:val="0"/>
        <w:autoSpaceDE/>
        <w:autoSpaceDN/>
        <w:bidi w:val="0"/>
        <w:adjustRightInd/>
        <w:snapToGrid w:val="0"/>
        <w:spacing w:before="100" w:after="100" w:line="360" w:lineRule="auto"/>
        <w:ind w:firstLine="420"/>
        <w:textAlignment w:val="auto"/>
        <w:rPr>
          <w:rFonts w:ascii="宋体" w:hAnsi="宋体" w:eastAsia="宋体" w:cs="宋体"/>
        </w:rPr>
      </w:pPr>
      <w:bookmarkStart w:id="30" w:name="_Toc27646"/>
      <w:r>
        <w:rPr>
          <w:rFonts w:hint="eastAsia" w:ascii="宋体" w:hAnsi="宋体" w:eastAsia="宋体" w:cs="宋体"/>
        </w:rPr>
        <w:t>响应报价</w:t>
      </w:r>
      <w:bookmarkEnd w:id="30"/>
    </w:p>
    <w:p>
      <w:pPr>
        <w:spacing w:line="360" w:lineRule="auto"/>
        <w:ind w:firstLine="482" w:firstLineChars="200"/>
        <w:rPr>
          <w:rFonts w:ascii="宋体" w:hAnsi="宋体" w:cs="宋体"/>
        </w:rPr>
      </w:pPr>
      <w:bookmarkStart w:id="31" w:name="_Toc29200"/>
      <w:r>
        <w:rPr>
          <w:rFonts w:hint="eastAsia" w:ascii="宋体" w:hAnsi="宋体" w:cs="宋体"/>
          <w:b/>
          <w:bCs/>
          <w:sz w:val="24"/>
          <w:szCs w:val="24"/>
        </w:rPr>
        <w:t>详见供应商须知前附表。</w:t>
      </w:r>
    </w:p>
    <w:p>
      <w:pPr>
        <w:pStyle w:val="5"/>
        <w:keepNext/>
        <w:keepLines/>
        <w:pageBreakBefore w:val="0"/>
        <w:widowControl w:val="0"/>
        <w:numPr>
          <w:ilvl w:val="0"/>
          <w:numId w:val="11"/>
        </w:numPr>
        <w:kinsoku/>
        <w:wordWrap/>
        <w:overflowPunct/>
        <w:topLinePunct w:val="0"/>
        <w:autoSpaceDE/>
        <w:autoSpaceDN/>
        <w:bidi w:val="0"/>
        <w:adjustRightInd/>
        <w:snapToGrid w:val="0"/>
        <w:spacing w:before="100" w:after="100" w:line="360" w:lineRule="auto"/>
        <w:ind w:firstLine="420"/>
        <w:textAlignment w:val="auto"/>
        <w:rPr>
          <w:rFonts w:ascii="宋体" w:hAnsi="宋体" w:eastAsia="宋体" w:cs="宋体"/>
        </w:rPr>
      </w:pPr>
      <w:r>
        <w:rPr>
          <w:rFonts w:hint="eastAsia" w:ascii="宋体" w:hAnsi="宋体" w:eastAsia="宋体" w:cs="宋体"/>
        </w:rPr>
        <w:t>货币</w:t>
      </w:r>
      <w:bookmarkEnd w:id="31"/>
    </w:p>
    <w:p>
      <w:pPr>
        <w:spacing w:line="360" w:lineRule="auto"/>
        <w:ind w:firstLine="482" w:firstLineChars="200"/>
        <w:rPr>
          <w:rFonts w:ascii="宋体" w:hAnsi="宋体" w:cs="宋体"/>
        </w:rPr>
      </w:pPr>
      <w:bookmarkStart w:id="32" w:name="_Toc1311"/>
      <w:r>
        <w:rPr>
          <w:rFonts w:hint="eastAsia" w:ascii="宋体" w:hAnsi="宋体" w:cs="宋体"/>
          <w:b/>
          <w:bCs/>
          <w:sz w:val="24"/>
          <w:szCs w:val="24"/>
        </w:rPr>
        <w:t>详见供应商须知前附表。</w:t>
      </w:r>
    </w:p>
    <w:bookmarkEnd w:id="32"/>
    <w:p>
      <w:pPr>
        <w:pStyle w:val="5"/>
        <w:keepNext/>
        <w:keepLines/>
        <w:pageBreakBefore w:val="0"/>
        <w:widowControl w:val="0"/>
        <w:numPr>
          <w:ilvl w:val="0"/>
          <w:numId w:val="11"/>
        </w:numPr>
        <w:kinsoku/>
        <w:wordWrap/>
        <w:overflowPunct/>
        <w:topLinePunct w:val="0"/>
        <w:autoSpaceDE/>
        <w:autoSpaceDN/>
        <w:bidi w:val="0"/>
        <w:adjustRightInd/>
        <w:snapToGrid/>
        <w:spacing w:before="100" w:after="100" w:line="413" w:lineRule="auto"/>
        <w:ind w:firstLine="420"/>
        <w:textAlignment w:val="auto"/>
        <w:rPr>
          <w:rFonts w:ascii="宋体" w:hAnsi="宋体" w:eastAsia="宋体" w:cs="宋体"/>
        </w:rPr>
      </w:pPr>
      <w:r>
        <w:rPr>
          <w:rFonts w:hint="eastAsia" w:ascii="宋体" w:hAnsi="宋体" w:eastAsia="宋体" w:cs="宋体"/>
        </w:rPr>
        <w:t>响应有效期</w:t>
      </w:r>
    </w:p>
    <w:p>
      <w:pPr>
        <w:adjustRightInd w:val="0"/>
        <w:snapToGrid w:val="0"/>
        <w:spacing w:line="500" w:lineRule="exact"/>
        <w:ind w:firstLine="480" w:firstLineChars="200"/>
        <w:rPr>
          <w:rFonts w:ascii="宋体" w:hAnsi="宋体" w:cs="宋体"/>
          <w:sz w:val="24"/>
          <w:szCs w:val="24"/>
        </w:rPr>
      </w:pPr>
      <w:bookmarkStart w:id="33" w:name="_Toc24827"/>
      <w:r>
        <w:rPr>
          <w:rFonts w:hint="eastAsia" w:ascii="宋体" w:hAnsi="宋体" w:cs="宋体"/>
          <w:sz w:val="24"/>
          <w:szCs w:val="24"/>
        </w:rPr>
        <w:t>响应有效期见供应商须知前附表，无响应有效期或响应有效期短于此规定期限的响应文件，视为无效文件，其谈判将被拒绝。</w:t>
      </w:r>
    </w:p>
    <w:p>
      <w:pPr>
        <w:pStyle w:val="5"/>
        <w:keepNext/>
        <w:keepLines/>
        <w:pageBreakBefore w:val="0"/>
        <w:widowControl w:val="0"/>
        <w:numPr>
          <w:ilvl w:val="0"/>
          <w:numId w:val="11"/>
        </w:numPr>
        <w:kinsoku/>
        <w:wordWrap/>
        <w:overflowPunct/>
        <w:topLinePunct w:val="0"/>
        <w:autoSpaceDE/>
        <w:autoSpaceDN/>
        <w:bidi w:val="0"/>
        <w:adjustRightInd/>
        <w:snapToGrid w:val="0"/>
        <w:spacing w:before="100" w:after="100" w:line="360" w:lineRule="auto"/>
        <w:ind w:firstLine="420"/>
        <w:textAlignment w:val="auto"/>
        <w:rPr>
          <w:rFonts w:ascii="宋体" w:hAnsi="宋体" w:eastAsia="宋体" w:cs="宋体"/>
          <w:szCs w:val="32"/>
        </w:rPr>
      </w:pPr>
      <w:r>
        <w:rPr>
          <w:rFonts w:hint="eastAsia" w:ascii="宋体" w:hAnsi="宋体" w:eastAsia="宋体" w:cs="宋体"/>
        </w:rPr>
        <w:t>响应文件的格式、装订、密封和签署</w:t>
      </w:r>
      <w:bookmarkEnd w:id="33"/>
    </w:p>
    <w:p>
      <w:pPr>
        <w:tabs>
          <w:tab w:val="left" w:pos="0"/>
        </w:tabs>
        <w:spacing w:line="500" w:lineRule="exact"/>
        <w:ind w:firstLine="480" w:firstLineChars="200"/>
        <w:rPr>
          <w:rFonts w:ascii="宋体" w:hAnsi="宋体" w:cs="宋体"/>
          <w:sz w:val="24"/>
          <w:szCs w:val="24"/>
        </w:rPr>
      </w:pPr>
      <w:r>
        <w:rPr>
          <w:rFonts w:hint="eastAsia" w:ascii="宋体" w:hAnsi="宋体" w:cs="宋体"/>
          <w:sz w:val="24"/>
          <w:szCs w:val="24"/>
          <w:lang w:val="en-US" w:eastAsia="zh-CN"/>
        </w:rPr>
        <w:t>5</w:t>
      </w:r>
      <w:r>
        <w:rPr>
          <w:rFonts w:hint="eastAsia" w:ascii="宋体" w:hAnsi="宋体" w:cs="宋体"/>
          <w:sz w:val="24"/>
          <w:szCs w:val="24"/>
        </w:rPr>
        <w:t>.1响应文件的装订</w:t>
      </w:r>
    </w:p>
    <w:p>
      <w:pPr>
        <w:spacing w:line="500" w:lineRule="exact"/>
        <w:ind w:firstLine="482" w:firstLineChars="200"/>
        <w:jc w:val="left"/>
        <w:rPr>
          <w:rFonts w:ascii="宋体" w:hAnsi="宋体" w:cs="宋体"/>
          <w:b/>
          <w:bCs/>
          <w:sz w:val="24"/>
          <w:szCs w:val="24"/>
        </w:rPr>
      </w:pPr>
      <w:r>
        <w:rPr>
          <w:rFonts w:hint="eastAsia" w:ascii="宋体" w:hAnsi="宋体" w:cs="宋体"/>
          <w:b/>
          <w:bCs/>
          <w:sz w:val="24"/>
          <w:szCs w:val="24"/>
        </w:rPr>
        <w:t>详见供应商须知前附表。</w:t>
      </w:r>
    </w:p>
    <w:p>
      <w:pPr>
        <w:spacing w:line="500" w:lineRule="exact"/>
        <w:ind w:firstLine="480" w:firstLineChars="200"/>
        <w:jc w:val="left"/>
        <w:rPr>
          <w:rFonts w:ascii="宋体" w:hAnsi="宋体" w:cs="宋体"/>
          <w:sz w:val="24"/>
          <w:szCs w:val="24"/>
        </w:rPr>
      </w:pPr>
      <w:r>
        <w:rPr>
          <w:rFonts w:hint="eastAsia" w:ascii="宋体" w:hAnsi="宋体" w:cs="宋体"/>
          <w:sz w:val="24"/>
          <w:szCs w:val="24"/>
          <w:lang w:val="en-US" w:eastAsia="zh-CN"/>
        </w:rPr>
        <w:t>5</w:t>
      </w:r>
      <w:r>
        <w:rPr>
          <w:rFonts w:hint="eastAsia" w:ascii="宋体" w:hAnsi="宋体" w:cs="宋体"/>
          <w:sz w:val="24"/>
          <w:szCs w:val="24"/>
        </w:rPr>
        <w:t>.2 响应文件的签署</w:t>
      </w:r>
    </w:p>
    <w:p>
      <w:pPr>
        <w:spacing w:line="500" w:lineRule="exact"/>
        <w:ind w:firstLine="482" w:firstLineChars="200"/>
        <w:jc w:val="left"/>
        <w:rPr>
          <w:rFonts w:ascii="宋体" w:hAnsi="宋体" w:cs="宋体"/>
          <w:kern w:val="0"/>
          <w:sz w:val="24"/>
          <w:szCs w:val="24"/>
        </w:rPr>
      </w:pPr>
      <w:r>
        <w:rPr>
          <w:rFonts w:hint="eastAsia" w:ascii="宋体" w:hAnsi="宋体" w:cs="宋体"/>
          <w:b/>
          <w:bCs/>
          <w:sz w:val="24"/>
          <w:szCs w:val="24"/>
        </w:rPr>
        <w:t>详见供应商须知前附表。</w:t>
      </w:r>
    </w:p>
    <w:p>
      <w:pPr>
        <w:spacing w:line="500" w:lineRule="exact"/>
        <w:ind w:firstLine="480" w:firstLineChars="200"/>
        <w:jc w:val="left"/>
        <w:rPr>
          <w:rFonts w:ascii="宋体" w:hAnsi="宋体" w:cs="宋体"/>
          <w:kern w:val="0"/>
          <w:sz w:val="24"/>
          <w:szCs w:val="24"/>
        </w:rPr>
      </w:pPr>
      <w:r>
        <w:rPr>
          <w:rFonts w:hint="eastAsia" w:ascii="宋体" w:hAnsi="宋体" w:cs="宋体"/>
          <w:kern w:val="0"/>
          <w:sz w:val="24"/>
          <w:szCs w:val="24"/>
          <w:lang w:val="en-US" w:eastAsia="zh-CN"/>
        </w:rPr>
        <w:t>5.</w:t>
      </w:r>
      <w:r>
        <w:rPr>
          <w:rFonts w:hint="eastAsia" w:ascii="宋体" w:hAnsi="宋体" w:cs="宋体"/>
          <w:kern w:val="0"/>
          <w:sz w:val="24"/>
          <w:szCs w:val="24"/>
        </w:rPr>
        <w:t>3 响应文件的密封</w:t>
      </w:r>
    </w:p>
    <w:p>
      <w:pPr>
        <w:spacing w:line="500" w:lineRule="exact"/>
        <w:ind w:firstLine="482" w:firstLineChars="200"/>
        <w:jc w:val="left"/>
        <w:rPr>
          <w:rFonts w:ascii="宋体" w:hAnsi="宋体" w:cs="宋体"/>
        </w:rPr>
      </w:pPr>
      <w:r>
        <w:rPr>
          <w:rFonts w:hint="eastAsia" w:ascii="宋体" w:hAnsi="宋体" w:cs="宋体"/>
          <w:b/>
          <w:bCs/>
          <w:sz w:val="24"/>
          <w:szCs w:val="24"/>
        </w:rPr>
        <w:t>详见供应商须知前附表。</w:t>
      </w:r>
    </w:p>
    <w:p>
      <w:pPr>
        <w:widowControl/>
        <w:spacing w:line="360" w:lineRule="auto"/>
        <w:ind w:left="420" w:leftChars="200"/>
        <w:rPr>
          <w:rFonts w:ascii="宋体" w:hAnsi="宋体" w:eastAsia="宋体" w:cs="宋体"/>
          <w:kern w:val="0"/>
          <w:sz w:val="24"/>
        </w:rPr>
      </w:pPr>
    </w:p>
    <w:p>
      <w:pPr>
        <w:pStyle w:val="4"/>
        <w:numPr>
          <w:ilvl w:val="0"/>
          <w:numId w:val="5"/>
        </w:numPr>
        <w:rPr>
          <w:rFonts w:ascii="宋体" w:hAnsi="宋体" w:cs="宋体"/>
        </w:rPr>
        <w:sectPr>
          <w:footerReference r:id="rId9" w:type="default"/>
          <w:pgSz w:w="11906" w:h="16838"/>
          <w:pgMar w:top="1440" w:right="1803" w:bottom="1440" w:left="1803" w:header="851" w:footer="992" w:gutter="0"/>
          <w:pgNumType w:fmt="decimal"/>
          <w:cols w:space="720" w:num="1"/>
          <w:docGrid w:type="lines" w:linePitch="319" w:charSpace="0"/>
        </w:sectPr>
      </w:pPr>
      <w:bookmarkStart w:id="34" w:name="_Toc3565"/>
      <w:bookmarkStart w:id="35" w:name="_Toc3736"/>
    </w:p>
    <w:p>
      <w:pPr>
        <w:pStyle w:val="4"/>
        <w:numPr>
          <w:ilvl w:val="0"/>
          <w:numId w:val="5"/>
        </w:numPr>
        <w:rPr>
          <w:rFonts w:ascii="宋体" w:hAnsi="宋体" w:cs="宋体"/>
        </w:rPr>
      </w:pPr>
      <w:bookmarkStart w:id="36" w:name="_Toc28125"/>
      <w:r>
        <w:rPr>
          <w:rFonts w:hint="eastAsia" w:ascii="宋体" w:hAnsi="宋体" w:cs="宋体"/>
        </w:rPr>
        <w:t>响应文件的递交</w:t>
      </w:r>
      <w:bookmarkEnd w:id="34"/>
      <w:bookmarkEnd w:id="36"/>
    </w:p>
    <w:bookmarkEnd w:id="35"/>
    <w:p>
      <w:pPr>
        <w:pStyle w:val="5"/>
        <w:numPr>
          <w:ilvl w:val="0"/>
          <w:numId w:val="12"/>
        </w:numPr>
        <w:rPr>
          <w:rFonts w:ascii="宋体" w:hAnsi="宋体" w:eastAsia="宋体" w:cs="宋体"/>
        </w:rPr>
      </w:pPr>
      <w:bookmarkStart w:id="37" w:name="_Toc3685"/>
      <w:r>
        <w:rPr>
          <w:rFonts w:hint="eastAsia" w:ascii="宋体" w:hAnsi="宋体" w:eastAsia="宋体" w:cs="宋体"/>
        </w:rPr>
        <w:t>响应文件递交</w:t>
      </w:r>
      <w:bookmarkEnd w:id="37"/>
    </w:p>
    <w:p>
      <w:pPr>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1.1 供应商应当在谈判文件要求提交响应文件的截止时间前，将响应文件密封送达响应地点。采购代理机构收到响应文件后，应当如实记载响应文件的送达时间和密封情况，签收保存，并向供应商出具签收回执。任何单位和个人不得在谈判前开启响应文件。代理机构项目承办人在谈判文件规定的响应文件递交截止时间前，只负责响应文件的接收、清点、造册登记工作，并请供应商代表签字确认，对其有效性不负任何责任。</w:t>
      </w:r>
    </w:p>
    <w:p>
      <w:pPr>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1.2逾期送达或者未按照谈判文件要求密封的响应文件，采购代理机构应当拒收。</w:t>
      </w:r>
    </w:p>
    <w:p>
      <w:pPr>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1.3代理机构不接受邮寄的响应文件。</w:t>
      </w:r>
    </w:p>
    <w:p>
      <w:pPr>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1.4 无论供应商成交与否，其响应文件恕不退还。</w:t>
      </w:r>
    </w:p>
    <w:p/>
    <w:p>
      <w:pPr>
        <w:pStyle w:val="5"/>
        <w:numPr>
          <w:ilvl w:val="0"/>
          <w:numId w:val="12"/>
        </w:numPr>
        <w:rPr>
          <w:rFonts w:ascii="宋体" w:hAnsi="宋体" w:eastAsia="宋体" w:cs="宋体"/>
        </w:rPr>
      </w:pPr>
      <w:bookmarkStart w:id="38" w:name="_Toc12741"/>
      <w:r>
        <w:rPr>
          <w:rFonts w:hint="eastAsia" w:ascii="宋体" w:hAnsi="宋体" w:eastAsia="宋体" w:cs="宋体"/>
        </w:rPr>
        <w:t>响应文件的修改和撤回</w:t>
      </w:r>
      <w:bookmarkEnd w:id="38"/>
    </w:p>
    <w:p>
      <w:pPr>
        <w:widowControl/>
        <w:tabs>
          <w:tab w:val="left" w:pos="0"/>
        </w:tabs>
        <w:spacing w:line="4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在谈判截止时间之后，供应商不得对其递交的响应文件做任何修改或撤回。</w:t>
      </w:r>
    </w:p>
    <w:p>
      <w:pPr>
        <w:pStyle w:val="4"/>
        <w:numPr>
          <w:ilvl w:val="0"/>
          <w:numId w:val="5"/>
        </w:numPr>
        <w:rPr>
          <w:rFonts w:ascii="宋体" w:hAnsi="宋体" w:cs="宋体"/>
        </w:rPr>
      </w:pPr>
      <w:bookmarkStart w:id="39" w:name="_Toc27066"/>
      <w:bookmarkStart w:id="40" w:name="_Toc14415"/>
      <w:bookmarkStart w:id="41" w:name="_Toc5225"/>
      <w:r>
        <w:rPr>
          <w:rFonts w:hint="eastAsia" w:ascii="宋体" w:hAnsi="宋体" w:cs="宋体"/>
        </w:rPr>
        <w:t>谈判、评审、定标</w:t>
      </w:r>
      <w:bookmarkEnd w:id="39"/>
      <w:bookmarkEnd w:id="40"/>
      <w:bookmarkEnd w:id="41"/>
    </w:p>
    <w:p>
      <w:pPr>
        <w:pStyle w:val="5"/>
        <w:numPr>
          <w:ilvl w:val="0"/>
          <w:numId w:val="13"/>
        </w:numPr>
        <w:ind w:left="420" w:leftChars="0" w:firstLineChars="0"/>
        <w:rPr>
          <w:rFonts w:ascii="宋体" w:hAnsi="宋体" w:eastAsia="宋体" w:cs="宋体"/>
        </w:rPr>
      </w:pPr>
      <w:r>
        <w:rPr>
          <w:rFonts w:hint="eastAsia" w:ascii="宋体" w:hAnsi="宋体" w:eastAsia="宋体" w:cs="宋体"/>
        </w:rPr>
        <w:t>谈判</w:t>
      </w:r>
    </w:p>
    <w:p>
      <w:pPr>
        <w:widowControl/>
        <w:tabs>
          <w:tab w:val="left" w:pos="0"/>
        </w:tabs>
        <w:spacing w:line="50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1.1 采购代理机构按谈判公告中规定的时间和地点接收供应商递交的响应文件，主持谈判会议，邀请供应商代表参加。</w:t>
      </w:r>
    </w:p>
    <w:p>
      <w:pPr>
        <w:widowControl/>
        <w:tabs>
          <w:tab w:val="left" w:pos="0"/>
        </w:tabs>
        <w:spacing w:line="500" w:lineRule="exact"/>
        <w:ind w:firstLine="480" w:firstLineChars="200"/>
        <w:jc w:val="left"/>
        <w:rPr>
          <w:rFonts w:ascii="宋体" w:hAnsi="宋体" w:eastAsia="宋体" w:cs="宋体"/>
          <w:sz w:val="24"/>
        </w:rPr>
      </w:pPr>
      <w:r>
        <w:rPr>
          <w:rFonts w:hint="eastAsia" w:ascii="宋体" w:hAnsi="宋体" w:eastAsia="宋体" w:cs="宋体"/>
          <w:sz w:val="24"/>
          <w:szCs w:val="24"/>
        </w:rPr>
        <w:t>1.2 谈判时，由供应商或者其推选的代表检查响应文件的密封情况；经确认无误后，由采购代理机构工作人员拆封。代理机构指定专人负责将供应商的名称、谈判项目名称、响应价格等进行记录，并存档备案。</w:t>
      </w:r>
    </w:p>
    <w:p>
      <w:pPr>
        <w:tabs>
          <w:tab w:val="left" w:pos="0"/>
        </w:tabs>
        <w:spacing w:line="360" w:lineRule="auto"/>
        <w:ind w:left="420"/>
        <w:jc w:val="left"/>
        <w:rPr>
          <w:rFonts w:ascii="宋体" w:hAnsi="宋体" w:eastAsia="宋体" w:cs="宋体"/>
          <w:kern w:val="0"/>
          <w:sz w:val="24"/>
        </w:rPr>
      </w:pPr>
      <w:r>
        <w:rPr>
          <w:rFonts w:hint="eastAsia" w:ascii="宋体" w:hAnsi="宋体" w:eastAsia="宋体" w:cs="宋体"/>
          <w:kern w:val="0"/>
          <w:sz w:val="24"/>
        </w:rPr>
        <w:t>1.3谈判时，响应文件中出现下列情况，修正原则为：</w:t>
      </w:r>
    </w:p>
    <w:p>
      <w:pPr>
        <w:numPr>
          <w:ilvl w:val="0"/>
          <w:numId w:val="14"/>
        </w:numPr>
        <w:spacing w:line="500" w:lineRule="exact"/>
        <w:ind w:left="5" w:firstLine="415"/>
        <w:jc w:val="left"/>
        <w:rPr>
          <w:rFonts w:ascii="宋体" w:hAnsi="宋体" w:eastAsia="宋体" w:cs="宋体"/>
          <w:sz w:val="24"/>
          <w:szCs w:val="24"/>
        </w:rPr>
      </w:pPr>
      <w:r>
        <w:rPr>
          <w:rFonts w:hint="eastAsia" w:ascii="宋体" w:hAnsi="宋体" w:eastAsia="宋体" w:cs="宋体"/>
          <w:sz w:val="24"/>
          <w:szCs w:val="24"/>
        </w:rPr>
        <w:t>谈判文件中响应一览表（报价表）内容与响应文件中相应内容不一致的，以响应一览表（报价表）为准；</w:t>
      </w:r>
    </w:p>
    <w:p>
      <w:pPr>
        <w:numPr>
          <w:ilvl w:val="0"/>
          <w:numId w:val="14"/>
        </w:numPr>
        <w:spacing w:line="500" w:lineRule="exact"/>
        <w:ind w:left="5" w:firstLine="415"/>
        <w:jc w:val="left"/>
        <w:rPr>
          <w:rFonts w:ascii="宋体" w:hAnsi="宋体" w:eastAsia="宋体" w:cs="宋体"/>
          <w:sz w:val="24"/>
          <w:szCs w:val="24"/>
        </w:rPr>
      </w:pPr>
      <w:r>
        <w:rPr>
          <w:rFonts w:hint="eastAsia" w:ascii="宋体" w:hAnsi="宋体" w:eastAsia="宋体" w:cs="宋体"/>
          <w:sz w:val="24"/>
          <w:szCs w:val="24"/>
        </w:rPr>
        <w:t>大写金额和小写金额不一致的，以大写金额为准；</w:t>
      </w:r>
    </w:p>
    <w:p>
      <w:pPr>
        <w:numPr>
          <w:ilvl w:val="0"/>
          <w:numId w:val="14"/>
        </w:numPr>
        <w:spacing w:line="500" w:lineRule="exact"/>
        <w:ind w:left="5" w:firstLine="415"/>
        <w:jc w:val="left"/>
        <w:rPr>
          <w:rFonts w:ascii="宋体" w:hAnsi="宋体" w:eastAsia="宋体" w:cs="宋体"/>
          <w:sz w:val="24"/>
          <w:szCs w:val="24"/>
        </w:rPr>
      </w:pPr>
      <w:r>
        <w:rPr>
          <w:rFonts w:hint="eastAsia" w:ascii="宋体" w:hAnsi="宋体" w:eastAsia="宋体" w:cs="宋体"/>
          <w:sz w:val="24"/>
          <w:szCs w:val="24"/>
        </w:rPr>
        <w:t>单价金额小数点或者百分比有明显错位的，以响应一览表的总价为准，并修改单价；</w:t>
      </w:r>
    </w:p>
    <w:p>
      <w:pPr>
        <w:numPr>
          <w:ilvl w:val="0"/>
          <w:numId w:val="14"/>
        </w:numPr>
        <w:spacing w:line="500" w:lineRule="exact"/>
        <w:ind w:left="5" w:firstLine="415"/>
        <w:jc w:val="left"/>
        <w:rPr>
          <w:rFonts w:ascii="宋体" w:hAnsi="宋体" w:eastAsia="宋体" w:cs="宋体"/>
          <w:sz w:val="24"/>
          <w:szCs w:val="24"/>
        </w:rPr>
      </w:pPr>
      <w:r>
        <w:rPr>
          <w:rFonts w:hint="eastAsia" w:ascii="宋体" w:hAnsi="宋体" w:eastAsia="宋体" w:cs="宋体"/>
          <w:sz w:val="24"/>
          <w:szCs w:val="24"/>
        </w:rPr>
        <w:t xml:space="preserve">总价金额与按单价汇总金额不一致的，以单价金额计算结果为准； </w:t>
      </w:r>
    </w:p>
    <w:p>
      <w:pPr>
        <w:numPr>
          <w:ilvl w:val="0"/>
          <w:numId w:val="14"/>
        </w:numPr>
        <w:spacing w:line="500" w:lineRule="exact"/>
        <w:ind w:left="5" w:firstLine="415"/>
        <w:jc w:val="left"/>
        <w:rPr>
          <w:rFonts w:ascii="宋体" w:hAnsi="宋体" w:eastAsia="宋体" w:cs="宋体"/>
          <w:sz w:val="24"/>
          <w:szCs w:val="24"/>
        </w:rPr>
      </w:pPr>
      <w:r>
        <w:rPr>
          <w:rFonts w:hint="eastAsia" w:ascii="宋体" w:hAnsi="宋体" w:eastAsia="宋体" w:cs="宋体"/>
          <w:sz w:val="24"/>
          <w:szCs w:val="24"/>
        </w:rPr>
        <w:t>响应文件正本与副本不一致的，以正本为准；</w:t>
      </w:r>
    </w:p>
    <w:p>
      <w:pPr>
        <w:numPr>
          <w:ilvl w:val="0"/>
          <w:numId w:val="14"/>
        </w:numPr>
        <w:spacing w:line="500" w:lineRule="exact"/>
        <w:ind w:left="5" w:firstLine="415"/>
        <w:jc w:val="left"/>
        <w:rPr>
          <w:rFonts w:ascii="宋体" w:hAnsi="宋体" w:eastAsia="宋体" w:cs="宋体"/>
          <w:sz w:val="24"/>
          <w:szCs w:val="24"/>
        </w:rPr>
      </w:pPr>
      <w:r>
        <w:rPr>
          <w:rFonts w:hint="eastAsia" w:ascii="宋体" w:hAnsi="宋体" w:eastAsia="宋体" w:cs="宋体"/>
          <w:sz w:val="24"/>
          <w:szCs w:val="24"/>
        </w:rPr>
        <w:t>响应文件单独密封递交的响应一览表与正本不一致的，以单独密封递交的响应一览表为准；</w:t>
      </w:r>
    </w:p>
    <w:p>
      <w:pPr>
        <w:spacing w:line="500" w:lineRule="exact"/>
        <w:ind w:firstLine="480" w:firstLineChars="200"/>
        <w:jc w:val="left"/>
        <w:rPr>
          <w:rFonts w:ascii="宋体" w:hAnsi="宋体" w:eastAsia="宋体" w:cs="宋体"/>
          <w:sz w:val="24"/>
          <w:szCs w:val="24"/>
        </w:rPr>
      </w:pPr>
      <w:r>
        <w:rPr>
          <w:rFonts w:hint="eastAsia" w:ascii="宋体" w:hAnsi="宋体" w:eastAsia="宋体" w:cs="宋体"/>
          <w:kern w:val="0"/>
          <w:sz w:val="24"/>
          <w:szCs w:val="24"/>
        </w:rPr>
        <w:t>同时出现两种以上不一致的，按照前款规定的顺序修正。修正后的报价按照《政府采购货物和服务招标投标管理办法》第五十一条第二款的规定经供应商确认后产生约束力，供应商不确认的，其响应无效。</w:t>
      </w:r>
    </w:p>
    <w:p>
      <w:pPr>
        <w:pStyle w:val="5"/>
        <w:numPr>
          <w:ilvl w:val="0"/>
          <w:numId w:val="13"/>
        </w:numPr>
        <w:ind w:left="420" w:leftChars="0" w:firstLineChars="0"/>
        <w:rPr>
          <w:rFonts w:ascii="宋体" w:hAnsi="宋体" w:eastAsia="宋体" w:cs="宋体"/>
        </w:rPr>
      </w:pPr>
      <w:r>
        <w:rPr>
          <w:rFonts w:hint="eastAsia" w:ascii="宋体" w:hAnsi="宋体" w:eastAsia="宋体" w:cs="宋体"/>
        </w:rPr>
        <w:t>谈判小组</w:t>
      </w:r>
    </w:p>
    <w:p>
      <w:pPr>
        <w:widowControl/>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采购人将根据本次采购项目的特点，参照《中华人民共和国政府采购法》等有关规定组建谈判小组。</w:t>
      </w:r>
    </w:p>
    <w:p>
      <w:pPr>
        <w:widowControl/>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谈判小组由采购人代表和有关技术、经济等方面的专家组成，谈判小组产生方式符合国家和地方有关评审专家产生方式的规定。谈判小组负责评审活动。</w:t>
      </w:r>
    </w:p>
    <w:p>
      <w:pPr>
        <w:widowControl/>
        <w:spacing w:line="360" w:lineRule="auto"/>
        <w:ind w:firstLine="480" w:firstLineChars="200"/>
        <w:rPr>
          <w:rFonts w:ascii="宋体" w:hAnsi="宋体" w:eastAsia="宋体" w:cs="宋体"/>
          <w:b/>
          <w:sz w:val="24"/>
          <w:szCs w:val="24"/>
        </w:rPr>
      </w:pPr>
      <w:r>
        <w:rPr>
          <w:rFonts w:hint="eastAsia" w:ascii="宋体" w:hAnsi="宋体" w:eastAsia="宋体" w:cs="宋体"/>
          <w:kern w:val="0"/>
          <w:sz w:val="24"/>
        </w:rPr>
        <w:t>谈判小组对各供应商的响应文件进行审查、评估和比较，并推荐成交候选人。</w:t>
      </w:r>
    </w:p>
    <w:p>
      <w:pPr>
        <w:pStyle w:val="5"/>
        <w:numPr>
          <w:ilvl w:val="0"/>
          <w:numId w:val="13"/>
        </w:numPr>
        <w:ind w:left="420" w:leftChars="0" w:firstLineChars="0"/>
        <w:rPr>
          <w:rFonts w:ascii="宋体" w:hAnsi="宋体" w:eastAsia="宋体" w:cs="宋体"/>
        </w:rPr>
      </w:pPr>
      <w:bookmarkStart w:id="42" w:name="_Toc386129876"/>
      <w:bookmarkStart w:id="43" w:name="_Toc385958808"/>
      <w:bookmarkStart w:id="44" w:name="_Toc28085"/>
      <w:bookmarkStart w:id="45" w:name="_Toc27940"/>
      <w:r>
        <w:rPr>
          <w:rFonts w:hint="eastAsia" w:ascii="宋体" w:hAnsi="宋体" w:eastAsia="宋体" w:cs="宋体"/>
        </w:rPr>
        <w:t>响应文件初审</w:t>
      </w:r>
      <w:bookmarkEnd w:id="42"/>
      <w:bookmarkEnd w:id="43"/>
      <w:bookmarkEnd w:id="44"/>
      <w:bookmarkEnd w:id="45"/>
    </w:p>
    <w:p>
      <w:pPr>
        <w:numPr>
          <w:ilvl w:val="0"/>
          <w:numId w:val="15"/>
        </w:numPr>
        <w:overflowPunct w:val="0"/>
        <w:adjustRightInd w:val="0"/>
        <w:snapToGrid w:val="0"/>
        <w:spacing w:line="360" w:lineRule="auto"/>
        <w:rPr>
          <w:rFonts w:ascii="宋体" w:hAnsi="宋体" w:eastAsia="宋体" w:cs="宋体"/>
          <w:kern w:val="0"/>
          <w:sz w:val="24"/>
        </w:rPr>
      </w:pPr>
      <w:r>
        <w:rPr>
          <w:rFonts w:hint="eastAsia" w:ascii="宋体" w:hAnsi="宋体" w:eastAsia="宋体" w:cs="宋体"/>
          <w:kern w:val="0"/>
          <w:sz w:val="24"/>
        </w:rPr>
        <w:t>响应文件的资格性审查</w:t>
      </w:r>
    </w:p>
    <w:p>
      <w:pPr>
        <w:overflowPunct w:val="0"/>
        <w:adjustRightInd w:val="0"/>
        <w:snapToGri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依据法律法规和竞争性谈判文件的规定，</w:t>
      </w:r>
      <w:r>
        <w:rPr>
          <w:rFonts w:hint="eastAsia" w:ascii="宋体" w:hAnsi="宋体" w:eastAsia="宋体" w:cs="宋体"/>
          <w:kern w:val="0"/>
          <w:sz w:val="24"/>
          <w:lang w:eastAsia="zh-CN"/>
        </w:rPr>
        <w:t>采购人或采购代理机构</w:t>
      </w:r>
      <w:r>
        <w:rPr>
          <w:rFonts w:hint="eastAsia" w:ascii="宋体" w:hAnsi="宋体" w:eastAsia="宋体" w:cs="宋体"/>
          <w:kern w:val="0"/>
          <w:sz w:val="24"/>
        </w:rPr>
        <w:t>对响应文件中的资格证明文件等进行审查，以确保供应商是否具备相应资格。</w:t>
      </w:r>
    </w:p>
    <w:p>
      <w:pPr>
        <w:numPr>
          <w:ilvl w:val="0"/>
          <w:numId w:val="15"/>
        </w:numPr>
        <w:overflowPunct w:val="0"/>
        <w:adjustRightInd w:val="0"/>
        <w:snapToGrid w:val="0"/>
        <w:spacing w:line="360" w:lineRule="auto"/>
        <w:rPr>
          <w:rFonts w:ascii="宋体" w:hAnsi="宋体" w:eastAsia="宋体" w:cs="宋体"/>
          <w:kern w:val="0"/>
          <w:sz w:val="24"/>
        </w:rPr>
      </w:pPr>
      <w:r>
        <w:rPr>
          <w:rFonts w:hint="eastAsia" w:ascii="宋体" w:hAnsi="宋体" w:eastAsia="宋体" w:cs="宋体"/>
          <w:kern w:val="0"/>
          <w:sz w:val="24"/>
        </w:rPr>
        <w:t>响应文件符合性审查</w:t>
      </w:r>
    </w:p>
    <w:p>
      <w:pPr>
        <w:pStyle w:val="8"/>
        <w:snapToGrid w:val="0"/>
        <w:spacing w:line="360" w:lineRule="auto"/>
        <w:ind w:firstLine="480" w:firstLineChars="200"/>
        <w:rPr>
          <w:rFonts w:hAnsi="宋体" w:cs="宋体"/>
          <w:kern w:val="0"/>
          <w:sz w:val="24"/>
          <w:szCs w:val="24"/>
        </w:rPr>
      </w:pPr>
      <w:r>
        <w:rPr>
          <w:rFonts w:hint="eastAsia" w:hAnsi="宋体" w:cs="宋体"/>
          <w:color w:val="000000"/>
          <w:kern w:val="0"/>
          <w:sz w:val="24"/>
          <w:szCs w:val="24"/>
        </w:rPr>
        <w:t>谈判小组应当对符合资格的供应商的响应文件进行符合性审查，以确定其是否满足谈判文件的实质性要求。符合性审查内容详见供应商须知前附表。</w:t>
      </w:r>
    </w:p>
    <w:p>
      <w:pPr>
        <w:overflowPunct w:val="0"/>
        <w:adjustRightInd w:val="0"/>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（3）有下列情形之一的，视为供应商串通响应，其响应无效：</w:t>
      </w:r>
    </w:p>
    <w:p>
      <w:pPr>
        <w:pStyle w:val="18"/>
        <w:spacing w:after="210" w:afterAutospacing="0" w:line="27" w:lineRule="atLeast"/>
        <w:jc w:val="both"/>
      </w:pPr>
      <w:r>
        <w:rPr>
          <w:rFonts w:hint="eastAsia"/>
        </w:rPr>
        <w:t>　　（一）不同供应商的响应文件由同一单位或者个人编制；</w:t>
      </w:r>
    </w:p>
    <w:p>
      <w:pPr>
        <w:pStyle w:val="18"/>
        <w:spacing w:after="210" w:afterAutospacing="0" w:line="27" w:lineRule="atLeast"/>
        <w:jc w:val="both"/>
      </w:pPr>
      <w:r>
        <w:rPr>
          <w:rFonts w:hint="eastAsia"/>
        </w:rPr>
        <w:t>　　（二）不同供应商委托同一单位或者个人办理投标事宜；</w:t>
      </w:r>
    </w:p>
    <w:p>
      <w:pPr>
        <w:pStyle w:val="18"/>
        <w:spacing w:after="210" w:afterAutospacing="0" w:line="27" w:lineRule="atLeast"/>
        <w:jc w:val="both"/>
      </w:pPr>
      <w:r>
        <w:rPr>
          <w:rFonts w:hint="eastAsia"/>
        </w:rPr>
        <w:t>　　（三）不同供应商的响应文件载明的项目管理成员或者联系人员为同一人；</w:t>
      </w:r>
    </w:p>
    <w:p>
      <w:pPr>
        <w:pStyle w:val="18"/>
        <w:spacing w:after="210" w:afterAutospacing="0" w:line="27" w:lineRule="atLeast"/>
        <w:jc w:val="both"/>
      </w:pPr>
      <w:r>
        <w:rPr>
          <w:rFonts w:hint="eastAsia"/>
        </w:rPr>
        <w:t>　　（四）不同供应商的响应文件异常一致或者投标报价呈规律性差异；</w:t>
      </w:r>
    </w:p>
    <w:p>
      <w:pPr>
        <w:pStyle w:val="18"/>
        <w:spacing w:after="210" w:afterAutospacing="0" w:line="27" w:lineRule="atLeast"/>
        <w:jc w:val="both"/>
      </w:pPr>
      <w:r>
        <w:rPr>
          <w:rFonts w:hint="eastAsia"/>
        </w:rPr>
        <w:t>　　（五）不同供应商的响应文件相互混装；</w:t>
      </w:r>
    </w:p>
    <w:p>
      <w:pPr>
        <w:overflowPunct w:val="0"/>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（六）不同供应商的投标保证金从同一单位或者个人的账户转出。</w:t>
      </w:r>
    </w:p>
    <w:p>
      <w:pPr>
        <w:tabs>
          <w:tab w:val="left" w:pos="0"/>
        </w:tabs>
        <w:spacing w:line="500" w:lineRule="exact"/>
        <w:ind w:firstLine="480" w:firstLineChars="200"/>
        <w:jc w:val="left"/>
        <w:rPr>
          <w:rFonts w:ascii="宋体" w:hAnsi="宋体" w:cs="宋体"/>
          <w:sz w:val="24"/>
          <w:szCs w:val="24"/>
        </w:rPr>
      </w:pPr>
      <w:r>
        <w:rPr>
          <w:rFonts w:hint="eastAsia" w:ascii="宋体" w:hAnsi="宋体" w:cs="宋体"/>
          <w:sz w:val="24"/>
          <w:szCs w:val="24"/>
        </w:rPr>
        <w:t>（4）对通过审查的，被认为其响应文件完整、合格，响应有效，可进入下阶段的谈判。</w:t>
      </w:r>
    </w:p>
    <w:p>
      <w:pPr>
        <w:pStyle w:val="5"/>
        <w:numPr>
          <w:ilvl w:val="0"/>
          <w:numId w:val="13"/>
        </w:numPr>
        <w:ind w:left="420" w:leftChars="0" w:firstLineChars="0"/>
        <w:rPr>
          <w:rFonts w:ascii="宋体" w:hAnsi="宋体" w:eastAsia="宋体" w:cs="宋体"/>
        </w:rPr>
      </w:pPr>
      <w:bookmarkStart w:id="46" w:name="_Toc17705"/>
      <w:r>
        <w:rPr>
          <w:rFonts w:hint="eastAsia" w:ascii="宋体" w:hAnsi="宋体" w:eastAsia="宋体" w:cs="宋体"/>
        </w:rPr>
        <w:t>响应文件澄清</w:t>
      </w:r>
      <w:bookmarkEnd w:id="46"/>
    </w:p>
    <w:p>
      <w:pPr>
        <w:overflowPunct w:val="0"/>
        <w:adjustRightInd w:val="0"/>
        <w:snapToGrid w:val="0"/>
        <w:spacing w:line="360" w:lineRule="auto"/>
        <w:ind w:firstLine="480" w:firstLineChars="200"/>
        <w:rPr>
          <w:rFonts w:ascii="宋体" w:hAnsi="宋体" w:eastAsia="宋体" w:cs="宋体"/>
          <w:sz w:val="24"/>
        </w:rPr>
      </w:pPr>
      <w:bookmarkStart w:id="47" w:name="_Toc8353"/>
      <w:r>
        <w:rPr>
          <w:rFonts w:hint="eastAsia" w:ascii="宋体" w:hAnsi="宋体" w:eastAsia="宋体" w:cs="宋体"/>
          <w:sz w:val="24"/>
        </w:rPr>
        <w:t>在评审期间,采购代理机构可根据谈判小组对其响应文件有疑义不清楚的内容，要求供应商对其响应文件进行澄清，有关澄清的要求和答复应以书面形式提交，</w:t>
      </w:r>
      <w:r>
        <w:rPr>
          <w:rFonts w:hint="eastAsia" w:ascii="宋体" w:hAnsi="宋体" w:eastAsia="宋体" w:cs="宋体"/>
          <w:sz w:val="24"/>
          <w:szCs w:val="24"/>
        </w:rPr>
        <w:t>如谈判小组未变动实质性采购需求，供应商</w:t>
      </w:r>
      <w:r>
        <w:rPr>
          <w:rFonts w:hint="eastAsia" w:ascii="宋体" w:hAnsi="宋体" w:eastAsia="宋体" w:cs="宋体"/>
          <w:sz w:val="24"/>
        </w:rPr>
        <w:t>不得对实质性内容进行变动。</w:t>
      </w:r>
    </w:p>
    <w:p>
      <w:pPr>
        <w:spacing w:line="360" w:lineRule="auto"/>
        <w:ind w:firstLine="480" w:firstLineChars="200"/>
        <w:rPr>
          <w:rFonts w:ascii="宋体" w:hAnsi="宋体" w:eastAsia="宋体" w:cs="宋体"/>
          <w:kern w:val="0"/>
          <w:sz w:val="32"/>
          <w:szCs w:val="32"/>
        </w:rPr>
      </w:pPr>
      <w:r>
        <w:rPr>
          <w:rFonts w:hint="eastAsia" w:ascii="宋体" w:hAnsi="宋体" w:eastAsia="宋体" w:cs="宋体"/>
          <w:sz w:val="24"/>
        </w:rPr>
        <w:t>供应商应采用书面形式进行澄清或说明，但不得超出响应文件的范围或改变响应文件的实质性内容。</w:t>
      </w:r>
    </w:p>
    <w:p>
      <w:pPr>
        <w:pStyle w:val="5"/>
        <w:numPr>
          <w:ilvl w:val="0"/>
          <w:numId w:val="13"/>
        </w:numPr>
        <w:ind w:left="420" w:leftChars="0" w:firstLineChars="0"/>
        <w:rPr>
          <w:rFonts w:ascii="宋体" w:hAnsi="宋体" w:eastAsia="宋体" w:cs="宋体"/>
        </w:rPr>
      </w:pPr>
      <w:r>
        <w:rPr>
          <w:rFonts w:hint="eastAsia" w:ascii="宋体" w:hAnsi="宋体" w:eastAsia="宋体" w:cs="宋体"/>
        </w:rPr>
        <w:t>评</w:t>
      </w:r>
      <w:bookmarkEnd w:id="47"/>
      <w:r>
        <w:rPr>
          <w:rFonts w:hint="eastAsia" w:ascii="宋体" w:hAnsi="宋体" w:eastAsia="宋体" w:cs="宋体"/>
        </w:rPr>
        <w:t>审</w:t>
      </w:r>
    </w:p>
    <w:p>
      <w:pPr>
        <w:widowControl/>
        <w:spacing w:line="360" w:lineRule="auto"/>
        <w:ind w:firstLine="480" w:firstLineChars="200"/>
        <w:jc w:val="left"/>
        <w:rPr>
          <w:rFonts w:ascii="宋体" w:hAnsi="宋体" w:eastAsia="宋体" w:cs="宋体"/>
          <w:sz w:val="24"/>
        </w:rPr>
      </w:pPr>
      <w:r>
        <w:rPr>
          <w:rFonts w:hint="eastAsia" w:ascii="宋体" w:hAnsi="宋体" w:eastAsia="宋体" w:cs="宋体"/>
          <w:sz w:val="24"/>
        </w:rPr>
        <w:t>5.1、谈判小组有权对在谈判、评审过程中出现的一切问题，根据《中华人民共和国政府采购法》和《政府采购非招标采购方式管理办法》的条款，本着公开、公平、公正的原则进行处理。</w:t>
      </w:r>
    </w:p>
    <w:p>
      <w:pPr>
        <w:widowControl/>
        <w:spacing w:line="360" w:lineRule="auto"/>
        <w:ind w:firstLine="480" w:firstLineChars="200"/>
        <w:jc w:val="left"/>
        <w:rPr>
          <w:rFonts w:hint="eastAsia" w:ascii="宋体" w:hAnsi="宋体" w:eastAsia="宋体" w:cs="宋体"/>
          <w:sz w:val="24"/>
          <w:lang w:eastAsia="zh-CN"/>
        </w:rPr>
      </w:pPr>
      <w:r>
        <w:rPr>
          <w:rFonts w:hint="eastAsia" w:ascii="宋体" w:hAnsi="宋体" w:eastAsia="宋体" w:cs="宋体"/>
          <w:sz w:val="24"/>
        </w:rPr>
        <w:t>5.2、依据《中华人民共和国政府采购法》和《中华人民共和国政府采购法实施条例》的有关规定，落实政府采购“优先购买节能环保产品，扶持小微企业、监狱企业、福利企业”等相关政策</w:t>
      </w:r>
      <w:r>
        <w:rPr>
          <w:rFonts w:hint="eastAsia" w:ascii="宋体" w:hAnsi="宋体" w:eastAsia="宋体" w:cs="宋体"/>
          <w:sz w:val="24"/>
          <w:lang w:eastAsia="zh-CN"/>
        </w:rPr>
        <w:t>。</w:t>
      </w:r>
    </w:p>
    <w:p>
      <w:pPr>
        <w:spacing w:line="360" w:lineRule="auto"/>
        <w:ind w:firstLine="480" w:firstLineChars="200"/>
        <w:rPr>
          <w:rFonts w:ascii="宋体" w:hAnsi="宋体" w:eastAsia="宋体" w:cs="宋体"/>
          <w:sz w:val="24"/>
        </w:rPr>
      </w:pPr>
      <w:r>
        <w:rPr>
          <w:rFonts w:hint="eastAsia" w:ascii="宋体" w:hAnsi="宋体" w:eastAsia="宋体" w:cs="宋体"/>
          <w:sz w:val="24"/>
        </w:rPr>
        <w:t>5.3、谈判流程</w:t>
      </w:r>
    </w:p>
    <w:p>
      <w:pPr>
        <w:spacing w:line="360" w:lineRule="auto"/>
        <w:ind w:firstLine="480" w:firstLineChars="200"/>
        <w:rPr>
          <w:rFonts w:ascii="宋体" w:hAnsi="宋体" w:eastAsia="宋体" w:cs="宋体"/>
          <w:sz w:val="24"/>
        </w:rPr>
      </w:pPr>
      <w:r>
        <w:rPr>
          <w:rFonts w:hint="eastAsia" w:ascii="宋体" w:hAnsi="宋体" w:eastAsia="宋体" w:cs="宋体"/>
          <w:sz w:val="24"/>
        </w:rPr>
        <w:t>只有通过</w:t>
      </w:r>
      <w:r>
        <w:rPr>
          <w:rFonts w:hint="eastAsia" w:ascii="宋体" w:hAnsi="宋体" w:eastAsia="宋体" w:cs="宋体"/>
          <w:sz w:val="24"/>
          <w:lang w:eastAsia="zh-CN"/>
        </w:rPr>
        <w:t>资格性审查和</w:t>
      </w:r>
      <w:r>
        <w:rPr>
          <w:rFonts w:hint="eastAsia" w:ascii="宋体" w:hAnsi="宋体" w:eastAsia="宋体" w:cs="宋体"/>
          <w:sz w:val="24"/>
        </w:rPr>
        <w:t>符合性审查的供应商，才能进入第二阶段的谈判，否则被淘汰。</w:t>
      </w:r>
    </w:p>
    <w:p>
      <w:pPr>
        <w:spacing w:line="360" w:lineRule="auto"/>
        <w:ind w:firstLine="600" w:firstLineChars="250"/>
        <w:rPr>
          <w:rFonts w:ascii="宋体" w:hAnsi="宋体" w:eastAsia="宋体" w:cs="宋体"/>
          <w:sz w:val="24"/>
        </w:rPr>
      </w:pPr>
      <w:r>
        <w:rPr>
          <w:rFonts w:hint="eastAsia" w:ascii="宋体" w:hAnsi="宋体" w:eastAsia="宋体" w:cs="宋体"/>
          <w:sz w:val="24"/>
        </w:rPr>
        <w:t>谈判小组所有成员集中与单一供应商分别进行谈判（谈判轮次为一轮），并给予所有参加谈判的供应商平等的谈判机会。在谈判过程中，谈判小组可以根据谈判文件和谈判情况实质性变动采购需求中的技术、服务要求以及合同草案条款，但不得变动谈判文件中的其他内容。实质性变动的内容，须经采购人代表确认。</w:t>
      </w:r>
    </w:p>
    <w:p>
      <w:pPr>
        <w:spacing w:line="360" w:lineRule="auto"/>
        <w:ind w:firstLine="480" w:firstLineChars="200"/>
        <w:rPr>
          <w:rFonts w:ascii="宋体" w:hAnsi="宋体" w:eastAsia="宋体" w:cs="宋体"/>
          <w:sz w:val="24"/>
        </w:rPr>
      </w:pPr>
      <w:r>
        <w:rPr>
          <w:rFonts w:hint="eastAsia" w:ascii="宋体" w:hAnsi="宋体" w:eastAsia="宋体" w:cs="宋体"/>
          <w:sz w:val="24"/>
        </w:rPr>
        <w:t>5.4、</w:t>
      </w:r>
      <w:r>
        <w:rPr>
          <w:rFonts w:hint="eastAsia" w:ascii="宋体" w:hAnsi="宋体" w:eastAsia="宋体" w:cs="宋体"/>
          <w:color w:val="000000"/>
          <w:kern w:val="0"/>
          <w:sz w:val="24"/>
          <w:szCs w:val="24"/>
        </w:rPr>
        <w:t>谈判小组</w:t>
      </w:r>
      <w:r>
        <w:rPr>
          <w:rFonts w:hint="eastAsia" w:ascii="宋体" w:hAnsi="宋体" w:cs="宋体"/>
          <w:color w:val="000000"/>
          <w:kern w:val="0"/>
          <w:sz w:val="24"/>
          <w:szCs w:val="24"/>
        </w:rPr>
        <w:t>认为供应商的报价明显低于</w:t>
      </w:r>
      <w:r>
        <w:rPr>
          <w:rFonts w:hint="eastAsia" w:ascii="宋体" w:hAnsi="宋体" w:cs="宋体"/>
          <w:color w:val="000000"/>
          <w:sz w:val="24"/>
          <w:szCs w:val="24"/>
        </w:rPr>
        <w:t>其他通过符合性审查供应商的报价，有可能影响产品质量或者不能诚信履约的，将要求该供应商在评审现场合理的时间内提供书面说明，必要时提交相关证明材料；供应商不能证明其报价合理性的，谈判小组应当将其作为无效响应处理</w:t>
      </w:r>
      <w:r>
        <w:rPr>
          <w:rFonts w:hint="eastAsia" w:ascii="宋体" w:hAnsi="宋体" w:eastAsia="宋体" w:cs="宋体"/>
          <w:sz w:val="24"/>
        </w:rPr>
        <w:t>。</w:t>
      </w:r>
    </w:p>
    <w:p>
      <w:pPr>
        <w:spacing w:line="360" w:lineRule="auto"/>
        <w:ind w:firstLine="480" w:firstLineChars="200"/>
        <w:rPr>
          <w:rFonts w:ascii="宋体" w:hAnsi="宋体" w:eastAsia="宋体" w:cs="宋体"/>
          <w:sz w:val="24"/>
        </w:rPr>
      </w:pPr>
      <w:r>
        <w:rPr>
          <w:rFonts w:hint="eastAsia" w:ascii="宋体" w:hAnsi="宋体" w:eastAsia="宋体" w:cs="宋体"/>
          <w:sz w:val="24"/>
        </w:rPr>
        <w:t>5.5、对谈判文件作出的实质性变动是谈判文件的有效组成部分，谈判小组应当及时以书面形式同时通知所有参加谈判的供应商。</w:t>
      </w:r>
    </w:p>
    <w:p>
      <w:pPr>
        <w:spacing w:line="360" w:lineRule="auto"/>
        <w:ind w:firstLine="480" w:firstLineChars="200"/>
        <w:rPr>
          <w:rFonts w:ascii="宋体" w:hAnsi="宋体" w:eastAsia="宋体" w:cs="宋体"/>
          <w:sz w:val="24"/>
        </w:rPr>
      </w:pPr>
      <w:r>
        <w:rPr>
          <w:rFonts w:hint="eastAsia" w:ascii="宋体" w:hAnsi="宋体" w:eastAsia="宋体" w:cs="宋体"/>
          <w:sz w:val="24"/>
        </w:rPr>
        <w:t>5.6谈判结束后，谈判小组要求参加谈判的各报价人在规定的时间内集中提交最终报价，除非在谈判中谈判小组调整或修改采购需求内容，否则</w:t>
      </w:r>
      <w:r>
        <w:rPr>
          <w:rFonts w:hint="eastAsia" w:ascii="宋体" w:hAnsi="宋体" w:eastAsia="宋体" w:cs="宋体"/>
          <w:b/>
          <w:bCs/>
          <w:sz w:val="24"/>
        </w:rPr>
        <w:t>采购人不接受高于前面轮次的谈判报价</w:t>
      </w:r>
      <w:r>
        <w:rPr>
          <w:rFonts w:hint="eastAsia" w:ascii="宋体" w:hAnsi="宋体" w:eastAsia="宋体" w:cs="宋体"/>
          <w:sz w:val="24"/>
        </w:rPr>
        <w:t>。</w:t>
      </w:r>
    </w:p>
    <w:p>
      <w:pPr>
        <w:spacing w:line="360" w:lineRule="auto"/>
        <w:ind w:firstLine="480" w:firstLineChars="200"/>
        <w:rPr>
          <w:rFonts w:ascii="宋体" w:hAnsi="宋体" w:eastAsia="宋体" w:cs="宋体"/>
          <w:sz w:val="24"/>
        </w:rPr>
      </w:pPr>
      <w:r>
        <w:rPr>
          <w:rFonts w:hint="eastAsia" w:ascii="宋体" w:hAnsi="宋体" w:eastAsia="宋体" w:cs="宋体"/>
          <w:sz w:val="24"/>
        </w:rPr>
        <w:t>5.7谈判小组按照采购需求、质量和服务相等且报价最低的原则确定成交候选供应商，若出现相同报价的，可再次报价，直至产生唯一最低报价。</w:t>
      </w:r>
    </w:p>
    <w:p>
      <w:pPr>
        <w:pStyle w:val="5"/>
        <w:numPr>
          <w:ilvl w:val="0"/>
          <w:numId w:val="13"/>
        </w:numPr>
        <w:ind w:left="420" w:leftChars="0" w:firstLineChars="0"/>
        <w:rPr>
          <w:rFonts w:ascii="宋体" w:hAnsi="宋体" w:eastAsia="宋体" w:cs="宋体"/>
        </w:rPr>
      </w:pPr>
      <w:bookmarkStart w:id="48" w:name="_Toc12947"/>
      <w:r>
        <w:rPr>
          <w:rFonts w:hint="eastAsia" w:ascii="宋体" w:hAnsi="宋体" w:eastAsia="宋体" w:cs="宋体"/>
        </w:rPr>
        <w:t>定标</w:t>
      </w:r>
      <w:bookmarkEnd w:id="48"/>
    </w:p>
    <w:p>
      <w:pPr>
        <w:spacing w:line="360" w:lineRule="auto"/>
        <w:ind w:firstLine="420" w:firstLineChars="175"/>
        <w:jc w:val="left"/>
        <w:rPr>
          <w:rFonts w:ascii="宋体" w:hAnsi="宋体" w:eastAsia="宋体" w:cs="宋体"/>
          <w:sz w:val="24"/>
        </w:rPr>
      </w:pPr>
      <w:r>
        <w:rPr>
          <w:rFonts w:hint="eastAsia" w:ascii="宋体" w:hAnsi="宋体" w:eastAsia="宋体" w:cs="宋体"/>
          <w:sz w:val="24"/>
        </w:rPr>
        <w:t>代理机构在评审结束后</w:t>
      </w:r>
      <w:r>
        <w:rPr>
          <w:rFonts w:hint="eastAsia" w:ascii="宋体" w:hAnsi="宋体" w:eastAsia="宋体" w:cs="宋体"/>
          <w:sz w:val="24"/>
          <w:lang w:val="en-US" w:eastAsia="zh-CN"/>
        </w:rPr>
        <w:t>1</w:t>
      </w:r>
      <w:r>
        <w:rPr>
          <w:rFonts w:hint="eastAsia" w:ascii="宋体" w:hAnsi="宋体" w:eastAsia="宋体" w:cs="宋体"/>
          <w:sz w:val="24"/>
        </w:rPr>
        <w:t>个工作日内将评审报告送达采购单位，采购单位在收到评审报告后</w:t>
      </w:r>
      <w:r>
        <w:rPr>
          <w:rFonts w:hint="eastAsia" w:ascii="宋体" w:hAnsi="宋体" w:eastAsia="宋体" w:cs="宋体"/>
          <w:sz w:val="24"/>
          <w:lang w:val="en-US" w:eastAsia="zh-CN"/>
        </w:rPr>
        <w:t>4</w:t>
      </w:r>
      <w:r>
        <w:rPr>
          <w:rFonts w:hint="eastAsia" w:ascii="宋体" w:hAnsi="宋体" w:eastAsia="宋体" w:cs="宋体"/>
          <w:sz w:val="24"/>
        </w:rPr>
        <w:t>个工作日内，按照评审报告中推荐的成交候选人顺序确认第一成交候选人为成交单位，同时书面复函代理机构；</w:t>
      </w:r>
    </w:p>
    <w:p>
      <w:pPr>
        <w:spacing w:line="360" w:lineRule="auto"/>
        <w:ind w:firstLine="420" w:firstLineChars="175"/>
        <w:jc w:val="left"/>
        <w:rPr>
          <w:rFonts w:ascii="宋体" w:hAnsi="宋体" w:eastAsia="宋体" w:cs="宋体"/>
          <w:sz w:val="24"/>
        </w:rPr>
      </w:pPr>
      <w:r>
        <w:rPr>
          <w:rFonts w:hint="eastAsia" w:ascii="宋体" w:hAnsi="宋体" w:eastAsia="宋体" w:cs="宋体"/>
          <w:sz w:val="24"/>
        </w:rPr>
        <w:t>代理机构收到采购单位“定标复函”后</w:t>
      </w:r>
      <w:r>
        <w:rPr>
          <w:rFonts w:hint="eastAsia" w:ascii="宋体" w:hAnsi="宋体" w:eastAsia="宋体" w:cs="宋体"/>
          <w:sz w:val="24"/>
          <w:lang w:val="en-US" w:eastAsia="zh-CN"/>
        </w:rPr>
        <w:t>1</w:t>
      </w:r>
      <w:r>
        <w:rPr>
          <w:rFonts w:hint="eastAsia" w:ascii="宋体" w:hAnsi="宋体" w:eastAsia="宋体" w:cs="宋体"/>
          <w:sz w:val="24"/>
        </w:rPr>
        <w:t>日内，在财政部门指定的政府采购信息媒体上发布公告，并向成交供应商发出“成交通知书”。</w:t>
      </w:r>
    </w:p>
    <w:p>
      <w:pPr>
        <w:spacing w:line="360" w:lineRule="auto"/>
        <w:ind w:firstLine="420" w:firstLineChars="175"/>
        <w:jc w:val="left"/>
        <w:rPr>
          <w:rFonts w:ascii="宋体" w:hAnsi="宋体" w:eastAsia="宋体" w:cs="宋体"/>
          <w:sz w:val="24"/>
        </w:rPr>
      </w:pPr>
    </w:p>
    <w:p>
      <w:pPr>
        <w:pStyle w:val="4"/>
        <w:numPr>
          <w:ilvl w:val="0"/>
          <w:numId w:val="5"/>
        </w:numPr>
        <w:rPr>
          <w:rFonts w:ascii="宋体" w:hAnsi="宋体" w:cs="宋体"/>
        </w:rPr>
      </w:pPr>
      <w:bookmarkStart w:id="49" w:name="_Toc25308"/>
      <w:bookmarkStart w:id="50" w:name="_Toc19972"/>
      <w:bookmarkStart w:id="51" w:name="_Toc32331"/>
      <w:r>
        <w:rPr>
          <w:rFonts w:hint="eastAsia" w:ascii="宋体" w:hAnsi="宋体" w:cs="宋体"/>
        </w:rPr>
        <w:t>签订合同</w:t>
      </w:r>
      <w:bookmarkEnd w:id="49"/>
      <w:bookmarkEnd w:id="50"/>
      <w:bookmarkEnd w:id="51"/>
    </w:p>
    <w:p>
      <w:pPr>
        <w:pStyle w:val="7"/>
        <w:spacing w:line="360" w:lineRule="auto"/>
        <w:rPr>
          <w:rFonts w:ascii="宋体" w:hAnsi="宋体" w:cs="宋体"/>
          <w:sz w:val="24"/>
          <w:szCs w:val="24"/>
        </w:rPr>
      </w:pPr>
      <w:bookmarkStart w:id="52" w:name="_Toc26132"/>
      <w:bookmarkStart w:id="53" w:name="_Toc28110"/>
      <w:r>
        <w:rPr>
          <w:rFonts w:hint="eastAsia" w:ascii="宋体" w:hAnsi="宋体" w:cs="宋体"/>
          <w:sz w:val="24"/>
          <w:szCs w:val="24"/>
        </w:rPr>
        <w:t>采购人与中标、成交供应商应当在中标、成交通知书发出之日起三十日内，按照采购文件确定的事项签订政府采购合同。</w:t>
      </w:r>
    </w:p>
    <w:bookmarkEnd w:id="52"/>
    <w:bookmarkEnd w:id="53"/>
    <w:p>
      <w:pPr>
        <w:pStyle w:val="4"/>
        <w:numPr>
          <w:ilvl w:val="0"/>
          <w:numId w:val="5"/>
        </w:numPr>
        <w:rPr>
          <w:rFonts w:ascii="宋体" w:hAnsi="宋体" w:cs="宋体"/>
        </w:rPr>
      </w:pPr>
      <w:bookmarkStart w:id="54" w:name="_Toc14403"/>
      <w:bookmarkStart w:id="55" w:name="_Toc7191"/>
      <w:bookmarkStart w:id="56" w:name="_Toc16019"/>
      <w:bookmarkStart w:id="57" w:name="_Toc21950"/>
      <w:bookmarkStart w:id="58" w:name="_Toc27418"/>
      <w:bookmarkStart w:id="59" w:name="_Toc32056"/>
      <w:r>
        <w:rPr>
          <w:rFonts w:hint="eastAsia" w:ascii="宋体" w:hAnsi="宋体" w:cs="宋体"/>
        </w:rPr>
        <w:t>质疑和投诉</w:t>
      </w:r>
      <w:bookmarkEnd w:id="54"/>
      <w:bookmarkEnd w:id="55"/>
      <w:bookmarkEnd w:id="56"/>
      <w:bookmarkEnd w:id="57"/>
      <w:bookmarkEnd w:id="58"/>
      <w:bookmarkEnd w:id="59"/>
    </w:p>
    <w:p>
      <w:pPr>
        <w:spacing w:line="560" w:lineRule="exact"/>
        <w:ind w:firstLine="480" w:firstLineChars="200"/>
        <w:jc w:val="left"/>
        <w:rPr>
          <w:rFonts w:ascii="宋体" w:hAnsi="宋体" w:cs="宋体"/>
          <w:sz w:val="24"/>
          <w:szCs w:val="24"/>
        </w:rPr>
      </w:pPr>
      <w:bookmarkStart w:id="60" w:name="_Toc3298"/>
      <w:r>
        <w:rPr>
          <w:rFonts w:hint="eastAsia" w:ascii="宋体" w:hAnsi="宋体" w:cs="宋体"/>
          <w:sz w:val="24"/>
          <w:szCs w:val="24"/>
        </w:rPr>
        <w:t>质疑或投诉的接收和处理应当按照《中华人民共和国政府采购法》及其实施条例、《政府采购质疑和投诉办法》、《财政部关于加强政府采购供应商投诉受理审查工作的通知》等的相关规定办理。</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1、供应商认为采购文件、采购过程和中标、成交结果使自己的权益受到损害的，可以在知道或者应知其权益受到损害之日起七个工作日内，以书面形式向采购人或采购代理机构提出质疑，逾期质疑无效。供应商应知其权益受到损害之日，是指：</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1）对采购文件提出质疑的，为收到采购文件之日或者采购文件公告期限届满之日；</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2）对采购过程提出质疑的，为各采购程序环节结束之日；</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3）对中标或者成交结果提出质疑的，为中标或者成交结果公告期限届满之日。</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2、供应商应当在法定质疑期内一次性提出针对同一采购程序环节的质疑。</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3、 质疑函应当包括下列主要内容：</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1）供应商的姓名或者名称、地址、邮编、联系人及联系电话；</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2）质疑项目的名称、编号；</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3）具体、明确的质疑事项和与质疑事项相关的请求；</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4）事实依据；</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5）必要的法律依据；</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6）提出质疑的日期。</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4、供应商可以委托代理人进行质疑和投诉。其授权委托书应当载明代理人的姓名或者名称、代理事项、具体权限、期限和相关事项。供应商为自然人的，应当由本人签字；供应商为法人或者其他组织的，应当由法定代表人、主要负责人，或者其授权代表签字或盖章，并加盖公章。</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代理人提出质疑和投诉，应当提交供应商签署的授权委托书。</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5、质疑函内容不得含有虚假、恶意成份。依照谁主张谁举证的原则，提出质疑者必须同时提交相关确凿的证据材料和注明证据的确切来源，证据来源必须合法，采购人、采购代理机构有权将质疑函转发质疑事项各关联方，请其作出解释说明。对捏造事实、提供虚假材料或者以非法手段取得的证明材料，滥用维权扰乱采购秩序的恶意质疑者，采购人、采购代理机构应当依法驳回。</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 xml:space="preserve">6、质疑函接收方式：由自然人本人或法定代表人或者其授权代表携带书面原件及身份证明原件到现场递交，否则不予受理 。 </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7、 质疑受理部门：陕西卓佲项目管理有限公司。</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 xml:space="preserve">    质疑受理电话：029-88440695。</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8 、提交质疑函地点：西安市雁塔区科技路10号华奥大厦A座</w:t>
      </w:r>
      <w:r>
        <w:rPr>
          <w:rFonts w:hint="eastAsia" w:ascii="宋体" w:hAnsi="宋体" w:cs="宋体"/>
          <w:sz w:val="24"/>
          <w:szCs w:val="24"/>
          <w:lang w:val="en-US" w:eastAsia="zh-CN"/>
        </w:rPr>
        <w:t>20层</w:t>
      </w:r>
      <w:r>
        <w:rPr>
          <w:rFonts w:hint="eastAsia" w:ascii="宋体" w:hAnsi="宋体" w:cs="宋体"/>
          <w:sz w:val="24"/>
          <w:szCs w:val="24"/>
        </w:rPr>
        <w:t>2002室。</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9、 本次采购活动中，采购代理机构对质疑函回复的书面文件的送达方式为现场取件。</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如所质疑的问题比较复杂，采购人或者采购代理机构在规定的答复时间内无法回复，应事先告知提出质疑的供应商，同时向同级政府采购监督管理部门报告。</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10、 质疑供应商对采购人、采购代理机构的答复不满意，或者采购人、采购代理机构未在规定的时间内作出答复的，可以在答复期满后15个工作日内向采购人的同级政府采购监督管理部门投诉。</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11、 质疑函应当使用中文。质疑函范本详见财政部制定的范本即竞争性谈判文件附件六。</w:t>
      </w:r>
    </w:p>
    <w:p>
      <w:pPr>
        <w:rPr>
          <w:rFonts w:ascii="宋体" w:hAnsi="宋体" w:cs="宋体"/>
          <w:sz w:val="24"/>
          <w:szCs w:val="24"/>
        </w:rPr>
      </w:pPr>
    </w:p>
    <w:p>
      <w:r>
        <w:rPr>
          <w:rFonts w:hint="eastAsia"/>
        </w:rPr>
        <w:br w:type="page"/>
      </w:r>
    </w:p>
    <w:bookmarkEnd w:id="60"/>
    <w:p>
      <w:pPr>
        <w:pStyle w:val="3"/>
        <w:pageBreakBefore/>
        <w:rPr>
          <w:rFonts w:ascii="宋体" w:hAnsi="宋体" w:cs="宋体"/>
        </w:rPr>
      </w:pPr>
      <w:bookmarkStart w:id="61" w:name="_Toc13043"/>
      <w:bookmarkStart w:id="62" w:name="_Toc17290"/>
      <w:bookmarkStart w:id="63" w:name="_Toc2234"/>
      <w:r>
        <w:rPr>
          <w:rFonts w:hint="eastAsia" w:ascii="宋体" w:hAnsi="宋体" w:cs="宋体"/>
        </w:rPr>
        <w:t>第四部分  评审标准</w:t>
      </w:r>
      <w:bookmarkEnd w:id="61"/>
    </w:p>
    <w:p>
      <w:pPr>
        <w:rPr>
          <w:rFonts w:ascii="宋体" w:hAnsi="宋体" w:eastAsia="宋体" w:cs="宋体"/>
          <w:sz w:val="24"/>
          <w:szCs w:val="28"/>
        </w:rPr>
      </w:pPr>
      <w:r>
        <w:rPr>
          <w:rFonts w:hint="eastAsia" w:ascii="宋体" w:hAnsi="宋体" w:eastAsia="宋体" w:cs="宋体"/>
          <w:sz w:val="24"/>
          <w:szCs w:val="28"/>
        </w:rPr>
        <w:t>根据符合需求、质量和服务相等且报价最低原则确定成交供应商。</w:t>
      </w:r>
    </w:p>
    <w:p/>
    <w:p>
      <w:pPr>
        <w:spacing w:line="360" w:lineRule="auto"/>
        <w:ind w:firstLine="482" w:firstLineChars="200"/>
        <w:rPr>
          <w:rFonts w:hint="eastAsia" w:ascii="宋体" w:hAnsi="宋体" w:cs="宋体"/>
          <w:b/>
          <w:bCs/>
          <w:sz w:val="24"/>
        </w:rPr>
      </w:pPr>
      <w:bookmarkStart w:id="64" w:name="_Toc262"/>
      <w:r>
        <w:rPr>
          <w:rFonts w:hint="eastAsia" w:ascii="宋体" w:hAnsi="宋体" w:cs="宋体"/>
          <w:b/>
          <w:bCs/>
          <w:sz w:val="24"/>
        </w:rPr>
        <w:t>1</w:t>
      </w:r>
      <w:r>
        <w:rPr>
          <w:rFonts w:hint="eastAsia" w:ascii="宋体" w:hAnsi="宋体" w:cs="宋体"/>
          <w:b/>
          <w:bCs/>
          <w:sz w:val="24"/>
          <w:lang w:val="en-US" w:eastAsia="zh-CN"/>
        </w:rPr>
        <w:t>.</w:t>
      </w:r>
      <w:r>
        <w:rPr>
          <w:rFonts w:hint="eastAsia" w:ascii="宋体" w:hAnsi="宋体" w:cs="宋体"/>
          <w:b/>
          <w:bCs/>
          <w:sz w:val="24"/>
        </w:rPr>
        <w:t>本项目非专门面向中小企业采购。对小型和微型企业、残疾人福利性单位的价格</w:t>
      </w:r>
      <w:r>
        <w:rPr>
          <w:rFonts w:hint="eastAsia" w:ascii="宋体" w:hAnsi="宋体" w:cs="宋体"/>
          <w:b/>
          <w:bCs/>
          <w:sz w:val="24"/>
          <w:highlight w:val="none"/>
        </w:rPr>
        <w:t>给予</w:t>
      </w:r>
      <w:r>
        <w:rPr>
          <w:rFonts w:hint="eastAsia" w:ascii="宋体" w:hAnsi="宋体" w:cs="宋体"/>
          <w:b/>
          <w:bCs/>
          <w:sz w:val="24"/>
          <w:highlight w:val="none"/>
          <w:lang w:val="en-US" w:eastAsia="zh-CN"/>
        </w:rPr>
        <w:t>10</w:t>
      </w:r>
      <w:r>
        <w:rPr>
          <w:rFonts w:hint="eastAsia" w:ascii="宋体" w:hAnsi="宋体" w:cs="宋体"/>
          <w:b/>
          <w:bCs/>
          <w:sz w:val="24"/>
          <w:highlight w:val="none"/>
        </w:rPr>
        <w:t>%的扣</w:t>
      </w:r>
      <w:r>
        <w:rPr>
          <w:rFonts w:hint="eastAsia" w:ascii="宋体" w:hAnsi="宋体" w:cs="宋体"/>
          <w:b/>
          <w:bCs/>
          <w:sz w:val="24"/>
        </w:rPr>
        <w:t>除，用扣除后的价格参与评审，残疾人福利性单位属于小型、微型企业的，不重复享受政策，供应商应提供《中小企业声明函》或《残疾人福利性单位声明函》，否则不得享受相关中小企业扶持政策或残疾人就业政府采购政策。</w:t>
      </w:r>
    </w:p>
    <w:p>
      <w:pPr>
        <w:spacing w:line="360" w:lineRule="auto"/>
        <w:ind w:firstLine="482" w:firstLineChars="200"/>
        <w:rPr>
          <w:rFonts w:hint="eastAsia" w:ascii="宋体" w:hAnsi="宋体" w:cs="宋体"/>
          <w:b/>
          <w:bCs/>
          <w:sz w:val="24"/>
        </w:rPr>
      </w:pPr>
      <w:r>
        <w:rPr>
          <w:rFonts w:hint="eastAsia" w:ascii="宋体" w:hAnsi="宋体" w:cs="宋体"/>
          <w:b/>
          <w:bCs/>
          <w:sz w:val="24"/>
        </w:rPr>
        <w:t>2.《关于政府采购支持监狱企业发展有关问题的通知》（财库[2014]68号）的规定，对监狱企业给予</w:t>
      </w:r>
      <w:r>
        <w:rPr>
          <w:rFonts w:hint="eastAsia" w:ascii="宋体" w:hAnsi="宋体" w:cs="宋体"/>
          <w:b/>
          <w:bCs/>
          <w:sz w:val="24"/>
          <w:lang w:val="en-US" w:eastAsia="zh-CN"/>
        </w:rPr>
        <w:t>10</w:t>
      </w:r>
      <w:r>
        <w:rPr>
          <w:rFonts w:hint="eastAsia" w:ascii="宋体" w:hAnsi="宋体" w:cs="宋体"/>
          <w:b/>
          <w:bCs/>
          <w:sz w:val="24"/>
        </w:rPr>
        <w:t>%的价格扣除，用扣除后的价格参与评审（提供由省级以上监狱管理局、戒毒管理局（含新疆生产建设兵团）出具的属于监狱企业的证明文件）；</w:t>
      </w:r>
    </w:p>
    <w:p>
      <w:pPr>
        <w:spacing w:line="360" w:lineRule="auto"/>
        <w:ind w:firstLine="482" w:firstLineChars="200"/>
        <w:rPr>
          <w:rFonts w:hint="eastAsia" w:ascii="宋体" w:hAnsi="宋体" w:cs="宋体"/>
          <w:b/>
          <w:bCs/>
          <w:sz w:val="24"/>
        </w:rPr>
      </w:pPr>
      <w:r>
        <w:rPr>
          <w:rFonts w:hint="eastAsia" w:ascii="宋体" w:hAnsi="宋体" w:cs="宋体"/>
          <w:b/>
          <w:bCs/>
          <w:sz w:val="24"/>
        </w:rPr>
        <w:t>3.节能环保产品以节能产品、环境标志产品认证证书为准；</w:t>
      </w:r>
    </w:p>
    <w:p>
      <w:pPr>
        <w:spacing w:line="360" w:lineRule="auto"/>
        <w:ind w:firstLine="482" w:firstLineChars="200"/>
        <w:rPr>
          <w:rFonts w:hint="eastAsia" w:ascii="宋体" w:hAnsi="宋体" w:cs="宋体" w:eastAsiaTheme="minorEastAsia"/>
          <w:b/>
          <w:bCs/>
          <w:sz w:val="24"/>
          <w:lang w:eastAsia="zh-CN"/>
        </w:rPr>
        <w:sectPr>
          <w:pgSz w:w="11906" w:h="16838"/>
          <w:pgMar w:top="1440" w:right="1803" w:bottom="1440" w:left="1803" w:header="851" w:footer="992" w:gutter="0"/>
          <w:pgNumType w:fmt="decimal"/>
          <w:cols w:space="720" w:num="1"/>
          <w:docGrid w:type="lines" w:linePitch="319" w:charSpace="0"/>
        </w:sectPr>
      </w:pPr>
      <w:r>
        <w:rPr>
          <w:rFonts w:hint="eastAsia" w:ascii="宋体" w:hAnsi="宋体" w:cs="宋体"/>
          <w:b/>
          <w:bCs/>
          <w:sz w:val="24"/>
        </w:rPr>
        <w:t>4.技术参数正偏离须在技术响应表中注明正偏离的理由和佐证材料的页码</w:t>
      </w:r>
      <w:r>
        <w:rPr>
          <w:rFonts w:hint="eastAsia" w:ascii="宋体" w:hAnsi="宋体" w:cs="宋体"/>
          <w:b/>
          <w:bCs/>
          <w:sz w:val="24"/>
          <w:lang w:eastAsia="zh-CN"/>
        </w:rPr>
        <w:t>。</w:t>
      </w:r>
    </w:p>
    <w:bookmarkEnd w:id="64"/>
    <w:p>
      <w:pPr>
        <w:pStyle w:val="3"/>
        <w:pageBreakBefore/>
        <w:numPr>
          <w:ilvl w:val="0"/>
          <w:numId w:val="16"/>
        </w:numPr>
        <w:rPr>
          <w:rFonts w:ascii="宋体" w:hAnsi="宋体" w:cs="宋体"/>
        </w:rPr>
      </w:pPr>
      <w:bookmarkStart w:id="65" w:name="_Toc25075"/>
      <w:bookmarkStart w:id="66" w:name="_Toc23240"/>
      <w:r>
        <w:rPr>
          <w:rFonts w:hint="eastAsia" w:ascii="宋体" w:hAnsi="宋体" w:cs="宋体"/>
        </w:rPr>
        <w:t>采购要求</w:t>
      </w:r>
      <w:bookmarkEnd w:id="65"/>
      <w:bookmarkEnd w:id="66"/>
    </w:p>
    <w:p>
      <w:pPr>
        <w:rPr>
          <w:rFonts w:ascii="宋体" w:cs="Times New Roman"/>
          <w:b/>
          <w:bCs/>
          <w:color w:val="000000"/>
          <w:sz w:val="24"/>
          <w:szCs w:val="24"/>
        </w:rPr>
      </w:pPr>
      <w:r>
        <w:rPr>
          <w:rFonts w:hint="eastAsia" w:asciiTheme="minorEastAsia" w:hAnsiTheme="minorEastAsia" w:cstheme="minorEastAsia"/>
          <w:bCs/>
          <w:color w:val="000000"/>
          <w:sz w:val="24"/>
          <w:szCs w:val="24"/>
        </w:rPr>
        <w:t>备注：</w:t>
      </w:r>
      <w:r>
        <w:rPr>
          <w:rFonts w:ascii="宋体" w:hAnsi="宋体" w:cs="宋体"/>
          <w:b/>
          <w:bCs/>
          <w:color w:val="000000"/>
          <w:sz w:val="24"/>
          <w:szCs w:val="24"/>
        </w:rPr>
        <w:t>1</w:t>
      </w:r>
      <w:r>
        <w:rPr>
          <w:rFonts w:hint="eastAsia" w:ascii="宋体" w:hAnsi="宋体" w:cs="宋体"/>
          <w:b/>
          <w:bCs/>
          <w:color w:val="000000"/>
          <w:sz w:val="24"/>
          <w:szCs w:val="24"/>
        </w:rPr>
        <w:t>、技术参数中要求提供证明材料等而未按要求提供的，视为负偏离；</w:t>
      </w:r>
      <w:bookmarkStart w:id="134" w:name="_GoBack"/>
      <w:bookmarkEnd w:id="134"/>
    </w:p>
    <w:p>
      <w:pPr>
        <w:rPr>
          <w:rFonts w:asciiTheme="minorEastAsia" w:hAnsiTheme="minorEastAsia" w:cstheme="minorEastAsia"/>
          <w:bCs/>
          <w:color w:val="000000"/>
          <w:sz w:val="24"/>
          <w:szCs w:val="24"/>
        </w:rPr>
      </w:pPr>
      <w:r>
        <w:rPr>
          <w:rFonts w:ascii="宋体" w:hAnsi="宋体" w:cs="宋体"/>
          <w:b/>
          <w:bCs/>
          <w:color w:val="000000"/>
          <w:sz w:val="24"/>
          <w:szCs w:val="24"/>
        </w:rPr>
        <w:t>2</w:t>
      </w:r>
      <w:r>
        <w:rPr>
          <w:rFonts w:hint="eastAsia" w:ascii="宋体" w:hAnsi="宋体" w:cs="宋体"/>
          <w:b/>
          <w:bCs/>
          <w:color w:val="000000"/>
          <w:sz w:val="24"/>
          <w:szCs w:val="24"/>
        </w:rPr>
        <w:t>、</w:t>
      </w:r>
      <w:r>
        <w:rPr>
          <w:rFonts w:hint="eastAsia" w:ascii="宋体" w:hAnsi="宋体" w:cs="宋体"/>
          <w:b/>
          <w:bCs/>
          <w:color w:val="000000"/>
          <w:sz w:val="24"/>
          <w:szCs w:val="24"/>
          <w:lang w:eastAsia="zh-CN"/>
        </w:rPr>
        <w:t>技术</w:t>
      </w:r>
      <w:r>
        <w:rPr>
          <w:rFonts w:hint="eastAsia" w:ascii="宋体" w:hAnsi="宋体" w:cs="宋体"/>
          <w:b/>
          <w:bCs/>
          <w:color w:val="000000"/>
          <w:sz w:val="24"/>
          <w:szCs w:val="24"/>
        </w:rPr>
        <w:t>参数为实质性要求，响应文件对其中任何一条</w:t>
      </w:r>
      <w:r>
        <w:rPr>
          <w:rFonts w:hint="eastAsia" w:ascii="宋体" w:hAnsi="宋体" w:cs="宋体"/>
          <w:b/>
          <w:bCs/>
          <w:color w:val="000000"/>
          <w:sz w:val="24"/>
          <w:szCs w:val="24"/>
          <w:lang w:eastAsia="zh-CN"/>
        </w:rPr>
        <w:t>参数为负偏离</w:t>
      </w:r>
      <w:r>
        <w:rPr>
          <w:rFonts w:hint="eastAsia" w:ascii="宋体" w:hAnsi="宋体" w:cs="宋体"/>
          <w:b/>
          <w:bCs/>
          <w:color w:val="000000"/>
          <w:sz w:val="24"/>
          <w:szCs w:val="24"/>
        </w:rPr>
        <w:t>偏离，为实质性偏离，其响应无效；</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767"/>
        <w:gridCol w:w="5992"/>
        <w:gridCol w:w="703"/>
        <w:gridCol w:w="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blHeader/>
        </w:trPr>
        <w:tc>
          <w:tcPr>
            <w:tcW w:w="753"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kern w:val="2"/>
                <w:sz w:val="24"/>
                <w:szCs w:val="24"/>
                <w:vertAlign w:val="baseline"/>
                <w:lang w:val="en-US" w:eastAsia="zh-CN" w:bidi="ar-SA"/>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序号</w:t>
            </w:r>
          </w:p>
        </w:tc>
        <w:tc>
          <w:tcPr>
            <w:tcW w:w="81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kern w:val="2"/>
                <w:sz w:val="24"/>
                <w:szCs w:val="24"/>
                <w:vertAlign w:val="baseline"/>
                <w:lang w:val="en-US" w:eastAsia="zh-CN" w:bidi="ar-SA"/>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名称</w:t>
            </w:r>
          </w:p>
        </w:tc>
        <w:tc>
          <w:tcPr>
            <w:tcW w:w="6662"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kern w:val="2"/>
                <w:sz w:val="24"/>
                <w:szCs w:val="24"/>
                <w:vertAlign w:val="baseline"/>
                <w:lang w:val="en-US" w:eastAsia="zh-CN" w:bidi="ar-SA"/>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参数</w:t>
            </w:r>
          </w:p>
        </w:tc>
        <w:tc>
          <w:tcPr>
            <w:tcW w:w="74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kern w:val="2"/>
                <w:sz w:val="24"/>
                <w:szCs w:val="24"/>
                <w:vertAlign w:val="baseline"/>
                <w:lang w:val="en-US" w:eastAsia="zh-CN" w:bidi="ar-SA"/>
              </w:rPr>
            </w:pPr>
            <w:r>
              <w:rPr>
                <w:rFonts w:hint="eastAsia" w:asciiTheme="minorEastAsia" w:hAnsiTheme="minorEastAsia" w:eastAsiaTheme="minorEastAsia" w:cstheme="minorEastAsia"/>
                <w:b/>
                <w:bCs/>
                <w:i w:val="0"/>
                <w:iCs w:val="0"/>
                <w:color w:val="000000"/>
                <w:kern w:val="0"/>
                <w:sz w:val="24"/>
                <w:szCs w:val="24"/>
                <w:u w:val="none"/>
                <w:lang w:val="en-US" w:eastAsia="zh-CN" w:bidi="ar"/>
              </w:rPr>
              <w:t>数量</w:t>
            </w:r>
          </w:p>
        </w:tc>
        <w:tc>
          <w:tcPr>
            <w:tcW w:w="69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kern w:val="2"/>
                <w:sz w:val="24"/>
                <w:szCs w:val="24"/>
                <w:vertAlign w:val="baseline"/>
                <w:lang w:val="en-US" w:eastAsia="zh-CN" w:bidi="ar-SA"/>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3" w:hRule="atLeast"/>
        </w:trPr>
        <w:tc>
          <w:tcPr>
            <w:tcW w:w="753" w:type="dxa"/>
            <w:vAlign w:val="center"/>
          </w:tcPr>
          <w:p>
            <w:pPr>
              <w:tabs>
                <w:tab w:val="left" w:pos="720"/>
              </w:tabs>
              <w:bidi w:val="0"/>
              <w:jc w:val="center"/>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1</w:t>
            </w:r>
          </w:p>
        </w:tc>
        <w:tc>
          <w:tcPr>
            <w:tcW w:w="819" w:type="dxa"/>
            <w:vAlign w:val="center"/>
          </w:tcPr>
          <w:p>
            <w:pPr>
              <w:tabs>
                <w:tab w:val="left" w:pos="720"/>
              </w:tabs>
              <w:bidi w:val="0"/>
              <w:jc w:val="center"/>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智慧黑板</w:t>
            </w:r>
          </w:p>
        </w:tc>
        <w:tc>
          <w:tcPr>
            <w:tcW w:w="6662" w:type="dxa"/>
          </w:tcPr>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一、整体设计</w:t>
            </w:r>
          </w:p>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1.整机采用三拼接平面一体化设计，无推拉式结构及外露连接线，外观简洁。整机尺寸宽度≥4200mm，高度≥1200mm。整机屏幕边缘采用金属圆角包边防护。</w:t>
            </w:r>
          </w:p>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2.整机屏幕采用86英寸 UHD超高清LED 液晶屏，显示比例16:9，屏幕分辨率不低于3840*2160。</w:t>
            </w:r>
          </w:p>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3.整机中间主屏及两侧副屏可支持多种媒介（普通粉笔、液体粉笔、水溶性粉笔等）进行板书书写，便于老师完整书写教学内容。</w:t>
            </w:r>
          </w:p>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4.整机能感应并自动调节屏幕亮度来达到在不同光照环境下的不同亮度显示效果。此功能可自行开启或关闭。</w:t>
            </w:r>
          </w:p>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5.整机具备抗振动、防跌落特性，保证整机运输或使用过程中不易受损。</w:t>
            </w:r>
          </w:p>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6.屏幕显示灰度分辨等级达到256灰阶以上，保证画面显示效果细腻。</w:t>
            </w:r>
          </w:p>
          <w:p>
            <w:pPr>
              <w:tabs>
                <w:tab w:val="left" w:pos="720"/>
              </w:tabs>
              <w:bidi w:val="0"/>
              <w:jc w:val="left"/>
              <w:rPr>
                <w:rFonts w:hint="eastAsia" w:asciiTheme="minorEastAsia" w:hAnsiTheme="minorEastAsia" w:eastAsiaTheme="minorEastAsia" w:cstheme="minorEastAsia"/>
                <w:b/>
                <w:bCs/>
                <w:kern w:val="2"/>
                <w:sz w:val="24"/>
                <w:szCs w:val="24"/>
                <w:vertAlign w:val="baseline"/>
                <w:lang w:val="en-US" w:eastAsia="zh-CN" w:bidi="ar-SA"/>
              </w:rPr>
            </w:pPr>
            <w:r>
              <w:rPr>
                <w:rFonts w:hint="eastAsia" w:asciiTheme="minorEastAsia" w:hAnsiTheme="minorEastAsia" w:eastAsiaTheme="minorEastAsia" w:cstheme="minorEastAsia"/>
                <w:b/>
                <w:bCs/>
                <w:kern w:val="2"/>
                <w:sz w:val="24"/>
                <w:szCs w:val="24"/>
                <w:vertAlign w:val="baseline"/>
                <w:lang w:val="en-US" w:eastAsia="zh-CN" w:bidi="ar-SA"/>
              </w:rPr>
              <w:t>7.整机支持色彩空间可选，包含标准模式和sRGB模式，在sRGB模式下可做到高色准△E≤1.5。提供生产厂家出具的、相应的功能证明材料（包括但不限于测试报告、官网和功能截图等）</w:t>
            </w:r>
          </w:p>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8.支持可自定义图像设置，可对对比度、屏幕色温、图像亮度、亮度范围、色彩空间进行调节设置。</w:t>
            </w:r>
          </w:p>
          <w:p>
            <w:pPr>
              <w:tabs>
                <w:tab w:val="left" w:pos="720"/>
              </w:tabs>
              <w:bidi w:val="0"/>
              <w:jc w:val="left"/>
              <w:rPr>
                <w:rFonts w:hint="eastAsia" w:asciiTheme="minorEastAsia" w:hAnsiTheme="minorEastAsia" w:eastAsiaTheme="minorEastAsia" w:cstheme="minorEastAsia"/>
                <w:b/>
                <w:bCs/>
                <w:kern w:val="2"/>
                <w:sz w:val="24"/>
                <w:szCs w:val="24"/>
                <w:vertAlign w:val="baseline"/>
                <w:lang w:val="en-US" w:eastAsia="zh-CN" w:bidi="ar-SA"/>
              </w:rPr>
            </w:pPr>
            <w:r>
              <w:rPr>
                <w:rFonts w:hint="eastAsia" w:asciiTheme="minorEastAsia" w:hAnsiTheme="minorEastAsia" w:eastAsiaTheme="minorEastAsia" w:cstheme="minorEastAsia"/>
                <w:b/>
                <w:bCs/>
                <w:kern w:val="2"/>
                <w:sz w:val="24"/>
                <w:szCs w:val="24"/>
                <w:vertAlign w:val="baseline"/>
                <w:lang w:val="en-US" w:eastAsia="zh-CN" w:bidi="ar-SA"/>
              </w:rPr>
              <w:t>9.整机内置2.2声道扬声器，前朝向10W高音扬声器2个，上朝向20W中低音扬声器2个，总功率不低于60W。提供生产厂家出具的、相应的功能证明材料（包括但不限于测试报告、官网和功能截图等）</w:t>
            </w:r>
          </w:p>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10.采用内置摄像头、麦克风，无需外接线材连接和任何可见外接线材及模块化拼接痕迹，不占用整机设备端口。</w:t>
            </w:r>
          </w:p>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11.整机内置非独立外扩展的4阵列麦克风，可用于对教室环境音频进行采集，麦克风拾音距离≥11.3m。</w:t>
            </w:r>
          </w:p>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12.整机扬声器在100%音量下，可做到1米处声压级≥88db，10米处声压级≥73dB。</w:t>
            </w:r>
          </w:p>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13.整机支持高级音效设置，可以调节左右声道平衡。</w:t>
            </w:r>
          </w:p>
          <w:p>
            <w:pPr>
              <w:tabs>
                <w:tab w:val="left" w:pos="720"/>
              </w:tabs>
              <w:bidi w:val="0"/>
              <w:jc w:val="left"/>
              <w:rPr>
                <w:rFonts w:hint="eastAsia" w:asciiTheme="minorEastAsia" w:hAnsiTheme="minorEastAsia" w:eastAsiaTheme="minorEastAsia" w:cstheme="minorEastAsia"/>
                <w:b/>
                <w:bCs/>
                <w:kern w:val="2"/>
                <w:sz w:val="24"/>
                <w:szCs w:val="24"/>
                <w:vertAlign w:val="baseline"/>
                <w:lang w:val="en-US" w:eastAsia="zh-CN" w:bidi="ar-SA"/>
              </w:rPr>
            </w:pPr>
            <w:r>
              <w:rPr>
                <w:rFonts w:hint="eastAsia" w:asciiTheme="minorEastAsia" w:hAnsiTheme="minorEastAsia" w:eastAsiaTheme="minorEastAsia" w:cstheme="minorEastAsia"/>
                <w:b/>
                <w:bCs/>
                <w:kern w:val="2"/>
                <w:sz w:val="24"/>
                <w:szCs w:val="24"/>
                <w:vertAlign w:val="baseline"/>
                <w:lang w:val="en-US" w:eastAsia="zh-CN" w:bidi="ar-SA"/>
              </w:rPr>
              <w:t>14.整机内置非独立的高清摄像头，支持远程巡课应用、二维码扫码功能，可AI识别人像，人像识别距离≥10米，摄像头像素数≥1300万，对角角度≥134°。提供生产厂家出具的、相应的功能证明材料（包括但不限于测试报告、官网和功能截图等）</w:t>
            </w:r>
          </w:p>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二、整机功能</w:t>
            </w:r>
          </w:p>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15.整机具备减滤蓝光功能，可通过前置物理功能按键一键启用护眼模式，有效减少蓝光对学生危害。</w:t>
            </w:r>
          </w:p>
          <w:p>
            <w:pPr>
              <w:tabs>
                <w:tab w:val="left" w:pos="720"/>
              </w:tabs>
              <w:bidi w:val="0"/>
              <w:jc w:val="left"/>
              <w:rPr>
                <w:rFonts w:hint="eastAsia" w:asciiTheme="minorEastAsia" w:hAnsiTheme="minorEastAsia" w:eastAsiaTheme="minorEastAsia" w:cstheme="minorEastAsia"/>
                <w:b/>
                <w:bCs/>
                <w:kern w:val="2"/>
                <w:sz w:val="24"/>
                <w:szCs w:val="24"/>
                <w:vertAlign w:val="baseline"/>
                <w:lang w:val="en-US" w:eastAsia="zh-CN" w:bidi="ar-SA"/>
              </w:rPr>
            </w:pPr>
            <w:r>
              <w:rPr>
                <w:rFonts w:hint="eastAsia" w:asciiTheme="minorEastAsia" w:hAnsiTheme="minorEastAsia" w:eastAsiaTheme="minorEastAsia" w:cstheme="minorEastAsia"/>
                <w:b/>
                <w:bCs/>
                <w:kern w:val="2"/>
                <w:sz w:val="24"/>
                <w:szCs w:val="24"/>
                <w:vertAlign w:val="baseline"/>
                <w:lang w:val="en-US" w:eastAsia="zh-CN" w:bidi="ar-SA"/>
              </w:rPr>
              <w:t>16.整机摄像头支持人脸识别、快速点人数、随机抽人，可识别镜头前的所有学生，并显示人脸标记、随机抽选。支持同时显示标记不少于60人。提供生产厂家出具的、相应的功能证明材料（包括但不限于测试报告、官网和功能截图等）</w:t>
            </w:r>
          </w:p>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17.整机支持通过人脸识别进行解锁设备以及人脸识别进行登录账号。</w:t>
            </w:r>
          </w:p>
          <w:p>
            <w:pPr>
              <w:tabs>
                <w:tab w:val="left" w:pos="720"/>
              </w:tabs>
              <w:bidi w:val="0"/>
              <w:jc w:val="left"/>
              <w:rPr>
                <w:rFonts w:hint="eastAsia" w:asciiTheme="minorEastAsia" w:hAnsiTheme="minorEastAsia" w:eastAsiaTheme="minorEastAsia" w:cstheme="minorEastAsia"/>
                <w:b/>
                <w:bCs/>
                <w:kern w:val="2"/>
                <w:sz w:val="24"/>
                <w:szCs w:val="24"/>
                <w:vertAlign w:val="baseline"/>
                <w:lang w:val="en-US" w:eastAsia="zh-CN" w:bidi="ar-SA"/>
              </w:rPr>
            </w:pPr>
            <w:r>
              <w:rPr>
                <w:rFonts w:hint="eastAsia" w:asciiTheme="minorEastAsia" w:hAnsiTheme="minorEastAsia" w:eastAsiaTheme="minorEastAsia" w:cstheme="minorEastAsia"/>
                <w:b/>
                <w:bCs/>
                <w:kern w:val="2"/>
                <w:sz w:val="24"/>
                <w:szCs w:val="24"/>
                <w:vertAlign w:val="baseline"/>
                <w:lang w:val="en-US" w:eastAsia="zh-CN" w:bidi="ar-SA"/>
              </w:rPr>
              <w:t>18.整机摄像头支持环境色温判断，根据环境调节合适的显示图像效果。提供生产厂家出具的、相应的功能证明材料（包括但不限于测试报告、官网和功能截图等）</w:t>
            </w:r>
          </w:p>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19.整机无需外接无线网卡，在Windows系统下接入无线网络，切换到Android系统下可直接实现无线上网，不需要手动重复设置。</w:t>
            </w:r>
          </w:p>
          <w:p>
            <w:pPr>
              <w:tabs>
                <w:tab w:val="left" w:pos="720"/>
              </w:tabs>
              <w:bidi w:val="0"/>
              <w:jc w:val="left"/>
              <w:rPr>
                <w:rFonts w:hint="eastAsia" w:asciiTheme="minorEastAsia" w:hAnsiTheme="minorEastAsia" w:eastAsiaTheme="minorEastAsia" w:cstheme="minorEastAsia"/>
                <w:b/>
                <w:bCs/>
                <w:kern w:val="2"/>
                <w:sz w:val="24"/>
                <w:szCs w:val="24"/>
                <w:vertAlign w:val="baseline"/>
                <w:lang w:val="en-US" w:eastAsia="zh-CN" w:bidi="ar-SA"/>
              </w:rPr>
            </w:pPr>
            <w:r>
              <w:rPr>
                <w:rFonts w:hint="eastAsia" w:asciiTheme="minorEastAsia" w:hAnsiTheme="minorEastAsia" w:eastAsiaTheme="minorEastAsia" w:cstheme="minorEastAsia"/>
                <w:b/>
                <w:bCs/>
                <w:kern w:val="2"/>
                <w:sz w:val="24"/>
                <w:szCs w:val="24"/>
                <w:vertAlign w:val="baseline"/>
                <w:lang w:val="en-US" w:eastAsia="zh-CN" w:bidi="ar-SA"/>
              </w:rPr>
              <w:t>20.支持自定义前置“设置"按键，通过自定义设置实现前置面板功能按键一键启用任一全局小工具（批注、截屏、计时、降半屏、放大镜、倒数日、日历）、快捷开关。提供生产厂家出具的、相应的功能证明材料（包括但不限于测试报告、官网和功能截图等）</w:t>
            </w:r>
          </w:p>
          <w:p>
            <w:pPr>
              <w:tabs>
                <w:tab w:val="left" w:pos="720"/>
              </w:tabs>
              <w:bidi w:val="0"/>
              <w:jc w:val="left"/>
              <w:rPr>
                <w:rFonts w:hint="eastAsia" w:asciiTheme="minorEastAsia" w:hAnsiTheme="minorEastAsia" w:eastAsiaTheme="minorEastAsia" w:cstheme="minorEastAsia"/>
                <w:b/>
                <w:bCs/>
                <w:kern w:val="2"/>
                <w:sz w:val="24"/>
                <w:szCs w:val="24"/>
                <w:vertAlign w:val="baseline"/>
                <w:lang w:val="en-US" w:eastAsia="zh-CN" w:bidi="ar-SA"/>
              </w:rPr>
            </w:pPr>
            <w:r>
              <w:rPr>
                <w:rFonts w:hint="eastAsia" w:asciiTheme="minorEastAsia" w:hAnsiTheme="minorEastAsia" w:eastAsiaTheme="minorEastAsia" w:cstheme="minorEastAsia"/>
                <w:b/>
                <w:bCs/>
                <w:kern w:val="2"/>
                <w:sz w:val="24"/>
                <w:szCs w:val="24"/>
                <w:vertAlign w:val="baseline"/>
                <w:lang w:val="en-US" w:eastAsia="zh-CN" w:bidi="ar-SA"/>
              </w:rPr>
              <w:t>21.设备支持通过前置物理按键一键启动录屏功能，可将屏幕中显示的所有内容与老师人声同时录制。提供生产厂家出具的、相应的功能证明材料（包括但不限于测试报告、官网和功能截图等）</w:t>
            </w:r>
          </w:p>
          <w:p>
            <w:pPr>
              <w:tabs>
                <w:tab w:val="left" w:pos="720"/>
              </w:tabs>
              <w:bidi w:val="0"/>
              <w:jc w:val="left"/>
              <w:rPr>
                <w:rFonts w:hint="eastAsia" w:asciiTheme="minorEastAsia" w:hAnsiTheme="minorEastAsia" w:eastAsiaTheme="minorEastAsia" w:cstheme="minorEastAsia"/>
                <w:b/>
                <w:bCs/>
                <w:kern w:val="2"/>
                <w:sz w:val="24"/>
                <w:szCs w:val="24"/>
                <w:vertAlign w:val="baseline"/>
                <w:lang w:val="en-US" w:eastAsia="zh-CN" w:bidi="ar-SA"/>
              </w:rPr>
            </w:pPr>
            <w:r>
              <w:rPr>
                <w:rFonts w:hint="eastAsia" w:asciiTheme="minorEastAsia" w:hAnsiTheme="minorEastAsia" w:eastAsiaTheme="minorEastAsia" w:cstheme="minorEastAsia"/>
                <w:b/>
                <w:bCs/>
                <w:kern w:val="2"/>
                <w:sz w:val="24"/>
                <w:szCs w:val="24"/>
                <w:vertAlign w:val="baseline"/>
                <w:lang w:val="en-US" w:eastAsia="zh-CN" w:bidi="ar-SA"/>
              </w:rPr>
              <w:t>22.Wi-Fi制式支持IEEE 802.11 a/b/g/n/ac/ax；支持版本Wi-Fi6。提供生产厂家出具的、相应的功能证明材料（包括但不限于测试报告、官网和功能截图等）</w:t>
            </w:r>
          </w:p>
          <w:p>
            <w:pPr>
              <w:tabs>
                <w:tab w:val="left" w:pos="720"/>
              </w:tabs>
              <w:bidi w:val="0"/>
              <w:jc w:val="left"/>
              <w:rPr>
                <w:rFonts w:hint="eastAsia" w:asciiTheme="minorEastAsia" w:hAnsiTheme="minorEastAsia" w:eastAsiaTheme="minorEastAsia" w:cstheme="minorEastAsia"/>
                <w:b/>
                <w:bCs/>
                <w:kern w:val="2"/>
                <w:sz w:val="24"/>
                <w:szCs w:val="24"/>
                <w:vertAlign w:val="baseline"/>
                <w:lang w:val="en-US" w:eastAsia="zh-CN" w:bidi="ar-SA"/>
              </w:rPr>
            </w:pPr>
            <w:r>
              <w:rPr>
                <w:rFonts w:hint="eastAsia" w:asciiTheme="minorEastAsia" w:hAnsiTheme="minorEastAsia" w:eastAsiaTheme="minorEastAsia" w:cstheme="minorEastAsia"/>
                <w:b/>
                <w:bCs/>
                <w:kern w:val="2"/>
                <w:sz w:val="24"/>
                <w:szCs w:val="24"/>
                <w:vertAlign w:val="baseline"/>
                <w:lang w:val="en-US" w:eastAsia="zh-CN" w:bidi="ar-SA"/>
              </w:rPr>
              <w:t>23.整机支持蓝牙Bluetooth 5.2标准。提供生产厂家出具的、相应的功能证明材料（包括但不限于测试报告、官网和功能截图等）</w:t>
            </w:r>
          </w:p>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24.支持整机设备开机启动后，自动进入教学桌面，支持账号登录、退出，自动获取个人云端教学课件列表、并可进入校本资源库。</w:t>
            </w:r>
          </w:p>
          <w:p>
            <w:pPr>
              <w:tabs>
                <w:tab w:val="left" w:pos="720"/>
              </w:tabs>
              <w:bidi w:val="0"/>
              <w:jc w:val="left"/>
              <w:rPr>
                <w:rFonts w:hint="eastAsia" w:asciiTheme="minorEastAsia" w:hAnsiTheme="minorEastAsia" w:eastAsiaTheme="minorEastAsia" w:cstheme="minorEastAsia"/>
                <w:b/>
                <w:bCs/>
                <w:kern w:val="2"/>
                <w:sz w:val="24"/>
                <w:szCs w:val="24"/>
                <w:vertAlign w:val="baseline"/>
                <w:lang w:val="en-US" w:eastAsia="zh-CN" w:bidi="ar-SA"/>
              </w:rPr>
            </w:pPr>
            <w:r>
              <w:rPr>
                <w:rFonts w:hint="eastAsia" w:asciiTheme="minorEastAsia" w:hAnsiTheme="minorEastAsia" w:eastAsiaTheme="minorEastAsia" w:cstheme="minorEastAsia"/>
                <w:b/>
                <w:bCs/>
                <w:kern w:val="2"/>
                <w:sz w:val="24"/>
                <w:szCs w:val="24"/>
                <w:vertAlign w:val="baseline"/>
                <w:lang w:val="en-US" w:eastAsia="zh-CN" w:bidi="ar-SA"/>
              </w:rPr>
              <w:t>25.整机具备不少于1路前置Typec接口，外接电脑设备通过标准TypeC线连接至整机TypeC口，可直接调用整机内置的摄像头、麦克风、扬声器，在外接电脑即可拍摄教室画面。提供生产厂家出具的、相应的功能证明材料（包括但不限于测试报告、官网和功能截图等）</w:t>
            </w:r>
          </w:p>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26.支持智能 U 盘锁功能，整机可设置触摸及按键锁定，锁定后无法随意自由操作，需要使用时插入USB key 可解锁。</w:t>
            </w:r>
          </w:p>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27.不用借助PC，整机可一键进行硬件自检，包括对系统硬盘、系统内存、触摸框、PC模块、光感系统等模块进行检测，并针对不同模块给出问题原因提示。</w:t>
            </w:r>
          </w:p>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28.整机关机状态下，通过长按电源键进入设置界面后，可点击屏幕选择故障检测、系统还原功能。</w:t>
            </w:r>
          </w:p>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29.整机全通道侧边栏支持自行选择所需截取屏幕范围，点击截屏即可成功截取屏幕，并自动保存。</w:t>
            </w:r>
          </w:p>
          <w:p>
            <w:pPr>
              <w:tabs>
                <w:tab w:val="left" w:pos="720"/>
              </w:tabs>
              <w:bidi w:val="0"/>
              <w:jc w:val="left"/>
              <w:rPr>
                <w:rFonts w:hint="eastAsia" w:asciiTheme="minorEastAsia" w:hAnsiTheme="minorEastAsia" w:eastAsiaTheme="minorEastAsia" w:cstheme="minorEastAsia"/>
                <w:b/>
                <w:bCs/>
                <w:kern w:val="2"/>
                <w:sz w:val="24"/>
                <w:szCs w:val="24"/>
                <w:vertAlign w:val="baseline"/>
                <w:lang w:val="en-US" w:eastAsia="zh-CN" w:bidi="ar-SA"/>
              </w:rPr>
            </w:pPr>
            <w:r>
              <w:rPr>
                <w:rFonts w:hint="eastAsia" w:asciiTheme="minorEastAsia" w:hAnsiTheme="minorEastAsia" w:eastAsiaTheme="minorEastAsia" w:cstheme="minorEastAsia"/>
                <w:b/>
                <w:bCs/>
                <w:kern w:val="2"/>
                <w:sz w:val="24"/>
                <w:szCs w:val="24"/>
                <w:vertAlign w:val="baseline"/>
                <w:lang w:val="en-US" w:eastAsia="zh-CN" w:bidi="ar-SA"/>
              </w:rPr>
              <w:t>30.整机安卓支持通过扫描二维码加入班级，老师设置题型，学生回答后提交，教师查看正确率比例及详细讲解。提供生产厂家出具的、相应的功能证明材料（包括但不限于测试报告、官网和功能截图等）</w:t>
            </w:r>
          </w:p>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三、安卓系统</w:t>
            </w:r>
          </w:p>
          <w:p>
            <w:pPr>
              <w:tabs>
                <w:tab w:val="left" w:pos="720"/>
              </w:tabs>
              <w:bidi w:val="0"/>
              <w:jc w:val="left"/>
              <w:rPr>
                <w:rFonts w:hint="eastAsia" w:asciiTheme="minorEastAsia" w:hAnsiTheme="minorEastAsia" w:eastAsiaTheme="minorEastAsia" w:cstheme="minorEastAsia"/>
                <w:b/>
                <w:bCs/>
                <w:kern w:val="2"/>
                <w:sz w:val="24"/>
                <w:szCs w:val="24"/>
                <w:vertAlign w:val="baseline"/>
                <w:lang w:val="en-US" w:eastAsia="zh-CN" w:bidi="ar-SA"/>
              </w:rPr>
            </w:pPr>
            <w:r>
              <w:rPr>
                <w:rFonts w:hint="eastAsia" w:asciiTheme="minorEastAsia" w:hAnsiTheme="minorEastAsia" w:eastAsiaTheme="minorEastAsia" w:cstheme="minorEastAsia"/>
                <w:b/>
                <w:bCs/>
                <w:kern w:val="2"/>
                <w:sz w:val="24"/>
                <w:szCs w:val="24"/>
                <w:vertAlign w:val="baseline"/>
                <w:lang w:val="en-US" w:eastAsia="zh-CN" w:bidi="ar-SA"/>
              </w:rPr>
              <w:t>31.安卓系统版本不低于Android 11.0。提供生产厂家出具的、相应的功能证明材料（包括但不限于测试报告、官网和功能截图等）</w:t>
            </w:r>
          </w:p>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32.无PC状态下，嵌入式系统内置互动白板支持全局漫游，并能在工具栏中对全局内容进行预览和移动。</w:t>
            </w:r>
          </w:p>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四、电脑配置</w:t>
            </w:r>
          </w:p>
          <w:p>
            <w:pPr>
              <w:tabs>
                <w:tab w:val="left" w:pos="720"/>
              </w:tabs>
              <w:bidi w:val="0"/>
              <w:jc w:val="left"/>
              <w:rPr>
                <w:rFonts w:hint="eastAsia" w:asciiTheme="minorEastAsia" w:hAnsiTheme="minorEastAsia" w:eastAsiaTheme="minorEastAsia" w:cstheme="minorEastAsia"/>
                <w:b/>
                <w:bCs/>
                <w:kern w:val="2"/>
                <w:sz w:val="24"/>
                <w:szCs w:val="24"/>
                <w:vertAlign w:val="baseline"/>
                <w:lang w:val="en-US" w:eastAsia="zh-CN" w:bidi="ar-SA"/>
              </w:rPr>
            </w:pPr>
            <w:r>
              <w:rPr>
                <w:rFonts w:hint="eastAsia" w:asciiTheme="minorEastAsia" w:hAnsiTheme="minorEastAsia" w:eastAsiaTheme="minorEastAsia" w:cstheme="minorEastAsia"/>
                <w:b/>
                <w:bCs/>
                <w:kern w:val="2"/>
                <w:sz w:val="24"/>
                <w:szCs w:val="24"/>
                <w:vertAlign w:val="baseline"/>
                <w:lang w:val="en-US" w:eastAsia="zh-CN" w:bidi="ar-SA"/>
              </w:rPr>
              <w:t>33.采用抽拉内置式模块化电脑，抽拉内置式，PC模块可插入整机，可实现无单独接线的插拔。按压式卡扣方式，无需工具即可快速拆卸电脑模块。提供生产厂家出具的、相应的功能证明材料（包括但不限于测试报告、官网和功能截图等）</w:t>
            </w:r>
          </w:p>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34.搭载Intel 10代酷睿 i5或以上配置CPU。内存：4GB DDR4笔记本内存或以上配置。硬盘：256GB SSD固态硬盘或以上配置。</w:t>
            </w:r>
          </w:p>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35.PC模块支持不断电情况下热插拔，以便快速维护或替换模块。</w:t>
            </w:r>
          </w:p>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b/>
                <w:bCs/>
                <w:kern w:val="2"/>
                <w:sz w:val="24"/>
                <w:szCs w:val="24"/>
                <w:vertAlign w:val="baseline"/>
                <w:lang w:val="en-US" w:eastAsia="zh-CN" w:bidi="ar-SA"/>
              </w:rPr>
              <w:t>36.和整机的连接采用万兆级接口，传输速率≥10Gbps。提供生产厂家出具的、相应的功能证明材料（包括但不限于测试报告、官网和功能截图等）</w:t>
            </w:r>
          </w:p>
        </w:tc>
        <w:tc>
          <w:tcPr>
            <w:tcW w:w="745" w:type="dxa"/>
            <w:vAlign w:val="center"/>
          </w:tcPr>
          <w:p>
            <w:pPr>
              <w:tabs>
                <w:tab w:val="left" w:pos="720"/>
              </w:tabs>
              <w:bidi w:val="0"/>
              <w:jc w:val="center"/>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16</w:t>
            </w:r>
          </w:p>
        </w:tc>
        <w:tc>
          <w:tcPr>
            <w:tcW w:w="699" w:type="dxa"/>
            <w:vAlign w:val="center"/>
          </w:tcPr>
          <w:p>
            <w:pPr>
              <w:tabs>
                <w:tab w:val="left" w:pos="720"/>
              </w:tabs>
              <w:bidi w:val="0"/>
              <w:jc w:val="center"/>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7" w:hRule="atLeast"/>
        </w:trPr>
        <w:tc>
          <w:tcPr>
            <w:tcW w:w="753" w:type="dxa"/>
            <w:vAlign w:val="center"/>
          </w:tcPr>
          <w:p>
            <w:pPr>
              <w:tabs>
                <w:tab w:val="left" w:pos="720"/>
              </w:tabs>
              <w:bidi w:val="0"/>
              <w:jc w:val="center"/>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2</w:t>
            </w:r>
          </w:p>
        </w:tc>
        <w:tc>
          <w:tcPr>
            <w:tcW w:w="819" w:type="dxa"/>
            <w:vAlign w:val="center"/>
          </w:tcPr>
          <w:p>
            <w:pPr>
              <w:tabs>
                <w:tab w:val="left" w:pos="720"/>
              </w:tabs>
              <w:bidi w:val="0"/>
              <w:jc w:val="center"/>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白板软件</w:t>
            </w:r>
          </w:p>
        </w:tc>
        <w:tc>
          <w:tcPr>
            <w:tcW w:w="6662" w:type="dxa"/>
          </w:tcPr>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（一）主要功能</w:t>
            </w:r>
          </w:p>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1.采用备授课一体化框架设计，教师可根据教学场景自由切换类PPT界面的备课模式与触控交互教学模式，适用于教室、办公室等不同教学环境，便于教师教学使用。</w:t>
            </w:r>
          </w:p>
          <w:p>
            <w:pPr>
              <w:tabs>
                <w:tab w:val="left" w:pos="720"/>
              </w:tabs>
              <w:bidi w:val="0"/>
              <w:jc w:val="left"/>
              <w:rPr>
                <w:rFonts w:hint="eastAsia" w:asciiTheme="minorEastAsia" w:hAnsiTheme="minorEastAsia" w:eastAsiaTheme="minorEastAsia" w:cstheme="minorEastAsia"/>
                <w:b/>
                <w:bCs/>
                <w:kern w:val="2"/>
                <w:sz w:val="24"/>
                <w:szCs w:val="24"/>
                <w:vertAlign w:val="baseline"/>
                <w:lang w:val="en-US" w:eastAsia="zh-CN" w:bidi="ar-SA"/>
              </w:rPr>
            </w:pPr>
            <w:r>
              <w:rPr>
                <w:rFonts w:hint="eastAsia" w:asciiTheme="minorEastAsia" w:hAnsiTheme="minorEastAsia" w:eastAsiaTheme="minorEastAsia" w:cstheme="minorEastAsia"/>
                <w:b/>
                <w:bCs/>
                <w:kern w:val="2"/>
                <w:sz w:val="24"/>
                <w:szCs w:val="24"/>
                <w:vertAlign w:val="baseline"/>
                <w:lang w:val="en-US" w:eastAsia="zh-CN" w:bidi="ar-SA"/>
              </w:rPr>
              <w:t>2.为全校教师提供可扩展，易于学校管理，安全可靠的云存储空间，根据每名教师使用时长与教学资料制作频率提供可扩展升级至不小于150G的个人云空间。提供生产厂家出具的、相应的功能证明材料（包括但不限于测试报告、官网和功能截图等）</w:t>
            </w:r>
          </w:p>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3.为使用方全体教师配备个人账号，形成一体的信息化教学账号体系。</w:t>
            </w:r>
          </w:p>
          <w:p>
            <w:pPr>
              <w:tabs>
                <w:tab w:val="left" w:pos="720"/>
              </w:tabs>
              <w:bidi w:val="0"/>
              <w:jc w:val="left"/>
              <w:rPr>
                <w:rFonts w:hint="eastAsia" w:asciiTheme="minorEastAsia" w:hAnsiTheme="minorEastAsia" w:eastAsiaTheme="minorEastAsia" w:cstheme="minorEastAsia"/>
                <w:b/>
                <w:bCs/>
                <w:kern w:val="2"/>
                <w:sz w:val="24"/>
                <w:szCs w:val="24"/>
                <w:vertAlign w:val="baseline"/>
                <w:lang w:val="en-US" w:eastAsia="zh-CN" w:bidi="ar-SA"/>
              </w:rPr>
            </w:pPr>
            <w:r>
              <w:rPr>
                <w:rFonts w:hint="eastAsia" w:asciiTheme="minorEastAsia" w:hAnsiTheme="minorEastAsia" w:eastAsiaTheme="minorEastAsia" w:cstheme="minorEastAsia"/>
                <w:b/>
                <w:bCs/>
                <w:kern w:val="2"/>
                <w:sz w:val="24"/>
                <w:szCs w:val="24"/>
                <w:vertAlign w:val="baseline"/>
                <w:lang w:val="en-US" w:eastAsia="zh-CN" w:bidi="ar-SA"/>
              </w:rPr>
              <w:t>4.根据教师账号信息将教师云空间匹配至对应学校、学科校本资源库。提供生产厂家出具的、相应的功能证明材料（包括但不限于测试报告、官网和功能截图等）</w:t>
            </w:r>
          </w:p>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5.上传下载一体化云存储：备课时支持将云空间中存储图片、音频、视频、Flash等素材插入课件，同时支持将课件中的图片、音频、视频、Flash、PPT等素材右键上传至云空间。</w:t>
            </w:r>
          </w:p>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6.接收方通过web链接或二维码的课件分享入口可预览互动课件内容并可触控课件互动元素。</w:t>
            </w:r>
          </w:p>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7.可自由调节课件画面的显示比例，可适配各类显示设备。</w:t>
            </w:r>
          </w:p>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8.路径动画：支持任意对象自定义路径动画设置，可绘制任意的移动轨迹并让对象沿着轨迹路径进行移动，可单独设置该动画通过翻页或单击对象本身进行触发。</w:t>
            </w:r>
          </w:p>
          <w:p>
            <w:pPr>
              <w:tabs>
                <w:tab w:val="left" w:pos="720"/>
              </w:tabs>
              <w:bidi w:val="0"/>
              <w:jc w:val="left"/>
              <w:rPr>
                <w:rFonts w:hint="eastAsia" w:asciiTheme="minorEastAsia" w:hAnsiTheme="minorEastAsia" w:eastAsiaTheme="minorEastAsia" w:cstheme="minorEastAsia"/>
                <w:b/>
                <w:bCs/>
                <w:kern w:val="2"/>
                <w:sz w:val="24"/>
                <w:szCs w:val="24"/>
                <w:vertAlign w:val="baseline"/>
                <w:lang w:val="en-US" w:eastAsia="zh-CN" w:bidi="ar-SA"/>
              </w:rPr>
            </w:pPr>
            <w:r>
              <w:rPr>
                <w:rFonts w:hint="eastAsia" w:asciiTheme="minorEastAsia" w:hAnsiTheme="minorEastAsia" w:eastAsiaTheme="minorEastAsia" w:cstheme="minorEastAsia"/>
                <w:b/>
                <w:bCs/>
                <w:kern w:val="2"/>
                <w:sz w:val="24"/>
                <w:szCs w:val="24"/>
                <w:vertAlign w:val="baseline"/>
                <w:lang w:val="en-US" w:eastAsia="zh-CN" w:bidi="ar-SA"/>
              </w:rPr>
              <w:t>9.内置微课工具，支持快速录制胶囊式微课，微课可录制保存音频和课件的互动操作。提供生产厂家出具的、相应的功能证明材料（包括但不限于测试报告、官网和功能截图等）</w:t>
            </w:r>
          </w:p>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10.无课件录制：支持教师在空白页面录制胶囊式微课，支持自主添加不低于一百页电子草稿进行讲解。</w:t>
            </w:r>
          </w:p>
          <w:p>
            <w:pPr>
              <w:tabs>
                <w:tab w:val="left" w:pos="720"/>
              </w:tabs>
              <w:bidi w:val="0"/>
              <w:jc w:val="left"/>
              <w:rPr>
                <w:rFonts w:hint="eastAsia" w:asciiTheme="minorEastAsia" w:hAnsiTheme="minorEastAsia" w:eastAsiaTheme="minorEastAsia" w:cstheme="minorEastAsia"/>
                <w:b/>
                <w:bCs/>
                <w:kern w:val="2"/>
                <w:sz w:val="24"/>
                <w:szCs w:val="24"/>
                <w:vertAlign w:val="baseline"/>
                <w:lang w:val="en-US" w:eastAsia="zh-CN" w:bidi="ar-SA"/>
              </w:rPr>
            </w:pPr>
            <w:r>
              <w:rPr>
                <w:rFonts w:hint="eastAsia" w:asciiTheme="minorEastAsia" w:hAnsiTheme="minorEastAsia" w:eastAsiaTheme="minorEastAsia" w:cstheme="minorEastAsia"/>
                <w:b/>
                <w:bCs/>
                <w:kern w:val="2"/>
                <w:sz w:val="24"/>
                <w:szCs w:val="24"/>
                <w:vertAlign w:val="baseline"/>
                <w:lang w:val="en-US" w:eastAsia="zh-CN" w:bidi="ar-SA"/>
              </w:rPr>
              <w:t>11.微课听课方式：微课录制结束后自动生成分享海报，学生扫码在即可在微信观看。提供生产厂家出具的、相应的功能证明材料（包括但不限于测试报告、官网和功能截图等）</w:t>
            </w:r>
          </w:p>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12.全文快速搜索：支持在课件中通过快捷键调用搜索控件，输入文本即可查找课件内文本框、形状、表格中对应的文本匹配项。</w:t>
            </w:r>
          </w:p>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（二）学科工具</w:t>
            </w:r>
          </w:p>
          <w:p>
            <w:pPr>
              <w:tabs>
                <w:tab w:val="left" w:pos="720"/>
              </w:tabs>
              <w:bidi w:val="0"/>
              <w:jc w:val="left"/>
              <w:rPr>
                <w:rFonts w:hint="eastAsia" w:asciiTheme="minorEastAsia" w:hAnsiTheme="minorEastAsia" w:eastAsiaTheme="minorEastAsia" w:cstheme="minorEastAsia"/>
                <w:b/>
                <w:bCs/>
                <w:kern w:val="2"/>
                <w:sz w:val="24"/>
                <w:szCs w:val="24"/>
                <w:vertAlign w:val="baseline"/>
                <w:lang w:val="en-US" w:eastAsia="zh-CN" w:bidi="ar-SA"/>
              </w:rPr>
            </w:pPr>
            <w:r>
              <w:rPr>
                <w:rFonts w:hint="eastAsia" w:asciiTheme="minorEastAsia" w:hAnsiTheme="minorEastAsia" w:eastAsiaTheme="minorEastAsia" w:cstheme="minorEastAsia"/>
                <w:b/>
                <w:bCs/>
                <w:kern w:val="2"/>
                <w:sz w:val="24"/>
                <w:szCs w:val="24"/>
                <w:vertAlign w:val="baseline"/>
                <w:lang w:val="en-US" w:eastAsia="zh-CN" w:bidi="ar-SA"/>
              </w:rPr>
              <w:t>13.AI智能纠错：软件内置的AI智能语义分析模块，可对输入的英文文本的拼写、句型、语法进行错误检查，并支持一键纠错。提供生产厂家出具的、相应的功能证明材料（包括但不限于测试报告、官网和功能截图等）</w:t>
            </w:r>
          </w:p>
          <w:p>
            <w:pPr>
              <w:tabs>
                <w:tab w:val="left" w:pos="720"/>
              </w:tabs>
              <w:bidi w:val="0"/>
              <w:jc w:val="left"/>
              <w:rPr>
                <w:rFonts w:hint="eastAsia" w:asciiTheme="minorEastAsia" w:hAnsiTheme="minorEastAsia" w:eastAsiaTheme="minorEastAsia" w:cstheme="minorEastAsia"/>
                <w:b/>
                <w:bCs/>
                <w:kern w:val="2"/>
                <w:sz w:val="24"/>
                <w:szCs w:val="24"/>
                <w:vertAlign w:val="baseline"/>
                <w:lang w:val="en-US" w:eastAsia="zh-CN" w:bidi="ar-SA"/>
              </w:rPr>
            </w:pPr>
            <w:r>
              <w:rPr>
                <w:rFonts w:hint="eastAsia" w:asciiTheme="minorEastAsia" w:hAnsiTheme="minorEastAsia" w:eastAsiaTheme="minorEastAsia" w:cstheme="minorEastAsia"/>
                <w:b/>
                <w:bCs/>
                <w:kern w:val="2"/>
                <w:sz w:val="24"/>
                <w:szCs w:val="24"/>
                <w:vertAlign w:val="baseline"/>
                <w:lang w:val="en-US" w:eastAsia="zh-CN" w:bidi="ar-SA"/>
              </w:rPr>
              <w:t>14.配置英语学科听写工具，覆盖不少于4800个英语单词，支持自定义选择单词。自定义听写频率和次数，一键生成听写卡；授课模式支持一键开启听写朗读。提供生产厂家出具的、相应的功能证明材料（包括但不限于测试报告、官网和功能截图等）</w:t>
            </w:r>
          </w:p>
          <w:p>
            <w:pPr>
              <w:tabs>
                <w:tab w:val="left" w:pos="720"/>
              </w:tabs>
              <w:bidi w:val="0"/>
              <w:jc w:val="left"/>
              <w:rPr>
                <w:rFonts w:hint="eastAsia" w:asciiTheme="minorEastAsia" w:hAnsiTheme="minorEastAsia" w:eastAsiaTheme="minorEastAsia" w:cstheme="minorEastAsia"/>
                <w:b/>
                <w:bCs/>
                <w:kern w:val="2"/>
                <w:sz w:val="24"/>
                <w:szCs w:val="24"/>
                <w:vertAlign w:val="baseline"/>
                <w:lang w:val="en-US" w:eastAsia="zh-CN" w:bidi="ar-SA"/>
              </w:rPr>
            </w:pPr>
            <w:r>
              <w:rPr>
                <w:rFonts w:hint="eastAsia" w:asciiTheme="minorEastAsia" w:hAnsiTheme="minorEastAsia" w:eastAsiaTheme="minorEastAsia" w:cstheme="minorEastAsia"/>
                <w:b/>
                <w:bCs/>
                <w:kern w:val="2"/>
                <w:sz w:val="24"/>
                <w:szCs w:val="24"/>
                <w:vertAlign w:val="baseline"/>
                <w:lang w:val="en-US" w:eastAsia="zh-CN" w:bidi="ar-SA"/>
              </w:rPr>
              <w:t>15.提供古诗词、古文教学资源：包含原文、翻译、背景介绍、作者介绍、朗诵音频。内嵌诗词百科链接，一键跳转展示诗词及作者详细背景介绍；全部古诗词资源按照年级学段、朝代、诗人进行精细分类，教师仅需点击分类关键词即可快速跳转至对应诗词资源，无需输入诗词名称即可快速检索，支持教师直接搜索诗词、古文名称或作者名称进行查找。提供生产厂家出具的、相应的功能证明材料（包括但不限于测试报告、官网和功能截图等）</w:t>
            </w:r>
          </w:p>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16.内置专用美术画板工具，具备符合绘画调色教学需求的模拟调色盘，可选择不同颜色混合调色，便于学生理解调色合成过程。</w:t>
            </w:r>
          </w:p>
          <w:p>
            <w:pPr>
              <w:tabs>
                <w:tab w:val="left" w:pos="720"/>
              </w:tabs>
              <w:bidi w:val="0"/>
              <w:jc w:val="left"/>
              <w:rPr>
                <w:rFonts w:hint="eastAsia" w:asciiTheme="minorEastAsia" w:hAnsiTheme="minorEastAsia" w:eastAsiaTheme="minorEastAsia" w:cstheme="minorEastAsia"/>
                <w:b/>
                <w:bCs/>
                <w:kern w:val="2"/>
                <w:sz w:val="24"/>
                <w:szCs w:val="24"/>
                <w:vertAlign w:val="baseline"/>
                <w:lang w:val="en-US" w:eastAsia="zh-CN" w:bidi="ar-SA"/>
              </w:rPr>
            </w:pPr>
            <w:r>
              <w:rPr>
                <w:rFonts w:hint="eastAsia" w:asciiTheme="minorEastAsia" w:hAnsiTheme="minorEastAsia" w:eastAsiaTheme="minorEastAsia" w:cstheme="minorEastAsia"/>
                <w:b/>
                <w:bCs/>
                <w:kern w:val="2"/>
                <w:sz w:val="24"/>
                <w:szCs w:val="24"/>
                <w:vertAlign w:val="baseline"/>
                <w:lang w:val="en-US" w:eastAsia="zh-CN" w:bidi="ar-SA"/>
              </w:rPr>
              <w:t>17.内置元素周期表，并且提供多种展示样式，至少包括常规样式、原子序数、相对原子质量等。提供生产厂家出具的、相应的功能证明材料（包括但不限于测试报告、官网和功能截图等）</w:t>
            </w:r>
          </w:p>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b/>
                <w:bCs/>
                <w:kern w:val="2"/>
                <w:sz w:val="24"/>
                <w:szCs w:val="24"/>
                <w:vertAlign w:val="baseline"/>
                <w:lang w:val="en-US" w:eastAsia="zh-CN" w:bidi="ar-SA"/>
              </w:rPr>
              <w:t>18.多学科课件库：提供涵盖语文、数学、英语等学科全部教学章节的不少于2800份的交互式课件。课件支持直接预览并下载，预览时支持拖动课堂活动、形状、几何、文本等元素；下载时课件可同步至教师个人云课件存储空间；课件支持教师在线评分。提供生产厂家出具的、相应的功能证明材料（包括但不限于测试报告、官网和功能截图等）</w:t>
            </w:r>
          </w:p>
        </w:tc>
        <w:tc>
          <w:tcPr>
            <w:tcW w:w="745" w:type="dxa"/>
            <w:vAlign w:val="center"/>
          </w:tcPr>
          <w:p>
            <w:pPr>
              <w:tabs>
                <w:tab w:val="left" w:pos="720"/>
              </w:tabs>
              <w:bidi w:val="0"/>
              <w:jc w:val="center"/>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16</w:t>
            </w:r>
          </w:p>
        </w:tc>
        <w:tc>
          <w:tcPr>
            <w:tcW w:w="699" w:type="dxa"/>
            <w:vAlign w:val="center"/>
          </w:tcPr>
          <w:p>
            <w:pPr>
              <w:tabs>
                <w:tab w:val="left" w:pos="720"/>
              </w:tabs>
              <w:bidi w:val="0"/>
              <w:jc w:val="center"/>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1" w:hRule="atLeast"/>
        </w:trPr>
        <w:tc>
          <w:tcPr>
            <w:tcW w:w="753" w:type="dxa"/>
            <w:vAlign w:val="center"/>
          </w:tcPr>
          <w:p>
            <w:pPr>
              <w:tabs>
                <w:tab w:val="left" w:pos="720"/>
              </w:tabs>
              <w:bidi w:val="0"/>
              <w:jc w:val="center"/>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3</w:t>
            </w:r>
          </w:p>
        </w:tc>
        <w:tc>
          <w:tcPr>
            <w:tcW w:w="819" w:type="dxa"/>
            <w:vAlign w:val="center"/>
          </w:tcPr>
          <w:p>
            <w:pPr>
              <w:tabs>
                <w:tab w:val="left" w:pos="720"/>
              </w:tabs>
              <w:bidi w:val="0"/>
              <w:jc w:val="center"/>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集控管理平台</w:t>
            </w:r>
          </w:p>
        </w:tc>
        <w:tc>
          <w:tcPr>
            <w:tcW w:w="6662" w:type="dxa"/>
          </w:tcPr>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1.B/S混合云架构设计，无需本地额外部署服务器等设备即可实现对教学信息化设备运行数据的监测。</w:t>
            </w:r>
          </w:p>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2.Windows、Linux、Android、IOS等多种操作系统通过网页浏览器登陆操作，具有多种智能身份识别方式：通过账号登录、手机扫码登录等方式。管理平台提供管理员移动管理平台，免安装并可在Android、IOS等多种移动操作系统。</w:t>
            </w:r>
          </w:p>
          <w:p>
            <w:pPr>
              <w:tabs>
                <w:tab w:val="left" w:pos="720"/>
              </w:tabs>
              <w:bidi w:val="0"/>
              <w:jc w:val="left"/>
              <w:rPr>
                <w:rFonts w:hint="eastAsia" w:asciiTheme="minorEastAsia" w:hAnsiTheme="minorEastAsia" w:eastAsiaTheme="minorEastAsia" w:cstheme="minorEastAsia"/>
                <w:b/>
                <w:bCs/>
                <w:kern w:val="2"/>
                <w:sz w:val="24"/>
                <w:szCs w:val="24"/>
                <w:vertAlign w:val="baseline"/>
                <w:lang w:val="en-US" w:eastAsia="zh-CN" w:bidi="ar-SA"/>
              </w:rPr>
            </w:pPr>
            <w:r>
              <w:rPr>
                <w:rFonts w:hint="eastAsia" w:asciiTheme="minorEastAsia" w:hAnsiTheme="minorEastAsia" w:eastAsiaTheme="minorEastAsia" w:cstheme="minorEastAsia"/>
                <w:b/>
                <w:bCs/>
                <w:kern w:val="2"/>
                <w:sz w:val="24"/>
                <w:szCs w:val="24"/>
                <w:vertAlign w:val="baseline"/>
                <w:lang w:val="en-US" w:eastAsia="zh-CN" w:bidi="ar-SA"/>
              </w:rPr>
              <w:t>3.移动系统采用Mini Program设计，无需下载单独安装APP即可使用；兼容Android、IOS等多种移动操作系统，便于远程管理及告警信息通知。提供生产厂家出具的、相应的功能证明材料（包括但不限于测试报告、官网和功能截图等）</w:t>
            </w:r>
          </w:p>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4.平台具备对全校智慧教室的教学信息化设备进行集中运维管理和策略部署。</w:t>
            </w:r>
          </w:p>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5.具备多设备接入，与交互智能教学设备、学生智能终端等教学设备的底层系统无缝对接。</w:t>
            </w:r>
          </w:p>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6.为学校提供专属识别代码，可具备交互智能设备在广域网环境下，输入专属代码接入管理平台即可在通过管理平台可开启或关闭指定交互智能设备的任意磁盘分区数据还原（冰点）保护。</w:t>
            </w:r>
          </w:p>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7.实时监测已连接的交互智能设备状态，具备不少于10台设备的略缩预览以及单设备全屏查看；可远程监测交互智能设备开关机状态、CPU温度、CPU使用率、硬盘空间、硬盘使用状况、内存容量、内存使用率、受控端系统版本、设备ID等设备数据。</w:t>
            </w:r>
          </w:p>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8.可提供昨日、近7日、近30日、自定义筛选时间段内的校内所有设备的软件累计使用时长分析、软件活跃情况分析及单台设备的具体使用情况分布查询。</w:t>
            </w:r>
          </w:p>
          <w:p>
            <w:pPr>
              <w:tabs>
                <w:tab w:val="left" w:pos="720"/>
              </w:tabs>
              <w:bidi w:val="0"/>
              <w:jc w:val="left"/>
              <w:rPr>
                <w:rFonts w:hint="eastAsia" w:asciiTheme="minorEastAsia" w:hAnsiTheme="minorEastAsia" w:eastAsiaTheme="minorEastAsia" w:cstheme="minorEastAsia"/>
                <w:b/>
                <w:bCs/>
                <w:kern w:val="2"/>
                <w:sz w:val="24"/>
                <w:szCs w:val="24"/>
                <w:vertAlign w:val="baseline"/>
                <w:lang w:val="en-US" w:eastAsia="zh-CN" w:bidi="ar-SA"/>
              </w:rPr>
            </w:pPr>
            <w:r>
              <w:rPr>
                <w:rFonts w:hint="eastAsia" w:asciiTheme="minorEastAsia" w:hAnsiTheme="minorEastAsia" w:eastAsiaTheme="minorEastAsia" w:cstheme="minorEastAsia"/>
                <w:b/>
                <w:bCs/>
                <w:kern w:val="2"/>
                <w:sz w:val="24"/>
                <w:szCs w:val="24"/>
                <w:vertAlign w:val="baseline"/>
                <w:lang w:val="en-US" w:eastAsia="zh-CN" w:bidi="ar-SA"/>
              </w:rPr>
              <w:t>9.支持在移动端按日\周\月周期以图表形式快速查看设备日均开机时长分布、设备活跃趋势分析、软件使用时长排行、软件使用次数排行、设备健康度排行等；并自动生成运维解析策略。提供生产厂家出具的、相应的功能证明材料（包括但不限于测试报告、官网和功能截图等）</w:t>
            </w:r>
          </w:p>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10.可对局域网内的交互智能终端进行远程实时控制，能够监测设备当前运行界面，并远程对设备操作界面进行控制。</w:t>
            </w:r>
          </w:p>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11.可控制连接广域网的交互智能设备整机关机、开机和重启；可批量设定智能设备开关机的执行时间，自定义日循环执行，预约定时执行。</w:t>
            </w:r>
          </w:p>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12.可远程对选定的交互智能设备推送动态文字滚动公告，可对公告文字的颜色、粗体以及播放次数、推送时间进行设置。</w:t>
            </w:r>
          </w:p>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13.可批量对交互智能设备进行软件远程部署，配套专用教学软件批量部署可静默安装。</w:t>
            </w:r>
          </w:p>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14.具有巡课值守模式，自动轮循所有的受控设备使用界面。</w:t>
            </w:r>
          </w:p>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15.显示设备使用情况数据报表，包括实时在线设备数、今日活跃人数、使用学科数、异常条数、设备使用时段、设备使用时长分布、软件使用次数、用户活跃数、不同学科使用频次占比等。</w:t>
            </w:r>
          </w:p>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16.管理操作日志实时反馈远程控制及信息发布等指令状态。操作日志具备按照指令类型筛选查看。</w:t>
            </w:r>
          </w:p>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17.多层级权限管理，可将多类型的设备管理权限分配给多个管理员，由多个管理员共同管理；顶级管理员可添加普通管理员并修改普通管理员的权限。</w:t>
            </w:r>
          </w:p>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18.移动管理平台可查看已连接设备运行异常数据，异常类型包含温度过高、CPU占用率过高、待机时间过长等，具备按年级筛选查看设备异常数据并对异常设备进行管控。</w:t>
            </w:r>
          </w:p>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19.交互智能设备发生异常时，移动管理平台自动发送异常信息提醒管理员，包括设备超过4小时无人使用异常、未准点关机异常。</w:t>
            </w:r>
          </w:p>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20.为学校提供专属识别代码，广域网环境下的交互智能设备输入专属代码接入管理平台即可在通过管理平台对设备进行远程管理。可按照年级、班级自定义交互智能设备名称，方便管理员对应管理。</w:t>
            </w:r>
          </w:p>
          <w:p>
            <w:pPr>
              <w:tabs>
                <w:tab w:val="left" w:pos="720"/>
              </w:tabs>
              <w:bidi w:val="0"/>
              <w:jc w:val="left"/>
              <w:rPr>
                <w:rFonts w:hint="eastAsia" w:asciiTheme="minorEastAsia" w:hAnsiTheme="minorEastAsia" w:eastAsiaTheme="minorEastAsia" w:cstheme="minorEastAsia"/>
                <w:b/>
                <w:bCs/>
                <w:kern w:val="2"/>
                <w:sz w:val="24"/>
                <w:szCs w:val="24"/>
                <w:vertAlign w:val="baseline"/>
                <w:lang w:val="en-US" w:eastAsia="zh-CN" w:bidi="ar-SA"/>
              </w:rPr>
            </w:pPr>
            <w:r>
              <w:rPr>
                <w:rFonts w:hint="eastAsia" w:asciiTheme="minorEastAsia" w:hAnsiTheme="minorEastAsia" w:eastAsiaTheme="minorEastAsia" w:cstheme="minorEastAsia"/>
                <w:b/>
                <w:bCs/>
                <w:kern w:val="2"/>
                <w:sz w:val="24"/>
                <w:szCs w:val="24"/>
                <w:vertAlign w:val="baseline"/>
                <w:lang w:val="en-US" w:eastAsia="zh-CN" w:bidi="ar-SA"/>
              </w:rPr>
              <w:t>21.支持弹窗自动拦截功能的开启或关闭，开启后系统智能嗅探软件应用弹窗并自动屏蔽。后台实时统计弹窗拦截保护的设备数量及历史拦截弹窗总数量。自动统计设备装载的软件应用弹出弹窗的次数，并留存软件应用弹窗界面截图，便于管理者针对性设置弹窗拦截黑\白名单。提供生产厂家出具的、相应的功能证明材料（包括但不限于测试报告、官网和功能截图等）</w:t>
            </w:r>
          </w:p>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22.提供教学专用广告屏蔽工具。具备高强度屏蔽拦截，对全部软件应用弹窗进行无差别拦截。</w:t>
            </w:r>
          </w:p>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b/>
                <w:bCs/>
                <w:kern w:val="2"/>
                <w:sz w:val="24"/>
                <w:szCs w:val="24"/>
                <w:vertAlign w:val="baseline"/>
                <w:lang w:val="en-US" w:eastAsia="zh-CN" w:bidi="ar-SA"/>
              </w:rPr>
              <w:t>23.以上所有功能操作需在同一软件平台上实现，且需保证数据分析平台集控管理平台与智慧黑板为同一品牌。提供生产厂家出具的、相应的功能证明材料（包括但不限于测试报告、官网和功能截图等）</w:t>
            </w:r>
          </w:p>
        </w:tc>
        <w:tc>
          <w:tcPr>
            <w:tcW w:w="745" w:type="dxa"/>
            <w:vAlign w:val="center"/>
          </w:tcPr>
          <w:p>
            <w:pPr>
              <w:tabs>
                <w:tab w:val="left" w:pos="720"/>
              </w:tabs>
              <w:bidi w:val="0"/>
              <w:jc w:val="center"/>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16</w:t>
            </w:r>
          </w:p>
        </w:tc>
        <w:tc>
          <w:tcPr>
            <w:tcW w:w="699" w:type="dxa"/>
            <w:vAlign w:val="center"/>
          </w:tcPr>
          <w:p>
            <w:pPr>
              <w:tabs>
                <w:tab w:val="left" w:pos="720"/>
              </w:tabs>
              <w:bidi w:val="0"/>
              <w:jc w:val="center"/>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2" w:hRule="atLeast"/>
        </w:trPr>
        <w:tc>
          <w:tcPr>
            <w:tcW w:w="753" w:type="dxa"/>
            <w:vAlign w:val="center"/>
          </w:tcPr>
          <w:p>
            <w:pPr>
              <w:tabs>
                <w:tab w:val="left" w:pos="720"/>
              </w:tabs>
              <w:bidi w:val="0"/>
              <w:jc w:val="center"/>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4</w:t>
            </w:r>
          </w:p>
        </w:tc>
        <w:tc>
          <w:tcPr>
            <w:tcW w:w="819" w:type="dxa"/>
            <w:vAlign w:val="center"/>
          </w:tcPr>
          <w:p>
            <w:pPr>
              <w:tabs>
                <w:tab w:val="left" w:pos="720"/>
              </w:tabs>
              <w:bidi w:val="0"/>
              <w:jc w:val="center"/>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教学数据分析管理平台</w:t>
            </w:r>
          </w:p>
        </w:tc>
        <w:tc>
          <w:tcPr>
            <w:tcW w:w="6662" w:type="dxa"/>
          </w:tcPr>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1.后台采用B/S架构设计，支持学校管理者在Windows、Linux、Android、IOS等多种不同的操作系统上通过网页浏览器登陆进行操作，可统计全校教师软件活跃数据、学生点评及课件上传等数据。</w:t>
            </w:r>
          </w:p>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2.支持管理员及教师使用网页端、移动端登录，移动端支持查看网页端数据信息，教师榜单，并定期推送数据分析报表，帮助学校检验信息化教学成果。</w:t>
            </w:r>
          </w:p>
          <w:p>
            <w:pPr>
              <w:tabs>
                <w:tab w:val="left" w:pos="720"/>
              </w:tabs>
              <w:bidi w:val="0"/>
              <w:jc w:val="left"/>
              <w:rPr>
                <w:rFonts w:hint="eastAsia" w:asciiTheme="minorEastAsia" w:hAnsiTheme="minorEastAsia" w:eastAsiaTheme="minorEastAsia" w:cstheme="minorEastAsia"/>
                <w:b/>
                <w:bCs/>
                <w:kern w:val="2"/>
                <w:sz w:val="24"/>
                <w:szCs w:val="24"/>
                <w:vertAlign w:val="baseline"/>
                <w:lang w:val="en-US" w:eastAsia="zh-CN" w:bidi="ar-SA"/>
              </w:rPr>
            </w:pPr>
            <w:r>
              <w:rPr>
                <w:rFonts w:hint="eastAsia" w:asciiTheme="minorEastAsia" w:hAnsiTheme="minorEastAsia" w:eastAsiaTheme="minorEastAsia" w:cstheme="minorEastAsia"/>
                <w:b/>
                <w:bCs/>
                <w:kern w:val="2"/>
                <w:sz w:val="24"/>
                <w:szCs w:val="24"/>
                <w:vertAlign w:val="baseline"/>
                <w:lang w:val="en-US" w:eastAsia="zh-CN" w:bidi="ar-SA"/>
              </w:rPr>
              <w:t>3.信息化数据雷达图：将信息化教学数据分五个维度进行评估，分别为课件制作、听课评课、师生互动、互动教学、家校沟通，并与全省均值对比，学校信息化教学情况一目了然。提供生产厂家出具的、相应的功能证明材料（包括但不限于测试报告、官网和功能截图等）</w:t>
            </w:r>
          </w:p>
          <w:p>
            <w:pPr>
              <w:tabs>
                <w:tab w:val="left" w:pos="720"/>
              </w:tabs>
              <w:bidi w:val="0"/>
              <w:jc w:val="left"/>
              <w:rPr>
                <w:rFonts w:hint="eastAsia" w:asciiTheme="minorEastAsia" w:hAnsiTheme="minorEastAsia" w:eastAsiaTheme="minorEastAsia" w:cstheme="minorEastAsia"/>
                <w:b/>
                <w:bCs/>
                <w:kern w:val="2"/>
                <w:sz w:val="24"/>
                <w:szCs w:val="24"/>
                <w:vertAlign w:val="baseline"/>
                <w:lang w:val="en-US" w:eastAsia="zh-CN" w:bidi="ar-SA"/>
              </w:rPr>
            </w:pPr>
            <w:r>
              <w:rPr>
                <w:rFonts w:hint="eastAsia" w:asciiTheme="minorEastAsia" w:hAnsiTheme="minorEastAsia" w:eastAsiaTheme="minorEastAsia" w:cstheme="minorEastAsia"/>
                <w:b/>
                <w:bCs/>
                <w:kern w:val="2"/>
                <w:sz w:val="24"/>
                <w:szCs w:val="24"/>
                <w:vertAlign w:val="baseline"/>
                <w:lang w:val="en-US" w:eastAsia="zh-CN" w:bidi="ar-SA"/>
              </w:rPr>
              <w:t>4.提升实力：一键分析学校信息化教学的待提升项，并将本校信息化教学数值与省最高值进行对比，方便学校了解自身情况和实际差距；同时可通过管理端督促教师开展信息化教学活动，并为管理者预测督促后可提升的指标，督促信息将通过短信触达教师，保证督促效果。提供生产厂家出具的、相应的功能证明材料（包括但不限于测试报告、官网和功能截图等）</w:t>
            </w:r>
          </w:p>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5.教师考勤：具备教师GPS定位打卡考勤功能。学校管理员可设置考勤时间、考勤范围，还可以查看和导出考勤数据报表。教师可在移动端进行GPS考勤，到达学校范围后即激活打卡，支持入校、离校、迟到、早退等多种打卡类型。</w:t>
            </w:r>
          </w:p>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6.教研结构：支持管理者按照学段-学科-年级快速创建教师的教研组织结构，方便教师信息的分类管理。</w:t>
            </w:r>
          </w:p>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7.信息管理：支持修改管理员、教师的账户信息，支持管理员上传校徽，并对本校内管理者账户都可见。</w:t>
            </w:r>
          </w:p>
          <w:p>
            <w:pPr>
              <w:tabs>
                <w:tab w:val="left" w:pos="720"/>
              </w:tabs>
              <w:bidi w:val="0"/>
              <w:jc w:val="left"/>
              <w:rPr>
                <w:rFonts w:hint="eastAsia" w:asciiTheme="minorEastAsia" w:hAnsiTheme="minorEastAsia" w:eastAsiaTheme="minorEastAsia" w:cstheme="minorEastAsia"/>
                <w:b/>
                <w:bCs/>
                <w:kern w:val="2"/>
                <w:sz w:val="24"/>
                <w:szCs w:val="24"/>
                <w:vertAlign w:val="baseline"/>
                <w:lang w:val="en-US" w:eastAsia="zh-CN" w:bidi="ar-SA"/>
              </w:rPr>
            </w:pPr>
            <w:r>
              <w:rPr>
                <w:rFonts w:hint="eastAsia" w:asciiTheme="minorEastAsia" w:hAnsiTheme="minorEastAsia" w:eastAsiaTheme="minorEastAsia" w:cstheme="minorEastAsia"/>
                <w:b/>
                <w:bCs/>
                <w:kern w:val="2"/>
                <w:sz w:val="24"/>
                <w:szCs w:val="24"/>
                <w:vertAlign w:val="baseline"/>
                <w:lang w:val="en-US" w:eastAsia="zh-CN" w:bidi="ar-SA"/>
              </w:rPr>
              <w:t>8.为学校提供教研全流程管理服务，包含教学计划、电子教案、听课评课、校本资源、班级氛围的流程管理和数据分析，方便学校统筹管理教学、教研活动进展，收集数据反馈和评价，了解全体教师的教学、教研产出。提供生产厂家出具的、相应的功能证明材料（包括但不限于测试报告、官网和功能截图等）</w:t>
            </w:r>
          </w:p>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9.教案模板管理：支持管理者自定义学校的教案模板，可以设置必填项和选填项，有效规范教师教案的编写。</w:t>
            </w:r>
          </w:p>
          <w:p>
            <w:pPr>
              <w:tabs>
                <w:tab w:val="left" w:pos="720"/>
              </w:tabs>
              <w:bidi w:val="0"/>
              <w:jc w:val="left"/>
              <w:rPr>
                <w:rFonts w:hint="eastAsia" w:asciiTheme="minorEastAsia" w:hAnsiTheme="minorEastAsia" w:eastAsiaTheme="minorEastAsia" w:cstheme="minorEastAsia"/>
                <w:b/>
                <w:bCs/>
                <w:kern w:val="2"/>
                <w:sz w:val="24"/>
                <w:szCs w:val="24"/>
                <w:vertAlign w:val="baseline"/>
                <w:lang w:val="en-US" w:eastAsia="zh-CN" w:bidi="ar-SA"/>
              </w:rPr>
            </w:pPr>
            <w:r>
              <w:rPr>
                <w:rFonts w:hint="eastAsia" w:asciiTheme="minorEastAsia" w:hAnsiTheme="minorEastAsia" w:eastAsiaTheme="minorEastAsia" w:cstheme="minorEastAsia"/>
                <w:b/>
                <w:bCs/>
                <w:kern w:val="2"/>
                <w:sz w:val="24"/>
                <w:szCs w:val="24"/>
                <w:vertAlign w:val="baseline"/>
                <w:lang w:val="en-US" w:eastAsia="zh-CN" w:bidi="ar-SA"/>
              </w:rPr>
              <w:t>10.班级氛围数据概况：支持查看不同时间段班级氛围数据的概况，数据包含家长入班率，教师对学生的新增点评数。提供生产厂家出具的、相应的功能证明材料（包括但不限于测试报告、官网和功能截图等）</w:t>
            </w:r>
          </w:p>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11.听评课数据统计导出：支持对不同评课维度得分进行统计，计算平均分并找出评分薄弱项，方便管理者针对性优化教学策略，同时支持查看全校的评课记录和得分详情，并可一键导出Excel表格，方便整理。</w:t>
            </w:r>
          </w:p>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12.电子教案：教师可以在个人空间直接编写教案，编写教案时可以关联课件，支持教师在个人空间、配套备授课工具查看课件以及教案，方便教师进行教学设计。</w:t>
            </w:r>
          </w:p>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13.习题使用：教师可以选择习题插入课件使用。支持在云空间中创建习题，包括选择题、填空题、解答题，支持批量导入习题，将习题分享至校本资源库。</w:t>
            </w:r>
          </w:p>
        </w:tc>
        <w:tc>
          <w:tcPr>
            <w:tcW w:w="745" w:type="dxa"/>
            <w:vAlign w:val="center"/>
          </w:tcPr>
          <w:p>
            <w:pPr>
              <w:tabs>
                <w:tab w:val="left" w:pos="720"/>
              </w:tabs>
              <w:bidi w:val="0"/>
              <w:jc w:val="center"/>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16</w:t>
            </w:r>
          </w:p>
        </w:tc>
        <w:tc>
          <w:tcPr>
            <w:tcW w:w="699" w:type="dxa"/>
            <w:vAlign w:val="center"/>
          </w:tcPr>
          <w:p>
            <w:pPr>
              <w:tabs>
                <w:tab w:val="left" w:pos="720"/>
              </w:tabs>
              <w:bidi w:val="0"/>
              <w:jc w:val="center"/>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9" w:hRule="atLeast"/>
        </w:trPr>
        <w:tc>
          <w:tcPr>
            <w:tcW w:w="753" w:type="dxa"/>
            <w:vAlign w:val="center"/>
          </w:tcPr>
          <w:p>
            <w:pPr>
              <w:tabs>
                <w:tab w:val="left" w:pos="720"/>
              </w:tabs>
              <w:bidi w:val="0"/>
              <w:jc w:val="center"/>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5</w:t>
            </w:r>
          </w:p>
        </w:tc>
        <w:tc>
          <w:tcPr>
            <w:tcW w:w="819" w:type="dxa"/>
            <w:vAlign w:val="center"/>
          </w:tcPr>
          <w:p>
            <w:pPr>
              <w:tabs>
                <w:tab w:val="left" w:pos="720"/>
              </w:tabs>
              <w:bidi w:val="0"/>
              <w:jc w:val="center"/>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视频展台</w:t>
            </w:r>
          </w:p>
        </w:tc>
        <w:tc>
          <w:tcPr>
            <w:tcW w:w="6662" w:type="dxa"/>
          </w:tcPr>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硬件参数</w:t>
            </w:r>
          </w:p>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1.采用≥800万像素摄像头；采用 USB五伏电源直接供电，无需额外配置电源适配器，环保无辐射；箱内USB连线采用隐藏式设计，箱内无可见连线且USB口下出，有效防止积尘，且方便布线和返修；</w:t>
            </w:r>
          </w:p>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2.A4大小拍摄幅面，1080P动态视频预览达到30帧/秒；托板及挂墙部分采用金属加强，托板可承重3kg，整机壁挂式安装；</w:t>
            </w:r>
          </w:p>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3.支持展台成像画面实时批注，预设多种笔划粗细及颜色供选择，且支持对展台成像画面联同批注内容进行同步缩放、移动；</w:t>
            </w:r>
          </w:p>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4.展示托板正上方具备LED补光灯，保证展示区域的亮度及展示效果；</w:t>
            </w:r>
          </w:p>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5.为保证视频展台稳定性，需与一体机为同一品牌。</w:t>
            </w:r>
          </w:p>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软件参数</w:t>
            </w:r>
          </w:p>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6.支持对展台画面进行放大、缩小、旋转、自适应、冻结画面等操作。</w:t>
            </w:r>
          </w:p>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7.支持展台画面实时批注，预设多种笔划粗细及颜色供选择，且支持对展台画面联同批注内容进行同步缩放、移动。</w:t>
            </w:r>
          </w:p>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8.支持故障自动检测，在软件无法出现展台拍摄画面时，自动出现检测链接，帮助用户检测“无画面”的原因，并给出引导性解决方案。可判断硬件连接、显卡驱动、摄像头占用、软件版本等问题。</w:t>
            </w:r>
          </w:p>
        </w:tc>
        <w:tc>
          <w:tcPr>
            <w:tcW w:w="745" w:type="dxa"/>
            <w:vAlign w:val="center"/>
          </w:tcPr>
          <w:p>
            <w:pPr>
              <w:tabs>
                <w:tab w:val="left" w:pos="720"/>
              </w:tabs>
              <w:bidi w:val="0"/>
              <w:jc w:val="center"/>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16</w:t>
            </w:r>
          </w:p>
        </w:tc>
        <w:tc>
          <w:tcPr>
            <w:tcW w:w="699" w:type="dxa"/>
            <w:vAlign w:val="center"/>
          </w:tcPr>
          <w:p>
            <w:pPr>
              <w:tabs>
                <w:tab w:val="left" w:pos="720"/>
              </w:tabs>
              <w:bidi w:val="0"/>
              <w:jc w:val="center"/>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5" w:hRule="atLeast"/>
        </w:trPr>
        <w:tc>
          <w:tcPr>
            <w:tcW w:w="753" w:type="dxa"/>
            <w:vAlign w:val="center"/>
          </w:tcPr>
          <w:p>
            <w:pPr>
              <w:tabs>
                <w:tab w:val="left" w:pos="720"/>
              </w:tabs>
              <w:bidi w:val="0"/>
              <w:jc w:val="center"/>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6</w:t>
            </w:r>
          </w:p>
        </w:tc>
        <w:tc>
          <w:tcPr>
            <w:tcW w:w="819" w:type="dxa"/>
            <w:vAlign w:val="center"/>
          </w:tcPr>
          <w:p>
            <w:pPr>
              <w:tabs>
                <w:tab w:val="left" w:pos="720"/>
              </w:tabs>
              <w:bidi w:val="0"/>
              <w:jc w:val="center"/>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音响</w:t>
            </w:r>
          </w:p>
        </w:tc>
        <w:tc>
          <w:tcPr>
            <w:tcW w:w="6662" w:type="dxa"/>
          </w:tcPr>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1.采用功放与有源音箱一体化设计，内置麦克风无线接收模块，帮助教师实现多媒体扩音以及本地扩声功能。</w:t>
            </w:r>
          </w:p>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2.双音箱有线连接，机箱采用塑胶材质，保护设备免受环境影响。</w:t>
            </w:r>
          </w:p>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3.输出额定功率: 2*15W，喇叭单元尺寸≥5寸。</w:t>
            </w:r>
          </w:p>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4.端口：220V电源接口*1、Line in*1、USB*1。</w:t>
            </w:r>
          </w:p>
          <w:p>
            <w:pPr>
              <w:tabs>
                <w:tab w:val="left" w:pos="720"/>
              </w:tabs>
              <w:bidi w:val="0"/>
              <w:jc w:val="left"/>
              <w:rPr>
                <w:rFonts w:hint="eastAsia" w:asciiTheme="minorEastAsia" w:hAnsiTheme="minorEastAsia" w:eastAsiaTheme="minorEastAsia" w:cstheme="minorEastAsia"/>
                <w:b/>
                <w:bCs/>
                <w:kern w:val="2"/>
                <w:sz w:val="24"/>
                <w:szCs w:val="24"/>
                <w:vertAlign w:val="baseline"/>
                <w:lang w:val="en-US" w:eastAsia="zh-CN" w:bidi="ar-SA"/>
              </w:rPr>
            </w:pPr>
            <w:r>
              <w:rPr>
                <w:rFonts w:hint="eastAsia" w:asciiTheme="minorEastAsia" w:hAnsiTheme="minorEastAsia" w:eastAsiaTheme="minorEastAsia" w:cstheme="minorEastAsia"/>
                <w:b/>
                <w:bCs/>
                <w:kern w:val="2"/>
                <w:sz w:val="24"/>
                <w:szCs w:val="24"/>
                <w:vertAlign w:val="baseline"/>
                <w:lang w:val="en-US" w:eastAsia="zh-CN" w:bidi="ar-SA"/>
              </w:rPr>
              <w:t>5.专门为教室声学环境设计的合适扩声效果，距离音箱10米处声压级达到75dB。提供生产厂家出具的、相应的功能证明材料（包括但不限于测试报告、官网和功能截图等）</w:t>
            </w:r>
          </w:p>
          <w:p>
            <w:pPr>
              <w:tabs>
                <w:tab w:val="left" w:pos="720"/>
              </w:tabs>
              <w:bidi w:val="0"/>
              <w:jc w:val="left"/>
              <w:rPr>
                <w:rFonts w:hint="eastAsia" w:asciiTheme="minorEastAsia" w:hAnsiTheme="minorEastAsia" w:eastAsiaTheme="minorEastAsia" w:cstheme="minorEastAsia"/>
                <w:b/>
                <w:bCs/>
                <w:kern w:val="2"/>
                <w:sz w:val="24"/>
                <w:szCs w:val="24"/>
                <w:vertAlign w:val="baseline"/>
                <w:lang w:val="en-US" w:eastAsia="zh-CN" w:bidi="ar-SA"/>
              </w:rPr>
            </w:pPr>
            <w:r>
              <w:rPr>
                <w:rFonts w:hint="eastAsia" w:asciiTheme="minorEastAsia" w:hAnsiTheme="minorEastAsia" w:eastAsiaTheme="minorEastAsia" w:cstheme="minorEastAsia"/>
                <w:b/>
                <w:bCs/>
                <w:kern w:val="2"/>
                <w:sz w:val="24"/>
                <w:szCs w:val="24"/>
                <w:vertAlign w:val="baseline"/>
                <w:lang w:val="en-US" w:eastAsia="zh-CN" w:bidi="ar-SA"/>
              </w:rPr>
              <w:t>6.麦克风和功放音箱之间采用数字U段传输技术，有效避免环境中2.4G信号干扰，例如蓝牙及WIFI设备。提供生产厂家出具的、相应的功能证明材料（包括但不限于测试报告、官网和功能截图等）</w:t>
            </w:r>
          </w:p>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7.配置独立音频数字信号处理芯片，支持啸叫抑制功能。</w:t>
            </w:r>
          </w:p>
          <w:p>
            <w:pPr>
              <w:tabs>
                <w:tab w:val="left" w:pos="720"/>
              </w:tabs>
              <w:bidi w:val="0"/>
              <w:jc w:val="left"/>
              <w:rPr>
                <w:rFonts w:hint="eastAsia" w:asciiTheme="minorEastAsia" w:hAnsiTheme="minorEastAsia" w:eastAsiaTheme="minorEastAsia" w:cstheme="minorEastAsia"/>
                <w:b/>
                <w:bCs/>
                <w:kern w:val="2"/>
                <w:sz w:val="24"/>
                <w:szCs w:val="24"/>
                <w:vertAlign w:val="baseline"/>
                <w:lang w:val="en-US" w:eastAsia="zh-CN" w:bidi="ar-SA"/>
              </w:rPr>
            </w:pPr>
            <w:r>
              <w:rPr>
                <w:rFonts w:hint="eastAsia" w:asciiTheme="minorEastAsia" w:hAnsiTheme="minorEastAsia" w:eastAsiaTheme="minorEastAsia" w:cstheme="minorEastAsia"/>
                <w:b/>
                <w:bCs/>
                <w:kern w:val="2"/>
                <w:sz w:val="24"/>
                <w:szCs w:val="24"/>
                <w:vertAlign w:val="baseline"/>
                <w:lang w:val="en-US" w:eastAsia="zh-CN" w:bidi="ar-SA"/>
              </w:rPr>
              <w:t>8.支持教师扩声和输入音源叠加输出，可对接录播系统实现教师扩声音频的纯净采集，避免环境杂音干扰采集效果。提供生产厂家出具的、相应的功能证明材料（包括但不限于测试报告、官网和功能截图等）</w:t>
            </w:r>
          </w:p>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9.音箱具有CCC资格认证，符合中国电子设备管理规定和技术标准。</w:t>
            </w:r>
          </w:p>
        </w:tc>
        <w:tc>
          <w:tcPr>
            <w:tcW w:w="745" w:type="dxa"/>
            <w:vAlign w:val="center"/>
          </w:tcPr>
          <w:p>
            <w:pPr>
              <w:tabs>
                <w:tab w:val="left" w:pos="720"/>
              </w:tabs>
              <w:bidi w:val="0"/>
              <w:jc w:val="center"/>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16</w:t>
            </w:r>
          </w:p>
        </w:tc>
        <w:tc>
          <w:tcPr>
            <w:tcW w:w="699" w:type="dxa"/>
            <w:vAlign w:val="center"/>
          </w:tcPr>
          <w:p>
            <w:pPr>
              <w:tabs>
                <w:tab w:val="left" w:pos="720"/>
              </w:tabs>
              <w:bidi w:val="0"/>
              <w:jc w:val="center"/>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753" w:type="dxa"/>
            <w:vAlign w:val="center"/>
          </w:tcPr>
          <w:p>
            <w:pPr>
              <w:tabs>
                <w:tab w:val="left" w:pos="720"/>
              </w:tabs>
              <w:bidi w:val="0"/>
              <w:jc w:val="center"/>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7</w:t>
            </w:r>
          </w:p>
        </w:tc>
        <w:tc>
          <w:tcPr>
            <w:tcW w:w="819" w:type="dxa"/>
            <w:vAlign w:val="center"/>
          </w:tcPr>
          <w:p>
            <w:pPr>
              <w:tabs>
                <w:tab w:val="left" w:pos="720"/>
              </w:tabs>
              <w:bidi w:val="0"/>
              <w:jc w:val="center"/>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麦克风</w:t>
            </w:r>
          </w:p>
        </w:tc>
        <w:tc>
          <w:tcPr>
            <w:tcW w:w="6662" w:type="dxa"/>
          </w:tcPr>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1.无线麦克风集音频发射处理器、天线、电池、拾音麦克风于一体，配合一体化有源音箱，无需任何外接辅助设备即可实现本地扩声功能。</w:t>
            </w:r>
          </w:p>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cstheme="minorEastAsia"/>
                <w:kern w:val="2"/>
                <w:sz w:val="24"/>
                <w:szCs w:val="24"/>
                <w:vertAlign w:val="baseline"/>
                <w:lang w:val="en-US" w:eastAsia="zh-CN" w:bidi="ar-SA"/>
              </w:rPr>
              <w:t>2</w:t>
            </w:r>
            <w:r>
              <w:rPr>
                <w:rFonts w:hint="eastAsia" w:asciiTheme="minorEastAsia" w:hAnsiTheme="minorEastAsia" w:eastAsiaTheme="minorEastAsia" w:cstheme="minorEastAsia"/>
                <w:kern w:val="2"/>
                <w:sz w:val="24"/>
                <w:szCs w:val="24"/>
                <w:vertAlign w:val="baseline"/>
                <w:lang w:val="en-US" w:eastAsia="zh-CN" w:bidi="ar-SA"/>
              </w:rPr>
              <w:t>.麦克风和功放音箱之间采用数字U段传输技术，有效避免环境中2.4G信号干扰，例如蓝牙及WIFI设备。</w:t>
            </w:r>
          </w:p>
          <w:p>
            <w:pPr>
              <w:tabs>
                <w:tab w:val="left" w:pos="720"/>
              </w:tabs>
              <w:bidi w:val="0"/>
              <w:jc w:val="left"/>
              <w:rPr>
                <w:rFonts w:hint="eastAsia" w:asciiTheme="minorEastAsia" w:hAnsiTheme="minorEastAsia" w:eastAsiaTheme="minorEastAsia" w:cstheme="minorEastAsia"/>
                <w:b/>
                <w:bCs/>
                <w:kern w:val="2"/>
                <w:sz w:val="24"/>
                <w:szCs w:val="24"/>
                <w:vertAlign w:val="baseline"/>
                <w:lang w:val="en-US" w:eastAsia="zh-CN" w:bidi="ar-SA"/>
              </w:rPr>
            </w:pPr>
            <w:r>
              <w:rPr>
                <w:rFonts w:hint="eastAsia" w:asciiTheme="minorEastAsia" w:hAnsiTheme="minorEastAsia" w:cstheme="minorEastAsia"/>
                <w:b/>
                <w:bCs/>
                <w:kern w:val="2"/>
                <w:sz w:val="24"/>
                <w:szCs w:val="24"/>
                <w:vertAlign w:val="baseline"/>
                <w:lang w:val="en-US" w:eastAsia="zh-CN" w:bidi="ar-SA"/>
              </w:rPr>
              <w:t>3.</w:t>
            </w:r>
            <w:r>
              <w:rPr>
                <w:rFonts w:hint="eastAsia" w:asciiTheme="minorEastAsia" w:hAnsiTheme="minorEastAsia" w:eastAsiaTheme="minorEastAsia" w:cstheme="minorEastAsia"/>
                <w:b/>
                <w:bCs/>
                <w:kern w:val="2"/>
                <w:sz w:val="24"/>
                <w:szCs w:val="24"/>
                <w:vertAlign w:val="baseline"/>
                <w:lang w:val="en-US" w:eastAsia="zh-CN" w:bidi="ar-SA"/>
              </w:rPr>
              <w:t>支持智能红外对码及UHF对码，可在2s内快速完成与教学扩声音箱对码，无需繁琐操作。可与移动音箱或录播主机对码连接。提供生产厂家出具的、相应的功能证明材料（包括但不限于测试报告、官网和功能截图等）</w:t>
            </w:r>
          </w:p>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cstheme="minorEastAsia"/>
                <w:kern w:val="2"/>
                <w:sz w:val="24"/>
                <w:szCs w:val="24"/>
                <w:vertAlign w:val="baseline"/>
                <w:lang w:val="en-US" w:eastAsia="zh-CN" w:bidi="ar-SA"/>
              </w:rPr>
              <w:t>4.</w:t>
            </w:r>
            <w:r>
              <w:rPr>
                <w:rFonts w:hint="eastAsia" w:asciiTheme="minorEastAsia" w:hAnsiTheme="minorEastAsia" w:eastAsiaTheme="minorEastAsia" w:cstheme="minorEastAsia"/>
                <w:kern w:val="2"/>
                <w:sz w:val="24"/>
                <w:szCs w:val="24"/>
                <w:vertAlign w:val="baseline"/>
                <w:lang w:val="en-US" w:eastAsia="zh-CN" w:bidi="ar-SA"/>
              </w:rPr>
              <w:t>采用触点磁吸式充电方式，支持快速充电与超低功耗工作模式，课间充电10分钟，实现80分钟续航。</w:t>
            </w:r>
          </w:p>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麦克风距离音箱最大有效工作距离≥10米，保证全教室覆盖。</w:t>
            </w:r>
          </w:p>
        </w:tc>
        <w:tc>
          <w:tcPr>
            <w:tcW w:w="745" w:type="dxa"/>
            <w:vAlign w:val="center"/>
          </w:tcPr>
          <w:p>
            <w:pPr>
              <w:tabs>
                <w:tab w:val="left" w:pos="720"/>
              </w:tabs>
              <w:bidi w:val="0"/>
              <w:jc w:val="center"/>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16</w:t>
            </w:r>
          </w:p>
        </w:tc>
        <w:tc>
          <w:tcPr>
            <w:tcW w:w="699" w:type="dxa"/>
            <w:vAlign w:val="center"/>
          </w:tcPr>
          <w:p>
            <w:pPr>
              <w:tabs>
                <w:tab w:val="left" w:pos="720"/>
              </w:tabs>
              <w:bidi w:val="0"/>
              <w:jc w:val="center"/>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753" w:type="dxa"/>
            <w:vAlign w:val="center"/>
          </w:tcPr>
          <w:p>
            <w:pPr>
              <w:tabs>
                <w:tab w:val="left" w:pos="720"/>
              </w:tabs>
              <w:bidi w:val="0"/>
              <w:jc w:val="center"/>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8</w:t>
            </w:r>
          </w:p>
        </w:tc>
        <w:tc>
          <w:tcPr>
            <w:tcW w:w="819" w:type="dxa"/>
            <w:vAlign w:val="center"/>
          </w:tcPr>
          <w:p>
            <w:pPr>
              <w:tabs>
                <w:tab w:val="left" w:pos="720"/>
              </w:tabs>
              <w:bidi w:val="0"/>
              <w:jc w:val="center"/>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安装调试</w:t>
            </w:r>
          </w:p>
        </w:tc>
        <w:tc>
          <w:tcPr>
            <w:tcW w:w="6662" w:type="dxa"/>
          </w:tcPr>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负责产品安装调试，达到使用需求</w:t>
            </w:r>
          </w:p>
        </w:tc>
        <w:tc>
          <w:tcPr>
            <w:tcW w:w="745" w:type="dxa"/>
            <w:vAlign w:val="center"/>
          </w:tcPr>
          <w:p>
            <w:pPr>
              <w:tabs>
                <w:tab w:val="left" w:pos="720"/>
              </w:tabs>
              <w:bidi w:val="0"/>
              <w:jc w:val="center"/>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16</w:t>
            </w:r>
          </w:p>
        </w:tc>
        <w:tc>
          <w:tcPr>
            <w:tcW w:w="699" w:type="dxa"/>
            <w:vAlign w:val="center"/>
          </w:tcPr>
          <w:p>
            <w:pPr>
              <w:tabs>
                <w:tab w:val="left" w:pos="720"/>
              </w:tabs>
              <w:bidi w:val="0"/>
              <w:jc w:val="center"/>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套</w:t>
            </w:r>
          </w:p>
        </w:tc>
      </w:tr>
    </w:tbl>
    <w:p>
      <w:pPr>
        <w:adjustRightInd w:val="0"/>
        <w:snapToGrid w:val="0"/>
        <w:spacing w:line="480" w:lineRule="auto"/>
        <w:rPr>
          <w:rFonts w:ascii="宋体" w:hAnsi="宋体"/>
          <w:sz w:val="24"/>
          <w:szCs w:val="24"/>
        </w:rPr>
      </w:pPr>
    </w:p>
    <w:p>
      <w:pPr>
        <w:pStyle w:val="3"/>
        <w:numPr>
          <w:ilvl w:val="0"/>
          <w:numId w:val="0"/>
        </w:numPr>
        <w:jc w:val="center"/>
        <w:rPr>
          <w:rFonts w:hint="eastAsia" w:ascii="宋体" w:hAnsi="宋体" w:cs="宋体"/>
          <w:sz w:val="36"/>
          <w:szCs w:val="36"/>
          <w:lang w:eastAsia="zh-CN"/>
        </w:rPr>
        <w:sectPr>
          <w:footerReference r:id="rId10" w:type="default"/>
          <w:pgSz w:w="11906" w:h="16838"/>
          <w:pgMar w:top="1440" w:right="1483" w:bottom="1440" w:left="1803" w:header="851" w:footer="992" w:gutter="0"/>
          <w:pgNumType w:fmt="decimal"/>
          <w:cols w:space="720" w:num="1"/>
          <w:docGrid w:type="lines" w:linePitch="319" w:charSpace="0"/>
        </w:sectPr>
      </w:pPr>
    </w:p>
    <w:p>
      <w:pPr>
        <w:pStyle w:val="3"/>
        <w:numPr>
          <w:ilvl w:val="0"/>
          <w:numId w:val="0"/>
        </w:numPr>
        <w:jc w:val="center"/>
        <w:rPr>
          <w:rFonts w:hint="eastAsia" w:ascii="华文中宋" w:hAnsi="华文中宋" w:eastAsia="华文中宋" w:cs="华文中宋"/>
          <w:spacing w:val="28"/>
          <w:kern w:val="0"/>
          <w:sz w:val="44"/>
          <w:szCs w:val="44"/>
          <w:lang w:eastAsia="zh-CN"/>
        </w:rPr>
      </w:pPr>
      <w:bookmarkStart w:id="67" w:name="_Toc9864"/>
      <w:r>
        <w:rPr>
          <w:rFonts w:hint="eastAsia" w:ascii="宋体" w:hAnsi="宋体" w:cs="宋体"/>
          <w:sz w:val="36"/>
          <w:szCs w:val="36"/>
          <w:lang w:eastAsia="zh-CN"/>
        </w:rPr>
        <w:t>第六部分</w:t>
      </w:r>
      <w:r>
        <w:rPr>
          <w:rFonts w:hint="eastAsia" w:ascii="宋体" w:hAnsi="宋体" w:cs="宋体"/>
          <w:sz w:val="36"/>
          <w:szCs w:val="36"/>
          <w:lang w:val="en-US" w:eastAsia="zh-CN"/>
        </w:rPr>
        <w:t xml:space="preserve"> </w:t>
      </w:r>
      <w:r>
        <w:rPr>
          <w:rFonts w:hint="eastAsia" w:ascii="宋体" w:hAnsi="宋体" w:cs="宋体"/>
          <w:sz w:val="36"/>
          <w:szCs w:val="36"/>
        </w:rPr>
        <w:t>合同条款</w:t>
      </w:r>
      <w:bookmarkEnd w:id="62"/>
      <w:bookmarkEnd w:id="67"/>
    </w:p>
    <w:p>
      <w:pPr>
        <w:keepNext w:val="0"/>
        <w:keepLines w:val="0"/>
        <w:pageBreakBefore w:val="0"/>
        <w:widowControl w:val="0"/>
        <w:kinsoku w:val="0"/>
        <w:wordWrap/>
        <w:overflowPunct/>
        <w:topLinePunct w:val="0"/>
        <w:autoSpaceDE/>
        <w:bidi w:val="0"/>
        <w:spacing w:line="360" w:lineRule="auto"/>
        <w:ind w:firstLine="600" w:firstLineChars="25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甲方：</w:t>
      </w:r>
      <w:r>
        <w:rPr>
          <w:rFonts w:hint="eastAsia" w:asciiTheme="minorEastAsia" w:hAnsiTheme="minorEastAsia" w:eastAsiaTheme="minorEastAsia" w:cstheme="minorEastAsia"/>
          <w:sz w:val="24"/>
          <w:szCs w:val="24"/>
          <w:highlight w:val="none"/>
          <w:u w:val="single"/>
        </w:rPr>
        <w:t xml:space="preserve">              </w:t>
      </w:r>
    </w:p>
    <w:p>
      <w:pPr>
        <w:keepNext w:val="0"/>
        <w:keepLines w:val="0"/>
        <w:pageBreakBefore w:val="0"/>
        <w:widowControl w:val="0"/>
        <w:kinsoku w:val="0"/>
        <w:wordWrap/>
        <w:overflowPunct/>
        <w:topLinePunct w:val="0"/>
        <w:autoSpaceDE/>
        <w:bidi w:val="0"/>
        <w:spacing w:line="360" w:lineRule="auto"/>
        <w:ind w:firstLine="600" w:firstLineChars="25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乙方：</w:t>
      </w:r>
      <w:r>
        <w:rPr>
          <w:rFonts w:hint="eastAsia" w:asciiTheme="minorEastAsia" w:hAnsiTheme="minorEastAsia" w:eastAsiaTheme="minorEastAsia" w:cstheme="minorEastAsia"/>
          <w:sz w:val="24"/>
          <w:szCs w:val="24"/>
          <w:highlight w:val="none"/>
          <w:u w:val="single"/>
        </w:rPr>
        <w:t xml:space="preserve">              </w:t>
      </w:r>
    </w:p>
    <w:p>
      <w:pPr>
        <w:keepNext w:val="0"/>
        <w:keepLines w:val="0"/>
        <w:pageBreakBefore w:val="0"/>
        <w:widowControl w:val="0"/>
        <w:kinsoku w:val="0"/>
        <w:wordWrap/>
        <w:overflowPunct/>
        <w:topLinePunct w:val="0"/>
        <w:autoSpaceDE/>
        <w:bidi w:val="0"/>
        <w:spacing w:line="360" w:lineRule="auto"/>
        <w:ind w:firstLine="600" w:firstLineChars="25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根据《中华人民共和国政府采购法》、《中华人民共和国民法典》等法律法规，甲方通过</w:t>
      </w:r>
      <w:r>
        <w:rPr>
          <w:rFonts w:hint="eastAsia" w:asciiTheme="minorEastAsia" w:hAnsiTheme="minorEastAsia" w:cstheme="minorEastAsia"/>
          <w:sz w:val="24"/>
          <w:szCs w:val="24"/>
          <w:highlight w:val="none"/>
          <w:lang w:eastAsia="zh-CN"/>
        </w:rPr>
        <w:t>竞争性谈判</w:t>
      </w:r>
      <w:r>
        <w:rPr>
          <w:rFonts w:hint="eastAsia" w:asciiTheme="minorEastAsia" w:hAnsiTheme="minorEastAsia" w:eastAsiaTheme="minorEastAsia" w:cstheme="minorEastAsia"/>
          <w:sz w:val="24"/>
          <w:szCs w:val="24"/>
          <w:highlight w:val="none"/>
        </w:rPr>
        <w:t>，选定乙方为</w:t>
      </w:r>
      <w:r>
        <w:rPr>
          <w:rFonts w:hint="eastAsia" w:asciiTheme="minorEastAsia" w:hAnsiTheme="minorEastAsia" w:cstheme="minorEastAsia"/>
          <w:sz w:val="24"/>
          <w:szCs w:val="24"/>
          <w:highlight w:val="none"/>
          <w:lang w:eastAsia="zh-CN"/>
        </w:rPr>
        <w:t>成交单位</w:t>
      </w:r>
      <w:r>
        <w:rPr>
          <w:rFonts w:hint="eastAsia" w:asciiTheme="minorEastAsia" w:hAnsiTheme="minorEastAsia" w:eastAsiaTheme="minorEastAsia" w:cstheme="minorEastAsia"/>
          <w:sz w:val="24"/>
          <w:szCs w:val="24"/>
          <w:highlight w:val="none"/>
        </w:rPr>
        <w:t>。甲、乙双方在平等基础上协商一致，达成如下合同条款：</w:t>
      </w:r>
    </w:p>
    <w:p>
      <w:pPr>
        <w:keepNext w:val="0"/>
        <w:keepLines w:val="0"/>
        <w:pageBreakBefore w:val="0"/>
        <w:widowControl w:val="0"/>
        <w:kinsoku w:val="0"/>
        <w:wordWrap/>
        <w:overflowPunct/>
        <w:topLinePunct w:val="0"/>
        <w:autoSpaceDE/>
        <w:bidi w:val="0"/>
        <w:spacing w:line="360" w:lineRule="auto"/>
        <w:ind w:firstLine="600" w:firstLineChars="25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w:t>
      </w:r>
      <w:r>
        <w:rPr>
          <w:rFonts w:hint="eastAsia" w:asciiTheme="minorEastAsia" w:hAnsiTheme="minorEastAsia" w:eastAsiaTheme="minorEastAsia" w:cstheme="minorEastAsia"/>
          <w:b/>
          <w:sz w:val="24"/>
          <w:szCs w:val="24"/>
          <w:highlight w:val="none"/>
        </w:rPr>
        <w:t>合同内容</w:t>
      </w:r>
    </w:p>
    <w:tbl>
      <w:tblPr>
        <w:tblStyle w:val="23"/>
        <w:tblW w:w="80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1620"/>
        <w:gridCol w:w="1260"/>
        <w:gridCol w:w="900"/>
        <w:gridCol w:w="900"/>
        <w:gridCol w:w="900"/>
        <w:gridCol w:w="894"/>
        <w:gridCol w:w="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exact"/>
          <w:jc w:val="center"/>
        </w:trPr>
        <w:tc>
          <w:tcPr>
            <w:tcW w:w="786" w:type="dxa"/>
            <w:vAlign w:val="center"/>
          </w:tcPr>
          <w:p>
            <w:pPr>
              <w:keepNext w:val="0"/>
              <w:keepLines w:val="0"/>
              <w:pageBreakBefore w:val="0"/>
              <w:widowControl w:val="0"/>
              <w:wordWrap/>
              <w:overflowPunct/>
              <w:topLinePunct w:val="0"/>
              <w:autoSpaceDE/>
              <w:bidi w:val="0"/>
              <w:spacing w:line="360" w:lineRule="auto"/>
              <w:jc w:val="center"/>
              <w:rPr>
                <w:rFonts w:hint="eastAsia" w:asciiTheme="minorEastAsia" w:hAnsiTheme="minorEastAsia" w:eastAsiaTheme="minorEastAsia" w:cstheme="minorEastAsia"/>
                <w:b/>
                <w:color w:val="000000"/>
                <w:sz w:val="24"/>
                <w:szCs w:val="24"/>
                <w:highlight w:val="none"/>
              </w:rPr>
            </w:pPr>
            <w:r>
              <w:rPr>
                <w:rFonts w:hint="eastAsia" w:asciiTheme="minorEastAsia" w:hAnsiTheme="minorEastAsia" w:eastAsiaTheme="minorEastAsia" w:cstheme="minorEastAsia"/>
                <w:b/>
                <w:color w:val="000000"/>
                <w:sz w:val="24"/>
                <w:szCs w:val="24"/>
                <w:highlight w:val="none"/>
              </w:rPr>
              <w:t>序号</w:t>
            </w:r>
          </w:p>
        </w:tc>
        <w:tc>
          <w:tcPr>
            <w:tcW w:w="1620" w:type="dxa"/>
            <w:vAlign w:val="center"/>
          </w:tcPr>
          <w:p>
            <w:pPr>
              <w:keepNext w:val="0"/>
              <w:keepLines w:val="0"/>
              <w:pageBreakBefore w:val="0"/>
              <w:widowControl w:val="0"/>
              <w:wordWrap/>
              <w:overflowPunct/>
              <w:topLinePunct w:val="0"/>
              <w:autoSpaceDE/>
              <w:bidi w:val="0"/>
              <w:spacing w:line="360" w:lineRule="auto"/>
              <w:jc w:val="center"/>
              <w:rPr>
                <w:rFonts w:hint="eastAsia" w:asciiTheme="minorEastAsia" w:hAnsiTheme="minorEastAsia" w:eastAsiaTheme="minorEastAsia" w:cstheme="minorEastAsia"/>
                <w:b/>
                <w:color w:val="000000"/>
                <w:sz w:val="24"/>
                <w:szCs w:val="24"/>
                <w:highlight w:val="none"/>
              </w:rPr>
            </w:pPr>
            <w:r>
              <w:rPr>
                <w:rFonts w:hint="eastAsia" w:asciiTheme="minorEastAsia" w:hAnsiTheme="minorEastAsia" w:eastAsiaTheme="minorEastAsia" w:cstheme="minorEastAsia"/>
                <w:b/>
                <w:color w:val="000000"/>
                <w:sz w:val="24"/>
                <w:szCs w:val="24"/>
                <w:highlight w:val="none"/>
              </w:rPr>
              <w:t>设备名称</w:t>
            </w:r>
          </w:p>
        </w:tc>
        <w:tc>
          <w:tcPr>
            <w:tcW w:w="1260" w:type="dxa"/>
            <w:vAlign w:val="center"/>
          </w:tcPr>
          <w:p>
            <w:pPr>
              <w:keepNext w:val="0"/>
              <w:keepLines w:val="0"/>
              <w:pageBreakBefore w:val="0"/>
              <w:widowControl w:val="0"/>
              <w:wordWrap/>
              <w:overflowPunct/>
              <w:topLinePunct w:val="0"/>
              <w:autoSpaceDE/>
              <w:bidi w:val="0"/>
              <w:spacing w:line="360" w:lineRule="auto"/>
              <w:jc w:val="center"/>
              <w:rPr>
                <w:rFonts w:hint="eastAsia" w:asciiTheme="minorEastAsia" w:hAnsiTheme="minorEastAsia" w:eastAsiaTheme="minorEastAsia" w:cstheme="minorEastAsia"/>
                <w:b/>
                <w:color w:val="000000"/>
                <w:sz w:val="24"/>
                <w:szCs w:val="24"/>
                <w:highlight w:val="none"/>
              </w:rPr>
            </w:pPr>
            <w:r>
              <w:rPr>
                <w:rFonts w:hint="eastAsia" w:asciiTheme="minorEastAsia" w:hAnsiTheme="minorEastAsia" w:eastAsiaTheme="minorEastAsia" w:cstheme="minorEastAsia"/>
                <w:b/>
                <w:color w:val="000000"/>
                <w:sz w:val="24"/>
                <w:szCs w:val="24"/>
                <w:highlight w:val="none"/>
              </w:rPr>
              <w:t>型号</w:t>
            </w:r>
          </w:p>
        </w:tc>
        <w:tc>
          <w:tcPr>
            <w:tcW w:w="900" w:type="dxa"/>
            <w:vAlign w:val="center"/>
          </w:tcPr>
          <w:p>
            <w:pPr>
              <w:keepNext w:val="0"/>
              <w:keepLines w:val="0"/>
              <w:pageBreakBefore w:val="0"/>
              <w:widowControl w:val="0"/>
              <w:wordWrap/>
              <w:overflowPunct/>
              <w:topLinePunct w:val="0"/>
              <w:autoSpaceDE/>
              <w:bidi w:val="0"/>
              <w:spacing w:line="360" w:lineRule="auto"/>
              <w:jc w:val="center"/>
              <w:rPr>
                <w:rFonts w:hint="eastAsia" w:asciiTheme="minorEastAsia" w:hAnsiTheme="minorEastAsia" w:eastAsiaTheme="minorEastAsia" w:cstheme="minorEastAsia"/>
                <w:b/>
                <w:color w:val="000000"/>
                <w:sz w:val="24"/>
                <w:szCs w:val="24"/>
                <w:highlight w:val="none"/>
              </w:rPr>
            </w:pPr>
            <w:r>
              <w:rPr>
                <w:rFonts w:hint="eastAsia" w:asciiTheme="minorEastAsia" w:hAnsiTheme="minorEastAsia" w:eastAsiaTheme="minorEastAsia" w:cstheme="minorEastAsia"/>
                <w:b/>
                <w:color w:val="000000"/>
                <w:sz w:val="24"/>
                <w:szCs w:val="24"/>
                <w:highlight w:val="none"/>
              </w:rPr>
              <w:t>产地</w:t>
            </w:r>
          </w:p>
        </w:tc>
        <w:tc>
          <w:tcPr>
            <w:tcW w:w="900" w:type="dxa"/>
            <w:vAlign w:val="center"/>
          </w:tcPr>
          <w:p>
            <w:pPr>
              <w:keepNext w:val="0"/>
              <w:keepLines w:val="0"/>
              <w:pageBreakBefore w:val="0"/>
              <w:widowControl w:val="0"/>
              <w:wordWrap/>
              <w:overflowPunct/>
              <w:topLinePunct w:val="0"/>
              <w:autoSpaceDE/>
              <w:bidi w:val="0"/>
              <w:spacing w:line="360" w:lineRule="auto"/>
              <w:jc w:val="center"/>
              <w:rPr>
                <w:rFonts w:hint="eastAsia" w:asciiTheme="minorEastAsia" w:hAnsiTheme="minorEastAsia" w:eastAsiaTheme="minorEastAsia" w:cstheme="minorEastAsia"/>
                <w:b/>
                <w:color w:val="000000"/>
                <w:sz w:val="24"/>
                <w:szCs w:val="24"/>
                <w:highlight w:val="none"/>
              </w:rPr>
            </w:pPr>
            <w:r>
              <w:rPr>
                <w:rFonts w:hint="eastAsia" w:asciiTheme="minorEastAsia" w:hAnsiTheme="minorEastAsia" w:eastAsiaTheme="minorEastAsia" w:cstheme="minorEastAsia"/>
                <w:b/>
                <w:color w:val="000000"/>
                <w:sz w:val="24"/>
                <w:szCs w:val="24"/>
                <w:highlight w:val="none"/>
              </w:rPr>
              <w:t>数量</w:t>
            </w:r>
          </w:p>
        </w:tc>
        <w:tc>
          <w:tcPr>
            <w:tcW w:w="900" w:type="dxa"/>
            <w:vAlign w:val="center"/>
          </w:tcPr>
          <w:p>
            <w:pPr>
              <w:keepNext w:val="0"/>
              <w:keepLines w:val="0"/>
              <w:pageBreakBefore w:val="0"/>
              <w:widowControl w:val="0"/>
              <w:wordWrap/>
              <w:overflowPunct/>
              <w:topLinePunct w:val="0"/>
              <w:autoSpaceDE/>
              <w:bidi w:val="0"/>
              <w:spacing w:line="360" w:lineRule="auto"/>
              <w:jc w:val="center"/>
              <w:rPr>
                <w:rFonts w:hint="eastAsia" w:asciiTheme="minorEastAsia" w:hAnsiTheme="minorEastAsia" w:eastAsiaTheme="minorEastAsia" w:cstheme="minorEastAsia"/>
                <w:b/>
                <w:color w:val="000000"/>
                <w:sz w:val="24"/>
                <w:szCs w:val="24"/>
                <w:highlight w:val="none"/>
              </w:rPr>
            </w:pPr>
            <w:r>
              <w:rPr>
                <w:rFonts w:hint="eastAsia" w:asciiTheme="minorEastAsia" w:hAnsiTheme="minorEastAsia" w:eastAsiaTheme="minorEastAsia" w:cstheme="minorEastAsia"/>
                <w:b/>
                <w:color w:val="000000"/>
                <w:sz w:val="24"/>
                <w:szCs w:val="24"/>
                <w:highlight w:val="none"/>
              </w:rPr>
              <w:t>单价</w:t>
            </w:r>
          </w:p>
        </w:tc>
        <w:tc>
          <w:tcPr>
            <w:tcW w:w="894" w:type="dxa"/>
            <w:vAlign w:val="center"/>
          </w:tcPr>
          <w:p>
            <w:pPr>
              <w:keepNext w:val="0"/>
              <w:keepLines w:val="0"/>
              <w:pageBreakBefore w:val="0"/>
              <w:widowControl w:val="0"/>
              <w:wordWrap/>
              <w:overflowPunct/>
              <w:topLinePunct w:val="0"/>
              <w:autoSpaceDE/>
              <w:bidi w:val="0"/>
              <w:spacing w:line="360" w:lineRule="auto"/>
              <w:jc w:val="center"/>
              <w:rPr>
                <w:rFonts w:hint="eastAsia" w:asciiTheme="minorEastAsia" w:hAnsiTheme="minorEastAsia" w:eastAsiaTheme="minorEastAsia" w:cstheme="minorEastAsia"/>
                <w:b/>
                <w:color w:val="000000"/>
                <w:sz w:val="24"/>
                <w:szCs w:val="24"/>
                <w:highlight w:val="none"/>
              </w:rPr>
            </w:pPr>
            <w:r>
              <w:rPr>
                <w:rFonts w:hint="eastAsia" w:asciiTheme="minorEastAsia" w:hAnsiTheme="minorEastAsia" w:eastAsiaTheme="minorEastAsia" w:cstheme="minorEastAsia"/>
                <w:b/>
                <w:color w:val="000000"/>
                <w:sz w:val="24"/>
                <w:szCs w:val="24"/>
                <w:highlight w:val="none"/>
              </w:rPr>
              <w:t>总价</w:t>
            </w:r>
          </w:p>
        </w:tc>
        <w:tc>
          <w:tcPr>
            <w:tcW w:w="839" w:type="dxa"/>
            <w:vAlign w:val="center"/>
          </w:tcPr>
          <w:p>
            <w:pPr>
              <w:keepNext w:val="0"/>
              <w:keepLines w:val="0"/>
              <w:pageBreakBefore w:val="0"/>
              <w:widowControl w:val="0"/>
              <w:wordWrap/>
              <w:overflowPunct/>
              <w:topLinePunct w:val="0"/>
              <w:autoSpaceDE/>
              <w:bidi w:val="0"/>
              <w:spacing w:line="360" w:lineRule="auto"/>
              <w:jc w:val="center"/>
              <w:rPr>
                <w:rFonts w:hint="eastAsia" w:asciiTheme="minorEastAsia" w:hAnsiTheme="minorEastAsia" w:eastAsiaTheme="minorEastAsia" w:cstheme="minorEastAsia"/>
                <w:b/>
                <w:color w:val="000000"/>
                <w:sz w:val="24"/>
                <w:szCs w:val="24"/>
                <w:highlight w:val="none"/>
              </w:rPr>
            </w:pPr>
            <w:r>
              <w:rPr>
                <w:rFonts w:hint="eastAsia" w:asciiTheme="minorEastAsia" w:hAnsiTheme="minorEastAsia" w:eastAsiaTheme="minorEastAsia" w:cstheme="minorEastAsia"/>
                <w:b/>
                <w:color w:val="00000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exact"/>
          <w:jc w:val="center"/>
        </w:trPr>
        <w:tc>
          <w:tcPr>
            <w:tcW w:w="786" w:type="dxa"/>
            <w:vAlign w:val="center"/>
          </w:tcPr>
          <w:p>
            <w:pPr>
              <w:keepNext w:val="0"/>
              <w:keepLines w:val="0"/>
              <w:pageBreakBefore w:val="0"/>
              <w:widowControl w:val="0"/>
              <w:wordWrap/>
              <w:overflowPunct/>
              <w:topLinePunct w:val="0"/>
              <w:autoSpaceDE/>
              <w:bidi w:val="0"/>
              <w:adjustRightInd w:val="0"/>
              <w:snapToGrid w:val="0"/>
              <w:spacing w:line="360" w:lineRule="auto"/>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1</w:t>
            </w:r>
          </w:p>
        </w:tc>
        <w:tc>
          <w:tcPr>
            <w:tcW w:w="1620" w:type="dxa"/>
            <w:vAlign w:val="center"/>
          </w:tcPr>
          <w:p>
            <w:pPr>
              <w:keepNext w:val="0"/>
              <w:keepLines w:val="0"/>
              <w:pageBreakBefore w:val="0"/>
              <w:widowControl w:val="0"/>
              <w:wordWrap/>
              <w:overflowPunct/>
              <w:topLinePunct w:val="0"/>
              <w:autoSpaceDE/>
              <w:bidi w:val="0"/>
              <w:adjustRightInd w:val="0"/>
              <w:snapToGrid w:val="0"/>
              <w:spacing w:line="360" w:lineRule="auto"/>
              <w:jc w:val="center"/>
              <w:rPr>
                <w:rFonts w:hint="eastAsia" w:asciiTheme="minorEastAsia" w:hAnsiTheme="minorEastAsia" w:eastAsiaTheme="minorEastAsia" w:cstheme="minorEastAsia"/>
                <w:color w:val="000000"/>
                <w:sz w:val="24"/>
                <w:szCs w:val="24"/>
                <w:highlight w:val="none"/>
              </w:rPr>
            </w:pPr>
          </w:p>
        </w:tc>
        <w:tc>
          <w:tcPr>
            <w:tcW w:w="1260" w:type="dxa"/>
            <w:vAlign w:val="center"/>
          </w:tcPr>
          <w:p>
            <w:pPr>
              <w:keepNext w:val="0"/>
              <w:keepLines w:val="0"/>
              <w:pageBreakBefore w:val="0"/>
              <w:widowControl w:val="0"/>
              <w:wordWrap/>
              <w:overflowPunct/>
              <w:topLinePunct w:val="0"/>
              <w:autoSpaceDE/>
              <w:bidi w:val="0"/>
              <w:spacing w:line="360" w:lineRule="auto"/>
              <w:jc w:val="center"/>
              <w:rPr>
                <w:rFonts w:hint="eastAsia" w:asciiTheme="minorEastAsia" w:hAnsiTheme="minorEastAsia" w:eastAsiaTheme="minorEastAsia" w:cstheme="minorEastAsia"/>
                <w:color w:val="000000"/>
                <w:sz w:val="24"/>
                <w:szCs w:val="24"/>
                <w:highlight w:val="none"/>
              </w:rPr>
            </w:pPr>
          </w:p>
        </w:tc>
        <w:tc>
          <w:tcPr>
            <w:tcW w:w="900" w:type="dxa"/>
            <w:vAlign w:val="center"/>
          </w:tcPr>
          <w:p>
            <w:pPr>
              <w:keepNext w:val="0"/>
              <w:keepLines w:val="0"/>
              <w:pageBreakBefore w:val="0"/>
              <w:widowControl w:val="0"/>
              <w:wordWrap/>
              <w:overflowPunct/>
              <w:topLinePunct w:val="0"/>
              <w:autoSpaceDE/>
              <w:bidi w:val="0"/>
              <w:spacing w:line="360" w:lineRule="auto"/>
              <w:jc w:val="center"/>
              <w:rPr>
                <w:rFonts w:hint="eastAsia" w:asciiTheme="minorEastAsia" w:hAnsiTheme="minorEastAsia" w:eastAsiaTheme="minorEastAsia" w:cstheme="minorEastAsia"/>
                <w:color w:val="000000"/>
                <w:sz w:val="24"/>
                <w:szCs w:val="24"/>
                <w:highlight w:val="none"/>
              </w:rPr>
            </w:pPr>
          </w:p>
        </w:tc>
        <w:tc>
          <w:tcPr>
            <w:tcW w:w="900" w:type="dxa"/>
            <w:vAlign w:val="center"/>
          </w:tcPr>
          <w:p>
            <w:pPr>
              <w:keepNext w:val="0"/>
              <w:keepLines w:val="0"/>
              <w:pageBreakBefore w:val="0"/>
              <w:widowControl w:val="0"/>
              <w:wordWrap/>
              <w:overflowPunct/>
              <w:topLinePunct w:val="0"/>
              <w:autoSpaceDE/>
              <w:bidi w:val="0"/>
              <w:adjustRightInd w:val="0"/>
              <w:snapToGrid w:val="0"/>
              <w:spacing w:line="360" w:lineRule="auto"/>
              <w:jc w:val="center"/>
              <w:rPr>
                <w:rFonts w:hint="eastAsia" w:asciiTheme="minorEastAsia" w:hAnsiTheme="minorEastAsia" w:eastAsiaTheme="minorEastAsia" w:cstheme="minorEastAsia"/>
                <w:color w:val="000000"/>
                <w:sz w:val="24"/>
                <w:szCs w:val="24"/>
                <w:highlight w:val="none"/>
              </w:rPr>
            </w:pPr>
          </w:p>
        </w:tc>
        <w:tc>
          <w:tcPr>
            <w:tcW w:w="900" w:type="dxa"/>
            <w:vAlign w:val="center"/>
          </w:tcPr>
          <w:p>
            <w:pPr>
              <w:keepNext w:val="0"/>
              <w:keepLines w:val="0"/>
              <w:pageBreakBefore w:val="0"/>
              <w:widowControl w:val="0"/>
              <w:wordWrap/>
              <w:overflowPunct/>
              <w:topLinePunct w:val="0"/>
              <w:autoSpaceDE/>
              <w:autoSpaceDN w:val="0"/>
              <w:bidi w:val="0"/>
              <w:spacing w:line="360" w:lineRule="auto"/>
              <w:jc w:val="center"/>
              <w:textAlignment w:val="center"/>
              <w:rPr>
                <w:rFonts w:hint="eastAsia" w:asciiTheme="minorEastAsia" w:hAnsiTheme="minorEastAsia" w:eastAsiaTheme="minorEastAsia" w:cstheme="minorEastAsia"/>
                <w:color w:val="000000"/>
                <w:sz w:val="24"/>
                <w:szCs w:val="24"/>
                <w:highlight w:val="none"/>
              </w:rPr>
            </w:pPr>
          </w:p>
        </w:tc>
        <w:tc>
          <w:tcPr>
            <w:tcW w:w="894" w:type="dxa"/>
            <w:vAlign w:val="center"/>
          </w:tcPr>
          <w:p>
            <w:pPr>
              <w:keepNext w:val="0"/>
              <w:keepLines w:val="0"/>
              <w:pageBreakBefore w:val="0"/>
              <w:widowControl w:val="0"/>
              <w:wordWrap/>
              <w:overflowPunct/>
              <w:topLinePunct w:val="0"/>
              <w:autoSpaceDE/>
              <w:autoSpaceDN w:val="0"/>
              <w:bidi w:val="0"/>
              <w:spacing w:line="360" w:lineRule="auto"/>
              <w:jc w:val="center"/>
              <w:textAlignment w:val="center"/>
              <w:rPr>
                <w:rFonts w:hint="eastAsia" w:asciiTheme="minorEastAsia" w:hAnsiTheme="minorEastAsia" w:eastAsiaTheme="minorEastAsia" w:cstheme="minorEastAsia"/>
                <w:color w:val="000000"/>
                <w:sz w:val="24"/>
                <w:szCs w:val="24"/>
                <w:highlight w:val="none"/>
              </w:rPr>
            </w:pPr>
          </w:p>
        </w:tc>
        <w:tc>
          <w:tcPr>
            <w:tcW w:w="839" w:type="dxa"/>
            <w:vAlign w:val="center"/>
          </w:tcPr>
          <w:p>
            <w:pPr>
              <w:keepNext w:val="0"/>
              <w:keepLines w:val="0"/>
              <w:pageBreakBefore w:val="0"/>
              <w:widowControl w:val="0"/>
              <w:wordWrap/>
              <w:overflowPunct/>
              <w:topLinePunct w:val="0"/>
              <w:autoSpaceDE/>
              <w:autoSpaceDN w:val="0"/>
              <w:bidi w:val="0"/>
              <w:spacing w:line="360" w:lineRule="auto"/>
              <w:jc w:val="center"/>
              <w:textAlignment w:val="center"/>
              <w:rPr>
                <w:rFonts w:hint="eastAsia" w:asciiTheme="minorEastAsia" w:hAnsiTheme="minorEastAsia" w:eastAsiaTheme="minorEastAsia" w:cstheme="minorEastAsia"/>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exact"/>
          <w:jc w:val="center"/>
        </w:trPr>
        <w:tc>
          <w:tcPr>
            <w:tcW w:w="786" w:type="dxa"/>
            <w:vAlign w:val="center"/>
          </w:tcPr>
          <w:p>
            <w:pPr>
              <w:keepNext w:val="0"/>
              <w:keepLines w:val="0"/>
              <w:pageBreakBefore w:val="0"/>
              <w:widowControl w:val="0"/>
              <w:wordWrap/>
              <w:overflowPunct/>
              <w:topLinePunct w:val="0"/>
              <w:autoSpaceDE/>
              <w:bidi w:val="0"/>
              <w:adjustRightInd w:val="0"/>
              <w:snapToGrid w:val="0"/>
              <w:spacing w:line="360" w:lineRule="auto"/>
              <w:jc w:val="center"/>
              <w:rPr>
                <w:rFonts w:hint="eastAsia" w:asciiTheme="minorEastAsia" w:hAnsiTheme="minorEastAsia" w:eastAsiaTheme="minorEastAsia" w:cstheme="minorEastAsia"/>
                <w:color w:val="000000"/>
                <w:sz w:val="24"/>
                <w:szCs w:val="24"/>
                <w:highlight w:val="none"/>
              </w:rPr>
            </w:pPr>
          </w:p>
        </w:tc>
        <w:tc>
          <w:tcPr>
            <w:tcW w:w="1620" w:type="dxa"/>
            <w:vAlign w:val="center"/>
          </w:tcPr>
          <w:p>
            <w:pPr>
              <w:keepNext w:val="0"/>
              <w:keepLines w:val="0"/>
              <w:pageBreakBefore w:val="0"/>
              <w:widowControl w:val="0"/>
              <w:wordWrap/>
              <w:overflowPunct/>
              <w:topLinePunct w:val="0"/>
              <w:autoSpaceDE/>
              <w:bidi w:val="0"/>
              <w:adjustRightInd w:val="0"/>
              <w:snapToGrid w:val="0"/>
              <w:spacing w:line="360" w:lineRule="auto"/>
              <w:jc w:val="center"/>
              <w:rPr>
                <w:rFonts w:hint="eastAsia" w:asciiTheme="minorEastAsia" w:hAnsiTheme="minorEastAsia" w:eastAsiaTheme="minorEastAsia" w:cstheme="minorEastAsia"/>
                <w:color w:val="000000"/>
                <w:sz w:val="24"/>
                <w:szCs w:val="24"/>
                <w:highlight w:val="none"/>
              </w:rPr>
            </w:pPr>
          </w:p>
        </w:tc>
        <w:tc>
          <w:tcPr>
            <w:tcW w:w="1260" w:type="dxa"/>
            <w:vAlign w:val="center"/>
          </w:tcPr>
          <w:p>
            <w:pPr>
              <w:keepNext w:val="0"/>
              <w:keepLines w:val="0"/>
              <w:pageBreakBefore w:val="0"/>
              <w:widowControl w:val="0"/>
              <w:wordWrap/>
              <w:overflowPunct/>
              <w:topLinePunct w:val="0"/>
              <w:autoSpaceDE/>
              <w:bidi w:val="0"/>
              <w:spacing w:line="360" w:lineRule="auto"/>
              <w:jc w:val="center"/>
              <w:rPr>
                <w:rFonts w:hint="eastAsia" w:asciiTheme="minorEastAsia" w:hAnsiTheme="minorEastAsia" w:eastAsiaTheme="minorEastAsia" w:cstheme="minorEastAsia"/>
                <w:color w:val="000000"/>
                <w:sz w:val="24"/>
                <w:szCs w:val="24"/>
                <w:highlight w:val="none"/>
              </w:rPr>
            </w:pPr>
          </w:p>
        </w:tc>
        <w:tc>
          <w:tcPr>
            <w:tcW w:w="900" w:type="dxa"/>
            <w:vAlign w:val="center"/>
          </w:tcPr>
          <w:p>
            <w:pPr>
              <w:keepNext w:val="0"/>
              <w:keepLines w:val="0"/>
              <w:pageBreakBefore w:val="0"/>
              <w:widowControl w:val="0"/>
              <w:wordWrap/>
              <w:overflowPunct/>
              <w:topLinePunct w:val="0"/>
              <w:autoSpaceDE/>
              <w:bidi w:val="0"/>
              <w:spacing w:line="360" w:lineRule="auto"/>
              <w:jc w:val="center"/>
              <w:rPr>
                <w:rFonts w:hint="eastAsia" w:asciiTheme="minorEastAsia" w:hAnsiTheme="minorEastAsia" w:eastAsiaTheme="minorEastAsia" w:cstheme="minorEastAsia"/>
                <w:color w:val="000000"/>
                <w:sz w:val="24"/>
                <w:szCs w:val="24"/>
                <w:highlight w:val="none"/>
              </w:rPr>
            </w:pPr>
          </w:p>
        </w:tc>
        <w:tc>
          <w:tcPr>
            <w:tcW w:w="900" w:type="dxa"/>
            <w:vAlign w:val="center"/>
          </w:tcPr>
          <w:p>
            <w:pPr>
              <w:keepNext w:val="0"/>
              <w:keepLines w:val="0"/>
              <w:pageBreakBefore w:val="0"/>
              <w:widowControl w:val="0"/>
              <w:wordWrap/>
              <w:overflowPunct/>
              <w:topLinePunct w:val="0"/>
              <w:autoSpaceDE/>
              <w:bidi w:val="0"/>
              <w:adjustRightInd w:val="0"/>
              <w:snapToGrid w:val="0"/>
              <w:spacing w:line="360" w:lineRule="auto"/>
              <w:jc w:val="center"/>
              <w:rPr>
                <w:rFonts w:hint="eastAsia" w:asciiTheme="minorEastAsia" w:hAnsiTheme="minorEastAsia" w:eastAsiaTheme="minorEastAsia" w:cstheme="minorEastAsia"/>
                <w:color w:val="000000"/>
                <w:sz w:val="24"/>
                <w:szCs w:val="24"/>
                <w:highlight w:val="none"/>
              </w:rPr>
            </w:pPr>
          </w:p>
        </w:tc>
        <w:tc>
          <w:tcPr>
            <w:tcW w:w="900" w:type="dxa"/>
            <w:vAlign w:val="center"/>
          </w:tcPr>
          <w:p>
            <w:pPr>
              <w:keepNext w:val="0"/>
              <w:keepLines w:val="0"/>
              <w:pageBreakBefore w:val="0"/>
              <w:widowControl w:val="0"/>
              <w:wordWrap/>
              <w:overflowPunct/>
              <w:topLinePunct w:val="0"/>
              <w:autoSpaceDE/>
              <w:autoSpaceDN w:val="0"/>
              <w:bidi w:val="0"/>
              <w:spacing w:line="360" w:lineRule="auto"/>
              <w:jc w:val="center"/>
              <w:textAlignment w:val="center"/>
              <w:rPr>
                <w:rFonts w:hint="eastAsia" w:asciiTheme="minorEastAsia" w:hAnsiTheme="minorEastAsia" w:eastAsiaTheme="minorEastAsia" w:cstheme="minorEastAsia"/>
                <w:color w:val="000000"/>
                <w:sz w:val="24"/>
                <w:szCs w:val="24"/>
                <w:highlight w:val="none"/>
              </w:rPr>
            </w:pPr>
          </w:p>
        </w:tc>
        <w:tc>
          <w:tcPr>
            <w:tcW w:w="894" w:type="dxa"/>
            <w:vAlign w:val="center"/>
          </w:tcPr>
          <w:p>
            <w:pPr>
              <w:keepNext w:val="0"/>
              <w:keepLines w:val="0"/>
              <w:pageBreakBefore w:val="0"/>
              <w:widowControl w:val="0"/>
              <w:wordWrap/>
              <w:overflowPunct/>
              <w:topLinePunct w:val="0"/>
              <w:autoSpaceDE/>
              <w:autoSpaceDN w:val="0"/>
              <w:bidi w:val="0"/>
              <w:spacing w:line="360" w:lineRule="auto"/>
              <w:jc w:val="center"/>
              <w:textAlignment w:val="center"/>
              <w:rPr>
                <w:rFonts w:hint="eastAsia" w:asciiTheme="minorEastAsia" w:hAnsiTheme="minorEastAsia" w:eastAsiaTheme="minorEastAsia" w:cstheme="minorEastAsia"/>
                <w:color w:val="000000"/>
                <w:sz w:val="24"/>
                <w:szCs w:val="24"/>
                <w:highlight w:val="none"/>
              </w:rPr>
            </w:pPr>
          </w:p>
        </w:tc>
        <w:tc>
          <w:tcPr>
            <w:tcW w:w="839" w:type="dxa"/>
            <w:vAlign w:val="center"/>
          </w:tcPr>
          <w:p>
            <w:pPr>
              <w:keepNext w:val="0"/>
              <w:keepLines w:val="0"/>
              <w:pageBreakBefore w:val="0"/>
              <w:widowControl w:val="0"/>
              <w:wordWrap/>
              <w:overflowPunct/>
              <w:topLinePunct w:val="0"/>
              <w:autoSpaceDE/>
              <w:autoSpaceDN w:val="0"/>
              <w:bidi w:val="0"/>
              <w:spacing w:line="360" w:lineRule="auto"/>
              <w:jc w:val="center"/>
              <w:textAlignment w:val="center"/>
              <w:rPr>
                <w:rFonts w:hint="eastAsia" w:asciiTheme="minorEastAsia" w:hAnsiTheme="minorEastAsia" w:eastAsiaTheme="minorEastAsia" w:cstheme="minorEastAsia"/>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exact"/>
          <w:jc w:val="center"/>
        </w:trPr>
        <w:tc>
          <w:tcPr>
            <w:tcW w:w="786" w:type="dxa"/>
            <w:vAlign w:val="center"/>
          </w:tcPr>
          <w:p>
            <w:pPr>
              <w:keepNext w:val="0"/>
              <w:keepLines w:val="0"/>
              <w:pageBreakBefore w:val="0"/>
              <w:widowControl w:val="0"/>
              <w:wordWrap/>
              <w:overflowPunct/>
              <w:topLinePunct w:val="0"/>
              <w:autoSpaceDE/>
              <w:bidi w:val="0"/>
              <w:adjustRightInd w:val="0"/>
              <w:snapToGrid w:val="0"/>
              <w:spacing w:line="360" w:lineRule="auto"/>
              <w:jc w:val="center"/>
              <w:rPr>
                <w:rFonts w:hint="eastAsia" w:asciiTheme="minorEastAsia" w:hAnsiTheme="minorEastAsia" w:eastAsiaTheme="minorEastAsia" w:cstheme="minorEastAsia"/>
                <w:color w:val="000000"/>
                <w:sz w:val="24"/>
                <w:szCs w:val="24"/>
                <w:highlight w:val="none"/>
              </w:rPr>
            </w:pPr>
          </w:p>
        </w:tc>
        <w:tc>
          <w:tcPr>
            <w:tcW w:w="1620" w:type="dxa"/>
            <w:vAlign w:val="center"/>
          </w:tcPr>
          <w:p>
            <w:pPr>
              <w:keepNext w:val="0"/>
              <w:keepLines w:val="0"/>
              <w:pageBreakBefore w:val="0"/>
              <w:widowControl w:val="0"/>
              <w:wordWrap/>
              <w:overflowPunct/>
              <w:topLinePunct w:val="0"/>
              <w:autoSpaceDE/>
              <w:bidi w:val="0"/>
              <w:adjustRightInd w:val="0"/>
              <w:snapToGrid w:val="0"/>
              <w:spacing w:line="360" w:lineRule="auto"/>
              <w:jc w:val="center"/>
              <w:rPr>
                <w:rFonts w:hint="eastAsia" w:asciiTheme="minorEastAsia" w:hAnsiTheme="minorEastAsia" w:eastAsiaTheme="minorEastAsia" w:cstheme="minorEastAsia"/>
                <w:color w:val="000000"/>
                <w:sz w:val="24"/>
                <w:szCs w:val="24"/>
                <w:highlight w:val="none"/>
              </w:rPr>
            </w:pPr>
          </w:p>
        </w:tc>
        <w:tc>
          <w:tcPr>
            <w:tcW w:w="1260" w:type="dxa"/>
            <w:vAlign w:val="center"/>
          </w:tcPr>
          <w:p>
            <w:pPr>
              <w:keepNext w:val="0"/>
              <w:keepLines w:val="0"/>
              <w:pageBreakBefore w:val="0"/>
              <w:widowControl w:val="0"/>
              <w:wordWrap/>
              <w:overflowPunct/>
              <w:topLinePunct w:val="0"/>
              <w:autoSpaceDE/>
              <w:bidi w:val="0"/>
              <w:spacing w:line="360" w:lineRule="auto"/>
              <w:jc w:val="center"/>
              <w:rPr>
                <w:rFonts w:hint="eastAsia" w:asciiTheme="minorEastAsia" w:hAnsiTheme="minorEastAsia" w:eastAsiaTheme="minorEastAsia" w:cstheme="minorEastAsia"/>
                <w:color w:val="000000"/>
                <w:sz w:val="24"/>
                <w:szCs w:val="24"/>
                <w:highlight w:val="none"/>
              </w:rPr>
            </w:pPr>
          </w:p>
        </w:tc>
        <w:tc>
          <w:tcPr>
            <w:tcW w:w="900" w:type="dxa"/>
            <w:vAlign w:val="center"/>
          </w:tcPr>
          <w:p>
            <w:pPr>
              <w:keepNext w:val="0"/>
              <w:keepLines w:val="0"/>
              <w:pageBreakBefore w:val="0"/>
              <w:widowControl w:val="0"/>
              <w:wordWrap/>
              <w:overflowPunct/>
              <w:topLinePunct w:val="0"/>
              <w:autoSpaceDE/>
              <w:bidi w:val="0"/>
              <w:spacing w:line="360" w:lineRule="auto"/>
              <w:jc w:val="center"/>
              <w:rPr>
                <w:rFonts w:hint="eastAsia" w:asciiTheme="minorEastAsia" w:hAnsiTheme="minorEastAsia" w:eastAsiaTheme="minorEastAsia" w:cstheme="minorEastAsia"/>
                <w:color w:val="000000"/>
                <w:sz w:val="24"/>
                <w:szCs w:val="24"/>
                <w:highlight w:val="none"/>
              </w:rPr>
            </w:pPr>
          </w:p>
        </w:tc>
        <w:tc>
          <w:tcPr>
            <w:tcW w:w="900" w:type="dxa"/>
            <w:vAlign w:val="center"/>
          </w:tcPr>
          <w:p>
            <w:pPr>
              <w:keepNext w:val="0"/>
              <w:keepLines w:val="0"/>
              <w:pageBreakBefore w:val="0"/>
              <w:widowControl w:val="0"/>
              <w:wordWrap/>
              <w:overflowPunct/>
              <w:topLinePunct w:val="0"/>
              <w:autoSpaceDE/>
              <w:bidi w:val="0"/>
              <w:adjustRightInd w:val="0"/>
              <w:snapToGrid w:val="0"/>
              <w:spacing w:line="360" w:lineRule="auto"/>
              <w:jc w:val="center"/>
              <w:rPr>
                <w:rFonts w:hint="eastAsia" w:asciiTheme="minorEastAsia" w:hAnsiTheme="minorEastAsia" w:eastAsiaTheme="minorEastAsia" w:cstheme="minorEastAsia"/>
                <w:color w:val="000000"/>
                <w:sz w:val="24"/>
                <w:szCs w:val="24"/>
                <w:highlight w:val="none"/>
              </w:rPr>
            </w:pPr>
          </w:p>
        </w:tc>
        <w:tc>
          <w:tcPr>
            <w:tcW w:w="900" w:type="dxa"/>
            <w:vAlign w:val="center"/>
          </w:tcPr>
          <w:p>
            <w:pPr>
              <w:keepNext w:val="0"/>
              <w:keepLines w:val="0"/>
              <w:pageBreakBefore w:val="0"/>
              <w:widowControl w:val="0"/>
              <w:wordWrap/>
              <w:overflowPunct/>
              <w:topLinePunct w:val="0"/>
              <w:autoSpaceDE/>
              <w:autoSpaceDN w:val="0"/>
              <w:bidi w:val="0"/>
              <w:spacing w:line="360" w:lineRule="auto"/>
              <w:jc w:val="center"/>
              <w:textAlignment w:val="center"/>
              <w:rPr>
                <w:rFonts w:hint="eastAsia" w:asciiTheme="minorEastAsia" w:hAnsiTheme="minorEastAsia" w:eastAsiaTheme="minorEastAsia" w:cstheme="minorEastAsia"/>
                <w:color w:val="000000"/>
                <w:sz w:val="24"/>
                <w:szCs w:val="24"/>
                <w:highlight w:val="none"/>
              </w:rPr>
            </w:pPr>
          </w:p>
        </w:tc>
        <w:tc>
          <w:tcPr>
            <w:tcW w:w="894" w:type="dxa"/>
            <w:vAlign w:val="center"/>
          </w:tcPr>
          <w:p>
            <w:pPr>
              <w:keepNext w:val="0"/>
              <w:keepLines w:val="0"/>
              <w:pageBreakBefore w:val="0"/>
              <w:widowControl w:val="0"/>
              <w:wordWrap/>
              <w:overflowPunct/>
              <w:topLinePunct w:val="0"/>
              <w:autoSpaceDE/>
              <w:autoSpaceDN w:val="0"/>
              <w:bidi w:val="0"/>
              <w:spacing w:line="360" w:lineRule="auto"/>
              <w:jc w:val="center"/>
              <w:textAlignment w:val="center"/>
              <w:rPr>
                <w:rFonts w:hint="eastAsia" w:asciiTheme="minorEastAsia" w:hAnsiTheme="minorEastAsia" w:eastAsiaTheme="minorEastAsia" w:cstheme="minorEastAsia"/>
                <w:color w:val="000000"/>
                <w:sz w:val="24"/>
                <w:szCs w:val="24"/>
                <w:highlight w:val="none"/>
              </w:rPr>
            </w:pPr>
          </w:p>
        </w:tc>
        <w:tc>
          <w:tcPr>
            <w:tcW w:w="839" w:type="dxa"/>
            <w:vAlign w:val="center"/>
          </w:tcPr>
          <w:p>
            <w:pPr>
              <w:keepNext w:val="0"/>
              <w:keepLines w:val="0"/>
              <w:pageBreakBefore w:val="0"/>
              <w:widowControl w:val="0"/>
              <w:wordWrap/>
              <w:overflowPunct/>
              <w:topLinePunct w:val="0"/>
              <w:autoSpaceDE/>
              <w:autoSpaceDN w:val="0"/>
              <w:bidi w:val="0"/>
              <w:spacing w:line="360" w:lineRule="auto"/>
              <w:jc w:val="center"/>
              <w:textAlignment w:val="center"/>
              <w:rPr>
                <w:rFonts w:hint="eastAsia" w:asciiTheme="minorEastAsia" w:hAnsiTheme="minorEastAsia" w:eastAsiaTheme="minorEastAsia" w:cstheme="minorEastAsia"/>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exact"/>
          <w:jc w:val="center"/>
        </w:trPr>
        <w:tc>
          <w:tcPr>
            <w:tcW w:w="2406" w:type="dxa"/>
            <w:gridSpan w:val="2"/>
            <w:vAlign w:val="center"/>
          </w:tcPr>
          <w:p>
            <w:pPr>
              <w:keepNext w:val="0"/>
              <w:keepLines w:val="0"/>
              <w:pageBreakBefore w:val="0"/>
              <w:widowControl w:val="0"/>
              <w:wordWrap/>
              <w:overflowPunct/>
              <w:topLinePunct w:val="0"/>
              <w:autoSpaceDE/>
              <w:bidi w:val="0"/>
              <w:adjustRightInd w:val="0"/>
              <w:snapToGrid w:val="0"/>
              <w:spacing w:line="360" w:lineRule="auto"/>
              <w:jc w:val="center"/>
              <w:rPr>
                <w:rFonts w:hint="eastAsia" w:asciiTheme="minorEastAsia" w:hAnsiTheme="minorEastAsia" w:eastAsiaTheme="minorEastAsia" w:cstheme="minorEastAsia"/>
                <w:b/>
                <w:color w:val="000000"/>
                <w:sz w:val="24"/>
                <w:szCs w:val="24"/>
                <w:highlight w:val="none"/>
              </w:rPr>
            </w:pPr>
            <w:r>
              <w:rPr>
                <w:rFonts w:hint="eastAsia" w:asciiTheme="minorEastAsia" w:hAnsiTheme="minorEastAsia" w:eastAsiaTheme="minorEastAsia" w:cstheme="minorEastAsia"/>
                <w:b/>
                <w:color w:val="000000"/>
                <w:sz w:val="24"/>
                <w:szCs w:val="24"/>
                <w:highlight w:val="none"/>
              </w:rPr>
              <w:t>总计（人民币/元）</w:t>
            </w:r>
          </w:p>
        </w:tc>
        <w:tc>
          <w:tcPr>
            <w:tcW w:w="5693" w:type="dxa"/>
            <w:gridSpan w:val="6"/>
            <w:vAlign w:val="center"/>
          </w:tcPr>
          <w:p>
            <w:pPr>
              <w:keepNext w:val="0"/>
              <w:keepLines w:val="0"/>
              <w:pageBreakBefore w:val="0"/>
              <w:widowControl w:val="0"/>
              <w:wordWrap/>
              <w:overflowPunct/>
              <w:topLinePunct w:val="0"/>
              <w:autoSpaceDE/>
              <w:bidi w:val="0"/>
              <w:adjustRightInd w:val="0"/>
              <w:snapToGrid w:val="0"/>
              <w:spacing w:line="360" w:lineRule="auto"/>
              <w:rPr>
                <w:rFonts w:hint="eastAsia" w:asciiTheme="minorEastAsia" w:hAnsiTheme="minorEastAsia" w:eastAsiaTheme="minorEastAsia" w:cstheme="minorEastAsia"/>
                <w:b/>
                <w:color w:val="000000"/>
                <w:sz w:val="24"/>
                <w:szCs w:val="24"/>
                <w:highlight w:val="none"/>
              </w:rPr>
            </w:pPr>
            <w:r>
              <w:rPr>
                <w:rFonts w:hint="eastAsia" w:asciiTheme="minorEastAsia" w:hAnsiTheme="minorEastAsia" w:eastAsiaTheme="minorEastAsia" w:cstheme="minorEastAsia"/>
                <w:b/>
                <w:color w:val="000000"/>
                <w:sz w:val="24"/>
                <w:szCs w:val="24"/>
                <w:highlight w:val="none"/>
              </w:rPr>
              <w:t>¥：       （大写）</w:t>
            </w:r>
          </w:p>
        </w:tc>
      </w:tr>
    </w:tbl>
    <w:p>
      <w:pPr>
        <w:pStyle w:val="9"/>
        <w:keepNext w:val="0"/>
        <w:keepLines w:val="0"/>
        <w:pageBreakBefore w:val="0"/>
        <w:widowControl w:val="0"/>
        <w:wordWrap/>
        <w:overflowPunct/>
        <w:topLinePunct w:val="0"/>
        <w:autoSpaceDE/>
        <w:bidi w:val="0"/>
        <w:spacing w:before="2" w:line="360" w:lineRule="auto"/>
        <w:ind w:right="200" w:firstLine="480"/>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乙方负责按合同中确定内容进行服务；按时完成甲方</w:t>
      </w:r>
      <w:r>
        <w:rPr>
          <w:rFonts w:hint="eastAsia" w:asciiTheme="minorEastAsia" w:hAnsiTheme="minorEastAsia" w:cstheme="minorEastAsia"/>
          <w:color w:val="auto"/>
          <w:kern w:val="2"/>
          <w:sz w:val="24"/>
          <w:szCs w:val="24"/>
          <w:highlight w:val="none"/>
          <w:lang w:eastAsia="zh-CN"/>
        </w:rPr>
        <w:t>西安市灞桥区教育局（本级）西安市第五十五中学智慧黑板采购项目</w:t>
      </w:r>
      <w:r>
        <w:rPr>
          <w:rFonts w:hint="eastAsia" w:asciiTheme="minorEastAsia" w:hAnsiTheme="minorEastAsia" w:eastAsiaTheme="minorEastAsia" w:cstheme="minorEastAsia"/>
          <w:color w:val="auto"/>
          <w:kern w:val="2"/>
          <w:sz w:val="24"/>
          <w:szCs w:val="24"/>
          <w:highlight w:val="none"/>
        </w:rPr>
        <w:t>工作，达到甲方要求；负责为甲方培训操作、维护人员，做好售后服务工作。</w:t>
      </w:r>
    </w:p>
    <w:p>
      <w:pPr>
        <w:keepNext w:val="0"/>
        <w:keepLines w:val="0"/>
        <w:pageBreakBefore w:val="0"/>
        <w:widowControl w:val="0"/>
        <w:wordWrap/>
        <w:overflowPunct/>
        <w:topLinePunct w:val="0"/>
        <w:autoSpaceDE/>
        <w:bidi w:val="0"/>
        <w:spacing w:line="360" w:lineRule="auto"/>
        <w:ind w:firstLine="482" w:firstLineChars="200"/>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二、合同价格</w:t>
      </w:r>
    </w:p>
    <w:p>
      <w:pPr>
        <w:keepNext w:val="0"/>
        <w:keepLines w:val="0"/>
        <w:pageBreakBefore w:val="0"/>
        <w:widowControl w:val="0"/>
        <w:kinsoku w:val="0"/>
        <w:wordWrap/>
        <w:overflowPunct/>
        <w:topLinePunct w:val="0"/>
        <w:autoSpaceDE/>
        <w:bidi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合同总价：人民币大写：</w:t>
      </w:r>
      <w:r>
        <w:rPr>
          <w:rFonts w:hint="eastAsia" w:asciiTheme="minorEastAsia" w:hAnsiTheme="minorEastAsia" w:eastAsiaTheme="minorEastAsia" w:cstheme="minorEastAsia"/>
          <w:b/>
          <w:sz w:val="24"/>
          <w:szCs w:val="24"/>
          <w:highlight w:val="none"/>
          <w:u w:val="single"/>
        </w:rPr>
        <w:t xml:space="preserve">  </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元；¥</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元。</w:t>
      </w:r>
    </w:p>
    <w:p>
      <w:pPr>
        <w:keepNext w:val="0"/>
        <w:keepLines w:val="0"/>
        <w:pageBreakBefore w:val="0"/>
        <w:widowControl w:val="0"/>
        <w:kinsoku w:val="0"/>
        <w:wordWrap/>
        <w:overflowPunct/>
        <w:topLinePunct w:val="0"/>
        <w:autoSpaceDE/>
        <w:bidi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合同总价包括：技术培训费、人工费、税金及国家按现行税收政策征收的一切税费等。合同总价不可变更，不受市场价变化的影响，不受实际数量变化的影响。</w:t>
      </w:r>
    </w:p>
    <w:p>
      <w:pPr>
        <w:keepNext w:val="0"/>
        <w:keepLines w:val="0"/>
        <w:pageBreakBefore w:val="0"/>
        <w:widowControl w:val="0"/>
        <w:wordWrap/>
        <w:overflowPunct/>
        <w:topLinePunct w:val="0"/>
        <w:autoSpaceDE/>
        <w:bidi w:val="0"/>
        <w:spacing w:line="360" w:lineRule="auto"/>
        <w:ind w:firstLine="482" w:firstLineChars="200"/>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lang w:eastAsia="zh-CN"/>
        </w:rPr>
        <w:t>三</w:t>
      </w:r>
      <w:r>
        <w:rPr>
          <w:rFonts w:hint="eastAsia" w:asciiTheme="minorEastAsia" w:hAnsiTheme="minorEastAsia" w:eastAsiaTheme="minorEastAsia" w:cstheme="minorEastAsia"/>
          <w:b/>
          <w:sz w:val="24"/>
          <w:szCs w:val="24"/>
          <w:highlight w:val="none"/>
        </w:rPr>
        <w:t>、交货条件</w:t>
      </w:r>
    </w:p>
    <w:p>
      <w:pPr>
        <w:keepNext w:val="0"/>
        <w:keepLines w:val="0"/>
        <w:pageBreakBefore w:val="0"/>
        <w:widowControl w:val="0"/>
        <w:wordWrap/>
        <w:overflowPunct/>
        <w:topLinePunct w:val="0"/>
        <w:autoSpaceDE/>
        <w:bidi w:val="0"/>
        <w:spacing w:line="360" w:lineRule="auto"/>
        <w:ind w:firstLine="480" w:firstLineChars="200"/>
        <w:rPr>
          <w:rFonts w:hint="eastAsia" w:asciiTheme="minorEastAsia" w:hAnsiTheme="minorEastAsia" w:eastAsiaTheme="minorEastAsia" w:cstheme="minorEastAsia"/>
          <w:sz w:val="24"/>
          <w:szCs w:val="24"/>
          <w:highlight w:val="none"/>
          <w:lang w:val="zh-CN"/>
        </w:rPr>
      </w:pPr>
      <w:r>
        <w:rPr>
          <w:rFonts w:hint="eastAsia" w:asciiTheme="minorEastAsia" w:hAnsiTheme="minorEastAsia" w:eastAsiaTheme="minorEastAsia" w:cstheme="minorEastAsia"/>
          <w:sz w:val="24"/>
          <w:szCs w:val="24"/>
          <w:highlight w:val="none"/>
          <w:lang w:val="zh-CN"/>
        </w:rPr>
        <w:t>1、交货</w:t>
      </w:r>
      <w:r>
        <w:rPr>
          <w:rFonts w:hint="eastAsia" w:asciiTheme="minorEastAsia" w:hAnsiTheme="minorEastAsia" w:eastAsiaTheme="minorEastAsia" w:cstheme="minorEastAsia"/>
          <w:sz w:val="24"/>
          <w:szCs w:val="24"/>
          <w:highlight w:val="none"/>
        </w:rPr>
        <w:t>条件</w:t>
      </w:r>
      <w:r>
        <w:rPr>
          <w:rFonts w:hint="eastAsia" w:asciiTheme="minorEastAsia" w:hAnsiTheme="minorEastAsia" w:eastAsiaTheme="minorEastAsia" w:cstheme="minorEastAsia"/>
          <w:sz w:val="24"/>
          <w:szCs w:val="24"/>
          <w:highlight w:val="none"/>
          <w:lang w:val="zh-CN"/>
        </w:rPr>
        <w:t>：乙方负责按合同中确定内容进行服务；按时完成</w:t>
      </w:r>
      <w:r>
        <w:rPr>
          <w:rFonts w:hint="eastAsia" w:asciiTheme="minorEastAsia" w:hAnsiTheme="minorEastAsia" w:cstheme="minorEastAsia"/>
          <w:sz w:val="24"/>
          <w:szCs w:val="24"/>
          <w:highlight w:val="none"/>
          <w:lang w:val="en-US" w:eastAsia="zh-CN"/>
        </w:rPr>
        <w:t>甲方</w:t>
      </w:r>
      <w:r>
        <w:rPr>
          <w:rFonts w:hint="eastAsia" w:asciiTheme="minorEastAsia" w:hAnsiTheme="minorEastAsia" w:cstheme="minorEastAsia"/>
          <w:sz w:val="24"/>
          <w:szCs w:val="24"/>
          <w:highlight w:val="none"/>
          <w:lang w:val="zh-CN"/>
        </w:rPr>
        <w:t>西安市灞桥区教育局（本级）西安市第五十五中学智慧黑板采购项目</w:t>
      </w:r>
      <w:r>
        <w:rPr>
          <w:rFonts w:hint="eastAsia" w:asciiTheme="minorEastAsia" w:hAnsiTheme="minorEastAsia" w:eastAsiaTheme="minorEastAsia" w:cstheme="minorEastAsia"/>
          <w:sz w:val="24"/>
          <w:szCs w:val="24"/>
          <w:highlight w:val="none"/>
          <w:lang w:val="zh-CN"/>
        </w:rPr>
        <w:t>工作，达到甲方要求；负责为甲方培训操作、维护人员，做好售后服务工作。交付的货物、服务与</w:t>
      </w:r>
      <w:r>
        <w:rPr>
          <w:rFonts w:hint="eastAsia" w:asciiTheme="minorEastAsia" w:hAnsiTheme="minorEastAsia" w:cstheme="minorEastAsia"/>
          <w:sz w:val="24"/>
          <w:szCs w:val="24"/>
          <w:highlight w:val="none"/>
          <w:lang w:val="zh-CN"/>
        </w:rPr>
        <w:t>响应文件</w:t>
      </w:r>
      <w:r>
        <w:rPr>
          <w:rFonts w:hint="eastAsia" w:asciiTheme="minorEastAsia" w:hAnsiTheme="minorEastAsia" w:eastAsiaTheme="minorEastAsia" w:cstheme="minorEastAsia"/>
          <w:sz w:val="24"/>
          <w:szCs w:val="24"/>
          <w:highlight w:val="none"/>
          <w:lang w:val="zh-CN"/>
        </w:rPr>
        <w:t>、</w:t>
      </w:r>
      <w:r>
        <w:rPr>
          <w:rFonts w:hint="eastAsia" w:asciiTheme="minorEastAsia" w:hAnsiTheme="minorEastAsia" w:cstheme="minorEastAsia"/>
          <w:sz w:val="24"/>
          <w:szCs w:val="24"/>
          <w:highlight w:val="none"/>
          <w:lang w:val="zh-CN"/>
        </w:rPr>
        <w:t>竞争性谈判文件</w:t>
      </w:r>
      <w:r>
        <w:rPr>
          <w:rFonts w:hint="eastAsia" w:asciiTheme="minorEastAsia" w:hAnsiTheme="minorEastAsia" w:eastAsiaTheme="minorEastAsia" w:cstheme="minorEastAsia"/>
          <w:sz w:val="24"/>
          <w:szCs w:val="24"/>
          <w:highlight w:val="none"/>
          <w:lang w:val="zh-CN"/>
        </w:rPr>
        <w:t>等所指明的，或者与本合同所指明的内容相一致。</w:t>
      </w:r>
    </w:p>
    <w:p>
      <w:pPr>
        <w:keepNext w:val="0"/>
        <w:keepLines w:val="0"/>
        <w:pageBreakBefore w:val="0"/>
        <w:widowControl w:val="0"/>
        <w:wordWrap/>
        <w:overflowPunct/>
        <w:topLinePunct w:val="0"/>
        <w:autoSpaceDE/>
        <w:bidi w:val="0"/>
        <w:spacing w:line="360" w:lineRule="auto"/>
        <w:ind w:firstLine="480" w:firstLineChars="200"/>
        <w:rPr>
          <w:rFonts w:hint="eastAsia" w:asciiTheme="minorEastAsia" w:hAnsiTheme="minorEastAsia" w:eastAsiaTheme="minorEastAsia" w:cstheme="minorEastAsia"/>
          <w:sz w:val="24"/>
          <w:szCs w:val="24"/>
          <w:highlight w:val="none"/>
          <w:lang w:val="zh-CN"/>
        </w:rPr>
      </w:pPr>
      <w:r>
        <w:rPr>
          <w:rFonts w:hint="eastAsia" w:asciiTheme="minorEastAsia" w:hAnsiTheme="minorEastAsia" w:eastAsiaTheme="minorEastAsia" w:cstheme="minorEastAsia"/>
          <w:sz w:val="24"/>
          <w:szCs w:val="24"/>
          <w:highlight w:val="none"/>
          <w:lang w:val="zh-CN"/>
        </w:rPr>
        <w:t>2、交货日期：</w:t>
      </w:r>
    </w:p>
    <w:p>
      <w:pPr>
        <w:keepNext w:val="0"/>
        <w:keepLines w:val="0"/>
        <w:pageBreakBefore w:val="0"/>
        <w:widowControl w:val="0"/>
        <w:wordWrap/>
        <w:overflowPunct/>
        <w:topLinePunct w:val="0"/>
        <w:autoSpaceDE/>
        <w:bidi w:val="0"/>
        <w:spacing w:line="360" w:lineRule="auto"/>
        <w:ind w:firstLine="482" w:firstLineChars="200"/>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lang w:eastAsia="zh-CN"/>
        </w:rPr>
        <w:t>四</w:t>
      </w:r>
      <w:r>
        <w:rPr>
          <w:rFonts w:hint="eastAsia" w:asciiTheme="minorEastAsia" w:hAnsiTheme="minorEastAsia" w:eastAsiaTheme="minorEastAsia" w:cstheme="minorEastAsia"/>
          <w:b/>
          <w:sz w:val="24"/>
          <w:szCs w:val="24"/>
          <w:highlight w:val="none"/>
        </w:rPr>
        <w:t>、付款方式</w:t>
      </w:r>
    </w:p>
    <w:p>
      <w:pPr>
        <w:keepNext w:val="0"/>
        <w:keepLines w:val="0"/>
        <w:pageBreakBefore w:val="0"/>
        <w:widowControl w:val="0"/>
        <w:tabs>
          <w:tab w:val="left" w:pos="840"/>
        </w:tabs>
        <w:wordWrap/>
        <w:overflowPunct/>
        <w:topLinePunct w:val="0"/>
        <w:autoSpaceDE/>
        <w:bidi w:val="0"/>
        <w:spacing w:line="360" w:lineRule="auto"/>
        <w:ind w:firstLine="420" w:firstLineChars="175"/>
        <w:rPr>
          <w:rFonts w:hint="eastAsia" w:asciiTheme="minorEastAsia" w:hAnsiTheme="minorEastAsia" w:cstheme="minorEastAsia"/>
          <w:b w:val="0"/>
          <w:bCs/>
          <w:sz w:val="24"/>
          <w:szCs w:val="24"/>
          <w:highlight w:val="none"/>
          <w:lang w:eastAsia="zh-CN"/>
        </w:rPr>
      </w:pPr>
      <w:r>
        <w:rPr>
          <w:rFonts w:hint="eastAsia" w:asciiTheme="minorEastAsia" w:hAnsiTheme="minorEastAsia" w:cstheme="minorEastAsia"/>
          <w:b w:val="0"/>
          <w:bCs/>
          <w:sz w:val="24"/>
          <w:szCs w:val="24"/>
          <w:highlight w:val="none"/>
          <w:lang w:eastAsia="zh-CN"/>
        </w:rPr>
        <w:t>（1）全部产品安装调试完毕并验收合格后，甲方向乙方支付合同总价</w:t>
      </w:r>
      <w:r>
        <w:rPr>
          <w:rFonts w:hint="eastAsia" w:asciiTheme="minorEastAsia" w:hAnsiTheme="minorEastAsia" w:cstheme="minorEastAsia"/>
          <w:b w:val="0"/>
          <w:bCs/>
          <w:sz w:val="24"/>
          <w:szCs w:val="24"/>
          <w:highlight w:val="none"/>
          <w:lang w:val="en-US" w:eastAsia="zh-CN"/>
        </w:rPr>
        <w:t>100</w:t>
      </w:r>
      <w:r>
        <w:rPr>
          <w:rFonts w:hint="eastAsia" w:asciiTheme="minorEastAsia" w:hAnsiTheme="minorEastAsia" w:cstheme="minorEastAsia"/>
          <w:b w:val="0"/>
          <w:bCs/>
          <w:sz w:val="24"/>
          <w:szCs w:val="24"/>
          <w:highlight w:val="none"/>
          <w:lang w:eastAsia="zh-CN"/>
        </w:rPr>
        <w:t>%的价款。</w:t>
      </w:r>
    </w:p>
    <w:p>
      <w:pPr>
        <w:keepNext w:val="0"/>
        <w:keepLines w:val="0"/>
        <w:pageBreakBefore w:val="0"/>
        <w:widowControl w:val="0"/>
        <w:tabs>
          <w:tab w:val="left" w:pos="840"/>
        </w:tabs>
        <w:wordWrap/>
        <w:overflowPunct/>
        <w:topLinePunct w:val="0"/>
        <w:autoSpaceDE/>
        <w:bidi w:val="0"/>
        <w:spacing w:line="360" w:lineRule="auto"/>
        <w:ind w:firstLine="420" w:firstLineChars="175"/>
        <w:rPr>
          <w:rFonts w:hint="eastAsia" w:asciiTheme="minorEastAsia" w:hAnsiTheme="minorEastAsia" w:cstheme="minorEastAsia"/>
          <w:b w:val="0"/>
          <w:bCs/>
          <w:sz w:val="24"/>
          <w:szCs w:val="24"/>
          <w:highlight w:val="none"/>
          <w:lang w:eastAsia="zh-CN"/>
        </w:rPr>
      </w:pPr>
      <w:r>
        <w:rPr>
          <w:rFonts w:hint="eastAsia" w:asciiTheme="minorEastAsia" w:hAnsiTheme="minorEastAsia" w:cstheme="minorEastAsia"/>
          <w:b w:val="0"/>
          <w:bCs/>
          <w:sz w:val="24"/>
          <w:szCs w:val="24"/>
          <w:highlight w:val="none"/>
          <w:lang w:eastAsia="zh-CN"/>
        </w:rPr>
        <w:t>（</w:t>
      </w:r>
      <w:r>
        <w:rPr>
          <w:rFonts w:hint="eastAsia" w:asciiTheme="minorEastAsia" w:hAnsiTheme="minorEastAsia" w:cstheme="minorEastAsia"/>
          <w:b w:val="0"/>
          <w:bCs/>
          <w:sz w:val="24"/>
          <w:szCs w:val="24"/>
          <w:highlight w:val="none"/>
          <w:lang w:val="en-US" w:eastAsia="zh-CN"/>
        </w:rPr>
        <w:t>2</w:t>
      </w:r>
      <w:r>
        <w:rPr>
          <w:rFonts w:hint="eastAsia" w:asciiTheme="minorEastAsia" w:hAnsiTheme="minorEastAsia" w:cstheme="minorEastAsia"/>
          <w:b w:val="0"/>
          <w:bCs/>
          <w:sz w:val="24"/>
          <w:szCs w:val="24"/>
          <w:highlight w:val="none"/>
          <w:lang w:eastAsia="zh-CN"/>
        </w:rPr>
        <w:t>）结算方式：银行转账。</w:t>
      </w:r>
    </w:p>
    <w:p>
      <w:pPr>
        <w:keepNext w:val="0"/>
        <w:keepLines w:val="0"/>
        <w:pageBreakBefore w:val="0"/>
        <w:widowControl w:val="0"/>
        <w:tabs>
          <w:tab w:val="left" w:pos="840"/>
        </w:tabs>
        <w:wordWrap/>
        <w:overflowPunct/>
        <w:topLinePunct w:val="0"/>
        <w:autoSpaceDE/>
        <w:bidi w:val="0"/>
        <w:spacing w:line="360" w:lineRule="auto"/>
        <w:ind w:firstLine="420" w:firstLineChars="175"/>
        <w:rPr>
          <w:rFonts w:hint="eastAsia" w:asciiTheme="minorEastAsia" w:hAnsiTheme="minorEastAsia" w:cstheme="minorEastAsia"/>
          <w:b w:val="0"/>
          <w:bCs/>
          <w:sz w:val="24"/>
          <w:szCs w:val="24"/>
          <w:highlight w:val="none"/>
          <w:lang w:eastAsia="zh-CN"/>
        </w:rPr>
      </w:pPr>
      <w:r>
        <w:rPr>
          <w:rFonts w:hint="eastAsia" w:asciiTheme="minorEastAsia" w:hAnsiTheme="minorEastAsia" w:cstheme="minorEastAsia"/>
          <w:b w:val="0"/>
          <w:bCs/>
          <w:sz w:val="24"/>
          <w:szCs w:val="24"/>
          <w:highlight w:val="none"/>
          <w:lang w:eastAsia="zh-CN"/>
        </w:rPr>
        <w:t>（</w:t>
      </w:r>
      <w:r>
        <w:rPr>
          <w:rFonts w:hint="eastAsia" w:asciiTheme="minorEastAsia" w:hAnsiTheme="minorEastAsia" w:cstheme="minorEastAsia"/>
          <w:b w:val="0"/>
          <w:bCs/>
          <w:sz w:val="24"/>
          <w:szCs w:val="24"/>
          <w:highlight w:val="none"/>
          <w:lang w:val="en-US" w:eastAsia="zh-CN"/>
        </w:rPr>
        <w:t>3</w:t>
      </w:r>
      <w:r>
        <w:rPr>
          <w:rFonts w:hint="eastAsia" w:asciiTheme="minorEastAsia" w:hAnsiTheme="minorEastAsia" w:cstheme="minorEastAsia"/>
          <w:b w:val="0"/>
          <w:bCs/>
          <w:sz w:val="24"/>
          <w:szCs w:val="24"/>
          <w:highlight w:val="none"/>
          <w:lang w:eastAsia="zh-CN"/>
        </w:rPr>
        <w:t>）结算单位：由采购人负责结算，乙方开具合同总价数的全额发票交采购人。</w:t>
      </w:r>
    </w:p>
    <w:p>
      <w:pPr>
        <w:keepNext w:val="0"/>
        <w:keepLines w:val="0"/>
        <w:pageBreakBefore w:val="0"/>
        <w:widowControl w:val="0"/>
        <w:tabs>
          <w:tab w:val="left" w:pos="840"/>
        </w:tabs>
        <w:wordWrap/>
        <w:overflowPunct/>
        <w:topLinePunct w:val="0"/>
        <w:autoSpaceDE/>
        <w:bidi w:val="0"/>
        <w:spacing w:line="360" w:lineRule="auto"/>
        <w:ind w:firstLine="422" w:firstLineChars="175"/>
        <w:rPr>
          <w:rFonts w:hint="eastAsia" w:asciiTheme="minorEastAsia" w:hAnsiTheme="minorEastAsia" w:eastAsiaTheme="minorEastAsia" w:cstheme="minorEastAsia"/>
          <w:b/>
          <w:sz w:val="24"/>
          <w:szCs w:val="24"/>
          <w:highlight w:val="none"/>
        </w:rPr>
      </w:pPr>
      <w:r>
        <w:rPr>
          <w:rFonts w:hint="eastAsia" w:asciiTheme="minorEastAsia" w:hAnsiTheme="minorEastAsia" w:cstheme="minorEastAsia"/>
          <w:b/>
          <w:sz w:val="24"/>
          <w:szCs w:val="24"/>
          <w:highlight w:val="none"/>
          <w:lang w:eastAsia="zh-CN"/>
        </w:rPr>
        <w:t>五</w:t>
      </w:r>
      <w:r>
        <w:rPr>
          <w:rFonts w:hint="eastAsia" w:asciiTheme="minorEastAsia" w:hAnsiTheme="minorEastAsia" w:eastAsiaTheme="minorEastAsia" w:cstheme="minorEastAsia"/>
          <w:b/>
          <w:sz w:val="24"/>
          <w:szCs w:val="24"/>
          <w:highlight w:val="none"/>
        </w:rPr>
        <w:t>、双方的权利和义务</w:t>
      </w:r>
    </w:p>
    <w:p>
      <w:pPr>
        <w:keepNext w:val="0"/>
        <w:keepLines w:val="0"/>
        <w:pageBreakBefore w:val="0"/>
        <w:widowControl w:val="0"/>
        <w:tabs>
          <w:tab w:val="left" w:pos="840"/>
        </w:tabs>
        <w:wordWrap/>
        <w:overflowPunct/>
        <w:topLinePunct w:val="0"/>
        <w:autoSpaceDE/>
        <w:bidi w:val="0"/>
        <w:spacing w:line="360" w:lineRule="auto"/>
        <w:ind w:firstLine="420" w:firstLineChars="17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1、甲方责任</w:t>
      </w:r>
    </w:p>
    <w:p>
      <w:pPr>
        <w:keepNext w:val="0"/>
        <w:keepLines w:val="0"/>
        <w:pageBreakBefore w:val="0"/>
        <w:widowControl w:val="0"/>
        <w:tabs>
          <w:tab w:val="left" w:pos="840"/>
        </w:tabs>
        <w:wordWrap/>
        <w:overflowPunct/>
        <w:topLinePunct w:val="0"/>
        <w:autoSpaceDE/>
        <w:bidi w:val="0"/>
        <w:spacing w:line="360" w:lineRule="auto"/>
        <w:ind w:firstLine="420" w:firstLineChars="17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负责核准、认定本项目相关技术资料文档；监督、参与项目执行的整个过程为乙方提供必要的工作条件，并提供产品及服务所必需的运行环境；按照合同约定支付合同款项。</w:t>
      </w:r>
    </w:p>
    <w:p>
      <w:pPr>
        <w:keepNext w:val="0"/>
        <w:keepLines w:val="0"/>
        <w:pageBreakBefore w:val="0"/>
        <w:widowControl w:val="0"/>
        <w:tabs>
          <w:tab w:val="left" w:pos="840"/>
        </w:tabs>
        <w:wordWrap/>
        <w:overflowPunct/>
        <w:topLinePunct w:val="0"/>
        <w:autoSpaceDE/>
        <w:bidi w:val="0"/>
        <w:spacing w:line="360" w:lineRule="auto"/>
        <w:ind w:firstLine="420" w:firstLineChars="17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2、乙方责任</w:t>
      </w:r>
    </w:p>
    <w:p>
      <w:pPr>
        <w:keepNext w:val="0"/>
        <w:keepLines w:val="0"/>
        <w:pageBreakBefore w:val="0"/>
        <w:widowControl w:val="0"/>
        <w:tabs>
          <w:tab w:val="left" w:pos="840"/>
        </w:tabs>
        <w:wordWrap/>
        <w:overflowPunct/>
        <w:topLinePunct w:val="0"/>
        <w:autoSpaceDE/>
        <w:bidi w:val="0"/>
        <w:spacing w:line="360" w:lineRule="auto"/>
        <w:ind w:firstLine="420" w:firstLineChars="17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项目的交接；按时完成本合同所涉及产品及服务项目的验收工作；协助配合甲方完成</w:t>
      </w:r>
      <w:r>
        <w:rPr>
          <w:rFonts w:hint="eastAsia" w:asciiTheme="minorEastAsia" w:hAnsiTheme="minorEastAsia" w:cstheme="minorEastAsia"/>
          <w:sz w:val="24"/>
          <w:szCs w:val="24"/>
          <w:highlight w:val="none"/>
          <w:lang w:val="en-US" w:eastAsia="zh-CN"/>
        </w:rPr>
        <w:t>该</w:t>
      </w:r>
      <w:r>
        <w:rPr>
          <w:rFonts w:hint="eastAsia" w:asciiTheme="minorEastAsia" w:hAnsiTheme="minorEastAsia" w:eastAsiaTheme="minorEastAsia" w:cstheme="minorEastAsia"/>
          <w:sz w:val="24"/>
          <w:szCs w:val="24"/>
          <w:highlight w:val="none"/>
          <w:lang w:eastAsia="zh-CN"/>
        </w:rPr>
        <w:t>项目</w:t>
      </w:r>
      <w:r>
        <w:rPr>
          <w:rFonts w:hint="eastAsia" w:asciiTheme="minorEastAsia" w:hAnsiTheme="minorEastAsia" w:eastAsiaTheme="minorEastAsia" w:cstheme="minorEastAsia"/>
          <w:sz w:val="24"/>
          <w:szCs w:val="24"/>
          <w:highlight w:val="none"/>
        </w:rPr>
        <w:t>；做好整个项目的售后服务技术支持工作。</w:t>
      </w:r>
    </w:p>
    <w:p>
      <w:pPr>
        <w:keepNext w:val="0"/>
        <w:keepLines w:val="0"/>
        <w:pageBreakBefore w:val="0"/>
        <w:widowControl w:val="0"/>
        <w:tabs>
          <w:tab w:val="left" w:pos="840"/>
        </w:tabs>
        <w:wordWrap/>
        <w:overflowPunct/>
        <w:topLinePunct w:val="0"/>
        <w:autoSpaceDE/>
        <w:bidi w:val="0"/>
        <w:spacing w:line="360" w:lineRule="auto"/>
        <w:ind w:firstLine="422" w:firstLineChars="175"/>
        <w:rPr>
          <w:rFonts w:hint="eastAsia" w:asciiTheme="minorEastAsia" w:hAnsiTheme="minorEastAsia" w:eastAsiaTheme="minorEastAsia" w:cstheme="minorEastAsia"/>
          <w:b/>
          <w:sz w:val="24"/>
          <w:szCs w:val="24"/>
          <w:highlight w:val="none"/>
        </w:rPr>
      </w:pPr>
      <w:r>
        <w:rPr>
          <w:rFonts w:hint="eastAsia" w:asciiTheme="minorEastAsia" w:hAnsiTheme="minorEastAsia" w:cstheme="minorEastAsia"/>
          <w:b/>
          <w:sz w:val="24"/>
          <w:szCs w:val="24"/>
          <w:highlight w:val="none"/>
          <w:lang w:eastAsia="zh-CN"/>
        </w:rPr>
        <w:t>六</w:t>
      </w:r>
      <w:r>
        <w:rPr>
          <w:rFonts w:hint="eastAsia" w:asciiTheme="minorEastAsia" w:hAnsiTheme="minorEastAsia" w:eastAsiaTheme="minorEastAsia" w:cstheme="minorEastAsia"/>
          <w:b/>
          <w:sz w:val="24"/>
          <w:szCs w:val="24"/>
          <w:highlight w:val="none"/>
        </w:rPr>
        <w:t>、质量保证</w:t>
      </w:r>
    </w:p>
    <w:p>
      <w:pPr>
        <w:pStyle w:val="9"/>
        <w:keepNext w:val="0"/>
        <w:keepLines w:val="0"/>
        <w:pageBreakBefore w:val="0"/>
        <w:widowControl w:val="0"/>
        <w:wordWrap/>
        <w:overflowPunct/>
        <w:topLinePunct w:val="0"/>
        <w:autoSpaceDE/>
        <w:bidi w:val="0"/>
        <w:spacing w:before="172" w:line="360" w:lineRule="auto"/>
        <w:ind w:firstLine="420" w:firstLineChars="175"/>
        <w:rPr>
          <w:rFonts w:hint="eastAsia" w:asciiTheme="minorEastAsia" w:hAnsiTheme="minorEastAsia" w:eastAsiaTheme="minorEastAsia" w:cstheme="minorEastAsia"/>
          <w:color w:val="000000"/>
          <w:sz w:val="24"/>
          <w:szCs w:val="24"/>
          <w:highlight w:val="none"/>
          <w:lang w:val="zh-CN" w:bidi="zh-CN"/>
        </w:rPr>
      </w:pPr>
      <w:r>
        <w:rPr>
          <w:rFonts w:hint="eastAsia" w:asciiTheme="minorEastAsia" w:hAnsiTheme="minorEastAsia" w:eastAsiaTheme="minorEastAsia" w:cstheme="minorEastAsia"/>
          <w:color w:val="000000"/>
          <w:sz w:val="24"/>
          <w:szCs w:val="24"/>
          <w:highlight w:val="none"/>
          <w:lang w:val="zh-CN" w:bidi="zh-CN"/>
        </w:rPr>
        <w:t>1、本次项目应符合国家有关规范， 确保达到最佳状态。</w:t>
      </w:r>
    </w:p>
    <w:p>
      <w:pPr>
        <w:pStyle w:val="9"/>
        <w:keepNext w:val="0"/>
        <w:keepLines w:val="0"/>
        <w:pageBreakBefore w:val="0"/>
        <w:widowControl w:val="0"/>
        <w:wordWrap/>
        <w:overflowPunct/>
        <w:topLinePunct w:val="0"/>
        <w:autoSpaceDE/>
        <w:bidi w:val="0"/>
        <w:spacing w:before="1" w:line="360" w:lineRule="auto"/>
        <w:ind w:firstLine="420" w:firstLineChars="175"/>
        <w:rPr>
          <w:rFonts w:hint="eastAsia" w:asciiTheme="minorEastAsia" w:hAnsiTheme="minorEastAsia" w:eastAsiaTheme="minorEastAsia" w:cstheme="minorEastAsia"/>
          <w:color w:val="000000"/>
          <w:sz w:val="24"/>
          <w:szCs w:val="24"/>
          <w:highlight w:val="none"/>
          <w:lang w:val="zh-CN" w:bidi="zh-CN"/>
        </w:rPr>
      </w:pPr>
      <w:r>
        <w:rPr>
          <w:rFonts w:hint="eastAsia" w:asciiTheme="minorEastAsia" w:hAnsiTheme="minorEastAsia" w:eastAsiaTheme="minorEastAsia" w:cstheme="minorEastAsia"/>
          <w:color w:val="000000"/>
          <w:sz w:val="24"/>
          <w:szCs w:val="24"/>
          <w:highlight w:val="none"/>
          <w:lang w:val="zh-CN" w:bidi="zh-CN"/>
        </w:rPr>
        <w:t>2、成交供应商应根据服务方案规范及质量要求进行服务工作，并在质保期内、外应对由于产品设计、工艺或材料的缺陷而产生的质量问题负责，采购人在服务过程中起到配合、监督及管理的作用。</w:t>
      </w:r>
    </w:p>
    <w:p>
      <w:pPr>
        <w:pStyle w:val="9"/>
        <w:keepNext w:val="0"/>
        <w:keepLines w:val="0"/>
        <w:pageBreakBefore w:val="0"/>
        <w:widowControl w:val="0"/>
        <w:tabs>
          <w:tab w:val="left" w:pos="7560"/>
        </w:tabs>
        <w:wordWrap/>
        <w:overflowPunct/>
        <w:topLinePunct w:val="0"/>
        <w:autoSpaceDE/>
        <w:bidi w:val="0"/>
        <w:spacing w:before="1" w:line="360" w:lineRule="auto"/>
        <w:ind w:firstLine="420" w:firstLineChars="175"/>
        <w:rPr>
          <w:rFonts w:hint="eastAsia" w:asciiTheme="minorEastAsia" w:hAnsiTheme="minorEastAsia" w:eastAsiaTheme="minorEastAsia" w:cstheme="minorEastAsia"/>
          <w:color w:val="000000"/>
          <w:sz w:val="24"/>
          <w:szCs w:val="24"/>
          <w:highlight w:val="none"/>
          <w:lang w:val="zh-CN" w:bidi="zh-CN"/>
        </w:rPr>
      </w:pPr>
      <w:r>
        <w:rPr>
          <w:rFonts w:hint="eastAsia" w:asciiTheme="minorEastAsia" w:hAnsiTheme="minorEastAsia" w:eastAsiaTheme="minorEastAsia" w:cstheme="minorEastAsia"/>
          <w:color w:val="000000"/>
          <w:sz w:val="24"/>
          <w:szCs w:val="24"/>
          <w:highlight w:val="none"/>
          <w:lang w:val="zh-CN" w:bidi="zh-CN"/>
        </w:rPr>
        <w:t>3、在质保期内，如果发现服务范围、内容和服务质量等存在与合同中任何一项不符，采购人应在最短时间内，以书面形式向成交供应商提出索赔，同时通告采购代理机构。</w:t>
      </w:r>
    </w:p>
    <w:p>
      <w:pPr>
        <w:keepNext w:val="0"/>
        <w:keepLines w:val="0"/>
        <w:pageBreakBefore w:val="0"/>
        <w:widowControl w:val="0"/>
        <w:wordWrap/>
        <w:overflowPunct/>
        <w:topLinePunct w:val="0"/>
        <w:autoSpaceDE/>
        <w:bidi w:val="0"/>
        <w:spacing w:before="1" w:line="360" w:lineRule="auto"/>
        <w:ind w:firstLine="422" w:firstLineChars="175"/>
        <w:rPr>
          <w:rFonts w:hint="eastAsia" w:asciiTheme="minorEastAsia" w:hAnsiTheme="minorEastAsia" w:eastAsiaTheme="minorEastAsia" w:cstheme="minorEastAsia"/>
          <w:b/>
          <w:sz w:val="24"/>
          <w:szCs w:val="24"/>
          <w:highlight w:val="none"/>
          <w:lang w:bidi="zh-CN"/>
        </w:rPr>
      </w:pPr>
      <w:r>
        <w:rPr>
          <w:rFonts w:hint="eastAsia" w:asciiTheme="minorEastAsia" w:hAnsiTheme="minorEastAsia" w:cstheme="minorEastAsia"/>
          <w:b/>
          <w:sz w:val="24"/>
          <w:szCs w:val="24"/>
          <w:highlight w:val="none"/>
          <w:lang w:bidi="zh-CN"/>
        </w:rPr>
        <w:t>七</w:t>
      </w:r>
      <w:r>
        <w:rPr>
          <w:rFonts w:hint="eastAsia" w:asciiTheme="minorEastAsia" w:hAnsiTheme="minorEastAsia" w:eastAsiaTheme="minorEastAsia" w:cstheme="minorEastAsia"/>
          <w:b/>
          <w:sz w:val="24"/>
          <w:szCs w:val="24"/>
          <w:highlight w:val="none"/>
          <w:lang w:bidi="zh-CN"/>
        </w:rPr>
        <w:t>、售后服务</w:t>
      </w:r>
    </w:p>
    <w:p>
      <w:pPr>
        <w:keepNext w:val="0"/>
        <w:keepLines w:val="0"/>
        <w:pageBreakBefore w:val="0"/>
        <w:widowControl w:val="0"/>
        <w:wordWrap/>
        <w:overflowPunct/>
        <w:topLinePunct w:val="0"/>
        <w:autoSpaceDE/>
        <w:bidi w:val="0"/>
        <w:adjustRightInd w:val="0"/>
        <w:snapToGrid w:val="0"/>
        <w:spacing w:line="360" w:lineRule="auto"/>
        <w:ind w:firstLine="420" w:firstLineChars="175"/>
        <w:rPr>
          <w:rFonts w:hint="eastAsia" w:asciiTheme="minorEastAsia" w:hAnsiTheme="minorEastAsia" w:eastAsiaTheme="minorEastAsia" w:cstheme="minorEastAsia"/>
          <w:sz w:val="24"/>
          <w:szCs w:val="24"/>
          <w:highlight w:val="none"/>
          <w:lang w:val="zh-CN" w:bidi="zh-CN"/>
        </w:rPr>
      </w:pPr>
      <w:r>
        <w:rPr>
          <w:rFonts w:hint="eastAsia" w:asciiTheme="minorEastAsia" w:hAnsiTheme="minorEastAsia" w:eastAsiaTheme="minorEastAsia" w:cstheme="minorEastAsia"/>
          <w:sz w:val="24"/>
          <w:szCs w:val="24"/>
          <w:highlight w:val="none"/>
          <w:lang w:val="zh-CN" w:bidi="zh-CN"/>
        </w:rPr>
        <w:t>以</w:t>
      </w:r>
      <w:r>
        <w:rPr>
          <w:rFonts w:hint="eastAsia" w:asciiTheme="minorEastAsia" w:hAnsiTheme="minorEastAsia" w:cstheme="minorEastAsia"/>
          <w:sz w:val="24"/>
          <w:szCs w:val="24"/>
          <w:highlight w:val="none"/>
          <w:lang w:val="en-US" w:bidi="zh-CN"/>
        </w:rPr>
        <w:t>谈判文件</w:t>
      </w:r>
      <w:r>
        <w:rPr>
          <w:rFonts w:hint="eastAsia" w:asciiTheme="minorEastAsia" w:hAnsiTheme="minorEastAsia" w:eastAsiaTheme="minorEastAsia" w:cstheme="minorEastAsia"/>
          <w:sz w:val="24"/>
          <w:szCs w:val="24"/>
          <w:highlight w:val="none"/>
          <w:lang w:val="zh-CN" w:bidi="zh-CN"/>
        </w:rPr>
        <w:t>、</w:t>
      </w:r>
      <w:r>
        <w:rPr>
          <w:rFonts w:hint="eastAsia" w:asciiTheme="minorEastAsia" w:hAnsiTheme="minorEastAsia" w:cstheme="minorEastAsia"/>
          <w:sz w:val="24"/>
          <w:szCs w:val="24"/>
          <w:highlight w:val="none"/>
          <w:lang w:val="en-US" w:bidi="zh-CN"/>
        </w:rPr>
        <w:t>响应</w:t>
      </w:r>
      <w:r>
        <w:rPr>
          <w:rFonts w:hint="eastAsia" w:asciiTheme="minorEastAsia" w:hAnsiTheme="minorEastAsia" w:eastAsiaTheme="minorEastAsia" w:cstheme="minorEastAsia"/>
          <w:sz w:val="24"/>
          <w:szCs w:val="24"/>
          <w:highlight w:val="none"/>
          <w:lang w:val="zh-CN" w:bidi="zh-CN"/>
        </w:rPr>
        <w:t>文件、</w:t>
      </w:r>
      <w:r>
        <w:rPr>
          <w:rFonts w:hint="eastAsia" w:asciiTheme="minorEastAsia" w:hAnsiTheme="minorEastAsia" w:cstheme="minorEastAsia"/>
          <w:sz w:val="24"/>
          <w:szCs w:val="24"/>
          <w:highlight w:val="none"/>
          <w:lang w:val="en-US" w:bidi="zh-CN"/>
        </w:rPr>
        <w:t>成交</w:t>
      </w:r>
      <w:r>
        <w:rPr>
          <w:rFonts w:hint="eastAsia" w:asciiTheme="minorEastAsia" w:hAnsiTheme="minorEastAsia" w:eastAsiaTheme="minorEastAsia" w:cstheme="minorEastAsia"/>
          <w:sz w:val="24"/>
          <w:szCs w:val="24"/>
          <w:highlight w:val="none"/>
          <w:lang w:val="zh-CN" w:bidi="zh-CN"/>
        </w:rPr>
        <w:t>单位澄清表（函）为准。</w:t>
      </w:r>
    </w:p>
    <w:p>
      <w:pPr>
        <w:pStyle w:val="9"/>
        <w:keepNext w:val="0"/>
        <w:keepLines w:val="0"/>
        <w:pageBreakBefore w:val="0"/>
        <w:widowControl w:val="0"/>
        <w:wordWrap/>
        <w:overflowPunct/>
        <w:topLinePunct w:val="0"/>
        <w:autoSpaceDE/>
        <w:bidi w:val="0"/>
        <w:spacing w:before="1" w:line="360" w:lineRule="auto"/>
        <w:ind w:firstLine="422" w:firstLineChars="175"/>
        <w:rPr>
          <w:rFonts w:hint="eastAsia" w:asciiTheme="minorEastAsia" w:hAnsiTheme="minorEastAsia" w:eastAsiaTheme="minorEastAsia" w:cstheme="minorEastAsia"/>
          <w:b/>
          <w:bCs/>
          <w:color w:val="000000"/>
          <w:sz w:val="24"/>
          <w:szCs w:val="24"/>
          <w:highlight w:val="none"/>
          <w:lang w:val="zh-CN" w:bidi="zh-CN"/>
        </w:rPr>
      </w:pPr>
      <w:r>
        <w:rPr>
          <w:rFonts w:hint="eastAsia" w:asciiTheme="minorEastAsia" w:hAnsiTheme="minorEastAsia" w:cstheme="minorEastAsia"/>
          <w:b/>
          <w:bCs/>
          <w:color w:val="000000"/>
          <w:sz w:val="24"/>
          <w:szCs w:val="24"/>
          <w:highlight w:val="none"/>
          <w:lang w:bidi="zh-CN"/>
        </w:rPr>
        <w:t>八</w:t>
      </w:r>
      <w:r>
        <w:rPr>
          <w:rFonts w:hint="eastAsia" w:asciiTheme="minorEastAsia" w:hAnsiTheme="minorEastAsia" w:eastAsiaTheme="minorEastAsia" w:cstheme="minorEastAsia"/>
          <w:b/>
          <w:bCs/>
          <w:color w:val="000000"/>
          <w:sz w:val="24"/>
          <w:szCs w:val="24"/>
          <w:highlight w:val="none"/>
          <w:lang w:val="zh-CN" w:bidi="zh-CN"/>
        </w:rPr>
        <w:t>、违约责任</w:t>
      </w:r>
    </w:p>
    <w:p>
      <w:pPr>
        <w:pStyle w:val="9"/>
        <w:keepNext w:val="0"/>
        <w:keepLines w:val="0"/>
        <w:pageBreakBefore w:val="0"/>
        <w:widowControl w:val="0"/>
        <w:wordWrap/>
        <w:overflowPunct/>
        <w:topLinePunct w:val="0"/>
        <w:autoSpaceDE/>
        <w:bidi w:val="0"/>
        <w:spacing w:before="1" w:line="360" w:lineRule="auto"/>
        <w:ind w:firstLine="420" w:firstLineChars="175"/>
        <w:rPr>
          <w:rFonts w:hint="eastAsia" w:asciiTheme="minorEastAsia" w:hAnsiTheme="minorEastAsia" w:eastAsiaTheme="minorEastAsia" w:cstheme="minorEastAsia"/>
          <w:color w:val="000000"/>
          <w:sz w:val="24"/>
          <w:szCs w:val="24"/>
          <w:highlight w:val="none"/>
          <w:lang w:bidi="zh-CN"/>
        </w:rPr>
      </w:pPr>
      <w:r>
        <w:rPr>
          <w:rFonts w:hint="eastAsia" w:asciiTheme="minorEastAsia" w:hAnsiTheme="minorEastAsia" w:eastAsiaTheme="minorEastAsia" w:cstheme="minorEastAsia"/>
          <w:color w:val="000000"/>
          <w:sz w:val="24"/>
          <w:szCs w:val="24"/>
          <w:highlight w:val="none"/>
          <w:lang w:val="zh-CN" w:bidi="zh-CN"/>
        </w:rPr>
        <w:t>依据《中华人民共和国民法典》、《中华人民共和国政府采购法》的相关条款和本合同约定，成交供应商未全面履行合同义务或者发生违约，采购人会同采购代理机构有权终止合同，依法向成交供应商要求经济索赔，并报请政府采购监督管理机关进行相应的行政处罚。采购人违约的，应当赔偿给成交供应商造成的经济损失。</w:t>
      </w:r>
    </w:p>
    <w:p>
      <w:pPr>
        <w:pStyle w:val="9"/>
        <w:keepNext w:val="0"/>
        <w:keepLines w:val="0"/>
        <w:pageBreakBefore w:val="0"/>
        <w:widowControl w:val="0"/>
        <w:wordWrap/>
        <w:overflowPunct/>
        <w:topLinePunct w:val="0"/>
        <w:autoSpaceDE/>
        <w:bidi w:val="0"/>
        <w:spacing w:before="1" w:line="360" w:lineRule="auto"/>
        <w:ind w:firstLine="422" w:firstLineChars="175"/>
        <w:rPr>
          <w:rFonts w:hint="eastAsia" w:asciiTheme="minorEastAsia" w:hAnsiTheme="minorEastAsia" w:eastAsiaTheme="minorEastAsia" w:cstheme="minorEastAsia"/>
          <w:b/>
          <w:bCs/>
          <w:color w:val="000000"/>
          <w:sz w:val="24"/>
          <w:szCs w:val="24"/>
          <w:highlight w:val="none"/>
          <w:lang w:val="zh-CN" w:bidi="zh-CN"/>
        </w:rPr>
      </w:pPr>
      <w:r>
        <w:rPr>
          <w:rFonts w:hint="eastAsia" w:asciiTheme="minorEastAsia" w:hAnsiTheme="minorEastAsia" w:cstheme="minorEastAsia"/>
          <w:b/>
          <w:bCs/>
          <w:color w:val="000000"/>
          <w:sz w:val="24"/>
          <w:szCs w:val="24"/>
          <w:highlight w:val="none"/>
          <w:lang w:bidi="zh-CN"/>
        </w:rPr>
        <w:t>九</w:t>
      </w:r>
      <w:r>
        <w:rPr>
          <w:rFonts w:hint="eastAsia" w:asciiTheme="minorEastAsia" w:hAnsiTheme="minorEastAsia" w:eastAsiaTheme="minorEastAsia" w:cstheme="minorEastAsia"/>
          <w:b/>
          <w:bCs/>
          <w:color w:val="000000"/>
          <w:sz w:val="24"/>
          <w:szCs w:val="24"/>
          <w:highlight w:val="none"/>
          <w:lang w:val="zh-CN" w:bidi="zh-CN"/>
        </w:rPr>
        <w:t>、验收</w:t>
      </w:r>
    </w:p>
    <w:p>
      <w:pPr>
        <w:pStyle w:val="9"/>
        <w:keepNext w:val="0"/>
        <w:keepLines w:val="0"/>
        <w:pageBreakBefore w:val="0"/>
        <w:widowControl w:val="0"/>
        <w:wordWrap/>
        <w:overflowPunct/>
        <w:topLinePunct w:val="0"/>
        <w:autoSpaceDE/>
        <w:bidi w:val="0"/>
        <w:spacing w:before="1" w:line="360" w:lineRule="auto"/>
        <w:ind w:firstLine="420" w:firstLineChars="175"/>
        <w:rPr>
          <w:rFonts w:hint="eastAsia" w:asciiTheme="minorEastAsia" w:hAnsiTheme="minorEastAsia" w:eastAsiaTheme="minorEastAsia" w:cstheme="minorEastAsia"/>
          <w:color w:val="000000"/>
          <w:sz w:val="24"/>
          <w:szCs w:val="24"/>
          <w:highlight w:val="none"/>
          <w:lang w:val="zh-CN" w:bidi="zh-CN"/>
        </w:rPr>
      </w:pPr>
      <w:r>
        <w:rPr>
          <w:rFonts w:hint="eastAsia" w:asciiTheme="minorEastAsia" w:hAnsiTheme="minorEastAsia" w:eastAsiaTheme="minorEastAsia" w:cstheme="minorEastAsia"/>
          <w:color w:val="000000"/>
          <w:sz w:val="24"/>
          <w:szCs w:val="24"/>
          <w:highlight w:val="none"/>
          <w:lang w:val="zh-CN" w:bidi="zh-CN"/>
        </w:rPr>
        <w:t>验收：验收须以合同、</w:t>
      </w:r>
      <w:r>
        <w:rPr>
          <w:rFonts w:hint="eastAsia" w:asciiTheme="minorEastAsia" w:hAnsiTheme="minorEastAsia" w:cstheme="minorEastAsia"/>
          <w:color w:val="000000"/>
          <w:sz w:val="24"/>
          <w:szCs w:val="24"/>
          <w:highlight w:val="none"/>
          <w:lang w:val="zh-CN" w:bidi="zh-CN"/>
        </w:rPr>
        <w:t>竞争性谈判文件</w:t>
      </w:r>
      <w:r>
        <w:rPr>
          <w:rFonts w:hint="eastAsia" w:asciiTheme="minorEastAsia" w:hAnsiTheme="minorEastAsia" w:eastAsiaTheme="minorEastAsia" w:cstheme="minorEastAsia"/>
          <w:color w:val="000000"/>
          <w:sz w:val="24"/>
          <w:szCs w:val="24"/>
          <w:highlight w:val="none"/>
          <w:lang w:val="zh-CN" w:bidi="zh-CN"/>
        </w:rPr>
        <w:t>、</w:t>
      </w:r>
      <w:r>
        <w:rPr>
          <w:rFonts w:hint="eastAsia" w:asciiTheme="minorEastAsia" w:hAnsiTheme="minorEastAsia" w:cstheme="minorEastAsia"/>
          <w:color w:val="000000"/>
          <w:sz w:val="24"/>
          <w:szCs w:val="24"/>
          <w:highlight w:val="none"/>
          <w:lang w:val="zh-CN" w:bidi="zh-CN"/>
        </w:rPr>
        <w:t>响应文件</w:t>
      </w:r>
      <w:r>
        <w:rPr>
          <w:rFonts w:hint="eastAsia" w:asciiTheme="minorEastAsia" w:hAnsiTheme="minorEastAsia" w:eastAsiaTheme="minorEastAsia" w:cstheme="minorEastAsia"/>
          <w:color w:val="000000"/>
          <w:sz w:val="24"/>
          <w:szCs w:val="24"/>
          <w:highlight w:val="none"/>
          <w:lang w:val="zh-CN" w:bidi="zh-CN"/>
        </w:rPr>
        <w:t>、澄清、及国家相应的标准、规范等为依据进行验收。</w:t>
      </w:r>
    </w:p>
    <w:p>
      <w:pPr>
        <w:pStyle w:val="9"/>
        <w:keepNext w:val="0"/>
        <w:keepLines w:val="0"/>
        <w:pageBreakBefore w:val="0"/>
        <w:widowControl w:val="0"/>
        <w:wordWrap/>
        <w:overflowPunct/>
        <w:topLinePunct w:val="0"/>
        <w:autoSpaceDE/>
        <w:bidi w:val="0"/>
        <w:spacing w:before="1" w:line="360" w:lineRule="auto"/>
        <w:ind w:firstLine="422" w:firstLineChars="175"/>
        <w:rPr>
          <w:rFonts w:hint="eastAsia" w:asciiTheme="minorEastAsia" w:hAnsiTheme="minorEastAsia" w:eastAsiaTheme="minorEastAsia" w:cstheme="minorEastAsia"/>
          <w:b/>
          <w:bCs/>
          <w:color w:val="000000"/>
          <w:sz w:val="24"/>
          <w:szCs w:val="24"/>
          <w:highlight w:val="none"/>
          <w:lang w:val="zh-CN" w:bidi="zh-CN"/>
        </w:rPr>
      </w:pPr>
      <w:r>
        <w:rPr>
          <w:rFonts w:hint="eastAsia" w:asciiTheme="minorEastAsia" w:hAnsiTheme="minorEastAsia" w:eastAsiaTheme="minorEastAsia" w:cstheme="minorEastAsia"/>
          <w:b/>
          <w:bCs/>
          <w:color w:val="000000"/>
          <w:sz w:val="24"/>
          <w:szCs w:val="24"/>
          <w:highlight w:val="none"/>
          <w:lang w:val="zh-CN" w:bidi="zh-CN"/>
        </w:rPr>
        <w:t>十、合同争议解决的方式</w:t>
      </w:r>
    </w:p>
    <w:p>
      <w:pPr>
        <w:pStyle w:val="9"/>
        <w:keepNext w:val="0"/>
        <w:keepLines w:val="0"/>
        <w:pageBreakBefore w:val="0"/>
        <w:widowControl w:val="0"/>
        <w:wordWrap/>
        <w:overflowPunct/>
        <w:topLinePunct w:val="0"/>
        <w:autoSpaceDE/>
        <w:bidi w:val="0"/>
        <w:spacing w:before="1" w:line="360" w:lineRule="auto"/>
        <w:ind w:firstLine="420" w:firstLineChars="175"/>
        <w:rPr>
          <w:rFonts w:hint="eastAsia" w:asciiTheme="minorEastAsia" w:hAnsiTheme="minorEastAsia" w:eastAsiaTheme="minorEastAsia" w:cstheme="minorEastAsia"/>
          <w:color w:val="000000"/>
          <w:sz w:val="24"/>
          <w:szCs w:val="24"/>
          <w:highlight w:val="none"/>
          <w:lang w:val="zh-CN" w:bidi="zh-CN"/>
        </w:rPr>
      </w:pPr>
      <w:r>
        <w:rPr>
          <w:rFonts w:hint="eastAsia" w:asciiTheme="minorEastAsia" w:hAnsiTheme="minorEastAsia" w:eastAsiaTheme="minorEastAsia" w:cstheme="minorEastAsia"/>
          <w:color w:val="000000"/>
          <w:sz w:val="24"/>
          <w:szCs w:val="24"/>
          <w:highlight w:val="none"/>
          <w:lang w:val="zh-CN" w:bidi="zh-CN"/>
        </w:rPr>
        <w:t>合同执行中发生争议的，当事人双方应协商解决，协商达不成一致时，可向人民法院提请诉讼。</w:t>
      </w:r>
    </w:p>
    <w:p>
      <w:pPr>
        <w:pStyle w:val="9"/>
        <w:keepNext w:val="0"/>
        <w:keepLines w:val="0"/>
        <w:pageBreakBefore w:val="0"/>
        <w:widowControl w:val="0"/>
        <w:wordWrap/>
        <w:overflowPunct/>
        <w:topLinePunct w:val="0"/>
        <w:autoSpaceDE/>
        <w:bidi w:val="0"/>
        <w:spacing w:before="1" w:line="360" w:lineRule="auto"/>
        <w:ind w:firstLine="482" w:firstLineChars="200"/>
        <w:rPr>
          <w:rFonts w:hint="eastAsia" w:asciiTheme="minorEastAsia" w:hAnsiTheme="minorEastAsia" w:eastAsiaTheme="minorEastAsia" w:cstheme="minorEastAsia"/>
          <w:b/>
          <w:bCs/>
          <w:color w:val="000000"/>
          <w:sz w:val="24"/>
          <w:szCs w:val="24"/>
          <w:highlight w:val="none"/>
          <w:lang w:val="zh-CN" w:bidi="zh-CN"/>
        </w:rPr>
      </w:pPr>
      <w:r>
        <w:rPr>
          <w:rFonts w:hint="eastAsia" w:asciiTheme="minorEastAsia" w:hAnsiTheme="minorEastAsia" w:eastAsiaTheme="minorEastAsia" w:cstheme="minorEastAsia"/>
          <w:b/>
          <w:bCs/>
          <w:color w:val="000000"/>
          <w:sz w:val="24"/>
          <w:szCs w:val="24"/>
          <w:highlight w:val="none"/>
          <w:lang w:val="zh-CN" w:bidi="zh-CN"/>
        </w:rPr>
        <w:t>十</w:t>
      </w:r>
      <w:r>
        <w:rPr>
          <w:rFonts w:hint="eastAsia" w:asciiTheme="minorEastAsia" w:hAnsiTheme="minorEastAsia" w:cstheme="minorEastAsia"/>
          <w:b/>
          <w:bCs/>
          <w:color w:val="000000"/>
          <w:sz w:val="24"/>
          <w:szCs w:val="24"/>
          <w:highlight w:val="none"/>
          <w:lang w:bidi="zh-CN"/>
        </w:rPr>
        <w:t>一</w:t>
      </w:r>
      <w:r>
        <w:rPr>
          <w:rFonts w:hint="eastAsia" w:asciiTheme="minorEastAsia" w:hAnsiTheme="minorEastAsia" w:eastAsiaTheme="minorEastAsia" w:cstheme="minorEastAsia"/>
          <w:b/>
          <w:bCs/>
          <w:color w:val="000000"/>
          <w:sz w:val="24"/>
          <w:szCs w:val="24"/>
          <w:highlight w:val="none"/>
          <w:lang w:val="zh-CN" w:bidi="zh-CN"/>
        </w:rPr>
        <w:t>、其他事项</w:t>
      </w:r>
    </w:p>
    <w:p>
      <w:pPr>
        <w:pStyle w:val="9"/>
        <w:keepNext w:val="0"/>
        <w:keepLines w:val="0"/>
        <w:pageBreakBefore w:val="0"/>
        <w:widowControl w:val="0"/>
        <w:wordWrap/>
        <w:overflowPunct/>
        <w:topLinePunct w:val="0"/>
        <w:autoSpaceDE/>
        <w:bidi w:val="0"/>
        <w:spacing w:before="1" w:line="360" w:lineRule="auto"/>
        <w:ind w:firstLine="480" w:firstLineChars="200"/>
        <w:rPr>
          <w:rFonts w:hint="eastAsia" w:asciiTheme="minorEastAsia" w:hAnsiTheme="minorEastAsia" w:eastAsiaTheme="minorEastAsia" w:cstheme="minorEastAsia"/>
          <w:color w:val="000000"/>
          <w:sz w:val="24"/>
          <w:szCs w:val="24"/>
          <w:highlight w:val="none"/>
          <w:lang w:val="zh-CN" w:bidi="zh-CN"/>
        </w:rPr>
      </w:pPr>
      <w:bookmarkStart w:id="68" w:name="第四章__竞争性磋商内容及服务要求"/>
      <w:bookmarkEnd w:id="68"/>
      <w:bookmarkStart w:id="69" w:name="_bookmark3"/>
      <w:bookmarkEnd w:id="69"/>
      <w:r>
        <w:rPr>
          <w:rFonts w:hint="eastAsia" w:asciiTheme="minorEastAsia" w:hAnsiTheme="minorEastAsia" w:eastAsiaTheme="minorEastAsia" w:cstheme="minorEastAsia"/>
          <w:color w:val="000000"/>
          <w:sz w:val="24"/>
          <w:szCs w:val="24"/>
          <w:highlight w:val="none"/>
          <w:lang w:bidi="zh-CN"/>
        </w:rPr>
        <w:t>1、</w:t>
      </w:r>
      <w:r>
        <w:rPr>
          <w:rFonts w:hint="eastAsia" w:asciiTheme="minorEastAsia" w:hAnsiTheme="minorEastAsia" w:eastAsiaTheme="minorEastAsia" w:cstheme="minorEastAsia"/>
          <w:color w:val="000000"/>
          <w:sz w:val="24"/>
          <w:szCs w:val="24"/>
          <w:highlight w:val="none"/>
          <w:lang w:val="zh-CN" w:bidi="zh-CN"/>
        </w:rPr>
        <w:t>本合同乙方在任何情况下都不得全部或部分转让其应履行的合同义务，乙方不得将本合同分包给他人。</w:t>
      </w:r>
    </w:p>
    <w:p>
      <w:pPr>
        <w:pStyle w:val="9"/>
        <w:keepNext w:val="0"/>
        <w:keepLines w:val="0"/>
        <w:pageBreakBefore w:val="0"/>
        <w:widowControl w:val="0"/>
        <w:wordWrap/>
        <w:overflowPunct/>
        <w:topLinePunct w:val="0"/>
        <w:autoSpaceDE/>
        <w:bidi w:val="0"/>
        <w:spacing w:before="1" w:line="360" w:lineRule="auto"/>
        <w:ind w:firstLine="480" w:firstLineChars="200"/>
        <w:rPr>
          <w:rFonts w:hint="eastAsia" w:asciiTheme="minorEastAsia" w:hAnsiTheme="minorEastAsia" w:eastAsiaTheme="minorEastAsia" w:cstheme="minorEastAsia"/>
          <w:color w:val="000000"/>
          <w:sz w:val="24"/>
          <w:szCs w:val="24"/>
          <w:highlight w:val="none"/>
          <w:lang w:val="zh-CN" w:bidi="zh-CN"/>
        </w:rPr>
      </w:pPr>
      <w:r>
        <w:rPr>
          <w:rFonts w:hint="eastAsia" w:asciiTheme="minorEastAsia" w:hAnsiTheme="minorEastAsia" w:eastAsiaTheme="minorEastAsia" w:cstheme="minorEastAsia"/>
          <w:color w:val="000000"/>
          <w:sz w:val="24"/>
          <w:szCs w:val="24"/>
          <w:highlight w:val="none"/>
          <w:lang w:bidi="zh-CN"/>
        </w:rPr>
        <w:t>2、</w:t>
      </w:r>
      <w:r>
        <w:rPr>
          <w:rFonts w:hint="eastAsia" w:asciiTheme="minorEastAsia" w:hAnsiTheme="minorEastAsia" w:eastAsiaTheme="minorEastAsia" w:cstheme="minorEastAsia"/>
          <w:color w:val="000000"/>
          <w:sz w:val="24"/>
          <w:szCs w:val="24"/>
          <w:highlight w:val="none"/>
          <w:lang w:val="zh-CN" w:bidi="zh-CN"/>
        </w:rPr>
        <w:t>在执行本合同的过程中，所有经双方签署确认的文件（包括会议纪要、补充合同、合同修改书、往来信函等）均为本合同的有效组成部分，其生效日期为双方签字盖章或确认之日期。</w:t>
      </w:r>
    </w:p>
    <w:p>
      <w:pPr>
        <w:pStyle w:val="9"/>
        <w:keepNext w:val="0"/>
        <w:keepLines w:val="0"/>
        <w:pageBreakBefore w:val="0"/>
        <w:widowControl w:val="0"/>
        <w:wordWrap/>
        <w:overflowPunct/>
        <w:topLinePunct w:val="0"/>
        <w:autoSpaceDE/>
        <w:bidi w:val="0"/>
        <w:spacing w:before="1" w:line="360" w:lineRule="auto"/>
        <w:ind w:firstLine="480" w:firstLineChars="200"/>
        <w:rPr>
          <w:rFonts w:hint="eastAsia" w:asciiTheme="minorEastAsia" w:hAnsiTheme="minorEastAsia" w:eastAsiaTheme="minorEastAsia" w:cstheme="minorEastAsia"/>
          <w:color w:val="000000"/>
          <w:sz w:val="24"/>
          <w:szCs w:val="24"/>
          <w:highlight w:val="none"/>
          <w:lang w:val="zh-CN" w:bidi="zh-CN"/>
        </w:rPr>
      </w:pPr>
      <w:r>
        <w:rPr>
          <w:rFonts w:hint="eastAsia" w:asciiTheme="minorEastAsia" w:hAnsiTheme="minorEastAsia" w:eastAsiaTheme="minorEastAsia" w:cstheme="minorEastAsia"/>
          <w:color w:val="000000"/>
          <w:sz w:val="24"/>
          <w:szCs w:val="24"/>
          <w:highlight w:val="none"/>
          <w:lang w:bidi="zh-CN"/>
        </w:rPr>
        <w:t>3、</w:t>
      </w:r>
      <w:r>
        <w:rPr>
          <w:rFonts w:hint="eastAsia" w:asciiTheme="minorEastAsia" w:hAnsiTheme="minorEastAsia" w:eastAsiaTheme="minorEastAsia" w:cstheme="minorEastAsia"/>
          <w:color w:val="000000"/>
          <w:sz w:val="24"/>
          <w:szCs w:val="24"/>
          <w:highlight w:val="none"/>
          <w:lang w:val="zh-CN" w:bidi="zh-CN"/>
        </w:rPr>
        <w:t>合同一式</w:t>
      </w:r>
      <w:r>
        <w:rPr>
          <w:rFonts w:hint="eastAsia" w:asciiTheme="minorEastAsia" w:hAnsiTheme="minorEastAsia" w:eastAsiaTheme="minorEastAsia" w:cstheme="minorEastAsia"/>
          <w:color w:val="000000"/>
          <w:sz w:val="24"/>
          <w:szCs w:val="24"/>
          <w:highlight w:val="none"/>
          <w:lang w:bidi="zh-CN"/>
        </w:rPr>
        <w:t>捌</w:t>
      </w:r>
      <w:r>
        <w:rPr>
          <w:rFonts w:hint="eastAsia" w:asciiTheme="minorEastAsia" w:hAnsiTheme="minorEastAsia" w:eastAsiaTheme="minorEastAsia" w:cstheme="minorEastAsia"/>
          <w:color w:val="000000"/>
          <w:sz w:val="24"/>
          <w:szCs w:val="24"/>
          <w:highlight w:val="none"/>
          <w:lang w:val="zh-CN" w:bidi="zh-CN"/>
        </w:rPr>
        <w:t>份，采购人肆份，中标供应商贰份、招标代理机构壹份；政府采购监管机构备案一份</w:t>
      </w:r>
    </w:p>
    <w:p>
      <w:pPr>
        <w:pStyle w:val="9"/>
        <w:keepNext w:val="0"/>
        <w:keepLines w:val="0"/>
        <w:pageBreakBefore w:val="0"/>
        <w:widowControl w:val="0"/>
        <w:wordWrap/>
        <w:overflowPunct/>
        <w:topLinePunct w:val="0"/>
        <w:autoSpaceDE/>
        <w:bidi w:val="0"/>
        <w:spacing w:before="1" w:line="360" w:lineRule="auto"/>
        <w:ind w:firstLine="480" w:firstLineChars="200"/>
        <w:rPr>
          <w:rFonts w:hint="eastAsia" w:asciiTheme="minorEastAsia" w:hAnsiTheme="minorEastAsia" w:eastAsiaTheme="minorEastAsia" w:cstheme="minorEastAsia"/>
          <w:color w:val="000000"/>
          <w:sz w:val="24"/>
          <w:szCs w:val="24"/>
          <w:highlight w:val="none"/>
          <w:lang w:val="zh-CN" w:bidi="zh-CN"/>
        </w:rPr>
      </w:pPr>
      <w:r>
        <w:rPr>
          <w:rFonts w:hint="eastAsia" w:asciiTheme="minorEastAsia" w:hAnsiTheme="minorEastAsia" w:eastAsiaTheme="minorEastAsia" w:cstheme="minorEastAsia"/>
          <w:color w:val="000000"/>
          <w:sz w:val="24"/>
          <w:szCs w:val="24"/>
          <w:highlight w:val="none"/>
          <w:lang w:bidi="zh-CN"/>
        </w:rPr>
        <w:t>4、</w:t>
      </w:r>
      <w:r>
        <w:rPr>
          <w:rFonts w:hint="eastAsia" w:asciiTheme="minorEastAsia" w:hAnsiTheme="minorEastAsia" w:eastAsiaTheme="minorEastAsia" w:cstheme="minorEastAsia"/>
          <w:color w:val="000000"/>
          <w:sz w:val="24"/>
          <w:szCs w:val="24"/>
          <w:highlight w:val="none"/>
          <w:lang w:val="zh-CN" w:bidi="zh-CN"/>
        </w:rPr>
        <w:t>合同经双方授权代表签字、盖章后生效，生效日以签字日期为准。</w:t>
      </w:r>
    </w:p>
    <w:p>
      <w:pPr>
        <w:pStyle w:val="9"/>
        <w:keepNext w:val="0"/>
        <w:keepLines w:val="0"/>
        <w:pageBreakBefore w:val="0"/>
        <w:widowControl w:val="0"/>
        <w:wordWrap/>
        <w:overflowPunct/>
        <w:topLinePunct w:val="0"/>
        <w:autoSpaceDE/>
        <w:bidi w:val="0"/>
        <w:spacing w:before="1" w:line="360" w:lineRule="auto"/>
        <w:ind w:firstLine="480" w:firstLineChars="200"/>
        <w:rPr>
          <w:rFonts w:hint="eastAsia" w:asciiTheme="minorEastAsia" w:hAnsiTheme="minorEastAsia" w:eastAsiaTheme="minorEastAsia" w:cstheme="minorEastAsia"/>
          <w:color w:val="000000"/>
          <w:sz w:val="24"/>
          <w:szCs w:val="24"/>
          <w:highlight w:val="none"/>
          <w:lang w:val="zh-CN" w:bidi="zh-CN"/>
        </w:rPr>
      </w:pPr>
      <w:r>
        <w:rPr>
          <w:rFonts w:hint="eastAsia" w:asciiTheme="minorEastAsia" w:hAnsiTheme="minorEastAsia" w:cstheme="minorEastAsia"/>
          <w:color w:val="000000"/>
          <w:sz w:val="24"/>
          <w:szCs w:val="24"/>
          <w:highlight w:val="none"/>
          <w:lang w:val="en-US" w:bidi="zh-CN"/>
        </w:rPr>
        <w:t>5</w:t>
      </w:r>
      <w:r>
        <w:rPr>
          <w:rFonts w:hint="eastAsia" w:asciiTheme="minorEastAsia" w:hAnsiTheme="minorEastAsia" w:eastAsiaTheme="minorEastAsia" w:cstheme="minorEastAsia"/>
          <w:color w:val="000000"/>
          <w:sz w:val="24"/>
          <w:szCs w:val="24"/>
          <w:highlight w:val="none"/>
          <w:lang w:bidi="zh-CN"/>
        </w:rPr>
        <w:t>、</w:t>
      </w:r>
      <w:r>
        <w:rPr>
          <w:rFonts w:hint="eastAsia" w:asciiTheme="minorEastAsia" w:hAnsiTheme="minorEastAsia" w:eastAsiaTheme="minorEastAsia" w:cstheme="minorEastAsia"/>
          <w:color w:val="000000"/>
          <w:sz w:val="24"/>
          <w:szCs w:val="24"/>
          <w:highlight w:val="none"/>
          <w:lang w:val="zh-CN" w:bidi="zh-CN"/>
        </w:rPr>
        <w:t>一方在本合同履行过程中向对方发出或者提供的所有通知、文件、文书、资料等，均以本合同所列明的地址送达。一方如果迁址、变更电话，应当书面通知对方，未履行书面通知义务的，一方按原地址邮寄相关材料或通知相关信息即视为已履行送达义务。当面交付上述材料的，在交付之时视为送达；以邮寄方式交付的，寄出、发出或者投邮后即视为送达。</w:t>
      </w:r>
    </w:p>
    <w:p>
      <w:pPr>
        <w:pStyle w:val="9"/>
        <w:keepNext w:val="0"/>
        <w:keepLines w:val="0"/>
        <w:pageBreakBefore w:val="0"/>
        <w:widowControl w:val="0"/>
        <w:wordWrap/>
        <w:overflowPunct/>
        <w:topLinePunct w:val="0"/>
        <w:autoSpaceDE/>
        <w:bidi w:val="0"/>
        <w:spacing w:before="1" w:line="360" w:lineRule="auto"/>
        <w:ind w:firstLine="480" w:firstLineChars="200"/>
        <w:rPr>
          <w:rFonts w:hint="eastAsia" w:asciiTheme="minorEastAsia" w:hAnsiTheme="minorEastAsia" w:eastAsiaTheme="minorEastAsia" w:cstheme="minorEastAsia"/>
          <w:color w:val="000000"/>
          <w:sz w:val="24"/>
          <w:szCs w:val="24"/>
          <w:highlight w:val="none"/>
          <w:lang w:val="zh-CN" w:bidi="zh-CN"/>
        </w:rPr>
      </w:pPr>
      <w:r>
        <w:rPr>
          <w:rFonts w:hint="eastAsia" w:asciiTheme="minorEastAsia" w:hAnsiTheme="minorEastAsia" w:cstheme="minorEastAsia"/>
          <w:color w:val="000000"/>
          <w:sz w:val="24"/>
          <w:szCs w:val="24"/>
          <w:highlight w:val="none"/>
          <w:lang w:val="en-US" w:bidi="zh-CN"/>
        </w:rPr>
        <w:t>6</w:t>
      </w:r>
      <w:r>
        <w:rPr>
          <w:rFonts w:hint="eastAsia" w:asciiTheme="minorEastAsia" w:hAnsiTheme="minorEastAsia" w:eastAsiaTheme="minorEastAsia" w:cstheme="minorEastAsia"/>
          <w:color w:val="000000"/>
          <w:sz w:val="24"/>
          <w:szCs w:val="24"/>
          <w:highlight w:val="none"/>
          <w:lang w:bidi="zh-CN"/>
        </w:rPr>
        <w:t>、</w:t>
      </w:r>
      <w:r>
        <w:rPr>
          <w:rFonts w:hint="eastAsia" w:asciiTheme="minorEastAsia" w:hAnsiTheme="minorEastAsia" w:eastAsiaTheme="minorEastAsia" w:cstheme="minorEastAsia"/>
          <w:color w:val="000000"/>
          <w:sz w:val="24"/>
          <w:szCs w:val="24"/>
          <w:highlight w:val="none"/>
          <w:lang w:val="zh-CN" w:bidi="zh-CN"/>
        </w:rPr>
        <w:t>由于不能预见、不能避免和不能克服的客观的自然原因或社会原因，致使本合同不能履行或者不能完全履行时，遇到上述不可抗力事件的一方，应立即书面通知合同其他方，并应在不可抗力事件发生后十五天内，向合同其他方提供经不可抗力事件发生地区县级以上政府部门出具的证明合同不能履行或需要延期履行、部分履行的有效证明文件原件，由合同各方按事件对履行合同影响的程度协商决定是否解除合同、或者部分或全部免除履行合同的责任、或者延期履行合同。遭受不可抗力的一方未履行上述义务的，不能免除其违约责任。</w:t>
      </w:r>
    </w:p>
    <w:p>
      <w:pPr>
        <w:pStyle w:val="9"/>
        <w:keepNext w:val="0"/>
        <w:keepLines w:val="0"/>
        <w:pageBreakBefore w:val="0"/>
        <w:widowControl w:val="0"/>
        <w:wordWrap/>
        <w:overflowPunct/>
        <w:topLinePunct w:val="0"/>
        <w:autoSpaceDE/>
        <w:bidi w:val="0"/>
        <w:spacing w:before="1" w:line="360" w:lineRule="auto"/>
        <w:ind w:firstLine="480" w:firstLineChars="200"/>
        <w:rPr>
          <w:rFonts w:hint="eastAsia" w:asciiTheme="minorEastAsia" w:hAnsiTheme="minorEastAsia" w:eastAsiaTheme="minorEastAsia" w:cstheme="minorEastAsia"/>
          <w:color w:val="000000"/>
          <w:sz w:val="24"/>
          <w:szCs w:val="24"/>
          <w:highlight w:val="none"/>
          <w:lang w:val="zh-CN" w:bidi="zh-CN"/>
        </w:rPr>
      </w:pPr>
      <w:r>
        <w:rPr>
          <w:rFonts w:hint="eastAsia" w:asciiTheme="minorEastAsia" w:hAnsiTheme="minorEastAsia" w:cstheme="minorEastAsia"/>
          <w:color w:val="000000"/>
          <w:sz w:val="24"/>
          <w:szCs w:val="24"/>
          <w:highlight w:val="none"/>
          <w:lang w:val="en-US" w:bidi="zh-CN"/>
        </w:rPr>
        <w:t>7</w:t>
      </w:r>
      <w:r>
        <w:rPr>
          <w:rFonts w:hint="eastAsia" w:asciiTheme="minorEastAsia" w:hAnsiTheme="minorEastAsia" w:eastAsiaTheme="minorEastAsia" w:cstheme="minorEastAsia"/>
          <w:color w:val="000000"/>
          <w:sz w:val="24"/>
          <w:szCs w:val="24"/>
          <w:highlight w:val="none"/>
          <w:lang w:bidi="zh-CN"/>
        </w:rPr>
        <w:t>、</w:t>
      </w:r>
      <w:r>
        <w:rPr>
          <w:rFonts w:hint="eastAsia" w:asciiTheme="minorEastAsia" w:hAnsiTheme="minorEastAsia" w:eastAsiaTheme="minorEastAsia" w:cstheme="minorEastAsia"/>
          <w:color w:val="000000"/>
          <w:sz w:val="24"/>
          <w:szCs w:val="24"/>
          <w:highlight w:val="none"/>
          <w:lang w:val="zh-CN" w:bidi="zh-CN"/>
        </w:rPr>
        <w:t>未详尽之处双方协商解决。</w:t>
      </w:r>
    </w:p>
    <w:tbl>
      <w:tblPr>
        <w:tblStyle w:val="23"/>
        <w:tblW w:w="971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4590"/>
        <w:gridCol w:w="512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5" w:hRule="atLeast"/>
          <w:jc w:val="center"/>
        </w:trPr>
        <w:tc>
          <w:tcPr>
            <w:tcW w:w="4590" w:type="dxa"/>
            <w:vAlign w:val="center"/>
          </w:tcPr>
          <w:p>
            <w:pPr>
              <w:keepNext w:val="0"/>
              <w:keepLines w:val="0"/>
              <w:pageBreakBefore w:val="0"/>
              <w:widowControl w:val="0"/>
              <w:wordWrap/>
              <w:overflowPunct/>
              <w:topLinePunct w:val="0"/>
              <w:autoSpaceDE/>
              <w:bidi w:val="0"/>
              <w:spacing w:line="360" w:lineRule="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甲  方</w:t>
            </w:r>
          </w:p>
        </w:tc>
        <w:tc>
          <w:tcPr>
            <w:tcW w:w="5129" w:type="dxa"/>
            <w:vAlign w:val="center"/>
          </w:tcPr>
          <w:p>
            <w:pPr>
              <w:keepNext w:val="0"/>
              <w:keepLines w:val="0"/>
              <w:pageBreakBefore w:val="0"/>
              <w:widowControl w:val="0"/>
              <w:wordWrap/>
              <w:overflowPunct/>
              <w:topLinePunct w:val="0"/>
              <w:autoSpaceDE/>
              <w:bidi w:val="0"/>
              <w:spacing w:line="360" w:lineRule="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乙  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14" w:hRule="atLeast"/>
          <w:jc w:val="center"/>
        </w:trPr>
        <w:tc>
          <w:tcPr>
            <w:tcW w:w="4590" w:type="dxa"/>
            <w:vAlign w:val="center"/>
          </w:tcPr>
          <w:p>
            <w:pPr>
              <w:keepNext w:val="0"/>
              <w:keepLines w:val="0"/>
              <w:pageBreakBefore w:val="0"/>
              <w:widowControl w:val="0"/>
              <w:wordWrap/>
              <w:overflowPunct/>
              <w:topLinePunct w:val="0"/>
              <w:autoSpaceDE/>
              <w:bidi w:val="0"/>
              <w:spacing w:line="360" w:lineRule="auto"/>
              <w:rPr>
                <w:rFonts w:hint="eastAsia" w:asciiTheme="minorEastAsia" w:hAnsiTheme="minorEastAsia" w:eastAsiaTheme="minorEastAsia" w:cstheme="minorEastAsia"/>
                <w:color w:val="000000"/>
                <w:sz w:val="24"/>
                <w:szCs w:val="24"/>
                <w:highlight w:val="none"/>
              </w:rPr>
            </w:pPr>
          </w:p>
        </w:tc>
        <w:tc>
          <w:tcPr>
            <w:tcW w:w="5129" w:type="dxa"/>
            <w:vAlign w:val="center"/>
          </w:tcPr>
          <w:p>
            <w:pPr>
              <w:keepNext w:val="0"/>
              <w:keepLines w:val="0"/>
              <w:pageBreakBefore w:val="0"/>
              <w:widowControl w:val="0"/>
              <w:wordWrap/>
              <w:overflowPunct/>
              <w:topLinePunct w:val="0"/>
              <w:autoSpaceDE/>
              <w:bidi w:val="0"/>
              <w:spacing w:line="360" w:lineRule="auto"/>
              <w:jc w:val="right"/>
              <w:rPr>
                <w:rFonts w:hint="eastAsia" w:asciiTheme="minorEastAsia" w:hAnsiTheme="minorEastAsia" w:eastAsiaTheme="minorEastAsia" w:cstheme="minorEastAsia"/>
                <w:color w:val="FF0000"/>
                <w:sz w:val="24"/>
                <w:szCs w:val="24"/>
                <w:highlight w:val="none"/>
              </w:rPr>
            </w:pPr>
            <w:r>
              <w:rPr>
                <w:rFonts w:hint="eastAsia" w:asciiTheme="minorEastAsia" w:hAnsiTheme="minorEastAsia" w:eastAsiaTheme="minorEastAsia" w:cstheme="minorEastAsia"/>
                <w:snapToGrid w:val="0"/>
                <w:sz w:val="24"/>
                <w:szCs w:val="24"/>
                <w:highlight w:val="none"/>
              </w:rPr>
              <w:t xml:space="preserve">   </w:t>
            </w:r>
            <w:r>
              <w:rPr>
                <w:rFonts w:hint="eastAsia" w:asciiTheme="minorEastAsia" w:hAnsiTheme="minorEastAsia" w:eastAsiaTheme="minorEastAsia" w:cstheme="minorEastAsia"/>
                <w:color w:val="000000"/>
                <w:sz w:val="24"/>
                <w:szCs w:val="24"/>
                <w:highlight w:val="none"/>
              </w:rPr>
              <w:t>（盖章）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9" w:hRule="atLeast"/>
          <w:jc w:val="center"/>
        </w:trPr>
        <w:tc>
          <w:tcPr>
            <w:tcW w:w="4590" w:type="dxa"/>
            <w:vAlign w:val="center"/>
          </w:tcPr>
          <w:p>
            <w:pPr>
              <w:keepNext w:val="0"/>
              <w:keepLines w:val="0"/>
              <w:pageBreakBefore w:val="0"/>
              <w:widowControl w:val="0"/>
              <w:wordWrap/>
              <w:overflowPunct/>
              <w:topLinePunct w:val="0"/>
              <w:autoSpaceDE/>
              <w:bidi w:val="0"/>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地址：</w:t>
            </w:r>
          </w:p>
        </w:tc>
        <w:tc>
          <w:tcPr>
            <w:tcW w:w="5129" w:type="dxa"/>
            <w:vAlign w:val="center"/>
          </w:tcPr>
          <w:p>
            <w:pPr>
              <w:keepNext w:val="0"/>
              <w:keepLines w:val="0"/>
              <w:pageBreakBefore w:val="0"/>
              <w:widowControl w:val="0"/>
              <w:wordWrap/>
              <w:overflowPunct/>
              <w:topLinePunct w:val="0"/>
              <w:autoSpaceDE/>
              <w:bidi w:val="0"/>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地址：</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9" w:hRule="atLeast"/>
          <w:jc w:val="center"/>
        </w:trPr>
        <w:tc>
          <w:tcPr>
            <w:tcW w:w="4590" w:type="dxa"/>
            <w:vAlign w:val="center"/>
          </w:tcPr>
          <w:p>
            <w:pPr>
              <w:keepNext w:val="0"/>
              <w:keepLines w:val="0"/>
              <w:pageBreakBefore w:val="0"/>
              <w:widowControl w:val="0"/>
              <w:wordWrap/>
              <w:overflowPunct/>
              <w:topLinePunct w:val="0"/>
              <w:autoSpaceDE/>
              <w:bidi w:val="0"/>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邮编：</w:t>
            </w:r>
          </w:p>
        </w:tc>
        <w:tc>
          <w:tcPr>
            <w:tcW w:w="5129" w:type="dxa"/>
            <w:vAlign w:val="center"/>
          </w:tcPr>
          <w:p>
            <w:pPr>
              <w:keepNext w:val="0"/>
              <w:keepLines w:val="0"/>
              <w:pageBreakBefore w:val="0"/>
              <w:widowControl w:val="0"/>
              <w:wordWrap/>
              <w:overflowPunct/>
              <w:topLinePunct w:val="0"/>
              <w:autoSpaceDE/>
              <w:bidi w:val="0"/>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邮编：</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9" w:hRule="atLeast"/>
          <w:jc w:val="center"/>
        </w:trPr>
        <w:tc>
          <w:tcPr>
            <w:tcW w:w="4590" w:type="dxa"/>
            <w:tcBorders>
              <w:bottom w:val="single" w:color="auto" w:sz="4" w:space="0"/>
            </w:tcBorders>
            <w:vAlign w:val="center"/>
          </w:tcPr>
          <w:p>
            <w:pPr>
              <w:keepNext w:val="0"/>
              <w:keepLines w:val="0"/>
              <w:pageBreakBefore w:val="0"/>
              <w:widowControl w:val="0"/>
              <w:wordWrap/>
              <w:overflowPunct/>
              <w:topLinePunct w:val="0"/>
              <w:autoSpaceDE/>
              <w:bidi w:val="0"/>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法定代表人：</w:t>
            </w:r>
          </w:p>
        </w:tc>
        <w:tc>
          <w:tcPr>
            <w:tcW w:w="5129" w:type="dxa"/>
            <w:vAlign w:val="center"/>
          </w:tcPr>
          <w:p>
            <w:pPr>
              <w:keepNext w:val="0"/>
              <w:keepLines w:val="0"/>
              <w:pageBreakBefore w:val="0"/>
              <w:widowControl w:val="0"/>
              <w:wordWrap/>
              <w:overflowPunct/>
              <w:topLinePunct w:val="0"/>
              <w:autoSpaceDE/>
              <w:bidi w:val="0"/>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法定代表人：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9" w:hRule="atLeast"/>
          <w:jc w:val="center"/>
        </w:trPr>
        <w:tc>
          <w:tcPr>
            <w:tcW w:w="4590" w:type="dxa"/>
            <w:tcBorders>
              <w:top w:val="single" w:color="auto" w:sz="4" w:space="0"/>
            </w:tcBorders>
            <w:vAlign w:val="center"/>
          </w:tcPr>
          <w:p>
            <w:pPr>
              <w:keepNext w:val="0"/>
              <w:keepLines w:val="0"/>
              <w:pageBreakBefore w:val="0"/>
              <w:widowControl w:val="0"/>
              <w:wordWrap/>
              <w:overflowPunct/>
              <w:topLinePunct w:val="0"/>
              <w:autoSpaceDE/>
              <w:bidi w:val="0"/>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被授权代表：（签字）</w:t>
            </w:r>
          </w:p>
        </w:tc>
        <w:tc>
          <w:tcPr>
            <w:tcW w:w="5129" w:type="dxa"/>
            <w:vAlign w:val="center"/>
          </w:tcPr>
          <w:p>
            <w:pPr>
              <w:keepNext w:val="0"/>
              <w:keepLines w:val="0"/>
              <w:pageBreakBefore w:val="0"/>
              <w:widowControl w:val="0"/>
              <w:wordWrap/>
              <w:overflowPunct/>
              <w:topLinePunct w:val="0"/>
              <w:autoSpaceDE/>
              <w:bidi w:val="0"/>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被授权代表：（签字）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9" w:hRule="atLeast"/>
          <w:jc w:val="center"/>
        </w:trPr>
        <w:tc>
          <w:tcPr>
            <w:tcW w:w="4590" w:type="dxa"/>
            <w:vAlign w:val="center"/>
          </w:tcPr>
          <w:p>
            <w:pPr>
              <w:keepNext w:val="0"/>
              <w:keepLines w:val="0"/>
              <w:pageBreakBefore w:val="0"/>
              <w:widowControl w:val="0"/>
              <w:wordWrap/>
              <w:overflowPunct/>
              <w:topLinePunct w:val="0"/>
              <w:autoSpaceDE/>
              <w:bidi w:val="0"/>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电话：</w:t>
            </w:r>
          </w:p>
        </w:tc>
        <w:tc>
          <w:tcPr>
            <w:tcW w:w="5129" w:type="dxa"/>
            <w:vAlign w:val="center"/>
          </w:tcPr>
          <w:p>
            <w:pPr>
              <w:keepNext w:val="0"/>
              <w:keepLines w:val="0"/>
              <w:pageBreakBefore w:val="0"/>
              <w:widowControl w:val="0"/>
              <w:wordWrap/>
              <w:overflowPunct/>
              <w:topLinePunct w:val="0"/>
              <w:autoSpaceDE/>
              <w:bidi w:val="0"/>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电话：</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9" w:hRule="atLeast"/>
          <w:jc w:val="center"/>
        </w:trPr>
        <w:tc>
          <w:tcPr>
            <w:tcW w:w="4590" w:type="dxa"/>
            <w:tcBorders>
              <w:bottom w:val="single" w:color="auto" w:sz="4" w:space="0"/>
            </w:tcBorders>
            <w:vAlign w:val="center"/>
          </w:tcPr>
          <w:p>
            <w:pPr>
              <w:keepNext w:val="0"/>
              <w:keepLines w:val="0"/>
              <w:pageBreakBefore w:val="0"/>
              <w:widowControl w:val="0"/>
              <w:wordWrap/>
              <w:overflowPunct/>
              <w:topLinePunct w:val="0"/>
              <w:autoSpaceDE/>
              <w:bidi w:val="0"/>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传真：</w:t>
            </w:r>
          </w:p>
        </w:tc>
        <w:tc>
          <w:tcPr>
            <w:tcW w:w="5129" w:type="dxa"/>
            <w:vAlign w:val="center"/>
          </w:tcPr>
          <w:p>
            <w:pPr>
              <w:keepNext w:val="0"/>
              <w:keepLines w:val="0"/>
              <w:pageBreakBefore w:val="0"/>
              <w:widowControl w:val="0"/>
              <w:wordWrap/>
              <w:overflowPunct/>
              <w:topLinePunct w:val="0"/>
              <w:autoSpaceDE/>
              <w:bidi w:val="0"/>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传真：</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9" w:hRule="atLeast"/>
          <w:jc w:val="center"/>
        </w:trPr>
        <w:tc>
          <w:tcPr>
            <w:tcW w:w="4590" w:type="dxa"/>
            <w:tcBorders>
              <w:top w:val="single" w:color="auto" w:sz="4" w:space="0"/>
              <w:bottom w:val="single" w:color="auto" w:sz="4" w:space="0"/>
            </w:tcBorders>
            <w:vAlign w:val="center"/>
          </w:tcPr>
          <w:p>
            <w:pPr>
              <w:keepNext w:val="0"/>
              <w:keepLines w:val="0"/>
              <w:pageBreakBefore w:val="0"/>
              <w:widowControl w:val="0"/>
              <w:wordWrap/>
              <w:overflowPunct/>
              <w:topLinePunct w:val="0"/>
              <w:autoSpaceDE/>
              <w:bidi w:val="0"/>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开户银行：</w:t>
            </w:r>
          </w:p>
        </w:tc>
        <w:tc>
          <w:tcPr>
            <w:tcW w:w="5129" w:type="dxa"/>
            <w:vAlign w:val="center"/>
          </w:tcPr>
          <w:p>
            <w:pPr>
              <w:keepNext w:val="0"/>
              <w:keepLines w:val="0"/>
              <w:pageBreakBefore w:val="0"/>
              <w:widowControl w:val="0"/>
              <w:wordWrap/>
              <w:overflowPunct/>
              <w:topLinePunct w:val="0"/>
              <w:autoSpaceDE/>
              <w:bidi w:val="0"/>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开户银行：</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9" w:hRule="atLeast"/>
          <w:jc w:val="center"/>
        </w:trPr>
        <w:tc>
          <w:tcPr>
            <w:tcW w:w="4590" w:type="dxa"/>
            <w:tcBorders>
              <w:top w:val="single" w:color="auto" w:sz="4" w:space="0"/>
              <w:bottom w:val="single" w:color="auto" w:sz="4" w:space="0"/>
            </w:tcBorders>
            <w:vAlign w:val="center"/>
          </w:tcPr>
          <w:p>
            <w:pPr>
              <w:keepNext w:val="0"/>
              <w:keepLines w:val="0"/>
              <w:pageBreakBefore w:val="0"/>
              <w:widowControl w:val="0"/>
              <w:wordWrap/>
              <w:overflowPunct/>
              <w:topLinePunct w:val="0"/>
              <w:autoSpaceDE/>
              <w:bidi w:val="0"/>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账户名称：</w:t>
            </w:r>
          </w:p>
        </w:tc>
        <w:tc>
          <w:tcPr>
            <w:tcW w:w="5129" w:type="dxa"/>
            <w:tcBorders>
              <w:bottom w:val="single" w:color="auto" w:sz="4" w:space="0"/>
            </w:tcBorders>
            <w:vAlign w:val="center"/>
          </w:tcPr>
          <w:p>
            <w:pPr>
              <w:keepNext w:val="0"/>
              <w:keepLines w:val="0"/>
              <w:pageBreakBefore w:val="0"/>
              <w:widowControl w:val="0"/>
              <w:wordWrap/>
              <w:overflowPunct/>
              <w:topLinePunct w:val="0"/>
              <w:autoSpaceDE/>
              <w:bidi w:val="0"/>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账户名称：</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2" w:hRule="atLeast"/>
          <w:jc w:val="center"/>
        </w:trPr>
        <w:tc>
          <w:tcPr>
            <w:tcW w:w="4590" w:type="dxa"/>
            <w:tcBorders>
              <w:top w:val="single" w:color="auto" w:sz="4" w:space="0"/>
              <w:bottom w:val="single" w:color="auto" w:sz="4" w:space="0"/>
            </w:tcBorders>
            <w:vAlign w:val="center"/>
          </w:tcPr>
          <w:p>
            <w:pPr>
              <w:keepNext w:val="0"/>
              <w:keepLines w:val="0"/>
              <w:pageBreakBefore w:val="0"/>
              <w:widowControl w:val="0"/>
              <w:wordWrap/>
              <w:overflowPunct/>
              <w:topLinePunct w:val="0"/>
              <w:autoSpaceDE/>
              <w:bidi w:val="0"/>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账号:  </w:t>
            </w:r>
          </w:p>
        </w:tc>
        <w:tc>
          <w:tcPr>
            <w:tcW w:w="5129" w:type="dxa"/>
            <w:tcBorders>
              <w:top w:val="single" w:color="auto" w:sz="4" w:space="0"/>
              <w:bottom w:val="single" w:color="auto" w:sz="4" w:space="0"/>
            </w:tcBorders>
            <w:vAlign w:val="center"/>
          </w:tcPr>
          <w:p>
            <w:pPr>
              <w:keepNext w:val="0"/>
              <w:keepLines w:val="0"/>
              <w:pageBreakBefore w:val="0"/>
              <w:widowControl w:val="0"/>
              <w:wordWrap/>
              <w:overflowPunct/>
              <w:topLinePunct w:val="0"/>
              <w:autoSpaceDE/>
              <w:bidi w:val="0"/>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账号: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2" w:hRule="atLeast"/>
          <w:jc w:val="center"/>
        </w:trPr>
        <w:tc>
          <w:tcPr>
            <w:tcW w:w="9719" w:type="dxa"/>
            <w:gridSpan w:val="2"/>
            <w:tcBorders>
              <w:top w:val="single" w:color="auto" w:sz="4" w:space="0"/>
              <w:bottom w:val="single" w:color="auto" w:sz="4" w:space="0"/>
            </w:tcBorders>
            <w:vAlign w:val="center"/>
          </w:tcPr>
          <w:p>
            <w:pPr>
              <w:keepNext w:val="0"/>
              <w:keepLines w:val="0"/>
              <w:pageBreakBefore w:val="0"/>
              <w:widowControl w:val="0"/>
              <w:wordWrap/>
              <w:overflowPunct/>
              <w:topLinePunct w:val="0"/>
              <w:autoSpaceDE/>
              <w:bidi w:val="0"/>
              <w:spacing w:line="360" w:lineRule="auto"/>
              <w:rPr>
                <w:rFonts w:hint="eastAsia" w:asciiTheme="minorEastAsia" w:hAnsiTheme="minorEastAsia" w:eastAsiaTheme="minorEastAsia" w:cstheme="minorEastAsia"/>
                <w:sz w:val="24"/>
                <w:szCs w:val="24"/>
                <w:highlight w:val="none"/>
                <w:lang w:val="zh-CN" w:bidi="zh-CN"/>
              </w:rPr>
            </w:pPr>
            <w:bookmarkStart w:id="70" w:name="_Toc30893"/>
            <w:r>
              <w:rPr>
                <w:rFonts w:hint="eastAsia" w:asciiTheme="minorEastAsia" w:hAnsiTheme="minorEastAsia" w:eastAsiaTheme="minorEastAsia" w:cstheme="minorEastAsia"/>
                <w:b/>
                <w:sz w:val="24"/>
                <w:szCs w:val="24"/>
                <w:highlight w:val="none"/>
              </w:rPr>
              <w:t>陕西卓佲项目管理有限公司</w:t>
            </w:r>
            <w:r>
              <w:rPr>
                <w:rFonts w:hint="eastAsia" w:asciiTheme="minorEastAsia" w:hAnsiTheme="minorEastAsia" w:eastAsiaTheme="minorEastAsia" w:cstheme="minorEastAsia"/>
                <w:sz w:val="24"/>
                <w:szCs w:val="24"/>
                <w:highlight w:val="none"/>
              </w:rPr>
              <w:t>（盖章）</w:t>
            </w:r>
            <w:bookmarkEnd w:id="70"/>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2" w:hRule="atLeast"/>
          <w:jc w:val="center"/>
        </w:trPr>
        <w:tc>
          <w:tcPr>
            <w:tcW w:w="9719" w:type="dxa"/>
            <w:gridSpan w:val="2"/>
            <w:tcBorders>
              <w:top w:val="single" w:color="auto" w:sz="4" w:space="0"/>
              <w:bottom w:val="single" w:color="auto" w:sz="4" w:space="0"/>
            </w:tcBorders>
            <w:vAlign w:val="center"/>
          </w:tcPr>
          <w:p>
            <w:pPr>
              <w:keepNext w:val="0"/>
              <w:keepLines w:val="0"/>
              <w:pageBreakBefore w:val="0"/>
              <w:widowControl w:val="0"/>
              <w:wordWrap/>
              <w:overflowPunct/>
              <w:topLinePunct w:val="0"/>
              <w:autoSpaceDE/>
              <w:bidi w:val="0"/>
              <w:spacing w:line="360" w:lineRule="auto"/>
              <w:rPr>
                <w:rFonts w:hint="eastAsia" w:asciiTheme="minorEastAsia" w:hAnsiTheme="minorEastAsia" w:eastAsiaTheme="minorEastAsia" w:cstheme="minorEastAsia"/>
                <w:sz w:val="24"/>
                <w:szCs w:val="24"/>
                <w:highlight w:val="none"/>
                <w:lang w:val="zh-CN" w:bidi="zh-CN"/>
              </w:rPr>
            </w:pPr>
            <w:r>
              <w:rPr>
                <w:rFonts w:hint="eastAsia" w:asciiTheme="minorEastAsia" w:hAnsiTheme="minorEastAsia" w:eastAsiaTheme="minorEastAsia" w:cstheme="minorEastAsia"/>
                <w:sz w:val="24"/>
                <w:szCs w:val="24"/>
                <w:highlight w:val="none"/>
              </w:rPr>
              <w:t>地址：西安市雁塔区科技路10号华奥大厦A座20层2002室</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2" w:hRule="atLeast"/>
          <w:jc w:val="center"/>
        </w:trPr>
        <w:tc>
          <w:tcPr>
            <w:tcW w:w="9719" w:type="dxa"/>
            <w:gridSpan w:val="2"/>
            <w:tcBorders>
              <w:top w:val="single" w:color="auto" w:sz="4" w:space="0"/>
              <w:bottom w:val="single" w:color="auto" w:sz="4" w:space="0"/>
            </w:tcBorders>
            <w:vAlign w:val="center"/>
          </w:tcPr>
          <w:p>
            <w:pPr>
              <w:keepNext w:val="0"/>
              <w:keepLines w:val="0"/>
              <w:pageBreakBefore w:val="0"/>
              <w:widowControl w:val="0"/>
              <w:wordWrap/>
              <w:overflowPunct/>
              <w:topLinePunct w:val="0"/>
              <w:autoSpaceDE/>
              <w:bidi w:val="0"/>
              <w:spacing w:line="360" w:lineRule="auto"/>
              <w:rPr>
                <w:rFonts w:hint="eastAsia" w:asciiTheme="minorEastAsia" w:hAnsiTheme="minorEastAsia" w:eastAsiaTheme="minorEastAsia" w:cstheme="minorEastAsia"/>
                <w:sz w:val="24"/>
                <w:szCs w:val="24"/>
                <w:highlight w:val="none"/>
                <w:lang w:bidi="zh-CN"/>
              </w:rPr>
            </w:pPr>
            <w:r>
              <w:rPr>
                <w:rFonts w:hint="eastAsia" w:asciiTheme="minorEastAsia" w:hAnsiTheme="minorEastAsia" w:eastAsiaTheme="minorEastAsia" w:cstheme="minorEastAsia"/>
                <w:sz w:val="24"/>
                <w:szCs w:val="24"/>
                <w:highlight w:val="none"/>
              </w:rPr>
              <w:t>被授权代表：（签字）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2" w:hRule="atLeast"/>
          <w:jc w:val="center"/>
        </w:trPr>
        <w:tc>
          <w:tcPr>
            <w:tcW w:w="9719" w:type="dxa"/>
            <w:gridSpan w:val="2"/>
            <w:tcBorders>
              <w:top w:val="single" w:color="auto" w:sz="4" w:space="0"/>
              <w:bottom w:val="single" w:color="auto" w:sz="4" w:space="0"/>
            </w:tcBorders>
            <w:vAlign w:val="center"/>
          </w:tcPr>
          <w:p>
            <w:pPr>
              <w:keepNext w:val="0"/>
              <w:keepLines w:val="0"/>
              <w:pageBreakBefore w:val="0"/>
              <w:widowControl w:val="0"/>
              <w:wordWrap/>
              <w:overflowPunct/>
              <w:topLinePunct w:val="0"/>
              <w:autoSpaceDE/>
              <w:bidi w:val="0"/>
              <w:spacing w:line="360" w:lineRule="auto"/>
              <w:rPr>
                <w:rFonts w:hint="eastAsia" w:asciiTheme="minorEastAsia" w:hAnsiTheme="minorEastAsia" w:eastAsiaTheme="minorEastAsia" w:cstheme="minorEastAsia"/>
                <w:sz w:val="24"/>
                <w:szCs w:val="24"/>
                <w:highlight w:val="none"/>
                <w:lang w:bidi="zh-CN"/>
              </w:rPr>
            </w:pPr>
            <w:r>
              <w:rPr>
                <w:rFonts w:hint="eastAsia" w:asciiTheme="minorEastAsia" w:hAnsiTheme="minorEastAsia" w:eastAsiaTheme="minorEastAsia" w:cstheme="minorEastAsia"/>
                <w:sz w:val="24"/>
                <w:szCs w:val="24"/>
                <w:highlight w:val="none"/>
              </w:rPr>
              <w:t>电话：029-88440695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2" w:hRule="atLeast"/>
          <w:jc w:val="center"/>
        </w:trPr>
        <w:tc>
          <w:tcPr>
            <w:tcW w:w="9719" w:type="dxa"/>
            <w:gridSpan w:val="2"/>
            <w:tcBorders>
              <w:top w:val="single" w:color="auto" w:sz="4" w:space="0"/>
              <w:bottom w:val="single" w:color="auto" w:sz="4" w:space="0"/>
            </w:tcBorders>
            <w:vAlign w:val="center"/>
          </w:tcPr>
          <w:p>
            <w:pPr>
              <w:keepNext w:val="0"/>
              <w:keepLines w:val="0"/>
              <w:pageBreakBefore w:val="0"/>
              <w:widowControl w:val="0"/>
              <w:wordWrap/>
              <w:overflowPunct/>
              <w:topLinePunct w:val="0"/>
              <w:autoSpaceDE/>
              <w:bidi w:val="0"/>
              <w:spacing w:line="360" w:lineRule="auto"/>
              <w:rPr>
                <w:rFonts w:hint="eastAsia" w:asciiTheme="minorEastAsia" w:hAnsiTheme="minorEastAsia" w:eastAsiaTheme="minorEastAsia" w:cstheme="minorEastAsia"/>
                <w:sz w:val="24"/>
                <w:szCs w:val="24"/>
                <w:highlight w:val="none"/>
                <w:lang w:val="zh-CN" w:bidi="zh-CN"/>
              </w:rPr>
            </w:pPr>
            <w:r>
              <w:rPr>
                <w:rFonts w:hint="eastAsia" w:asciiTheme="minorEastAsia" w:hAnsiTheme="minorEastAsia" w:eastAsiaTheme="minorEastAsia" w:cstheme="minorEastAsia"/>
                <w:sz w:val="24"/>
                <w:szCs w:val="24"/>
                <w:highlight w:val="none"/>
              </w:rPr>
              <w:t>传真：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7" w:hRule="atLeast"/>
          <w:jc w:val="center"/>
        </w:trPr>
        <w:tc>
          <w:tcPr>
            <w:tcW w:w="9719" w:type="dxa"/>
            <w:gridSpan w:val="2"/>
            <w:tcBorders>
              <w:top w:val="single" w:color="auto" w:sz="4" w:space="0"/>
            </w:tcBorders>
            <w:vAlign w:val="center"/>
          </w:tcPr>
          <w:p>
            <w:pPr>
              <w:keepNext w:val="0"/>
              <w:keepLines w:val="0"/>
              <w:pageBreakBefore w:val="0"/>
              <w:widowControl w:val="0"/>
              <w:wordWrap/>
              <w:overflowPunct/>
              <w:topLinePunct w:val="0"/>
              <w:autoSpaceDE/>
              <w:bidi w:val="0"/>
              <w:spacing w:line="360" w:lineRule="auto"/>
              <w:ind w:firstLine="5760" w:firstLineChars="2400"/>
              <w:rPr>
                <w:rFonts w:hint="eastAsia" w:asciiTheme="minorEastAsia" w:hAnsiTheme="minorEastAsia" w:eastAsiaTheme="minorEastAsia" w:cstheme="minorEastAsia"/>
                <w:sz w:val="24"/>
                <w:szCs w:val="24"/>
                <w:highlight w:val="none"/>
                <w:lang w:val="zh-CN" w:bidi="zh-CN"/>
              </w:rPr>
            </w:pPr>
            <w:r>
              <w:rPr>
                <w:rFonts w:hint="eastAsia" w:asciiTheme="minorEastAsia" w:hAnsiTheme="minorEastAsia" w:eastAsiaTheme="minorEastAsia" w:cstheme="minorEastAsia"/>
                <w:sz w:val="24"/>
                <w:szCs w:val="24"/>
                <w:highlight w:val="none"/>
              </w:rPr>
              <w:t>日期：     年   月   日</w:t>
            </w:r>
          </w:p>
        </w:tc>
      </w:tr>
    </w:tbl>
    <w:p/>
    <w:p>
      <w:pPr>
        <w:rPr>
          <w:rFonts w:ascii="宋体" w:hAnsi="宋体" w:cs="宋体"/>
        </w:rPr>
      </w:pPr>
    </w:p>
    <w:p/>
    <w:p>
      <w:pPr>
        <w:pStyle w:val="3"/>
        <w:keepNext w:val="0"/>
        <w:pageBreakBefore/>
        <w:rPr>
          <w:rFonts w:ascii="宋体" w:hAnsi="宋体" w:cs="宋体"/>
        </w:rPr>
      </w:pPr>
      <w:bookmarkStart w:id="71" w:name="_Toc6334"/>
      <w:r>
        <w:rPr>
          <w:rFonts w:hint="eastAsia" w:ascii="宋体" w:hAnsi="宋体" w:cs="宋体"/>
        </w:rPr>
        <w:t>第七部分  响应文件格式</w:t>
      </w:r>
      <w:bookmarkEnd w:id="63"/>
      <w:bookmarkEnd w:id="71"/>
    </w:p>
    <w:p>
      <w:pPr>
        <w:adjustRightInd w:val="0"/>
        <w:snapToGrid w:val="0"/>
        <w:spacing w:line="400" w:lineRule="exact"/>
        <w:jc w:val="left"/>
        <w:rPr>
          <w:rFonts w:ascii="宋体" w:hAnsi="宋体" w:eastAsia="宋体" w:cs="宋体"/>
          <w:b/>
          <w:w w:val="120"/>
          <w:sz w:val="28"/>
          <w:szCs w:val="28"/>
        </w:rPr>
      </w:pPr>
      <w:r>
        <w:rPr>
          <w:rFonts w:hint="eastAsia" w:ascii="宋体" w:hAnsi="宋体" w:eastAsia="宋体" w:cs="宋体"/>
          <w:b/>
          <w:w w:val="120"/>
          <w:sz w:val="28"/>
          <w:szCs w:val="28"/>
        </w:rPr>
        <w:t>项目编号：</w:t>
      </w:r>
      <w:r>
        <w:rPr>
          <w:rFonts w:hint="eastAsia" w:ascii="宋体" w:hAnsi="宋体" w:eastAsia="宋体" w:cs="宋体"/>
          <w:b/>
          <w:w w:val="120"/>
          <w:sz w:val="28"/>
          <w:szCs w:val="28"/>
          <w:lang w:eastAsia="zh-CN"/>
        </w:rPr>
        <w:t>ZMZB2022BQJYJ-297</w:t>
      </w:r>
      <w:r>
        <w:rPr>
          <w:rFonts w:hint="eastAsia" w:ascii="宋体" w:hAnsi="宋体" w:eastAsia="宋体" w:cs="宋体"/>
          <w:b/>
          <w:w w:val="120"/>
          <w:sz w:val="28"/>
          <w:szCs w:val="28"/>
        </w:rPr>
        <w:t xml:space="preserve">    </w:t>
      </w:r>
      <w:r>
        <w:rPr>
          <w:rFonts w:hint="eastAsia" w:ascii="宋体" w:hAnsi="宋体" w:eastAsia="宋体" w:cs="宋体"/>
          <w:b/>
          <w:w w:val="120"/>
          <w:sz w:val="28"/>
          <w:szCs w:val="28"/>
          <w:lang w:val="en-US" w:eastAsia="zh-CN"/>
        </w:rPr>
        <w:t xml:space="preserve">        </w:t>
      </w:r>
      <w:r>
        <w:rPr>
          <w:rFonts w:hint="eastAsia" w:ascii="宋体" w:hAnsi="宋体" w:eastAsia="宋体" w:cs="宋体"/>
          <w:b/>
          <w:w w:val="120"/>
          <w:sz w:val="28"/>
          <w:szCs w:val="28"/>
        </w:rPr>
        <w:t>（正本或副本）</w:t>
      </w:r>
    </w:p>
    <w:p>
      <w:pPr>
        <w:adjustRightInd w:val="0"/>
        <w:snapToGrid w:val="0"/>
        <w:spacing w:line="360" w:lineRule="auto"/>
        <w:jc w:val="left"/>
        <w:rPr>
          <w:rFonts w:ascii="宋体" w:hAnsi="宋体" w:eastAsia="宋体" w:cs="宋体"/>
          <w:bCs/>
          <w:spacing w:val="-34"/>
          <w:w w:val="120"/>
          <w:sz w:val="34"/>
        </w:rPr>
      </w:pPr>
    </w:p>
    <w:p>
      <w:pPr>
        <w:adjustRightInd w:val="0"/>
        <w:snapToGrid w:val="0"/>
        <w:spacing w:line="360" w:lineRule="auto"/>
        <w:ind w:firstLine="883" w:firstLineChars="200"/>
        <w:jc w:val="center"/>
        <w:rPr>
          <w:rFonts w:hint="eastAsia" w:ascii="宋体" w:hAnsi="宋体" w:eastAsia="宋体" w:cs="宋体"/>
          <w:b/>
          <w:sz w:val="44"/>
          <w:szCs w:val="44"/>
          <w:lang w:eastAsia="zh-CN"/>
        </w:rPr>
      </w:pPr>
    </w:p>
    <w:p>
      <w:pPr>
        <w:tabs>
          <w:tab w:val="left" w:pos="0"/>
        </w:tabs>
        <w:adjustRightInd w:val="0"/>
        <w:snapToGrid w:val="0"/>
        <w:spacing w:line="360" w:lineRule="auto"/>
        <w:jc w:val="center"/>
        <w:rPr>
          <w:rFonts w:hint="eastAsia" w:ascii="宋体" w:hAnsi="宋体" w:eastAsia="宋体" w:cs="宋体"/>
          <w:b/>
          <w:sz w:val="56"/>
          <w:szCs w:val="56"/>
          <w:lang w:eastAsia="zh-CN"/>
        </w:rPr>
      </w:pPr>
      <w:r>
        <w:rPr>
          <w:rFonts w:hint="eastAsia" w:ascii="宋体" w:hAnsi="宋体" w:eastAsia="宋体" w:cs="宋体"/>
          <w:b/>
          <w:sz w:val="56"/>
          <w:szCs w:val="56"/>
          <w:lang w:eastAsia="zh-CN"/>
        </w:rPr>
        <w:t>西安市灞桥区教育局（本级）</w:t>
      </w:r>
    </w:p>
    <w:p>
      <w:pPr>
        <w:tabs>
          <w:tab w:val="left" w:pos="0"/>
        </w:tabs>
        <w:adjustRightInd w:val="0"/>
        <w:snapToGrid w:val="0"/>
        <w:spacing w:line="360" w:lineRule="auto"/>
        <w:jc w:val="center"/>
        <w:rPr>
          <w:rFonts w:ascii="宋体" w:hAnsi="宋体" w:eastAsia="宋体" w:cs="宋体"/>
          <w:b/>
          <w:sz w:val="56"/>
          <w:szCs w:val="56"/>
        </w:rPr>
      </w:pPr>
      <w:r>
        <w:rPr>
          <w:rFonts w:hint="eastAsia" w:ascii="宋体" w:hAnsi="宋体" w:eastAsia="宋体" w:cs="宋体"/>
          <w:b/>
          <w:sz w:val="56"/>
          <w:szCs w:val="56"/>
          <w:lang w:eastAsia="zh-CN"/>
        </w:rPr>
        <w:t>西安市第五十五中学智慧黑板采购项目</w:t>
      </w:r>
    </w:p>
    <w:p>
      <w:pPr>
        <w:adjustRightInd w:val="0"/>
        <w:snapToGrid w:val="0"/>
        <w:spacing w:line="480" w:lineRule="auto"/>
        <w:jc w:val="center"/>
        <w:rPr>
          <w:rFonts w:hint="eastAsia" w:ascii="宋体" w:hAnsi="宋体" w:eastAsia="宋体" w:cs="宋体"/>
          <w:b/>
          <w:sz w:val="56"/>
          <w:szCs w:val="56"/>
        </w:rPr>
      </w:pPr>
    </w:p>
    <w:p>
      <w:pPr>
        <w:adjustRightInd w:val="0"/>
        <w:snapToGrid w:val="0"/>
        <w:spacing w:line="480" w:lineRule="auto"/>
        <w:jc w:val="center"/>
        <w:rPr>
          <w:rFonts w:ascii="宋体" w:hAnsi="宋体" w:eastAsia="宋体" w:cs="宋体"/>
          <w:b/>
          <w:sz w:val="56"/>
          <w:szCs w:val="56"/>
        </w:rPr>
      </w:pPr>
      <w:r>
        <w:rPr>
          <w:rFonts w:hint="eastAsia" w:ascii="宋体" w:hAnsi="宋体" w:eastAsia="宋体" w:cs="宋体"/>
          <w:b/>
          <w:sz w:val="56"/>
          <w:szCs w:val="56"/>
        </w:rPr>
        <w:t>响应文件</w:t>
      </w:r>
    </w:p>
    <w:p>
      <w:pPr>
        <w:snapToGrid w:val="0"/>
        <w:spacing w:line="360" w:lineRule="auto"/>
        <w:ind w:firstLine="640" w:firstLineChars="200"/>
        <w:jc w:val="left"/>
        <w:rPr>
          <w:rFonts w:hint="eastAsia" w:ascii="宋体" w:hAnsi="宋体" w:cs="宋体"/>
          <w:sz w:val="32"/>
          <w:szCs w:val="32"/>
          <w:lang w:val="zh-CN"/>
        </w:rPr>
      </w:pPr>
    </w:p>
    <w:p>
      <w:pPr>
        <w:snapToGrid w:val="0"/>
        <w:spacing w:line="360" w:lineRule="auto"/>
        <w:ind w:firstLine="640" w:firstLineChars="200"/>
        <w:jc w:val="left"/>
        <w:rPr>
          <w:rFonts w:hint="eastAsia" w:ascii="宋体" w:hAnsi="宋体" w:cs="宋体"/>
          <w:sz w:val="32"/>
          <w:szCs w:val="32"/>
          <w:lang w:val="zh-CN"/>
        </w:rPr>
      </w:pPr>
    </w:p>
    <w:p>
      <w:pPr>
        <w:snapToGrid w:val="0"/>
        <w:spacing w:line="360" w:lineRule="auto"/>
        <w:ind w:firstLine="640" w:firstLineChars="200"/>
        <w:jc w:val="left"/>
        <w:rPr>
          <w:rFonts w:hint="eastAsia" w:ascii="宋体" w:hAnsi="宋体" w:cs="宋体"/>
          <w:sz w:val="32"/>
          <w:szCs w:val="32"/>
          <w:lang w:val="zh-CN"/>
        </w:rPr>
      </w:pPr>
    </w:p>
    <w:p>
      <w:pPr>
        <w:snapToGrid w:val="0"/>
        <w:spacing w:line="360" w:lineRule="auto"/>
        <w:ind w:firstLine="640" w:firstLineChars="200"/>
        <w:jc w:val="left"/>
        <w:rPr>
          <w:rFonts w:ascii="宋体" w:cs="宋体"/>
          <w:sz w:val="32"/>
          <w:szCs w:val="32"/>
          <w:u w:val="single"/>
        </w:rPr>
      </w:pPr>
      <w:r>
        <w:rPr>
          <w:rFonts w:hint="eastAsia" w:ascii="宋体" w:hAnsi="宋体" w:cs="宋体"/>
          <w:sz w:val="32"/>
          <w:szCs w:val="32"/>
          <w:lang w:val="zh-CN"/>
        </w:rPr>
        <w:t>供应商（单位名称）：</w:t>
      </w:r>
      <w:r>
        <w:rPr>
          <w:rFonts w:hint="eastAsia" w:ascii="宋体" w:hAnsi="宋体" w:cs="宋体"/>
          <w:sz w:val="32"/>
          <w:szCs w:val="32"/>
        </w:rPr>
        <w:t>______________</w:t>
      </w:r>
    </w:p>
    <w:p>
      <w:pPr>
        <w:snapToGrid w:val="0"/>
        <w:spacing w:line="360" w:lineRule="auto"/>
        <w:ind w:firstLine="640" w:firstLineChars="200"/>
        <w:jc w:val="left"/>
        <w:rPr>
          <w:rFonts w:ascii="宋体" w:cs="宋体"/>
          <w:sz w:val="36"/>
          <w:szCs w:val="36"/>
          <w:u w:val="single"/>
        </w:rPr>
      </w:pPr>
      <w:r>
        <w:rPr>
          <w:rFonts w:hint="eastAsia" w:ascii="宋体" w:hAnsi="宋体" w:cs="宋体"/>
          <w:sz w:val="32"/>
          <w:szCs w:val="32"/>
        </w:rPr>
        <w:t>日期</w:t>
      </w:r>
      <w:r>
        <w:rPr>
          <w:rFonts w:hint="eastAsia" w:ascii="宋体" w:hAnsi="宋体" w:cs="宋体"/>
          <w:sz w:val="32"/>
          <w:szCs w:val="32"/>
          <w:lang w:val="zh-CN"/>
        </w:rPr>
        <w:t>：</w:t>
      </w:r>
      <w:r>
        <w:rPr>
          <w:rFonts w:hint="eastAsia" w:ascii="宋体" w:hAnsi="宋体" w:cs="宋体"/>
          <w:sz w:val="32"/>
          <w:szCs w:val="32"/>
        </w:rPr>
        <w:t>______</w:t>
      </w:r>
    </w:p>
    <w:p>
      <w:pPr>
        <w:pageBreakBefore/>
        <w:ind w:firstLine="1004" w:firstLineChars="200"/>
        <w:jc w:val="center"/>
        <w:rPr>
          <w:rFonts w:ascii="宋体" w:hAnsi="宋体" w:eastAsia="宋体" w:cs="宋体"/>
          <w:b/>
          <w:sz w:val="50"/>
        </w:rPr>
      </w:pPr>
      <w:r>
        <w:rPr>
          <w:rFonts w:hint="eastAsia" w:ascii="宋体" w:hAnsi="宋体" w:eastAsia="宋体" w:cs="宋体"/>
          <w:b/>
          <w:sz w:val="50"/>
        </w:rPr>
        <w:t>目录</w:t>
      </w:r>
    </w:p>
    <w:p>
      <w:pPr>
        <w:ind w:firstLine="1004" w:firstLineChars="200"/>
        <w:jc w:val="left"/>
        <w:rPr>
          <w:rFonts w:ascii="宋体" w:hAnsi="宋体" w:eastAsia="宋体" w:cs="宋体"/>
          <w:b/>
          <w:sz w:val="50"/>
        </w:rPr>
      </w:pPr>
    </w:p>
    <w:p>
      <w:pPr>
        <w:pStyle w:val="8"/>
        <w:snapToGrid w:val="0"/>
        <w:spacing w:line="480" w:lineRule="auto"/>
        <w:ind w:firstLine="562" w:firstLineChars="200"/>
        <w:jc w:val="left"/>
        <w:rPr>
          <w:rFonts w:asciiTheme="minorEastAsia" w:hAnsiTheme="minorEastAsia" w:cstheme="minorEastAsia"/>
          <w:b/>
          <w:bCs/>
          <w:sz w:val="28"/>
          <w:szCs w:val="28"/>
        </w:rPr>
      </w:pPr>
      <w:r>
        <w:rPr>
          <w:rFonts w:hint="eastAsia" w:asciiTheme="minorEastAsia" w:hAnsiTheme="minorEastAsia" w:cstheme="minorEastAsia"/>
          <w:b/>
          <w:bCs/>
          <w:sz w:val="28"/>
          <w:szCs w:val="28"/>
        </w:rPr>
        <w:t>第一部分   响应函</w:t>
      </w:r>
    </w:p>
    <w:p>
      <w:pPr>
        <w:snapToGrid w:val="0"/>
        <w:spacing w:line="480" w:lineRule="auto"/>
        <w:ind w:firstLine="562" w:firstLineChars="200"/>
        <w:jc w:val="left"/>
        <w:rPr>
          <w:rFonts w:asciiTheme="minorEastAsia" w:hAnsiTheme="minorEastAsia" w:cstheme="minorEastAsia"/>
          <w:b/>
          <w:sz w:val="28"/>
          <w:szCs w:val="28"/>
        </w:rPr>
      </w:pPr>
      <w:r>
        <w:rPr>
          <w:rFonts w:hint="eastAsia" w:asciiTheme="minorEastAsia" w:hAnsiTheme="minorEastAsia" w:cstheme="minorEastAsia"/>
          <w:b/>
          <w:sz w:val="28"/>
          <w:szCs w:val="28"/>
        </w:rPr>
        <w:t xml:space="preserve">第二部分   响应一览表 </w:t>
      </w:r>
    </w:p>
    <w:p>
      <w:pPr>
        <w:pStyle w:val="8"/>
        <w:snapToGrid w:val="0"/>
        <w:spacing w:line="480" w:lineRule="auto"/>
        <w:ind w:firstLine="1687" w:firstLineChars="600"/>
        <w:jc w:val="left"/>
        <w:rPr>
          <w:rFonts w:asciiTheme="minorEastAsia" w:hAnsiTheme="minorEastAsia" w:cstheme="minorEastAsia"/>
          <w:b/>
          <w:kern w:val="0"/>
          <w:sz w:val="28"/>
          <w:szCs w:val="28"/>
        </w:rPr>
      </w:pPr>
      <w:r>
        <w:rPr>
          <w:rFonts w:hint="eastAsia" w:asciiTheme="minorEastAsia" w:hAnsiTheme="minorEastAsia" w:cstheme="minorEastAsia"/>
          <w:b/>
          <w:bCs/>
          <w:sz w:val="28"/>
          <w:szCs w:val="28"/>
        </w:rPr>
        <w:t xml:space="preserve">   </w:t>
      </w:r>
      <w:r>
        <w:rPr>
          <w:rFonts w:hint="eastAsia" w:asciiTheme="minorEastAsia" w:hAnsiTheme="minorEastAsia" w:cstheme="minorEastAsia"/>
          <w:b/>
          <w:kern w:val="0"/>
          <w:sz w:val="28"/>
          <w:szCs w:val="28"/>
        </w:rPr>
        <w:t>分项报价表</w:t>
      </w:r>
    </w:p>
    <w:p>
      <w:pPr>
        <w:pStyle w:val="8"/>
        <w:snapToGrid w:val="0"/>
        <w:spacing w:line="480" w:lineRule="auto"/>
        <w:ind w:firstLine="562" w:firstLineChars="200"/>
        <w:jc w:val="left"/>
        <w:rPr>
          <w:rFonts w:asciiTheme="minorEastAsia" w:hAnsiTheme="minorEastAsia" w:cstheme="minorEastAsia"/>
          <w:b/>
          <w:kern w:val="0"/>
          <w:sz w:val="28"/>
          <w:szCs w:val="28"/>
        </w:rPr>
      </w:pPr>
      <w:r>
        <w:rPr>
          <w:rFonts w:hint="eastAsia" w:asciiTheme="minorEastAsia" w:hAnsiTheme="minorEastAsia" w:cstheme="minorEastAsia"/>
          <w:b/>
          <w:kern w:val="0"/>
          <w:sz w:val="28"/>
          <w:szCs w:val="28"/>
        </w:rPr>
        <w:t>第三部分   商务及技术响应说明</w:t>
      </w:r>
    </w:p>
    <w:p>
      <w:pPr>
        <w:pStyle w:val="8"/>
        <w:snapToGrid w:val="0"/>
        <w:spacing w:line="480" w:lineRule="auto"/>
        <w:ind w:firstLine="562" w:firstLineChars="200"/>
        <w:jc w:val="left"/>
        <w:rPr>
          <w:rFonts w:asciiTheme="minorEastAsia" w:hAnsiTheme="minorEastAsia" w:cstheme="minorEastAsia"/>
          <w:b/>
          <w:bCs/>
          <w:sz w:val="28"/>
          <w:szCs w:val="28"/>
        </w:rPr>
      </w:pPr>
      <w:r>
        <w:rPr>
          <w:rFonts w:hint="eastAsia" w:asciiTheme="minorEastAsia" w:hAnsiTheme="minorEastAsia" w:cstheme="minorEastAsia"/>
          <w:b/>
          <w:bCs/>
          <w:sz w:val="28"/>
          <w:szCs w:val="28"/>
        </w:rPr>
        <w:t xml:space="preserve">第四部分   </w:t>
      </w:r>
      <w:r>
        <w:rPr>
          <w:rFonts w:hint="eastAsia" w:asciiTheme="minorEastAsia" w:hAnsiTheme="minorEastAsia" w:cstheme="minorEastAsia"/>
          <w:b/>
          <w:sz w:val="28"/>
          <w:szCs w:val="28"/>
        </w:rPr>
        <w:t>供应商资格要求</w:t>
      </w:r>
    </w:p>
    <w:p>
      <w:pPr>
        <w:pStyle w:val="8"/>
        <w:snapToGrid w:val="0"/>
        <w:spacing w:line="480" w:lineRule="auto"/>
        <w:ind w:firstLine="562" w:firstLineChars="200"/>
        <w:jc w:val="left"/>
        <w:rPr>
          <w:rFonts w:asciiTheme="minorEastAsia" w:hAnsiTheme="minorEastAsia" w:cstheme="minorEastAsia"/>
          <w:b/>
          <w:sz w:val="28"/>
          <w:szCs w:val="28"/>
        </w:rPr>
      </w:pPr>
      <w:r>
        <w:rPr>
          <w:rFonts w:hint="eastAsia" w:asciiTheme="minorEastAsia" w:hAnsiTheme="minorEastAsia" w:cstheme="minorEastAsia"/>
          <w:b/>
          <w:sz w:val="28"/>
          <w:szCs w:val="28"/>
        </w:rPr>
        <w:t>第五部分   技术与服务方案</w:t>
      </w:r>
    </w:p>
    <w:p>
      <w:pPr>
        <w:snapToGrid w:val="0"/>
        <w:spacing w:line="480" w:lineRule="auto"/>
        <w:ind w:firstLine="562" w:firstLineChars="200"/>
        <w:jc w:val="left"/>
        <w:rPr>
          <w:rFonts w:asciiTheme="minorEastAsia" w:hAnsiTheme="minorEastAsia" w:cstheme="minorEastAsia"/>
          <w:b/>
          <w:bCs/>
          <w:sz w:val="28"/>
          <w:szCs w:val="28"/>
        </w:rPr>
      </w:pPr>
      <w:r>
        <w:rPr>
          <w:rFonts w:hint="eastAsia" w:asciiTheme="minorEastAsia" w:hAnsiTheme="minorEastAsia" w:cstheme="minorEastAsia"/>
          <w:b/>
          <w:bCs/>
          <w:sz w:val="28"/>
          <w:szCs w:val="28"/>
        </w:rPr>
        <w:t>第六部分   服务承诺</w:t>
      </w:r>
    </w:p>
    <w:p>
      <w:pPr>
        <w:snapToGrid w:val="0"/>
        <w:spacing w:line="480" w:lineRule="auto"/>
        <w:ind w:firstLine="562" w:firstLineChars="200"/>
        <w:jc w:val="left"/>
        <w:rPr>
          <w:rFonts w:asciiTheme="minorEastAsia" w:hAnsiTheme="minorEastAsia" w:cstheme="minorEastAsia"/>
          <w:b/>
          <w:bCs/>
          <w:sz w:val="28"/>
          <w:szCs w:val="28"/>
        </w:rPr>
      </w:pPr>
      <w:r>
        <w:rPr>
          <w:rFonts w:hint="eastAsia" w:asciiTheme="minorEastAsia" w:hAnsiTheme="minorEastAsia" w:cstheme="minorEastAsia"/>
          <w:b/>
          <w:bCs/>
          <w:sz w:val="28"/>
          <w:szCs w:val="28"/>
        </w:rPr>
        <w:t>第七部分   供应商认为有必要说明的其他问题</w:t>
      </w:r>
    </w:p>
    <w:p>
      <w:pPr>
        <w:snapToGrid w:val="0"/>
        <w:spacing w:line="480" w:lineRule="auto"/>
        <w:ind w:firstLine="562" w:firstLineChars="200"/>
        <w:jc w:val="left"/>
        <w:rPr>
          <w:rFonts w:ascii="宋体" w:hAnsi="宋体" w:eastAsia="宋体" w:cs="宋体"/>
          <w:b/>
          <w:bCs/>
          <w:sz w:val="28"/>
          <w:szCs w:val="28"/>
        </w:rPr>
      </w:pPr>
      <w:r>
        <w:rPr>
          <w:rFonts w:hint="eastAsia" w:asciiTheme="minorEastAsia" w:hAnsiTheme="minorEastAsia" w:cstheme="minorEastAsia"/>
          <w:b/>
          <w:bCs/>
          <w:sz w:val="28"/>
          <w:szCs w:val="28"/>
        </w:rPr>
        <w:t xml:space="preserve">  </w:t>
      </w:r>
    </w:p>
    <w:p>
      <w:pPr>
        <w:pStyle w:val="4"/>
        <w:pageBreakBefore/>
        <w:rPr>
          <w:rFonts w:ascii="宋体" w:hAnsi="宋体" w:cs="宋体"/>
        </w:rPr>
      </w:pPr>
      <w:bookmarkStart w:id="72" w:name="_Toc29805"/>
      <w:bookmarkStart w:id="73" w:name="_Toc2536"/>
      <w:r>
        <w:rPr>
          <w:rFonts w:hint="eastAsia" w:ascii="宋体" w:hAnsi="宋体" w:cs="宋体"/>
        </w:rPr>
        <w:t>第一部分响应函</w:t>
      </w:r>
      <w:bookmarkEnd w:id="72"/>
      <w:bookmarkEnd w:id="73"/>
    </w:p>
    <w:p>
      <w:pPr>
        <w:adjustRightInd w:val="0"/>
        <w:snapToGrid w:val="0"/>
        <w:spacing w:line="276" w:lineRule="auto"/>
        <w:jc w:val="left"/>
        <w:rPr>
          <w:rFonts w:ascii="宋体" w:hAnsi="宋体" w:eastAsia="宋体" w:cs="宋体"/>
          <w:bCs/>
          <w:sz w:val="32"/>
          <w:szCs w:val="32"/>
        </w:rPr>
      </w:pPr>
      <w:r>
        <w:rPr>
          <w:rFonts w:hint="eastAsia" w:ascii="宋体" w:hAnsi="宋体" w:eastAsia="宋体" w:cs="宋体"/>
          <w:b/>
          <w:bCs/>
          <w:sz w:val="28"/>
          <w:szCs w:val="28"/>
        </w:rPr>
        <w:t>陕西卓佲项目管理有限公司</w:t>
      </w:r>
      <w:r>
        <w:rPr>
          <w:rFonts w:hint="eastAsia" w:ascii="宋体" w:hAnsi="宋体" w:eastAsia="宋体" w:cs="宋体"/>
          <w:bCs/>
          <w:sz w:val="32"/>
          <w:szCs w:val="32"/>
        </w:rPr>
        <w:t>：</w:t>
      </w:r>
    </w:p>
    <w:p>
      <w:pPr>
        <w:adjustRightInd w:val="0"/>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我单位收到编号为：</w:t>
      </w:r>
      <w:r>
        <w:rPr>
          <w:rFonts w:hint="eastAsia" w:ascii="宋体" w:hAnsi="宋体" w:eastAsia="宋体" w:cs="宋体"/>
          <w:sz w:val="24"/>
          <w:u w:val="single"/>
          <w:lang w:eastAsia="zh-CN"/>
        </w:rPr>
        <w:t>ZMZB2022BQJYJ-297</w:t>
      </w:r>
      <w:r>
        <w:rPr>
          <w:rFonts w:hint="eastAsia" w:ascii="宋体" w:hAnsi="宋体" w:eastAsia="宋体" w:cs="宋体"/>
          <w:sz w:val="24"/>
        </w:rPr>
        <w:t>的竞争性谈判文件，经详细研究，我公司决定参加本次谈判活动。为此，我方郑重承诺以下诸点，并负法律责任。</w:t>
      </w:r>
    </w:p>
    <w:p>
      <w:pPr>
        <w:adjustRightInd w:val="0"/>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1、愿意按照竞争性谈判文件中的全部要求，提供合格的产品及完善的技术服务，履行合同的责任和义务。</w:t>
      </w:r>
    </w:p>
    <w:p>
      <w:pPr>
        <w:adjustRightInd w:val="0"/>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2、我方提交的响应文件正本____份、副本____份，电子文档____份、</w:t>
      </w:r>
      <w:r>
        <w:rPr>
          <w:rFonts w:hint="eastAsia" w:ascii="宋体" w:hAnsi="宋体" w:eastAsia="宋体" w:cs="宋体"/>
          <w:sz w:val="24"/>
          <w:szCs w:val="24"/>
        </w:rPr>
        <w:t>响应一览表_____份</w:t>
      </w:r>
      <w:r>
        <w:rPr>
          <w:rFonts w:hint="eastAsia" w:ascii="宋体" w:hAnsi="宋体" w:eastAsia="宋体" w:cs="宋体"/>
          <w:sz w:val="24"/>
        </w:rPr>
        <w:t>。</w:t>
      </w:r>
    </w:p>
    <w:p>
      <w:pPr>
        <w:adjustRightInd w:val="0"/>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3、我们已详细阅读了竞争性谈判文件，完全理解并同意放弃提出含糊不清和误解问题的权力。</w:t>
      </w:r>
    </w:p>
    <w:p>
      <w:pPr>
        <w:adjustRightInd w:val="0"/>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4、如果我方在谈判后到规定的响应有效期内撤回响应文件及承诺，我们的保证金将被对方没收。</w:t>
      </w:r>
    </w:p>
    <w:p>
      <w:pPr>
        <w:adjustRightInd w:val="0"/>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5、同意向贵方提供贵方可能要求的、与本次谈判有关的任何证据资料。</w:t>
      </w:r>
    </w:p>
    <w:p>
      <w:pPr>
        <w:adjustRightInd w:val="0"/>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6、我方承诺响应有效期为谈判之日起</w:t>
      </w:r>
      <w:r>
        <w:rPr>
          <w:rFonts w:hint="eastAsia" w:ascii="宋体" w:hAnsi="宋体" w:eastAsia="宋体" w:cs="宋体"/>
          <w:sz w:val="24"/>
          <w:u w:val="single"/>
        </w:rPr>
        <w:t xml:space="preserve">         </w:t>
      </w:r>
      <w:r>
        <w:rPr>
          <w:rFonts w:hint="eastAsia" w:ascii="宋体" w:hAnsi="宋体" w:eastAsia="宋体" w:cs="宋体"/>
          <w:sz w:val="24"/>
        </w:rPr>
        <w:t>日历日内有效。</w:t>
      </w:r>
    </w:p>
    <w:p>
      <w:pPr>
        <w:adjustRightInd w:val="0"/>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7、所有关于本次谈判的函电，请按下列地址联系：</w:t>
      </w:r>
    </w:p>
    <w:p>
      <w:pPr>
        <w:adjustRightInd w:val="0"/>
        <w:snapToGrid w:val="0"/>
        <w:spacing w:line="360" w:lineRule="auto"/>
        <w:ind w:firstLine="480" w:firstLineChars="200"/>
        <w:jc w:val="left"/>
        <w:rPr>
          <w:rFonts w:ascii="宋体" w:hAnsi="宋体" w:eastAsia="宋体" w:cs="宋体"/>
          <w:sz w:val="24"/>
          <w:u w:val="single"/>
        </w:rPr>
      </w:pPr>
      <w:r>
        <w:rPr>
          <w:rFonts w:hint="eastAsia" w:ascii="宋体" w:hAnsi="宋体" w:eastAsia="宋体" w:cs="宋体"/>
          <w:sz w:val="24"/>
        </w:rPr>
        <w:t>供应商（单位名称及公章）：_________________</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法定代表人或被授权人（签字或盖章）：______________</w:t>
      </w:r>
    </w:p>
    <w:p>
      <w:pPr>
        <w:adjustRightInd w:val="0"/>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地    址：________________________</w:t>
      </w:r>
    </w:p>
    <w:p>
      <w:pPr>
        <w:adjustRightInd w:val="0"/>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开户银行：________________________</w:t>
      </w:r>
    </w:p>
    <w:p>
      <w:pPr>
        <w:adjustRightInd w:val="0"/>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帐    号：________________________</w:t>
      </w:r>
    </w:p>
    <w:p>
      <w:pPr>
        <w:adjustRightInd w:val="0"/>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电    话：________________________</w:t>
      </w:r>
    </w:p>
    <w:p>
      <w:pPr>
        <w:adjustRightInd w:val="0"/>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传    真：________________________</w:t>
      </w:r>
    </w:p>
    <w:p>
      <w:pPr>
        <w:adjustRightInd w:val="0"/>
        <w:snapToGrid w:val="0"/>
        <w:spacing w:line="360" w:lineRule="auto"/>
        <w:ind w:firstLine="480" w:firstLineChars="200"/>
        <w:jc w:val="left"/>
        <w:rPr>
          <w:rFonts w:ascii="宋体" w:hAnsi="宋体" w:eastAsia="宋体" w:cs="宋体"/>
          <w:sz w:val="24"/>
          <w:u w:val="single"/>
        </w:rPr>
      </w:pPr>
      <w:r>
        <w:rPr>
          <w:rFonts w:hint="eastAsia" w:ascii="宋体" w:hAnsi="宋体" w:eastAsia="宋体" w:cs="宋体"/>
          <w:sz w:val="24"/>
        </w:rPr>
        <w:t>邮    编：________________________</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日    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widowControl/>
        <w:spacing w:line="460" w:lineRule="exact"/>
        <w:ind w:firstLine="720" w:firstLineChars="200"/>
        <w:jc w:val="left"/>
        <w:rPr>
          <w:rFonts w:ascii="宋体" w:hAnsi="宋体" w:eastAsia="宋体" w:cs="宋体"/>
          <w:sz w:val="36"/>
          <w:szCs w:val="36"/>
          <w:u w:val="single"/>
        </w:rPr>
      </w:pPr>
    </w:p>
    <w:p>
      <w:pPr>
        <w:pStyle w:val="4"/>
        <w:rPr>
          <w:rFonts w:ascii="宋体" w:hAnsi="宋体" w:cs="宋体"/>
        </w:rPr>
        <w:sectPr>
          <w:footerReference r:id="rId11" w:type="default"/>
          <w:pgSz w:w="11906" w:h="16838"/>
          <w:pgMar w:top="1440" w:right="1483" w:bottom="1440" w:left="1803" w:header="851" w:footer="992" w:gutter="0"/>
          <w:pgNumType w:fmt="decimal"/>
          <w:cols w:space="720" w:num="1"/>
          <w:docGrid w:type="lines" w:linePitch="319" w:charSpace="0"/>
        </w:sectPr>
      </w:pPr>
      <w:bookmarkStart w:id="74" w:name="_Toc28494"/>
    </w:p>
    <w:p>
      <w:pPr>
        <w:pStyle w:val="4"/>
        <w:pageBreakBefore/>
        <w:rPr>
          <w:rFonts w:ascii="宋体" w:hAnsi="宋体" w:cs="宋体"/>
        </w:rPr>
      </w:pPr>
      <w:bookmarkStart w:id="75" w:name="_Toc8708"/>
      <w:r>
        <w:rPr>
          <w:rFonts w:hint="eastAsia" w:ascii="宋体" w:hAnsi="宋体" w:cs="宋体"/>
        </w:rPr>
        <w:t>第二部分</w:t>
      </w:r>
      <w:bookmarkEnd w:id="74"/>
      <w:r>
        <w:rPr>
          <w:rFonts w:hint="eastAsia" w:ascii="宋体" w:hAnsi="宋体" w:cs="宋体"/>
        </w:rPr>
        <w:t>响应一览表</w:t>
      </w:r>
      <w:bookmarkEnd w:id="75"/>
    </w:p>
    <w:p>
      <w:pPr>
        <w:widowControl/>
        <w:wordWrap w:val="0"/>
        <w:spacing w:line="360" w:lineRule="auto"/>
        <w:jc w:val="left"/>
        <w:rPr>
          <w:rFonts w:hint="eastAsia" w:ascii="宋体" w:hAnsi="宋体" w:eastAsia="宋体" w:cs="宋体"/>
          <w:sz w:val="24"/>
          <w:lang w:eastAsia="zh-CN"/>
        </w:rPr>
      </w:pPr>
      <w:r>
        <w:rPr>
          <w:rFonts w:hint="eastAsia" w:ascii="宋体" w:hAnsi="宋体" w:eastAsia="宋体" w:cs="宋体"/>
          <w:sz w:val="24"/>
        </w:rPr>
        <w:t>项目名称：</w:t>
      </w:r>
      <w:r>
        <w:rPr>
          <w:rFonts w:hint="eastAsia" w:ascii="宋体" w:hAnsi="宋体" w:eastAsia="宋体" w:cs="宋体"/>
          <w:sz w:val="24"/>
          <w:lang w:eastAsia="zh-CN"/>
        </w:rPr>
        <w:t>西安市灞桥区教育局（本级）西安市第五十五中学智慧黑板采购项目</w:t>
      </w:r>
    </w:p>
    <w:p>
      <w:pPr>
        <w:pStyle w:val="9"/>
        <w:rPr>
          <w:rFonts w:hint="eastAsia"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项目编号：ZMZB2022BQJYJ-297</w:t>
      </w:r>
    </w:p>
    <w:p>
      <w:pPr>
        <w:widowControl/>
        <w:wordWrap w:val="0"/>
        <w:spacing w:line="360" w:lineRule="auto"/>
        <w:jc w:val="left"/>
        <w:rPr>
          <w:rFonts w:ascii="宋体" w:hAnsi="宋体" w:eastAsia="宋体" w:cs="宋体"/>
          <w:sz w:val="24"/>
        </w:rPr>
      </w:pPr>
      <w:r>
        <w:rPr>
          <w:rFonts w:hint="eastAsia" w:ascii="宋体" w:hAnsi="宋体" w:eastAsia="宋体" w:cs="宋体"/>
          <w:sz w:val="24"/>
        </w:rPr>
        <w:t>单    位：元</w:t>
      </w:r>
    </w:p>
    <w:tbl>
      <w:tblPr>
        <w:tblStyle w:val="23"/>
        <w:tblpPr w:leftFromText="180" w:rightFromText="180" w:vertAnchor="text" w:horzAnchor="margin" w:tblpXSpec="center" w:tblpY="95"/>
        <w:tblW w:w="92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51"/>
        <w:gridCol w:w="1796"/>
        <w:gridCol w:w="2281"/>
        <w:gridCol w:w="2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2" w:hRule="atLeast"/>
          <w:jc w:val="center"/>
        </w:trPr>
        <w:tc>
          <w:tcPr>
            <w:tcW w:w="2751" w:type="dxa"/>
            <w:tcBorders>
              <w:tl2br w:val="single" w:color="auto" w:sz="4" w:space="0"/>
            </w:tcBorders>
          </w:tcPr>
          <w:p>
            <w:pPr>
              <w:kinsoku w:val="0"/>
              <w:spacing w:line="480" w:lineRule="auto"/>
              <w:ind w:right="-199" w:rightChars="-95" w:firstLine="960" w:firstLineChars="400"/>
              <w:rPr>
                <w:rFonts w:ascii="宋体" w:hAnsi="宋体" w:cs="宋体"/>
                <w:sz w:val="24"/>
              </w:rPr>
            </w:pPr>
            <w:r>
              <w:rPr>
                <w:rFonts w:hint="eastAsia" w:ascii="宋体" w:hAnsi="宋体" w:cs="宋体"/>
                <w:sz w:val="24"/>
              </w:rPr>
              <w:t>报价内容</w:t>
            </w:r>
          </w:p>
          <w:p>
            <w:pPr>
              <w:kinsoku w:val="0"/>
              <w:spacing w:line="480" w:lineRule="auto"/>
              <w:ind w:left="10" w:right="-199" w:rightChars="-95" w:firstLine="501" w:firstLineChars="209"/>
              <w:rPr>
                <w:rFonts w:ascii="宋体" w:hAnsi="宋体" w:cs="宋体"/>
                <w:sz w:val="24"/>
              </w:rPr>
            </w:pPr>
          </w:p>
          <w:p>
            <w:pPr>
              <w:kinsoku w:val="0"/>
              <w:spacing w:line="480" w:lineRule="auto"/>
              <w:ind w:right="-199" w:rightChars="-95"/>
              <w:rPr>
                <w:rFonts w:ascii="宋体" w:hAnsi="宋体" w:cs="宋体"/>
                <w:sz w:val="24"/>
              </w:rPr>
            </w:pPr>
            <w:r>
              <w:rPr>
                <w:rFonts w:hint="eastAsia" w:ascii="宋体" w:hAnsi="宋体" w:cs="宋体"/>
                <w:sz w:val="24"/>
              </w:rPr>
              <w:t>响应内容</w:t>
            </w:r>
          </w:p>
        </w:tc>
        <w:tc>
          <w:tcPr>
            <w:tcW w:w="1796" w:type="dxa"/>
            <w:vAlign w:val="center"/>
          </w:tcPr>
          <w:p>
            <w:pPr>
              <w:kinsoku w:val="0"/>
              <w:spacing w:line="480" w:lineRule="auto"/>
              <w:ind w:right="-199" w:rightChars="-95"/>
              <w:jc w:val="center"/>
              <w:rPr>
                <w:rFonts w:ascii="宋体" w:hAnsi="宋体" w:cs="宋体"/>
                <w:sz w:val="24"/>
              </w:rPr>
            </w:pPr>
            <w:r>
              <w:rPr>
                <w:rFonts w:hint="eastAsia" w:ascii="宋体" w:hAnsi="宋体" w:cs="宋体"/>
                <w:sz w:val="24"/>
              </w:rPr>
              <w:t>报价（元）</w:t>
            </w:r>
          </w:p>
        </w:tc>
        <w:tc>
          <w:tcPr>
            <w:tcW w:w="2281" w:type="dxa"/>
            <w:vAlign w:val="center"/>
          </w:tcPr>
          <w:p>
            <w:pPr>
              <w:kinsoku w:val="0"/>
              <w:ind w:right="-199" w:rightChars="-95"/>
              <w:jc w:val="center"/>
            </w:pPr>
            <w:r>
              <w:rPr>
                <w:rFonts w:hint="eastAsia" w:ascii="宋体" w:hAnsi="宋体" w:eastAsia="宋体" w:cs="宋体"/>
                <w:sz w:val="24"/>
                <w:lang w:val="en-US" w:eastAsia="zh-CN"/>
              </w:rPr>
              <w:t>交货期</w:t>
            </w:r>
          </w:p>
        </w:tc>
        <w:tc>
          <w:tcPr>
            <w:tcW w:w="2470" w:type="dxa"/>
            <w:vAlign w:val="center"/>
          </w:tcPr>
          <w:p>
            <w:pPr>
              <w:kinsoku w:val="0"/>
              <w:ind w:right="-199" w:rightChars="-95"/>
              <w:jc w:val="center"/>
              <w:rPr>
                <w:rFonts w:hint="default" w:ascii="宋体" w:hAnsi="宋体" w:eastAsia="宋体" w:cs="宋体"/>
                <w:sz w:val="24"/>
                <w:lang w:val="en-US" w:eastAsia="zh-CN"/>
              </w:rPr>
            </w:pPr>
            <w:r>
              <w:rPr>
                <w:rFonts w:hint="eastAsia" w:ascii="宋体" w:hAnsi="宋体" w:eastAsia="宋体" w:cs="宋体"/>
                <w:sz w:val="24"/>
                <w:lang w:val="en-US" w:eastAsia="zh-CN"/>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atLeast"/>
          <w:jc w:val="center"/>
        </w:trPr>
        <w:tc>
          <w:tcPr>
            <w:tcW w:w="2751" w:type="dxa"/>
            <w:vAlign w:val="center"/>
          </w:tcPr>
          <w:p>
            <w:pPr>
              <w:kinsoku w:val="0"/>
              <w:ind w:right="59" w:rightChars="28"/>
              <w:jc w:val="center"/>
              <w:rPr>
                <w:rFonts w:hint="eastAsia" w:ascii="宋体" w:hAnsi="宋体" w:eastAsia="宋体" w:cs="宋体"/>
                <w:sz w:val="24"/>
                <w:lang w:eastAsia="zh-CN"/>
              </w:rPr>
            </w:pPr>
            <w:r>
              <w:rPr>
                <w:rFonts w:hint="eastAsia" w:ascii="宋体" w:hAnsi="宋体" w:eastAsia="宋体" w:cs="宋体"/>
                <w:sz w:val="24"/>
                <w:lang w:eastAsia="zh-CN"/>
              </w:rPr>
              <w:t>西安市灞桥区教育局（本级）西安市第五十五中学智慧黑板采购项目</w:t>
            </w:r>
          </w:p>
        </w:tc>
        <w:tc>
          <w:tcPr>
            <w:tcW w:w="1796" w:type="dxa"/>
            <w:vAlign w:val="center"/>
          </w:tcPr>
          <w:p>
            <w:pPr>
              <w:kinsoku w:val="0"/>
              <w:spacing w:line="480" w:lineRule="auto"/>
              <w:ind w:left="10" w:right="-199" w:rightChars="-95" w:firstLine="501" w:firstLineChars="209"/>
              <w:rPr>
                <w:rFonts w:ascii="宋体" w:hAnsi="宋体" w:cs="宋体"/>
                <w:sz w:val="24"/>
              </w:rPr>
            </w:pPr>
          </w:p>
        </w:tc>
        <w:tc>
          <w:tcPr>
            <w:tcW w:w="2281" w:type="dxa"/>
            <w:vAlign w:val="center"/>
          </w:tcPr>
          <w:p>
            <w:pPr>
              <w:kinsoku w:val="0"/>
              <w:spacing w:line="480" w:lineRule="auto"/>
              <w:ind w:left="10" w:right="-199" w:rightChars="-95" w:firstLine="501" w:firstLineChars="209"/>
              <w:jc w:val="center"/>
              <w:rPr>
                <w:rFonts w:ascii="宋体" w:hAnsi="宋体" w:cs="宋体"/>
                <w:sz w:val="24"/>
              </w:rPr>
            </w:pPr>
          </w:p>
        </w:tc>
        <w:tc>
          <w:tcPr>
            <w:tcW w:w="2470" w:type="dxa"/>
            <w:vAlign w:val="center"/>
          </w:tcPr>
          <w:p>
            <w:pPr>
              <w:kinsoku w:val="0"/>
              <w:spacing w:line="480" w:lineRule="auto"/>
              <w:ind w:left="10" w:right="-199" w:rightChars="-95" w:firstLine="501" w:firstLineChars="209"/>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jc w:val="center"/>
        </w:trPr>
        <w:tc>
          <w:tcPr>
            <w:tcW w:w="9298" w:type="dxa"/>
            <w:gridSpan w:val="4"/>
            <w:vAlign w:val="center"/>
          </w:tcPr>
          <w:p>
            <w:pPr>
              <w:kinsoku w:val="0"/>
              <w:spacing w:line="480" w:lineRule="auto"/>
              <w:ind w:right="-199" w:rightChars="-95"/>
              <w:jc w:val="left"/>
              <w:rPr>
                <w:rFonts w:hint="eastAsia" w:ascii="宋体" w:hAnsi="宋体" w:cs="宋体"/>
                <w:sz w:val="24"/>
              </w:rPr>
            </w:pPr>
            <w:r>
              <w:rPr>
                <w:rFonts w:hint="eastAsia" w:ascii="宋体" w:hAnsi="宋体" w:cs="宋体"/>
                <w:sz w:val="24"/>
              </w:rPr>
              <w:t>报价：（大写）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none"/>
                <w:lang w:val="en-US" w:eastAsia="zh-CN"/>
              </w:rPr>
              <w:t xml:space="preserve">           </w:t>
            </w:r>
            <w:r>
              <w:rPr>
                <w:rFonts w:hint="eastAsia" w:ascii="宋体" w:hAnsi="宋体" w:cs="宋体"/>
                <w:sz w:val="24"/>
                <w:u w:val="none"/>
              </w:rPr>
              <w:t xml:space="preserve">（小写）¥ </w:t>
            </w:r>
            <w:r>
              <w:rPr>
                <w:rFonts w:hint="eastAsia" w:ascii="宋体" w:hAnsi="宋体" w:cs="宋体"/>
                <w:sz w:val="24"/>
                <w:u w:val="single"/>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9298" w:type="dxa"/>
            <w:gridSpan w:val="4"/>
            <w:vAlign w:val="center"/>
          </w:tcPr>
          <w:p>
            <w:pPr>
              <w:kinsoku w:val="0"/>
              <w:ind w:right="-199" w:rightChars="-95"/>
              <w:rPr>
                <w:rFonts w:hint="eastAsia" w:ascii="宋体" w:hAnsi="宋体" w:cs="宋体"/>
                <w:b/>
                <w:bCs/>
                <w:sz w:val="24"/>
                <w:szCs w:val="24"/>
              </w:rPr>
            </w:pPr>
            <w:r>
              <w:rPr>
                <w:rFonts w:hint="eastAsia" w:ascii="宋体" w:hAnsi="宋体" w:cs="宋体"/>
                <w:b/>
                <w:bCs/>
                <w:sz w:val="24"/>
                <w:szCs w:val="24"/>
              </w:rPr>
              <w:t>备注：报价金额以元为单位，精确到小数点后两位，不进行四舍五入。</w:t>
            </w:r>
          </w:p>
        </w:tc>
      </w:tr>
    </w:tbl>
    <w:p>
      <w:pPr>
        <w:widowControl/>
        <w:tabs>
          <w:tab w:val="left" w:pos="4000"/>
        </w:tabs>
        <w:snapToGrid w:val="0"/>
        <w:spacing w:line="300" w:lineRule="auto"/>
        <w:jc w:val="left"/>
        <w:rPr>
          <w:rFonts w:ascii="宋体" w:hAnsi="宋体" w:cs="宋体"/>
          <w:b/>
          <w:bCs/>
          <w:spacing w:val="20"/>
          <w:kern w:val="0"/>
          <w:sz w:val="24"/>
          <w:szCs w:val="24"/>
        </w:rPr>
      </w:pPr>
    </w:p>
    <w:p>
      <w:pPr>
        <w:widowControl/>
        <w:tabs>
          <w:tab w:val="left" w:pos="4000"/>
        </w:tabs>
        <w:snapToGrid w:val="0"/>
        <w:spacing w:line="300" w:lineRule="auto"/>
        <w:jc w:val="left"/>
        <w:rPr>
          <w:rFonts w:ascii="宋体" w:hAnsi="宋体" w:cs="宋体"/>
          <w:b/>
          <w:bCs/>
          <w:spacing w:val="20"/>
          <w:kern w:val="0"/>
          <w:sz w:val="24"/>
          <w:szCs w:val="24"/>
        </w:rPr>
      </w:pPr>
    </w:p>
    <w:p>
      <w:pPr>
        <w:widowControl/>
        <w:tabs>
          <w:tab w:val="left" w:pos="4000"/>
        </w:tabs>
        <w:snapToGrid w:val="0"/>
        <w:spacing w:line="300" w:lineRule="auto"/>
        <w:jc w:val="left"/>
        <w:rPr>
          <w:rFonts w:ascii="宋体" w:hAnsi="宋体" w:eastAsia="宋体" w:cs="宋体"/>
          <w:sz w:val="32"/>
          <w:szCs w:val="32"/>
        </w:rPr>
      </w:pPr>
      <w:r>
        <w:rPr>
          <w:rFonts w:hint="eastAsia" w:ascii="宋体" w:hAnsi="宋体" w:cs="宋体"/>
          <w:b/>
          <w:bCs/>
          <w:spacing w:val="20"/>
          <w:kern w:val="0"/>
          <w:sz w:val="24"/>
          <w:szCs w:val="24"/>
        </w:rPr>
        <w:t>注：此表还需再单独密封一份递交。</w:t>
      </w:r>
    </w:p>
    <w:p>
      <w:pPr>
        <w:adjustRightInd w:val="0"/>
        <w:snapToGrid w:val="0"/>
        <w:spacing w:line="480" w:lineRule="auto"/>
        <w:jc w:val="left"/>
        <w:rPr>
          <w:rFonts w:ascii="宋体" w:hAnsi="宋体" w:eastAsia="宋体" w:cs="宋体"/>
          <w:sz w:val="24"/>
        </w:rPr>
      </w:pPr>
    </w:p>
    <w:p>
      <w:pPr>
        <w:adjustRightInd w:val="0"/>
        <w:snapToGrid w:val="0"/>
        <w:spacing w:line="480" w:lineRule="auto"/>
        <w:jc w:val="left"/>
        <w:rPr>
          <w:rFonts w:ascii="宋体" w:hAnsi="宋体" w:eastAsia="宋体" w:cs="宋体"/>
          <w:sz w:val="24"/>
          <w:u w:val="single"/>
        </w:rPr>
      </w:pPr>
      <w:r>
        <w:rPr>
          <w:rFonts w:hint="eastAsia" w:ascii="宋体" w:hAnsi="宋体" w:eastAsia="宋体" w:cs="宋体"/>
          <w:sz w:val="24"/>
        </w:rPr>
        <w:t>供应商（单位名称及公章）：______________________</w:t>
      </w:r>
    </w:p>
    <w:p>
      <w:pPr>
        <w:adjustRightInd w:val="0"/>
        <w:snapToGrid w:val="0"/>
        <w:spacing w:line="480" w:lineRule="auto"/>
        <w:rPr>
          <w:rFonts w:ascii="宋体" w:hAnsi="宋体" w:eastAsia="宋体" w:cs="宋体"/>
          <w:sz w:val="24"/>
        </w:rPr>
      </w:pPr>
      <w:r>
        <w:rPr>
          <w:rFonts w:hint="eastAsia" w:ascii="宋体" w:hAnsi="宋体" w:eastAsia="宋体" w:cs="宋体"/>
          <w:sz w:val="24"/>
        </w:rPr>
        <w:t>法定代表人或被授权人（签字或盖章）：______________________</w:t>
      </w:r>
    </w:p>
    <w:p>
      <w:pPr>
        <w:adjustRightInd w:val="0"/>
        <w:snapToGrid w:val="0"/>
        <w:spacing w:line="480" w:lineRule="auto"/>
        <w:rPr>
          <w:rFonts w:ascii="宋体" w:hAnsi="宋体" w:eastAsia="宋体" w:cs="宋体"/>
          <w:sz w:val="24"/>
        </w:rPr>
      </w:pPr>
      <w:r>
        <w:rPr>
          <w:rFonts w:hint="eastAsia" w:ascii="宋体" w:hAnsi="宋体" w:eastAsia="宋体" w:cs="宋体"/>
          <w:sz w:val="24"/>
        </w:rPr>
        <w:t>日    期：_____年_____月_____日</w:t>
      </w:r>
    </w:p>
    <w:p>
      <w:pPr>
        <w:rPr>
          <w:rFonts w:ascii="宋体" w:hAnsi="宋体" w:eastAsia="宋体" w:cs="宋体"/>
        </w:rPr>
        <w:sectPr>
          <w:pgSz w:w="11906" w:h="16838"/>
          <w:pgMar w:top="1440" w:right="1803" w:bottom="1440" w:left="1803" w:header="851" w:footer="992" w:gutter="0"/>
          <w:pgNumType w:fmt="decimal"/>
          <w:cols w:space="720" w:num="1"/>
          <w:docGrid w:type="lines" w:linePitch="319" w:charSpace="0"/>
        </w:sectPr>
      </w:pPr>
    </w:p>
    <w:p>
      <w:pPr>
        <w:pStyle w:val="4"/>
        <w:rPr>
          <w:sz w:val="36"/>
          <w:szCs w:val="36"/>
        </w:rPr>
      </w:pPr>
      <w:bookmarkStart w:id="76" w:name="_Toc14444"/>
      <w:bookmarkStart w:id="77" w:name="_Toc6064"/>
      <w:bookmarkStart w:id="78" w:name="_Toc7242"/>
      <w:bookmarkStart w:id="79" w:name="_Toc11309"/>
      <w:r>
        <w:rPr>
          <w:rFonts w:hint="eastAsia"/>
          <w:sz w:val="36"/>
          <w:szCs w:val="36"/>
        </w:rPr>
        <w:t>分项报价表</w:t>
      </w:r>
      <w:bookmarkEnd w:id="76"/>
      <w:bookmarkEnd w:id="77"/>
      <w:bookmarkEnd w:id="78"/>
    </w:p>
    <w:p>
      <w:pPr>
        <w:widowControl/>
        <w:wordWrap w:val="0"/>
        <w:spacing w:line="360" w:lineRule="auto"/>
        <w:jc w:val="left"/>
        <w:rPr>
          <w:rFonts w:hint="eastAsia" w:ascii="宋体" w:hAnsi="宋体" w:eastAsia="宋体" w:cs="宋体"/>
          <w:sz w:val="24"/>
          <w:lang w:eastAsia="zh-CN"/>
        </w:rPr>
      </w:pPr>
      <w:r>
        <w:rPr>
          <w:rFonts w:hint="eastAsia" w:ascii="宋体" w:hAnsi="宋体" w:eastAsia="宋体" w:cs="宋体"/>
          <w:sz w:val="24"/>
        </w:rPr>
        <w:t>项目名称：</w:t>
      </w:r>
      <w:r>
        <w:rPr>
          <w:rFonts w:hint="eastAsia" w:ascii="宋体" w:hAnsi="宋体" w:eastAsia="宋体" w:cs="宋体"/>
          <w:sz w:val="24"/>
          <w:lang w:eastAsia="zh-CN"/>
        </w:rPr>
        <w:t>西安市灞桥区教育局（本级）西安市第五十五中学智慧黑板采购项目</w:t>
      </w:r>
    </w:p>
    <w:p>
      <w:pPr>
        <w:widowControl/>
        <w:wordWrap w:val="0"/>
        <w:spacing w:line="360" w:lineRule="auto"/>
        <w:jc w:val="left"/>
        <w:rPr>
          <w:rFonts w:hint="eastAsia" w:ascii="宋体" w:hAnsi="宋体" w:eastAsia="宋体" w:cs="宋体"/>
          <w:sz w:val="24"/>
          <w:lang w:val="en-US" w:eastAsia="zh-CN"/>
        </w:rPr>
      </w:pPr>
      <w:r>
        <w:rPr>
          <w:rFonts w:hint="eastAsia" w:ascii="宋体" w:hAnsi="宋体" w:eastAsia="宋体" w:cs="宋体"/>
          <w:sz w:val="24"/>
          <w:lang w:val="en-US" w:eastAsia="zh-CN"/>
        </w:rPr>
        <w:t>项目编号：ZMZB2022BQJYJ-297</w:t>
      </w:r>
    </w:p>
    <w:p>
      <w:pPr>
        <w:widowControl/>
        <w:wordWrap w:val="0"/>
        <w:spacing w:line="360" w:lineRule="auto"/>
        <w:jc w:val="left"/>
        <w:rPr>
          <w:rFonts w:ascii="宋体" w:hAnsi="宋体" w:eastAsia="宋体" w:cs="宋体"/>
          <w:sz w:val="24"/>
        </w:rPr>
      </w:pPr>
      <w:r>
        <w:rPr>
          <w:rFonts w:hint="eastAsia" w:ascii="宋体" w:hAnsi="宋体" w:eastAsia="宋体" w:cs="宋体"/>
          <w:sz w:val="24"/>
        </w:rPr>
        <w:t>单    位：元</w:t>
      </w:r>
    </w:p>
    <w:p>
      <w:pPr>
        <w:pStyle w:val="7"/>
        <w:ind w:firstLine="0"/>
      </w:pPr>
    </w:p>
    <w:tbl>
      <w:tblPr>
        <w:tblStyle w:val="23"/>
        <w:tblpPr w:leftFromText="180" w:rightFromText="180" w:vertAnchor="text" w:horzAnchor="page" w:tblpX="1534" w:tblpY="373"/>
        <w:tblOverlap w:val="never"/>
        <w:tblW w:w="9060" w:type="dxa"/>
        <w:tblInd w:w="0" w:type="dxa"/>
        <w:tblLayout w:type="fixed"/>
        <w:tblCellMar>
          <w:top w:w="0" w:type="dxa"/>
          <w:left w:w="28" w:type="dxa"/>
          <w:bottom w:w="0" w:type="dxa"/>
          <w:right w:w="28" w:type="dxa"/>
        </w:tblCellMar>
      </w:tblPr>
      <w:tblGrid>
        <w:gridCol w:w="1148"/>
        <w:gridCol w:w="530"/>
        <w:gridCol w:w="789"/>
        <w:gridCol w:w="862"/>
        <w:gridCol w:w="988"/>
        <w:gridCol w:w="1271"/>
        <w:gridCol w:w="966"/>
        <w:gridCol w:w="1353"/>
        <w:gridCol w:w="1153"/>
      </w:tblGrid>
      <w:tr>
        <w:tblPrEx>
          <w:tblCellMar>
            <w:top w:w="0" w:type="dxa"/>
            <w:left w:w="28" w:type="dxa"/>
            <w:bottom w:w="0" w:type="dxa"/>
            <w:right w:w="28" w:type="dxa"/>
          </w:tblCellMar>
        </w:tblPrEx>
        <w:trPr>
          <w:trHeight w:val="875" w:hRule="atLeast"/>
        </w:trPr>
        <w:tc>
          <w:tcPr>
            <w:tcW w:w="1148" w:type="dxa"/>
            <w:vMerge w:val="restart"/>
            <w:tcBorders>
              <w:top w:val="single" w:color="auto" w:sz="6" w:space="0"/>
              <w:left w:val="single" w:color="auto" w:sz="6" w:space="0"/>
              <w:bottom w:val="nil"/>
              <w:right w:val="single" w:color="auto" w:sz="4" w:space="0"/>
            </w:tcBorders>
            <w:vAlign w:val="center"/>
          </w:tcPr>
          <w:p>
            <w:pPr>
              <w:jc w:val="left"/>
              <w:rPr>
                <w:rFonts w:ascii="宋体" w:cs="宋体"/>
                <w:sz w:val="22"/>
                <w:highlight w:val="none"/>
              </w:rPr>
            </w:pPr>
            <w:r>
              <w:rPr>
                <w:rFonts w:hint="eastAsia" w:ascii="宋体" w:cs="宋体"/>
                <w:sz w:val="22"/>
                <w:highlight w:val="none"/>
              </w:rPr>
              <w:t>分项费用</w:t>
            </w:r>
          </w:p>
        </w:tc>
        <w:tc>
          <w:tcPr>
            <w:tcW w:w="530" w:type="dxa"/>
            <w:tcBorders>
              <w:top w:val="single" w:color="auto" w:sz="6" w:space="0"/>
              <w:left w:val="single" w:color="auto" w:sz="4" w:space="0"/>
              <w:bottom w:val="single" w:color="auto" w:sz="6" w:space="0"/>
              <w:right w:val="nil"/>
            </w:tcBorders>
            <w:vAlign w:val="center"/>
          </w:tcPr>
          <w:p>
            <w:pPr>
              <w:spacing w:after="120"/>
              <w:jc w:val="center"/>
              <w:rPr>
                <w:rFonts w:ascii="宋体" w:cs="宋体"/>
                <w:sz w:val="22"/>
                <w:highlight w:val="none"/>
              </w:rPr>
            </w:pPr>
            <w:r>
              <w:rPr>
                <w:rFonts w:hint="eastAsia" w:ascii="宋体" w:cs="宋体"/>
                <w:sz w:val="22"/>
                <w:highlight w:val="none"/>
              </w:rPr>
              <w:t>序号</w:t>
            </w:r>
          </w:p>
        </w:tc>
        <w:tc>
          <w:tcPr>
            <w:tcW w:w="789" w:type="dxa"/>
            <w:tcBorders>
              <w:top w:val="single" w:color="auto" w:sz="6" w:space="0"/>
              <w:left w:val="single" w:color="auto" w:sz="6" w:space="0"/>
              <w:bottom w:val="single" w:color="auto" w:sz="6" w:space="0"/>
              <w:right w:val="single" w:color="auto" w:sz="6" w:space="0"/>
            </w:tcBorders>
            <w:vAlign w:val="center"/>
          </w:tcPr>
          <w:p>
            <w:pPr>
              <w:spacing w:after="120"/>
              <w:jc w:val="center"/>
              <w:rPr>
                <w:rFonts w:ascii="宋体" w:cs="宋体"/>
                <w:sz w:val="22"/>
                <w:highlight w:val="none"/>
              </w:rPr>
            </w:pPr>
            <w:r>
              <w:rPr>
                <w:rFonts w:hint="eastAsia" w:ascii="宋体" w:cs="宋体"/>
                <w:sz w:val="22"/>
                <w:highlight w:val="none"/>
              </w:rPr>
              <w:t>名称</w:t>
            </w:r>
          </w:p>
        </w:tc>
        <w:tc>
          <w:tcPr>
            <w:tcW w:w="862" w:type="dxa"/>
            <w:tcBorders>
              <w:top w:val="single" w:color="auto" w:sz="6" w:space="0"/>
              <w:left w:val="single" w:color="auto" w:sz="6" w:space="0"/>
              <w:bottom w:val="single" w:color="auto" w:sz="6" w:space="0"/>
              <w:right w:val="single" w:color="auto" w:sz="4" w:space="0"/>
            </w:tcBorders>
            <w:vAlign w:val="center"/>
          </w:tcPr>
          <w:p>
            <w:pPr>
              <w:spacing w:after="120"/>
              <w:jc w:val="center"/>
              <w:rPr>
                <w:rFonts w:ascii="宋体" w:cs="宋体"/>
                <w:sz w:val="22"/>
                <w:highlight w:val="none"/>
              </w:rPr>
            </w:pPr>
            <w:r>
              <w:rPr>
                <w:rFonts w:hint="eastAsia" w:ascii="宋体" w:cs="宋体"/>
                <w:sz w:val="22"/>
                <w:highlight w:val="none"/>
              </w:rPr>
              <w:t>品牌</w:t>
            </w:r>
          </w:p>
        </w:tc>
        <w:tc>
          <w:tcPr>
            <w:tcW w:w="988" w:type="dxa"/>
            <w:tcBorders>
              <w:top w:val="single" w:color="auto" w:sz="6" w:space="0"/>
              <w:left w:val="single" w:color="auto" w:sz="4" w:space="0"/>
              <w:bottom w:val="single" w:color="auto" w:sz="6" w:space="0"/>
              <w:right w:val="single" w:color="auto" w:sz="6" w:space="0"/>
            </w:tcBorders>
            <w:vAlign w:val="center"/>
          </w:tcPr>
          <w:p>
            <w:pPr>
              <w:spacing w:after="120"/>
              <w:jc w:val="center"/>
              <w:rPr>
                <w:rFonts w:ascii="宋体" w:cs="宋体"/>
                <w:sz w:val="22"/>
                <w:highlight w:val="none"/>
              </w:rPr>
            </w:pPr>
            <w:r>
              <w:rPr>
                <w:rFonts w:hint="eastAsia" w:ascii="宋体" w:cs="宋体"/>
                <w:sz w:val="22"/>
                <w:highlight w:val="none"/>
              </w:rPr>
              <w:t>型号或规格</w:t>
            </w:r>
          </w:p>
        </w:tc>
        <w:tc>
          <w:tcPr>
            <w:tcW w:w="1271" w:type="dxa"/>
            <w:tcBorders>
              <w:top w:val="single" w:color="auto" w:sz="6" w:space="0"/>
              <w:left w:val="single" w:color="auto" w:sz="6" w:space="0"/>
              <w:bottom w:val="single" w:color="auto" w:sz="6" w:space="0"/>
              <w:right w:val="single" w:color="auto" w:sz="6" w:space="0"/>
            </w:tcBorders>
            <w:vAlign w:val="center"/>
          </w:tcPr>
          <w:p>
            <w:pPr>
              <w:spacing w:before="159" w:after="120"/>
              <w:jc w:val="center"/>
              <w:rPr>
                <w:rFonts w:ascii="宋体" w:cs="宋体"/>
                <w:sz w:val="22"/>
                <w:highlight w:val="none"/>
              </w:rPr>
            </w:pPr>
            <w:r>
              <w:rPr>
                <w:rFonts w:hint="eastAsia" w:ascii="宋体" w:cs="宋体"/>
                <w:sz w:val="22"/>
                <w:highlight w:val="none"/>
              </w:rPr>
              <w:t>原产地及制造厂名</w:t>
            </w:r>
          </w:p>
        </w:tc>
        <w:tc>
          <w:tcPr>
            <w:tcW w:w="966" w:type="dxa"/>
            <w:tcBorders>
              <w:top w:val="single" w:color="auto" w:sz="6" w:space="0"/>
              <w:left w:val="single" w:color="auto" w:sz="6" w:space="0"/>
              <w:bottom w:val="single" w:color="auto" w:sz="6" w:space="0"/>
              <w:right w:val="single" w:color="auto" w:sz="6" w:space="0"/>
            </w:tcBorders>
            <w:vAlign w:val="center"/>
          </w:tcPr>
          <w:p>
            <w:pPr>
              <w:spacing w:after="120"/>
              <w:jc w:val="center"/>
              <w:rPr>
                <w:rFonts w:ascii="宋体" w:cs="宋体"/>
                <w:sz w:val="22"/>
                <w:highlight w:val="none"/>
              </w:rPr>
            </w:pPr>
            <w:r>
              <w:rPr>
                <w:rFonts w:hint="eastAsia" w:ascii="宋体" w:cs="宋体"/>
                <w:sz w:val="22"/>
                <w:highlight w:val="none"/>
              </w:rPr>
              <w:t>数量</w:t>
            </w:r>
          </w:p>
        </w:tc>
        <w:tc>
          <w:tcPr>
            <w:tcW w:w="1353" w:type="dxa"/>
            <w:tcBorders>
              <w:top w:val="single" w:color="auto" w:sz="6" w:space="0"/>
              <w:left w:val="single" w:color="auto" w:sz="6" w:space="0"/>
              <w:bottom w:val="single" w:color="auto" w:sz="6" w:space="0"/>
              <w:right w:val="single" w:color="auto" w:sz="6" w:space="0"/>
            </w:tcBorders>
            <w:vAlign w:val="center"/>
          </w:tcPr>
          <w:p>
            <w:pPr>
              <w:spacing w:after="120"/>
              <w:jc w:val="center"/>
              <w:rPr>
                <w:rFonts w:ascii="宋体" w:cs="宋体"/>
                <w:sz w:val="22"/>
                <w:highlight w:val="none"/>
              </w:rPr>
            </w:pPr>
            <w:r>
              <w:rPr>
                <w:rFonts w:hint="eastAsia" w:ascii="宋体" w:cs="宋体"/>
                <w:sz w:val="22"/>
                <w:highlight w:val="none"/>
              </w:rPr>
              <w:t>单价</w:t>
            </w:r>
          </w:p>
          <w:p>
            <w:pPr>
              <w:spacing w:after="120"/>
              <w:jc w:val="center"/>
              <w:rPr>
                <w:rFonts w:ascii="宋体" w:cs="宋体"/>
                <w:bCs/>
                <w:sz w:val="22"/>
                <w:highlight w:val="none"/>
              </w:rPr>
            </w:pPr>
            <w:r>
              <w:rPr>
                <w:rFonts w:hint="eastAsia" w:ascii="宋体" w:cs="宋体"/>
                <w:sz w:val="22"/>
                <w:highlight w:val="none"/>
              </w:rPr>
              <w:t>（元）</w:t>
            </w:r>
          </w:p>
        </w:tc>
        <w:tc>
          <w:tcPr>
            <w:tcW w:w="1153" w:type="dxa"/>
            <w:tcBorders>
              <w:top w:val="single" w:color="auto" w:sz="6" w:space="0"/>
              <w:left w:val="single" w:color="auto" w:sz="6" w:space="0"/>
              <w:bottom w:val="single" w:color="auto" w:sz="6" w:space="0"/>
              <w:right w:val="single" w:color="auto" w:sz="6" w:space="0"/>
            </w:tcBorders>
            <w:vAlign w:val="center"/>
          </w:tcPr>
          <w:p>
            <w:pPr>
              <w:spacing w:after="120"/>
              <w:jc w:val="center"/>
              <w:rPr>
                <w:rFonts w:ascii="宋体" w:cs="宋体"/>
                <w:bCs/>
                <w:sz w:val="22"/>
                <w:highlight w:val="none"/>
              </w:rPr>
            </w:pPr>
            <w:r>
              <w:rPr>
                <w:rFonts w:hint="eastAsia" w:ascii="宋体" w:cs="宋体"/>
                <w:bCs/>
                <w:sz w:val="22"/>
                <w:highlight w:val="none"/>
              </w:rPr>
              <w:t>总价</w:t>
            </w:r>
          </w:p>
          <w:p>
            <w:pPr>
              <w:spacing w:after="120"/>
              <w:jc w:val="center"/>
              <w:rPr>
                <w:rFonts w:ascii="宋体" w:cs="宋体"/>
                <w:bCs/>
                <w:sz w:val="22"/>
                <w:highlight w:val="none"/>
              </w:rPr>
            </w:pPr>
            <w:r>
              <w:rPr>
                <w:rFonts w:hint="eastAsia" w:ascii="宋体" w:cs="宋体"/>
                <w:bCs/>
                <w:sz w:val="22"/>
                <w:highlight w:val="none"/>
              </w:rPr>
              <w:t>（元）</w:t>
            </w:r>
          </w:p>
        </w:tc>
      </w:tr>
      <w:tr>
        <w:tblPrEx>
          <w:tblCellMar>
            <w:top w:w="0" w:type="dxa"/>
            <w:left w:w="28" w:type="dxa"/>
            <w:bottom w:w="0" w:type="dxa"/>
            <w:right w:w="28" w:type="dxa"/>
          </w:tblCellMar>
        </w:tblPrEx>
        <w:trPr>
          <w:trHeight w:val="612" w:hRule="atLeast"/>
        </w:trPr>
        <w:tc>
          <w:tcPr>
            <w:tcW w:w="1148" w:type="dxa"/>
            <w:vMerge w:val="continue"/>
            <w:tcBorders>
              <w:top w:val="nil"/>
              <w:left w:val="single" w:color="auto" w:sz="6" w:space="0"/>
              <w:bottom w:val="nil"/>
              <w:right w:val="single" w:color="auto" w:sz="4" w:space="0"/>
            </w:tcBorders>
            <w:vAlign w:val="center"/>
          </w:tcPr>
          <w:p>
            <w:pPr>
              <w:rPr>
                <w:highlight w:val="none"/>
              </w:rPr>
            </w:pPr>
          </w:p>
        </w:tc>
        <w:tc>
          <w:tcPr>
            <w:tcW w:w="530" w:type="dxa"/>
            <w:tcBorders>
              <w:top w:val="single" w:color="auto" w:sz="6" w:space="0"/>
              <w:left w:val="single" w:color="auto" w:sz="4" w:space="0"/>
              <w:bottom w:val="single" w:color="auto" w:sz="4" w:space="0"/>
              <w:right w:val="nil"/>
            </w:tcBorders>
            <w:vAlign w:val="center"/>
          </w:tcPr>
          <w:p>
            <w:pPr>
              <w:spacing w:before="319"/>
              <w:jc w:val="center"/>
              <w:rPr>
                <w:rFonts w:ascii="宋体" w:cs="宋体"/>
                <w:sz w:val="22"/>
                <w:highlight w:val="none"/>
              </w:rPr>
            </w:pPr>
            <w:r>
              <w:rPr>
                <w:rFonts w:hint="eastAsia" w:ascii="宋体" w:cs="宋体"/>
                <w:sz w:val="22"/>
                <w:highlight w:val="none"/>
              </w:rPr>
              <w:t>1</w:t>
            </w:r>
          </w:p>
        </w:tc>
        <w:tc>
          <w:tcPr>
            <w:tcW w:w="789" w:type="dxa"/>
            <w:tcBorders>
              <w:top w:val="single" w:color="auto" w:sz="6" w:space="0"/>
              <w:left w:val="single" w:color="auto" w:sz="6" w:space="0"/>
              <w:bottom w:val="single" w:color="auto" w:sz="4" w:space="0"/>
              <w:right w:val="single" w:color="auto" w:sz="6" w:space="0"/>
            </w:tcBorders>
            <w:vAlign w:val="center"/>
          </w:tcPr>
          <w:p>
            <w:pPr>
              <w:spacing w:before="159"/>
              <w:jc w:val="center"/>
              <w:rPr>
                <w:rFonts w:ascii="宋体" w:cs="宋体"/>
                <w:sz w:val="22"/>
                <w:highlight w:val="none"/>
              </w:rPr>
            </w:pPr>
          </w:p>
        </w:tc>
        <w:tc>
          <w:tcPr>
            <w:tcW w:w="862" w:type="dxa"/>
            <w:tcBorders>
              <w:top w:val="single" w:color="auto" w:sz="6" w:space="0"/>
              <w:left w:val="single" w:color="auto" w:sz="6" w:space="0"/>
              <w:bottom w:val="single" w:color="auto" w:sz="4" w:space="0"/>
              <w:right w:val="single" w:color="auto" w:sz="4" w:space="0"/>
            </w:tcBorders>
            <w:vAlign w:val="center"/>
          </w:tcPr>
          <w:p>
            <w:pPr>
              <w:spacing w:before="159"/>
              <w:jc w:val="center"/>
              <w:rPr>
                <w:rFonts w:ascii="宋体" w:cs="宋体"/>
                <w:sz w:val="22"/>
                <w:highlight w:val="none"/>
              </w:rPr>
            </w:pPr>
          </w:p>
        </w:tc>
        <w:tc>
          <w:tcPr>
            <w:tcW w:w="988" w:type="dxa"/>
            <w:tcBorders>
              <w:top w:val="single" w:color="auto" w:sz="6" w:space="0"/>
              <w:left w:val="single" w:color="auto" w:sz="4" w:space="0"/>
              <w:bottom w:val="single" w:color="auto" w:sz="4" w:space="0"/>
              <w:right w:val="single" w:color="auto" w:sz="6" w:space="0"/>
            </w:tcBorders>
            <w:vAlign w:val="center"/>
          </w:tcPr>
          <w:p>
            <w:pPr>
              <w:spacing w:before="159"/>
              <w:jc w:val="center"/>
              <w:rPr>
                <w:rFonts w:ascii="宋体" w:cs="宋体"/>
                <w:sz w:val="22"/>
                <w:highlight w:val="none"/>
              </w:rPr>
            </w:pPr>
          </w:p>
        </w:tc>
        <w:tc>
          <w:tcPr>
            <w:tcW w:w="1271" w:type="dxa"/>
            <w:tcBorders>
              <w:top w:val="single" w:color="auto" w:sz="6" w:space="0"/>
              <w:left w:val="single" w:color="auto" w:sz="6" w:space="0"/>
              <w:bottom w:val="single" w:color="auto" w:sz="4" w:space="0"/>
              <w:right w:val="single" w:color="auto" w:sz="6" w:space="0"/>
            </w:tcBorders>
            <w:vAlign w:val="center"/>
          </w:tcPr>
          <w:p>
            <w:pPr>
              <w:spacing w:before="159"/>
              <w:jc w:val="center"/>
              <w:rPr>
                <w:rFonts w:ascii="宋体" w:cs="宋体"/>
                <w:sz w:val="22"/>
                <w:highlight w:val="none"/>
              </w:rPr>
            </w:pPr>
          </w:p>
        </w:tc>
        <w:tc>
          <w:tcPr>
            <w:tcW w:w="966" w:type="dxa"/>
            <w:tcBorders>
              <w:top w:val="single" w:color="auto" w:sz="6" w:space="0"/>
              <w:left w:val="single" w:color="auto" w:sz="6" w:space="0"/>
              <w:bottom w:val="single" w:color="auto" w:sz="4" w:space="0"/>
              <w:right w:val="single" w:color="auto" w:sz="6" w:space="0"/>
            </w:tcBorders>
            <w:vAlign w:val="center"/>
          </w:tcPr>
          <w:p>
            <w:pPr>
              <w:spacing w:before="159"/>
              <w:jc w:val="center"/>
              <w:rPr>
                <w:rFonts w:ascii="宋体" w:cs="宋体"/>
                <w:sz w:val="22"/>
                <w:highlight w:val="none"/>
              </w:rPr>
            </w:pPr>
          </w:p>
        </w:tc>
        <w:tc>
          <w:tcPr>
            <w:tcW w:w="1353" w:type="dxa"/>
            <w:tcBorders>
              <w:top w:val="single" w:color="auto" w:sz="6" w:space="0"/>
              <w:left w:val="single" w:color="auto" w:sz="6" w:space="0"/>
              <w:bottom w:val="single" w:color="auto" w:sz="4" w:space="0"/>
              <w:right w:val="single" w:color="auto" w:sz="6" w:space="0"/>
            </w:tcBorders>
            <w:vAlign w:val="center"/>
          </w:tcPr>
          <w:p>
            <w:pPr>
              <w:spacing w:before="159"/>
              <w:jc w:val="center"/>
              <w:rPr>
                <w:rFonts w:ascii="宋体" w:cs="宋体"/>
                <w:sz w:val="22"/>
                <w:highlight w:val="none"/>
              </w:rPr>
            </w:pPr>
          </w:p>
        </w:tc>
        <w:tc>
          <w:tcPr>
            <w:tcW w:w="1153" w:type="dxa"/>
            <w:tcBorders>
              <w:top w:val="single" w:color="auto" w:sz="6" w:space="0"/>
              <w:left w:val="single" w:color="auto" w:sz="6" w:space="0"/>
              <w:bottom w:val="single" w:color="auto" w:sz="4" w:space="0"/>
              <w:right w:val="single" w:color="auto" w:sz="6" w:space="0"/>
            </w:tcBorders>
            <w:vAlign w:val="center"/>
          </w:tcPr>
          <w:p>
            <w:pPr>
              <w:spacing w:before="159"/>
              <w:jc w:val="center"/>
              <w:rPr>
                <w:rFonts w:ascii="宋体" w:cs="宋体"/>
                <w:sz w:val="22"/>
                <w:highlight w:val="none"/>
              </w:rPr>
            </w:pPr>
          </w:p>
        </w:tc>
      </w:tr>
      <w:tr>
        <w:tblPrEx>
          <w:tblCellMar>
            <w:top w:w="0" w:type="dxa"/>
            <w:left w:w="28" w:type="dxa"/>
            <w:bottom w:w="0" w:type="dxa"/>
            <w:right w:w="28" w:type="dxa"/>
          </w:tblCellMar>
        </w:tblPrEx>
        <w:trPr>
          <w:trHeight w:val="608" w:hRule="atLeast"/>
        </w:trPr>
        <w:tc>
          <w:tcPr>
            <w:tcW w:w="1148" w:type="dxa"/>
            <w:vMerge w:val="continue"/>
            <w:tcBorders>
              <w:top w:val="nil"/>
              <w:left w:val="single" w:color="auto" w:sz="6" w:space="0"/>
              <w:bottom w:val="nil"/>
              <w:right w:val="single" w:color="auto" w:sz="4" w:space="0"/>
            </w:tcBorders>
            <w:vAlign w:val="center"/>
          </w:tcPr>
          <w:p>
            <w:pPr>
              <w:rPr>
                <w:highlight w:val="none"/>
              </w:rPr>
            </w:pPr>
          </w:p>
        </w:tc>
        <w:tc>
          <w:tcPr>
            <w:tcW w:w="530" w:type="dxa"/>
            <w:tcBorders>
              <w:top w:val="single" w:color="auto" w:sz="4" w:space="0"/>
              <w:left w:val="single" w:color="auto" w:sz="4" w:space="0"/>
              <w:bottom w:val="single" w:color="auto" w:sz="6" w:space="0"/>
              <w:right w:val="nil"/>
            </w:tcBorders>
            <w:vAlign w:val="center"/>
          </w:tcPr>
          <w:p>
            <w:pPr>
              <w:spacing w:before="319"/>
              <w:jc w:val="center"/>
              <w:rPr>
                <w:rFonts w:ascii="宋体" w:cs="宋体"/>
                <w:sz w:val="22"/>
                <w:highlight w:val="none"/>
              </w:rPr>
            </w:pPr>
            <w:r>
              <w:rPr>
                <w:rFonts w:hint="eastAsia" w:ascii="宋体" w:cs="宋体"/>
                <w:sz w:val="22"/>
                <w:highlight w:val="none"/>
              </w:rPr>
              <w:t>2</w:t>
            </w:r>
          </w:p>
        </w:tc>
        <w:tc>
          <w:tcPr>
            <w:tcW w:w="789" w:type="dxa"/>
            <w:tcBorders>
              <w:top w:val="single" w:color="auto" w:sz="4" w:space="0"/>
              <w:left w:val="single" w:color="auto" w:sz="6" w:space="0"/>
              <w:bottom w:val="single" w:color="auto" w:sz="6" w:space="0"/>
              <w:right w:val="single" w:color="auto" w:sz="6" w:space="0"/>
            </w:tcBorders>
            <w:vAlign w:val="center"/>
          </w:tcPr>
          <w:p>
            <w:pPr>
              <w:spacing w:before="319"/>
              <w:jc w:val="center"/>
              <w:rPr>
                <w:rFonts w:ascii="宋体" w:cs="宋体"/>
                <w:sz w:val="22"/>
                <w:highlight w:val="none"/>
              </w:rPr>
            </w:pPr>
          </w:p>
        </w:tc>
        <w:tc>
          <w:tcPr>
            <w:tcW w:w="862" w:type="dxa"/>
            <w:tcBorders>
              <w:top w:val="single" w:color="auto" w:sz="4" w:space="0"/>
              <w:left w:val="single" w:color="auto" w:sz="6" w:space="0"/>
              <w:bottom w:val="single" w:color="auto" w:sz="6" w:space="0"/>
              <w:right w:val="single" w:color="auto" w:sz="4" w:space="0"/>
            </w:tcBorders>
            <w:vAlign w:val="center"/>
          </w:tcPr>
          <w:p>
            <w:pPr>
              <w:spacing w:before="159"/>
              <w:jc w:val="center"/>
              <w:rPr>
                <w:rFonts w:ascii="宋体" w:cs="宋体"/>
                <w:sz w:val="22"/>
                <w:highlight w:val="none"/>
              </w:rPr>
            </w:pPr>
          </w:p>
        </w:tc>
        <w:tc>
          <w:tcPr>
            <w:tcW w:w="988" w:type="dxa"/>
            <w:tcBorders>
              <w:top w:val="single" w:color="auto" w:sz="4" w:space="0"/>
              <w:left w:val="single" w:color="auto" w:sz="4" w:space="0"/>
              <w:bottom w:val="single" w:color="auto" w:sz="6" w:space="0"/>
              <w:right w:val="single" w:color="auto" w:sz="6" w:space="0"/>
            </w:tcBorders>
            <w:vAlign w:val="center"/>
          </w:tcPr>
          <w:p>
            <w:pPr>
              <w:spacing w:before="159"/>
              <w:jc w:val="center"/>
              <w:rPr>
                <w:rFonts w:ascii="宋体" w:cs="宋体"/>
                <w:sz w:val="22"/>
                <w:highlight w:val="none"/>
              </w:rPr>
            </w:pPr>
          </w:p>
        </w:tc>
        <w:tc>
          <w:tcPr>
            <w:tcW w:w="1271"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highlight w:val="none"/>
              </w:rPr>
            </w:pPr>
          </w:p>
        </w:tc>
        <w:tc>
          <w:tcPr>
            <w:tcW w:w="966"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highlight w:val="none"/>
              </w:rPr>
            </w:pPr>
          </w:p>
        </w:tc>
        <w:tc>
          <w:tcPr>
            <w:tcW w:w="1353"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highlight w:val="none"/>
              </w:rPr>
            </w:pPr>
          </w:p>
        </w:tc>
        <w:tc>
          <w:tcPr>
            <w:tcW w:w="1153"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highlight w:val="none"/>
              </w:rPr>
            </w:pPr>
          </w:p>
        </w:tc>
      </w:tr>
      <w:tr>
        <w:tblPrEx>
          <w:tblCellMar>
            <w:top w:w="0" w:type="dxa"/>
            <w:left w:w="28" w:type="dxa"/>
            <w:bottom w:w="0" w:type="dxa"/>
            <w:right w:w="28" w:type="dxa"/>
          </w:tblCellMar>
        </w:tblPrEx>
        <w:trPr>
          <w:trHeight w:val="612" w:hRule="atLeast"/>
        </w:trPr>
        <w:tc>
          <w:tcPr>
            <w:tcW w:w="1148" w:type="dxa"/>
            <w:vMerge w:val="continue"/>
            <w:tcBorders>
              <w:top w:val="nil"/>
              <w:left w:val="single" w:color="auto" w:sz="6" w:space="0"/>
              <w:bottom w:val="nil"/>
              <w:right w:val="single" w:color="auto" w:sz="4" w:space="0"/>
            </w:tcBorders>
            <w:vAlign w:val="center"/>
          </w:tcPr>
          <w:p>
            <w:pPr>
              <w:rPr>
                <w:highlight w:val="none"/>
              </w:rPr>
            </w:pPr>
          </w:p>
        </w:tc>
        <w:tc>
          <w:tcPr>
            <w:tcW w:w="530" w:type="dxa"/>
            <w:tcBorders>
              <w:top w:val="single" w:color="auto" w:sz="4" w:space="0"/>
              <w:left w:val="single" w:color="auto" w:sz="4" w:space="0"/>
              <w:bottom w:val="single" w:color="auto" w:sz="6" w:space="0"/>
              <w:right w:val="nil"/>
            </w:tcBorders>
            <w:vAlign w:val="center"/>
          </w:tcPr>
          <w:p>
            <w:pPr>
              <w:spacing w:before="319"/>
              <w:jc w:val="center"/>
              <w:rPr>
                <w:rFonts w:ascii="宋体" w:cs="宋体"/>
                <w:sz w:val="22"/>
                <w:highlight w:val="none"/>
              </w:rPr>
            </w:pPr>
            <w:r>
              <w:rPr>
                <w:rFonts w:hint="eastAsia" w:ascii="宋体" w:cs="宋体"/>
                <w:sz w:val="22"/>
                <w:highlight w:val="none"/>
              </w:rPr>
              <w:t>3</w:t>
            </w:r>
          </w:p>
        </w:tc>
        <w:tc>
          <w:tcPr>
            <w:tcW w:w="789" w:type="dxa"/>
            <w:tcBorders>
              <w:top w:val="single" w:color="auto" w:sz="4" w:space="0"/>
              <w:left w:val="single" w:color="auto" w:sz="6" w:space="0"/>
              <w:bottom w:val="single" w:color="auto" w:sz="6" w:space="0"/>
              <w:right w:val="single" w:color="auto" w:sz="6" w:space="0"/>
            </w:tcBorders>
            <w:vAlign w:val="center"/>
          </w:tcPr>
          <w:p>
            <w:pPr>
              <w:spacing w:before="319"/>
              <w:jc w:val="center"/>
              <w:rPr>
                <w:rFonts w:ascii="宋体" w:cs="宋体"/>
                <w:sz w:val="22"/>
                <w:highlight w:val="none"/>
              </w:rPr>
            </w:pPr>
          </w:p>
        </w:tc>
        <w:tc>
          <w:tcPr>
            <w:tcW w:w="862" w:type="dxa"/>
            <w:tcBorders>
              <w:top w:val="single" w:color="auto" w:sz="4" w:space="0"/>
              <w:left w:val="single" w:color="auto" w:sz="6" w:space="0"/>
              <w:bottom w:val="single" w:color="auto" w:sz="6" w:space="0"/>
              <w:right w:val="single" w:color="auto" w:sz="4" w:space="0"/>
            </w:tcBorders>
            <w:vAlign w:val="center"/>
          </w:tcPr>
          <w:p>
            <w:pPr>
              <w:spacing w:before="159"/>
              <w:jc w:val="center"/>
              <w:rPr>
                <w:rFonts w:ascii="宋体" w:cs="宋体"/>
                <w:sz w:val="22"/>
                <w:highlight w:val="none"/>
              </w:rPr>
            </w:pPr>
          </w:p>
        </w:tc>
        <w:tc>
          <w:tcPr>
            <w:tcW w:w="988" w:type="dxa"/>
            <w:tcBorders>
              <w:top w:val="single" w:color="auto" w:sz="4" w:space="0"/>
              <w:left w:val="single" w:color="auto" w:sz="4" w:space="0"/>
              <w:bottom w:val="single" w:color="auto" w:sz="6" w:space="0"/>
              <w:right w:val="single" w:color="auto" w:sz="6" w:space="0"/>
            </w:tcBorders>
            <w:vAlign w:val="center"/>
          </w:tcPr>
          <w:p>
            <w:pPr>
              <w:spacing w:before="159"/>
              <w:jc w:val="center"/>
              <w:rPr>
                <w:rFonts w:ascii="宋体" w:cs="宋体"/>
                <w:sz w:val="22"/>
                <w:highlight w:val="none"/>
              </w:rPr>
            </w:pPr>
          </w:p>
        </w:tc>
        <w:tc>
          <w:tcPr>
            <w:tcW w:w="1271"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highlight w:val="none"/>
              </w:rPr>
            </w:pPr>
          </w:p>
        </w:tc>
        <w:tc>
          <w:tcPr>
            <w:tcW w:w="966"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highlight w:val="none"/>
              </w:rPr>
            </w:pPr>
          </w:p>
        </w:tc>
        <w:tc>
          <w:tcPr>
            <w:tcW w:w="1353"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highlight w:val="none"/>
              </w:rPr>
            </w:pPr>
          </w:p>
        </w:tc>
        <w:tc>
          <w:tcPr>
            <w:tcW w:w="1153"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highlight w:val="none"/>
              </w:rPr>
            </w:pPr>
          </w:p>
        </w:tc>
      </w:tr>
      <w:tr>
        <w:tblPrEx>
          <w:tblCellMar>
            <w:top w:w="0" w:type="dxa"/>
            <w:left w:w="28" w:type="dxa"/>
            <w:bottom w:w="0" w:type="dxa"/>
            <w:right w:w="28" w:type="dxa"/>
          </w:tblCellMar>
        </w:tblPrEx>
        <w:trPr>
          <w:trHeight w:val="823" w:hRule="atLeast"/>
        </w:trPr>
        <w:tc>
          <w:tcPr>
            <w:tcW w:w="1148" w:type="dxa"/>
            <w:vMerge w:val="continue"/>
            <w:tcBorders>
              <w:top w:val="nil"/>
              <w:left w:val="single" w:color="auto" w:sz="6" w:space="0"/>
              <w:bottom w:val="nil"/>
              <w:right w:val="single" w:color="auto" w:sz="4" w:space="0"/>
            </w:tcBorders>
            <w:vAlign w:val="center"/>
          </w:tcPr>
          <w:p>
            <w:pPr>
              <w:rPr>
                <w:highlight w:val="none"/>
              </w:rPr>
            </w:pPr>
          </w:p>
        </w:tc>
        <w:tc>
          <w:tcPr>
            <w:tcW w:w="530" w:type="dxa"/>
            <w:tcBorders>
              <w:top w:val="single" w:color="auto" w:sz="4" w:space="0"/>
              <w:left w:val="single" w:color="auto" w:sz="4" w:space="0"/>
              <w:bottom w:val="single" w:color="auto" w:sz="6" w:space="0"/>
              <w:right w:val="nil"/>
            </w:tcBorders>
            <w:vAlign w:val="center"/>
          </w:tcPr>
          <w:p>
            <w:pPr>
              <w:spacing w:before="319"/>
              <w:jc w:val="center"/>
              <w:rPr>
                <w:rFonts w:ascii="宋体" w:cs="宋体"/>
                <w:sz w:val="22"/>
                <w:highlight w:val="none"/>
              </w:rPr>
            </w:pPr>
            <w:r>
              <w:rPr>
                <w:rFonts w:hint="eastAsia" w:ascii="宋体" w:cs="宋体"/>
                <w:sz w:val="22"/>
                <w:highlight w:val="none"/>
              </w:rPr>
              <w:t>4</w:t>
            </w:r>
          </w:p>
        </w:tc>
        <w:tc>
          <w:tcPr>
            <w:tcW w:w="789"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highlight w:val="none"/>
              </w:rPr>
            </w:pPr>
          </w:p>
        </w:tc>
        <w:tc>
          <w:tcPr>
            <w:tcW w:w="862" w:type="dxa"/>
            <w:tcBorders>
              <w:top w:val="single" w:color="auto" w:sz="4" w:space="0"/>
              <w:left w:val="single" w:color="auto" w:sz="6" w:space="0"/>
              <w:bottom w:val="single" w:color="auto" w:sz="6" w:space="0"/>
              <w:right w:val="single" w:color="auto" w:sz="4" w:space="0"/>
            </w:tcBorders>
            <w:vAlign w:val="center"/>
          </w:tcPr>
          <w:p>
            <w:pPr>
              <w:spacing w:before="159"/>
              <w:jc w:val="center"/>
              <w:rPr>
                <w:rFonts w:ascii="宋体" w:cs="宋体"/>
                <w:sz w:val="22"/>
                <w:highlight w:val="none"/>
              </w:rPr>
            </w:pPr>
          </w:p>
        </w:tc>
        <w:tc>
          <w:tcPr>
            <w:tcW w:w="988" w:type="dxa"/>
            <w:tcBorders>
              <w:top w:val="single" w:color="auto" w:sz="4" w:space="0"/>
              <w:left w:val="single" w:color="auto" w:sz="4" w:space="0"/>
              <w:bottom w:val="single" w:color="auto" w:sz="6" w:space="0"/>
              <w:right w:val="single" w:color="auto" w:sz="6" w:space="0"/>
            </w:tcBorders>
            <w:vAlign w:val="center"/>
          </w:tcPr>
          <w:p>
            <w:pPr>
              <w:spacing w:before="159"/>
              <w:jc w:val="center"/>
              <w:rPr>
                <w:rFonts w:ascii="宋体" w:cs="宋体"/>
                <w:sz w:val="22"/>
                <w:highlight w:val="none"/>
              </w:rPr>
            </w:pPr>
          </w:p>
        </w:tc>
        <w:tc>
          <w:tcPr>
            <w:tcW w:w="1271"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highlight w:val="none"/>
              </w:rPr>
            </w:pPr>
          </w:p>
        </w:tc>
        <w:tc>
          <w:tcPr>
            <w:tcW w:w="966"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highlight w:val="none"/>
              </w:rPr>
            </w:pPr>
          </w:p>
        </w:tc>
        <w:tc>
          <w:tcPr>
            <w:tcW w:w="1353"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highlight w:val="none"/>
              </w:rPr>
            </w:pPr>
          </w:p>
        </w:tc>
        <w:tc>
          <w:tcPr>
            <w:tcW w:w="1153"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highlight w:val="none"/>
              </w:rPr>
            </w:pPr>
          </w:p>
        </w:tc>
      </w:tr>
      <w:tr>
        <w:tblPrEx>
          <w:tblCellMar>
            <w:top w:w="0" w:type="dxa"/>
            <w:left w:w="28" w:type="dxa"/>
            <w:bottom w:w="0" w:type="dxa"/>
            <w:right w:w="28" w:type="dxa"/>
          </w:tblCellMar>
        </w:tblPrEx>
        <w:trPr>
          <w:trHeight w:val="823" w:hRule="atLeast"/>
        </w:trPr>
        <w:tc>
          <w:tcPr>
            <w:tcW w:w="1148" w:type="dxa"/>
            <w:vMerge w:val="continue"/>
            <w:tcBorders>
              <w:top w:val="nil"/>
              <w:left w:val="single" w:color="auto" w:sz="6" w:space="0"/>
              <w:bottom w:val="nil"/>
              <w:right w:val="single" w:color="auto" w:sz="4" w:space="0"/>
            </w:tcBorders>
            <w:vAlign w:val="center"/>
          </w:tcPr>
          <w:p>
            <w:pPr>
              <w:rPr>
                <w:highlight w:val="none"/>
              </w:rPr>
            </w:pPr>
          </w:p>
        </w:tc>
        <w:tc>
          <w:tcPr>
            <w:tcW w:w="530" w:type="dxa"/>
            <w:tcBorders>
              <w:top w:val="single" w:color="auto" w:sz="4" w:space="0"/>
              <w:left w:val="single" w:color="auto" w:sz="4" w:space="0"/>
              <w:bottom w:val="single" w:color="auto" w:sz="6" w:space="0"/>
              <w:right w:val="nil"/>
            </w:tcBorders>
            <w:vAlign w:val="center"/>
          </w:tcPr>
          <w:p>
            <w:pPr>
              <w:spacing w:before="319"/>
              <w:jc w:val="center"/>
              <w:rPr>
                <w:rFonts w:ascii="宋体" w:cs="宋体"/>
                <w:b/>
                <w:sz w:val="22"/>
                <w:highlight w:val="none"/>
              </w:rPr>
            </w:pPr>
            <w:r>
              <w:rPr>
                <w:rFonts w:hint="eastAsia" w:ascii="宋体" w:cs="宋体"/>
                <w:sz w:val="22"/>
                <w:highlight w:val="none"/>
              </w:rPr>
              <w:t>5</w:t>
            </w:r>
          </w:p>
        </w:tc>
        <w:tc>
          <w:tcPr>
            <w:tcW w:w="789"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highlight w:val="none"/>
              </w:rPr>
            </w:pPr>
          </w:p>
        </w:tc>
        <w:tc>
          <w:tcPr>
            <w:tcW w:w="862" w:type="dxa"/>
            <w:tcBorders>
              <w:top w:val="single" w:color="auto" w:sz="4" w:space="0"/>
              <w:left w:val="single" w:color="auto" w:sz="6" w:space="0"/>
              <w:bottom w:val="single" w:color="auto" w:sz="6" w:space="0"/>
              <w:right w:val="single" w:color="auto" w:sz="4" w:space="0"/>
            </w:tcBorders>
            <w:vAlign w:val="center"/>
          </w:tcPr>
          <w:p>
            <w:pPr>
              <w:spacing w:before="159"/>
              <w:jc w:val="center"/>
              <w:rPr>
                <w:rFonts w:ascii="宋体" w:cs="宋体"/>
                <w:sz w:val="22"/>
                <w:highlight w:val="none"/>
              </w:rPr>
            </w:pPr>
          </w:p>
        </w:tc>
        <w:tc>
          <w:tcPr>
            <w:tcW w:w="988" w:type="dxa"/>
            <w:tcBorders>
              <w:top w:val="single" w:color="auto" w:sz="4" w:space="0"/>
              <w:left w:val="single" w:color="auto" w:sz="4" w:space="0"/>
              <w:bottom w:val="single" w:color="auto" w:sz="6" w:space="0"/>
              <w:right w:val="single" w:color="auto" w:sz="6" w:space="0"/>
            </w:tcBorders>
            <w:vAlign w:val="center"/>
          </w:tcPr>
          <w:p>
            <w:pPr>
              <w:spacing w:before="159"/>
              <w:jc w:val="center"/>
              <w:rPr>
                <w:rFonts w:ascii="宋体" w:cs="宋体"/>
                <w:sz w:val="22"/>
                <w:highlight w:val="none"/>
              </w:rPr>
            </w:pPr>
          </w:p>
        </w:tc>
        <w:tc>
          <w:tcPr>
            <w:tcW w:w="1271"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highlight w:val="none"/>
              </w:rPr>
            </w:pPr>
          </w:p>
        </w:tc>
        <w:tc>
          <w:tcPr>
            <w:tcW w:w="966"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highlight w:val="none"/>
              </w:rPr>
            </w:pPr>
          </w:p>
        </w:tc>
        <w:tc>
          <w:tcPr>
            <w:tcW w:w="1353"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highlight w:val="none"/>
              </w:rPr>
            </w:pPr>
          </w:p>
        </w:tc>
        <w:tc>
          <w:tcPr>
            <w:tcW w:w="1153"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highlight w:val="none"/>
              </w:rPr>
            </w:pPr>
          </w:p>
        </w:tc>
      </w:tr>
      <w:tr>
        <w:tblPrEx>
          <w:tblCellMar>
            <w:top w:w="0" w:type="dxa"/>
            <w:left w:w="28" w:type="dxa"/>
            <w:bottom w:w="0" w:type="dxa"/>
            <w:right w:w="28" w:type="dxa"/>
          </w:tblCellMar>
        </w:tblPrEx>
        <w:trPr>
          <w:trHeight w:val="823" w:hRule="atLeast"/>
        </w:trPr>
        <w:tc>
          <w:tcPr>
            <w:tcW w:w="1148" w:type="dxa"/>
            <w:vMerge w:val="continue"/>
            <w:tcBorders>
              <w:top w:val="nil"/>
              <w:left w:val="single" w:color="auto" w:sz="6" w:space="0"/>
              <w:bottom w:val="single" w:color="auto" w:sz="6" w:space="0"/>
              <w:right w:val="single" w:color="auto" w:sz="4" w:space="0"/>
            </w:tcBorders>
            <w:vAlign w:val="center"/>
          </w:tcPr>
          <w:p>
            <w:pPr>
              <w:rPr>
                <w:highlight w:val="none"/>
              </w:rPr>
            </w:pPr>
          </w:p>
        </w:tc>
        <w:tc>
          <w:tcPr>
            <w:tcW w:w="530" w:type="dxa"/>
            <w:tcBorders>
              <w:top w:val="single" w:color="auto" w:sz="4" w:space="0"/>
              <w:left w:val="single" w:color="auto" w:sz="4" w:space="0"/>
              <w:bottom w:val="single" w:color="auto" w:sz="6" w:space="0"/>
              <w:right w:val="nil"/>
            </w:tcBorders>
            <w:vAlign w:val="center"/>
          </w:tcPr>
          <w:p>
            <w:pPr>
              <w:spacing w:before="319"/>
              <w:jc w:val="center"/>
              <w:rPr>
                <w:rFonts w:ascii="宋体" w:cs="宋体"/>
                <w:sz w:val="22"/>
                <w:highlight w:val="none"/>
              </w:rPr>
            </w:pPr>
            <w:r>
              <w:rPr>
                <w:rFonts w:hint="eastAsia" w:ascii="宋体" w:cs="宋体"/>
                <w:sz w:val="22"/>
                <w:highlight w:val="none"/>
              </w:rPr>
              <w:t>...</w:t>
            </w:r>
          </w:p>
        </w:tc>
        <w:tc>
          <w:tcPr>
            <w:tcW w:w="789"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highlight w:val="none"/>
              </w:rPr>
            </w:pPr>
            <w:r>
              <w:rPr>
                <w:rFonts w:hint="eastAsia" w:ascii="宋体" w:cs="宋体"/>
                <w:sz w:val="22"/>
                <w:highlight w:val="none"/>
              </w:rPr>
              <w:t>...</w:t>
            </w:r>
          </w:p>
        </w:tc>
        <w:tc>
          <w:tcPr>
            <w:tcW w:w="862" w:type="dxa"/>
            <w:tcBorders>
              <w:top w:val="single" w:color="auto" w:sz="4" w:space="0"/>
              <w:left w:val="single" w:color="auto" w:sz="6" w:space="0"/>
              <w:bottom w:val="single" w:color="auto" w:sz="6" w:space="0"/>
              <w:right w:val="single" w:color="auto" w:sz="4" w:space="0"/>
            </w:tcBorders>
            <w:vAlign w:val="center"/>
          </w:tcPr>
          <w:p>
            <w:pPr>
              <w:spacing w:before="159"/>
              <w:jc w:val="center"/>
              <w:rPr>
                <w:rFonts w:ascii="宋体" w:cs="宋体"/>
                <w:sz w:val="22"/>
                <w:highlight w:val="none"/>
              </w:rPr>
            </w:pPr>
          </w:p>
        </w:tc>
        <w:tc>
          <w:tcPr>
            <w:tcW w:w="988" w:type="dxa"/>
            <w:tcBorders>
              <w:top w:val="single" w:color="auto" w:sz="4" w:space="0"/>
              <w:left w:val="single" w:color="auto" w:sz="4" w:space="0"/>
              <w:bottom w:val="single" w:color="auto" w:sz="6" w:space="0"/>
              <w:right w:val="single" w:color="auto" w:sz="6" w:space="0"/>
            </w:tcBorders>
            <w:vAlign w:val="center"/>
          </w:tcPr>
          <w:p>
            <w:pPr>
              <w:spacing w:before="159"/>
              <w:jc w:val="center"/>
              <w:rPr>
                <w:rFonts w:ascii="宋体" w:cs="宋体"/>
                <w:sz w:val="22"/>
                <w:highlight w:val="none"/>
              </w:rPr>
            </w:pPr>
          </w:p>
        </w:tc>
        <w:tc>
          <w:tcPr>
            <w:tcW w:w="1271"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highlight w:val="none"/>
              </w:rPr>
            </w:pPr>
          </w:p>
        </w:tc>
        <w:tc>
          <w:tcPr>
            <w:tcW w:w="966"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highlight w:val="none"/>
              </w:rPr>
            </w:pPr>
          </w:p>
        </w:tc>
        <w:tc>
          <w:tcPr>
            <w:tcW w:w="1353"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highlight w:val="none"/>
              </w:rPr>
            </w:pPr>
          </w:p>
        </w:tc>
        <w:tc>
          <w:tcPr>
            <w:tcW w:w="1153"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highlight w:val="none"/>
              </w:rPr>
            </w:pPr>
          </w:p>
        </w:tc>
      </w:tr>
      <w:tr>
        <w:tblPrEx>
          <w:tblCellMar>
            <w:top w:w="0" w:type="dxa"/>
            <w:left w:w="28" w:type="dxa"/>
            <w:bottom w:w="0" w:type="dxa"/>
            <w:right w:w="28" w:type="dxa"/>
          </w:tblCellMar>
        </w:tblPrEx>
        <w:trPr>
          <w:trHeight w:val="515" w:hRule="atLeast"/>
        </w:trPr>
        <w:tc>
          <w:tcPr>
            <w:tcW w:w="2467" w:type="dxa"/>
            <w:gridSpan w:val="3"/>
            <w:tcBorders>
              <w:top w:val="single" w:color="auto" w:sz="4" w:space="0"/>
              <w:left w:val="single" w:color="auto" w:sz="6" w:space="0"/>
              <w:bottom w:val="single" w:color="auto" w:sz="6" w:space="0"/>
              <w:right w:val="single" w:color="auto" w:sz="6" w:space="0"/>
            </w:tcBorders>
            <w:vAlign w:val="center"/>
          </w:tcPr>
          <w:p>
            <w:pPr>
              <w:jc w:val="center"/>
              <w:rPr>
                <w:rFonts w:ascii="宋体" w:cs="宋体"/>
                <w:sz w:val="22"/>
                <w:highlight w:val="none"/>
              </w:rPr>
            </w:pPr>
            <w:r>
              <w:rPr>
                <w:rFonts w:hint="eastAsia" w:ascii="宋体" w:cs="宋体"/>
                <w:sz w:val="22"/>
                <w:highlight w:val="none"/>
              </w:rPr>
              <w:t>安装调试费</w:t>
            </w:r>
          </w:p>
        </w:tc>
        <w:tc>
          <w:tcPr>
            <w:tcW w:w="6593" w:type="dxa"/>
            <w:gridSpan w:val="6"/>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highlight w:val="none"/>
              </w:rPr>
            </w:pPr>
            <w:r>
              <w:rPr>
                <w:rFonts w:hint="eastAsia" w:ascii="宋体" w:cs="宋体"/>
                <w:sz w:val="22"/>
                <w:highlight w:val="none"/>
              </w:rPr>
              <w:t>……</w:t>
            </w:r>
          </w:p>
        </w:tc>
      </w:tr>
      <w:tr>
        <w:tblPrEx>
          <w:tblCellMar>
            <w:top w:w="0" w:type="dxa"/>
            <w:left w:w="28" w:type="dxa"/>
            <w:bottom w:w="0" w:type="dxa"/>
            <w:right w:w="28" w:type="dxa"/>
          </w:tblCellMar>
        </w:tblPrEx>
        <w:trPr>
          <w:trHeight w:val="515" w:hRule="atLeast"/>
        </w:trPr>
        <w:tc>
          <w:tcPr>
            <w:tcW w:w="2467" w:type="dxa"/>
            <w:gridSpan w:val="3"/>
            <w:tcBorders>
              <w:top w:val="single" w:color="auto" w:sz="4" w:space="0"/>
              <w:left w:val="single" w:color="auto" w:sz="6" w:space="0"/>
              <w:bottom w:val="single" w:color="auto" w:sz="6" w:space="0"/>
              <w:right w:val="single" w:color="auto" w:sz="6" w:space="0"/>
            </w:tcBorders>
            <w:vAlign w:val="center"/>
          </w:tcPr>
          <w:p>
            <w:pPr>
              <w:jc w:val="center"/>
              <w:rPr>
                <w:rFonts w:ascii="宋体" w:cs="宋体"/>
                <w:sz w:val="22"/>
                <w:highlight w:val="none"/>
              </w:rPr>
            </w:pPr>
            <w:r>
              <w:rPr>
                <w:rFonts w:hint="eastAsia" w:ascii="宋体" w:cs="宋体"/>
                <w:sz w:val="22"/>
                <w:highlight w:val="none"/>
              </w:rPr>
              <w:t>运杂费</w:t>
            </w:r>
          </w:p>
        </w:tc>
        <w:tc>
          <w:tcPr>
            <w:tcW w:w="6593" w:type="dxa"/>
            <w:gridSpan w:val="6"/>
            <w:tcBorders>
              <w:top w:val="single" w:color="auto" w:sz="4" w:space="0"/>
              <w:left w:val="single" w:color="auto" w:sz="6" w:space="0"/>
              <w:bottom w:val="single" w:color="auto" w:sz="6" w:space="0"/>
              <w:right w:val="single" w:color="auto" w:sz="6" w:space="0"/>
            </w:tcBorders>
            <w:vAlign w:val="center"/>
          </w:tcPr>
          <w:p>
            <w:pPr>
              <w:jc w:val="center"/>
              <w:rPr>
                <w:rFonts w:ascii="宋体" w:cs="宋体"/>
                <w:sz w:val="22"/>
                <w:highlight w:val="none"/>
              </w:rPr>
            </w:pPr>
            <w:r>
              <w:rPr>
                <w:rFonts w:hint="eastAsia" w:ascii="宋体" w:cs="宋体"/>
                <w:sz w:val="22"/>
                <w:highlight w:val="none"/>
              </w:rPr>
              <w:t>……</w:t>
            </w:r>
          </w:p>
        </w:tc>
      </w:tr>
      <w:tr>
        <w:tblPrEx>
          <w:tblCellMar>
            <w:top w:w="0" w:type="dxa"/>
            <w:left w:w="28" w:type="dxa"/>
            <w:bottom w:w="0" w:type="dxa"/>
            <w:right w:w="28" w:type="dxa"/>
          </w:tblCellMar>
        </w:tblPrEx>
        <w:trPr>
          <w:trHeight w:val="515" w:hRule="atLeast"/>
        </w:trPr>
        <w:tc>
          <w:tcPr>
            <w:tcW w:w="2467" w:type="dxa"/>
            <w:gridSpan w:val="3"/>
            <w:tcBorders>
              <w:top w:val="single" w:color="auto" w:sz="4" w:space="0"/>
              <w:left w:val="single" w:color="auto" w:sz="6" w:space="0"/>
              <w:bottom w:val="single" w:color="auto" w:sz="6" w:space="0"/>
              <w:right w:val="single" w:color="auto" w:sz="6" w:space="0"/>
            </w:tcBorders>
            <w:vAlign w:val="center"/>
          </w:tcPr>
          <w:p>
            <w:pPr>
              <w:jc w:val="center"/>
              <w:rPr>
                <w:rFonts w:ascii="宋体" w:cs="宋体"/>
                <w:sz w:val="22"/>
                <w:highlight w:val="none"/>
              </w:rPr>
            </w:pPr>
            <w:r>
              <w:rPr>
                <w:rFonts w:hint="eastAsia" w:ascii="宋体" w:cs="宋体"/>
                <w:sz w:val="22"/>
                <w:highlight w:val="none"/>
              </w:rPr>
              <w:t>其他费用</w:t>
            </w:r>
          </w:p>
        </w:tc>
        <w:tc>
          <w:tcPr>
            <w:tcW w:w="6593" w:type="dxa"/>
            <w:gridSpan w:val="6"/>
            <w:tcBorders>
              <w:top w:val="single" w:color="auto" w:sz="4" w:space="0"/>
              <w:left w:val="single" w:color="auto" w:sz="6" w:space="0"/>
              <w:bottom w:val="single" w:color="auto" w:sz="6" w:space="0"/>
              <w:right w:val="single" w:color="auto" w:sz="6" w:space="0"/>
            </w:tcBorders>
            <w:vAlign w:val="center"/>
          </w:tcPr>
          <w:p>
            <w:pPr>
              <w:jc w:val="center"/>
              <w:rPr>
                <w:rFonts w:ascii="宋体" w:cs="宋体"/>
                <w:sz w:val="22"/>
                <w:highlight w:val="none"/>
              </w:rPr>
            </w:pPr>
            <w:r>
              <w:rPr>
                <w:rFonts w:hint="eastAsia" w:ascii="宋体" w:cs="宋体"/>
                <w:sz w:val="22"/>
                <w:highlight w:val="none"/>
              </w:rPr>
              <w:t>……</w:t>
            </w:r>
          </w:p>
        </w:tc>
      </w:tr>
      <w:tr>
        <w:tblPrEx>
          <w:tblCellMar>
            <w:top w:w="0" w:type="dxa"/>
            <w:left w:w="28" w:type="dxa"/>
            <w:bottom w:w="0" w:type="dxa"/>
            <w:right w:w="28" w:type="dxa"/>
          </w:tblCellMar>
        </w:tblPrEx>
        <w:trPr>
          <w:trHeight w:val="515" w:hRule="atLeast"/>
        </w:trPr>
        <w:tc>
          <w:tcPr>
            <w:tcW w:w="2467" w:type="dxa"/>
            <w:gridSpan w:val="3"/>
            <w:tcBorders>
              <w:top w:val="single" w:color="auto" w:sz="4" w:space="0"/>
              <w:left w:val="single" w:color="auto" w:sz="6" w:space="0"/>
              <w:bottom w:val="single" w:color="auto" w:sz="6" w:space="0"/>
              <w:right w:val="single" w:color="auto" w:sz="6" w:space="0"/>
            </w:tcBorders>
            <w:vAlign w:val="center"/>
          </w:tcPr>
          <w:p>
            <w:pPr>
              <w:jc w:val="center"/>
              <w:rPr>
                <w:rFonts w:ascii="宋体" w:cs="宋体"/>
                <w:sz w:val="22"/>
                <w:highlight w:val="none"/>
              </w:rPr>
            </w:pPr>
            <w:r>
              <w:rPr>
                <w:rFonts w:hint="eastAsia" w:ascii="宋体" w:cs="宋体"/>
                <w:sz w:val="22"/>
                <w:highlight w:val="none"/>
              </w:rPr>
              <w:t>……</w:t>
            </w:r>
          </w:p>
        </w:tc>
        <w:tc>
          <w:tcPr>
            <w:tcW w:w="6593" w:type="dxa"/>
            <w:gridSpan w:val="6"/>
            <w:tcBorders>
              <w:top w:val="single" w:color="auto" w:sz="4" w:space="0"/>
              <w:left w:val="single" w:color="auto" w:sz="6" w:space="0"/>
              <w:bottom w:val="single" w:color="auto" w:sz="6" w:space="0"/>
              <w:right w:val="single" w:color="auto" w:sz="6" w:space="0"/>
            </w:tcBorders>
            <w:vAlign w:val="center"/>
          </w:tcPr>
          <w:p>
            <w:pPr>
              <w:jc w:val="center"/>
              <w:rPr>
                <w:rFonts w:ascii="宋体" w:cs="宋体"/>
                <w:sz w:val="22"/>
                <w:highlight w:val="none"/>
              </w:rPr>
            </w:pPr>
            <w:r>
              <w:rPr>
                <w:rFonts w:hint="eastAsia" w:ascii="宋体" w:cs="宋体"/>
                <w:sz w:val="22"/>
                <w:highlight w:val="none"/>
              </w:rPr>
              <w:t>……</w:t>
            </w:r>
          </w:p>
        </w:tc>
      </w:tr>
      <w:tr>
        <w:tblPrEx>
          <w:tblCellMar>
            <w:top w:w="0" w:type="dxa"/>
            <w:left w:w="28" w:type="dxa"/>
            <w:bottom w:w="0" w:type="dxa"/>
            <w:right w:w="28" w:type="dxa"/>
          </w:tblCellMar>
        </w:tblPrEx>
        <w:trPr>
          <w:trHeight w:val="515" w:hRule="atLeast"/>
        </w:trPr>
        <w:tc>
          <w:tcPr>
            <w:tcW w:w="1678" w:type="dxa"/>
            <w:gridSpan w:val="2"/>
            <w:tcBorders>
              <w:top w:val="single" w:color="auto" w:sz="4" w:space="0"/>
              <w:left w:val="single" w:color="auto" w:sz="6" w:space="0"/>
              <w:bottom w:val="single" w:color="auto" w:sz="6" w:space="0"/>
              <w:right w:val="nil"/>
            </w:tcBorders>
            <w:vAlign w:val="center"/>
          </w:tcPr>
          <w:p>
            <w:pPr>
              <w:jc w:val="center"/>
              <w:rPr>
                <w:rFonts w:ascii="宋体" w:cs="宋体"/>
                <w:sz w:val="22"/>
                <w:highlight w:val="none"/>
              </w:rPr>
            </w:pPr>
            <w:r>
              <w:rPr>
                <w:rFonts w:hint="eastAsia" w:ascii="宋体" w:cs="宋体"/>
                <w:sz w:val="22"/>
                <w:highlight w:val="none"/>
              </w:rPr>
              <w:t>投标总报价</w:t>
            </w:r>
          </w:p>
        </w:tc>
        <w:tc>
          <w:tcPr>
            <w:tcW w:w="7382" w:type="dxa"/>
            <w:gridSpan w:val="7"/>
            <w:tcBorders>
              <w:top w:val="single" w:color="auto" w:sz="4" w:space="0"/>
              <w:left w:val="single" w:color="auto" w:sz="6" w:space="0"/>
              <w:bottom w:val="single" w:color="auto" w:sz="6" w:space="0"/>
              <w:right w:val="single" w:color="auto" w:sz="6" w:space="0"/>
            </w:tcBorders>
            <w:vAlign w:val="center"/>
          </w:tcPr>
          <w:p>
            <w:pPr>
              <w:spacing w:before="159"/>
              <w:jc w:val="left"/>
              <w:rPr>
                <w:rFonts w:ascii="宋体" w:cs="宋体"/>
                <w:sz w:val="22"/>
                <w:highlight w:val="none"/>
              </w:rPr>
            </w:pPr>
            <w:r>
              <w:rPr>
                <w:rFonts w:hint="eastAsia" w:ascii="宋体" w:cs="宋体"/>
                <w:sz w:val="22"/>
                <w:highlight w:val="none"/>
              </w:rPr>
              <w:t>大写：</w:t>
            </w:r>
            <w:r>
              <w:rPr>
                <w:rFonts w:hint="eastAsia" w:ascii="宋体" w:cs="宋体"/>
                <w:sz w:val="22"/>
                <w:highlight w:val="none"/>
                <w:u w:val="single"/>
              </w:rPr>
              <w:t xml:space="preserve">                  </w:t>
            </w:r>
            <w:r>
              <w:rPr>
                <w:rFonts w:hint="eastAsia" w:ascii="宋体" w:cs="宋体"/>
                <w:sz w:val="22"/>
                <w:highlight w:val="none"/>
              </w:rPr>
              <w:t xml:space="preserve"> 小写：</w:t>
            </w:r>
            <w:r>
              <w:rPr>
                <w:rFonts w:hint="eastAsia" w:ascii="宋体" w:cs="宋体"/>
                <w:sz w:val="22"/>
                <w:highlight w:val="none"/>
                <w:u w:val="single"/>
              </w:rPr>
              <w:t xml:space="preserve">    </w:t>
            </w:r>
            <w:r>
              <w:rPr>
                <w:rFonts w:hint="eastAsia" w:ascii="宋体" w:cs="宋体"/>
                <w:sz w:val="22"/>
                <w:highlight w:val="none"/>
              </w:rPr>
              <w:t xml:space="preserve"> 元</w:t>
            </w:r>
          </w:p>
        </w:tc>
      </w:tr>
      <w:tr>
        <w:tblPrEx>
          <w:tblCellMar>
            <w:top w:w="0" w:type="dxa"/>
            <w:left w:w="28" w:type="dxa"/>
            <w:bottom w:w="0" w:type="dxa"/>
            <w:right w:w="28" w:type="dxa"/>
          </w:tblCellMar>
        </w:tblPrEx>
        <w:trPr>
          <w:trHeight w:val="577" w:hRule="atLeast"/>
        </w:trPr>
        <w:tc>
          <w:tcPr>
            <w:tcW w:w="1678" w:type="dxa"/>
            <w:gridSpan w:val="2"/>
            <w:tcBorders>
              <w:top w:val="single" w:color="auto" w:sz="4" w:space="0"/>
              <w:left w:val="single" w:color="auto" w:sz="6" w:space="0"/>
              <w:bottom w:val="single" w:color="auto" w:sz="6" w:space="0"/>
              <w:right w:val="nil"/>
            </w:tcBorders>
            <w:vAlign w:val="center"/>
          </w:tcPr>
          <w:p>
            <w:pPr>
              <w:jc w:val="center"/>
              <w:rPr>
                <w:rFonts w:ascii="宋体" w:cs="宋体"/>
                <w:sz w:val="22"/>
                <w:highlight w:val="none"/>
              </w:rPr>
            </w:pPr>
            <w:r>
              <w:rPr>
                <w:rFonts w:hint="eastAsia" w:ascii="宋体" w:cs="宋体"/>
                <w:sz w:val="22"/>
                <w:highlight w:val="none"/>
              </w:rPr>
              <w:t>备注</w:t>
            </w:r>
          </w:p>
        </w:tc>
        <w:tc>
          <w:tcPr>
            <w:tcW w:w="7382" w:type="dxa"/>
            <w:gridSpan w:val="7"/>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highlight w:val="none"/>
              </w:rPr>
            </w:pPr>
            <w:r>
              <w:rPr>
                <w:rFonts w:hint="eastAsia" w:ascii="宋体" w:cs="宋体"/>
                <w:spacing w:val="-6"/>
                <w:sz w:val="22"/>
                <w:highlight w:val="none"/>
              </w:rPr>
              <w:t>保留小数点后两位。</w:t>
            </w:r>
          </w:p>
        </w:tc>
      </w:tr>
    </w:tbl>
    <w:p>
      <w:pPr>
        <w:adjustRightInd w:val="0"/>
        <w:snapToGrid w:val="0"/>
        <w:spacing w:line="480" w:lineRule="auto"/>
        <w:rPr>
          <w:rFonts w:ascii="宋体" w:hAnsi="宋体"/>
          <w:sz w:val="24"/>
          <w:szCs w:val="24"/>
        </w:rPr>
      </w:pPr>
    </w:p>
    <w:p>
      <w:pPr>
        <w:adjustRightInd w:val="0"/>
        <w:snapToGrid w:val="0"/>
        <w:spacing w:line="360" w:lineRule="auto"/>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供应商（单位名称及公章）：_______________</w:t>
      </w:r>
    </w:p>
    <w:p>
      <w:pPr>
        <w:adjustRightInd w:val="0"/>
        <w:snapToGrid w:val="0"/>
        <w:spacing w:line="360" w:lineRule="auto"/>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法定代表人或被授权人（签字或盖章）：_______________</w:t>
      </w:r>
    </w:p>
    <w:p>
      <w:pPr>
        <w:adjustRightInd w:val="0"/>
        <w:snapToGrid w:val="0"/>
        <w:spacing w:line="360" w:lineRule="auto"/>
        <w:ind w:firstLine="480" w:firstLineChars="200"/>
        <w:jc w:val="left"/>
        <w:rPr>
          <w:sz w:val="36"/>
          <w:szCs w:val="36"/>
        </w:rPr>
        <w:sectPr>
          <w:pgSz w:w="11906" w:h="16838"/>
          <w:pgMar w:top="1440" w:right="1800" w:bottom="1440" w:left="1800" w:header="851" w:footer="992" w:gutter="0"/>
          <w:pgNumType w:fmt="decimal"/>
          <w:cols w:space="720" w:num="1"/>
          <w:docGrid w:type="lines" w:linePitch="319" w:charSpace="0"/>
        </w:sectPr>
      </w:pPr>
      <w:r>
        <w:rPr>
          <w:rFonts w:hint="eastAsia" w:asciiTheme="minorEastAsia" w:hAnsiTheme="minorEastAsia" w:cstheme="minorEastAsia"/>
          <w:sz w:val="24"/>
          <w:szCs w:val="24"/>
        </w:rPr>
        <w:t>日    期：_____年_____月_____日</w:t>
      </w:r>
    </w:p>
    <w:p>
      <w:pPr>
        <w:pStyle w:val="4"/>
        <w:rPr>
          <w:rFonts w:ascii="宋体" w:hAnsi="宋体" w:cs="宋体"/>
        </w:rPr>
      </w:pPr>
      <w:bookmarkStart w:id="80" w:name="_Toc18887"/>
      <w:bookmarkStart w:id="81" w:name="OLE_LINK1"/>
      <w:r>
        <w:rPr>
          <w:rFonts w:hint="eastAsia" w:ascii="宋体" w:hAnsi="宋体" w:cs="宋体"/>
        </w:rPr>
        <w:t>第三部分 商务及技术响应说明</w:t>
      </w:r>
      <w:bookmarkEnd w:id="80"/>
    </w:p>
    <w:p>
      <w:pPr>
        <w:pStyle w:val="7"/>
        <w:ind w:firstLine="0"/>
        <w:rPr>
          <w:rFonts w:ascii="宋体" w:hAnsi="宋体" w:eastAsia="宋体" w:cs="宋体"/>
        </w:rPr>
      </w:pPr>
    </w:p>
    <w:p>
      <w:pPr>
        <w:jc w:val="center"/>
        <w:rPr>
          <w:rFonts w:ascii="宋体" w:hAnsi="宋体" w:eastAsia="宋体" w:cs="宋体"/>
          <w:b/>
          <w:bCs/>
          <w:sz w:val="28"/>
          <w:szCs w:val="32"/>
        </w:rPr>
      </w:pPr>
      <w:r>
        <w:rPr>
          <w:rFonts w:hint="eastAsia" w:ascii="宋体" w:hAnsi="宋体" w:eastAsia="宋体" w:cs="宋体"/>
          <w:b/>
          <w:bCs/>
          <w:sz w:val="28"/>
          <w:szCs w:val="32"/>
        </w:rPr>
        <w:t>商务偏离表</w:t>
      </w:r>
    </w:p>
    <w:tbl>
      <w:tblPr>
        <w:tblStyle w:val="23"/>
        <w:tblW w:w="8758" w:type="dxa"/>
        <w:tblInd w:w="-2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1521"/>
        <w:gridCol w:w="1600"/>
        <w:gridCol w:w="1938"/>
        <w:gridCol w:w="1410"/>
        <w:gridCol w:w="1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vAlign w:val="center"/>
          </w:tcPr>
          <w:p>
            <w:pPr>
              <w:pStyle w:val="8"/>
              <w:spacing w:line="360" w:lineRule="auto"/>
              <w:jc w:val="center"/>
              <w:rPr>
                <w:rFonts w:hAnsi="宋体" w:eastAsia="宋体" w:cs="宋体"/>
                <w:sz w:val="24"/>
                <w:szCs w:val="24"/>
              </w:rPr>
            </w:pPr>
            <w:r>
              <w:rPr>
                <w:rFonts w:hint="eastAsia" w:hAnsi="宋体" w:eastAsia="宋体" w:cs="宋体"/>
                <w:sz w:val="24"/>
                <w:szCs w:val="24"/>
              </w:rPr>
              <w:t>序号</w:t>
            </w:r>
          </w:p>
        </w:tc>
        <w:tc>
          <w:tcPr>
            <w:tcW w:w="1521" w:type="dxa"/>
            <w:vAlign w:val="center"/>
          </w:tcPr>
          <w:p>
            <w:pPr>
              <w:pStyle w:val="8"/>
              <w:spacing w:line="360" w:lineRule="auto"/>
              <w:jc w:val="center"/>
              <w:rPr>
                <w:rFonts w:hAnsi="宋体" w:eastAsia="宋体" w:cs="宋体"/>
                <w:sz w:val="24"/>
                <w:szCs w:val="24"/>
              </w:rPr>
            </w:pPr>
            <w:r>
              <w:rPr>
                <w:rFonts w:hint="eastAsia" w:hAnsi="宋体" w:eastAsia="宋体" w:cs="宋体"/>
                <w:sz w:val="24"/>
                <w:szCs w:val="24"/>
              </w:rPr>
              <w:t>商务条款</w:t>
            </w:r>
          </w:p>
        </w:tc>
        <w:tc>
          <w:tcPr>
            <w:tcW w:w="1600" w:type="dxa"/>
            <w:vAlign w:val="center"/>
          </w:tcPr>
          <w:p>
            <w:pPr>
              <w:pStyle w:val="8"/>
              <w:spacing w:line="360" w:lineRule="auto"/>
              <w:jc w:val="center"/>
              <w:rPr>
                <w:rFonts w:hAnsi="宋体" w:eastAsia="宋体" w:cs="宋体"/>
                <w:sz w:val="24"/>
                <w:szCs w:val="24"/>
              </w:rPr>
            </w:pPr>
            <w:r>
              <w:rPr>
                <w:rFonts w:hint="eastAsia" w:hAnsi="宋体" w:eastAsia="宋体" w:cs="宋体"/>
                <w:sz w:val="24"/>
                <w:szCs w:val="24"/>
              </w:rPr>
              <w:t>商务要求</w:t>
            </w:r>
          </w:p>
          <w:p>
            <w:pPr>
              <w:pStyle w:val="8"/>
              <w:spacing w:line="360" w:lineRule="auto"/>
              <w:jc w:val="center"/>
              <w:rPr>
                <w:rFonts w:hAnsi="宋体" w:eastAsia="宋体" w:cs="宋体"/>
                <w:sz w:val="24"/>
                <w:szCs w:val="24"/>
              </w:rPr>
            </w:pPr>
            <w:r>
              <w:rPr>
                <w:rFonts w:hint="eastAsia" w:hAnsi="宋体" w:eastAsia="宋体" w:cs="宋体"/>
                <w:sz w:val="24"/>
                <w:szCs w:val="24"/>
              </w:rPr>
              <w:t>内容</w:t>
            </w:r>
          </w:p>
        </w:tc>
        <w:tc>
          <w:tcPr>
            <w:tcW w:w="1938" w:type="dxa"/>
            <w:vAlign w:val="center"/>
          </w:tcPr>
          <w:p>
            <w:pPr>
              <w:pStyle w:val="8"/>
              <w:spacing w:line="360" w:lineRule="auto"/>
              <w:jc w:val="center"/>
              <w:rPr>
                <w:rFonts w:hAnsi="宋体" w:eastAsia="宋体" w:cs="宋体"/>
                <w:sz w:val="24"/>
                <w:szCs w:val="24"/>
              </w:rPr>
            </w:pPr>
            <w:r>
              <w:rPr>
                <w:rFonts w:hint="eastAsia" w:hAnsi="宋体" w:eastAsia="宋体" w:cs="宋体"/>
                <w:sz w:val="24"/>
                <w:szCs w:val="24"/>
              </w:rPr>
              <w:t>响应文件</w:t>
            </w:r>
          </w:p>
          <w:p>
            <w:pPr>
              <w:pStyle w:val="8"/>
              <w:spacing w:line="360" w:lineRule="auto"/>
              <w:jc w:val="center"/>
              <w:rPr>
                <w:rFonts w:hAnsi="宋体" w:eastAsia="宋体" w:cs="宋体"/>
                <w:sz w:val="24"/>
                <w:szCs w:val="24"/>
              </w:rPr>
            </w:pPr>
            <w:r>
              <w:rPr>
                <w:rFonts w:hint="eastAsia" w:hAnsi="宋体" w:eastAsia="宋体" w:cs="宋体"/>
                <w:sz w:val="24"/>
                <w:szCs w:val="24"/>
              </w:rPr>
              <w:t>响应商务内容</w:t>
            </w:r>
          </w:p>
        </w:tc>
        <w:tc>
          <w:tcPr>
            <w:tcW w:w="1410" w:type="dxa"/>
            <w:vAlign w:val="center"/>
          </w:tcPr>
          <w:p>
            <w:pPr>
              <w:pStyle w:val="8"/>
              <w:spacing w:line="360" w:lineRule="auto"/>
              <w:jc w:val="center"/>
              <w:rPr>
                <w:rFonts w:hAnsi="宋体" w:eastAsia="宋体" w:cs="宋体"/>
                <w:sz w:val="24"/>
                <w:szCs w:val="24"/>
              </w:rPr>
            </w:pPr>
            <w:r>
              <w:rPr>
                <w:rFonts w:hint="eastAsia" w:hAnsi="宋体" w:eastAsia="宋体" w:cs="宋体"/>
                <w:sz w:val="24"/>
                <w:szCs w:val="24"/>
              </w:rPr>
              <w:t>偏离情况</w:t>
            </w:r>
          </w:p>
        </w:tc>
        <w:tc>
          <w:tcPr>
            <w:tcW w:w="1356" w:type="dxa"/>
            <w:vAlign w:val="center"/>
          </w:tcPr>
          <w:p>
            <w:pPr>
              <w:pStyle w:val="8"/>
              <w:spacing w:line="360" w:lineRule="auto"/>
              <w:jc w:val="center"/>
              <w:rPr>
                <w:rFonts w:hAnsi="宋体" w:eastAsia="宋体" w:cs="宋体"/>
                <w:sz w:val="24"/>
                <w:szCs w:val="24"/>
              </w:rPr>
            </w:pPr>
            <w:r>
              <w:rPr>
                <w:rFonts w:hint="eastAsia" w:hAnsi="宋体" w:eastAsia="宋体" w:cs="宋体"/>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8"/>
              <w:spacing w:line="480" w:lineRule="auto"/>
              <w:ind w:firstLine="480" w:firstLineChars="200"/>
              <w:jc w:val="left"/>
              <w:rPr>
                <w:rFonts w:hAnsi="宋体" w:eastAsia="宋体" w:cs="宋体"/>
                <w:sz w:val="24"/>
                <w:szCs w:val="24"/>
              </w:rPr>
            </w:pPr>
          </w:p>
        </w:tc>
        <w:tc>
          <w:tcPr>
            <w:tcW w:w="1521" w:type="dxa"/>
          </w:tcPr>
          <w:p>
            <w:pPr>
              <w:pStyle w:val="8"/>
              <w:spacing w:line="480" w:lineRule="auto"/>
              <w:ind w:firstLine="480" w:firstLineChars="200"/>
              <w:jc w:val="left"/>
              <w:rPr>
                <w:rFonts w:hAnsi="宋体" w:eastAsia="宋体" w:cs="宋体"/>
                <w:sz w:val="24"/>
                <w:szCs w:val="24"/>
              </w:rPr>
            </w:pPr>
          </w:p>
        </w:tc>
        <w:tc>
          <w:tcPr>
            <w:tcW w:w="1600" w:type="dxa"/>
            <w:vAlign w:val="center"/>
          </w:tcPr>
          <w:p>
            <w:pPr>
              <w:pStyle w:val="8"/>
              <w:spacing w:line="480" w:lineRule="auto"/>
              <w:ind w:firstLine="480" w:firstLineChars="200"/>
              <w:jc w:val="left"/>
              <w:rPr>
                <w:rFonts w:hAnsi="宋体" w:eastAsia="宋体" w:cs="宋体"/>
                <w:sz w:val="24"/>
                <w:szCs w:val="24"/>
              </w:rPr>
            </w:pPr>
          </w:p>
        </w:tc>
        <w:tc>
          <w:tcPr>
            <w:tcW w:w="1938" w:type="dxa"/>
            <w:vAlign w:val="center"/>
          </w:tcPr>
          <w:p>
            <w:pPr>
              <w:pStyle w:val="8"/>
              <w:spacing w:line="480" w:lineRule="auto"/>
              <w:ind w:firstLine="480" w:firstLineChars="200"/>
              <w:jc w:val="left"/>
              <w:rPr>
                <w:rFonts w:hAnsi="宋体" w:eastAsia="宋体" w:cs="宋体"/>
                <w:sz w:val="24"/>
                <w:szCs w:val="24"/>
              </w:rPr>
            </w:pPr>
          </w:p>
        </w:tc>
        <w:tc>
          <w:tcPr>
            <w:tcW w:w="1410" w:type="dxa"/>
            <w:vAlign w:val="center"/>
          </w:tcPr>
          <w:p>
            <w:pPr>
              <w:pStyle w:val="8"/>
              <w:spacing w:line="480" w:lineRule="auto"/>
              <w:ind w:firstLine="480" w:firstLineChars="200"/>
              <w:jc w:val="left"/>
              <w:rPr>
                <w:rFonts w:hAnsi="宋体" w:eastAsia="宋体" w:cs="宋体"/>
                <w:sz w:val="24"/>
                <w:szCs w:val="24"/>
              </w:rPr>
            </w:pPr>
          </w:p>
        </w:tc>
        <w:tc>
          <w:tcPr>
            <w:tcW w:w="1356" w:type="dxa"/>
            <w:vAlign w:val="center"/>
          </w:tcPr>
          <w:p>
            <w:pPr>
              <w:pStyle w:val="8"/>
              <w:spacing w:line="480" w:lineRule="auto"/>
              <w:ind w:firstLine="480" w:firstLineChars="200"/>
              <w:jc w:val="left"/>
              <w:rPr>
                <w:rFonts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8"/>
              <w:spacing w:line="480" w:lineRule="auto"/>
              <w:ind w:firstLine="480" w:firstLineChars="200"/>
              <w:jc w:val="left"/>
              <w:rPr>
                <w:rFonts w:hAnsi="宋体" w:eastAsia="宋体" w:cs="宋体"/>
                <w:sz w:val="24"/>
                <w:szCs w:val="24"/>
              </w:rPr>
            </w:pPr>
          </w:p>
        </w:tc>
        <w:tc>
          <w:tcPr>
            <w:tcW w:w="1521" w:type="dxa"/>
          </w:tcPr>
          <w:p>
            <w:pPr>
              <w:pStyle w:val="8"/>
              <w:spacing w:line="480" w:lineRule="auto"/>
              <w:ind w:firstLine="480" w:firstLineChars="200"/>
              <w:jc w:val="left"/>
              <w:rPr>
                <w:rFonts w:hAnsi="宋体" w:eastAsia="宋体" w:cs="宋体"/>
                <w:sz w:val="24"/>
                <w:szCs w:val="24"/>
              </w:rPr>
            </w:pPr>
          </w:p>
        </w:tc>
        <w:tc>
          <w:tcPr>
            <w:tcW w:w="1600" w:type="dxa"/>
          </w:tcPr>
          <w:p>
            <w:pPr>
              <w:pStyle w:val="8"/>
              <w:spacing w:line="480" w:lineRule="auto"/>
              <w:ind w:firstLine="480" w:firstLineChars="200"/>
              <w:jc w:val="left"/>
              <w:rPr>
                <w:rFonts w:hAnsi="宋体" w:eastAsia="宋体" w:cs="宋体"/>
                <w:sz w:val="24"/>
                <w:szCs w:val="24"/>
              </w:rPr>
            </w:pPr>
          </w:p>
        </w:tc>
        <w:tc>
          <w:tcPr>
            <w:tcW w:w="1938" w:type="dxa"/>
          </w:tcPr>
          <w:p>
            <w:pPr>
              <w:pStyle w:val="8"/>
              <w:spacing w:line="480" w:lineRule="auto"/>
              <w:ind w:firstLine="480" w:firstLineChars="200"/>
              <w:jc w:val="left"/>
              <w:rPr>
                <w:rFonts w:hAnsi="宋体" w:eastAsia="宋体" w:cs="宋体"/>
                <w:sz w:val="24"/>
                <w:szCs w:val="24"/>
              </w:rPr>
            </w:pPr>
          </w:p>
        </w:tc>
        <w:tc>
          <w:tcPr>
            <w:tcW w:w="1410" w:type="dxa"/>
          </w:tcPr>
          <w:p>
            <w:pPr>
              <w:pStyle w:val="8"/>
              <w:spacing w:line="480" w:lineRule="auto"/>
              <w:ind w:firstLine="480" w:firstLineChars="200"/>
              <w:jc w:val="left"/>
              <w:rPr>
                <w:rFonts w:hAnsi="宋体" w:eastAsia="宋体" w:cs="宋体"/>
                <w:sz w:val="24"/>
                <w:szCs w:val="24"/>
              </w:rPr>
            </w:pPr>
          </w:p>
        </w:tc>
        <w:tc>
          <w:tcPr>
            <w:tcW w:w="1356" w:type="dxa"/>
          </w:tcPr>
          <w:p>
            <w:pPr>
              <w:pStyle w:val="8"/>
              <w:spacing w:line="480" w:lineRule="auto"/>
              <w:ind w:firstLine="480" w:firstLineChars="200"/>
              <w:jc w:val="left"/>
              <w:rPr>
                <w:rFonts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8"/>
              <w:spacing w:line="480" w:lineRule="auto"/>
              <w:ind w:firstLine="480" w:firstLineChars="200"/>
              <w:jc w:val="left"/>
              <w:rPr>
                <w:rFonts w:hAnsi="宋体" w:eastAsia="宋体" w:cs="宋体"/>
                <w:sz w:val="24"/>
                <w:szCs w:val="24"/>
              </w:rPr>
            </w:pPr>
          </w:p>
        </w:tc>
        <w:tc>
          <w:tcPr>
            <w:tcW w:w="1521" w:type="dxa"/>
          </w:tcPr>
          <w:p>
            <w:pPr>
              <w:pStyle w:val="8"/>
              <w:spacing w:line="480" w:lineRule="auto"/>
              <w:ind w:firstLine="480" w:firstLineChars="200"/>
              <w:jc w:val="left"/>
              <w:rPr>
                <w:rFonts w:hAnsi="宋体" w:eastAsia="宋体" w:cs="宋体"/>
                <w:sz w:val="24"/>
                <w:szCs w:val="24"/>
              </w:rPr>
            </w:pPr>
          </w:p>
        </w:tc>
        <w:tc>
          <w:tcPr>
            <w:tcW w:w="1600" w:type="dxa"/>
          </w:tcPr>
          <w:p>
            <w:pPr>
              <w:pStyle w:val="8"/>
              <w:spacing w:line="480" w:lineRule="auto"/>
              <w:ind w:firstLine="480" w:firstLineChars="200"/>
              <w:jc w:val="left"/>
              <w:rPr>
                <w:rFonts w:hAnsi="宋体" w:eastAsia="宋体" w:cs="宋体"/>
                <w:sz w:val="24"/>
                <w:szCs w:val="24"/>
              </w:rPr>
            </w:pPr>
          </w:p>
        </w:tc>
        <w:tc>
          <w:tcPr>
            <w:tcW w:w="1938" w:type="dxa"/>
          </w:tcPr>
          <w:p>
            <w:pPr>
              <w:pStyle w:val="8"/>
              <w:spacing w:line="480" w:lineRule="auto"/>
              <w:ind w:firstLine="480" w:firstLineChars="200"/>
              <w:jc w:val="left"/>
              <w:rPr>
                <w:rFonts w:hAnsi="宋体" w:eastAsia="宋体" w:cs="宋体"/>
                <w:sz w:val="24"/>
                <w:szCs w:val="24"/>
              </w:rPr>
            </w:pPr>
          </w:p>
        </w:tc>
        <w:tc>
          <w:tcPr>
            <w:tcW w:w="1410" w:type="dxa"/>
          </w:tcPr>
          <w:p>
            <w:pPr>
              <w:pStyle w:val="8"/>
              <w:spacing w:line="480" w:lineRule="auto"/>
              <w:ind w:firstLine="480" w:firstLineChars="200"/>
              <w:jc w:val="left"/>
              <w:rPr>
                <w:rFonts w:hAnsi="宋体" w:eastAsia="宋体" w:cs="宋体"/>
                <w:sz w:val="24"/>
                <w:szCs w:val="24"/>
              </w:rPr>
            </w:pPr>
          </w:p>
        </w:tc>
        <w:tc>
          <w:tcPr>
            <w:tcW w:w="1356" w:type="dxa"/>
          </w:tcPr>
          <w:p>
            <w:pPr>
              <w:pStyle w:val="8"/>
              <w:spacing w:line="480" w:lineRule="auto"/>
              <w:ind w:firstLine="480" w:firstLineChars="200"/>
              <w:jc w:val="left"/>
              <w:rPr>
                <w:rFonts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8"/>
              <w:spacing w:line="480" w:lineRule="auto"/>
              <w:ind w:firstLine="480" w:firstLineChars="200"/>
              <w:jc w:val="left"/>
              <w:rPr>
                <w:rFonts w:hAnsi="宋体" w:eastAsia="宋体" w:cs="宋体"/>
                <w:sz w:val="24"/>
                <w:szCs w:val="24"/>
              </w:rPr>
            </w:pPr>
          </w:p>
        </w:tc>
        <w:tc>
          <w:tcPr>
            <w:tcW w:w="1521" w:type="dxa"/>
          </w:tcPr>
          <w:p>
            <w:pPr>
              <w:pStyle w:val="8"/>
              <w:spacing w:line="480" w:lineRule="auto"/>
              <w:ind w:firstLine="480" w:firstLineChars="200"/>
              <w:jc w:val="left"/>
              <w:rPr>
                <w:rFonts w:hAnsi="宋体" w:eastAsia="宋体" w:cs="宋体"/>
                <w:sz w:val="24"/>
                <w:szCs w:val="24"/>
              </w:rPr>
            </w:pPr>
          </w:p>
        </w:tc>
        <w:tc>
          <w:tcPr>
            <w:tcW w:w="1600" w:type="dxa"/>
          </w:tcPr>
          <w:p>
            <w:pPr>
              <w:pStyle w:val="8"/>
              <w:spacing w:line="480" w:lineRule="auto"/>
              <w:ind w:firstLine="480" w:firstLineChars="200"/>
              <w:jc w:val="left"/>
              <w:rPr>
                <w:rFonts w:hAnsi="宋体" w:eastAsia="宋体" w:cs="宋体"/>
                <w:sz w:val="24"/>
                <w:szCs w:val="24"/>
              </w:rPr>
            </w:pPr>
          </w:p>
        </w:tc>
        <w:tc>
          <w:tcPr>
            <w:tcW w:w="1938" w:type="dxa"/>
          </w:tcPr>
          <w:p>
            <w:pPr>
              <w:pStyle w:val="8"/>
              <w:spacing w:line="480" w:lineRule="auto"/>
              <w:ind w:firstLine="480" w:firstLineChars="200"/>
              <w:jc w:val="left"/>
              <w:rPr>
                <w:rFonts w:hAnsi="宋体" w:eastAsia="宋体" w:cs="宋体"/>
                <w:sz w:val="24"/>
                <w:szCs w:val="24"/>
              </w:rPr>
            </w:pPr>
          </w:p>
        </w:tc>
        <w:tc>
          <w:tcPr>
            <w:tcW w:w="1410" w:type="dxa"/>
          </w:tcPr>
          <w:p>
            <w:pPr>
              <w:pStyle w:val="8"/>
              <w:spacing w:line="480" w:lineRule="auto"/>
              <w:ind w:firstLine="480" w:firstLineChars="200"/>
              <w:jc w:val="left"/>
              <w:rPr>
                <w:rFonts w:hAnsi="宋体" w:eastAsia="宋体" w:cs="宋体"/>
                <w:sz w:val="24"/>
                <w:szCs w:val="24"/>
              </w:rPr>
            </w:pPr>
          </w:p>
        </w:tc>
        <w:tc>
          <w:tcPr>
            <w:tcW w:w="1356" w:type="dxa"/>
          </w:tcPr>
          <w:p>
            <w:pPr>
              <w:pStyle w:val="8"/>
              <w:spacing w:line="480" w:lineRule="auto"/>
              <w:ind w:firstLine="480" w:firstLineChars="200"/>
              <w:jc w:val="left"/>
              <w:rPr>
                <w:rFonts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8"/>
              <w:spacing w:line="480" w:lineRule="auto"/>
              <w:ind w:firstLine="480" w:firstLineChars="200"/>
              <w:jc w:val="left"/>
              <w:rPr>
                <w:rFonts w:hAnsi="宋体" w:eastAsia="宋体" w:cs="宋体"/>
                <w:sz w:val="24"/>
                <w:szCs w:val="24"/>
              </w:rPr>
            </w:pPr>
          </w:p>
        </w:tc>
        <w:tc>
          <w:tcPr>
            <w:tcW w:w="1521" w:type="dxa"/>
          </w:tcPr>
          <w:p>
            <w:pPr>
              <w:pStyle w:val="8"/>
              <w:spacing w:line="480" w:lineRule="auto"/>
              <w:ind w:firstLine="480" w:firstLineChars="200"/>
              <w:jc w:val="left"/>
              <w:rPr>
                <w:rFonts w:hAnsi="宋体" w:eastAsia="宋体" w:cs="宋体"/>
                <w:sz w:val="24"/>
                <w:szCs w:val="24"/>
              </w:rPr>
            </w:pPr>
          </w:p>
        </w:tc>
        <w:tc>
          <w:tcPr>
            <w:tcW w:w="1600" w:type="dxa"/>
          </w:tcPr>
          <w:p>
            <w:pPr>
              <w:pStyle w:val="8"/>
              <w:spacing w:line="480" w:lineRule="auto"/>
              <w:ind w:firstLine="480" w:firstLineChars="200"/>
              <w:jc w:val="left"/>
              <w:rPr>
                <w:rFonts w:hAnsi="宋体" w:eastAsia="宋体" w:cs="宋体"/>
                <w:sz w:val="24"/>
                <w:szCs w:val="24"/>
              </w:rPr>
            </w:pPr>
          </w:p>
        </w:tc>
        <w:tc>
          <w:tcPr>
            <w:tcW w:w="1938" w:type="dxa"/>
          </w:tcPr>
          <w:p>
            <w:pPr>
              <w:pStyle w:val="8"/>
              <w:spacing w:line="480" w:lineRule="auto"/>
              <w:ind w:firstLine="480" w:firstLineChars="200"/>
              <w:jc w:val="left"/>
              <w:rPr>
                <w:rFonts w:hAnsi="宋体" w:eastAsia="宋体" w:cs="宋体"/>
                <w:sz w:val="24"/>
                <w:szCs w:val="24"/>
              </w:rPr>
            </w:pPr>
          </w:p>
        </w:tc>
        <w:tc>
          <w:tcPr>
            <w:tcW w:w="1410" w:type="dxa"/>
          </w:tcPr>
          <w:p>
            <w:pPr>
              <w:pStyle w:val="8"/>
              <w:spacing w:line="480" w:lineRule="auto"/>
              <w:ind w:firstLine="480" w:firstLineChars="200"/>
              <w:jc w:val="left"/>
              <w:rPr>
                <w:rFonts w:hAnsi="宋体" w:eastAsia="宋体" w:cs="宋体"/>
                <w:sz w:val="24"/>
                <w:szCs w:val="24"/>
              </w:rPr>
            </w:pPr>
          </w:p>
        </w:tc>
        <w:tc>
          <w:tcPr>
            <w:tcW w:w="1356" w:type="dxa"/>
          </w:tcPr>
          <w:p>
            <w:pPr>
              <w:pStyle w:val="8"/>
              <w:spacing w:line="480" w:lineRule="auto"/>
              <w:ind w:firstLine="480" w:firstLineChars="200"/>
              <w:jc w:val="left"/>
              <w:rPr>
                <w:rFonts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8"/>
              <w:spacing w:line="480" w:lineRule="auto"/>
              <w:ind w:firstLine="480" w:firstLineChars="200"/>
              <w:jc w:val="left"/>
              <w:rPr>
                <w:rFonts w:hAnsi="宋体" w:eastAsia="宋体" w:cs="宋体"/>
                <w:sz w:val="24"/>
                <w:szCs w:val="24"/>
              </w:rPr>
            </w:pPr>
          </w:p>
        </w:tc>
        <w:tc>
          <w:tcPr>
            <w:tcW w:w="1521" w:type="dxa"/>
          </w:tcPr>
          <w:p>
            <w:pPr>
              <w:pStyle w:val="8"/>
              <w:spacing w:line="480" w:lineRule="auto"/>
              <w:ind w:firstLine="480" w:firstLineChars="200"/>
              <w:jc w:val="left"/>
              <w:rPr>
                <w:rFonts w:hAnsi="宋体" w:eastAsia="宋体" w:cs="宋体"/>
                <w:sz w:val="24"/>
                <w:szCs w:val="24"/>
              </w:rPr>
            </w:pPr>
          </w:p>
        </w:tc>
        <w:tc>
          <w:tcPr>
            <w:tcW w:w="1600" w:type="dxa"/>
          </w:tcPr>
          <w:p>
            <w:pPr>
              <w:pStyle w:val="8"/>
              <w:spacing w:line="480" w:lineRule="auto"/>
              <w:ind w:firstLine="480" w:firstLineChars="200"/>
              <w:jc w:val="left"/>
              <w:rPr>
                <w:rFonts w:hAnsi="宋体" w:eastAsia="宋体" w:cs="宋体"/>
                <w:sz w:val="24"/>
                <w:szCs w:val="24"/>
              </w:rPr>
            </w:pPr>
          </w:p>
        </w:tc>
        <w:tc>
          <w:tcPr>
            <w:tcW w:w="1938" w:type="dxa"/>
          </w:tcPr>
          <w:p>
            <w:pPr>
              <w:pStyle w:val="8"/>
              <w:spacing w:line="480" w:lineRule="auto"/>
              <w:ind w:firstLine="480" w:firstLineChars="200"/>
              <w:jc w:val="left"/>
              <w:rPr>
                <w:rFonts w:hAnsi="宋体" w:eastAsia="宋体" w:cs="宋体"/>
                <w:sz w:val="24"/>
                <w:szCs w:val="24"/>
              </w:rPr>
            </w:pPr>
          </w:p>
        </w:tc>
        <w:tc>
          <w:tcPr>
            <w:tcW w:w="1410" w:type="dxa"/>
          </w:tcPr>
          <w:p>
            <w:pPr>
              <w:pStyle w:val="8"/>
              <w:spacing w:line="480" w:lineRule="auto"/>
              <w:ind w:firstLine="480" w:firstLineChars="200"/>
              <w:jc w:val="left"/>
              <w:rPr>
                <w:rFonts w:hAnsi="宋体" w:eastAsia="宋体" w:cs="宋体"/>
                <w:sz w:val="24"/>
                <w:szCs w:val="24"/>
              </w:rPr>
            </w:pPr>
          </w:p>
        </w:tc>
        <w:tc>
          <w:tcPr>
            <w:tcW w:w="1356" w:type="dxa"/>
          </w:tcPr>
          <w:p>
            <w:pPr>
              <w:pStyle w:val="8"/>
              <w:spacing w:line="480" w:lineRule="auto"/>
              <w:ind w:firstLine="480" w:firstLineChars="200"/>
              <w:jc w:val="left"/>
              <w:rPr>
                <w:rFonts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8"/>
              <w:spacing w:line="480" w:lineRule="auto"/>
              <w:ind w:firstLine="480" w:firstLineChars="200"/>
              <w:jc w:val="left"/>
              <w:rPr>
                <w:rFonts w:hAnsi="宋体" w:eastAsia="宋体" w:cs="宋体"/>
                <w:sz w:val="24"/>
                <w:szCs w:val="24"/>
              </w:rPr>
            </w:pPr>
          </w:p>
        </w:tc>
        <w:tc>
          <w:tcPr>
            <w:tcW w:w="1521" w:type="dxa"/>
          </w:tcPr>
          <w:p>
            <w:pPr>
              <w:pStyle w:val="8"/>
              <w:spacing w:line="480" w:lineRule="auto"/>
              <w:ind w:firstLine="480" w:firstLineChars="200"/>
              <w:jc w:val="left"/>
              <w:rPr>
                <w:rFonts w:hAnsi="宋体" w:eastAsia="宋体" w:cs="宋体"/>
                <w:sz w:val="24"/>
                <w:szCs w:val="24"/>
              </w:rPr>
            </w:pPr>
          </w:p>
        </w:tc>
        <w:tc>
          <w:tcPr>
            <w:tcW w:w="1600" w:type="dxa"/>
          </w:tcPr>
          <w:p>
            <w:pPr>
              <w:pStyle w:val="8"/>
              <w:spacing w:line="480" w:lineRule="auto"/>
              <w:ind w:firstLine="480" w:firstLineChars="200"/>
              <w:jc w:val="left"/>
              <w:rPr>
                <w:rFonts w:hAnsi="宋体" w:eastAsia="宋体" w:cs="宋体"/>
                <w:sz w:val="24"/>
                <w:szCs w:val="24"/>
              </w:rPr>
            </w:pPr>
          </w:p>
        </w:tc>
        <w:tc>
          <w:tcPr>
            <w:tcW w:w="1938" w:type="dxa"/>
          </w:tcPr>
          <w:p>
            <w:pPr>
              <w:pStyle w:val="8"/>
              <w:spacing w:line="480" w:lineRule="auto"/>
              <w:ind w:firstLine="480" w:firstLineChars="200"/>
              <w:jc w:val="left"/>
              <w:rPr>
                <w:rFonts w:hAnsi="宋体" w:eastAsia="宋体" w:cs="宋体"/>
                <w:sz w:val="24"/>
                <w:szCs w:val="24"/>
              </w:rPr>
            </w:pPr>
          </w:p>
        </w:tc>
        <w:tc>
          <w:tcPr>
            <w:tcW w:w="1410" w:type="dxa"/>
          </w:tcPr>
          <w:p>
            <w:pPr>
              <w:pStyle w:val="8"/>
              <w:spacing w:line="480" w:lineRule="auto"/>
              <w:ind w:firstLine="480" w:firstLineChars="200"/>
              <w:jc w:val="left"/>
              <w:rPr>
                <w:rFonts w:hAnsi="宋体" w:eastAsia="宋体" w:cs="宋体"/>
                <w:sz w:val="24"/>
                <w:szCs w:val="24"/>
              </w:rPr>
            </w:pPr>
          </w:p>
        </w:tc>
        <w:tc>
          <w:tcPr>
            <w:tcW w:w="1356" w:type="dxa"/>
          </w:tcPr>
          <w:p>
            <w:pPr>
              <w:pStyle w:val="8"/>
              <w:spacing w:line="480" w:lineRule="auto"/>
              <w:ind w:firstLine="480" w:firstLineChars="200"/>
              <w:jc w:val="left"/>
              <w:rPr>
                <w:rFonts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933" w:type="dxa"/>
          </w:tcPr>
          <w:p>
            <w:pPr>
              <w:pStyle w:val="8"/>
              <w:spacing w:line="480" w:lineRule="auto"/>
              <w:jc w:val="left"/>
              <w:rPr>
                <w:rFonts w:hAnsi="宋体" w:eastAsia="宋体" w:cs="宋体"/>
                <w:sz w:val="24"/>
                <w:szCs w:val="24"/>
              </w:rPr>
            </w:pPr>
          </w:p>
        </w:tc>
        <w:tc>
          <w:tcPr>
            <w:tcW w:w="1521" w:type="dxa"/>
          </w:tcPr>
          <w:p>
            <w:pPr>
              <w:pStyle w:val="8"/>
              <w:spacing w:line="480" w:lineRule="auto"/>
              <w:jc w:val="left"/>
              <w:rPr>
                <w:rFonts w:hAnsi="宋体" w:eastAsia="宋体" w:cs="宋体"/>
                <w:sz w:val="24"/>
                <w:szCs w:val="24"/>
              </w:rPr>
            </w:pPr>
          </w:p>
        </w:tc>
        <w:tc>
          <w:tcPr>
            <w:tcW w:w="1600" w:type="dxa"/>
          </w:tcPr>
          <w:p>
            <w:pPr>
              <w:pStyle w:val="8"/>
              <w:spacing w:line="480" w:lineRule="auto"/>
              <w:ind w:firstLine="480" w:firstLineChars="200"/>
              <w:jc w:val="left"/>
              <w:rPr>
                <w:rFonts w:hAnsi="宋体" w:eastAsia="宋体" w:cs="宋体"/>
                <w:sz w:val="24"/>
                <w:szCs w:val="24"/>
              </w:rPr>
            </w:pPr>
          </w:p>
        </w:tc>
        <w:tc>
          <w:tcPr>
            <w:tcW w:w="1938" w:type="dxa"/>
          </w:tcPr>
          <w:p>
            <w:pPr>
              <w:pStyle w:val="8"/>
              <w:spacing w:line="480" w:lineRule="auto"/>
              <w:ind w:firstLine="480" w:firstLineChars="200"/>
              <w:jc w:val="left"/>
              <w:rPr>
                <w:rFonts w:hAnsi="宋体" w:eastAsia="宋体" w:cs="宋体"/>
                <w:sz w:val="24"/>
                <w:szCs w:val="24"/>
              </w:rPr>
            </w:pPr>
          </w:p>
        </w:tc>
        <w:tc>
          <w:tcPr>
            <w:tcW w:w="1410" w:type="dxa"/>
          </w:tcPr>
          <w:p>
            <w:pPr>
              <w:pStyle w:val="8"/>
              <w:spacing w:line="480" w:lineRule="auto"/>
              <w:ind w:firstLine="480" w:firstLineChars="200"/>
              <w:jc w:val="left"/>
              <w:rPr>
                <w:rFonts w:hAnsi="宋体" w:eastAsia="宋体" w:cs="宋体"/>
                <w:sz w:val="24"/>
                <w:szCs w:val="24"/>
              </w:rPr>
            </w:pPr>
          </w:p>
        </w:tc>
        <w:tc>
          <w:tcPr>
            <w:tcW w:w="1356" w:type="dxa"/>
          </w:tcPr>
          <w:p>
            <w:pPr>
              <w:pStyle w:val="8"/>
              <w:spacing w:line="480" w:lineRule="auto"/>
              <w:ind w:firstLine="480" w:firstLineChars="200"/>
              <w:jc w:val="left"/>
              <w:rPr>
                <w:rFonts w:hAnsi="宋体" w:eastAsia="宋体" w:cs="宋体"/>
                <w:sz w:val="24"/>
                <w:szCs w:val="24"/>
              </w:rPr>
            </w:pPr>
          </w:p>
        </w:tc>
      </w:tr>
    </w:tbl>
    <w:p>
      <w:pPr>
        <w:pStyle w:val="7"/>
        <w:numPr>
          <w:ilvl w:val="0"/>
          <w:numId w:val="17"/>
        </w:numPr>
        <w:spacing w:line="360" w:lineRule="auto"/>
        <w:rPr>
          <w:rFonts w:ascii="宋体" w:hAnsi="宋体" w:eastAsia="宋体" w:cs="宋体"/>
          <w:b/>
          <w:bCs/>
          <w:sz w:val="24"/>
          <w:szCs w:val="24"/>
        </w:rPr>
      </w:pPr>
      <w:r>
        <w:rPr>
          <w:rFonts w:hint="eastAsia" w:ascii="宋体" w:hAnsi="宋体" w:eastAsia="宋体" w:cs="宋体"/>
          <w:b/>
          <w:bCs/>
          <w:sz w:val="24"/>
          <w:szCs w:val="24"/>
        </w:rPr>
        <w:t>本表须按“供应商须知前附表”中所列商务条款进行比较和响应；</w:t>
      </w:r>
    </w:p>
    <w:p>
      <w:pPr>
        <w:pStyle w:val="7"/>
        <w:numPr>
          <w:ilvl w:val="0"/>
          <w:numId w:val="17"/>
        </w:numPr>
        <w:spacing w:line="360" w:lineRule="auto"/>
        <w:rPr>
          <w:rFonts w:ascii="宋体" w:hAnsi="宋体" w:eastAsia="宋体" w:cs="宋体"/>
          <w:sz w:val="24"/>
          <w:szCs w:val="24"/>
        </w:rPr>
      </w:pPr>
      <w:r>
        <w:rPr>
          <w:rFonts w:hint="eastAsia" w:ascii="宋体" w:hAnsi="宋体" w:eastAsia="宋体" w:cs="宋体"/>
          <w:b/>
          <w:bCs/>
          <w:sz w:val="24"/>
          <w:szCs w:val="24"/>
        </w:rPr>
        <w:t>该表必须按照</w:t>
      </w:r>
      <w:r>
        <w:rPr>
          <w:rFonts w:hint="eastAsia" w:ascii="宋体" w:hAnsi="宋体" w:eastAsia="宋体" w:cs="宋体"/>
          <w:b/>
          <w:bCs/>
          <w:sz w:val="24"/>
          <w:szCs w:val="24"/>
          <w:lang w:eastAsia="zh-CN"/>
        </w:rPr>
        <w:t>竞争性谈判文件</w:t>
      </w:r>
      <w:r>
        <w:rPr>
          <w:rFonts w:hint="eastAsia" w:ascii="宋体" w:hAnsi="宋体" w:eastAsia="宋体" w:cs="宋体"/>
          <w:b/>
          <w:bCs/>
          <w:sz w:val="24"/>
          <w:szCs w:val="24"/>
        </w:rPr>
        <w:t>要求逐条如实填写，根据情况在“偏离情况”项填写正偏离或负偏离或无偏离，在“说明”项填写正偏离或负偏离原因。</w:t>
      </w:r>
    </w:p>
    <w:p>
      <w:pPr>
        <w:pStyle w:val="7"/>
        <w:numPr>
          <w:ilvl w:val="0"/>
          <w:numId w:val="17"/>
        </w:numPr>
        <w:spacing w:line="360" w:lineRule="auto"/>
        <w:rPr>
          <w:rFonts w:ascii="宋体" w:hAnsi="宋体" w:eastAsia="宋体" w:cs="宋体"/>
          <w:sz w:val="24"/>
          <w:szCs w:val="24"/>
        </w:rPr>
      </w:pPr>
      <w:r>
        <w:rPr>
          <w:rFonts w:hint="eastAsia" w:ascii="宋体" w:hAnsi="宋体" w:eastAsia="宋体" w:cs="宋体"/>
          <w:b/>
          <w:bCs/>
          <w:sz w:val="24"/>
          <w:szCs w:val="24"/>
        </w:rPr>
        <w:t>该表可扩展。</w:t>
      </w:r>
    </w:p>
    <w:p>
      <w:pPr>
        <w:pStyle w:val="7"/>
        <w:spacing w:line="360" w:lineRule="auto"/>
        <w:ind w:left="140" w:firstLine="0"/>
        <w:rPr>
          <w:rFonts w:ascii="宋体" w:hAnsi="宋体" w:eastAsia="宋体" w:cs="宋体"/>
          <w:sz w:val="28"/>
          <w:szCs w:val="28"/>
        </w:rPr>
      </w:pPr>
      <w:r>
        <w:rPr>
          <w:rFonts w:hint="eastAsia" w:ascii="宋体" w:hAnsi="宋体" w:eastAsia="宋体" w:cs="宋体"/>
          <w:b/>
          <w:bCs/>
          <w:sz w:val="24"/>
          <w:szCs w:val="24"/>
        </w:rPr>
        <w:t>商务条款不允许负偏离</w:t>
      </w:r>
    </w:p>
    <w:p>
      <w:pPr>
        <w:pStyle w:val="7"/>
        <w:ind w:firstLine="0"/>
        <w:rPr>
          <w:rFonts w:ascii="宋体" w:hAnsi="宋体" w:eastAsia="宋体" w:cs="宋体"/>
          <w:sz w:val="28"/>
          <w:szCs w:val="28"/>
        </w:rPr>
      </w:pPr>
    </w:p>
    <w:p>
      <w:pPr>
        <w:adjustRightInd w:val="0"/>
        <w:snapToGrid w:val="0"/>
        <w:spacing w:line="480" w:lineRule="auto"/>
        <w:jc w:val="left"/>
        <w:rPr>
          <w:rFonts w:ascii="宋体" w:hAnsi="宋体" w:eastAsia="宋体" w:cs="宋体"/>
          <w:sz w:val="24"/>
          <w:szCs w:val="24"/>
          <w:u w:val="single"/>
        </w:rPr>
      </w:pPr>
      <w:r>
        <w:rPr>
          <w:rFonts w:hint="eastAsia" w:ascii="宋体" w:hAnsi="宋体" w:eastAsia="宋体" w:cs="宋体"/>
          <w:sz w:val="24"/>
          <w:szCs w:val="24"/>
        </w:rPr>
        <w:t>供应商（单位名称及公章）：</w:t>
      </w:r>
      <w:r>
        <w:rPr>
          <w:rFonts w:hint="eastAsia" w:ascii="宋体" w:hAnsi="宋体" w:eastAsia="宋体" w:cs="宋体"/>
          <w:sz w:val="28"/>
          <w:szCs w:val="28"/>
        </w:rPr>
        <w:t>______________________</w:t>
      </w:r>
    </w:p>
    <w:p>
      <w:pPr>
        <w:adjustRightInd w:val="0"/>
        <w:snapToGrid w:val="0"/>
        <w:spacing w:line="480" w:lineRule="auto"/>
        <w:rPr>
          <w:rFonts w:ascii="宋体" w:hAnsi="宋体" w:eastAsia="宋体" w:cs="宋体"/>
          <w:sz w:val="24"/>
          <w:szCs w:val="24"/>
        </w:rPr>
      </w:pPr>
      <w:r>
        <w:rPr>
          <w:rFonts w:hint="eastAsia" w:ascii="宋体" w:hAnsi="宋体" w:eastAsia="宋体" w:cs="宋体"/>
          <w:sz w:val="24"/>
          <w:szCs w:val="24"/>
        </w:rPr>
        <w:t>法定代表人或被授权人（签字或盖章）：</w:t>
      </w:r>
      <w:r>
        <w:rPr>
          <w:rFonts w:hint="eastAsia" w:ascii="宋体" w:hAnsi="宋体" w:eastAsia="宋体" w:cs="宋体"/>
          <w:sz w:val="28"/>
          <w:szCs w:val="28"/>
        </w:rPr>
        <w:t>______________________</w:t>
      </w:r>
    </w:p>
    <w:p>
      <w:pPr>
        <w:adjustRightInd w:val="0"/>
        <w:snapToGrid w:val="0"/>
        <w:spacing w:line="480" w:lineRule="auto"/>
        <w:rPr>
          <w:rFonts w:hint="eastAsia" w:ascii="宋体" w:hAnsi="宋体" w:eastAsia="宋体" w:cs="宋体"/>
          <w:b/>
          <w:bCs/>
          <w:sz w:val="28"/>
          <w:szCs w:val="32"/>
          <w:lang w:val="en-US" w:eastAsia="zh-CN"/>
        </w:rPr>
        <w:sectPr>
          <w:pgSz w:w="11906" w:h="16838"/>
          <w:pgMar w:top="1440" w:right="1803" w:bottom="1440" w:left="1803" w:header="851" w:footer="992" w:gutter="0"/>
          <w:pgNumType w:fmt="decimal"/>
          <w:cols w:space="720" w:num="1"/>
          <w:docGrid w:type="lines" w:linePitch="319" w:charSpace="0"/>
        </w:sectPr>
      </w:pPr>
      <w:r>
        <w:rPr>
          <w:rFonts w:hint="eastAsia" w:ascii="宋体" w:hAnsi="宋体" w:eastAsia="宋体" w:cs="宋体"/>
          <w:sz w:val="24"/>
          <w:szCs w:val="24"/>
        </w:rPr>
        <w:t xml:space="preserve">日    期： </w:t>
      </w:r>
      <w:r>
        <w:rPr>
          <w:rFonts w:hint="eastAsia" w:ascii="宋体" w:hAnsi="宋体" w:eastAsia="宋体" w:cs="宋体"/>
          <w:sz w:val="28"/>
          <w:szCs w:val="28"/>
        </w:rPr>
        <w:t>_____</w:t>
      </w:r>
      <w:r>
        <w:rPr>
          <w:rFonts w:hint="eastAsia" w:ascii="宋体" w:hAnsi="宋体" w:eastAsia="宋体" w:cs="宋体"/>
          <w:sz w:val="24"/>
          <w:szCs w:val="24"/>
        </w:rPr>
        <w:t>年</w:t>
      </w:r>
      <w:r>
        <w:rPr>
          <w:rFonts w:hint="eastAsia" w:ascii="宋体" w:hAnsi="宋体" w:eastAsia="宋体" w:cs="宋体"/>
          <w:sz w:val="28"/>
          <w:szCs w:val="28"/>
        </w:rPr>
        <w:t>_____</w:t>
      </w:r>
      <w:r>
        <w:rPr>
          <w:rFonts w:hint="eastAsia" w:ascii="宋体" w:hAnsi="宋体" w:eastAsia="宋体" w:cs="宋体"/>
          <w:sz w:val="24"/>
          <w:szCs w:val="24"/>
        </w:rPr>
        <w:t xml:space="preserve"> 月</w:t>
      </w:r>
      <w:r>
        <w:rPr>
          <w:rFonts w:hint="eastAsia" w:ascii="宋体" w:hAnsi="宋体" w:eastAsia="宋体" w:cs="宋体"/>
          <w:sz w:val="28"/>
          <w:szCs w:val="28"/>
        </w:rPr>
        <w:t>_____</w:t>
      </w:r>
      <w:r>
        <w:rPr>
          <w:rFonts w:hint="eastAsia" w:ascii="宋体" w:hAnsi="宋体" w:eastAsia="宋体" w:cs="宋体"/>
          <w:sz w:val="28"/>
          <w:szCs w:val="28"/>
          <w:lang w:val="en-US" w:eastAsia="zh-CN"/>
        </w:rPr>
        <w:t>日</w:t>
      </w:r>
    </w:p>
    <w:p>
      <w:pPr>
        <w:jc w:val="center"/>
        <w:rPr>
          <w:rFonts w:ascii="宋体" w:hAnsi="宋体" w:eastAsia="宋体" w:cs="宋体"/>
          <w:b/>
          <w:bCs/>
          <w:sz w:val="28"/>
          <w:szCs w:val="32"/>
        </w:rPr>
      </w:pPr>
      <w:r>
        <w:rPr>
          <w:rFonts w:hint="eastAsia" w:ascii="宋体" w:hAnsi="宋体" w:eastAsia="宋体" w:cs="宋体"/>
          <w:b/>
          <w:bCs/>
          <w:sz w:val="28"/>
          <w:szCs w:val="32"/>
        </w:rPr>
        <w:t>技术偏离表</w:t>
      </w:r>
    </w:p>
    <w:p>
      <w:pPr>
        <w:pStyle w:val="7"/>
        <w:ind w:firstLine="0"/>
        <w:rPr>
          <w:rFonts w:ascii="宋体" w:hAnsi="宋体" w:eastAsia="宋体" w:cs="宋体"/>
        </w:rPr>
      </w:pPr>
    </w:p>
    <w:p>
      <w:pPr>
        <w:rPr>
          <w:rFonts w:ascii="宋体" w:hAnsi="宋体" w:eastAsia="宋体" w:cs="宋体"/>
          <w:sz w:val="24"/>
          <w:szCs w:val="24"/>
        </w:rPr>
      </w:pPr>
    </w:p>
    <w:tbl>
      <w:tblPr>
        <w:tblStyle w:val="23"/>
        <w:tblW w:w="8758" w:type="dxa"/>
        <w:tblInd w:w="-2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1521"/>
        <w:gridCol w:w="1783"/>
        <w:gridCol w:w="1755"/>
        <w:gridCol w:w="1410"/>
        <w:gridCol w:w="1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vAlign w:val="center"/>
          </w:tcPr>
          <w:p>
            <w:pPr>
              <w:pStyle w:val="8"/>
              <w:spacing w:line="360" w:lineRule="auto"/>
              <w:jc w:val="center"/>
              <w:rPr>
                <w:rFonts w:hAnsi="宋体" w:eastAsia="宋体" w:cs="宋体"/>
                <w:sz w:val="24"/>
                <w:szCs w:val="24"/>
              </w:rPr>
            </w:pPr>
            <w:r>
              <w:rPr>
                <w:rFonts w:hint="eastAsia" w:hAnsi="宋体" w:eastAsia="宋体" w:cs="宋体"/>
                <w:sz w:val="24"/>
                <w:szCs w:val="24"/>
              </w:rPr>
              <w:t>序号</w:t>
            </w:r>
          </w:p>
        </w:tc>
        <w:tc>
          <w:tcPr>
            <w:tcW w:w="1521" w:type="dxa"/>
            <w:vAlign w:val="center"/>
          </w:tcPr>
          <w:p>
            <w:pPr>
              <w:pStyle w:val="8"/>
              <w:spacing w:line="360" w:lineRule="auto"/>
              <w:jc w:val="center"/>
              <w:rPr>
                <w:rFonts w:hAnsi="宋体" w:eastAsia="宋体" w:cs="宋体"/>
                <w:sz w:val="24"/>
                <w:szCs w:val="24"/>
              </w:rPr>
            </w:pPr>
            <w:r>
              <w:rPr>
                <w:rFonts w:hint="eastAsia" w:hAnsi="宋体" w:eastAsia="宋体" w:cs="宋体"/>
                <w:sz w:val="24"/>
              </w:rPr>
              <w:t>产品名称</w:t>
            </w:r>
          </w:p>
        </w:tc>
        <w:tc>
          <w:tcPr>
            <w:tcW w:w="1783" w:type="dxa"/>
            <w:vAlign w:val="center"/>
          </w:tcPr>
          <w:p>
            <w:pPr>
              <w:spacing w:line="500" w:lineRule="exact"/>
              <w:jc w:val="center"/>
              <w:rPr>
                <w:rFonts w:ascii="宋体" w:hAnsi="宋体" w:eastAsia="宋体" w:cs="宋体"/>
                <w:sz w:val="24"/>
              </w:rPr>
            </w:pPr>
            <w:r>
              <w:rPr>
                <w:rFonts w:hint="eastAsia" w:ascii="宋体" w:hAnsi="宋体" w:eastAsia="宋体" w:cs="宋体"/>
                <w:sz w:val="24"/>
                <w:lang w:val="en-US" w:eastAsia="zh-CN"/>
              </w:rPr>
              <w:t>谈判文件</w:t>
            </w:r>
            <w:r>
              <w:rPr>
                <w:rFonts w:hint="eastAsia" w:ascii="宋体" w:hAnsi="宋体" w:eastAsia="宋体" w:cs="宋体"/>
                <w:sz w:val="24"/>
              </w:rPr>
              <w:t>要求</w:t>
            </w:r>
          </w:p>
          <w:p>
            <w:pPr>
              <w:spacing w:line="500" w:lineRule="exact"/>
              <w:jc w:val="center"/>
              <w:rPr>
                <w:rFonts w:ascii="宋体" w:hAnsi="宋体" w:eastAsia="宋体" w:cs="宋体"/>
                <w:sz w:val="24"/>
                <w:szCs w:val="24"/>
              </w:rPr>
            </w:pPr>
            <w:r>
              <w:rPr>
                <w:rFonts w:hint="eastAsia" w:ascii="宋体" w:hAnsi="宋体" w:eastAsia="宋体" w:cs="宋体"/>
                <w:sz w:val="24"/>
              </w:rPr>
              <w:t>技术指标</w:t>
            </w:r>
          </w:p>
        </w:tc>
        <w:tc>
          <w:tcPr>
            <w:tcW w:w="1755" w:type="dxa"/>
            <w:vAlign w:val="center"/>
          </w:tcPr>
          <w:p>
            <w:pPr>
              <w:spacing w:line="500" w:lineRule="exact"/>
              <w:jc w:val="center"/>
              <w:rPr>
                <w:rFonts w:ascii="宋体" w:hAnsi="宋体" w:eastAsia="宋体" w:cs="宋体"/>
                <w:sz w:val="24"/>
              </w:rPr>
            </w:pPr>
            <w:r>
              <w:rPr>
                <w:rFonts w:hint="eastAsia" w:ascii="宋体" w:hAnsi="宋体" w:eastAsia="宋体" w:cs="宋体"/>
                <w:sz w:val="24"/>
                <w:lang w:val="en-US" w:eastAsia="zh-CN"/>
              </w:rPr>
              <w:t>响应</w:t>
            </w:r>
            <w:r>
              <w:rPr>
                <w:rFonts w:hint="eastAsia" w:ascii="宋体" w:hAnsi="宋体" w:eastAsia="宋体" w:cs="宋体"/>
                <w:sz w:val="24"/>
              </w:rPr>
              <w:t>产品</w:t>
            </w:r>
          </w:p>
          <w:p>
            <w:pPr>
              <w:spacing w:line="500" w:lineRule="exact"/>
              <w:jc w:val="center"/>
              <w:rPr>
                <w:rFonts w:ascii="宋体" w:hAnsi="宋体" w:eastAsia="宋体" w:cs="宋体"/>
                <w:sz w:val="24"/>
                <w:szCs w:val="24"/>
              </w:rPr>
            </w:pPr>
            <w:r>
              <w:rPr>
                <w:rFonts w:hint="eastAsia" w:ascii="宋体" w:hAnsi="宋体" w:eastAsia="宋体" w:cs="宋体"/>
                <w:sz w:val="24"/>
              </w:rPr>
              <w:t>技术指标</w:t>
            </w:r>
          </w:p>
        </w:tc>
        <w:tc>
          <w:tcPr>
            <w:tcW w:w="1410" w:type="dxa"/>
            <w:vAlign w:val="center"/>
          </w:tcPr>
          <w:p>
            <w:pPr>
              <w:spacing w:line="500" w:lineRule="exact"/>
              <w:jc w:val="center"/>
              <w:rPr>
                <w:rFonts w:ascii="宋体" w:hAnsi="宋体" w:eastAsia="宋体" w:cs="宋体"/>
                <w:sz w:val="24"/>
                <w:szCs w:val="24"/>
              </w:rPr>
            </w:pPr>
            <w:r>
              <w:rPr>
                <w:rFonts w:hint="eastAsia" w:ascii="宋体" w:hAnsi="宋体" w:eastAsia="宋体" w:cs="宋体"/>
                <w:sz w:val="24"/>
              </w:rPr>
              <w:t>偏离说明</w:t>
            </w:r>
          </w:p>
        </w:tc>
        <w:tc>
          <w:tcPr>
            <w:tcW w:w="1356" w:type="dxa"/>
            <w:vAlign w:val="center"/>
          </w:tcPr>
          <w:p>
            <w:pPr>
              <w:pStyle w:val="8"/>
              <w:spacing w:line="360" w:lineRule="auto"/>
              <w:jc w:val="center"/>
              <w:rPr>
                <w:rFonts w:hAnsi="宋体" w:eastAsia="宋体" w:cs="宋体"/>
                <w:sz w:val="24"/>
                <w:szCs w:val="24"/>
              </w:rPr>
            </w:pPr>
            <w:r>
              <w:rPr>
                <w:rFonts w:hint="eastAsia" w:hAnsi="宋体" w:eastAsia="宋体" w:cs="宋体"/>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8"/>
              <w:spacing w:line="480" w:lineRule="auto"/>
              <w:ind w:firstLine="480" w:firstLineChars="200"/>
              <w:jc w:val="left"/>
              <w:rPr>
                <w:rFonts w:hAnsi="宋体" w:eastAsia="宋体" w:cs="宋体"/>
                <w:sz w:val="24"/>
                <w:szCs w:val="24"/>
              </w:rPr>
            </w:pPr>
          </w:p>
        </w:tc>
        <w:tc>
          <w:tcPr>
            <w:tcW w:w="1521" w:type="dxa"/>
          </w:tcPr>
          <w:p>
            <w:pPr>
              <w:pStyle w:val="8"/>
              <w:spacing w:line="480" w:lineRule="auto"/>
              <w:ind w:firstLine="480" w:firstLineChars="200"/>
              <w:jc w:val="left"/>
              <w:rPr>
                <w:rFonts w:hAnsi="宋体" w:eastAsia="宋体" w:cs="宋体"/>
                <w:sz w:val="24"/>
                <w:szCs w:val="24"/>
              </w:rPr>
            </w:pPr>
          </w:p>
        </w:tc>
        <w:tc>
          <w:tcPr>
            <w:tcW w:w="1783" w:type="dxa"/>
            <w:vAlign w:val="center"/>
          </w:tcPr>
          <w:p>
            <w:pPr>
              <w:pStyle w:val="8"/>
              <w:spacing w:line="480" w:lineRule="auto"/>
              <w:ind w:firstLine="480" w:firstLineChars="200"/>
              <w:jc w:val="left"/>
              <w:rPr>
                <w:rFonts w:hAnsi="宋体" w:eastAsia="宋体" w:cs="宋体"/>
                <w:sz w:val="24"/>
                <w:szCs w:val="24"/>
              </w:rPr>
            </w:pPr>
          </w:p>
        </w:tc>
        <w:tc>
          <w:tcPr>
            <w:tcW w:w="1755" w:type="dxa"/>
            <w:vAlign w:val="center"/>
          </w:tcPr>
          <w:p>
            <w:pPr>
              <w:pStyle w:val="8"/>
              <w:spacing w:line="480" w:lineRule="auto"/>
              <w:ind w:firstLine="480" w:firstLineChars="200"/>
              <w:jc w:val="left"/>
              <w:rPr>
                <w:rFonts w:hAnsi="宋体" w:eastAsia="宋体" w:cs="宋体"/>
                <w:sz w:val="24"/>
                <w:szCs w:val="24"/>
              </w:rPr>
            </w:pPr>
          </w:p>
        </w:tc>
        <w:tc>
          <w:tcPr>
            <w:tcW w:w="1410" w:type="dxa"/>
            <w:vAlign w:val="center"/>
          </w:tcPr>
          <w:p>
            <w:pPr>
              <w:pStyle w:val="8"/>
              <w:spacing w:line="480" w:lineRule="auto"/>
              <w:ind w:firstLine="480" w:firstLineChars="200"/>
              <w:jc w:val="left"/>
              <w:rPr>
                <w:rFonts w:hAnsi="宋体" w:eastAsia="宋体" w:cs="宋体"/>
                <w:sz w:val="24"/>
                <w:szCs w:val="24"/>
              </w:rPr>
            </w:pPr>
          </w:p>
        </w:tc>
        <w:tc>
          <w:tcPr>
            <w:tcW w:w="1356" w:type="dxa"/>
            <w:vAlign w:val="center"/>
          </w:tcPr>
          <w:p>
            <w:pPr>
              <w:pStyle w:val="8"/>
              <w:spacing w:line="480" w:lineRule="auto"/>
              <w:ind w:firstLine="480" w:firstLineChars="200"/>
              <w:jc w:val="left"/>
              <w:rPr>
                <w:rFonts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8"/>
              <w:spacing w:line="480" w:lineRule="auto"/>
              <w:ind w:firstLine="480" w:firstLineChars="200"/>
              <w:jc w:val="left"/>
              <w:rPr>
                <w:rFonts w:hAnsi="宋体" w:eastAsia="宋体" w:cs="宋体"/>
                <w:sz w:val="24"/>
                <w:szCs w:val="24"/>
              </w:rPr>
            </w:pPr>
          </w:p>
        </w:tc>
        <w:tc>
          <w:tcPr>
            <w:tcW w:w="1521" w:type="dxa"/>
          </w:tcPr>
          <w:p>
            <w:pPr>
              <w:pStyle w:val="8"/>
              <w:spacing w:line="480" w:lineRule="auto"/>
              <w:ind w:firstLine="480" w:firstLineChars="200"/>
              <w:jc w:val="left"/>
              <w:rPr>
                <w:rFonts w:hAnsi="宋体" w:eastAsia="宋体" w:cs="宋体"/>
                <w:sz w:val="24"/>
                <w:szCs w:val="24"/>
              </w:rPr>
            </w:pPr>
          </w:p>
        </w:tc>
        <w:tc>
          <w:tcPr>
            <w:tcW w:w="1783" w:type="dxa"/>
          </w:tcPr>
          <w:p>
            <w:pPr>
              <w:pStyle w:val="8"/>
              <w:spacing w:line="480" w:lineRule="auto"/>
              <w:ind w:firstLine="480" w:firstLineChars="200"/>
              <w:jc w:val="left"/>
              <w:rPr>
                <w:rFonts w:hAnsi="宋体" w:eastAsia="宋体" w:cs="宋体"/>
                <w:sz w:val="24"/>
                <w:szCs w:val="24"/>
              </w:rPr>
            </w:pPr>
          </w:p>
        </w:tc>
        <w:tc>
          <w:tcPr>
            <w:tcW w:w="1755" w:type="dxa"/>
          </w:tcPr>
          <w:p>
            <w:pPr>
              <w:pStyle w:val="8"/>
              <w:spacing w:line="480" w:lineRule="auto"/>
              <w:ind w:firstLine="480" w:firstLineChars="200"/>
              <w:jc w:val="left"/>
              <w:rPr>
                <w:rFonts w:hAnsi="宋体" w:eastAsia="宋体" w:cs="宋体"/>
                <w:sz w:val="24"/>
                <w:szCs w:val="24"/>
              </w:rPr>
            </w:pPr>
          </w:p>
        </w:tc>
        <w:tc>
          <w:tcPr>
            <w:tcW w:w="1410" w:type="dxa"/>
          </w:tcPr>
          <w:p>
            <w:pPr>
              <w:pStyle w:val="8"/>
              <w:spacing w:line="480" w:lineRule="auto"/>
              <w:ind w:firstLine="480" w:firstLineChars="200"/>
              <w:jc w:val="left"/>
              <w:rPr>
                <w:rFonts w:hAnsi="宋体" w:eastAsia="宋体" w:cs="宋体"/>
                <w:sz w:val="24"/>
                <w:szCs w:val="24"/>
              </w:rPr>
            </w:pPr>
          </w:p>
        </w:tc>
        <w:tc>
          <w:tcPr>
            <w:tcW w:w="1356" w:type="dxa"/>
          </w:tcPr>
          <w:p>
            <w:pPr>
              <w:pStyle w:val="8"/>
              <w:spacing w:line="480" w:lineRule="auto"/>
              <w:ind w:firstLine="480" w:firstLineChars="200"/>
              <w:jc w:val="left"/>
              <w:rPr>
                <w:rFonts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8"/>
              <w:spacing w:line="480" w:lineRule="auto"/>
              <w:ind w:firstLine="480" w:firstLineChars="200"/>
              <w:jc w:val="left"/>
              <w:rPr>
                <w:rFonts w:hAnsi="宋体" w:eastAsia="宋体" w:cs="宋体"/>
                <w:sz w:val="24"/>
                <w:szCs w:val="24"/>
              </w:rPr>
            </w:pPr>
          </w:p>
        </w:tc>
        <w:tc>
          <w:tcPr>
            <w:tcW w:w="1521" w:type="dxa"/>
          </w:tcPr>
          <w:p>
            <w:pPr>
              <w:pStyle w:val="8"/>
              <w:spacing w:line="480" w:lineRule="auto"/>
              <w:ind w:firstLine="480" w:firstLineChars="200"/>
              <w:jc w:val="left"/>
              <w:rPr>
                <w:rFonts w:hAnsi="宋体" w:eastAsia="宋体" w:cs="宋体"/>
                <w:sz w:val="24"/>
                <w:szCs w:val="24"/>
              </w:rPr>
            </w:pPr>
          </w:p>
        </w:tc>
        <w:tc>
          <w:tcPr>
            <w:tcW w:w="1783" w:type="dxa"/>
          </w:tcPr>
          <w:p>
            <w:pPr>
              <w:pStyle w:val="8"/>
              <w:spacing w:line="480" w:lineRule="auto"/>
              <w:ind w:firstLine="480" w:firstLineChars="200"/>
              <w:jc w:val="left"/>
              <w:rPr>
                <w:rFonts w:hAnsi="宋体" w:eastAsia="宋体" w:cs="宋体"/>
                <w:sz w:val="24"/>
                <w:szCs w:val="24"/>
              </w:rPr>
            </w:pPr>
          </w:p>
        </w:tc>
        <w:tc>
          <w:tcPr>
            <w:tcW w:w="1755" w:type="dxa"/>
          </w:tcPr>
          <w:p>
            <w:pPr>
              <w:pStyle w:val="8"/>
              <w:spacing w:line="480" w:lineRule="auto"/>
              <w:ind w:firstLine="480" w:firstLineChars="200"/>
              <w:jc w:val="left"/>
              <w:rPr>
                <w:rFonts w:hAnsi="宋体" w:eastAsia="宋体" w:cs="宋体"/>
                <w:sz w:val="24"/>
                <w:szCs w:val="24"/>
              </w:rPr>
            </w:pPr>
          </w:p>
        </w:tc>
        <w:tc>
          <w:tcPr>
            <w:tcW w:w="1410" w:type="dxa"/>
          </w:tcPr>
          <w:p>
            <w:pPr>
              <w:pStyle w:val="8"/>
              <w:spacing w:line="480" w:lineRule="auto"/>
              <w:ind w:firstLine="480" w:firstLineChars="200"/>
              <w:jc w:val="left"/>
              <w:rPr>
                <w:rFonts w:hAnsi="宋体" w:eastAsia="宋体" w:cs="宋体"/>
                <w:sz w:val="24"/>
                <w:szCs w:val="24"/>
              </w:rPr>
            </w:pPr>
          </w:p>
        </w:tc>
        <w:tc>
          <w:tcPr>
            <w:tcW w:w="1356" w:type="dxa"/>
          </w:tcPr>
          <w:p>
            <w:pPr>
              <w:pStyle w:val="8"/>
              <w:spacing w:line="480" w:lineRule="auto"/>
              <w:ind w:firstLine="480" w:firstLineChars="200"/>
              <w:jc w:val="left"/>
              <w:rPr>
                <w:rFonts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8"/>
              <w:spacing w:line="480" w:lineRule="auto"/>
              <w:ind w:firstLine="480" w:firstLineChars="200"/>
              <w:jc w:val="left"/>
              <w:rPr>
                <w:rFonts w:hAnsi="宋体" w:eastAsia="宋体" w:cs="宋体"/>
                <w:sz w:val="24"/>
                <w:szCs w:val="24"/>
              </w:rPr>
            </w:pPr>
          </w:p>
        </w:tc>
        <w:tc>
          <w:tcPr>
            <w:tcW w:w="1521" w:type="dxa"/>
          </w:tcPr>
          <w:p>
            <w:pPr>
              <w:pStyle w:val="8"/>
              <w:spacing w:line="480" w:lineRule="auto"/>
              <w:ind w:firstLine="480" w:firstLineChars="200"/>
              <w:jc w:val="left"/>
              <w:rPr>
                <w:rFonts w:hAnsi="宋体" w:eastAsia="宋体" w:cs="宋体"/>
                <w:sz w:val="24"/>
                <w:szCs w:val="24"/>
              </w:rPr>
            </w:pPr>
          </w:p>
        </w:tc>
        <w:tc>
          <w:tcPr>
            <w:tcW w:w="1783" w:type="dxa"/>
          </w:tcPr>
          <w:p>
            <w:pPr>
              <w:pStyle w:val="8"/>
              <w:spacing w:line="480" w:lineRule="auto"/>
              <w:ind w:firstLine="480" w:firstLineChars="200"/>
              <w:jc w:val="left"/>
              <w:rPr>
                <w:rFonts w:hAnsi="宋体" w:eastAsia="宋体" w:cs="宋体"/>
                <w:sz w:val="24"/>
                <w:szCs w:val="24"/>
              </w:rPr>
            </w:pPr>
          </w:p>
        </w:tc>
        <w:tc>
          <w:tcPr>
            <w:tcW w:w="1755" w:type="dxa"/>
          </w:tcPr>
          <w:p>
            <w:pPr>
              <w:pStyle w:val="8"/>
              <w:spacing w:line="480" w:lineRule="auto"/>
              <w:ind w:firstLine="480" w:firstLineChars="200"/>
              <w:jc w:val="left"/>
              <w:rPr>
                <w:rFonts w:hAnsi="宋体" w:eastAsia="宋体" w:cs="宋体"/>
                <w:sz w:val="24"/>
                <w:szCs w:val="24"/>
              </w:rPr>
            </w:pPr>
          </w:p>
        </w:tc>
        <w:tc>
          <w:tcPr>
            <w:tcW w:w="1410" w:type="dxa"/>
          </w:tcPr>
          <w:p>
            <w:pPr>
              <w:pStyle w:val="8"/>
              <w:spacing w:line="480" w:lineRule="auto"/>
              <w:ind w:firstLine="480" w:firstLineChars="200"/>
              <w:jc w:val="left"/>
              <w:rPr>
                <w:rFonts w:hAnsi="宋体" w:eastAsia="宋体" w:cs="宋体"/>
                <w:sz w:val="24"/>
                <w:szCs w:val="24"/>
              </w:rPr>
            </w:pPr>
          </w:p>
        </w:tc>
        <w:tc>
          <w:tcPr>
            <w:tcW w:w="1356" w:type="dxa"/>
          </w:tcPr>
          <w:p>
            <w:pPr>
              <w:pStyle w:val="8"/>
              <w:spacing w:line="480" w:lineRule="auto"/>
              <w:ind w:firstLine="480" w:firstLineChars="200"/>
              <w:jc w:val="left"/>
              <w:rPr>
                <w:rFonts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8"/>
              <w:spacing w:line="480" w:lineRule="auto"/>
              <w:ind w:firstLine="480" w:firstLineChars="200"/>
              <w:jc w:val="left"/>
              <w:rPr>
                <w:rFonts w:hAnsi="宋体" w:eastAsia="宋体" w:cs="宋体"/>
                <w:sz w:val="24"/>
                <w:szCs w:val="24"/>
              </w:rPr>
            </w:pPr>
          </w:p>
        </w:tc>
        <w:tc>
          <w:tcPr>
            <w:tcW w:w="1521" w:type="dxa"/>
          </w:tcPr>
          <w:p>
            <w:pPr>
              <w:pStyle w:val="8"/>
              <w:spacing w:line="480" w:lineRule="auto"/>
              <w:ind w:firstLine="480" w:firstLineChars="200"/>
              <w:jc w:val="left"/>
              <w:rPr>
                <w:rFonts w:hAnsi="宋体" w:eastAsia="宋体" w:cs="宋体"/>
                <w:sz w:val="24"/>
                <w:szCs w:val="24"/>
              </w:rPr>
            </w:pPr>
          </w:p>
        </w:tc>
        <w:tc>
          <w:tcPr>
            <w:tcW w:w="1783" w:type="dxa"/>
          </w:tcPr>
          <w:p>
            <w:pPr>
              <w:pStyle w:val="8"/>
              <w:spacing w:line="480" w:lineRule="auto"/>
              <w:ind w:firstLine="480" w:firstLineChars="200"/>
              <w:jc w:val="left"/>
              <w:rPr>
                <w:rFonts w:hAnsi="宋体" w:eastAsia="宋体" w:cs="宋体"/>
                <w:sz w:val="24"/>
                <w:szCs w:val="24"/>
              </w:rPr>
            </w:pPr>
          </w:p>
        </w:tc>
        <w:tc>
          <w:tcPr>
            <w:tcW w:w="1755" w:type="dxa"/>
          </w:tcPr>
          <w:p>
            <w:pPr>
              <w:pStyle w:val="8"/>
              <w:spacing w:line="480" w:lineRule="auto"/>
              <w:ind w:firstLine="480" w:firstLineChars="200"/>
              <w:jc w:val="left"/>
              <w:rPr>
                <w:rFonts w:hAnsi="宋体" w:eastAsia="宋体" w:cs="宋体"/>
                <w:sz w:val="24"/>
                <w:szCs w:val="24"/>
              </w:rPr>
            </w:pPr>
          </w:p>
        </w:tc>
        <w:tc>
          <w:tcPr>
            <w:tcW w:w="1410" w:type="dxa"/>
          </w:tcPr>
          <w:p>
            <w:pPr>
              <w:pStyle w:val="8"/>
              <w:spacing w:line="480" w:lineRule="auto"/>
              <w:ind w:firstLine="480" w:firstLineChars="200"/>
              <w:jc w:val="left"/>
              <w:rPr>
                <w:rFonts w:hAnsi="宋体" w:eastAsia="宋体" w:cs="宋体"/>
                <w:sz w:val="24"/>
                <w:szCs w:val="24"/>
              </w:rPr>
            </w:pPr>
          </w:p>
        </w:tc>
        <w:tc>
          <w:tcPr>
            <w:tcW w:w="1356" w:type="dxa"/>
          </w:tcPr>
          <w:p>
            <w:pPr>
              <w:pStyle w:val="8"/>
              <w:spacing w:line="480" w:lineRule="auto"/>
              <w:ind w:firstLine="480" w:firstLineChars="200"/>
              <w:jc w:val="left"/>
              <w:rPr>
                <w:rFonts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8"/>
              <w:spacing w:line="480" w:lineRule="auto"/>
              <w:ind w:firstLine="480" w:firstLineChars="200"/>
              <w:jc w:val="left"/>
              <w:rPr>
                <w:rFonts w:hAnsi="宋体" w:eastAsia="宋体" w:cs="宋体"/>
                <w:sz w:val="24"/>
                <w:szCs w:val="24"/>
              </w:rPr>
            </w:pPr>
          </w:p>
        </w:tc>
        <w:tc>
          <w:tcPr>
            <w:tcW w:w="1521" w:type="dxa"/>
          </w:tcPr>
          <w:p>
            <w:pPr>
              <w:pStyle w:val="8"/>
              <w:spacing w:line="480" w:lineRule="auto"/>
              <w:ind w:firstLine="480" w:firstLineChars="200"/>
              <w:jc w:val="left"/>
              <w:rPr>
                <w:rFonts w:hAnsi="宋体" w:eastAsia="宋体" w:cs="宋体"/>
                <w:sz w:val="24"/>
                <w:szCs w:val="24"/>
              </w:rPr>
            </w:pPr>
          </w:p>
        </w:tc>
        <w:tc>
          <w:tcPr>
            <w:tcW w:w="1783" w:type="dxa"/>
          </w:tcPr>
          <w:p>
            <w:pPr>
              <w:pStyle w:val="8"/>
              <w:spacing w:line="480" w:lineRule="auto"/>
              <w:ind w:firstLine="480" w:firstLineChars="200"/>
              <w:jc w:val="left"/>
              <w:rPr>
                <w:rFonts w:hAnsi="宋体" w:eastAsia="宋体" w:cs="宋体"/>
                <w:sz w:val="24"/>
                <w:szCs w:val="24"/>
              </w:rPr>
            </w:pPr>
          </w:p>
        </w:tc>
        <w:tc>
          <w:tcPr>
            <w:tcW w:w="1755" w:type="dxa"/>
          </w:tcPr>
          <w:p>
            <w:pPr>
              <w:pStyle w:val="8"/>
              <w:spacing w:line="480" w:lineRule="auto"/>
              <w:ind w:firstLine="480" w:firstLineChars="200"/>
              <w:jc w:val="left"/>
              <w:rPr>
                <w:rFonts w:hAnsi="宋体" w:eastAsia="宋体" w:cs="宋体"/>
                <w:sz w:val="24"/>
                <w:szCs w:val="24"/>
              </w:rPr>
            </w:pPr>
          </w:p>
        </w:tc>
        <w:tc>
          <w:tcPr>
            <w:tcW w:w="1410" w:type="dxa"/>
          </w:tcPr>
          <w:p>
            <w:pPr>
              <w:pStyle w:val="8"/>
              <w:spacing w:line="480" w:lineRule="auto"/>
              <w:ind w:firstLine="480" w:firstLineChars="200"/>
              <w:jc w:val="left"/>
              <w:rPr>
                <w:rFonts w:hAnsi="宋体" w:eastAsia="宋体" w:cs="宋体"/>
                <w:sz w:val="24"/>
                <w:szCs w:val="24"/>
              </w:rPr>
            </w:pPr>
          </w:p>
        </w:tc>
        <w:tc>
          <w:tcPr>
            <w:tcW w:w="1356" w:type="dxa"/>
          </w:tcPr>
          <w:p>
            <w:pPr>
              <w:pStyle w:val="8"/>
              <w:spacing w:line="480" w:lineRule="auto"/>
              <w:ind w:firstLine="480" w:firstLineChars="200"/>
              <w:jc w:val="left"/>
              <w:rPr>
                <w:rFonts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8"/>
              <w:spacing w:line="480" w:lineRule="auto"/>
              <w:ind w:firstLine="480" w:firstLineChars="200"/>
              <w:jc w:val="left"/>
              <w:rPr>
                <w:rFonts w:hAnsi="宋体" w:eastAsia="宋体" w:cs="宋体"/>
                <w:sz w:val="24"/>
                <w:szCs w:val="24"/>
              </w:rPr>
            </w:pPr>
          </w:p>
        </w:tc>
        <w:tc>
          <w:tcPr>
            <w:tcW w:w="1521" w:type="dxa"/>
          </w:tcPr>
          <w:p>
            <w:pPr>
              <w:pStyle w:val="8"/>
              <w:spacing w:line="480" w:lineRule="auto"/>
              <w:ind w:firstLine="480" w:firstLineChars="200"/>
              <w:jc w:val="left"/>
              <w:rPr>
                <w:rFonts w:hAnsi="宋体" w:eastAsia="宋体" w:cs="宋体"/>
                <w:sz w:val="24"/>
                <w:szCs w:val="24"/>
              </w:rPr>
            </w:pPr>
          </w:p>
        </w:tc>
        <w:tc>
          <w:tcPr>
            <w:tcW w:w="1783" w:type="dxa"/>
          </w:tcPr>
          <w:p>
            <w:pPr>
              <w:pStyle w:val="8"/>
              <w:spacing w:line="480" w:lineRule="auto"/>
              <w:ind w:firstLine="480" w:firstLineChars="200"/>
              <w:jc w:val="left"/>
              <w:rPr>
                <w:rFonts w:hAnsi="宋体" w:eastAsia="宋体" w:cs="宋体"/>
                <w:sz w:val="24"/>
                <w:szCs w:val="24"/>
              </w:rPr>
            </w:pPr>
          </w:p>
        </w:tc>
        <w:tc>
          <w:tcPr>
            <w:tcW w:w="1755" w:type="dxa"/>
          </w:tcPr>
          <w:p>
            <w:pPr>
              <w:pStyle w:val="8"/>
              <w:spacing w:line="480" w:lineRule="auto"/>
              <w:ind w:firstLine="480" w:firstLineChars="200"/>
              <w:jc w:val="left"/>
              <w:rPr>
                <w:rFonts w:hAnsi="宋体" w:eastAsia="宋体" w:cs="宋体"/>
                <w:sz w:val="24"/>
                <w:szCs w:val="24"/>
              </w:rPr>
            </w:pPr>
          </w:p>
        </w:tc>
        <w:tc>
          <w:tcPr>
            <w:tcW w:w="1410" w:type="dxa"/>
          </w:tcPr>
          <w:p>
            <w:pPr>
              <w:pStyle w:val="8"/>
              <w:spacing w:line="480" w:lineRule="auto"/>
              <w:ind w:firstLine="480" w:firstLineChars="200"/>
              <w:jc w:val="left"/>
              <w:rPr>
                <w:rFonts w:hAnsi="宋体" w:eastAsia="宋体" w:cs="宋体"/>
                <w:sz w:val="24"/>
                <w:szCs w:val="24"/>
              </w:rPr>
            </w:pPr>
          </w:p>
        </w:tc>
        <w:tc>
          <w:tcPr>
            <w:tcW w:w="1356" w:type="dxa"/>
          </w:tcPr>
          <w:p>
            <w:pPr>
              <w:pStyle w:val="8"/>
              <w:spacing w:line="480" w:lineRule="auto"/>
              <w:ind w:firstLine="480" w:firstLineChars="200"/>
              <w:jc w:val="left"/>
              <w:rPr>
                <w:rFonts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933" w:type="dxa"/>
          </w:tcPr>
          <w:p>
            <w:pPr>
              <w:pStyle w:val="8"/>
              <w:spacing w:line="480" w:lineRule="auto"/>
              <w:jc w:val="left"/>
              <w:rPr>
                <w:rFonts w:hAnsi="宋体" w:eastAsia="宋体" w:cs="宋体"/>
                <w:sz w:val="24"/>
                <w:szCs w:val="24"/>
              </w:rPr>
            </w:pPr>
          </w:p>
        </w:tc>
        <w:tc>
          <w:tcPr>
            <w:tcW w:w="1521" w:type="dxa"/>
          </w:tcPr>
          <w:p>
            <w:pPr>
              <w:pStyle w:val="8"/>
              <w:spacing w:line="480" w:lineRule="auto"/>
              <w:jc w:val="left"/>
              <w:rPr>
                <w:rFonts w:hAnsi="宋体" w:eastAsia="宋体" w:cs="宋体"/>
                <w:sz w:val="24"/>
                <w:szCs w:val="24"/>
              </w:rPr>
            </w:pPr>
          </w:p>
        </w:tc>
        <w:tc>
          <w:tcPr>
            <w:tcW w:w="1783" w:type="dxa"/>
          </w:tcPr>
          <w:p>
            <w:pPr>
              <w:pStyle w:val="8"/>
              <w:spacing w:line="480" w:lineRule="auto"/>
              <w:ind w:firstLine="480" w:firstLineChars="200"/>
              <w:jc w:val="left"/>
              <w:rPr>
                <w:rFonts w:hAnsi="宋体" w:eastAsia="宋体" w:cs="宋体"/>
                <w:sz w:val="24"/>
                <w:szCs w:val="24"/>
              </w:rPr>
            </w:pPr>
          </w:p>
        </w:tc>
        <w:tc>
          <w:tcPr>
            <w:tcW w:w="1755" w:type="dxa"/>
          </w:tcPr>
          <w:p>
            <w:pPr>
              <w:pStyle w:val="8"/>
              <w:spacing w:line="480" w:lineRule="auto"/>
              <w:ind w:firstLine="480" w:firstLineChars="200"/>
              <w:jc w:val="left"/>
              <w:rPr>
                <w:rFonts w:hAnsi="宋体" w:eastAsia="宋体" w:cs="宋体"/>
                <w:sz w:val="24"/>
                <w:szCs w:val="24"/>
              </w:rPr>
            </w:pPr>
          </w:p>
        </w:tc>
        <w:tc>
          <w:tcPr>
            <w:tcW w:w="1410" w:type="dxa"/>
          </w:tcPr>
          <w:p>
            <w:pPr>
              <w:pStyle w:val="8"/>
              <w:spacing w:line="480" w:lineRule="auto"/>
              <w:ind w:firstLine="480" w:firstLineChars="200"/>
              <w:jc w:val="left"/>
              <w:rPr>
                <w:rFonts w:hAnsi="宋体" w:eastAsia="宋体" w:cs="宋体"/>
                <w:sz w:val="24"/>
                <w:szCs w:val="24"/>
              </w:rPr>
            </w:pPr>
          </w:p>
        </w:tc>
        <w:tc>
          <w:tcPr>
            <w:tcW w:w="1356" w:type="dxa"/>
          </w:tcPr>
          <w:p>
            <w:pPr>
              <w:pStyle w:val="8"/>
              <w:spacing w:line="480" w:lineRule="auto"/>
              <w:ind w:firstLine="480" w:firstLineChars="200"/>
              <w:jc w:val="left"/>
              <w:rPr>
                <w:rFonts w:hAnsi="宋体" w:eastAsia="宋体" w:cs="宋体"/>
                <w:sz w:val="24"/>
                <w:szCs w:val="24"/>
              </w:rPr>
            </w:pPr>
          </w:p>
        </w:tc>
      </w:tr>
    </w:tbl>
    <w:p>
      <w:pPr>
        <w:pStyle w:val="7"/>
        <w:spacing w:line="360" w:lineRule="auto"/>
        <w:ind w:left="140" w:firstLine="0"/>
        <w:rPr>
          <w:rFonts w:ascii="宋体" w:hAnsi="宋体" w:eastAsia="宋体" w:cs="宋体"/>
          <w:b/>
          <w:bCs/>
          <w:sz w:val="24"/>
          <w:szCs w:val="24"/>
        </w:rPr>
      </w:pPr>
      <w:r>
        <w:rPr>
          <w:rFonts w:hint="eastAsia" w:ascii="宋体" w:hAnsi="宋体" w:eastAsia="宋体" w:cs="宋体"/>
          <w:b/>
          <w:bCs/>
          <w:sz w:val="24"/>
          <w:szCs w:val="24"/>
        </w:rPr>
        <w:t>1、本表须按“第五部分采购要求”中所列技术要求进行比较和响应；</w:t>
      </w:r>
    </w:p>
    <w:p>
      <w:pPr>
        <w:pStyle w:val="7"/>
        <w:spacing w:line="360" w:lineRule="auto"/>
        <w:ind w:left="140" w:firstLine="0"/>
        <w:rPr>
          <w:rFonts w:ascii="宋体" w:hAnsi="宋体" w:eastAsia="宋体" w:cs="宋体"/>
          <w:sz w:val="24"/>
          <w:szCs w:val="24"/>
        </w:rPr>
      </w:pPr>
      <w:r>
        <w:rPr>
          <w:rFonts w:hint="eastAsia" w:ascii="宋体" w:hAnsi="宋体" w:eastAsia="宋体" w:cs="宋体"/>
          <w:b/>
          <w:bCs/>
          <w:sz w:val="24"/>
          <w:szCs w:val="24"/>
        </w:rPr>
        <w:t>2、该表必须按照</w:t>
      </w:r>
      <w:r>
        <w:rPr>
          <w:rFonts w:hint="eastAsia" w:ascii="宋体" w:hAnsi="宋体" w:eastAsia="宋体" w:cs="宋体"/>
          <w:b/>
          <w:bCs/>
          <w:sz w:val="24"/>
          <w:szCs w:val="24"/>
          <w:lang w:eastAsia="zh-CN"/>
        </w:rPr>
        <w:t>竞争性谈判文件</w:t>
      </w:r>
      <w:r>
        <w:rPr>
          <w:rFonts w:hint="eastAsia" w:ascii="宋体" w:hAnsi="宋体" w:eastAsia="宋体" w:cs="宋体"/>
          <w:b/>
          <w:bCs/>
          <w:sz w:val="24"/>
          <w:szCs w:val="24"/>
        </w:rPr>
        <w:t>要求逐条如实填写，根据情况在“偏离情况”项填写正偏离或负偏离或无偏离，在“说明”项填写正偏离或负偏离原因。</w:t>
      </w:r>
    </w:p>
    <w:p>
      <w:pPr>
        <w:pStyle w:val="7"/>
        <w:spacing w:line="360" w:lineRule="auto"/>
        <w:ind w:left="140" w:firstLine="0"/>
        <w:rPr>
          <w:rFonts w:ascii="宋体" w:hAnsi="宋体" w:eastAsia="宋体" w:cs="宋体"/>
          <w:sz w:val="24"/>
          <w:szCs w:val="24"/>
        </w:rPr>
      </w:pPr>
      <w:r>
        <w:rPr>
          <w:rFonts w:hint="eastAsia" w:ascii="宋体" w:hAnsi="宋体" w:eastAsia="宋体" w:cs="宋体"/>
          <w:b/>
          <w:bCs/>
          <w:sz w:val="24"/>
          <w:szCs w:val="24"/>
        </w:rPr>
        <w:t>3、该表可扩展。</w:t>
      </w:r>
    </w:p>
    <w:p>
      <w:pPr>
        <w:pStyle w:val="7"/>
        <w:ind w:firstLine="0"/>
        <w:rPr>
          <w:rFonts w:ascii="宋体" w:hAnsi="宋体" w:eastAsia="宋体" w:cs="宋体"/>
          <w:sz w:val="28"/>
          <w:szCs w:val="28"/>
        </w:rPr>
      </w:pPr>
    </w:p>
    <w:p>
      <w:pPr>
        <w:adjustRightInd w:val="0"/>
        <w:snapToGrid w:val="0"/>
        <w:spacing w:line="480" w:lineRule="auto"/>
        <w:jc w:val="left"/>
        <w:rPr>
          <w:rFonts w:ascii="宋体" w:hAnsi="宋体" w:eastAsia="宋体" w:cs="宋体"/>
          <w:sz w:val="24"/>
          <w:szCs w:val="24"/>
          <w:u w:val="single"/>
        </w:rPr>
      </w:pPr>
      <w:r>
        <w:rPr>
          <w:rFonts w:hint="eastAsia" w:ascii="宋体" w:hAnsi="宋体" w:eastAsia="宋体" w:cs="宋体"/>
          <w:sz w:val="24"/>
          <w:szCs w:val="24"/>
        </w:rPr>
        <w:t>供应商（单位名称及公章）：</w:t>
      </w:r>
      <w:r>
        <w:rPr>
          <w:rFonts w:hint="eastAsia" w:ascii="宋体" w:hAnsi="宋体" w:eastAsia="宋体" w:cs="宋体"/>
          <w:sz w:val="28"/>
          <w:szCs w:val="28"/>
        </w:rPr>
        <w:t>______________________</w:t>
      </w:r>
    </w:p>
    <w:p>
      <w:pPr>
        <w:adjustRightInd w:val="0"/>
        <w:snapToGrid w:val="0"/>
        <w:spacing w:line="480" w:lineRule="auto"/>
        <w:rPr>
          <w:rFonts w:ascii="宋体" w:hAnsi="宋体" w:eastAsia="宋体" w:cs="宋体"/>
          <w:sz w:val="24"/>
          <w:szCs w:val="24"/>
        </w:rPr>
      </w:pPr>
      <w:r>
        <w:rPr>
          <w:rFonts w:hint="eastAsia" w:ascii="宋体" w:hAnsi="宋体" w:eastAsia="宋体" w:cs="宋体"/>
          <w:sz w:val="24"/>
          <w:szCs w:val="24"/>
        </w:rPr>
        <w:t>法定代表人或被授权人（签字或盖章）：</w:t>
      </w:r>
      <w:r>
        <w:rPr>
          <w:rFonts w:hint="eastAsia" w:ascii="宋体" w:hAnsi="宋体" w:eastAsia="宋体" w:cs="宋体"/>
          <w:sz w:val="28"/>
          <w:szCs w:val="28"/>
        </w:rPr>
        <w:t>______________________</w:t>
      </w:r>
    </w:p>
    <w:p>
      <w:pPr>
        <w:adjustRightInd w:val="0"/>
        <w:snapToGrid w:val="0"/>
        <w:spacing w:line="480" w:lineRule="auto"/>
        <w:rPr>
          <w:rFonts w:hint="eastAsia" w:ascii="宋体" w:hAnsi="宋体" w:eastAsia="宋体" w:cs="宋体"/>
          <w:sz w:val="28"/>
          <w:szCs w:val="28"/>
          <w:lang w:val="en-US" w:eastAsia="zh-CN"/>
        </w:rPr>
        <w:sectPr>
          <w:pgSz w:w="11906" w:h="16838"/>
          <w:pgMar w:top="1440" w:right="1803" w:bottom="1440" w:left="1803" w:header="851" w:footer="992" w:gutter="0"/>
          <w:pgNumType w:fmt="decimal"/>
          <w:cols w:space="720" w:num="1"/>
          <w:docGrid w:type="lines" w:linePitch="319" w:charSpace="0"/>
        </w:sectPr>
      </w:pPr>
      <w:r>
        <w:rPr>
          <w:rFonts w:hint="eastAsia" w:ascii="宋体" w:hAnsi="宋体" w:eastAsia="宋体" w:cs="宋体"/>
          <w:sz w:val="24"/>
          <w:szCs w:val="24"/>
        </w:rPr>
        <w:t xml:space="preserve">日    期： </w:t>
      </w:r>
      <w:r>
        <w:rPr>
          <w:rFonts w:hint="eastAsia" w:ascii="宋体" w:hAnsi="宋体" w:eastAsia="宋体" w:cs="宋体"/>
          <w:sz w:val="28"/>
          <w:szCs w:val="28"/>
        </w:rPr>
        <w:t>_____</w:t>
      </w:r>
      <w:r>
        <w:rPr>
          <w:rFonts w:hint="eastAsia" w:ascii="宋体" w:hAnsi="宋体" w:eastAsia="宋体" w:cs="宋体"/>
          <w:sz w:val="24"/>
          <w:szCs w:val="24"/>
        </w:rPr>
        <w:t>年</w:t>
      </w:r>
      <w:r>
        <w:rPr>
          <w:rFonts w:hint="eastAsia" w:ascii="宋体" w:hAnsi="宋体" w:eastAsia="宋体" w:cs="宋体"/>
          <w:sz w:val="28"/>
          <w:szCs w:val="28"/>
        </w:rPr>
        <w:t>_____</w:t>
      </w:r>
      <w:r>
        <w:rPr>
          <w:rFonts w:hint="eastAsia" w:ascii="宋体" w:hAnsi="宋体" w:eastAsia="宋体" w:cs="宋体"/>
          <w:sz w:val="24"/>
          <w:szCs w:val="24"/>
        </w:rPr>
        <w:t xml:space="preserve"> 月</w:t>
      </w:r>
      <w:r>
        <w:rPr>
          <w:rFonts w:hint="eastAsia" w:ascii="宋体" w:hAnsi="宋体" w:eastAsia="宋体" w:cs="宋体"/>
          <w:sz w:val="28"/>
          <w:szCs w:val="28"/>
        </w:rPr>
        <w:t>_____</w:t>
      </w:r>
      <w:r>
        <w:rPr>
          <w:rFonts w:hint="eastAsia" w:ascii="宋体" w:hAnsi="宋体" w:eastAsia="宋体" w:cs="宋体"/>
          <w:sz w:val="28"/>
          <w:szCs w:val="28"/>
          <w:lang w:val="en-US" w:eastAsia="zh-CN"/>
        </w:rPr>
        <w:t>日</w:t>
      </w:r>
    </w:p>
    <w:p>
      <w:pPr>
        <w:pStyle w:val="4"/>
        <w:rPr>
          <w:rFonts w:ascii="宋体" w:hAnsi="宋体" w:cs="宋体"/>
        </w:rPr>
      </w:pPr>
      <w:bookmarkStart w:id="82" w:name="_Toc15377"/>
      <w:r>
        <w:rPr>
          <w:rFonts w:hint="eastAsia" w:ascii="宋体" w:hAnsi="宋体" w:cs="宋体"/>
        </w:rPr>
        <w:t>第四部分</w:t>
      </w:r>
      <w:bookmarkEnd w:id="79"/>
      <w:bookmarkEnd w:id="81"/>
      <w:r>
        <w:rPr>
          <w:rFonts w:hint="eastAsia" w:ascii="宋体" w:hAnsi="宋体" w:cs="宋体"/>
        </w:rPr>
        <w:t xml:space="preserve"> 供应商资格要求</w:t>
      </w:r>
      <w:bookmarkEnd w:id="82"/>
    </w:p>
    <w:p>
      <w:pPr>
        <w:snapToGrid w:val="0"/>
        <w:spacing w:line="360" w:lineRule="auto"/>
        <w:ind w:right="-199" w:rightChars="-95"/>
        <w:jc w:val="left"/>
        <w:rPr>
          <w:rFonts w:ascii="宋体" w:hAnsi="宋体" w:eastAsia="宋体" w:cs="宋体"/>
          <w:bCs/>
          <w:kern w:val="0"/>
          <w:sz w:val="24"/>
          <w:szCs w:val="24"/>
        </w:rPr>
      </w:pPr>
    </w:p>
    <w:p>
      <w:pPr>
        <w:snapToGrid w:val="0"/>
        <w:spacing w:line="360" w:lineRule="auto"/>
        <w:ind w:right="-199" w:rightChars="-95"/>
        <w:jc w:val="left"/>
        <w:rPr>
          <w:rFonts w:ascii="宋体" w:hAnsi="宋体" w:cs="宋体"/>
          <w:b/>
          <w:bCs/>
          <w:sz w:val="36"/>
          <w:szCs w:val="36"/>
        </w:rPr>
      </w:pPr>
      <w:bookmarkStart w:id="83" w:name="_Toc1408"/>
      <w:r>
        <w:rPr>
          <w:rFonts w:hint="eastAsia" w:ascii="宋体" w:hAnsi="宋体" w:cs="宋体"/>
          <w:kern w:val="0"/>
          <w:sz w:val="24"/>
          <w:szCs w:val="24"/>
        </w:rPr>
        <w:t>供应商根据招采购文件公告资格要求内容附资格证明文件。</w:t>
      </w:r>
    </w:p>
    <w:p>
      <w:pPr>
        <w:rPr>
          <w:rFonts w:hint="eastAsia" w:ascii="宋体" w:hAnsi="宋体" w:cs="宋体"/>
          <w:sz w:val="24"/>
          <w:szCs w:val="24"/>
        </w:rPr>
        <w:sectPr>
          <w:pgSz w:w="11906" w:h="16838"/>
          <w:pgMar w:top="1440" w:right="1803" w:bottom="1440" w:left="1803" w:header="851" w:footer="992" w:gutter="0"/>
          <w:pgNumType w:fmt="decimal"/>
          <w:cols w:space="720" w:num="1"/>
          <w:docGrid w:type="lines" w:linePitch="319" w:charSpace="0"/>
        </w:sectPr>
      </w:pPr>
    </w:p>
    <w:p>
      <w:pPr>
        <w:rPr>
          <w:rFonts w:ascii="宋体" w:hAnsi="宋体" w:cs="宋体"/>
          <w:sz w:val="24"/>
          <w:szCs w:val="24"/>
        </w:rPr>
      </w:pPr>
      <w:r>
        <w:rPr>
          <w:rFonts w:hint="eastAsia" w:ascii="宋体" w:hAnsi="宋体" w:cs="宋体"/>
          <w:sz w:val="24"/>
          <w:szCs w:val="24"/>
        </w:rPr>
        <w:t>（一）基本资格条件</w:t>
      </w:r>
    </w:p>
    <w:p>
      <w:pPr>
        <w:rPr>
          <w:rFonts w:ascii="宋体" w:hAnsi="宋体" w:cs="宋体"/>
          <w:sz w:val="24"/>
          <w:szCs w:val="24"/>
        </w:rPr>
      </w:pPr>
    </w:p>
    <w:p>
      <w:pPr>
        <w:pStyle w:val="9"/>
        <w:rPr>
          <w:rFonts w:ascii="宋体" w:hAnsi="宋体" w:cs="宋体"/>
          <w:color w:val="auto"/>
          <w:sz w:val="32"/>
          <w:szCs w:val="32"/>
        </w:rPr>
      </w:pPr>
      <w:r>
        <w:rPr>
          <w:rFonts w:hint="eastAsia" w:ascii="宋体" w:hAnsi="宋体" w:cs="宋体"/>
          <w:color w:val="auto"/>
          <w:sz w:val="32"/>
          <w:szCs w:val="32"/>
        </w:rPr>
        <w:t>满足《中华人民共和国政府采购法》第二十二条规定的</w:t>
      </w:r>
    </w:p>
    <w:p>
      <w:pPr>
        <w:pStyle w:val="9"/>
        <w:jc w:val="center"/>
        <w:rPr>
          <w:rFonts w:ascii="宋体" w:hAnsi="宋体" w:cs="宋体"/>
          <w:color w:val="auto"/>
          <w:sz w:val="32"/>
          <w:szCs w:val="32"/>
        </w:rPr>
      </w:pPr>
      <w:r>
        <w:rPr>
          <w:rFonts w:hint="eastAsia" w:ascii="宋体" w:hAnsi="宋体" w:cs="宋体"/>
          <w:color w:val="auto"/>
          <w:sz w:val="32"/>
          <w:szCs w:val="32"/>
        </w:rPr>
        <w:t>资格承诺（格式）</w:t>
      </w:r>
    </w:p>
    <w:p>
      <w:pPr>
        <w:widowControl/>
        <w:snapToGrid w:val="0"/>
        <w:spacing w:line="480" w:lineRule="auto"/>
        <w:jc w:val="left"/>
        <w:rPr>
          <w:rFonts w:ascii="宋体" w:hAnsi="宋体" w:cs="宋体"/>
          <w:kern w:val="0"/>
          <w:sz w:val="24"/>
          <w:szCs w:val="24"/>
        </w:rPr>
      </w:pPr>
      <w:r>
        <w:rPr>
          <w:rFonts w:hint="eastAsia" w:ascii="宋体" w:hAnsi="宋体" w:cs="宋体"/>
          <w:kern w:val="0"/>
          <w:sz w:val="24"/>
          <w:szCs w:val="24"/>
        </w:rPr>
        <w:t>(采购人名称）_______________________：</w:t>
      </w:r>
    </w:p>
    <w:p>
      <w:pPr>
        <w:widowControl/>
        <w:snapToGrid w:val="0"/>
        <w:spacing w:line="480" w:lineRule="auto"/>
        <w:ind w:firstLine="480" w:firstLineChars="200"/>
        <w:jc w:val="left"/>
        <w:rPr>
          <w:rFonts w:ascii="宋体" w:hAnsi="宋体" w:cs="宋体"/>
          <w:kern w:val="0"/>
          <w:sz w:val="24"/>
          <w:szCs w:val="24"/>
        </w:rPr>
      </w:pPr>
      <w:r>
        <w:rPr>
          <w:rFonts w:hint="eastAsia" w:ascii="宋体" w:hAnsi="宋体" w:cs="宋体"/>
          <w:kern w:val="0"/>
          <w:sz w:val="24"/>
          <w:szCs w:val="24"/>
        </w:rPr>
        <w:t>我单位参与陕西卓佲项目管理有限公司组织________________________(项目名称)</w:t>
      </w:r>
      <w:r>
        <w:rPr>
          <w:rFonts w:hint="eastAsia" w:ascii="宋体" w:hAnsi="宋体" w:cs="宋体"/>
          <w:kern w:val="0"/>
          <w:sz w:val="24"/>
          <w:szCs w:val="24"/>
          <w:lang w:eastAsia="zh-CN"/>
        </w:rPr>
        <w:t>竞争性谈判</w:t>
      </w:r>
      <w:r>
        <w:rPr>
          <w:rFonts w:hint="eastAsia" w:ascii="宋体" w:hAnsi="宋体" w:cs="宋体"/>
          <w:kern w:val="0"/>
          <w:sz w:val="24"/>
          <w:szCs w:val="24"/>
        </w:rPr>
        <w:t>，我公司符合《中华人民共和国政府采购法》规定的供应商资格条件：</w:t>
      </w:r>
    </w:p>
    <w:p>
      <w:pPr>
        <w:numPr>
          <w:ilvl w:val="0"/>
          <w:numId w:val="18"/>
        </w:numPr>
        <w:spacing w:line="500" w:lineRule="exact"/>
        <w:jc w:val="left"/>
        <w:rPr>
          <w:rFonts w:ascii="宋体" w:hAnsi="宋体" w:cs="宋体"/>
          <w:sz w:val="24"/>
          <w:szCs w:val="24"/>
        </w:rPr>
      </w:pPr>
      <w:r>
        <w:rPr>
          <w:rFonts w:hint="eastAsia" w:ascii="宋体" w:hAnsi="宋体" w:cs="宋体"/>
          <w:sz w:val="24"/>
          <w:szCs w:val="24"/>
        </w:rPr>
        <w:t>具有独立承担民事责任的能力；</w:t>
      </w:r>
    </w:p>
    <w:p>
      <w:pPr>
        <w:numPr>
          <w:ilvl w:val="0"/>
          <w:numId w:val="18"/>
        </w:numPr>
        <w:spacing w:line="500" w:lineRule="exact"/>
        <w:jc w:val="left"/>
        <w:rPr>
          <w:rFonts w:ascii="宋体" w:hAnsi="宋体" w:cs="宋体"/>
          <w:sz w:val="24"/>
          <w:szCs w:val="24"/>
        </w:rPr>
      </w:pPr>
      <w:r>
        <w:rPr>
          <w:rFonts w:hint="eastAsia" w:ascii="宋体" w:hAnsi="宋体" w:cs="宋体"/>
          <w:sz w:val="24"/>
          <w:szCs w:val="24"/>
        </w:rPr>
        <w:t>具有良好的商业信誉和健全的财务会计制度；</w:t>
      </w:r>
    </w:p>
    <w:p>
      <w:pPr>
        <w:numPr>
          <w:ilvl w:val="0"/>
          <w:numId w:val="18"/>
        </w:numPr>
        <w:spacing w:line="500" w:lineRule="exact"/>
        <w:jc w:val="left"/>
        <w:rPr>
          <w:rFonts w:ascii="宋体" w:hAnsi="宋体" w:cs="宋体"/>
          <w:sz w:val="24"/>
          <w:szCs w:val="24"/>
        </w:rPr>
      </w:pPr>
      <w:r>
        <w:rPr>
          <w:rFonts w:hint="eastAsia" w:ascii="宋体" w:hAnsi="宋体" w:cs="宋体"/>
          <w:sz w:val="24"/>
          <w:szCs w:val="24"/>
        </w:rPr>
        <w:t>具有履行合同所必需的设备和专业技术能力；</w:t>
      </w:r>
    </w:p>
    <w:p>
      <w:pPr>
        <w:numPr>
          <w:ilvl w:val="0"/>
          <w:numId w:val="18"/>
        </w:numPr>
        <w:spacing w:line="500" w:lineRule="exact"/>
        <w:jc w:val="left"/>
        <w:rPr>
          <w:rFonts w:ascii="宋体" w:hAnsi="宋体" w:cs="宋体"/>
          <w:sz w:val="24"/>
          <w:szCs w:val="24"/>
        </w:rPr>
      </w:pPr>
      <w:r>
        <w:rPr>
          <w:rFonts w:hint="eastAsia" w:ascii="宋体" w:hAnsi="宋体" w:cs="宋体"/>
          <w:sz w:val="24"/>
          <w:szCs w:val="24"/>
        </w:rPr>
        <w:t>具有依法缴纳税收和社会保障资金的良好记录；</w:t>
      </w:r>
    </w:p>
    <w:p>
      <w:pPr>
        <w:numPr>
          <w:ilvl w:val="0"/>
          <w:numId w:val="18"/>
        </w:numPr>
        <w:spacing w:line="500" w:lineRule="exact"/>
        <w:jc w:val="left"/>
        <w:rPr>
          <w:rFonts w:ascii="宋体" w:hAnsi="宋体" w:cs="宋体"/>
          <w:sz w:val="24"/>
          <w:szCs w:val="24"/>
        </w:rPr>
      </w:pPr>
      <w:r>
        <w:rPr>
          <w:rFonts w:hint="eastAsia" w:ascii="宋体" w:hAnsi="宋体" w:cs="宋体"/>
          <w:sz w:val="24"/>
          <w:szCs w:val="24"/>
        </w:rPr>
        <w:t>参加此项采购活动前三年内，在经营活动中没有重大违法记录；</w:t>
      </w:r>
    </w:p>
    <w:p>
      <w:pPr>
        <w:numPr>
          <w:ilvl w:val="0"/>
          <w:numId w:val="18"/>
        </w:numPr>
        <w:spacing w:line="500" w:lineRule="exact"/>
        <w:jc w:val="left"/>
        <w:rPr>
          <w:rFonts w:ascii="宋体" w:hAnsi="宋体" w:cs="宋体"/>
          <w:sz w:val="24"/>
          <w:szCs w:val="24"/>
        </w:rPr>
      </w:pPr>
      <w:r>
        <w:rPr>
          <w:rFonts w:hint="eastAsia" w:ascii="宋体" w:hAnsi="宋体" w:cs="宋体"/>
          <w:sz w:val="24"/>
          <w:szCs w:val="24"/>
        </w:rPr>
        <w:t>法律、行政法规规定的其他条件。</w:t>
      </w:r>
    </w:p>
    <w:p>
      <w:pPr>
        <w:pStyle w:val="9"/>
        <w:rPr>
          <w:rFonts w:ascii="宋体" w:hAnsi="宋体" w:cs="宋体"/>
        </w:rPr>
      </w:pPr>
    </w:p>
    <w:p>
      <w:pPr>
        <w:widowControl/>
        <w:snapToGrid w:val="0"/>
        <w:spacing w:line="480" w:lineRule="auto"/>
        <w:ind w:firstLine="480" w:firstLineChars="200"/>
        <w:jc w:val="left"/>
        <w:rPr>
          <w:rFonts w:ascii="宋体" w:hAnsi="宋体" w:cs="宋体"/>
          <w:kern w:val="0"/>
          <w:sz w:val="24"/>
          <w:szCs w:val="24"/>
        </w:rPr>
      </w:pPr>
      <w:r>
        <w:rPr>
          <w:rFonts w:hint="eastAsia" w:ascii="宋体" w:hAnsi="宋体" w:cs="宋体"/>
          <w:kern w:val="0"/>
          <w:sz w:val="24"/>
          <w:szCs w:val="24"/>
        </w:rPr>
        <w:t>我方对此声明负全部法律责任。</w:t>
      </w:r>
    </w:p>
    <w:p>
      <w:pPr>
        <w:pStyle w:val="8"/>
        <w:spacing w:line="500" w:lineRule="exact"/>
        <w:jc w:val="left"/>
        <w:rPr>
          <w:rFonts w:hAnsi="宋体" w:cs="宋体"/>
          <w:sz w:val="24"/>
          <w:szCs w:val="24"/>
        </w:rPr>
      </w:pPr>
    </w:p>
    <w:p>
      <w:pPr>
        <w:pStyle w:val="8"/>
        <w:spacing w:line="480" w:lineRule="auto"/>
        <w:jc w:val="left"/>
        <w:rPr>
          <w:rFonts w:hAnsi="宋体" w:cs="宋体"/>
          <w:sz w:val="24"/>
        </w:rPr>
      </w:pPr>
    </w:p>
    <w:p>
      <w:pPr>
        <w:pStyle w:val="8"/>
        <w:spacing w:line="480" w:lineRule="auto"/>
        <w:jc w:val="left"/>
        <w:rPr>
          <w:rFonts w:hAnsi="宋体" w:cs="宋体"/>
          <w:sz w:val="24"/>
        </w:rPr>
      </w:pPr>
      <w:r>
        <w:rPr>
          <w:rFonts w:hint="eastAsia" w:hAnsi="宋体" w:cs="宋体"/>
          <w:sz w:val="24"/>
        </w:rPr>
        <w:t>供应商（单位名称及公章）：</w:t>
      </w:r>
      <w:r>
        <w:rPr>
          <w:rFonts w:hint="eastAsia" w:hAnsi="宋体" w:cs="宋体"/>
          <w:sz w:val="28"/>
          <w:szCs w:val="28"/>
        </w:rPr>
        <w:t>______________________</w:t>
      </w:r>
    </w:p>
    <w:p>
      <w:pPr>
        <w:pStyle w:val="8"/>
        <w:spacing w:line="480" w:lineRule="auto"/>
        <w:jc w:val="left"/>
        <w:rPr>
          <w:rFonts w:hAnsi="宋体" w:cs="宋体"/>
          <w:sz w:val="24"/>
        </w:rPr>
      </w:pPr>
      <w:r>
        <w:rPr>
          <w:rFonts w:hint="eastAsia" w:hAnsi="宋体" w:cs="宋体"/>
          <w:sz w:val="24"/>
        </w:rPr>
        <w:t>法定代表人或被授权人（签字或盖章）：</w:t>
      </w:r>
      <w:r>
        <w:rPr>
          <w:rFonts w:hint="eastAsia" w:hAnsi="宋体" w:cs="宋体"/>
          <w:sz w:val="28"/>
          <w:szCs w:val="28"/>
        </w:rPr>
        <w:t>______________________</w:t>
      </w:r>
    </w:p>
    <w:p>
      <w:pPr>
        <w:adjustRightInd w:val="0"/>
        <w:snapToGrid w:val="0"/>
        <w:spacing w:line="480" w:lineRule="auto"/>
        <w:rPr>
          <w:rFonts w:ascii="宋体" w:hAnsi="宋体" w:cs="宋体"/>
          <w:sz w:val="24"/>
          <w:szCs w:val="24"/>
        </w:rPr>
      </w:pPr>
      <w:r>
        <w:rPr>
          <w:rFonts w:hint="eastAsia" w:ascii="宋体" w:hAnsi="宋体" w:cs="宋体"/>
          <w:kern w:val="0"/>
          <w:sz w:val="24"/>
        </w:rPr>
        <w:t>日    期：</w:t>
      </w:r>
      <w:r>
        <w:rPr>
          <w:rFonts w:hint="eastAsia" w:ascii="宋体" w:hAnsi="宋体" w:eastAsia="宋体" w:cs="宋体"/>
          <w:sz w:val="28"/>
          <w:szCs w:val="28"/>
        </w:rPr>
        <w:t>_____</w:t>
      </w:r>
      <w:r>
        <w:rPr>
          <w:rFonts w:hint="eastAsia" w:ascii="宋体" w:hAnsi="宋体" w:eastAsia="宋体" w:cs="宋体"/>
          <w:sz w:val="24"/>
          <w:szCs w:val="24"/>
        </w:rPr>
        <w:t>年</w:t>
      </w:r>
      <w:r>
        <w:rPr>
          <w:rFonts w:hint="eastAsia" w:ascii="宋体" w:hAnsi="宋体" w:eastAsia="宋体" w:cs="宋体"/>
          <w:sz w:val="28"/>
          <w:szCs w:val="28"/>
        </w:rPr>
        <w:t>_____</w:t>
      </w:r>
      <w:r>
        <w:rPr>
          <w:rFonts w:hint="eastAsia" w:ascii="宋体" w:hAnsi="宋体" w:eastAsia="宋体" w:cs="宋体"/>
          <w:sz w:val="24"/>
          <w:szCs w:val="24"/>
        </w:rPr>
        <w:t xml:space="preserve"> 月</w:t>
      </w:r>
      <w:r>
        <w:rPr>
          <w:rFonts w:hint="eastAsia" w:ascii="宋体" w:hAnsi="宋体" w:eastAsia="宋体" w:cs="宋体"/>
          <w:sz w:val="28"/>
          <w:szCs w:val="28"/>
        </w:rPr>
        <w:t>_____</w:t>
      </w:r>
      <w:r>
        <w:rPr>
          <w:rFonts w:hint="eastAsia" w:ascii="宋体" w:hAnsi="宋体" w:eastAsia="宋体" w:cs="宋体"/>
          <w:sz w:val="28"/>
          <w:szCs w:val="28"/>
          <w:lang w:val="en-US" w:eastAsia="zh-CN"/>
        </w:rPr>
        <w:t>日</w:t>
      </w:r>
    </w:p>
    <w:p>
      <w:pPr>
        <w:spacing w:line="360" w:lineRule="auto"/>
        <w:rPr>
          <w:rFonts w:hint="eastAsia" w:ascii="宋体" w:hAnsi="宋体" w:cs="宋体"/>
          <w:sz w:val="24"/>
          <w:szCs w:val="24"/>
        </w:rPr>
        <w:sectPr>
          <w:pgSz w:w="11906" w:h="16838"/>
          <w:pgMar w:top="1440" w:right="1803" w:bottom="1440" w:left="1803" w:header="851" w:footer="992" w:gutter="0"/>
          <w:pgNumType w:fmt="decimal"/>
          <w:cols w:space="720" w:num="1"/>
          <w:docGrid w:type="lines" w:linePitch="319" w:charSpace="0"/>
        </w:sectPr>
      </w:pPr>
    </w:p>
    <w:p>
      <w:pPr>
        <w:spacing w:line="360" w:lineRule="auto"/>
        <w:rPr>
          <w:rFonts w:ascii="宋体" w:cs="宋体"/>
          <w:sz w:val="24"/>
          <w:szCs w:val="24"/>
        </w:rPr>
      </w:pPr>
      <w:r>
        <w:rPr>
          <w:rFonts w:hint="eastAsia" w:ascii="宋体" w:hAnsi="宋体" w:cs="宋体"/>
          <w:sz w:val="24"/>
          <w:szCs w:val="24"/>
          <w:lang w:eastAsia="zh-CN"/>
        </w:rPr>
        <w:t>（二）</w:t>
      </w:r>
      <w:r>
        <w:rPr>
          <w:rFonts w:hint="eastAsia" w:ascii="宋体" w:hAnsi="宋体" w:cs="宋体"/>
          <w:sz w:val="24"/>
          <w:szCs w:val="24"/>
        </w:rPr>
        <w:t>特定资格条件：</w:t>
      </w:r>
    </w:p>
    <w:p>
      <w:pPr>
        <w:spacing w:line="360" w:lineRule="auto"/>
        <w:ind w:firstLine="480" w:firstLineChars="200"/>
        <w:rPr>
          <w:rFonts w:ascii="宋体" w:hAnsi="宋体" w:cs="宋体"/>
          <w:sz w:val="24"/>
          <w:szCs w:val="24"/>
        </w:rPr>
      </w:pPr>
      <w:r>
        <w:rPr>
          <w:rFonts w:hint="eastAsia" w:ascii="宋体" w:hAnsi="宋体" w:cs="宋体"/>
          <w:sz w:val="24"/>
          <w:szCs w:val="24"/>
        </w:rPr>
        <w:t>1、具有独立承担民事责任能力的法人、其他组织或自然人，提供合法有效的统一社会信用代码营业执照（事业单位提供事业单位法人证书，自然人应提供身份证）；</w:t>
      </w:r>
    </w:p>
    <w:p>
      <w:pPr>
        <w:spacing w:line="360" w:lineRule="auto"/>
        <w:ind w:firstLine="480" w:firstLineChars="200"/>
        <w:rPr>
          <w:rFonts w:ascii="宋体" w:hAnsi="宋体" w:cs="宋体"/>
          <w:sz w:val="24"/>
          <w:szCs w:val="24"/>
        </w:rPr>
      </w:pPr>
      <w:r>
        <w:rPr>
          <w:rFonts w:hint="eastAsia" w:ascii="宋体" w:hAnsi="宋体" w:cs="宋体"/>
          <w:sz w:val="24"/>
          <w:szCs w:val="24"/>
        </w:rPr>
        <w:t>2、财务状况证明：供应商提供</w:t>
      </w:r>
      <w:r>
        <w:rPr>
          <w:rFonts w:hint="eastAsia" w:ascii="宋体" w:hAnsi="宋体" w:cs="宋体"/>
          <w:sz w:val="24"/>
          <w:szCs w:val="24"/>
          <w:lang w:val="en-US" w:eastAsia="zh-CN"/>
        </w:rPr>
        <w:t>2021年</w:t>
      </w:r>
      <w:r>
        <w:rPr>
          <w:rFonts w:hint="eastAsia" w:ascii="宋体" w:hAnsi="宋体" w:cs="宋体"/>
          <w:sz w:val="24"/>
          <w:szCs w:val="24"/>
        </w:rPr>
        <w:t>度经审计完整的财务审计报告（成立时间至提交</w:t>
      </w:r>
      <w:r>
        <w:rPr>
          <w:rFonts w:hint="eastAsia" w:ascii="宋体" w:hAnsi="宋体" w:cs="宋体"/>
          <w:sz w:val="24"/>
          <w:szCs w:val="24"/>
          <w:lang w:eastAsia="zh-CN"/>
        </w:rPr>
        <w:t>响应文件</w:t>
      </w:r>
      <w:r>
        <w:rPr>
          <w:rFonts w:hint="eastAsia" w:ascii="宋体" w:hAnsi="宋体" w:cs="宋体"/>
          <w:sz w:val="24"/>
          <w:szCs w:val="24"/>
        </w:rPr>
        <w:t>截止时间不足一年的可提供成立后任意时段的资产负债表），或其开标前三个月内银行出具的资信证明，或财政部门认可的政府采购专业担保机构出具的投标担保函；</w:t>
      </w:r>
    </w:p>
    <w:p>
      <w:pPr>
        <w:keepNext/>
        <w:keepLines/>
        <w:spacing w:line="413" w:lineRule="auto"/>
        <w:jc w:val="center"/>
        <w:rPr>
          <w:rFonts w:ascii="宋体" w:hAnsi="宋体" w:cs="宋体"/>
          <w:sz w:val="32"/>
          <w:szCs w:val="24"/>
        </w:rPr>
        <w:sectPr>
          <w:headerReference r:id="rId12" w:type="default"/>
          <w:pgSz w:w="11906" w:h="16838"/>
          <w:pgMar w:top="1440" w:right="1803" w:bottom="1440" w:left="1803" w:header="851" w:footer="992" w:gutter="0"/>
          <w:pgNumType w:fmt="decimal"/>
          <w:cols w:space="720" w:num="1"/>
          <w:docGrid w:type="lines" w:linePitch="319" w:charSpace="0"/>
        </w:sectPr>
      </w:pPr>
    </w:p>
    <w:p>
      <w:pPr>
        <w:keepNext/>
        <w:keepLines/>
        <w:spacing w:line="413" w:lineRule="auto"/>
        <w:jc w:val="center"/>
        <w:rPr>
          <w:rFonts w:ascii="宋体" w:hAnsi="宋体" w:cs="宋体"/>
          <w:sz w:val="32"/>
          <w:szCs w:val="24"/>
        </w:rPr>
      </w:pPr>
      <w:r>
        <w:rPr>
          <w:rFonts w:hint="eastAsia" w:ascii="宋体" w:hAnsi="宋体" w:cs="宋体"/>
          <w:sz w:val="32"/>
          <w:szCs w:val="24"/>
        </w:rPr>
        <w:t>3、履行合同所必需的设备和专业技术能力声明（格式）</w:t>
      </w:r>
    </w:p>
    <w:p>
      <w:pPr>
        <w:rPr>
          <w:rFonts w:ascii="宋体" w:hAnsi="宋体" w:cs="宋体"/>
        </w:rPr>
      </w:pPr>
    </w:p>
    <w:p>
      <w:pPr>
        <w:widowControl/>
        <w:snapToGrid w:val="0"/>
        <w:spacing w:line="480" w:lineRule="auto"/>
        <w:jc w:val="left"/>
        <w:rPr>
          <w:rFonts w:ascii="宋体" w:hAnsi="宋体" w:cs="宋体"/>
          <w:kern w:val="0"/>
          <w:sz w:val="24"/>
          <w:szCs w:val="24"/>
        </w:rPr>
      </w:pPr>
      <w:r>
        <w:rPr>
          <w:rFonts w:hint="eastAsia" w:ascii="宋体" w:hAnsi="宋体" w:cs="宋体"/>
          <w:kern w:val="0"/>
          <w:sz w:val="24"/>
          <w:szCs w:val="24"/>
        </w:rPr>
        <w:t>(采购人名称）_______________________：</w:t>
      </w:r>
    </w:p>
    <w:p>
      <w:pPr>
        <w:widowControl/>
        <w:snapToGrid w:val="0"/>
        <w:spacing w:line="480" w:lineRule="auto"/>
        <w:ind w:firstLine="720" w:firstLineChars="300"/>
        <w:jc w:val="left"/>
        <w:rPr>
          <w:rFonts w:ascii="宋体" w:hAnsi="宋体" w:cs="宋体"/>
          <w:kern w:val="0"/>
          <w:sz w:val="24"/>
          <w:szCs w:val="24"/>
        </w:rPr>
      </w:pPr>
      <w:r>
        <w:rPr>
          <w:rFonts w:hint="eastAsia" w:ascii="宋体" w:hAnsi="宋体" w:cs="宋体"/>
          <w:kern w:val="0"/>
          <w:sz w:val="24"/>
          <w:szCs w:val="24"/>
        </w:rPr>
        <w:t>我单位参与陕西卓佲项目管理有限公司组织的____________________(项目名称)</w:t>
      </w:r>
      <w:r>
        <w:rPr>
          <w:rFonts w:hint="eastAsia" w:ascii="宋体" w:hAnsi="宋体" w:cs="宋体"/>
          <w:kern w:val="0"/>
          <w:sz w:val="24"/>
          <w:szCs w:val="24"/>
          <w:lang w:eastAsia="zh-CN"/>
        </w:rPr>
        <w:t>竞争性谈判</w:t>
      </w:r>
      <w:r>
        <w:rPr>
          <w:rFonts w:hint="eastAsia" w:ascii="宋体" w:hAnsi="宋体" w:cs="宋体"/>
          <w:kern w:val="0"/>
          <w:sz w:val="24"/>
          <w:szCs w:val="24"/>
        </w:rPr>
        <w:t>，我单位郑重声明：我方</w:t>
      </w:r>
      <w:r>
        <w:rPr>
          <w:rFonts w:hint="eastAsia" w:ascii="宋体" w:hAnsi="宋体" w:cs="宋体"/>
          <w:b/>
          <w:bCs/>
          <w:sz w:val="24"/>
          <w:szCs w:val="24"/>
        </w:rPr>
        <w:t>具有履行合同所必需的设备和专业技术能力</w:t>
      </w:r>
      <w:r>
        <w:rPr>
          <w:rFonts w:hint="eastAsia" w:ascii="宋体" w:hAnsi="宋体" w:cs="宋体"/>
          <w:kern w:val="0"/>
          <w:sz w:val="24"/>
          <w:szCs w:val="24"/>
        </w:rPr>
        <w:t>，符合《中华人民共和国政府采购法》规定的供应商资格条件，我方对此声明负全部法律责任。</w:t>
      </w:r>
    </w:p>
    <w:p>
      <w:pPr>
        <w:widowControl/>
        <w:snapToGrid w:val="0"/>
        <w:spacing w:line="480" w:lineRule="auto"/>
        <w:ind w:firstLine="480" w:firstLineChars="200"/>
        <w:jc w:val="left"/>
        <w:rPr>
          <w:rFonts w:ascii="宋体" w:hAnsi="宋体" w:cs="宋体"/>
          <w:kern w:val="0"/>
          <w:sz w:val="24"/>
          <w:szCs w:val="24"/>
        </w:rPr>
      </w:pPr>
      <w:r>
        <w:rPr>
          <w:rFonts w:hint="eastAsia" w:ascii="宋体" w:hAnsi="宋体" w:cs="宋体"/>
          <w:kern w:val="0"/>
          <w:sz w:val="24"/>
          <w:szCs w:val="24"/>
        </w:rPr>
        <w:t>特此声明。</w:t>
      </w:r>
    </w:p>
    <w:p>
      <w:pPr>
        <w:pStyle w:val="8"/>
        <w:spacing w:line="500" w:lineRule="exact"/>
        <w:jc w:val="left"/>
        <w:rPr>
          <w:rFonts w:hAnsi="宋体" w:cs="宋体"/>
          <w:sz w:val="24"/>
          <w:szCs w:val="24"/>
        </w:rPr>
      </w:pPr>
    </w:p>
    <w:p>
      <w:pPr>
        <w:pStyle w:val="8"/>
        <w:spacing w:line="480" w:lineRule="auto"/>
        <w:jc w:val="left"/>
        <w:rPr>
          <w:rFonts w:hint="eastAsia" w:hAnsi="宋体" w:cs="宋体" w:eastAsiaTheme="minorEastAsia"/>
          <w:sz w:val="24"/>
          <w:lang w:eastAsia="zh-CN"/>
        </w:rPr>
      </w:pPr>
    </w:p>
    <w:p>
      <w:pPr>
        <w:pStyle w:val="8"/>
        <w:spacing w:line="480" w:lineRule="auto"/>
        <w:jc w:val="left"/>
        <w:rPr>
          <w:rFonts w:hAnsi="宋体" w:cs="宋体"/>
          <w:sz w:val="24"/>
        </w:rPr>
      </w:pPr>
      <w:r>
        <w:rPr>
          <w:rFonts w:hint="eastAsia" w:hAnsi="宋体" w:cs="宋体"/>
          <w:sz w:val="24"/>
        </w:rPr>
        <w:t>供应商（单位名称及公章）：</w:t>
      </w:r>
      <w:r>
        <w:rPr>
          <w:rFonts w:hint="eastAsia" w:hAnsi="宋体" w:cs="宋体"/>
          <w:sz w:val="28"/>
          <w:szCs w:val="28"/>
        </w:rPr>
        <w:t>______________________</w:t>
      </w:r>
    </w:p>
    <w:p>
      <w:pPr>
        <w:pStyle w:val="8"/>
        <w:spacing w:line="480" w:lineRule="auto"/>
        <w:jc w:val="left"/>
        <w:rPr>
          <w:rFonts w:hAnsi="宋体" w:cs="宋体"/>
          <w:sz w:val="24"/>
        </w:rPr>
      </w:pPr>
      <w:r>
        <w:rPr>
          <w:rFonts w:hint="eastAsia" w:hAnsi="宋体" w:cs="宋体"/>
          <w:sz w:val="24"/>
        </w:rPr>
        <w:t>法定代表人或被授权人（签字或盖章）：</w:t>
      </w:r>
      <w:r>
        <w:rPr>
          <w:rFonts w:hint="eastAsia" w:hAnsi="宋体" w:cs="宋体"/>
          <w:sz w:val="28"/>
          <w:szCs w:val="28"/>
        </w:rPr>
        <w:t>______________________</w:t>
      </w:r>
    </w:p>
    <w:p>
      <w:pPr>
        <w:adjustRightInd w:val="0"/>
        <w:snapToGrid w:val="0"/>
        <w:spacing w:line="480" w:lineRule="auto"/>
        <w:rPr>
          <w:rFonts w:ascii="宋体" w:hAnsi="宋体" w:cs="宋体"/>
          <w:sz w:val="24"/>
          <w:szCs w:val="24"/>
        </w:rPr>
      </w:pPr>
      <w:r>
        <w:rPr>
          <w:rFonts w:hint="eastAsia" w:ascii="宋体" w:hAnsi="宋体" w:cs="宋体"/>
          <w:kern w:val="0"/>
          <w:sz w:val="24"/>
        </w:rPr>
        <w:t>日    期：</w:t>
      </w:r>
      <w:r>
        <w:rPr>
          <w:rFonts w:hint="eastAsia" w:ascii="宋体" w:hAnsi="宋体" w:eastAsia="宋体" w:cs="宋体"/>
          <w:sz w:val="28"/>
          <w:szCs w:val="28"/>
        </w:rPr>
        <w:t>_____</w:t>
      </w:r>
      <w:r>
        <w:rPr>
          <w:rFonts w:hint="eastAsia" w:ascii="宋体" w:hAnsi="宋体" w:eastAsia="宋体" w:cs="宋体"/>
          <w:sz w:val="24"/>
          <w:szCs w:val="24"/>
        </w:rPr>
        <w:t>年</w:t>
      </w:r>
      <w:r>
        <w:rPr>
          <w:rFonts w:hint="eastAsia" w:ascii="宋体" w:hAnsi="宋体" w:eastAsia="宋体" w:cs="宋体"/>
          <w:sz w:val="28"/>
          <w:szCs w:val="28"/>
        </w:rPr>
        <w:t>_____</w:t>
      </w:r>
      <w:r>
        <w:rPr>
          <w:rFonts w:hint="eastAsia" w:ascii="宋体" w:hAnsi="宋体" w:eastAsia="宋体" w:cs="宋体"/>
          <w:sz w:val="24"/>
          <w:szCs w:val="24"/>
        </w:rPr>
        <w:t xml:space="preserve"> 月</w:t>
      </w:r>
      <w:r>
        <w:rPr>
          <w:rFonts w:hint="eastAsia" w:ascii="宋体" w:hAnsi="宋体" w:eastAsia="宋体" w:cs="宋体"/>
          <w:sz w:val="28"/>
          <w:szCs w:val="28"/>
        </w:rPr>
        <w:t>_____</w:t>
      </w:r>
      <w:r>
        <w:rPr>
          <w:rFonts w:hint="eastAsia" w:ascii="宋体" w:hAnsi="宋体" w:eastAsia="宋体" w:cs="宋体"/>
          <w:sz w:val="28"/>
          <w:szCs w:val="28"/>
          <w:lang w:val="en-US" w:eastAsia="zh-CN"/>
        </w:rPr>
        <w:t>日</w:t>
      </w:r>
    </w:p>
    <w:p>
      <w:pPr>
        <w:sectPr>
          <w:pgSz w:w="11906" w:h="16838"/>
          <w:pgMar w:top="1440" w:right="1803" w:bottom="1440" w:left="1803" w:header="851" w:footer="992" w:gutter="0"/>
          <w:pgNumType w:fmt="decimal"/>
          <w:cols w:space="720" w:num="1"/>
          <w:docGrid w:type="lines" w:linePitch="319" w:charSpace="0"/>
        </w:sectPr>
      </w:pPr>
    </w:p>
    <w:p>
      <w:pPr>
        <w:spacing w:line="360" w:lineRule="auto"/>
        <w:ind w:firstLine="480" w:firstLineChars="200"/>
        <w:rPr>
          <w:rFonts w:hint="eastAsia" w:ascii="宋体" w:hAnsi="宋体" w:cs="宋体"/>
          <w:sz w:val="24"/>
          <w:szCs w:val="24"/>
        </w:rPr>
      </w:pPr>
      <w:r>
        <w:rPr>
          <w:rFonts w:hint="eastAsia" w:ascii="宋体" w:hAnsi="宋体" w:cs="宋体"/>
          <w:sz w:val="24"/>
          <w:szCs w:val="24"/>
        </w:rPr>
        <w:t>4、税收缴纳证明：提供202</w:t>
      </w:r>
      <w:r>
        <w:rPr>
          <w:rFonts w:hint="eastAsia" w:ascii="宋体" w:hAnsi="宋体" w:cs="宋体"/>
          <w:sz w:val="24"/>
          <w:szCs w:val="24"/>
          <w:lang w:val="en-US" w:eastAsia="zh-CN"/>
        </w:rPr>
        <w:t>2</w:t>
      </w:r>
      <w:r>
        <w:rPr>
          <w:rFonts w:hint="eastAsia" w:ascii="宋体" w:hAnsi="宋体" w:cs="宋体"/>
          <w:sz w:val="24"/>
          <w:szCs w:val="24"/>
        </w:rPr>
        <w:t>年</w:t>
      </w:r>
      <w:r>
        <w:rPr>
          <w:rFonts w:hint="eastAsia" w:ascii="宋体" w:hAnsi="宋体" w:cs="宋体"/>
          <w:sz w:val="24"/>
          <w:szCs w:val="24"/>
          <w:lang w:val="en-US" w:eastAsia="zh-CN"/>
        </w:rPr>
        <w:t>1</w:t>
      </w:r>
      <w:r>
        <w:rPr>
          <w:rFonts w:hint="eastAsia" w:ascii="宋体" w:hAnsi="宋体" w:cs="宋体"/>
          <w:sz w:val="24"/>
          <w:szCs w:val="24"/>
        </w:rPr>
        <w:t>月以来至少一个月的纳税证明或完税证明，依法免税的单位应提供相关证明材料；</w:t>
      </w:r>
    </w:p>
    <w:p>
      <w:pPr>
        <w:spacing w:line="360" w:lineRule="auto"/>
        <w:ind w:firstLine="480" w:firstLineChars="200"/>
        <w:rPr>
          <w:rFonts w:ascii="宋体" w:hAnsi="宋体" w:cs="宋体"/>
          <w:sz w:val="24"/>
          <w:szCs w:val="24"/>
        </w:rPr>
      </w:pPr>
      <w:r>
        <w:rPr>
          <w:rFonts w:hint="eastAsia" w:ascii="宋体" w:hAnsi="宋体" w:cs="宋体"/>
          <w:sz w:val="24"/>
          <w:szCs w:val="24"/>
        </w:rPr>
        <w:t>5、社会保障资金缴纳证明：提供202</w:t>
      </w:r>
      <w:r>
        <w:rPr>
          <w:rFonts w:hint="eastAsia" w:ascii="宋体" w:hAnsi="宋体" w:cs="宋体"/>
          <w:sz w:val="24"/>
          <w:szCs w:val="24"/>
          <w:lang w:val="en-US" w:eastAsia="zh-CN"/>
        </w:rPr>
        <w:t>2</w:t>
      </w:r>
      <w:r>
        <w:rPr>
          <w:rFonts w:hint="eastAsia" w:ascii="宋体" w:hAnsi="宋体" w:cs="宋体"/>
          <w:sz w:val="24"/>
          <w:szCs w:val="24"/>
        </w:rPr>
        <w:t>年</w:t>
      </w:r>
      <w:r>
        <w:rPr>
          <w:rFonts w:hint="eastAsia" w:ascii="宋体" w:hAnsi="宋体" w:cs="宋体"/>
          <w:sz w:val="24"/>
          <w:szCs w:val="24"/>
          <w:lang w:val="en-US" w:eastAsia="zh-CN"/>
        </w:rPr>
        <w:t>1</w:t>
      </w:r>
      <w:r>
        <w:rPr>
          <w:rFonts w:hint="eastAsia" w:ascii="宋体" w:hAnsi="宋体" w:cs="宋体"/>
          <w:sz w:val="24"/>
          <w:szCs w:val="24"/>
        </w:rPr>
        <w:t>月以来至少一个月的社会保障资金缴存单据或社保机构开具的社会保险参保缴费情况证明。依法不需要缴纳社会保障资金的供应商应提供相关文件证明；</w:t>
      </w:r>
    </w:p>
    <w:p>
      <w:pPr>
        <w:pStyle w:val="18"/>
        <w:spacing w:before="0" w:beforeAutospacing="0" w:after="0" w:afterAutospacing="0" w:line="510" w:lineRule="atLeast"/>
        <w:ind w:firstLine="420"/>
      </w:pPr>
    </w:p>
    <w:p>
      <w:pPr>
        <w:spacing w:line="360" w:lineRule="auto"/>
        <w:rPr>
          <w:sz w:val="24"/>
          <w:szCs w:val="28"/>
        </w:rPr>
      </w:pPr>
    </w:p>
    <w:p>
      <w:pPr>
        <w:pStyle w:val="21"/>
        <w:ind w:firstLine="0" w:firstLineChars="0"/>
        <w:sectPr>
          <w:pgSz w:w="11906" w:h="16838"/>
          <w:pgMar w:top="1440" w:right="1803" w:bottom="1440" w:left="1803" w:header="851" w:footer="992" w:gutter="0"/>
          <w:pgNumType w:fmt="decimal"/>
          <w:cols w:space="720" w:num="1"/>
          <w:docGrid w:type="lines" w:linePitch="319" w:charSpace="0"/>
        </w:sectPr>
      </w:pPr>
    </w:p>
    <w:p>
      <w:pPr>
        <w:keepNext/>
        <w:keepLines/>
        <w:spacing w:line="413" w:lineRule="auto"/>
        <w:jc w:val="center"/>
        <w:rPr>
          <w:rFonts w:ascii="宋体" w:hAnsi="宋体" w:cs="宋体"/>
          <w:sz w:val="32"/>
          <w:szCs w:val="24"/>
        </w:rPr>
      </w:pPr>
      <w:r>
        <w:rPr>
          <w:rFonts w:hint="eastAsia" w:ascii="宋体" w:hAnsi="宋体" w:cs="宋体"/>
          <w:sz w:val="32"/>
          <w:szCs w:val="24"/>
          <w:lang w:val="en-US" w:eastAsia="zh-CN"/>
        </w:rPr>
        <w:t>6</w:t>
      </w:r>
      <w:r>
        <w:rPr>
          <w:rFonts w:hint="eastAsia" w:ascii="宋体" w:hAnsi="宋体" w:cs="宋体"/>
          <w:sz w:val="32"/>
          <w:szCs w:val="24"/>
        </w:rPr>
        <w:t>、无重大违法记录声明</w:t>
      </w:r>
    </w:p>
    <w:p>
      <w:pPr>
        <w:rPr>
          <w:rFonts w:ascii="宋体" w:hAnsi="宋体" w:cs="宋体"/>
        </w:rPr>
      </w:pPr>
    </w:p>
    <w:p>
      <w:pPr>
        <w:widowControl/>
        <w:snapToGrid w:val="0"/>
        <w:spacing w:line="480" w:lineRule="auto"/>
        <w:ind w:firstLine="480" w:firstLineChars="200"/>
        <w:jc w:val="left"/>
        <w:rPr>
          <w:rFonts w:ascii="宋体" w:hAnsi="宋体" w:cs="宋体"/>
          <w:kern w:val="0"/>
          <w:sz w:val="24"/>
          <w:szCs w:val="24"/>
        </w:rPr>
      </w:pPr>
    </w:p>
    <w:p>
      <w:pPr>
        <w:widowControl/>
        <w:snapToGrid w:val="0"/>
        <w:spacing w:line="480" w:lineRule="auto"/>
        <w:jc w:val="left"/>
        <w:rPr>
          <w:rFonts w:ascii="宋体" w:hAnsi="宋体" w:cs="宋体"/>
          <w:kern w:val="0"/>
          <w:sz w:val="24"/>
          <w:szCs w:val="24"/>
        </w:rPr>
      </w:pPr>
      <w:r>
        <w:rPr>
          <w:rFonts w:hint="eastAsia" w:ascii="宋体" w:hAnsi="宋体" w:cs="宋体"/>
          <w:kern w:val="0"/>
          <w:sz w:val="24"/>
          <w:szCs w:val="24"/>
        </w:rPr>
        <w:t>(采购人名称）_______________________:</w:t>
      </w:r>
    </w:p>
    <w:p>
      <w:pPr>
        <w:widowControl/>
        <w:snapToGrid w:val="0"/>
        <w:spacing w:line="480" w:lineRule="auto"/>
        <w:ind w:firstLine="480" w:firstLineChars="200"/>
        <w:jc w:val="left"/>
        <w:rPr>
          <w:rFonts w:ascii="宋体" w:hAnsi="宋体" w:cs="宋体"/>
          <w:kern w:val="0"/>
          <w:sz w:val="24"/>
          <w:szCs w:val="24"/>
        </w:rPr>
      </w:pPr>
      <w:r>
        <w:rPr>
          <w:rFonts w:hint="eastAsia" w:ascii="宋体" w:hAnsi="宋体" w:cs="宋体"/>
          <w:kern w:val="0"/>
          <w:sz w:val="24"/>
          <w:szCs w:val="24"/>
        </w:rPr>
        <w:t>我单位参与陕西卓佲项目管理有限公司组织________________________(项目名称)</w:t>
      </w:r>
      <w:r>
        <w:rPr>
          <w:rFonts w:hint="eastAsia" w:ascii="宋体" w:hAnsi="宋体" w:cs="宋体"/>
          <w:kern w:val="0"/>
          <w:sz w:val="24"/>
          <w:szCs w:val="24"/>
          <w:lang w:eastAsia="zh-CN"/>
        </w:rPr>
        <w:t>竞争性谈判</w:t>
      </w:r>
      <w:r>
        <w:rPr>
          <w:rFonts w:hint="eastAsia" w:ascii="宋体" w:hAnsi="宋体" w:cs="宋体"/>
          <w:kern w:val="0"/>
          <w:sz w:val="24"/>
          <w:szCs w:val="24"/>
        </w:rPr>
        <w:t>，我单位郑重声明：我方参加本项目工作前三年内无重大违法活动记录，符合《中华人民共和国政府采购法》规定的供应商资格条件，我方对此声明负全部法律责任。</w:t>
      </w:r>
    </w:p>
    <w:p>
      <w:pPr>
        <w:widowControl/>
        <w:snapToGrid w:val="0"/>
        <w:spacing w:line="480" w:lineRule="auto"/>
        <w:ind w:firstLine="480" w:firstLineChars="200"/>
        <w:jc w:val="left"/>
        <w:rPr>
          <w:rFonts w:ascii="宋体" w:hAnsi="宋体" w:cs="宋体"/>
          <w:kern w:val="0"/>
          <w:sz w:val="24"/>
          <w:szCs w:val="24"/>
        </w:rPr>
      </w:pPr>
      <w:r>
        <w:rPr>
          <w:rFonts w:hint="eastAsia" w:ascii="宋体" w:hAnsi="宋体" w:cs="宋体"/>
          <w:kern w:val="0"/>
          <w:sz w:val="24"/>
          <w:szCs w:val="24"/>
        </w:rPr>
        <w:t>特此声明。</w:t>
      </w:r>
    </w:p>
    <w:p>
      <w:pPr>
        <w:pStyle w:val="8"/>
        <w:spacing w:line="500" w:lineRule="exact"/>
        <w:jc w:val="left"/>
        <w:rPr>
          <w:rFonts w:hAnsi="宋体" w:cs="宋体"/>
          <w:sz w:val="24"/>
          <w:szCs w:val="24"/>
        </w:rPr>
      </w:pPr>
    </w:p>
    <w:p>
      <w:pPr>
        <w:pStyle w:val="8"/>
        <w:spacing w:line="480" w:lineRule="auto"/>
        <w:jc w:val="left"/>
        <w:rPr>
          <w:rFonts w:hint="eastAsia" w:hAnsi="宋体" w:cs="宋体" w:eastAsiaTheme="minorEastAsia"/>
          <w:sz w:val="24"/>
          <w:lang w:eastAsia="zh-CN"/>
        </w:rPr>
      </w:pPr>
    </w:p>
    <w:p>
      <w:pPr>
        <w:pStyle w:val="8"/>
        <w:spacing w:line="480" w:lineRule="auto"/>
        <w:jc w:val="left"/>
        <w:rPr>
          <w:rFonts w:hAnsi="宋体" w:cs="宋体"/>
          <w:sz w:val="24"/>
        </w:rPr>
      </w:pPr>
      <w:r>
        <w:rPr>
          <w:rFonts w:hint="eastAsia" w:hAnsi="宋体" w:cs="宋体"/>
          <w:sz w:val="24"/>
        </w:rPr>
        <w:t>供应商（单位名称及公章）：</w:t>
      </w:r>
      <w:r>
        <w:rPr>
          <w:rFonts w:hint="eastAsia" w:hAnsi="宋体" w:cs="宋体"/>
          <w:sz w:val="28"/>
          <w:szCs w:val="28"/>
        </w:rPr>
        <w:t>______________________</w:t>
      </w:r>
    </w:p>
    <w:p>
      <w:pPr>
        <w:pStyle w:val="8"/>
        <w:spacing w:line="480" w:lineRule="auto"/>
        <w:jc w:val="left"/>
        <w:rPr>
          <w:rFonts w:hAnsi="宋体" w:cs="宋体"/>
          <w:sz w:val="24"/>
        </w:rPr>
      </w:pPr>
      <w:r>
        <w:rPr>
          <w:rFonts w:hint="eastAsia" w:hAnsi="宋体" w:cs="宋体"/>
          <w:sz w:val="24"/>
        </w:rPr>
        <w:t>法定代表人或被授权人（签字或盖章）：</w:t>
      </w:r>
      <w:r>
        <w:rPr>
          <w:rFonts w:hint="eastAsia" w:hAnsi="宋体" w:cs="宋体"/>
          <w:sz w:val="28"/>
          <w:szCs w:val="28"/>
        </w:rPr>
        <w:t>______________________</w:t>
      </w:r>
    </w:p>
    <w:p>
      <w:pPr>
        <w:adjustRightInd w:val="0"/>
        <w:snapToGrid w:val="0"/>
        <w:spacing w:line="480" w:lineRule="auto"/>
        <w:rPr>
          <w:rFonts w:ascii="宋体" w:hAnsi="宋体" w:cs="宋体"/>
          <w:sz w:val="24"/>
          <w:szCs w:val="24"/>
        </w:rPr>
      </w:pPr>
      <w:r>
        <w:rPr>
          <w:rFonts w:hint="eastAsia" w:ascii="宋体" w:hAnsi="宋体" w:cs="宋体"/>
          <w:kern w:val="0"/>
          <w:sz w:val="24"/>
        </w:rPr>
        <w:t>日    期：</w:t>
      </w:r>
      <w:r>
        <w:rPr>
          <w:rFonts w:hint="eastAsia" w:ascii="宋体" w:hAnsi="宋体" w:eastAsia="宋体" w:cs="宋体"/>
          <w:sz w:val="28"/>
          <w:szCs w:val="28"/>
        </w:rPr>
        <w:t>_____</w:t>
      </w:r>
      <w:r>
        <w:rPr>
          <w:rFonts w:hint="eastAsia" w:ascii="宋体" w:hAnsi="宋体" w:eastAsia="宋体" w:cs="宋体"/>
          <w:sz w:val="24"/>
          <w:szCs w:val="24"/>
        </w:rPr>
        <w:t>年</w:t>
      </w:r>
      <w:r>
        <w:rPr>
          <w:rFonts w:hint="eastAsia" w:ascii="宋体" w:hAnsi="宋体" w:eastAsia="宋体" w:cs="宋体"/>
          <w:sz w:val="28"/>
          <w:szCs w:val="28"/>
        </w:rPr>
        <w:t>_____</w:t>
      </w:r>
      <w:r>
        <w:rPr>
          <w:rFonts w:hint="eastAsia" w:ascii="宋体" w:hAnsi="宋体" w:eastAsia="宋体" w:cs="宋体"/>
          <w:sz w:val="24"/>
          <w:szCs w:val="24"/>
        </w:rPr>
        <w:t xml:space="preserve"> 月</w:t>
      </w:r>
      <w:r>
        <w:rPr>
          <w:rFonts w:hint="eastAsia" w:ascii="宋体" w:hAnsi="宋体" w:eastAsia="宋体" w:cs="宋体"/>
          <w:sz w:val="28"/>
          <w:szCs w:val="28"/>
        </w:rPr>
        <w:t>_____</w:t>
      </w:r>
      <w:r>
        <w:rPr>
          <w:rFonts w:hint="eastAsia" w:ascii="宋体" w:hAnsi="宋体" w:eastAsia="宋体" w:cs="宋体"/>
          <w:sz w:val="28"/>
          <w:szCs w:val="28"/>
          <w:lang w:val="en-US" w:eastAsia="zh-CN"/>
        </w:rPr>
        <w:t>日</w:t>
      </w:r>
    </w:p>
    <w:p/>
    <w:p>
      <w:pPr>
        <w:jc w:val="center"/>
        <w:rPr>
          <w:rFonts w:hint="eastAsia"/>
          <w:sz w:val="28"/>
          <w:szCs w:val="32"/>
          <w:lang w:val="en-US" w:eastAsia="zh-CN"/>
        </w:rPr>
        <w:sectPr>
          <w:pgSz w:w="11906" w:h="16838"/>
          <w:pgMar w:top="1440" w:right="1803" w:bottom="1440" w:left="1803" w:header="851" w:footer="992" w:gutter="0"/>
          <w:pgNumType w:fmt="decimal"/>
          <w:cols w:space="720" w:num="1"/>
          <w:docGrid w:type="lines" w:linePitch="319" w:charSpace="0"/>
        </w:sectPr>
      </w:pPr>
    </w:p>
    <w:p>
      <w:pPr>
        <w:jc w:val="center"/>
        <w:rPr>
          <w:sz w:val="28"/>
          <w:szCs w:val="32"/>
        </w:rPr>
      </w:pPr>
      <w:r>
        <w:rPr>
          <w:rFonts w:hint="eastAsia"/>
          <w:sz w:val="28"/>
          <w:szCs w:val="32"/>
          <w:lang w:val="en-US" w:eastAsia="zh-CN"/>
        </w:rPr>
        <w:t>7</w:t>
      </w:r>
      <w:r>
        <w:rPr>
          <w:rFonts w:hint="eastAsia"/>
          <w:sz w:val="28"/>
          <w:szCs w:val="32"/>
        </w:rPr>
        <w:t>-1法定代表人证明书</w:t>
      </w:r>
    </w:p>
    <w:tbl>
      <w:tblPr>
        <w:tblStyle w:val="23"/>
        <w:tblpPr w:leftFromText="180" w:rightFromText="180" w:vertAnchor="text" w:horzAnchor="page" w:tblpX="1336" w:tblpY="611"/>
        <w:tblOverlap w:val="never"/>
        <w:tblW w:w="94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
        <w:gridCol w:w="2160"/>
        <w:gridCol w:w="2156"/>
        <w:gridCol w:w="184"/>
        <w:gridCol w:w="2156"/>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9410" w:type="dxa"/>
            <w:gridSpan w:val="6"/>
            <w:vAlign w:val="center"/>
          </w:tcPr>
          <w:p>
            <w:pPr>
              <w:tabs>
                <w:tab w:val="left" w:pos="210"/>
              </w:tabs>
              <w:spacing w:line="360" w:lineRule="auto"/>
              <w:jc w:val="left"/>
              <w:rPr>
                <w:rFonts w:ascii="宋体" w:hAnsi="宋体" w:cs="宋体"/>
                <w:kern w:val="0"/>
                <w:szCs w:val="21"/>
              </w:rPr>
            </w:pPr>
            <w:r>
              <w:rPr>
                <w:rFonts w:hint="eastAsia" w:ascii="宋体" w:hAnsi="宋体" w:cs="宋体"/>
                <w:kern w:val="0"/>
                <w:szCs w:val="21"/>
              </w:rPr>
              <w:t>致：陕西卓佲项目管理有限公司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594" w:type="dxa"/>
            <w:vMerge w:val="restart"/>
            <w:vAlign w:val="center"/>
          </w:tcPr>
          <w:p>
            <w:pPr>
              <w:tabs>
                <w:tab w:val="left" w:pos="210"/>
              </w:tabs>
              <w:spacing w:line="360" w:lineRule="auto"/>
              <w:jc w:val="center"/>
              <w:rPr>
                <w:rFonts w:ascii="宋体" w:hAnsi="宋体" w:cs="宋体"/>
                <w:kern w:val="0"/>
                <w:szCs w:val="21"/>
              </w:rPr>
            </w:pPr>
            <w:r>
              <w:rPr>
                <w:rFonts w:hint="eastAsia" w:ascii="宋体" w:hAnsi="宋体" w:cs="宋体"/>
                <w:kern w:val="0"/>
                <w:szCs w:val="21"/>
              </w:rPr>
              <w:t>企</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业</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法</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人</w:t>
            </w:r>
          </w:p>
        </w:tc>
        <w:tc>
          <w:tcPr>
            <w:tcW w:w="2160" w:type="dxa"/>
            <w:vAlign w:val="center"/>
          </w:tcPr>
          <w:p>
            <w:pPr>
              <w:tabs>
                <w:tab w:val="left" w:pos="210"/>
              </w:tabs>
              <w:spacing w:line="360" w:lineRule="auto"/>
              <w:rPr>
                <w:rFonts w:ascii="宋体" w:hAnsi="宋体" w:cs="宋体"/>
                <w:kern w:val="0"/>
                <w:szCs w:val="21"/>
              </w:rPr>
            </w:pPr>
            <w:r>
              <w:rPr>
                <w:rFonts w:hint="eastAsia" w:ascii="宋体" w:hAnsi="宋体" w:cs="宋体"/>
                <w:kern w:val="0"/>
                <w:szCs w:val="21"/>
              </w:rPr>
              <w:t>企业名称</w:t>
            </w:r>
          </w:p>
        </w:tc>
        <w:tc>
          <w:tcPr>
            <w:tcW w:w="6656" w:type="dxa"/>
            <w:gridSpan w:val="4"/>
            <w:vAlign w:val="center"/>
          </w:tcPr>
          <w:p>
            <w:pPr>
              <w:tabs>
                <w:tab w:val="left" w:pos="210"/>
              </w:tabs>
              <w:spacing w:line="360" w:lineRule="auto"/>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594" w:type="dxa"/>
            <w:vMerge w:val="continue"/>
            <w:vAlign w:val="center"/>
          </w:tcPr>
          <w:p>
            <w:pPr>
              <w:tabs>
                <w:tab w:val="left" w:pos="210"/>
              </w:tabs>
              <w:spacing w:line="360" w:lineRule="auto"/>
              <w:ind w:firstLine="420" w:firstLineChars="200"/>
              <w:jc w:val="center"/>
              <w:rPr>
                <w:rFonts w:ascii="宋体" w:hAnsi="宋体" w:cs="宋体"/>
                <w:kern w:val="0"/>
                <w:szCs w:val="21"/>
              </w:rPr>
            </w:pPr>
          </w:p>
        </w:tc>
        <w:tc>
          <w:tcPr>
            <w:tcW w:w="2160" w:type="dxa"/>
            <w:vAlign w:val="center"/>
          </w:tcPr>
          <w:p>
            <w:pPr>
              <w:tabs>
                <w:tab w:val="left" w:pos="210"/>
              </w:tabs>
              <w:spacing w:line="360" w:lineRule="auto"/>
              <w:rPr>
                <w:rFonts w:ascii="宋体" w:hAnsi="宋体" w:cs="宋体"/>
                <w:kern w:val="0"/>
                <w:szCs w:val="21"/>
              </w:rPr>
            </w:pPr>
            <w:r>
              <w:rPr>
                <w:rFonts w:hint="eastAsia" w:ascii="宋体" w:hAnsi="宋体" w:cs="宋体"/>
                <w:kern w:val="0"/>
                <w:szCs w:val="21"/>
              </w:rPr>
              <w:t>法定地址</w:t>
            </w:r>
          </w:p>
        </w:tc>
        <w:tc>
          <w:tcPr>
            <w:tcW w:w="6656" w:type="dxa"/>
            <w:gridSpan w:val="4"/>
            <w:vAlign w:val="center"/>
          </w:tcPr>
          <w:p>
            <w:pPr>
              <w:tabs>
                <w:tab w:val="left" w:pos="210"/>
              </w:tabs>
              <w:spacing w:line="360" w:lineRule="auto"/>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594" w:type="dxa"/>
            <w:vMerge w:val="continue"/>
            <w:vAlign w:val="center"/>
          </w:tcPr>
          <w:p>
            <w:pPr>
              <w:tabs>
                <w:tab w:val="left" w:pos="210"/>
              </w:tabs>
              <w:spacing w:line="360" w:lineRule="auto"/>
              <w:ind w:firstLine="420" w:firstLineChars="200"/>
              <w:jc w:val="center"/>
              <w:rPr>
                <w:rFonts w:ascii="宋体" w:hAnsi="宋体" w:cs="宋体"/>
                <w:kern w:val="0"/>
                <w:szCs w:val="21"/>
              </w:rPr>
            </w:pPr>
          </w:p>
        </w:tc>
        <w:tc>
          <w:tcPr>
            <w:tcW w:w="2160" w:type="dxa"/>
            <w:vAlign w:val="center"/>
          </w:tcPr>
          <w:p>
            <w:pPr>
              <w:tabs>
                <w:tab w:val="left" w:pos="210"/>
              </w:tabs>
              <w:spacing w:line="360" w:lineRule="auto"/>
              <w:rPr>
                <w:rFonts w:ascii="宋体" w:hAnsi="宋体" w:cs="宋体"/>
                <w:kern w:val="0"/>
                <w:szCs w:val="21"/>
              </w:rPr>
            </w:pPr>
            <w:r>
              <w:rPr>
                <w:rFonts w:hint="eastAsia" w:ascii="宋体" w:hAnsi="宋体" w:cs="宋体"/>
                <w:kern w:val="0"/>
                <w:szCs w:val="21"/>
              </w:rPr>
              <w:t>邮政编码</w:t>
            </w:r>
          </w:p>
        </w:tc>
        <w:tc>
          <w:tcPr>
            <w:tcW w:w="6656" w:type="dxa"/>
            <w:gridSpan w:val="4"/>
            <w:vAlign w:val="center"/>
          </w:tcPr>
          <w:p>
            <w:pPr>
              <w:tabs>
                <w:tab w:val="left" w:pos="210"/>
              </w:tabs>
              <w:spacing w:line="360" w:lineRule="auto"/>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594" w:type="dxa"/>
            <w:vMerge w:val="continue"/>
            <w:vAlign w:val="center"/>
          </w:tcPr>
          <w:p>
            <w:pPr>
              <w:tabs>
                <w:tab w:val="left" w:pos="210"/>
              </w:tabs>
              <w:spacing w:line="360" w:lineRule="auto"/>
              <w:ind w:firstLine="420" w:firstLineChars="200"/>
              <w:jc w:val="center"/>
              <w:rPr>
                <w:rFonts w:ascii="宋体" w:hAnsi="宋体" w:cs="宋体"/>
                <w:kern w:val="0"/>
                <w:szCs w:val="21"/>
              </w:rPr>
            </w:pPr>
          </w:p>
        </w:tc>
        <w:tc>
          <w:tcPr>
            <w:tcW w:w="2160" w:type="dxa"/>
            <w:vAlign w:val="center"/>
          </w:tcPr>
          <w:p>
            <w:pPr>
              <w:tabs>
                <w:tab w:val="left" w:pos="210"/>
              </w:tabs>
              <w:spacing w:line="360" w:lineRule="auto"/>
              <w:rPr>
                <w:rFonts w:ascii="宋体" w:hAnsi="宋体" w:cs="宋体"/>
                <w:kern w:val="0"/>
                <w:szCs w:val="21"/>
              </w:rPr>
            </w:pPr>
            <w:r>
              <w:rPr>
                <w:rFonts w:hint="eastAsia" w:ascii="宋体" w:hAnsi="宋体" w:cs="宋体"/>
                <w:kern w:val="0"/>
                <w:szCs w:val="21"/>
              </w:rPr>
              <w:t>工商登记机关</w:t>
            </w:r>
          </w:p>
        </w:tc>
        <w:tc>
          <w:tcPr>
            <w:tcW w:w="6656" w:type="dxa"/>
            <w:gridSpan w:val="4"/>
            <w:vAlign w:val="center"/>
          </w:tcPr>
          <w:p>
            <w:pPr>
              <w:tabs>
                <w:tab w:val="left" w:pos="210"/>
              </w:tabs>
              <w:spacing w:line="360" w:lineRule="auto"/>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594" w:type="dxa"/>
            <w:vMerge w:val="continue"/>
            <w:vAlign w:val="center"/>
          </w:tcPr>
          <w:p>
            <w:pPr>
              <w:tabs>
                <w:tab w:val="left" w:pos="210"/>
              </w:tabs>
              <w:spacing w:line="360" w:lineRule="auto"/>
              <w:ind w:firstLine="420" w:firstLineChars="200"/>
              <w:jc w:val="center"/>
              <w:rPr>
                <w:rFonts w:ascii="宋体" w:hAnsi="宋体" w:cs="宋体"/>
                <w:kern w:val="0"/>
                <w:szCs w:val="21"/>
              </w:rPr>
            </w:pPr>
          </w:p>
        </w:tc>
        <w:tc>
          <w:tcPr>
            <w:tcW w:w="2160" w:type="dxa"/>
            <w:vAlign w:val="center"/>
          </w:tcPr>
          <w:p>
            <w:pPr>
              <w:tabs>
                <w:tab w:val="left" w:pos="210"/>
              </w:tabs>
              <w:spacing w:line="360" w:lineRule="auto"/>
              <w:rPr>
                <w:rFonts w:ascii="宋体" w:hAnsi="宋体" w:cs="宋体"/>
                <w:kern w:val="0"/>
                <w:szCs w:val="21"/>
              </w:rPr>
            </w:pPr>
            <w:r>
              <w:rPr>
                <w:rFonts w:hint="eastAsia" w:ascii="宋体" w:hAnsi="宋体" w:cs="宋体"/>
                <w:kern w:val="0"/>
                <w:szCs w:val="21"/>
              </w:rPr>
              <w:t>统一社会信用代码</w:t>
            </w:r>
          </w:p>
        </w:tc>
        <w:tc>
          <w:tcPr>
            <w:tcW w:w="6656" w:type="dxa"/>
            <w:gridSpan w:val="4"/>
            <w:vAlign w:val="center"/>
          </w:tcPr>
          <w:p>
            <w:pPr>
              <w:tabs>
                <w:tab w:val="left" w:pos="210"/>
              </w:tabs>
              <w:spacing w:line="360" w:lineRule="auto"/>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594" w:type="dxa"/>
            <w:vMerge w:val="restart"/>
            <w:vAlign w:val="center"/>
          </w:tcPr>
          <w:p>
            <w:pPr>
              <w:tabs>
                <w:tab w:val="left" w:pos="210"/>
              </w:tabs>
              <w:spacing w:line="360" w:lineRule="auto"/>
              <w:jc w:val="center"/>
              <w:rPr>
                <w:rFonts w:ascii="宋体" w:hAnsi="宋体" w:cs="宋体"/>
                <w:kern w:val="0"/>
                <w:szCs w:val="21"/>
              </w:rPr>
            </w:pPr>
            <w:r>
              <w:rPr>
                <w:rFonts w:hint="eastAsia" w:ascii="宋体" w:hAnsi="宋体" w:cs="宋体"/>
                <w:kern w:val="0"/>
                <w:szCs w:val="21"/>
              </w:rPr>
              <w:t>法</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定</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代</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表</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人</w:t>
            </w:r>
          </w:p>
        </w:tc>
        <w:tc>
          <w:tcPr>
            <w:tcW w:w="2160" w:type="dxa"/>
            <w:vAlign w:val="center"/>
          </w:tcPr>
          <w:p>
            <w:pPr>
              <w:tabs>
                <w:tab w:val="left" w:pos="210"/>
              </w:tabs>
              <w:spacing w:line="360" w:lineRule="auto"/>
              <w:rPr>
                <w:rFonts w:ascii="宋体" w:hAnsi="宋体" w:cs="宋体"/>
                <w:kern w:val="0"/>
                <w:szCs w:val="21"/>
              </w:rPr>
            </w:pPr>
            <w:r>
              <w:rPr>
                <w:rFonts w:hint="eastAsia" w:ascii="宋体" w:hAnsi="宋体" w:cs="宋体"/>
                <w:kern w:val="0"/>
                <w:szCs w:val="21"/>
              </w:rPr>
              <w:t>姓名</w:t>
            </w:r>
          </w:p>
        </w:tc>
        <w:tc>
          <w:tcPr>
            <w:tcW w:w="2340" w:type="dxa"/>
            <w:gridSpan w:val="2"/>
            <w:vAlign w:val="center"/>
          </w:tcPr>
          <w:p>
            <w:pPr>
              <w:tabs>
                <w:tab w:val="left" w:pos="210"/>
              </w:tabs>
              <w:spacing w:line="360" w:lineRule="auto"/>
              <w:ind w:firstLine="420" w:firstLineChars="200"/>
              <w:jc w:val="left"/>
              <w:rPr>
                <w:rFonts w:ascii="宋体" w:hAnsi="宋体" w:cs="宋体"/>
                <w:kern w:val="0"/>
                <w:szCs w:val="21"/>
              </w:rPr>
            </w:pPr>
          </w:p>
        </w:tc>
        <w:tc>
          <w:tcPr>
            <w:tcW w:w="2156" w:type="dxa"/>
            <w:vAlign w:val="center"/>
          </w:tcPr>
          <w:p>
            <w:pPr>
              <w:tabs>
                <w:tab w:val="left" w:pos="210"/>
              </w:tabs>
              <w:spacing w:line="360" w:lineRule="auto"/>
              <w:ind w:firstLine="420" w:firstLineChars="200"/>
              <w:jc w:val="left"/>
              <w:rPr>
                <w:rFonts w:ascii="宋体" w:hAnsi="宋体" w:cs="宋体"/>
                <w:kern w:val="0"/>
                <w:szCs w:val="21"/>
              </w:rPr>
            </w:pPr>
            <w:r>
              <w:rPr>
                <w:rFonts w:hint="eastAsia" w:ascii="宋体" w:hAnsi="宋体" w:cs="宋体"/>
                <w:kern w:val="0"/>
                <w:szCs w:val="21"/>
              </w:rPr>
              <w:t>性别</w:t>
            </w:r>
          </w:p>
        </w:tc>
        <w:tc>
          <w:tcPr>
            <w:tcW w:w="2160" w:type="dxa"/>
            <w:vAlign w:val="center"/>
          </w:tcPr>
          <w:p>
            <w:pPr>
              <w:tabs>
                <w:tab w:val="left" w:pos="210"/>
              </w:tabs>
              <w:spacing w:line="360" w:lineRule="auto"/>
              <w:ind w:firstLine="420" w:firstLineChars="200"/>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594" w:type="dxa"/>
            <w:vMerge w:val="continue"/>
            <w:vAlign w:val="center"/>
          </w:tcPr>
          <w:p>
            <w:pPr>
              <w:tabs>
                <w:tab w:val="left" w:pos="210"/>
              </w:tabs>
              <w:spacing w:line="360" w:lineRule="auto"/>
              <w:ind w:firstLine="420" w:firstLineChars="200"/>
              <w:jc w:val="center"/>
              <w:rPr>
                <w:rFonts w:ascii="宋体" w:hAnsi="宋体" w:cs="宋体"/>
                <w:kern w:val="0"/>
                <w:szCs w:val="21"/>
              </w:rPr>
            </w:pPr>
          </w:p>
        </w:tc>
        <w:tc>
          <w:tcPr>
            <w:tcW w:w="2160" w:type="dxa"/>
            <w:vAlign w:val="center"/>
          </w:tcPr>
          <w:p>
            <w:pPr>
              <w:tabs>
                <w:tab w:val="left" w:pos="210"/>
              </w:tabs>
              <w:spacing w:line="360" w:lineRule="auto"/>
              <w:rPr>
                <w:rFonts w:ascii="宋体" w:hAnsi="宋体" w:cs="宋体"/>
                <w:kern w:val="0"/>
                <w:szCs w:val="21"/>
              </w:rPr>
            </w:pPr>
            <w:r>
              <w:rPr>
                <w:rFonts w:hint="eastAsia" w:ascii="宋体" w:hAnsi="宋体" w:cs="宋体"/>
                <w:kern w:val="0"/>
                <w:szCs w:val="21"/>
              </w:rPr>
              <w:t>职务</w:t>
            </w:r>
          </w:p>
        </w:tc>
        <w:tc>
          <w:tcPr>
            <w:tcW w:w="2340" w:type="dxa"/>
            <w:gridSpan w:val="2"/>
            <w:vAlign w:val="center"/>
          </w:tcPr>
          <w:p>
            <w:pPr>
              <w:tabs>
                <w:tab w:val="left" w:pos="210"/>
              </w:tabs>
              <w:spacing w:line="360" w:lineRule="auto"/>
              <w:jc w:val="left"/>
              <w:rPr>
                <w:rFonts w:ascii="宋体" w:hAnsi="宋体" w:cs="宋体"/>
                <w:kern w:val="0"/>
                <w:szCs w:val="21"/>
              </w:rPr>
            </w:pPr>
          </w:p>
        </w:tc>
        <w:tc>
          <w:tcPr>
            <w:tcW w:w="2156" w:type="dxa"/>
            <w:vAlign w:val="center"/>
          </w:tcPr>
          <w:p>
            <w:pPr>
              <w:tabs>
                <w:tab w:val="left" w:pos="210"/>
              </w:tabs>
              <w:spacing w:line="360" w:lineRule="auto"/>
              <w:ind w:firstLine="420" w:firstLineChars="200"/>
              <w:jc w:val="left"/>
              <w:rPr>
                <w:rFonts w:ascii="宋体" w:hAnsi="宋体" w:cs="宋体"/>
                <w:kern w:val="0"/>
                <w:szCs w:val="21"/>
              </w:rPr>
            </w:pPr>
            <w:r>
              <w:rPr>
                <w:rFonts w:hint="eastAsia" w:ascii="宋体" w:hAnsi="宋体" w:cs="宋体"/>
                <w:kern w:val="0"/>
                <w:szCs w:val="21"/>
              </w:rPr>
              <w:t>联系电话</w:t>
            </w:r>
          </w:p>
        </w:tc>
        <w:tc>
          <w:tcPr>
            <w:tcW w:w="2160" w:type="dxa"/>
            <w:vAlign w:val="center"/>
          </w:tcPr>
          <w:p>
            <w:pPr>
              <w:tabs>
                <w:tab w:val="left" w:pos="210"/>
              </w:tabs>
              <w:spacing w:line="360" w:lineRule="auto"/>
              <w:ind w:firstLine="420" w:firstLineChars="200"/>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trPr>
        <w:tc>
          <w:tcPr>
            <w:tcW w:w="594" w:type="dxa"/>
            <w:vMerge w:val="continue"/>
            <w:vAlign w:val="center"/>
          </w:tcPr>
          <w:p>
            <w:pPr>
              <w:tabs>
                <w:tab w:val="left" w:pos="210"/>
              </w:tabs>
              <w:spacing w:line="360" w:lineRule="auto"/>
              <w:ind w:firstLine="420" w:firstLineChars="200"/>
              <w:jc w:val="center"/>
              <w:rPr>
                <w:rFonts w:ascii="宋体" w:hAnsi="宋体" w:cs="宋体"/>
                <w:kern w:val="0"/>
                <w:szCs w:val="21"/>
              </w:rPr>
            </w:pPr>
          </w:p>
        </w:tc>
        <w:tc>
          <w:tcPr>
            <w:tcW w:w="2160" w:type="dxa"/>
            <w:vAlign w:val="center"/>
          </w:tcPr>
          <w:p>
            <w:pPr>
              <w:tabs>
                <w:tab w:val="left" w:pos="210"/>
              </w:tabs>
              <w:spacing w:line="360" w:lineRule="auto"/>
              <w:rPr>
                <w:rFonts w:ascii="宋体" w:hAnsi="宋体" w:cs="宋体"/>
                <w:kern w:val="0"/>
                <w:szCs w:val="21"/>
              </w:rPr>
            </w:pPr>
            <w:r>
              <w:rPr>
                <w:rFonts w:hint="eastAsia" w:ascii="宋体" w:hAnsi="宋体" w:cs="宋体"/>
                <w:kern w:val="0"/>
                <w:szCs w:val="21"/>
              </w:rPr>
              <w:t>传真</w:t>
            </w:r>
          </w:p>
        </w:tc>
        <w:tc>
          <w:tcPr>
            <w:tcW w:w="6656" w:type="dxa"/>
            <w:gridSpan w:val="4"/>
            <w:vAlign w:val="center"/>
          </w:tcPr>
          <w:p>
            <w:pPr>
              <w:tabs>
                <w:tab w:val="left" w:pos="210"/>
              </w:tabs>
              <w:spacing w:line="360" w:lineRule="auto"/>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7" w:hRule="atLeast"/>
        </w:trPr>
        <w:tc>
          <w:tcPr>
            <w:tcW w:w="594" w:type="dxa"/>
            <w:vMerge w:val="restart"/>
            <w:vAlign w:val="center"/>
          </w:tcPr>
          <w:p>
            <w:pPr>
              <w:tabs>
                <w:tab w:val="left" w:pos="210"/>
              </w:tabs>
              <w:spacing w:line="360" w:lineRule="auto"/>
              <w:jc w:val="center"/>
              <w:rPr>
                <w:rFonts w:ascii="宋体" w:hAnsi="宋体" w:cs="宋体"/>
                <w:kern w:val="0"/>
                <w:szCs w:val="21"/>
              </w:rPr>
            </w:pPr>
            <w:r>
              <w:rPr>
                <w:rFonts w:hint="eastAsia" w:ascii="宋体" w:hAnsi="宋体" w:cs="宋体"/>
                <w:kern w:val="0"/>
                <w:szCs w:val="21"/>
              </w:rPr>
              <w:t>法</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定</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代</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表</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人</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身</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份</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证</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复</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印</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件</w:t>
            </w:r>
          </w:p>
        </w:tc>
        <w:tc>
          <w:tcPr>
            <w:tcW w:w="4316" w:type="dxa"/>
            <w:gridSpan w:val="2"/>
            <w:vMerge w:val="restart"/>
            <w:vAlign w:val="center"/>
          </w:tcPr>
          <w:p>
            <w:pPr>
              <w:tabs>
                <w:tab w:val="left" w:pos="210"/>
              </w:tabs>
              <w:spacing w:line="360" w:lineRule="auto"/>
              <w:ind w:firstLine="420" w:firstLineChars="200"/>
              <w:jc w:val="left"/>
              <w:rPr>
                <w:rFonts w:ascii="宋体" w:hAnsi="宋体" w:cs="宋体"/>
                <w:kern w:val="0"/>
                <w:szCs w:val="21"/>
              </w:rPr>
            </w:pPr>
            <w:r>
              <w:rPr>
                <w:rFonts w:hint="eastAsia" w:ascii="宋体" w:hAnsi="宋体" w:cs="宋体"/>
                <w:kern w:val="0"/>
                <w:szCs w:val="21"/>
              </w:rPr>
              <w:t>（正反面）</w:t>
            </w:r>
          </w:p>
        </w:tc>
        <w:tc>
          <w:tcPr>
            <w:tcW w:w="4500" w:type="dxa"/>
            <w:gridSpan w:val="3"/>
            <w:vAlign w:val="center"/>
          </w:tcPr>
          <w:p>
            <w:pPr>
              <w:tabs>
                <w:tab w:val="left" w:pos="210"/>
              </w:tabs>
              <w:spacing w:line="360" w:lineRule="auto"/>
              <w:ind w:firstLine="420" w:firstLineChars="200"/>
              <w:jc w:val="left"/>
              <w:rPr>
                <w:rFonts w:ascii="宋体" w:hAnsi="宋体" w:cs="宋体"/>
                <w:kern w:val="0"/>
                <w:szCs w:val="21"/>
              </w:rPr>
            </w:pPr>
            <w:r>
              <w:rPr>
                <w:rFonts w:hint="eastAsia" w:ascii="宋体" w:hAnsi="宋体" w:cs="宋体"/>
                <w:kern w:val="0"/>
                <w:szCs w:val="21"/>
              </w:rPr>
              <w:t>法定代表人（签字或盖章）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2" w:hRule="atLeast"/>
        </w:trPr>
        <w:tc>
          <w:tcPr>
            <w:tcW w:w="594" w:type="dxa"/>
            <w:vMerge w:val="continue"/>
            <w:vAlign w:val="center"/>
          </w:tcPr>
          <w:p>
            <w:pPr>
              <w:tabs>
                <w:tab w:val="left" w:pos="210"/>
              </w:tabs>
              <w:spacing w:line="360" w:lineRule="auto"/>
              <w:ind w:firstLine="420" w:firstLineChars="200"/>
              <w:jc w:val="left"/>
              <w:rPr>
                <w:rFonts w:ascii="宋体" w:hAnsi="宋体" w:cs="宋体"/>
                <w:kern w:val="0"/>
                <w:szCs w:val="21"/>
              </w:rPr>
            </w:pPr>
          </w:p>
        </w:tc>
        <w:tc>
          <w:tcPr>
            <w:tcW w:w="4316" w:type="dxa"/>
            <w:gridSpan w:val="2"/>
            <w:vMerge w:val="continue"/>
            <w:vAlign w:val="center"/>
          </w:tcPr>
          <w:p>
            <w:pPr>
              <w:tabs>
                <w:tab w:val="left" w:pos="210"/>
              </w:tabs>
              <w:spacing w:line="360" w:lineRule="auto"/>
              <w:ind w:firstLine="420" w:firstLineChars="200"/>
              <w:jc w:val="left"/>
              <w:rPr>
                <w:rFonts w:ascii="宋体" w:hAnsi="宋体" w:cs="宋体"/>
                <w:kern w:val="0"/>
                <w:szCs w:val="21"/>
              </w:rPr>
            </w:pPr>
          </w:p>
        </w:tc>
        <w:tc>
          <w:tcPr>
            <w:tcW w:w="4500" w:type="dxa"/>
            <w:gridSpan w:val="3"/>
            <w:vAlign w:val="bottom"/>
          </w:tcPr>
          <w:p>
            <w:pPr>
              <w:tabs>
                <w:tab w:val="left" w:pos="210"/>
              </w:tabs>
              <w:spacing w:line="360" w:lineRule="auto"/>
              <w:ind w:firstLine="420" w:firstLineChars="200"/>
              <w:jc w:val="left"/>
              <w:rPr>
                <w:rFonts w:ascii="宋体" w:hAnsi="宋体" w:cs="宋体"/>
                <w:kern w:val="0"/>
                <w:szCs w:val="21"/>
              </w:rPr>
            </w:pPr>
            <w:r>
              <w:rPr>
                <w:rFonts w:hint="eastAsia" w:ascii="宋体" w:hAnsi="宋体" w:cs="宋体"/>
                <w:kern w:val="0"/>
                <w:szCs w:val="21"/>
              </w:rPr>
              <w:t>（公章）</w:t>
            </w:r>
          </w:p>
          <w:p>
            <w:pPr>
              <w:tabs>
                <w:tab w:val="left" w:pos="210"/>
              </w:tabs>
              <w:spacing w:line="360" w:lineRule="auto"/>
              <w:jc w:val="left"/>
              <w:rPr>
                <w:rFonts w:ascii="宋体" w:hAnsi="宋体" w:cs="宋体"/>
                <w:kern w:val="0"/>
                <w:szCs w:val="21"/>
              </w:rPr>
            </w:pPr>
          </w:p>
          <w:p>
            <w:pPr>
              <w:tabs>
                <w:tab w:val="left" w:pos="210"/>
              </w:tabs>
              <w:spacing w:line="360" w:lineRule="auto"/>
              <w:jc w:val="left"/>
              <w:rPr>
                <w:rFonts w:ascii="宋体" w:hAnsi="宋体" w:cs="宋体"/>
                <w:kern w:val="0"/>
                <w:szCs w:val="21"/>
              </w:rPr>
            </w:pPr>
          </w:p>
          <w:p>
            <w:pPr>
              <w:tabs>
                <w:tab w:val="left" w:pos="210"/>
              </w:tabs>
              <w:spacing w:line="360" w:lineRule="auto"/>
              <w:jc w:val="left"/>
              <w:rPr>
                <w:rFonts w:ascii="宋体" w:hAnsi="宋体" w:cs="宋体"/>
                <w:kern w:val="0"/>
                <w:szCs w:val="21"/>
              </w:rPr>
            </w:pPr>
          </w:p>
          <w:p>
            <w:pPr>
              <w:adjustRightInd w:val="0"/>
              <w:snapToGrid w:val="0"/>
              <w:spacing w:line="480" w:lineRule="auto"/>
              <w:ind w:firstLine="480" w:firstLineChars="200"/>
              <w:jc w:val="right"/>
              <w:rPr>
                <w:rFonts w:ascii="宋体" w:hAnsi="宋体" w:cs="宋体"/>
                <w:kern w:val="0"/>
                <w:szCs w:val="21"/>
              </w:rPr>
            </w:pPr>
            <w:r>
              <w:rPr>
                <w:rFonts w:hint="eastAsia" w:ascii="宋体" w:hAnsi="宋体" w:cs="宋体"/>
                <w:sz w:val="24"/>
              </w:rPr>
              <w:t>_________年______月 _____日</w:t>
            </w:r>
          </w:p>
        </w:tc>
      </w:tr>
    </w:tbl>
    <w:p>
      <w:pPr>
        <w:pStyle w:val="2"/>
        <w:sectPr>
          <w:pgSz w:w="11906" w:h="16838"/>
          <w:pgMar w:top="1440" w:right="1803" w:bottom="1440" w:left="1803" w:header="851" w:footer="992" w:gutter="0"/>
          <w:pgNumType w:fmt="decimal"/>
          <w:cols w:space="720" w:num="1"/>
          <w:docGrid w:type="lines" w:linePitch="319" w:charSpace="0"/>
        </w:sectPr>
      </w:pPr>
    </w:p>
    <w:p>
      <w:pPr>
        <w:pStyle w:val="8"/>
        <w:spacing w:line="500" w:lineRule="exact"/>
        <w:jc w:val="center"/>
        <w:rPr>
          <w:rFonts w:hAnsi="宋体" w:cs="宋体"/>
          <w:sz w:val="24"/>
          <w:szCs w:val="24"/>
        </w:rPr>
      </w:pPr>
      <w:r>
        <w:rPr>
          <w:rFonts w:hint="eastAsia" w:hAnsi="宋体" w:cs="宋体"/>
          <w:b/>
          <w:sz w:val="24"/>
          <w:szCs w:val="24"/>
          <w:lang w:val="en-US" w:eastAsia="zh-CN"/>
        </w:rPr>
        <w:t>7</w:t>
      </w:r>
      <w:r>
        <w:rPr>
          <w:rFonts w:hint="eastAsia" w:hAnsi="宋体" w:cs="宋体"/>
          <w:b/>
          <w:sz w:val="24"/>
          <w:szCs w:val="24"/>
        </w:rPr>
        <w:t>-2法定代表人授权书</w:t>
      </w:r>
    </w:p>
    <w:p>
      <w:pPr>
        <w:pStyle w:val="8"/>
        <w:spacing w:line="500" w:lineRule="exact"/>
        <w:jc w:val="left"/>
        <w:rPr>
          <w:rFonts w:hAnsi="宋体" w:cs="宋体"/>
          <w:sz w:val="24"/>
          <w:szCs w:val="24"/>
        </w:rPr>
      </w:pPr>
      <w:r>
        <w:rPr>
          <w:rFonts w:hint="eastAsia" w:hAnsi="宋体" w:cs="宋体"/>
          <w:sz w:val="24"/>
          <w:szCs w:val="24"/>
        </w:rPr>
        <w:t>陕西卓佲项目管理有限公司：</w:t>
      </w:r>
    </w:p>
    <w:p>
      <w:pPr>
        <w:tabs>
          <w:tab w:val="left" w:pos="8820"/>
        </w:tabs>
        <w:spacing w:line="360" w:lineRule="auto"/>
        <w:ind w:firstLine="570"/>
        <w:rPr>
          <w:rFonts w:ascii="宋体" w:hAnsi="宋体" w:cs="宋体"/>
          <w:sz w:val="24"/>
          <w:u w:val="single"/>
        </w:rPr>
      </w:pPr>
      <w:r>
        <w:rPr>
          <w:rFonts w:hint="eastAsia" w:ascii="宋体" w:hAnsi="宋体" w:cs="宋体"/>
          <w:sz w:val="24"/>
        </w:rPr>
        <w:t>本授权委托书声明：我</w:t>
      </w:r>
      <w:r>
        <w:rPr>
          <w:rFonts w:hint="eastAsia" w:ascii="宋体" w:hAnsi="宋体" w:cs="宋体"/>
          <w:sz w:val="24"/>
          <w:u w:val="single"/>
        </w:rPr>
        <w:t xml:space="preserve">（法定代表人姓名）   </w:t>
      </w:r>
      <w:r>
        <w:rPr>
          <w:rFonts w:hint="eastAsia" w:ascii="宋体" w:hAnsi="宋体" w:cs="宋体"/>
          <w:sz w:val="24"/>
        </w:rPr>
        <w:t>系注册于</w:t>
      </w:r>
      <w:r>
        <w:rPr>
          <w:rFonts w:hint="eastAsia" w:ascii="宋体" w:hAnsi="宋体" w:cs="宋体"/>
          <w:sz w:val="24"/>
          <w:u w:val="single"/>
        </w:rPr>
        <w:t xml:space="preserve">  （供应商地址）     </w:t>
      </w:r>
      <w:r>
        <w:rPr>
          <w:rFonts w:hint="eastAsia" w:ascii="宋体" w:hAnsi="宋体" w:cs="宋体"/>
          <w:sz w:val="24"/>
        </w:rPr>
        <w:t>的</w:t>
      </w:r>
      <w:r>
        <w:rPr>
          <w:rFonts w:hint="eastAsia" w:ascii="宋体" w:hAnsi="宋体" w:cs="宋体"/>
          <w:sz w:val="24"/>
          <w:u w:val="single"/>
        </w:rPr>
        <w:t xml:space="preserve">（供应商名称）  </w:t>
      </w:r>
      <w:r>
        <w:rPr>
          <w:rFonts w:hint="eastAsia" w:ascii="宋体" w:hAnsi="宋体" w:cs="宋体"/>
          <w:sz w:val="24"/>
        </w:rPr>
        <w:t>的法定代表人，现代表公司授权</w:t>
      </w:r>
      <w:r>
        <w:rPr>
          <w:rFonts w:hint="eastAsia" w:ascii="宋体" w:hAnsi="宋体" w:cs="宋体"/>
          <w:sz w:val="24"/>
          <w:u w:val="single"/>
        </w:rPr>
        <w:t xml:space="preserve">（被授权人的姓名、职务）   </w:t>
      </w:r>
      <w:r>
        <w:rPr>
          <w:rFonts w:hint="eastAsia" w:ascii="宋体" w:hAnsi="宋体" w:cs="宋体"/>
          <w:sz w:val="24"/>
        </w:rPr>
        <w:t>为我公司合法代理人，代表本公司参加</w:t>
      </w:r>
      <w:r>
        <w:rPr>
          <w:rFonts w:hint="eastAsia" w:ascii="宋体" w:hAnsi="宋体" w:cs="宋体"/>
          <w:sz w:val="24"/>
          <w:u w:val="single"/>
        </w:rPr>
        <w:t xml:space="preserve">  （项目名称） （项目编号）   </w:t>
      </w:r>
      <w:r>
        <w:rPr>
          <w:rFonts w:hint="eastAsia" w:ascii="宋体" w:hAnsi="宋体" w:cs="宋体"/>
          <w:sz w:val="24"/>
        </w:rPr>
        <w:t>的采购活动。以我方名义全权处理该项目有关投标、签订合同以及执行合同等一切事宜。</w:t>
      </w:r>
    </w:p>
    <w:p>
      <w:pPr>
        <w:spacing w:line="360" w:lineRule="auto"/>
        <w:ind w:firstLine="480" w:firstLineChars="200"/>
        <w:rPr>
          <w:rFonts w:ascii="宋体" w:hAnsi="宋体" w:cs="宋体"/>
          <w:sz w:val="24"/>
          <w:szCs w:val="24"/>
        </w:rPr>
      </w:pPr>
      <w:r>
        <w:rPr>
          <w:rFonts w:hint="eastAsia" w:ascii="宋体" w:hAnsi="宋体" w:cs="宋体"/>
          <w:sz w:val="24"/>
        </w:rPr>
        <w:t>本授权书自响应文件递交截止之日生效，有效期与投标有效期一致，特此声明。</w:t>
      </w:r>
    </w:p>
    <w:p>
      <w:pPr>
        <w:pStyle w:val="8"/>
        <w:spacing w:line="500" w:lineRule="exact"/>
        <w:ind w:firstLine="480" w:firstLineChars="200"/>
        <w:jc w:val="left"/>
        <w:rPr>
          <w:rFonts w:hAnsi="宋体" w:cs="宋体"/>
          <w:sz w:val="24"/>
          <w:szCs w:val="24"/>
        </w:rPr>
      </w:pPr>
      <w:r>
        <w:rPr>
          <w:rFonts w:hint="eastAsia" w:hAnsi="宋体" w:cs="宋体"/>
          <w:sz w:val="24"/>
          <w:szCs w:val="24"/>
        </w:rPr>
        <w:t>供应商（单位名称及公章）</w:t>
      </w:r>
      <w:r>
        <w:rPr>
          <w:rFonts w:hint="eastAsia" w:hAnsi="宋体" w:cs="宋体"/>
          <w:sz w:val="24"/>
          <w:szCs w:val="24"/>
          <w:u w:val="single"/>
        </w:rPr>
        <w:t xml:space="preserve">：                  </w:t>
      </w:r>
    </w:p>
    <w:p>
      <w:pPr>
        <w:pStyle w:val="8"/>
        <w:spacing w:line="500" w:lineRule="exact"/>
        <w:ind w:firstLine="480" w:firstLineChars="200"/>
        <w:jc w:val="left"/>
        <w:rPr>
          <w:rFonts w:hAnsi="宋体" w:cs="宋体"/>
          <w:sz w:val="24"/>
          <w:szCs w:val="24"/>
        </w:rPr>
      </w:pPr>
      <w:r>
        <w:rPr>
          <w:rFonts w:hint="eastAsia" w:hAnsi="宋体" w:cs="宋体"/>
          <w:sz w:val="24"/>
          <w:szCs w:val="24"/>
        </w:rPr>
        <w:t>法定代表人（签字或盖章）</w:t>
      </w:r>
      <w:r>
        <w:rPr>
          <w:rFonts w:hint="eastAsia" w:hAnsi="宋体" w:cs="宋体"/>
          <w:sz w:val="24"/>
          <w:szCs w:val="24"/>
          <w:u w:val="single"/>
        </w:rPr>
        <w:t xml:space="preserve">：                  </w:t>
      </w:r>
    </w:p>
    <w:p>
      <w:pPr>
        <w:pStyle w:val="8"/>
        <w:spacing w:line="500" w:lineRule="exact"/>
        <w:ind w:firstLine="480" w:firstLineChars="200"/>
        <w:jc w:val="left"/>
        <w:rPr>
          <w:rFonts w:hAnsi="宋体" w:cs="宋体"/>
          <w:sz w:val="24"/>
          <w:szCs w:val="24"/>
          <w:u w:val="single"/>
        </w:rPr>
      </w:pPr>
      <w:r>
        <w:rPr>
          <w:rFonts w:hint="eastAsia" w:hAnsi="宋体" w:cs="宋体"/>
          <w:sz w:val="24"/>
          <w:szCs w:val="24"/>
        </w:rPr>
        <w:t>被授权人</w:t>
      </w:r>
      <w:r>
        <w:rPr>
          <w:rFonts w:hint="eastAsia" w:hAnsi="宋体" w:cs="宋体"/>
          <w:sz w:val="24"/>
          <w:szCs w:val="24"/>
          <w:u w:val="single"/>
        </w:rPr>
        <w:t xml:space="preserve">：      </w:t>
      </w:r>
      <w:r>
        <w:rPr>
          <w:rFonts w:hint="eastAsia" w:hAnsi="宋体" w:cs="宋体"/>
          <w:sz w:val="24"/>
          <w:szCs w:val="24"/>
        </w:rPr>
        <w:t>性别</w:t>
      </w:r>
      <w:r>
        <w:rPr>
          <w:rFonts w:hint="eastAsia" w:hAnsi="宋体" w:cs="宋体"/>
          <w:sz w:val="24"/>
          <w:szCs w:val="24"/>
          <w:u w:val="single"/>
        </w:rPr>
        <w:t xml:space="preserve">：        </w:t>
      </w:r>
      <w:r>
        <w:rPr>
          <w:rFonts w:hint="eastAsia" w:hAnsi="宋体" w:cs="宋体"/>
          <w:sz w:val="24"/>
          <w:szCs w:val="24"/>
        </w:rPr>
        <w:t>职务：</w:t>
      </w:r>
      <w:r>
        <w:rPr>
          <w:rFonts w:hint="eastAsia" w:hAnsi="宋体" w:cs="宋体"/>
          <w:sz w:val="24"/>
          <w:szCs w:val="24"/>
          <w:u w:val="single"/>
        </w:rPr>
        <w:t xml:space="preserve">              </w:t>
      </w:r>
    </w:p>
    <w:p>
      <w:pPr>
        <w:pStyle w:val="8"/>
        <w:spacing w:line="500" w:lineRule="exact"/>
        <w:ind w:firstLine="480" w:firstLineChars="200"/>
        <w:jc w:val="left"/>
        <w:rPr>
          <w:rFonts w:hAnsi="宋体" w:cs="宋体"/>
          <w:sz w:val="24"/>
          <w:szCs w:val="24"/>
          <w:u w:val="single"/>
        </w:rPr>
      </w:pPr>
      <w:r>
        <w:rPr>
          <w:rFonts w:hint="eastAsia" w:hAnsi="宋体" w:cs="宋体"/>
          <w:sz w:val="24"/>
          <w:szCs w:val="24"/>
        </w:rPr>
        <w:t>联系地址</w:t>
      </w:r>
      <w:r>
        <w:rPr>
          <w:rFonts w:hint="eastAsia" w:hAnsi="宋体" w:cs="宋体"/>
          <w:sz w:val="24"/>
          <w:szCs w:val="24"/>
          <w:u w:val="single"/>
        </w:rPr>
        <w:t xml:space="preserve">：               </w:t>
      </w:r>
    </w:p>
    <w:p>
      <w:pPr>
        <w:pStyle w:val="8"/>
        <w:spacing w:line="500" w:lineRule="exact"/>
        <w:ind w:firstLine="480" w:firstLineChars="200"/>
        <w:jc w:val="left"/>
        <w:rPr>
          <w:rFonts w:hAnsi="宋体" w:cs="宋体"/>
          <w:sz w:val="24"/>
          <w:szCs w:val="24"/>
          <w:u w:val="single"/>
        </w:rPr>
      </w:pPr>
      <w:r>
        <w:rPr>
          <w:rFonts w:hint="eastAsia" w:hAnsi="宋体" w:cs="宋体"/>
          <w:sz w:val="24"/>
          <w:szCs w:val="24"/>
        </w:rPr>
        <w:t>联系电话：</w:t>
      </w:r>
      <w:r>
        <w:rPr>
          <w:rFonts w:hint="eastAsia" w:hAnsi="宋体" w:cs="宋体"/>
          <w:sz w:val="24"/>
          <w:szCs w:val="24"/>
          <w:u w:val="single"/>
        </w:rPr>
        <w:t xml:space="preserve">               </w:t>
      </w:r>
    </w:p>
    <w:p>
      <w:pPr>
        <w:pStyle w:val="8"/>
        <w:spacing w:line="500" w:lineRule="exact"/>
        <w:ind w:firstLine="480" w:firstLineChars="200"/>
        <w:jc w:val="left"/>
        <w:rPr>
          <w:rFonts w:hAnsi="宋体" w:cs="宋体"/>
          <w:sz w:val="24"/>
          <w:szCs w:val="24"/>
        </w:rPr>
      </w:pPr>
      <w:r>
        <w:rPr>
          <w:rFonts w:hint="eastAsia" w:hAnsi="宋体" w:cs="宋体"/>
          <w:sz w:val="24"/>
          <w:szCs w:val="24"/>
        </w:rPr>
        <w:t>法定代表人及被授权人身份证复印件或扫描件</w:t>
      </w:r>
    </w:p>
    <w:tbl>
      <w:tblPr>
        <w:tblStyle w:val="23"/>
        <w:tblW w:w="8940" w:type="dxa"/>
        <w:tblInd w:w="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4"/>
        <w:gridCol w:w="4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6" w:hRule="atLeast"/>
        </w:trPr>
        <w:tc>
          <w:tcPr>
            <w:tcW w:w="4394" w:type="dxa"/>
            <w:shd w:val="clear" w:color="auto" w:fill="D9D9D9"/>
            <w:vAlign w:val="center"/>
          </w:tcPr>
          <w:p>
            <w:pPr>
              <w:pStyle w:val="8"/>
              <w:spacing w:line="500" w:lineRule="exact"/>
              <w:jc w:val="left"/>
              <w:rPr>
                <w:rFonts w:hAnsi="宋体" w:cs="宋体"/>
                <w:sz w:val="24"/>
                <w:szCs w:val="24"/>
                <w:shd w:val="pct10" w:color="auto" w:fill="FFFFFF"/>
              </w:rPr>
            </w:pPr>
            <w:r>
              <w:rPr>
                <w:rFonts w:hint="eastAsia" w:hAnsi="宋体" w:cs="宋体"/>
                <w:sz w:val="24"/>
                <w:szCs w:val="24"/>
                <w:shd w:val="pct10" w:color="auto" w:fill="FFFFFF"/>
              </w:rPr>
              <w:t>法定代表人身份证复印件/扫描件</w:t>
            </w:r>
          </w:p>
          <w:p>
            <w:pPr>
              <w:pStyle w:val="8"/>
              <w:spacing w:line="500" w:lineRule="exact"/>
              <w:jc w:val="left"/>
              <w:rPr>
                <w:rFonts w:hAnsi="宋体" w:cs="宋体"/>
                <w:sz w:val="24"/>
                <w:szCs w:val="24"/>
                <w:shd w:val="pct10" w:color="auto" w:fill="FFFFFF"/>
              </w:rPr>
            </w:pPr>
            <w:r>
              <w:rPr>
                <w:rFonts w:hint="eastAsia" w:hAnsi="宋体" w:cs="宋体"/>
                <w:sz w:val="24"/>
                <w:szCs w:val="24"/>
                <w:shd w:val="pct10" w:color="auto" w:fill="FFFFFF"/>
              </w:rPr>
              <w:t>（正反面）</w:t>
            </w:r>
          </w:p>
          <w:p>
            <w:pPr>
              <w:pStyle w:val="8"/>
              <w:spacing w:line="500" w:lineRule="exact"/>
              <w:jc w:val="left"/>
              <w:rPr>
                <w:rFonts w:hAnsi="宋体" w:cs="宋体"/>
                <w:sz w:val="24"/>
                <w:szCs w:val="24"/>
                <w:shd w:val="pct10" w:color="auto" w:fill="FFFFFF"/>
              </w:rPr>
            </w:pPr>
          </w:p>
        </w:tc>
        <w:tc>
          <w:tcPr>
            <w:tcW w:w="4546" w:type="dxa"/>
            <w:shd w:val="clear" w:color="auto" w:fill="D9D9D9"/>
            <w:vAlign w:val="center"/>
          </w:tcPr>
          <w:p>
            <w:pPr>
              <w:pStyle w:val="8"/>
              <w:spacing w:line="500" w:lineRule="exact"/>
              <w:ind w:firstLine="480" w:firstLineChars="200"/>
              <w:jc w:val="left"/>
              <w:rPr>
                <w:rFonts w:hAnsi="宋体" w:cs="宋体"/>
                <w:sz w:val="24"/>
                <w:szCs w:val="24"/>
                <w:shd w:val="pct10" w:color="auto" w:fill="FFFFFF"/>
              </w:rPr>
            </w:pPr>
            <w:r>
              <w:rPr>
                <w:rFonts w:hint="eastAsia" w:hAnsi="宋体" w:cs="宋体"/>
                <w:sz w:val="24"/>
                <w:szCs w:val="24"/>
                <w:shd w:val="pct10" w:color="auto" w:fill="FFFFFF"/>
              </w:rPr>
              <w:t>被授权人身份证复印件/扫描件</w:t>
            </w:r>
          </w:p>
          <w:p>
            <w:pPr>
              <w:pStyle w:val="8"/>
              <w:spacing w:line="500" w:lineRule="exact"/>
              <w:ind w:firstLine="480" w:firstLineChars="200"/>
              <w:jc w:val="left"/>
              <w:rPr>
                <w:rFonts w:hAnsi="宋体" w:cs="宋体"/>
                <w:sz w:val="24"/>
                <w:szCs w:val="24"/>
                <w:shd w:val="pct10" w:color="auto" w:fill="FFFFFF"/>
              </w:rPr>
            </w:pPr>
            <w:r>
              <w:rPr>
                <w:rFonts w:hint="eastAsia" w:hAnsi="宋体" w:cs="宋体"/>
                <w:sz w:val="24"/>
                <w:szCs w:val="24"/>
                <w:shd w:val="pct10" w:color="auto" w:fill="FFFFFF"/>
              </w:rPr>
              <w:t>（正反面）</w:t>
            </w:r>
          </w:p>
          <w:p>
            <w:pPr>
              <w:pStyle w:val="8"/>
              <w:spacing w:line="500" w:lineRule="exact"/>
              <w:ind w:firstLine="480" w:firstLineChars="200"/>
              <w:jc w:val="left"/>
              <w:rPr>
                <w:rFonts w:hAnsi="宋体" w:cs="宋体"/>
                <w:sz w:val="24"/>
                <w:szCs w:val="24"/>
                <w:shd w:val="pct10" w:color="auto" w:fill="FFFFFF"/>
              </w:rPr>
            </w:pPr>
          </w:p>
        </w:tc>
      </w:tr>
    </w:tbl>
    <w:p>
      <w:pPr>
        <w:rPr>
          <w:rFonts w:hAnsi="宋体" w:cs="宋体"/>
          <w:sz w:val="24"/>
          <w:szCs w:val="24"/>
        </w:rPr>
      </w:pPr>
    </w:p>
    <w:p>
      <w:pPr>
        <w:rPr>
          <w:rFonts w:hAnsi="宋体" w:cs="宋体"/>
          <w:sz w:val="24"/>
          <w:szCs w:val="24"/>
        </w:rPr>
      </w:pPr>
    </w:p>
    <w:p>
      <w:pPr>
        <w:spacing w:line="500" w:lineRule="exact"/>
        <w:ind w:firstLine="482" w:firstLineChars="200"/>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非法定代表人参加投标的，须提供法定代表人委托授权书及被授权人身份证，法定代表人参加投标时,只需提供法定代表人身份证；</w:t>
      </w:r>
    </w:p>
    <w:p>
      <w:pPr>
        <w:keepNext/>
        <w:keepLines/>
        <w:spacing w:line="413" w:lineRule="auto"/>
        <w:jc w:val="center"/>
        <w:rPr>
          <w:rFonts w:ascii="宋体" w:hAnsi="宋体" w:cs="宋体"/>
          <w:sz w:val="32"/>
          <w:szCs w:val="24"/>
        </w:rPr>
        <w:sectPr>
          <w:pgSz w:w="11906" w:h="16838"/>
          <w:pgMar w:top="1440" w:right="1803" w:bottom="1440" w:left="1803" w:header="851" w:footer="992" w:gutter="0"/>
          <w:pgNumType w:fmt="decimal"/>
          <w:cols w:space="720" w:num="1"/>
          <w:docGrid w:type="lines" w:linePitch="319" w:charSpace="0"/>
        </w:sectPr>
      </w:pPr>
    </w:p>
    <w:p>
      <w:pPr>
        <w:widowControl/>
        <w:spacing w:line="360" w:lineRule="auto"/>
        <w:jc w:val="left"/>
        <w:rPr>
          <w:rFonts w:ascii="宋体" w:hAnsi="宋体" w:cs="宋体"/>
          <w:sz w:val="32"/>
          <w:szCs w:val="32"/>
        </w:rPr>
      </w:pPr>
      <w:r>
        <w:rPr>
          <w:rFonts w:hint="eastAsia" w:ascii="宋体" w:hAnsi="宋体" w:cs="宋体"/>
          <w:sz w:val="32"/>
          <w:szCs w:val="32"/>
          <w:lang w:val="en-US" w:eastAsia="zh-CN"/>
        </w:rPr>
        <w:t>8</w:t>
      </w:r>
      <w:r>
        <w:rPr>
          <w:rFonts w:hint="eastAsia" w:ascii="宋体" w:hAnsi="宋体" w:cs="宋体"/>
          <w:sz w:val="32"/>
          <w:szCs w:val="32"/>
        </w:rPr>
        <w:t>、本项目不接受联合体投标</w:t>
      </w:r>
    </w:p>
    <w:p>
      <w:pPr>
        <w:pStyle w:val="7"/>
        <w:ind w:left="420" w:leftChars="200" w:firstLine="0"/>
        <w:rPr>
          <w:rFonts w:ascii="宋体" w:hAnsi="宋体" w:cs="宋体"/>
        </w:rPr>
      </w:pPr>
    </w:p>
    <w:p>
      <w:pPr>
        <w:pStyle w:val="22"/>
        <w:ind w:firstLine="400"/>
        <w:rPr>
          <w:rFonts w:ascii="宋体" w:hAnsi="宋体" w:cs="宋体"/>
        </w:rPr>
      </w:pPr>
    </w:p>
    <w:p>
      <w:pPr>
        <w:widowControl/>
        <w:spacing w:line="360" w:lineRule="auto"/>
        <w:ind w:left="420"/>
        <w:jc w:val="center"/>
        <w:rPr>
          <w:rFonts w:ascii="宋体" w:hAnsi="宋体" w:cs="宋体"/>
          <w:sz w:val="24"/>
          <w:szCs w:val="24"/>
        </w:rPr>
      </w:pPr>
      <w:r>
        <w:rPr>
          <w:rFonts w:hint="eastAsia" w:ascii="宋体" w:hAnsi="宋体" w:cs="宋体"/>
          <w:sz w:val="24"/>
          <w:szCs w:val="24"/>
        </w:rPr>
        <w:t>非联合体投标声明</w:t>
      </w:r>
    </w:p>
    <w:p>
      <w:pPr>
        <w:widowControl/>
        <w:snapToGrid w:val="0"/>
        <w:spacing w:line="480" w:lineRule="auto"/>
        <w:jc w:val="left"/>
        <w:rPr>
          <w:rFonts w:ascii="宋体" w:hAnsi="宋体" w:cs="宋体"/>
          <w:kern w:val="0"/>
          <w:sz w:val="24"/>
          <w:szCs w:val="24"/>
        </w:rPr>
      </w:pPr>
      <w:r>
        <w:rPr>
          <w:rFonts w:hint="eastAsia" w:ascii="宋体" w:hAnsi="宋体" w:cs="宋体"/>
          <w:kern w:val="0"/>
          <w:sz w:val="24"/>
          <w:szCs w:val="24"/>
        </w:rPr>
        <w:t>(采购人名称）_______________________：</w:t>
      </w:r>
    </w:p>
    <w:p>
      <w:pPr>
        <w:widowControl/>
        <w:spacing w:line="360" w:lineRule="auto"/>
        <w:ind w:firstLine="480"/>
        <w:rPr>
          <w:rFonts w:ascii="宋体" w:hAnsi="宋体" w:cs="宋体"/>
          <w:kern w:val="0"/>
          <w:sz w:val="24"/>
          <w:szCs w:val="24"/>
        </w:rPr>
      </w:pPr>
      <w:r>
        <w:rPr>
          <w:rFonts w:hint="eastAsia" w:ascii="宋体" w:hAnsi="宋体" w:cs="宋体"/>
          <w:kern w:val="0"/>
          <w:sz w:val="24"/>
          <w:szCs w:val="24"/>
        </w:rPr>
        <w:t>我单位参与陕西卓佲项目管理有限公司组织的____________________(项目名称)</w:t>
      </w:r>
      <w:r>
        <w:rPr>
          <w:rFonts w:hint="eastAsia" w:ascii="宋体" w:cs="宋体"/>
          <w:kern w:val="0"/>
          <w:sz w:val="24"/>
          <w:szCs w:val="24"/>
        </w:rPr>
        <w:t>政府采购的投标</w:t>
      </w:r>
      <w:r>
        <w:rPr>
          <w:rFonts w:hint="eastAsia" w:ascii="宋体" w:hAnsi="宋体" w:cs="宋体"/>
          <w:kern w:val="0"/>
          <w:sz w:val="24"/>
          <w:szCs w:val="24"/>
        </w:rPr>
        <w:t>，我单位郑重声明：我方非联合体投标，如有虚假，承担相应责任。</w:t>
      </w:r>
    </w:p>
    <w:p>
      <w:pPr>
        <w:widowControl/>
        <w:spacing w:line="360" w:lineRule="auto"/>
        <w:ind w:firstLine="480"/>
        <w:rPr>
          <w:rFonts w:ascii="宋体" w:hAnsi="宋体" w:cs="宋体"/>
          <w:kern w:val="0"/>
          <w:sz w:val="24"/>
          <w:szCs w:val="24"/>
        </w:rPr>
      </w:pPr>
      <w:r>
        <w:rPr>
          <w:rFonts w:hint="eastAsia" w:ascii="宋体" w:hAnsi="宋体" w:cs="宋体"/>
          <w:kern w:val="0"/>
          <w:sz w:val="24"/>
          <w:szCs w:val="24"/>
        </w:rPr>
        <w:t>特此声明！</w:t>
      </w:r>
    </w:p>
    <w:p>
      <w:pPr>
        <w:rPr>
          <w:rFonts w:ascii="宋体" w:hAnsi="宋体" w:cs="宋体"/>
        </w:rPr>
      </w:pPr>
    </w:p>
    <w:p>
      <w:pPr>
        <w:pStyle w:val="7"/>
        <w:rPr>
          <w:rFonts w:ascii="宋体" w:hAnsi="宋体" w:cs="宋体"/>
          <w:sz w:val="24"/>
          <w:szCs w:val="24"/>
        </w:rPr>
      </w:pPr>
    </w:p>
    <w:p>
      <w:pPr>
        <w:pStyle w:val="7"/>
        <w:rPr>
          <w:rFonts w:ascii="宋体" w:hAnsi="宋体" w:cs="宋体"/>
          <w:sz w:val="24"/>
          <w:szCs w:val="24"/>
        </w:rPr>
      </w:pPr>
    </w:p>
    <w:p>
      <w:pPr>
        <w:pStyle w:val="7"/>
        <w:rPr>
          <w:rFonts w:ascii="宋体" w:hAnsi="宋体" w:cs="宋体"/>
          <w:sz w:val="24"/>
          <w:szCs w:val="24"/>
        </w:rPr>
      </w:pPr>
    </w:p>
    <w:p>
      <w:pPr>
        <w:pStyle w:val="7"/>
        <w:rPr>
          <w:rFonts w:ascii="宋体" w:hAnsi="宋体" w:cs="宋体"/>
          <w:sz w:val="24"/>
          <w:szCs w:val="24"/>
        </w:rPr>
      </w:pPr>
    </w:p>
    <w:p>
      <w:pPr>
        <w:pStyle w:val="7"/>
        <w:rPr>
          <w:rFonts w:ascii="宋体" w:hAnsi="宋体" w:cs="宋体"/>
          <w:sz w:val="24"/>
          <w:szCs w:val="24"/>
        </w:rPr>
      </w:pPr>
    </w:p>
    <w:p>
      <w:pPr>
        <w:pStyle w:val="7"/>
        <w:rPr>
          <w:rFonts w:ascii="宋体" w:hAnsi="宋体" w:cs="宋体"/>
          <w:sz w:val="24"/>
          <w:szCs w:val="24"/>
        </w:rPr>
      </w:pPr>
    </w:p>
    <w:p>
      <w:pPr>
        <w:pStyle w:val="8"/>
        <w:spacing w:line="480" w:lineRule="auto"/>
        <w:jc w:val="left"/>
        <w:rPr>
          <w:rFonts w:hAnsi="宋体" w:cs="宋体"/>
          <w:sz w:val="24"/>
        </w:rPr>
      </w:pPr>
      <w:r>
        <w:rPr>
          <w:rFonts w:hint="eastAsia" w:hAnsi="宋体" w:cs="宋体"/>
          <w:sz w:val="24"/>
        </w:rPr>
        <w:t>供应商（单位名称及公章）：</w:t>
      </w:r>
      <w:r>
        <w:rPr>
          <w:rFonts w:hint="eastAsia" w:hAnsi="宋体" w:cs="宋体"/>
          <w:sz w:val="28"/>
          <w:szCs w:val="28"/>
        </w:rPr>
        <w:t>______________________</w:t>
      </w:r>
    </w:p>
    <w:p>
      <w:pPr>
        <w:pStyle w:val="8"/>
        <w:spacing w:line="480" w:lineRule="auto"/>
        <w:jc w:val="left"/>
        <w:rPr>
          <w:rFonts w:hAnsi="宋体" w:cs="宋体"/>
          <w:sz w:val="24"/>
        </w:rPr>
      </w:pPr>
      <w:r>
        <w:rPr>
          <w:rFonts w:hint="eastAsia" w:hAnsi="宋体" w:cs="宋体"/>
          <w:sz w:val="24"/>
        </w:rPr>
        <w:t>法定代表人或被授权人（签字或盖章）：</w:t>
      </w:r>
      <w:r>
        <w:rPr>
          <w:rFonts w:hint="eastAsia" w:hAnsi="宋体" w:cs="宋体"/>
          <w:sz w:val="28"/>
          <w:szCs w:val="28"/>
        </w:rPr>
        <w:t>______________________</w:t>
      </w:r>
    </w:p>
    <w:p>
      <w:pPr>
        <w:adjustRightInd w:val="0"/>
        <w:snapToGrid w:val="0"/>
        <w:spacing w:line="480" w:lineRule="auto"/>
        <w:rPr>
          <w:rFonts w:ascii="宋体" w:hAnsi="宋体" w:cs="宋体"/>
          <w:sz w:val="24"/>
          <w:szCs w:val="24"/>
        </w:rPr>
      </w:pPr>
      <w:r>
        <w:rPr>
          <w:rFonts w:hint="eastAsia" w:ascii="宋体" w:hAnsi="宋体" w:cs="宋体"/>
          <w:kern w:val="0"/>
          <w:sz w:val="24"/>
        </w:rPr>
        <w:t>日    期：</w:t>
      </w:r>
      <w:r>
        <w:rPr>
          <w:rFonts w:hint="eastAsia" w:ascii="宋体" w:hAnsi="宋体" w:eastAsia="宋体" w:cs="宋体"/>
          <w:sz w:val="28"/>
          <w:szCs w:val="28"/>
        </w:rPr>
        <w:t>_____</w:t>
      </w:r>
      <w:r>
        <w:rPr>
          <w:rFonts w:hint="eastAsia" w:ascii="宋体" w:hAnsi="宋体" w:eastAsia="宋体" w:cs="宋体"/>
          <w:sz w:val="24"/>
          <w:szCs w:val="24"/>
        </w:rPr>
        <w:t>年</w:t>
      </w:r>
      <w:r>
        <w:rPr>
          <w:rFonts w:hint="eastAsia" w:ascii="宋体" w:hAnsi="宋体" w:eastAsia="宋体" w:cs="宋体"/>
          <w:sz w:val="28"/>
          <w:szCs w:val="28"/>
        </w:rPr>
        <w:t>_____</w:t>
      </w:r>
      <w:r>
        <w:rPr>
          <w:rFonts w:hint="eastAsia" w:ascii="宋体" w:hAnsi="宋体" w:eastAsia="宋体" w:cs="宋体"/>
          <w:sz w:val="24"/>
          <w:szCs w:val="24"/>
        </w:rPr>
        <w:t xml:space="preserve"> 月</w:t>
      </w:r>
      <w:r>
        <w:rPr>
          <w:rFonts w:hint="eastAsia" w:ascii="宋体" w:hAnsi="宋体" w:eastAsia="宋体" w:cs="宋体"/>
          <w:sz w:val="28"/>
          <w:szCs w:val="28"/>
        </w:rPr>
        <w:t>_____</w:t>
      </w:r>
      <w:r>
        <w:rPr>
          <w:rFonts w:hint="eastAsia" w:ascii="宋体" w:hAnsi="宋体" w:eastAsia="宋体" w:cs="宋体"/>
          <w:sz w:val="28"/>
          <w:szCs w:val="28"/>
          <w:lang w:val="en-US" w:eastAsia="zh-CN"/>
        </w:rPr>
        <w:t>日</w:t>
      </w:r>
    </w:p>
    <w:p>
      <w:pPr>
        <w:pStyle w:val="9"/>
        <w:sectPr>
          <w:footerReference r:id="rId13" w:type="default"/>
          <w:pgSz w:w="11906" w:h="16838"/>
          <w:pgMar w:top="1440" w:right="1803" w:bottom="1440" w:left="1803" w:header="851" w:footer="992" w:gutter="0"/>
          <w:pgNumType w:fmt="decimal"/>
          <w:cols w:space="720" w:num="1"/>
          <w:docGrid w:type="lines" w:linePitch="319" w:charSpace="0"/>
        </w:sectPr>
      </w:pPr>
    </w:p>
    <w:p>
      <w:pPr>
        <w:pStyle w:val="4"/>
        <w:spacing w:before="312" w:beforeLines="100" w:after="468" w:afterLines="150" w:line="500" w:lineRule="exact"/>
        <w:rPr>
          <w:rFonts w:ascii="宋体" w:hAnsi="宋体"/>
          <w:sz w:val="36"/>
          <w:szCs w:val="36"/>
        </w:rPr>
      </w:pPr>
      <w:bookmarkStart w:id="84" w:name="_Toc17891"/>
      <w:r>
        <w:rPr>
          <w:rFonts w:hint="eastAsia" w:ascii="宋体" w:hAnsi="宋体" w:cs="宋体"/>
          <w:sz w:val="36"/>
          <w:szCs w:val="36"/>
        </w:rPr>
        <w:t>第五部分</w:t>
      </w:r>
      <w:bookmarkEnd w:id="83"/>
      <w:r>
        <w:rPr>
          <w:rFonts w:hint="eastAsia" w:ascii="宋体" w:hAnsi="宋体" w:cs="宋体"/>
          <w:sz w:val="36"/>
          <w:szCs w:val="36"/>
        </w:rPr>
        <w:t xml:space="preserve"> 技术与服务方案</w:t>
      </w:r>
      <w:bookmarkEnd w:id="84"/>
    </w:p>
    <w:p>
      <w:pPr>
        <w:spacing w:line="360" w:lineRule="auto"/>
        <w:jc w:val="left"/>
        <w:rPr>
          <w:rFonts w:ascii="宋体" w:hAnsi="宋体" w:eastAsia="宋体" w:cs="宋体"/>
          <w:b/>
          <w:bCs/>
          <w:sz w:val="24"/>
          <w:szCs w:val="24"/>
        </w:rPr>
      </w:pPr>
      <w:r>
        <w:rPr>
          <w:rFonts w:hint="eastAsia" w:ascii="宋体" w:hAnsi="宋体" w:eastAsia="宋体" w:cs="宋体"/>
          <w:b/>
          <w:bCs/>
          <w:sz w:val="24"/>
          <w:szCs w:val="24"/>
        </w:rPr>
        <w:t>技术与服务方案由供应商自行编写，无具体格式。</w:t>
      </w:r>
    </w:p>
    <w:p>
      <w:pPr>
        <w:sectPr>
          <w:headerReference r:id="rId14" w:type="default"/>
          <w:pgSz w:w="11906" w:h="16838"/>
          <w:pgMar w:top="1440" w:right="1800" w:bottom="1440" w:left="1800" w:header="851" w:footer="992" w:gutter="0"/>
          <w:pgNumType w:fmt="decimal"/>
          <w:cols w:space="720" w:num="1"/>
          <w:docGrid w:type="lines" w:linePitch="312" w:charSpace="0"/>
        </w:sectPr>
      </w:pPr>
    </w:p>
    <w:p>
      <w:pPr>
        <w:pStyle w:val="4"/>
        <w:rPr>
          <w:rFonts w:ascii="宋体" w:hAnsi="宋体" w:cs="宋体"/>
          <w:sz w:val="32"/>
          <w:szCs w:val="24"/>
        </w:rPr>
      </w:pPr>
      <w:bookmarkStart w:id="85" w:name="_Toc21385"/>
      <w:r>
        <w:rPr>
          <w:rFonts w:hint="eastAsia" w:ascii="宋体" w:hAnsi="宋体" w:cs="宋体"/>
          <w:sz w:val="36"/>
          <w:szCs w:val="36"/>
        </w:rPr>
        <w:t>第六部分 服务承诺</w:t>
      </w:r>
      <w:bookmarkEnd w:id="85"/>
    </w:p>
    <w:p>
      <w:pPr>
        <w:spacing w:line="360" w:lineRule="auto"/>
        <w:jc w:val="left"/>
        <w:rPr>
          <w:rFonts w:ascii="宋体" w:hAnsi="宋体" w:eastAsia="宋体" w:cs="宋体"/>
          <w:b/>
          <w:bCs/>
          <w:sz w:val="24"/>
          <w:szCs w:val="24"/>
        </w:rPr>
      </w:pPr>
      <w:r>
        <w:rPr>
          <w:rFonts w:hint="eastAsia" w:ascii="宋体" w:hAnsi="宋体" w:eastAsia="宋体" w:cs="宋体"/>
          <w:b/>
          <w:bCs/>
          <w:sz w:val="24"/>
          <w:szCs w:val="24"/>
        </w:rPr>
        <w:t>服务承诺由供应商自行编写，无具体格式。</w:t>
      </w:r>
    </w:p>
    <w:p>
      <w:pPr>
        <w:jc w:val="center"/>
        <w:rPr>
          <w:rFonts w:ascii="宋体" w:hAnsi="宋体" w:eastAsia="宋体" w:cs="宋体"/>
          <w:sz w:val="36"/>
          <w:szCs w:val="36"/>
        </w:rPr>
        <w:sectPr>
          <w:pgSz w:w="11906" w:h="16838"/>
          <w:pgMar w:top="1440" w:right="1800" w:bottom="1440" w:left="1800" w:header="851" w:footer="992" w:gutter="0"/>
          <w:pgNumType w:fmt="decimal"/>
          <w:cols w:space="720" w:num="1"/>
          <w:docGrid w:type="lines" w:linePitch="312" w:charSpace="0"/>
        </w:sectPr>
      </w:pPr>
    </w:p>
    <w:p>
      <w:pPr>
        <w:numPr>
          <w:ilvl w:val="0"/>
          <w:numId w:val="19"/>
        </w:numPr>
        <w:jc w:val="center"/>
        <w:outlineLvl w:val="1"/>
        <w:rPr>
          <w:rFonts w:ascii="宋体" w:hAnsi="宋体" w:eastAsia="宋体" w:cs="宋体"/>
          <w:b/>
          <w:sz w:val="28"/>
        </w:rPr>
      </w:pPr>
      <w:r>
        <w:rPr>
          <w:rFonts w:hint="eastAsia" w:ascii="宋体" w:hAnsi="宋体" w:eastAsia="宋体" w:cs="宋体"/>
          <w:b/>
          <w:sz w:val="28"/>
        </w:rPr>
        <w:t xml:space="preserve"> </w:t>
      </w:r>
      <w:bookmarkStart w:id="86" w:name="_Toc438"/>
      <w:r>
        <w:rPr>
          <w:rFonts w:hint="eastAsia" w:ascii="宋体" w:hAnsi="宋体" w:eastAsia="宋体" w:cs="宋体"/>
          <w:b/>
          <w:sz w:val="28"/>
        </w:rPr>
        <w:t>供应商认为有必要说明的其他问题</w:t>
      </w:r>
      <w:bookmarkEnd w:id="86"/>
    </w:p>
    <w:p>
      <w:pPr>
        <w:widowControl/>
        <w:spacing w:line="360" w:lineRule="auto"/>
        <w:ind w:left="420" w:leftChars="200" w:firstLine="0" w:firstLineChars="0"/>
        <w:jc w:val="left"/>
        <w:rPr>
          <w:rFonts w:ascii="宋体" w:hAnsi="宋体" w:cs="宋体"/>
          <w:sz w:val="24"/>
          <w:szCs w:val="24"/>
        </w:rPr>
        <w:sectPr>
          <w:pgSz w:w="11906" w:h="16838"/>
          <w:pgMar w:top="1440" w:right="1080" w:bottom="1440" w:left="1080" w:header="851" w:footer="992" w:gutter="0"/>
          <w:pgNumType w:fmt="decimal"/>
          <w:cols w:space="720" w:num="1"/>
          <w:docGrid w:type="lines" w:linePitch="319" w:charSpace="0"/>
        </w:sectPr>
      </w:pPr>
    </w:p>
    <w:p>
      <w:pPr>
        <w:pStyle w:val="4"/>
        <w:adjustRightInd w:val="0"/>
        <w:spacing w:line="416" w:lineRule="atLeast"/>
        <w:jc w:val="left"/>
        <w:textAlignment w:val="baseline"/>
        <w:rPr>
          <w:rFonts w:ascii="宋体" w:hAnsi="宋体" w:cs="宋体"/>
        </w:rPr>
      </w:pPr>
      <w:bookmarkStart w:id="87" w:name="_Toc10372"/>
      <w:r>
        <w:rPr>
          <w:rFonts w:hint="eastAsia" w:ascii="宋体" w:hAnsi="宋体" w:cs="宋体"/>
        </w:rPr>
        <w:t>附件一、封袋正面标识式样</w:t>
      </w:r>
      <w:bookmarkEnd w:id="87"/>
    </w:p>
    <w:p>
      <w:pPr>
        <w:spacing w:line="460" w:lineRule="exact"/>
        <w:ind w:firstLine="482" w:firstLineChars="200"/>
        <w:jc w:val="center"/>
        <w:rPr>
          <w:rFonts w:ascii="宋体" w:hAnsi="宋体" w:eastAsia="宋体" w:cs="宋体"/>
          <w:b/>
          <w:sz w:val="24"/>
        </w:rPr>
      </w:pPr>
      <w:r>
        <w:rPr>
          <w:rFonts w:hint="eastAsia" w:ascii="宋体" w:hAnsi="宋体" w:eastAsia="宋体" w:cs="宋体"/>
          <w:b/>
          <w:sz w:val="24"/>
        </w:rPr>
        <w:t>响应文件正本封袋正面标识式样</w:t>
      </w:r>
    </w:p>
    <w:p>
      <w:pPr>
        <w:spacing w:line="460" w:lineRule="exact"/>
        <w:ind w:firstLine="420" w:firstLineChars="200"/>
        <w:jc w:val="center"/>
        <w:rPr>
          <w:rFonts w:ascii="宋体" w:hAnsi="宋体" w:eastAsia="宋体" w:cs="宋体"/>
          <w:b/>
          <w:sz w:val="24"/>
        </w:rPr>
      </w:pPr>
      <w:r>
        <w:rPr>
          <w:rFonts w:ascii="宋体" w:hAnsi="宋体" w:eastAsia="宋体" w:cs="宋体"/>
        </w:rPr>
        <mc:AlternateContent>
          <mc:Choice Requires="wps">
            <w:drawing>
              <wp:anchor distT="0" distB="0" distL="114300" distR="114300" simplePos="0" relativeHeight="251663360" behindDoc="0" locked="0" layoutInCell="1" allowOverlap="1">
                <wp:simplePos x="0" y="0"/>
                <wp:positionH relativeFrom="column">
                  <wp:posOffset>-423545</wp:posOffset>
                </wp:positionH>
                <wp:positionV relativeFrom="paragraph">
                  <wp:posOffset>132080</wp:posOffset>
                </wp:positionV>
                <wp:extent cx="6255385" cy="3606165"/>
                <wp:effectExtent l="4445" t="4445" r="7620" b="8890"/>
                <wp:wrapNone/>
                <wp:docPr id="13" name="Text Box 3"/>
                <wp:cNvGraphicFramePr/>
                <a:graphic xmlns:a="http://schemas.openxmlformats.org/drawingml/2006/main">
                  <a:graphicData uri="http://schemas.microsoft.com/office/word/2010/wordprocessingShape">
                    <wps:wsp>
                      <wps:cNvSpPr txBox="1"/>
                      <wps:spPr>
                        <a:xfrm>
                          <a:off x="0" y="0"/>
                          <a:ext cx="6255385" cy="360616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sz w:val="28"/>
                                <w:szCs w:val="28"/>
                                <w:highlight w:val="yellow"/>
                              </w:rPr>
                            </w:pPr>
                            <w:r>
                              <w:rPr>
                                <w:rFonts w:hint="eastAsia"/>
                                <w:sz w:val="28"/>
                                <w:szCs w:val="28"/>
                              </w:rPr>
                              <w:t>致：陕西卓佲项目管理有限公司              项目编号：</w:t>
                            </w:r>
                            <w:r>
                              <w:rPr>
                                <w:rFonts w:hint="eastAsia"/>
                                <w:sz w:val="28"/>
                                <w:szCs w:val="28"/>
                                <w:lang w:eastAsia="zh-CN"/>
                              </w:rPr>
                              <w:t>ZMZB2022BQJYJ-297</w:t>
                            </w:r>
                          </w:p>
                          <w:p>
                            <w:pPr>
                              <w:rPr>
                                <w:sz w:val="28"/>
                                <w:szCs w:val="28"/>
                              </w:rPr>
                            </w:pPr>
                            <w:r>
                              <w:rPr>
                                <w:rFonts w:hint="eastAsia"/>
                                <w:sz w:val="28"/>
                                <w:szCs w:val="28"/>
                              </w:rPr>
                              <w:t>项目名称：</w:t>
                            </w:r>
                            <w:r>
                              <w:rPr>
                                <w:rFonts w:hint="eastAsia"/>
                                <w:sz w:val="28"/>
                                <w:szCs w:val="28"/>
                                <w:lang w:eastAsia="zh-CN"/>
                              </w:rPr>
                              <w:t>西安市灞桥区教育局（本级）西安市第五十五中学智慧黑板采购项目</w:t>
                            </w:r>
                          </w:p>
                          <w:p>
                            <w:pPr>
                              <w:jc w:val="center"/>
                              <w:rPr>
                                <w:sz w:val="28"/>
                                <w:szCs w:val="28"/>
                              </w:rPr>
                            </w:pPr>
                            <w:r>
                              <w:rPr>
                                <w:rFonts w:hint="eastAsia"/>
                                <w:b/>
                                <w:sz w:val="44"/>
                                <w:szCs w:val="44"/>
                              </w:rPr>
                              <w:t>响应文件（正本）</w:t>
                            </w:r>
                          </w:p>
                          <w:p>
                            <w:pPr>
                              <w:jc w:val="center"/>
                              <w:rPr>
                                <w:sz w:val="28"/>
                                <w:szCs w:val="28"/>
                              </w:rPr>
                            </w:pPr>
                            <w:r>
                              <w:rPr>
                                <w:rFonts w:hint="eastAsia"/>
                                <w:sz w:val="28"/>
                                <w:szCs w:val="28"/>
                              </w:rPr>
                              <w:t>（非谈判会议不得启封）</w:t>
                            </w:r>
                          </w:p>
                          <w:p>
                            <w:pPr>
                              <w:rPr>
                                <w:sz w:val="28"/>
                                <w:szCs w:val="28"/>
                              </w:rPr>
                            </w:pPr>
                          </w:p>
                          <w:p>
                            <w:pPr>
                              <w:rPr>
                                <w:sz w:val="28"/>
                                <w:szCs w:val="28"/>
                              </w:rPr>
                            </w:pPr>
                            <w:r>
                              <w:rPr>
                                <w:rFonts w:hint="eastAsia"/>
                                <w:sz w:val="28"/>
                                <w:szCs w:val="28"/>
                              </w:rPr>
                              <w:t>供应商（单位名称及公章）：_______________</w:t>
                            </w:r>
                          </w:p>
                          <w:p>
                            <w:pPr>
                              <w:rPr>
                                <w:sz w:val="28"/>
                                <w:szCs w:val="28"/>
                              </w:rPr>
                            </w:pPr>
                            <w:r>
                              <w:rPr>
                                <w:rFonts w:hint="eastAsia"/>
                                <w:sz w:val="28"/>
                                <w:szCs w:val="28"/>
                              </w:rPr>
                              <w:t>法定代表人或被授权人（签字或盖章）：_______________</w:t>
                            </w:r>
                          </w:p>
                          <w:p>
                            <w:pPr>
                              <w:rPr>
                                <w:sz w:val="28"/>
                                <w:szCs w:val="28"/>
                              </w:rPr>
                            </w:pPr>
                            <w:r>
                              <w:rPr>
                                <w:rFonts w:hint="eastAsia"/>
                                <w:sz w:val="28"/>
                                <w:szCs w:val="28"/>
                              </w:rPr>
                              <w:t>日    期：_____年_____月_____日</w:t>
                            </w:r>
                          </w:p>
                          <w:p>
                            <w:pPr>
                              <w:rPr>
                                <w:sz w:val="28"/>
                                <w:szCs w:val="28"/>
                              </w:rPr>
                            </w:pPr>
                          </w:p>
                        </w:txbxContent>
                      </wps:txbx>
                      <wps:bodyPr upright="1"/>
                    </wps:wsp>
                  </a:graphicData>
                </a:graphic>
              </wp:anchor>
            </w:drawing>
          </mc:Choice>
          <mc:Fallback>
            <w:pict>
              <v:shape id="Text Box 3" o:spid="_x0000_s1026" o:spt="202" type="#_x0000_t202" style="position:absolute;left:0pt;margin-left:-33.35pt;margin-top:10.4pt;height:283.95pt;width:492.55pt;z-index:251663360;mso-width-relative:page;mso-height-relative:page;" fillcolor="#FFFFFF" filled="t" stroked="t" coordsize="21600,21600" o:gfxdata="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CGlvp2gAAAAoBAAAPAAAAAAAAAAEAIAAAACIAAABkcnMv&#10;ZG93bnJldi54bWxQSwECFAAUAAAACACHTuJAOXngtgECAABFBAAADgAAAAAAAAABACAAAAApAQAA&#10;ZHJzL2Uyb0RvYy54bWxQSwUGAAAAAAYABgBZAQAAnAUAAAAA&#10;">
                <v:fill on="t" focussize="0,0"/>
                <v:stroke color="#000000" joinstyle="miter"/>
                <v:imagedata o:title=""/>
                <o:lock v:ext="edit" aspectratio="f"/>
                <v:textbox>
                  <w:txbxContent>
                    <w:p>
                      <w:pPr>
                        <w:rPr>
                          <w:sz w:val="28"/>
                          <w:szCs w:val="28"/>
                          <w:highlight w:val="yellow"/>
                        </w:rPr>
                      </w:pPr>
                      <w:r>
                        <w:rPr>
                          <w:rFonts w:hint="eastAsia"/>
                          <w:sz w:val="28"/>
                          <w:szCs w:val="28"/>
                        </w:rPr>
                        <w:t>致：陕西卓佲项目管理有限公司              项目编号：</w:t>
                      </w:r>
                      <w:r>
                        <w:rPr>
                          <w:rFonts w:hint="eastAsia"/>
                          <w:sz w:val="28"/>
                          <w:szCs w:val="28"/>
                          <w:lang w:eastAsia="zh-CN"/>
                        </w:rPr>
                        <w:t>ZMZB2022BQJYJ-297</w:t>
                      </w:r>
                    </w:p>
                    <w:p>
                      <w:pPr>
                        <w:rPr>
                          <w:sz w:val="28"/>
                          <w:szCs w:val="28"/>
                        </w:rPr>
                      </w:pPr>
                      <w:r>
                        <w:rPr>
                          <w:rFonts w:hint="eastAsia"/>
                          <w:sz w:val="28"/>
                          <w:szCs w:val="28"/>
                        </w:rPr>
                        <w:t>项目名称：</w:t>
                      </w:r>
                      <w:r>
                        <w:rPr>
                          <w:rFonts w:hint="eastAsia"/>
                          <w:sz w:val="28"/>
                          <w:szCs w:val="28"/>
                          <w:lang w:eastAsia="zh-CN"/>
                        </w:rPr>
                        <w:t>西安市灞桥区教育局（本级）西安市第五十五中学智慧黑板采购项目</w:t>
                      </w:r>
                    </w:p>
                    <w:p>
                      <w:pPr>
                        <w:jc w:val="center"/>
                        <w:rPr>
                          <w:sz w:val="28"/>
                          <w:szCs w:val="28"/>
                        </w:rPr>
                      </w:pPr>
                      <w:r>
                        <w:rPr>
                          <w:rFonts w:hint="eastAsia"/>
                          <w:b/>
                          <w:sz w:val="44"/>
                          <w:szCs w:val="44"/>
                        </w:rPr>
                        <w:t>响应文件（正本）</w:t>
                      </w:r>
                    </w:p>
                    <w:p>
                      <w:pPr>
                        <w:jc w:val="center"/>
                        <w:rPr>
                          <w:sz w:val="28"/>
                          <w:szCs w:val="28"/>
                        </w:rPr>
                      </w:pPr>
                      <w:r>
                        <w:rPr>
                          <w:rFonts w:hint="eastAsia"/>
                          <w:sz w:val="28"/>
                          <w:szCs w:val="28"/>
                        </w:rPr>
                        <w:t>（非谈判会议不得启封）</w:t>
                      </w:r>
                    </w:p>
                    <w:p>
                      <w:pPr>
                        <w:rPr>
                          <w:sz w:val="28"/>
                          <w:szCs w:val="28"/>
                        </w:rPr>
                      </w:pPr>
                    </w:p>
                    <w:p>
                      <w:pPr>
                        <w:rPr>
                          <w:sz w:val="28"/>
                          <w:szCs w:val="28"/>
                        </w:rPr>
                      </w:pPr>
                      <w:r>
                        <w:rPr>
                          <w:rFonts w:hint="eastAsia"/>
                          <w:sz w:val="28"/>
                          <w:szCs w:val="28"/>
                        </w:rPr>
                        <w:t>供应商（单位名称及公章）：_______________</w:t>
                      </w:r>
                    </w:p>
                    <w:p>
                      <w:pPr>
                        <w:rPr>
                          <w:sz w:val="28"/>
                          <w:szCs w:val="28"/>
                        </w:rPr>
                      </w:pPr>
                      <w:r>
                        <w:rPr>
                          <w:rFonts w:hint="eastAsia"/>
                          <w:sz w:val="28"/>
                          <w:szCs w:val="28"/>
                        </w:rPr>
                        <w:t>法定代表人或被授权人（签字或盖章）：_______________</w:t>
                      </w:r>
                    </w:p>
                    <w:p>
                      <w:pPr>
                        <w:rPr>
                          <w:sz w:val="28"/>
                          <w:szCs w:val="28"/>
                        </w:rPr>
                      </w:pPr>
                      <w:r>
                        <w:rPr>
                          <w:rFonts w:hint="eastAsia"/>
                          <w:sz w:val="28"/>
                          <w:szCs w:val="28"/>
                        </w:rPr>
                        <w:t>日    期：_____年_____月_____日</w:t>
                      </w:r>
                    </w:p>
                    <w:p>
                      <w:pPr>
                        <w:rPr>
                          <w:sz w:val="28"/>
                          <w:szCs w:val="28"/>
                        </w:rPr>
                      </w:pPr>
                    </w:p>
                  </w:txbxContent>
                </v:textbox>
              </v:shape>
            </w:pict>
          </mc:Fallback>
        </mc:AlternateContent>
      </w:r>
    </w:p>
    <w:p>
      <w:pPr>
        <w:spacing w:line="460" w:lineRule="exact"/>
        <w:ind w:firstLine="482" w:firstLineChars="200"/>
        <w:jc w:val="center"/>
        <w:rPr>
          <w:rFonts w:ascii="宋体" w:hAnsi="宋体" w:eastAsia="宋体" w:cs="宋体"/>
          <w:b/>
          <w:sz w:val="24"/>
        </w:rPr>
      </w:pPr>
    </w:p>
    <w:p>
      <w:pPr>
        <w:spacing w:line="460" w:lineRule="exact"/>
        <w:ind w:firstLine="482" w:firstLineChars="200"/>
        <w:jc w:val="center"/>
        <w:rPr>
          <w:rFonts w:ascii="宋体" w:hAnsi="宋体" w:eastAsia="宋体" w:cs="宋体"/>
          <w:b/>
          <w:sz w:val="24"/>
        </w:rPr>
      </w:pPr>
    </w:p>
    <w:p>
      <w:pPr>
        <w:spacing w:line="460" w:lineRule="exact"/>
        <w:ind w:firstLine="482" w:firstLineChars="200"/>
        <w:jc w:val="center"/>
        <w:rPr>
          <w:rFonts w:ascii="宋体" w:hAnsi="宋体" w:eastAsia="宋体" w:cs="宋体"/>
          <w:b/>
          <w:sz w:val="24"/>
        </w:rPr>
      </w:pPr>
    </w:p>
    <w:p>
      <w:pPr>
        <w:spacing w:line="460" w:lineRule="exact"/>
        <w:ind w:firstLine="482" w:firstLineChars="200"/>
        <w:jc w:val="center"/>
        <w:rPr>
          <w:rFonts w:ascii="宋体" w:hAnsi="宋体" w:eastAsia="宋体" w:cs="宋体"/>
          <w:b/>
          <w:sz w:val="24"/>
        </w:rPr>
      </w:pPr>
    </w:p>
    <w:p>
      <w:pPr>
        <w:spacing w:line="460" w:lineRule="exact"/>
        <w:ind w:firstLine="482" w:firstLineChars="200"/>
        <w:jc w:val="center"/>
        <w:rPr>
          <w:rFonts w:ascii="宋体" w:hAnsi="宋体" w:eastAsia="宋体" w:cs="宋体"/>
          <w:b/>
          <w:sz w:val="24"/>
        </w:rPr>
      </w:pPr>
    </w:p>
    <w:p>
      <w:pPr>
        <w:spacing w:line="460" w:lineRule="exact"/>
        <w:ind w:firstLine="482" w:firstLineChars="200"/>
        <w:jc w:val="center"/>
        <w:rPr>
          <w:rFonts w:ascii="宋体" w:hAnsi="宋体" w:eastAsia="宋体" w:cs="宋体"/>
          <w:b/>
          <w:sz w:val="24"/>
        </w:rPr>
      </w:pPr>
    </w:p>
    <w:p>
      <w:pPr>
        <w:spacing w:line="460" w:lineRule="exact"/>
        <w:ind w:firstLine="482" w:firstLineChars="200"/>
        <w:jc w:val="center"/>
        <w:rPr>
          <w:rFonts w:ascii="宋体" w:hAnsi="宋体" w:eastAsia="宋体" w:cs="宋体"/>
          <w:b/>
          <w:sz w:val="24"/>
        </w:rPr>
      </w:pPr>
    </w:p>
    <w:p>
      <w:pPr>
        <w:spacing w:line="460" w:lineRule="exact"/>
        <w:ind w:firstLine="482" w:firstLineChars="200"/>
        <w:jc w:val="center"/>
        <w:rPr>
          <w:rFonts w:ascii="宋体" w:hAnsi="宋体" w:eastAsia="宋体" w:cs="宋体"/>
          <w:b/>
          <w:sz w:val="24"/>
        </w:rPr>
      </w:pPr>
    </w:p>
    <w:p>
      <w:pPr>
        <w:spacing w:line="460" w:lineRule="exact"/>
        <w:ind w:firstLine="482" w:firstLineChars="200"/>
        <w:jc w:val="center"/>
        <w:rPr>
          <w:rFonts w:ascii="宋体" w:hAnsi="宋体" w:eastAsia="宋体" w:cs="宋体"/>
          <w:b/>
          <w:sz w:val="24"/>
        </w:rPr>
      </w:pPr>
    </w:p>
    <w:p>
      <w:pPr>
        <w:spacing w:line="460" w:lineRule="exact"/>
        <w:ind w:firstLine="482" w:firstLineChars="200"/>
        <w:jc w:val="center"/>
        <w:rPr>
          <w:rFonts w:ascii="宋体" w:hAnsi="宋体" w:eastAsia="宋体" w:cs="宋体"/>
          <w:b/>
          <w:sz w:val="24"/>
        </w:rPr>
      </w:pPr>
    </w:p>
    <w:p>
      <w:pPr>
        <w:spacing w:line="460" w:lineRule="exact"/>
        <w:ind w:firstLine="482" w:firstLineChars="200"/>
        <w:jc w:val="center"/>
        <w:rPr>
          <w:rFonts w:ascii="宋体" w:hAnsi="宋体" w:eastAsia="宋体" w:cs="宋体"/>
          <w:b/>
          <w:sz w:val="24"/>
        </w:rPr>
      </w:pPr>
    </w:p>
    <w:p>
      <w:pPr>
        <w:spacing w:line="460" w:lineRule="exact"/>
        <w:ind w:firstLine="482" w:firstLineChars="200"/>
        <w:jc w:val="center"/>
        <w:rPr>
          <w:rFonts w:ascii="宋体" w:hAnsi="宋体" w:eastAsia="宋体" w:cs="宋体"/>
          <w:b/>
          <w:sz w:val="24"/>
        </w:rPr>
      </w:pPr>
    </w:p>
    <w:p>
      <w:pPr>
        <w:spacing w:line="460" w:lineRule="exact"/>
        <w:ind w:firstLine="482" w:firstLineChars="200"/>
        <w:jc w:val="center"/>
        <w:rPr>
          <w:rFonts w:ascii="宋体" w:hAnsi="宋体" w:eastAsia="宋体" w:cs="宋体"/>
          <w:b/>
          <w:sz w:val="24"/>
        </w:rPr>
      </w:pPr>
      <w:r>
        <w:rPr>
          <w:rFonts w:hint="eastAsia" w:ascii="宋体" w:hAnsi="宋体" w:eastAsia="宋体" w:cs="宋体"/>
          <w:b/>
          <w:sz w:val="24"/>
        </w:rPr>
        <w:t>响应文件副本封袋正面标识式样</w:t>
      </w:r>
    </w:p>
    <w:p>
      <w:pPr>
        <w:spacing w:line="460" w:lineRule="exact"/>
        <w:ind w:firstLine="482" w:firstLineChars="200"/>
        <w:jc w:val="center"/>
        <w:rPr>
          <w:rFonts w:ascii="宋体" w:hAnsi="宋体" w:eastAsia="宋体" w:cs="宋体"/>
          <w:b/>
          <w:sz w:val="24"/>
        </w:rPr>
      </w:pPr>
    </w:p>
    <w:p>
      <w:pPr>
        <w:spacing w:line="460" w:lineRule="exact"/>
        <w:ind w:firstLine="482" w:firstLineChars="200"/>
        <w:jc w:val="center"/>
        <w:rPr>
          <w:rFonts w:ascii="宋体" w:hAnsi="宋体" w:eastAsia="宋体" w:cs="宋体"/>
          <w:b/>
          <w:sz w:val="24"/>
        </w:rPr>
      </w:pPr>
      <w:r>
        <w:rPr>
          <w:rFonts w:ascii="宋体" w:hAnsi="宋体" w:eastAsia="宋体" w:cs="宋体"/>
          <w:b/>
          <w:sz w:val="24"/>
        </w:rPr>
        <mc:AlternateContent>
          <mc:Choice Requires="wps">
            <w:drawing>
              <wp:anchor distT="0" distB="0" distL="114300" distR="114300" simplePos="0" relativeHeight="251664384" behindDoc="0" locked="0" layoutInCell="1" allowOverlap="1">
                <wp:simplePos x="0" y="0"/>
                <wp:positionH relativeFrom="column">
                  <wp:posOffset>-413385</wp:posOffset>
                </wp:positionH>
                <wp:positionV relativeFrom="paragraph">
                  <wp:posOffset>76835</wp:posOffset>
                </wp:positionV>
                <wp:extent cx="6288405" cy="3580765"/>
                <wp:effectExtent l="4445" t="4445" r="12700" b="15240"/>
                <wp:wrapNone/>
                <wp:docPr id="12" name="Text Box 4"/>
                <wp:cNvGraphicFramePr/>
                <a:graphic xmlns:a="http://schemas.openxmlformats.org/drawingml/2006/main">
                  <a:graphicData uri="http://schemas.microsoft.com/office/word/2010/wordprocessingShape">
                    <wps:wsp>
                      <wps:cNvSpPr txBox="1"/>
                      <wps:spPr>
                        <a:xfrm>
                          <a:off x="0" y="0"/>
                          <a:ext cx="6288405" cy="358076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sz w:val="28"/>
                                <w:szCs w:val="28"/>
                                <w:highlight w:val="yellow"/>
                              </w:rPr>
                            </w:pPr>
                            <w:r>
                              <w:rPr>
                                <w:rFonts w:hint="eastAsia"/>
                                <w:sz w:val="28"/>
                                <w:szCs w:val="28"/>
                              </w:rPr>
                              <w:t>致：陕西卓佲项目管理有限公司              项目编号：</w:t>
                            </w:r>
                            <w:r>
                              <w:rPr>
                                <w:rFonts w:hint="eastAsia"/>
                                <w:sz w:val="28"/>
                                <w:szCs w:val="28"/>
                                <w:lang w:eastAsia="zh-CN"/>
                              </w:rPr>
                              <w:t>ZMZB2022BQJYJ-297</w:t>
                            </w:r>
                          </w:p>
                          <w:p>
                            <w:pPr>
                              <w:rPr>
                                <w:sz w:val="28"/>
                                <w:szCs w:val="28"/>
                              </w:rPr>
                            </w:pPr>
                            <w:r>
                              <w:rPr>
                                <w:rFonts w:hint="eastAsia"/>
                                <w:sz w:val="28"/>
                                <w:szCs w:val="28"/>
                              </w:rPr>
                              <w:t>项目名称：</w:t>
                            </w:r>
                            <w:r>
                              <w:rPr>
                                <w:rFonts w:hint="eastAsia"/>
                                <w:sz w:val="28"/>
                                <w:szCs w:val="28"/>
                                <w:lang w:eastAsia="zh-CN"/>
                              </w:rPr>
                              <w:t>西安市灞桥区教育局（本级）西安市第五十五中学智慧黑板采购项目</w:t>
                            </w:r>
                          </w:p>
                          <w:p>
                            <w:pPr>
                              <w:jc w:val="center"/>
                              <w:rPr>
                                <w:sz w:val="28"/>
                                <w:szCs w:val="28"/>
                              </w:rPr>
                            </w:pPr>
                            <w:r>
                              <w:rPr>
                                <w:rFonts w:hint="eastAsia"/>
                                <w:b/>
                                <w:sz w:val="44"/>
                                <w:szCs w:val="44"/>
                              </w:rPr>
                              <w:t>响应文件（副本）</w:t>
                            </w:r>
                          </w:p>
                          <w:p>
                            <w:pPr>
                              <w:jc w:val="center"/>
                              <w:rPr>
                                <w:sz w:val="28"/>
                                <w:szCs w:val="28"/>
                              </w:rPr>
                            </w:pPr>
                            <w:r>
                              <w:rPr>
                                <w:rFonts w:hint="eastAsia"/>
                                <w:sz w:val="28"/>
                                <w:szCs w:val="28"/>
                              </w:rPr>
                              <w:t>（非谈判会议不得启封）</w:t>
                            </w:r>
                          </w:p>
                          <w:p>
                            <w:pPr>
                              <w:rPr>
                                <w:sz w:val="28"/>
                                <w:szCs w:val="28"/>
                              </w:rPr>
                            </w:pPr>
                            <w:r>
                              <w:rPr>
                                <w:rFonts w:hint="eastAsia"/>
                                <w:sz w:val="28"/>
                                <w:szCs w:val="28"/>
                              </w:rPr>
                              <w:t>供应商（单位名称及公章）：_______________</w:t>
                            </w:r>
                          </w:p>
                          <w:p>
                            <w:pPr>
                              <w:rPr>
                                <w:sz w:val="28"/>
                                <w:szCs w:val="28"/>
                              </w:rPr>
                            </w:pPr>
                            <w:r>
                              <w:rPr>
                                <w:rFonts w:hint="eastAsia"/>
                                <w:sz w:val="28"/>
                                <w:szCs w:val="28"/>
                              </w:rPr>
                              <w:t>法定代表人或被授权人（签字或盖章）：_______________</w:t>
                            </w:r>
                          </w:p>
                          <w:p>
                            <w:pPr>
                              <w:rPr>
                                <w:sz w:val="28"/>
                                <w:szCs w:val="28"/>
                              </w:rPr>
                            </w:pPr>
                            <w:r>
                              <w:rPr>
                                <w:rFonts w:hint="eastAsia"/>
                                <w:sz w:val="28"/>
                                <w:szCs w:val="28"/>
                              </w:rPr>
                              <w:t>日    期：_____年_____月_____日</w:t>
                            </w:r>
                          </w:p>
                          <w:p>
                            <w:pPr>
                              <w:rPr>
                                <w:sz w:val="28"/>
                                <w:szCs w:val="28"/>
                              </w:rPr>
                            </w:pPr>
                          </w:p>
                        </w:txbxContent>
                      </wps:txbx>
                      <wps:bodyPr upright="1"/>
                    </wps:wsp>
                  </a:graphicData>
                </a:graphic>
              </wp:anchor>
            </w:drawing>
          </mc:Choice>
          <mc:Fallback>
            <w:pict>
              <v:shape id="Text Box 4" o:spid="_x0000_s1026" o:spt="202" type="#_x0000_t202" style="position:absolute;left:0pt;margin-left:-32.55pt;margin-top:6.05pt;height:281.95pt;width:495.15pt;z-index:251664384;mso-width-relative:page;mso-height-relative:page;" fillcolor="#FFFFFF" filled="t" stroked="t" coordsize="21600,21600" o:gfxdata="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wQpBndoAAAAKAQAADwAAAAAAAAABACAAAAAiAAAAZHJz&#10;L2Rvd25yZXYueG1sUEsBAhQAFAAAAAgAh07iQNdb0LkCAgAARQQAAA4AAAAAAAAAAQAgAAAAKQEA&#10;AGRycy9lMm9Eb2MueG1sUEsFBgAAAAAGAAYAWQEAAJ0FAAAAAA==&#10;">
                <v:fill on="t" focussize="0,0"/>
                <v:stroke color="#000000" joinstyle="miter"/>
                <v:imagedata o:title=""/>
                <o:lock v:ext="edit" aspectratio="f"/>
                <v:textbox>
                  <w:txbxContent>
                    <w:p>
                      <w:pPr>
                        <w:rPr>
                          <w:sz w:val="28"/>
                          <w:szCs w:val="28"/>
                          <w:highlight w:val="yellow"/>
                        </w:rPr>
                      </w:pPr>
                      <w:r>
                        <w:rPr>
                          <w:rFonts w:hint="eastAsia"/>
                          <w:sz w:val="28"/>
                          <w:szCs w:val="28"/>
                        </w:rPr>
                        <w:t>致：陕西卓佲项目管理有限公司              项目编号：</w:t>
                      </w:r>
                      <w:r>
                        <w:rPr>
                          <w:rFonts w:hint="eastAsia"/>
                          <w:sz w:val="28"/>
                          <w:szCs w:val="28"/>
                          <w:lang w:eastAsia="zh-CN"/>
                        </w:rPr>
                        <w:t>ZMZB2022BQJYJ-297</w:t>
                      </w:r>
                    </w:p>
                    <w:p>
                      <w:pPr>
                        <w:rPr>
                          <w:sz w:val="28"/>
                          <w:szCs w:val="28"/>
                        </w:rPr>
                      </w:pPr>
                      <w:r>
                        <w:rPr>
                          <w:rFonts w:hint="eastAsia"/>
                          <w:sz w:val="28"/>
                          <w:szCs w:val="28"/>
                        </w:rPr>
                        <w:t>项目名称：</w:t>
                      </w:r>
                      <w:r>
                        <w:rPr>
                          <w:rFonts w:hint="eastAsia"/>
                          <w:sz w:val="28"/>
                          <w:szCs w:val="28"/>
                          <w:lang w:eastAsia="zh-CN"/>
                        </w:rPr>
                        <w:t>西安市灞桥区教育局（本级）西安市第五十五中学智慧黑板采购项目</w:t>
                      </w:r>
                    </w:p>
                    <w:p>
                      <w:pPr>
                        <w:jc w:val="center"/>
                        <w:rPr>
                          <w:sz w:val="28"/>
                          <w:szCs w:val="28"/>
                        </w:rPr>
                      </w:pPr>
                      <w:r>
                        <w:rPr>
                          <w:rFonts w:hint="eastAsia"/>
                          <w:b/>
                          <w:sz w:val="44"/>
                          <w:szCs w:val="44"/>
                        </w:rPr>
                        <w:t>响应文件（副本）</w:t>
                      </w:r>
                    </w:p>
                    <w:p>
                      <w:pPr>
                        <w:jc w:val="center"/>
                        <w:rPr>
                          <w:sz w:val="28"/>
                          <w:szCs w:val="28"/>
                        </w:rPr>
                      </w:pPr>
                      <w:r>
                        <w:rPr>
                          <w:rFonts w:hint="eastAsia"/>
                          <w:sz w:val="28"/>
                          <w:szCs w:val="28"/>
                        </w:rPr>
                        <w:t>（非谈判会议不得启封）</w:t>
                      </w:r>
                    </w:p>
                    <w:p>
                      <w:pPr>
                        <w:rPr>
                          <w:sz w:val="28"/>
                          <w:szCs w:val="28"/>
                        </w:rPr>
                      </w:pPr>
                      <w:r>
                        <w:rPr>
                          <w:rFonts w:hint="eastAsia"/>
                          <w:sz w:val="28"/>
                          <w:szCs w:val="28"/>
                        </w:rPr>
                        <w:t>供应商（单位名称及公章）：_______________</w:t>
                      </w:r>
                    </w:p>
                    <w:p>
                      <w:pPr>
                        <w:rPr>
                          <w:sz w:val="28"/>
                          <w:szCs w:val="28"/>
                        </w:rPr>
                      </w:pPr>
                      <w:r>
                        <w:rPr>
                          <w:rFonts w:hint="eastAsia"/>
                          <w:sz w:val="28"/>
                          <w:szCs w:val="28"/>
                        </w:rPr>
                        <w:t>法定代表人或被授权人（签字或盖章）：_______________</w:t>
                      </w:r>
                    </w:p>
                    <w:p>
                      <w:pPr>
                        <w:rPr>
                          <w:sz w:val="28"/>
                          <w:szCs w:val="28"/>
                        </w:rPr>
                      </w:pPr>
                      <w:r>
                        <w:rPr>
                          <w:rFonts w:hint="eastAsia"/>
                          <w:sz w:val="28"/>
                          <w:szCs w:val="28"/>
                        </w:rPr>
                        <w:t>日    期：_____年_____月_____日</w:t>
                      </w:r>
                    </w:p>
                    <w:p>
                      <w:pPr>
                        <w:rPr>
                          <w:sz w:val="28"/>
                          <w:szCs w:val="28"/>
                        </w:rPr>
                      </w:pPr>
                    </w:p>
                  </w:txbxContent>
                </v:textbox>
              </v:shape>
            </w:pict>
          </mc:Fallback>
        </mc:AlternateContent>
      </w:r>
    </w:p>
    <w:p>
      <w:pPr>
        <w:tabs>
          <w:tab w:val="left" w:pos="8280"/>
        </w:tabs>
        <w:spacing w:line="460" w:lineRule="exact"/>
        <w:ind w:firstLine="482" w:firstLineChars="200"/>
        <w:jc w:val="center"/>
        <w:rPr>
          <w:rFonts w:ascii="宋体" w:hAnsi="宋体" w:eastAsia="宋体" w:cs="宋体"/>
          <w:b/>
          <w:sz w:val="24"/>
        </w:rPr>
      </w:pPr>
    </w:p>
    <w:p>
      <w:pPr>
        <w:ind w:firstLine="420" w:firstLineChars="200"/>
        <w:jc w:val="center"/>
        <w:rPr>
          <w:rFonts w:ascii="宋体" w:hAnsi="宋体" w:eastAsia="宋体" w:cs="宋体"/>
        </w:rPr>
      </w:pPr>
    </w:p>
    <w:p>
      <w:pPr>
        <w:ind w:firstLine="420" w:firstLineChars="200"/>
        <w:jc w:val="center"/>
        <w:rPr>
          <w:rFonts w:ascii="宋体" w:hAnsi="宋体" w:eastAsia="宋体" w:cs="宋体"/>
        </w:rPr>
      </w:pPr>
    </w:p>
    <w:p>
      <w:pPr>
        <w:ind w:firstLine="420" w:firstLineChars="200"/>
        <w:jc w:val="center"/>
        <w:rPr>
          <w:rFonts w:ascii="宋体" w:hAnsi="宋体" w:eastAsia="宋体" w:cs="宋体"/>
        </w:rPr>
      </w:pPr>
    </w:p>
    <w:p>
      <w:pPr>
        <w:ind w:firstLine="420" w:firstLineChars="200"/>
        <w:jc w:val="center"/>
        <w:rPr>
          <w:rFonts w:ascii="宋体" w:hAnsi="宋体" w:eastAsia="宋体" w:cs="宋体"/>
        </w:rPr>
      </w:pPr>
    </w:p>
    <w:p>
      <w:pPr>
        <w:ind w:firstLine="420" w:firstLineChars="200"/>
        <w:jc w:val="center"/>
        <w:rPr>
          <w:rFonts w:ascii="宋体" w:hAnsi="宋体" w:eastAsia="宋体" w:cs="宋体"/>
        </w:rPr>
      </w:pPr>
    </w:p>
    <w:p>
      <w:pPr>
        <w:ind w:firstLine="420" w:firstLineChars="200"/>
        <w:jc w:val="center"/>
        <w:rPr>
          <w:rFonts w:ascii="宋体" w:hAnsi="宋体" w:eastAsia="宋体" w:cs="宋体"/>
        </w:rPr>
      </w:pPr>
    </w:p>
    <w:p>
      <w:pPr>
        <w:ind w:firstLine="420" w:firstLineChars="200"/>
        <w:jc w:val="center"/>
        <w:rPr>
          <w:rFonts w:ascii="宋体" w:hAnsi="宋体" w:eastAsia="宋体" w:cs="宋体"/>
        </w:rPr>
      </w:pPr>
    </w:p>
    <w:p>
      <w:pPr>
        <w:ind w:firstLine="420" w:firstLineChars="200"/>
        <w:jc w:val="center"/>
        <w:rPr>
          <w:rFonts w:ascii="宋体" w:hAnsi="宋体" w:eastAsia="宋体" w:cs="宋体"/>
        </w:rPr>
      </w:pPr>
    </w:p>
    <w:p>
      <w:pPr>
        <w:ind w:firstLine="420" w:firstLineChars="200"/>
        <w:jc w:val="center"/>
        <w:rPr>
          <w:rFonts w:ascii="宋体" w:hAnsi="宋体" w:eastAsia="宋体" w:cs="宋体"/>
        </w:rPr>
      </w:pPr>
    </w:p>
    <w:p>
      <w:pPr>
        <w:ind w:firstLine="420" w:firstLineChars="200"/>
        <w:jc w:val="center"/>
        <w:rPr>
          <w:rFonts w:ascii="宋体" w:hAnsi="宋体" w:eastAsia="宋体" w:cs="宋体"/>
        </w:rPr>
      </w:pPr>
    </w:p>
    <w:p>
      <w:pPr>
        <w:ind w:firstLine="420" w:firstLineChars="200"/>
        <w:jc w:val="center"/>
        <w:rPr>
          <w:rFonts w:ascii="宋体" w:hAnsi="宋体" w:eastAsia="宋体" w:cs="宋体"/>
        </w:rPr>
      </w:pPr>
    </w:p>
    <w:p>
      <w:pPr>
        <w:ind w:firstLine="1004" w:firstLineChars="200"/>
        <w:jc w:val="center"/>
        <w:rPr>
          <w:rFonts w:ascii="宋体" w:hAnsi="宋体" w:eastAsia="宋体" w:cs="宋体"/>
          <w:b/>
          <w:sz w:val="50"/>
        </w:rPr>
      </w:pPr>
    </w:p>
    <w:p>
      <w:pPr>
        <w:widowControl/>
        <w:spacing w:line="460" w:lineRule="exact"/>
        <w:ind w:firstLine="480" w:firstLineChars="200"/>
        <w:jc w:val="center"/>
        <w:rPr>
          <w:rFonts w:ascii="宋体" w:hAnsi="宋体" w:eastAsia="宋体" w:cs="宋体"/>
          <w:sz w:val="24"/>
          <w:szCs w:val="28"/>
        </w:rPr>
        <w:sectPr>
          <w:pgSz w:w="11906" w:h="16838"/>
          <w:pgMar w:top="1440" w:right="1800" w:bottom="1440" w:left="1800" w:header="851" w:footer="992" w:gutter="0"/>
          <w:pgNumType w:fmt="decimal"/>
          <w:cols w:space="720" w:num="1"/>
          <w:docGrid w:type="lines" w:linePitch="312" w:charSpace="0"/>
        </w:sectPr>
      </w:pPr>
    </w:p>
    <w:p>
      <w:pPr>
        <w:spacing w:line="460" w:lineRule="exact"/>
        <w:ind w:firstLine="482" w:firstLineChars="200"/>
        <w:jc w:val="center"/>
        <w:rPr>
          <w:rFonts w:ascii="宋体" w:hAnsi="宋体" w:eastAsia="宋体" w:cs="宋体"/>
          <w:b/>
          <w:sz w:val="24"/>
        </w:rPr>
      </w:pPr>
      <w:r>
        <w:rPr>
          <w:rFonts w:hint="eastAsia" w:ascii="宋体" w:hAnsi="宋体" w:eastAsia="宋体" w:cs="宋体"/>
          <w:b/>
          <w:sz w:val="24"/>
        </w:rPr>
        <w:t>响应一览表封袋正面标识式样</w:t>
      </w:r>
    </w:p>
    <w:p>
      <w:pPr>
        <w:spacing w:line="460" w:lineRule="exact"/>
        <w:ind w:firstLine="482" w:firstLineChars="200"/>
        <w:jc w:val="center"/>
        <w:rPr>
          <w:rFonts w:ascii="宋体" w:hAnsi="宋体" w:eastAsia="宋体" w:cs="宋体"/>
          <w:b/>
          <w:sz w:val="24"/>
        </w:rPr>
      </w:pPr>
    </w:p>
    <w:p>
      <w:pPr>
        <w:spacing w:line="460" w:lineRule="exact"/>
        <w:ind w:firstLine="420" w:firstLineChars="200"/>
        <w:jc w:val="center"/>
        <w:rPr>
          <w:rFonts w:ascii="宋体" w:hAnsi="宋体" w:eastAsia="宋体" w:cs="宋体"/>
          <w:b/>
          <w:sz w:val="24"/>
        </w:rPr>
      </w:pPr>
      <w:r>
        <w:rPr>
          <w:rFonts w:ascii="宋体" w:hAnsi="宋体" w:eastAsia="宋体" w:cs="宋体"/>
        </w:rPr>
        <mc:AlternateContent>
          <mc:Choice Requires="wps">
            <w:drawing>
              <wp:anchor distT="0" distB="0" distL="114300" distR="114300" simplePos="0" relativeHeight="251666432" behindDoc="0" locked="0" layoutInCell="1" allowOverlap="1">
                <wp:simplePos x="0" y="0"/>
                <wp:positionH relativeFrom="column">
                  <wp:posOffset>-406400</wp:posOffset>
                </wp:positionH>
                <wp:positionV relativeFrom="paragraph">
                  <wp:posOffset>188595</wp:posOffset>
                </wp:positionV>
                <wp:extent cx="6244590" cy="3326765"/>
                <wp:effectExtent l="4445" t="5080" r="18415" b="20955"/>
                <wp:wrapNone/>
                <wp:docPr id="11" name="Text Box 3"/>
                <wp:cNvGraphicFramePr/>
                <a:graphic xmlns:a="http://schemas.openxmlformats.org/drawingml/2006/main">
                  <a:graphicData uri="http://schemas.microsoft.com/office/word/2010/wordprocessingShape">
                    <wps:wsp>
                      <wps:cNvSpPr txBox="1"/>
                      <wps:spPr>
                        <a:xfrm>
                          <a:off x="0" y="0"/>
                          <a:ext cx="6244590" cy="332676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sz w:val="28"/>
                                <w:szCs w:val="28"/>
                                <w:highlight w:val="yellow"/>
                              </w:rPr>
                            </w:pPr>
                            <w:r>
                              <w:rPr>
                                <w:rFonts w:hint="eastAsia"/>
                                <w:sz w:val="28"/>
                                <w:szCs w:val="28"/>
                              </w:rPr>
                              <w:t>致：陕西卓佲项目管理有限公司              项目编号：</w:t>
                            </w:r>
                            <w:r>
                              <w:rPr>
                                <w:rFonts w:hint="eastAsia"/>
                                <w:sz w:val="28"/>
                                <w:szCs w:val="28"/>
                                <w:lang w:eastAsia="zh-CN"/>
                              </w:rPr>
                              <w:t>ZMZB2022BQJYJ-297</w:t>
                            </w:r>
                          </w:p>
                          <w:p>
                            <w:pPr>
                              <w:rPr>
                                <w:sz w:val="28"/>
                                <w:szCs w:val="28"/>
                              </w:rPr>
                            </w:pPr>
                            <w:r>
                              <w:rPr>
                                <w:rFonts w:hint="eastAsia"/>
                                <w:sz w:val="28"/>
                                <w:szCs w:val="28"/>
                              </w:rPr>
                              <w:t>项目名称：</w:t>
                            </w:r>
                            <w:r>
                              <w:rPr>
                                <w:rFonts w:hint="eastAsia"/>
                                <w:sz w:val="28"/>
                                <w:szCs w:val="28"/>
                                <w:lang w:eastAsia="zh-CN"/>
                              </w:rPr>
                              <w:t>西安市灞桥区教育局（本级）西安市第五十五中学智慧黑板采购项目</w:t>
                            </w:r>
                          </w:p>
                          <w:p>
                            <w:pPr>
                              <w:jc w:val="center"/>
                              <w:rPr>
                                <w:sz w:val="28"/>
                                <w:szCs w:val="28"/>
                              </w:rPr>
                            </w:pPr>
                            <w:r>
                              <w:rPr>
                                <w:rFonts w:hint="eastAsia"/>
                                <w:b/>
                                <w:sz w:val="44"/>
                                <w:szCs w:val="44"/>
                              </w:rPr>
                              <w:t>响应一览表</w:t>
                            </w:r>
                          </w:p>
                          <w:p>
                            <w:pPr>
                              <w:jc w:val="center"/>
                              <w:rPr>
                                <w:sz w:val="28"/>
                                <w:szCs w:val="28"/>
                              </w:rPr>
                            </w:pPr>
                            <w:r>
                              <w:rPr>
                                <w:rFonts w:hint="eastAsia"/>
                                <w:sz w:val="28"/>
                                <w:szCs w:val="28"/>
                              </w:rPr>
                              <w:t>（非谈判会议不得启封）</w:t>
                            </w:r>
                          </w:p>
                          <w:p>
                            <w:pPr>
                              <w:rPr>
                                <w:sz w:val="28"/>
                                <w:szCs w:val="28"/>
                              </w:rPr>
                            </w:pPr>
                            <w:r>
                              <w:rPr>
                                <w:rFonts w:hint="eastAsia"/>
                                <w:sz w:val="28"/>
                                <w:szCs w:val="28"/>
                              </w:rPr>
                              <w:t>供应商（单位名称及公章）：_______________</w:t>
                            </w:r>
                          </w:p>
                          <w:p>
                            <w:pPr>
                              <w:rPr>
                                <w:sz w:val="28"/>
                                <w:szCs w:val="28"/>
                              </w:rPr>
                            </w:pPr>
                            <w:r>
                              <w:rPr>
                                <w:rFonts w:hint="eastAsia"/>
                                <w:sz w:val="28"/>
                                <w:szCs w:val="28"/>
                              </w:rPr>
                              <w:t>法定代表人或被授权人（签字或盖章）：_______________</w:t>
                            </w:r>
                          </w:p>
                          <w:p>
                            <w:pPr>
                              <w:rPr>
                                <w:sz w:val="28"/>
                                <w:szCs w:val="28"/>
                              </w:rPr>
                            </w:pPr>
                            <w:r>
                              <w:rPr>
                                <w:rFonts w:hint="eastAsia"/>
                                <w:sz w:val="28"/>
                                <w:szCs w:val="28"/>
                              </w:rPr>
                              <w:t>日    期：_____年_____月_____日</w:t>
                            </w:r>
                          </w:p>
                          <w:p>
                            <w:pPr>
                              <w:rPr>
                                <w:sz w:val="28"/>
                                <w:szCs w:val="28"/>
                              </w:rPr>
                            </w:pPr>
                          </w:p>
                        </w:txbxContent>
                      </wps:txbx>
                      <wps:bodyPr upright="1"/>
                    </wps:wsp>
                  </a:graphicData>
                </a:graphic>
              </wp:anchor>
            </w:drawing>
          </mc:Choice>
          <mc:Fallback>
            <w:pict>
              <v:shape id="Text Box 3" o:spid="_x0000_s1026" o:spt="202" type="#_x0000_t202" style="position:absolute;left:0pt;margin-left:-32pt;margin-top:14.85pt;height:261.95pt;width:491.7pt;z-index:251666432;mso-width-relative:page;mso-height-relative:page;" fillcolor="#FFFFFF" filled="t" stroked="t" coordsize="21600,21600" o:gfxdata="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gHfzNtoAAAAKAQAADwAAAAAAAAABACAAAAAiAAAAZHJz&#10;L2Rvd25yZXYueG1sUEsBAhQAFAAAAAgAh07iQErSq/0CAgAARQQAAA4AAAAAAAAAAQAgAAAAKQEA&#10;AGRycy9lMm9Eb2MueG1sUEsFBgAAAAAGAAYAWQEAAJ0FAAAAAA==&#10;">
                <v:fill on="t" focussize="0,0"/>
                <v:stroke color="#000000" joinstyle="miter"/>
                <v:imagedata o:title=""/>
                <o:lock v:ext="edit" aspectratio="f"/>
                <v:textbox>
                  <w:txbxContent>
                    <w:p>
                      <w:pPr>
                        <w:rPr>
                          <w:sz w:val="28"/>
                          <w:szCs w:val="28"/>
                          <w:highlight w:val="yellow"/>
                        </w:rPr>
                      </w:pPr>
                      <w:r>
                        <w:rPr>
                          <w:rFonts w:hint="eastAsia"/>
                          <w:sz w:val="28"/>
                          <w:szCs w:val="28"/>
                        </w:rPr>
                        <w:t>致：陕西卓佲项目管理有限公司              项目编号：</w:t>
                      </w:r>
                      <w:r>
                        <w:rPr>
                          <w:rFonts w:hint="eastAsia"/>
                          <w:sz w:val="28"/>
                          <w:szCs w:val="28"/>
                          <w:lang w:eastAsia="zh-CN"/>
                        </w:rPr>
                        <w:t>ZMZB2022BQJYJ-297</w:t>
                      </w:r>
                    </w:p>
                    <w:p>
                      <w:pPr>
                        <w:rPr>
                          <w:sz w:val="28"/>
                          <w:szCs w:val="28"/>
                        </w:rPr>
                      </w:pPr>
                      <w:r>
                        <w:rPr>
                          <w:rFonts w:hint="eastAsia"/>
                          <w:sz w:val="28"/>
                          <w:szCs w:val="28"/>
                        </w:rPr>
                        <w:t>项目名称：</w:t>
                      </w:r>
                      <w:r>
                        <w:rPr>
                          <w:rFonts w:hint="eastAsia"/>
                          <w:sz w:val="28"/>
                          <w:szCs w:val="28"/>
                          <w:lang w:eastAsia="zh-CN"/>
                        </w:rPr>
                        <w:t>西安市灞桥区教育局（本级）西安市第五十五中学智慧黑板采购项目</w:t>
                      </w:r>
                    </w:p>
                    <w:p>
                      <w:pPr>
                        <w:jc w:val="center"/>
                        <w:rPr>
                          <w:sz w:val="28"/>
                          <w:szCs w:val="28"/>
                        </w:rPr>
                      </w:pPr>
                      <w:r>
                        <w:rPr>
                          <w:rFonts w:hint="eastAsia"/>
                          <w:b/>
                          <w:sz w:val="44"/>
                          <w:szCs w:val="44"/>
                        </w:rPr>
                        <w:t>响应一览表</w:t>
                      </w:r>
                    </w:p>
                    <w:p>
                      <w:pPr>
                        <w:jc w:val="center"/>
                        <w:rPr>
                          <w:sz w:val="28"/>
                          <w:szCs w:val="28"/>
                        </w:rPr>
                      </w:pPr>
                      <w:r>
                        <w:rPr>
                          <w:rFonts w:hint="eastAsia"/>
                          <w:sz w:val="28"/>
                          <w:szCs w:val="28"/>
                        </w:rPr>
                        <w:t>（非谈判会议不得启封）</w:t>
                      </w:r>
                    </w:p>
                    <w:p>
                      <w:pPr>
                        <w:rPr>
                          <w:sz w:val="28"/>
                          <w:szCs w:val="28"/>
                        </w:rPr>
                      </w:pPr>
                      <w:r>
                        <w:rPr>
                          <w:rFonts w:hint="eastAsia"/>
                          <w:sz w:val="28"/>
                          <w:szCs w:val="28"/>
                        </w:rPr>
                        <w:t>供应商（单位名称及公章）：_______________</w:t>
                      </w:r>
                    </w:p>
                    <w:p>
                      <w:pPr>
                        <w:rPr>
                          <w:sz w:val="28"/>
                          <w:szCs w:val="28"/>
                        </w:rPr>
                      </w:pPr>
                      <w:r>
                        <w:rPr>
                          <w:rFonts w:hint="eastAsia"/>
                          <w:sz w:val="28"/>
                          <w:szCs w:val="28"/>
                        </w:rPr>
                        <w:t>法定代表人或被授权人（签字或盖章）：_______________</w:t>
                      </w:r>
                    </w:p>
                    <w:p>
                      <w:pPr>
                        <w:rPr>
                          <w:sz w:val="28"/>
                          <w:szCs w:val="28"/>
                        </w:rPr>
                      </w:pPr>
                      <w:r>
                        <w:rPr>
                          <w:rFonts w:hint="eastAsia"/>
                          <w:sz w:val="28"/>
                          <w:szCs w:val="28"/>
                        </w:rPr>
                        <w:t>日    期：_____年_____月_____日</w:t>
                      </w:r>
                    </w:p>
                    <w:p>
                      <w:pPr>
                        <w:rPr>
                          <w:sz w:val="28"/>
                          <w:szCs w:val="28"/>
                        </w:rPr>
                      </w:pPr>
                    </w:p>
                  </w:txbxContent>
                </v:textbox>
              </v:shape>
            </w:pict>
          </mc:Fallback>
        </mc:AlternateContent>
      </w:r>
    </w:p>
    <w:p>
      <w:pPr>
        <w:spacing w:line="460" w:lineRule="exact"/>
        <w:ind w:firstLine="482" w:firstLineChars="200"/>
        <w:jc w:val="center"/>
        <w:rPr>
          <w:rFonts w:ascii="宋体" w:hAnsi="宋体" w:eastAsia="宋体" w:cs="宋体"/>
          <w:b/>
          <w:sz w:val="24"/>
        </w:rPr>
      </w:pPr>
    </w:p>
    <w:p>
      <w:pPr>
        <w:spacing w:line="460" w:lineRule="exact"/>
        <w:ind w:firstLine="482" w:firstLineChars="200"/>
        <w:jc w:val="center"/>
        <w:rPr>
          <w:rFonts w:ascii="宋体" w:hAnsi="宋体" w:eastAsia="宋体" w:cs="宋体"/>
          <w:b/>
          <w:sz w:val="24"/>
        </w:rPr>
      </w:pPr>
    </w:p>
    <w:p>
      <w:pPr>
        <w:spacing w:line="460" w:lineRule="exact"/>
        <w:ind w:firstLine="482" w:firstLineChars="200"/>
        <w:jc w:val="center"/>
        <w:rPr>
          <w:rFonts w:ascii="宋体" w:hAnsi="宋体" w:eastAsia="宋体" w:cs="宋体"/>
          <w:b/>
          <w:sz w:val="24"/>
        </w:rPr>
      </w:pPr>
    </w:p>
    <w:p>
      <w:pPr>
        <w:spacing w:line="460" w:lineRule="exact"/>
        <w:ind w:firstLine="482" w:firstLineChars="200"/>
        <w:jc w:val="center"/>
        <w:rPr>
          <w:rFonts w:ascii="宋体" w:hAnsi="宋体" w:eastAsia="宋体" w:cs="宋体"/>
          <w:b/>
          <w:sz w:val="24"/>
        </w:rPr>
      </w:pPr>
    </w:p>
    <w:p>
      <w:pPr>
        <w:spacing w:line="460" w:lineRule="exact"/>
        <w:ind w:firstLine="482" w:firstLineChars="200"/>
        <w:jc w:val="center"/>
        <w:rPr>
          <w:rFonts w:ascii="宋体" w:hAnsi="宋体" w:eastAsia="宋体" w:cs="宋体"/>
          <w:b/>
          <w:sz w:val="24"/>
        </w:rPr>
      </w:pPr>
    </w:p>
    <w:p>
      <w:pPr>
        <w:spacing w:line="460" w:lineRule="exact"/>
        <w:ind w:firstLine="482" w:firstLineChars="200"/>
        <w:jc w:val="center"/>
        <w:rPr>
          <w:rFonts w:ascii="宋体" w:hAnsi="宋体" w:eastAsia="宋体" w:cs="宋体"/>
          <w:b/>
          <w:sz w:val="24"/>
        </w:rPr>
      </w:pPr>
    </w:p>
    <w:p>
      <w:pPr>
        <w:spacing w:line="460" w:lineRule="exact"/>
        <w:ind w:firstLine="482" w:firstLineChars="200"/>
        <w:jc w:val="center"/>
        <w:rPr>
          <w:rFonts w:ascii="宋体" w:hAnsi="宋体" w:eastAsia="宋体" w:cs="宋体"/>
          <w:b/>
          <w:sz w:val="24"/>
        </w:rPr>
      </w:pPr>
    </w:p>
    <w:p>
      <w:pPr>
        <w:spacing w:line="460" w:lineRule="exact"/>
        <w:ind w:firstLine="482" w:firstLineChars="200"/>
        <w:jc w:val="center"/>
        <w:rPr>
          <w:rFonts w:ascii="宋体" w:hAnsi="宋体" w:eastAsia="宋体" w:cs="宋体"/>
          <w:b/>
          <w:sz w:val="24"/>
        </w:rPr>
      </w:pPr>
    </w:p>
    <w:p>
      <w:pPr>
        <w:spacing w:line="460" w:lineRule="exact"/>
        <w:ind w:firstLine="482" w:firstLineChars="200"/>
        <w:jc w:val="left"/>
        <w:rPr>
          <w:rFonts w:ascii="宋体" w:hAnsi="宋体" w:eastAsia="宋体" w:cs="宋体"/>
          <w:b/>
          <w:sz w:val="24"/>
        </w:rPr>
      </w:pPr>
    </w:p>
    <w:p>
      <w:pPr>
        <w:spacing w:line="460" w:lineRule="exact"/>
        <w:jc w:val="left"/>
        <w:rPr>
          <w:rFonts w:ascii="宋体" w:hAnsi="宋体" w:eastAsia="宋体" w:cs="宋体"/>
          <w:b/>
          <w:sz w:val="24"/>
        </w:rPr>
      </w:pPr>
    </w:p>
    <w:p>
      <w:pPr>
        <w:spacing w:line="460" w:lineRule="exact"/>
        <w:jc w:val="left"/>
        <w:rPr>
          <w:rFonts w:ascii="宋体" w:hAnsi="宋体" w:eastAsia="宋体" w:cs="宋体"/>
          <w:b/>
          <w:sz w:val="24"/>
        </w:rPr>
      </w:pPr>
    </w:p>
    <w:p>
      <w:pPr>
        <w:spacing w:line="460" w:lineRule="exact"/>
        <w:jc w:val="left"/>
        <w:rPr>
          <w:rFonts w:ascii="宋体" w:hAnsi="宋体" w:eastAsia="宋体" w:cs="宋体"/>
          <w:b/>
          <w:sz w:val="24"/>
        </w:rPr>
      </w:pPr>
    </w:p>
    <w:p>
      <w:pPr>
        <w:spacing w:line="460" w:lineRule="exact"/>
        <w:jc w:val="center"/>
        <w:rPr>
          <w:rFonts w:ascii="宋体" w:hAnsi="宋体" w:eastAsia="宋体" w:cs="宋体"/>
          <w:b/>
          <w:sz w:val="24"/>
        </w:rPr>
      </w:pPr>
      <w:r>
        <w:rPr>
          <w:rFonts w:hint="eastAsia" w:ascii="宋体" w:hAnsi="宋体" w:eastAsia="宋体" w:cs="宋体"/>
          <w:b/>
          <w:sz w:val="24"/>
        </w:rPr>
        <w:t>电子文档封袋正面标识式样</w:t>
      </w:r>
    </w:p>
    <w:p>
      <w:pPr>
        <w:tabs>
          <w:tab w:val="left" w:pos="8280"/>
        </w:tabs>
        <w:spacing w:line="460" w:lineRule="exact"/>
        <w:ind w:firstLine="420" w:firstLineChars="200"/>
        <w:jc w:val="left"/>
        <w:rPr>
          <w:rFonts w:ascii="宋体" w:hAnsi="宋体" w:eastAsia="宋体" w:cs="宋体"/>
          <w:b/>
          <w:sz w:val="24"/>
        </w:rPr>
      </w:pPr>
      <w:r>
        <w:rPr>
          <w:rFonts w:ascii="宋体" w:hAnsi="宋体" w:eastAsia="宋体" w:cs="宋体"/>
        </w:rPr>
        <mc:AlternateContent>
          <mc:Choice Requires="wps">
            <w:drawing>
              <wp:anchor distT="0" distB="0" distL="114300" distR="114300" simplePos="0" relativeHeight="251668480" behindDoc="0" locked="0" layoutInCell="1" allowOverlap="1">
                <wp:simplePos x="0" y="0"/>
                <wp:positionH relativeFrom="column">
                  <wp:posOffset>-425450</wp:posOffset>
                </wp:positionH>
                <wp:positionV relativeFrom="paragraph">
                  <wp:posOffset>55245</wp:posOffset>
                </wp:positionV>
                <wp:extent cx="6351270" cy="3234055"/>
                <wp:effectExtent l="5080" t="5080" r="6350" b="18415"/>
                <wp:wrapNone/>
                <wp:docPr id="10" name="Text Box 3"/>
                <wp:cNvGraphicFramePr/>
                <a:graphic xmlns:a="http://schemas.openxmlformats.org/drawingml/2006/main">
                  <a:graphicData uri="http://schemas.microsoft.com/office/word/2010/wordprocessingShape">
                    <wps:wsp>
                      <wps:cNvSpPr txBox="1"/>
                      <wps:spPr>
                        <a:xfrm>
                          <a:off x="0" y="0"/>
                          <a:ext cx="6455410" cy="32340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sz w:val="28"/>
                                <w:szCs w:val="28"/>
                                <w:highlight w:val="yellow"/>
                              </w:rPr>
                            </w:pPr>
                            <w:r>
                              <w:rPr>
                                <w:rFonts w:hint="eastAsia"/>
                                <w:sz w:val="28"/>
                                <w:szCs w:val="28"/>
                              </w:rPr>
                              <w:t>致：陕西卓佲项目管理有限公司               项目编号：</w:t>
                            </w:r>
                            <w:r>
                              <w:rPr>
                                <w:rFonts w:hint="eastAsia"/>
                                <w:sz w:val="28"/>
                                <w:szCs w:val="28"/>
                                <w:lang w:eastAsia="zh-CN"/>
                              </w:rPr>
                              <w:t>ZMZB2022BQJYJ-297</w:t>
                            </w:r>
                          </w:p>
                          <w:p>
                            <w:pPr>
                              <w:rPr>
                                <w:sz w:val="28"/>
                                <w:szCs w:val="28"/>
                              </w:rPr>
                            </w:pPr>
                            <w:r>
                              <w:rPr>
                                <w:rFonts w:hint="eastAsia"/>
                                <w:sz w:val="28"/>
                                <w:szCs w:val="28"/>
                              </w:rPr>
                              <w:t>项目名称：</w:t>
                            </w:r>
                            <w:r>
                              <w:rPr>
                                <w:rFonts w:hint="eastAsia"/>
                                <w:sz w:val="28"/>
                                <w:szCs w:val="28"/>
                                <w:lang w:eastAsia="zh-CN"/>
                              </w:rPr>
                              <w:t>西安市灞桥区教育局（本级）西安市第五十五中学智慧黑板采购项目</w:t>
                            </w:r>
                          </w:p>
                          <w:p>
                            <w:pPr>
                              <w:jc w:val="center"/>
                              <w:rPr>
                                <w:sz w:val="28"/>
                                <w:szCs w:val="28"/>
                              </w:rPr>
                            </w:pPr>
                            <w:r>
                              <w:rPr>
                                <w:rFonts w:hint="eastAsia"/>
                                <w:b/>
                                <w:sz w:val="44"/>
                                <w:szCs w:val="44"/>
                              </w:rPr>
                              <w:t>电子文档</w:t>
                            </w:r>
                          </w:p>
                          <w:p>
                            <w:pPr>
                              <w:jc w:val="center"/>
                              <w:rPr>
                                <w:sz w:val="28"/>
                                <w:szCs w:val="28"/>
                              </w:rPr>
                            </w:pPr>
                            <w:r>
                              <w:rPr>
                                <w:rFonts w:hint="eastAsia"/>
                                <w:sz w:val="28"/>
                                <w:szCs w:val="28"/>
                              </w:rPr>
                              <w:t>（非谈判会议不得启封）</w:t>
                            </w:r>
                          </w:p>
                          <w:p>
                            <w:pPr>
                              <w:rPr>
                                <w:sz w:val="28"/>
                                <w:szCs w:val="28"/>
                              </w:rPr>
                            </w:pPr>
                            <w:r>
                              <w:rPr>
                                <w:rFonts w:hint="eastAsia"/>
                                <w:sz w:val="28"/>
                                <w:szCs w:val="28"/>
                              </w:rPr>
                              <w:t>供应商（单位名称及公章）：_______________</w:t>
                            </w:r>
                          </w:p>
                          <w:p>
                            <w:pPr>
                              <w:rPr>
                                <w:sz w:val="28"/>
                                <w:szCs w:val="28"/>
                              </w:rPr>
                            </w:pPr>
                            <w:r>
                              <w:rPr>
                                <w:rFonts w:hint="eastAsia"/>
                                <w:sz w:val="28"/>
                                <w:szCs w:val="28"/>
                              </w:rPr>
                              <w:t>法定代表人或被授权人（签字或盖章）：_______________</w:t>
                            </w:r>
                          </w:p>
                          <w:p>
                            <w:pPr>
                              <w:rPr>
                                <w:sz w:val="28"/>
                                <w:szCs w:val="28"/>
                              </w:rPr>
                            </w:pPr>
                            <w:r>
                              <w:rPr>
                                <w:rFonts w:hint="eastAsia"/>
                                <w:sz w:val="28"/>
                                <w:szCs w:val="28"/>
                              </w:rPr>
                              <w:t>日    期：_____年_____月_____日</w:t>
                            </w:r>
                          </w:p>
                          <w:p>
                            <w:pPr>
                              <w:rPr>
                                <w:sz w:val="28"/>
                                <w:szCs w:val="28"/>
                              </w:rPr>
                            </w:pPr>
                          </w:p>
                        </w:txbxContent>
                      </wps:txbx>
                      <wps:bodyPr upright="1"/>
                    </wps:wsp>
                  </a:graphicData>
                </a:graphic>
              </wp:anchor>
            </w:drawing>
          </mc:Choice>
          <mc:Fallback>
            <w:pict>
              <v:shape id="Text Box 3" o:spid="_x0000_s1026" o:spt="202" type="#_x0000_t202" style="position:absolute;left:0pt;margin-left:-33.5pt;margin-top:4.35pt;height:254.65pt;width:500.1pt;z-index:251668480;mso-width-relative:page;mso-height-relative:page;" fillcolor="#FFFFFF" filled="t" stroked="t" coordsize="21600,21600" o:gfxdata="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ceK+ZtkAAAAJAQAADwAAAAAAAAABACAAAAAiAAAAZHJzL2Rv&#10;d25yZXYueG1sUEsBAhQAFAAAAAgAh07iQPF8YFAAAgAARQQAAA4AAAAAAAAAAQAgAAAAKAEAAGRy&#10;cy9lMm9Eb2MueG1sUEsFBgAAAAAGAAYAWQEAAJoFAAAAAA==&#10;">
                <v:fill on="t" focussize="0,0"/>
                <v:stroke color="#000000" joinstyle="miter"/>
                <v:imagedata o:title=""/>
                <o:lock v:ext="edit" aspectratio="f"/>
                <v:textbox>
                  <w:txbxContent>
                    <w:p>
                      <w:pPr>
                        <w:rPr>
                          <w:sz w:val="28"/>
                          <w:szCs w:val="28"/>
                          <w:highlight w:val="yellow"/>
                        </w:rPr>
                      </w:pPr>
                      <w:r>
                        <w:rPr>
                          <w:rFonts w:hint="eastAsia"/>
                          <w:sz w:val="28"/>
                          <w:szCs w:val="28"/>
                        </w:rPr>
                        <w:t>致：陕西卓佲项目管理有限公司               项目编号：</w:t>
                      </w:r>
                      <w:r>
                        <w:rPr>
                          <w:rFonts w:hint="eastAsia"/>
                          <w:sz w:val="28"/>
                          <w:szCs w:val="28"/>
                          <w:lang w:eastAsia="zh-CN"/>
                        </w:rPr>
                        <w:t>ZMZB2022BQJYJ-297</w:t>
                      </w:r>
                    </w:p>
                    <w:p>
                      <w:pPr>
                        <w:rPr>
                          <w:sz w:val="28"/>
                          <w:szCs w:val="28"/>
                        </w:rPr>
                      </w:pPr>
                      <w:r>
                        <w:rPr>
                          <w:rFonts w:hint="eastAsia"/>
                          <w:sz w:val="28"/>
                          <w:szCs w:val="28"/>
                        </w:rPr>
                        <w:t>项目名称：</w:t>
                      </w:r>
                      <w:r>
                        <w:rPr>
                          <w:rFonts w:hint="eastAsia"/>
                          <w:sz w:val="28"/>
                          <w:szCs w:val="28"/>
                          <w:lang w:eastAsia="zh-CN"/>
                        </w:rPr>
                        <w:t>西安市灞桥区教育局（本级）西安市第五十五中学智慧黑板采购项目</w:t>
                      </w:r>
                    </w:p>
                    <w:p>
                      <w:pPr>
                        <w:jc w:val="center"/>
                        <w:rPr>
                          <w:sz w:val="28"/>
                          <w:szCs w:val="28"/>
                        </w:rPr>
                      </w:pPr>
                      <w:r>
                        <w:rPr>
                          <w:rFonts w:hint="eastAsia"/>
                          <w:b/>
                          <w:sz w:val="44"/>
                          <w:szCs w:val="44"/>
                        </w:rPr>
                        <w:t>电子文档</w:t>
                      </w:r>
                    </w:p>
                    <w:p>
                      <w:pPr>
                        <w:jc w:val="center"/>
                        <w:rPr>
                          <w:sz w:val="28"/>
                          <w:szCs w:val="28"/>
                        </w:rPr>
                      </w:pPr>
                      <w:r>
                        <w:rPr>
                          <w:rFonts w:hint="eastAsia"/>
                          <w:sz w:val="28"/>
                          <w:szCs w:val="28"/>
                        </w:rPr>
                        <w:t>（非谈判会议不得启封）</w:t>
                      </w:r>
                    </w:p>
                    <w:p>
                      <w:pPr>
                        <w:rPr>
                          <w:sz w:val="28"/>
                          <w:szCs w:val="28"/>
                        </w:rPr>
                      </w:pPr>
                      <w:r>
                        <w:rPr>
                          <w:rFonts w:hint="eastAsia"/>
                          <w:sz w:val="28"/>
                          <w:szCs w:val="28"/>
                        </w:rPr>
                        <w:t>供应商（单位名称及公章）：_______________</w:t>
                      </w:r>
                    </w:p>
                    <w:p>
                      <w:pPr>
                        <w:rPr>
                          <w:sz w:val="28"/>
                          <w:szCs w:val="28"/>
                        </w:rPr>
                      </w:pPr>
                      <w:r>
                        <w:rPr>
                          <w:rFonts w:hint="eastAsia"/>
                          <w:sz w:val="28"/>
                          <w:szCs w:val="28"/>
                        </w:rPr>
                        <w:t>法定代表人或被授权人（签字或盖章）：_______________</w:t>
                      </w:r>
                    </w:p>
                    <w:p>
                      <w:pPr>
                        <w:rPr>
                          <w:sz w:val="28"/>
                          <w:szCs w:val="28"/>
                        </w:rPr>
                      </w:pPr>
                      <w:r>
                        <w:rPr>
                          <w:rFonts w:hint="eastAsia"/>
                          <w:sz w:val="28"/>
                          <w:szCs w:val="28"/>
                        </w:rPr>
                        <w:t>日    期：_____年_____月_____日</w:t>
                      </w:r>
                    </w:p>
                    <w:p>
                      <w:pPr>
                        <w:rPr>
                          <w:sz w:val="28"/>
                          <w:szCs w:val="28"/>
                        </w:rPr>
                      </w:pPr>
                    </w:p>
                  </w:txbxContent>
                </v:textbox>
              </v:shape>
            </w:pict>
          </mc:Fallback>
        </mc:AlternateContent>
      </w:r>
    </w:p>
    <w:p>
      <w:pPr>
        <w:ind w:firstLine="420" w:firstLineChars="200"/>
        <w:jc w:val="left"/>
        <w:rPr>
          <w:rFonts w:ascii="宋体" w:hAnsi="宋体" w:eastAsia="宋体" w:cs="宋体"/>
        </w:rPr>
      </w:pPr>
    </w:p>
    <w:p>
      <w:pPr>
        <w:ind w:firstLine="420" w:firstLineChars="200"/>
        <w:jc w:val="left"/>
        <w:rPr>
          <w:rFonts w:ascii="宋体" w:hAnsi="宋体" w:eastAsia="宋体" w:cs="宋体"/>
        </w:rPr>
      </w:pPr>
    </w:p>
    <w:p>
      <w:pPr>
        <w:ind w:firstLine="420" w:firstLineChars="200"/>
        <w:jc w:val="left"/>
        <w:rPr>
          <w:rFonts w:ascii="宋体" w:hAnsi="宋体" w:eastAsia="宋体" w:cs="宋体"/>
        </w:rPr>
      </w:pPr>
    </w:p>
    <w:p>
      <w:pPr>
        <w:ind w:firstLine="420" w:firstLineChars="200"/>
        <w:jc w:val="left"/>
        <w:rPr>
          <w:rFonts w:ascii="宋体" w:hAnsi="宋体" w:eastAsia="宋体" w:cs="宋体"/>
        </w:rPr>
      </w:pPr>
    </w:p>
    <w:p>
      <w:pPr>
        <w:ind w:firstLine="420" w:firstLineChars="200"/>
        <w:jc w:val="left"/>
        <w:rPr>
          <w:rFonts w:ascii="宋体" w:hAnsi="宋体" w:eastAsia="宋体" w:cs="宋体"/>
        </w:rPr>
      </w:pPr>
    </w:p>
    <w:p>
      <w:pPr>
        <w:ind w:firstLine="420" w:firstLineChars="200"/>
        <w:jc w:val="left"/>
        <w:rPr>
          <w:rFonts w:ascii="宋体" w:hAnsi="宋体" w:eastAsia="宋体" w:cs="宋体"/>
        </w:rPr>
      </w:pPr>
    </w:p>
    <w:p>
      <w:pPr>
        <w:ind w:firstLine="420" w:firstLineChars="200"/>
        <w:jc w:val="left"/>
        <w:rPr>
          <w:rFonts w:ascii="宋体" w:hAnsi="宋体" w:eastAsia="宋体" w:cs="宋体"/>
        </w:rPr>
      </w:pPr>
    </w:p>
    <w:p>
      <w:pPr>
        <w:ind w:firstLine="420" w:firstLineChars="200"/>
        <w:jc w:val="left"/>
        <w:rPr>
          <w:rFonts w:ascii="宋体" w:hAnsi="宋体" w:eastAsia="宋体" w:cs="宋体"/>
        </w:rPr>
      </w:pPr>
    </w:p>
    <w:p>
      <w:pPr>
        <w:ind w:firstLine="420" w:firstLineChars="200"/>
        <w:jc w:val="left"/>
        <w:rPr>
          <w:rFonts w:ascii="宋体" w:hAnsi="宋体" w:eastAsia="宋体" w:cs="宋体"/>
        </w:rPr>
      </w:pPr>
    </w:p>
    <w:p>
      <w:pPr>
        <w:ind w:firstLine="420" w:firstLineChars="200"/>
        <w:jc w:val="left"/>
        <w:rPr>
          <w:rFonts w:ascii="宋体" w:hAnsi="宋体" w:eastAsia="宋体" w:cs="宋体"/>
        </w:rPr>
      </w:pPr>
    </w:p>
    <w:p>
      <w:pPr>
        <w:ind w:firstLine="420" w:firstLineChars="200"/>
        <w:jc w:val="left"/>
        <w:rPr>
          <w:rFonts w:ascii="宋体" w:hAnsi="宋体" w:eastAsia="宋体" w:cs="宋体"/>
        </w:rPr>
      </w:pPr>
    </w:p>
    <w:p>
      <w:pPr>
        <w:ind w:firstLine="1004" w:firstLineChars="200"/>
        <w:jc w:val="left"/>
        <w:rPr>
          <w:rFonts w:ascii="宋体" w:hAnsi="宋体" w:eastAsia="宋体" w:cs="宋体"/>
          <w:b/>
          <w:sz w:val="50"/>
        </w:rPr>
      </w:pPr>
    </w:p>
    <w:p>
      <w:pPr>
        <w:pageBreakBefore/>
        <w:spacing w:line="420" w:lineRule="auto"/>
        <w:rPr>
          <w:rFonts w:ascii="宋体" w:hAnsi="宋体" w:eastAsia="宋体" w:cs="宋体"/>
          <w:b/>
          <w:bCs/>
          <w:sz w:val="36"/>
          <w:szCs w:val="36"/>
        </w:rPr>
        <w:sectPr>
          <w:pgSz w:w="11906" w:h="16838"/>
          <w:pgMar w:top="1440" w:right="1803" w:bottom="1440" w:left="1803" w:header="851" w:footer="992" w:gutter="0"/>
          <w:pgNumType w:fmt="decimal"/>
          <w:cols w:space="720" w:num="1"/>
          <w:docGrid w:type="lines" w:linePitch="319" w:charSpace="0"/>
        </w:sectPr>
      </w:pPr>
    </w:p>
    <w:p>
      <w:pPr>
        <w:pStyle w:val="4"/>
        <w:adjustRightInd w:val="0"/>
        <w:spacing w:line="416" w:lineRule="atLeast"/>
        <w:textAlignment w:val="baseline"/>
        <w:rPr>
          <w:rFonts w:ascii="宋体" w:hAnsi="宋体" w:cs="宋体"/>
        </w:rPr>
      </w:pPr>
      <w:bookmarkStart w:id="88" w:name="_Toc20088"/>
      <w:bookmarkStart w:id="89" w:name="_Toc18633"/>
      <w:bookmarkStart w:id="90" w:name="_Toc20374"/>
      <w:bookmarkStart w:id="91" w:name="_Toc30485"/>
      <w:bookmarkStart w:id="92" w:name="_Toc3008"/>
      <w:bookmarkStart w:id="93" w:name="_Toc17991"/>
      <w:bookmarkStart w:id="94" w:name="_Toc2630"/>
      <w:bookmarkStart w:id="95" w:name="_Toc8177"/>
      <w:bookmarkStart w:id="96" w:name="_Toc11632"/>
      <w:bookmarkStart w:id="97" w:name="_Toc1641"/>
      <w:bookmarkStart w:id="98" w:name="_Toc15368"/>
      <w:bookmarkStart w:id="99" w:name="_Toc30870"/>
      <w:bookmarkStart w:id="100" w:name="_Toc30536"/>
      <w:bookmarkStart w:id="101" w:name="_Toc15467"/>
      <w:bookmarkStart w:id="102" w:name="_Toc14361"/>
      <w:bookmarkStart w:id="103" w:name="_Toc22153"/>
      <w:bookmarkStart w:id="104" w:name="_Toc13303"/>
      <w:r>
        <w:rPr>
          <w:rFonts w:hint="eastAsia" w:ascii="宋体" w:hAnsi="宋体" w:cs="宋体"/>
        </w:rPr>
        <w:t>附件二、中小企业</w:t>
      </w:r>
      <w:bookmarkEnd w:id="88"/>
      <w:bookmarkEnd w:id="89"/>
      <w:bookmarkEnd w:id="90"/>
      <w:bookmarkEnd w:id="91"/>
      <w:bookmarkEnd w:id="92"/>
      <w:bookmarkEnd w:id="93"/>
      <w:bookmarkEnd w:id="94"/>
      <w:bookmarkEnd w:id="95"/>
      <w:bookmarkEnd w:id="96"/>
      <w:bookmarkEnd w:id="97"/>
      <w:r>
        <w:rPr>
          <w:rFonts w:hint="eastAsia" w:ascii="宋体" w:hAnsi="宋体" w:cs="宋体"/>
          <w:lang w:val="en-US" w:eastAsia="zh-CN"/>
        </w:rPr>
        <w:t>声明函</w:t>
      </w:r>
      <w:r>
        <w:rPr>
          <w:rFonts w:hint="eastAsia" w:ascii="宋体" w:hAnsi="宋体" w:cs="宋体"/>
        </w:rPr>
        <w:t>（</w:t>
      </w:r>
      <w:r>
        <w:rPr>
          <w:rFonts w:hint="eastAsia" w:ascii="宋体" w:hAnsi="宋体" w:cs="宋体"/>
          <w:lang w:val="en-US" w:eastAsia="zh-CN"/>
        </w:rPr>
        <w:t>货物</w:t>
      </w:r>
      <w:r>
        <w:rPr>
          <w:rFonts w:hint="eastAsia" w:ascii="宋体" w:hAnsi="宋体" w:cs="宋体"/>
        </w:rPr>
        <w:t>）</w:t>
      </w:r>
      <w:bookmarkEnd w:id="98"/>
    </w:p>
    <w:p>
      <w:pPr>
        <w:keepNext w:val="0"/>
        <w:keepLines w:val="0"/>
        <w:pageBreakBefore w:val="0"/>
        <w:widowControl w:val="0"/>
        <w:kinsoku/>
        <w:wordWrap/>
        <w:overflowPunct/>
        <w:topLinePunct w:val="0"/>
        <w:autoSpaceDE/>
        <w:autoSpaceDN/>
        <w:bidi w:val="0"/>
        <w:adjustRightInd/>
        <w:snapToGrid/>
        <w:spacing w:line="360" w:lineRule="auto"/>
        <w:ind w:right="142" w:firstLine="480" w:firstLineChars="200"/>
        <w:textAlignment w:val="auto"/>
        <w:rPr>
          <w:rFonts w:ascii="宋体" w:hAnsi="宋体" w:cs="宋体"/>
          <w:sz w:val="24"/>
          <w:szCs w:val="24"/>
          <w:highlight w:val="none"/>
        </w:rPr>
      </w:pPr>
      <w:bookmarkStart w:id="105" w:name="_Toc6022"/>
      <w:bookmarkStart w:id="106" w:name="_Toc32438"/>
      <w:bookmarkStart w:id="107" w:name="_Toc5814"/>
      <w:bookmarkStart w:id="108" w:name="_Toc12531"/>
      <w:bookmarkStart w:id="109" w:name="_Toc11896"/>
      <w:bookmarkStart w:id="110" w:name="_Toc21117"/>
      <w:bookmarkStart w:id="111" w:name="_Toc7105"/>
      <w:bookmarkStart w:id="112" w:name="_Toc10807"/>
      <w:r>
        <w:rPr>
          <w:rFonts w:hint="eastAsia" w:ascii="宋体" w:hAnsi="宋体" w:cs="宋体"/>
          <w:sz w:val="24"/>
          <w:szCs w:val="24"/>
          <w:highlight w:val="none"/>
        </w:rPr>
        <w:t>本公司（联合体）郑重声明，根据《政府采购促进中小企业发展管理办法》（财库﹝2020﹞46 号）的规定，本公司（联合体）参加</w:t>
      </w:r>
      <w:r>
        <w:rPr>
          <w:rFonts w:hint="eastAsia" w:ascii="宋体" w:hAnsi="宋体" w:cs="宋体"/>
          <w:sz w:val="24"/>
          <w:szCs w:val="24"/>
          <w:highlight w:val="none"/>
          <w:u w:val="single"/>
        </w:rPr>
        <w:t>（单位名称）</w:t>
      </w:r>
      <w:r>
        <w:rPr>
          <w:rFonts w:hint="eastAsia" w:ascii="宋体" w:hAnsi="宋体" w:cs="宋体"/>
          <w:sz w:val="24"/>
          <w:szCs w:val="24"/>
          <w:highlight w:val="none"/>
        </w:rPr>
        <w:t>的</w:t>
      </w:r>
      <w:r>
        <w:rPr>
          <w:rFonts w:hint="eastAsia" w:ascii="宋体" w:hAnsi="宋体" w:cs="宋体"/>
          <w:sz w:val="24"/>
          <w:szCs w:val="24"/>
          <w:highlight w:val="none"/>
          <w:u w:val="single"/>
        </w:rPr>
        <w:t>（项目名称）</w:t>
      </w:r>
      <w:r>
        <w:rPr>
          <w:rFonts w:hint="eastAsia" w:ascii="宋体" w:hAnsi="宋体" w:cs="宋体"/>
          <w:sz w:val="24"/>
          <w:szCs w:val="24"/>
          <w:highlight w:val="none"/>
        </w:rPr>
        <w:t>采购活动，提供的货物全部由符合政策要求的中小企业制造。相关企业（含联合体中的中小企业、签订分包意向协议的中小企业）的具体情况如下：</w:t>
      </w:r>
    </w:p>
    <w:p>
      <w:pPr>
        <w:pStyle w:val="9"/>
        <w:numPr>
          <w:ilvl w:val="0"/>
          <w:numId w:val="20"/>
        </w:numPr>
        <w:spacing w:line="360" w:lineRule="auto"/>
        <w:rPr>
          <w:rFonts w:ascii="宋体" w:hAnsi="宋体" w:cs="宋体"/>
          <w:w w:val="97"/>
          <w:sz w:val="24"/>
          <w:szCs w:val="24"/>
          <w:highlight w:val="none"/>
          <w:u w:val="single"/>
        </w:rPr>
      </w:pPr>
      <w:r>
        <w:rPr>
          <w:rFonts w:hint="eastAsia" w:ascii="宋体" w:hAnsi="宋体" w:cs="宋体"/>
          <w:color w:val="auto"/>
          <w:w w:val="97"/>
          <w:highlight w:val="none"/>
          <w:u w:val="single"/>
        </w:rPr>
        <w:t xml:space="preserve">    （标的名称）</w:t>
      </w:r>
      <w:r>
        <w:rPr>
          <w:rFonts w:hint="eastAsia" w:ascii="宋体" w:hAnsi="宋体" w:cs="宋体"/>
          <w:color w:val="auto"/>
          <w:w w:val="97"/>
          <w:highlight w:val="none"/>
        </w:rPr>
        <w:t xml:space="preserve"> ，属于</w:t>
      </w:r>
      <w:r>
        <w:rPr>
          <w:rFonts w:hint="eastAsia" w:ascii="宋体" w:hAnsi="宋体" w:cs="宋体"/>
          <w:color w:val="auto"/>
          <w:w w:val="97"/>
          <w:highlight w:val="none"/>
          <w:u w:val="single"/>
        </w:rPr>
        <w:t xml:space="preserve">                </w:t>
      </w:r>
      <w:r>
        <w:rPr>
          <w:rFonts w:hint="eastAsia" w:ascii="宋体" w:hAnsi="宋体" w:cs="宋体"/>
          <w:color w:val="auto"/>
          <w:w w:val="97"/>
          <w:highlight w:val="none"/>
          <w:u w:val="single"/>
          <w:lang w:val="en-US" w:eastAsia="zh-CN"/>
        </w:rPr>
        <w:t xml:space="preserve">  </w:t>
      </w:r>
      <w:r>
        <w:rPr>
          <w:rFonts w:hint="eastAsia" w:ascii="宋体" w:hAnsi="宋体" w:cs="宋体"/>
          <w:color w:val="auto"/>
          <w:w w:val="97"/>
          <w:highlight w:val="none"/>
          <w:u w:val="single"/>
        </w:rPr>
        <w:t>（采购文件中明确的所属行业）</w:t>
      </w:r>
      <w:r>
        <w:rPr>
          <w:rFonts w:hint="eastAsia" w:ascii="宋体" w:hAnsi="宋体" w:cs="宋体"/>
          <w:w w:val="97"/>
          <w:sz w:val="24"/>
          <w:szCs w:val="24"/>
          <w:highlight w:val="none"/>
          <w:u w:val="single"/>
        </w:rPr>
        <w:t>行业；</w:t>
      </w:r>
      <w:r>
        <w:rPr>
          <w:rFonts w:hint="eastAsia" w:ascii="宋体" w:hAnsi="宋体" w:cs="宋体"/>
          <w:w w:val="97"/>
          <w:sz w:val="24"/>
          <w:szCs w:val="24"/>
          <w:highlight w:val="none"/>
        </w:rPr>
        <w:t xml:space="preserve">制造商为 </w:t>
      </w:r>
      <w:r>
        <w:rPr>
          <w:rFonts w:hint="eastAsia" w:ascii="宋体" w:hAnsi="宋体" w:cs="宋体"/>
          <w:w w:val="97"/>
          <w:sz w:val="24"/>
          <w:szCs w:val="24"/>
          <w:highlight w:val="none"/>
          <w:u w:val="single"/>
        </w:rPr>
        <w:t>（企业名称）      ，</w:t>
      </w:r>
      <w:r>
        <w:rPr>
          <w:rFonts w:hint="eastAsia" w:ascii="宋体" w:hAnsi="宋体" w:cs="宋体"/>
          <w:w w:val="97"/>
          <w:sz w:val="24"/>
          <w:szCs w:val="24"/>
          <w:highlight w:val="none"/>
        </w:rPr>
        <w:t>从业人员</w:t>
      </w:r>
      <w:r>
        <w:rPr>
          <w:rFonts w:hint="eastAsia" w:ascii="宋体" w:hAnsi="宋体" w:cs="宋体"/>
          <w:w w:val="97"/>
          <w:sz w:val="24"/>
          <w:szCs w:val="24"/>
          <w:highlight w:val="none"/>
          <w:u w:val="single"/>
        </w:rPr>
        <w:t xml:space="preserve">      </w:t>
      </w:r>
      <w:r>
        <w:rPr>
          <w:rFonts w:hint="eastAsia" w:ascii="宋体" w:hAnsi="宋体" w:cs="宋体"/>
          <w:w w:val="97"/>
          <w:sz w:val="24"/>
          <w:szCs w:val="24"/>
          <w:highlight w:val="none"/>
        </w:rPr>
        <w:t>人，营业收入为</w:t>
      </w:r>
      <w:r>
        <w:rPr>
          <w:rFonts w:hint="eastAsia" w:ascii="宋体" w:hAnsi="宋体" w:cs="宋体"/>
          <w:w w:val="97"/>
          <w:sz w:val="24"/>
          <w:szCs w:val="24"/>
          <w:highlight w:val="none"/>
          <w:u w:val="single"/>
        </w:rPr>
        <w:t xml:space="preserve">   </w:t>
      </w:r>
      <w:r>
        <w:rPr>
          <w:rFonts w:hint="eastAsia" w:ascii="宋体" w:hAnsi="宋体" w:cs="宋体"/>
          <w:w w:val="97"/>
          <w:sz w:val="24"/>
          <w:szCs w:val="24"/>
          <w:highlight w:val="none"/>
        </w:rPr>
        <w:t>万元，资产总额为</w:t>
      </w:r>
      <w:r>
        <w:rPr>
          <w:rFonts w:hint="eastAsia" w:ascii="宋体" w:hAnsi="宋体" w:cs="宋体"/>
          <w:w w:val="97"/>
          <w:sz w:val="24"/>
          <w:szCs w:val="24"/>
          <w:highlight w:val="none"/>
          <w:u w:val="single"/>
        </w:rPr>
        <w:t xml:space="preserve">          </w:t>
      </w:r>
      <w:r>
        <w:rPr>
          <w:rFonts w:hint="eastAsia" w:ascii="宋体" w:hAnsi="宋体" w:cs="宋体"/>
          <w:w w:val="97"/>
          <w:sz w:val="24"/>
          <w:szCs w:val="24"/>
          <w:highlight w:val="none"/>
        </w:rPr>
        <w:t>万元</w:t>
      </w:r>
      <w:r>
        <w:rPr>
          <w:rFonts w:hint="eastAsia" w:ascii="宋体" w:hAnsi="宋体" w:cs="宋体"/>
          <w:w w:val="97"/>
          <w:sz w:val="24"/>
          <w:szCs w:val="24"/>
          <w:highlight w:val="none"/>
          <w:vertAlign w:val="superscript"/>
        </w:rPr>
        <w:t>1</w:t>
      </w:r>
      <w:r>
        <w:rPr>
          <w:rFonts w:hint="eastAsia" w:ascii="宋体" w:hAnsi="宋体" w:cs="宋体"/>
          <w:w w:val="97"/>
          <w:sz w:val="24"/>
          <w:szCs w:val="24"/>
          <w:highlight w:val="none"/>
        </w:rPr>
        <w:t>，属于</w:t>
      </w:r>
      <w:r>
        <w:rPr>
          <w:rFonts w:hint="eastAsia" w:ascii="宋体" w:hAnsi="宋体" w:cs="宋体"/>
          <w:w w:val="97"/>
          <w:sz w:val="24"/>
          <w:szCs w:val="24"/>
          <w:highlight w:val="none"/>
          <w:u w:val="single"/>
        </w:rPr>
        <w:t>（中型企业、小型企业、微型企业）；</w:t>
      </w:r>
    </w:p>
    <w:p>
      <w:pPr>
        <w:pStyle w:val="9"/>
        <w:numPr>
          <w:ilvl w:val="0"/>
          <w:numId w:val="20"/>
        </w:numPr>
        <w:spacing w:line="360" w:lineRule="auto"/>
        <w:rPr>
          <w:rFonts w:ascii="宋体" w:hAnsi="宋体" w:cs="宋体"/>
          <w:w w:val="97"/>
          <w:sz w:val="24"/>
          <w:szCs w:val="24"/>
          <w:highlight w:val="none"/>
          <w:u w:val="single"/>
        </w:rPr>
      </w:pPr>
      <w:r>
        <w:rPr>
          <w:rFonts w:hint="eastAsia" w:ascii="宋体" w:hAnsi="宋体" w:cs="宋体"/>
          <w:color w:val="auto"/>
          <w:w w:val="97"/>
          <w:highlight w:val="none"/>
          <w:u w:val="single"/>
        </w:rPr>
        <w:t xml:space="preserve">    （标的名称）</w:t>
      </w:r>
      <w:r>
        <w:rPr>
          <w:rFonts w:hint="eastAsia" w:ascii="宋体" w:hAnsi="宋体" w:cs="宋体"/>
          <w:color w:val="auto"/>
          <w:w w:val="97"/>
          <w:highlight w:val="none"/>
        </w:rPr>
        <w:t xml:space="preserve"> ，属于</w:t>
      </w:r>
      <w:r>
        <w:rPr>
          <w:rFonts w:hint="eastAsia" w:ascii="宋体" w:hAnsi="宋体" w:cs="宋体"/>
          <w:color w:val="auto"/>
          <w:w w:val="97"/>
          <w:highlight w:val="none"/>
          <w:u w:val="single"/>
        </w:rPr>
        <w:t xml:space="preserve">                </w:t>
      </w:r>
      <w:r>
        <w:rPr>
          <w:rFonts w:hint="eastAsia" w:ascii="宋体" w:hAnsi="宋体" w:cs="宋体"/>
          <w:color w:val="auto"/>
          <w:w w:val="97"/>
          <w:highlight w:val="none"/>
          <w:u w:val="single"/>
          <w:lang w:val="en-US" w:eastAsia="zh-CN"/>
        </w:rPr>
        <w:t xml:space="preserve"> </w:t>
      </w:r>
      <w:r>
        <w:rPr>
          <w:rFonts w:hint="eastAsia" w:ascii="宋体" w:hAnsi="宋体" w:cs="宋体"/>
          <w:color w:val="auto"/>
          <w:w w:val="97"/>
          <w:highlight w:val="none"/>
          <w:u w:val="single"/>
        </w:rPr>
        <w:t>（采购文件中明确的所属行业）</w:t>
      </w:r>
      <w:r>
        <w:rPr>
          <w:rFonts w:hint="eastAsia" w:ascii="宋体" w:hAnsi="宋体" w:cs="宋体"/>
          <w:w w:val="97"/>
          <w:sz w:val="24"/>
          <w:szCs w:val="24"/>
          <w:highlight w:val="none"/>
          <w:u w:val="single"/>
        </w:rPr>
        <w:t>行业；</w:t>
      </w:r>
      <w:r>
        <w:rPr>
          <w:rFonts w:hint="eastAsia" w:ascii="宋体" w:hAnsi="宋体" w:cs="宋体"/>
          <w:w w:val="97"/>
          <w:sz w:val="24"/>
          <w:szCs w:val="24"/>
          <w:highlight w:val="none"/>
        </w:rPr>
        <w:t xml:space="preserve">制造商为 </w:t>
      </w:r>
      <w:r>
        <w:rPr>
          <w:rFonts w:hint="eastAsia" w:ascii="宋体" w:hAnsi="宋体" w:cs="宋体"/>
          <w:w w:val="97"/>
          <w:sz w:val="24"/>
          <w:szCs w:val="24"/>
          <w:highlight w:val="none"/>
          <w:u w:val="single"/>
        </w:rPr>
        <w:t>（企业名称）      ，</w:t>
      </w:r>
      <w:r>
        <w:rPr>
          <w:rFonts w:hint="eastAsia" w:ascii="宋体" w:hAnsi="宋体" w:cs="宋体"/>
          <w:w w:val="97"/>
          <w:sz w:val="24"/>
          <w:szCs w:val="24"/>
          <w:highlight w:val="none"/>
        </w:rPr>
        <w:t>从业人员</w:t>
      </w:r>
      <w:r>
        <w:rPr>
          <w:rFonts w:hint="eastAsia" w:ascii="宋体" w:hAnsi="宋体" w:cs="宋体"/>
          <w:w w:val="97"/>
          <w:sz w:val="24"/>
          <w:szCs w:val="24"/>
          <w:highlight w:val="none"/>
          <w:u w:val="single"/>
        </w:rPr>
        <w:t xml:space="preserve">      </w:t>
      </w:r>
      <w:r>
        <w:rPr>
          <w:rFonts w:hint="eastAsia" w:ascii="宋体" w:hAnsi="宋体" w:cs="宋体"/>
          <w:w w:val="97"/>
          <w:sz w:val="24"/>
          <w:szCs w:val="24"/>
          <w:highlight w:val="none"/>
        </w:rPr>
        <w:t>人，营业收入为</w:t>
      </w:r>
      <w:r>
        <w:rPr>
          <w:rFonts w:hint="eastAsia" w:ascii="宋体" w:hAnsi="宋体" w:cs="宋体"/>
          <w:w w:val="97"/>
          <w:sz w:val="24"/>
          <w:szCs w:val="24"/>
          <w:highlight w:val="none"/>
          <w:u w:val="single"/>
        </w:rPr>
        <w:t xml:space="preserve">   </w:t>
      </w:r>
      <w:r>
        <w:rPr>
          <w:rFonts w:hint="eastAsia" w:ascii="宋体" w:hAnsi="宋体" w:cs="宋体"/>
          <w:w w:val="97"/>
          <w:sz w:val="24"/>
          <w:szCs w:val="24"/>
          <w:highlight w:val="none"/>
        </w:rPr>
        <w:t>万元，资产总额为</w:t>
      </w:r>
      <w:r>
        <w:rPr>
          <w:rFonts w:hint="eastAsia" w:ascii="宋体" w:hAnsi="宋体" w:cs="宋体"/>
          <w:w w:val="97"/>
          <w:sz w:val="24"/>
          <w:szCs w:val="24"/>
          <w:highlight w:val="none"/>
          <w:u w:val="single"/>
        </w:rPr>
        <w:t xml:space="preserve">     </w:t>
      </w:r>
      <w:r>
        <w:rPr>
          <w:rFonts w:hint="eastAsia" w:ascii="宋体" w:hAnsi="宋体" w:cs="宋体"/>
          <w:w w:val="97"/>
          <w:sz w:val="24"/>
          <w:szCs w:val="24"/>
          <w:highlight w:val="none"/>
        </w:rPr>
        <w:t>万元</w:t>
      </w:r>
      <w:r>
        <w:rPr>
          <w:rFonts w:hint="eastAsia" w:ascii="宋体" w:hAnsi="宋体" w:cs="宋体"/>
          <w:w w:val="97"/>
          <w:sz w:val="24"/>
          <w:szCs w:val="24"/>
          <w:highlight w:val="none"/>
          <w:vertAlign w:val="superscript"/>
        </w:rPr>
        <w:t>1</w:t>
      </w:r>
      <w:r>
        <w:rPr>
          <w:rFonts w:hint="eastAsia" w:ascii="宋体" w:hAnsi="宋体" w:cs="宋体"/>
          <w:w w:val="97"/>
          <w:sz w:val="24"/>
          <w:szCs w:val="24"/>
          <w:highlight w:val="none"/>
        </w:rPr>
        <w:t>，属于</w:t>
      </w:r>
      <w:r>
        <w:rPr>
          <w:rFonts w:hint="eastAsia" w:ascii="宋体" w:hAnsi="宋体" w:cs="宋体"/>
          <w:w w:val="97"/>
          <w:sz w:val="24"/>
          <w:szCs w:val="24"/>
          <w:highlight w:val="none"/>
          <w:u w:val="single"/>
        </w:rPr>
        <w:t>（中型企业、小型企业、微型企业）；</w:t>
      </w:r>
    </w:p>
    <w:p>
      <w:pPr>
        <w:spacing w:line="360" w:lineRule="auto"/>
        <w:ind w:left="640"/>
        <w:rPr>
          <w:rFonts w:ascii="宋体" w:hAnsi="宋体" w:cs="宋体"/>
          <w:sz w:val="24"/>
          <w:szCs w:val="24"/>
          <w:highlight w:val="none"/>
        </w:rPr>
      </w:pPr>
      <w:r>
        <w:rPr>
          <w:rFonts w:hint="eastAsia" w:ascii="宋体" w:hAnsi="宋体" w:cs="宋体"/>
          <w:sz w:val="24"/>
          <w:szCs w:val="24"/>
          <w:highlight w:val="none"/>
        </w:rPr>
        <w:t>……</w:t>
      </w:r>
    </w:p>
    <w:p>
      <w:pPr>
        <w:spacing w:line="360" w:lineRule="auto"/>
        <w:ind w:right="160" w:firstLine="646"/>
        <w:rPr>
          <w:rFonts w:ascii="宋体" w:hAnsi="宋体" w:cs="宋体"/>
          <w:sz w:val="24"/>
          <w:szCs w:val="24"/>
          <w:highlight w:val="none"/>
        </w:rPr>
      </w:pPr>
      <w:r>
        <w:rPr>
          <w:rFonts w:hint="eastAsia" w:ascii="宋体" w:hAnsi="宋体" w:cs="宋体"/>
          <w:sz w:val="24"/>
          <w:szCs w:val="24"/>
          <w:highlight w:val="none"/>
        </w:rPr>
        <w:t>以上企业，不属于大企业的分支机构，不存在控股股东为大企业的情形，也不存在与大企业的负责人为同一人的情形。</w:t>
      </w:r>
    </w:p>
    <w:p>
      <w:pPr>
        <w:spacing w:line="360" w:lineRule="auto"/>
        <w:rPr>
          <w:rFonts w:ascii="宋体" w:hAnsi="宋体" w:cs="宋体"/>
          <w:sz w:val="24"/>
          <w:szCs w:val="24"/>
          <w:highlight w:val="none"/>
        </w:rPr>
      </w:pPr>
    </w:p>
    <w:p>
      <w:pPr>
        <w:spacing w:line="360" w:lineRule="auto"/>
        <w:ind w:right="160" w:firstLine="646"/>
        <w:rPr>
          <w:rFonts w:hint="eastAsia" w:ascii="宋体" w:hAnsi="宋体" w:cs="宋体"/>
          <w:sz w:val="24"/>
          <w:szCs w:val="24"/>
          <w:highlight w:val="none"/>
        </w:rPr>
      </w:pPr>
      <w:r>
        <w:rPr>
          <w:rFonts w:hint="eastAsia" w:ascii="宋体" w:hAnsi="宋体" w:cs="宋体"/>
          <w:sz w:val="24"/>
          <w:szCs w:val="24"/>
          <w:highlight w:val="none"/>
        </w:rPr>
        <w:t>本企业对上述声明内容的真实性负责。如有虚假，将依法承担相应责任。</w:t>
      </w:r>
    </w:p>
    <w:p>
      <w:pPr>
        <w:spacing w:line="360" w:lineRule="auto"/>
        <w:ind w:left="3840" w:right="1900"/>
        <w:rPr>
          <w:rFonts w:hint="eastAsia" w:ascii="宋体" w:hAnsi="宋体" w:cs="宋体"/>
          <w:sz w:val="24"/>
          <w:szCs w:val="24"/>
          <w:highlight w:val="none"/>
        </w:rPr>
      </w:pPr>
      <w:r>
        <w:rPr>
          <w:rFonts w:hint="eastAsia" w:ascii="宋体" w:hAnsi="宋体" w:cs="宋体"/>
          <w:sz w:val="24"/>
          <w:szCs w:val="24"/>
          <w:highlight w:val="none"/>
        </w:rPr>
        <w:t>企业名称（盖章）：</w:t>
      </w:r>
    </w:p>
    <w:p>
      <w:pPr>
        <w:spacing w:line="360" w:lineRule="auto"/>
        <w:ind w:left="3840" w:right="1900"/>
        <w:rPr>
          <w:rFonts w:ascii="宋体" w:hAnsi="宋体" w:cs="宋体"/>
          <w:sz w:val="24"/>
          <w:szCs w:val="24"/>
          <w:highlight w:val="none"/>
        </w:rPr>
      </w:pPr>
      <w:r>
        <w:rPr>
          <w:rFonts w:hint="eastAsia" w:ascii="宋体" w:hAnsi="宋体" w:cs="宋体"/>
          <w:sz w:val="24"/>
          <w:szCs w:val="24"/>
          <w:highlight w:val="none"/>
        </w:rPr>
        <w:t>日期：</w:t>
      </w:r>
    </w:p>
    <w:p>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Ansi="宋体" w:cs="宋体"/>
          <w:color w:val="000000"/>
          <w:sz w:val="20"/>
          <w:szCs w:val="20"/>
        </w:rPr>
      </w:pPr>
    </w:p>
    <w:p>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Ansi="宋体" w:cs="宋体"/>
          <w:color w:val="000000"/>
          <w:sz w:val="20"/>
          <w:szCs w:val="20"/>
        </w:rPr>
      </w:pPr>
      <w:r>
        <w:rPr>
          <w:rFonts w:hint="eastAsia" w:hAnsi="宋体" w:cs="宋体"/>
          <w:color w:val="000000"/>
          <w:sz w:val="20"/>
          <w:szCs w:val="20"/>
        </w:rPr>
        <w:t>备注：1.填写前请认真阅读《工业和信息化部　国家统计局　国家发展和改革委员会　财政部关于印发中小企业划型标准规定的通知》(工信部联企业〔2011〕300号)和《财政部、工业和信息化部关于印发〈政府采购促进中小企业发展管理办法〉的通知》(财库〔2020〕46号)相关规定。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cs="宋体"/>
          <w:sz w:val="16"/>
          <w:szCs w:val="18"/>
        </w:rPr>
      </w:pPr>
      <w:r>
        <w:rPr>
          <w:rFonts w:hint="eastAsia" w:hAnsi="宋体" w:cs="宋体"/>
          <w:color w:val="000000"/>
          <w:sz w:val="20"/>
          <w:szCs w:val="20"/>
        </w:rPr>
        <w:t xml:space="preserve">    2.从业人员、营业收入、资产总额填报上一年度数据，无上一年度数据的新成立企业可不填报。</w:t>
      </w:r>
    </w:p>
    <w:p>
      <w:pPr>
        <w:pStyle w:val="5"/>
        <w:outlineLvl w:val="2"/>
        <w:rPr>
          <w:rFonts w:hint="eastAsia" w:ascii="宋体" w:hAnsi="宋体" w:cs="宋体"/>
        </w:rPr>
        <w:sectPr>
          <w:footerReference r:id="rId15" w:type="default"/>
          <w:pgSz w:w="11906" w:h="16838"/>
          <w:pgMar w:top="1440" w:right="1803" w:bottom="1440" w:left="1803" w:header="851" w:footer="992" w:gutter="0"/>
          <w:pgNumType w:fmt="decimal"/>
          <w:cols w:space="720" w:num="1"/>
          <w:docGrid w:type="lines" w:linePitch="319" w:charSpace="0"/>
        </w:sectPr>
      </w:pPr>
    </w:p>
    <w:bookmarkEnd w:id="99"/>
    <w:bookmarkEnd w:id="100"/>
    <w:bookmarkEnd w:id="101"/>
    <w:bookmarkEnd w:id="105"/>
    <w:bookmarkEnd w:id="106"/>
    <w:bookmarkEnd w:id="107"/>
    <w:bookmarkEnd w:id="108"/>
    <w:bookmarkEnd w:id="109"/>
    <w:bookmarkEnd w:id="110"/>
    <w:bookmarkEnd w:id="111"/>
    <w:bookmarkEnd w:id="112"/>
    <w:p>
      <w:pPr>
        <w:keepNext w:val="0"/>
        <w:keepLines w:val="0"/>
        <w:widowControl/>
        <w:spacing w:before="450" w:after="300" w:line="540" w:lineRule="atLeast"/>
        <w:jc w:val="center"/>
        <w:textAlignment w:val="baseline"/>
        <w:outlineLvl w:val="9"/>
        <w:rPr>
          <w:rFonts w:ascii="微软雅黑" w:hAnsi="微软雅黑" w:eastAsia="微软雅黑" w:cs="微软雅黑"/>
          <w:color w:val="auto"/>
          <w:sz w:val="39"/>
          <w:szCs w:val="39"/>
          <w:highlight w:val="none"/>
        </w:rPr>
      </w:pPr>
      <w:bookmarkStart w:id="113" w:name="_Toc18884"/>
      <w:r>
        <w:rPr>
          <w:rFonts w:hint="eastAsia" w:ascii="微软雅黑" w:hAnsi="微软雅黑" w:eastAsia="微软雅黑" w:cs="微软雅黑"/>
          <w:color w:val="auto"/>
          <w:sz w:val="39"/>
          <w:szCs w:val="39"/>
          <w:highlight w:val="none"/>
          <w:shd w:val="clear" w:color="auto" w:fill="FFFFFF"/>
        </w:rPr>
        <w:t>关于印发中小企业划型标准规定的通知</w:t>
      </w:r>
    </w:p>
    <w:p>
      <w:pPr>
        <w:pStyle w:val="18"/>
        <w:outlineLvl w:val="9"/>
        <w:rPr>
          <w:rFonts w:hint="eastAsia" w:eastAsiaTheme="minorEastAsia"/>
          <w:color w:val="auto"/>
          <w:highlight w:val="none"/>
          <w:shd w:val="clear" w:color="auto" w:fill="FFFFFF"/>
          <w:lang w:eastAsia="zh-CN"/>
        </w:rPr>
      </w:pPr>
      <w:r>
        <w:rPr>
          <w:rFonts w:hint="eastAsia"/>
          <w:color w:val="auto"/>
          <w:highlight w:val="none"/>
          <w:shd w:val="clear" w:color="auto" w:fill="FFFFFF"/>
        </w:rPr>
        <w:t>各省、自治区、直辖市人民政府，国务院各部委、各直属机构及有关单位：</w:t>
      </w:r>
    </w:p>
    <w:p>
      <w:pPr>
        <w:pStyle w:val="18"/>
        <w:outlineLvl w:val="9"/>
        <w:rPr>
          <w:rFonts w:hint="eastAsia" w:eastAsiaTheme="minorEastAsia"/>
          <w:color w:val="auto"/>
          <w:highlight w:val="none"/>
          <w:shd w:val="clear" w:color="auto" w:fill="FFFFFF"/>
          <w:lang w:eastAsia="zh-CN"/>
        </w:rPr>
      </w:pPr>
      <w:r>
        <w:rPr>
          <w:rFonts w:hint="eastAsia"/>
          <w:color w:val="auto"/>
          <w:highlight w:val="none"/>
          <w:shd w:val="clear" w:color="auto" w:fill="FFFFFF"/>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pPr>
        <w:pStyle w:val="18"/>
        <w:outlineLvl w:val="9"/>
        <w:rPr>
          <w:rFonts w:hint="eastAsia" w:eastAsiaTheme="minorEastAsia"/>
          <w:color w:val="auto"/>
          <w:highlight w:val="none"/>
          <w:shd w:val="clear" w:color="auto" w:fill="FFFFFF"/>
          <w:lang w:eastAsia="zh-CN"/>
        </w:rPr>
      </w:pPr>
      <w:r>
        <w:rPr>
          <w:rFonts w:hint="eastAsia"/>
          <w:color w:val="auto"/>
          <w:highlight w:val="none"/>
          <w:shd w:val="clear" w:color="auto" w:fill="FFFFFF"/>
        </w:rPr>
        <w:t>　　　　　　　　　　　　　　　　　　　　　工业和信息化部　国家统计局</w:t>
      </w:r>
    </w:p>
    <w:p>
      <w:pPr>
        <w:pStyle w:val="18"/>
        <w:outlineLvl w:val="9"/>
        <w:rPr>
          <w:rFonts w:hint="eastAsia" w:eastAsiaTheme="minorEastAsia"/>
          <w:color w:val="auto"/>
          <w:highlight w:val="none"/>
          <w:shd w:val="clear" w:color="auto" w:fill="FFFFFF"/>
          <w:lang w:eastAsia="zh-CN"/>
        </w:rPr>
      </w:pPr>
      <w:r>
        <w:rPr>
          <w:rFonts w:hint="eastAsia"/>
          <w:color w:val="auto"/>
          <w:highlight w:val="none"/>
          <w:shd w:val="clear" w:color="auto" w:fill="FFFFFF"/>
        </w:rPr>
        <w:t>　　　　　　　　　　　　　　　　　　　　国家发展和改革委员会　财政部</w:t>
      </w:r>
    </w:p>
    <w:p>
      <w:pPr>
        <w:pStyle w:val="18"/>
        <w:outlineLvl w:val="9"/>
        <w:rPr>
          <w:color w:val="auto"/>
          <w:highlight w:val="none"/>
        </w:rPr>
      </w:pPr>
      <w:r>
        <w:rPr>
          <w:rFonts w:hint="eastAsia"/>
          <w:color w:val="auto"/>
          <w:highlight w:val="none"/>
          <w:shd w:val="clear" w:color="auto" w:fill="FFFFFF"/>
        </w:rPr>
        <w:t>　　　　　　　　　　　　　　　　　　　　　　　　二○一一年六月十八日</w:t>
      </w:r>
    </w:p>
    <w:p>
      <w:pPr>
        <w:pStyle w:val="18"/>
        <w:rPr>
          <w:color w:val="auto"/>
          <w:highlight w:val="none"/>
        </w:rPr>
      </w:pPr>
      <w:r>
        <w:rPr>
          <w:rFonts w:hint="eastAsia"/>
          <w:color w:val="auto"/>
          <w:highlight w:val="none"/>
          <w:shd w:val="clear" w:color="auto" w:fill="FFFFFF"/>
        </w:rPr>
        <w:t> </w:t>
      </w:r>
    </w:p>
    <w:p>
      <w:pPr>
        <w:pStyle w:val="18"/>
        <w:jc w:val="center"/>
        <w:rPr>
          <w:rStyle w:val="26"/>
          <w:color w:val="auto"/>
          <w:sz w:val="36"/>
          <w:szCs w:val="36"/>
          <w:highlight w:val="none"/>
          <w:shd w:val="clear" w:color="auto" w:fill="FFFFFF"/>
        </w:rPr>
      </w:pPr>
      <w:r>
        <w:rPr>
          <w:rStyle w:val="26"/>
          <w:rFonts w:hint="eastAsia"/>
          <w:color w:val="auto"/>
          <w:sz w:val="36"/>
          <w:szCs w:val="36"/>
          <w:highlight w:val="none"/>
          <w:shd w:val="clear" w:color="auto" w:fill="FFFFFF"/>
        </w:rPr>
        <w:t>中小企业划型标准规定</w:t>
      </w:r>
    </w:p>
    <w:p>
      <w:pPr>
        <w:rPr>
          <w:rFonts w:hint="eastAsia" w:ascii="宋体" w:hAnsi="宋体" w:cs="宋体" w:eastAsiaTheme="minorEastAsia"/>
          <w:color w:val="auto"/>
          <w:sz w:val="24"/>
          <w:szCs w:val="24"/>
          <w:highlight w:val="none"/>
          <w:shd w:val="clear" w:color="auto" w:fill="FFFFFF"/>
          <w:lang w:eastAsia="zh-CN"/>
        </w:rPr>
      </w:pPr>
      <w:r>
        <w:rPr>
          <w:rFonts w:hint="eastAsia" w:ascii="宋体" w:hAnsi="宋体" w:cs="宋体"/>
          <w:color w:val="auto"/>
          <w:sz w:val="24"/>
          <w:szCs w:val="24"/>
          <w:highlight w:val="none"/>
          <w:shd w:val="clear" w:color="auto" w:fill="FFFFFF"/>
        </w:rPr>
        <w:t>　　一、根据《中华人民共和国中小企业促进法》和《国务院关于进一步促进中小企业发展的若干意见》(国发〔2009〕36号)，制定本规定。</w:t>
      </w:r>
    </w:p>
    <w:p>
      <w:pPr>
        <w:rPr>
          <w:rFonts w:hint="eastAsia" w:ascii="宋体" w:hAnsi="宋体" w:cs="宋体" w:eastAsiaTheme="minorEastAsia"/>
          <w:color w:val="auto"/>
          <w:sz w:val="24"/>
          <w:szCs w:val="24"/>
          <w:highlight w:val="none"/>
          <w:shd w:val="clear" w:color="auto" w:fill="FFFFFF"/>
          <w:lang w:eastAsia="zh-CN"/>
        </w:rPr>
      </w:pPr>
      <w:r>
        <w:rPr>
          <w:rFonts w:hint="eastAsia" w:ascii="宋体" w:hAnsi="宋体" w:cs="宋体"/>
          <w:color w:val="auto"/>
          <w:sz w:val="24"/>
          <w:szCs w:val="24"/>
          <w:highlight w:val="none"/>
          <w:shd w:val="clear" w:color="auto" w:fill="FFFFFF"/>
        </w:rPr>
        <w:t>　　二、中小企业划分为中型、小型、微型三种类型，具体标准根据企业从业人员、营业收入、资产总额等指标，结合行业特点制定。</w:t>
      </w:r>
    </w:p>
    <w:p>
      <w:pPr>
        <w:rPr>
          <w:rFonts w:hint="eastAsia" w:ascii="宋体" w:hAnsi="宋体" w:cs="宋体" w:eastAsiaTheme="minorEastAsia"/>
          <w:color w:val="auto"/>
          <w:sz w:val="24"/>
          <w:szCs w:val="24"/>
          <w:highlight w:val="none"/>
          <w:shd w:val="clear" w:color="auto" w:fill="FFFFFF"/>
          <w:lang w:eastAsia="zh-CN"/>
        </w:rPr>
      </w:pPr>
      <w:r>
        <w:rPr>
          <w:rFonts w:hint="eastAsia" w:ascii="宋体" w:hAnsi="宋体" w:cs="宋体"/>
          <w:color w:val="auto"/>
          <w:sz w:val="24"/>
          <w:szCs w:val="24"/>
          <w:highlight w:val="none"/>
          <w:shd w:val="clear" w:color="auto" w:fill="FFFFFF"/>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pPr>
        <w:rPr>
          <w:rFonts w:hint="eastAsia" w:ascii="宋体" w:hAnsi="宋体" w:cs="宋体" w:eastAsiaTheme="minorEastAsia"/>
          <w:color w:val="auto"/>
          <w:sz w:val="24"/>
          <w:szCs w:val="24"/>
          <w:highlight w:val="none"/>
          <w:shd w:val="clear" w:color="auto" w:fill="FFFFFF"/>
          <w:lang w:eastAsia="zh-CN"/>
        </w:rPr>
      </w:pPr>
      <w:r>
        <w:rPr>
          <w:rFonts w:hint="eastAsia" w:ascii="宋体" w:hAnsi="宋体" w:cs="宋体"/>
          <w:color w:val="auto"/>
          <w:sz w:val="24"/>
          <w:szCs w:val="24"/>
          <w:highlight w:val="none"/>
          <w:shd w:val="clear" w:color="auto" w:fill="FFFFFF"/>
        </w:rPr>
        <w:t>　　四、各行业划型标准为：</w:t>
      </w:r>
    </w:p>
    <w:p>
      <w:pPr>
        <w:rPr>
          <w:rFonts w:hint="eastAsia" w:ascii="宋体" w:hAnsi="宋体" w:cs="宋体" w:eastAsiaTheme="minorEastAsia"/>
          <w:color w:val="auto"/>
          <w:sz w:val="24"/>
          <w:szCs w:val="24"/>
          <w:highlight w:val="none"/>
          <w:shd w:val="clear" w:color="auto" w:fill="FFFFFF"/>
          <w:lang w:eastAsia="zh-CN"/>
        </w:rPr>
      </w:pPr>
      <w:r>
        <w:rPr>
          <w:rFonts w:hint="eastAsia" w:ascii="宋体" w:hAnsi="宋体" w:cs="宋体"/>
          <w:color w:val="auto"/>
          <w:sz w:val="24"/>
          <w:szCs w:val="24"/>
          <w:highlight w:val="none"/>
          <w:shd w:val="clear" w:color="auto" w:fill="FFFFFF"/>
        </w:rPr>
        <w:t>　　（一）农、林、牧、渔业。营业收入20000万元以下的为中小微型企业。其中，营业收入500万元及以上的为中型企业，营业收入50万元及以上的为小型企业，营业收入50万元以下的为微型企业。</w:t>
      </w:r>
    </w:p>
    <w:p>
      <w:pPr>
        <w:rPr>
          <w:rFonts w:hint="eastAsia" w:ascii="宋体" w:hAnsi="宋体" w:cs="宋体" w:eastAsiaTheme="minorEastAsia"/>
          <w:color w:val="auto"/>
          <w:sz w:val="24"/>
          <w:szCs w:val="24"/>
          <w:highlight w:val="none"/>
          <w:shd w:val="clear" w:color="auto" w:fill="FFFFFF"/>
          <w:lang w:eastAsia="zh-CN"/>
        </w:rPr>
      </w:pPr>
      <w:r>
        <w:rPr>
          <w:rFonts w:hint="eastAsia" w:ascii="宋体" w:hAnsi="宋体" w:cs="宋体"/>
          <w:color w:val="auto"/>
          <w:sz w:val="24"/>
          <w:szCs w:val="24"/>
          <w:highlight w:val="none"/>
          <w:shd w:val="clear" w:color="auto" w:fill="FFFFFF"/>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rPr>
          <w:rFonts w:hint="eastAsia" w:ascii="宋体" w:hAnsi="宋体" w:cs="宋体" w:eastAsiaTheme="minorEastAsia"/>
          <w:color w:val="auto"/>
          <w:sz w:val="24"/>
          <w:szCs w:val="24"/>
          <w:highlight w:val="none"/>
          <w:shd w:val="clear" w:color="auto" w:fill="FFFFFF"/>
          <w:lang w:eastAsia="zh-CN"/>
        </w:rPr>
      </w:pPr>
      <w:r>
        <w:rPr>
          <w:rFonts w:hint="eastAsia" w:ascii="宋体" w:hAnsi="宋体" w:cs="宋体"/>
          <w:color w:val="auto"/>
          <w:sz w:val="24"/>
          <w:szCs w:val="24"/>
          <w:highlight w:val="none"/>
          <w:shd w:val="clear" w:color="auto" w:fill="FFFFFF"/>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rPr>
          <w:rFonts w:hint="eastAsia" w:ascii="宋体" w:hAnsi="宋体" w:cs="宋体" w:eastAsiaTheme="minorEastAsia"/>
          <w:color w:val="auto"/>
          <w:sz w:val="24"/>
          <w:szCs w:val="24"/>
          <w:highlight w:val="none"/>
          <w:shd w:val="clear" w:color="auto" w:fill="FFFFFF"/>
          <w:lang w:eastAsia="zh-CN"/>
        </w:rPr>
      </w:pPr>
      <w:r>
        <w:rPr>
          <w:rFonts w:hint="eastAsia" w:ascii="宋体" w:hAnsi="宋体" w:cs="宋体"/>
          <w:color w:val="auto"/>
          <w:sz w:val="24"/>
          <w:szCs w:val="24"/>
          <w:highlight w:val="none"/>
          <w:shd w:val="clear" w:color="auto" w:fill="FFFFFF"/>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pPr>
        <w:rPr>
          <w:rFonts w:hint="eastAsia" w:ascii="宋体" w:hAnsi="宋体" w:cs="宋体" w:eastAsiaTheme="minorEastAsia"/>
          <w:color w:val="auto"/>
          <w:sz w:val="24"/>
          <w:szCs w:val="24"/>
          <w:highlight w:val="none"/>
          <w:shd w:val="clear" w:color="auto" w:fill="FFFFFF"/>
          <w:lang w:eastAsia="zh-CN"/>
        </w:rPr>
      </w:pPr>
      <w:r>
        <w:rPr>
          <w:rFonts w:hint="eastAsia" w:ascii="宋体" w:hAnsi="宋体" w:cs="宋体"/>
          <w:color w:val="auto"/>
          <w:sz w:val="24"/>
          <w:szCs w:val="24"/>
          <w:highlight w:val="none"/>
          <w:shd w:val="clear" w:color="auto" w:fill="FFFFFF"/>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pPr>
        <w:rPr>
          <w:rFonts w:hint="eastAsia" w:ascii="宋体" w:hAnsi="宋体" w:cs="宋体" w:eastAsiaTheme="minorEastAsia"/>
          <w:color w:val="auto"/>
          <w:sz w:val="24"/>
          <w:szCs w:val="24"/>
          <w:highlight w:val="none"/>
          <w:shd w:val="clear" w:color="auto" w:fill="FFFFFF"/>
          <w:lang w:eastAsia="zh-CN"/>
        </w:rPr>
      </w:pPr>
      <w:r>
        <w:rPr>
          <w:rFonts w:hint="eastAsia" w:ascii="宋体" w:hAnsi="宋体" w:cs="宋体"/>
          <w:color w:val="auto"/>
          <w:sz w:val="24"/>
          <w:szCs w:val="24"/>
          <w:highlight w:val="none"/>
          <w:shd w:val="clear" w:color="auto" w:fill="FFFFFF"/>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pPr>
        <w:rPr>
          <w:rFonts w:hint="eastAsia" w:ascii="宋体" w:hAnsi="宋体" w:cs="宋体" w:eastAsiaTheme="minorEastAsia"/>
          <w:color w:val="auto"/>
          <w:sz w:val="24"/>
          <w:szCs w:val="24"/>
          <w:highlight w:val="none"/>
          <w:shd w:val="clear" w:color="auto" w:fill="FFFFFF"/>
          <w:lang w:eastAsia="zh-CN"/>
        </w:rPr>
      </w:pPr>
      <w:r>
        <w:rPr>
          <w:rFonts w:hint="eastAsia" w:ascii="宋体" w:hAnsi="宋体" w:cs="宋体"/>
          <w:color w:val="auto"/>
          <w:sz w:val="24"/>
          <w:szCs w:val="24"/>
          <w:highlight w:val="none"/>
          <w:shd w:val="clear" w:color="auto" w:fill="FFFFFF"/>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rPr>
          <w:rFonts w:hint="eastAsia" w:ascii="宋体" w:hAnsi="宋体" w:cs="宋体" w:eastAsiaTheme="minorEastAsia"/>
          <w:color w:val="auto"/>
          <w:sz w:val="24"/>
          <w:szCs w:val="24"/>
          <w:highlight w:val="none"/>
          <w:shd w:val="clear" w:color="auto" w:fill="FFFFFF"/>
          <w:lang w:eastAsia="zh-CN"/>
        </w:rPr>
      </w:pPr>
      <w:r>
        <w:rPr>
          <w:rFonts w:hint="eastAsia" w:ascii="宋体" w:hAnsi="宋体" w:cs="宋体"/>
          <w:color w:val="auto"/>
          <w:sz w:val="24"/>
          <w:szCs w:val="24"/>
          <w:highlight w:val="none"/>
          <w:shd w:val="clear" w:color="auto" w:fill="FFFFFF"/>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pPr>
        <w:rPr>
          <w:rFonts w:hint="eastAsia" w:ascii="宋体" w:hAnsi="宋体" w:cs="宋体" w:eastAsiaTheme="minorEastAsia"/>
          <w:color w:val="auto"/>
          <w:sz w:val="24"/>
          <w:szCs w:val="24"/>
          <w:highlight w:val="none"/>
          <w:shd w:val="clear" w:color="auto" w:fill="FFFFFF"/>
          <w:lang w:eastAsia="zh-CN"/>
        </w:rPr>
      </w:pPr>
      <w:r>
        <w:rPr>
          <w:rFonts w:hint="eastAsia" w:ascii="宋体" w:hAnsi="宋体" w:cs="宋体"/>
          <w:color w:val="auto"/>
          <w:sz w:val="24"/>
          <w:szCs w:val="24"/>
          <w:highlight w:val="none"/>
          <w:shd w:val="clear" w:color="auto" w:fill="FFFFFF"/>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rPr>
          <w:rFonts w:hint="eastAsia" w:ascii="宋体" w:hAnsi="宋体" w:cs="宋体" w:eastAsiaTheme="minorEastAsia"/>
          <w:color w:val="auto"/>
          <w:sz w:val="24"/>
          <w:szCs w:val="24"/>
          <w:highlight w:val="none"/>
          <w:shd w:val="clear" w:color="auto" w:fill="FFFFFF"/>
          <w:lang w:eastAsia="zh-CN"/>
        </w:rPr>
      </w:pPr>
      <w:r>
        <w:rPr>
          <w:rFonts w:hint="eastAsia" w:ascii="宋体" w:hAnsi="宋体" w:cs="宋体"/>
          <w:color w:val="auto"/>
          <w:sz w:val="24"/>
          <w:szCs w:val="24"/>
          <w:highlight w:val="none"/>
          <w:shd w:val="clear" w:color="auto" w:fill="FFFFFF"/>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rPr>
          <w:rFonts w:hint="eastAsia" w:ascii="宋体" w:hAnsi="宋体" w:cs="宋体" w:eastAsiaTheme="minorEastAsia"/>
          <w:color w:val="auto"/>
          <w:sz w:val="24"/>
          <w:szCs w:val="24"/>
          <w:highlight w:val="none"/>
          <w:shd w:val="clear" w:color="auto" w:fill="FFFFFF"/>
          <w:lang w:eastAsia="zh-CN"/>
        </w:rPr>
      </w:pPr>
      <w:r>
        <w:rPr>
          <w:rFonts w:hint="eastAsia" w:ascii="宋体" w:hAnsi="宋体" w:cs="宋体"/>
          <w:color w:val="auto"/>
          <w:sz w:val="24"/>
          <w:szCs w:val="24"/>
          <w:highlight w:val="none"/>
          <w:shd w:val="clear" w:color="auto" w:fill="FFFFFF"/>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pPr>
        <w:rPr>
          <w:rFonts w:hint="eastAsia" w:ascii="宋体" w:hAnsi="宋体" w:cs="宋体" w:eastAsiaTheme="minorEastAsia"/>
          <w:color w:val="auto"/>
          <w:sz w:val="24"/>
          <w:szCs w:val="24"/>
          <w:highlight w:val="none"/>
          <w:shd w:val="clear" w:color="auto" w:fill="FFFFFF"/>
          <w:lang w:eastAsia="zh-CN"/>
        </w:rPr>
      </w:pPr>
      <w:r>
        <w:rPr>
          <w:rFonts w:hint="eastAsia" w:ascii="宋体" w:hAnsi="宋体" w:cs="宋体"/>
          <w:color w:val="auto"/>
          <w:sz w:val="24"/>
          <w:szCs w:val="24"/>
          <w:highlight w:val="none"/>
          <w:shd w:val="clear" w:color="auto" w:fill="FFFFFF"/>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rPr>
          <w:rFonts w:hint="eastAsia" w:ascii="宋体" w:hAnsi="宋体" w:cs="宋体" w:eastAsiaTheme="minorEastAsia"/>
          <w:color w:val="auto"/>
          <w:sz w:val="24"/>
          <w:szCs w:val="24"/>
          <w:highlight w:val="none"/>
          <w:shd w:val="clear" w:color="auto" w:fill="FFFFFF"/>
          <w:lang w:eastAsia="zh-CN"/>
        </w:rPr>
      </w:pPr>
      <w:r>
        <w:rPr>
          <w:rFonts w:hint="eastAsia" w:ascii="宋体" w:hAnsi="宋体" w:cs="宋体"/>
          <w:color w:val="auto"/>
          <w:sz w:val="24"/>
          <w:szCs w:val="24"/>
          <w:highlight w:val="none"/>
          <w:shd w:val="clear" w:color="auto" w:fill="FFFFFF"/>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pPr>
        <w:rPr>
          <w:rFonts w:hint="eastAsia" w:ascii="宋体" w:hAnsi="宋体" w:cs="宋体" w:eastAsiaTheme="minorEastAsia"/>
          <w:color w:val="auto"/>
          <w:sz w:val="24"/>
          <w:szCs w:val="24"/>
          <w:highlight w:val="none"/>
          <w:shd w:val="clear" w:color="auto" w:fill="FFFFFF"/>
          <w:lang w:eastAsia="zh-CN"/>
        </w:rPr>
      </w:pPr>
      <w:r>
        <w:rPr>
          <w:rFonts w:hint="eastAsia" w:ascii="宋体" w:hAnsi="宋体" w:cs="宋体"/>
          <w:color w:val="auto"/>
          <w:sz w:val="24"/>
          <w:szCs w:val="24"/>
          <w:highlight w:val="none"/>
          <w:shd w:val="clear" w:color="auto" w:fill="FFFFFF"/>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rPr>
          <w:rFonts w:hint="eastAsia" w:ascii="宋体" w:hAnsi="宋体" w:cs="宋体" w:eastAsiaTheme="minorEastAsia"/>
          <w:color w:val="auto"/>
          <w:sz w:val="24"/>
          <w:szCs w:val="24"/>
          <w:highlight w:val="none"/>
          <w:shd w:val="clear" w:color="auto" w:fill="FFFFFF"/>
          <w:lang w:eastAsia="zh-CN"/>
        </w:rPr>
      </w:pPr>
      <w:r>
        <w:rPr>
          <w:rFonts w:hint="eastAsia" w:ascii="宋体" w:hAnsi="宋体" w:cs="宋体"/>
          <w:color w:val="auto"/>
          <w:sz w:val="24"/>
          <w:szCs w:val="24"/>
          <w:highlight w:val="none"/>
          <w:shd w:val="clear" w:color="auto" w:fill="FFFFFF"/>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rPr>
          <w:rFonts w:hint="eastAsia" w:ascii="宋体" w:hAnsi="宋体" w:cs="宋体" w:eastAsiaTheme="minorEastAsia"/>
          <w:color w:val="auto"/>
          <w:sz w:val="24"/>
          <w:szCs w:val="24"/>
          <w:highlight w:val="none"/>
          <w:shd w:val="clear" w:color="auto" w:fill="FFFFFF"/>
          <w:lang w:eastAsia="zh-CN"/>
        </w:rPr>
      </w:pPr>
      <w:r>
        <w:rPr>
          <w:rFonts w:hint="eastAsia" w:ascii="宋体" w:hAnsi="宋体" w:cs="宋体"/>
          <w:color w:val="auto"/>
          <w:sz w:val="24"/>
          <w:szCs w:val="24"/>
          <w:highlight w:val="none"/>
          <w:shd w:val="clear" w:color="auto" w:fill="FFFFFF"/>
        </w:rPr>
        <w:t>　　（十六）其他未列明行业。从业人员300人以下的为中小微型企业。其中，从业人员100人及以上的为中型企业；从业人员10人及以上的为小型企业；从业人员10人以下的为微型企业。</w:t>
      </w:r>
    </w:p>
    <w:p>
      <w:pPr>
        <w:rPr>
          <w:rFonts w:hint="eastAsia" w:ascii="宋体" w:hAnsi="宋体" w:cs="宋体" w:eastAsiaTheme="minorEastAsia"/>
          <w:color w:val="auto"/>
          <w:sz w:val="24"/>
          <w:szCs w:val="24"/>
          <w:highlight w:val="none"/>
          <w:shd w:val="clear" w:color="auto" w:fill="FFFFFF"/>
          <w:lang w:eastAsia="zh-CN"/>
        </w:rPr>
      </w:pPr>
      <w:r>
        <w:rPr>
          <w:rFonts w:hint="eastAsia" w:ascii="宋体" w:hAnsi="宋体" w:cs="宋体"/>
          <w:color w:val="auto"/>
          <w:sz w:val="24"/>
          <w:szCs w:val="24"/>
          <w:highlight w:val="none"/>
          <w:shd w:val="clear" w:color="auto" w:fill="FFFFFF"/>
        </w:rPr>
        <w:t>　　五、企业类型的划分以统计部门的统计数据为依据。</w:t>
      </w:r>
    </w:p>
    <w:p>
      <w:pPr>
        <w:rPr>
          <w:rFonts w:hint="eastAsia" w:ascii="宋体" w:hAnsi="宋体" w:cs="宋体" w:eastAsiaTheme="minorEastAsia"/>
          <w:color w:val="auto"/>
          <w:sz w:val="24"/>
          <w:szCs w:val="24"/>
          <w:highlight w:val="none"/>
          <w:shd w:val="clear" w:color="auto" w:fill="FFFFFF"/>
          <w:lang w:eastAsia="zh-CN"/>
        </w:rPr>
      </w:pPr>
      <w:r>
        <w:rPr>
          <w:rFonts w:hint="eastAsia" w:ascii="宋体" w:hAnsi="宋体" w:cs="宋体"/>
          <w:color w:val="auto"/>
          <w:sz w:val="24"/>
          <w:szCs w:val="24"/>
          <w:highlight w:val="none"/>
          <w:shd w:val="clear" w:color="auto" w:fill="FFFFFF"/>
        </w:rPr>
        <w:t>　　六、本规定适用于在中华人民共和国境内依法设立的各类所有制和各种组织形式的企业。个体工商户和本规定以外的行业，参照本规定进行划型。</w:t>
      </w:r>
    </w:p>
    <w:p>
      <w:pPr>
        <w:rPr>
          <w:rFonts w:hint="eastAsia" w:ascii="宋体" w:hAnsi="宋体" w:cs="宋体" w:eastAsiaTheme="minorEastAsia"/>
          <w:color w:val="auto"/>
          <w:sz w:val="24"/>
          <w:szCs w:val="24"/>
          <w:highlight w:val="none"/>
          <w:shd w:val="clear" w:color="auto" w:fill="FFFFFF"/>
          <w:lang w:eastAsia="zh-CN"/>
        </w:rPr>
      </w:pPr>
      <w:r>
        <w:rPr>
          <w:rFonts w:hint="eastAsia" w:ascii="宋体" w:hAnsi="宋体" w:cs="宋体"/>
          <w:color w:val="auto"/>
          <w:sz w:val="24"/>
          <w:szCs w:val="24"/>
          <w:highlight w:val="none"/>
          <w:shd w:val="clear" w:color="auto" w:fill="FFFFFF"/>
        </w:rPr>
        <w:t>　　七、本规定的中型企业标准上限即为大型企业标准的下限，国家统计部门据此制定大中小微型企业的统计分类。国务院有关部门据此进行相关数据分析，不得制定与本规定不一致的企业划型标准。</w:t>
      </w:r>
    </w:p>
    <w:p>
      <w:pPr>
        <w:rPr>
          <w:rFonts w:hint="eastAsia" w:ascii="宋体" w:hAnsi="宋体" w:cs="宋体" w:eastAsiaTheme="minorEastAsia"/>
          <w:color w:val="auto"/>
          <w:sz w:val="24"/>
          <w:szCs w:val="24"/>
          <w:highlight w:val="none"/>
          <w:shd w:val="clear" w:color="auto" w:fill="FFFFFF"/>
          <w:lang w:eastAsia="zh-CN"/>
        </w:rPr>
      </w:pPr>
      <w:r>
        <w:rPr>
          <w:rFonts w:hint="eastAsia" w:ascii="宋体" w:hAnsi="宋体" w:cs="宋体"/>
          <w:color w:val="auto"/>
          <w:sz w:val="24"/>
          <w:szCs w:val="24"/>
          <w:highlight w:val="none"/>
          <w:shd w:val="clear" w:color="auto" w:fill="FFFFFF"/>
        </w:rPr>
        <w:t>　　八、本规定由工业和信息化部、国家统计局会同有关部门根据《国民经济行业分类》修订情况和企业发展变化情况适时修订。</w:t>
      </w:r>
    </w:p>
    <w:p>
      <w:pPr>
        <w:rPr>
          <w:rFonts w:hint="eastAsia" w:ascii="宋体" w:hAnsi="宋体" w:cs="宋体" w:eastAsiaTheme="minorEastAsia"/>
          <w:color w:val="auto"/>
          <w:sz w:val="24"/>
          <w:szCs w:val="24"/>
          <w:highlight w:val="none"/>
          <w:shd w:val="clear" w:color="auto" w:fill="FFFFFF"/>
          <w:lang w:eastAsia="zh-CN"/>
        </w:rPr>
      </w:pPr>
      <w:r>
        <w:rPr>
          <w:rFonts w:hint="eastAsia" w:ascii="宋体" w:hAnsi="宋体" w:cs="宋体"/>
          <w:color w:val="auto"/>
          <w:sz w:val="24"/>
          <w:szCs w:val="24"/>
          <w:highlight w:val="none"/>
          <w:shd w:val="clear" w:color="auto" w:fill="FFFFFF"/>
        </w:rPr>
        <w:t>　　九、本规定由工业和信息化部、国家统计局会同有关部门负责解释。</w:t>
      </w:r>
    </w:p>
    <w:p>
      <w:pPr>
        <w:rPr>
          <w:color w:val="auto"/>
          <w:highlight w:val="none"/>
        </w:rPr>
        <w:sectPr>
          <w:pgSz w:w="11906" w:h="16838"/>
          <w:pgMar w:top="1440" w:right="1803" w:bottom="1440" w:left="1803" w:header="851" w:footer="992" w:gutter="0"/>
          <w:pgNumType w:fmt="decimal"/>
          <w:cols w:space="720" w:num="1"/>
          <w:docGrid w:type="lines" w:linePitch="319" w:charSpace="0"/>
        </w:sectPr>
      </w:pPr>
      <w:r>
        <w:rPr>
          <w:rFonts w:hint="eastAsia" w:ascii="宋体" w:hAnsi="宋体" w:cs="宋体"/>
          <w:color w:val="auto"/>
          <w:sz w:val="24"/>
          <w:szCs w:val="24"/>
          <w:highlight w:val="none"/>
          <w:shd w:val="clear" w:color="auto" w:fill="FFFFFF"/>
        </w:rPr>
        <w:t>　　十、本规定自发布之日起执行，原国家经贸委、原国家计委、财政部和国家统计局2003年颁布的《中小企业标准暂行规定》同时废止。</w:t>
      </w:r>
    </w:p>
    <w:p>
      <w:pPr>
        <w:pStyle w:val="4"/>
        <w:keepNext/>
        <w:keepLines/>
        <w:pageBreakBefore w:val="0"/>
        <w:widowControl w:val="0"/>
        <w:kinsoku/>
        <w:wordWrap/>
        <w:overflowPunct/>
        <w:topLinePunct w:val="0"/>
        <w:autoSpaceDE/>
        <w:autoSpaceDN/>
        <w:bidi w:val="0"/>
        <w:adjustRightInd/>
        <w:snapToGrid/>
        <w:spacing w:line="413" w:lineRule="auto"/>
        <w:textAlignment w:val="auto"/>
        <w:outlineLvl w:val="1"/>
        <w:rPr>
          <w:rFonts w:ascii="宋体" w:hAnsi="宋体" w:cs="宋体"/>
        </w:rPr>
      </w:pPr>
      <w:bookmarkStart w:id="114" w:name="_Toc21987"/>
      <w:r>
        <w:rPr>
          <w:rFonts w:hint="eastAsia" w:ascii="宋体" w:hAnsi="宋体" w:cs="宋体"/>
        </w:rPr>
        <w:t>附件三、残疾人福利性单位声明</w:t>
      </w:r>
      <w:bookmarkEnd w:id="113"/>
      <w:bookmarkEnd w:id="114"/>
    </w:p>
    <w:p>
      <w:pPr>
        <w:spacing w:line="588" w:lineRule="exact"/>
        <w:ind w:firstLine="504" w:firstLineChars="200"/>
        <w:rPr>
          <w:rFonts w:ascii="宋体" w:hAnsi="宋体" w:cs="宋体"/>
          <w:spacing w:val="6"/>
          <w:sz w:val="24"/>
        </w:rPr>
      </w:pPr>
      <w:r>
        <w:rPr>
          <w:rFonts w:hint="eastAsia" w:ascii="宋体" w:hAnsi="宋体" w:cs="宋体"/>
          <w:spacing w:val="6"/>
          <w:sz w:val="24"/>
        </w:rPr>
        <w:t>根据《三部门联合发布关于促进残疾人就业政府采购政策的通知》（财库〔2017〕141号）的规定，由供应商自行申明，并对申明真实性负责。如有虚假，将依法承担相应责任。</w:t>
      </w:r>
    </w:p>
    <w:p>
      <w:pPr>
        <w:rPr>
          <w:rFonts w:ascii="宋体" w:hAnsi="宋体" w:cs="宋体"/>
        </w:rPr>
      </w:pPr>
    </w:p>
    <w:p>
      <w:pPr>
        <w:pStyle w:val="4"/>
        <w:keepNext/>
        <w:keepLines/>
        <w:pageBreakBefore w:val="0"/>
        <w:widowControl w:val="0"/>
        <w:kinsoku/>
        <w:wordWrap/>
        <w:overflowPunct/>
        <w:topLinePunct w:val="0"/>
        <w:autoSpaceDE/>
        <w:autoSpaceDN/>
        <w:bidi w:val="0"/>
        <w:adjustRightInd/>
        <w:snapToGrid/>
        <w:spacing w:line="413" w:lineRule="auto"/>
        <w:textAlignment w:val="auto"/>
        <w:outlineLvl w:val="1"/>
        <w:rPr>
          <w:rFonts w:ascii="宋体" w:hAnsi="宋体" w:cs="宋体"/>
        </w:rPr>
      </w:pPr>
      <w:bookmarkStart w:id="115" w:name="_Toc3053"/>
      <w:bookmarkStart w:id="116" w:name="_Toc1674"/>
      <w:bookmarkStart w:id="117" w:name="_Toc2723"/>
      <w:bookmarkStart w:id="118" w:name="_Toc26509"/>
      <w:bookmarkStart w:id="119" w:name="_Toc25235"/>
      <w:r>
        <w:rPr>
          <w:rFonts w:hint="eastAsia" w:ascii="宋体" w:hAnsi="宋体" w:cs="宋体"/>
        </w:rPr>
        <w:t>附件四、监狱企业证明文件</w:t>
      </w:r>
      <w:bookmarkEnd w:id="115"/>
      <w:bookmarkEnd w:id="116"/>
      <w:bookmarkEnd w:id="117"/>
      <w:bookmarkEnd w:id="118"/>
      <w:bookmarkEnd w:id="119"/>
    </w:p>
    <w:p>
      <w:pPr>
        <w:rPr>
          <w:rFonts w:ascii="宋体" w:hAnsi="宋体" w:cs="宋体"/>
        </w:rPr>
      </w:pPr>
    </w:p>
    <w:p>
      <w:pPr>
        <w:snapToGrid w:val="0"/>
        <w:spacing w:line="360" w:lineRule="auto"/>
        <w:ind w:firstLine="504" w:firstLineChars="200"/>
        <w:jc w:val="left"/>
        <w:rPr>
          <w:rFonts w:ascii="宋体" w:hAnsi="宋体" w:cs="宋体"/>
          <w:b/>
          <w:bCs/>
          <w:spacing w:val="48"/>
          <w:sz w:val="72"/>
          <w:szCs w:val="72"/>
        </w:rPr>
      </w:pPr>
      <w:r>
        <w:rPr>
          <w:rFonts w:hint="eastAsia" w:ascii="宋体" w:hAnsi="宋体" w:cs="宋体"/>
          <w:spacing w:val="6"/>
          <w:sz w:val="24"/>
          <w:szCs w:val="24"/>
        </w:rPr>
        <w:t>说明：根据</w:t>
      </w:r>
      <w:r>
        <w:rPr>
          <w:rFonts w:hint="eastAsia" w:ascii="宋体" w:hAnsi="宋体" w:cs="宋体"/>
          <w:sz w:val="24"/>
          <w:szCs w:val="24"/>
        </w:rPr>
        <w:t>《关于政府采购支持监狱企业发展有关问题的通知》（财库〔2014〕68号）的规定，监狱企业参加政府采购活动时，应当提供由省级以上监狱管理局、戒毒管理局（含新疆生产建设兵团）出具的属于监狱企业的证明文件。</w:t>
      </w:r>
    </w:p>
    <w:p>
      <w:pPr>
        <w:pStyle w:val="4"/>
        <w:keepNext/>
        <w:keepLines/>
        <w:pageBreakBefore w:val="0"/>
        <w:widowControl w:val="0"/>
        <w:kinsoku/>
        <w:wordWrap/>
        <w:overflowPunct/>
        <w:topLinePunct w:val="0"/>
        <w:autoSpaceDE/>
        <w:autoSpaceDN/>
        <w:bidi w:val="0"/>
        <w:adjustRightInd w:val="0"/>
        <w:snapToGrid/>
        <w:spacing w:line="416" w:lineRule="atLeast"/>
        <w:textAlignment w:val="baseline"/>
        <w:outlineLvl w:val="1"/>
        <w:rPr>
          <w:rFonts w:ascii="宋体" w:hAnsi="宋体" w:cs="宋体"/>
        </w:rPr>
      </w:pPr>
      <w:bookmarkStart w:id="120" w:name="_Toc2126"/>
      <w:bookmarkStart w:id="121" w:name="_Toc11969"/>
      <w:bookmarkStart w:id="122" w:name="_Toc13122"/>
      <w:bookmarkStart w:id="123" w:name="_Toc3267"/>
      <w:bookmarkStart w:id="124" w:name="_Toc25479"/>
      <w:bookmarkStart w:id="125" w:name="_Toc563"/>
      <w:bookmarkStart w:id="126" w:name="_Toc18334"/>
      <w:bookmarkStart w:id="127" w:name="_Toc19198"/>
      <w:r>
        <w:rPr>
          <w:rFonts w:hint="eastAsia" w:ascii="宋体" w:hAnsi="宋体" w:cs="宋体"/>
        </w:rPr>
        <w:t>附件五、“节能产品”，“环境标志产品”证明材料</w:t>
      </w:r>
      <w:bookmarkEnd w:id="120"/>
      <w:bookmarkEnd w:id="121"/>
      <w:bookmarkEnd w:id="122"/>
      <w:bookmarkEnd w:id="123"/>
      <w:bookmarkEnd w:id="124"/>
      <w:bookmarkEnd w:id="125"/>
      <w:bookmarkEnd w:id="126"/>
      <w:bookmarkEnd w:id="127"/>
    </w:p>
    <w:p>
      <w:pPr>
        <w:widowControl/>
        <w:spacing w:line="360" w:lineRule="auto"/>
        <w:ind w:firstLine="504" w:firstLineChars="200"/>
        <w:rPr>
          <w:rFonts w:ascii="宋体" w:hAnsi="宋体" w:cs="宋体"/>
          <w:spacing w:val="6"/>
          <w:sz w:val="24"/>
          <w:szCs w:val="24"/>
        </w:rPr>
      </w:pPr>
      <w:r>
        <w:rPr>
          <w:rFonts w:hint="eastAsia" w:ascii="宋体" w:hAnsi="宋体" w:cs="宋体"/>
          <w:spacing w:val="6"/>
          <w:sz w:val="24"/>
          <w:szCs w:val="24"/>
        </w:rPr>
        <w:t xml:space="preserve"> 1、供应商提供的产品属于“节能产品”，“环境标志产品”，应提供产品列入“节能产品”，“环境标志产品”相应产品的国家确定的认证机构出具的、处于有效期内的节能产品、环境标志产品认证证书。</w:t>
      </w:r>
    </w:p>
    <w:p>
      <w:pPr>
        <w:widowControl/>
        <w:spacing w:line="360" w:lineRule="auto"/>
        <w:ind w:left="420" w:leftChars="200"/>
        <w:rPr>
          <w:rFonts w:ascii="宋体" w:hAnsi="宋体" w:cs="宋体"/>
          <w:sz w:val="24"/>
          <w:szCs w:val="24"/>
        </w:rPr>
      </w:pPr>
      <w:r>
        <w:rPr>
          <w:rFonts w:hint="eastAsia" w:ascii="宋体" w:hAnsi="宋体" w:cs="宋体"/>
          <w:sz w:val="24"/>
          <w:szCs w:val="24"/>
        </w:rPr>
        <w:t>2、未按照上述要求提供的，评审时不予以考虑。</w:t>
      </w:r>
    </w:p>
    <w:p>
      <w:pPr>
        <w:snapToGrid w:val="0"/>
        <w:spacing w:line="360" w:lineRule="auto"/>
        <w:ind w:firstLine="480" w:firstLineChars="200"/>
        <w:rPr>
          <w:rFonts w:ascii="宋体" w:hAnsi="宋体" w:cs="宋体"/>
          <w:sz w:val="24"/>
          <w:szCs w:val="24"/>
        </w:rPr>
      </w:pPr>
    </w:p>
    <w:p>
      <w:pPr>
        <w:spacing w:line="588" w:lineRule="exact"/>
        <w:ind w:firstLine="504" w:firstLineChars="200"/>
        <w:rPr>
          <w:rFonts w:ascii="宋体" w:hAnsi="宋体" w:cs="宋体"/>
          <w:spacing w:val="6"/>
          <w:sz w:val="24"/>
          <w:szCs w:val="24"/>
        </w:rPr>
      </w:pPr>
    </w:p>
    <w:p>
      <w:pPr>
        <w:pStyle w:val="4"/>
        <w:adjustRightInd w:val="0"/>
        <w:spacing w:line="416" w:lineRule="atLeast"/>
        <w:textAlignment w:val="baseline"/>
        <w:rPr>
          <w:rFonts w:ascii="宋体" w:hAnsi="宋体" w:cs="宋体"/>
        </w:rPr>
        <w:sectPr>
          <w:footerReference r:id="rId16" w:type="default"/>
          <w:pgSz w:w="11906" w:h="16838"/>
          <w:pgMar w:top="1440" w:right="1803" w:bottom="1440" w:left="1803" w:header="851" w:footer="992" w:gutter="0"/>
          <w:pgNumType w:fmt="decimal"/>
          <w:cols w:space="720" w:num="1"/>
          <w:docGrid w:type="lines" w:linePitch="319" w:charSpace="0"/>
        </w:sectPr>
      </w:pPr>
    </w:p>
    <w:p>
      <w:pPr>
        <w:pStyle w:val="4"/>
        <w:rPr>
          <w:rFonts w:ascii="宋体" w:hAnsi="宋体" w:cs="宋体"/>
        </w:rPr>
      </w:pPr>
      <w:bookmarkStart w:id="128" w:name="_Toc2461"/>
      <w:bookmarkStart w:id="129" w:name="_Toc26351"/>
      <w:bookmarkStart w:id="130" w:name="_Toc24855"/>
      <w:bookmarkStart w:id="131" w:name="_Toc23799"/>
      <w:bookmarkStart w:id="132" w:name="_Toc4414"/>
      <w:bookmarkStart w:id="133" w:name="_Toc25142"/>
      <w:r>
        <w:rPr>
          <w:rFonts w:hint="eastAsia" w:ascii="宋体" w:hAnsi="宋体" w:cs="宋体"/>
        </w:rPr>
        <w:t>附件六、质疑函范本</w:t>
      </w:r>
      <w:bookmarkEnd w:id="128"/>
      <w:bookmarkEnd w:id="129"/>
      <w:bookmarkEnd w:id="130"/>
      <w:bookmarkEnd w:id="131"/>
      <w:bookmarkEnd w:id="132"/>
      <w:bookmarkEnd w:id="133"/>
    </w:p>
    <w:p>
      <w:pPr>
        <w:widowControl/>
        <w:spacing w:line="360" w:lineRule="auto"/>
        <w:ind w:left="420" w:leftChars="200"/>
        <w:rPr>
          <w:rFonts w:ascii="宋体" w:hAnsi="宋体" w:cs="宋体"/>
          <w:sz w:val="24"/>
          <w:szCs w:val="24"/>
        </w:rPr>
      </w:pPr>
      <w:r>
        <w:rPr>
          <w:rFonts w:hint="eastAsia" w:ascii="宋体" w:hAnsi="宋体" w:cs="宋体"/>
          <w:sz w:val="24"/>
          <w:szCs w:val="24"/>
        </w:rPr>
        <w:t>一、质疑供应商基本信息</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质疑供应商：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地址：                          邮编：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联系人：                      联系电话：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授权代表：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联系电话：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地址：                         邮编：                                                </w:t>
      </w:r>
    </w:p>
    <w:p>
      <w:pPr>
        <w:widowControl/>
        <w:spacing w:line="360" w:lineRule="auto"/>
        <w:ind w:left="420" w:leftChars="200"/>
        <w:rPr>
          <w:rFonts w:ascii="宋体" w:hAnsi="宋体" w:cs="宋体"/>
          <w:sz w:val="24"/>
          <w:szCs w:val="24"/>
        </w:rPr>
      </w:pPr>
      <w:r>
        <w:rPr>
          <w:rFonts w:hint="eastAsia" w:ascii="宋体" w:hAnsi="宋体" w:cs="宋体"/>
          <w:sz w:val="24"/>
          <w:szCs w:val="24"/>
        </w:rPr>
        <w:t>二、质疑项目基本情况</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质疑项目的名称：            包号：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质疑项目的编号：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采购人名称：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采购文件获取日期：                                           </w:t>
      </w:r>
    </w:p>
    <w:p>
      <w:pPr>
        <w:widowControl/>
        <w:spacing w:line="360" w:lineRule="auto"/>
        <w:ind w:left="420" w:leftChars="200"/>
        <w:rPr>
          <w:rFonts w:ascii="宋体" w:hAnsi="宋体" w:cs="宋体"/>
          <w:sz w:val="24"/>
          <w:szCs w:val="24"/>
        </w:rPr>
      </w:pPr>
      <w:r>
        <w:rPr>
          <w:rFonts w:hint="eastAsia" w:ascii="宋体" w:hAnsi="宋体" w:cs="宋体"/>
          <w:sz w:val="24"/>
          <w:szCs w:val="24"/>
        </w:rPr>
        <w:t>三、质疑事项具体内容</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质疑事项1：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事实依据：                                          </w:t>
      </w:r>
    </w:p>
    <w:p>
      <w:pPr>
        <w:widowControl/>
        <w:spacing w:line="360" w:lineRule="auto"/>
        <w:ind w:left="420" w:leftChars="200"/>
        <w:rPr>
          <w:rFonts w:ascii="宋体" w:hAnsi="宋体" w:cs="宋体"/>
          <w:sz w:val="24"/>
          <w:szCs w:val="24"/>
        </w:rPr>
      </w:pP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法律依据：                                          </w:t>
      </w:r>
    </w:p>
    <w:p>
      <w:pPr>
        <w:widowControl/>
        <w:spacing w:line="360" w:lineRule="auto"/>
        <w:ind w:left="420" w:leftChars="200"/>
        <w:rPr>
          <w:rFonts w:ascii="宋体" w:hAnsi="宋体" w:cs="宋体"/>
          <w:sz w:val="24"/>
          <w:szCs w:val="24"/>
        </w:rPr>
      </w:pPr>
    </w:p>
    <w:p>
      <w:pPr>
        <w:widowControl/>
        <w:spacing w:line="360" w:lineRule="auto"/>
        <w:ind w:left="420" w:leftChars="200"/>
        <w:rPr>
          <w:rFonts w:ascii="宋体" w:hAnsi="宋体" w:cs="宋体"/>
          <w:sz w:val="24"/>
          <w:szCs w:val="24"/>
        </w:rPr>
      </w:pPr>
      <w:r>
        <w:rPr>
          <w:rFonts w:hint="eastAsia" w:ascii="宋体" w:hAnsi="宋体" w:cs="宋体"/>
          <w:sz w:val="24"/>
          <w:szCs w:val="24"/>
        </w:rPr>
        <w:t>质疑事项2</w:t>
      </w:r>
    </w:p>
    <w:p>
      <w:pPr>
        <w:widowControl/>
        <w:spacing w:line="360" w:lineRule="auto"/>
        <w:ind w:left="420" w:leftChars="200"/>
        <w:rPr>
          <w:rFonts w:ascii="宋体" w:hAnsi="宋体" w:cs="宋体"/>
          <w:sz w:val="24"/>
          <w:szCs w:val="24"/>
        </w:rPr>
      </w:pPr>
      <w:r>
        <w:rPr>
          <w:rFonts w:hint="eastAsia" w:ascii="宋体" w:hAnsi="宋体" w:cs="宋体"/>
          <w:sz w:val="24"/>
          <w:szCs w:val="24"/>
        </w:rPr>
        <w:t>……</w:t>
      </w:r>
    </w:p>
    <w:p>
      <w:pPr>
        <w:widowControl/>
        <w:spacing w:line="360" w:lineRule="auto"/>
        <w:ind w:left="420" w:leftChars="200"/>
        <w:rPr>
          <w:rFonts w:ascii="宋体" w:hAnsi="宋体" w:cs="宋体"/>
          <w:sz w:val="24"/>
          <w:szCs w:val="24"/>
        </w:rPr>
      </w:pPr>
      <w:r>
        <w:rPr>
          <w:rFonts w:hint="eastAsia" w:ascii="宋体" w:hAnsi="宋体" w:cs="宋体"/>
          <w:sz w:val="24"/>
          <w:szCs w:val="24"/>
        </w:rPr>
        <w:t>四、与质疑事项相关的质疑请求</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请求：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签字(签章)：                   公章：                      </w:t>
      </w:r>
    </w:p>
    <w:p>
      <w:pPr>
        <w:widowControl/>
        <w:spacing w:line="360" w:lineRule="auto"/>
        <w:ind w:left="420" w:leftChars="200"/>
        <w:rPr>
          <w:rFonts w:ascii="宋体" w:hAnsi="宋体" w:cs="宋体"/>
        </w:rPr>
      </w:pPr>
      <w:r>
        <w:rPr>
          <w:rFonts w:hint="eastAsia" w:ascii="宋体" w:hAnsi="宋体" w:cs="宋体"/>
          <w:sz w:val="24"/>
          <w:szCs w:val="24"/>
        </w:rPr>
        <w:t xml:space="preserve">日期：    </w:t>
      </w:r>
    </w:p>
    <w:p>
      <w:pPr>
        <w:widowControl/>
        <w:spacing w:line="360" w:lineRule="auto"/>
        <w:rPr>
          <w:rFonts w:ascii="宋体" w:hAnsi="宋体" w:cs="宋体"/>
          <w:sz w:val="24"/>
          <w:szCs w:val="24"/>
        </w:rPr>
        <w:sectPr>
          <w:pgSz w:w="11906" w:h="16838"/>
          <w:pgMar w:top="1440" w:right="1803" w:bottom="1440" w:left="1803" w:header="851" w:footer="992" w:gutter="0"/>
          <w:pgNumType w:fmt="decimal"/>
          <w:cols w:space="720" w:num="1"/>
          <w:docGrid w:type="lines" w:linePitch="319" w:charSpace="0"/>
        </w:sectPr>
      </w:pPr>
    </w:p>
    <w:p>
      <w:pPr>
        <w:widowControl/>
        <w:spacing w:line="360" w:lineRule="auto"/>
        <w:ind w:left="420" w:leftChars="200"/>
        <w:rPr>
          <w:rFonts w:ascii="宋体" w:hAnsi="宋体" w:cs="宋体"/>
          <w:sz w:val="24"/>
          <w:szCs w:val="24"/>
        </w:rPr>
      </w:pPr>
      <w:r>
        <w:rPr>
          <w:rFonts w:hint="eastAsia" w:ascii="宋体" w:hAnsi="宋体" w:cs="宋体"/>
          <w:sz w:val="24"/>
          <w:szCs w:val="24"/>
        </w:rPr>
        <w:t>质疑函制作说明：</w:t>
      </w:r>
    </w:p>
    <w:p>
      <w:pPr>
        <w:widowControl/>
        <w:spacing w:line="360" w:lineRule="auto"/>
        <w:ind w:left="420" w:leftChars="200"/>
        <w:rPr>
          <w:rFonts w:ascii="宋体" w:hAnsi="宋体" w:cs="宋体"/>
          <w:sz w:val="24"/>
          <w:szCs w:val="24"/>
        </w:rPr>
      </w:pPr>
      <w:r>
        <w:rPr>
          <w:rFonts w:hint="eastAsia" w:ascii="宋体" w:hAnsi="宋体" w:cs="宋体"/>
          <w:sz w:val="24"/>
          <w:szCs w:val="24"/>
        </w:rPr>
        <w:t>1.供应商提出质疑时，应提交质疑函和必要的证明材料。</w:t>
      </w:r>
    </w:p>
    <w:p>
      <w:pPr>
        <w:widowControl/>
        <w:spacing w:line="360" w:lineRule="auto"/>
        <w:ind w:left="420" w:leftChars="200"/>
        <w:rPr>
          <w:rFonts w:ascii="宋体" w:hAnsi="宋体" w:cs="宋体"/>
          <w:sz w:val="24"/>
          <w:szCs w:val="24"/>
        </w:rPr>
      </w:pPr>
      <w:r>
        <w:rPr>
          <w:rFonts w:hint="eastAsia" w:ascii="宋体" w:hAnsi="宋体" w:cs="宋体"/>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widowControl/>
        <w:spacing w:line="360" w:lineRule="auto"/>
        <w:ind w:left="420" w:leftChars="200"/>
        <w:rPr>
          <w:rFonts w:ascii="宋体" w:hAnsi="宋体" w:cs="宋体"/>
          <w:sz w:val="24"/>
          <w:szCs w:val="24"/>
        </w:rPr>
      </w:pPr>
      <w:r>
        <w:rPr>
          <w:rFonts w:hint="eastAsia" w:ascii="宋体" w:hAnsi="宋体" w:cs="宋体"/>
          <w:sz w:val="24"/>
          <w:szCs w:val="24"/>
        </w:rPr>
        <w:t>3.质疑供应商若对项目的某一分包进行质疑，质疑函中应列明具体分包号。</w:t>
      </w:r>
    </w:p>
    <w:p>
      <w:pPr>
        <w:widowControl/>
        <w:spacing w:line="360" w:lineRule="auto"/>
        <w:ind w:left="420" w:leftChars="200"/>
        <w:rPr>
          <w:rFonts w:ascii="宋体" w:hAnsi="宋体" w:cs="宋体"/>
          <w:sz w:val="24"/>
          <w:szCs w:val="24"/>
        </w:rPr>
      </w:pPr>
      <w:r>
        <w:rPr>
          <w:rFonts w:hint="eastAsia" w:ascii="宋体" w:hAnsi="宋体" w:cs="宋体"/>
          <w:sz w:val="24"/>
          <w:szCs w:val="24"/>
        </w:rPr>
        <w:t>4.质疑函的质疑事项应具体、明确，并有必要的事实依据和法律依据。</w:t>
      </w:r>
    </w:p>
    <w:p>
      <w:pPr>
        <w:widowControl/>
        <w:spacing w:line="360" w:lineRule="auto"/>
        <w:ind w:left="420" w:leftChars="200"/>
        <w:rPr>
          <w:rFonts w:ascii="宋体" w:hAnsi="宋体" w:cs="宋体"/>
          <w:sz w:val="24"/>
          <w:szCs w:val="24"/>
        </w:rPr>
      </w:pPr>
      <w:r>
        <w:rPr>
          <w:rFonts w:hint="eastAsia" w:ascii="宋体" w:hAnsi="宋体" w:cs="宋体"/>
          <w:sz w:val="24"/>
          <w:szCs w:val="24"/>
        </w:rPr>
        <w:t>5.质疑函的质疑请求应与质疑事项相关。</w:t>
      </w:r>
    </w:p>
    <w:p>
      <w:pPr>
        <w:widowControl/>
        <w:spacing w:line="360" w:lineRule="auto"/>
        <w:ind w:left="420" w:leftChars="200"/>
        <w:rPr>
          <w:rFonts w:hint="eastAsia" w:ascii="宋体" w:hAnsi="宋体" w:cs="宋体"/>
          <w:b/>
          <w:spacing w:val="48"/>
          <w:sz w:val="72"/>
          <w:szCs w:val="72"/>
        </w:rPr>
        <w:sectPr>
          <w:headerReference r:id="rId17" w:type="default"/>
          <w:footerReference r:id="rId18" w:type="default"/>
          <w:pgSz w:w="11906" w:h="16838"/>
          <w:pgMar w:top="1440" w:right="1803" w:bottom="1440" w:left="1803" w:header="851" w:footer="992" w:gutter="0"/>
          <w:pgNumType w:fmt="decimal"/>
          <w:cols w:space="720" w:num="1"/>
          <w:docGrid w:type="lines" w:linePitch="319" w:charSpace="0"/>
        </w:sectPr>
      </w:pPr>
      <w:r>
        <w:rPr>
          <w:rFonts w:hint="eastAsia" w:ascii="宋体" w:hAnsi="宋体" w:cs="宋体"/>
          <w:sz w:val="24"/>
          <w:szCs w:val="24"/>
        </w:rPr>
        <w:t>6.质疑供应商为自然人的，质疑函应由本人签字；质疑供应商为法人或者其他组织的，质疑函应由法定代表人、主要负责人，或者其授权代表签字或者盖章，并加盖公章</w:t>
      </w:r>
      <w:r>
        <w:rPr>
          <w:rFonts w:hint="eastAsia" w:ascii="宋体" w:hAnsi="宋体" w:cs="宋体"/>
          <w:sz w:val="24"/>
          <w:szCs w:val="24"/>
          <w:lang w:eastAsia="zh-CN"/>
        </w:rPr>
        <w:t>。</w:t>
      </w:r>
      <w:bookmarkEnd w:id="0"/>
      <w:bookmarkEnd w:id="102"/>
      <w:bookmarkEnd w:id="103"/>
      <w:bookmarkEnd w:id="104"/>
    </w:p>
    <w:p>
      <w:pPr>
        <w:ind w:firstLine="819" w:firstLineChars="100"/>
        <w:jc w:val="left"/>
        <w:rPr>
          <w:rFonts w:ascii="宋体" w:cs="宋体"/>
          <w:b/>
          <w:spacing w:val="48"/>
          <w:sz w:val="72"/>
          <w:szCs w:val="72"/>
        </w:rPr>
      </w:pPr>
      <w:r>
        <w:rPr>
          <w:rFonts w:hint="eastAsia" w:ascii="宋体" w:hAnsi="宋体" w:cs="宋体"/>
          <w:b/>
          <w:spacing w:val="48"/>
          <w:sz w:val="72"/>
          <w:szCs w:val="72"/>
        </w:rPr>
        <w:t>公平       公正</w:t>
      </w:r>
    </w:p>
    <w:p>
      <w:pPr>
        <w:jc w:val="left"/>
        <w:rPr>
          <w:rFonts w:ascii="宋体" w:cs="宋体"/>
          <w:b/>
          <w:spacing w:val="48"/>
          <w:sz w:val="72"/>
          <w:szCs w:val="72"/>
        </w:rPr>
      </w:pPr>
    </w:p>
    <w:p>
      <w:pPr>
        <w:rPr>
          <w:rFonts w:ascii="宋体" w:cs="宋体"/>
          <w:spacing w:val="48"/>
          <w:sz w:val="72"/>
          <w:szCs w:val="72"/>
        </w:rPr>
      </w:pPr>
    </w:p>
    <w:p/>
    <w:p>
      <w:pPr>
        <w:ind w:firstLine="819" w:firstLineChars="100"/>
        <w:rPr>
          <w:rFonts w:ascii="宋体" w:hAnsi="宋体" w:cs="宋体"/>
          <w:b/>
          <w:spacing w:val="48"/>
          <w:sz w:val="72"/>
          <w:szCs w:val="72"/>
        </w:rPr>
      </w:pPr>
      <w:r>
        <w:rPr>
          <w:rFonts w:hint="eastAsia" w:ascii="宋体" w:hAnsi="宋体" w:cs="宋体"/>
          <w:b/>
          <w:spacing w:val="48"/>
          <w:sz w:val="72"/>
          <w:szCs w:val="72"/>
        </w:rPr>
        <w:t>专业       高效</w:t>
      </w:r>
    </w:p>
    <w:p>
      <w:pPr>
        <w:rPr>
          <w:rFonts w:ascii="宋体" w:hAnsi="宋体" w:cs="宋体"/>
          <w:spacing w:val="48"/>
          <w:sz w:val="72"/>
          <w:szCs w:val="72"/>
        </w:rPr>
      </w:pPr>
    </w:p>
    <w:p>
      <w:pPr>
        <w:rPr>
          <w:rFonts w:ascii="宋体" w:hAnsi="宋体" w:cs="宋体"/>
          <w:spacing w:val="48"/>
          <w:sz w:val="72"/>
          <w:szCs w:val="72"/>
        </w:rPr>
      </w:pPr>
    </w:p>
    <w:p>
      <w:pPr>
        <w:pStyle w:val="9"/>
        <w:rPr>
          <w:rFonts w:ascii="宋体" w:hAnsi="宋体" w:cs="宋体"/>
          <w:spacing w:val="48"/>
          <w:sz w:val="72"/>
          <w:szCs w:val="72"/>
        </w:rPr>
      </w:pPr>
    </w:p>
    <w:p>
      <w:pPr>
        <w:rPr>
          <w:rFonts w:ascii="宋体" w:hAnsi="宋体" w:cs="宋体"/>
          <w:spacing w:val="48"/>
          <w:sz w:val="72"/>
          <w:szCs w:val="72"/>
        </w:rPr>
      </w:pPr>
    </w:p>
    <w:p>
      <w:pPr>
        <w:pStyle w:val="9"/>
        <w:rPr>
          <w:rFonts w:ascii="宋体" w:hAnsi="宋体" w:cs="宋体"/>
          <w:spacing w:val="48"/>
          <w:sz w:val="72"/>
          <w:szCs w:val="72"/>
        </w:rPr>
      </w:pPr>
    </w:p>
    <w:p/>
    <w:p/>
    <w:p>
      <w:pPr>
        <w:pStyle w:val="2"/>
        <w:rPr>
          <w:rFonts w:hint="default"/>
        </w:rPr>
      </w:pPr>
    </w:p>
    <w:p/>
    <w:p>
      <w:pPr>
        <w:rPr>
          <w:rFonts w:ascii="宋体" w:cs="宋体"/>
          <w:b/>
          <w:sz w:val="30"/>
          <w:szCs w:val="30"/>
        </w:rPr>
      </w:pPr>
      <w:r>
        <w:rPr>
          <w:rFonts w:hint="eastAsia" w:ascii="宋体" w:hAnsi="宋体" w:cs="宋体"/>
          <w:b/>
          <w:sz w:val="30"/>
          <w:szCs w:val="30"/>
        </w:rPr>
        <w:t>企业名称：陕西卓佲项目管理有限公司</w:t>
      </w:r>
    </w:p>
    <w:p>
      <w:pPr>
        <w:rPr>
          <w:rFonts w:ascii="宋体" w:cs="宋体"/>
          <w:b/>
          <w:sz w:val="30"/>
          <w:szCs w:val="30"/>
        </w:rPr>
      </w:pPr>
      <w:r>
        <w:rPr>
          <w:rFonts w:hint="eastAsia" w:ascii="宋体" w:hAnsi="宋体" w:cs="宋体"/>
          <w:b/>
          <w:sz w:val="30"/>
          <w:szCs w:val="30"/>
        </w:rPr>
        <w:t>地址：西安市雁塔区科技路十号华奥大厦A座</w:t>
      </w:r>
      <w:r>
        <w:rPr>
          <w:rFonts w:hint="eastAsia" w:ascii="宋体" w:hAnsi="宋体" w:cs="宋体"/>
          <w:b/>
          <w:sz w:val="30"/>
          <w:szCs w:val="30"/>
          <w:lang w:val="en-US" w:eastAsia="zh-CN"/>
        </w:rPr>
        <w:t>20层</w:t>
      </w:r>
      <w:r>
        <w:rPr>
          <w:rFonts w:hint="eastAsia" w:ascii="宋体" w:hAnsi="宋体" w:cs="宋体"/>
          <w:b/>
          <w:sz w:val="30"/>
          <w:szCs w:val="30"/>
        </w:rPr>
        <w:t>2002室</w:t>
      </w:r>
    </w:p>
    <w:p>
      <w:pPr>
        <w:rPr>
          <w:rFonts w:ascii="宋体" w:cs="宋体"/>
          <w:b/>
          <w:sz w:val="30"/>
          <w:szCs w:val="30"/>
        </w:rPr>
      </w:pPr>
      <w:r>
        <w:rPr>
          <w:rFonts w:hint="eastAsia" w:ascii="宋体" w:hAnsi="宋体" w:cs="宋体"/>
          <w:b/>
          <w:sz w:val="30"/>
          <w:szCs w:val="30"/>
        </w:rPr>
        <w:t>邮政编码：</w:t>
      </w:r>
      <w:r>
        <w:rPr>
          <w:rFonts w:ascii="宋体" w:hAnsi="宋体" w:cs="宋体"/>
          <w:b/>
          <w:sz w:val="30"/>
          <w:szCs w:val="30"/>
        </w:rPr>
        <w:t>7100</w:t>
      </w:r>
      <w:r>
        <w:rPr>
          <w:rFonts w:hint="eastAsia" w:ascii="宋体" w:hAnsi="宋体" w:cs="宋体"/>
          <w:b/>
          <w:sz w:val="30"/>
          <w:szCs w:val="30"/>
        </w:rPr>
        <w:t>65</w:t>
      </w:r>
    </w:p>
    <w:p>
      <w:pPr>
        <w:rPr>
          <w:rFonts w:ascii="宋体" w:cs="宋体"/>
          <w:b/>
          <w:sz w:val="30"/>
          <w:szCs w:val="30"/>
        </w:rPr>
      </w:pPr>
      <w:r>
        <w:rPr>
          <w:rFonts w:hint="eastAsia" w:ascii="宋体" w:hAnsi="宋体" w:cs="宋体"/>
          <w:b/>
          <w:sz w:val="30"/>
          <w:szCs w:val="30"/>
        </w:rPr>
        <w:t>电话：029-88440695</w:t>
      </w:r>
    </w:p>
    <w:p>
      <w:pPr>
        <w:rPr>
          <w:rFonts w:ascii="宋体" w:hAnsi="宋体" w:eastAsia="宋体" w:cs="宋体"/>
        </w:rPr>
      </w:pPr>
      <w:r>
        <w:rPr>
          <w:rFonts w:hint="eastAsia" w:ascii="宋体" w:hAnsi="宋体" w:cs="宋体"/>
          <w:b/>
          <w:sz w:val="30"/>
          <w:szCs w:val="30"/>
        </w:rPr>
        <w:t>传真：029-88440695</w:t>
      </w:r>
    </w:p>
    <w:sectPr>
      <w:footerReference r:id="rId19" w:type="default"/>
      <w:pgSz w:w="11906" w:h="16838"/>
      <w:pgMar w:top="1440" w:right="1803" w:bottom="1440" w:left="1803" w:header="851" w:footer="992"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right"/>
      <w:rPr>
        <w:rFonts w:ascii="宋体" w:hAnsi="宋体" w:cs="宋体"/>
      </w:rPr>
    </w:pPr>
    <w:r>
      <w:rPr>
        <w:rFonts w:hint="eastAsia" w:ascii="宋体" w:hAnsi="宋体" w:cs="宋体"/>
      </w:rPr>
      <w:t>陕西卓佲项目管理有限公司</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enter" w:pos="4150"/>
        <w:tab w:val="right" w:pos="8420"/>
        <w:tab w:val="clear" w:pos="4153"/>
      </w:tabs>
      <w:rPr>
        <w:rFonts w:ascii="宋体" w:cs="宋体"/>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t xml:space="preserve">第 </w:t>
                          </w:r>
                          <w:r>
                            <w:fldChar w:fldCharType="begin"/>
                          </w:r>
                          <w:r>
                            <w:instrText xml:space="preserve"> PAGE  \* MERGEFORMAT </w:instrText>
                          </w:r>
                          <w:r>
                            <w:fldChar w:fldCharType="separate"/>
                          </w:r>
                          <w:r>
                            <w:t>69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69</w:t>
                    </w:r>
                    <w:r>
                      <w:fldChar w:fldCharType="end"/>
                    </w:r>
                    <w:r>
                      <w:t xml:space="preserve"> 页</w:t>
                    </w:r>
                  </w:p>
                </w:txbxContent>
              </v:textbox>
            </v:shape>
          </w:pict>
        </mc:Fallback>
      </mc:AlternateContent>
    </w:r>
    <w:r>
      <w:rPr>
        <w:rFonts w:ascii="宋体" w:cs="宋体"/>
      </w:rPr>
      <w:tab/>
    </w:r>
    <w:r>
      <w:rPr>
        <w:rFonts w:ascii="宋体" w:cs="宋体"/>
      </w:rPr>
      <w:tab/>
    </w:r>
    <w:r>
      <w:rPr>
        <w:rFonts w:hint="eastAsia" w:ascii="宋体" w:hAnsi="宋体" w:cs="宋体"/>
      </w:rPr>
      <w:t>陕西卓佲项目管理有限公司</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enter" w:pos="4150"/>
        <w:tab w:val="right" w:pos="8420"/>
        <w:tab w:val="clear" w:pos="4153"/>
      </w:tabs>
      <w:rPr>
        <w:rFonts w:ascii="宋体" w:cs="宋体"/>
      </w:rPr>
    </w:pPr>
    <w:r>
      <w:rPr>
        <w:rFonts w:ascii="宋体" w:cs="宋体"/>
      </w:rPr>
      <w:tab/>
    </w:r>
    <w:r>
      <w:rPr>
        <w:rFonts w:ascii="宋体" w:cs="宋体"/>
      </w:rPr>
      <w:tab/>
    </w:r>
    <w:r>
      <w:rPr>
        <w:rFonts w:hint="eastAsia" w:ascii="宋体" w:hAnsi="宋体" w:cs="宋体"/>
      </w:rPr>
      <w:t>陕西卓佲项目管理有限公司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right" w:pos="8426"/>
      </w:tabs>
      <w:rPr>
        <w:rFonts w:ascii="宋体" w:hAnsi="宋体" w:cs="宋体"/>
      </w:rPr>
    </w:pPr>
    <w:r>
      <w:rPr>
        <w:rFonts w:hint="eastAsia" w:ascii="宋体" w:hAnsi="宋体" w:cs="宋体"/>
      </w:rPr>
      <w:tab/>
    </w:r>
    <w:r>
      <w:rPr>
        <w:rFonts w:hint="eastAsia" w:ascii="宋体" w:hAnsi="宋体" w:cs="宋体"/>
      </w:rPr>
      <w:tab/>
    </w:r>
    <w:r>
      <w:rPr>
        <w:rFonts w:hint="eastAsia" w:ascii="宋体" w:hAnsi="宋体" w:cs="宋体"/>
      </w:rPr>
      <w:t>陕西卓佲项目管理有限公司</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right"/>
      <w:rPr>
        <w:rFonts w:ascii="宋体" w:hAnsi="宋体" w:cs="宋体"/>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t xml:space="preserve">第 </w:t>
                          </w:r>
                          <w:r>
                            <w:fldChar w:fldCharType="begin"/>
                          </w:r>
                          <w:r>
                            <w:instrText xml:space="preserve"> PAGE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3</w:t>
                    </w:r>
                    <w:r>
                      <w:fldChar w:fldCharType="end"/>
                    </w:r>
                    <w:r>
                      <w:t xml:space="preserve"> 页</w:t>
                    </w:r>
                  </w:p>
                </w:txbxContent>
              </v:textbox>
            </v:shape>
          </w:pict>
        </mc:Fallback>
      </mc:AlternateContent>
    </w:r>
    <w:r>
      <w:rPr>
        <w:rFonts w:hint="eastAsia" w:ascii="宋体" w:hAnsi="宋体" w:cs="宋体"/>
      </w:rPr>
      <w:t>陕西卓佲项目管理有限公司</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t xml:space="preserve">第 </w:t>
                          </w:r>
                          <w:r>
                            <w:fldChar w:fldCharType="begin"/>
                          </w:r>
                          <w:r>
                            <w:instrText xml:space="preserve"> PAGE  \* MERGEFORMAT </w:instrText>
                          </w:r>
                          <w:r>
                            <w:fldChar w:fldCharType="separate"/>
                          </w:r>
                          <w:r>
                            <w:t>15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15</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right"/>
      <w:rPr>
        <w:rFonts w:ascii="宋体" w:cs="宋体"/>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t xml:space="preserve">第 </w:t>
                          </w:r>
                          <w:r>
                            <w:fldChar w:fldCharType="begin"/>
                          </w:r>
                          <w:r>
                            <w:instrText xml:space="preserve"> PAGE  \* MERGEFORMAT </w:instrText>
                          </w:r>
                          <w:r>
                            <w:fldChar w:fldCharType="separate"/>
                          </w:r>
                          <w:r>
                            <w:t>23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23</w:t>
                    </w:r>
                    <w:r>
                      <w:fldChar w:fldCharType="end"/>
                    </w:r>
                    <w:r>
                      <w:t xml:space="preserve"> 页</w:t>
                    </w:r>
                  </w:p>
                </w:txbxContent>
              </v:textbox>
            </v:shape>
          </w:pict>
        </mc:Fallback>
      </mc:AlternateContent>
    </w:r>
    <w:r>
      <w:rPr>
        <w:rFonts w:hint="eastAsia" w:ascii="宋体" w:hAnsi="宋体" w:cs="宋体"/>
      </w:rPr>
      <w:t>陕西卓佲项目管理有限公司</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right"/>
      <w:rPr>
        <w:rFonts w:ascii="宋体" w:cs="宋体"/>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t xml:space="preserve">第 </w:t>
                          </w:r>
                          <w:r>
                            <w:fldChar w:fldCharType="begin"/>
                          </w:r>
                          <w:r>
                            <w:instrText xml:space="preserve"> PAGE  \* MERGEFORMAT </w:instrText>
                          </w:r>
                          <w:r>
                            <w:fldChar w:fldCharType="separate"/>
                          </w:r>
                          <w:r>
                            <w:t>36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36</w:t>
                    </w:r>
                    <w:r>
                      <w:fldChar w:fldCharType="end"/>
                    </w:r>
                    <w:r>
                      <w:t xml:space="preserve"> 页</w:t>
                    </w:r>
                  </w:p>
                </w:txbxContent>
              </v:textbox>
            </v:shape>
          </w:pict>
        </mc:Fallback>
      </mc:AlternateContent>
    </w:r>
    <w:r>
      <w:rPr>
        <w:rFonts w:hint="eastAsia" w:ascii="宋体" w:hAnsi="宋体" w:cs="宋体"/>
      </w:rPr>
      <w:t>陕西卓佲项目管理有限公司</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enter" w:pos="4150"/>
        <w:tab w:val="right" w:pos="8420"/>
        <w:tab w:val="clear" w:pos="4153"/>
      </w:tabs>
      <w:rPr>
        <w:rFonts w:ascii="宋体"/>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t xml:space="preserve">第 </w:t>
                          </w:r>
                          <w:r>
                            <w:fldChar w:fldCharType="begin"/>
                          </w:r>
                          <w:r>
                            <w:instrText xml:space="preserve"> PAGE  \* MERGEFORMAT </w:instrText>
                          </w:r>
                          <w:r>
                            <w:fldChar w:fldCharType="separate"/>
                          </w:r>
                          <w:r>
                            <w:t>60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60</w:t>
                    </w:r>
                    <w:r>
                      <w:fldChar w:fldCharType="end"/>
                    </w:r>
                    <w:r>
                      <w:t xml:space="preserve"> 页</w:t>
                    </w:r>
                  </w:p>
                </w:txbxContent>
              </v:textbox>
            </v:shape>
          </w:pict>
        </mc:Fallback>
      </mc:AlternateContent>
    </w:r>
    <w:r>
      <w:rPr>
        <w:rFonts w:ascii="宋体"/>
      </w:rPr>
      <w:tab/>
    </w:r>
    <w:r>
      <w:rPr>
        <w:rFonts w:ascii="宋体"/>
      </w:rPr>
      <w:tab/>
    </w:r>
    <w:r>
      <w:rPr>
        <w:rFonts w:hint="eastAsia" w:ascii="宋体" w:hAnsi="宋体" w:cs="宋体"/>
      </w:rPr>
      <w:t>陕西卓佲项目管理有限公司</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enter" w:pos="4150"/>
        <w:tab w:val="right" w:pos="8420"/>
        <w:tab w:val="clear" w:pos="4153"/>
      </w:tabs>
      <w:rPr>
        <w:rFonts w:ascii="宋体"/>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t xml:space="preserve">第 </w:t>
                          </w:r>
                          <w:r>
                            <w:fldChar w:fldCharType="begin"/>
                          </w:r>
                          <w:r>
                            <w:instrText xml:space="preserve"> PAGE  \* MERGEFORMAT </w:instrText>
                          </w:r>
                          <w:r>
                            <w:fldChar w:fldCharType="separate"/>
                          </w:r>
                          <w:r>
                            <w:t>66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66</w:t>
                    </w:r>
                    <w:r>
                      <w:fldChar w:fldCharType="end"/>
                    </w:r>
                    <w:r>
                      <w:t xml:space="preserve"> 页</w:t>
                    </w:r>
                  </w:p>
                </w:txbxContent>
              </v:textbox>
            </v:shape>
          </w:pict>
        </mc:Fallback>
      </mc:AlternateContent>
    </w:r>
    <w:r>
      <w:rPr>
        <w:rFonts w:ascii="宋体"/>
      </w:rPr>
      <w:tab/>
    </w:r>
    <w:r>
      <w:rPr>
        <w:rFonts w:ascii="宋体"/>
      </w:rPr>
      <w:tab/>
    </w:r>
    <w:r>
      <w:rPr>
        <w:rFonts w:hint="eastAsia" w:ascii="宋体" w:hAnsi="宋体" w:cs="宋体"/>
      </w:rPr>
      <w:t>陕西卓佲项目管理有限公司</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enter" w:pos="4150"/>
        <w:tab w:val="right" w:pos="8420"/>
        <w:tab w:val="clear" w:pos="4153"/>
      </w:tabs>
      <w:rPr>
        <w:rFonts w:ascii="宋体"/>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t xml:space="preserve">第 </w:t>
                          </w:r>
                          <w:r>
                            <w:fldChar w:fldCharType="begin"/>
                          </w:r>
                          <w:r>
                            <w:instrText xml:space="preserve"> PAGE  \* MERGEFORMAT </w:instrText>
                          </w:r>
                          <w:r>
                            <w:fldChar w:fldCharType="separate"/>
                          </w:r>
                          <w:r>
                            <w:t>67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67</w:t>
                    </w:r>
                    <w:r>
                      <w:fldChar w:fldCharType="end"/>
                    </w:r>
                    <w:r>
                      <w:t xml:space="preserve"> 页</w:t>
                    </w:r>
                  </w:p>
                </w:txbxContent>
              </v:textbox>
            </v:shape>
          </w:pict>
        </mc:Fallback>
      </mc:AlternateContent>
    </w:r>
    <w:r>
      <w:rPr>
        <w:rFonts w:ascii="宋体"/>
      </w:rPr>
      <w:tab/>
    </w:r>
    <w:r>
      <w:rPr>
        <w:rFonts w:ascii="宋体"/>
      </w:rPr>
      <w:tab/>
    </w:r>
    <w:r>
      <w:rPr>
        <w:rFonts w:hint="eastAsia" w:ascii="宋体" w:hAnsi="宋体" w:cs="宋体"/>
      </w:rPr>
      <w:t>陕西卓佲项目管理有限公司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rPr>
        <w:rFonts w:ascii="宋体" w:hAnsi="宋体" w:cs="宋体"/>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pPr>
    <w:r>
      <w:rPr>
        <w:rFonts w:hint="eastAsia" w:ascii="宋体" w:hAnsi="宋体" w:cs="宋体"/>
        <w:sz w:val="15"/>
        <w:szCs w:val="15"/>
        <w:u w:val="single"/>
        <w:lang w:eastAsia="zh-CN"/>
      </w:rPr>
      <w:t>西安科技大学ACS数据库、ElsevierScienceDirect数据库、SCIE数据库采购项目</w:t>
    </w:r>
    <w:r>
      <w:rPr>
        <w:rFonts w:hint="eastAsia" w:ascii="宋体" w:hAnsi="宋体" w:cs="宋体"/>
        <w:sz w:val="15"/>
        <w:szCs w:val="15"/>
        <w:u w:val="single"/>
      </w:rPr>
      <w:t xml:space="preserve">                                                     </w:t>
    </w:r>
    <w:r>
      <w:rPr>
        <w:rFonts w:hint="eastAsia" w:ascii="宋体" w:hAnsi="宋体" w:cs="宋体"/>
        <w:sz w:val="15"/>
        <w:szCs w:val="15"/>
        <w:u w:val="single"/>
        <w:lang w:eastAsia="zh-CN"/>
      </w:rPr>
      <w:t>ZMZB2022BQJYJ-297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rPr>
        <w:rFonts w:ascii="宋体" w:hAnsi="宋体" w:cs="宋体"/>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rPr>
        <w:rFonts w:hint="eastAsia"/>
        <w:lang w:eastAsia="zh-C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232B98"/>
    <w:multiLevelType w:val="singleLevel"/>
    <w:tmpl w:val="97232B98"/>
    <w:lvl w:ilvl="0" w:tentative="0">
      <w:start w:val="5"/>
      <w:numFmt w:val="chineseCounting"/>
      <w:suff w:val="space"/>
      <w:lvlText w:val="第%1部分"/>
      <w:lvlJc w:val="left"/>
      <w:rPr>
        <w:rFonts w:hint="eastAsia"/>
        <w:sz w:val="32"/>
        <w:szCs w:val="32"/>
      </w:rPr>
    </w:lvl>
  </w:abstractNum>
  <w:abstractNum w:abstractNumId="1">
    <w:nsid w:val="9F442028"/>
    <w:multiLevelType w:val="singleLevel"/>
    <w:tmpl w:val="9F442028"/>
    <w:lvl w:ilvl="0" w:tentative="0">
      <w:start w:val="1"/>
      <w:numFmt w:val="decimal"/>
      <w:suff w:val="nothing"/>
      <w:lvlText w:val="%1、"/>
      <w:lvlJc w:val="left"/>
      <w:pPr>
        <w:ind w:firstLine="420"/>
      </w:pPr>
      <w:rPr>
        <w:rFonts w:hint="default" w:cs="Times New Roman"/>
      </w:rPr>
    </w:lvl>
  </w:abstractNum>
  <w:abstractNum w:abstractNumId="2">
    <w:nsid w:val="C99BDCD1"/>
    <w:multiLevelType w:val="singleLevel"/>
    <w:tmpl w:val="C99BDCD1"/>
    <w:lvl w:ilvl="0" w:tentative="0">
      <w:start w:val="1"/>
      <w:numFmt w:val="chineseCounting"/>
      <w:suff w:val="nothing"/>
      <w:lvlText w:val="（%1）"/>
      <w:lvlJc w:val="left"/>
      <w:rPr>
        <w:rFonts w:hint="eastAsia"/>
      </w:rPr>
    </w:lvl>
  </w:abstractNum>
  <w:abstractNum w:abstractNumId="3">
    <w:nsid w:val="D12F5381"/>
    <w:multiLevelType w:val="singleLevel"/>
    <w:tmpl w:val="D12F5381"/>
    <w:lvl w:ilvl="0" w:tentative="0">
      <w:start w:val="7"/>
      <w:numFmt w:val="chineseCounting"/>
      <w:suff w:val="space"/>
      <w:lvlText w:val="第%1部分"/>
      <w:lvlJc w:val="left"/>
      <w:rPr>
        <w:rFonts w:hint="eastAsia"/>
      </w:rPr>
    </w:lvl>
  </w:abstractNum>
  <w:abstractNum w:abstractNumId="4">
    <w:nsid w:val="DF87DBDD"/>
    <w:multiLevelType w:val="singleLevel"/>
    <w:tmpl w:val="DF87DBDD"/>
    <w:lvl w:ilvl="0" w:tentative="0">
      <w:start w:val="1"/>
      <w:numFmt w:val="decimal"/>
      <w:suff w:val="nothing"/>
      <w:lvlText w:val="%1、"/>
      <w:lvlJc w:val="left"/>
      <w:pPr>
        <w:ind w:firstLine="420"/>
      </w:pPr>
      <w:rPr>
        <w:rFonts w:hint="default" w:cs="Times New Roman"/>
      </w:rPr>
    </w:lvl>
  </w:abstractNum>
  <w:abstractNum w:abstractNumId="5">
    <w:nsid w:val="E8C911B6"/>
    <w:multiLevelType w:val="singleLevel"/>
    <w:tmpl w:val="E8C911B6"/>
    <w:lvl w:ilvl="0" w:tentative="0">
      <w:start w:val="1"/>
      <w:numFmt w:val="chineseCounting"/>
      <w:suff w:val="nothing"/>
      <w:lvlText w:val="%1、"/>
      <w:lvlJc w:val="left"/>
      <w:pPr>
        <w:ind w:left="0" w:firstLine="420"/>
      </w:pPr>
      <w:rPr>
        <w:rFonts w:hint="eastAsia"/>
      </w:rPr>
    </w:lvl>
  </w:abstractNum>
  <w:abstractNum w:abstractNumId="6">
    <w:nsid w:val="19B057FC"/>
    <w:multiLevelType w:val="singleLevel"/>
    <w:tmpl w:val="19B057FC"/>
    <w:lvl w:ilvl="0" w:tentative="0">
      <w:start w:val="1"/>
      <w:numFmt w:val="decimal"/>
      <w:suff w:val="nothing"/>
      <w:lvlText w:val="%1、"/>
      <w:lvlJc w:val="left"/>
      <w:pPr>
        <w:ind w:left="140" w:firstLine="0"/>
      </w:pPr>
    </w:lvl>
  </w:abstractNum>
  <w:abstractNum w:abstractNumId="7">
    <w:nsid w:val="451D8B65"/>
    <w:multiLevelType w:val="singleLevel"/>
    <w:tmpl w:val="451D8B65"/>
    <w:lvl w:ilvl="0" w:tentative="0">
      <w:start w:val="1"/>
      <w:numFmt w:val="decimal"/>
      <w:suff w:val="nothing"/>
      <w:lvlText w:val="（%1）"/>
      <w:lvlJc w:val="left"/>
      <w:pPr>
        <w:ind w:left="0" w:firstLine="420"/>
      </w:pPr>
      <w:rPr>
        <w:rFonts w:hint="default"/>
      </w:rPr>
    </w:lvl>
  </w:abstractNum>
  <w:abstractNum w:abstractNumId="8">
    <w:nsid w:val="559A3852"/>
    <w:multiLevelType w:val="singleLevel"/>
    <w:tmpl w:val="559A3852"/>
    <w:lvl w:ilvl="0" w:tentative="0">
      <w:start w:val="1"/>
      <w:numFmt w:val="decimal"/>
      <w:suff w:val="nothing"/>
      <w:lvlText w:val="（%1）"/>
      <w:lvlJc w:val="left"/>
      <w:pPr>
        <w:ind w:left="0" w:firstLine="400"/>
      </w:pPr>
      <w:rPr>
        <w:rFonts w:hint="default"/>
      </w:rPr>
    </w:lvl>
  </w:abstractNum>
  <w:abstractNum w:abstractNumId="9">
    <w:nsid w:val="58BE4A74"/>
    <w:multiLevelType w:val="singleLevel"/>
    <w:tmpl w:val="58BE4A74"/>
    <w:lvl w:ilvl="0" w:tentative="0">
      <w:start w:val="1"/>
      <w:numFmt w:val="chineseCounting"/>
      <w:suff w:val="nothing"/>
      <w:lvlText w:val="%1、"/>
      <w:lvlJc w:val="left"/>
      <w:pPr>
        <w:ind w:left="0" w:firstLine="420"/>
      </w:pPr>
      <w:rPr>
        <w:rFonts w:hint="eastAsia"/>
      </w:rPr>
    </w:lvl>
  </w:abstractNum>
  <w:abstractNum w:abstractNumId="10">
    <w:nsid w:val="58BE4ABA"/>
    <w:multiLevelType w:val="singleLevel"/>
    <w:tmpl w:val="58BE4ABA"/>
    <w:lvl w:ilvl="0" w:tentative="0">
      <w:start w:val="1"/>
      <w:numFmt w:val="decimal"/>
      <w:suff w:val="nothing"/>
      <w:lvlText w:val="%1、"/>
      <w:lvlJc w:val="left"/>
      <w:pPr>
        <w:ind w:left="0" w:firstLine="420"/>
      </w:pPr>
      <w:rPr>
        <w:rFonts w:hint="default"/>
      </w:rPr>
    </w:lvl>
  </w:abstractNum>
  <w:abstractNum w:abstractNumId="11">
    <w:nsid w:val="58BE4BC8"/>
    <w:multiLevelType w:val="singleLevel"/>
    <w:tmpl w:val="58BE4BC8"/>
    <w:lvl w:ilvl="0" w:tentative="0">
      <w:start w:val="1"/>
      <w:numFmt w:val="decimal"/>
      <w:suff w:val="nothing"/>
      <w:lvlText w:val="%1、"/>
      <w:lvlJc w:val="left"/>
      <w:pPr>
        <w:ind w:left="0" w:firstLine="420"/>
      </w:pPr>
      <w:rPr>
        <w:rFonts w:hint="default"/>
      </w:rPr>
    </w:lvl>
  </w:abstractNum>
  <w:abstractNum w:abstractNumId="12">
    <w:nsid w:val="58BE64F2"/>
    <w:multiLevelType w:val="singleLevel"/>
    <w:tmpl w:val="58BE64F2"/>
    <w:lvl w:ilvl="0" w:tentative="0">
      <w:start w:val="1"/>
      <w:numFmt w:val="decimal"/>
      <w:suff w:val="nothing"/>
      <w:lvlText w:val="%1、"/>
      <w:lvlJc w:val="left"/>
      <w:pPr>
        <w:ind w:left="0" w:firstLine="420"/>
      </w:pPr>
      <w:rPr>
        <w:rFonts w:hint="default"/>
      </w:rPr>
    </w:lvl>
  </w:abstractNum>
  <w:abstractNum w:abstractNumId="13">
    <w:nsid w:val="58BE6519"/>
    <w:multiLevelType w:val="singleLevel"/>
    <w:tmpl w:val="58BE6519"/>
    <w:lvl w:ilvl="0" w:tentative="0">
      <w:start w:val="1"/>
      <w:numFmt w:val="decimal"/>
      <w:suff w:val="nothing"/>
      <w:lvlText w:val="%1、"/>
      <w:lvlJc w:val="left"/>
      <w:pPr>
        <w:ind w:left="420" w:firstLine="420"/>
      </w:pPr>
      <w:rPr>
        <w:rFonts w:hint="default"/>
      </w:rPr>
    </w:lvl>
  </w:abstractNum>
  <w:abstractNum w:abstractNumId="14">
    <w:nsid w:val="58BE6CCA"/>
    <w:multiLevelType w:val="singleLevel"/>
    <w:tmpl w:val="58BE6CCA"/>
    <w:lvl w:ilvl="0" w:tentative="0">
      <w:start w:val="1"/>
      <w:numFmt w:val="decimal"/>
      <w:suff w:val="nothing"/>
      <w:lvlText w:val="%1、"/>
      <w:lvlJc w:val="left"/>
      <w:pPr>
        <w:ind w:left="0" w:firstLine="420"/>
      </w:pPr>
      <w:rPr>
        <w:rFonts w:hint="default"/>
      </w:rPr>
    </w:lvl>
  </w:abstractNum>
  <w:abstractNum w:abstractNumId="15">
    <w:nsid w:val="58BE8DA8"/>
    <w:multiLevelType w:val="singleLevel"/>
    <w:tmpl w:val="58BE8DA8"/>
    <w:lvl w:ilvl="0" w:tentative="0">
      <w:start w:val="1"/>
      <w:numFmt w:val="decimal"/>
      <w:suff w:val="nothing"/>
      <w:lvlText w:val="（%1）"/>
      <w:lvlJc w:val="left"/>
      <w:pPr>
        <w:ind w:left="210" w:firstLine="420"/>
      </w:pPr>
      <w:rPr>
        <w:rFonts w:hint="default"/>
      </w:rPr>
    </w:lvl>
  </w:abstractNum>
  <w:abstractNum w:abstractNumId="16">
    <w:nsid w:val="58C0AD6D"/>
    <w:multiLevelType w:val="singleLevel"/>
    <w:tmpl w:val="58C0AD6D"/>
    <w:lvl w:ilvl="0" w:tentative="0">
      <w:start w:val="1"/>
      <w:numFmt w:val="decimal"/>
      <w:suff w:val="nothing"/>
      <w:lvlText w:val="（%1）"/>
      <w:lvlJc w:val="left"/>
      <w:pPr>
        <w:ind w:left="0" w:firstLine="420"/>
      </w:pPr>
      <w:rPr>
        <w:rFonts w:hint="default"/>
      </w:rPr>
    </w:lvl>
  </w:abstractNum>
  <w:abstractNum w:abstractNumId="17">
    <w:nsid w:val="58E5CD31"/>
    <w:multiLevelType w:val="singleLevel"/>
    <w:tmpl w:val="58E5CD31"/>
    <w:lvl w:ilvl="0" w:tentative="0">
      <w:start w:val="1"/>
      <w:numFmt w:val="decimal"/>
      <w:suff w:val="nothing"/>
      <w:lvlText w:val="（%1）"/>
      <w:lvlJc w:val="left"/>
      <w:pPr>
        <w:ind w:left="0" w:firstLine="420"/>
      </w:pPr>
      <w:rPr>
        <w:rFonts w:hint="default"/>
      </w:rPr>
    </w:lvl>
  </w:abstractNum>
  <w:abstractNum w:abstractNumId="18">
    <w:nsid w:val="59DADF1A"/>
    <w:multiLevelType w:val="singleLevel"/>
    <w:tmpl w:val="59DADF1A"/>
    <w:lvl w:ilvl="0" w:tentative="0">
      <w:start w:val="1"/>
      <w:numFmt w:val="lowerLetter"/>
      <w:lvlText w:val="%1."/>
      <w:lvlJc w:val="left"/>
      <w:pPr>
        <w:ind w:left="425" w:hanging="425"/>
      </w:pPr>
      <w:rPr>
        <w:rFonts w:hint="default"/>
      </w:rPr>
    </w:lvl>
  </w:abstractNum>
  <w:abstractNum w:abstractNumId="19">
    <w:nsid w:val="604094DA"/>
    <w:multiLevelType w:val="singleLevel"/>
    <w:tmpl w:val="604094DA"/>
    <w:lvl w:ilvl="0" w:tentative="0">
      <w:start w:val="1"/>
      <w:numFmt w:val="decimal"/>
      <w:suff w:val="space"/>
      <w:lvlText w:val="%1."/>
      <w:lvlJc w:val="left"/>
    </w:lvl>
  </w:abstractNum>
  <w:num w:numId="1">
    <w:abstractNumId w:val="2"/>
  </w:num>
  <w:num w:numId="2">
    <w:abstractNumId w:val="17"/>
  </w:num>
  <w:num w:numId="3">
    <w:abstractNumId w:val="4"/>
  </w:num>
  <w:num w:numId="4">
    <w:abstractNumId w:val="1"/>
  </w:num>
  <w:num w:numId="5">
    <w:abstractNumId w:val="5"/>
  </w:num>
  <w:num w:numId="6">
    <w:abstractNumId w:val="10"/>
  </w:num>
  <w:num w:numId="7">
    <w:abstractNumId w:val="8"/>
  </w:num>
  <w:num w:numId="8">
    <w:abstractNumId w:val="14"/>
  </w:num>
  <w:num w:numId="9">
    <w:abstractNumId w:val="16"/>
  </w:num>
  <w:num w:numId="10">
    <w:abstractNumId w:val="9"/>
  </w:num>
  <w:num w:numId="11">
    <w:abstractNumId w:val="11"/>
  </w:num>
  <w:num w:numId="12">
    <w:abstractNumId w:val="12"/>
  </w:num>
  <w:num w:numId="13">
    <w:abstractNumId w:val="13"/>
  </w:num>
  <w:num w:numId="14">
    <w:abstractNumId w:val="18"/>
  </w:num>
  <w:num w:numId="15">
    <w:abstractNumId w:val="15"/>
  </w:num>
  <w:num w:numId="16">
    <w:abstractNumId w:val="0"/>
  </w:num>
  <w:num w:numId="17">
    <w:abstractNumId w:val="6"/>
  </w:num>
  <w:num w:numId="18">
    <w:abstractNumId w:val="7"/>
  </w:num>
  <w:num w:numId="19">
    <w:abstractNumId w:val="3"/>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hhMWRhOTcwN2UzNDM3ZDUzZWQyMWJiNzVjOWYwNTAifQ=="/>
  </w:docVars>
  <w:rsids>
    <w:rsidRoot w:val="73D96FF7"/>
    <w:rsid w:val="000211C9"/>
    <w:rsid w:val="000231DC"/>
    <w:rsid w:val="00023390"/>
    <w:rsid w:val="000238BB"/>
    <w:rsid w:val="00033E46"/>
    <w:rsid w:val="00034CB8"/>
    <w:rsid w:val="000447C6"/>
    <w:rsid w:val="00050E3A"/>
    <w:rsid w:val="00051C70"/>
    <w:rsid w:val="0006579C"/>
    <w:rsid w:val="00067E50"/>
    <w:rsid w:val="0007496A"/>
    <w:rsid w:val="00075A4D"/>
    <w:rsid w:val="00084123"/>
    <w:rsid w:val="0009091C"/>
    <w:rsid w:val="000930F9"/>
    <w:rsid w:val="00093688"/>
    <w:rsid w:val="00094D6D"/>
    <w:rsid w:val="00096BFC"/>
    <w:rsid w:val="000A28E9"/>
    <w:rsid w:val="000B2B5F"/>
    <w:rsid w:val="000B54D7"/>
    <w:rsid w:val="000C078D"/>
    <w:rsid w:val="000C494B"/>
    <w:rsid w:val="000D07D2"/>
    <w:rsid w:val="000E03BF"/>
    <w:rsid w:val="000E06F6"/>
    <w:rsid w:val="00104C7F"/>
    <w:rsid w:val="00105CEF"/>
    <w:rsid w:val="00116077"/>
    <w:rsid w:val="0011645B"/>
    <w:rsid w:val="00127E5F"/>
    <w:rsid w:val="00147DB8"/>
    <w:rsid w:val="00150211"/>
    <w:rsid w:val="00165B88"/>
    <w:rsid w:val="001660DB"/>
    <w:rsid w:val="00170F41"/>
    <w:rsid w:val="0017206B"/>
    <w:rsid w:val="00172D09"/>
    <w:rsid w:val="00177B3B"/>
    <w:rsid w:val="00194A9B"/>
    <w:rsid w:val="001977B7"/>
    <w:rsid w:val="001C6002"/>
    <w:rsid w:val="001D7C98"/>
    <w:rsid w:val="0020496B"/>
    <w:rsid w:val="002056B6"/>
    <w:rsid w:val="002129A4"/>
    <w:rsid w:val="00215036"/>
    <w:rsid w:val="0021740C"/>
    <w:rsid w:val="00217AC1"/>
    <w:rsid w:val="00223417"/>
    <w:rsid w:val="00231B14"/>
    <w:rsid w:val="00235885"/>
    <w:rsid w:val="00270726"/>
    <w:rsid w:val="002738E0"/>
    <w:rsid w:val="002741EB"/>
    <w:rsid w:val="0027762D"/>
    <w:rsid w:val="00282BBC"/>
    <w:rsid w:val="002852D2"/>
    <w:rsid w:val="00290808"/>
    <w:rsid w:val="00294A47"/>
    <w:rsid w:val="00295107"/>
    <w:rsid w:val="00295734"/>
    <w:rsid w:val="002A48B6"/>
    <w:rsid w:val="002B7581"/>
    <w:rsid w:val="002C270B"/>
    <w:rsid w:val="002C270E"/>
    <w:rsid w:val="002E2D34"/>
    <w:rsid w:val="002F3450"/>
    <w:rsid w:val="002F4DAB"/>
    <w:rsid w:val="002F72C6"/>
    <w:rsid w:val="00302EA2"/>
    <w:rsid w:val="00312C6A"/>
    <w:rsid w:val="00335D7C"/>
    <w:rsid w:val="00336890"/>
    <w:rsid w:val="00337DD7"/>
    <w:rsid w:val="00341F1A"/>
    <w:rsid w:val="0034773D"/>
    <w:rsid w:val="0035259F"/>
    <w:rsid w:val="00353817"/>
    <w:rsid w:val="003572BD"/>
    <w:rsid w:val="003612FE"/>
    <w:rsid w:val="00366AA2"/>
    <w:rsid w:val="0038235A"/>
    <w:rsid w:val="003862A4"/>
    <w:rsid w:val="00393768"/>
    <w:rsid w:val="003A607D"/>
    <w:rsid w:val="003E23A6"/>
    <w:rsid w:val="003E3530"/>
    <w:rsid w:val="003F3F76"/>
    <w:rsid w:val="003F6452"/>
    <w:rsid w:val="00405C58"/>
    <w:rsid w:val="00440843"/>
    <w:rsid w:val="00442960"/>
    <w:rsid w:val="00483AF6"/>
    <w:rsid w:val="0048715E"/>
    <w:rsid w:val="004A6288"/>
    <w:rsid w:val="004B74EA"/>
    <w:rsid w:val="004C20E4"/>
    <w:rsid w:val="004E0DB0"/>
    <w:rsid w:val="004E1511"/>
    <w:rsid w:val="004E727F"/>
    <w:rsid w:val="004F73C4"/>
    <w:rsid w:val="0051677A"/>
    <w:rsid w:val="00517FC5"/>
    <w:rsid w:val="005205B4"/>
    <w:rsid w:val="005233BF"/>
    <w:rsid w:val="00540EAF"/>
    <w:rsid w:val="00542C94"/>
    <w:rsid w:val="005455C2"/>
    <w:rsid w:val="00546F4D"/>
    <w:rsid w:val="00550FA1"/>
    <w:rsid w:val="00557479"/>
    <w:rsid w:val="00563ABD"/>
    <w:rsid w:val="005654BD"/>
    <w:rsid w:val="00574B0A"/>
    <w:rsid w:val="005B0FDD"/>
    <w:rsid w:val="005C3C4A"/>
    <w:rsid w:val="005C70B4"/>
    <w:rsid w:val="005D2B92"/>
    <w:rsid w:val="005E2DE4"/>
    <w:rsid w:val="005F155C"/>
    <w:rsid w:val="005F7BCF"/>
    <w:rsid w:val="0061645E"/>
    <w:rsid w:val="00622B85"/>
    <w:rsid w:val="006266A4"/>
    <w:rsid w:val="0062740F"/>
    <w:rsid w:val="00627D03"/>
    <w:rsid w:val="006553C8"/>
    <w:rsid w:val="00672E94"/>
    <w:rsid w:val="006742B1"/>
    <w:rsid w:val="00676AE8"/>
    <w:rsid w:val="00687D5E"/>
    <w:rsid w:val="00696708"/>
    <w:rsid w:val="006A08BB"/>
    <w:rsid w:val="006A0EE3"/>
    <w:rsid w:val="006A3EA7"/>
    <w:rsid w:val="006B5E79"/>
    <w:rsid w:val="006C1797"/>
    <w:rsid w:val="006C2480"/>
    <w:rsid w:val="006C6460"/>
    <w:rsid w:val="006D0D2F"/>
    <w:rsid w:val="006D460F"/>
    <w:rsid w:val="006E0B29"/>
    <w:rsid w:val="006E40E0"/>
    <w:rsid w:val="006F3C69"/>
    <w:rsid w:val="006F5317"/>
    <w:rsid w:val="006F5396"/>
    <w:rsid w:val="006F5D6F"/>
    <w:rsid w:val="006F6DCE"/>
    <w:rsid w:val="00714BDE"/>
    <w:rsid w:val="0072263E"/>
    <w:rsid w:val="007312B5"/>
    <w:rsid w:val="00732B2E"/>
    <w:rsid w:val="0073574E"/>
    <w:rsid w:val="00736C47"/>
    <w:rsid w:val="00765CB7"/>
    <w:rsid w:val="00772F53"/>
    <w:rsid w:val="00792EC9"/>
    <w:rsid w:val="007971D3"/>
    <w:rsid w:val="007A7755"/>
    <w:rsid w:val="007B0C1D"/>
    <w:rsid w:val="007B1DB3"/>
    <w:rsid w:val="007B3CC8"/>
    <w:rsid w:val="007B3DE2"/>
    <w:rsid w:val="007B710E"/>
    <w:rsid w:val="007C1517"/>
    <w:rsid w:val="007C1F6E"/>
    <w:rsid w:val="007D04F6"/>
    <w:rsid w:val="007D25DB"/>
    <w:rsid w:val="007D30BD"/>
    <w:rsid w:val="007D535E"/>
    <w:rsid w:val="007D694A"/>
    <w:rsid w:val="007E2C9D"/>
    <w:rsid w:val="007F7BFB"/>
    <w:rsid w:val="00806745"/>
    <w:rsid w:val="0082192B"/>
    <w:rsid w:val="00825BC9"/>
    <w:rsid w:val="0083155E"/>
    <w:rsid w:val="00860E6A"/>
    <w:rsid w:val="00866912"/>
    <w:rsid w:val="00877EF0"/>
    <w:rsid w:val="00887396"/>
    <w:rsid w:val="008909F4"/>
    <w:rsid w:val="00896129"/>
    <w:rsid w:val="008A4789"/>
    <w:rsid w:val="008A4C61"/>
    <w:rsid w:val="008A5167"/>
    <w:rsid w:val="008B07F2"/>
    <w:rsid w:val="008B0810"/>
    <w:rsid w:val="008B1617"/>
    <w:rsid w:val="008B217C"/>
    <w:rsid w:val="008C0DA3"/>
    <w:rsid w:val="008D2180"/>
    <w:rsid w:val="008D5F96"/>
    <w:rsid w:val="008E706B"/>
    <w:rsid w:val="00907ACF"/>
    <w:rsid w:val="0091005F"/>
    <w:rsid w:val="0091056D"/>
    <w:rsid w:val="0093690D"/>
    <w:rsid w:val="00942C88"/>
    <w:rsid w:val="00962424"/>
    <w:rsid w:val="0096664F"/>
    <w:rsid w:val="00973C40"/>
    <w:rsid w:val="009844C9"/>
    <w:rsid w:val="009A0E9B"/>
    <w:rsid w:val="009B4737"/>
    <w:rsid w:val="009C2C63"/>
    <w:rsid w:val="009E16B7"/>
    <w:rsid w:val="009F2F47"/>
    <w:rsid w:val="009F49F1"/>
    <w:rsid w:val="009F5386"/>
    <w:rsid w:val="00A0037E"/>
    <w:rsid w:val="00A064D9"/>
    <w:rsid w:val="00A155EB"/>
    <w:rsid w:val="00A248C2"/>
    <w:rsid w:val="00A24C3D"/>
    <w:rsid w:val="00A250DB"/>
    <w:rsid w:val="00A408C9"/>
    <w:rsid w:val="00A438FC"/>
    <w:rsid w:val="00A44779"/>
    <w:rsid w:val="00A46C3A"/>
    <w:rsid w:val="00A50364"/>
    <w:rsid w:val="00A536EE"/>
    <w:rsid w:val="00A55CE7"/>
    <w:rsid w:val="00A70F35"/>
    <w:rsid w:val="00A93A06"/>
    <w:rsid w:val="00A955D8"/>
    <w:rsid w:val="00AA033B"/>
    <w:rsid w:val="00AA4076"/>
    <w:rsid w:val="00AA607D"/>
    <w:rsid w:val="00AB0507"/>
    <w:rsid w:val="00AB1511"/>
    <w:rsid w:val="00AD6B7E"/>
    <w:rsid w:val="00AE5665"/>
    <w:rsid w:val="00AE78B4"/>
    <w:rsid w:val="00AF3A88"/>
    <w:rsid w:val="00B17480"/>
    <w:rsid w:val="00B208CC"/>
    <w:rsid w:val="00B22AA5"/>
    <w:rsid w:val="00B32208"/>
    <w:rsid w:val="00B5790B"/>
    <w:rsid w:val="00B61634"/>
    <w:rsid w:val="00B63E6C"/>
    <w:rsid w:val="00B6588D"/>
    <w:rsid w:val="00B92C9A"/>
    <w:rsid w:val="00B94DB5"/>
    <w:rsid w:val="00BA6328"/>
    <w:rsid w:val="00BA7223"/>
    <w:rsid w:val="00BB63E2"/>
    <w:rsid w:val="00BC7B00"/>
    <w:rsid w:val="00BD20A7"/>
    <w:rsid w:val="00BD21CE"/>
    <w:rsid w:val="00BE0B22"/>
    <w:rsid w:val="00BF25D2"/>
    <w:rsid w:val="00C03D95"/>
    <w:rsid w:val="00C12406"/>
    <w:rsid w:val="00C2375E"/>
    <w:rsid w:val="00C42D03"/>
    <w:rsid w:val="00C45A0B"/>
    <w:rsid w:val="00C70CA0"/>
    <w:rsid w:val="00CA3986"/>
    <w:rsid w:val="00CA77AE"/>
    <w:rsid w:val="00CC4A0A"/>
    <w:rsid w:val="00CC5E31"/>
    <w:rsid w:val="00CD068E"/>
    <w:rsid w:val="00CD08DB"/>
    <w:rsid w:val="00CD26FE"/>
    <w:rsid w:val="00CD6C1E"/>
    <w:rsid w:val="00CE3F73"/>
    <w:rsid w:val="00CE7F49"/>
    <w:rsid w:val="00CF12F8"/>
    <w:rsid w:val="00D13372"/>
    <w:rsid w:val="00D14D31"/>
    <w:rsid w:val="00D17765"/>
    <w:rsid w:val="00D17FBF"/>
    <w:rsid w:val="00D21431"/>
    <w:rsid w:val="00D4535F"/>
    <w:rsid w:val="00D46AC8"/>
    <w:rsid w:val="00D54846"/>
    <w:rsid w:val="00D571EE"/>
    <w:rsid w:val="00D752E3"/>
    <w:rsid w:val="00D8338D"/>
    <w:rsid w:val="00D9385B"/>
    <w:rsid w:val="00DB2477"/>
    <w:rsid w:val="00DB7527"/>
    <w:rsid w:val="00DC68B6"/>
    <w:rsid w:val="00DE0A1E"/>
    <w:rsid w:val="00DE7DF5"/>
    <w:rsid w:val="00DF1139"/>
    <w:rsid w:val="00DF27BF"/>
    <w:rsid w:val="00DF5299"/>
    <w:rsid w:val="00E0117B"/>
    <w:rsid w:val="00E11323"/>
    <w:rsid w:val="00E13591"/>
    <w:rsid w:val="00E13948"/>
    <w:rsid w:val="00E160E9"/>
    <w:rsid w:val="00E21400"/>
    <w:rsid w:val="00E22A1B"/>
    <w:rsid w:val="00E37511"/>
    <w:rsid w:val="00E40E27"/>
    <w:rsid w:val="00E52716"/>
    <w:rsid w:val="00E661CC"/>
    <w:rsid w:val="00E72E0D"/>
    <w:rsid w:val="00E73867"/>
    <w:rsid w:val="00E75DBC"/>
    <w:rsid w:val="00E814EC"/>
    <w:rsid w:val="00E844BB"/>
    <w:rsid w:val="00E86E4B"/>
    <w:rsid w:val="00E90711"/>
    <w:rsid w:val="00EA2EE5"/>
    <w:rsid w:val="00EA7A49"/>
    <w:rsid w:val="00EB54D7"/>
    <w:rsid w:val="00F1148E"/>
    <w:rsid w:val="00F11A9A"/>
    <w:rsid w:val="00F1478D"/>
    <w:rsid w:val="00F1601A"/>
    <w:rsid w:val="00F27739"/>
    <w:rsid w:val="00F35029"/>
    <w:rsid w:val="00F465E3"/>
    <w:rsid w:val="00F549A0"/>
    <w:rsid w:val="00F572F6"/>
    <w:rsid w:val="00F61A0D"/>
    <w:rsid w:val="00F65CA7"/>
    <w:rsid w:val="00F66EB2"/>
    <w:rsid w:val="00F7126A"/>
    <w:rsid w:val="00F74AE3"/>
    <w:rsid w:val="00F83468"/>
    <w:rsid w:val="00F97C3A"/>
    <w:rsid w:val="00FA36A5"/>
    <w:rsid w:val="00FB36FC"/>
    <w:rsid w:val="00FC229C"/>
    <w:rsid w:val="00FC6545"/>
    <w:rsid w:val="00FC6B33"/>
    <w:rsid w:val="00FD23A8"/>
    <w:rsid w:val="00FE04D1"/>
    <w:rsid w:val="00FE1A44"/>
    <w:rsid w:val="00FE653D"/>
    <w:rsid w:val="00FF2B29"/>
    <w:rsid w:val="00FF5059"/>
    <w:rsid w:val="00FF79F8"/>
    <w:rsid w:val="01016F77"/>
    <w:rsid w:val="01235CBB"/>
    <w:rsid w:val="0147272E"/>
    <w:rsid w:val="015F7291"/>
    <w:rsid w:val="016601B5"/>
    <w:rsid w:val="016C6285"/>
    <w:rsid w:val="01905D4E"/>
    <w:rsid w:val="01BF446B"/>
    <w:rsid w:val="01C33E75"/>
    <w:rsid w:val="01CF4650"/>
    <w:rsid w:val="01DC4B6D"/>
    <w:rsid w:val="01DE0A3D"/>
    <w:rsid w:val="01FF0589"/>
    <w:rsid w:val="021A2C53"/>
    <w:rsid w:val="02262629"/>
    <w:rsid w:val="023D07CA"/>
    <w:rsid w:val="024B29A8"/>
    <w:rsid w:val="025B2BDD"/>
    <w:rsid w:val="025C1F43"/>
    <w:rsid w:val="02691867"/>
    <w:rsid w:val="02BC1EC1"/>
    <w:rsid w:val="02C33764"/>
    <w:rsid w:val="02DD6925"/>
    <w:rsid w:val="02E969A4"/>
    <w:rsid w:val="02FB3B23"/>
    <w:rsid w:val="030A3205"/>
    <w:rsid w:val="03366953"/>
    <w:rsid w:val="034A7BA5"/>
    <w:rsid w:val="034C23A0"/>
    <w:rsid w:val="0353555C"/>
    <w:rsid w:val="035A5AF3"/>
    <w:rsid w:val="036C5F1A"/>
    <w:rsid w:val="037E757B"/>
    <w:rsid w:val="038E1A4F"/>
    <w:rsid w:val="03A35E51"/>
    <w:rsid w:val="03B24429"/>
    <w:rsid w:val="03CF2F3E"/>
    <w:rsid w:val="040403C7"/>
    <w:rsid w:val="040E0152"/>
    <w:rsid w:val="04166D26"/>
    <w:rsid w:val="043A7A3B"/>
    <w:rsid w:val="04686969"/>
    <w:rsid w:val="046924E7"/>
    <w:rsid w:val="048D0480"/>
    <w:rsid w:val="04B42133"/>
    <w:rsid w:val="04BA794E"/>
    <w:rsid w:val="04C31C0F"/>
    <w:rsid w:val="04C37E19"/>
    <w:rsid w:val="04D12D71"/>
    <w:rsid w:val="04FD40F2"/>
    <w:rsid w:val="05372DA4"/>
    <w:rsid w:val="054A41B7"/>
    <w:rsid w:val="05741D34"/>
    <w:rsid w:val="05A50E7C"/>
    <w:rsid w:val="06023542"/>
    <w:rsid w:val="067C233D"/>
    <w:rsid w:val="06861813"/>
    <w:rsid w:val="06937984"/>
    <w:rsid w:val="06967A3F"/>
    <w:rsid w:val="06A628AE"/>
    <w:rsid w:val="06C771A3"/>
    <w:rsid w:val="0708350A"/>
    <w:rsid w:val="0711360B"/>
    <w:rsid w:val="072B23BE"/>
    <w:rsid w:val="073C007C"/>
    <w:rsid w:val="077274B4"/>
    <w:rsid w:val="079A7000"/>
    <w:rsid w:val="079B438E"/>
    <w:rsid w:val="07A01238"/>
    <w:rsid w:val="07CB6CD5"/>
    <w:rsid w:val="07D05206"/>
    <w:rsid w:val="08140636"/>
    <w:rsid w:val="081A04E8"/>
    <w:rsid w:val="084166EA"/>
    <w:rsid w:val="088A04F0"/>
    <w:rsid w:val="088A3FB8"/>
    <w:rsid w:val="093C0A37"/>
    <w:rsid w:val="09B0067D"/>
    <w:rsid w:val="09DC53A7"/>
    <w:rsid w:val="0A415811"/>
    <w:rsid w:val="0A6E15A5"/>
    <w:rsid w:val="0A874C05"/>
    <w:rsid w:val="0A8F50B9"/>
    <w:rsid w:val="0A9E0AC8"/>
    <w:rsid w:val="0ACD7171"/>
    <w:rsid w:val="0AE15B50"/>
    <w:rsid w:val="0AF807D7"/>
    <w:rsid w:val="0B0F5C9F"/>
    <w:rsid w:val="0B28158C"/>
    <w:rsid w:val="0B4B1E06"/>
    <w:rsid w:val="0B532BA8"/>
    <w:rsid w:val="0B6A5D37"/>
    <w:rsid w:val="0B7C3EA1"/>
    <w:rsid w:val="0BAB4E0E"/>
    <w:rsid w:val="0BAD6248"/>
    <w:rsid w:val="0BAF4CCB"/>
    <w:rsid w:val="0BBA3C56"/>
    <w:rsid w:val="0BD34696"/>
    <w:rsid w:val="0C0309BA"/>
    <w:rsid w:val="0C355123"/>
    <w:rsid w:val="0C59040C"/>
    <w:rsid w:val="0C665824"/>
    <w:rsid w:val="0C8D1F69"/>
    <w:rsid w:val="0C9310A3"/>
    <w:rsid w:val="0C984361"/>
    <w:rsid w:val="0CB03CD2"/>
    <w:rsid w:val="0CE41B31"/>
    <w:rsid w:val="0CF301A5"/>
    <w:rsid w:val="0CFD04BC"/>
    <w:rsid w:val="0D0E1AF0"/>
    <w:rsid w:val="0D204A5D"/>
    <w:rsid w:val="0D323FC1"/>
    <w:rsid w:val="0D514FF5"/>
    <w:rsid w:val="0D614C51"/>
    <w:rsid w:val="0D751E61"/>
    <w:rsid w:val="0D8777F6"/>
    <w:rsid w:val="0DB713C3"/>
    <w:rsid w:val="0DC62A71"/>
    <w:rsid w:val="0E3D6A8E"/>
    <w:rsid w:val="0E4076C5"/>
    <w:rsid w:val="0E837DDF"/>
    <w:rsid w:val="0E9E3572"/>
    <w:rsid w:val="0EB5635E"/>
    <w:rsid w:val="0EB8754C"/>
    <w:rsid w:val="0EEB7659"/>
    <w:rsid w:val="0EFB59A3"/>
    <w:rsid w:val="0F01175D"/>
    <w:rsid w:val="0F025BAA"/>
    <w:rsid w:val="0F7B63A0"/>
    <w:rsid w:val="0F7B7C0B"/>
    <w:rsid w:val="0F9C0159"/>
    <w:rsid w:val="0FC04A43"/>
    <w:rsid w:val="0FC86DFC"/>
    <w:rsid w:val="0FE60143"/>
    <w:rsid w:val="0FE6342C"/>
    <w:rsid w:val="101476C3"/>
    <w:rsid w:val="10170212"/>
    <w:rsid w:val="10275AEB"/>
    <w:rsid w:val="1080507E"/>
    <w:rsid w:val="108064F2"/>
    <w:rsid w:val="10821A66"/>
    <w:rsid w:val="109B45F4"/>
    <w:rsid w:val="10A56817"/>
    <w:rsid w:val="10B4058D"/>
    <w:rsid w:val="10C35B5C"/>
    <w:rsid w:val="10D77C07"/>
    <w:rsid w:val="112F00E3"/>
    <w:rsid w:val="11611D49"/>
    <w:rsid w:val="11673120"/>
    <w:rsid w:val="11674F3D"/>
    <w:rsid w:val="11694370"/>
    <w:rsid w:val="117141C3"/>
    <w:rsid w:val="11875A3F"/>
    <w:rsid w:val="118F1C4B"/>
    <w:rsid w:val="11915752"/>
    <w:rsid w:val="11A54DB1"/>
    <w:rsid w:val="11C473B7"/>
    <w:rsid w:val="11D263D2"/>
    <w:rsid w:val="11EB1A6E"/>
    <w:rsid w:val="11F93CC8"/>
    <w:rsid w:val="121D5AA7"/>
    <w:rsid w:val="1222438B"/>
    <w:rsid w:val="123E07AF"/>
    <w:rsid w:val="127D6164"/>
    <w:rsid w:val="128B082A"/>
    <w:rsid w:val="12914B30"/>
    <w:rsid w:val="12B17AA6"/>
    <w:rsid w:val="12D76A20"/>
    <w:rsid w:val="12F46E80"/>
    <w:rsid w:val="131A3751"/>
    <w:rsid w:val="136B5FEA"/>
    <w:rsid w:val="13A91C52"/>
    <w:rsid w:val="13D83775"/>
    <w:rsid w:val="13ED1D45"/>
    <w:rsid w:val="1404100F"/>
    <w:rsid w:val="141D790D"/>
    <w:rsid w:val="14313585"/>
    <w:rsid w:val="144B4EFE"/>
    <w:rsid w:val="145910E0"/>
    <w:rsid w:val="145D2BC2"/>
    <w:rsid w:val="147501D3"/>
    <w:rsid w:val="15007ACD"/>
    <w:rsid w:val="151F4732"/>
    <w:rsid w:val="15372FA4"/>
    <w:rsid w:val="153A1F28"/>
    <w:rsid w:val="153F05C2"/>
    <w:rsid w:val="15565AEA"/>
    <w:rsid w:val="158F403B"/>
    <w:rsid w:val="159076D6"/>
    <w:rsid w:val="15C11B01"/>
    <w:rsid w:val="15CE0A89"/>
    <w:rsid w:val="15E3346A"/>
    <w:rsid w:val="162A541E"/>
    <w:rsid w:val="166B472B"/>
    <w:rsid w:val="16704C68"/>
    <w:rsid w:val="16B877F8"/>
    <w:rsid w:val="16BC52DE"/>
    <w:rsid w:val="171A2CB4"/>
    <w:rsid w:val="171B2434"/>
    <w:rsid w:val="173C04C3"/>
    <w:rsid w:val="173E2A85"/>
    <w:rsid w:val="176652E8"/>
    <w:rsid w:val="176F4594"/>
    <w:rsid w:val="17915A7E"/>
    <w:rsid w:val="181803D7"/>
    <w:rsid w:val="18196EE4"/>
    <w:rsid w:val="184D4A07"/>
    <w:rsid w:val="18666AF9"/>
    <w:rsid w:val="187450BD"/>
    <w:rsid w:val="188C4E41"/>
    <w:rsid w:val="18C56911"/>
    <w:rsid w:val="18CB0D78"/>
    <w:rsid w:val="18E447E1"/>
    <w:rsid w:val="18F1275C"/>
    <w:rsid w:val="19217C54"/>
    <w:rsid w:val="19247ED6"/>
    <w:rsid w:val="194E4D9E"/>
    <w:rsid w:val="196B2692"/>
    <w:rsid w:val="198C2B7E"/>
    <w:rsid w:val="19947705"/>
    <w:rsid w:val="19AF3F61"/>
    <w:rsid w:val="19B86659"/>
    <w:rsid w:val="19B95A0C"/>
    <w:rsid w:val="19F02A92"/>
    <w:rsid w:val="19F70E42"/>
    <w:rsid w:val="1A195EF1"/>
    <w:rsid w:val="1A1B111D"/>
    <w:rsid w:val="1A4E3356"/>
    <w:rsid w:val="1A5D78BC"/>
    <w:rsid w:val="1A681627"/>
    <w:rsid w:val="1A7847F0"/>
    <w:rsid w:val="1A7B4DAB"/>
    <w:rsid w:val="1ACD364A"/>
    <w:rsid w:val="1ADD5B4A"/>
    <w:rsid w:val="1AE678F5"/>
    <w:rsid w:val="1B117444"/>
    <w:rsid w:val="1B242D7C"/>
    <w:rsid w:val="1B5148C2"/>
    <w:rsid w:val="1B5D0A58"/>
    <w:rsid w:val="1B8018C9"/>
    <w:rsid w:val="1B9A5644"/>
    <w:rsid w:val="1BAB764D"/>
    <w:rsid w:val="1BE374A9"/>
    <w:rsid w:val="1C1C3E85"/>
    <w:rsid w:val="1C37204F"/>
    <w:rsid w:val="1C4F3974"/>
    <w:rsid w:val="1C8C2322"/>
    <w:rsid w:val="1CA52C2F"/>
    <w:rsid w:val="1CAF7990"/>
    <w:rsid w:val="1CC33031"/>
    <w:rsid w:val="1CD157D9"/>
    <w:rsid w:val="1CDF1CFC"/>
    <w:rsid w:val="1D063AAC"/>
    <w:rsid w:val="1D3B78D9"/>
    <w:rsid w:val="1D7840F1"/>
    <w:rsid w:val="1D836679"/>
    <w:rsid w:val="1D8B71E1"/>
    <w:rsid w:val="1D9D3D4A"/>
    <w:rsid w:val="1DC96E12"/>
    <w:rsid w:val="1E0D50FB"/>
    <w:rsid w:val="1E352C70"/>
    <w:rsid w:val="1E4574C2"/>
    <w:rsid w:val="1E536B13"/>
    <w:rsid w:val="1E5545E4"/>
    <w:rsid w:val="1E557FB0"/>
    <w:rsid w:val="1E853844"/>
    <w:rsid w:val="1E9D58D6"/>
    <w:rsid w:val="1EA77971"/>
    <w:rsid w:val="1ED10DEF"/>
    <w:rsid w:val="1EE51DD3"/>
    <w:rsid w:val="1F066F88"/>
    <w:rsid w:val="1F254E7A"/>
    <w:rsid w:val="1F772657"/>
    <w:rsid w:val="1FA62D37"/>
    <w:rsid w:val="1FB168A4"/>
    <w:rsid w:val="1FCA7CDE"/>
    <w:rsid w:val="1FE3716A"/>
    <w:rsid w:val="1FED24E5"/>
    <w:rsid w:val="202D7E73"/>
    <w:rsid w:val="202F4E7D"/>
    <w:rsid w:val="2037677D"/>
    <w:rsid w:val="20410845"/>
    <w:rsid w:val="206007DE"/>
    <w:rsid w:val="206B4F6D"/>
    <w:rsid w:val="207D383C"/>
    <w:rsid w:val="20851F20"/>
    <w:rsid w:val="20B42211"/>
    <w:rsid w:val="20BA0299"/>
    <w:rsid w:val="20C47A5B"/>
    <w:rsid w:val="20E6100E"/>
    <w:rsid w:val="20F52E31"/>
    <w:rsid w:val="20FA64C2"/>
    <w:rsid w:val="21283873"/>
    <w:rsid w:val="21430515"/>
    <w:rsid w:val="214E24EE"/>
    <w:rsid w:val="21805ABF"/>
    <w:rsid w:val="21A47267"/>
    <w:rsid w:val="21A85F9F"/>
    <w:rsid w:val="21B5407C"/>
    <w:rsid w:val="21BC252B"/>
    <w:rsid w:val="21CA7177"/>
    <w:rsid w:val="21DD6CCE"/>
    <w:rsid w:val="21F15373"/>
    <w:rsid w:val="21F81498"/>
    <w:rsid w:val="221710F1"/>
    <w:rsid w:val="224F3B68"/>
    <w:rsid w:val="22547778"/>
    <w:rsid w:val="22745C5B"/>
    <w:rsid w:val="227F1D33"/>
    <w:rsid w:val="22A56E76"/>
    <w:rsid w:val="22B25267"/>
    <w:rsid w:val="22C84DCC"/>
    <w:rsid w:val="231A43B2"/>
    <w:rsid w:val="23280C8D"/>
    <w:rsid w:val="232910C4"/>
    <w:rsid w:val="23302798"/>
    <w:rsid w:val="23423B80"/>
    <w:rsid w:val="236915C9"/>
    <w:rsid w:val="239E1028"/>
    <w:rsid w:val="23A139B1"/>
    <w:rsid w:val="23B41069"/>
    <w:rsid w:val="23CB460C"/>
    <w:rsid w:val="23DD33CC"/>
    <w:rsid w:val="23E16E04"/>
    <w:rsid w:val="23EB433F"/>
    <w:rsid w:val="240C32C9"/>
    <w:rsid w:val="24132D46"/>
    <w:rsid w:val="242817F7"/>
    <w:rsid w:val="244F371F"/>
    <w:rsid w:val="2465351D"/>
    <w:rsid w:val="24681476"/>
    <w:rsid w:val="248E37F3"/>
    <w:rsid w:val="249220C6"/>
    <w:rsid w:val="24A9239B"/>
    <w:rsid w:val="24AA65D4"/>
    <w:rsid w:val="24C85D1D"/>
    <w:rsid w:val="24D526FD"/>
    <w:rsid w:val="24E76BE8"/>
    <w:rsid w:val="25035A1C"/>
    <w:rsid w:val="25070CC1"/>
    <w:rsid w:val="252452EF"/>
    <w:rsid w:val="252B0BB3"/>
    <w:rsid w:val="252E4512"/>
    <w:rsid w:val="252E7189"/>
    <w:rsid w:val="255C02B9"/>
    <w:rsid w:val="25645475"/>
    <w:rsid w:val="25722BAF"/>
    <w:rsid w:val="258E7B7F"/>
    <w:rsid w:val="259B0C90"/>
    <w:rsid w:val="25A55A28"/>
    <w:rsid w:val="262A3084"/>
    <w:rsid w:val="262C35F3"/>
    <w:rsid w:val="26574779"/>
    <w:rsid w:val="26720AE8"/>
    <w:rsid w:val="26722DF5"/>
    <w:rsid w:val="26850A44"/>
    <w:rsid w:val="2692015A"/>
    <w:rsid w:val="26A42276"/>
    <w:rsid w:val="26A95916"/>
    <w:rsid w:val="26AC2D46"/>
    <w:rsid w:val="26B048CF"/>
    <w:rsid w:val="26BC5F7E"/>
    <w:rsid w:val="26BC75B0"/>
    <w:rsid w:val="26C574C4"/>
    <w:rsid w:val="26D95C81"/>
    <w:rsid w:val="271375AF"/>
    <w:rsid w:val="27200E83"/>
    <w:rsid w:val="27226628"/>
    <w:rsid w:val="27240C26"/>
    <w:rsid w:val="27272B7E"/>
    <w:rsid w:val="272804A6"/>
    <w:rsid w:val="273F53E1"/>
    <w:rsid w:val="27685E57"/>
    <w:rsid w:val="277A6499"/>
    <w:rsid w:val="27AD4732"/>
    <w:rsid w:val="27EF5D71"/>
    <w:rsid w:val="27FC6AB7"/>
    <w:rsid w:val="281A3B7F"/>
    <w:rsid w:val="281D4CB6"/>
    <w:rsid w:val="28225114"/>
    <w:rsid w:val="28414907"/>
    <w:rsid w:val="285F4DA4"/>
    <w:rsid w:val="28641DDC"/>
    <w:rsid w:val="286D7311"/>
    <w:rsid w:val="288663F2"/>
    <w:rsid w:val="28907CBF"/>
    <w:rsid w:val="28926C90"/>
    <w:rsid w:val="28983BDF"/>
    <w:rsid w:val="28994044"/>
    <w:rsid w:val="28BA778B"/>
    <w:rsid w:val="28CF7855"/>
    <w:rsid w:val="28E37577"/>
    <w:rsid w:val="292667B7"/>
    <w:rsid w:val="2927416E"/>
    <w:rsid w:val="292852C2"/>
    <w:rsid w:val="29403833"/>
    <w:rsid w:val="2961335E"/>
    <w:rsid w:val="296278BF"/>
    <w:rsid w:val="29840596"/>
    <w:rsid w:val="29844DD8"/>
    <w:rsid w:val="298C53B4"/>
    <w:rsid w:val="29D41FB6"/>
    <w:rsid w:val="2A066D84"/>
    <w:rsid w:val="2A1F0EA2"/>
    <w:rsid w:val="2A8B74F7"/>
    <w:rsid w:val="2A9C4475"/>
    <w:rsid w:val="2AA03DAB"/>
    <w:rsid w:val="2AB526BC"/>
    <w:rsid w:val="2AE74455"/>
    <w:rsid w:val="2AEE3A39"/>
    <w:rsid w:val="2B333009"/>
    <w:rsid w:val="2B4D7F9A"/>
    <w:rsid w:val="2B81314E"/>
    <w:rsid w:val="2BB704E0"/>
    <w:rsid w:val="2BE84F13"/>
    <w:rsid w:val="2C0C1A2C"/>
    <w:rsid w:val="2C253078"/>
    <w:rsid w:val="2C494E79"/>
    <w:rsid w:val="2C4E2C7E"/>
    <w:rsid w:val="2C4F375B"/>
    <w:rsid w:val="2C682DF7"/>
    <w:rsid w:val="2C6C1C2D"/>
    <w:rsid w:val="2C6C1EF3"/>
    <w:rsid w:val="2CB07168"/>
    <w:rsid w:val="2CB62549"/>
    <w:rsid w:val="2CD94390"/>
    <w:rsid w:val="2CDC63DA"/>
    <w:rsid w:val="2CDF0540"/>
    <w:rsid w:val="2CEA061D"/>
    <w:rsid w:val="2D1A6B8B"/>
    <w:rsid w:val="2D3C7A1B"/>
    <w:rsid w:val="2D400C03"/>
    <w:rsid w:val="2D527FBC"/>
    <w:rsid w:val="2D9B2B4F"/>
    <w:rsid w:val="2DAA3BA2"/>
    <w:rsid w:val="2DC3526B"/>
    <w:rsid w:val="2DC64325"/>
    <w:rsid w:val="2DCF7CDF"/>
    <w:rsid w:val="2DF511F5"/>
    <w:rsid w:val="2E004BE0"/>
    <w:rsid w:val="2E084B99"/>
    <w:rsid w:val="2E762EEB"/>
    <w:rsid w:val="2E9236A2"/>
    <w:rsid w:val="2E9B4165"/>
    <w:rsid w:val="2EC94570"/>
    <w:rsid w:val="2EF82D13"/>
    <w:rsid w:val="2F041204"/>
    <w:rsid w:val="2F06540D"/>
    <w:rsid w:val="2F362D1D"/>
    <w:rsid w:val="2F3E1D3D"/>
    <w:rsid w:val="2F520D6A"/>
    <w:rsid w:val="2F631E0B"/>
    <w:rsid w:val="2F983C4C"/>
    <w:rsid w:val="2FD35FF4"/>
    <w:rsid w:val="301E0417"/>
    <w:rsid w:val="30401D11"/>
    <w:rsid w:val="30405287"/>
    <w:rsid w:val="306E5BF5"/>
    <w:rsid w:val="30811BCF"/>
    <w:rsid w:val="30852C88"/>
    <w:rsid w:val="309E3F2C"/>
    <w:rsid w:val="30A41A34"/>
    <w:rsid w:val="30B8536E"/>
    <w:rsid w:val="30E33E00"/>
    <w:rsid w:val="312225A7"/>
    <w:rsid w:val="313A1FDF"/>
    <w:rsid w:val="314E5250"/>
    <w:rsid w:val="316B4950"/>
    <w:rsid w:val="319542A1"/>
    <w:rsid w:val="31996F96"/>
    <w:rsid w:val="31AA7C21"/>
    <w:rsid w:val="31B643EF"/>
    <w:rsid w:val="31D811CD"/>
    <w:rsid w:val="31D90966"/>
    <w:rsid w:val="31E70161"/>
    <w:rsid w:val="31F66D75"/>
    <w:rsid w:val="32042F99"/>
    <w:rsid w:val="324C33B5"/>
    <w:rsid w:val="324C7ED8"/>
    <w:rsid w:val="32A51B90"/>
    <w:rsid w:val="32E77D37"/>
    <w:rsid w:val="33137B9F"/>
    <w:rsid w:val="33353386"/>
    <w:rsid w:val="33415A8D"/>
    <w:rsid w:val="337B73ED"/>
    <w:rsid w:val="33803480"/>
    <w:rsid w:val="3385457C"/>
    <w:rsid w:val="339A55B4"/>
    <w:rsid w:val="339E2468"/>
    <w:rsid w:val="33A91D17"/>
    <w:rsid w:val="33B44E41"/>
    <w:rsid w:val="33CC4CB4"/>
    <w:rsid w:val="34041022"/>
    <w:rsid w:val="34143E5B"/>
    <w:rsid w:val="342A5B0A"/>
    <w:rsid w:val="34395956"/>
    <w:rsid w:val="346059E8"/>
    <w:rsid w:val="34756687"/>
    <w:rsid w:val="34A309E1"/>
    <w:rsid w:val="34A66303"/>
    <w:rsid w:val="34AC3731"/>
    <w:rsid w:val="34EF0B9B"/>
    <w:rsid w:val="35026137"/>
    <w:rsid w:val="350668B2"/>
    <w:rsid w:val="351211E7"/>
    <w:rsid w:val="35335936"/>
    <w:rsid w:val="355557F2"/>
    <w:rsid w:val="3562627B"/>
    <w:rsid w:val="357709D0"/>
    <w:rsid w:val="35C70E9A"/>
    <w:rsid w:val="35D02EC3"/>
    <w:rsid w:val="360C4565"/>
    <w:rsid w:val="36124F93"/>
    <w:rsid w:val="36514DFC"/>
    <w:rsid w:val="365A592A"/>
    <w:rsid w:val="3671559A"/>
    <w:rsid w:val="36815F72"/>
    <w:rsid w:val="36A73099"/>
    <w:rsid w:val="36E253DC"/>
    <w:rsid w:val="37257AC4"/>
    <w:rsid w:val="375F69DD"/>
    <w:rsid w:val="37A07100"/>
    <w:rsid w:val="37A406E4"/>
    <w:rsid w:val="37D6300B"/>
    <w:rsid w:val="38010FF7"/>
    <w:rsid w:val="38217B55"/>
    <w:rsid w:val="385345AE"/>
    <w:rsid w:val="3869690E"/>
    <w:rsid w:val="387400DF"/>
    <w:rsid w:val="38750FF3"/>
    <w:rsid w:val="38756D44"/>
    <w:rsid w:val="38845C7E"/>
    <w:rsid w:val="38B60A2B"/>
    <w:rsid w:val="38BD74B9"/>
    <w:rsid w:val="38EE156D"/>
    <w:rsid w:val="38F37C80"/>
    <w:rsid w:val="39015C75"/>
    <w:rsid w:val="391D14E6"/>
    <w:rsid w:val="39340E5C"/>
    <w:rsid w:val="393B5AA8"/>
    <w:rsid w:val="39A0438C"/>
    <w:rsid w:val="39C63022"/>
    <w:rsid w:val="39FE7EC6"/>
    <w:rsid w:val="3A444D54"/>
    <w:rsid w:val="3A5B049C"/>
    <w:rsid w:val="3A8B5D1B"/>
    <w:rsid w:val="3AB25A48"/>
    <w:rsid w:val="3AEC2F68"/>
    <w:rsid w:val="3B2D369C"/>
    <w:rsid w:val="3B4018AB"/>
    <w:rsid w:val="3B577533"/>
    <w:rsid w:val="3B6C0F32"/>
    <w:rsid w:val="3B745C0D"/>
    <w:rsid w:val="3B94140D"/>
    <w:rsid w:val="3BBE43C5"/>
    <w:rsid w:val="3BE01215"/>
    <w:rsid w:val="3C015CC0"/>
    <w:rsid w:val="3C016AC1"/>
    <w:rsid w:val="3C02534D"/>
    <w:rsid w:val="3C3F4224"/>
    <w:rsid w:val="3C62595E"/>
    <w:rsid w:val="3C720169"/>
    <w:rsid w:val="3CBE566C"/>
    <w:rsid w:val="3D0C725A"/>
    <w:rsid w:val="3D1524A4"/>
    <w:rsid w:val="3D7822ED"/>
    <w:rsid w:val="3D7B3BE0"/>
    <w:rsid w:val="3DA24227"/>
    <w:rsid w:val="3DA93405"/>
    <w:rsid w:val="3DC6046B"/>
    <w:rsid w:val="3DD55229"/>
    <w:rsid w:val="3DDA621C"/>
    <w:rsid w:val="3E142590"/>
    <w:rsid w:val="3E2E7EBE"/>
    <w:rsid w:val="3E521D31"/>
    <w:rsid w:val="3E6727A9"/>
    <w:rsid w:val="3E7976CC"/>
    <w:rsid w:val="3E8C6133"/>
    <w:rsid w:val="3E8D2978"/>
    <w:rsid w:val="3ED668C3"/>
    <w:rsid w:val="3F281DC2"/>
    <w:rsid w:val="3F297732"/>
    <w:rsid w:val="3F4732B9"/>
    <w:rsid w:val="3F4944A8"/>
    <w:rsid w:val="3F503F29"/>
    <w:rsid w:val="3F5807E0"/>
    <w:rsid w:val="3FB50150"/>
    <w:rsid w:val="3FCC7B66"/>
    <w:rsid w:val="3FFA4413"/>
    <w:rsid w:val="401972B4"/>
    <w:rsid w:val="40487D82"/>
    <w:rsid w:val="405B5800"/>
    <w:rsid w:val="40A01669"/>
    <w:rsid w:val="40C072D0"/>
    <w:rsid w:val="41072E0E"/>
    <w:rsid w:val="41252929"/>
    <w:rsid w:val="412C2A17"/>
    <w:rsid w:val="413B3F1A"/>
    <w:rsid w:val="41480453"/>
    <w:rsid w:val="416B49EF"/>
    <w:rsid w:val="417402BA"/>
    <w:rsid w:val="41A40996"/>
    <w:rsid w:val="41B46202"/>
    <w:rsid w:val="41CB616E"/>
    <w:rsid w:val="41DD2167"/>
    <w:rsid w:val="41FC0FA7"/>
    <w:rsid w:val="421D11FF"/>
    <w:rsid w:val="423F1CC9"/>
    <w:rsid w:val="424B600F"/>
    <w:rsid w:val="42515F96"/>
    <w:rsid w:val="42637D55"/>
    <w:rsid w:val="42BF2FF3"/>
    <w:rsid w:val="42C10E48"/>
    <w:rsid w:val="42C30E0B"/>
    <w:rsid w:val="42CA44EA"/>
    <w:rsid w:val="42D3676F"/>
    <w:rsid w:val="42EF792C"/>
    <w:rsid w:val="431123CE"/>
    <w:rsid w:val="431B7932"/>
    <w:rsid w:val="431E55F4"/>
    <w:rsid w:val="432D2509"/>
    <w:rsid w:val="4338080B"/>
    <w:rsid w:val="4365744A"/>
    <w:rsid w:val="436D3273"/>
    <w:rsid w:val="4370627C"/>
    <w:rsid w:val="437D03C2"/>
    <w:rsid w:val="439E46C5"/>
    <w:rsid w:val="43E072E0"/>
    <w:rsid w:val="43E074ED"/>
    <w:rsid w:val="43E52ADD"/>
    <w:rsid w:val="43F15A9D"/>
    <w:rsid w:val="43F354D7"/>
    <w:rsid w:val="440139FF"/>
    <w:rsid w:val="440A1946"/>
    <w:rsid w:val="44162084"/>
    <w:rsid w:val="44752DC1"/>
    <w:rsid w:val="44832F7B"/>
    <w:rsid w:val="44947BD4"/>
    <w:rsid w:val="44AA3750"/>
    <w:rsid w:val="44B52CB1"/>
    <w:rsid w:val="44C804E0"/>
    <w:rsid w:val="4507271E"/>
    <w:rsid w:val="45226E5D"/>
    <w:rsid w:val="454D75C2"/>
    <w:rsid w:val="45532A6D"/>
    <w:rsid w:val="455A64B5"/>
    <w:rsid w:val="455C5643"/>
    <w:rsid w:val="45965327"/>
    <w:rsid w:val="459D4520"/>
    <w:rsid w:val="45A67D8E"/>
    <w:rsid w:val="45BA248B"/>
    <w:rsid w:val="460B7E0C"/>
    <w:rsid w:val="461812ED"/>
    <w:rsid w:val="46223A8A"/>
    <w:rsid w:val="46314DBD"/>
    <w:rsid w:val="4643282A"/>
    <w:rsid w:val="4682603A"/>
    <w:rsid w:val="46C633A0"/>
    <w:rsid w:val="46D908D3"/>
    <w:rsid w:val="47101887"/>
    <w:rsid w:val="472813A6"/>
    <w:rsid w:val="474728DD"/>
    <w:rsid w:val="47752F9E"/>
    <w:rsid w:val="477A01FD"/>
    <w:rsid w:val="47801AB2"/>
    <w:rsid w:val="4795235B"/>
    <w:rsid w:val="47B27E71"/>
    <w:rsid w:val="47E567CE"/>
    <w:rsid w:val="48090F94"/>
    <w:rsid w:val="486A14E7"/>
    <w:rsid w:val="486D6717"/>
    <w:rsid w:val="48894303"/>
    <w:rsid w:val="49072A64"/>
    <w:rsid w:val="4913084D"/>
    <w:rsid w:val="491E3D88"/>
    <w:rsid w:val="493731EA"/>
    <w:rsid w:val="496B237A"/>
    <w:rsid w:val="49804F26"/>
    <w:rsid w:val="49990406"/>
    <w:rsid w:val="49AF4B75"/>
    <w:rsid w:val="49D47304"/>
    <w:rsid w:val="4A343D33"/>
    <w:rsid w:val="4A4679EC"/>
    <w:rsid w:val="4A522936"/>
    <w:rsid w:val="4A7D62A7"/>
    <w:rsid w:val="4A8166C5"/>
    <w:rsid w:val="4A8803F3"/>
    <w:rsid w:val="4A9F523E"/>
    <w:rsid w:val="4A9F776C"/>
    <w:rsid w:val="4ABC335D"/>
    <w:rsid w:val="4AC95516"/>
    <w:rsid w:val="4ADC34C0"/>
    <w:rsid w:val="4B0706EF"/>
    <w:rsid w:val="4B151CDA"/>
    <w:rsid w:val="4B2E5F87"/>
    <w:rsid w:val="4B3423D0"/>
    <w:rsid w:val="4B604271"/>
    <w:rsid w:val="4B7C57A9"/>
    <w:rsid w:val="4B9535D0"/>
    <w:rsid w:val="4BF65473"/>
    <w:rsid w:val="4C1C5ED1"/>
    <w:rsid w:val="4C296DFE"/>
    <w:rsid w:val="4C4308E7"/>
    <w:rsid w:val="4C5F554A"/>
    <w:rsid w:val="4C674BE3"/>
    <w:rsid w:val="4C796238"/>
    <w:rsid w:val="4C8D7864"/>
    <w:rsid w:val="4CA2136F"/>
    <w:rsid w:val="4CC330C3"/>
    <w:rsid w:val="4CD07A2A"/>
    <w:rsid w:val="4CF25575"/>
    <w:rsid w:val="4CFE48B1"/>
    <w:rsid w:val="4D042A23"/>
    <w:rsid w:val="4D6543A8"/>
    <w:rsid w:val="4D8D7BF0"/>
    <w:rsid w:val="4DBB674D"/>
    <w:rsid w:val="4DEE42BB"/>
    <w:rsid w:val="4E4C2F10"/>
    <w:rsid w:val="4E50554E"/>
    <w:rsid w:val="4E9E4D53"/>
    <w:rsid w:val="4EA253CD"/>
    <w:rsid w:val="4EA62219"/>
    <w:rsid w:val="4EB9101B"/>
    <w:rsid w:val="4EDF533B"/>
    <w:rsid w:val="4EE80E4C"/>
    <w:rsid w:val="4F046328"/>
    <w:rsid w:val="4F0A38E9"/>
    <w:rsid w:val="4F0C1D27"/>
    <w:rsid w:val="4F0C6D7F"/>
    <w:rsid w:val="4F1763A9"/>
    <w:rsid w:val="4F3139CE"/>
    <w:rsid w:val="4F3F4AE5"/>
    <w:rsid w:val="4F9A2F39"/>
    <w:rsid w:val="4FA52BCF"/>
    <w:rsid w:val="4FE60EDF"/>
    <w:rsid w:val="4FF5614D"/>
    <w:rsid w:val="50456945"/>
    <w:rsid w:val="50527BFF"/>
    <w:rsid w:val="507C0F0A"/>
    <w:rsid w:val="507C4036"/>
    <w:rsid w:val="50987303"/>
    <w:rsid w:val="509A5FF6"/>
    <w:rsid w:val="50B21FB5"/>
    <w:rsid w:val="50EA598E"/>
    <w:rsid w:val="513D7C0C"/>
    <w:rsid w:val="514A4278"/>
    <w:rsid w:val="51550A01"/>
    <w:rsid w:val="51580D72"/>
    <w:rsid w:val="516B7014"/>
    <w:rsid w:val="516F5BB5"/>
    <w:rsid w:val="517A72F6"/>
    <w:rsid w:val="51876787"/>
    <w:rsid w:val="51A00F03"/>
    <w:rsid w:val="51D514A1"/>
    <w:rsid w:val="51E86261"/>
    <w:rsid w:val="51F60FA4"/>
    <w:rsid w:val="523429DF"/>
    <w:rsid w:val="526762D2"/>
    <w:rsid w:val="52A10892"/>
    <w:rsid w:val="52B453D9"/>
    <w:rsid w:val="52B925C9"/>
    <w:rsid w:val="52DA0145"/>
    <w:rsid w:val="52EF5B8A"/>
    <w:rsid w:val="53157BAA"/>
    <w:rsid w:val="532100DD"/>
    <w:rsid w:val="532631EC"/>
    <w:rsid w:val="535B075B"/>
    <w:rsid w:val="53C82084"/>
    <w:rsid w:val="53F56162"/>
    <w:rsid w:val="543437C0"/>
    <w:rsid w:val="54407DB7"/>
    <w:rsid w:val="54476E39"/>
    <w:rsid w:val="545170B4"/>
    <w:rsid w:val="5452354B"/>
    <w:rsid w:val="54572022"/>
    <w:rsid w:val="54581443"/>
    <w:rsid w:val="5478018A"/>
    <w:rsid w:val="54993A1A"/>
    <w:rsid w:val="54AA6DEE"/>
    <w:rsid w:val="54D142AB"/>
    <w:rsid w:val="54EB48D8"/>
    <w:rsid w:val="550012B8"/>
    <w:rsid w:val="552C3E22"/>
    <w:rsid w:val="553E1633"/>
    <w:rsid w:val="554910C3"/>
    <w:rsid w:val="5565794F"/>
    <w:rsid w:val="55866B82"/>
    <w:rsid w:val="55AC70FA"/>
    <w:rsid w:val="55B66503"/>
    <w:rsid w:val="55CC7FEC"/>
    <w:rsid w:val="55F95A0A"/>
    <w:rsid w:val="562A4F52"/>
    <w:rsid w:val="562D14FF"/>
    <w:rsid w:val="56312E45"/>
    <w:rsid w:val="5660269B"/>
    <w:rsid w:val="567815A1"/>
    <w:rsid w:val="56864EC0"/>
    <w:rsid w:val="56C1389A"/>
    <w:rsid w:val="56C70E4C"/>
    <w:rsid w:val="56DA0379"/>
    <w:rsid w:val="56E629BF"/>
    <w:rsid w:val="571A3316"/>
    <w:rsid w:val="57700F1E"/>
    <w:rsid w:val="57743876"/>
    <w:rsid w:val="5788259C"/>
    <w:rsid w:val="57BA6A69"/>
    <w:rsid w:val="57C96BB6"/>
    <w:rsid w:val="57D60F67"/>
    <w:rsid w:val="584B45E2"/>
    <w:rsid w:val="58873070"/>
    <w:rsid w:val="58BD13B3"/>
    <w:rsid w:val="590239D6"/>
    <w:rsid w:val="59074258"/>
    <w:rsid w:val="599260CF"/>
    <w:rsid w:val="59A374A2"/>
    <w:rsid w:val="59A6390C"/>
    <w:rsid w:val="59A85A0F"/>
    <w:rsid w:val="59BF4E8F"/>
    <w:rsid w:val="59F54A78"/>
    <w:rsid w:val="59FF3DD5"/>
    <w:rsid w:val="5A061F05"/>
    <w:rsid w:val="5A2D5907"/>
    <w:rsid w:val="5A5C695A"/>
    <w:rsid w:val="5A9E14BA"/>
    <w:rsid w:val="5AAF18B6"/>
    <w:rsid w:val="5AE01549"/>
    <w:rsid w:val="5AF25320"/>
    <w:rsid w:val="5B061FA0"/>
    <w:rsid w:val="5B0C3813"/>
    <w:rsid w:val="5B5D0668"/>
    <w:rsid w:val="5B954541"/>
    <w:rsid w:val="5B9736F3"/>
    <w:rsid w:val="5BA849E6"/>
    <w:rsid w:val="5BDA6D7F"/>
    <w:rsid w:val="5BE119C8"/>
    <w:rsid w:val="5BE6074A"/>
    <w:rsid w:val="5C047FED"/>
    <w:rsid w:val="5C0709CB"/>
    <w:rsid w:val="5C2B4972"/>
    <w:rsid w:val="5C312F2C"/>
    <w:rsid w:val="5C625955"/>
    <w:rsid w:val="5CA54AB0"/>
    <w:rsid w:val="5CF239A6"/>
    <w:rsid w:val="5D002351"/>
    <w:rsid w:val="5D002A38"/>
    <w:rsid w:val="5D177993"/>
    <w:rsid w:val="5D207458"/>
    <w:rsid w:val="5D3B7CB5"/>
    <w:rsid w:val="5D560EE3"/>
    <w:rsid w:val="5D584373"/>
    <w:rsid w:val="5D6719C5"/>
    <w:rsid w:val="5D754025"/>
    <w:rsid w:val="5D9B3801"/>
    <w:rsid w:val="5DB01940"/>
    <w:rsid w:val="5DE272CE"/>
    <w:rsid w:val="5DE646D3"/>
    <w:rsid w:val="5E0B1330"/>
    <w:rsid w:val="5E1A1A2D"/>
    <w:rsid w:val="5E1A2D19"/>
    <w:rsid w:val="5E7B078E"/>
    <w:rsid w:val="5E822A4A"/>
    <w:rsid w:val="5EFD63A0"/>
    <w:rsid w:val="5F114066"/>
    <w:rsid w:val="5F4C62C2"/>
    <w:rsid w:val="5F557AFE"/>
    <w:rsid w:val="5F6363B3"/>
    <w:rsid w:val="5F6A2CAD"/>
    <w:rsid w:val="5F7D52C6"/>
    <w:rsid w:val="5F8E65CB"/>
    <w:rsid w:val="5F93366B"/>
    <w:rsid w:val="5FB96A29"/>
    <w:rsid w:val="60247767"/>
    <w:rsid w:val="60734876"/>
    <w:rsid w:val="60A22725"/>
    <w:rsid w:val="60F04887"/>
    <w:rsid w:val="60FD7201"/>
    <w:rsid w:val="61054C82"/>
    <w:rsid w:val="610C7077"/>
    <w:rsid w:val="61343B02"/>
    <w:rsid w:val="613D6DF3"/>
    <w:rsid w:val="616A3F2E"/>
    <w:rsid w:val="616D1CC8"/>
    <w:rsid w:val="618427EF"/>
    <w:rsid w:val="61B94090"/>
    <w:rsid w:val="62225E76"/>
    <w:rsid w:val="62254142"/>
    <w:rsid w:val="62436AF8"/>
    <w:rsid w:val="626744CC"/>
    <w:rsid w:val="6273108A"/>
    <w:rsid w:val="6286335F"/>
    <w:rsid w:val="62BD06F1"/>
    <w:rsid w:val="62F345C8"/>
    <w:rsid w:val="6319602F"/>
    <w:rsid w:val="63263B2D"/>
    <w:rsid w:val="63737E4E"/>
    <w:rsid w:val="63B1112C"/>
    <w:rsid w:val="63D802E2"/>
    <w:rsid w:val="63DC2FBF"/>
    <w:rsid w:val="63E72F74"/>
    <w:rsid w:val="64081316"/>
    <w:rsid w:val="642D1726"/>
    <w:rsid w:val="64820E7F"/>
    <w:rsid w:val="64A06B4F"/>
    <w:rsid w:val="64A1252C"/>
    <w:rsid w:val="64E86AD7"/>
    <w:rsid w:val="64E9238A"/>
    <w:rsid w:val="64EF0725"/>
    <w:rsid w:val="6567363D"/>
    <w:rsid w:val="65A74A29"/>
    <w:rsid w:val="65A84A9B"/>
    <w:rsid w:val="65E567ED"/>
    <w:rsid w:val="6655160C"/>
    <w:rsid w:val="668039D7"/>
    <w:rsid w:val="66930774"/>
    <w:rsid w:val="66986334"/>
    <w:rsid w:val="669F75AA"/>
    <w:rsid w:val="66AB7437"/>
    <w:rsid w:val="66B44E00"/>
    <w:rsid w:val="66B81ECD"/>
    <w:rsid w:val="66C80FC5"/>
    <w:rsid w:val="66D974CE"/>
    <w:rsid w:val="66F9067A"/>
    <w:rsid w:val="66FA0BDB"/>
    <w:rsid w:val="67573614"/>
    <w:rsid w:val="677C6D6C"/>
    <w:rsid w:val="678C3314"/>
    <w:rsid w:val="67B20FA6"/>
    <w:rsid w:val="67DB22A7"/>
    <w:rsid w:val="67F379B8"/>
    <w:rsid w:val="67F97C4C"/>
    <w:rsid w:val="67FD04D0"/>
    <w:rsid w:val="6821718F"/>
    <w:rsid w:val="68595677"/>
    <w:rsid w:val="68891211"/>
    <w:rsid w:val="688E2440"/>
    <w:rsid w:val="68B17662"/>
    <w:rsid w:val="68C609BD"/>
    <w:rsid w:val="69346EC6"/>
    <w:rsid w:val="69556DF3"/>
    <w:rsid w:val="69AA76EB"/>
    <w:rsid w:val="6A18437A"/>
    <w:rsid w:val="6A2161D7"/>
    <w:rsid w:val="6A2E1384"/>
    <w:rsid w:val="6A364250"/>
    <w:rsid w:val="6A670669"/>
    <w:rsid w:val="6A8F05CE"/>
    <w:rsid w:val="6AC9680D"/>
    <w:rsid w:val="6AEF48D3"/>
    <w:rsid w:val="6AF30FB6"/>
    <w:rsid w:val="6B196B05"/>
    <w:rsid w:val="6B336FB1"/>
    <w:rsid w:val="6B3D1E72"/>
    <w:rsid w:val="6B931956"/>
    <w:rsid w:val="6BD6293B"/>
    <w:rsid w:val="6BD834E5"/>
    <w:rsid w:val="6C17681A"/>
    <w:rsid w:val="6C7D7C51"/>
    <w:rsid w:val="6C96341D"/>
    <w:rsid w:val="6CAB48F3"/>
    <w:rsid w:val="6CB00BC9"/>
    <w:rsid w:val="6CCB7317"/>
    <w:rsid w:val="6CD51390"/>
    <w:rsid w:val="6D054E50"/>
    <w:rsid w:val="6D1D796E"/>
    <w:rsid w:val="6D306281"/>
    <w:rsid w:val="6D4570DF"/>
    <w:rsid w:val="6DA8216A"/>
    <w:rsid w:val="6E0063F0"/>
    <w:rsid w:val="6E014F3D"/>
    <w:rsid w:val="6E0A3EFC"/>
    <w:rsid w:val="6E677B1D"/>
    <w:rsid w:val="6E694D2F"/>
    <w:rsid w:val="6E8D18D4"/>
    <w:rsid w:val="6E996F51"/>
    <w:rsid w:val="6E9C5B3F"/>
    <w:rsid w:val="6EDE238A"/>
    <w:rsid w:val="6EEE0563"/>
    <w:rsid w:val="6EFC154D"/>
    <w:rsid w:val="6EFC2AE2"/>
    <w:rsid w:val="6F1E04BD"/>
    <w:rsid w:val="6F1E3EFE"/>
    <w:rsid w:val="6F8B4B86"/>
    <w:rsid w:val="6F9279EB"/>
    <w:rsid w:val="6FBE188C"/>
    <w:rsid w:val="6FBE5187"/>
    <w:rsid w:val="6FCE4375"/>
    <w:rsid w:val="6FD3032B"/>
    <w:rsid w:val="6FDB55D0"/>
    <w:rsid w:val="6FE4396C"/>
    <w:rsid w:val="6FE93249"/>
    <w:rsid w:val="7001090D"/>
    <w:rsid w:val="700910BA"/>
    <w:rsid w:val="702D6286"/>
    <w:rsid w:val="706247DB"/>
    <w:rsid w:val="706B3EB8"/>
    <w:rsid w:val="707149A2"/>
    <w:rsid w:val="70812FE7"/>
    <w:rsid w:val="709779C9"/>
    <w:rsid w:val="70982A51"/>
    <w:rsid w:val="70AA4E4C"/>
    <w:rsid w:val="70C81B48"/>
    <w:rsid w:val="70E05BBA"/>
    <w:rsid w:val="71041996"/>
    <w:rsid w:val="71383E8B"/>
    <w:rsid w:val="713E4E22"/>
    <w:rsid w:val="71455E8F"/>
    <w:rsid w:val="718E573F"/>
    <w:rsid w:val="719B43F2"/>
    <w:rsid w:val="719C77E1"/>
    <w:rsid w:val="719D4AD1"/>
    <w:rsid w:val="71F50C85"/>
    <w:rsid w:val="71FF738C"/>
    <w:rsid w:val="7240030F"/>
    <w:rsid w:val="72417AB9"/>
    <w:rsid w:val="72613DF1"/>
    <w:rsid w:val="727F621B"/>
    <w:rsid w:val="72953A77"/>
    <w:rsid w:val="72C60B5E"/>
    <w:rsid w:val="72CD7E53"/>
    <w:rsid w:val="72D51A93"/>
    <w:rsid w:val="72DB4CD1"/>
    <w:rsid w:val="72DC52F8"/>
    <w:rsid w:val="72F51C1D"/>
    <w:rsid w:val="72F52C82"/>
    <w:rsid w:val="73022B0C"/>
    <w:rsid w:val="73031B08"/>
    <w:rsid w:val="73162AB8"/>
    <w:rsid w:val="731F509A"/>
    <w:rsid w:val="73283BDD"/>
    <w:rsid w:val="73345818"/>
    <w:rsid w:val="73443457"/>
    <w:rsid w:val="73782115"/>
    <w:rsid w:val="73A23474"/>
    <w:rsid w:val="73B57597"/>
    <w:rsid w:val="73D96FF7"/>
    <w:rsid w:val="741F2B6E"/>
    <w:rsid w:val="74261FB2"/>
    <w:rsid w:val="743B0372"/>
    <w:rsid w:val="74556998"/>
    <w:rsid w:val="74590649"/>
    <w:rsid w:val="745B2C64"/>
    <w:rsid w:val="74815C6A"/>
    <w:rsid w:val="74880B4B"/>
    <w:rsid w:val="748B4EB6"/>
    <w:rsid w:val="74934DDC"/>
    <w:rsid w:val="74B577C1"/>
    <w:rsid w:val="74DB41A1"/>
    <w:rsid w:val="75157A83"/>
    <w:rsid w:val="751C658E"/>
    <w:rsid w:val="75254F5B"/>
    <w:rsid w:val="752862B7"/>
    <w:rsid w:val="753A2F94"/>
    <w:rsid w:val="753D49D9"/>
    <w:rsid w:val="75492238"/>
    <w:rsid w:val="75984460"/>
    <w:rsid w:val="75A04D5B"/>
    <w:rsid w:val="75A72CCB"/>
    <w:rsid w:val="75CC7158"/>
    <w:rsid w:val="75DD0B81"/>
    <w:rsid w:val="761634C4"/>
    <w:rsid w:val="761D362F"/>
    <w:rsid w:val="76406639"/>
    <w:rsid w:val="76437287"/>
    <w:rsid w:val="76797FDB"/>
    <w:rsid w:val="76875D36"/>
    <w:rsid w:val="76B34156"/>
    <w:rsid w:val="76E72756"/>
    <w:rsid w:val="77104A47"/>
    <w:rsid w:val="77950C6E"/>
    <w:rsid w:val="77A34B0F"/>
    <w:rsid w:val="77AA1EDD"/>
    <w:rsid w:val="77C1059D"/>
    <w:rsid w:val="77F34632"/>
    <w:rsid w:val="77F67257"/>
    <w:rsid w:val="77FC131B"/>
    <w:rsid w:val="780358A9"/>
    <w:rsid w:val="78143870"/>
    <w:rsid w:val="783D58E3"/>
    <w:rsid w:val="78A546FD"/>
    <w:rsid w:val="78A830C7"/>
    <w:rsid w:val="78AB4BB7"/>
    <w:rsid w:val="78C30D81"/>
    <w:rsid w:val="78D0048E"/>
    <w:rsid w:val="78E05550"/>
    <w:rsid w:val="78E125CE"/>
    <w:rsid w:val="78E536C4"/>
    <w:rsid w:val="78F348F2"/>
    <w:rsid w:val="79201FA7"/>
    <w:rsid w:val="792B2D45"/>
    <w:rsid w:val="793B4D24"/>
    <w:rsid w:val="794B7537"/>
    <w:rsid w:val="79970C64"/>
    <w:rsid w:val="79A947AE"/>
    <w:rsid w:val="79AC3305"/>
    <w:rsid w:val="79B43785"/>
    <w:rsid w:val="79CE6DF0"/>
    <w:rsid w:val="7A170370"/>
    <w:rsid w:val="7A1C17B7"/>
    <w:rsid w:val="7A204F4D"/>
    <w:rsid w:val="7A2C501E"/>
    <w:rsid w:val="7A301ED1"/>
    <w:rsid w:val="7A3F06E0"/>
    <w:rsid w:val="7A5B6EF4"/>
    <w:rsid w:val="7A9573C9"/>
    <w:rsid w:val="7AB00950"/>
    <w:rsid w:val="7AB93AD6"/>
    <w:rsid w:val="7ABF22A2"/>
    <w:rsid w:val="7AE371F5"/>
    <w:rsid w:val="7AE8618D"/>
    <w:rsid w:val="7B070036"/>
    <w:rsid w:val="7B0A4D75"/>
    <w:rsid w:val="7B460C77"/>
    <w:rsid w:val="7B4B04E9"/>
    <w:rsid w:val="7B5468E1"/>
    <w:rsid w:val="7B676B0E"/>
    <w:rsid w:val="7B866719"/>
    <w:rsid w:val="7B9B51CE"/>
    <w:rsid w:val="7BBC7F06"/>
    <w:rsid w:val="7BC97788"/>
    <w:rsid w:val="7BE06E4C"/>
    <w:rsid w:val="7BE76AAF"/>
    <w:rsid w:val="7C22419B"/>
    <w:rsid w:val="7C292921"/>
    <w:rsid w:val="7C3359C2"/>
    <w:rsid w:val="7C414133"/>
    <w:rsid w:val="7C4F5DA0"/>
    <w:rsid w:val="7C754ED8"/>
    <w:rsid w:val="7CAE6553"/>
    <w:rsid w:val="7CB14210"/>
    <w:rsid w:val="7CE706DB"/>
    <w:rsid w:val="7D29174B"/>
    <w:rsid w:val="7D32766A"/>
    <w:rsid w:val="7D332ACA"/>
    <w:rsid w:val="7D684372"/>
    <w:rsid w:val="7DB16FCC"/>
    <w:rsid w:val="7DB45D21"/>
    <w:rsid w:val="7DBB1D68"/>
    <w:rsid w:val="7DC55C93"/>
    <w:rsid w:val="7DD601AF"/>
    <w:rsid w:val="7DDF2D9D"/>
    <w:rsid w:val="7E186C5E"/>
    <w:rsid w:val="7E1B7F2D"/>
    <w:rsid w:val="7E42189C"/>
    <w:rsid w:val="7E440313"/>
    <w:rsid w:val="7E4A3DEF"/>
    <w:rsid w:val="7E5B6364"/>
    <w:rsid w:val="7E6F4FD0"/>
    <w:rsid w:val="7EC60394"/>
    <w:rsid w:val="7EF05936"/>
    <w:rsid w:val="7EFD6E57"/>
    <w:rsid w:val="7F112ED5"/>
    <w:rsid w:val="7F7165C8"/>
    <w:rsid w:val="7F816F43"/>
    <w:rsid w:val="7F850E80"/>
    <w:rsid w:val="7FE741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line="576" w:lineRule="auto"/>
      <w:jc w:val="center"/>
      <w:outlineLvl w:val="0"/>
    </w:pPr>
    <w:rPr>
      <w:rFonts w:ascii="Times New Roman" w:hAnsi="Times New Roman" w:eastAsia="宋体"/>
      <w:b/>
      <w:kern w:val="44"/>
      <w:sz w:val="32"/>
    </w:rPr>
  </w:style>
  <w:style w:type="paragraph" w:styleId="4">
    <w:name w:val="heading 2"/>
    <w:basedOn w:val="1"/>
    <w:next w:val="1"/>
    <w:unhideWhenUsed/>
    <w:qFormat/>
    <w:uiPriority w:val="0"/>
    <w:pPr>
      <w:keepNext/>
      <w:keepLines/>
      <w:spacing w:line="413" w:lineRule="auto"/>
      <w:jc w:val="center"/>
      <w:outlineLvl w:val="1"/>
    </w:pPr>
    <w:rPr>
      <w:rFonts w:ascii="Arial" w:hAnsi="Arial" w:eastAsia="宋体"/>
      <w:b/>
      <w:sz w:val="28"/>
    </w:rPr>
  </w:style>
  <w:style w:type="paragraph" w:styleId="5">
    <w:name w:val="heading 3"/>
    <w:basedOn w:val="1"/>
    <w:next w:val="1"/>
    <w:unhideWhenUsed/>
    <w:qFormat/>
    <w:uiPriority w:val="0"/>
    <w:pPr>
      <w:keepNext/>
      <w:keepLines/>
      <w:spacing w:before="260" w:after="260" w:line="413" w:lineRule="auto"/>
      <w:outlineLvl w:val="2"/>
    </w:pPr>
    <w:rPr>
      <w:b/>
      <w:sz w:val="32"/>
    </w:rPr>
  </w:style>
  <w:style w:type="paragraph" w:styleId="2">
    <w:name w:val="heading 4"/>
    <w:basedOn w:val="1"/>
    <w:next w:val="1"/>
    <w:unhideWhenUsed/>
    <w:qFormat/>
    <w:uiPriority w:val="0"/>
    <w:pPr>
      <w:keepNext/>
      <w:keepLines/>
      <w:jc w:val="left"/>
      <w:outlineLvl w:val="3"/>
    </w:pPr>
    <w:rPr>
      <w:rFonts w:hint="eastAsia" w:ascii="Arial" w:hAnsi="Arial" w:eastAsia="宋体" w:cs="Times New Roman"/>
      <w:b/>
      <w:sz w:val="32"/>
    </w:rPr>
  </w:style>
  <w:style w:type="paragraph" w:styleId="6">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5">
    <w:name w:val="Default Paragraph Font"/>
    <w:unhideWhenUsed/>
    <w:qFormat/>
    <w:uiPriority w:val="1"/>
  </w:style>
  <w:style w:type="table" w:default="1" w:styleId="23">
    <w:name w:val="Normal Table"/>
    <w:unhideWhenUsed/>
    <w:qFormat/>
    <w:uiPriority w:val="99"/>
    <w:tblPr>
      <w:tblCellMar>
        <w:top w:w="0" w:type="dxa"/>
        <w:left w:w="108" w:type="dxa"/>
        <w:bottom w:w="0" w:type="dxa"/>
        <w:right w:w="108" w:type="dxa"/>
      </w:tblCellMar>
    </w:tblPr>
  </w:style>
  <w:style w:type="paragraph" w:styleId="7">
    <w:name w:val="Normal Indent"/>
    <w:basedOn w:val="1"/>
    <w:next w:val="8"/>
    <w:qFormat/>
    <w:uiPriority w:val="0"/>
    <w:pPr>
      <w:ind w:firstLine="420"/>
    </w:pPr>
  </w:style>
  <w:style w:type="paragraph" w:styleId="8">
    <w:name w:val="Plain Text"/>
    <w:basedOn w:val="9"/>
    <w:link w:val="32"/>
    <w:qFormat/>
    <w:uiPriority w:val="0"/>
    <w:pPr>
      <w:spacing w:line="324" w:lineRule="auto"/>
    </w:pPr>
    <w:rPr>
      <w:rFonts w:ascii="宋体" w:hAnsi="Courier New" w:cs="Courier New"/>
      <w:szCs w:val="21"/>
    </w:rPr>
  </w:style>
  <w:style w:type="paragraph" w:styleId="9">
    <w:name w:val="Body Text"/>
    <w:basedOn w:val="1"/>
    <w:next w:val="1"/>
    <w:qFormat/>
    <w:uiPriority w:val="99"/>
  </w:style>
  <w:style w:type="paragraph" w:styleId="10">
    <w:name w:val="annotation text"/>
    <w:basedOn w:val="1"/>
    <w:link w:val="44"/>
    <w:qFormat/>
    <w:uiPriority w:val="0"/>
    <w:pPr>
      <w:jc w:val="left"/>
    </w:pPr>
  </w:style>
  <w:style w:type="paragraph" w:styleId="11">
    <w:name w:val="Body Text Indent"/>
    <w:basedOn w:val="1"/>
    <w:qFormat/>
    <w:uiPriority w:val="0"/>
    <w:pPr>
      <w:spacing w:after="120"/>
      <w:ind w:left="420" w:leftChars="200"/>
    </w:pPr>
  </w:style>
  <w:style w:type="paragraph" w:styleId="12">
    <w:name w:val="Body Text Indent 2"/>
    <w:basedOn w:val="1"/>
    <w:qFormat/>
    <w:uiPriority w:val="0"/>
    <w:pPr>
      <w:spacing w:line="400" w:lineRule="exact"/>
      <w:ind w:firstLine="475" w:firstLineChars="198"/>
    </w:pPr>
    <w:rPr>
      <w:rFonts w:ascii="宋体" w:hAnsi="宋体" w:eastAsia="宋体" w:cs="Times New Roman"/>
      <w:sz w:val="24"/>
      <w:szCs w:val="24"/>
    </w:rPr>
  </w:style>
  <w:style w:type="paragraph" w:styleId="13">
    <w:name w:val="Balloon Text"/>
    <w:basedOn w:val="1"/>
    <w:link w:val="43"/>
    <w:qFormat/>
    <w:uiPriority w:val="0"/>
    <w:rPr>
      <w:sz w:val="18"/>
      <w:szCs w:val="18"/>
    </w:rPr>
  </w:style>
  <w:style w:type="paragraph" w:styleId="14">
    <w:name w:val="footer"/>
    <w:basedOn w:val="1"/>
    <w:qFormat/>
    <w:uiPriority w:val="0"/>
    <w:pPr>
      <w:tabs>
        <w:tab w:val="center" w:pos="4153"/>
        <w:tab w:val="right" w:pos="8306"/>
      </w:tabs>
      <w:snapToGrid w:val="0"/>
      <w:jc w:val="left"/>
    </w:pPr>
    <w:rPr>
      <w:sz w:val="18"/>
      <w:szCs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6">
    <w:name w:val="toc 1"/>
    <w:basedOn w:val="1"/>
    <w:next w:val="1"/>
    <w:qFormat/>
    <w:uiPriority w:val="0"/>
  </w:style>
  <w:style w:type="paragraph" w:styleId="17">
    <w:name w:val="toc 2"/>
    <w:basedOn w:val="1"/>
    <w:next w:val="1"/>
    <w:qFormat/>
    <w:uiPriority w:val="0"/>
    <w:pPr>
      <w:ind w:left="420" w:leftChars="200"/>
    </w:pPr>
  </w:style>
  <w:style w:type="paragraph" w:styleId="18">
    <w:name w:val="Normal (Web)"/>
    <w:basedOn w:val="1"/>
    <w:qFormat/>
    <w:uiPriority w:val="0"/>
    <w:pPr>
      <w:spacing w:beforeAutospacing="1" w:afterAutospacing="1"/>
      <w:jc w:val="left"/>
    </w:pPr>
    <w:rPr>
      <w:rFonts w:cs="Times New Roman"/>
      <w:kern w:val="0"/>
      <w:sz w:val="24"/>
    </w:rPr>
  </w:style>
  <w:style w:type="paragraph" w:styleId="19">
    <w:name w:val="Title"/>
    <w:basedOn w:val="1"/>
    <w:next w:val="1"/>
    <w:link w:val="49"/>
    <w:qFormat/>
    <w:uiPriority w:val="10"/>
    <w:pPr>
      <w:widowControl w:val="0"/>
      <w:spacing w:before="240" w:after="60"/>
      <w:jc w:val="center"/>
      <w:outlineLvl w:val="0"/>
    </w:pPr>
    <w:rPr>
      <w:rFonts w:ascii="Cambria" w:hAnsi="Cambria" w:cs="Times New Roman"/>
      <w:b/>
      <w:bCs/>
      <w:kern w:val="2"/>
      <w:sz w:val="32"/>
      <w:szCs w:val="32"/>
    </w:rPr>
  </w:style>
  <w:style w:type="paragraph" w:styleId="20">
    <w:name w:val="annotation subject"/>
    <w:basedOn w:val="10"/>
    <w:next w:val="10"/>
    <w:link w:val="45"/>
    <w:qFormat/>
    <w:uiPriority w:val="0"/>
    <w:rPr>
      <w:b/>
      <w:bCs/>
    </w:rPr>
  </w:style>
  <w:style w:type="paragraph" w:styleId="21">
    <w:name w:val="Body Text First Indent"/>
    <w:basedOn w:val="9"/>
    <w:next w:val="1"/>
    <w:qFormat/>
    <w:uiPriority w:val="99"/>
    <w:pPr>
      <w:ind w:firstLine="420" w:firstLineChars="100"/>
    </w:pPr>
  </w:style>
  <w:style w:type="paragraph" w:styleId="22">
    <w:name w:val="Body Text First Indent 2"/>
    <w:basedOn w:val="11"/>
    <w:next w:val="1"/>
    <w:qFormat/>
    <w:uiPriority w:val="0"/>
    <w:pPr>
      <w:ind w:firstLine="420" w:firstLineChars="200"/>
    </w:pPr>
  </w:style>
  <w:style w:type="table" w:styleId="24">
    <w:name w:val="Table Grid"/>
    <w:basedOn w:val="2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0"/>
    <w:rPr>
      <w:b/>
      <w:sz w:val="24"/>
      <w:szCs w:val="24"/>
    </w:rPr>
  </w:style>
  <w:style w:type="character" w:styleId="27">
    <w:name w:val="page number"/>
    <w:basedOn w:val="25"/>
    <w:qFormat/>
    <w:uiPriority w:val="0"/>
  </w:style>
  <w:style w:type="character" w:styleId="28">
    <w:name w:val="FollowedHyperlink"/>
    <w:basedOn w:val="25"/>
    <w:qFormat/>
    <w:uiPriority w:val="0"/>
    <w:rPr>
      <w:rFonts w:hint="eastAsia" w:ascii="宋体" w:hAnsi="宋体" w:eastAsia="宋体" w:cs="宋体"/>
      <w:color w:val="000000"/>
      <w:sz w:val="18"/>
      <w:szCs w:val="18"/>
      <w:u w:val="none"/>
    </w:rPr>
  </w:style>
  <w:style w:type="character" w:styleId="29">
    <w:name w:val="Hyperlink"/>
    <w:basedOn w:val="25"/>
    <w:qFormat/>
    <w:uiPriority w:val="0"/>
    <w:rPr>
      <w:rFonts w:hint="eastAsia" w:ascii="宋体" w:hAnsi="宋体" w:eastAsia="宋体" w:cs="宋体"/>
      <w:color w:val="000000"/>
      <w:sz w:val="18"/>
      <w:szCs w:val="18"/>
      <w:u w:val="none"/>
    </w:rPr>
  </w:style>
  <w:style w:type="character" w:styleId="30">
    <w:name w:val="annotation reference"/>
    <w:basedOn w:val="25"/>
    <w:qFormat/>
    <w:uiPriority w:val="0"/>
    <w:rPr>
      <w:sz w:val="21"/>
      <w:szCs w:val="21"/>
    </w:rPr>
  </w:style>
  <w:style w:type="paragraph" w:customStyle="1" w:styleId="31">
    <w:name w:val="List Paragraph"/>
    <w:basedOn w:val="1"/>
    <w:qFormat/>
    <w:uiPriority w:val="34"/>
    <w:pPr>
      <w:ind w:firstLine="420" w:firstLineChars="200"/>
    </w:pPr>
  </w:style>
  <w:style w:type="character" w:customStyle="1" w:styleId="32">
    <w:name w:val="纯文本 字符"/>
    <w:link w:val="8"/>
    <w:qFormat/>
    <w:uiPriority w:val="0"/>
    <w:rPr>
      <w:rFonts w:ascii="宋体" w:hAnsi="Courier New" w:cs="Courier New"/>
      <w:szCs w:val="21"/>
    </w:rPr>
  </w:style>
  <w:style w:type="character" w:customStyle="1" w:styleId="33">
    <w:name w:val="font41"/>
    <w:basedOn w:val="25"/>
    <w:qFormat/>
    <w:uiPriority w:val="0"/>
    <w:rPr>
      <w:rFonts w:hint="eastAsia" w:ascii="宋体" w:hAnsi="宋体" w:eastAsia="宋体" w:cs="宋体"/>
      <w:color w:val="000000"/>
      <w:sz w:val="22"/>
      <w:szCs w:val="22"/>
      <w:u w:val="none"/>
    </w:rPr>
  </w:style>
  <w:style w:type="character" w:customStyle="1" w:styleId="34">
    <w:name w:val="font11"/>
    <w:basedOn w:val="25"/>
    <w:qFormat/>
    <w:uiPriority w:val="0"/>
    <w:rPr>
      <w:rFonts w:hint="eastAsia" w:ascii="宋体" w:hAnsi="宋体" w:eastAsia="宋体" w:cs="宋体"/>
      <w:b/>
      <w:color w:val="000000"/>
      <w:sz w:val="22"/>
      <w:szCs w:val="22"/>
      <w:u w:val="none"/>
    </w:rPr>
  </w:style>
  <w:style w:type="paragraph" w:customStyle="1" w:styleId="35">
    <w:name w:val="列出段落1"/>
    <w:basedOn w:val="1"/>
    <w:unhideWhenUsed/>
    <w:qFormat/>
    <w:uiPriority w:val="99"/>
    <w:pPr>
      <w:ind w:firstLine="420" w:firstLineChars="200"/>
    </w:pPr>
  </w:style>
  <w:style w:type="character" w:customStyle="1" w:styleId="36">
    <w:name w:val="apple-converted-space"/>
    <w:basedOn w:val="25"/>
    <w:qFormat/>
    <w:uiPriority w:val="0"/>
  </w:style>
  <w:style w:type="character" w:customStyle="1" w:styleId="37">
    <w:name w:val="font31"/>
    <w:basedOn w:val="25"/>
    <w:qFormat/>
    <w:uiPriority w:val="0"/>
    <w:rPr>
      <w:rFonts w:hint="eastAsia" w:ascii="宋体" w:hAnsi="宋体" w:eastAsia="宋体" w:cs="宋体"/>
      <w:color w:val="000000"/>
      <w:sz w:val="22"/>
      <w:szCs w:val="22"/>
      <w:u w:val="none"/>
    </w:rPr>
  </w:style>
  <w:style w:type="paragraph" w:customStyle="1" w:styleId="38">
    <w:name w:val="1正文"/>
    <w:basedOn w:val="1"/>
    <w:qFormat/>
    <w:uiPriority w:val="0"/>
    <w:pPr>
      <w:spacing w:line="360" w:lineRule="auto"/>
      <w:ind w:firstLine="424" w:firstLineChars="202"/>
    </w:pPr>
    <w:rPr>
      <w:rFonts w:ascii="黑体" w:hAnsi="宋体" w:eastAsia="黑体"/>
      <w:kern w:val="0"/>
      <w:sz w:val="20"/>
    </w:rPr>
  </w:style>
  <w:style w:type="paragraph" w:customStyle="1" w:styleId="39">
    <w:name w:val="Style1"/>
    <w:qFormat/>
    <w:uiPriority w:val="0"/>
    <w:pPr>
      <w:spacing w:after="120"/>
      <w:jc w:val="both"/>
    </w:pPr>
    <w:rPr>
      <w:rFonts w:ascii="Times New Roman" w:hAnsi="Times New Roman" w:eastAsia="Times New Roman" w:cs="Times New Roman"/>
      <w:color w:val="000000"/>
      <w:spacing w:val="-3"/>
      <w:sz w:val="24"/>
      <w:szCs w:val="24"/>
      <w:lang w:val="en-US" w:eastAsia="zh-CN" w:bidi="ar-SA"/>
    </w:rPr>
  </w:style>
  <w:style w:type="paragraph" w:customStyle="1" w:styleId="40">
    <w:name w:val="样式 首行缩进:  2 字符"/>
    <w:basedOn w:val="1"/>
    <w:qFormat/>
    <w:uiPriority w:val="0"/>
    <w:pPr>
      <w:ind w:firstLine="560"/>
    </w:pPr>
    <w:rPr>
      <w:rFonts w:eastAsia="仿宋_GB2312" w:cs="宋体"/>
      <w:sz w:val="24"/>
      <w:szCs w:val="20"/>
    </w:rPr>
  </w:style>
  <w:style w:type="paragraph" w:customStyle="1" w:styleId="41">
    <w:name w:val="样式9 Char"/>
    <w:basedOn w:val="1"/>
    <w:qFormat/>
    <w:uiPriority w:val="0"/>
    <w:pPr>
      <w:spacing w:line="440" w:lineRule="exact"/>
      <w:ind w:firstLine="200" w:firstLineChars="200"/>
    </w:pPr>
    <w:rPr>
      <w:spacing w:val="6"/>
      <w:szCs w:val="20"/>
    </w:rPr>
  </w:style>
  <w:style w:type="paragraph" w:customStyle="1" w:styleId="42">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43">
    <w:name w:val="批注框文本 字符"/>
    <w:basedOn w:val="25"/>
    <w:link w:val="13"/>
    <w:qFormat/>
    <w:uiPriority w:val="0"/>
    <w:rPr>
      <w:rFonts w:asciiTheme="minorHAnsi" w:hAnsiTheme="minorHAnsi" w:eastAsiaTheme="minorEastAsia" w:cstheme="minorBidi"/>
      <w:kern w:val="2"/>
      <w:sz w:val="18"/>
      <w:szCs w:val="18"/>
    </w:rPr>
  </w:style>
  <w:style w:type="character" w:customStyle="1" w:styleId="44">
    <w:name w:val="批注文字 字符"/>
    <w:basedOn w:val="25"/>
    <w:link w:val="10"/>
    <w:qFormat/>
    <w:uiPriority w:val="0"/>
    <w:rPr>
      <w:rFonts w:asciiTheme="minorHAnsi" w:hAnsiTheme="minorHAnsi" w:eastAsiaTheme="minorEastAsia" w:cstheme="minorBidi"/>
      <w:kern w:val="2"/>
      <w:sz w:val="21"/>
      <w:szCs w:val="22"/>
    </w:rPr>
  </w:style>
  <w:style w:type="character" w:customStyle="1" w:styleId="45">
    <w:name w:val="批注主题 字符"/>
    <w:basedOn w:val="44"/>
    <w:link w:val="20"/>
    <w:qFormat/>
    <w:uiPriority w:val="0"/>
    <w:rPr>
      <w:rFonts w:asciiTheme="minorHAnsi" w:hAnsiTheme="minorHAnsi" w:eastAsiaTheme="minorEastAsia" w:cstheme="minorBidi"/>
      <w:b/>
      <w:bCs/>
      <w:kern w:val="2"/>
      <w:sz w:val="21"/>
      <w:szCs w:val="22"/>
    </w:rPr>
  </w:style>
  <w:style w:type="paragraph" w:customStyle="1" w:styleId="46">
    <w:name w:val="_Style 3"/>
    <w:basedOn w:val="1"/>
    <w:qFormat/>
    <w:uiPriority w:val="34"/>
    <w:pPr>
      <w:ind w:firstLine="420" w:firstLineChars="200"/>
    </w:pPr>
  </w:style>
  <w:style w:type="character" w:customStyle="1" w:styleId="47">
    <w:name w:val="NormalCharacter"/>
    <w:qFormat/>
    <w:uiPriority w:val="0"/>
  </w:style>
  <w:style w:type="table" w:customStyle="1" w:styleId="48">
    <w:name w:val="网格型1"/>
    <w:basedOn w:val="23"/>
    <w:qFormat/>
    <w:uiPriority w:val="99"/>
    <w:rPr>
      <w:rFonts w:ascii="Calibri" w:hAnsi="Calibri" w:cs="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49">
    <w:name w:val="标题 Char"/>
    <w:basedOn w:val="25"/>
    <w:link w:val="19"/>
    <w:qFormat/>
    <w:uiPriority w:val="10"/>
    <w:rPr>
      <w:rFonts w:ascii="Cambria" w:hAnsi="Cambria" w:cs="Times New Roman"/>
      <w:b/>
      <w:bCs/>
      <w:kern w:val="2"/>
      <w:sz w:val="32"/>
      <w:szCs w:val="32"/>
    </w:rPr>
  </w:style>
  <w:style w:type="paragraph" w:customStyle="1" w:styleId="50">
    <w:name w:val="列表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header" Target="header6.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44E207B-2371-4135-A1BD-BD6357FBB6D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67</Pages>
  <Words>27654</Words>
  <Characters>30020</Characters>
  <Lines>241</Lines>
  <Paragraphs>68</Paragraphs>
  <TotalTime>0</TotalTime>
  <ScaleCrop>false</ScaleCrop>
  <LinksUpToDate>false</LinksUpToDate>
  <CharactersWithSpaces>31632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2017-10-11T07:02:00Z</dcterms:created>
  <dc:creator>Administrator</dc:creator>
  <cp:lastModifiedBy>ZM</cp:lastModifiedBy>
  <cp:lastPrinted>2021-05-10T07:24:00Z</cp:lastPrinted>
  <dcterms:modified xsi:type="dcterms:W3CDTF">2022-10-25T01:28:10Z</dcterms:modified>
  <cp:revision>683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0F3DFAA97B4F444E9968C426B5302473</vt:lpwstr>
  </property>
</Properties>
</file>