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5670"/>
        </w:tabs>
        <w:autoSpaceDE w:val="0"/>
        <w:autoSpaceDN w:val="0"/>
        <w:adjustRightInd w:val="0"/>
        <w:spacing w:line="360" w:lineRule="auto"/>
        <w:ind w:right="640"/>
        <w:rPr>
          <w:rFonts w:hint="eastAsia" w:ascii="仿宋" w:hAnsi="仿宋" w:eastAsia="仿宋" w:cs="仿宋"/>
          <w:b/>
          <w:bCs/>
          <w:color w:val="auto"/>
          <w:sz w:val="32"/>
          <w:szCs w:val="32"/>
          <w:highlight w:val="none"/>
          <w:lang w:val="zh-CN"/>
        </w:rPr>
      </w:pPr>
      <w:bookmarkStart w:id="0" w:name="_Toc4593"/>
      <w:bookmarkStart w:id="1" w:name="_Toc20047"/>
      <w:bookmarkStart w:id="2" w:name="_Toc6076"/>
      <w:bookmarkStart w:id="3" w:name="_Toc25835"/>
      <w:bookmarkStart w:id="4" w:name="_Toc20135"/>
      <w:bookmarkStart w:id="5" w:name="_Toc22159"/>
      <w:bookmarkStart w:id="6" w:name="_Toc475451543"/>
      <w:r>
        <w:rPr>
          <w:rFonts w:hint="eastAsia" w:ascii="仿宋" w:hAnsi="仿宋" w:eastAsia="仿宋" w:cs="仿宋"/>
          <w:b/>
          <w:bCs/>
          <w:color w:val="auto"/>
          <w:sz w:val="32"/>
          <w:szCs w:val="32"/>
          <w:highlight w:val="none"/>
          <w:lang w:val="zh-CN"/>
        </w:rPr>
        <w:t>政府采购项目</w:t>
      </w:r>
    </w:p>
    <w:p>
      <w:pPr>
        <w:shd w:val="clear"/>
        <w:tabs>
          <w:tab w:val="left" w:pos="5670"/>
        </w:tabs>
        <w:autoSpaceDE w:val="0"/>
        <w:autoSpaceDN w:val="0"/>
        <w:adjustRightInd w:val="0"/>
        <w:spacing w:line="360" w:lineRule="auto"/>
        <w:ind w:right="640"/>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zh-CN"/>
        </w:rPr>
        <w:t>计划编号：ZCBN-灞桥区-2022-00468</w:t>
      </w:r>
    </w:p>
    <w:p>
      <w:pPr>
        <w:shd w:val="clear"/>
        <w:tabs>
          <w:tab w:val="left" w:pos="5670"/>
        </w:tabs>
        <w:autoSpaceDE w:val="0"/>
        <w:autoSpaceDN w:val="0"/>
        <w:adjustRightInd w:val="0"/>
        <w:spacing w:line="360" w:lineRule="auto"/>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zh-CN"/>
        </w:rPr>
        <w:t>项目编号：</w:t>
      </w:r>
      <w:r>
        <w:rPr>
          <w:rFonts w:hint="eastAsia" w:ascii="仿宋" w:hAnsi="仿宋" w:eastAsia="仿宋" w:cs="仿宋"/>
          <w:b/>
          <w:bCs/>
          <w:color w:val="auto"/>
          <w:sz w:val="32"/>
          <w:szCs w:val="32"/>
          <w:highlight w:val="none"/>
          <w:lang w:eastAsia="zh-CN"/>
        </w:rPr>
        <w:t>DX2022-164-1</w:t>
      </w:r>
    </w:p>
    <w:p>
      <w:pPr>
        <w:shd w:val="clear"/>
        <w:tabs>
          <w:tab w:val="left" w:pos="5670"/>
        </w:tabs>
        <w:autoSpaceDE w:val="0"/>
        <w:autoSpaceDN w:val="0"/>
        <w:adjustRightInd w:val="0"/>
        <w:spacing w:line="360" w:lineRule="auto"/>
        <w:ind w:firstLine="300"/>
        <w:rPr>
          <w:rFonts w:hint="eastAsia" w:ascii="仿宋" w:hAnsi="仿宋" w:eastAsia="仿宋" w:cs="仿宋"/>
          <w:b/>
          <w:color w:val="auto"/>
          <w:sz w:val="32"/>
          <w:szCs w:val="32"/>
          <w:highlight w:val="none"/>
        </w:rPr>
      </w:pPr>
    </w:p>
    <w:p>
      <w:pPr>
        <w:shd w:val="clear"/>
        <w:tabs>
          <w:tab w:val="left" w:pos="5670"/>
        </w:tabs>
        <w:autoSpaceDE w:val="0"/>
        <w:autoSpaceDN w:val="0"/>
        <w:adjustRightInd w:val="0"/>
        <w:spacing w:line="360" w:lineRule="auto"/>
        <w:ind w:firstLine="300"/>
        <w:rPr>
          <w:rFonts w:hint="eastAsia" w:ascii="仿宋" w:hAnsi="仿宋" w:eastAsia="仿宋" w:cs="仿宋"/>
          <w:b/>
          <w:color w:val="auto"/>
          <w:sz w:val="28"/>
          <w:szCs w:val="28"/>
          <w:highlight w:val="none"/>
        </w:rPr>
      </w:pPr>
      <w:r>
        <w:rPr>
          <w:rFonts w:hint="eastAsia" w:ascii="仿宋" w:hAnsi="仿宋" w:eastAsia="仿宋" w:cs="仿宋"/>
          <w:b/>
          <w:color w:val="auto"/>
          <w:sz w:val="32"/>
          <w:szCs w:val="32"/>
          <w:highlight w:val="none"/>
        </w:rPr>
        <w:t xml:space="preserve"> </w:t>
      </w:r>
    </w:p>
    <w:p>
      <w:pPr>
        <w:shd w:val="clear"/>
        <w:tabs>
          <w:tab w:val="left" w:pos="5670"/>
        </w:tabs>
        <w:autoSpaceDE w:val="0"/>
        <w:autoSpaceDN w:val="0"/>
        <w:adjustRightInd w:val="0"/>
        <w:spacing w:line="360" w:lineRule="auto"/>
        <w:jc w:val="center"/>
        <w:rPr>
          <w:rFonts w:hint="eastAsia" w:ascii="宋体" w:hAnsi="宋体" w:cs="宋体"/>
          <w:b/>
          <w:bCs/>
          <w:color w:val="auto"/>
          <w:sz w:val="44"/>
          <w:szCs w:val="44"/>
          <w:highlight w:val="none"/>
          <w:lang w:eastAsia="zh-CN"/>
        </w:rPr>
      </w:pPr>
      <w:r>
        <w:rPr>
          <w:rFonts w:hint="eastAsia" w:ascii="宋体" w:hAnsi="宋体" w:cs="宋体"/>
          <w:b/>
          <w:bCs/>
          <w:color w:val="auto"/>
          <w:sz w:val="44"/>
          <w:szCs w:val="44"/>
          <w:highlight w:val="none"/>
          <w:lang w:eastAsia="zh-CN"/>
        </w:rPr>
        <w:t>灞桥区2021年新增教育建设奖补资金</w:t>
      </w:r>
    </w:p>
    <w:p>
      <w:pPr>
        <w:shd w:val="clear"/>
        <w:tabs>
          <w:tab w:val="left" w:pos="5670"/>
        </w:tabs>
        <w:autoSpaceDE w:val="0"/>
        <w:autoSpaceDN w:val="0"/>
        <w:adjustRightInd w:val="0"/>
        <w:spacing w:line="360" w:lineRule="auto"/>
        <w:jc w:val="center"/>
        <w:rPr>
          <w:rFonts w:hint="eastAsia" w:ascii="宋体" w:hAnsi="宋体" w:cs="宋体"/>
          <w:b/>
          <w:bCs/>
          <w:color w:val="auto"/>
          <w:sz w:val="44"/>
          <w:szCs w:val="44"/>
          <w:highlight w:val="none"/>
          <w:lang w:eastAsia="zh-CN"/>
        </w:rPr>
      </w:pPr>
      <w:r>
        <w:rPr>
          <w:rFonts w:hint="eastAsia" w:ascii="宋体" w:hAnsi="宋体" w:cs="宋体"/>
          <w:b/>
          <w:bCs/>
          <w:color w:val="auto"/>
          <w:sz w:val="44"/>
          <w:szCs w:val="44"/>
          <w:highlight w:val="none"/>
          <w:lang w:eastAsia="zh-CN"/>
        </w:rPr>
        <w:t>--五星中学设备采购项目</w:t>
      </w:r>
    </w:p>
    <w:p>
      <w:pPr>
        <w:pStyle w:val="2"/>
        <w:shd w:val="clear"/>
        <w:ind w:left="0" w:leftChars="0" w:firstLine="0" w:firstLineChars="0"/>
        <w:jc w:val="center"/>
        <w:rPr>
          <w:rFonts w:hint="default"/>
          <w:color w:val="auto"/>
          <w:highlight w:val="none"/>
          <w:lang w:val="en-US" w:eastAsia="zh-CN"/>
        </w:rPr>
      </w:pPr>
      <w:r>
        <w:rPr>
          <w:rFonts w:hint="eastAsia" w:ascii="宋体" w:hAnsi="宋体" w:cs="宋体"/>
          <w:b/>
          <w:bCs/>
          <w:color w:val="auto"/>
          <w:sz w:val="44"/>
          <w:szCs w:val="44"/>
          <w:highlight w:val="none"/>
          <w:lang w:eastAsia="zh-CN"/>
        </w:rPr>
        <w:t>（第六标段）二次</w:t>
      </w:r>
    </w:p>
    <w:p>
      <w:pPr>
        <w:shd w:val="clear"/>
        <w:tabs>
          <w:tab w:val="left" w:pos="5670"/>
        </w:tabs>
        <w:autoSpaceDE w:val="0"/>
        <w:autoSpaceDN w:val="0"/>
        <w:adjustRightInd w:val="0"/>
        <w:spacing w:line="360" w:lineRule="auto"/>
        <w:jc w:val="both"/>
        <w:rPr>
          <w:rFonts w:hint="eastAsia" w:ascii="宋体" w:hAnsi="宋体" w:cs="宋体"/>
          <w:b/>
          <w:bCs/>
          <w:color w:val="auto"/>
          <w:sz w:val="44"/>
          <w:szCs w:val="44"/>
          <w:highlight w:val="none"/>
        </w:rPr>
      </w:pPr>
    </w:p>
    <w:p>
      <w:pPr>
        <w:pStyle w:val="6"/>
        <w:shd w:val="clear"/>
        <w:rPr>
          <w:rFonts w:hint="eastAsia"/>
          <w:color w:val="auto"/>
          <w:highlight w:val="none"/>
        </w:rPr>
      </w:pPr>
    </w:p>
    <w:p>
      <w:pPr>
        <w:shd w:val="clear"/>
        <w:tabs>
          <w:tab w:val="left" w:pos="5670"/>
        </w:tabs>
        <w:autoSpaceDE w:val="0"/>
        <w:autoSpaceDN w:val="0"/>
        <w:adjustRightInd w:val="0"/>
        <w:spacing w:line="360" w:lineRule="auto"/>
        <w:jc w:val="center"/>
        <w:rPr>
          <w:rFonts w:hint="eastAsia" w:ascii="宋体" w:hAnsi="宋体" w:cs="宋体"/>
          <w:b/>
          <w:bCs/>
          <w:color w:val="auto"/>
          <w:sz w:val="44"/>
          <w:szCs w:val="44"/>
          <w:highlight w:val="none"/>
        </w:rPr>
      </w:pPr>
    </w:p>
    <w:p>
      <w:pPr>
        <w:shd w:val="clear"/>
        <w:tabs>
          <w:tab w:val="left" w:pos="5670"/>
        </w:tabs>
        <w:autoSpaceDE w:val="0"/>
        <w:autoSpaceDN w:val="0"/>
        <w:adjustRightInd w:val="0"/>
        <w:spacing w:line="360" w:lineRule="auto"/>
        <w:jc w:val="center"/>
        <w:rPr>
          <w:rFonts w:hint="eastAsia" w:ascii="宋体" w:hAnsi="宋体" w:cs="宋体"/>
          <w:b/>
          <w:color w:val="auto"/>
          <w:sz w:val="44"/>
          <w:szCs w:val="44"/>
          <w:highlight w:val="none"/>
        </w:rPr>
      </w:pPr>
      <w:r>
        <w:rPr>
          <w:rFonts w:hint="eastAsia" w:ascii="宋体" w:hAnsi="宋体" w:cs="宋体"/>
          <w:b/>
          <w:bCs/>
          <w:color w:val="auto"/>
          <w:sz w:val="44"/>
          <w:szCs w:val="44"/>
          <w:highlight w:val="none"/>
        </w:rPr>
        <w:t xml:space="preserve">招 </w:t>
      </w:r>
      <w:r>
        <w:rPr>
          <w:rFonts w:hint="eastAsia" w:ascii="宋体" w:hAnsi="宋体" w:cs="宋体"/>
          <w:b/>
          <w:bCs/>
          <w:color w:val="auto"/>
          <w:sz w:val="44"/>
          <w:szCs w:val="44"/>
          <w:highlight w:val="none"/>
          <w:lang w:val="zh-CN"/>
        </w:rPr>
        <w:t>标</w:t>
      </w:r>
      <w:r>
        <w:rPr>
          <w:rFonts w:hint="eastAsia" w:ascii="宋体" w:hAnsi="宋体" w:cs="宋体"/>
          <w:b/>
          <w:bCs/>
          <w:color w:val="auto"/>
          <w:sz w:val="44"/>
          <w:szCs w:val="44"/>
          <w:highlight w:val="none"/>
        </w:rPr>
        <w:t xml:space="preserve"> </w:t>
      </w:r>
      <w:r>
        <w:rPr>
          <w:rFonts w:hint="eastAsia" w:ascii="宋体" w:hAnsi="宋体" w:cs="宋体"/>
          <w:b/>
          <w:bCs/>
          <w:color w:val="auto"/>
          <w:sz w:val="44"/>
          <w:szCs w:val="44"/>
          <w:highlight w:val="none"/>
          <w:lang w:val="zh-CN"/>
        </w:rPr>
        <w:t>文</w:t>
      </w:r>
      <w:r>
        <w:rPr>
          <w:rFonts w:hint="eastAsia" w:ascii="宋体" w:hAnsi="宋体" w:cs="宋体"/>
          <w:b/>
          <w:bCs/>
          <w:color w:val="auto"/>
          <w:sz w:val="44"/>
          <w:szCs w:val="44"/>
          <w:highlight w:val="none"/>
        </w:rPr>
        <w:t xml:space="preserve"> </w:t>
      </w:r>
      <w:r>
        <w:rPr>
          <w:rFonts w:hint="eastAsia" w:ascii="宋体" w:hAnsi="宋体" w:cs="宋体"/>
          <w:b/>
          <w:bCs/>
          <w:color w:val="auto"/>
          <w:sz w:val="44"/>
          <w:szCs w:val="44"/>
          <w:highlight w:val="none"/>
          <w:lang w:val="zh-CN"/>
        </w:rPr>
        <w:t>件</w:t>
      </w:r>
      <w:r>
        <w:rPr>
          <w:rFonts w:hint="eastAsia" w:ascii="宋体" w:hAnsi="宋体" w:cs="宋体"/>
          <w:b/>
          <w:color w:val="auto"/>
          <w:sz w:val="44"/>
          <w:szCs w:val="44"/>
          <w:highlight w:val="none"/>
        </w:rPr>
        <w:t xml:space="preserve"> </w:t>
      </w:r>
    </w:p>
    <w:p>
      <w:pPr>
        <w:shd w:val="clear"/>
        <w:tabs>
          <w:tab w:val="left" w:pos="5670"/>
        </w:tabs>
        <w:autoSpaceDE w:val="0"/>
        <w:autoSpaceDN w:val="0"/>
        <w:adjustRightInd w:val="0"/>
        <w:spacing w:line="360" w:lineRule="auto"/>
        <w:jc w:val="center"/>
        <w:rPr>
          <w:rFonts w:hint="default" w:ascii="宋体" w:hAnsi="宋体" w:cs="宋体"/>
          <w:b/>
          <w:color w:val="auto"/>
          <w:sz w:val="44"/>
          <w:szCs w:val="44"/>
          <w:highlight w:val="none"/>
        </w:rPr>
      </w:pPr>
    </w:p>
    <w:p>
      <w:pPr>
        <w:shd w:val="clear"/>
        <w:tabs>
          <w:tab w:val="left" w:pos="5670"/>
        </w:tabs>
        <w:autoSpaceDE w:val="0"/>
        <w:autoSpaceDN w:val="0"/>
        <w:adjustRightInd w:val="0"/>
        <w:spacing w:line="360" w:lineRule="auto"/>
        <w:jc w:val="both"/>
        <w:rPr>
          <w:rFonts w:hint="eastAsia" w:ascii="仿宋" w:hAnsi="仿宋" w:eastAsia="仿宋" w:cs="仿宋"/>
          <w:b/>
          <w:bCs/>
          <w:color w:val="auto"/>
          <w:sz w:val="32"/>
          <w:szCs w:val="32"/>
          <w:highlight w:val="none"/>
          <w:lang w:val="zh-CN"/>
        </w:rPr>
      </w:pPr>
    </w:p>
    <w:p>
      <w:pPr>
        <w:pStyle w:val="5"/>
        <w:shd w:val="clear"/>
        <w:ind w:firstLine="321"/>
        <w:rPr>
          <w:rFonts w:hint="eastAsia" w:ascii="仿宋" w:hAnsi="仿宋" w:eastAsia="仿宋" w:cs="仿宋"/>
          <w:b/>
          <w:bCs/>
          <w:color w:val="auto"/>
          <w:sz w:val="32"/>
          <w:szCs w:val="32"/>
          <w:highlight w:val="none"/>
          <w:lang w:val="zh-CN"/>
        </w:rPr>
      </w:pPr>
    </w:p>
    <w:p>
      <w:pPr>
        <w:pStyle w:val="5"/>
        <w:shd w:val="clear"/>
        <w:ind w:firstLine="321"/>
        <w:rPr>
          <w:rFonts w:hint="eastAsia" w:ascii="仿宋" w:hAnsi="仿宋" w:eastAsia="仿宋" w:cs="仿宋"/>
          <w:b/>
          <w:bCs/>
          <w:color w:val="auto"/>
          <w:sz w:val="32"/>
          <w:szCs w:val="32"/>
          <w:highlight w:val="none"/>
          <w:lang w:val="zh-CN"/>
        </w:rPr>
      </w:pPr>
    </w:p>
    <w:p>
      <w:pPr>
        <w:shd w:val="clear"/>
        <w:autoSpaceDE w:val="0"/>
        <w:autoSpaceDN w:val="0"/>
        <w:adjustRightInd w:val="0"/>
        <w:snapToGrid w:val="0"/>
        <w:spacing w:line="360" w:lineRule="auto"/>
        <w:ind w:firstLine="1285" w:firstLineChars="400"/>
        <w:jc w:val="both"/>
        <w:rPr>
          <w:rFonts w:hint="default" w:ascii="仿宋" w:hAnsi="仿宋" w:eastAsia="仿宋" w:cs="仿宋"/>
          <w:b/>
          <w:bCs/>
          <w:color w:val="auto"/>
          <w:sz w:val="32"/>
          <w:szCs w:val="32"/>
          <w:highlight w:val="none"/>
          <w:lang w:val="en-US"/>
        </w:rPr>
      </w:pPr>
      <w:r>
        <w:rPr>
          <w:rFonts w:hint="eastAsia" w:ascii="仿宋" w:hAnsi="仿宋" w:eastAsia="仿宋" w:cs="仿宋"/>
          <w:b/>
          <w:bCs/>
          <w:color w:val="auto"/>
          <w:sz w:val="32"/>
          <w:szCs w:val="32"/>
          <w:highlight w:val="none"/>
          <w:lang w:val="zh-CN"/>
        </w:rPr>
        <w:t>采</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lang w:val="zh-CN"/>
        </w:rPr>
        <w:t>购</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lang w:val="zh-CN"/>
        </w:rPr>
        <w:t>人：</w:t>
      </w:r>
      <w:r>
        <w:rPr>
          <w:rFonts w:hint="eastAsia" w:ascii="仿宋" w:hAnsi="仿宋" w:eastAsia="仿宋" w:cs="仿宋"/>
          <w:b/>
          <w:bCs/>
          <w:color w:val="auto"/>
          <w:sz w:val="32"/>
          <w:szCs w:val="32"/>
          <w:highlight w:val="none"/>
          <w:lang w:val="zh-CN" w:eastAsia="zh-CN"/>
        </w:rPr>
        <w:t>西安市灞桥区</w:t>
      </w:r>
      <w:r>
        <w:rPr>
          <w:rFonts w:hint="eastAsia" w:ascii="仿宋" w:hAnsi="仿宋" w:eastAsia="仿宋" w:cs="仿宋"/>
          <w:b/>
          <w:bCs/>
          <w:color w:val="auto"/>
          <w:sz w:val="32"/>
          <w:szCs w:val="32"/>
          <w:highlight w:val="none"/>
          <w:lang w:val="en-US" w:eastAsia="zh-CN"/>
        </w:rPr>
        <w:t>教育局</w:t>
      </w:r>
    </w:p>
    <w:p>
      <w:pPr>
        <w:shd w:val="clear"/>
        <w:tabs>
          <w:tab w:val="left" w:pos="5670"/>
        </w:tabs>
        <w:autoSpaceDE w:val="0"/>
        <w:autoSpaceDN w:val="0"/>
        <w:adjustRightInd w:val="0"/>
        <w:spacing w:line="360" w:lineRule="auto"/>
        <w:ind w:firstLine="1285" w:firstLineChars="400"/>
        <w:jc w:val="both"/>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zh-CN"/>
        </w:rPr>
        <w:t>采购代理机构：陕西笃信招标有限公司</w:t>
      </w:r>
      <w:r>
        <w:rPr>
          <w:rFonts w:hint="eastAsia" w:ascii="仿宋" w:hAnsi="仿宋" w:eastAsia="仿宋" w:cs="仿宋"/>
          <w:b/>
          <w:bCs/>
          <w:color w:val="auto"/>
          <w:sz w:val="32"/>
          <w:szCs w:val="32"/>
          <w:highlight w:val="none"/>
        </w:rPr>
        <w:t xml:space="preserve"> </w:t>
      </w:r>
    </w:p>
    <w:p>
      <w:pPr>
        <w:shd w:val="clear"/>
        <w:spacing w:line="360" w:lineRule="auto"/>
        <w:jc w:val="center"/>
        <w:rPr>
          <w:rFonts w:hint="eastAsia" w:ascii="仿宋" w:hAnsi="仿宋" w:eastAsia="仿宋" w:cs="仿宋"/>
          <w:b/>
          <w:bCs/>
          <w:color w:val="auto"/>
          <w:sz w:val="32"/>
          <w:szCs w:val="32"/>
          <w:highlight w:val="none"/>
          <w:lang w:val="zh-CN"/>
        </w:rPr>
      </w:pPr>
    </w:p>
    <w:p>
      <w:pPr>
        <w:shd w:val="clear"/>
        <w:spacing w:line="360" w:lineRule="auto"/>
        <w:jc w:val="center"/>
        <w:rPr>
          <w:color w:val="auto"/>
          <w:highlight w:val="none"/>
        </w:rPr>
      </w:pPr>
      <w:r>
        <w:rPr>
          <w:rFonts w:hint="eastAsia" w:ascii="仿宋" w:hAnsi="仿宋" w:eastAsia="仿宋" w:cs="仿宋"/>
          <w:b/>
          <w:bCs/>
          <w:color w:val="auto"/>
          <w:sz w:val="32"/>
          <w:szCs w:val="32"/>
          <w:highlight w:val="none"/>
          <w:lang w:val="zh-CN"/>
        </w:rPr>
        <w:t>二零二</w:t>
      </w: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lang w:val="zh-CN"/>
        </w:rPr>
        <w:t>年</w:t>
      </w:r>
      <w:r>
        <w:rPr>
          <w:rFonts w:hint="eastAsia" w:ascii="仿宋" w:hAnsi="仿宋" w:eastAsia="仿宋" w:cs="仿宋"/>
          <w:b/>
          <w:bCs/>
          <w:color w:val="auto"/>
          <w:sz w:val="32"/>
          <w:szCs w:val="32"/>
          <w:highlight w:val="none"/>
          <w:lang w:val="en-US" w:eastAsia="zh-CN"/>
        </w:rPr>
        <w:t>八</w:t>
      </w:r>
      <w:r>
        <w:rPr>
          <w:rFonts w:hint="eastAsia" w:ascii="仿宋" w:hAnsi="仿宋" w:eastAsia="仿宋" w:cs="仿宋"/>
          <w:b/>
          <w:bCs/>
          <w:color w:val="auto"/>
          <w:sz w:val="32"/>
          <w:szCs w:val="32"/>
          <w:highlight w:val="none"/>
          <w:lang w:val="zh-CN"/>
        </w:rPr>
        <w:t>月</w:t>
      </w:r>
    </w:p>
    <w:p>
      <w:pPr>
        <w:shd w:val="clear"/>
        <w:rPr>
          <w:color w:val="auto"/>
          <w:highlight w:val="none"/>
        </w:rPr>
      </w:pPr>
      <w:r>
        <w:rPr>
          <w:color w:val="auto"/>
          <w:highlight w:val="none"/>
        </w:rPr>
        <w:br w:type="page"/>
      </w:r>
    </w:p>
    <w:p>
      <w:pPr>
        <w:shd w:val="clea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目  录</w:t>
      </w:r>
      <w:bookmarkStart w:id="7" w:name="_Toc31037"/>
    </w:p>
    <w:p>
      <w:pPr>
        <w:pStyle w:val="18"/>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 w:val="0"/>
          <w:bCs w:val="0"/>
          <w:color w:val="auto"/>
          <w:sz w:val="18"/>
          <w:szCs w:val="18"/>
          <w:highlight w:val="none"/>
        </w:rPr>
        <w:fldChar w:fldCharType="begin"/>
      </w:r>
      <w:r>
        <w:rPr>
          <w:rFonts w:hint="eastAsia" w:ascii="仿宋" w:hAnsi="仿宋" w:eastAsia="仿宋" w:cs="仿宋"/>
          <w:b w:val="0"/>
          <w:bCs w:val="0"/>
          <w:color w:val="auto"/>
          <w:sz w:val="18"/>
          <w:szCs w:val="18"/>
          <w:highlight w:val="none"/>
        </w:rPr>
        <w:instrText xml:space="preserve">TOC \o "1-3" \h \u </w:instrText>
      </w:r>
      <w:r>
        <w:rPr>
          <w:rFonts w:hint="eastAsia" w:ascii="仿宋" w:hAnsi="仿宋" w:eastAsia="仿宋" w:cs="仿宋"/>
          <w:b w:val="0"/>
          <w:bCs w:val="0"/>
          <w:color w:val="auto"/>
          <w:sz w:val="18"/>
          <w:szCs w:val="18"/>
          <w:highlight w:val="none"/>
        </w:rPr>
        <w:fldChar w:fldCharType="separate"/>
      </w: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_Toc622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kern w:val="0"/>
          <w:sz w:val="21"/>
          <w:szCs w:val="21"/>
          <w:highlight w:val="none"/>
          <w:lang w:val="zh-CN" w:eastAsia="zh-CN" w:bidi="ar-SA"/>
        </w:rPr>
        <w:t>第一部分  招标公告</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_Toc622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8"/>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_Toc28565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zh-CN"/>
        </w:rPr>
        <w:t>第二部分</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zh-CN"/>
        </w:rPr>
        <w:t>供应商须知</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_Toc28565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9</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9"/>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_Toc28781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bCs/>
          <w:color w:val="auto"/>
          <w:sz w:val="21"/>
          <w:szCs w:val="21"/>
          <w:highlight w:val="none"/>
          <w:lang w:val="zh-CN"/>
        </w:rPr>
        <w:t>一、总则</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_Toc28781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4"/>
        <w:shd w:val="clear"/>
        <w:tabs>
          <w:tab w:val="right" w:leader="dot" w:pos="8504"/>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_Toc27696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bCs/>
          <w:color w:val="auto"/>
          <w:sz w:val="21"/>
          <w:szCs w:val="21"/>
          <w:highlight w:val="none"/>
          <w:lang w:val="zh-CN"/>
        </w:rPr>
        <w:t>（一）适用范围</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_Toc27696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12</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4"/>
        <w:shd w:val="clear"/>
        <w:tabs>
          <w:tab w:val="right" w:leader="dot" w:pos="8504"/>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_Toc14450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bCs/>
          <w:color w:val="auto"/>
          <w:sz w:val="21"/>
          <w:szCs w:val="21"/>
          <w:highlight w:val="none"/>
          <w:lang w:val="zh-CN"/>
        </w:rPr>
        <w:t>（二）名词解释</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_Toc14450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12</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9"/>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_Toc9657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bCs/>
          <w:color w:val="auto"/>
          <w:sz w:val="21"/>
          <w:szCs w:val="21"/>
          <w:highlight w:val="none"/>
          <w:lang w:val="zh-CN"/>
        </w:rPr>
        <w:t>二、招标文件</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_Toc9657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12</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4"/>
        <w:shd w:val="clear"/>
        <w:tabs>
          <w:tab w:val="right" w:leader="dot" w:pos="8504"/>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_Toc30131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zh-CN"/>
        </w:rPr>
        <w:t>（一）招标文件的组成</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_Toc30131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12</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4"/>
        <w:shd w:val="clear"/>
        <w:tabs>
          <w:tab w:val="right" w:leader="dot" w:pos="8504"/>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_Toc21637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bCs/>
          <w:color w:val="auto"/>
          <w:sz w:val="21"/>
          <w:szCs w:val="21"/>
          <w:highlight w:val="none"/>
        </w:rPr>
        <w:t>（二）</w:t>
      </w:r>
      <w:r>
        <w:rPr>
          <w:rFonts w:hint="eastAsia" w:ascii="仿宋" w:hAnsi="仿宋" w:eastAsia="仿宋" w:cs="仿宋"/>
          <w:bCs/>
          <w:color w:val="auto"/>
          <w:sz w:val="21"/>
          <w:szCs w:val="21"/>
          <w:highlight w:val="none"/>
          <w:lang w:val="zh-CN"/>
        </w:rPr>
        <w:t>招标文件的修改或澄清</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_Toc21637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12</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4"/>
        <w:shd w:val="clear"/>
        <w:tabs>
          <w:tab w:val="right" w:leader="dot" w:pos="8504"/>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_Toc18749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bCs/>
          <w:color w:val="auto"/>
          <w:sz w:val="21"/>
          <w:szCs w:val="21"/>
          <w:highlight w:val="none"/>
        </w:rPr>
        <w:t>（三）</w:t>
      </w:r>
      <w:r>
        <w:rPr>
          <w:rFonts w:hint="eastAsia" w:ascii="仿宋" w:hAnsi="仿宋" w:eastAsia="仿宋" w:cs="仿宋"/>
          <w:bCs/>
          <w:color w:val="auto"/>
          <w:sz w:val="21"/>
          <w:szCs w:val="21"/>
          <w:highlight w:val="none"/>
          <w:lang w:val="zh-CN"/>
        </w:rPr>
        <w:t>招标文件的询问、质疑及答复</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_Toc18749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12</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4"/>
        <w:shd w:val="clear"/>
        <w:tabs>
          <w:tab w:val="right" w:leader="dot" w:pos="8504"/>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_Toc32572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bCs/>
          <w:color w:val="auto"/>
          <w:sz w:val="21"/>
          <w:szCs w:val="21"/>
          <w:highlight w:val="none"/>
          <w:lang w:val="zh-CN"/>
        </w:rPr>
        <w:t>（四）招标文件的解释权</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_Toc32572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13</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9"/>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_Toc2494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zh-CN"/>
        </w:rPr>
        <w:t>三、投标要求</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_Toc2494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13</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4"/>
        <w:shd w:val="clear"/>
        <w:tabs>
          <w:tab w:val="right" w:leader="dot" w:pos="8504"/>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_Toc27113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bCs/>
          <w:color w:val="auto"/>
          <w:sz w:val="21"/>
          <w:szCs w:val="21"/>
          <w:highlight w:val="none"/>
        </w:rPr>
        <w:t>（一）投标内容</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_Toc27113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13</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4"/>
        <w:shd w:val="clear"/>
        <w:tabs>
          <w:tab w:val="right" w:leader="dot" w:pos="8504"/>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_Toc31428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rPr>
        <w:t>（二）</w:t>
      </w:r>
      <w:r>
        <w:rPr>
          <w:rFonts w:hint="eastAsia" w:ascii="仿宋" w:hAnsi="仿宋" w:eastAsia="仿宋" w:cs="仿宋"/>
          <w:color w:val="auto"/>
          <w:sz w:val="21"/>
          <w:szCs w:val="21"/>
          <w:highlight w:val="none"/>
          <w:lang w:val="zh-CN"/>
        </w:rPr>
        <w:t>合格的供应商要求</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_Toc31428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13</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4"/>
        <w:shd w:val="clear"/>
        <w:tabs>
          <w:tab w:val="right" w:leader="dot" w:pos="8504"/>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_Toc25295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bCs/>
          <w:color w:val="auto"/>
          <w:sz w:val="21"/>
          <w:szCs w:val="21"/>
          <w:highlight w:val="none"/>
        </w:rPr>
        <w:t>（三）</w:t>
      </w:r>
      <w:r>
        <w:rPr>
          <w:rFonts w:hint="eastAsia" w:ascii="仿宋" w:hAnsi="仿宋" w:eastAsia="仿宋" w:cs="仿宋"/>
          <w:bCs/>
          <w:color w:val="auto"/>
          <w:sz w:val="21"/>
          <w:szCs w:val="21"/>
          <w:highlight w:val="none"/>
          <w:lang w:val="zh-CN"/>
        </w:rPr>
        <w:t>限制投标要求</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_Toc25295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14</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4"/>
        <w:shd w:val="clear"/>
        <w:tabs>
          <w:tab w:val="right" w:leader="dot" w:pos="8504"/>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_Toc3786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bCs/>
          <w:color w:val="auto"/>
          <w:sz w:val="21"/>
          <w:szCs w:val="21"/>
          <w:highlight w:val="none"/>
        </w:rPr>
        <w:t>（四）</w:t>
      </w:r>
      <w:r>
        <w:rPr>
          <w:rFonts w:hint="eastAsia" w:ascii="仿宋" w:hAnsi="仿宋" w:eastAsia="仿宋" w:cs="仿宋"/>
          <w:bCs/>
          <w:color w:val="auto"/>
          <w:sz w:val="21"/>
          <w:szCs w:val="21"/>
          <w:highlight w:val="none"/>
          <w:lang w:val="zh-CN"/>
        </w:rPr>
        <w:t>投标文件有效期</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_Toc3786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14</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4"/>
        <w:shd w:val="clear"/>
        <w:tabs>
          <w:tab w:val="right" w:leader="dot" w:pos="8504"/>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_Toc695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zh-CN"/>
        </w:rPr>
        <w:t>（五）投标文件的编写要求</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_Toc695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14</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4"/>
        <w:shd w:val="clear"/>
        <w:tabs>
          <w:tab w:val="right" w:leader="dot" w:pos="8504"/>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_Toc4804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zh-CN"/>
        </w:rPr>
        <w:t>（六）投标报价要求</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_Toc4804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16</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4"/>
        <w:shd w:val="clear"/>
        <w:tabs>
          <w:tab w:val="right" w:leader="dot" w:pos="8504"/>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_Toc25806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zh-CN"/>
        </w:rPr>
        <w:t>（七）投标文件的式样和签署</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_Toc25806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16</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4"/>
        <w:shd w:val="clear"/>
        <w:tabs>
          <w:tab w:val="right" w:leader="dot" w:pos="8504"/>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_Toc22291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zh-CN"/>
        </w:rPr>
        <w:t>（八）投标文件的密封和提交</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_Toc22291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17</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9"/>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_Toc14921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zh-CN"/>
        </w:rPr>
        <w:t>四、开标</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_Toc14921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17</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9"/>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_Toc18691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zh-CN"/>
        </w:rPr>
        <w:t>五、评标</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_Toc18691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18</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9"/>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_Toc114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zh-CN"/>
        </w:rPr>
        <w:t>六、评标程序及评标办法</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_Toc114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19</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4"/>
        <w:shd w:val="clear"/>
        <w:tabs>
          <w:tab w:val="right" w:leader="dot" w:pos="8504"/>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_Toc11994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rPr>
        <w:t>（一）投标文件初审</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_Toc11994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19</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4"/>
        <w:shd w:val="clear"/>
        <w:tabs>
          <w:tab w:val="right" w:leader="dot" w:pos="8504"/>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_Toc29000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zh-CN"/>
        </w:rPr>
        <w:t>（三）比较与评价</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_Toc29000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22</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4"/>
        <w:shd w:val="clear"/>
        <w:tabs>
          <w:tab w:val="right" w:leader="dot" w:pos="8504"/>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_Toc9204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zh-CN"/>
        </w:rPr>
        <w:t>（二）投标文件的澄清、说明或者补正</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_Toc9204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23</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4"/>
        <w:shd w:val="clear"/>
        <w:tabs>
          <w:tab w:val="right" w:leader="dot" w:pos="8504"/>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_Toc16187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zh-CN"/>
        </w:rPr>
        <w:t>（四）推荐中标候选人名单</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_Toc16187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24</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9"/>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_Toc12272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zh-CN"/>
        </w:rPr>
        <w:t>七、确定中标供应商</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_Toc12272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24</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9"/>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_Toc16609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zh-CN"/>
        </w:rPr>
        <w:t>八、合同</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_Toc16609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25</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9"/>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_Toc9424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zh-CN"/>
        </w:rPr>
        <w:t>九、中标服务费</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_Toc9424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25</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9"/>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_Toc13550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zh-CN"/>
        </w:rPr>
        <w:t>十、废标或者采购方式的变更</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_Toc13550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26</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4"/>
        <w:shd w:val="clear"/>
        <w:tabs>
          <w:tab w:val="right" w:leader="dot" w:pos="8504"/>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_Toc4168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zh-CN"/>
        </w:rPr>
        <w:t>（一）废标</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_Toc4168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26</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4"/>
        <w:shd w:val="clear"/>
        <w:tabs>
          <w:tab w:val="right" w:leader="dot" w:pos="8504"/>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_Toc23755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zh-CN"/>
        </w:rPr>
        <w:t>（二）采购方式的变更</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_Toc23755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26</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9"/>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_Toc5755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zh-CN"/>
        </w:rPr>
        <w:t>十一、需要落实的政府采购政策</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_Toc5755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26</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9"/>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_Toc6895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zh-CN"/>
        </w:rPr>
        <w:t>十二、质疑与投诉</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_Toc6895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29</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4"/>
        <w:shd w:val="clear"/>
        <w:tabs>
          <w:tab w:val="right" w:leader="dot" w:pos="8504"/>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_Toc2942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bCs/>
          <w:color w:val="auto"/>
          <w:sz w:val="21"/>
          <w:szCs w:val="21"/>
          <w:highlight w:val="none"/>
          <w:lang w:val="zh-CN"/>
        </w:rPr>
        <w:t>（一）质疑</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_Toc2942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29</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4"/>
        <w:shd w:val="clear"/>
        <w:tabs>
          <w:tab w:val="right" w:leader="dot" w:pos="8504"/>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_Toc18625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bCs/>
          <w:color w:val="auto"/>
          <w:sz w:val="21"/>
          <w:szCs w:val="21"/>
          <w:highlight w:val="none"/>
          <w:lang w:val="zh-CN"/>
        </w:rPr>
        <w:t>（二）投诉</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_Toc18625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30</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8"/>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_Toc2581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rPr>
        <w:t xml:space="preserve">第三部分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val="zh-CN"/>
        </w:rPr>
        <w:t>招标内容及要求</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_Toc2581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8"/>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_Toc10479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en-US" w:eastAsia="zh-CN"/>
        </w:rPr>
        <w:t xml:space="preserve">第四部分   </w:t>
      </w:r>
      <w:r>
        <w:rPr>
          <w:rFonts w:hint="eastAsia" w:ascii="仿宋" w:hAnsi="仿宋" w:eastAsia="仿宋" w:cs="仿宋"/>
          <w:color w:val="auto"/>
          <w:sz w:val="21"/>
          <w:szCs w:val="21"/>
          <w:highlight w:val="none"/>
          <w:lang w:val="zh-CN"/>
        </w:rPr>
        <w:t>合同条款及格式</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_Toc10479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8"/>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_Toc31053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bCs/>
          <w:color w:val="auto"/>
          <w:sz w:val="21"/>
          <w:szCs w:val="21"/>
          <w:highlight w:val="none"/>
          <w:lang w:val="zh-CN"/>
        </w:rPr>
        <w:t>第五部分</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投标文件格式</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_Toc31053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38</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9"/>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_Toc16671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bCs/>
          <w:color w:val="auto"/>
          <w:sz w:val="21"/>
          <w:szCs w:val="21"/>
          <w:highlight w:val="none"/>
          <w:lang w:val="zh-CN"/>
        </w:rPr>
        <w:t>一、投标函</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_Toc16671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40</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9"/>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_Toc16343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zh-CN"/>
        </w:rPr>
        <w:t>二、开标一览表（唱标报告）</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_Toc16343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42</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9"/>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_Toc32341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rPr>
        <w:t>三、</w:t>
      </w:r>
      <w:r>
        <w:rPr>
          <w:rFonts w:hint="eastAsia" w:ascii="仿宋" w:hAnsi="仿宋" w:eastAsia="仿宋" w:cs="仿宋"/>
          <w:color w:val="auto"/>
          <w:sz w:val="21"/>
          <w:szCs w:val="21"/>
          <w:highlight w:val="none"/>
          <w:lang w:val="en-US" w:eastAsia="zh-CN"/>
        </w:rPr>
        <w:t>费用组成明细表</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_Toc32341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43</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9"/>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_Toc6997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zh-CN" w:eastAsia="zh-CN"/>
        </w:rPr>
        <w:t>四、供应商资格证明文件</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_Toc6997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44</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9"/>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_Toc24985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zh-CN"/>
        </w:rPr>
        <w:t>五、合同主要条款偏离表</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_Toc24985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57</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9"/>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_Toc759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eastAsia="zh-CN"/>
        </w:rPr>
        <w:t>六</w:t>
      </w:r>
      <w:r>
        <w:rPr>
          <w:rFonts w:hint="eastAsia" w:ascii="仿宋" w:hAnsi="仿宋" w:eastAsia="仿宋" w:cs="仿宋"/>
          <w:color w:val="auto"/>
          <w:sz w:val="21"/>
          <w:szCs w:val="21"/>
          <w:highlight w:val="none"/>
        </w:rPr>
        <w:t>、节能环保、环境标志产品明细表</w:t>
      </w:r>
      <w:r>
        <w:rPr>
          <w:rFonts w:hint="eastAsia" w:ascii="仿宋" w:hAnsi="仿宋" w:eastAsia="仿宋" w:cs="仿宋"/>
          <w:color w:val="auto"/>
          <w:sz w:val="21"/>
          <w:szCs w:val="21"/>
          <w:highlight w:val="none"/>
          <w:lang w:eastAsia="zh-CN"/>
        </w:rPr>
        <w:t>（若有）</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_Toc759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58</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9"/>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_Toc7823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en-US" w:eastAsia="zh-CN"/>
        </w:rPr>
        <w:t>七</w:t>
      </w:r>
      <w:r>
        <w:rPr>
          <w:rFonts w:hint="eastAsia" w:ascii="仿宋" w:hAnsi="仿宋" w:eastAsia="仿宋" w:cs="仿宋"/>
          <w:color w:val="auto"/>
          <w:sz w:val="21"/>
          <w:szCs w:val="21"/>
          <w:highlight w:val="none"/>
          <w:lang w:val="zh-CN"/>
        </w:rPr>
        <w:t>、技术规格偏离表</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_Toc7823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59</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9"/>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_Toc30747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en-US" w:eastAsia="zh-CN"/>
        </w:rPr>
        <w:t>八</w:t>
      </w:r>
      <w:r>
        <w:rPr>
          <w:rFonts w:hint="eastAsia" w:ascii="仿宋" w:hAnsi="仿宋" w:eastAsia="仿宋" w:cs="仿宋"/>
          <w:color w:val="auto"/>
          <w:sz w:val="21"/>
          <w:szCs w:val="21"/>
          <w:highlight w:val="none"/>
        </w:rPr>
        <w:t>、技术方案</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_Toc30747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60</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9"/>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_Toc9259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en-US" w:eastAsia="zh-CN"/>
        </w:rPr>
        <w:t>九</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质量保证及售后</w:t>
      </w:r>
      <w:r>
        <w:rPr>
          <w:rFonts w:hint="eastAsia" w:ascii="仿宋" w:hAnsi="仿宋" w:eastAsia="仿宋" w:cs="仿宋"/>
          <w:color w:val="auto"/>
          <w:sz w:val="21"/>
          <w:szCs w:val="21"/>
          <w:highlight w:val="none"/>
        </w:rPr>
        <w:t>服务承诺</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_Toc9259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61</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9"/>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_Toc31948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en-US" w:eastAsia="zh-CN"/>
        </w:rPr>
        <w:t>十</w:t>
      </w:r>
      <w:r>
        <w:rPr>
          <w:rFonts w:hint="eastAsia" w:ascii="仿宋" w:hAnsi="仿宋" w:eastAsia="仿宋" w:cs="仿宋"/>
          <w:color w:val="auto"/>
          <w:sz w:val="21"/>
          <w:szCs w:val="21"/>
          <w:highlight w:val="none"/>
        </w:rPr>
        <w:t>、近年业绩的有关证明材料</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_Toc31948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62</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9"/>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_Toc1958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lang w:val="en-US" w:eastAsia="zh-CN"/>
        </w:rPr>
        <w:t>十一</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企业关系关联承诺书</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_Toc1958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63</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9"/>
        <w:shd w:val="clear"/>
        <w:tabs>
          <w:tab w:val="right" w:leader="dot" w:pos="8504"/>
          <w:tab w:val="clear" w:pos="9060"/>
        </w:tabs>
        <w:spacing w:line="360" w:lineRule="auto"/>
        <w:rPr>
          <w:rFonts w:hint="eastAsia" w:ascii="仿宋" w:hAnsi="仿宋" w:eastAsia="仿宋" w:cs="仿宋"/>
          <w:color w:val="auto"/>
          <w:sz w:val="21"/>
          <w:szCs w:val="21"/>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_Toc26450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kern w:val="0"/>
          <w:sz w:val="21"/>
          <w:szCs w:val="21"/>
          <w:highlight w:val="none"/>
          <w:lang w:val="zh-CN"/>
        </w:rPr>
        <w:t>十</w:t>
      </w:r>
      <w:r>
        <w:rPr>
          <w:rFonts w:hint="eastAsia" w:ascii="仿宋" w:hAnsi="仿宋" w:eastAsia="仿宋" w:cs="仿宋"/>
          <w:color w:val="auto"/>
          <w:kern w:val="0"/>
          <w:sz w:val="21"/>
          <w:szCs w:val="21"/>
          <w:highlight w:val="none"/>
          <w:lang w:val="en-US" w:eastAsia="zh-CN"/>
        </w:rPr>
        <w:t>二</w:t>
      </w:r>
      <w:r>
        <w:rPr>
          <w:rFonts w:hint="eastAsia" w:ascii="仿宋" w:hAnsi="仿宋" w:eastAsia="仿宋" w:cs="仿宋"/>
          <w:color w:val="auto"/>
          <w:kern w:val="0"/>
          <w:sz w:val="21"/>
          <w:szCs w:val="21"/>
          <w:highlight w:val="none"/>
          <w:lang w:val="zh-CN"/>
        </w:rPr>
        <w:t>、供应商廉洁自律承诺书</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_Toc26450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64</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pStyle w:val="19"/>
        <w:shd w:val="clear"/>
        <w:tabs>
          <w:tab w:val="right" w:leader="dot" w:pos="8504"/>
          <w:tab w:val="clear" w:pos="9060"/>
        </w:tabs>
        <w:spacing w:line="360" w:lineRule="auto"/>
        <w:rPr>
          <w:color w:val="auto"/>
          <w:highlight w:val="none"/>
        </w:rPr>
      </w:pPr>
      <w:r>
        <w:rPr>
          <w:rFonts w:hint="eastAsia" w:ascii="仿宋" w:hAnsi="仿宋" w:eastAsia="仿宋" w:cs="仿宋"/>
          <w:bCs w:val="0"/>
          <w:color w:val="auto"/>
          <w:sz w:val="21"/>
          <w:szCs w:val="21"/>
          <w:highlight w:val="none"/>
        </w:rPr>
        <w:fldChar w:fldCharType="begin"/>
      </w:r>
      <w:r>
        <w:rPr>
          <w:rFonts w:hint="eastAsia" w:ascii="仿宋" w:hAnsi="仿宋" w:eastAsia="仿宋" w:cs="仿宋"/>
          <w:bCs w:val="0"/>
          <w:color w:val="auto"/>
          <w:sz w:val="21"/>
          <w:szCs w:val="21"/>
          <w:highlight w:val="none"/>
        </w:rPr>
        <w:instrText xml:space="preserve"> HYPERLINK \l _Toc19539 </w:instrText>
      </w:r>
      <w:r>
        <w:rPr>
          <w:rFonts w:hint="eastAsia" w:ascii="仿宋" w:hAnsi="仿宋" w:eastAsia="仿宋" w:cs="仿宋"/>
          <w:bCs w:val="0"/>
          <w:color w:val="auto"/>
          <w:sz w:val="21"/>
          <w:szCs w:val="21"/>
          <w:highlight w:val="none"/>
        </w:rPr>
        <w:fldChar w:fldCharType="separate"/>
      </w:r>
      <w:r>
        <w:rPr>
          <w:rFonts w:hint="eastAsia" w:ascii="仿宋" w:hAnsi="仿宋" w:eastAsia="仿宋" w:cs="仿宋"/>
          <w:color w:val="auto"/>
          <w:sz w:val="21"/>
          <w:szCs w:val="21"/>
          <w:highlight w:val="none"/>
        </w:rPr>
        <w:t>十</w:t>
      </w:r>
      <w:r>
        <w:rPr>
          <w:rFonts w:hint="eastAsia" w:ascii="仿宋" w:hAnsi="仿宋" w:eastAsia="仿宋" w:cs="仿宋"/>
          <w:color w:val="auto"/>
          <w:sz w:val="21"/>
          <w:szCs w:val="21"/>
          <w:highlight w:val="none"/>
          <w:lang w:val="en-US" w:eastAsia="zh-CN"/>
        </w:rPr>
        <w:t>三</w:t>
      </w:r>
      <w:r>
        <w:rPr>
          <w:rFonts w:hint="eastAsia" w:ascii="仿宋" w:hAnsi="仿宋" w:eastAsia="仿宋" w:cs="仿宋"/>
          <w:color w:val="auto"/>
          <w:sz w:val="21"/>
          <w:szCs w:val="21"/>
          <w:highlight w:val="none"/>
          <w:lang w:val="zh-CN"/>
        </w:rPr>
        <w:t>、供应商认为有必要补充说明的事项</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_Toc19539 \h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65</w:t>
      </w:r>
      <w:r>
        <w:rPr>
          <w:rFonts w:hint="eastAsia" w:ascii="仿宋" w:hAnsi="仿宋" w:eastAsia="仿宋" w:cs="仿宋"/>
          <w:color w:val="auto"/>
          <w:sz w:val="21"/>
          <w:szCs w:val="21"/>
          <w:highlight w:val="none"/>
        </w:rPr>
        <w:fldChar w:fldCharType="end"/>
      </w:r>
      <w:r>
        <w:rPr>
          <w:rFonts w:hint="eastAsia" w:ascii="仿宋" w:hAnsi="仿宋" w:eastAsia="仿宋" w:cs="仿宋"/>
          <w:bCs w:val="0"/>
          <w:color w:val="auto"/>
          <w:sz w:val="21"/>
          <w:szCs w:val="21"/>
          <w:highlight w:val="none"/>
        </w:rPr>
        <w:fldChar w:fldCharType="end"/>
      </w:r>
    </w:p>
    <w:p>
      <w:pPr>
        <w:keepNext w:val="0"/>
        <w:keepLines w:val="0"/>
        <w:pageBreakBefore/>
        <w:widowControl w:val="0"/>
        <w:shd w:val="clear"/>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auto"/>
          <w:kern w:val="0"/>
          <w:sz w:val="32"/>
          <w:szCs w:val="32"/>
          <w:highlight w:val="none"/>
          <w:lang w:val="zh-CN" w:eastAsia="zh-CN" w:bidi="ar-SA"/>
        </w:rPr>
      </w:pPr>
      <w:r>
        <w:rPr>
          <w:rFonts w:hint="eastAsia" w:ascii="仿宋" w:hAnsi="仿宋" w:eastAsia="仿宋" w:cs="仿宋"/>
          <w:bCs w:val="0"/>
          <w:color w:val="auto"/>
          <w:szCs w:val="18"/>
          <w:highlight w:val="none"/>
        </w:rPr>
        <w:fldChar w:fldCharType="end"/>
      </w:r>
      <w:bookmarkEnd w:id="0"/>
      <w:bookmarkEnd w:id="1"/>
      <w:bookmarkEnd w:id="2"/>
      <w:bookmarkEnd w:id="3"/>
      <w:bookmarkEnd w:id="4"/>
      <w:bookmarkEnd w:id="5"/>
      <w:bookmarkEnd w:id="6"/>
      <w:bookmarkEnd w:id="7"/>
      <w:bookmarkStart w:id="8" w:name="_Toc622"/>
      <w:bookmarkStart w:id="9" w:name="_Toc28781"/>
      <w:bookmarkStart w:id="10" w:name="_Toc8779"/>
      <w:bookmarkStart w:id="11" w:name="_Toc31912"/>
      <w:bookmarkStart w:id="12" w:name="_Toc3130"/>
      <w:bookmarkStart w:id="13" w:name="_Toc24650"/>
      <w:bookmarkStart w:id="14" w:name="_Toc28753"/>
      <w:bookmarkStart w:id="15" w:name="_Toc29439"/>
      <w:bookmarkStart w:id="16" w:name="_Toc26858"/>
      <w:bookmarkStart w:id="17" w:name="_Toc475451544"/>
      <w:r>
        <w:rPr>
          <w:rFonts w:hint="eastAsia" w:ascii="仿宋" w:hAnsi="仿宋" w:eastAsia="仿宋" w:cs="仿宋"/>
          <w:b/>
          <w:color w:val="auto"/>
          <w:kern w:val="0"/>
          <w:sz w:val="32"/>
          <w:szCs w:val="32"/>
          <w:highlight w:val="none"/>
          <w:lang w:val="zh-CN" w:eastAsia="zh-CN" w:bidi="ar-SA"/>
        </w:rPr>
        <w:t>第一部分  招标公告</w:t>
      </w:r>
      <w:bookmarkEnd w:id="8"/>
    </w:p>
    <w:p>
      <w:pPr>
        <w:numPr>
          <w:ilvl w:val="0"/>
          <w:numId w:val="0"/>
        </w:numPr>
        <w:shd w:val="clea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项目概况</w:t>
      </w:r>
    </w:p>
    <w:p>
      <w:pPr>
        <w:keepNext w:val="0"/>
        <w:keepLines w:val="0"/>
        <w:pageBreakBefore w:val="0"/>
        <w:numPr>
          <w:ilvl w:val="0"/>
          <w:numId w:val="0"/>
        </w:numPr>
        <w:shd w:val="clear"/>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灞桥区2021年新增教育建设奖补资金--五星中学设备采购项目（第六标段）二次潜在的投标人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lang w:eastAsia="zh-CN"/>
        </w:rPr>
        <w:t>在西安经济技术开发区凤城十一路与文景路十字文景商务广场B座8层获取</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文件，并于2022年09月06日</w:t>
      </w:r>
      <w:r>
        <w:rPr>
          <w:rFonts w:hint="eastAsia" w:ascii="仿宋" w:hAnsi="仿宋" w:eastAsia="仿宋" w:cs="仿宋"/>
          <w:color w:val="auto"/>
          <w:sz w:val="24"/>
          <w:szCs w:val="24"/>
          <w:highlight w:val="none"/>
          <w:lang w:val="en-US" w:eastAsia="zh-CN"/>
        </w:rPr>
        <w:t xml:space="preserve"> 09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:00（</w:t>
      </w:r>
      <w:r>
        <w:rPr>
          <w:rFonts w:hint="eastAsia" w:ascii="仿宋" w:hAnsi="仿宋" w:eastAsia="仿宋" w:cs="仿宋"/>
          <w:color w:val="auto"/>
          <w:sz w:val="24"/>
          <w:szCs w:val="24"/>
          <w:highlight w:val="none"/>
          <w:lang w:val="en-US" w:eastAsia="zh-CN"/>
        </w:rPr>
        <w:t>北京时间）</w:t>
      </w:r>
      <w:r>
        <w:rPr>
          <w:rFonts w:hint="eastAsia" w:ascii="仿宋" w:hAnsi="仿宋" w:eastAsia="仿宋" w:cs="仿宋"/>
          <w:color w:val="auto"/>
          <w:sz w:val="24"/>
          <w:szCs w:val="24"/>
          <w:highlight w:val="none"/>
          <w:lang w:eastAsia="zh-CN"/>
        </w:rPr>
        <w:t>前递交投标文件。</w:t>
      </w:r>
    </w:p>
    <w:p>
      <w:pPr>
        <w:numPr>
          <w:ilvl w:val="0"/>
          <w:numId w:val="0"/>
        </w:numPr>
        <w:shd w:val="clea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一、项目基本情况</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DX2022-164-1</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灞桥区2021年新增教育建设奖补资金--五星中学设备采购项目（第六标段）二次</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采购方式：公开招标</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预算金额：900,000.00元</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采购需求：</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合同包1(第六标段):</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合同包预算金额：900,000.00元</w:t>
      </w:r>
    </w:p>
    <w:tbl>
      <w:tblPr>
        <w:tblStyle w:val="21"/>
        <w:tblW w:w="87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64"/>
        <w:gridCol w:w="1297"/>
        <w:gridCol w:w="1371"/>
        <w:gridCol w:w="1200"/>
        <w:gridCol w:w="1565"/>
        <w:gridCol w:w="1533"/>
        <w:gridCol w:w="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3" w:hRule="atLeast"/>
          <w:tblHeader/>
          <w:jc w:val="center"/>
        </w:trPr>
        <w:tc>
          <w:tcPr>
            <w:tcW w:w="9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品目号</w:t>
            </w:r>
          </w:p>
        </w:tc>
        <w:tc>
          <w:tcPr>
            <w:tcW w:w="12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品目名称</w:t>
            </w:r>
          </w:p>
        </w:tc>
        <w:tc>
          <w:tcPr>
            <w:tcW w:w="13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hd w:val="clea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采购标的</w:t>
            </w:r>
          </w:p>
        </w:tc>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数量（单位）</w:t>
            </w:r>
          </w:p>
        </w:tc>
        <w:tc>
          <w:tcPr>
            <w:tcW w:w="15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技术规格、参数及要求</w:t>
            </w:r>
          </w:p>
        </w:tc>
        <w:tc>
          <w:tcPr>
            <w:tcW w:w="15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品目预算(元)</w:t>
            </w:r>
          </w:p>
        </w:tc>
        <w:tc>
          <w:tcPr>
            <w:tcW w:w="8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hd w:val="clea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0" w:hRule="atLeast"/>
          <w:jc w:val="center"/>
        </w:trPr>
        <w:tc>
          <w:tcPr>
            <w:tcW w:w="9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hd w:val="clea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2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教具</w:t>
            </w:r>
          </w:p>
        </w:tc>
        <w:tc>
          <w:tcPr>
            <w:tcW w:w="13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第六标段</w:t>
            </w:r>
          </w:p>
        </w:tc>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1(批)</w:t>
            </w:r>
          </w:p>
        </w:tc>
        <w:tc>
          <w:tcPr>
            <w:tcW w:w="15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详见采购文件</w:t>
            </w:r>
          </w:p>
        </w:tc>
        <w:tc>
          <w:tcPr>
            <w:tcW w:w="15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rPr>
              <w:t>900,000.0</w:t>
            </w:r>
            <w:r>
              <w:rPr>
                <w:rFonts w:hint="eastAsia" w:ascii="仿宋" w:hAnsi="仿宋" w:eastAsia="仿宋" w:cs="仿宋"/>
                <w:color w:val="auto"/>
                <w:sz w:val="24"/>
                <w:szCs w:val="24"/>
                <w:highlight w:val="none"/>
                <w:lang w:val="en-US" w:eastAsia="zh-CN"/>
              </w:rPr>
              <w:t>0</w:t>
            </w:r>
          </w:p>
        </w:tc>
        <w:tc>
          <w:tcPr>
            <w:tcW w:w="8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r>
    </w:tbl>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本合同包不接受联合体投标</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合同履行期限：无</w:t>
      </w:r>
    </w:p>
    <w:p>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申请人的资格要求</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2.落实政府采购政策需满足的资格要求：</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合同包1(第六标段)落实政府采购政策需满足的资格要求如下:</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本项目非专门面向中小企业采购</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合同包1(第六标段)特定资格要求如下:</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1、法定代表人授权书及被授权人身份证，并且提供有效的劳动合同或开标截止前六个月内任意一个月养老保险缴纳证明（法人参加只需提供法定代表人身份证明）；</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2、符合《财政部关于在政府采购活动中查询及使用信用记录有关问题的通知》（财库【2016】125号）文件中信用查询的要求；（此项由采购人与采购代理单位在开标时查询，以现场查询为准）；</w:t>
      </w:r>
    </w:p>
    <w:p>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时间：2022年08月16日 至 2022年08月23日 ，每天上午 09:00:00 至 12:00:00 ，下午 14:00:00 至 17:00:00 （北京时间,法定节假日除外）</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地点：西安经济技术开发区凤城十一路与文景路十字文景商务广场B座8层</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方式：现场获取</w:t>
      </w:r>
      <w:bookmarkStart w:id="484" w:name="_GoBack"/>
      <w:bookmarkEnd w:id="484"/>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售价：免费获取</w:t>
      </w:r>
    </w:p>
    <w:p>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四、提交投标文件截止时间、开标时间和地点</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时间：2022年09月06日 09时30分00秒（北京时间）</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提交投标文件地点：西安经济技术开发区凤城十一路与文景路十字文景商务广场B座8层</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4"/>
          <w:szCs w:val="24"/>
          <w:highlight w:val="none"/>
        </w:rPr>
        <w:t>开标地点：西安经济技术开发区凤城十一路与文景路十字文景商务广场B座8层</w:t>
      </w:r>
    </w:p>
    <w:p>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4"/>
          <w:szCs w:val="24"/>
          <w:highlight w:val="none"/>
          <w:lang w:eastAsia="zh-CN"/>
        </w:rPr>
        <w:t>五、公告期限</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个工作日。</w:t>
      </w:r>
    </w:p>
    <w:p>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六、其他补充事宜</w:t>
      </w:r>
      <w:r>
        <w:rPr>
          <w:rFonts w:hint="eastAsia" w:ascii="仿宋" w:hAnsi="仿宋" w:eastAsia="仿宋" w:cs="仿宋"/>
          <w:b/>
          <w:bCs/>
          <w:color w:val="auto"/>
          <w:sz w:val="24"/>
          <w:szCs w:val="24"/>
          <w:highlight w:val="none"/>
          <w:lang w:eastAsia="zh-CN"/>
        </w:rPr>
        <w:t>：</w:t>
      </w:r>
    </w:p>
    <w:p>
      <w:pPr>
        <w:keepNext w:val="0"/>
        <w:keepLines w:val="0"/>
        <w:pageBreakBefore w:val="0"/>
        <w:shd w:val="clear"/>
        <w:kinsoku/>
        <w:wordWrap/>
        <w:overflowPunct/>
        <w:topLinePunct w:val="0"/>
        <w:autoSpaceDE/>
        <w:autoSpaceDN/>
        <w:bidi w:val="0"/>
        <w:adjustRightInd/>
        <w:snapToGrid/>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eastAsia="zh-CN"/>
        </w:rPr>
        <w:t>1、领取招标文件时请携带单位介绍信原件、经办人身份证原件及复印件（以上资料加盖单位鲜章）。</w:t>
      </w:r>
    </w:p>
    <w:p>
      <w:pPr>
        <w:keepNext w:val="0"/>
        <w:keepLines w:val="0"/>
        <w:pageBreakBefore w:val="0"/>
        <w:shd w:val="clear"/>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2、请各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获取招标文件后，按照陕西省财政厅《关于政府采购供应商注册登记有关事项的通知》要求，通过陕西省政府采购网注册登记加入陕西省政府采购供应商库。</w:t>
      </w:r>
    </w:p>
    <w:p>
      <w:pPr>
        <w:keepNext w:val="0"/>
        <w:keepLines w:val="0"/>
        <w:pageBreakBefore w:val="0"/>
        <w:shd w:val="clear"/>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3、执行的其他政府采购政策：</w:t>
      </w:r>
    </w:p>
    <w:p>
      <w:pPr>
        <w:keepNext w:val="0"/>
        <w:keepLines w:val="0"/>
        <w:pageBreakBefore w:val="0"/>
        <w:shd w:val="clear"/>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（1）《政府采购促进中小企业发展管理办法》财库〔2020〕46号</w:t>
      </w:r>
    </w:p>
    <w:p>
      <w:pPr>
        <w:keepNext w:val="0"/>
        <w:keepLines w:val="0"/>
        <w:pageBreakBefore w:val="0"/>
        <w:shd w:val="clear"/>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（2）《财政部 司法部关于政府采购支持监狱企业发展有关问题的通知》财库[2014]68号</w:t>
      </w:r>
    </w:p>
    <w:p>
      <w:pPr>
        <w:keepNext w:val="0"/>
        <w:keepLines w:val="0"/>
        <w:pageBreakBefore w:val="0"/>
        <w:shd w:val="clear"/>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（3）《财政部 发展改革委 生态环境部 市场监管总局关于调整优化节能产品、环境标志产品政府采购执行机制的通知》（财库〔2019〕9号）</w:t>
      </w:r>
    </w:p>
    <w:p>
      <w:pPr>
        <w:keepNext w:val="0"/>
        <w:keepLines w:val="0"/>
        <w:pageBreakBefore w:val="0"/>
        <w:shd w:val="clear"/>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（4）《财政部 国家发展改革委关于印发〈节能产品政府采购实施意见〉的通知》（财库[2004]185号）</w:t>
      </w:r>
    </w:p>
    <w:p>
      <w:pPr>
        <w:keepNext w:val="0"/>
        <w:keepLines w:val="0"/>
        <w:pageBreakBefore w:val="0"/>
        <w:shd w:val="clear"/>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（5）《财政部环保总局关于环境标志产品政府采购实施的意见》财库[2006]90号</w:t>
      </w:r>
    </w:p>
    <w:p>
      <w:pPr>
        <w:keepNext w:val="0"/>
        <w:keepLines w:val="0"/>
        <w:pageBreakBefore w:val="0"/>
        <w:shd w:val="clear"/>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（6）《三部门联合发布关于促进残疾人就业政府采购政策的通知》（财库[2017]141号）</w:t>
      </w:r>
    </w:p>
    <w:p>
      <w:pPr>
        <w:keepNext w:val="0"/>
        <w:keepLines w:val="0"/>
        <w:pageBreakBefore w:val="0"/>
        <w:shd w:val="clear"/>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（7）《陕西省中小企业政府采购信用融资办法》（陕财办采〔2018〕23号）</w:t>
      </w:r>
    </w:p>
    <w:p>
      <w:pPr>
        <w:keepNext w:val="0"/>
        <w:keepLines w:val="0"/>
        <w:pageBreakBefore w:val="0"/>
        <w:shd w:val="clear"/>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（8）《国务院办公厅关于建立政府强制采购节能产品制度的通知》（国办发〔2007〕51号）</w:t>
      </w:r>
    </w:p>
    <w:p>
      <w:pPr>
        <w:keepNext w:val="0"/>
        <w:keepLines w:val="0"/>
        <w:pageBreakBefore w:val="0"/>
        <w:shd w:val="clear"/>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（9）《财政部 国务院扶贫办关于运用政府采购政策支持脱贫攻坚的通知》（财库〔2019〕27号）</w:t>
      </w:r>
    </w:p>
    <w:p>
      <w:pPr>
        <w:keepNext w:val="0"/>
        <w:keepLines w:val="0"/>
        <w:pageBreakBefore w:val="0"/>
        <w:shd w:val="clear"/>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eastAsia="zh-CN"/>
        </w:rPr>
        <w:t>文件中凡是需要法定代表人盖章之处，非法人单位的负责人均参照执行。</w:t>
      </w:r>
    </w:p>
    <w:p>
      <w:pPr>
        <w:keepNext w:val="0"/>
        <w:keepLines w:val="0"/>
        <w:pageBreakBefore w:val="0"/>
        <w:shd w:val="clear"/>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5、分支机构参与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eastAsia="zh-CN"/>
        </w:rPr>
        <w:t>时，</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eastAsia="zh-CN"/>
        </w:rPr>
        <w:t>文件中应附法人出具的授权书。法人只能授权一家分支机构参与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eastAsia="zh-CN"/>
        </w:rPr>
        <w:t>，且不能与分支机构同时参与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eastAsia="zh-CN"/>
        </w:rPr>
        <w:t>。分支机构须提供自己的资格要求证明文件。</w:t>
      </w:r>
    </w:p>
    <w:p>
      <w:pPr>
        <w:keepNext w:val="0"/>
        <w:keepLines w:val="0"/>
        <w:pageBreakBefore w:val="0"/>
        <w:shd w:val="clear"/>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供应商如不参与项目投标，需在递交文件截止时间前一日以书面形式告知项目联系人（邮箱号：2059407584@qq.com),否则采购代理机构将向财政局反映，供应商一年内累计出现三次该情形，将被监管部门记录为失信被执行人。</w:t>
      </w:r>
    </w:p>
    <w:p>
      <w:pPr>
        <w:keepNext w:val="0"/>
        <w:keepLines w:val="0"/>
        <w:pageBreakBefore w:val="0"/>
        <w:widowControl w:val="0"/>
        <w:shd w:val="clear"/>
        <w:kinsoku/>
        <w:wordWrap/>
        <w:overflowPunct/>
        <w:topLinePunct w:val="0"/>
        <w:autoSpaceDE/>
        <w:autoSpaceDN/>
        <w:bidi w:val="0"/>
        <w:adjustRightInd/>
        <w:snapToGrid/>
        <w:spacing w:line="360" w:lineRule="auto"/>
        <w:ind w:firstLine="241" w:firstLineChars="1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名称：</w:t>
      </w:r>
      <w:r>
        <w:rPr>
          <w:rFonts w:hint="eastAsia" w:ascii="仿宋" w:hAnsi="仿宋" w:eastAsia="仿宋" w:cs="仿宋"/>
          <w:color w:val="auto"/>
          <w:sz w:val="24"/>
          <w:szCs w:val="24"/>
          <w:highlight w:val="none"/>
          <w:lang w:eastAsia="zh-CN"/>
        </w:rPr>
        <w:t>西安市灞桥区教育局</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w:t>
      </w:r>
      <w:r>
        <w:rPr>
          <w:rFonts w:hint="eastAsia" w:ascii="仿宋" w:hAnsi="仿宋" w:eastAsia="仿宋" w:cs="仿宋"/>
          <w:color w:val="auto"/>
          <w:sz w:val="24"/>
          <w:szCs w:val="24"/>
          <w:highlight w:val="none"/>
        </w:rPr>
        <w:t>西安市区灞桥区纺东街419号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w:t>
      </w:r>
      <w:r>
        <w:rPr>
          <w:rFonts w:hint="eastAsia" w:ascii="仿宋" w:hAnsi="仿宋" w:eastAsia="仿宋" w:cs="仿宋"/>
          <w:color w:val="auto"/>
          <w:sz w:val="24"/>
          <w:szCs w:val="24"/>
          <w:highlight w:val="none"/>
          <w:lang w:eastAsia="zh-CN"/>
        </w:rPr>
        <w:t>吕老师</w:t>
      </w:r>
      <w:r>
        <w:rPr>
          <w:rFonts w:hint="eastAsia" w:ascii="仿宋" w:hAnsi="仿宋" w:eastAsia="仿宋" w:cs="仿宋"/>
          <w:color w:val="auto"/>
          <w:sz w:val="24"/>
          <w:szCs w:val="24"/>
          <w:highlight w:val="none"/>
        </w:rPr>
        <w:t>029-83552661</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ascii="仿宋" w:hAnsi="仿宋" w:eastAsia="仿宋" w:cs="仿宋"/>
          <w:color w:val="auto"/>
          <w:sz w:val="24"/>
          <w:szCs w:val="24"/>
          <w:highlight w:val="none"/>
        </w:rPr>
        <w:t>2、釆购代理机构信息</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陕西笃信招标有限公司</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地址：西安经济技术开发区凤城十一路与文景路十字文景商务广场B座8层</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w:t>
      </w:r>
      <w:r>
        <w:rPr>
          <w:rFonts w:hint="eastAsia" w:ascii="仿宋" w:hAnsi="仿宋" w:eastAsia="仿宋" w:cs="仿宋"/>
          <w:color w:val="auto"/>
          <w:sz w:val="24"/>
          <w:szCs w:val="24"/>
          <w:highlight w:val="none"/>
          <w:lang w:val="en-US" w:eastAsia="zh-CN"/>
        </w:rPr>
        <w:t>方式</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029-86253389</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项目联系人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黄安舒、李纪旋</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电话</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029-86253389</w:t>
      </w:r>
    </w:p>
    <w:p>
      <w:pPr>
        <w:pStyle w:val="8"/>
        <w:shd w:val="clear"/>
        <w:spacing w:line="360" w:lineRule="auto"/>
        <w:rPr>
          <w:rFonts w:hint="eastAsia" w:ascii="仿宋" w:hAnsi="仿宋" w:eastAsia="仿宋" w:cs="仿宋"/>
          <w:color w:val="auto"/>
          <w:szCs w:val="44"/>
          <w:highlight w:val="none"/>
          <w:lang w:val="zh-CN"/>
        </w:rPr>
      </w:pPr>
      <w:r>
        <w:rPr>
          <w:rFonts w:hint="eastAsia" w:ascii="仿宋" w:hAnsi="仿宋" w:eastAsia="仿宋" w:cs="仿宋"/>
          <w:color w:val="auto"/>
          <w:sz w:val="32"/>
          <w:szCs w:val="32"/>
          <w:highlight w:val="none"/>
          <w:lang w:val="zh-CN"/>
        </w:rPr>
        <w:br w:type="page"/>
      </w:r>
      <w:bookmarkStart w:id="18" w:name="_Toc14692"/>
      <w:bookmarkStart w:id="19" w:name="_Toc31741"/>
      <w:bookmarkStart w:id="20" w:name="_Toc786"/>
      <w:bookmarkStart w:id="21" w:name="_Toc28539"/>
      <w:bookmarkStart w:id="22" w:name="_Toc16458"/>
      <w:bookmarkStart w:id="23" w:name="_Toc26996"/>
      <w:bookmarkStart w:id="24" w:name="_Toc6649"/>
      <w:bookmarkStart w:id="25" w:name="_Toc28565"/>
      <w:r>
        <w:rPr>
          <w:rFonts w:hint="eastAsia" w:ascii="仿宋" w:hAnsi="仿宋" w:eastAsia="仿宋" w:cs="仿宋"/>
          <w:color w:val="auto"/>
          <w:sz w:val="32"/>
          <w:szCs w:val="32"/>
          <w:highlight w:val="none"/>
          <w:lang w:val="zh-CN"/>
        </w:rPr>
        <w:t>第二部分</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zh-CN"/>
        </w:rPr>
        <w:t>供应商须知</w:t>
      </w:r>
      <w:bookmarkEnd w:id="18"/>
      <w:bookmarkEnd w:id="19"/>
      <w:bookmarkEnd w:id="20"/>
      <w:bookmarkEnd w:id="21"/>
      <w:bookmarkEnd w:id="22"/>
      <w:bookmarkEnd w:id="23"/>
      <w:bookmarkEnd w:id="24"/>
      <w:bookmarkEnd w:id="25"/>
    </w:p>
    <w:p>
      <w:pPr>
        <w:shd w:val="clear"/>
        <w:jc w:val="center"/>
        <w:rPr>
          <w:rFonts w:hint="eastAsia" w:ascii="仿宋" w:hAnsi="仿宋" w:eastAsia="仿宋" w:cs="仿宋"/>
          <w:b/>
          <w:bCs/>
          <w:color w:val="auto"/>
          <w:sz w:val="36"/>
          <w:szCs w:val="36"/>
          <w:highlight w:val="none"/>
          <w:lang w:val="zh-CN"/>
        </w:rPr>
      </w:pPr>
      <w:r>
        <w:rPr>
          <w:rFonts w:hint="eastAsia" w:ascii="仿宋" w:hAnsi="仿宋" w:eastAsia="仿宋" w:cs="仿宋"/>
          <w:b/>
          <w:bCs/>
          <w:color w:val="auto"/>
          <w:sz w:val="32"/>
          <w:szCs w:val="32"/>
          <w:highlight w:val="none"/>
          <w:lang w:val="zh-CN"/>
        </w:rPr>
        <w:t>供应商须知前附表</w:t>
      </w:r>
    </w:p>
    <w:tbl>
      <w:tblPr>
        <w:tblStyle w:val="21"/>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853"/>
        <w:gridCol w:w="6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w:t>
            </w:r>
          </w:p>
        </w:tc>
        <w:tc>
          <w:tcPr>
            <w:tcW w:w="1853"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条款名称</w:t>
            </w:r>
          </w:p>
        </w:tc>
        <w:tc>
          <w:tcPr>
            <w:tcW w:w="6950"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853"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6950"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名称：</w:t>
            </w:r>
            <w:r>
              <w:rPr>
                <w:rFonts w:hint="eastAsia" w:ascii="仿宋" w:hAnsi="仿宋" w:eastAsia="仿宋" w:cs="仿宋"/>
                <w:color w:val="auto"/>
                <w:sz w:val="24"/>
                <w:szCs w:val="24"/>
                <w:highlight w:val="none"/>
                <w:lang w:eastAsia="zh-CN"/>
              </w:rPr>
              <w:t>西安市灞桥区教育局</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地址：西安市区灞桥区纺东街419号</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w:t>
            </w:r>
            <w:r>
              <w:rPr>
                <w:rFonts w:hint="eastAsia" w:ascii="仿宋" w:hAnsi="仿宋" w:eastAsia="仿宋" w:cs="仿宋"/>
                <w:color w:val="auto"/>
                <w:sz w:val="24"/>
                <w:szCs w:val="24"/>
                <w:highlight w:val="none"/>
                <w:lang w:eastAsia="zh-CN"/>
              </w:rPr>
              <w:t>吕老师</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w:t>
            </w:r>
            <w:r>
              <w:rPr>
                <w:rFonts w:hint="eastAsia" w:ascii="仿宋" w:hAnsi="仿宋" w:eastAsia="仿宋" w:cs="仿宋"/>
                <w:color w:val="auto"/>
                <w:sz w:val="24"/>
                <w:szCs w:val="24"/>
                <w:highlight w:val="none"/>
                <w:lang w:val="en-US" w:eastAsia="zh-CN"/>
              </w:rPr>
              <w:t>方式</w:t>
            </w:r>
            <w:r>
              <w:rPr>
                <w:rFonts w:hint="eastAsia" w:ascii="仿宋" w:hAnsi="仿宋" w:eastAsia="仿宋" w:cs="仿宋"/>
                <w:color w:val="auto"/>
                <w:sz w:val="24"/>
                <w:szCs w:val="24"/>
                <w:highlight w:val="none"/>
              </w:rPr>
              <w:t>：029-83552661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853"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6950" w:type="dxa"/>
            <w:noWrap w:val="0"/>
            <w:vAlign w:val="center"/>
          </w:tcPr>
          <w:p>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名称：陕西笃信招标有限公司</w:t>
            </w:r>
          </w:p>
          <w:p>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地址：西安经济技术开发区凤城十一路与文景路十字文景商务广场B座8层</w:t>
            </w:r>
          </w:p>
          <w:p>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黄安舒</w:t>
            </w:r>
            <w:r>
              <w:rPr>
                <w:rFonts w:hint="eastAsia" w:ascii="仿宋" w:hAnsi="仿宋" w:eastAsia="仿宋" w:cs="仿宋"/>
                <w:color w:val="auto"/>
                <w:sz w:val="24"/>
                <w:szCs w:val="24"/>
                <w:highlight w:val="none"/>
              </w:rPr>
              <w:t>、李纪旋</w:t>
            </w:r>
          </w:p>
          <w:p>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联系电话：029-86253389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853"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950" w:type="dxa"/>
            <w:noWrap w:val="0"/>
            <w:vAlign w:val="center"/>
          </w:tcPr>
          <w:p>
            <w:pPr>
              <w:shd w:val="clea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灞桥区2021年新增教育建设奖补资金--五星中学设备采购项目（第六标段）二次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853" w:type="dxa"/>
            <w:noWrap w:val="0"/>
            <w:vAlign w:val="center"/>
          </w:tcPr>
          <w:p>
            <w:pPr>
              <w:shd w:val="clea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招标文件</w:t>
            </w:r>
            <w:r>
              <w:rPr>
                <w:rFonts w:hint="eastAsia" w:ascii="仿宋" w:hAnsi="仿宋" w:eastAsia="仿宋" w:cs="仿宋"/>
                <w:color w:val="auto"/>
                <w:sz w:val="24"/>
                <w:szCs w:val="24"/>
                <w:highlight w:val="none"/>
                <w:lang w:val="en-US" w:eastAsia="zh-CN"/>
              </w:rPr>
              <w:t>获取</w:t>
            </w:r>
          </w:p>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p>
        </w:tc>
        <w:tc>
          <w:tcPr>
            <w:tcW w:w="6950" w:type="dxa"/>
            <w:noWrap w:val="0"/>
            <w:vAlign w:val="center"/>
          </w:tcPr>
          <w:p>
            <w:pPr>
              <w:shd w:val="clear"/>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2022年08月16日 至 2022年08月23日 ，每天上午 09:00:00 至 12:00:00 ，下午 14:00:00 至 17:00:00 （北京时间,法定节假日除外）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853"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w:t>
            </w:r>
          </w:p>
        </w:tc>
        <w:tc>
          <w:tcPr>
            <w:tcW w:w="6950" w:type="dxa"/>
            <w:noWrap w:val="0"/>
            <w:vAlign w:val="center"/>
          </w:tcPr>
          <w:p>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noWrap w:val="0"/>
            <w:vAlign w:val="center"/>
          </w:tcPr>
          <w:p>
            <w:pPr>
              <w:shd w:val="clea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853" w:type="dxa"/>
            <w:noWrap w:val="0"/>
            <w:vAlign w:val="center"/>
          </w:tcPr>
          <w:p>
            <w:pPr>
              <w:shd w:val="clea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项目预算</w:t>
            </w:r>
          </w:p>
        </w:tc>
        <w:tc>
          <w:tcPr>
            <w:tcW w:w="6950" w:type="dxa"/>
            <w:noWrap w:val="0"/>
            <w:vAlign w:val="center"/>
          </w:tcPr>
          <w:p>
            <w:pPr>
              <w:shd w:val="clear"/>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900000.00元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noWrap w:val="0"/>
            <w:vAlign w:val="center"/>
          </w:tcPr>
          <w:p>
            <w:pPr>
              <w:shd w:val="clea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853" w:type="dxa"/>
            <w:noWrap w:val="0"/>
            <w:vAlign w:val="center"/>
          </w:tcPr>
          <w:p>
            <w:pPr>
              <w:shd w:val="clear"/>
              <w:snapToGrid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交货期</w:t>
            </w:r>
          </w:p>
        </w:tc>
        <w:tc>
          <w:tcPr>
            <w:tcW w:w="6950" w:type="dxa"/>
            <w:noWrap w:val="0"/>
            <w:vAlign w:val="center"/>
          </w:tcPr>
          <w:p>
            <w:pPr>
              <w:shd w:val="clear"/>
              <w:snapToGrid w:val="0"/>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853"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项目实施地点</w:t>
            </w:r>
          </w:p>
        </w:tc>
        <w:tc>
          <w:tcPr>
            <w:tcW w:w="6950" w:type="dxa"/>
            <w:noWrap w:val="0"/>
            <w:vAlign w:val="center"/>
          </w:tcPr>
          <w:p>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853"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投标文件递交</w:t>
            </w:r>
          </w:p>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截止时间</w:t>
            </w:r>
          </w:p>
        </w:tc>
        <w:tc>
          <w:tcPr>
            <w:tcW w:w="6950" w:type="dxa"/>
            <w:noWrap w:val="0"/>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2022年09月06日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09:30（</w:t>
            </w:r>
            <w:r>
              <w:rPr>
                <w:rFonts w:hint="eastAsia" w:ascii="仿宋" w:hAnsi="仿宋" w:eastAsia="仿宋" w:cs="仿宋"/>
                <w:color w:val="auto"/>
                <w:sz w:val="24"/>
                <w:szCs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853"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递交投标文件地点</w:t>
            </w:r>
          </w:p>
        </w:tc>
        <w:tc>
          <w:tcPr>
            <w:tcW w:w="6950" w:type="dxa"/>
            <w:noWrap w:val="0"/>
            <w:vAlign w:val="center"/>
          </w:tcPr>
          <w:p>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西安经济技术开发区凤城十一路与文景路十字文景商务广场B座8层开标室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853"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资格要求</w:t>
            </w:r>
          </w:p>
        </w:tc>
        <w:tc>
          <w:tcPr>
            <w:tcW w:w="6950" w:type="dxa"/>
            <w:noWrap w:val="0"/>
            <w:vAlign w:val="center"/>
          </w:tcPr>
          <w:p>
            <w:pPr>
              <w:shd w:val="clear"/>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资质要求同招标公告。</w:t>
            </w:r>
          </w:p>
          <w:p>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必备资质中</w:t>
            </w:r>
            <w:r>
              <w:rPr>
                <w:rFonts w:hint="eastAsia" w:ascii="仿宋" w:hAnsi="仿宋" w:eastAsia="仿宋" w:cs="仿宋"/>
                <w:bCs/>
                <w:color w:val="auto"/>
                <w:sz w:val="24"/>
                <w:szCs w:val="24"/>
                <w:highlight w:val="none"/>
                <w:lang w:val="zh-CN"/>
              </w:rPr>
              <w:t>缺一项或某项达不到要求，按无效文件处理。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noWrap w:val="0"/>
            <w:vAlign w:val="center"/>
          </w:tcPr>
          <w:p>
            <w:pPr>
              <w:shd w:val="clea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p>
        </w:tc>
        <w:tc>
          <w:tcPr>
            <w:tcW w:w="1853"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投标文件份数</w:t>
            </w:r>
          </w:p>
        </w:tc>
        <w:tc>
          <w:tcPr>
            <w:tcW w:w="6950" w:type="dxa"/>
            <w:noWrap w:val="0"/>
            <w:vAlign w:val="center"/>
          </w:tcPr>
          <w:p>
            <w:pPr>
              <w:shd w:val="clear"/>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正本 1份，副本</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份，电子版1份（PDF和word文档格式，</w:t>
            </w:r>
            <w:r>
              <w:rPr>
                <w:rFonts w:hint="eastAsia" w:ascii="仿宋" w:hAnsi="仿宋" w:eastAsia="仿宋" w:cs="仿宋"/>
                <w:bCs/>
                <w:color w:val="auto"/>
                <w:sz w:val="24"/>
                <w:szCs w:val="24"/>
                <w:highlight w:val="none"/>
                <w:lang w:eastAsia="zh-CN"/>
              </w:rPr>
              <w:t>正版</w:t>
            </w:r>
            <w:r>
              <w:rPr>
                <w:rFonts w:hint="eastAsia" w:ascii="仿宋" w:hAnsi="仿宋" w:eastAsia="仿宋" w:cs="仿宋"/>
                <w:bCs/>
                <w:color w:val="auto"/>
                <w:sz w:val="24"/>
                <w:szCs w:val="24"/>
                <w:highlight w:val="none"/>
              </w:rPr>
              <w:t>U盘存储</w:t>
            </w:r>
            <w:r>
              <w:rPr>
                <w:rFonts w:hint="eastAsia" w:ascii="仿宋" w:hAnsi="仿宋" w:eastAsia="仿宋" w:cs="仿宋"/>
                <w:bCs/>
                <w:color w:val="auto"/>
                <w:sz w:val="24"/>
                <w:szCs w:val="24"/>
                <w:highlight w:val="none"/>
                <w:lang w:eastAsia="zh-CN"/>
              </w:rPr>
              <w:t>，如因</w:t>
            </w:r>
            <w:r>
              <w:rPr>
                <w:rFonts w:hint="eastAsia" w:ascii="仿宋" w:hAnsi="仿宋" w:eastAsia="仿宋" w:cs="仿宋"/>
                <w:bCs/>
                <w:color w:val="auto"/>
                <w:sz w:val="24"/>
                <w:szCs w:val="24"/>
                <w:highlight w:val="none"/>
                <w:lang w:val="en-US" w:eastAsia="zh-CN"/>
              </w:rPr>
              <w:t>U盘问题导致文件无法打开，责任自负</w:t>
            </w:r>
            <w:r>
              <w:rPr>
                <w:rFonts w:hint="eastAsia" w:ascii="仿宋" w:hAnsi="仿宋" w:eastAsia="仿宋" w:cs="仿宋"/>
                <w:bCs/>
                <w:color w:val="auto"/>
                <w:sz w:val="24"/>
                <w:szCs w:val="24"/>
                <w:highlight w:val="none"/>
              </w:rPr>
              <w:t>）</w:t>
            </w:r>
          </w:p>
          <w:p>
            <w:pPr>
              <w:shd w:val="clear"/>
              <w:spacing w:line="360" w:lineRule="auto"/>
              <w:jc w:val="lef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注：</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招标文件中“第五部分</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lang w:eastAsia="zh-CN"/>
              </w:rPr>
              <w:t>四</w:t>
            </w:r>
            <w:r>
              <w:rPr>
                <w:rFonts w:hint="eastAsia" w:ascii="仿宋" w:hAnsi="仿宋" w:eastAsia="仿宋" w:cs="仿宋"/>
                <w:bCs/>
                <w:color w:val="auto"/>
                <w:sz w:val="24"/>
                <w:szCs w:val="24"/>
                <w:highlight w:val="none"/>
              </w:rPr>
              <w:t>、供应商资格证明文件</w:t>
            </w:r>
            <w:r>
              <w:rPr>
                <w:rFonts w:hint="eastAsia" w:ascii="仿宋" w:hAnsi="仿宋" w:eastAsia="仿宋" w:cs="仿宋"/>
                <w:bCs/>
                <w:color w:val="auto"/>
                <w:sz w:val="24"/>
                <w:szCs w:val="24"/>
                <w:highlight w:val="none"/>
                <w:lang w:eastAsia="zh-CN"/>
              </w:rPr>
              <w:t>”单独胶装成册</w:t>
            </w:r>
            <w:r>
              <w:rPr>
                <w:rFonts w:hint="eastAsia" w:ascii="仿宋" w:hAnsi="仿宋" w:eastAsia="仿宋" w:cs="仿宋"/>
                <w:bCs/>
                <w:color w:val="auto"/>
                <w:sz w:val="24"/>
                <w:szCs w:val="24"/>
                <w:highlight w:val="none"/>
                <w:lang w:val="en-US" w:eastAsia="zh-CN"/>
              </w:rPr>
              <w:t>1本</w:t>
            </w:r>
            <w:r>
              <w:rPr>
                <w:rFonts w:hint="eastAsia" w:ascii="仿宋" w:hAnsi="仿宋" w:eastAsia="仿宋" w:cs="仿宋"/>
                <w:bCs/>
                <w:color w:val="auto"/>
                <w:sz w:val="24"/>
                <w:szCs w:val="24"/>
                <w:highlight w:val="none"/>
                <w:lang w:eastAsia="zh-CN"/>
              </w:rPr>
              <w:t>，与投标文件正本一同密封。</w:t>
            </w:r>
          </w:p>
          <w:p>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单独胶装</w:t>
            </w:r>
            <w:r>
              <w:rPr>
                <w:rFonts w:hint="eastAsia" w:ascii="仿宋" w:hAnsi="仿宋" w:eastAsia="仿宋" w:cs="仿宋"/>
                <w:bCs/>
                <w:color w:val="auto"/>
                <w:sz w:val="24"/>
                <w:szCs w:val="24"/>
                <w:highlight w:val="none"/>
                <w:lang w:val="en-US" w:eastAsia="zh-CN"/>
              </w:rPr>
              <w:t>的</w:t>
            </w:r>
            <w:r>
              <w:rPr>
                <w:rFonts w:hint="eastAsia" w:ascii="仿宋" w:hAnsi="仿宋" w:eastAsia="仿宋" w:cs="仿宋"/>
                <w:bCs/>
                <w:color w:val="auto"/>
                <w:sz w:val="24"/>
                <w:szCs w:val="24"/>
                <w:highlight w:val="none"/>
              </w:rPr>
              <w:t>供应商资格证明文件</w:t>
            </w:r>
            <w:r>
              <w:rPr>
                <w:rFonts w:hint="eastAsia" w:ascii="仿宋" w:hAnsi="仿宋" w:eastAsia="仿宋" w:cs="仿宋"/>
                <w:bCs/>
                <w:color w:val="auto"/>
                <w:sz w:val="24"/>
                <w:szCs w:val="24"/>
                <w:highlight w:val="none"/>
                <w:lang w:val="en-US" w:eastAsia="zh-CN"/>
              </w:rPr>
              <w:t>与投标文件正本中资格不一致时，以投标文件正本为准。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noWrap w:val="0"/>
            <w:vAlign w:val="center"/>
          </w:tcPr>
          <w:p>
            <w:pPr>
              <w:shd w:val="clea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853"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对招标文件提出质疑的截止时间</w:t>
            </w:r>
          </w:p>
        </w:tc>
        <w:tc>
          <w:tcPr>
            <w:tcW w:w="6950" w:type="dxa"/>
            <w:noWrap w:val="0"/>
            <w:vAlign w:val="center"/>
          </w:tcPr>
          <w:p>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供应商在招标文件、开标过程、中标结果使自己的权益受到损害的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可以在知道或者应知其权益受到损害之日起七个工作日内</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以书面形式向采购代理机构提出</w:t>
            </w:r>
            <w:r>
              <w:rPr>
                <w:rFonts w:hint="eastAsia" w:ascii="仿宋" w:hAnsi="仿宋" w:eastAsia="仿宋" w:cs="仿宋"/>
                <w:color w:val="auto"/>
                <w:sz w:val="24"/>
                <w:szCs w:val="24"/>
                <w:highlight w:val="none"/>
              </w:rPr>
              <w:t>（同时须将此书面文件</w:t>
            </w:r>
            <w:r>
              <w:rPr>
                <w:rFonts w:hint="eastAsia" w:ascii="仿宋" w:hAnsi="仿宋" w:eastAsia="仿宋" w:cs="仿宋"/>
                <w:color w:val="auto"/>
                <w:sz w:val="24"/>
                <w:szCs w:val="24"/>
                <w:highlight w:val="none"/>
                <w:lang w:eastAsia="zh-CN"/>
              </w:rPr>
              <w:t>电子版发送至电子邮箱</w:t>
            </w:r>
            <w:r>
              <w:rPr>
                <w:rFonts w:hint="eastAsia" w:ascii="仿宋" w:hAnsi="仿宋" w:eastAsia="仿宋" w:cs="仿宋"/>
                <w:color w:val="auto"/>
                <w:sz w:val="24"/>
                <w:szCs w:val="24"/>
                <w:highlight w:val="none"/>
                <w:lang w:val="en-US" w:eastAsia="zh-CN"/>
              </w:rPr>
              <w:t>2059407584</w:t>
            </w:r>
            <w:r>
              <w:rPr>
                <w:rFonts w:hint="eastAsia" w:ascii="仿宋" w:hAnsi="仿宋" w:eastAsia="仿宋" w:cs="仿宋"/>
                <w:color w:val="auto"/>
                <w:sz w:val="24"/>
                <w:szCs w:val="24"/>
                <w:highlight w:val="none"/>
              </w:rPr>
              <w:t>@qq.com），</w:t>
            </w:r>
            <w:r>
              <w:rPr>
                <w:rFonts w:hint="eastAsia" w:ascii="仿宋" w:hAnsi="仿宋" w:eastAsia="仿宋" w:cs="仿宋"/>
                <w:color w:val="auto"/>
                <w:sz w:val="24"/>
                <w:szCs w:val="24"/>
                <w:highlight w:val="none"/>
                <w:lang w:val="zh-CN"/>
              </w:rPr>
              <w:t>采购代理机构将予以答复</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以书面形式发给所有获取招标文件的供应商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但不指明问题的来源。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noWrap w:val="0"/>
            <w:vAlign w:val="center"/>
          </w:tcPr>
          <w:p>
            <w:pPr>
              <w:shd w:val="clea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14</w:t>
            </w:r>
          </w:p>
        </w:tc>
        <w:tc>
          <w:tcPr>
            <w:tcW w:w="1853"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确认收到澄清或者修改的时间</w:t>
            </w:r>
          </w:p>
        </w:tc>
        <w:tc>
          <w:tcPr>
            <w:tcW w:w="6950" w:type="dxa"/>
            <w:noWrap w:val="0"/>
            <w:vAlign w:val="center"/>
          </w:tcPr>
          <w:p>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在收到相应澄清或答疑文件后24小时内。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noWrap w:val="0"/>
            <w:vAlign w:val="center"/>
          </w:tcPr>
          <w:p>
            <w:pPr>
              <w:shd w:val="clea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15</w:t>
            </w:r>
          </w:p>
        </w:tc>
        <w:tc>
          <w:tcPr>
            <w:tcW w:w="1853"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6950" w:type="dxa"/>
            <w:noWrap w:val="0"/>
            <w:vAlign w:val="center"/>
          </w:tcPr>
          <w:p>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不少于90日历天（自开标之日起）。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noWrap w:val="0"/>
            <w:vAlign w:val="center"/>
          </w:tcPr>
          <w:p>
            <w:pPr>
              <w:shd w:val="clea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16</w:t>
            </w:r>
          </w:p>
        </w:tc>
        <w:tc>
          <w:tcPr>
            <w:tcW w:w="1853"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是否接受</w:t>
            </w:r>
          </w:p>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联合体投标</w:t>
            </w:r>
          </w:p>
        </w:tc>
        <w:tc>
          <w:tcPr>
            <w:tcW w:w="6950" w:type="dxa"/>
            <w:noWrap w:val="0"/>
            <w:vAlign w:val="center"/>
          </w:tcPr>
          <w:p>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noWrap w:val="0"/>
            <w:vAlign w:val="center"/>
          </w:tcPr>
          <w:p>
            <w:pPr>
              <w:shd w:val="clea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17</w:t>
            </w:r>
          </w:p>
        </w:tc>
        <w:tc>
          <w:tcPr>
            <w:tcW w:w="1853"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答疑会</w:t>
            </w:r>
          </w:p>
        </w:tc>
        <w:tc>
          <w:tcPr>
            <w:tcW w:w="6950" w:type="dxa"/>
            <w:noWrap w:val="0"/>
            <w:vAlign w:val="center"/>
          </w:tcPr>
          <w:p>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noWrap w:val="0"/>
            <w:vAlign w:val="center"/>
          </w:tcPr>
          <w:p>
            <w:pPr>
              <w:shd w:val="clea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18</w:t>
            </w:r>
          </w:p>
        </w:tc>
        <w:tc>
          <w:tcPr>
            <w:tcW w:w="1853"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投标文件装订要求</w:t>
            </w:r>
          </w:p>
        </w:tc>
        <w:tc>
          <w:tcPr>
            <w:tcW w:w="6950" w:type="dxa"/>
            <w:noWrap w:val="0"/>
            <w:vAlign w:val="center"/>
          </w:tcPr>
          <w:p>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双面打印，应牢固装订成册，不可插页抽页。牢固装订成册是指用适当的办法,书脊涂有胶粘剂以保证投标文件不至于散开或用简单办法不能将任何一页在没有任何损坏的情况下取出或插入。各种用活页夹、文件夹、塑料方便式书脊（插入式或穿孔式）装订均不认为是牢固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noWrap w:val="0"/>
            <w:vAlign w:val="center"/>
          </w:tcPr>
          <w:p>
            <w:pPr>
              <w:shd w:val="clea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19</w:t>
            </w:r>
          </w:p>
        </w:tc>
        <w:tc>
          <w:tcPr>
            <w:tcW w:w="1853"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投标文件的签署要求</w:t>
            </w:r>
          </w:p>
        </w:tc>
        <w:tc>
          <w:tcPr>
            <w:tcW w:w="6950" w:type="dxa"/>
            <w:noWrap w:val="0"/>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投标文件（正、副本）必须加盖供应商红色公章</w:t>
            </w:r>
            <w:r>
              <w:rPr>
                <w:rFonts w:hint="eastAsia" w:ascii="仿宋" w:hAnsi="仿宋" w:eastAsia="仿宋" w:cs="仿宋"/>
                <w:bCs/>
                <w:color w:val="auto"/>
                <w:sz w:val="24"/>
                <w:szCs w:val="24"/>
                <w:highlight w:val="none"/>
              </w:rPr>
              <w:t>并按照招标文件要求由法定代表人（授权代表人）签字。若无法定代表人则由单位负责人签字。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noWrap w:val="0"/>
            <w:vAlign w:val="center"/>
          </w:tcPr>
          <w:p>
            <w:pPr>
              <w:shd w:val="clea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20</w:t>
            </w:r>
          </w:p>
        </w:tc>
        <w:tc>
          <w:tcPr>
            <w:tcW w:w="1853"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投标文件密封</w:t>
            </w:r>
          </w:p>
        </w:tc>
        <w:tc>
          <w:tcPr>
            <w:tcW w:w="6950" w:type="dxa"/>
            <w:noWrap w:val="0"/>
            <w:vAlign w:val="center"/>
          </w:tcPr>
          <w:p>
            <w:pPr>
              <w:shd w:val="clear"/>
              <w:tabs>
                <w:tab w:val="left" w:pos="9030"/>
              </w:tabs>
              <w:snapToGrid w:val="0"/>
              <w:spacing w:line="360" w:lineRule="auto"/>
              <w:ind w:right="-6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）供应商应将投标文件分为</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个包装袋。</w:t>
            </w:r>
            <w:r>
              <w:rPr>
                <w:rFonts w:hint="eastAsia" w:ascii="仿宋" w:hAnsi="仿宋" w:eastAsia="仿宋" w:cs="仿宋"/>
                <w:color w:val="auto"/>
                <w:sz w:val="24"/>
                <w:szCs w:val="24"/>
                <w:highlight w:val="none"/>
                <w:lang w:val="zh-CN"/>
              </w:rPr>
              <w:t>正本单独密封、所有副本密封，投标文件电子版单独密封且在外层包装上标明字样。</w:t>
            </w:r>
          </w:p>
          <w:p>
            <w:pPr>
              <w:shd w:val="clear"/>
              <w:tabs>
                <w:tab w:val="left" w:pos="9030"/>
              </w:tabs>
              <w:snapToGrid w:val="0"/>
              <w:spacing w:line="360" w:lineRule="auto"/>
              <w:ind w:right="-6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外层包装应加封条密封，在封线处加盖公章（骑缝章），标明项目编号、项目名称，供应商全称（公章）、在</w:t>
            </w:r>
            <w:r>
              <w:rPr>
                <w:rFonts w:hint="eastAsia" w:ascii="仿宋" w:hAnsi="仿宋" w:eastAsia="仿宋" w:cs="仿宋"/>
                <w:color w:val="auto"/>
                <w:sz w:val="24"/>
                <w:szCs w:val="24"/>
                <w:highlight w:val="none"/>
              </w:rPr>
              <w:t>XXXX年XX月XX日XX：XX前不得启封</w:t>
            </w:r>
            <w:r>
              <w:rPr>
                <w:rFonts w:hint="eastAsia" w:ascii="仿宋" w:hAnsi="仿宋" w:eastAsia="仿宋" w:cs="仿宋"/>
                <w:color w:val="auto"/>
                <w:sz w:val="24"/>
                <w:szCs w:val="24"/>
                <w:highlight w:val="none"/>
                <w:lang w:val="zh-CN"/>
              </w:rPr>
              <w:t>等内容。</w:t>
            </w:r>
          </w:p>
          <w:p>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注：如果投标文件未按要求密封和加写标记，采购代理机构将不予接受。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noWrap w:val="0"/>
            <w:vAlign w:val="center"/>
          </w:tcPr>
          <w:p>
            <w:pPr>
              <w:shd w:val="clea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21</w:t>
            </w:r>
          </w:p>
        </w:tc>
        <w:tc>
          <w:tcPr>
            <w:tcW w:w="1853"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中标公告公示</w:t>
            </w:r>
          </w:p>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媒体</w:t>
            </w:r>
          </w:p>
        </w:tc>
        <w:tc>
          <w:tcPr>
            <w:tcW w:w="6950" w:type="dxa"/>
            <w:noWrap w:val="0"/>
            <w:vAlign w:val="center"/>
          </w:tcPr>
          <w:p>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noWrap w:val="0"/>
            <w:vAlign w:val="center"/>
          </w:tcPr>
          <w:p>
            <w:pPr>
              <w:shd w:val="clea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22</w:t>
            </w:r>
          </w:p>
        </w:tc>
        <w:tc>
          <w:tcPr>
            <w:tcW w:w="1853"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中标服务费</w:t>
            </w:r>
          </w:p>
        </w:tc>
        <w:tc>
          <w:tcPr>
            <w:tcW w:w="6950" w:type="dxa"/>
            <w:noWrap w:val="0"/>
            <w:vAlign w:val="center"/>
          </w:tcPr>
          <w:p>
            <w:pPr>
              <w:shd w:val="clear"/>
              <w:autoSpaceDE w:val="0"/>
              <w:autoSpaceDN w:val="0"/>
              <w:adjustRightIn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照国家计委关于《招标代理服务收费管理暂行办法》（计价格[2002]1980号）、《国家发展改革委办公厅关于招标代理服务收费有关问题的通知》（发改价格[2003]857号）、《国家发展改革委关于进一步放开建设项目专业服务价格的通知》；</w:t>
            </w:r>
          </w:p>
          <w:p>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本项目招标代理服务费由中标供应商在中标结果公示期满后三个</w:t>
            </w:r>
            <w:r>
              <w:rPr>
                <w:rFonts w:hint="eastAsia" w:ascii="仿宋" w:hAnsi="仿宋" w:eastAsia="仿宋" w:cs="仿宋"/>
                <w:color w:val="auto"/>
                <w:sz w:val="24"/>
                <w:szCs w:val="24"/>
                <w:highlight w:val="none"/>
                <w:lang w:eastAsia="zh-CN"/>
              </w:rPr>
              <w:t>工作日内按照标准支付</w:t>
            </w:r>
            <w:r>
              <w:rPr>
                <w:rFonts w:hint="eastAsia" w:ascii="仿宋" w:hAnsi="仿宋" w:eastAsia="仿宋" w:cs="仿宋"/>
                <w:color w:val="auto"/>
                <w:sz w:val="24"/>
                <w:szCs w:val="24"/>
                <w:highlight w:val="none"/>
              </w:rPr>
              <w:t>给招标代理机构。（代理报酬的币种：人民币，汇率：无）</w:t>
            </w:r>
          </w:p>
          <w:p>
            <w:pPr>
              <w:pStyle w:val="2"/>
              <w:shd w:val="clear"/>
              <w:jc w:val="both"/>
              <w:rPr>
                <w:rFonts w:hint="eastAsia" w:eastAsia="仿宋"/>
                <w:color w:val="auto"/>
                <w:highlight w:val="none"/>
                <w:lang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单位：万元</w:t>
            </w:r>
          </w:p>
          <w:tbl>
            <w:tblPr>
              <w:tblStyle w:val="21"/>
              <w:tblW w:w="5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1362"/>
              <w:gridCol w:w="1344"/>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020" w:type="dxa"/>
                  <w:vAlign w:val="center"/>
                </w:tcPr>
                <w:p>
                  <w:pPr>
                    <w:shd w:val="clear"/>
                    <w:spacing w:line="360" w:lineRule="auto"/>
                    <w:ind w:firstLine="720" w:firstLineChars="300"/>
                    <w:jc w:val="center"/>
                    <w:rPr>
                      <w:rFonts w:ascii="仿宋" w:hAnsi="仿宋" w:eastAsia="仿宋" w:cs="仿宋"/>
                      <w:b/>
                      <w:color w:val="auto"/>
                      <w:sz w:val="24"/>
                      <w:szCs w:val="24"/>
                      <w:highlight w:val="none"/>
                    </w:rPr>
                  </w:pPr>
                  <w:r>
                    <w:rPr>
                      <w:rFonts w:ascii="仿宋" w:hAnsi="仿宋" w:eastAsia="仿宋" w:cs="仿宋"/>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-68580</wp:posOffset>
                            </wp:positionH>
                            <wp:positionV relativeFrom="paragraph">
                              <wp:posOffset>15240</wp:posOffset>
                            </wp:positionV>
                            <wp:extent cx="1249045" cy="582295"/>
                            <wp:effectExtent l="1905" t="4445" r="6350" b="22860"/>
                            <wp:wrapNone/>
                            <wp:docPr id="2" name="直接箭头连接符 2"/>
                            <wp:cNvGraphicFramePr/>
                            <a:graphic xmlns:a="http://schemas.openxmlformats.org/drawingml/2006/main">
                              <a:graphicData uri="http://schemas.microsoft.com/office/word/2010/wordprocessingShape">
                                <wps:wsp>
                                  <wps:cNvCnPr/>
                                  <wps:spPr>
                                    <a:xfrm>
                                      <a:off x="0" y="0"/>
                                      <a:ext cx="1249045" cy="5822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4pt;margin-top:1.2pt;height:45.85pt;width:98.35pt;z-index:251665408;mso-width-relative:page;mso-height-relative:page;" filled="f" stroked="t" coordsize="21600,21600" o:gfxdata="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k9adbXAAAACAEAAA8AAAAAAAAAAQAgAAAAIgAAAGRycy9kb3du&#10;cmV2LnhtbFBLAQIUABQAAAAIAIdO4kCuVjlJAAIAAPEDAAAOAAAAAAAAAAEAIAAAACYBAABkcnMv&#10;ZTJvRG9jLnhtbFBLBQYAAAAABgAGAFkBAACYBQAAAAA=&#10;">
                            <v:fill on="f" focussize="0,0"/>
                            <v:stroke color="#000000" joinstyle="round"/>
                            <v:imagedata o:title=""/>
                            <o:lock v:ext="edit" aspectratio="f"/>
                          </v:shape>
                        </w:pict>
                      </mc:Fallback>
                    </mc:AlternateContent>
                  </w:r>
                  <w:r>
                    <w:rPr>
                      <w:rFonts w:hint="eastAsia" w:ascii="仿宋" w:hAnsi="仿宋" w:eastAsia="仿宋" w:cs="仿宋"/>
                      <w:b/>
                      <w:color w:val="auto"/>
                      <w:sz w:val="24"/>
                      <w:szCs w:val="24"/>
                      <w:highlight w:val="none"/>
                    </w:rPr>
                    <w:t>采购类型</w:t>
                  </w:r>
                </w:p>
                <w:p>
                  <w:pPr>
                    <w:shd w:val="clear"/>
                    <w:spacing w:line="360" w:lineRule="auto"/>
                    <w:jc w:val="both"/>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成交</w:t>
                  </w:r>
                  <w:r>
                    <w:rPr>
                      <w:rFonts w:hint="eastAsia" w:ascii="仿宋" w:hAnsi="仿宋" w:eastAsia="仿宋" w:cs="仿宋"/>
                      <w:b/>
                      <w:color w:val="auto"/>
                      <w:sz w:val="24"/>
                      <w:szCs w:val="24"/>
                      <w:highlight w:val="none"/>
                    </w:rPr>
                    <w:t>金额</w:t>
                  </w:r>
                </w:p>
              </w:tc>
              <w:tc>
                <w:tcPr>
                  <w:tcW w:w="1362" w:type="dxa"/>
                  <w:vAlign w:val="center"/>
                </w:tcPr>
                <w:p>
                  <w:pPr>
                    <w:shd w:val="clear"/>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货物招标</w:t>
                  </w:r>
                </w:p>
              </w:tc>
              <w:tc>
                <w:tcPr>
                  <w:tcW w:w="1344" w:type="dxa"/>
                  <w:vAlign w:val="center"/>
                </w:tcPr>
                <w:p>
                  <w:pPr>
                    <w:shd w:val="clear"/>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服务招标</w:t>
                  </w:r>
                </w:p>
              </w:tc>
              <w:tc>
                <w:tcPr>
                  <w:tcW w:w="1253" w:type="dxa"/>
                  <w:vAlign w:val="center"/>
                </w:tcPr>
                <w:p>
                  <w:pPr>
                    <w:shd w:val="clear"/>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020"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100以下</w:t>
                  </w:r>
                </w:p>
              </w:tc>
              <w:tc>
                <w:tcPr>
                  <w:tcW w:w="1362"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344"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253"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0"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100-500</w:t>
                  </w:r>
                </w:p>
              </w:tc>
              <w:tc>
                <w:tcPr>
                  <w:tcW w:w="1362"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344"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253"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0"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500-1000</w:t>
                  </w:r>
                </w:p>
              </w:tc>
              <w:tc>
                <w:tcPr>
                  <w:tcW w:w="1362"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344"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0.45%</w:t>
                  </w:r>
                </w:p>
              </w:tc>
              <w:tc>
                <w:tcPr>
                  <w:tcW w:w="1253"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0"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1000-5000</w:t>
                  </w:r>
                </w:p>
              </w:tc>
              <w:tc>
                <w:tcPr>
                  <w:tcW w:w="1362"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0.5%</w:t>
                  </w:r>
                </w:p>
              </w:tc>
              <w:tc>
                <w:tcPr>
                  <w:tcW w:w="1344"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0.25%</w:t>
                  </w:r>
                </w:p>
              </w:tc>
              <w:tc>
                <w:tcPr>
                  <w:tcW w:w="1253"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0"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5000-10000</w:t>
                  </w:r>
                </w:p>
              </w:tc>
              <w:tc>
                <w:tcPr>
                  <w:tcW w:w="1362"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0.25%</w:t>
                  </w:r>
                </w:p>
              </w:tc>
              <w:tc>
                <w:tcPr>
                  <w:tcW w:w="1344"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0.1%</w:t>
                  </w:r>
                </w:p>
              </w:tc>
              <w:tc>
                <w:tcPr>
                  <w:tcW w:w="1253"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020"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10000-100000</w:t>
                  </w:r>
                </w:p>
              </w:tc>
              <w:tc>
                <w:tcPr>
                  <w:tcW w:w="1362"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c>
                <w:tcPr>
                  <w:tcW w:w="1344"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c>
                <w:tcPr>
                  <w:tcW w:w="1253"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20"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1000000以上</w:t>
                  </w:r>
                </w:p>
              </w:tc>
              <w:tc>
                <w:tcPr>
                  <w:tcW w:w="1362"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0.01%</w:t>
                  </w:r>
                </w:p>
              </w:tc>
              <w:tc>
                <w:tcPr>
                  <w:tcW w:w="1344"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0.01%</w:t>
                  </w:r>
                </w:p>
              </w:tc>
              <w:tc>
                <w:tcPr>
                  <w:tcW w:w="1253" w:type="dxa"/>
                  <w:vAlign w:val="center"/>
                </w:tcPr>
                <w:p>
                  <w:pPr>
                    <w:shd w:val="clea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0.01%</w:t>
                  </w:r>
                </w:p>
              </w:tc>
            </w:tr>
          </w:tbl>
          <w:p>
            <w:pPr>
              <w:shd w:val="clear"/>
              <w:spacing w:line="360" w:lineRule="auto"/>
              <w:jc w:val="left"/>
              <w:rPr>
                <w:rFonts w:hint="eastAsia" w:ascii="仿宋" w:hAnsi="仿宋" w:eastAsia="仿宋" w:cs="仿宋"/>
                <w:color w:val="auto"/>
                <w:sz w:val="24"/>
                <w:szCs w:val="24"/>
                <w:highlight w:val="none"/>
              </w:rPr>
            </w:pPr>
          </w:p>
        </w:tc>
      </w:tr>
    </w:tbl>
    <w:p>
      <w:pPr>
        <w:keepNext w:val="0"/>
        <w:keepLines w:val="0"/>
        <w:pageBreakBefore/>
        <w:shd w:val="clear"/>
        <w:kinsoku/>
        <w:wordWrap/>
        <w:overflowPunct/>
        <w:topLinePunct w:val="0"/>
        <w:bidi w:val="0"/>
        <w:spacing w:line="360" w:lineRule="auto"/>
        <w:ind w:right="0" w:firstLine="482" w:firstLineChars="200"/>
        <w:textAlignment w:val="auto"/>
        <w:outlineLvl w:val="1"/>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一、总则</w:t>
      </w:r>
      <w:bookmarkEnd w:id="9"/>
      <w:bookmarkEnd w:id="10"/>
      <w:bookmarkEnd w:id="11"/>
      <w:bookmarkEnd w:id="12"/>
      <w:bookmarkEnd w:id="13"/>
      <w:bookmarkEnd w:id="14"/>
      <w:bookmarkEnd w:id="15"/>
      <w:bookmarkEnd w:id="16"/>
    </w:p>
    <w:p>
      <w:pPr>
        <w:keepNext w:val="0"/>
        <w:keepLines w:val="0"/>
        <w:shd w:val="clear"/>
        <w:kinsoku/>
        <w:wordWrap/>
        <w:overflowPunct/>
        <w:topLinePunct w:val="0"/>
        <w:bidi w:val="0"/>
        <w:spacing w:line="360" w:lineRule="auto"/>
        <w:ind w:right="0" w:firstLine="482" w:firstLineChars="200"/>
        <w:textAlignment w:val="auto"/>
        <w:outlineLvl w:val="2"/>
        <w:rPr>
          <w:rFonts w:hint="eastAsia" w:ascii="仿宋" w:hAnsi="仿宋" w:eastAsia="仿宋" w:cs="仿宋"/>
          <w:color w:val="auto"/>
          <w:sz w:val="24"/>
          <w:szCs w:val="24"/>
          <w:highlight w:val="none"/>
          <w:lang w:val="zh-CN"/>
        </w:rPr>
      </w:pPr>
      <w:bookmarkStart w:id="26" w:name="_Toc20"/>
      <w:bookmarkStart w:id="27" w:name="_Toc14386"/>
      <w:bookmarkStart w:id="28" w:name="_Toc27696"/>
      <w:bookmarkStart w:id="29" w:name="_Toc29110"/>
      <w:bookmarkStart w:id="30" w:name="_Toc17517"/>
      <w:bookmarkStart w:id="31" w:name="_Toc5427"/>
      <w:bookmarkStart w:id="32" w:name="_Toc6337"/>
      <w:bookmarkStart w:id="33" w:name="_Toc6093"/>
      <w:bookmarkStart w:id="34" w:name="_Toc7648"/>
      <w:r>
        <w:rPr>
          <w:rFonts w:hint="eastAsia" w:ascii="仿宋" w:hAnsi="仿宋" w:eastAsia="仿宋" w:cs="仿宋"/>
          <w:b/>
          <w:bCs/>
          <w:color w:val="auto"/>
          <w:sz w:val="24"/>
          <w:szCs w:val="24"/>
          <w:highlight w:val="none"/>
          <w:lang w:val="zh-CN"/>
        </w:rPr>
        <w:t>（一）适用范围</w:t>
      </w:r>
      <w:bookmarkEnd w:id="26"/>
      <w:bookmarkEnd w:id="27"/>
      <w:bookmarkEnd w:id="28"/>
      <w:bookmarkEnd w:id="29"/>
      <w:bookmarkEnd w:id="30"/>
      <w:bookmarkEnd w:id="31"/>
      <w:bookmarkEnd w:id="32"/>
      <w:bookmarkEnd w:id="33"/>
      <w:bookmarkEnd w:id="34"/>
    </w:p>
    <w:p>
      <w:pPr>
        <w:keepNext w:val="0"/>
        <w:keepLines w:val="0"/>
        <w:shd w:val="clear"/>
        <w:kinsoku/>
        <w:wordWrap/>
        <w:overflowPunct/>
        <w:topLinePunct w:val="0"/>
        <w:bidi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1、本招标文件仅适用于本次招标所述的</w:t>
      </w:r>
      <w:r>
        <w:rPr>
          <w:rFonts w:hint="eastAsia" w:ascii="仿宋" w:hAnsi="仿宋" w:eastAsia="仿宋" w:cs="仿宋"/>
          <w:color w:val="auto"/>
          <w:sz w:val="24"/>
          <w:szCs w:val="24"/>
          <w:highlight w:val="none"/>
          <w:lang w:eastAsia="zh-CN"/>
        </w:rPr>
        <w:t>灞桥区2021年新增教育建设奖补资金--五星中学设备采购项目（第六标段）二次采购</w:t>
      </w:r>
      <w:r>
        <w:rPr>
          <w:rFonts w:hint="eastAsia" w:ascii="仿宋" w:hAnsi="仿宋" w:eastAsia="仿宋" w:cs="仿宋"/>
          <w:color w:val="auto"/>
          <w:sz w:val="24"/>
          <w:szCs w:val="24"/>
          <w:highlight w:val="none"/>
        </w:rPr>
        <w:t>活动。</w:t>
      </w:r>
    </w:p>
    <w:bookmarkEnd w:id="17"/>
    <w:p>
      <w:pPr>
        <w:keepNext w:val="0"/>
        <w:keepLines w:val="0"/>
        <w:shd w:val="clear"/>
        <w:kinsoku/>
        <w:wordWrap/>
        <w:overflowPunct/>
        <w:topLinePunct w:val="0"/>
        <w:bidi w:val="0"/>
        <w:spacing w:line="360" w:lineRule="auto"/>
        <w:ind w:right="0" w:firstLine="482" w:firstLineChars="200"/>
        <w:textAlignment w:val="auto"/>
        <w:outlineLvl w:val="2"/>
        <w:rPr>
          <w:rFonts w:hint="eastAsia" w:ascii="仿宋" w:hAnsi="仿宋" w:eastAsia="仿宋" w:cs="仿宋"/>
          <w:color w:val="auto"/>
          <w:sz w:val="24"/>
          <w:szCs w:val="24"/>
          <w:highlight w:val="none"/>
          <w:lang w:val="zh-CN"/>
        </w:rPr>
      </w:pPr>
      <w:bookmarkStart w:id="35" w:name="_Toc5174"/>
      <w:bookmarkStart w:id="36" w:name="_Toc26769"/>
      <w:bookmarkStart w:id="37" w:name="_Toc25233"/>
      <w:bookmarkStart w:id="38" w:name="_Toc14450"/>
      <w:bookmarkStart w:id="39" w:name="_Toc18376"/>
      <w:bookmarkStart w:id="40" w:name="_Toc11334"/>
      <w:bookmarkStart w:id="41" w:name="_Toc20921"/>
      <w:bookmarkStart w:id="42" w:name="_Toc97"/>
      <w:bookmarkStart w:id="43" w:name="_Toc20501"/>
      <w:r>
        <w:rPr>
          <w:rFonts w:hint="eastAsia" w:ascii="仿宋" w:hAnsi="仿宋" w:eastAsia="仿宋" w:cs="仿宋"/>
          <w:b/>
          <w:bCs/>
          <w:color w:val="auto"/>
          <w:sz w:val="24"/>
          <w:szCs w:val="24"/>
          <w:highlight w:val="none"/>
          <w:lang w:val="zh-CN"/>
        </w:rPr>
        <w:t>（二）名词解释</w:t>
      </w:r>
      <w:bookmarkEnd w:id="35"/>
      <w:bookmarkEnd w:id="36"/>
      <w:bookmarkEnd w:id="37"/>
      <w:bookmarkEnd w:id="38"/>
      <w:bookmarkEnd w:id="39"/>
      <w:bookmarkEnd w:id="40"/>
      <w:bookmarkEnd w:id="41"/>
      <w:bookmarkEnd w:id="42"/>
      <w:bookmarkEnd w:id="43"/>
    </w:p>
    <w:p>
      <w:pPr>
        <w:keepNext w:val="0"/>
        <w:keepLines w:val="0"/>
        <w:shd w:val="clear"/>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kern w:val="0"/>
          <w:sz w:val="24"/>
          <w:szCs w:val="24"/>
          <w:highlight w:val="none"/>
          <w:u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采购人：</w:t>
      </w:r>
      <w:r>
        <w:rPr>
          <w:rFonts w:hint="eastAsia" w:ascii="仿宋" w:hAnsi="仿宋" w:eastAsia="仿宋" w:cs="仿宋"/>
          <w:color w:val="auto"/>
          <w:sz w:val="24"/>
          <w:szCs w:val="24"/>
          <w:highlight w:val="none"/>
        </w:rPr>
        <w:t xml:space="preserve">西安市灞桥区教育局 </w:t>
      </w:r>
    </w:p>
    <w:p>
      <w:pPr>
        <w:keepNext w:val="0"/>
        <w:keepLines w:val="0"/>
        <w:shd w:val="clear"/>
        <w:kinsoku/>
        <w:wordWrap/>
        <w:overflowPunct/>
        <w:topLinePunct w:val="0"/>
        <w:bidi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监督机构：</w:t>
      </w:r>
      <w:r>
        <w:rPr>
          <w:rFonts w:hint="eastAsia" w:ascii="仿宋" w:hAnsi="仿宋" w:eastAsia="仿宋" w:cs="仿宋"/>
          <w:color w:val="auto"/>
          <w:sz w:val="24"/>
          <w:szCs w:val="24"/>
          <w:highlight w:val="none"/>
        </w:rPr>
        <w:t>西安市灞桥区财政局</w:t>
      </w:r>
    </w:p>
    <w:p>
      <w:pPr>
        <w:keepNext w:val="0"/>
        <w:keepLines w:val="0"/>
        <w:shd w:val="clear"/>
        <w:kinsoku/>
        <w:wordWrap/>
        <w:overflowPunct/>
        <w:topLinePunct w:val="0"/>
        <w:bidi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采购代理机构：陕西笃信招标有限公司</w:t>
      </w:r>
    </w:p>
    <w:p>
      <w:pPr>
        <w:keepNext w:val="0"/>
        <w:keepLines w:val="0"/>
        <w:shd w:val="clear"/>
        <w:kinsoku/>
        <w:wordWrap/>
        <w:overflowPunct/>
        <w:topLinePunct w:val="0"/>
        <w:bidi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供应商：响应招标、参加投标竞争的法人、其他组织或者自然人。</w:t>
      </w:r>
    </w:p>
    <w:p>
      <w:pPr>
        <w:keepNext w:val="0"/>
        <w:keepLines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招标文件：含澄清、修改内容的书面资料和招标文件格式的统称。</w:t>
      </w:r>
    </w:p>
    <w:p>
      <w:pPr>
        <w:keepNext w:val="0"/>
        <w:keepLines w:val="0"/>
        <w:shd w:val="clear"/>
        <w:kinsoku/>
        <w:wordWrap/>
        <w:overflowPunct/>
        <w:topLinePunct w:val="0"/>
        <w:autoSpaceDE w:val="0"/>
        <w:autoSpaceDN w:val="0"/>
        <w:bidi w:val="0"/>
        <w:adjustRightInd w:val="0"/>
        <w:snapToGrid w:val="0"/>
        <w:spacing w:line="360" w:lineRule="auto"/>
        <w:ind w:right="0" w:firstLine="482" w:firstLineChars="200"/>
        <w:textAlignment w:val="auto"/>
        <w:outlineLvl w:val="1"/>
        <w:rPr>
          <w:rFonts w:hint="eastAsia" w:ascii="仿宋" w:hAnsi="仿宋" w:eastAsia="仿宋" w:cs="仿宋"/>
          <w:b/>
          <w:bCs/>
          <w:color w:val="auto"/>
          <w:sz w:val="24"/>
          <w:szCs w:val="24"/>
          <w:highlight w:val="none"/>
          <w:lang w:val="zh-CN"/>
        </w:rPr>
      </w:pPr>
      <w:bookmarkStart w:id="44" w:name="_Toc32052"/>
      <w:bookmarkStart w:id="45" w:name="_Toc5144"/>
      <w:bookmarkStart w:id="46" w:name="_Toc13475"/>
      <w:bookmarkStart w:id="47" w:name="_Toc7846"/>
      <w:bookmarkStart w:id="48" w:name="_Toc9657"/>
      <w:bookmarkStart w:id="49" w:name="_Toc29138"/>
      <w:bookmarkStart w:id="50" w:name="_Toc18136"/>
      <w:bookmarkStart w:id="51" w:name="_Toc24956"/>
      <w:r>
        <w:rPr>
          <w:rFonts w:hint="eastAsia" w:ascii="仿宋" w:hAnsi="仿宋" w:eastAsia="仿宋" w:cs="仿宋"/>
          <w:b/>
          <w:bCs/>
          <w:color w:val="auto"/>
          <w:sz w:val="24"/>
          <w:szCs w:val="24"/>
          <w:highlight w:val="none"/>
          <w:lang w:val="zh-CN"/>
        </w:rPr>
        <w:t>二、招标文件</w:t>
      </w:r>
      <w:bookmarkEnd w:id="44"/>
      <w:bookmarkEnd w:id="45"/>
      <w:bookmarkEnd w:id="46"/>
      <w:bookmarkEnd w:id="47"/>
      <w:bookmarkEnd w:id="48"/>
      <w:bookmarkEnd w:id="49"/>
      <w:bookmarkEnd w:id="50"/>
      <w:bookmarkEnd w:id="51"/>
    </w:p>
    <w:p>
      <w:pPr>
        <w:keepNext w:val="0"/>
        <w:keepLines w:val="0"/>
        <w:shd w:val="clear"/>
        <w:kinsoku/>
        <w:wordWrap/>
        <w:overflowPunct/>
        <w:topLinePunct w:val="0"/>
        <w:autoSpaceDE w:val="0"/>
        <w:autoSpaceDN w:val="0"/>
        <w:bidi w:val="0"/>
        <w:adjustRightInd w:val="0"/>
        <w:snapToGrid w:val="0"/>
        <w:spacing w:line="360" w:lineRule="auto"/>
        <w:ind w:right="0" w:firstLine="482" w:firstLineChars="200"/>
        <w:textAlignment w:val="auto"/>
        <w:outlineLvl w:val="2"/>
        <w:rPr>
          <w:rFonts w:hint="eastAsia" w:ascii="仿宋" w:hAnsi="仿宋" w:eastAsia="仿宋" w:cs="仿宋"/>
          <w:b/>
          <w:color w:val="auto"/>
          <w:sz w:val="24"/>
          <w:szCs w:val="24"/>
          <w:highlight w:val="none"/>
          <w:lang w:val="zh-CN"/>
        </w:rPr>
      </w:pPr>
      <w:bookmarkStart w:id="52" w:name="_Toc24239"/>
      <w:bookmarkStart w:id="53" w:name="_Toc22798"/>
      <w:bookmarkStart w:id="54" w:name="_Toc1837"/>
      <w:bookmarkStart w:id="55" w:name="_Toc30131"/>
      <w:bookmarkStart w:id="56" w:name="_Toc19188"/>
      <w:bookmarkStart w:id="57" w:name="_Toc16573"/>
      <w:bookmarkStart w:id="58" w:name="_Toc21955"/>
      <w:bookmarkStart w:id="59" w:name="_Toc23894"/>
      <w:bookmarkStart w:id="60" w:name="_Toc27613"/>
      <w:r>
        <w:rPr>
          <w:rFonts w:hint="eastAsia" w:ascii="仿宋" w:hAnsi="仿宋" w:eastAsia="仿宋" w:cs="仿宋"/>
          <w:b/>
          <w:color w:val="auto"/>
          <w:sz w:val="24"/>
          <w:szCs w:val="24"/>
          <w:highlight w:val="none"/>
          <w:lang w:val="zh-CN"/>
        </w:rPr>
        <w:t>（一）招标文件</w:t>
      </w:r>
      <w:bookmarkEnd w:id="52"/>
      <w:bookmarkEnd w:id="53"/>
      <w:bookmarkEnd w:id="54"/>
      <w:r>
        <w:rPr>
          <w:rFonts w:hint="eastAsia" w:ascii="仿宋" w:hAnsi="仿宋" w:eastAsia="仿宋" w:cs="仿宋"/>
          <w:b/>
          <w:color w:val="auto"/>
          <w:sz w:val="24"/>
          <w:szCs w:val="24"/>
          <w:highlight w:val="none"/>
          <w:lang w:val="zh-CN"/>
        </w:rPr>
        <w:t>的组成</w:t>
      </w:r>
      <w:bookmarkEnd w:id="55"/>
      <w:bookmarkEnd w:id="56"/>
      <w:bookmarkEnd w:id="57"/>
      <w:bookmarkEnd w:id="58"/>
      <w:bookmarkEnd w:id="59"/>
      <w:bookmarkEnd w:id="60"/>
      <w:r>
        <w:rPr>
          <w:rFonts w:hint="eastAsia" w:ascii="仿宋" w:hAnsi="仿宋" w:eastAsia="仿宋" w:cs="仿宋"/>
          <w:b/>
          <w:color w:val="auto"/>
          <w:sz w:val="24"/>
          <w:szCs w:val="24"/>
          <w:highlight w:val="none"/>
          <w:lang w:val="zh-CN"/>
        </w:rPr>
        <w:t xml:space="preserve">   </w:t>
      </w:r>
    </w:p>
    <w:p>
      <w:pPr>
        <w:keepNext w:val="0"/>
        <w:keepLines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招标文件以中文编制，招标文件包括</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val="zh-CN"/>
        </w:rPr>
        <w:t>部分，各供应商应根据招标文件中的所有内容及要求提交全部资料。</w:t>
      </w:r>
    </w:p>
    <w:p>
      <w:pPr>
        <w:keepNext w:val="0"/>
        <w:keepLines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招标文件是根据本项目的特点和需求编制，包括以下内容：</w:t>
      </w:r>
    </w:p>
    <w:p>
      <w:pPr>
        <w:keepNext w:val="0"/>
        <w:keepLines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招标公告</w:t>
      </w:r>
    </w:p>
    <w:p>
      <w:pPr>
        <w:keepNext w:val="0"/>
        <w:keepLines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供应商须知</w:t>
      </w:r>
    </w:p>
    <w:p>
      <w:pPr>
        <w:keepNext w:val="0"/>
        <w:keepLines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招标内容及要求</w:t>
      </w:r>
    </w:p>
    <w:p>
      <w:pPr>
        <w:keepNext w:val="0"/>
        <w:keepLines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合同条款及格式</w:t>
      </w:r>
    </w:p>
    <w:p>
      <w:pPr>
        <w:keepNext w:val="0"/>
        <w:keepLines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（5）投标文件格式</w:t>
      </w:r>
    </w:p>
    <w:p>
      <w:pPr>
        <w:keepNext w:val="0"/>
        <w:keepLines w:val="0"/>
        <w:shd w:val="clear"/>
        <w:kinsoku/>
        <w:wordWrap/>
        <w:overflowPunct/>
        <w:topLinePunct w:val="0"/>
        <w:autoSpaceDE w:val="0"/>
        <w:autoSpaceDN w:val="0"/>
        <w:bidi w:val="0"/>
        <w:adjustRightInd w:val="0"/>
        <w:snapToGrid w:val="0"/>
        <w:spacing w:line="360" w:lineRule="auto"/>
        <w:ind w:right="0" w:firstLine="482" w:firstLineChars="200"/>
        <w:textAlignment w:val="auto"/>
        <w:outlineLvl w:val="2"/>
        <w:rPr>
          <w:rFonts w:hint="eastAsia" w:ascii="仿宋" w:hAnsi="仿宋" w:eastAsia="仿宋" w:cs="仿宋"/>
          <w:color w:val="auto"/>
          <w:sz w:val="24"/>
          <w:szCs w:val="24"/>
          <w:highlight w:val="none"/>
          <w:lang w:val="zh-CN"/>
        </w:rPr>
      </w:pPr>
      <w:bookmarkStart w:id="61" w:name="_Toc28098"/>
      <w:bookmarkStart w:id="62" w:name="_Toc26386"/>
      <w:bookmarkStart w:id="63" w:name="_Toc6936"/>
      <w:bookmarkStart w:id="64" w:name="_Toc16787"/>
      <w:bookmarkStart w:id="65" w:name="_Toc31680"/>
      <w:bookmarkStart w:id="66" w:name="_Toc21971"/>
      <w:bookmarkStart w:id="67" w:name="_Toc15799"/>
      <w:bookmarkStart w:id="68" w:name="_Toc21637"/>
      <w:bookmarkStart w:id="69" w:name="_Toc9208"/>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zh-CN"/>
        </w:rPr>
        <w:t>招标文件的修改或澄清</w:t>
      </w:r>
      <w:bookmarkEnd w:id="61"/>
      <w:bookmarkEnd w:id="62"/>
      <w:bookmarkEnd w:id="63"/>
      <w:bookmarkEnd w:id="64"/>
      <w:bookmarkEnd w:id="65"/>
      <w:bookmarkEnd w:id="66"/>
      <w:bookmarkEnd w:id="67"/>
      <w:bookmarkEnd w:id="68"/>
      <w:bookmarkEnd w:id="69"/>
    </w:p>
    <w:p>
      <w:pPr>
        <w:keepNext w:val="0"/>
        <w:keepLines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如果招标文件进行必要的澄清或者修改，将在发布招标公告的财政部门指定媒体上由采购代理机构发布更正公告，并以书面形式通知所有获取招标文件的单位。澄清或者修改的内容可能影响投标文件编制的，不足</w:t>
      </w:r>
      <w:r>
        <w:rPr>
          <w:rFonts w:hint="eastAsia" w:ascii="仿宋" w:hAnsi="仿宋" w:eastAsia="仿宋" w:cs="仿宋"/>
          <w:color w:val="auto"/>
          <w:sz w:val="24"/>
          <w:szCs w:val="24"/>
          <w:highlight w:val="none"/>
        </w:rPr>
        <w:t>15日</w:t>
      </w:r>
      <w:r>
        <w:rPr>
          <w:rFonts w:hint="eastAsia" w:ascii="仿宋" w:hAnsi="仿宋" w:eastAsia="仿宋" w:cs="仿宋"/>
          <w:color w:val="auto"/>
          <w:sz w:val="24"/>
          <w:szCs w:val="24"/>
          <w:highlight w:val="none"/>
          <w:lang w:val="zh-CN"/>
        </w:rPr>
        <w:t>的，采购代理机构将顺延提交投标文件的截止时间。澄清或者修改的内容为招标文件的组成部分。</w:t>
      </w:r>
    </w:p>
    <w:p>
      <w:pPr>
        <w:keepNext w:val="0"/>
        <w:keepLines w:val="0"/>
        <w:shd w:val="clear"/>
        <w:kinsoku/>
        <w:wordWrap/>
        <w:overflowPunct/>
        <w:topLinePunct w:val="0"/>
        <w:bidi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供应商在收到澄清或修改文件后，应在一个工作日内以书面形式（加盖公章）向采购代理机构予以确认。</w:t>
      </w:r>
    </w:p>
    <w:p>
      <w:pPr>
        <w:keepNext w:val="0"/>
        <w:keepLines w:val="0"/>
        <w:shd w:val="clear"/>
        <w:kinsoku/>
        <w:wordWrap/>
        <w:overflowPunct/>
        <w:topLinePunct w:val="0"/>
        <w:autoSpaceDE w:val="0"/>
        <w:autoSpaceDN w:val="0"/>
        <w:bidi w:val="0"/>
        <w:adjustRightInd w:val="0"/>
        <w:snapToGrid w:val="0"/>
        <w:spacing w:line="360" w:lineRule="auto"/>
        <w:ind w:right="0" w:firstLine="482" w:firstLineChars="200"/>
        <w:textAlignment w:val="auto"/>
        <w:outlineLvl w:val="2"/>
        <w:rPr>
          <w:rFonts w:hint="eastAsia" w:ascii="仿宋" w:hAnsi="仿宋" w:eastAsia="仿宋" w:cs="仿宋"/>
          <w:color w:val="auto"/>
          <w:sz w:val="24"/>
          <w:szCs w:val="24"/>
          <w:highlight w:val="none"/>
          <w:lang w:val="zh-CN"/>
        </w:rPr>
      </w:pPr>
      <w:bookmarkStart w:id="70" w:name="_Toc12617"/>
      <w:bookmarkStart w:id="71" w:name="_Toc17894"/>
      <w:bookmarkStart w:id="72" w:name="_Toc12729"/>
      <w:bookmarkStart w:id="73" w:name="_Toc1550"/>
      <w:bookmarkStart w:id="74" w:name="_Toc21498"/>
      <w:bookmarkStart w:id="75" w:name="_Toc19583"/>
      <w:bookmarkStart w:id="76" w:name="_Toc18749"/>
      <w:bookmarkStart w:id="77" w:name="_Toc2929"/>
      <w:bookmarkStart w:id="78" w:name="_Toc31132"/>
      <w:r>
        <w:rPr>
          <w:rFonts w:hint="eastAsia" w:ascii="仿宋" w:hAnsi="仿宋" w:eastAsia="仿宋" w:cs="仿宋"/>
          <w:b/>
          <w:bCs/>
          <w:color w:val="auto"/>
          <w:sz w:val="24"/>
          <w:szCs w:val="24"/>
          <w:highlight w:val="none"/>
        </w:rPr>
        <w:t>（三）</w:t>
      </w:r>
      <w:r>
        <w:rPr>
          <w:rFonts w:hint="eastAsia" w:ascii="仿宋" w:hAnsi="仿宋" w:eastAsia="仿宋" w:cs="仿宋"/>
          <w:b/>
          <w:bCs/>
          <w:color w:val="auto"/>
          <w:sz w:val="24"/>
          <w:szCs w:val="24"/>
          <w:highlight w:val="none"/>
          <w:lang w:val="zh-CN"/>
        </w:rPr>
        <w:t>招标文件的询问、质疑及答复</w:t>
      </w:r>
      <w:bookmarkEnd w:id="70"/>
      <w:bookmarkEnd w:id="71"/>
      <w:bookmarkEnd w:id="72"/>
      <w:bookmarkEnd w:id="73"/>
      <w:bookmarkEnd w:id="74"/>
      <w:bookmarkEnd w:id="75"/>
      <w:bookmarkEnd w:id="76"/>
      <w:bookmarkEnd w:id="77"/>
      <w:bookmarkEnd w:id="78"/>
    </w:p>
    <w:p>
      <w:pPr>
        <w:keepNext w:val="0"/>
        <w:keepLines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供应商应仔细阅读和检查招标文件的全部内容。如发现缺页或附件不全，应及时向采购代理机构提出，以便补齐。</w:t>
      </w:r>
    </w:p>
    <w:p>
      <w:pPr>
        <w:keepNext w:val="0"/>
        <w:keepLines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供应商认为招标文件、招标过程、中标或者成交结果使自己的权益受到损害的，可以在知道或者应知其权益受到损害之日起7个工作日内，以书面形式向采购人、采购代理机构提出质疑，在此之后提出的询问和质疑均为无效，采购代理机构不予受理。</w:t>
      </w:r>
    </w:p>
    <w:p>
      <w:pPr>
        <w:pStyle w:val="20"/>
        <w:keepNext w:val="0"/>
        <w:keepLines w:val="0"/>
        <w:shd w:val="clear"/>
        <w:kinsoku/>
        <w:wordWrap/>
        <w:overflowPunct/>
        <w:topLinePunct w:val="0"/>
        <w:bidi w:val="0"/>
        <w:spacing w:before="0" w:beforeAutospacing="0" w:after="0" w:afterAutospacing="0" w:line="360" w:lineRule="auto"/>
        <w:ind w:right="0" w:firstLine="480" w:firstLineChars="200"/>
        <w:jc w:val="both"/>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rPr>
        <w:t>3、</w:t>
      </w:r>
      <w:r>
        <w:rPr>
          <w:rFonts w:hint="eastAsia" w:ascii="仿宋" w:hAnsi="仿宋" w:eastAsia="仿宋" w:cs="仿宋"/>
          <w:color w:val="auto"/>
          <w:highlight w:val="none"/>
          <w:lang w:val="zh-CN"/>
        </w:rPr>
        <w:t>供应商提出质疑应当有明确的请求和必要的证明材料。</w:t>
      </w:r>
    </w:p>
    <w:p>
      <w:pPr>
        <w:pStyle w:val="20"/>
        <w:keepNext w:val="0"/>
        <w:keepLines w:val="0"/>
        <w:shd w:val="clear"/>
        <w:kinsoku/>
        <w:wordWrap/>
        <w:overflowPunct/>
        <w:topLinePunct w:val="0"/>
        <w:bidi w:val="0"/>
        <w:spacing w:before="0" w:beforeAutospacing="0" w:after="0" w:afterAutospacing="0" w:line="360" w:lineRule="auto"/>
        <w:ind w:right="0" w:firstLine="480" w:firstLineChars="200"/>
        <w:jc w:val="both"/>
        <w:textAlignment w:val="auto"/>
        <w:rPr>
          <w:rFonts w:hint="eastAsia" w:ascii="仿宋" w:hAnsi="仿宋" w:eastAsia="仿宋" w:cs="仿宋"/>
          <w:color w:val="auto"/>
          <w:highlight w:val="none"/>
          <w:lang w:val="zh-CN"/>
        </w:rPr>
      </w:pPr>
      <w:r>
        <w:rPr>
          <w:rFonts w:hint="eastAsia" w:ascii="仿宋" w:hAnsi="仿宋" w:eastAsia="仿宋" w:cs="仿宋"/>
          <w:color w:val="auto"/>
          <w:highlight w:val="none"/>
        </w:rPr>
        <w:t>4、</w:t>
      </w:r>
      <w:r>
        <w:rPr>
          <w:rFonts w:hint="eastAsia" w:ascii="仿宋" w:hAnsi="仿宋" w:eastAsia="仿宋" w:cs="仿宋"/>
          <w:color w:val="auto"/>
          <w:highlight w:val="none"/>
          <w:lang w:val="zh-CN"/>
        </w:rPr>
        <w:t>对于在规定时间内收到的供应商依法提出的询问或者质疑，采购代理机构将按程序在三个工作日内答复询问，七个工作日内答复质疑。</w:t>
      </w:r>
    </w:p>
    <w:p>
      <w:pPr>
        <w:keepNext w:val="0"/>
        <w:keepLines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供应商在收到答复后，应在两个工作日内以书面形式（加盖公章）向采购代理机构予以确认。</w:t>
      </w:r>
    </w:p>
    <w:p>
      <w:pPr>
        <w:keepNext w:val="0"/>
        <w:keepLines w:val="0"/>
        <w:shd w:val="clear"/>
        <w:kinsoku/>
        <w:wordWrap/>
        <w:overflowPunct/>
        <w:topLinePunct w:val="0"/>
        <w:autoSpaceDE w:val="0"/>
        <w:autoSpaceDN w:val="0"/>
        <w:bidi w:val="0"/>
        <w:adjustRightInd w:val="0"/>
        <w:snapToGrid w:val="0"/>
        <w:spacing w:line="360" w:lineRule="auto"/>
        <w:ind w:right="0" w:firstLine="482" w:firstLineChars="200"/>
        <w:textAlignment w:val="auto"/>
        <w:outlineLvl w:val="2"/>
        <w:rPr>
          <w:rFonts w:hint="eastAsia" w:ascii="仿宋" w:hAnsi="仿宋" w:eastAsia="仿宋" w:cs="仿宋"/>
          <w:color w:val="auto"/>
          <w:sz w:val="24"/>
          <w:szCs w:val="24"/>
          <w:highlight w:val="none"/>
          <w:lang w:val="zh-CN"/>
        </w:rPr>
      </w:pPr>
      <w:bookmarkStart w:id="79" w:name="_Toc23823"/>
      <w:bookmarkStart w:id="80" w:name="_Toc17969"/>
      <w:bookmarkStart w:id="81" w:name="_Toc28965"/>
      <w:bookmarkStart w:id="82" w:name="_Toc27651"/>
      <w:bookmarkStart w:id="83" w:name="_Toc16614"/>
      <w:bookmarkStart w:id="84" w:name="_Toc1801"/>
      <w:bookmarkStart w:id="85" w:name="_Toc27857"/>
      <w:bookmarkStart w:id="86" w:name="_Toc16954"/>
      <w:bookmarkStart w:id="87" w:name="_Toc32572"/>
      <w:r>
        <w:rPr>
          <w:rFonts w:hint="eastAsia" w:ascii="仿宋" w:hAnsi="仿宋" w:eastAsia="仿宋" w:cs="仿宋"/>
          <w:b/>
          <w:bCs/>
          <w:color w:val="auto"/>
          <w:sz w:val="24"/>
          <w:szCs w:val="24"/>
          <w:highlight w:val="none"/>
          <w:lang w:val="zh-CN"/>
        </w:rPr>
        <w:t>（四）招标文件的解释权</w:t>
      </w:r>
      <w:bookmarkEnd w:id="79"/>
      <w:bookmarkEnd w:id="80"/>
      <w:bookmarkEnd w:id="81"/>
      <w:bookmarkEnd w:id="82"/>
      <w:bookmarkEnd w:id="83"/>
      <w:bookmarkEnd w:id="84"/>
      <w:bookmarkEnd w:id="85"/>
      <w:bookmarkEnd w:id="86"/>
      <w:bookmarkEnd w:id="87"/>
    </w:p>
    <w:p>
      <w:pPr>
        <w:keepNext w:val="0"/>
        <w:keepLines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供应商必须从采购代理机构获取招标文件，供应商自行转让或复制招标文件视为无效，招标文件仅作为本次招标使用。</w:t>
      </w:r>
    </w:p>
    <w:p>
      <w:pPr>
        <w:keepNext w:val="0"/>
        <w:keepLines w:val="0"/>
        <w:shd w:val="clear"/>
        <w:kinsoku/>
        <w:wordWrap/>
        <w:overflowPunct/>
        <w:topLinePunct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招标文件的解释权归采购代理机构。</w:t>
      </w:r>
    </w:p>
    <w:p>
      <w:pPr>
        <w:keepNext w:val="0"/>
        <w:keepLines w:val="0"/>
        <w:shd w:val="clear"/>
        <w:kinsoku/>
        <w:wordWrap/>
        <w:overflowPunct/>
        <w:topLinePunct w:val="0"/>
        <w:autoSpaceDE w:val="0"/>
        <w:autoSpaceDN w:val="0"/>
        <w:bidi w:val="0"/>
        <w:adjustRightInd w:val="0"/>
        <w:snapToGrid w:val="0"/>
        <w:spacing w:line="360" w:lineRule="auto"/>
        <w:ind w:right="0" w:firstLine="482" w:firstLineChars="200"/>
        <w:textAlignment w:val="auto"/>
        <w:outlineLvl w:val="1"/>
        <w:rPr>
          <w:rFonts w:hint="eastAsia" w:ascii="仿宋" w:hAnsi="仿宋" w:eastAsia="仿宋" w:cs="仿宋"/>
          <w:b/>
          <w:color w:val="auto"/>
          <w:sz w:val="24"/>
          <w:szCs w:val="24"/>
          <w:highlight w:val="none"/>
          <w:lang w:val="zh-CN"/>
        </w:rPr>
      </w:pPr>
      <w:bookmarkStart w:id="88" w:name="_Toc12572"/>
      <w:bookmarkStart w:id="89" w:name="_Toc25911"/>
      <w:bookmarkStart w:id="90" w:name="_Toc30757"/>
      <w:bookmarkStart w:id="91" w:name="_Toc2494"/>
      <w:bookmarkStart w:id="92" w:name="_Toc16073"/>
      <w:bookmarkStart w:id="93" w:name="_Toc549"/>
      <w:bookmarkStart w:id="94" w:name="_Toc8593"/>
      <w:bookmarkStart w:id="95" w:name="_Toc13377"/>
      <w:r>
        <w:rPr>
          <w:rFonts w:hint="eastAsia" w:ascii="仿宋" w:hAnsi="仿宋" w:eastAsia="仿宋" w:cs="仿宋"/>
          <w:b/>
          <w:color w:val="auto"/>
          <w:sz w:val="24"/>
          <w:szCs w:val="24"/>
          <w:highlight w:val="none"/>
          <w:lang w:val="zh-CN"/>
        </w:rPr>
        <w:t>三、投标要求</w:t>
      </w:r>
      <w:bookmarkEnd w:id="88"/>
      <w:bookmarkEnd w:id="89"/>
      <w:bookmarkEnd w:id="90"/>
      <w:bookmarkEnd w:id="91"/>
      <w:bookmarkEnd w:id="92"/>
      <w:bookmarkEnd w:id="93"/>
      <w:bookmarkEnd w:id="94"/>
      <w:bookmarkEnd w:id="95"/>
    </w:p>
    <w:p>
      <w:pPr>
        <w:keepNext w:val="0"/>
        <w:keepLines w:val="0"/>
        <w:shd w:val="clear"/>
        <w:kinsoku/>
        <w:wordWrap/>
        <w:overflowPunct/>
        <w:topLinePunct w:val="0"/>
        <w:bidi w:val="0"/>
        <w:snapToGrid w:val="0"/>
        <w:spacing w:line="360" w:lineRule="auto"/>
        <w:ind w:right="0" w:firstLine="482" w:firstLineChars="200"/>
        <w:textAlignment w:val="auto"/>
        <w:outlineLvl w:val="2"/>
        <w:rPr>
          <w:rFonts w:hint="eastAsia" w:ascii="仿宋" w:hAnsi="仿宋" w:eastAsia="仿宋" w:cs="仿宋"/>
          <w:color w:val="auto"/>
          <w:sz w:val="24"/>
          <w:szCs w:val="24"/>
          <w:highlight w:val="none"/>
        </w:rPr>
      </w:pPr>
      <w:bookmarkStart w:id="96" w:name="_Toc6311"/>
      <w:bookmarkStart w:id="97" w:name="_Toc17014"/>
      <w:bookmarkStart w:id="98" w:name="_Toc7693"/>
      <w:bookmarkStart w:id="99" w:name="_Toc9226"/>
      <w:bookmarkStart w:id="100" w:name="_Toc12545"/>
      <w:bookmarkStart w:id="101" w:name="_Toc9714"/>
      <w:bookmarkStart w:id="102" w:name="_Toc95"/>
      <w:bookmarkStart w:id="103" w:name="_Toc27113"/>
      <w:bookmarkStart w:id="104" w:name="_Toc5035"/>
      <w:r>
        <w:rPr>
          <w:rFonts w:hint="eastAsia" w:ascii="仿宋" w:hAnsi="仿宋" w:eastAsia="仿宋" w:cs="仿宋"/>
          <w:b/>
          <w:bCs/>
          <w:color w:val="auto"/>
          <w:sz w:val="24"/>
          <w:szCs w:val="24"/>
          <w:highlight w:val="none"/>
        </w:rPr>
        <w:t>（一）投标内容</w:t>
      </w:r>
      <w:bookmarkEnd w:id="96"/>
      <w:bookmarkEnd w:id="97"/>
      <w:bookmarkEnd w:id="98"/>
      <w:bookmarkEnd w:id="99"/>
      <w:bookmarkEnd w:id="100"/>
      <w:bookmarkEnd w:id="101"/>
      <w:bookmarkEnd w:id="102"/>
      <w:bookmarkEnd w:id="103"/>
      <w:bookmarkEnd w:id="104"/>
    </w:p>
    <w:p>
      <w:pPr>
        <w:keepNext w:val="0"/>
        <w:keepLines w:val="0"/>
        <w:shd w:val="clear"/>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本次招标内容为</w:t>
      </w:r>
      <w:r>
        <w:rPr>
          <w:rFonts w:hint="eastAsia" w:ascii="仿宋" w:hAnsi="仿宋" w:eastAsia="仿宋" w:cs="仿宋"/>
          <w:color w:val="auto"/>
          <w:sz w:val="24"/>
          <w:szCs w:val="24"/>
          <w:highlight w:val="none"/>
          <w:lang w:eastAsia="zh-CN"/>
        </w:rPr>
        <w:t>灞桥区2021年新增教育建设奖补资金--五星中学设备采购项目（第六标段）二次</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各</w:t>
      </w:r>
      <w:r>
        <w:rPr>
          <w:rFonts w:hint="eastAsia" w:ascii="仿宋" w:hAnsi="仿宋" w:eastAsia="仿宋" w:cs="仿宋"/>
          <w:bCs/>
          <w:color w:val="auto"/>
          <w:sz w:val="24"/>
          <w:szCs w:val="24"/>
          <w:highlight w:val="none"/>
          <w:lang w:eastAsia="zh-CN"/>
        </w:rPr>
        <w:t>供应商</w:t>
      </w:r>
      <w:r>
        <w:rPr>
          <w:rFonts w:hint="eastAsia" w:ascii="仿宋" w:hAnsi="仿宋" w:eastAsia="仿宋" w:cs="仿宋"/>
          <w:color w:val="auto"/>
          <w:sz w:val="24"/>
          <w:szCs w:val="24"/>
          <w:highlight w:val="none"/>
        </w:rPr>
        <w:t>应仔细阅读招标文件中的所有事项、格式、条款和要求，对招标文件的全部</w:t>
      </w:r>
      <w:r>
        <w:rPr>
          <w:rFonts w:hint="eastAsia" w:ascii="仿宋" w:hAnsi="仿宋" w:eastAsia="仿宋" w:cs="仿宋"/>
          <w:bCs/>
          <w:color w:val="auto"/>
          <w:sz w:val="24"/>
          <w:szCs w:val="24"/>
          <w:highlight w:val="none"/>
        </w:rPr>
        <w:t>内容及要求做出实质性响应，提交相应资料。不得在其中选项投标或将其中内容再行分解，否则投标无效。</w:t>
      </w:r>
    </w:p>
    <w:p>
      <w:pPr>
        <w:keepNext w:val="0"/>
        <w:keepLines w:val="0"/>
        <w:shd w:val="clear"/>
        <w:kinsoku/>
        <w:wordWrap/>
        <w:overflowPunct/>
        <w:topLinePunct w:val="0"/>
        <w:autoSpaceDE w:val="0"/>
        <w:autoSpaceDN w:val="0"/>
        <w:bidi w:val="0"/>
        <w:adjustRightInd w:val="0"/>
        <w:spacing w:line="360" w:lineRule="auto"/>
        <w:ind w:right="0" w:firstLine="482" w:firstLineChars="200"/>
        <w:textAlignment w:val="auto"/>
        <w:outlineLvl w:val="2"/>
        <w:rPr>
          <w:rFonts w:hint="default" w:ascii="仿宋" w:hAnsi="仿宋" w:eastAsia="仿宋" w:cs="仿宋"/>
          <w:b/>
          <w:color w:val="auto"/>
          <w:sz w:val="24"/>
          <w:szCs w:val="24"/>
          <w:highlight w:val="none"/>
          <w:lang w:val="en-US" w:eastAsia="zh-CN"/>
        </w:rPr>
      </w:pPr>
      <w:bookmarkStart w:id="105" w:name="_Toc8899"/>
      <w:bookmarkStart w:id="106" w:name="_Toc2941"/>
      <w:bookmarkStart w:id="107" w:name="_Toc15084"/>
      <w:bookmarkStart w:id="108" w:name="_Toc31428"/>
      <w:bookmarkStart w:id="109" w:name="_Toc16292"/>
      <w:bookmarkStart w:id="110" w:name="_Toc16899"/>
      <w:bookmarkStart w:id="111" w:name="_Toc6567"/>
      <w:bookmarkStart w:id="112" w:name="_Toc27262"/>
      <w:bookmarkStart w:id="113" w:name="_Toc21302"/>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val="zh-CN"/>
        </w:rPr>
        <w:t>合格的供应商要求</w:t>
      </w:r>
      <w:bookmarkEnd w:id="105"/>
      <w:bookmarkEnd w:id="106"/>
      <w:bookmarkEnd w:id="107"/>
      <w:bookmarkEnd w:id="108"/>
      <w:bookmarkEnd w:id="109"/>
      <w:bookmarkEnd w:id="110"/>
      <w:bookmarkEnd w:id="111"/>
      <w:bookmarkEnd w:id="112"/>
      <w:bookmarkEnd w:id="113"/>
    </w:p>
    <w:p>
      <w:pPr>
        <w:keepNext w:val="0"/>
        <w:keepLines w:val="0"/>
        <w:shd w:val="clear"/>
        <w:kinsoku/>
        <w:wordWrap/>
        <w:overflowPunct/>
        <w:topLinePunct w:val="0"/>
        <w:bidi w:val="0"/>
        <w:spacing w:line="360" w:lineRule="auto"/>
        <w:ind w:right="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1、基本资格条件：符合《中华人民共和国政府采购法》第二十二条的规定；</w:t>
      </w:r>
    </w:p>
    <w:p>
      <w:pPr>
        <w:keepNext w:val="0"/>
        <w:keepLines w:val="0"/>
        <w:shd w:val="clear"/>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eastAsia="zh-CN"/>
        </w:rPr>
        <w:t>1）提供统一社会信用代码的营业执照或其他组织经营的合法凭证或自然人的提供身份证明文件</w:t>
      </w:r>
      <w:r>
        <w:rPr>
          <w:rFonts w:hint="eastAsia" w:ascii="仿宋" w:hAnsi="仿宋" w:eastAsia="仿宋" w:cs="仿宋"/>
          <w:color w:val="auto"/>
          <w:sz w:val="24"/>
          <w:szCs w:val="24"/>
          <w:highlight w:val="none"/>
          <w:lang w:val="zh-CN" w:eastAsia="zh-CN"/>
        </w:rPr>
        <w:t>；</w:t>
      </w:r>
    </w:p>
    <w:p>
      <w:pPr>
        <w:keepNext w:val="0"/>
        <w:keepLines w:val="0"/>
        <w:shd w:val="clear"/>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eastAsia="zh-CN"/>
        </w:rPr>
        <w:t>2）财务状况报告：提供具有财务审计资质单位出具的</w:t>
      </w:r>
      <w:r>
        <w:rPr>
          <w:rFonts w:hint="eastAsia" w:ascii="仿宋" w:hAnsi="仿宋" w:eastAsia="仿宋" w:cs="仿宋"/>
          <w:color w:val="auto"/>
          <w:sz w:val="24"/>
          <w:szCs w:val="24"/>
          <w:highlight w:val="none"/>
          <w:lang w:val="en-US" w:eastAsia="zh-CN"/>
        </w:rPr>
        <w:t>2021</w:t>
      </w:r>
      <w:r>
        <w:rPr>
          <w:rFonts w:hint="eastAsia" w:ascii="仿宋" w:hAnsi="仿宋" w:eastAsia="仿宋" w:cs="仿宋"/>
          <w:color w:val="auto"/>
          <w:sz w:val="24"/>
          <w:szCs w:val="24"/>
          <w:highlight w:val="none"/>
          <w:lang w:eastAsia="zh-CN"/>
        </w:rPr>
        <w:t>年度财务报告或开标前六个月内其基本账户银行出具的资信证明（附基本户证明资料）或财政部门认可的政府采购专业担保机构出具的担保函，以上形式的证明资料提供任何一种即可</w:t>
      </w:r>
      <w:r>
        <w:rPr>
          <w:rFonts w:hint="eastAsia" w:ascii="仿宋" w:hAnsi="仿宋" w:eastAsia="仿宋" w:cs="仿宋"/>
          <w:color w:val="auto"/>
          <w:sz w:val="24"/>
          <w:szCs w:val="24"/>
          <w:highlight w:val="none"/>
          <w:lang w:val="zh-CN" w:eastAsia="zh-CN"/>
        </w:rPr>
        <w:t>；</w:t>
      </w:r>
    </w:p>
    <w:p>
      <w:pPr>
        <w:keepNext w:val="0"/>
        <w:keepLines w:val="0"/>
        <w:shd w:val="clear"/>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eastAsia="zh-CN"/>
        </w:rPr>
        <w:t>3）税收缴纳证明：提供已缴纳的 2022年1月1日以来至少一个月的纳税证明或完税证明（提供增值税、企业所得税至少一种），纳税证明或完税证明上</w:t>
      </w:r>
      <w:r>
        <w:rPr>
          <w:rFonts w:hint="eastAsia" w:ascii="仿宋" w:hAnsi="仿宋" w:eastAsia="仿宋" w:cs="仿宋"/>
          <w:color w:val="auto"/>
          <w:sz w:val="24"/>
          <w:szCs w:val="24"/>
          <w:highlight w:val="none"/>
          <w:lang w:val="zh-CN" w:eastAsia="zh-CN"/>
        </w:rPr>
        <w:t>应有代收机构或税务机关的公章或业务专用章。依法免税的供应商应提供相关文件证明；</w:t>
      </w:r>
    </w:p>
    <w:p>
      <w:pPr>
        <w:keepNext w:val="0"/>
        <w:keepLines w:val="0"/>
        <w:shd w:val="clear"/>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（4）社会保障资金缴纳证明：提供已缴存的 2022年1月1日以来至少一个月的社会保障资金缴存单据或社保机构开具的社会保险参保缴费情况证明。成立时间至提交响应文件截止时间不足一个月或依法不需要缴纳社会保障资金的供应商应提供相关文件证明；</w:t>
      </w:r>
    </w:p>
    <w:p>
      <w:pPr>
        <w:keepNext w:val="0"/>
        <w:keepLines w:val="0"/>
        <w:shd w:val="clear"/>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（5）出具履行合同所必需的设备和专业技术能力的书面声明；</w:t>
      </w:r>
    </w:p>
    <w:p>
      <w:pPr>
        <w:keepNext w:val="0"/>
        <w:keepLines w:val="0"/>
        <w:shd w:val="clear"/>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eastAsia="zh-CN"/>
        </w:rPr>
        <w:t>）出具参加本次政府采购活动的书面声明。</w:t>
      </w:r>
    </w:p>
    <w:p>
      <w:pPr>
        <w:keepNext w:val="0"/>
        <w:keepLines w:val="0"/>
        <w:shd w:val="clear"/>
        <w:kinsoku/>
        <w:wordWrap/>
        <w:overflowPunct/>
        <w:topLinePunct w:val="0"/>
        <w:bidi w:val="0"/>
        <w:spacing w:line="360" w:lineRule="auto"/>
        <w:ind w:right="0"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2、特定资格条件：</w:t>
      </w:r>
    </w:p>
    <w:p>
      <w:pPr>
        <w:keepNext w:val="0"/>
        <w:keepLines w:val="0"/>
        <w:shd w:val="clear"/>
        <w:kinsoku/>
        <w:wordWrap/>
        <w:overflowPunct/>
        <w:topLinePunct w:val="0"/>
        <w:bidi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法定代表人授权书及被授权人身份证，并且提供有效的劳动合同或开标截止前六个月内任意一个月养老保险缴纳证明（法人参加只需提供法定代表人身份证明）</w:t>
      </w:r>
      <w:r>
        <w:rPr>
          <w:rFonts w:hint="eastAsia" w:ascii="仿宋" w:hAnsi="仿宋" w:eastAsia="仿宋" w:cs="仿宋"/>
          <w:color w:val="auto"/>
          <w:sz w:val="24"/>
          <w:szCs w:val="24"/>
          <w:highlight w:val="none"/>
        </w:rPr>
        <w:t>；</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（2）符合《财政部关于在政府采购活动中查询及使用信用记录有关问题的通知》（财库【2016】125号）文件中信用查询的要求。（此项由采购人与采购代理单位在开标时查询，以现场查询为准）</w:t>
      </w:r>
    </w:p>
    <w:p>
      <w:pPr>
        <w:keepNext w:val="0"/>
        <w:keepLines w:val="0"/>
        <w:shd w:val="clear"/>
        <w:kinsoku/>
        <w:wordWrap/>
        <w:overflowPunct/>
        <w:topLinePunct w:val="0"/>
        <w:autoSpaceDE w:val="0"/>
        <w:autoSpaceDN w:val="0"/>
        <w:bidi w:val="0"/>
        <w:adjustRightInd w:val="0"/>
        <w:spacing w:line="360" w:lineRule="auto"/>
        <w:ind w:right="0" w:firstLine="482" w:firstLineChars="200"/>
        <w:textAlignment w:val="auto"/>
        <w:outlineLvl w:val="2"/>
        <w:rPr>
          <w:rFonts w:hint="eastAsia" w:ascii="仿宋" w:hAnsi="仿宋" w:eastAsia="仿宋" w:cs="仿宋"/>
          <w:b/>
          <w:bCs/>
          <w:color w:val="auto"/>
          <w:sz w:val="24"/>
          <w:szCs w:val="24"/>
          <w:highlight w:val="none"/>
        </w:rPr>
      </w:pPr>
      <w:bookmarkStart w:id="114" w:name="_Toc28737"/>
      <w:bookmarkStart w:id="115" w:name="_Toc25295"/>
      <w:bookmarkStart w:id="116" w:name="_Toc16392"/>
      <w:bookmarkStart w:id="117" w:name="_Toc12028"/>
      <w:bookmarkStart w:id="118" w:name="_Toc15273"/>
      <w:bookmarkStart w:id="119" w:name="_Toc2160"/>
      <w:bookmarkStart w:id="120" w:name="_Toc3918"/>
      <w:bookmarkStart w:id="121" w:name="_Toc29705"/>
      <w:bookmarkStart w:id="122" w:name="_Toc15017"/>
      <w:r>
        <w:rPr>
          <w:rFonts w:hint="eastAsia" w:ascii="仿宋" w:hAnsi="仿宋" w:eastAsia="仿宋" w:cs="仿宋"/>
          <w:b/>
          <w:bCs/>
          <w:color w:val="auto"/>
          <w:sz w:val="24"/>
          <w:szCs w:val="24"/>
          <w:highlight w:val="none"/>
        </w:rPr>
        <w:t>（三）</w:t>
      </w:r>
      <w:r>
        <w:rPr>
          <w:rFonts w:hint="eastAsia" w:ascii="仿宋" w:hAnsi="仿宋" w:eastAsia="仿宋" w:cs="仿宋"/>
          <w:b/>
          <w:bCs/>
          <w:color w:val="auto"/>
          <w:sz w:val="24"/>
          <w:szCs w:val="24"/>
          <w:highlight w:val="none"/>
          <w:lang w:val="zh-CN"/>
        </w:rPr>
        <w:t>限制投标要求</w:t>
      </w:r>
      <w:bookmarkEnd w:id="114"/>
      <w:bookmarkEnd w:id="115"/>
      <w:bookmarkEnd w:id="116"/>
      <w:bookmarkEnd w:id="117"/>
      <w:bookmarkEnd w:id="118"/>
      <w:bookmarkEnd w:id="119"/>
      <w:bookmarkEnd w:id="120"/>
      <w:bookmarkEnd w:id="121"/>
      <w:bookmarkEnd w:id="122"/>
    </w:p>
    <w:p>
      <w:pPr>
        <w:keepNext w:val="0"/>
        <w:keepLines w:val="0"/>
        <w:shd w:val="clear"/>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供应商单位负责人为同一人或者存在直接控股、管理关系的不同供应商，不得参加同一项目或同一标段的政府采购活动。</w:t>
      </w:r>
    </w:p>
    <w:p>
      <w:pPr>
        <w:keepNext w:val="0"/>
        <w:keepLines w:val="0"/>
        <w:shd w:val="clear"/>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除单一来源采购项目外，为采购项目提供过整体设计、规范编制或者项目管理、监理、检测等服务的供应商，不得再参加同一项目的其他采购活动。</w:t>
      </w:r>
    </w:p>
    <w:p>
      <w:pPr>
        <w:keepNext w:val="0"/>
        <w:keepLines w:val="0"/>
        <w:shd w:val="clear"/>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zh-CN"/>
        </w:rPr>
        <w:t>对列入失信被执行人、重大税收违法案件当事人名单、政府采购严重违法失信行为记录名单及其他不符合《中华人民共和国政府采购法》第二十二条规定条件的供应商，采购代理机构将拒绝其参与政府采购活动。</w:t>
      </w:r>
    </w:p>
    <w:p>
      <w:pPr>
        <w:keepNext w:val="0"/>
        <w:keepLines w:val="0"/>
        <w:shd w:val="clear"/>
        <w:kinsoku/>
        <w:wordWrap/>
        <w:overflowPunct/>
        <w:topLinePunct w:val="0"/>
        <w:autoSpaceDE w:val="0"/>
        <w:autoSpaceDN w:val="0"/>
        <w:bidi w:val="0"/>
        <w:adjustRightInd w:val="0"/>
        <w:spacing w:line="360" w:lineRule="auto"/>
        <w:ind w:right="0" w:firstLine="482"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4、</w:t>
      </w:r>
      <w:r>
        <w:rPr>
          <w:rFonts w:hint="eastAsia" w:ascii="仿宋" w:hAnsi="仿宋" w:eastAsia="仿宋" w:cs="仿宋"/>
          <w:b/>
          <w:color w:val="auto"/>
          <w:sz w:val="24"/>
          <w:szCs w:val="24"/>
          <w:highlight w:val="none"/>
          <w:lang w:val="zh-CN"/>
        </w:rPr>
        <w:t>本次招标项目不接受联合体</w:t>
      </w:r>
      <w:r>
        <w:rPr>
          <w:rFonts w:hint="eastAsia" w:ascii="仿宋" w:hAnsi="仿宋" w:eastAsia="仿宋" w:cs="仿宋"/>
          <w:b/>
          <w:color w:val="auto"/>
          <w:sz w:val="24"/>
          <w:szCs w:val="24"/>
          <w:highlight w:val="none"/>
          <w:lang w:val="en-US" w:eastAsia="zh-CN"/>
        </w:rPr>
        <w:t>投</w:t>
      </w:r>
      <w:r>
        <w:rPr>
          <w:rFonts w:hint="eastAsia" w:ascii="仿宋" w:hAnsi="仿宋" w:eastAsia="仿宋" w:cs="仿宋"/>
          <w:b/>
          <w:color w:val="auto"/>
          <w:sz w:val="24"/>
          <w:szCs w:val="24"/>
          <w:highlight w:val="none"/>
          <w:lang w:val="zh-CN"/>
        </w:rPr>
        <w:t>标</w:t>
      </w:r>
      <w:r>
        <w:rPr>
          <w:rFonts w:hint="eastAsia" w:ascii="仿宋" w:hAnsi="仿宋" w:eastAsia="仿宋" w:cs="仿宋"/>
          <w:bCs/>
          <w:color w:val="auto"/>
          <w:sz w:val="24"/>
          <w:szCs w:val="24"/>
          <w:highlight w:val="none"/>
          <w:lang w:val="zh-CN"/>
        </w:rPr>
        <w:t>。</w:t>
      </w:r>
    </w:p>
    <w:p>
      <w:pPr>
        <w:keepNext w:val="0"/>
        <w:keepLines w:val="0"/>
        <w:shd w:val="clear"/>
        <w:tabs>
          <w:tab w:val="left" w:pos="9030"/>
        </w:tabs>
        <w:kinsoku/>
        <w:wordWrap/>
        <w:overflowPunct/>
        <w:topLinePunct w:val="0"/>
        <w:bidi w:val="0"/>
        <w:snapToGrid w:val="0"/>
        <w:spacing w:line="360" w:lineRule="auto"/>
        <w:ind w:right="0" w:firstLine="482" w:firstLineChars="200"/>
        <w:textAlignment w:val="auto"/>
        <w:outlineLvl w:val="2"/>
        <w:rPr>
          <w:rFonts w:hint="eastAsia" w:ascii="仿宋" w:hAnsi="仿宋" w:eastAsia="仿宋" w:cs="仿宋"/>
          <w:b/>
          <w:bCs/>
          <w:color w:val="auto"/>
          <w:sz w:val="24"/>
          <w:szCs w:val="24"/>
          <w:highlight w:val="none"/>
          <w:lang w:val="zh-CN"/>
        </w:rPr>
      </w:pPr>
      <w:bookmarkStart w:id="123" w:name="_Toc12838"/>
      <w:bookmarkStart w:id="124" w:name="_Toc7380"/>
      <w:bookmarkStart w:id="125" w:name="_Toc9223"/>
      <w:bookmarkStart w:id="126" w:name="_Toc1281"/>
      <w:bookmarkStart w:id="127" w:name="_Toc29714"/>
      <w:bookmarkStart w:id="128" w:name="_Toc2643"/>
      <w:bookmarkStart w:id="129" w:name="_Toc18636"/>
      <w:bookmarkStart w:id="130" w:name="_Toc3786"/>
      <w:bookmarkStart w:id="131" w:name="_Toc17603"/>
      <w:r>
        <w:rPr>
          <w:rFonts w:hint="eastAsia" w:ascii="仿宋" w:hAnsi="仿宋" w:eastAsia="仿宋" w:cs="仿宋"/>
          <w:b/>
          <w:bCs/>
          <w:color w:val="auto"/>
          <w:sz w:val="24"/>
          <w:szCs w:val="24"/>
          <w:highlight w:val="none"/>
        </w:rPr>
        <w:t>（四）</w:t>
      </w:r>
      <w:r>
        <w:rPr>
          <w:rFonts w:hint="eastAsia" w:ascii="仿宋" w:hAnsi="仿宋" w:eastAsia="仿宋" w:cs="仿宋"/>
          <w:b/>
          <w:bCs/>
          <w:color w:val="auto"/>
          <w:sz w:val="24"/>
          <w:szCs w:val="24"/>
          <w:highlight w:val="none"/>
          <w:lang w:val="zh-CN"/>
        </w:rPr>
        <w:t>投标文件有效期</w:t>
      </w:r>
      <w:bookmarkEnd w:id="123"/>
      <w:bookmarkEnd w:id="124"/>
      <w:bookmarkEnd w:id="125"/>
      <w:bookmarkEnd w:id="126"/>
      <w:bookmarkEnd w:id="127"/>
      <w:bookmarkEnd w:id="128"/>
      <w:bookmarkEnd w:id="129"/>
      <w:bookmarkEnd w:id="130"/>
      <w:bookmarkEnd w:id="131"/>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lang w:val="zh-CN"/>
        </w:rPr>
        <w:t>投标文件有效期为自开标之日起90个日历日，在有效期内投标文件对供应商具有法律约束力，以保证采购人完成评标、定标以及合同签订事项。中标人的投标文件有效期自动延长至合同执行完毕。</w:t>
      </w:r>
    </w:p>
    <w:p>
      <w:pPr>
        <w:keepNext w:val="0"/>
        <w:keepLines w:val="0"/>
        <w:shd w:val="clear"/>
        <w:kinsoku/>
        <w:wordWrap/>
        <w:overflowPunct/>
        <w:topLinePunct w:val="0"/>
        <w:autoSpaceDE w:val="0"/>
        <w:autoSpaceDN w:val="0"/>
        <w:bidi w:val="0"/>
        <w:adjustRightInd w:val="0"/>
        <w:snapToGrid w:val="0"/>
        <w:spacing w:line="360" w:lineRule="auto"/>
        <w:ind w:right="0" w:firstLine="482" w:firstLineChars="200"/>
        <w:textAlignment w:val="auto"/>
        <w:outlineLvl w:val="2"/>
        <w:rPr>
          <w:rFonts w:hint="eastAsia" w:ascii="仿宋" w:hAnsi="仿宋" w:eastAsia="仿宋" w:cs="仿宋"/>
          <w:b/>
          <w:color w:val="auto"/>
          <w:sz w:val="24"/>
          <w:szCs w:val="24"/>
          <w:highlight w:val="none"/>
          <w:lang w:val="zh-CN"/>
        </w:rPr>
      </w:pPr>
      <w:bookmarkStart w:id="132" w:name="_Toc695"/>
      <w:bookmarkStart w:id="133" w:name="_Toc27607"/>
      <w:bookmarkStart w:id="134" w:name="_Toc13087"/>
      <w:bookmarkStart w:id="135" w:name="_Toc9574"/>
      <w:bookmarkStart w:id="136" w:name="_Toc10986"/>
      <w:bookmarkStart w:id="137" w:name="_Toc21738"/>
      <w:bookmarkStart w:id="138" w:name="_Toc8253"/>
      <w:bookmarkStart w:id="139" w:name="_Toc11560"/>
      <w:bookmarkStart w:id="140" w:name="_Toc21375"/>
      <w:r>
        <w:rPr>
          <w:rFonts w:hint="eastAsia" w:ascii="仿宋" w:hAnsi="仿宋" w:eastAsia="仿宋" w:cs="仿宋"/>
          <w:b/>
          <w:color w:val="auto"/>
          <w:sz w:val="24"/>
          <w:szCs w:val="24"/>
          <w:highlight w:val="none"/>
          <w:lang w:val="zh-CN"/>
        </w:rPr>
        <w:t>（五）投标文件的编写要求</w:t>
      </w:r>
      <w:bookmarkEnd w:id="132"/>
      <w:bookmarkEnd w:id="133"/>
      <w:bookmarkEnd w:id="134"/>
      <w:bookmarkEnd w:id="135"/>
      <w:bookmarkEnd w:id="136"/>
      <w:bookmarkEnd w:id="137"/>
      <w:bookmarkEnd w:id="138"/>
      <w:bookmarkEnd w:id="139"/>
      <w:bookmarkEnd w:id="140"/>
    </w:p>
    <w:p>
      <w:pPr>
        <w:keepNext w:val="0"/>
        <w:keepLines w:val="0"/>
        <w:shd w:val="clear"/>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未从采购代理机构处直接获取招标文件的供应商，谢绝报价。投标文件必须根据采购代理机构发售的投标文件格式编写，各供应商对招标文件做出实质性响应。具体内容包括：</w:t>
      </w:r>
    </w:p>
    <w:p>
      <w:pPr>
        <w:keepNext w:val="0"/>
        <w:keepLines w:val="0"/>
        <w:shd w:val="clear"/>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对投标函中内容的响应；</w:t>
      </w:r>
    </w:p>
    <w:p>
      <w:pPr>
        <w:keepNext w:val="0"/>
        <w:keepLines w:val="0"/>
        <w:shd w:val="clear"/>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开标一览表（报价表）和</w:t>
      </w:r>
      <w:r>
        <w:rPr>
          <w:rFonts w:hint="eastAsia" w:ascii="仿宋" w:hAnsi="仿宋" w:eastAsia="仿宋" w:cs="仿宋"/>
          <w:color w:val="auto"/>
          <w:kern w:val="0"/>
          <w:sz w:val="24"/>
          <w:szCs w:val="24"/>
          <w:highlight w:val="none"/>
          <w:lang w:val="en-US" w:eastAsia="zh-CN"/>
        </w:rPr>
        <w:t>费用组成明细</w:t>
      </w:r>
      <w:r>
        <w:rPr>
          <w:rFonts w:hint="eastAsia" w:ascii="仿宋" w:hAnsi="仿宋" w:eastAsia="仿宋" w:cs="仿宋"/>
          <w:color w:val="auto"/>
          <w:kern w:val="0"/>
          <w:sz w:val="24"/>
          <w:szCs w:val="24"/>
          <w:highlight w:val="none"/>
          <w:lang w:val="zh-CN"/>
        </w:rPr>
        <w:t>表</w:t>
      </w:r>
      <w:r>
        <w:rPr>
          <w:rFonts w:hint="eastAsia" w:ascii="仿宋" w:hAnsi="仿宋" w:eastAsia="仿宋" w:cs="仿宋"/>
          <w:color w:val="auto"/>
          <w:sz w:val="24"/>
          <w:szCs w:val="24"/>
          <w:highlight w:val="none"/>
          <w:lang w:val="zh-CN"/>
        </w:rPr>
        <w:t>。</w:t>
      </w:r>
    </w:p>
    <w:p>
      <w:pPr>
        <w:keepNext w:val="0"/>
        <w:keepLines w:val="0"/>
        <w:shd w:val="clear"/>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供应商须出具的合格供应商要求文件，证明参加供应商是响应本项目招标的合格供应商。</w:t>
      </w:r>
    </w:p>
    <w:p>
      <w:pPr>
        <w:keepNext w:val="0"/>
        <w:keepLines w:val="0"/>
        <w:shd w:val="clear"/>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供应商为本次招标活动编制的实施方案，具有履行合同所必须的人员和专业技术能力，配备了相应的商务和技术人员，项目在组织实施、财务保证、培训服务、售后服务等方面具体做法和保障措施。</w:t>
      </w:r>
    </w:p>
    <w:p>
      <w:pPr>
        <w:keepNext w:val="0"/>
        <w:keepLines w:val="0"/>
        <w:shd w:val="clear"/>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供应商提供相应业绩，证明其供应经验及能力，以及为招标活动提供的合理化建议。</w:t>
      </w:r>
    </w:p>
    <w:p>
      <w:pPr>
        <w:keepNext w:val="0"/>
        <w:keepLines w:val="0"/>
        <w:shd w:val="clear"/>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zh-CN"/>
        </w:rPr>
        <w:t>供应商根据招标文件载明采购活动的实际情况，拟在中标后将中标项目非主体、非关键性工作交由他人完成的，应当在投标文件中注明，并提供交由完成企业的营业执照、相应资质等内容，且其允许的资质范围包含本项目招标的内容。</w:t>
      </w:r>
    </w:p>
    <w:p>
      <w:pPr>
        <w:keepNext w:val="0"/>
        <w:keepLines w:val="0"/>
        <w:shd w:val="clear"/>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投标文件的编写:</w:t>
      </w:r>
    </w:p>
    <w:p>
      <w:pPr>
        <w:keepNext w:val="0"/>
        <w:keepLines w:val="0"/>
        <w:shd w:val="clear"/>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供应商需按招标文件的“第五部分”编写投标文件，</w:t>
      </w:r>
      <w:r>
        <w:rPr>
          <w:rFonts w:hint="eastAsia" w:ascii="仿宋" w:hAnsi="仿宋" w:eastAsia="仿宋" w:cs="仿宋"/>
          <w:bCs/>
          <w:color w:val="auto"/>
          <w:sz w:val="24"/>
          <w:szCs w:val="24"/>
          <w:highlight w:val="none"/>
        </w:rPr>
        <w:t>如有必要，可以增加附页，作为投标文件的组成部分。</w:t>
      </w:r>
    </w:p>
    <w:p>
      <w:pPr>
        <w:keepNext w:val="0"/>
        <w:keepLines w:val="0"/>
        <w:shd w:val="clear"/>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（2）投标文件编写说明:</w:t>
      </w:r>
    </w:p>
    <w:p>
      <w:pPr>
        <w:keepNext w:val="0"/>
        <w:keepLines w:val="0"/>
        <w:shd w:val="clear"/>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①供应商提交的投标文件以及供应商与采购代理机构就有关投标的所有来往通知、函件和文件均应使用简体中文。</w:t>
      </w:r>
    </w:p>
    <w:p>
      <w:pPr>
        <w:keepNext w:val="0"/>
        <w:keepLines w:val="0"/>
        <w:shd w:val="clear"/>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②除技术性能另有规定外，投标文件所使用的度量衡单位，均须采用国家法定计量单位。</w:t>
      </w:r>
    </w:p>
    <w:p>
      <w:pPr>
        <w:keepNext w:val="0"/>
        <w:keepLines w:val="0"/>
        <w:shd w:val="clear"/>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③供应商应仔细阅读招标文件，充分理解招标文件的要求。凡与招标文件的规定有重大不符合的投标文件，投标被拒绝。</w:t>
      </w:r>
    </w:p>
    <w:p>
      <w:pPr>
        <w:keepNext w:val="0"/>
        <w:keepLines w:val="0"/>
        <w:shd w:val="clear"/>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④凡没有按投标文件格式和内容编写、投标文件组成不全的供应商，投标被拒绝。</w:t>
      </w:r>
    </w:p>
    <w:p>
      <w:pPr>
        <w:keepNext w:val="0"/>
        <w:keepLines w:val="0"/>
        <w:shd w:val="clear"/>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⑤供应商必须对招标文件的所有规定和要求作出实质性响应，否则投标被拒绝。</w:t>
      </w:r>
    </w:p>
    <w:p>
      <w:pPr>
        <w:keepNext w:val="0"/>
        <w:keepLines w:val="0"/>
        <w:shd w:val="clear"/>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⑥供应商应仔细阅读招标文件的所有内容，按招标文件的要求提供投标文件，并保证所提供的全部资料的真实性，否则投标被拒绝。</w:t>
      </w:r>
    </w:p>
    <w:p>
      <w:pPr>
        <w:keepNext w:val="0"/>
        <w:keepLines w:val="0"/>
        <w:shd w:val="clear"/>
        <w:kinsoku/>
        <w:wordWrap/>
        <w:overflowPunct/>
        <w:topLinePunct w:val="0"/>
        <w:autoSpaceDE w:val="0"/>
        <w:autoSpaceDN w:val="0"/>
        <w:bidi w:val="0"/>
        <w:adjustRightInd w:val="0"/>
        <w:snapToGrid w:val="0"/>
        <w:spacing w:line="360" w:lineRule="auto"/>
        <w:ind w:right="0" w:firstLine="482" w:firstLineChars="200"/>
        <w:textAlignment w:val="auto"/>
        <w:outlineLvl w:val="2"/>
        <w:rPr>
          <w:rFonts w:hint="eastAsia" w:ascii="仿宋" w:hAnsi="仿宋" w:eastAsia="仿宋" w:cs="仿宋"/>
          <w:b/>
          <w:color w:val="auto"/>
          <w:sz w:val="24"/>
          <w:szCs w:val="24"/>
          <w:highlight w:val="none"/>
          <w:lang w:val="zh-CN"/>
        </w:rPr>
      </w:pPr>
      <w:bookmarkStart w:id="141" w:name="_Toc4232"/>
      <w:bookmarkStart w:id="142" w:name="_Toc30294"/>
      <w:bookmarkStart w:id="143" w:name="_Toc4804"/>
      <w:bookmarkStart w:id="144" w:name="_Toc2115"/>
      <w:bookmarkStart w:id="145" w:name="_Toc11144"/>
      <w:bookmarkStart w:id="146" w:name="_Toc1681"/>
      <w:bookmarkStart w:id="147" w:name="_Toc14561"/>
      <w:bookmarkStart w:id="148" w:name="_Toc19554"/>
      <w:bookmarkStart w:id="149" w:name="_Toc11902"/>
      <w:r>
        <w:rPr>
          <w:rFonts w:hint="eastAsia" w:ascii="仿宋" w:hAnsi="仿宋" w:eastAsia="仿宋" w:cs="仿宋"/>
          <w:b/>
          <w:color w:val="auto"/>
          <w:sz w:val="24"/>
          <w:szCs w:val="24"/>
          <w:highlight w:val="none"/>
          <w:lang w:val="zh-CN"/>
        </w:rPr>
        <w:t>（六）投标报价要求</w:t>
      </w:r>
      <w:bookmarkEnd w:id="141"/>
      <w:bookmarkEnd w:id="142"/>
      <w:bookmarkEnd w:id="143"/>
      <w:bookmarkEnd w:id="144"/>
      <w:bookmarkEnd w:id="145"/>
      <w:bookmarkEnd w:id="146"/>
      <w:bookmarkEnd w:id="147"/>
      <w:bookmarkEnd w:id="148"/>
      <w:bookmarkEnd w:id="149"/>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rPr>
      </w:pPr>
      <w:bookmarkStart w:id="150" w:name="_Toc10555"/>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应在投标文件中的投标报价一览表上标明投标总报价</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lang w:val="en-US" w:eastAsia="zh-CN"/>
        </w:rPr>
        <w:t>交货期</w:t>
      </w:r>
      <w:r>
        <w:rPr>
          <w:rFonts w:hint="eastAsia" w:ascii="仿宋" w:hAnsi="仿宋" w:eastAsia="仿宋" w:cs="仿宋"/>
          <w:color w:val="auto"/>
          <w:kern w:val="0"/>
          <w:sz w:val="24"/>
          <w:szCs w:val="24"/>
          <w:highlight w:val="none"/>
          <w:lang w:val="zh-CN"/>
        </w:rPr>
        <w:t>等，</w:t>
      </w:r>
      <w:r>
        <w:rPr>
          <w:rFonts w:hint="eastAsia" w:ascii="仿宋" w:hAnsi="仿宋" w:eastAsia="仿宋" w:cs="仿宋"/>
          <w:color w:val="auto"/>
          <w:sz w:val="24"/>
          <w:szCs w:val="24"/>
          <w:highlight w:val="none"/>
          <w:lang w:val="zh-CN"/>
        </w:rPr>
        <w:t>投标总报价</w:t>
      </w:r>
      <w:r>
        <w:rPr>
          <w:rFonts w:hint="eastAsia" w:ascii="仿宋" w:hAnsi="仿宋" w:eastAsia="仿宋" w:cs="仿宋"/>
          <w:color w:val="auto"/>
          <w:sz w:val="24"/>
          <w:szCs w:val="24"/>
          <w:highlight w:val="none"/>
        </w:rPr>
        <w:t>只能提交唯一报价，任何有选择的报价采购代理机构将不予接受，其投标文件视为无效文件。</w:t>
      </w:r>
    </w:p>
    <w:p>
      <w:pPr>
        <w:keepNext w:val="0"/>
        <w:keepLines w:val="0"/>
        <w:shd w:val="clear"/>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2、投标总价是指完成本次服务所须的全部费用。</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凡因供应商对招标文件阅读不深、理解不透、误解、疏漏、或因市场行情了解不清造成的后果和风险均由供应商自行负责。</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供应商不得以低于成本的报价参与投标。当评标委员会认为，某供应商的报价或者部分分项报价存在明显不合理的低于成本的报价，有可能影响服务质量和不能诚信履约的，可要求该供应商在规定期限内，提供必要的书面文件予以解释和说明并附带相关证明材料；否则，评标委员会认定该供应商以低于成本价竞价，其投标文件作无效文件处理。</w:t>
      </w:r>
    </w:p>
    <w:p>
      <w:pPr>
        <w:pStyle w:val="35"/>
        <w:keepNext w:val="0"/>
        <w:keepLines w:val="0"/>
        <w:shd w:val="clear"/>
        <w:kinsoku/>
        <w:wordWrap/>
        <w:overflowPunct/>
        <w:topLinePunct w:val="0"/>
        <w:bidi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最低报价不是中标的唯一依据，投标过程中所产生的一切费用由供应商自行承担。</w:t>
      </w:r>
    </w:p>
    <w:bookmarkEnd w:id="150"/>
    <w:p>
      <w:pPr>
        <w:keepNext w:val="0"/>
        <w:keepLines w:val="0"/>
        <w:shd w:val="clear"/>
        <w:kinsoku/>
        <w:wordWrap/>
        <w:overflowPunct/>
        <w:topLinePunct w:val="0"/>
        <w:autoSpaceDE w:val="0"/>
        <w:autoSpaceDN w:val="0"/>
        <w:bidi w:val="0"/>
        <w:adjustRightInd w:val="0"/>
        <w:snapToGrid w:val="0"/>
        <w:spacing w:line="360" w:lineRule="auto"/>
        <w:ind w:right="0" w:firstLine="482" w:firstLineChars="200"/>
        <w:textAlignment w:val="auto"/>
        <w:outlineLvl w:val="2"/>
        <w:rPr>
          <w:rFonts w:hint="eastAsia" w:ascii="仿宋" w:hAnsi="仿宋" w:eastAsia="仿宋" w:cs="仿宋"/>
          <w:b/>
          <w:color w:val="auto"/>
          <w:sz w:val="24"/>
          <w:szCs w:val="24"/>
          <w:highlight w:val="none"/>
          <w:lang w:val="zh-CN"/>
        </w:rPr>
      </w:pPr>
      <w:bookmarkStart w:id="151" w:name="_Toc1086"/>
      <w:bookmarkStart w:id="152" w:name="_Toc6827"/>
      <w:bookmarkStart w:id="153" w:name="_Toc14066"/>
      <w:bookmarkStart w:id="154" w:name="_Toc26261"/>
      <w:bookmarkStart w:id="155" w:name="_Toc25857"/>
      <w:bookmarkStart w:id="156" w:name="_Toc25806"/>
      <w:bookmarkStart w:id="157" w:name="_Toc11741"/>
      <w:bookmarkStart w:id="158" w:name="_Toc18340"/>
      <w:bookmarkStart w:id="159" w:name="_Toc3341"/>
      <w:r>
        <w:rPr>
          <w:rFonts w:hint="eastAsia" w:ascii="仿宋" w:hAnsi="仿宋" w:eastAsia="仿宋" w:cs="仿宋"/>
          <w:b/>
          <w:color w:val="auto"/>
          <w:sz w:val="24"/>
          <w:szCs w:val="24"/>
          <w:highlight w:val="none"/>
          <w:lang w:val="zh-CN"/>
        </w:rPr>
        <w:t>（七）投标文件的式样和签署</w:t>
      </w:r>
      <w:bookmarkEnd w:id="151"/>
      <w:bookmarkEnd w:id="152"/>
      <w:bookmarkEnd w:id="153"/>
      <w:bookmarkEnd w:id="154"/>
      <w:bookmarkEnd w:id="155"/>
      <w:bookmarkEnd w:id="156"/>
      <w:bookmarkEnd w:id="157"/>
      <w:bookmarkEnd w:id="158"/>
      <w:bookmarkEnd w:id="159"/>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供应商应按照招标文件格式，准备正本一份、副本三份和投标文件电子版一份（提供与纸质投标文件一致的PDF格式和</w:t>
      </w:r>
      <w:r>
        <w:rPr>
          <w:rFonts w:hint="eastAsia" w:ascii="仿宋" w:hAnsi="仿宋" w:eastAsia="仿宋" w:cs="仿宋"/>
          <w:color w:val="auto"/>
          <w:sz w:val="24"/>
          <w:szCs w:val="24"/>
          <w:highlight w:val="none"/>
        </w:rPr>
        <w:t>word格式</w:t>
      </w:r>
      <w:r>
        <w:rPr>
          <w:rFonts w:hint="eastAsia" w:ascii="仿宋" w:hAnsi="仿宋" w:eastAsia="仿宋" w:cs="仿宋"/>
          <w:color w:val="auto"/>
          <w:sz w:val="24"/>
          <w:szCs w:val="24"/>
          <w:highlight w:val="none"/>
          <w:lang w:val="zh-CN"/>
        </w:rPr>
        <w:t>，U盘存储），投标文件的封面上应清楚地标记“正本”、“副本”、“电子版”字样。</w:t>
      </w:r>
      <w:r>
        <w:rPr>
          <w:rFonts w:hint="eastAsia" w:ascii="仿宋" w:hAnsi="仿宋" w:eastAsia="仿宋" w:cs="仿宋"/>
          <w:color w:val="auto"/>
          <w:sz w:val="24"/>
          <w:szCs w:val="24"/>
          <w:highlight w:val="none"/>
          <w:lang w:val="zh-CN" w:eastAsia="zh-CN"/>
        </w:rPr>
        <w:t>招标文件中“第五部分 四</w:t>
      </w:r>
      <w:r>
        <w:rPr>
          <w:rFonts w:hint="eastAsia" w:ascii="仿宋" w:hAnsi="仿宋" w:eastAsia="仿宋" w:cs="仿宋"/>
          <w:color w:val="auto"/>
          <w:sz w:val="24"/>
          <w:szCs w:val="24"/>
          <w:highlight w:val="none"/>
          <w:lang w:val="zh-CN"/>
        </w:rPr>
        <w:t>、供应商资格证明文件</w:t>
      </w:r>
      <w:r>
        <w:rPr>
          <w:rFonts w:hint="eastAsia" w:ascii="仿宋" w:hAnsi="仿宋" w:eastAsia="仿宋" w:cs="仿宋"/>
          <w:color w:val="auto"/>
          <w:sz w:val="24"/>
          <w:szCs w:val="24"/>
          <w:highlight w:val="none"/>
          <w:lang w:val="zh-CN" w:eastAsia="zh-CN"/>
        </w:rPr>
        <w:t>”单独胶装成册1本，与投标文件正本一同密封。</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rPr>
        <w:t>2、投标文件的正本和所有的副本均须双面打印并用不褪色蓝（黑）墨水（汁）书写，统一装订、标码，在每一页的正下方清楚标明页码等字样。</w:t>
      </w:r>
      <w:r>
        <w:rPr>
          <w:rFonts w:hint="eastAsia" w:ascii="仿宋" w:hAnsi="仿宋" w:eastAsia="仿宋" w:cs="仿宋"/>
          <w:color w:val="auto"/>
          <w:spacing w:val="-6"/>
          <w:sz w:val="24"/>
          <w:szCs w:val="24"/>
          <w:highlight w:val="none"/>
        </w:rPr>
        <w:t>因字迹不清、表达不准或不按给定的投标文件格式编制的投标文件，所引起的不利后果由</w:t>
      </w:r>
      <w:r>
        <w:rPr>
          <w:rFonts w:hint="eastAsia" w:ascii="仿宋" w:hAnsi="仿宋" w:eastAsia="仿宋" w:cs="仿宋"/>
          <w:color w:val="auto"/>
          <w:spacing w:val="-6"/>
          <w:sz w:val="24"/>
          <w:szCs w:val="24"/>
          <w:highlight w:val="none"/>
          <w:lang w:eastAsia="zh-CN"/>
        </w:rPr>
        <w:t>供应商</w:t>
      </w:r>
      <w:r>
        <w:rPr>
          <w:rFonts w:hint="eastAsia" w:ascii="仿宋" w:hAnsi="仿宋" w:eastAsia="仿宋" w:cs="仿宋"/>
          <w:color w:val="auto"/>
          <w:spacing w:val="-6"/>
          <w:sz w:val="24"/>
          <w:szCs w:val="24"/>
          <w:highlight w:val="none"/>
        </w:rPr>
        <w:t>自负。</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bCs/>
          <w:color w:val="auto"/>
          <w:sz w:val="24"/>
          <w:szCs w:val="24"/>
          <w:highlight w:val="none"/>
        </w:rPr>
        <w:t>投标文件必须加盖</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公章并按照招标文件要求由法定代表人（或授权代表人）签字。若未按照要求签署的，按无效文件处理。</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4、投标文件的打印应清楚工整，统一采用A4纸编制（如部分附表需要用其他规格的复印纸编写，则应按A4复印纸折叠）。</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pacing w:val="2"/>
          <w:sz w:val="24"/>
          <w:szCs w:val="24"/>
          <w:highlight w:val="none"/>
          <w:lang w:val="zh-CN"/>
        </w:rPr>
        <w:t>除供应商对错处做必要修改外，投标文件不得行间插字、涂改和增删，如有修改错漏处，必须由供应商法定代表人或其授权人代表签字并加盖供应商公章。</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标文件应牢固装订成册，不可插页抽页。牢固装订成册是指用适当的办法,书脊涂有胶粘剂以保证投标文件不至于散开或用简单办法不能将任何一页在没有任何损坏的情况下取出或插入。各种用活页夹、文件夹、塑料方便式书脊（插入式或穿孔式）装订均不认为是牢固装订。</w:t>
      </w:r>
    </w:p>
    <w:p>
      <w:pPr>
        <w:keepNext w:val="0"/>
        <w:keepLines w:val="0"/>
        <w:shd w:val="clear"/>
        <w:kinsoku/>
        <w:wordWrap/>
        <w:overflowPunct/>
        <w:topLinePunct w:val="0"/>
        <w:autoSpaceDE w:val="0"/>
        <w:autoSpaceDN w:val="0"/>
        <w:bidi w:val="0"/>
        <w:adjustRightInd w:val="0"/>
        <w:snapToGrid w:val="0"/>
        <w:spacing w:line="360" w:lineRule="auto"/>
        <w:ind w:right="0" w:firstLine="482" w:firstLineChars="200"/>
        <w:textAlignment w:val="auto"/>
        <w:outlineLvl w:val="2"/>
        <w:rPr>
          <w:rFonts w:hint="eastAsia" w:ascii="仿宋" w:hAnsi="仿宋" w:eastAsia="仿宋" w:cs="仿宋"/>
          <w:b/>
          <w:color w:val="auto"/>
          <w:sz w:val="24"/>
          <w:szCs w:val="24"/>
          <w:highlight w:val="none"/>
          <w:lang w:val="zh-CN"/>
        </w:rPr>
      </w:pPr>
      <w:bookmarkStart w:id="160" w:name="_Toc22503"/>
      <w:bookmarkStart w:id="161" w:name="_Toc19200"/>
      <w:bookmarkStart w:id="162" w:name="_Toc5650"/>
      <w:bookmarkStart w:id="163" w:name="_Toc12685"/>
      <w:bookmarkStart w:id="164" w:name="_Toc32210"/>
      <w:bookmarkStart w:id="165" w:name="_Toc1531"/>
      <w:bookmarkStart w:id="166" w:name="_Toc7086"/>
      <w:bookmarkStart w:id="167" w:name="_Toc12544"/>
      <w:bookmarkStart w:id="168" w:name="_Toc22291"/>
      <w:r>
        <w:rPr>
          <w:rFonts w:hint="eastAsia" w:ascii="仿宋" w:hAnsi="仿宋" w:eastAsia="仿宋" w:cs="仿宋"/>
          <w:b/>
          <w:color w:val="auto"/>
          <w:sz w:val="24"/>
          <w:szCs w:val="24"/>
          <w:highlight w:val="none"/>
          <w:lang w:val="zh-CN"/>
        </w:rPr>
        <w:t>（八）投标文件的密封和提交</w:t>
      </w:r>
      <w:bookmarkEnd w:id="160"/>
      <w:bookmarkEnd w:id="161"/>
      <w:bookmarkEnd w:id="162"/>
      <w:bookmarkEnd w:id="163"/>
      <w:bookmarkEnd w:id="164"/>
      <w:bookmarkEnd w:id="165"/>
      <w:bookmarkEnd w:id="166"/>
      <w:bookmarkEnd w:id="167"/>
      <w:bookmarkEnd w:id="168"/>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投标文件密封</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供应商应将投标文件分为</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个包装袋。</w:t>
      </w:r>
      <w:r>
        <w:rPr>
          <w:rFonts w:hint="eastAsia" w:ascii="仿宋" w:hAnsi="仿宋" w:eastAsia="仿宋" w:cs="仿宋"/>
          <w:color w:val="auto"/>
          <w:sz w:val="24"/>
          <w:szCs w:val="24"/>
          <w:highlight w:val="none"/>
          <w:lang w:val="zh-CN"/>
        </w:rPr>
        <w:t>正本单独密封、所有副本密封，投标文件电子版单独密封且在外层包装上标明字样。</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外层包装应加封条密封，在封线处加盖公章（骑缝章），标明项目编号、项目名称，供应商全称（公章）、在</w:t>
      </w:r>
      <w:r>
        <w:rPr>
          <w:rFonts w:hint="eastAsia" w:ascii="仿宋" w:hAnsi="仿宋" w:eastAsia="仿宋" w:cs="仿宋"/>
          <w:color w:val="auto"/>
          <w:sz w:val="24"/>
          <w:szCs w:val="24"/>
          <w:highlight w:val="none"/>
        </w:rPr>
        <w:t>XXXX年XX月XX日XX：XX前不得启封</w:t>
      </w:r>
      <w:r>
        <w:rPr>
          <w:rFonts w:hint="eastAsia" w:ascii="仿宋" w:hAnsi="仿宋" w:eastAsia="仿宋" w:cs="仿宋"/>
          <w:color w:val="auto"/>
          <w:sz w:val="24"/>
          <w:szCs w:val="24"/>
          <w:highlight w:val="none"/>
          <w:lang w:val="zh-CN"/>
        </w:rPr>
        <w:t>等内容。</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投标文件的递交</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供应商应在招标文件要求提交投标文件的截止时间前将投标文件密封送达投标地点，递交并办理签收手续，采购代理机构在收到投标文件后记载投标文件送达时间及密封情况，签收保存，并向供应商出具签收回执。</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对于要求提供合格供应商必备资格文件和业绩原件等相关资料的采购项目，供应商应将其内容与投标文件一起递交，并标明所提供资料原件的明细表（若文件未要求原件可不提供）。</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在招标文件要求提交投标文件的截止时间之后送达的投标文件和相关资料原件，为无效文件，采购代理机构拒绝接收。</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采购代理机构在招标文件规定的投标文件递交截止时间前，只负责投标文件和其相关资料原件的接收、登记和组织工作，对其投标文件和相关资料原件的有效性不负任何责任。</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投标文件递送后，在投标截止期前，供应商可以补充、修改或撤回其投标文件，并书面通知采购代理机构。补充、修改的内容应按招标文件的要求签署、盖章，密封后，作为投标文件的组成部分。</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zh-CN"/>
        </w:rPr>
        <w:t>投标截止时间后，供应商不得对其投标文件做任何修改。</w:t>
      </w:r>
    </w:p>
    <w:p>
      <w:pPr>
        <w:keepNext w:val="0"/>
        <w:keepLines w:val="0"/>
        <w:shd w:val="clear"/>
        <w:kinsoku/>
        <w:wordWrap/>
        <w:overflowPunct/>
        <w:topLinePunct w:val="0"/>
        <w:autoSpaceDE w:val="0"/>
        <w:autoSpaceDN w:val="0"/>
        <w:bidi w:val="0"/>
        <w:adjustRightInd w:val="0"/>
        <w:snapToGrid w:val="0"/>
        <w:spacing w:line="360" w:lineRule="auto"/>
        <w:ind w:right="0" w:firstLine="482" w:firstLineChars="200"/>
        <w:textAlignment w:val="auto"/>
        <w:outlineLvl w:val="1"/>
        <w:rPr>
          <w:rFonts w:hint="eastAsia" w:ascii="仿宋" w:hAnsi="仿宋" w:eastAsia="仿宋" w:cs="仿宋"/>
          <w:b/>
          <w:color w:val="auto"/>
          <w:sz w:val="24"/>
          <w:szCs w:val="24"/>
          <w:highlight w:val="none"/>
          <w:lang w:val="zh-CN"/>
        </w:rPr>
      </w:pPr>
      <w:bookmarkStart w:id="169" w:name="_Toc3457"/>
      <w:bookmarkStart w:id="170" w:name="_Toc14921"/>
      <w:bookmarkStart w:id="171" w:name="_Toc17873"/>
      <w:bookmarkStart w:id="172" w:name="_Toc14306"/>
      <w:bookmarkStart w:id="173" w:name="_Toc21515"/>
      <w:bookmarkStart w:id="174" w:name="_Toc27743"/>
      <w:bookmarkStart w:id="175" w:name="_Toc23613"/>
      <w:bookmarkStart w:id="176" w:name="_Toc25855"/>
      <w:r>
        <w:rPr>
          <w:rFonts w:hint="eastAsia" w:ascii="仿宋" w:hAnsi="仿宋" w:eastAsia="仿宋" w:cs="仿宋"/>
          <w:b/>
          <w:color w:val="auto"/>
          <w:sz w:val="24"/>
          <w:szCs w:val="24"/>
          <w:highlight w:val="none"/>
          <w:lang w:val="zh-CN"/>
        </w:rPr>
        <w:t>四、开标</w:t>
      </w:r>
      <w:bookmarkEnd w:id="169"/>
      <w:bookmarkEnd w:id="170"/>
      <w:bookmarkEnd w:id="171"/>
      <w:bookmarkEnd w:id="172"/>
      <w:bookmarkEnd w:id="173"/>
      <w:bookmarkEnd w:id="174"/>
      <w:bookmarkEnd w:id="175"/>
      <w:bookmarkEnd w:id="176"/>
    </w:p>
    <w:p>
      <w:pPr>
        <w:keepNext w:val="0"/>
        <w:keepLines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（一）采购代理机构在规定的时间和地点组织公开开标并对开标、评标现场活动进行全程录音录像。</w:t>
      </w:r>
    </w:p>
    <w:p>
      <w:pPr>
        <w:keepNext w:val="0"/>
        <w:keepLines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（二）开标由采购代理机构主持，采购人、供应商和有关方面代表参加，签名报到以证明其出席。</w:t>
      </w:r>
    </w:p>
    <w:p>
      <w:pPr>
        <w:keepNext w:val="0"/>
        <w:keepLines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（三）开标截止时间后供应商不足三家的，不进行开标。</w:t>
      </w:r>
    </w:p>
    <w:p>
      <w:pPr>
        <w:keepNext w:val="0"/>
        <w:keepLines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（四）开标时，由供应商或者其推选的代表检查投标文件的密封情况，以确认各供应商的投标文件密封情况是否与递交时一致，没有被提前启封等异常情况。</w:t>
      </w:r>
    </w:p>
    <w:p>
      <w:pPr>
        <w:keepNext w:val="0"/>
        <w:keepLines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五）对投标文件的密封确认无误后，由采购代理机构工作人员当众拆封投标文件，以公开唱标的形式宣布供应商名称、投标价格以及采购代理机构认为合适的其他内容，无异议后，由供应商法定代表人（或被授权代表人）和监标人签字确认。</w:t>
      </w:r>
    </w:p>
    <w:p>
      <w:pPr>
        <w:keepNext w:val="0"/>
        <w:keepLines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（六）在开标时没有拆封和宣读的投标文件将原封退回给供应商。</w:t>
      </w:r>
    </w:p>
    <w:p>
      <w:pPr>
        <w:keepNext w:val="0"/>
        <w:keepLines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（七）以邮寄方式递交投标文件的为无效投标，不予启封。</w:t>
      </w:r>
    </w:p>
    <w:p>
      <w:pPr>
        <w:keepNext w:val="0"/>
        <w:keepLines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（八）供应商未参加开标的，视同认可开标结果。</w:t>
      </w:r>
    </w:p>
    <w:p>
      <w:pPr>
        <w:keepNext w:val="0"/>
        <w:keepLines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（九）开标过程由采购代理机构指定专人记录，参加开标的各供应商代表和相关工作人员签字确认后随采购文件一并存档。</w:t>
      </w:r>
    </w:p>
    <w:p>
      <w:pPr>
        <w:keepNext w:val="0"/>
        <w:keepLines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十）供应商代表对开标过程和开标记录有疑义，以及认为采购人、采购代理机构相关工作人员有需要回避的情形的，应当场提出询问或者回避申请。采购代理机构对供应商代表提出的询问或者回避申请应当及时处理。</w:t>
      </w:r>
    </w:p>
    <w:p>
      <w:pPr>
        <w:keepNext w:val="0"/>
        <w:keepLines w:val="0"/>
        <w:shd w:val="clear"/>
        <w:kinsoku/>
        <w:wordWrap/>
        <w:overflowPunct/>
        <w:topLinePunct w:val="0"/>
        <w:autoSpaceDE w:val="0"/>
        <w:autoSpaceDN w:val="0"/>
        <w:bidi w:val="0"/>
        <w:adjustRightInd w:val="0"/>
        <w:snapToGrid w:val="0"/>
        <w:spacing w:line="360" w:lineRule="auto"/>
        <w:ind w:right="0" w:firstLine="482" w:firstLineChars="200"/>
        <w:textAlignment w:val="auto"/>
        <w:outlineLvl w:val="1"/>
        <w:rPr>
          <w:rFonts w:hint="eastAsia" w:ascii="仿宋" w:hAnsi="仿宋" w:eastAsia="仿宋" w:cs="仿宋"/>
          <w:b/>
          <w:color w:val="auto"/>
          <w:sz w:val="24"/>
          <w:szCs w:val="24"/>
          <w:highlight w:val="none"/>
          <w:lang w:val="zh-CN"/>
        </w:rPr>
      </w:pPr>
      <w:bookmarkStart w:id="177" w:name="_Toc3139"/>
      <w:bookmarkStart w:id="178" w:name="_Toc8012"/>
      <w:bookmarkStart w:id="179" w:name="_Toc16283"/>
      <w:bookmarkStart w:id="180" w:name="_Toc22028"/>
      <w:bookmarkStart w:id="181" w:name="_Toc21519"/>
      <w:bookmarkStart w:id="182" w:name="_Toc13967"/>
      <w:bookmarkStart w:id="183" w:name="_Toc11628"/>
      <w:bookmarkStart w:id="184" w:name="_Toc18691"/>
      <w:r>
        <w:rPr>
          <w:rFonts w:hint="eastAsia" w:ascii="仿宋" w:hAnsi="仿宋" w:eastAsia="仿宋" w:cs="仿宋"/>
          <w:b/>
          <w:color w:val="auto"/>
          <w:sz w:val="24"/>
          <w:szCs w:val="24"/>
          <w:highlight w:val="none"/>
          <w:lang w:val="zh-CN"/>
        </w:rPr>
        <w:t>五、评标</w:t>
      </w:r>
      <w:bookmarkEnd w:id="177"/>
      <w:bookmarkEnd w:id="178"/>
      <w:bookmarkEnd w:id="179"/>
      <w:bookmarkEnd w:id="180"/>
      <w:bookmarkEnd w:id="181"/>
      <w:bookmarkEnd w:id="182"/>
      <w:bookmarkEnd w:id="183"/>
      <w:bookmarkEnd w:id="184"/>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zh-CN"/>
        </w:rPr>
        <w:t>按照《中华人民共和国政府采购法》、《中华人民共和国政府采购法实施条例》和《政府采购货物和服务招标投标管理办法》</w:t>
      </w:r>
      <w:r>
        <w:rPr>
          <w:rFonts w:hint="eastAsia" w:ascii="仿宋" w:hAnsi="仿宋" w:eastAsia="仿宋" w:cs="仿宋"/>
          <w:color w:val="auto"/>
          <w:sz w:val="24"/>
          <w:szCs w:val="24"/>
          <w:highlight w:val="none"/>
        </w:rPr>
        <w:t>87号令</w:t>
      </w:r>
      <w:r>
        <w:rPr>
          <w:rFonts w:hint="eastAsia" w:ascii="仿宋" w:hAnsi="仿宋" w:eastAsia="仿宋" w:cs="仿宋"/>
          <w:color w:val="auto"/>
          <w:sz w:val="24"/>
          <w:szCs w:val="24"/>
          <w:highlight w:val="none"/>
          <w:lang w:val="zh-CN"/>
        </w:rPr>
        <w:t>的规定，依法组建评标委员会。</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zh-CN"/>
        </w:rPr>
        <w:t>评标委员会的组成</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本项目评标委员会为</w:t>
      </w:r>
      <w:r>
        <w:rPr>
          <w:rFonts w:hint="eastAsia" w:ascii="仿宋" w:hAnsi="仿宋" w:eastAsia="仿宋" w:cs="仿宋"/>
          <w:color w:val="auto"/>
          <w:sz w:val="24"/>
          <w:szCs w:val="24"/>
          <w:highlight w:val="none"/>
          <w:lang w:val="en-US" w:eastAsia="zh-CN"/>
        </w:rPr>
        <w:t>5人或</w:t>
      </w:r>
      <w:r>
        <w:rPr>
          <w:rFonts w:hint="eastAsia" w:ascii="仿宋" w:hAnsi="仿宋" w:eastAsia="仿宋" w:cs="仿宋"/>
          <w:color w:val="auto"/>
          <w:sz w:val="24"/>
          <w:szCs w:val="24"/>
          <w:highlight w:val="none"/>
          <w:lang w:eastAsia="zh-CN"/>
        </w:rPr>
        <w:t>以上单数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评审专家在省级以上财政部门设立的政府采购评审专家库中随机抽取，其中评审专家不得少于成员总数的三分之二，评标委员会成员与供应商有利害关系的应当回避。</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zh-CN"/>
        </w:rPr>
        <w:t>评标委员会的职责</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审查、评价投标文件是否符合招标文件的商务、技术等实质性要求；</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要求供应商对投标文件有关事项作出澄清或者说明；</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对投标文件进行比较和评价；</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确定中标候选人名单，以及根据采购人委托直接确定中标供应商；</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向采购人、采购代理机构或者有关部门报告评标中发现的违法行为；</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zh-CN"/>
        </w:rPr>
        <w:t>配合采购代理机构答复供应商提出的质疑；</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zh-CN"/>
        </w:rPr>
        <w:t>配合财政部门的投诉处理工作。</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val="zh-CN"/>
        </w:rPr>
        <w:t>评标委员会有权对整个招标过程中出现的一切问题，</w:t>
      </w:r>
      <w:r>
        <w:rPr>
          <w:rFonts w:hint="eastAsia" w:ascii="仿宋" w:hAnsi="仿宋" w:eastAsia="仿宋" w:cs="仿宋"/>
          <w:color w:val="auto"/>
          <w:sz w:val="24"/>
          <w:szCs w:val="24"/>
          <w:highlight w:val="none"/>
        </w:rPr>
        <w:t>根据《中华人民共和国政府采购法》、《中华人民共和国政府采购实施条例》和《政府采购货物和服务招标投标管理办法》的精神，本着公开、公平、公正的原则，进行处理。</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（五）公开开标后，直到向中标供应商授予合同为止，凡与审查、澄清、评价和比较投标的有关资料及授标意见等内容，评标委员会成员均不得向</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及与评标无关的其他人透露。</w:t>
      </w:r>
    </w:p>
    <w:p>
      <w:pPr>
        <w:keepNext w:val="0"/>
        <w:keepLines w:val="0"/>
        <w:shd w:val="clear"/>
        <w:kinsoku/>
        <w:wordWrap/>
        <w:overflowPunct/>
        <w:topLinePunct w:val="0"/>
        <w:autoSpaceDE w:val="0"/>
        <w:autoSpaceDN w:val="0"/>
        <w:bidi w:val="0"/>
        <w:adjustRightInd w:val="0"/>
        <w:snapToGrid w:val="0"/>
        <w:spacing w:line="360" w:lineRule="auto"/>
        <w:ind w:right="0" w:firstLine="482" w:firstLineChars="200"/>
        <w:textAlignment w:val="auto"/>
        <w:outlineLvl w:val="1"/>
        <w:rPr>
          <w:rFonts w:hint="eastAsia" w:ascii="仿宋" w:hAnsi="仿宋" w:eastAsia="仿宋" w:cs="仿宋"/>
          <w:b/>
          <w:color w:val="auto"/>
          <w:sz w:val="24"/>
          <w:szCs w:val="24"/>
          <w:highlight w:val="none"/>
          <w:lang w:val="zh-CN"/>
        </w:rPr>
      </w:pPr>
      <w:bookmarkStart w:id="185" w:name="_Toc20761"/>
      <w:bookmarkStart w:id="186" w:name="_Toc14972"/>
      <w:bookmarkStart w:id="187" w:name="_Toc29394"/>
      <w:bookmarkStart w:id="188" w:name="_Toc114"/>
      <w:bookmarkStart w:id="189" w:name="_Toc14292"/>
      <w:bookmarkStart w:id="190" w:name="_Toc18147"/>
      <w:bookmarkStart w:id="191" w:name="_Toc6520"/>
      <w:bookmarkStart w:id="192" w:name="_Toc25493"/>
      <w:r>
        <w:rPr>
          <w:rFonts w:hint="eastAsia" w:ascii="仿宋" w:hAnsi="仿宋" w:eastAsia="仿宋" w:cs="仿宋"/>
          <w:b/>
          <w:color w:val="auto"/>
          <w:sz w:val="24"/>
          <w:szCs w:val="24"/>
          <w:highlight w:val="none"/>
          <w:lang w:val="zh-CN"/>
        </w:rPr>
        <w:t>六、</w:t>
      </w:r>
      <w:bookmarkStart w:id="193" w:name="_Toc495671240"/>
      <w:r>
        <w:rPr>
          <w:rFonts w:hint="eastAsia" w:ascii="仿宋" w:hAnsi="仿宋" w:eastAsia="仿宋" w:cs="仿宋"/>
          <w:b/>
          <w:color w:val="auto"/>
          <w:sz w:val="24"/>
          <w:szCs w:val="24"/>
          <w:highlight w:val="none"/>
          <w:lang w:val="zh-CN"/>
        </w:rPr>
        <w:t>评标程序及评标办法</w:t>
      </w:r>
      <w:bookmarkEnd w:id="185"/>
      <w:bookmarkEnd w:id="186"/>
      <w:bookmarkEnd w:id="187"/>
      <w:bookmarkEnd w:id="188"/>
      <w:bookmarkEnd w:id="189"/>
      <w:bookmarkEnd w:id="190"/>
      <w:bookmarkEnd w:id="191"/>
      <w:bookmarkEnd w:id="192"/>
      <w:bookmarkEnd w:id="193"/>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按照投标文件初审、澄清有关问题、比较与评价、推荐中标候选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名单的工作程序进行评标。</w:t>
      </w:r>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outlineLvl w:val="2"/>
        <w:rPr>
          <w:rFonts w:hint="eastAsia" w:ascii="仿宋" w:hAnsi="仿宋" w:eastAsia="仿宋" w:cs="仿宋"/>
          <w:color w:val="auto"/>
          <w:sz w:val="24"/>
          <w:szCs w:val="24"/>
          <w:highlight w:val="none"/>
        </w:rPr>
      </w:pPr>
      <w:bookmarkStart w:id="194" w:name="_Toc26"/>
      <w:bookmarkStart w:id="195" w:name="_Toc11994"/>
      <w:bookmarkStart w:id="196" w:name="_Toc2042"/>
      <w:bookmarkStart w:id="197" w:name="_Toc19431"/>
      <w:bookmarkStart w:id="198" w:name="_Toc2630"/>
      <w:bookmarkStart w:id="199" w:name="_Toc1543"/>
      <w:bookmarkStart w:id="200" w:name="_Toc21585"/>
      <w:bookmarkStart w:id="201" w:name="_Toc16065"/>
      <w:bookmarkStart w:id="202" w:name="_Toc14549"/>
      <w:r>
        <w:rPr>
          <w:rFonts w:hint="eastAsia" w:ascii="仿宋" w:hAnsi="仿宋" w:eastAsia="仿宋" w:cs="仿宋"/>
          <w:color w:val="auto"/>
          <w:sz w:val="24"/>
          <w:szCs w:val="24"/>
          <w:highlight w:val="none"/>
        </w:rPr>
        <w:t>（一）投标文件初审</w:t>
      </w:r>
      <w:bookmarkEnd w:id="194"/>
      <w:bookmarkEnd w:id="195"/>
      <w:bookmarkEnd w:id="196"/>
      <w:bookmarkEnd w:id="197"/>
      <w:bookmarkEnd w:id="198"/>
      <w:bookmarkEnd w:id="199"/>
      <w:bookmarkEnd w:id="200"/>
      <w:bookmarkEnd w:id="201"/>
      <w:bookmarkEnd w:id="202"/>
    </w:p>
    <w:p>
      <w:pPr>
        <w:keepNext w:val="0"/>
        <w:keepLines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初审分为资格性检查和符合性检查。分别按照以下内容对投标文件进行检查，一项不合格即按照无效投标处理。</w:t>
      </w:r>
    </w:p>
    <w:p>
      <w:pPr>
        <w:keepNext w:val="0"/>
        <w:keepLines w:val="0"/>
        <w:shd w:val="clear"/>
        <w:tabs>
          <w:tab w:val="left" w:pos="9030"/>
        </w:tabs>
        <w:kinsoku/>
        <w:wordWrap/>
        <w:overflowPunct/>
        <w:topLinePunct w:val="0"/>
        <w:bidi w:val="0"/>
        <w:snapToGrid w:val="0"/>
        <w:spacing w:line="360" w:lineRule="auto"/>
        <w:ind w:right="0"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1、投标文件的资格性审查：依据法律法规和</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lang w:eastAsia="zh-CN"/>
        </w:rPr>
        <w:t>文件的规定，采购人</w:t>
      </w:r>
      <w:r>
        <w:rPr>
          <w:rFonts w:hint="eastAsia" w:ascii="仿宋" w:hAnsi="仿宋" w:eastAsia="仿宋" w:cs="仿宋"/>
          <w:b/>
          <w:bCs/>
          <w:color w:val="auto"/>
          <w:sz w:val="24"/>
          <w:szCs w:val="24"/>
          <w:highlight w:val="none"/>
          <w:lang w:val="en-US" w:eastAsia="zh-CN"/>
        </w:rPr>
        <w:t>及采购代理机构</w:t>
      </w:r>
      <w:r>
        <w:rPr>
          <w:rFonts w:hint="eastAsia" w:ascii="仿宋" w:hAnsi="仿宋" w:eastAsia="仿宋" w:cs="仿宋"/>
          <w:b/>
          <w:bCs/>
          <w:color w:val="auto"/>
          <w:sz w:val="24"/>
          <w:szCs w:val="24"/>
          <w:highlight w:val="none"/>
          <w:lang w:eastAsia="zh-CN"/>
        </w:rPr>
        <w:t>对</w:t>
      </w:r>
      <w:r>
        <w:rPr>
          <w:rFonts w:hint="eastAsia" w:ascii="仿宋" w:hAnsi="仿宋" w:eastAsia="仿宋" w:cs="仿宋"/>
          <w:b/>
          <w:bCs/>
          <w:color w:val="auto"/>
          <w:sz w:val="24"/>
          <w:szCs w:val="24"/>
          <w:highlight w:val="none"/>
          <w:lang w:val="en-US" w:eastAsia="zh-CN"/>
        </w:rPr>
        <w:t>投标</w:t>
      </w:r>
      <w:r>
        <w:rPr>
          <w:rFonts w:hint="eastAsia" w:ascii="仿宋" w:hAnsi="仿宋" w:eastAsia="仿宋" w:cs="仿宋"/>
          <w:b/>
          <w:bCs/>
          <w:color w:val="auto"/>
          <w:sz w:val="24"/>
          <w:szCs w:val="24"/>
          <w:highlight w:val="none"/>
          <w:lang w:eastAsia="zh-CN"/>
        </w:rPr>
        <w:t>文件中的资格证明文件等进行审查，审查内容为公告中所列的供应商资格条件。</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256"/>
        <w:gridCol w:w="5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04" w:type="dxa"/>
            <w:vAlign w:val="center"/>
          </w:tcPr>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highlight w:val="none"/>
                <w:vertAlign w:val="baseline"/>
                <w:lang w:eastAsia="zh-CN"/>
              </w:rPr>
            </w:pPr>
            <w:r>
              <w:rPr>
                <w:rFonts w:hint="eastAsia" w:ascii="仿宋" w:hAnsi="仿宋" w:eastAsia="仿宋" w:cs="仿宋"/>
                <w:color w:val="auto"/>
                <w:spacing w:val="0"/>
                <w:sz w:val="24"/>
                <w:szCs w:val="24"/>
                <w:highlight w:val="none"/>
                <w:vertAlign w:val="baseline"/>
                <w:lang w:eastAsia="zh-CN"/>
              </w:rPr>
              <w:t>序号</w:t>
            </w:r>
          </w:p>
        </w:tc>
        <w:tc>
          <w:tcPr>
            <w:tcW w:w="2256" w:type="dxa"/>
            <w:vAlign w:val="center"/>
          </w:tcPr>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highlight w:val="none"/>
                <w:vertAlign w:val="baseline"/>
                <w:lang w:eastAsia="zh-CN"/>
              </w:rPr>
            </w:pPr>
            <w:r>
              <w:rPr>
                <w:rFonts w:hint="eastAsia" w:ascii="仿宋" w:hAnsi="仿宋" w:eastAsia="仿宋" w:cs="仿宋"/>
                <w:color w:val="auto"/>
                <w:spacing w:val="0"/>
                <w:sz w:val="24"/>
                <w:szCs w:val="24"/>
                <w:highlight w:val="none"/>
                <w:vertAlign w:val="baseline"/>
                <w:lang w:eastAsia="zh-CN"/>
              </w:rPr>
              <w:t>资格审查项</w:t>
            </w:r>
          </w:p>
        </w:tc>
        <w:tc>
          <w:tcPr>
            <w:tcW w:w="5860" w:type="dxa"/>
            <w:vAlign w:val="center"/>
          </w:tcPr>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highlight w:val="none"/>
                <w:vertAlign w:val="baseline"/>
                <w:lang w:eastAsia="zh-CN"/>
              </w:rPr>
            </w:pPr>
            <w:r>
              <w:rPr>
                <w:rFonts w:hint="eastAsia" w:ascii="仿宋" w:hAnsi="仿宋" w:eastAsia="仿宋" w:cs="仿宋"/>
                <w:color w:val="auto"/>
                <w:spacing w:val="0"/>
                <w:sz w:val="24"/>
                <w:szCs w:val="24"/>
                <w:highlight w:val="none"/>
                <w:vertAlign w:val="baseline"/>
                <w:lang w:eastAsia="zh-CN"/>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1</w:t>
            </w:r>
          </w:p>
        </w:tc>
        <w:tc>
          <w:tcPr>
            <w:tcW w:w="2256" w:type="dxa"/>
            <w:vAlign w:val="center"/>
          </w:tcPr>
          <w:p>
            <w:pPr>
              <w:keepNext w:val="0"/>
              <w:keepLines w:val="0"/>
              <w:pageBreakBefore w:val="0"/>
              <w:widowControl w:val="0"/>
              <w:shd w:val="clear"/>
              <w:kinsoku/>
              <w:wordWrap/>
              <w:overflowPunct/>
              <w:topLinePunct w:val="0"/>
              <w:autoSpaceDE/>
              <w:autoSpaceDN/>
              <w:bidi w:val="0"/>
              <w:adjustRightInd/>
              <w:spacing w:line="360" w:lineRule="auto"/>
              <w:ind w:right="0" w:rightChars="0"/>
              <w:jc w:val="center"/>
              <w:textAlignment w:val="auto"/>
              <w:outlineLvl w:val="9"/>
              <w:rPr>
                <w:rFonts w:hint="eastAsia" w:ascii="仿宋" w:hAnsi="仿宋" w:eastAsia="仿宋" w:cs="仿宋"/>
                <w:color w:val="auto"/>
                <w:spacing w:val="0"/>
                <w:sz w:val="24"/>
                <w:szCs w:val="24"/>
                <w:highlight w:val="none"/>
                <w:vertAlign w:val="baseline"/>
              </w:rPr>
            </w:pPr>
            <w:r>
              <w:rPr>
                <w:rFonts w:hint="eastAsia" w:ascii="仿宋" w:hAnsi="仿宋" w:eastAsia="仿宋" w:cs="仿宋"/>
                <w:color w:val="auto"/>
                <w:spacing w:val="0"/>
                <w:sz w:val="24"/>
                <w:szCs w:val="24"/>
                <w:highlight w:val="none"/>
              </w:rPr>
              <w:t>营业执照等主体资格证明文件</w:t>
            </w:r>
          </w:p>
        </w:tc>
        <w:tc>
          <w:tcPr>
            <w:tcW w:w="5860" w:type="dxa"/>
            <w:vAlign w:val="center"/>
          </w:tcPr>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jc w:val="left"/>
              <w:textAlignment w:val="auto"/>
              <w:outlineLvl w:val="9"/>
              <w:rPr>
                <w:rFonts w:hint="eastAsia" w:ascii="仿宋" w:hAnsi="仿宋" w:eastAsia="仿宋" w:cs="仿宋"/>
                <w:color w:val="auto"/>
                <w:spacing w:val="0"/>
                <w:sz w:val="24"/>
                <w:szCs w:val="24"/>
                <w:highlight w:val="none"/>
                <w:vertAlign w:val="baseline"/>
                <w:lang w:eastAsia="zh-CN"/>
              </w:rPr>
            </w:pPr>
            <w:r>
              <w:rPr>
                <w:rFonts w:hint="eastAsia" w:ascii="仿宋" w:hAnsi="仿宋" w:eastAsia="仿宋" w:cs="仿宋"/>
                <w:color w:val="auto"/>
                <w:spacing w:val="0"/>
                <w:sz w:val="24"/>
                <w:szCs w:val="24"/>
                <w:highlight w:val="none"/>
              </w:rPr>
              <w:t>提供统一社会信用代码的营业执照或其他组织经营的合法凭证或自然人的提供身份证明文件</w:t>
            </w:r>
            <w:r>
              <w:rPr>
                <w:rFonts w:hint="eastAsia" w:ascii="仿宋" w:hAnsi="仿宋" w:eastAsia="仿宋" w:cs="仿宋"/>
                <w:color w:val="auto"/>
                <w:spacing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2</w:t>
            </w:r>
          </w:p>
        </w:tc>
        <w:tc>
          <w:tcPr>
            <w:tcW w:w="2256" w:type="dxa"/>
            <w:vAlign w:val="center"/>
          </w:tcPr>
          <w:p>
            <w:pPr>
              <w:keepNext w:val="0"/>
              <w:keepLines w:val="0"/>
              <w:pageBreakBefore w:val="0"/>
              <w:widowControl w:val="0"/>
              <w:shd w:val="clear"/>
              <w:kinsoku/>
              <w:wordWrap/>
              <w:overflowPunct/>
              <w:topLinePunct w:val="0"/>
              <w:autoSpaceDE/>
              <w:autoSpaceDN/>
              <w:bidi w:val="0"/>
              <w:adjustRightInd/>
              <w:spacing w:line="360" w:lineRule="auto"/>
              <w:ind w:right="0"/>
              <w:jc w:val="center"/>
              <w:textAlignment w:val="auto"/>
              <w:outlineLvl w:val="9"/>
              <w:rPr>
                <w:rFonts w:hint="eastAsia" w:ascii="仿宋" w:hAnsi="仿宋" w:eastAsia="仿宋" w:cs="仿宋"/>
                <w:color w:val="auto"/>
                <w:spacing w:val="0"/>
                <w:sz w:val="24"/>
                <w:szCs w:val="24"/>
                <w:highlight w:val="none"/>
                <w:vertAlign w:val="baseline"/>
              </w:rPr>
            </w:pPr>
            <w:r>
              <w:rPr>
                <w:rFonts w:hint="eastAsia" w:ascii="仿宋" w:hAnsi="仿宋" w:eastAsia="仿宋" w:cs="仿宋"/>
                <w:color w:val="auto"/>
                <w:spacing w:val="0"/>
                <w:sz w:val="24"/>
                <w:szCs w:val="24"/>
                <w:highlight w:val="none"/>
              </w:rPr>
              <w:t>财务状况报告</w:t>
            </w:r>
          </w:p>
        </w:tc>
        <w:tc>
          <w:tcPr>
            <w:tcW w:w="5860" w:type="dxa"/>
            <w:vAlign w:val="center"/>
          </w:tcPr>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jc w:val="left"/>
              <w:textAlignment w:val="auto"/>
              <w:outlineLvl w:val="9"/>
              <w:rPr>
                <w:rFonts w:hint="eastAsia" w:ascii="仿宋" w:hAnsi="仿宋" w:eastAsia="仿宋" w:cs="仿宋"/>
                <w:color w:val="auto"/>
                <w:spacing w:val="0"/>
                <w:sz w:val="24"/>
                <w:szCs w:val="24"/>
                <w:highlight w:val="none"/>
                <w:vertAlign w:val="baseline"/>
              </w:rPr>
            </w:pPr>
            <w:r>
              <w:rPr>
                <w:rFonts w:hint="eastAsia" w:ascii="仿宋" w:hAnsi="仿宋" w:eastAsia="仿宋" w:cs="仿宋"/>
                <w:color w:val="auto"/>
                <w:spacing w:val="0"/>
                <w:sz w:val="24"/>
                <w:szCs w:val="24"/>
                <w:highlight w:val="none"/>
                <w:lang w:eastAsia="zh-CN"/>
              </w:rPr>
              <w:t>提供具有财务审计资质单位出具的202</w:t>
            </w:r>
            <w:r>
              <w:rPr>
                <w:rFonts w:hint="eastAsia" w:ascii="仿宋" w:hAnsi="仿宋" w:eastAsia="仿宋" w:cs="仿宋"/>
                <w:color w:val="auto"/>
                <w:spacing w:val="0"/>
                <w:sz w:val="24"/>
                <w:szCs w:val="24"/>
                <w:highlight w:val="none"/>
                <w:lang w:val="en-US" w:eastAsia="zh-CN"/>
              </w:rPr>
              <w:t>1</w:t>
            </w:r>
            <w:r>
              <w:rPr>
                <w:rFonts w:hint="eastAsia" w:ascii="仿宋" w:hAnsi="仿宋" w:eastAsia="仿宋" w:cs="仿宋"/>
                <w:color w:val="auto"/>
                <w:spacing w:val="0"/>
                <w:sz w:val="24"/>
                <w:szCs w:val="24"/>
                <w:highlight w:val="none"/>
                <w:lang w:eastAsia="zh-CN"/>
              </w:rPr>
              <w:t>年度财务报告或</w:t>
            </w:r>
            <w:r>
              <w:rPr>
                <w:rFonts w:hint="eastAsia" w:ascii="仿宋" w:hAnsi="仿宋" w:eastAsia="仿宋" w:cs="仿宋"/>
                <w:color w:val="auto"/>
                <w:spacing w:val="0"/>
                <w:sz w:val="24"/>
                <w:szCs w:val="24"/>
                <w:highlight w:val="none"/>
                <w:lang w:val="en-US" w:eastAsia="zh-CN"/>
              </w:rPr>
              <w:t>开标</w:t>
            </w:r>
            <w:r>
              <w:rPr>
                <w:rFonts w:hint="eastAsia" w:ascii="仿宋" w:hAnsi="仿宋" w:eastAsia="仿宋" w:cs="仿宋"/>
                <w:color w:val="auto"/>
                <w:spacing w:val="0"/>
                <w:sz w:val="24"/>
                <w:szCs w:val="24"/>
                <w:highlight w:val="none"/>
                <w:lang w:eastAsia="zh-CN"/>
              </w:rPr>
              <w:t>前六个月内其基本账户银行出具的资信证明（附基本户证明资料）或财政部门认可的政府采购专业担保机构出具的担保函，以上形式的证明资料提供任何一种即可。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3</w:t>
            </w:r>
          </w:p>
        </w:tc>
        <w:tc>
          <w:tcPr>
            <w:tcW w:w="2256" w:type="dxa"/>
            <w:vAlign w:val="center"/>
          </w:tcPr>
          <w:p>
            <w:pPr>
              <w:keepNext w:val="0"/>
              <w:keepLines w:val="0"/>
              <w:pageBreakBefore w:val="0"/>
              <w:widowControl w:val="0"/>
              <w:shd w:val="clear"/>
              <w:kinsoku/>
              <w:wordWrap/>
              <w:overflowPunct/>
              <w:topLinePunct w:val="0"/>
              <w:autoSpaceDE/>
              <w:autoSpaceDN/>
              <w:bidi w:val="0"/>
              <w:adjustRightInd/>
              <w:spacing w:line="360" w:lineRule="auto"/>
              <w:ind w:right="0"/>
              <w:jc w:val="center"/>
              <w:textAlignment w:val="auto"/>
              <w:outlineLvl w:val="9"/>
              <w:rPr>
                <w:rFonts w:hint="eastAsia" w:ascii="仿宋" w:hAnsi="仿宋" w:eastAsia="仿宋" w:cs="仿宋"/>
                <w:color w:val="auto"/>
                <w:spacing w:val="0"/>
                <w:sz w:val="24"/>
                <w:szCs w:val="24"/>
                <w:highlight w:val="none"/>
                <w:vertAlign w:val="baseline"/>
              </w:rPr>
            </w:pPr>
            <w:r>
              <w:rPr>
                <w:rFonts w:hint="eastAsia" w:ascii="仿宋" w:hAnsi="仿宋" w:eastAsia="仿宋" w:cs="仿宋"/>
                <w:color w:val="auto"/>
                <w:spacing w:val="0"/>
                <w:sz w:val="24"/>
                <w:szCs w:val="24"/>
                <w:highlight w:val="none"/>
              </w:rPr>
              <w:t>税收缴纳证明</w:t>
            </w:r>
          </w:p>
        </w:tc>
        <w:tc>
          <w:tcPr>
            <w:tcW w:w="5860" w:type="dxa"/>
            <w:vAlign w:val="center"/>
          </w:tcPr>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jc w:val="left"/>
              <w:textAlignment w:val="auto"/>
              <w:outlineLvl w:val="9"/>
              <w:rPr>
                <w:rFonts w:hint="eastAsia" w:ascii="仿宋" w:hAnsi="仿宋" w:eastAsia="仿宋" w:cs="仿宋"/>
                <w:color w:val="auto"/>
                <w:spacing w:val="0"/>
                <w:sz w:val="24"/>
                <w:szCs w:val="24"/>
                <w:highlight w:val="none"/>
                <w:vertAlign w:val="baseline"/>
              </w:rPr>
            </w:pPr>
            <w:r>
              <w:rPr>
                <w:rFonts w:hint="eastAsia" w:ascii="仿宋" w:hAnsi="仿宋" w:eastAsia="仿宋" w:cs="仿宋"/>
                <w:color w:val="auto"/>
                <w:spacing w:val="0"/>
                <w:sz w:val="24"/>
                <w:szCs w:val="24"/>
                <w:highlight w:val="none"/>
                <w:lang w:eastAsia="zh-CN"/>
              </w:rPr>
              <w:t>提供已缴纳的 2022年1月1日以来至少一个月的纳税证明或完税证明（提供增值税、企业所得税至少一种），纳税证明或完税证明上应有代收机构或税务机关的公章或业务专用章。依法免税的供应商应提供相关文件证明。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4</w:t>
            </w:r>
          </w:p>
        </w:tc>
        <w:tc>
          <w:tcPr>
            <w:tcW w:w="2256" w:type="dxa"/>
            <w:vAlign w:val="center"/>
          </w:tcPr>
          <w:p>
            <w:pPr>
              <w:keepNext w:val="0"/>
              <w:keepLines w:val="0"/>
              <w:pageBreakBefore w:val="0"/>
              <w:widowControl w:val="0"/>
              <w:shd w:val="clear"/>
              <w:kinsoku/>
              <w:wordWrap/>
              <w:overflowPunct/>
              <w:topLinePunct w:val="0"/>
              <w:autoSpaceDE/>
              <w:autoSpaceDN/>
              <w:bidi w:val="0"/>
              <w:adjustRightInd/>
              <w:spacing w:line="360" w:lineRule="auto"/>
              <w:ind w:right="0"/>
              <w:jc w:val="center"/>
              <w:textAlignment w:val="auto"/>
              <w:outlineLvl w:val="9"/>
              <w:rPr>
                <w:rFonts w:hint="eastAsia" w:ascii="仿宋" w:hAnsi="仿宋" w:eastAsia="仿宋" w:cs="仿宋"/>
                <w:color w:val="auto"/>
                <w:spacing w:val="0"/>
                <w:sz w:val="24"/>
                <w:szCs w:val="24"/>
                <w:highlight w:val="none"/>
                <w:vertAlign w:val="baseline"/>
              </w:rPr>
            </w:pPr>
            <w:r>
              <w:rPr>
                <w:rFonts w:hint="eastAsia" w:ascii="仿宋" w:hAnsi="仿宋" w:eastAsia="仿宋" w:cs="仿宋"/>
                <w:color w:val="auto"/>
                <w:spacing w:val="0"/>
                <w:sz w:val="24"/>
                <w:szCs w:val="24"/>
                <w:highlight w:val="none"/>
              </w:rPr>
              <w:t>社保缴纳证明</w:t>
            </w:r>
          </w:p>
        </w:tc>
        <w:tc>
          <w:tcPr>
            <w:tcW w:w="5860" w:type="dxa"/>
            <w:vAlign w:val="center"/>
          </w:tcPr>
          <w:p>
            <w:pPr>
              <w:keepNext w:val="0"/>
              <w:keepLines w:val="0"/>
              <w:pageBreakBefore w:val="0"/>
              <w:widowControl w:val="0"/>
              <w:shd w:val="clear"/>
              <w:kinsoku/>
              <w:wordWrap/>
              <w:overflowPunct/>
              <w:topLinePunct w:val="0"/>
              <w:autoSpaceDE/>
              <w:autoSpaceDN/>
              <w:bidi w:val="0"/>
              <w:adjustRightInd/>
              <w:spacing w:line="360" w:lineRule="auto"/>
              <w:ind w:right="0"/>
              <w:jc w:val="left"/>
              <w:textAlignment w:val="auto"/>
              <w:outlineLvl w:val="9"/>
              <w:rPr>
                <w:rFonts w:hint="eastAsia" w:ascii="仿宋" w:hAnsi="仿宋" w:eastAsia="仿宋" w:cs="仿宋"/>
                <w:color w:val="auto"/>
                <w:spacing w:val="0"/>
                <w:sz w:val="24"/>
                <w:szCs w:val="24"/>
                <w:highlight w:val="none"/>
                <w:vertAlign w:val="baseline"/>
              </w:rPr>
            </w:pPr>
            <w:r>
              <w:rPr>
                <w:rFonts w:hint="eastAsia" w:ascii="仿宋" w:hAnsi="仿宋" w:eastAsia="仿宋" w:cs="仿宋"/>
                <w:color w:val="auto"/>
                <w:spacing w:val="0"/>
                <w:sz w:val="24"/>
                <w:szCs w:val="24"/>
                <w:highlight w:val="none"/>
                <w:lang w:eastAsia="zh-CN"/>
              </w:rPr>
              <w:t>提供已缴存的 2022年1月1日以来至少一个月的社会保障资金缴存单据或社保机构开具的社会保险参保缴费情况证明。成立时间至提交投标文件截止时间不足一个月或依法不需要缴纳社会保障资金的供应商应提供相关文件证明。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5</w:t>
            </w:r>
          </w:p>
        </w:tc>
        <w:tc>
          <w:tcPr>
            <w:tcW w:w="2256" w:type="dxa"/>
            <w:vAlign w:val="center"/>
          </w:tcPr>
          <w:p>
            <w:pPr>
              <w:keepNext w:val="0"/>
              <w:keepLines w:val="0"/>
              <w:pageBreakBefore w:val="0"/>
              <w:widowControl w:val="0"/>
              <w:shd w:val="clear"/>
              <w:kinsoku/>
              <w:wordWrap/>
              <w:overflowPunct/>
              <w:topLinePunct w:val="0"/>
              <w:autoSpaceDE/>
              <w:autoSpaceDN/>
              <w:bidi w:val="0"/>
              <w:adjustRightInd/>
              <w:spacing w:line="360" w:lineRule="auto"/>
              <w:ind w:right="0"/>
              <w:jc w:val="center"/>
              <w:textAlignment w:val="auto"/>
              <w:outlineLvl w:val="9"/>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lang w:eastAsia="zh-CN"/>
              </w:rPr>
              <w:t>书面声明</w:t>
            </w:r>
          </w:p>
        </w:tc>
        <w:tc>
          <w:tcPr>
            <w:tcW w:w="5860" w:type="dxa"/>
            <w:vAlign w:val="center"/>
          </w:tcPr>
          <w:p>
            <w:pPr>
              <w:keepNext w:val="0"/>
              <w:keepLines w:val="0"/>
              <w:pageBreakBefore w:val="0"/>
              <w:widowControl w:val="0"/>
              <w:shd w:val="clear"/>
              <w:kinsoku/>
              <w:wordWrap/>
              <w:overflowPunct/>
              <w:topLinePunct w:val="0"/>
              <w:autoSpaceDE/>
              <w:autoSpaceDN/>
              <w:bidi w:val="0"/>
              <w:adjustRightInd/>
              <w:spacing w:line="360" w:lineRule="auto"/>
              <w:ind w:right="0"/>
              <w:textAlignment w:val="auto"/>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1.</w:t>
            </w:r>
            <w:r>
              <w:rPr>
                <w:rFonts w:hint="eastAsia" w:ascii="仿宋" w:hAnsi="仿宋" w:eastAsia="仿宋" w:cs="仿宋"/>
                <w:color w:val="auto"/>
                <w:spacing w:val="0"/>
                <w:sz w:val="24"/>
                <w:szCs w:val="24"/>
                <w:highlight w:val="none"/>
                <w:lang w:eastAsia="zh-CN"/>
              </w:rPr>
              <w:t>出具履行合同所必需的设备和专业技术能力的书面声明；</w:t>
            </w:r>
          </w:p>
          <w:p>
            <w:pPr>
              <w:keepNext w:val="0"/>
              <w:keepLines w:val="0"/>
              <w:pageBreakBefore w:val="0"/>
              <w:widowControl w:val="0"/>
              <w:shd w:val="clear"/>
              <w:kinsoku/>
              <w:wordWrap/>
              <w:overflowPunct/>
              <w:topLinePunct w:val="0"/>
              <w:autoSpaceDE/>
              <w:autoSpaceDN/>
              <w:bidi w:val="0"/>
              <w:adjustRightInd/>
              <w:spacing w:line="360" w:lineRule="auto"/>
              <w:ind w:right="0"/>
              <w:textAlignment w:val="auto"/>
              <w:outlineLvl w:val="9"/>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lang w:val="en-US" w:eastAsia="zh-CN"/>
              </w:rPr>
              <w:t>2.</w:t>
            </w:r>
            <w:r>
              <w:rPr>
                <w:rFonts w:hint="eastAsia" w:ascii="仿宋" w:hAnsi="仿宋" w:eastAsia="仿宋" w:cs="仿宋"/>
                <w:color w:val="auto"/>
                <w:spacing w:val="0"/>
                <w:sz w:val="24"/>
                <w:szCs w:val="24"/>
                <w:highlight w:val="none"/>
              </w:rPr>
              <w:t>出具参加本次政府采购活动的书面声明</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6</w:t>
            </w:r>
          </w:p>
        </w:tc>
        <w:tc>
          <w:tcPr>
            <w:tcW w:w="2256" w:type="dxa"/>
            <w:vAlign w:val="center"/>
          </w:tcPr>
          <w:p>
            <w:pPr>
              <w:keepNext w:val="0"/>
              <w:keepLines w:val="0"/>
              <w:pageBreakBefore w:val="0"/>
              <w:widowControl w:val="0"/>
              <w:shd w:val="clear"/>
              <w:kinsoku/>
              <w:wordWrap/>
              <w:overflowPunct/>
              <w:topLinePunct w:val="0"/>
              <w:autoSpaceDE/>
              <w:autoSpaceDN/>
              <w:bidi w:val="0"/>
              <w:adjustRightInd/>
              <w:spacing w:line="360" w:lineRule="auto"/>
              <w:ind w:right="0"/>
              <w:jc w:val="center"/>
              <w:textAlignment w:val="auto"/>
              <w:outlineLvl w:val="9"/>
              <w:rPr>
                <w:rFonts w:hint="eastAsia" w:ascii="仿宋" w:hAnsi="仿宋" w:eastAsia="仿宋" w:cs="仿宋"/>
                <w:color w:val="auto"/>
                <w:spacing w:val="0"/>
                <w:sz w:val="24"/>
                <w:szCs w:val="24"/>
                <w:highlight w:val="none"/>
                <w:vertAlign w:val="baseline"/>
              </w:rPr>
            </w:pPr>
            <w:r>
              <w:rPr>
                <w:rFonts w:hint="eastAsia" w:ascii="仿宋" w:hAnsi="仿宋" w:eastAsia="仿宋" w:cs="仿宋"/>
                <w:color w:val="auto"/>
                <w:spacing w:val="0"/>
                <w:sz w:val="24"/>
                <w:szCs w:val="24"/>
                <w:highlight w:val="none"/>
              </w:rPr>
              <w:t>信用记录</w:t>
            </w:r>
          </w:p>
        </w:tc>
        <w:tc>
          <w:tcPr>
            <w:tcW w:w="5860" w:type="dxa"/>
            <w:vAlign w:val="center"/>
          </w:tcPr>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jc w:val="left"/>
              <w:textAlignment w:val="auto"/>
              <w:outlineLvl w:val="9"/>
              <w:rPr>
                <w:rFonts w:hint="eastAsia" w:ascii="仿宋" w:hAnsi="仿宋" w:eastAsia="仿宋" w:cs="仿宋"/>
                <w:color w:val="auto"/>
                <w:spacing w:val="0"/>
                <w:sz w:val="24"/>
                <w:szCs w:val="24"/>
                <w:highlight w:val="none"/>
                <w:vertAlign w:val="baseline"/>
              </w:rPr>
            </w:pPr>
            <w:r>
              <w:rPr>
                <w:rFonts w:hint="eastAsia" w:ascii="仿宋" w:hAnsi="仿宋" w:eastAsia="仿宋" w:cs="仿宋"/>
                <w:color w:val="auto"/>
                <w:spacing w:val="0"/>
                <w:sz w:val="24"/>
                <w:szCs w:val="24"/>
                <w:highlight w:val="none"/>
                <w:lang w:eastAsia="zh-CN"/>
              </w:rPr>
              <w:t>经查，供应商未被列入“信用中国”网站记录的“失信被执行人”或“重大税收违法失信主体”名单； 不处于“中国政府采购网”记录的“政府采购严重违法失信行为记录名单 ”中的禁止参加政府采购活动期间</w:t>
            </w:r>
            <w:r>
              <w:rPr>
                <w:rFonts w:hint="eastAsia" w:ascii="仿宋" w:hAnsi="仿宋" w:eastAsia="仿宋" w:cs="仿宋"/>
                <w:color w:val="auto"/>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7</w:t>
            </w:r>
          </w:p>
        </w:tc>
        <w:tc>
          <w:tcPr>
            <w:tcW w:w="2256" w:type="dxa"/>
            <w:vAlign w:val="center"/>
          </w:tcPr>
          <w:p>
            <w:pPr>
              <w:keepNext w:val="0"/>
              <w:keepLines w:val="0"/>
              <w:pageBreakBefore w:val="0"/>
              <w:widowControl w:val="0"/>
              <w:shd w:val="clear"/>
              <w:kinsoku/>
              <w:wordWrap/>
              <w:overflowPunct/>
              <w:topLinePunct w:val="0"/>
              <w:autoSpaceDE/>
              <w:autoSpaceDN/>
              <w:bidi w:val="0"/>
              <w:adjustRightInd/>
              <w:spacing w:line="360" w:lineRule="auto"/>
              <w:ind w:right="0"/>
              <w:jc w:val="center"/>
              <w:textAlignment w:val="auto"/>
              <w:outlineLvl w:val="9"/>
              <w:rPr>
                <w:rFonts w:hint="eastAsia" w:ascii="仿宋" w:hAnsi="仿宋" w:eastAsia="仿宋" w:cs="仿宋"/>
                <w:color w:val="auto"/>
                <w:spacing w:val="0"/>
                <w:sz w:val="24"/>
                <w:szCs w:val="24"/>
                <w:highlight w:val="none"/>
              </w:rPr>
            </w:pPr>
            <w:r>
              <w:rPr>
                <w:rFonts w:ascii="仿宋" w:hAnsi="仿宋" w:eastAsia="仿宋" w:cs="仿宋"/>
                <w:color w:val="auto"/>
                <w:spacing w:val="0"/>
                <w:sz w:val="24"/>
                <w:szCs w:val="24"/>
                <w:highlight w:val="none"/>
              </w:rPr>
              <w:t>法定代表人授权委托书</w:t>
            </w:r>
          </w:p>
        </w:tc>
        <w:tc>
          <w:tcPr>
            <w:tcW w:w="5860" w:type="dxa"/>
            <w:vAlign w:val="center"/>
          </w:tcPr>
          <w:p>
            <w:pPr>
              <w:keepNext w:val="0"/>
              <w:keepLines w:val="0"/>
              <w:pageBreakBefore w:val="0"/>
              <w:widowControl w:val="0"/>
              <w:shd w:val="clear"/>
              <w:kinsoku/>
              <w:wordWrap/>
              <w:overflowPunct/>
              <w:topLinePunct w:val="0"/>
              <w:autoSpaceDE/>
              <w:autoSpaceDN/>
              <w:bidi w:val="0"/>
              <w:adjustRightInd/>
              <w:spacing w:line="360" w:lineRule="auto"/>
              <w:ind w:right="0"/>
              <w:textAlignment w:val="auto"/>
              <w:outlineLvl w:val="9"/>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lang w:eastAsia="zh-CN"/>
              </w:rPr>
              <w:t>法定代表人授权书及被授权人身份证，并且提供有效的劳动合同或开标截止前六个月内任意一个月养老保险缴纳证明（法人参加只需提供法定代表人身份证明）。</w:t>
            </w:r>
          </w:p>
        </w:tc>
      </w:tr>
    </w:tbl>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rPr>
        <w:t>说明：资格审查结束后，资格审查人员对审查结果进行签字确认，若供应商资格审查未通过，注明未通过原因并告知其供应商，资格审查不合格的供应商，不得进入下一评标环节。</w:t>
      </w:r>
    </w:p>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2、投标文件符合性审查：</w:t>
      </w:r>
      <w:r>
        <w:rPr>
          <w:rFonts w:hint="eastAsia" w:ascii="仿宋" w:hAnsi="仿宋" w:eastAsia="仿宋" w:cs="仿宋"/>
          <w:color w:val="auto"/>
          <w:sz w:val="24"/>
          <w:szCs w:val="24"/>
          <w:highlight w:val="none"/>
          <w:lang w:eastAsia="zh-CN"/>
        </w:rPr>
        <w:t>依据</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文件的规定，</w:t>
      </w:r>
      <w:r>
        <w:rPr>
          <w:rFonts w:hint="eastAsia" w:ascii="仿宋" w:hAnsi="仿宋" w:eastAsia="仿宋" w:cs="仿宋"/>
          <w:color w:val="auto"/>
          <w:sz w:val="24"/>
          <w:szCs w:val="24"/>
          <w:highlight w:val="none"/>
          <w:lang w:val="en-US" w:eastAsia="zh-CN"/>
        </w:rPr>
        <w:t>评标委员会</w:t>
      </w:r>
      <w:r>
        <w:rPr>
          <w:rFonts w:hint="eastAsia" w:ascii="仿宋" w:hAnsi="仿宋" w:eastAsia="仿宋" w:cs="仿宋"/>
          <w:color w:val="auto"/>
          <w:sz w:val="24"/>
          <w:szCs w:val="24"/>
          <w:highlight w:val="none"/>
          <w:lang w:eastAsia="zh-CN"/>
        </w:rPr>
        <w:t>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eastAsia="zh-CN"/>
        </w:rPr>
        <w:t>文件的有效性、完整性和对</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文件的响应程度进行审查，以确定是否对</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文件的实质性内容作出响应。</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2143"/>
        <w:gridCol w:w="5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55" w:type="dxa"/>
            <w:vAlign w:val="center"/>
          </w:tcPr>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highlight w:val="none"/>
                <w:vertAlign w:val="baseline"/>
                <w:lang w:eastAsia="zh-CN"/>
              </w:rPr>
            </w:pPr>
            <w:r>
              <w:rPr>
                <w:rFonts w:hint="eastAsia" w:ascii="仿宋" w:hAnsi="仿宋" w:eastAsia="仿宋" w:cs="仿宋"/>
                <w:color w:val="auto"/>
                <w:spacing w:val="0"/>
                <w:sz w:val="24"/>
                <w:szCs w:val="24"/>
                <w:highlight w:val="none"/>
                <w:vertAlign w:val="baseline"/>
                <w:lang w:eastAsia="zh-CN"/>
              </w:rPr>
              <w:t>序号</w:t>
            </w:r>
          </w:p>
        </w:tc>
        <w:tc>
          <w:tcPr>
            <w:tcW w:w="2143" w:type="dxa"/>
            <w:vAlign w:val="center"/>
          </w:tcPr>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highlight w:val="none"/>
                <w:vertAlign w:val="baseline"/>
                <w:lang w:eastAsia="zh-CN"/>
              </w:rPr>
            </w:pPr>
            <w:r>
              <w:rPr>
                <w:rFonts w:ascii="仿宋" w:hAnsi="仿宋" w:eastAsia="仿宋" w:cs="仿宋"/>
                <w:color w:val="auto"/>
                <w:spacing w:val="0"/>
                <w:sz w:val="24"/>
                <w:szCs w:val="24"/>
                <w:highlight w:val="none"/>
              </w:rPr>
              <w:t>符合性审查项</w:t>
            </w:r>
          </w:p>
        </w:tc>
        <w:tc>
          <w:tcPr>
            <w:tcW w:w="5822" w:type="dxa"/>
            <w:vAlign w:val="center"/>
          </w:tcPr>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highlight w:val="none"/>
                <w:vertAlign w:val="baseline"/>
                <w:lang w:eastAsia="zh-CN"/>
              </w:rPr>
            </w:pPr>
            <w:r>
              <w:rPr>
                <w:rFonts w:hint="eastAsia" w:ascii="仿宋" w:hAnsi="仿宋" w:eastAsia="仿宋" w:cs="仿宋"/>
                <w:color w:val="auto"/>
                <w:spacing w:val="0"/>
                <w:sz w:val="24"/>
                <w:szCs w:val="24"/>
                <w:highlight w:val="none"/>
                <w:vertAlign w:val="baseline"/>
                <w:lang w:eastAsia="zh-CN"/>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1</w:t>
            </w:r>
          </w:p>
        </w:tc>
        <w:tc>
          <w:tcPr>
            <w:tcW w:w="2143" w:type="dxa"/>
            <w:vAlign w:val="center"/>
          </w:tcPr>
          <w:p>
            <w:pPr>
              <w:keepNext w:val="0"/>
              <w:keepLines w:val="0"/>
              <w:pageBreakBefore w:val="0"/>
              <w:widowControl w:val="0"/>
              <w:shd w:val="clear"/>
              <w:kinsoku/>
              <w:wordWrap/>
              <w:overflowPunct/>
              <w:topLinePunct w:val="0"/>
              <w:autoSpaceDE/>
              <w:autoSpaceDN/>
              <w:bidi w:val="0"/>
              <w:adjustRightInd/>
              <w:spacing w:line="360" w:lineRule="auto"/>
              <w:ind w:right="0" w:rightChars="0"/>
              <w:jc w:val="center"/>
              <w:textAlignment w:val="auto"/>
              <w:outlineLvl w:val="9"/>
              <w:rPr>
                <w:rFonts w:hint="eastAsia" w:ascii="仿宋" w:hAnsi="仿宋" w:eastAsia="仿宋" w:cs="仿宋"/>
                <w:color w:val="auto"/>
                <w:spacing w:val="0"/>
                <w:sz w:val="24"/>
                <w:szCs w:val="24"/>
                <w:highlight w:val="none"/>
                <w:vertAlign w:val="baseline"/>
              </w:rPr>
            </w:pPr>
            <w:r>
              <w:rPr>
                <w:rFonts w:hint="eastAsia" w:ascii="仿宋" w:hAnsi="仿宋" w:eastAsia="仿宋" w:cs="仿宋"/>
                <w:color w:val="auto"/>
                <w:spacing w:val="0"/>
                <w:sz w:val="24"/>
                <w:szCs w:val="24"/>
                <w:highlight w:val="none"/>
                <w:lang w:val="en-US" w:eastAsia="zh-CN"/>
              </w:rPr>
              <w:t>投标</w:t>
            </w:r>
            <w:r>
              <w:rPr>
                <w:rFonts w:ascii="仿宋" w:hAnsi="仿宋" w:eastAsia="仿宋" w:cs="仿宋"/>
                <w:color w:val="auto"/>
                <w:spacing w:val="0"/>
                <w:sz w:val="24"/>
                <w:szCs w:val="24"/>
                <w:highlight w:val="none"/>
              </w:rPr>
              <w:t>文件语言及有效期</w:t>
            </w:r>
          </w:p>
        </w:tc>
        <w:tc>
          <w:tcPr>
            <w:tcW w:w="5822" w:type="dxa"/>
            <w:vAlign w:val="center"/>
          </w:tcPr>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jc w:val="left"/>
              <w:textAlignment w:val="auto"/>
              <w:outlineLvl w:val="9"/>
              <w:rPr>
                <w:rFonts w:hint="eastAsia" w:ascii="仿宋" w:hAnsi="仿宋" w:eastAsia="仿宋" w:cs="仿宋"/>
                <w:color w:val="auto"/>
                <w:spacing w:val="0"/>
                <w:sz w:val="24"/>
                <w:szCs w:val="24"/>
                <w:highlight w:val="none"/>
                <w:vertAlign w:val="baseline"/>
                <w:lang w:eastAsia="zh-CN"/>
              </w:rPr>
            </w:pPr>
            <w:r>
              <w:rPr>
                <w:rFonts w:hint="eastAsia" w:ascii="仿宋" w:hAnsi="仿宋" w:eastAsia="仿宋" w:cs="仿宋"/>
                <w:color w:val="auto"/>
                <w:spacing w:val="0"/>
                <w:sz w:val="24"/>
                <w:szCs w:val="24"/>
                <w:highlight w:val="none"/>
                <w:lang w:val="en-US" w:eastAsia="zh-CN"/>
              </w:rPr>
              <w:t>投标</w:t>
            </w:r>
            <w:r>
              <w:rPr>
                <w:rFonts w:ascii="仿宋" w:hAnsi="仿宋" w:eastAsia="仿宋" w:cs="仿宋"/>
                <w:color w:val="auto"/>
                <w:spacing w:val="0"/>
                <w:sz w:val="24"/>
                <w:szCs w:val="24"/>
                <w:highlight w:val="none"/>
              </w:rPr>
              <w:t>文件语言及有效期符合</w:t>
            </w:r>
            <w:r>
              <w:rPr>
                <w:rFonts w:hint="eastAsia" w:ascii="仿宋" w:hAnsi="仿宋" w:eastAsia="仿宋" w:cs="仿宋"/>
                <w:color w:val="auto"/>
                <w:spacing w:val="0"/>
                <w:sz w:val="24"/>
                <w:szCs w:val="24"/>
                <w:highlight w:val="none"/>
                <w:lang w:val="en-US" w:eastAsia="zh-CN"/>
              </w:rPr>
              <w:t>招标</w:t>
            </w:r>
            <w:r>
              <w:rPr>
                <w:rFonts w:ascii="仿宋" w:hAnsi="仿宋" w:eastAsia="仿宋" w:cs="仿宋"/>
                <w:color w:val="auto"/>
                <w:spacing w:val="0"/>
                <w:sz w:val="24"/>
                <w:szCs w:val="24"/>
                <w:highlight w:val="none"/>
              </w:rPr>
              <w:t>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2</w:t>
            </w:r>
          </w:p>
        </w:tc>
        <w:tc>
          <w:tcPr>
            <w:tcW w:w="2143" w:type="dxa"/>
            <w:vAlign w:val="center"/>
          </w:tcPr>
          <w:p>
            <w:pPr>
              <w:keepNext w:val="0"/>
              <w:keepLines w:val="0"/>
              <w:pageBreakBefore w:val="0"/>
              <w:widowControl w:val="0"/>
              <w:shd w:val="clear"/>
              <w:kinsoku/>
              <w:wordWrap/>
              <w:overflowPunct/>
              <w:topLinePunct w:val="0"/>
              <w:autoSpaceDE/>
              <w:autoSpaceDN/>
              <w:bidi w:val="0"/>
              <w:adjustRightInd/>
              <w:spacing w:line="360" w:lineRule="auto"/>
              <w:ind w:right="0"/>
              <w:jc w:val="center"/>
              <w:textAlignment w:val="auto"/>
              <w:outlineLvl w:val="9"/>
              <w:rPr>
                <w:rFonts w:hint="eastAsia" w:ascii="仿宋" w:hAnsi="仿宋" w:eastAsia="仿宋" w:cs="仿宋"/>
                <w:color w:val="auto"/>
                <w:spacing w:val="0"/>
                <w:sz w:val="24"/>
                <w:szCs w:val="24"/>
                <w:highlight w:val="none"/>
                <w:vertAlign w:val="baseline"/>
              </w:rPr>
            </w:pPr>
            <w:r>
              <w:rPr>
                <w:rFonts w:hint="eastAsia" w:ascii="仿宋" w:hAnsi="仿宋" w:eastAsia="仿宋" w:cs="仿宋"/>
                <w:color w:val="auto"/>
                <w:spacing w:val="0"/>
                <w:sz w:val="24"/>
                <w:szCs w:val="24"/>
                <w:highlight w:val="none"/>
                <w:lang w:val="en-US" w:eastAsia="zh-CN"/>
              </w:rPr>
              <w:t>投标</w:t>
            </w:r>
            <w:r>
              <w:rPr>
                <w:rFonts w:ascii="仿宋" w:hAnsi="仿宋" w:eastAsia="仿宋" w:cs="仿宋"/>
                <w:color w:val="auto"/>
                <w:spacing w:val="0"/>
                <w:sz w:val="24"/>
                <w:szCs w:val="24"/>
                <w:highlight w:val="none"/>
              </w:rPr>
              <w:t>文件的</w:t>
            </w:r>
            <w:r>
              <w:rPr>
                <w:rFonts w:hint="eastAsia" w:ascii="仿宋" w:hAnsi="仿宋" w:eastAsia="仿宋" w:cs="仿宋"/>
                <w:color w:val="auto"/>
                <w:spacing w:val="0"/>
                <w:sz w:val="24"/>
                <w:szCs w:val="24"/>
                <w:highlight w:val="none"/>
                <w:lang w:val="en-US" w:eastAsia="zh-CN"/>
              </w:rPr>
              <w:t>投标</w:t>
            </w:r>
            <w:r>
              <w:rPr>
                <w:rFonts w:ascii="仿宋" w:hAnsi="仿宋" w:eastAsia="仿宋" w:cs="仿宋"/>
                <w:color w:val="auto"/>
                <w:spacing w:val="0"/>
                <w:sz w:val="24"/>
                <w:szCs w:val="24"/>
                <w:highlight w:val="none"/>
              </w:rPr>
              <w:t>函以及法定代表人授权委托书</w:t>
            </w:r>
          </w:p>
        </w:tc>
        <w:tc>
          <w:tcPr>
            <w:tcW w:w="5822" w:type="dxa"/>
            <w:vAlign w:val="center"/>
          </w:tcPr>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jc w:val="left"/>
              <w:textAlignment w:val="auto"/>
              <w:outlineLvl w:val="9"/>
              <w:rPr>
                <w:rFonts w:hint="eastAsia" w:ascii="仿宋" w:hAnsi="仿宋" w:eastAsia="仿宋" w:cs="仿宋"/>
                <w:color w:val="auto"/>
                <w:spacing w:val="0"/>
                <w:sz w:val="24"/>
                <w:szCs w:val="24"/>
                <w:highlight w:val="none"/>
                <w:vertAlign w:val="baseline"/>
              </w:rPr>
            </w:pPr>
            <w:r>
              <w:rPr>
                <w:rFonts w:ascii="仿宋" w:hAnsi="仿宋" w:eastAsia="仿宋" w:cs="仿宋"/>
                <w:color w:val="auto"/>
                <w:spacing w:val="0"/>
                <w:sz w:val="24"/>
                <w:szCs w:val="24"/>
                <w:highlight w:val="none"/>
              </w:rPr>
              <w:t>二处均无遗漏，且所投项目应与实际参与项目一致。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3</w:t>
            </w:r>
          </w:p>
        </w:tc>
        <w:tc>
          <w:tcPr>
            <w:tcW w:w="2143" w:type="dxa"/>
            <w:vAlign w:val="center"/>
          </w:tcPr>
          <w:p>
            <w:pPr>
              <w:keepNext w:val="0"/>
              <w:keepLines w:val="0"/>
              <w:pageBreakBefore w:val="0"/>
              <w:widowControl w:val="0"/>
              <w:shd w:val="clear"/>
              <w:kinsoku/>
              <w:wordWrap/>
              <w:overflowPunct/>
              <w:topLinePunct w:val="0"/>
              <w:autoSpaceDE/>
              <w:autoSpaceDN/>
              <w:bidi w:val="0"/>
              <w:adjustRightInd/>
              <w:spacing w:line="360" w:lineRule="auto"/>
              <w:ind w:right="0"/>
              <w:jc w:val="center"/>
              <w:textAlignment w:val="auto"/>
              <w:outlineLvl w:val="9"/>
              <w:rPr>
                <w:rFonts w:hint="eastAsia" w:ascii="仿宋" w:hAnsi="仿宋" w:eastAsia="仿宋" w:cs="仿宋"/>
                <w:color w:val="auto"/>
                <w:spacing w:val="0"/>
                <w:sz w:val="24"/>
                <w:szCs w:val="24"/>
                <w:highlight w:val="none"/>
                <w:vertAlign w:val="baseline"/>
                <w:lang w:eastAsia="zh-CN"/>
              </w:rPr>
            </w:pPr>
            <w:r>
              <w:rPr>
                <w:rFonts w:hint="eastAsia" w:ascii="仿宋" w:hAnsi="仿宋" w:eastAsia="仿宋" w:cs="仿宋"/>
                <w:color w:val="auto"/>
                <w:spacing w:val="0"/>
                <w:sz w:val="24"/>
                <w:szCs w:val="24"/>
                <w:highlight w:val="none"/>
                <w:vertAlign w:val="baseline"/>
                <w:lang w:val="en-US" w:eastAsia="zh-CN"/>
              </w:rPr>
              <w:t>开标一览表</w:t>
            </w:r>
          </w:p>
        </w:tc>
        <w:tc>
          <w:tcPr>
            <w:tcW w:w="5822" w:type="dxa"/>
            <w:vAlign w:val="center"/>
          </w:tcPr>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jc w:val="left"/>
              <w:textAlignment w:val="auto"/>
              <w:outlineLvl w:val="9"/>
              <w:rPr>
                <w:rFonts w:hint="eastAsia" w:ascii="仿宋" w:hAnsi="仿宋" w:eastAsia="仿宋" w:cs="仿宋"/>
                <w:color w:val="auto"/>
                <w:spacing w:val="0"/>
                <w:sz w:val="24"/>
                <w:szCs w:val="24"/>
                <w:highlight w:val="none"/>
                <w:vertAlign w:val="baseline"/>
              </w:rPr>
            </w:pPr>
            <w:r>
              <w:rPr>
                <w:rFonts w:hint="eastAsia" w:ascii="仿宋" w:hAnsi="仿宋" w:eastAsia="仿宋" w:cs="仿宋"/>
                <w:color w:val="auto"/>
                <w:spacing w:val="0"/>
                <w:sz w:val="24"/>
                <w:szCs w:val="24"/>
                <w:highlight w:val="none"/>
                <w:vertAlign w:val="baseline"/>
              </w:rPr>
              <w:t xml:space="preserve">（1） </w:t>
            </w:r>
            <w:r>
              <w:rPr>
                <w:rFonts w:hint="eastAsia" w:ascii="仿宋" w:hAnsi="仿宋" w:eastAsia="仿宋" w:cs="仿宋"/>
                <w:color w:val="auto"/>
                <w:spacing w:val="0"/>
                <w:sz w:val="24"/>
                <w:szCs w:val="24"/>
                <w:highlight w:val="none"/>
                <w:vertAlign w:val="baseline"/>
                <w:lang w:val="en-US" w:eastAsia="zh-CN"/>
              </w:rPr>
              <w:t>投标</w:t>
            </w:r>
            <w:r>
              <w:rPr>
                <w:rFonts w:hint="eastAsia" w:ascii="仿宋" w:hAnsi="仿宋" w:eastAsia="仿宋" w:cs="仿宋"/>
                <w:color w:val="auto"/>
                <w:spacing w:val="0"/>
                <w:sz w:val="24"/>
                <w:szCs w:val="24"/>
                <w:highlight w:val="none"/>
                <w:vertAlign w:val="baseline"/>
              </w:rPr>
              <w:t>报价符合唯一性要求：</w:t>
            </w:r>
          </w:p>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jc w:val="left"/>
              <w:textAlignment w:val="auto"/>
              <w:outlineLvl w:val="9"/>
              <w:rPr>
                <w:rFonts w:hint="eastAsia" w:ascii="仿宋" w:hAnsi="仿宋" w:eastAsia="仿宋" w:cs="仿宋"/>
                <w:color w:val="auto"/>
                <w:spacing w:val="0"/>
                <w:sz w:val="24"/>
                <w:szCs w:val="24"/>
                <w:highlight w:val="none"/>
                <w:vertAlign w:val="baseline"/>
              </w:rPr>
            </w:pPr>
            <w:r>
              <w:rPr>
                <w:rFonts w:hint="eastAsia" w:ascii="仿宋" w:hAnsi="仿宋" w:eastAsia="仿宋" w:cs="仿宋"/>
                <w:color w:val="auto"/>
                <w:spacing w:val="0"/>
                <w:sz w:val="24"/>
                <w:szCs w:val="24"/>
                <w:highlight w:val="none"/>
                <w:vertAlign w:val="baseline"/>
              </w:rPr>
              <w:t xml:space="preserve">（2） </w:t>
            </w:r>
            <w:r>
              <w:rPr>
                <w:rFonts w:hint="eastAsia" w:ascii="仿宋" w:hAnsi="仿宋" w:eastAsia="仿宋" w:cs="仿宋"/>
                <w:color w:val="auto"/>
                <w:spacing w:val="0"/>
                <w:sz w:val="24"/>
                <w:szCs w:val="24"/>
                <w:highlight w:val="none"/>
                <w:vertAlign w:val="baseline"/>
                <w:lang w:val="en-US" w:eastAsia="zh-CN"/>
              </w:rPr>
              <w:t>投标</w:t>
            </w:r>
            <w:r>
              <w:rPr>
                <w:rFonts w:hint="eastAsia" w:ascii="仿宋" w:hAnsi="仿宋" w:eastAsia="仿宋" w:cs="仿宋"/>
                <w:color w:val="auto"/>
                <w:spacing w:val="0"/>
                <w:sz w:val="24"/>
                <w:szCs w:val="24"/>
                <w:highlight w:val="none"/>
                <w:vertAlign w:val="baseline"/>
                <w:lang w:eastAsia="zh-CN"/>
              </w:rPr>
              <w:t>报价表</w:t>
            </w:r>
            <w:r>
              <w:rPr>
                <w:rFonts w:hint="eastAsia" w:ascii="仿宋" w:hAnsi="仿宋" w:eastAsia="仿宋" w:cs="仿宋"/>
                <w:color w:val="auto"/>
                <w:spacing w:val="0"/>
                <w:sz w:val="24"/>
                <w:szCs w:val="24"/>
                <w:highlight w:val="none"/>
                <w:vertAlign w:val="baseline"/>
              </w:rPr>
              <w:t>填写符合要求；</w:t>
            </w:r>
          </w:p>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jc w:val="left"/>
              <w:textAlignment w:val="auto"/>
              <w:outlineLvl w:val="9"/>
              <w:rPr>
                <w:rFonts w:hint="eastAsia" w:ascii="仿宋" w:hAnsi="仿宋" w:eastAsia="仿宋" w:cs="仿宋"/>
                <w:color w:val="auto"/>
                <w:spacing w:val="0"/>
                <w:sz w:val="24"/>
                <w:szCs w:val="24"/>
                <w:highlight w:val="none"/>
                <w:vertAlign w:val="baseline"/>
              </w:rPr>
            </w:pPr>
            <w:r>
              <w:rPr>
                <w:rFonts w:hint="eastAsia" w:ascii="仿宋" w:hAnsi="仿宋" w:eastAsia="仿宋" w:cs="仿宋"/>
                <w:color w:val="auto"/>
                <w:spacing w:val="0"/>
                <w:sz w:val="24"/>
                <w:szCs w:val="24"/>
                <w:highlight w:val="none"/>
                <w:vertAlign w:val="baseline"/>
              </w:rPr>
              <w:t>（3） 计量单位、报价货币均符合</w:t>
            </w:r>
            <w:r>
              <w:rPr>
                <w:rFonts w:hint="eastAsia" w:ascii="仿宋" w:hAnsi="仿宋" w:eastAsia="仿宋" w:cs="仿宋"/>
                <w:color w:val="auto"/>
                <w:spacing w:val="0"/>
                <w:sz w:val="24"/>
                <w:szCs w:val="24"/>
                <w:highlight w:val="none"/>
                <w:vertAlign w:val="baseline"/>
                <w:lang w:val="en-US" w:eastAsia="zh-CN"/>
              </w:rPr>
              <w:t>招标</w:t>
            </w:r>
            <w:r>
              <w:rPr>
                <w:rFonts w:hint="eastAsia" w:ascii="仿宋" w:hAnsi="仿宋" w:eastAsia="仿宋" w:cs="仿宋"/>
                <w:color w:val="auto"/>
                <w:spacing w:val="0"/>
                <w:sz w:val="24"/>
                <w:szCs w:val="24"/>
                <w:highlight w:val="none"/>
                <w:vertAlign w:val="baseline"/>
              </w:rPr>
              <w:t>文件要求；</w:t>
            </w:r>
          </w:p>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jc w:val="left"/>
              <w:textAlignment w:val="auto"/>
              <w:outlineLvl w:val="9"/>
              <w:rPr>
                <w:rFonts w:hint="eastAsia" w:ascii="仿宋" w:hAnsi="仿宋" w:eastAsia="仿宋" w:cs="仿宋"/>
                <w:color w:val="auto"/>
                <w:spacing w:val="0"/>
                <w:sz w:val="24"/>
                <w:szCs w:val="24"/>
                <w:highlight w:val="none"/>
                <w:vertAlign w:val="baseline"/>
              </w:rPr>
            </w:pPr>
            <w:r>
              <w:rPr>
                <w:rFonts w:hint="eastAsia" w:ascii="仿宋" w:hAnsi="仿宋" w:eastAsia="仿宋" w:cs="仿宋"/>
                <w:color w:val="auto"/>
                <w:spacing w:val="0"/>
                <w:sz w:val="24"/>
                <w:szCs w:val="24"/>
                <w:highlight w:val="none"/>
                <w:vertAlign w:val="baseline"/>
              </w:rPr>
              <w:t>（4） 未超出采购预算或</w:t>
            </w:r>
            <w:r>
              <w:rPr>
                <w:rFonts w:hint="eastAsia" w:ascii="仿宋" w:hAnsi="仿宋" w:eastAsia="仿宋" w:cs="仿宋"/>
                <w:color w:val="auto"/>
                <w:spacing w:val="0"/>
                <w:sz w:val="24"/>
                <w:szCs w:val="24"/>
                <w:highlight w:val="none"/>
                <w:vertAlign w:val="baseline"/>
                <w:lang w:val="en-US" w:eastAsia="zh-CN"/>
              </w:rPr>
              <w:t>招标</w:t>
            </w:r>
            <w:r>
              <w:rPr>
                <w:rFonts w:hint="eastAsia" w:ascii="仿宋" w:hAnsi="仿宋" w:eastAsia="仿宋" w:cs="仿宋"/>
                <w:color w:val="auto"/>
                <w:spacing w:val="0"/>
                <w:sz w:val="24"/>
                <w:szCs w:val="24"/>
                <w:highlight w:val="none"/>
                <w:vertAlign w:val="baseline"/>
              </w:rPr>
              <w:t>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4</w:t>
            </w:r>
          </w:p>
        </w:tc>
        <w:tc>
          <w:tcPr>
            <w:tcW w:w="2143" w:type="dxa"/>
            <w:vAlign w:val="center"/>
          </w:tcPr>
          <w:p>
            <w:pPr>
              <w:keepNext w:val="0"/>
              <w:keepLines w:val="0"/>
              <w:pageBreakBefore w:val="0"/>
              <w:widowControl w:val="0"/>
              <w:shd w:val="clear"/>
              <w:kinsoku/>
              <w:wordWrap/>
              <w:overflowPunct/>
              <w:topLinePunct w:val="0"/>
              <w:autoSpaceDE/>
              <w:autoSpaceDN/>
              <w:bidi w:val="0"/>
              <w:adjustRightInd/>
              <w:spacing w:line="360" w:lineRule="auto"/>
              <w:ind w:right="0"/>
              <w:jc w:val="center"/>
              <w:textAlignment w:val="auto"/>
              <w:outlineLvl w:val="9"/>
              <w:rPr>
                <w:rFonts w:hint="eastAsia" w:ascii="仿宋" w:hAnsi="仿宋" w:eastAsia="仿宋" w:cs="仿宋"/>
                <w:color w:val="auto"/>
                <w:spacing w:val="0"/>
                <w:sz w:val="24"/>
                <w:szCs w:val="24"/>
                <w:highlight w:val="none"/>
                <w:vertAlign w:val="baseline"/>
              </w:rPr>
            </w:pPr>
            <w:r>
              <w:rPr>
                <w:rFonts w:hint="eastAsia" w:ascii="仿宋" w:hAnsi="仿宋" w:eastAsia="仿宋" w:cs="仿宋"/>
                <w:color w:val="auto"/>
                <w:spacing w:val="0"/>
                <w:sz w:val="24"/>
                <w:szCs w:val="24"/>
                <w:highlight w:val="none"/>
                <w:vertAlign w:val="baseline"/>
              </w:rPr>
              <w:t>供应商承诺书</w:t>
            </w:r>
          </w:p>
        </w:tc>
        <w:tc>
          <w:tcPr>
            <w:tcW w:w="5822" w:type="dxa"/>
            <w:vAlign w:val="center"/>
          </w:tcPr>
          <w:p>
            <w:pPr>
              <w:keepNext w:val="0"/>
              <w:keepLines w:val="0"/>
              <w:pageBreakBefore w:val="0"/>
              <w:widowControl w:val="0"/>
              <w:shd w:val="clear"/>
              <w:kinsoku/>
              <w:wordWrap/>
              <w:overflowPunct/>
              <w:topLinePunct w:val="0"/>
              <w:autoSpaceDE/>
              <w:autoSpaceDN/>
              <w:bidi w:val="0"/>
              <w:adjustRightInd/>
              <w:spacing w:line="360" w:lineRule="auto"/>
              <w:ind w:right="0"/>
              <w:jc w:val="left"/>
              <w:textAlignment w:val="auto"/>
              <w:outlineLvl w:val="9"/>
              <w:rPr>
                <w:rFonts w:hint="eastAsia" w:ascii="仿宋" w:hAnsi="仿宋" w:eastAsia="仿宋" w:cs="仿宋"/>
                <w:color w:val="auto"/>
                <w:spacing w:val="0"/>
                <w:sz w:val="24"/>
                <w:szCs w:val="24"/>
                <w:highlight w:val="none"/>
                <w:vertAlign w:val="baseline"/>
              </w:rPr>
            </w:pPr>
            <w:r>
              <w:rPr>
                <w:rFonts w:hint="eastAsia" w:ascii="仿宋" w:hAnsi="仿宋" w:eastAsia="仿宋" w:cs="仿宋"/>
                <w:color w:val="auto"/>
                <w:spacing w:val="0"/>
                <w:sz w:val="24"/>
                <w:szCs w:val="24"/>
                <w:highlight w:val="none"/>
                <w:vertAlign w:val="baseline"/>
                <w:lang w:eastAsia="zh-CN"/>
              </w:rPr>
              <w:t>完全理解并接受《</w:t>
            </w:r>
            <w:r>
              <w:rPr>
                <w:rFonts w:hint="eastAsia" w:ascii="仿宋" w:hAnsi="仿宋" w:eastAsia="仿宋" w:cs="仿宋"/>
                <w:color w:val="auto"/>
                <w:spacing w:val="0"/>
                <w:sz w:val="24"/>
                <w:szCs w:val="24"/>
                <w:highlight w:val="none"/>
                <w:vertAlign w:val="baseline"/>
                <w:lang w:val="zh-CN" w:eastAsia="zh-CN"/>
              </w:rPr>
              <w:t>供应商廉洁自律承诺书</w:t>
            </w:r>
            <w:r>
              <w:rPr>
                <w:rFonts w:hint="eastAsia" w:ascii="仿宋" w:hAnsi="仿宋" w:eastAsia="仿宋" w:cs="仿宋"/>
                <w:color w:val="auto"/>
                <w:spacing w:val="0"/>
                <w:sz w:val="24"/>
                <w:szCs w:val="24"/>
                <w:highlight w:val="none"/>
                <w:vertAlign w:val="baseline"/>
                <w:lang w:eastAsia="zh-CN"/>
              </w:rPr>
              <w:t>》</w:t>
            </w:r>
            <w:r>
              <w:rPr>
                <w:rFonts w:hint="eastAsia" w:ascii="仿宋" w:hAnsi="仿宋" w:eastAsia="仿宋" w:cs="仿宋"/>
                <w:color w:val="auto"/>
                <w:spacing w:val="0"/>
                <w:sz w:val="24"/>
                <w:szCs w:val="24"/>
                <w:highlight w:val="none"/>
                <w:vertAlign w:val="baseline"/>
                <w:lang w:val="en-US" w:eastAsia="zh-CN"/>
              </w:rPr>
              <w:t>内容</w:t>
            </w:r>
            <w:r>
              <w:rPr>
                <w:rFonts w:hint="eastAsia" w:ascii="仿宋" w:hAnsi="仿宋" w:eastAsia="仿宋" w:cs="仿宋"/>
                <w:color w:val="auto"/>
                <w:spacing w:val="0"/>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0"/>
              <w:jc w:val="center"/>
              <w:textAlignment w:val="auto"/>
              <w:outlineLvl w:val="9"/>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5</w:t>
            </w:r>
          </w:p>
        </w:tc>
        <w:tc>
          <w:tcPr>
            <w:tcW w:w="2143" w:type="dxa"/>
            <w:vAlign w:val="center"/>
          </w:tcPr>
          <w:p>
            <w:pPr>
              <w:keepNext w:val="0"/>
              <w:keepLines w:val="0"/>
              <w:pageBreakBefore w:val="0"/>
              <w:widowControl w:val="0"/>
              <w:shd w:val="clear"/>
              <w:kinsoku/>
              <w:wordWrap/>
              <w:overflowPunct/>
              <w:topLinePunct w:val="0"/>
              <w:autoSpaceDE/>
              <w:autoSpaceDN/>
              <w:bidi w:val="0"/>
              <w:adjustRightInd/>
              <w:spacing w:line="360" w:lineRule="auto"/>
              <w:ind w:right="0"/>
              <w:jc w:val="center"/>
              <w:textAlignment w:val="auto"/>
              <w:outlineLvl w:val="9"/>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lang w:eastAsia="zh-CN"/>
              </w:rPr>
              <w:t>无其他</w:t>
            </w:r>
            <w:r>
              <w:rPr>
                <w:rFonts w:hint="eastAsia" w:ascii="仿宋" w:hAnsi="仿宋" w:eastAsia="仿宋" w:cs="仿宋"/>
                <w:color w:val="auto"/>
                <w:spacing w:val="0"/>
                <w:sz w:val="24"/>
                <w:szCs w:val="24"/>
                <w:highlight w:val="none"/>
                <w:vertAlign w:val="baseline"/>
                <w:lang w:val="en-US" w:eastAsia="zh-CN"/>
              </w:rPr>
              <w:t>招标</w:t>
            </w:r>
            <w:r>
              <w:rPr>
                <w:rFonts w:hint="eastAsia" w:ascii="仿宋" w:hAnsi="仿宋" w:eastAsia="仿宋" w:cs="仿宋"/>
                <w:color w:val="auto"/>
                <w:spacing w:val="0"/>
                <w:sz w:val="24"/>
                <w:szCs w:val="24"/>
                <w:highlight w:val="none"/>
                <w:lang w:eastAsia="zh-CN"/>
              </w:rPr>
              <w:t>文件或法规明确规定响应无效的事项</w:t>
            </w:r>
          </w:p>
        </w:tc>
        <w:tc>
          <w:tcPr>
            <w:tcW w:w="5822" w:type="dxa"/>
            <w:vAlign w:val="center"/>
          </w:tcPr>
          <w:p>
            <w:pPr>
              <w:keepNext w:val="0"/>
              <w:keepLines w:val="0"/>
              <w:pageBreakBefore w:val="0"/>
              <w:widowControl w:val="0"/>
              <w:shd w:val="clear"/>
              <w:kinsoku/>
              <w:wordWrap/>
              <w:overflowPunct/>
              <w:topLinePunct w:val="0"/>
              <w:autoSpaceDE/>
              <w:autoSpaceDN/>
              <w:bidi w:val="0"/>
              <w:adjustRightInd/>
              <w:spacing w:line="360" w:lineRule="auto"/>
              <w:ind w:right="0"/>
              <w:textAlignment w:val="auto"/>
              <w:outlineLvl w:val="9"/>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rPr>
              <w:t>没有不符合</w:t>
            </w:r>
            <w:r>
              <w:rPr>
                <w:rFonts w:hint="eastAsia" w:ascii="仿宋" w:hAnsi="仿宋" w:eastAsia="仿宋" w:cs="仿宋"/>
                <w:color w:val="auto"/>
                <w:spacing w:val="0"/>
                <w:sz w:val="24"/>
                <w:szCs w:val="24"/>
                <w:highlight w:val="none"/>
                <w:lang w:val="en-US" w:eastAsia="zh-CN"/>
              </w:rPr>
              <w:t>招标</w:t>
            </w:r>
            <w:r>
              <w:rPr>
                <w:rFonts w:hint="eastAsia" w:ascii="仿宋" w:hAnsi="仿宋" w:eastAsia="仿宋" w:cs="仿宋"/>
                <w:color w:val="auto"/>
                <w:spacing w:val="0"/>
                <w:sz w:val="24"/>
                <w:szCs w:val="24"/>
                <w:highlight w:val="none"/>
              </w:rPr>
              <w:t xml:space="preserve">文件规定的被视为无效响应的其他条款。 </w:t>
            </w:r>
          </w:p>
        </w:tc>
      </w:tr>
    </w:tbl>
    <w:p>
      <w:pPr>
        <w:keepNext w:val="0"/>
        <w:keepLines w:val="0"/>
        <w:pageBreakBefore w:val="0"/>
        <w:widowControl w:val="0"/>
        <w:shd w:val="clear"/>
        <w:tabs>
          <w:tab w:val="left" w:pos="9030"/>
        </w:tabs>
        <w:kinsoku/>
        <w:wordWrap/>
        <w:overflowPunct/>
        <w:topLinePunct w:val="0"/>
        <w:bidi w:val="0"/>
        <w:snapToGrid w:val="0"/>
        <w:spacing w:line="360" w:lineRule="auto"/>
        <w:ind w:right="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rPr>
        <w:t>说明：符合性审查结束后，评标委员会当对审查结果进行签字确认。若供应商符合性审查未通过，注明未通过原因并告知其供应商，符合性审查不合格的供应商，不得进入下一评标环节。</w:t>
      </w:r>
    </w:p>
    <w:p>
      <w:pPr>
        <w:keepNext w:val="0"/>
        <w:keepLines w:val="0"/>
        <w:pageBreakBefore w:val="0"/>
        <w:widowControl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供应商存在下列情况之一的，投标无效：</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供应商没有经过正常渠道获取招标文件或供应商的名称与登记领取招标文件单位的名称不符；</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不具备招标文件中规定的资格要求的或提供的资格要求文件不符合招标文件要求的；</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投标文件投标有效期不符合招标文件要求的；</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投标文件递交份数不符合招标文件要求的；</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投标文件含有采购人不能接受的附加条件的;</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供应商串通投标的，出现以下情形之一的：①不同供应商的投标文件由同一单位或者个人编制；②不同供应商委托同一单位或者个人办理投标事宜；③不同供应商的投标文件载明的项目管理成员或者联系人员为同一人；④不同供应商的投标文件异常一致或者投标报价呈规律性差异；⑤不同供应商的投标文件相互混装；</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供应商出现多份报价，出现选择性报价的；</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投标报价与市场价偏离较大，低于成本，形成不正当竞争；</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提供虚假证明，开具虚假资质，出现虚假应答，除按无效标处理外，还进行相应的处罚；</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报价超过招标文件中规定的预算金额或者最高限价的；</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）提交的电子版文件无效或不完整的。</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right="0" w:firstLine="480" w:firstLineChars="200"/>
        <w:textAlignment w:val="auto"/>
        <w:outlineLvl w:val="2"/>
        <w:rPr>
          <w:rFonts w:hint="eastAsia" w:ascii="仿宋" w:hAnsi="仿宋" w:eastAsia="仿宋" w:cs="仿宋"/>
          <w:color w:val="auto"/>
          <w:sz w:val="24"/>
          <w:szCs w:val="24"/>
          <w:highlight w:val="none"/>
          <w:lang w:val="zh-CN"/>
        </w:rPr>
      </w:pPr>
      <w:bookmarkStart w:id="203" w:name="_Toc29000"/>
      <w:bookmarkStart w:id="204" w:name="_Toc1537"/>
      <w:bookmarkStart w:id="205" w:name="_Toc17700"/>
      <w:bookmarkStart w:id="206" w:name="_Toc29517"/>
      <w:bookmarkStart w:id="207" w:name="_Toc2955"/>
      <w:bookmarkStart w:id="208" w:name="_Toc30113"/>
      <w:bookmarkStart w:id="209" w:name="_Toc31002"/>
      <w:bookmarkStart w:id="210" w:name="_Toc2488"/>
      <w:bookmarkStart w:id="211" w:name="_Toc1611"/>
      <w:bookmarkStart w:id="212" w:name="_Toc13137"/>
      <w:bookmarkStart w:id="213" w:name="_Toc27332"/>
      <w:bookmarkStart w:id="214" w:name="_Toc8286"/>
      <w:bookmarkStart w:id="215" w:name="_Toc5181"/>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val="zh-CN"/>
        </w:rPr>
        <w:t>）比较与评价</w:t>
      </w:r>
      <w:bookmarkEnd w:id="203"/>
      <w:bookmarkEnd w:id="204"/>
      <w:bookmarkEnd w:id="205"/>
      <w:bookmarkEnd w:id="206"/>
      <w:bookmarkEnd w:id="207"/>
      <w:bookmarkEnd w:id="208"/>
      <w:bookmarkEnd w:id="209"/>
      <w:bookmarkEnd w:id="210"/>
      <w:bookmarkEnd w:id="211"/>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按照招标文件规定的评标方法和标准，对资格性审查和符合性审查合格的文件进行评审，综合比较和评价。</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1、评标方法:综合评分法，指投标文件满足招标文件全部实质性要求，且按照评审因素的量化指标评审得分最高的供应商为中标候选人的评标方法。</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2、评标因素及权重分解表（总计100分）</w:t>
      </w:r>
    </w:p>
    <w:tbl>
      <w:tblPr>
        <w:tblStyle w:val="21"/>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6929"/>
        <w:gridCol w:w="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597" w:type="dxa"/>
            <w:noWrap w:val="0"/>
            <w:vAlign w:val="center"/>
          </w:tcPr>
          <w:p>
            <w:pPr>
              <w:shd w:val="clea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c>
          <w:tcPr>
            <w:tcW w:w="6929" w:type="dxa"/>
            <w:noWrap w:val="0"/>
            <w:vAlign w:val="center"/>
          </w:tcPr>
          <w:p>
            <w:pPr>
              <w:shd w:val="clea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c>
          <w:tcPr>
            <w:tcW w:w="588" w:type="dxa"/>
            <w:noWrap w:val="0"/>
            <w:vAlign w:val="center"/>
          </w:tcPr>
          <w:p>
            <w:pPr>
              <w:shd w:val="clea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权值</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1597" w:type="dxa"/>
            <w:noWrap w:val="0"/>
            <w:vAlign w:val="center"/>
          </w:tcPr>
          <w:p>
            <w:pPr>
              <w:shd w:val="clea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投标报价</w:t>
            </w:r>
          </w:p>
        </w:tc>
        <w:tc>
          <w:tcPr>
            <w:tcW w:w="6929" w:type="dxa"/>
            <w:noWrap w:val="0"/>
            <w:vAlign w:val="center"/>
          </w:tcPr>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要求且</w:t>
            </w:r>
            <w:r>
              <w:rPr>
                <w:rFonts w:hint="eastAsia" w:ascii="仿宋" w:hAnsi="仿宋" w:eastAsia="仿宋" w:cs="仿宋"/>
                <w:color w:val="auto"/>
                <w:sz w:val="24"/>
                <w:szCs w:val="24"/>
                <w:highlight w:val="none"/>
                <w:lang w:val="zh-CN"/>
              </w:rPr>
              <w:t>投标报价</w:t>
            </w:r>
            <w:r>
              <w:rPr>
                <w:rFonts w:hint="eastAsia" w:ascii="仿宋" w:hAnsi="仿宋" w:eastAsia="仿宋" w:cs="仿宋"/>
                <w:color w:val="auto"/>
                <w:sz w:val="24"/>
                <w:szCs w:val="24"/>
                <w:highlight w:val="none"/>
              </w:rPr>
              <w:t>最低的投标价为评标基准价，其价格分为满分。投标报价得分=（评标基准价／投标报价）×价格权值×100。</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符合招标文件规定的小微企业、监狱企业、</w:t>
            </w:r>
            <w:r>
              <w:rPr>
                <w:rFonts w:hint="eastAsia" w:ascii="仿宋" w:hAnsi="仿宋" w:eastAsia="仿宋" w:cs="仿宋"/>
                <w:color w:val="auto"/>
                <w:sz w:val="24"/>
                <w:szCs w:val="24"/>
                <w:highlight w:val="none"/>
                <w:lang w:val="zh-CN"/>
              </w:rPr>
              <w:t>残疾人福利性单位</w:t>
            </w:r>
            <w:r>
              <w:rPr>
                <w:rFonts w:hint="eastAsia" w:ascii="仿宋" w:hAnsi="仿宋" w:eastAsia="仿宋" w:cs="仿宋"/>
                <w:color w:val="auto"/>
                <w:sz w:val="24"/>
                <w:szCs w:val="24"/>
                <w:highlight w:val="none"/>
              </w:rPr>
              <w:t>优惠条件的供应商，价格给予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%的扣除，用扣除后的价格参与评审。</w:t>
            </w:r>
          </w:p>
        </w:tc>
        <w:tc>
          <w:tcPr>
            <w:tcW w:w="588" w:type="dxa"/>
            <w:noWrap w:val="0"/>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597" w:type="dxa"/>
            <w:noWrap w:val="0"/>
            <w:vAlign w:val="center"/>
          </w:tcPr>
          <w:p>
            <w:pPr>
              <w:shd w:val="clear"/>
              <w:tabs>
                <w:tab w:val="left" w:pos="420"/>
                <w:tab w:val="center" w:pos="4153"/>
                <w:tab w:val="right" w:pos="8306"/>
              </w:tabs>
              <w:adjustRightIn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节能环保</w:t>
            </w:r>
          </w:p>
          <w:p>
            <w:pPr>
              <w:shd w:val="clear"/>
              <w:tabs>
                <w:tab w:val="left" w:pos="420"/>
                <w:tab w:val="center" w:pos="4153"/>
                <w:tab w:val="right" w:pos="8306"/>
              </w:tabs>
              <w:adjustRightIn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环境标志</w:t>
            </w:r>
          </w:p>
          <w:p>
            <w:pPr>
              <w:shd w:val="clear"/>
              <w:tabs>
                <w:tab w:val="left" w:pos="420"/>
                <w:tab w:val="center" w:pos="4153"/>
                <w:tab w:val="right" w:pos="8306"/>
              </w:tabs>
              <w:adjustRightInd w:val="0"/>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产品</w:t>
            </w:r>
          </w:p>
        </w:tc>
        <w:tc>
          <w:tcPr>
            <w:tcW w:w="6929" w:type="dxa"/>
            <w:noWrap w:val="0"/>
            <w:vAlign w:val="center"/>
          </w:tcPr>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投标产品为节能、环保、环境标志的产品，满足行业现行规范及各项法规要求,符合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要求的，可优先采购并根据其占投标报价总金额的百分比计算得分，计算公式为：得分=（节能、环保、环境标志产品清单中的产品报价/投标报价）×</w:t>
            </w:r>
            <w:r>
              <w:rPr>
                <w:rFonts w:hint="eastAsia" w:ascii="仿宋" w:hAnsi="仿宋" w:eastAsia="仿宋" w:cs="仿宋"/>
                <w:color w:val="auto"/>
                <w:sz w:val="24"/>
                <w:szCs w:val="24"/>
                <w:highlight w:val="none"/>
                <w:lang w:val="en-US" w:eastAsia="zh-CN"/>
              </w:rPr>
              <w:t>2</w:t>
            </w:r>
          </w:p>
        </w:tc>
        <w:tc>
          <w:tcPr>
            <w:tcW w:w="588" w:type="dxa"/>
            <w:noWrap w:val="0"/>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597" w:type="dxa"/>
            <w:noWrap w:val="0"/>
            <w:vAlign w:val="center"/>
          </w:tcPr>
          <w:p>
            <w:pPr>
              <w:shd w:val="clear"/>
              <w:autoSpaceDE w:val="0"/>
              <w:autoSpaceDN w:val="0"/>
              <w:adjustRightInd w:val="0"/>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商务条款</w:t>
            </w:r>
          </w:p>
          <w:p>
            <w:pPr>
              <w:shd w:val="clear"/>
              <w:autoSpaceDE w:val="0"/>
              <w:autoSpaceDN w:val="0"/>
              <w:adjustRightInd w:val="0"/>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响应程度</w:t>
            </w:r>
          </w:p>
        </w:tc>
        <w:tc>
          <w:tcPr>
            <w:tcW w:w="6929" w:type="dxa"/>
            <w:noWrap w:val="0"/>
            <w:vAlign w:val="center"/>
          </w:tcPr>
          <w:p>
            <w:pPr>
              <w:shd w:val="clear"/>
              <w:autoSpaceDE w:val="0"/>
              <w:autoSpaceDN w:val="0"/>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投标文件对付款、质量保证、交货期、服务承诺等商务要求进行响应说明，根据响应程度计0～</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分。</w:t>
            </w:r>
          </w:p>
        </w:tc>
        <w:tc>
          <w:tcPr>
            <w:tcW w:w="588" w:type="dxa"/>
            <w:noWrap w:val="0"/>
            <w:vAlign w:val="center"/>
          </w:tcPr>
          <w:p>
            <w:pPr>
              <w:shd w:val="clea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7" w:type="dxa"/>
            <w:noWrap w:val="0"/>
            <w:vAlign w:val="center"/>
          </w:tcPr>
          <w:p>
            <w:pPr>
              <w:shd w:val="clear"/>
              <w:autoSpaceDE w:val="0"/>
              <w:autoSpaceDN w:val="0"/>
              <w:adjustRightInd w:val="0"/>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技术</w:t>
            </w:r>
            <w:r>
              <w:rPr>
                <w:rFonts w:hint="eastAsia" w:ascii="仿宋" w:hAnsi="仿宋" w:eastAsia="仿宋" w:cs="仿宋"/>
                <w:bCs/>
                <w:color w:val="auto"/>
                <w:sz w:val="24"/>
                <w:szCs w:val="24"/>
                <w:highlight w:val="none"/>
                <w:lang w:val="en-US" w:eastAsia="zh-CN"/>
              </w:rPr>
              <w:t>指标</w:t>
            </w:r>
          </w:p>
        </w:tc>
        <w:tc>
          <w:tcPr>
            <w:tcW w:w="6929" w:type="dxa"/>
            <w:noWrap w:val="0"/>
            <w:vAlign w:val="center"/>
          </w:tcPr>
          <w:p>
            <w:pPr>
              <w:shd w:val="clea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所投产品技术参数清楚、明确，完全满足或优于招标文件要求且证明材料齐全的得</w:t>
            </w: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分。所投产品技术参数每负偏离一项扣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其中★项每</w:t>
            </w:r>
            <w:r>
              <w:rPr>
                <w:rFonts w:hint="eastAsia" w:ascii="仿宋" w:hAnsi="仿宋" w:eastAsia="仿宋" w:cs="仿宋"/>
                <w:color w:val="auto"/>
                <w:sz w:val="24"/>
                <w:szCs w:val="24"/>
                <w:highlight w:val="none"/>
              </w:rPr>
              <w:t>负偏离一项扣</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扣完为止。（技术参数中要求提供所投设备的主要的技术指标（参数）的相应的证明材料的，如未提供相应的证明材料，证明材料缺失视为负偏离。）投标人提供所投设备的主要的技术指标（参数）的相应的证明材料，经评审专家审定方可得分。</w:t>
            </w:r>
          </w:p>
        </w:tc>
        <w:tc>
          <w:tcPr>
            <w:tcW w:w="588" w:type="dxa"/>
            <w:noWrap w:val="0"/>
            <w:vAlign w:val="center"/>
          </w:tcPr>
          <w:p>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7" w:type="dxa"/>
            <w:noWrap w:val="0"/>
            <w:vAlign w:val="center"/>
          </w:tcPr>
          <w:p>
            <w:pPr>
              <w:shd w:val="clear"/>
              <w:autoSpaceDE w:val="0"/>
              <w:autoSpaceDN w:val="0"/>
              <w:adjustRightInd w:val="0"/>
              <w:spacing w:line="36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实施方案</w:t>
            </w:r>
          </w:p>
        </w:tc>
        <w:tc>
          <w:tcPr>
            <w:tcW w:w="6929" w:type="dxa"/>
            <w:noWrap w:val="0"/>
            <w:vAlign w:val="center"/>
          </w:tcPr>
          <w:p>
            <w:pPr>
              <w:shd w:val="clea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供应商提供详细的拟投入人员、人员配置、分工、备货、供货进度及质量保证措施，产品安装、检测、调试、试运行及验收方案。包括详细的实施计划、整体工期要求、进度安排和按期完成的措施、质量保证措施、验收组织等内容。根据供应商的响应情况赋分</w:t>
            </w:r>
            <w:r>
              <w:rPr>
                <w:rFonts w:hint="eastAsia" w:ascii="仿宋" w:hAnsi="仿宋" w:eastAsia="仿宋" w:cs="仿宋"/>
                <w:color w:val="auto"/>
                <w:sz w:val="24"/>
                <w:szCs w:val="24"/>
                <w:highlight w:val="none"/>
                <w:lang w:eastAsia="zh-CN"/>
              </w:rPr>
              <w:t>。</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内容完整，描述清晰，且能针对性满足项目需求的，得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内容有缺项，描述简单，可行性一般，基本满足项目需要的，得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内容笼统，描述简单，可行性差的得</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不提供不得分。</w:t>
            </w:r>
          </w:p>
        </w:tc>
        <w:tc>
          <w:tcPr>
            <w:tcW w:w="588" w:type="dxa"/>
            <w:noWrap w:val="0"/>
            <w:vAlign w:val="center"/>
          </w:tcPr>
          <w:p>
            <w:pPr>
              <w:shd w:val="clea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97" w:type="dxa"/>
            <w:noWrap w:val="0"/>
            <w:vAlign w:val="center"/>
          </w:tcPr>
          <w:p>
            <w:pPr>
              <w:shd w:val="clear"/>
              <w:autoSpaceDE w:val="0"/>
              <w:autoSpaceDN w:val="0"/>
              <w:adjustRightInd w:val="0"/>
              <w:spacing w:line="360" w:lineRule="auto"/>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rPr>
              <w:t>售后服务</w:t>
            </w:r>
          </w:p>
        </w:tc>
        <w:tc>
          <w:tcPr>
            <w:tcW w:w="6929" w:type="dxa"/>
            <w:noWrap w:val="0"/>
            <w:vAlign w:val="center"/>
          </w:tcPr>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1.售后服务机构健全。配备专职</w:t>
            </w:r>
            <w:r>
              <w:rPr>
                <w:rFonts w:hint="eastAsia" w:ascii="仿宋" w:hAnsi="仿宋" w:eastAsia="仿宋" w:cs="仿宋"/>
                <w:color w:val="auto"/>
                <w:sz w:val="24"/>
                <w:szCs w:val="24"/>
                <w:highlight w:val="none"/>
                <w:lang w:val="en-US" w:eastAsia="zh-CN"/>
              </w:rPr>
              <w:t>售后</w:t>
            </w:r>
            <w:r>
              <w:rPr>
                <w:rFonts w:hint="eastAsia" w:ascii="仿宋" w:hAnsi="仿宋" w:eastAsia="仿宋" w:cs="仿宋"/>
                <w:color w:val="auto"/>
                <w:sz w:val="24"/>
                <w:szCs w:val="24"/>
                <w:highlight w:val="none"/>
              </w:rPr>
              <w:t>人员，承诺</w:t>
            </w:r>
            <w:r>
              <w:rPr>
                <w:rFonts w:hint="eastAsia" w:ascii="仿宋" w:hAnsi="仿宋" w:eastAsia="仿宋" w:cs="仿宋"/>
                <w:color w:val="auto"/>
                <w:sz w:val="24"/>
                <w:szCs w:val="24"/>
                <w:highlight w:val="none"/>
                <w:lang w:val="en-US" w:eastAsia="zh-CN"/>
              </w:rPr>
              <w:t>售后</w:t>
            </w:r>
            <w:r>
              <w:rPr>
                <w:rFonts w:hint="eastAsia" w:ascii="仿宋" w:hAnsi="仿宋" w:eastAsia="仿宋" w:cs="仿宋"/>
                <w:color w:val="auto"/>
                <w:sz w:val="24"/>
                <w:szCs w:val="24"/>
                <w:highlight w:val="none"/>
              </w:rPr>
              <w:t>服务具体</w:t>
            </w:r>
            <w:r>
              <w:rPr>
                <w:rFonts w:hint="eastAsia" w:ascii="仿宋" w:hAnsi="仿宋" w:eastAsia="仿宋" w:cs="仿宋"/>
                <w:color w:val="auto"/>
                <w:sz w:val="24"/>
                <w:szCs w:val="24"/>
                <w:highlight w:val="none"/>
                <w:lang w:val="en-US" w:eastAsia="zh-CN"/>
              </w:rPr>
              <w:t>措施、时限、</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en-US" w:eastAsia="zh-CN"/>
              </w:rPr>
              <w:t>速度等</w:t>
            </w:r>
            <w:r>
              <w:rPr>
                <w:rFonts w:hint="eastAsia" w:ascii="仿宋" w:hAnsi="仿宋" w:eastAsia="仿宋" w:cs="仿宋"/>
                <w:color w:val="auto"/>
                <w:sz w:val="24"/>
                <w:szCs w:val="24"/>
                <w:highlight w:val="none"/>
              </w:rPr>
              <w:t>。根据响应情况计0-</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pacing w:val="0"/>
                <w:sz w:val="24"/>
                <w:szCs w:val="24"/>
                <w:highlight w:val="none"/>
                <w:lang w:val="en-US" w:eastAsia="zh-CN"/>
              </w:rPr>
              <w:t>供应商</w:t>
            </w:r>
            <w:r>
              <w:rPr>
                <w:rFonts w:hint="eastAsia" w:ascii="仿宋" w:hAnsi="仿宋" w:eastAsia="仿宋" w:cs="仿宋"/>
                <w:color w:val="auto"/>
                <w:spacing w:val="0"/>
                <w:sz w:val="24"/>
                <w:szCs w:val="24"/>
                <w:highlight w:val="none"/>
                <w:lang w:val="zh-CN" w:eastAsia="zh-CN"/>
              </w:rPr>
              <w:t>为采购人</w:t>
            </w:r>
            <w:r>
              <w:rPr>
                <w:rFonts w:hint="eastAsia" w:ascii="仿宋" w:hAnsi="仿宋" w:eastAsia="仿宋" w:cs="仿宋"/>
                <w:color w:val="auto"/>
                <w:spacing w:val="0"/>
                <w:sz w:val="24"/>
                <w:szCs w:val="24"/>
                <w:highlight w:val="none"/>
                <w:lang w:eastAsia="zh-CN"/>
              </w:rPr>
              <w:t>提供</w:t>
            </w:r>
            <w:r>
              <w:rPr>
                <w:rFonts w:hint="eastAsia" w:ascii="仿宋" w:hAnsi="仿宋" w:eastAsia="仿宋" w:cs="仿宋"/>
                <w:color w:val="auto"/>
                <w:spacing w:val="0"/>
                <w:sz w:val="24"/>
                <w:szCs w:val="24"/>
                <w:highlight w:val="none"/>
                <w:lang w:val="zh-CN" w:eastAsia="zh-CN"/>
              </w:rPr>
              <w:t>培训方案、培训内容、培训方式等说明。</w:t>
            </w:r>
            <w:r>
              <w:rPr>
                <w:rFonts w:hint="eastAsia" w:ascii="仿宋" w:hAnsi="仿宋" w:eastAsia="仿宋" w:cs="仿宋"/>
                <w:color w:val="auto"/>
                <w:sz w:val="24"/>
                <w:szCs w:val="24"/>
                <w:highlight w:val="none"/>
              </w:rPr>
              <w:t>根据响应情况</w:t>
            </w:r>
            <w:r>
              <w:rPr>
                <w:rFonts w:hint="eastAsia" w:ascii="仿宋" w:hAnsi="仿宋" w:eastAsia="仿宋" w:cs="仿宋"/>
                <w:color w:val="auto"/>
                <w:spacing w:val="0"/>
                <w:sz w:val="24"/>
                <w:szCs w:val="24"/>
                <w:highlight w:val="none"/>
                <w:lang w:val="zh-CN" w:eastAsia="zh-CN"/>
              </w:rPr>
              <w:t>计0</w:t>
            </w:r>
            <w:r>
              <w:rPr>
                <w:rFonts w:hint="eastAsia" w:ascii="仿宋" w:hAnsi="仿宋" w:eastAsia="仿宋" w:cs="仿宋"/>
                <w:color w:val="auto"/>
                <w:spacing w:val="0"/>
                <w:sz w:val="24"/>
                <w:szCs w:val="24"/>
                <w:highlight w:val="none"/>
                <w:lang w:val="en-US" w:eastAsia="zh-CN"/>
              </w:rPr>
              <w:t>-5</w:t>
            </w:r>
            <w:r>
              <w:rPr>
                <w:rFonts w:hint="eastAsia" w:ascii="仿宋" w:hAnsi="仿宋" w:eastAsia="仿宋" w:cs="仿宋"/>
                <w:color w:val="auto"/>
                <w:spacing w:val="0"/>
                <w:sz w:val="24"/>
                <w:szCs w:val="24"/>
                <w:highlight w:val="none"/>
                <w:lang w:val="zh-CN" w:eastAsia="zh-CN"/>
              </w:rPr>
              <w:t>分。</w:t>
            </w:r>
          </w:p>
        </w:tc>
        <w:tc>
          <w:tcPr>
            <w:tcW w:w="588" w:type="dxa"/>
            <w:noWrap w:val="0"/>
            <w:vAlign w:val="center"/>
          </w:tcPr>
          <w:p>
            <w:pPr>
              <w:shd w:val="clear"/>
              <w:snapToGrid w:val="0"/>
              <w:spacing w:line="240" w:lineRule="atLeas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597" w:type="dxa"/>
            <w:noWrap w:val="0"/>
            <w:vAlign w:val="center"/>
          </w:tcPr>
          <w:p>
            <w:pPr>
              <w:widowControl/>
              <w:shd w:val="clear"/>
              <w:jc w:val="center"/>
              <w:rPr>
                <w:rFonts w:hint="eastAsia"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rPr>
              <w:t>业绩</w:t>
            </w:r>
          </w:p>
        </w:tc>
        <w:tc>
          <w:tcPr>
            <w:tcW w:w="6929" w:type="dxa"/>
            <w:noWrap w:val="0"/>
            <w:vAlign w:val="center"/>
          </w:tcPr>
          <w:p>
            <w:pPr>
              <w:shd w:val="clea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具有近三年（201</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月今以合同签订时间为准）的</w:t>
            </w:r>
            <w:r>
              <w:rPr>
                <w:rFonts w:hint="eastAsia" w:ascii="仿宋" w:hAnsi="仿宋" w:eastAsia="仿宋" w:cs="仿宋"/>
                <w:color w:val="auto"/>
                <w:sz w:val="24"/>
                <w:szCs w:val="24"/>
                <w:highlight w:val="none"/>
                <w:lang w:val="en-US" w:eastAsia="zh-CN"/>
              </w:rPr>
              <w:t>类似</w:t>
            </w:r>
            <w:r>
              <w:rPr>
                <w:rFonts w:hint="eastAsia" w:ascii="仿宋" w:hAnsi="仿宋" w:eastAsia="仿宋" w:cs="仿宋"/>
                <w:color w:val="auto"/>
                <w:sz w:val="24"/>
                <w:szCs w:val="24"/>
                <w:highlight w:val="none"/>
              </w:rPr>
              <w:t>项目业绩，每提供一份得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分。投标文件中提供加盖</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公章的合同复印件。</w:t>
            </w:r>
          </w:p>
        </w:tc>
        <w:tc>
          <w:tcPr>
            <w:tcW w:w="588" w:type="dxa"/>
            <w:noWrap w:val="0"/>
            <w:vAlign w:val="center"/>
          </w:tcPr>
          <w:p>
            <w:pPr>
              <w:shd w:val="clear"/>
              <w:snapToGrid w:val="0"/>
              <w:spacing w:line="240" w:lineRule="atLeas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r>
    </w:tbl>
    <w:p>
      <w:pPr>
        <w:keepNext w:val="0"/>
        <w:keepLines w:val="0"/>
        <w:pageBreakBefore w:val="0"/>
        <w:widowControl w:val="0"/>
        <w:shd w:val="clear"/>
        <w:kinsoku/>
        <w:wordWrap/>
        <w:overflowPunct/>
        <w:topLinePunct w:val="0"/>
        <w:bidi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3、其他事项说明</w:t>
      </w:r>
    </w:p>
    <w:p>
      <w:pPr>
        <w:keepNext w:val="0"/>
        <w:keepLines w:val="0"/>
        <w:pageBreakBefore w:val="0"/>
        <w:widowControl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因落实政府采购政策进行价格调整的，以调整后的价格计算评标基准价和投标报价。</w:t>
      </w:r>
    </w:p>
    <w:p>
      <w:pPr>
        <w:keepNext w:val="0"/>
        <w:keepLines w:val="0"/>
        <w:pageBreakBefore w:val="0"/>
        <w:widowControl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评标时，评标委员会根据以上内容进行综合比较，自主打分，分数四舍五入保留两位小数，独立对每个供应商的投标文件进行评价，并汇总每个供应商的得分。</w:t>
      </w:r>
    </w:p>
    <w:p>
      <w:pPr>
        <w:keepNext w:val="0"/>
        <w:keepLines w:val="0"/>
        <w:pageBreakBefore w:val="0"/>
        <w:widowControl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提供相同品牌产品且通过资格审查、符合性审查的不同供应商参加同一合同项下投标的，按一家供应商计算，评审后得分最高的同品牌供应商获得中标人推荐资格；评审得分相同的，采取随机抽取方式确定，其他同品牌供应商不作为中标候选人。非单一产品采购项目，多家供应商提供的核心产品品牌相同的，按以上规定处理。</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right="0" w:firstLine="480" w:firstLineChars="200"/>
        <w:textAlignment w:val="auto"/>
        <w:outlineLvl w:val="2"/>
        <w:rPr>
          <w:rFonts w:hint="eastAsia" w:ascii="仿宋" w:hAnsi="仿宋" w:eastAsia="仿宋" w:cs="仿宋"/>
          <w:color w:val="auto"/>
          <w:sz w:val="24"/>
          <w:szCs w:val="24"/>
          <w:highlight w:val="none"/>
          <w:lang w:val="zh-CN"/>
        </w:rPr>
      </w:pPr>
      <w:bookmarkStart w:id="216" w:name="_Toc9204"/>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val="zh-CN"/>
        </w:rPr>
        <w:t>）投标文件的澄清、说明或者补正</w:t>
      </w:r>
      <w:bookmarkEnd w:id="212"/>
      <w:bookmarkEnd w:id="213"/>
      <w:bookmarkEnd w:id="214"/>
      <w:bookmarkEnd w:id="215"/>
      <w:bookmarkEnd w:id="216"/>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对于投标文件中含义不明确、同类问题表述不一致或者有明显文字和计算错误的内容，评标委员会应当以书面形式要求供应商作出必要的澄清、说明或者补正。供应商的澄清、说明或者补正应当采用书面形式，并加盖供应商公章或者由法定代表人或其授权的代表签字。供应商的澄清、说明或者补正不得超出投标文件的范围或者改变投标文件的实质性内容。</w:t>
      </w:r>
    </w:p>
    <w:p>
      <w:pPr>
        <w:keepNext w:val="0"/>
        <w:keepLines w:val="0"/>
        <w:pageBreakBefore w:val="0"/>
        <w:widowControl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2、报价出现前后不一致的，按照下列规定修正：</w:t>
      </w:r>
    </w:p>
    <w:p>
      <w:pPr>
        <w:keepNext w:val="0"/>
        <w:keepLines w:val="0"/>
        <w:pageBreakBefore w:val="0"/>
        <w:widowControl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投标文件中开标一览表（报价表）内容与投标文件中相应内容不一致的，以开标一览表（报价表）为准；</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大写金额和小写金额不一致的，以大写金额为准；</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单价金额小数点或者百分比有明显错位的，以开标一览表的总价为准，并修改单价；</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总价金额与按单价汇总金额不一致的，以单价金额计算结果为准。</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right="0" w:firstLine="482" w:firstLineChars="200"/>
        <w:textAlignment w:val="auto"/>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同时出现两种以上不一致的，按照前款规定的顺序修正。修正后的报价经供应商书面确认后产生约束力，供应商不确认的，其投标无效。</w:t>
      </w:r>
    </w:p>
    <w:p>
      <w:pPr>
        <w:keepNext w:val="0"/>
        <w:keepLines w:val="0"/>
        <w:pageBreakBefore w:val="0"/>
        <w:widowControl w:val="0"/>
        <w:shd w:val="clear"/>
        <w:tabs>
          <w:tab w:val="left" w:pos="9030"/>
        </w:tabs>
        <w:kinsoku/>
        <w:wordWrap/>
        <w:overflowPunct/>
        <w:topLinePunct w:val="0"/>
        <w:bidi w:val="0"/>
        <w:snapToGrid w:val="0"/>
        <w:spacing w:line="360" w:lineRule="auto"/>
        <w:ind w:right="0" w:firstLine="480" w:firstLineChars="200"/>
        <w:textAlignment w:val="auto"/>
        <w:outlineLvl w:val="2"/>
        <w:rPr>
          <w:rFonts w:hint="eastAsia" w:ascii="仿宋" w:hAnsi="仿宋" w:eastAsia="仿宋" w:cs="仿宋"/>
          <w:color w:val="auto"/>
          <w:sz w:val="24"/>
          <w:szCs w:val="24"/>
          <w:highlight w:val="none"/>
          <w:lang w:val="zh-CN"/>
        </w:rPr>
      </w:pPr>
      <w:bookmarkStart w:id="217" w:name="_Toc17060"/>
      <w:bookmarkStart w:id="218" w:name="_Toc17114"/>
      <w:bookmarkStart w:id="219" w:name="_Toc30211"/>
      <w:bookmarkStart w:id="220" w:name="_Toc15871"/>
      <w:bookmarkStart w:id="221" w:name="_Toc10499"/>
      <w:bookmarkStart w:id="222" w:name="_Toc16187"/>
      <w:bookmarkStart w:id="223" w:name="_Toc9209"/>
      <w:bookmarkStart w:id="224" w:name="_Toc29598"/>
      <w:bookmarkStart w:id="225" w:name="_Toc16649"/>
      <w:r>
        <w:rPr>
          <w:rFonts w:hint="eastAsia" w:ascii="仿宋" w:hAnsi="仿宋" w:eastAsia="仿宋" w:cs="仿宋"/>
          <w:color w:val="auto"/>
          <w:sz w:val="24"/>
          <w:szCs w:val="24"/>
          <w:highlight w:val="none"/>
          <w:lang w:val="zh-CN"/>
        </w:rPr>
        <w:t>（四）推荐中标候选人名单</w:t>
      </w:r>
      <w:bookmarkEnd w:id="217"/>
      <w:bookmarkEnd w:id="218"/>
      <w:bookmarkEnd w:id="219"/>
      <w:bookmarkEnd w:id="220"/>
      <w:bookmarkEnd w:id="221"/>
      <w:bookmarkEnd w:id="222"/>
      <w:bookmarkEnd w:id="223"/>
      <w:bookmarkEnd w:id="224"/>
      <w:bookmarkEnd w:id="225"/>
    </w:p>
    <w:p>
      <w:pPr>
        <w:keepNext w:val="0"/>
        <w:keepLines w:val="0"/>
        <w:pageBreakBefore w:val="0"/>
        <w:widowControl w:val="0"/>
        <w:shd w:val="clear"/>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评标结果按评审后得分由高到低顺序排列，推荐三名以上中标候选人。投标文件满足招标文件全部实质性要求，且按照评审因素的量化指标评审得分。按照排序推荐入围候选人</w:t>
      </w:r>
      <w:r>
        <w:rPr>
          <w:rFonts w:hint="eastAsia" w:ascii="仿宋" w:hAnsi="仿宋" w:eastAsia="仿宋" w:cs="仿宋"/>
          <w:color w:val="auto"/>
          <w:sz w:val="24"/>
          <w:szCs w:val="24"/>
          <w:highlight w:val="none"/>
          <w:lang w:val="en-US" w:eastAsia="zh-CN"/>
        </w:rPr>
        <w:t>。</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right="0" w:firstLine="482" w:firstLineChars="200"/>
        <w:textAlignment w:val="auto"/>
        <w:outlineLvl w:val="1"/>
        <w:rPr>
          <w:rFonts w:hint="eastAsia" w:ascii="仿宋" w:hAnsi="仿宋" w:eastAsia="仿宋" w:cs="仿宋"/>
          <w:b/>
          <w:color w:val="auto"/>
          <w:sz w:val="24"/>
          <w:szCs w:val="24"/>
          <w:highlight w:val="none"/>
          <w:lang w:val="zh-CN"/>
        </w:rPr>
      </w:pPr>
      <w:bookmarkStart w:id="226" w:name="_Toc18731"/>
      <w:bookmarkStart w:id="227" w:name="_Toc22251"/>
      <w:bookmarkStart w:id="228" w:name="_Toc13328"/>
      <w:bookmarkStart w:id="229" w:name="_Toc561"/>
      <w:bookmarkStart w:id="230" w:name="_Toc11082"/>
      <w:bookmarkStart w:id="231" w:name="_Toc2662"/>
      <w:bookmarkStart w:id="232" w:name="_Toc5432"/>
      <w:bookmarkStart w:id="233" w:name="_Toc12272"/>
      <w:r>
        <w:rPr>
          <w:rFonts w:hint="eastAsia" w:ascii="仿宋" w:hAnsi="仿宋" w:eastAsia="仿宋" w:cs="仿宋"/>
          <w:b/>
          <w:color w:val="auto"/>
          <w:sz w:val="24"/>
          <w:szCs w:val="24"/>
          <w:highlight w:val="none"/>
          <w:lang w:val="zh-CN"/>
        </w:rPr>
        <w:t>七、确定</w:t>
      </w:r>
      <w:bookmarkEnd w:id="226"/>
      <w:bookmarkEnd w:id="227"/>
      <w:r>
        <w:rPr>
          <w:rFonts w:hint="eastAsia" w:ascii="仿宋" w:hAnsi="仿宋" w:eastAsia="仿宋" w:cs="仿宋"/>
          <w:b/>
          <w:color w:val="auto"/>
          <w:sz w:val="24"/>
          <w:szCs w:val="24"/>
          <w:highlight w:val="none"/>
          <w:lang w:val="zh-CN"/>
        </w:rPr>
        <w:t>中标供应商</w:t>
      </w:r>
      <w:bookmarkEnd w:id="228"/>
      <w:bookmarkEnd w:id="229"/>
      <w:bookmarkEnd w:id="230"/>
      <w:bookmarkEnd w:id="231"/>
      <w:bookmarkEnd w:id="232"/>
      <w:bookmarkEnd w:id="233"/>
    </w:p>
    <w:p>
      <w:pPr>
        <w:keepNext w:val="0"/>
        <w:keepLines w:val="0"/>
        <w:pageBreakBefore w:val="0"/>
        <w:widowControl w:val="0"/>
        <w:shd w:val="clear"/>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（一）采购代理机构应当在评标结束后2个工作日内将评标报告送采购人。</w:t>
      </w:r>
    </w:p>
    <w:p>
      <w:pPr>
        <w:keepNext w:val="0"/>
        <w:keepLines w:val="0"/>
        <w:pageBreakBefore w:val="0"/>
        <w:widowControl w:val="0"/>
        <w:shd w:val="clear"/>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二）采购人应当自收到评标报告之日起5个工作日内，在评标报告确定的中标候选人名单中按顺序确定中标人，复函采购代理机构。采购人在收到评标报告5个工作日内未按评标报告推荐的中标候选人顺序确定中标人，又不能说明合法理由的，视同按评标报告推荐的顺序确定排名第一的中标候选人为中标人。</w:t>
      </w:r>
    </w:p>
    <w:p>
      <w:pPr>
        <w:keepNext w:val="0"/>
        <w:keepLines w:val="0"/>
        <w:pageBreakBefore w:val="0"/>
        <w:widowControl w:val="0"/>
        <w:shd w:val="clear"/>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（三）采购代理机构当自中标人确定之日起2个工作日内，在省级以上财政部门指定的媒体上公告中标结果，公告期限为1个工作日，并向中标人发“中标通知书”。</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四）供应商对中标公告有异议的，按照《中华人民共和国政府采购法》第五十二条之规定执行。提出质疑的供应商应当有明确的请求和必要的证明材料，应保证提出的质疑内容及相应证明材料的真实性及来源的合法性，并承担相应的法律责任。</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right="0" w:firstLine="482" w:firstLineChars="200"/>
        <w:textAlignment w:val="auto"/>
        <w:outlineLvl w:val="1"/>
        <w:rPr>
          <w:rFonts w:hint="eastAsia" w:ascii="仿宋" w:hAnsi="仿宋" w:eastAsia="仿宋" w:cs="仿宋"/>
          <w:b/>
          <w:color w:val="auto"/>
          <w:sz w:val="24"/>
          <w:szCs w:val="24"/>
          <w:highlight w:val="none"/>
          <w:lang w:val="zh-CN"/>
        </w:rPr>
      </w:pPr>
      <w:bookmarkStart w:id="234" w:name="_Toc19938"/>
      <w:bookmarkStart w:id="235" w:name="_Toc7972"/>
      <w:bookmarkStart w:id="236" w:name="_Toc19571"/>
      <w:bookmarkStart w:id="237" w:name="_Toc15275"/>
      <w:bookmarkStart w:id="238" w:name="_Toc21655"/>
      <w:bookmarkStart w:id="239" w:name="_Toc16609"/>
      <w:bookmarkStart w:id="240" w:name="_Toc7578"/>
      <w:bookmarkStart w:id="241" w:name="_Toc27317"/>
      <w:r>
        <w:rPr>
          <w:rFonts w:hint="eastAsia" w:ascii="仿宋" w:hAnsi="仿宋" w:eastAsia="仿宋" w:cs="仿宋"/>
          <w:b/>
          <w:color w:val="auto"/>
          <w:sz w:val="24"/>
          <w:szCs w:val="24"/>
          <w:highlight w:val="none"/>
          <w:lang w:val="zh-CN"/>
        </w:rPr>
        <w:t>八、合同</w:t>
      </w:r>
      <w:bookmarkEnd w:id="234"/>
      <w:bookmarkEnd w:id="235"/>
      <w:bookmarkEnd w:id="236"/>
      <w:bookmarkEnd w:id="237"/>
      <w:bookmarkEnd w:id="238"/>
      <w:bookmarkEnd w:id="239"/>
      <w:bookmarkEnd w:id="240"/>
      <w:bookmarkEnd w:id="241"/>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（一）采购人在自中标通知书发出之日起三十日内，按照招标文件和中标供应商投标文件的约定，采购人与中标供应商洽谈合同条款，并签订合同。招标文件及中标供应商的投标文件均作为合同的组成部分。</w:t>
      </w:r>
    </w:p>
    <w:p>
      <w:pPr>
        <w:keepNext w:val="0"/>
        <w:keepLines w:val="0"/>
        <w:pageBreakBefore w:val="0"/>
        <w:widowControl w:val="0"/>
        <w:shd w:val="clear"/>
        <w:tabs>
          <w:tab w:val="left" w:pos="0"/>
        </w:tabs>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二）定标后，中标供应商无正当理由拖延或拒签合同，监督机构有权取消其中标资格，并按评标结果顺序重新确定中标供应商。同时报请监督机构通报，取消其进入政府采购市场的资格，按规定予以处罚，并没收其投标保证金。</w:t>
      </w:r>
    </w:p>
    <w:p>
      <w:pPr>
        <w:keepNext w:val="0"/>
        <w:keepLines w:val="0"/>
        <w:pageBreakBefore w:val="0"/>
        <w:widowControl w:val="0"/>
        <w:shd w:val="clear"/>
        <w:tabs>
          <w:tab w:val="left" w:pos="0"/>
        </w:tabs>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（三）政府采购合同的履行、违约责任和解决争议的方法等适用《中华人民共和国民法典》，采购人按照政府采购合同规定的技术、服务、安全标准组织对供应商履约情况进行验收，并出具验收书。</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right="0" w:firstLine="482" w:firstLineChars="200"/>
        <w:textAlignment w:val="auto"/>
        <w:outlineLvl w:val="1"/>
        <w:rPr>
          <w:rFonts w:hint="eastAsia" w:ascii="仿宋" w:hAnsi="仿宋" w:eastAsia="仿宋" w:cs="仿宋"/>
          <w:b/>
          <w:color w:val="auto"/>
          <w:sz w:val="24"/>
          <w:szCs w:val="24"/>
          <w:highlight w:val="none"/>
          <w:lang w:val="zh-CN"/>
        </w:rPr>
      </w:pPr>
      <w:bookmarkStart w:id="242" w:name="_Toc27949"/>
      <w:bookmarkStart w:id="243" w:name="_Toc28649"/>
      <w:bookmarkStart w:id="244" w:name="_Toc29523"/>
      <w:bookmarkStart w:id="245" w:name="_Toc15593"/>
      <w:bookmarkStart w:id="246" w:name="_Toc1946"/>
      <w:bookmarkStart w:id="247" w:name="_Toc5062"/>
      <w:bookmarkStart w:id="248" w:name="_Toc21976"/>
      <w:bookmarkStart w:id="249" w:name="_Toc9424"/>
      <w:r>
        <w:rPr>
          <w:rFonts w:hint="eastAsia" w:ascii="仿宋" w:hAnsi="仿宋" w:eastAsia="仿宋" w:cs="仿宋"/>
          <w:b/>
          <w:color w:val="auto"/>
          <w:sz w:val="24"/>
          <w:szCs w:val="24"/>
          <w:highlight w:val="none"/>
          <w:lang w:val="zh-CN"/>
        </w:rPr>
        <w:t>九、中标服务费</w:t>
      </w:r>
      <w:bookmarkEnd w:id="242"/>
      <w:bookmarkEnd w:id="243"/>
      <w:bookmarkEnd w:id="244"/>
      <w:bookmarkEnd w:id="245"/>
      <w:bookmarkEnd w:id="246"/>
      <w:bookmarkEnd w:id="247"/>
      <w:bookmarkEnd w:id="248"/>
      <w:bookmarkEnd w:id="249"/>
    </w:p>
    <w:p>
      <w:pPr>
        <w:keepNext w:val="0"/>
        <w:keepLines w:val="0"/>
        <w:pageBreakBefore w:val="0"/>
        <w:widowControl w:val="0"/>
        <w:shd w:val="clear"/>
        <w:tabs>
          <w:tab w:val="left" w:pos="0"/>
        </w:tabs>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bookmarkStart w:id="250" w:name="_Toc29526"/>
      <w:bookmarkStart w:id="251" w:name="_Toc495671245"/>
      <w:r>
        <w:rPr>
          <w:rFonts w:hint="eastAsia" w:ascii="仿宋" w:hAnsi="仿宋" w:eastAsia="仿宋" w:cs="仿宋"/>
          <w:color w:val="auto"/>
          <w:sz w:val="24"/>
          <w:szCs w:val="24"/>
          <w:highlight w:val="none"/>
          <w:lang w:val="zh-CN"/>
        </w:rPr>
        <w:t>（一）</w:t>
      </w:r>
      <w:r>
        <w:rPr>
          <w:rFonts w:hint="eastAsia" w:ascii="仿宋" w:hAnsi="仿宋" w:eastAsia="仿宋" w:cs="仿宋"/>
          <w:color w:val="auto"/>
          <w:sz w:val="24"/>
          <w:szCs w:val="24"/>
          <w:highlight w:val="none"/>
        </w:rPr>
        <w:t>本项目招标代理服务费由中标供应商在中标结果公示期满后三个</w:t>
      </w:r>
      <w:r>
        <w:rPr>
          <w:rFonts w:hint="eastAsia" w:ascii="仿宋" w:hAnsi="仿宋" w:eastAsia="仿宋" w:cs="仿宋"/>
          <w:color w:val="auto"/>
          <w:sz w:val="24"/>
          <w:szCs w:val="24"/>
          <w:highlight w:val="none"/>
          <w:lang w:eastAsia="zh-CN"/>
        </w:rPr>
        <w:t>工作日内按照标准支付</w:t>
      </w:r>
      <w:r>
        <w:rPr>
          <w:rFonts w:hint="eastAsia" w:ascii="仿宋" w:hAnsi="仿宋" w:eastAsia="仿宋" w:cs="仿宋"/>
          <w:color w:val="auto"/>
          <w:sz w:val="24"/>
          <w:szCs w:val="24"/>
          <w:highlight w:val="none"/>
        </w:rPr>
        <w:t>给招标代理机构。</w:t>
      </w:r>
    </w:p>
    <w:p>
      <w:pPr>
        <w:keepNext w:val="0"/>
        <w:keepLines w:val="0"/>
        <w:pageBreakBefore w:val="0"/>
        <w:widowControl w:val="0"/>
        <w:shd w:val="clear"/>
        <w:tabs>
          <w:tab w:val="left" w:pos="0"/>
        </w:tabs>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（二）</w:t>
      </w:r>
      <w:r>
        <w:rPr>
          <w:rFonts w:hint="eastAsia" w:ascii="仿宋" w:hAnsi="仿宋" w:eastAsia="仿宋" w:cs="仿宋"/>
          <w:color w:val="auto"/>
          <w:sz w:val="24"/>
          <w:szCs w:val="24"/>
          <w:highlight w:val="none"/>
        </w:rPr>
        <w:t>参照国家计委关于《招标代理服务收费管理暂行办法》（计价格[2002]1980号）、《国家发展改革委办公厅关于招标代理服务收费有关问题的通知》（发改价格[2003]857号）、《国家发展改革委关于进一步放开建设项目专业服务价格的通知》。</w:t>
      </w:r>
    </w:p>
    <w:p>
      <w:pPr>
        <w:keepNext w:val="0"/>
        <w:keepLines w:val="0"/>
        <w:pageBreakBefore w:val="0"/>
        <w:widowControl w:val="0"/>
        <w:shd w:val="clear"/>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val="zh-CN"/>
        </w:rPr>
        <w:t>备注：</w:t>
      </w:r>
      <w:r>
        <w:rPr>
          <w:rFonts w:hint="eastAsia" w:ascii="仿宋" w:hAnsi="仿宋" w:eastAsia="仿宋" w:cs="仿宋"/>
          <w:color w:val="auto"/>
          <w:sz w:val="24"/>
          <w:szCs w:val="24"/>
          <w:highlight w:val="none"/>
          <w:u w:val="none"/>
        </w:rPr>
        <w:t>中标服务费不足</w:t>
      </w:r>
      <w:r>
        <w:rPr>
          <w:rFonts w:hint="eastAsia" w:ascii="仿宋" w:hAnsi="仿宋" w:eastAsia="仿宋" w:cs="仿宋"/>
          <w:color w:val="auto"/>
          <w:sz w:val="24"/>
          <w:szCs w:val="24"/>
          <w:highlight w:val="none"/>
          <w:u w:val="none"/>
          <w:lang w:val="en-US" w:eastAsia="zh-CN"/>
        </w:rPr>
        <w:t>6</w:t>
      </w:r>
      <w:r>
        <w:rPr>
          <w:rFonts w:hint="eastAsia" w:ascii="仿宋" w:hAnsi="仿宋" w:eastAsia="仿宋" w:cs="仿宋"/>
          <w:color w:val="auto"/>
          <w:sz w:val="24"/>
          <w:szCs w:val="24"/>
          <w:highlight w:val="none"/>
          <w:u w:val="none"/>
        </w:rPr>
        <w:t>000元的，按</w:t>
      </w:r>
      <w:r>
        <w:rPr>
          <w:rFonts w:hint="eastAsia" w:ascii="仿宋" w:hAnsi="仿宋" w:eastAsia="仿宋" w:cs="仿宋"/>
          <w:color w:val="auto"/>
          <w:sz w:val="24"/>
          <w:szCs w:val="24"/>
          <w:highlight w:val="none"/>
          <w:u w:val="none"/>
          <w:lang w:val="en-US" w:eastAsia="zh-CN"/>
        </w:rPr>
        <w:t>6</w:t>
      </w:r>
      <w:r>
        <w:rPr>
          <w:rFonts w:hint="eastAsia" w:ascii="仿宋" w:hAnsi="仿宋" w:eastAsia="仿宋" w:cs="仿宋"/>
          <w:color w:val="auto"/>
          <w:sz w:val="24"/>
          <w:szCs w:val="24"/>
          <w:highlight w:val="none"/>
          <w:u w:val="none"/>
        </w:rPr>
        <w:t>000元收取。</w:t>
      </w:r>
    </w:p>
    <w:p>
      <w:pPr>
        <w:shd w:val="clear"/>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单位：万元</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448" w:type="dxa"/>
            <w:noWrap w:val="0"/>
            <w:vAlign w:val="top"/>
          </w:tcPr>
          <w:p>
            <w:pPr>
              <w:shd w:val="clear"/>
              <w:spacing w:line="360" w:lineRule="auto"/>
              <w:ind w:firstLine="1200" w:firstLineChars="5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3175</wp:posOffset>
                      </wp:positionV>
                      <wp:extent cx="1570990" cy="577215"/>
                      <wp:effectExtent l="1905" t="4445" r="8255" b="8890"/>
                      <wp:wrapNone/>
                      <wp:docPr id="11" name="直接箭头连接符 11"/>
                      <wp:cNvGraphicFramePr/>
                      <a:graphic xmlns:a="http://schemas.openxmlformats.org/drawingml/2006/main">
                        <a:graphicData uri="http://schemas.microsoft.com/office/word/2010/wordprocessingShape">
                          <wps:wsp>
                            <wps:cNvCnPr/>
                            <wps:spPr>
                              <a:xfrm>
                                <a:off x="0" y="0"/>
                                <a:ext cx="1570990" cy="5772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35pt;margin-top:0.25pt;height:45.45pt;width:123.7pt;z-index:251659264;mso-width-relative:page;mso-height-relative:page;" filled="f" stroked="t" coordsize="21600,21600" o:gfxdata="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2zID9UAAAAHAQAADwAAAAAAAAABACAAAAAiAAAAZHJzL2Rvd25y&#10;ZXYueG1sUEsBAhQAFAAAAAgAh07iQLVyauABAgAA8wMAAA4AAAAAAAAAAQAgAAAAJAEAAGRycy9l&#10;Mm9Eb2MueG1sUEsFBgAAAAAGAAYAWQEAAJcFAAAAAA==&#10;">
                      <v:fill on="f" focussize="0,0"/>
                      <v:stroke color="#000000" joinstyle="round"/>
                      <v:imagedata o:title=""/>
                      <o:lock v:ext="edit" aspectratio="f"/>
                    </v:shape>
                  </w:pict>
                </mc:Fallback>
              </mc:AlternateContent>
            </w:r>
            <w:r>
              <w:rPr>
                <w:rFonts w:hint="eastAsia" w:ascii="仿宋" w:hAnsi="仿宋" w:eastAsia="仿宋" w:cs="仿宋"/>
                <w:b/>
                <w:color w:val="auto"/>
                <w:sz w:val="24"/>
                <w:szCs w:val="24"/>
                <w:highlight w:val="none"/>
              </w:rPr>
              <w:t>采购类型</w:t>
            </w:r>
          </w:p>
          <w:p>
            <w:pPr>
              <w:shd w:val="clea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中标金额</w:t>
            </w:r>
          </w:p>
        </w:tc>
        <w:tc>
          <w:tcPr>
            <w:tcW w:w="1980" w:type="dxa"/>
            <w:noWrap w:val="0"/>
            <w:vAlign w:val="center"/>
          </w:tcPr>
          <w:p>
            <w:pPr>
              <w:shd w:val="clea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货物招标</w:t>
            </w:r>
          </w:p>
        </w:tc>
        <w:tc>
          <w:tcPr>
            <w:tcW w:w="1980" w:type="dxa"/>
            <w:noWrap w:val="0"/>
            <w:vAlign w:val="center"/>
          </w:tcPr>
          <w:p>
            <w:pPr>
              <w:shd w:val="clea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服务招标</w:t>
            </w:r>
          </w:p>
        </w:tc>
        <w:tc>
          <w:tcPr>
            <w:tcW w:w="1980" w:type="dxa"/>
            <w:noWrap w:val="0"/>
            <w:vAlign w:val="center"/>
          </w:tcPr>
          <w:p>
            <w:pPr>
              <w:shd w:val="clea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100以下</w:t>
            </w:r>
          </w:p>
        </w:tc>
        <w:tc>
          <w:tcPr>
            <w:tcW w:w="1980" w:type="dxa"/>
            <w:noWrap w:val="0"/>
            <w:vAlign w:val="top"/>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980" w:type="dxa"/>
            <w:noWrap w:val="0"/>
            <w:vAlign w:val="top"/>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980" w:type="dxa"/>
            <w:noWrap w:val="0"/>
            <w:vAlign w:val="top"/>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100-500</w:t>
            </w:r>
          </w:p>
        </w:tc>
        <w:tc>
          <w:tcPr>
            <w:tcW w:w="1980" w:type="dxa"/>
            <w:noWrap w:val="0"/>
            <w:vAlign w:val="top"/>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980" w:type="dxa"/>
            <w:noWrap w:val="0"/>
            <w:vAlign w:val="top"/>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980" w:type="dxa"/>
            <w:noWrap w:val="0"/>
            <w:vAlign w:val="top"/>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500-1000</w:t>
            </w:r>
          </w:p>
        </w:tc>
        <w:tc>
          <w:tcPr>
            <w:tcW w:w="1980" w:type="dxa"/>
            <w:noWrap w:val="0"/>
            <w:vAlign w:val="top"/>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980" w:type="dxa"/>
            <w:noWrap w:val="0"/>
            <w:vAlign w:val="top"/>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0.45%</w:t>
            </w:r>
          </w:p>
        </w:tc>
        <w:tc>
          <w:tcPr>
            <w:tcW w:w="1980" w:type="dxa"/>
            <w:noWrap w:val="0"/>
            <w:vAlign w:val="top"/>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1000-5000</w:t>
            </w:r>
          </w:p>
        </w:tc>
        <w:tc>
          <w:tcPr>
            <w:tcW w:w="1980" w:type="dxa"/>
            <w:noWrap w:val="0"/>
            <w:vAlign w:val="top"/>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w:t>
            </w:r>
          </w:p>
        </w:tc>
        <w:tc>
          <w:tcPr>
            <w:tcW w:w="1980" w:type="dxa"/>
            <w:noWrap w:val="0"/>
            <w:vAlign w:val="top"/>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0.25%</w:t>
            </w:r>
          </w:p>
        </w:tc>
        <w:tc>
          <w:tcPr>
            <w:tcW w:w="1980" w:type="dxa"/>
            <w:noWrap w:val="0"/>
            <w:vAlign w:val="top"/>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5000-10000</w:t>
            </w:r>
          </w:p>
        </w:tc>
        <w:tc>
          <w:tcPr>
            <w:tcW w:w="1980" w:type="dxa"/>
            <w:noWrap w:val="0"/>
            <w:vAlign w:val="top"/>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0.25%</w:t>
            </w:r>
          </w:p>
        </w:tc>
        <w:tc>
          <w:tcPr>
            <w:tcW w:w="1980" w:type="dxa"/>
            <w:noWrap w:val="0"/>
            <w:vAlign w:val="top"/>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0.1%</w:t>
            </w:r>
          </w:p>
        </w:tc>
        <w:tc>
          <w:tcPr>
            <w:tcW w:w="1980" w:type="dxa"/>
            <w:noWrap w:val="0"/>
            <w:vAlign w:val="top"/>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10000-100000</w:t>
            </w:r>
          </w:p>
        </w:tc>
        <w:tc>
          <w:tcPr>
            <w:tcW w:w="1980" w:type="dxa"/>
            <w:noWrap w:val="0"/>
            <w:vAlign w:val="top"/>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c>
          <w:tcPr>
            <w:tcW w:w="1980" w:type="dxa"/>
            <w:noWrap w:val="0"/>
            <w:vAlign w:val="top"/>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c>
          <w:tcPr>
            <w:tcW w:w="1980" w:type="dxa"/>
            <w:noWrap w:val="0"/>
            <w:vAlign w:val="top"/>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1000000以上</w:t>
            </w:r>
          </w:p>
        </w:tc>
        <w:tc>
          <w:tcPr>
            <w:tcW w:w="1980" w:type="dxa"/>
            <w:noWrap w:val="0"/>
            <w:vAlign w:val="top"/>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0.01%</w:t>
            </w:r>
          </w:p>
        </w:tc>
        <w:tc>
          <w:tcPr>
            <w:tcW w:w="1980" w:type="dxa"/>
            <w:noWrap w:val="0"/>
            <w:vAlign w:val="top"/>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0.01%</w:t>
            </w:r>
          </w:p>
        </w:tc>
        <w:tc>
          <w:tcPr>
            <w:tcW w:w="1980" w:type="dxa"/>
            <w:noWrap w:val="0"/>
            <w:vAlign w:val="top"/>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0.01%</w:t>
            </w:r>
          </w:p>
        </w:tc>
      </w:tr>
    </w:tbl>
    <w:p>
      <w:pPr>
        <w:keepNext w:val="0"/>
        <w:keepLines w:val="0"/>
        <w:pageBreakBefore w:val="0"/>
        <w:widowControl w:val="0"/>
        <w:shd w:val="clear"/>
        <w:tabs>
          <w:tab w:val="left" w:pos="0"/>
        </w:tabs>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（三）中标供应商服务费交纳信息：</w:t>
      </w:r>
    </w:p>
    <w:p>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采购代理机构开户名称：陕西笃信招标有限公司</w:t>
      </w:r>
    </w:p>
    <w:p>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开户银行：中国建设银行股份有限公司西安劳动北路支行</w:t>
      </w:r>
    </w:p>
    <w:p>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账   号：61050174390000000193</w:t>
      </w:r>
    </w:p>
    <w:p>
      <w:pPr>
        <w:keepNext w:val="0"/>
        <w:keepLines w:val="0"/>
        <w:pageBreakBefore w:val="0"/>
        <w:widowControl w:val="0"/>
        <w:shd w:val="clear"/>
        <w:kinsoku/>
        <w:wordWrap/>
        <w:overflowPunct/>
        <w:topLinePunct w:val="0"/>
        <w:autoSpaceDE w:val="0"/>
        <w:autoSpaceDN w:val="0"/>
        <w:bidi w:val="0"/>
        <w:adjustRightInd w:val="0"/>
        <w:spacing w:line="360" w:lineRule="auto"/>
        <w:ind w:firstLine="482" w:firstLineChars="200"/>
        <w:jc w:val="both"/>
        <w:textAlignment w:val="auto"/>
        <w:outlineLvl w:val="1"/>
        <w:rPr>
          <w:rFonts w:hint="eastAsia" w:ascii="仿宋" w:hAnsi="仿宋" w:eastAsia="仿宋" w:cs="仿宋"/>
          <w:b/>
          <w:color w:val="auto"/>
          <w:sz w:val="24"/>
          <w:szCs w:val="24"/>
          <w:highlight w:val="none"/>
          <w:lang w:val="zh-CN"/>
        </w:rPr>
      </w:pPr>
      <w:bookmarkStart w:id="252" w:name="_Toc32450"/>
      <w:bookmarkStart w:id="253" w:name="_Toc6650"/>
      <w:bookmarkStart w:id="254" w:name="_Toc21712"/>
      <w:bookmarkStart w:id="255" w:name="_Toc13550"/>
      <w:bookmarkStart w:id="256" w:name="_Toc2882"/>
      <w:bookmarkStart w:id="257" w:name="_Toc22638"/>
      <w:bookmarkStart w:id="258" w:name="_Toc11240"/>
      <w:r>
        <w:rPr>
          <w:rFonts w:hint="eastAsia" w:ascii="仿宋" w:hAnsi="仿宋" w:eastAsia="仿宋" w:cs="仿宋"/>
          <w:b/>
          <w:color w:val="auto"/>
          <w:sz w:val="24"/>
          <w:szCs w:val="24"/>
          <w:highlight w:val="none"/>
          <w:lang w:val="zh-CN"/>
        </w:rPr>
        <w:t>十、废标或者采购方式的变更</w:t>
      </w:r>
      <w:bookmarkEnd w:id="250"/>
      <w:bookmarkEnd w:id="251"/>
      <w:bookmarkEnd w:id="252"/>
      <w:bookmarkEnd w:id="253"/>
      <w:bookmarkEnd w:id="254"/>
      <w:bookmarkEnd w:id="255"/>
      <w:bookmarkEnd w:id="256"/>
      <w:bookmarkEnd w:id="257"/>
      <w:bookmarkEnd w:id="258"/>
    </w:p>
    <w:p>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jc w:val="both"/>
        <w:textAlignment w:val="auto"/>
        <w:outlineLvl w:val="2"/>
        <w:rPr>
          <w:rFonts w:hint="eastAsia" w:ascii="仿宋" w:hAnsi="仿宋" w:eastAsia="仿宋" w:cs="仿宋"/>
          <w:color w:val="auto"/>
          <w:sz w:val="24"/>
          <w:szCs w:val="24"/>
          <w:highlight w:val="none"/>
          <w:lang w:val="zh-CN"/>
        </w:rPr>
      </w:pPr>
      <w:bookmarkStart w:id="259" w:name="_Toc18276"/>
      <w:bookmarkStart w:id="260" w:name="_Toc12765"/>
      <w:bookmarkStart w:id="261" w:name="_Toc16112"/>
      <w:bookmarkStart w:id="262" w:name="_Toc4168"/>
      <w:bookmarkStart w:id="263" w:name="_Toc19867"/>
      <w:bookmarkStart w:id="264" w:name="_Toc19552"/>
      <w:r>
        <w:rPr>
          <w:rFonts w:hint="eastAsia" w:ascii="仿宋" w:hAnsi="仿宋" w:eastAsia="仿宋" w:cs="仿宋"/>
          <w:color w:val="auto"/>
          <w:sz w:val="24"/>
          <w:szCs w:val="24"/>
          <w:highlight w:val="none"/>
          <w:lang w:val="zh-CN"/>
        </w:rPr>
        <w:t>（一）废标</w:t>
      </w:r>
      <w:bookmarkEnd w:id="259"/>
      <w:bookmarkEnd w:id="260"/>
      <w:bookmarkEnd w:id="261"/>
      <w:bookmarkEnd w:id="262"/>
      <w:bookmarkEnd w:id="263"/>
      <w:bookmarkEnd w:id="264"/>
    </w:p>
    <w:p>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在招标过程中，提交投标文件或者通过资格审查或符合性审查的供应商只有1家时，按废标处理，重新开展采购活动。</w:t>
      </w:r>
    </w:p>
    <w:p>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jc w:val="both"/>
        <w:textAlignment w:val="auto"/>
        <w:outlineLvl w:val="2"/>
        <w:rPr>
          <w:rFonts w:hint="eastAsia" w:ascii="仿宋" w:hAnsi="仿宋" w:eastAsia="仿宋" w:cs="仿宋"/>
          <w:color w:val="auto"/>
          <w:sz w:val="24"/>
          <w:szCs w:val="24"/>
          <w:highlight w:val="none"/>
          <w:lang w:val="zh-CN"/>
        </w:rPr>
      </w:pPr>
      <w:bookmarkStart w:id="265" w:name="_Toc23755"/>
      <w:bookmarkStart w:id="266" w:name="_Toc10147"/>
      <w:bookmarkStart w:id="267" w:name="_Toc20612"/>
      <w:bookmarkStart w:id="268" w:name="_Toc4528"/>
      <w:bookmarkStart w:id="269" w:name="_Toc25928"/>
      <w:bookmarkStart w:id="270" w:name="_Toc27818"/>
      <w:r>
        <w:rPr>
          <w:rFonts w:hint="eastAsia" w:ascii="仿宋" w:hAnsi="仿宋" w:eastAsia="仿宋" w:cs="仿宋"/>
          <w:color w:val="auto"/>
          <w:sz w:val="24"/>
          <w:szCs w:val="24"/>
          <w:highlight w:val="none"/>
          <w:lang w:val="zh-CN"/>
        </w:rPr>
        <w:t>（二）采购方式的变更</w:t>
      </w:r>
      <w:bookmarkEnd w:id="265"/>
      <w:bookmarkEnd w:id="266"/>
      <w:bookmarkEnd w:id="267"/>
      <w:bookmarkEnd w:id="268"/>
      <w:bookmarkEnd w:id="269"/>
      <w:bookmarkEnd w:id="270"/>
    </w:p>
    <w:p>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根据《政府采购货物和服务招标投标管理办法》第四十三条，公开招标的货物、服务类项目，投标截止后供应商不足三家或者通过资格审查或符合性审查的供应商不足三家的，除采购任务取消情形外，按照以下方式处理：</w:t>
      </w:r>
    </w:p>
    <w:p>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1.招标文件存在不合理条款或者招标程序不符合规定的，采购人、采购代理机构改正后依法重新招标；</w:t>
      </w:r>
    </w:p>
    <w:p>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2.招标文件没有不合理条款、招标程序符合规定，需要采用其他采购方式采购的，采购人应当依法报财政部门批准：</w:t>
      </w:r>
    </w:p>
    <w:p>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①在招标过程中，提交投标文件或者通过资格审查或符合性审查的供应商只有2家时，根据2013年第74号部长令--《政府采购非招标采购方式管理办法》第二十七条和陕西省财政厅陕财办采资（2016）53号文件第七条的规定，经采购人书面请示政府采购管理机构同意后，可以现场转为竞争性谈判继续采购。</w:t>
      </w:r>
    </w:p>
    <w:p>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②如果转为竞争性谈判方式，则原招标文件转为竞争性谈判文件，原</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zh-CN"/>
        </w:rPr>
        <w:t>即为报价人，原投标文件报价作为竞争性谈判的第一次报价，评审方法按照竞争性谈判的评审原则，在质量和服务均能满足招标文件实质性要求的基础上，按照最后报价由低到高的顺序，确定成交候选人。</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2" w:firstLineChars="200"/>
        <w:jc w:val="both"/>
        <w:textAlignment w:val="auto"/>
        <w:outlineLvl w:val="1"/>
        <w:rPr>
          <w:rFonts w:hint="eastAsia" w:ascii="仿宋" w:hAnsi="仿宋" w:eastAsia="仿宋" w:cs="仿宋"/>
          <w:b/>
          <w:color w:val="auto"/>
          <w:sz w:val="24"/>
          <w:szCs w:val="24"/>
          <w:highlight w:val="none"/>
          <w:lang w:val="zh-CN"/>
        </w:rPr>
      </w:pPr>
      <w:bookmarkStart w:id="271" w:name="_Toc22403"/>
      <w:bookmarkStart w:id="272" w:name="_Toc12871"/>
      <w:bookmarkStart w:id="273" w:name="_Toc19640"/>
      <w:bookmarkStart w:id="274" w:name="_Toc206"/>
      <w:bookmarkStart w:id="275" w:name="_Toc29960"/>
      <w:bookmarkStart w:id="276" w:name="_Toc21416"/>
      <w:bookmarkStart w:id="277" w:name="_Toc16329"/>
      <w:bookmarkStart w:id="278" w:name="_Toc5755"/>
      <w:bookmarkStart w:id="279" w:name="_Toc495671239"/>
      <w:r>
        <w:rPr>
          <w:rFonts w:hint="eastAsia" w:ascii="仿宋" w:hAnsi="仿宋" w:eastAsia="仿宋" w:cs="仿宋"/>
          <w:b/>
          <w:color w:val="auto"/>
          <w:sz w:val="24"/>
          <w:szCs w:val="24"/>
          <w:highlight w:val="none"/>
          <w:lang w:val="zh-CN"/>
        </w:rPr>
        <w:t>十一、需要落实的政府采购政策</w:t>
      </w:r>
      <w:bookmarkEnd w:id="271"/>
      <w:bookmarkEnd w:id="272"/>
      <w:bookmarkEnd w:id="273"/>
      <w:bookmarkEnd w:id="274"/>
      <w:bookmarkEnd w:id="275"/>
      <w:bookmarkEnd w:id="276"/>
      <w:bookmarkEnd w:id="277"/>
      <w:bookmarkEnd w:id="278"/>
      <w:bookmarkEnd w:id="279"/>
    </w:p>
    <w:p>
      <w:pPr>
        <w:keepNext w:val="0"/>
        <w:keepLines w:val="0"/>
        <w:pageBreakBefore w:val="0"/>
        <w:widowControl w:val="0"/>
        <w:shd w:val="clear"/>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bookmarkStart w:id="280" w:name="_Toc31691"/>
      <w:bookmarkStart w:id="281" w:name="_Toc19661"/>
      <w:bookmarkStart w:id="282" w:name="_Toc13861"/>
      <w:bookmarkStart w:id="283" w:name="_Toc26022"/>
      <w:bookmarkStart w:id="284" w:name="_Toc5903"/>
      <w:bookmarkStart w:id="285" w:name="_Toc19879"/>
      <w:bookmarkStart w:id="286" w:name="_Toc6204"/>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落实促进支持中小企业、监狱企业、残疾人福利性单位发展、脱贫攻坚工作的政策(如为专门面向中小企业的采购项目（或采购包），不执行</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条款。)</w:t>
      </w:r>
    </w:p>
    <w:p>
      <w:pPr>
        <w:keepNext w:val="0"/>
        <w:keepLines w:val="0"/>
        <w:pageBreakBefore w:val="0"/>
        <w:widowControl w:val="0"/>
        <w:shd w:val="clear"/>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《政府采购促进中小企业发展管理办法》（财库〔2020〕46号）</w:t>
      </w:r>
      <w:r>
        <w:rPr>
          <w:rFonts w:hint="eastAsia" w:ascii="仿宋" w:hAnsi="仿宋" w:eastAsia="仿宋" w:cs="仿宋"/>
          <w:color w:val="auto"/>
          <w:sz w:val="24"/>
          <w:szCs w:val="24"/>
          <w:highlight w:val="none"/>
          <w:lang w:eastAsia="zh-CN"/>
        </w:rPr>
        <w:t>及《关于进一步加大政府采购支持中小企业力度的通知》</w:t>
      </w:r>
      <w:r>
        <w:rPr>
          <w:rFonts w:hint="eastAsia" w:ascii="仿宋" w:hAnsi="仿宋" w:eastAsia="仿宋" w:cs="仿宋"/>
          <w:color w:val="auto"/>
          <w:sz w:val="24"/>
          <w:szCs w:val="24"/>
          <w:highlight w:val="none"/>
        </w:rPr>
        <w:t>（财库〔202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号）</w:t>
      </w:r>
    </w:p>
    <w:p>
      <w:pPr>
        <w:keepNext w:val="0"/>
        <w:keepLines w:val="0"/>
        <w:pageBreakBefore w:val="0"/>
        <w:widowControl w:val="0"/>
        <w:shd w:val="clear"/>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在政府采购活动中，供应商提供的货物、工程或者服务符合下列情形的，享受《办法》规定的中小企业扶持政策:</w:t>
      </w:r>
    </w:p>
    <w:p>
      <w:pPr>
        <w:keepNext w:val="0"/>
        <w:keepLines w:val="0"/>
        <w:pageBreakBefore w:val="0"/>
        <w:widowControl w:val="0"/>
        <w:shd w:val="clear"/>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)在货物采购项目中，货物由中小企业制造，即货物由中小企业生产且使用该中小企业商号或者注册商标；</w:t>
      </w:r>
    </w:p>
    <w:p>
      <w:pPr>
        <w:keepNext w:val="0"/>
        <w:keepLines w:val="0"/>
        <w:pageBreakBefore w:val="0"/>
        <w:widowControl w:val="0"/>
        <w:shd w:val="clear"/>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)在工程采购项目中，工程由中小企业承建，即工程施工单位为中小企业；</w:t>
      </w:r>
    </w:p>
    <w:p>
      <w:pPr>
        <w:keepNext w:val="0"/>
        <w:keepLines w:val="0"/>
        <w:pageBreakBefore w:val="0"/>
        <w:widowControl w:val="0"/>
        <w:shd w:val="clear"/>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)在服务采购项目中，服务由中小企业承接，即提供服务的人员为中小企业依照《中华人民共和国劳动合同法》订立劳动合同的从业人员。</w:t>
      </w:r>
    </w:p>
    <w:p>
      <w:pPr>
        <w:keepNext w:val="0"/>
        <w:keepLines w:val="0"/>
        <w:pageBreakBefore w:val="0"/>
        <w:widowControl w:val="0"/>
        <w:shd w:val="clear"/>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在货物采购项目中，供应商提供的货物既有中小企业制造货物，也有大型企业制造货物的，不享受《办法》规定的中小企业扶持政策。</w:t>
      </w:r>
    </w:p>
    <w:p>
      <w:pPr>
        <w:keepNext w:val="0"/>
        <w:keepLines w:val="0"/>
        <w:pageBreakBefore w:val="0"/>
        <w:widowControl w:val="0"/>
        <w:shd w:val="clear"/>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以联合体形式参加政府采购活动，联合体各方均为中小企业的，联合体视同中小企业。其中，联合体各方均为小微企业的，联合体视同小微企业。</w:t>
      </w:r>
    </w:p>
    <w:p>
      <w:pPr>
        <w:keepNext w:val="0"/>
        <w:keepLines w:val="0"/>
        <w:pageBreakBefore w:val="0"/>
        <w:widowControl w:val="0"/>
        <w:shd w:val="clear"/>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依据《办法》规定享受扶持政策获得政府采购合同的，小微企业不得将合同分包给大中型企业，中型企业不得将合同分包给大型企业。</w:t>
      </w:r>
    </w:p>
    <w:p>
      <w:pPr>
        <w:keepNext w:val="0"/>
        <w:keepLines w:val="0"/>
        <w:pageBreakBefore w:val="0"/>
        <w:widowControl w:val="0"/>
        <w:shd w:val="clear"/>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政府采购促进中小企业发展管理办法》的通知（财库〔2020〕46号）规定，参加政府采购活动的中小企业应当提供《中小企业声明函》。供应商提供的《中小企业声明函》原件必须真实，否则，按照有关规定予以处理。</w:t>
      </w:r>
    </w:p>
    <w:p>
      <w:pPr>
        <w:keepNext w:val="0"/>
        <w:keepLines w:val="0"/>
        <w:pageBreakBefore w:val="0"/>
        <w:widowControl w:val="0"/>
        <w:shd w:val="clear"/>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根据《政府采购促进中小企业发展管理办法》</w:t>
      </w:r>
      <w:r>
        <w:rPr>
          <w:rFonts w:hint="eastAsia" w:ascii="仿宋" w:hAnsi="仿宋" w:eastAsia="仿宋" w:cs="仿宋"/>
          <w:color w:val="auto"/>
          <w:sz w:val="24"/>
          <w:szCs w:val="24"/>
          <w:highlight w:val="none"/>
          <w:lang w:eastAsia="zh-CN"/>
        </w:rPr>
        <w:t>及《</w:t>
      </w:r>
      <w:r>
        <w:rPr>
          <w:rFonts w:hint="eastAsia" w:ascii="仿宋" w:hAnsi="仿宋" w:eastAsia="仿宋" w:cs="仿宋"/>
          <w:color w:val="auto"/>
          <w:sz w:val="24"/>
          <w:szCs w:val="24"/>
          <w:highlight w:val="none"/>
          <w:lang w:val="en-US" w:eastAsia="zh-CN"/>
        </w:rPr>
        <w:t>西安市财政局关于进一步加大政府采购支持中小企业力度的通知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市财函〔2022〕867号</w:t>
      </w:r>
      <w:r>
        <w:rPr>
          <w:rFonts w:hint="eastAsia" w:ascii="仿宋" w:hAnsi="仿宋" w:eastAsia="仿宋" w:cs="仿宋"/>
          <w:color w:val="auto"/>
          <w:sz w:val="24"/>
          <w:szCs w:val="24"/>
          <w:highlight w:val="none"/>
        </w:rPr>
        <w:t>的相关规定，小微企业报价给予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工程项目为3%—5%)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keepNext w:val="0"/>
        <w:keepLines w:val="0"/>
        <w:pageBreakBefore w:val="0"/>
        <w:widowControl w:val="0"/>
        <w:shd w:val="clear"/>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仿宋" w:hAnsi="仿宋" w:eastAsia="仿宋" w:cs="仿宋"/>
          <w:color w:val="auto"/>
          <w:sz w:val="24"/>
          <w:szCs w:val="24"/>
          <w:highlight w:val="none"/>
          <w:lang w:val="en-US" w:eastAsia="zh-CN"/>
        </w:rPr>
        <w:t>4%-6%</w:t>
      </w:r>
      <w:r>
        <w:rPr>
          <w:rFonts w:hint="eastAsia" w:ascii="仿宋" w:hAnsi="仿宋" w:eastAsia="仿宋" w:cs="仿宋"/>
          <w:color w:val="auto"/>
          <w:sz w:val="24"/>
          <w:szCs w:val="24"/>
          <w:highlight w:val="none"/>
        </w:rPr>
        <w:t>(工程项目为1%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keepNext w:val="0"/>
        <w:keepLines w:val="0"/>
        <w:pageBreakBefore w:val="0"/>
        <w:widowControl w:val="0"/>
        <w:shd w:val="clear"/>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《财政部 司法部关于政府采购支持监狱企业发展有关问题的通知》（财库〔2014〕68号）</w:t>
      </w:r>
    </w:p>
    <w:p>
      <w:pPr>
        <w:keepNext w:val="0"/>
        <w:keepLines w:val="0"/>
        <w:pageBreakBefore w:val="0"/>
        <w:widowControl w:val="0"/>
        <w:shd w:val="clear"/>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监狱企业参加政府采购活动时，应当提供由省级以上监狱管理局、戒毒管理局（含新疆生产建设兵团）出具的属于监狱企业的证明文件。在政府采购活动中，监狱企业视同小型、微型企业。</w:t>
      </w:r>
    </w:p>
    <w:p>
      <w:pPr>
        <w:keepNext w:val="0"/>
        <w:keepLines w:val="0"/>
        <w:pageBreakBefore w:val="0"/>
        <w:widowControl w:val="0"/>
        <w:shd w:val="clear"/>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《三部门联合发布关于促进残疾人就业政府采购政策的通知》（财库〔2017〕141号）；</w:t>
      </w:r>
    </w:p>
    <w:p>
      <w:pPr>
        <w:keepNext w:val="0"/>
        <w:keepLines w:val="0"/>
        <w:pageBreakBefore w:val="0"/>
        <w:widowControl w:val="0"/>
        <w:shd w:val="clear"/>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pPr>
        <w:keepNext w:val="0"/>
        <w:keepLines w:val="0"/>
        <w:pageBreakBefore w:val="0"/>
        <w:widowControl w:val="0"/>
        <w:shd w:val="clear"/>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落实优先采购节能、环保产品的政策</w:t>
      </w:r>
    </w:p>
    <w:p>
      <w:pPr>
        <w:keepNext w:val="0"/>
        <w:keepLines w:val="0"/>
        <w:pageBreakBefore w:val="0"/>
        <w:widowControl w:val="0"/>
        <w:shd w:val="clear"/>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《财政部 司法部关于政府采购支持监狱企业发展有关问题的通知》（财库〔2014〕68号）</w:t>
      </w:r>
    </w:p>
    <w:p>
      <w:pPr>
        <w:keepNext w:val="0"/>
        <w:keepLines w:val="0"/>
        <w:pageBreakBefore w:val="0"/>
        <w:widowControl w:val="0"/>
        <w:shd w:val="clear"/>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监狱企业参加政府采购活动时，应当提供由省级以上监狱管理局、戒毒管理局（含新疆生产建设兵团）出具的属于监狱企业的证明文件。在政府采购活动中，监狱企业视同小型、微型企业。</w:t>
      </w:r>
    </w:p>
    <w:p>
      <w:pPr>
        <w:keepNext w:val="0"/>
        <w:keepLines w:val="0"/>
        <w:pageBreakBefore w:val="0"/>
        <w:widowControl w:val="0"/>
        <w:shd w:val="clear"/>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《三部门联合发布关于促进残疾人就业政府采购政策的通知》（财库〔2017〕141号）；</w:t>
      </w:r>
    </w:p>
    <w:p>
      <w:pPr>
        <w:keepNext w:val="0"/>
        <w:keepLines w:val="0"/>
        <w:pageBreakBefore w:val="0"/>
        <w:widowControl w:val="0"/>
        <w:shd w:val="clear"/>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pPr>
        <w:keepNext w:val="0"/>
        <w:keepLines w:val="0"/>
        <w:pageBreakBefore w:val="0"/>
        <w:widowControl w:val="0"/>
        <w:shd w:val="clear"/>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keepNext w:val="0"/>
        <w:keepLines w:val="0"/>
        <w:pageBreakBefore w:val="0"/>
        <w:widowControl w:val="0"/>
        <w:shd w:val="clear"/>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所有投标产品进入“节能产品政府采购品目清单”的，应提供相关证书复印件，相关证书的颁发机构应来自《参与实施政府采购节能产品认证机构名录》。</w:t>
      </w:r>
    </w:p>
    <w:p>
      <w:pPr>
        <w:keepNext w:val="0"/>
        <w:keepLines w:val="0"/>
        <w:pageBreakBefore w:val="0"/>
        <w:widowControl w:val="0"/>
        <w:shd w:val="clear"/>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所有投标产品进入“环境标志产品政府采购品目清单”的，应提供相关证书复印件，相关证书的颁发机构应来自《参与实施政府采购环境标志产品认证机构名录》。</w:t>
      </w:r>
    </w:p>
    <w:p>
      <w:pPr>
        <w:keepNext w:val="0"/>
        <w:keepLines w:val="0"/>
        <w:pageBreakBefore w:val="0"/>
        <w:widowControl w:val="0"/>
        <w:shd w:val="clear"/>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政府采购信用融资政策</w:t>
      </w:r>
    </w:p>
    <w:p>
      <w:pPr>
        <w:keepNext w:val="0"/>
        <w:keepLines w:val="0"/>
        <w:pageBreakBefore w:val="0"/>
        <w:widowControl w:val="0"/>
        <w:shd w:val="clear"/>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了支持和促进中小企业发展，进一步发挥政府采购政策功能作用，有效缓解中小企业融资难、融资贵问题，根据陕西省财政厅关于印发《陕西省中小企业政府采购信用融资办法》陕财办采〔2018〕23号以及依据《陕西省财政厅关于加快推进我省中小企业政府采购信用融资工作的通知》（陕财办采[2020]15号）。规定，中小型企业供应商有融资需求的，可以自由按照财政部门的规定，在“陕西政府采购信用融资平台（含各市分平台）”查询并按信用融资办法的相关程序申请办理。</w:t>
      </w:r>
    </w:p>
    <w:p>
      <w:pPr>
        <w:keepNext w:val="0"/>
        <w:keepLines w:val="0"/>
        <w:pageBreakBefore w:val="0"/>
        <w:widowControl w:val="0"/>
        <w:shd w:val="clear"/>
        <w:kinsoku/>
        <w:wordWrap/>
        <w:overflowPunct/>
        <w:topLinePunct w:val="0"/>
        <w:bidi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陕西省中小企业政府采购信用担保政策</w:t>
      </w:r>
    </w:p>
    <w:p>
      <w:pPr>
        <w:keepNext w:val="0"/>
        <w:keepLines w:val="0"/>
        <w:pageBreakBefore w:val="0"/>
        <w:widowControl w:val="0"/>
        <w:shd w:val="clear"/>
        <w:kinsoku/>
        <w:wordWrap/>
        <w:overflowPunct/>
        <w:topLinePunct w:val="0"/>
        <w:bidi w:val="0"/>
        <w:snapToGrid w:val="0"/>
        <w:spacing w:line="360" w:lineRule="auto"/>
        <w:ind w:firstLine="480" w:firstLineChars="200"/>
        <w:jc w:val="both"/>
        <w:textAlignment w:val="auto"/>
        <w:rPr>
          <w:rFonts w:hint="eastAsia"/>
          <w:color w:val="auto"/>
          <w:highlight w:val="none"/>
        </w:rPr>
      </w:pPr>
      <w:r>
        <w:rPr>
          <w:rFonts w:hint="eastAsia" w:ascii="仿宋" w:hAnsi="仿宋" w:eastAsia="仿宋" w:cs="仿宋"/>
          <w:color w:val="auto"/>
          <w:sz w:val="24"/>
          <w:szCs w:val="24"/>
          <w:highlight w:val="none"/>
        </w:rPr>
        <w:t>如属于政府采购信用担保范围内，中小型企业供应商可以自由按照财政部门的规定，采用履约担保和融资担保。</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2" w:firstLineChars="200"/>
        <w:jc w:val="both"/>
        <w:textAlignment w:val="auto"/>
        <w:outlineLvl w:val="1"/>
        <w:rPr>
          <w:rFonts w:hint="eastAsia" w:ascii="仿宋" w:hAnsi="仿宋" w:eastAsia="仿宋" w:cs="仿宋"/>
          <w:b/>
          <w:color w:val="auto"/>
          <w:sz w:val="24"/>
          <w:szCs w:val="24"/>
          <w:highlight w:val="none"/>
          <w:lang w:val="zh-CN"/>
        </w:rPr>
      </w:pPr>
      <w:bookmarkStart w:id="287" w:name="_Toc3946"/>
      <w:bookmarkStart w:id="288" w:name="_Toc6895"/>
      <w:r>
        <w:rPr>
          <w:rFonts w:hint="eastAsia" w:ascii="仿宋" w:hAnsi="仿宋" w:eastAsia="仿宋" w:cs="仿宋"/>
          <w:b/>
          <w:color w:val="auto"/>
          <w:sz w:val="24"/>
          <w:szCs w:val="24"/>
          <w:highlight w:val="none"/>
          <w:lang w:val="zh-CN"/>
        </w:rPr>
        <w:t>十二、质疑与投诉</w:t>
      </w:r>
      <w:bookmarkEnd w:id="280"/>
      <w:bookmarkEnd w:id="281"/>
      <w:bookmarkEnd w:id="282"/>
      <w:bookmarkEnd w:id="283"/>
      <w:bookmarkEnd w:id="284"/>
      <w:bookmarkEnd w:id="285"/>
      <w:bookmarkEnd w:id="286"/>
      <w:bookmarkEnd w:id="287"/>
      <w:bookmarkEnd w:id="288"/>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0" w:firstLineChars="200"/>
        <w:jc w:val="both"/>
        <w:textAlignment w:val="auto"/>
        <w:outlineLvl w:val="2"/>
        <w:rPr>
          <w:rFonts w:hint="eastAsia" w:ascii="仿宋" w:hAnsi="仿宋" w:eastAsia="仿宋" w:cs="仿宋"/>
          <w:bCs/>
          <w:color w:val="auto"/>
          <w:sz w:val="24"/>
          <w:szCs w:val="24"/>
          <w:highlight w:val="none"/>
          <w:lang w:val="zh-CN"/>
        </w:rPr>
      </w:pPr>
      <w:bookmarkStart w:id="289" w:name="_Toc31018"/>
      <w:bookmarkStart w:id="290" w:name="_Toc8990"/>
      <w:bookmarkStart w:id="291" w:name="_Toc23643"/>
      <w:bookmarkStart w:id="292" w:name="_Toc6521"/>
      <w:bookmarkStart w:id="293" w:name="_Toc6295"/>
      <w:bookmarkStart w:id="294" w:name="_Toc2942"/>
      <w:bookmarkStart w:id="295" w:name="_Toc5806"/>
      <w:r>
        <w:rPr>
          <w:rFonts w:hint="eastAsia" w:ascii="仿宋" w:hAnsi="仿宋" w:eastAsia="仿宋" w:cs="仿宋"/>
          <w:bCs/>
          <w:color w:val="auto"/>
          <w:sz w:val="24"/>
          <w:szCs w:val="24"/>
          <w:highlight w:val="none"/>
          <w:lang w:val="zh-CN"/>
        </w:rPr>
        <w:t>（一）质疑</w:t>
      </w:r>
      <w:bookmarkEnd w:id="289"/>
      <w:bookmarkEnd w:id="290"/>
      <w:bookmarkEnd w:id="291"/>
      <w:bookmarkEnd w:id="292"/>
      <w:bookmarkEnd w:id="293"/>
      <w:bookmarkEnd w:id="294"/>
      <w:bookmarkEnd w:id="295"/>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1、供应商认为招标文件、招标过程或中标结果使自身的合法权益受到损害，可以在法定期限内，以书面形式向采购代理机构或采购人提出质疑。</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（1）提出质疑应当提交质疑函和必要的证明材料，质疑函应当包括以下主要内容：</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 xml:space="preserve">①供应商的姓名或者名称、地址、邮编、联系人及联系电话；②质疑项目的名称、编号；③具体、明确的质疑事项和与质疑事项相关的请求；④事实依据；⑤必要的法律依据；⑥提出质疑的日期。 </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（2）质疑函应当由法定代表人签字并加盖公章，公章不得以合同章或其他印章代替。</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（3）质疑人可以委托代理人办理质疑事项，代理人办理质疑事项时，除提交质疑函外，还应当提交法人授权委托书及代理人的有效身份证明，授权委托书应当载明委托代理的具体权限和事项。</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（4）有下列情形之一的，属于无效质疑：</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①质疑人不是参与本次政府采购项目的供应商或潜在供应商；</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②质疑人与质疑事项不存在利害关系的；</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③未在法定期限内提出质疑的；</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④质疑未以书面形式提出，或质疑函主要内容构成不完整的；</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⑤质疑函没有合法有效的签字、盖章或授权的；</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⑥以非法手段取得证据、材料的；</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⑦质疑答复后，同一质疑人就同一事项再次提出质疑的；</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⑧不符合法律、法规、规章和政府采购监管机构规定的其他条件的。</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2、符合要求的质疑，采购代理机构将予以受理并答复，具体联系方式如下：</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zh-CN"/>
        </w:rPr>
        <w:t>联系人：李纪旋、</w:t>
      </w:r>
      <w:r>
        <w:rPr>
          <w:rFonts w:hint="eastAsia" w:ascii="仿宋" w:hAnsi="仿宋" w:eastAsia="仿宋" w:cs="仿宋"/>
          <w:bCs/>
          <w:color w:val="auto"/>
          <w:sz w:val="24"/>
          <w:szCs w:val="24"/>
          <w:highlight w:val="none"/>
          <w:lang w:val="en-US" w:eastAsia="zh-CN"/>
        </w:rPr>
        <w:t>黄安舒</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zh-CN"/>
        </w:rPr>
        <w:t>联系电话：029-</w:t>
      </w:r>
      <w:r>
        <w:rPr>
          <w:rFonts w:hint="eastAsia" w:ascii="仿宋" w:hAnsi="仿宋" w:eastAsia="仿宋" w:cs="仿宋"/>
          <w:bCs/>
          <w:color w:val="auto"/>
          <w:sz w:val="24"/>
          <w:szCs w:val="24"/>
          <w:highlight w:val="none"/>
        </w:rPr>
        <w:t>86253389、17782840194</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邮箱：</w:t>
      </w:r>
      <w:r>
        <w:rPr>
          <w:rFonts w:hint="eastAsia" w:ascii="仿宋" w:hAnsi="仿宋" w:eastAsia="仿宋" w:cs="仿宋"/>
          <w:bCs/>
          <w:color w:val="auto"/>
          <w:sz w:val="24"/>
          <w:szCs w:val="24"/>
          <w:highlight w:val="none"/>
          <w:lang w:val="en-US" w:eastAsia="zh-CN"/>
        </w:rPr>
        <w:t>2059407584@</w:t>
      </w:r>
      <w:r>
        <w:rPr>
          <w:rFonts w:hint="eastAsia" w:ascii="仿宋" w:hAnsi="仿宋" w:eastAsia="仿宋" w:cs="仿宋"/>
          <w:bCs/>
          <w:color w:val="auto"/>
          <w:sz w:val="24"/>
          <w:szCs w:val="24"/>
          <w:highlight w:val="none"/>
        </w:rPr>
        <w:t>qq.com</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zh-CN"/>
        </w:rPr>
        <w:t>地址</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zh-CN"/>
        </w:rPr>
        <w:t>西安市经济技术开发区凤城十一路与文景路十字文景商务广场</w:t>
      </w:r>
      <w:r>
        <w:rPr>
          <w:rFonts w:hint="eastAsia" w:ascii="仿宋" w:hAnsi="仿宋" w:eastAsia="仿宋" w:cs="仿宋"/>
          <w:bCs/>
          <w:color w:val="auto"/>
          <w:sz w:val="24"/>
          <w:szCs w:val="24"/>
          <w:highlight w:val="none"/>
        </w:rPr>
        <w:t>B</w:t>
      </w:r>
      <w:r>
        <w:rPr>
          <w:rFonts w:hint="eastAsia" w:ascii="仿宋" w:hAnsi="仿宋" w:eastAsia="仿宋" w:cs="仿宋"/>
          <w:bCs/>
          <w:color w:val="auto"/>
          <w:sz w:val="24"/>
          <w:szCs w:val="24"/>
          <w:highlight w:val="none"/>
          <w:lang w:val="zh-CN"/>
        </w:rPr>
        <w:t>座</w:t>
      </w:r>
      <w:r>
        <w:rPr>
          <w:rFonts w:hint="eastAsia" w:ascii="仿宋" w:hAnsi="仿宋" w:eastAsia="仿宋" w:cs="仿宋"/>
          <w:bCs/>
          <w:color w:val="auto"/>
          <w:sz w:val="24"/>
          <w:szCs w:val="24"/>
          <w:highlight w:val="none"/>
        </w:rPr>
        <w:t>8</w:t>
      </w:r>
      <w:r>
        <w:rPr>
          <w:rFonts w:hint="eastAsia" w:ascii="仿宋" w:hAnsi="仿宋" w:eastAsia="仿宋" w:cs="仿宋"/>
          <w:bCs/>
          <w:color w:val="auto"/>
          <w:sz w:val="24"/>
          <w:szCs w:val="24"/>
          <w:highlight w:val="none"/>
          <w:lang w:val="zh-CN"/>
        </w:rPr>
        <w:t>层陕西笃信招标有限公司</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采购代理机构或采购人将在收到书面质疑后7个工作日内做出答复，并以书面形式通知质疑人和其他有关供应商。</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0" w:firstLineChars="200"/>
        <w:jc w:val="both"/>
        <w:textAlignment w:val="auto"/>
        <w:outlineLvl w:val="2"/>
        <w:rPr>
          <w:rFonts w:hint="eastAsia" w:ascii="仿宋" w:hAnsi="仿宋" w:eastAsia="仿宋" w:cs="仿宋"/>
          <w:bCs/>
          <w:color w:val="auto"/>
          <w:sz w:val="24"/>
          <w:szCs w:val="24"/>
          <w:highlight w:val="none"/>
          <w:lang w:val="zh-CN"/>
        </w:rPr>
      </w:pPr>
      <w:bookmarkStart w:id="296" w:name="_Toc26510"/>
      <w:bookmarkStart w:id="297" w:name="_Toc32713"/>
      <w:bookmarkStart w:id="298" w:name="_Toc17782"/>
      <w:bookmarkStart w:id="299" w:name="_Toc11431"/>
      <w:bookmarkStart w:id="300" w:name="_Toc5958"/>
      <w:bookmarkStart w:id="301" w:name="_Toc27095"/>
      <w:bookmarkStart w:id="302" w:name="_Toc18625"/>
      <w:r>
        <w:rPr>
          <w:rFonts w:hint="eastAsia" w:ascii="仿宋" w:hAnsi="仿宋" w:eastAsia="仿宋" w:cs="仿宋"/>
          <w:bCs/>
          <w:color w:val="auto"/>
          <w:sz w:val="24"/>
          <w:szCs w:val="24"/>
          <w:highlight w:val="none"/>
          <w:lang w:val="zh-CN"/>
        </w:rPr>
        <w:t>（二）投诉</w:t>
      </w:r>
      <w:bookmarkEnd w:id="296"/>
      <w:bookmarkEnd w:id="297"/>
      <w:bookmarkEnd w:id="298"/>
      <w:bookmarkEnd w:id="299"/>
      <w:bookmarkEnd w:id="300"/>
      <w:bookmarkEnd w:id="301"/>
      <w:bookmarkEnd w:id="302"/>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1、质疑人对采购代理机构或采购人的答复不满意，以及采购代理机构或采购人未在规定时间内做出答复的，可以在答复期满后15个工作日内向政府采购监管机构提出投诉。</w:t>
      </w:r>
    </w:p>
    <w:p>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color w:val="auto"/>
          <w:highlight w:val="none"/>
          <w:lang w:val="zh-CN"/>
        </w:rPr>
      </w:pPr>
      <w:r>
        <w:rPr>
          <w:rFonts w:hint="eastAsia" w:ascii="仿宋" w:hAnsi="仿宋" w:eastAsia="仿宋" w:cs="仿宋"/>
          <w:bCs/>
          <w:color w:val="auto"/>
          <w:sz w:val="24"/>
          <w:szCs w:val="24"/>
          <w:highlight w:val="none"/>
          <w:lang w:val="zh-CN"/>
        </w:rPr>
        <w:t>2、投诉的事项不得超出已质疑事项的范围。</w:t>
      </w:r>
    </w:p>
    <w:p>
      <w:pPr>
        <w:shd w:val="clear"/>
        <w:autoSpaceDE w:val="0"/>
        <w:autoSpaceDN w:val="0"/>
        <w:adjustRightInd w:val="0"/>
        <w:snapToGrid w:val="0"/>
        <w:spacing w:line="360" w:lineRule="auto"/>
        <w:ind w:firstLine="420" w:firstLineChars="200"/>
        <w:rPr>
          <w:rFonts w:hint="eastAsia" w:ascii="仿宋" w:hAnsi="仿宋" w:eastAsia="仿宋" w:cs="仿宋"/>
          <w:color w:val="auto"/>
          <w:highlight w:val="none"/>
          <w:lang w:val="zh-CN"/>
        </w:rPr>
      </w:pPr>
    </w:p>
    <w:p>
      <w:pPr>
        <w:pStyle w:val="8"/>
        <w:keepNext w:val="0"/>
        <w:keepLines w:val="0"/>
        <w:pageBreakBefore/>
        <w:widowControl w:val="0"/>
        <w:shd w:val="clear"/>
        <w:kinsoku/>
        <w:wordWrap/>
        <w:overflowPunct/>
        <w:topLinePunct w:val="0"/>
        <w:autoSpaceDE/>
        <w:autoSpaceDN/>
        <w:bidi w:val="0"/>
        <w:adjustRightInd/>
        <w:snapToGrid/>
        <w:textAlignment w:val="auto"/>
        <w:rPr>
          <w:rFonts w:hint="eastAsia" w:ascii="仿宋" w:hAnsi="仿宋" w:eastAsia="仿宋" w:cs="仿宋"/>
          <w:color w:val="auto"/>
          <w:sz w:val="32"/>
          <w:szCs w:val="32"/>
          <w:highlight w:val="none"/>
        </w:rPr>
        <w:sectPr>
          <w:headerReference r:id="rId3" w:type="default"/>
          <w:footerReference r:id="rId4" w:type="default"/>
          <w:pgSz w:w="11906" w:h="16838"/>
          <w:pgMar w:top="1417" w:right="1701" w:bottom="1417" w:left="1701" w:header="851" w:footer="992" w:gutter="0"/>
          <w:pgBorders>
            <w:top w:val="none" w:sz="0" w:space="0"/>
            <w:left w:val="none" w:sz="0" w:space="0"/>
            <w:bottom w:val="none" w:sz="0" w:space="0"/>
            <w:right w:val="none" w:sz="0" w:space="0"/>
          </w:pgBorders>
          <w:pgNumType w:fmt="decimal"/>
          <w:cols w:space="720" w:num="1"/>
          <w:docGrid w:linePitch="312" w:charSpace="0"/>
        </w:sectPr>
      </w:pPr>
      <w:bookmarkStart w:id="303" w:name="_Toc10487"/>
      <w:bookmarkStart w:id="304" w:name="_Toc21287"/>
      <w:bookmarkStart w:id="305" w:name="_Toc32356"/>
      <w:bookmarkStart w:id="306" w:name="_Toc16390"/>
      <w:bookmarkStart w:id="307" w:name="_Toc2506"/>
      <w:bookmarkStart w:id="308" w:name="_Toc92"/>
      <w:bookmarkStart w:id="309" w:name="_Toc475451545"/>
      <w:bookmarkStart w:id="310" w:name="_Toc19653"/>
    </w:p>
    <w:bookmarkEnd w:id="303"/>
    <w:bookmarkEnd w:id="304"/>
    <w:bookmarkEnd w:id="305"/>
    <w:bookmarkEnd w:id="306"/>
    <w:bookmarkEnd w:id="307"/>
    <w:bookmarkEnd w:id="308"/>
    <w:bookmarkEnd w:id="309"/>
    <w:bookmarkEnd w:id="310"/>
    <w:p>
      <w:pPr>
        <w:pageBreakBefore/>
        <w:numPr>
          <w:ilvl w:val="0"/>
          <w:numId w:val="0"/>
        </w:numPr>
        <w:shd w:val="clear"/>
        <w:adjustRightInd w:val="0"/>
        <w:snapToGrid w:val="0"/>
        <w:spacing w:line="360" w:lineRule="auto"/>
        <w:jc w:val="center"/>
        <w:outlineLvl w:val="0"/>
        <w:rPr>
          <w:rFonts w:hint="eastAsia" w:ascii="仿宋" w:hAnsi="仿宋" w:eastAsia="仿宋" w:cs="仿宋"/>
          <w:b/>
          <w:color w:val="auto"/>
          <w:sz w:val="32"/>
          <w:szCs w:val="32"/>
          <w:highlight w:val="none"/>
          <w:lang w:val="zh-CN" w:eastAsia="zh-CN"/>
        </w:rPr>
      </w:pPr>
      <w:bookmarkStart w:id="311" w:name="_Toc2581"/>
      <w:bookmarkStart w:id="312" w:name="_Toc10479"/>
      <w:bookmarkStart w:id="313" w:name="_Toc5583"/>
      <w:bookmarkStart w:id="314" w:name="_Toc8548"/>
      <w:bookmarkStart w:id="315" w:name="_Toc14093"/>
      <w:bookmarkStart w:id="316" w:name="_Toc30412"/>
      <w:bookmarkStart w:id="317" w:name="_Toc475451547"/>
      <w:bookmarkStart w:id="318" w:name="_Toc25524"/>
      <w:bookmarkStart w:id="319" w:name="_Toc20745"/>
      <w:bookmarkStart w:id="320" w:name="_Toc23736"/>
      <w:bookmarkStart w:id="321" w:name="_Toc15680"/>
      <w:bookmarkStart w:id="322" w:name="_Toc6869"/>
      <w:r>
        <w:rPr>
          <w:rFonts w:hint="eastAsia" w:ascii="仿宋" w:hAnsi="仿宋" w:eastAsia="仿宋" w:cs="仿宋"/>
          <w:b/>
          <w:color w:val="auto"/>
          <w:sz w:val="32"/>
          <w:szCs w:val="32"/>
          <w:highlight w:val="none"/>
          <w:lang w:val="en-US" w:eastAsia="zh-CN"/>
        </w:rPr>
        <w:t xml:space="preserve">第三部分  </w:t>
      </w:r>
      <w:r>
        <w:rPr>
          <w:rFonts w:hint="eastAsia" w:ascii="仿宋" w:hAnsi="仿宋" w:eastAsia="仿宋" w:cs="仿宋"/>
          <w:b/>
          <w:color w:val="auto"/>
          <w:sz w:val="32"/>
          <w:szCs w:val="32"/>
          <w:highlight w:val="none"/>
          <w:lang w:val="zh-CN" w:eastAsia="zh-CN"/>
        </w:rPr>
        <w:t>招标内容及要求</w:t>
      </w:r>
      <w:bookmarkEnd w:id="311"/>
    </w:p>
    <w:p>
      <w:pPr>
        <w:pStyle w:val="9"/>
        <w:keepNext/>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default"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一、录播室</w:t>
      </w:r>
    </w:p>
    <w:tbl>
      <w:tblPr>
        <w:tblStyle w:val="21"/>
        <w:tblW w:w="86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4"/>
        <w:gridCol w:w="1577"/>
        <w:gridCol w:w="4811"/>
        <w:gridCol w:w="434"/>
        <w:gridCol w:w="525"/>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录播室</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参数</w:t>
            </w: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7"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嵌入式录播跟踪主机</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 主机采用嵌入式架构设计，Linux系统；外形工业化1U机架式设计标准，前面板液晶屏显示相关参数。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 主机支持内置MCU模块，支持同时≧4点在线互动。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 主机至少支持3种远程互动方式，广域网远程互动、H.323远程互动、云平台远程互动。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 摄像机拍摄的视频信号采用SDI，主机支持6路HD-SDI视频输入，1路VGA或1路HDMI信号输入，1路RTMP/RTSP网络流视频输入。支持1路HDMI输出，1路VGA输出，一路CVBS标清输出。                                                           5. 主机支持内嵌音频处理模块，采用ACC音频编码，采样率44.1KHz。                                                                                                                                                 6. 主机至少支持1路音频线路输入，2路MIC输入（带幻象供电），1路音频线路输出，1路3.5mm监听输出。                                                  7. 支持H.264 High Profile视频编码标准格式；支持全高清1080P60帧及标清2种模式录制，可实时切换录制模式；                                                                                                                                 8. 支持RTMP流、RTST流实时网络发布。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 录制保存文件MP4，TS格式标准，支持内置存储硬盘1T。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 主机支持USB3.0传输接口，教师插入U盘可直接下载录播主机内录制的视频文件。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 支持5个RS-232接口，支持1个RS-485接口；支持1个RJ45接口10M/100M/1000M自适应以太网口。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12. 支持TCP/IP，HTTP，DHCP，NTP标准协议。 </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3"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录播主机嵌入式控制软件</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1.采用B/S架构设计，可远程登陆互动录播主机系统。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2.支持开始录制，暂停录制，停止录制基本控制；支持≧7路预监画面窗口显示，包含pvm和pgm画面和≧5路信号输入源画面；支持电影模式，资源模式录制；支持全自动导播，手动导播二种导播模式。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3.支持对录制结束文件点播回放，并在本地导播系统界面可直接观看回放视频。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4.支持对接自动跟踪图像系统，全自动导播跟踪系统图像。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5.支持单画面、画中画、二分屏、三分屏、四分屏、六分屏等多种画面组合播出；支持通道名称自由设置；支持字幕插入功能；支持透明台标，台标位置可调；支持片头字幕，片头图片，背景图片叠加；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6.支持主机VGA输出接口直接输出导播界面，USB接口接入鼠标完成本地导播。                                                                 7.支持本地导播系统界面需自带虚拟软键盘，无需外接USB键盘，即可进行中英文输入及相关操作功能。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8.支持在线视频剪辑功能；支持≧20余种特效切换。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 支持调节音频信号大小，控制；支持控制远程云台摄像机，包含镜头移动，焦距调节，设置预置位等；支持相关视频参数设置，包含分辨率，码流，帧率等。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 支持视频断电保护功能，可在意外断电导致系统中断录制的情况下，恢复保存中断前录制的文件。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3"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视频导播软件</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视频导播软件模块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1、导播软件支持预监窗口模式，可对录制主画面/直播主画面在切换前进行添加logo等操作，同时进行摄像机画面的对焦控制；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2、支持字幕功能：字幕支持字体、大小及颜色自主选择，支持滚动字幕，滚动字幕方向：垂直/水平，从上往下/从下往上， 从左往右，从右往左等；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3、为了方便用户导播控制，系统可配备“全景、小全景、中景、特写”等快捷按钮，操作者可提前自定义各按钮的缩放倍数，在上课时通过“全景、小全景、中景、特写”按钮进行快捷的摄像机镜头倍数缩放；</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4、支持台标、横幅功能添加，图像切换时左边进入、淡进淡出、百叶窗等30多种特效功能；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5、支持画中画、双分屏、三分屏、四分屏、五分屏等画面的显示模式；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6、支持互动模式的自动切换，可以实现自动切换到互动画面；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7、支持系统日志查询下载、支持恢复默认的数据库文件、支持批量删除视频功能，支持清空视频文件及日志文件，使之恢复出厂默认状态；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录播编导软件模块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1、支持压缩比例配置；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2、支持资源文件的添加：mp4、flv、ts、mp3、mp2、acc、pcm、jpg、bmp、png等格式；支持预览图的上传：jpg、jpeg、bmp、gif、png、svg、emf、psd、tiff等格式；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3、支持片头片尾制作、字幕添加等功能；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4、支持横幅、logo的编辑制作管理等功能；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5、支持VGA屏幕微调及查看VGA分辨率功能，能更好的适应不同分辨率需求；</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8"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图像跟踪控制软件</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自动跟踪系统中全自动录播中的子系统，负责向全自动录播系统提供教师、学生行为信息，供全自动录播系统进行全自动导播。</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老师自动跟踪：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1)智能图像分析跟踪：智能图像分析算法、老师无需佩戴任何辅助设备，真正做到常态化；</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2)跟踪模式与定位：点定位、区域定位、立体定位、移动侦测，自动跟踪教师上讲台、下讲台、移动、站立静立；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3)在无需板书定位摄像机时，支持板书特写；</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4)支持单机位跟踪、双机位跟踪、多机位跟踪模式。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5)支持左右板书跟踪。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学生自动跟踪：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图像分析与人脸识别算法，自动识别学生起立、坐下、多目人起立、教师在学生区走动等行为。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抗干扰：免装修环境、自动识别窗帘移动、光线变化等。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1)同时支持双目定位与单目定位图像分析算法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2)自动捕捉单人站起、坐下，单人到多人，多人到单人等课堂场景；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3)内嵌人脸自动识别，避免光线变化误报；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4)自动跟踪教师下讲台后，在学生区走动跟踪；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5)支持单机位跟踪、双机位跟踪。</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8"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数字音频矩阵</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1、八路麦克风接入、一路LINE，支持8路48V幻像供电</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2、话筒连接方式：8路卡龙母插座。输出连接：线路莲花输出，卡龙平衡输出。8路话筒输入每路独立灵敏度调节。八路话筒每路独立输入音量调节。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3、八路话筒优先级设置。环境噪声消除功能，自动降噪功能，不发言通道电平自动衰减，有效降噪。话筒输入失真：≦0.1%(额定输出)。频率响应：50Hz～18KHz。噪声电压：≦0.2mV；输入灵敏度：-38dB~-50dB；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4、输入阻抗：麦克风8KΩ系统输入20KΩ；输出阻抗：平衡200Ω，不平衡 300Ω，LINE 200Ω；消耗功率：12W；开关/指示：船型开关，面板电源指示灯，每路话筒声控激励五级指示总音量、高音、中音、低音独立调节。</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9"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麦克风</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1、类型： 电容式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2、指向性： 心型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3、频率响应： 50Hz~16kHz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4、灵敏度： -47dB±3dB(0dB=1V/Pa@1kHz)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5、输出阻抗： 2.2kΩ（at 1kHz）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6、使用电压： 9-48V幻像供电</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7、工作温度/贮藏温度： 0-45℃/-20-70℃(32 - 113 °F/-4 to 158 °F)</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8、工作湿度/贮藏湿度： 10%-90%(非凝结)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9、输出连接器/线缆：标准XLR-3公型/双绞屏蔽MIC电缆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10、颜色： 亚光黑色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11、尺寸： Φ20×142mm</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跟踪分析摄像机</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1、传感器类型：1/3" CMOS；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2、最小照度：0.01Lux @(F1.2,AGC ON)；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3、快门：1/3秒至1/100,000秒；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4、镜头：2.8mm；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5、镜头接口类型：M12；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6、调整角度：水平:0°~360°；垂直:0°~ 75°；旋转:0°~360°；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7、视频压缩标准：H.264/MJPEG；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8、压缩输出码率：32 Kbps~8Mbps；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9、为了更好的满足系统的兼容性，所投产品与录播主机同一品牌；</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7"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高清全景摄像机</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1、图像传感器：1/2.5英寸CMOS，≧857万像素；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2、学生镜头：≧3.4mm；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3、水平视场角：水平≧82°，垂直≧52°；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4、最低照度：1Lux；</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5、信噪比：&gt;50dB；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6、快门速度：1/1到1/10,000秒；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7、曝光模式：自动，手动，快门优先，光圈优先；</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8、音频接口：≧1路LINE IN，ACC编码；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9、网络接口：≧RJ45 10/100M，支持POE供电；</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10、USB接口：≧1路USB；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11、控制协议：支持VISCA/PELCO协议；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12、网络协议：支持HTTP, TCP, UDP, RTSP,RTMP,ONVIF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13、支持4K@30帧的网络H265/H264视频输出；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14、支持4码流：即特写双码流和全景双码流，并可支持特写和全景同时RTMP推流；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15、支持电子云台控制；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16、支持老师跟踪功能，单摄像机同时实现全景景别和跟踪特写景别拍摄；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17、为了更好的满足系统的兼容性提供的产品与录播主机同一品牌；</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9"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高清云台摄像机</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1、成像器件：1/2.8" CMOS；有效像素：≧214万像素；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2、镜头：光学变焦≧20倍，数字变焦≧12倍；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3、焦距：f=4.7–94.0mm；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4、光圈：F1.6–F3.5；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5、视场角：59.5°- 2.9°；</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6、最低照度：0.5lux（彩色），0.1lux（黑白）；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7、信噪比：≧50dB；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8、支持2D/3D数字降噪，支持背光补偿，支持宽动态；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9、水平范围：-170°~+170°，垂直范围：-30°~+90°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10、水平转动速度：0.1°~120°/秒，垂直转动速度：0.1°~80°/秒；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11、视频格式：1080P60、1080P50、1080I60、1080I50、1080P30、1080P25、720P60、720P50；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12、视频编码：支持H.265、H.264网络视频编码，支持双码流；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13、网络协议：支持HTTP， TCP， UDP，RTSP，RTMP，ONVIF；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14、视频输出：≧1路3G-SDI接口，≧1路HDMI接口；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15、音频接口：≧1路 LINE IN，≧1路LINE OUT；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16、网络接口：≧1路0M/100M自适应以太网接口，可支持POE；</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17、控制接口：支持RS232/RS422/RS485；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18、红外接口：支持红外信号透传输出接口；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19、控制协议：VISCA / PELCO-P / PELCO-D；</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20、为了更好的满足系统的兼容性，所投产品与录播主机同一品牌；</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网络集中控制器</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控制面板是一款录播扩展设备，它既有中控设备、导播设备的导播控制功能。不仅可以嵌入到教室黑板墙上，也可以安装在讲台上，体积小不占空间，方便老师独立操作拍摄。</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3"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资源管理平台</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 系统基于B/S架构，可以在Windows，Mac，Android等多种平台下运行。</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 具有资源共享，用户管理、权限设置、资源分类等功能，并具有新闻发布、资源下载、热门课程推荐、智能搜索等功能，支持数据库扩展。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 用户管理：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1）支持分角色建立账号，用户多级权限管理，用户分组管理，用户个人信息设置管理等。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 支持批量导入角色信息。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 资源管理：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 支持与录播系统无缝对接，录播资源手动，自动方式上传至平台，平台支持扩容功能，对录播教室数量接入无限制。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2）支持预约自动直播，录播功能。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3）支持资源审核功能和审核管理功能。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4）支持远程管理录播设备，录播设备参数设置，远程导播，远程开关机等操作。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5）支持媒体资源分类管理，可对不同资源按出版社，年级，学科等分类，也可根据关注度，点击量等不同自动排列相应列表。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6）支持快速检索，模糊搜索功能，可通过关键词搜索相关媒体资源文件。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7）支持视频专辑创建管理功能，不同角色可对视频资源进行分类整合，形成专辑模式供在线查看。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8）支持点播录播系统自动上传视频资源。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9）支持批量上传客户端工具，教师可通过客户端软件批量上传视频文件到平台，支持多种视频文件格式，支持自动转码转换为MP4标准格式。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10）支持上传视频打点标记，分段下载，可对视频不同的知识点和教学环节进行视频标记打点，方便用户点播时快速查看该知识点及教学环节。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支持个人空间建设管理功能，个人空间模块化设置，支持个人资源管理，发布，分享，管理，编辑等功能，具有我的消息，我的资源（上传文件，分享资源，资源管理等），我的共享，他人共享，我的收藏，我的直播，我的教室，基本信息等模块，也可定制化模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 直播点播功能：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1）支持在线网络直播，支持校园公开课，大型会议现场直播等，自适应网络。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2）支持双码流设置，可设置高清，标清码率切换，保证直播流畅稳定。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3）支持直播状态信息等显示预览。</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4）支持直播结束后进行点播回看，支持查询直播历史记录。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5）支持视频点播模块设置，支持对点播视频的文字评论，回复。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6）支持点播视频收藏功能，转发分享功能，支持二维码分享功能，支持推送转发至第三方平台功能。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7）支持获取原生的直播流信号进行直播。</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8）支持PC，移动安卓端，ios端观看平台直播点播。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 其他功能：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支持日志管理，文档在线浏览，电子书，图片浏览，音乐播放等等。</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资源平台服务器</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400W电源/处理器E-2134(8M/3.5GHz/4C/71W)/内存DDR4ECC 16G/3.5寸SATA硬盘4T（128M/6G）/支持SATA RAID0、1/无光驱位/集成INTEL 1000M NIC*2/1U</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8"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智慧黑板</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1.整机采用三拼接平面一体化设计，无推拉式结构及外露连接线。尺寸≧4000mm*1200mm。屏幕边缘采用超薄金属圆角包边防护，背板采用金属材质。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2.整机屏幕采用86英寸 UHD超高清LED 液晶屏，显示比例16:9，屏幕图像分辨率3840*2160。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3.接口：≧1路HDMI、≧1路RS232、≧1路音频输出、≧1路触控输出USB。前置接口：≧1路TypeC（实现外接电脑HDMI信号的接入显示）、≧2路USB3.0，支持Android系统、Windows系统读取外接移动存储设备。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★4.采用电容触控技术，支持Windows系统中进行20点或以上触控，安卓系统下触控点数≧10点。嵌入式系统版本≧Android8.0，内存≧2GB，存储空间≧8GB。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采用钢化玻璃，有效保护屏幕显示画面，玻璃厚度≦4mm，钢化玻璃表面硬度≧9H，使用10H硬度材质测试时，钢化玻璃表面无划痕。（提供证明材料。包括但不限于国家认可的第三方检测机构出具的检测报告、官网截图、产品彩页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6.具备智能护眼组合功能，可自主选择护眼书写、护眼光控等多种护眼模式,兼顾师生视力保护与使用习惯。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7.内置大功率扬声器，具备2个功率≧15W扬声器，额定总功率≧30W。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8.整机采用全贴合技术，钢化玻璃和液晶显示层无间隙，减少显示面板与玻璃间的偏光、散射，画面显示更加清晰通透、可视角度更广、视差更小。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9.具备组合电源键功能，一键完成所有通道的开机、关机功能。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10.具备OSD菜单功能，将音量加减、批注、主页等功能整合在同一菜单下。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11.具备传屏功能，可以将外部电脑的屏幕画面通过无线方式传输到整机上显示。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12.外接电脑设备连接整机且触摸信号连通时，外接电脑设备可直接读取整机前置USB接口的移动存储设备数据，连接整机前置USB接口的翻页笔、无线键鼠等外接设备可直接使用于外接电脑，无需重复部署。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13.具备电脑还原功能，可选择恢复整机系统及Windows操作系统到出厂默认状态，无需额外工具辅助。</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14.具备U盘锁、屏幕密码锁、手势锁功能，可锁定屏幕、按键及遥控器，触摸锁定时整机无法被触控操作，可避免课间学生随意操作整机。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电脑模块：主板南桥采用H310芯片组，搭载Intel i5CPU。内存：8GB DDR4笔记本内存或以上配置。硬盘：256GB或以上SSD固态硬盘支持 Android4.0及 IOS7.0 版本系统。可与智慧黑板实现无线连接，可对连接的设备进行密码的权限管理。支持手机投屏，可通过该软件将手机屏幕画面实时投影到大屏上。具备客户端生成热点功能，在没有路由器的情况下，可通过客户端生成局域网热点供外部终端进行无线连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移动授课助手：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1.移动助手采用C/S构架，支持win7 sp1 x64及以上操做系统，支持安卓6.0及以上操作系统，支持iOS10.4及以上操作系统。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2.移动助手支持局域网设备搜索。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3.支持扫码连接。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4.支持手机投屏，可以将手机的桌面发送到整机端，并支持批注与擦除。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5.支持手机摄像头麦克风直播，支持直播时拍照编辑发送，可对图片进行裁剪旋转等操作。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6.支持课件控制，支持在手机端对服务端PPT进行播放，退出，翻页，批注，擦除等多种操作，手机端可以对PPT进行缩略图预览。</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7.支持客户端文件上传，手机端可以将文件传输至服务端。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8.支持手机端音视频文件串流播放，手机端可以将手机内的音视频文件边传输，边在服务端播放，减少不必要的等待，并支持对播放进行暂停，继续，快进等操作。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 Windows 端、移动端均支持一键分享投屏，无需扫描二维码或者账号登录。（提供证明材料。包括但不限于国家认可的第三方检测机构出具的检测报告、官网截图、产品彩页等）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10.支持系统桌面同步传输至移动端，支持移动端远程控制系统桌面，实现打开白板功能。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11.支持手机端控制服务端进行屏幕录制。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12.支持服务端对图片进行对比，批注，截图保存。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智慧校园云平台：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1.智慧校园云平台集中控制系统是采用B/S架构的混合云管理系统，无需本地化部署，即可实现对教学信息化设备进行远程管理控制， 以及设备状态监控。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2.智慧校园云平台集中控制系统可支持windows、Linux、Android、IOS 等多操作系统通过网页浏览器登录操作，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3.智慧校园云平台集中控制系统支持网盘功能，便于用户存储数据。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4.智慧校园云平台集中控制系统后续支持对所有校园信息化教学设备的管理控制。支持与白板软件互通协议，实现备授课模式的老师端资源管理以及资源分享，可实现资源的实时分享。</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5.智慧校园云平台集中控制系统可远程对选定的智能交互设备推送公告消息，并在终端进行滚动播放，并可实现全信号通道轮播。</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6.智慧校园云平台集中控制系统支持远程对选定的在智能交互设备推送文件，方便老师教育教学过程中的文件传输。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 智慧校园云平台集中控制系统支持获取安卓、Windows及其他信号源通道下桌面，回传至管理端。（提供证明材料。包括但不限于国家认可的第三方检测机构出具的检测报告、官网截图、产品彩页等）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8.智慧校园云平台集中控制系统要求支持远程对软件的远程OTA在线升级，便于后期功能迭代，以及智慧终端管理的横向扩展。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9.智慧校园云平台集中控制系统支持接入平台终端设备的数据分析与展示。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 智慧校园云平台集中控制系统安卓底层自带集控软件，可实现无 ops 电脑情况下，实现对智慧黑板的集中管控，远程控制。（提供证明材料。包括但不限于国家认可的第三方检测机构出具的检测报告、官网截图、产品彩页等）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11.智慧校园云平台集中控制系统支持批量执行远程指令，消息推送等业务功能。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12.智慧校园云平台集中控制系统为学校提供唯一识别码，在广域网环境下可实现对本校终端的远程控制，支持按学校、楼栋、教室、班级等方式自定义设备绑定，便于管理员对设备进行集中管理。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13.智慧校园云平台集中控制系统可对智慧终端实现远程的实时的消息推送和指令执行，同时支持定时的指令执行和消息推送。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14.智慧校园云平台集中控制系统支持操作日志查看，便于规范管理平台使用。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15.智慧校园云平台集中控制系统支持老师账号注册以及学校管理员账号审核功能，支持批量导入账号。</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7"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展台</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 采用≧800万像素摄像头；采用 USB五伏电源直接供电，无需额外配置电源适配器，环保无辐射；箱内USB连线采用隐藏式设计，箱内无可见连线且USB口下出；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 A4大小拍摄幅面，1080P动态视频预览达到30帧/秒；托板及挂墙部分采用金属加强，托板可承重3kg，整机壁挂式安装；</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 支持展台成像画面实时批注，预设多种笔划粗细及颜色供选择，且支持对展台成像画面联同批注内容进行同步缩放、移动；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 展示托板正上方具备LED补光灯，保证展示区域的亮度及展示效果；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 支持对展台画面进行放大、缩小、旋转、自适应、冻结画面等操作。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 支持展台画面实时批注，预设多种笔划粗细及颜色供选择，且支持对展台画面联同批注内容进行同步缩放、移动。</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7"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无线话筒</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主要技术参数：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1、频道组数：双通道；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2、接收频率范围：VHF频段190mHz-220mHz，220mHz-270mHz；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3、灵敏度：输入10-15dBuv时, s/n: ＞70dB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4、最大使用距离：100m（视环境情况有不同）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5、频率控制：石英锁定；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6、最大偏移度：±15kHz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7、水平限制射频稳定度：  0.005%(at25c) s/n比:＞100db THD:＜0.5%；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8、频响范围：60Hz-15KHz；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9、谐波干扰比：＞80dB；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10、发射功率 ：≦10mw；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11、静音控制：音码及杂讯锁定双重静音控制；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12、输出插座：P型不平衡式；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13、输出强度：-12dB/600Ω平衡式及-2dB/5000Ω；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14、不平衡式副谐波： ＞-50dBc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15、话筒电源：1.5v×2电池；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16、接收机电源：Dc12.0v=250ma；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17、机箱尺寸：（L×W×H）420×207×50（单位；mm）；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18、净重：2.9kg。</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6"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合并级功放</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1.频率响应 20Hz-20KHz，+0/0.3dB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2.输出功率 2x200W (8Ω)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3.信 噪 比 ＞100dB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4.串音 ＞90dB@1KHz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5.输入阻抗 39KΩ/15KΩ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6.输入灵敏度 0.775V/1.0V/1.4V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7.瞬态响应 ≧30V</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6"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音箱</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1.高音单元：1＂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2.低音单元：6.5＂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3.频率响应：60Hz-20KHz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4.阻抗： 6Ω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5.功率：60W(RMS)    120W(PEAK)</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6.灵敏度：91dB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7.最大声压级：105dB</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1"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交换机</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网络标准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IEEE 802.3 、IEEE 802.3u IEEE 802.3ab、IEEE 802.3x</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尺寸</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294mm x 180mm x 44mm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速度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10/100/1000M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端口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16个10/100/1000M自适应RJ45端口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LEDs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每端口Link/Act Speed每设备Power System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VLAN</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2"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机柜</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1600*1000*600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材料：SPCC优质冷轧钢板制作。表面酸洗、磷化、除油除锈。</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防护等级：IP20.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承载：净载≧300KG。（服务器机柜），网络机柜满足装载要求，结构稳固，操作安装方便。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可同时安装脚轮和支持脚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可关闭的下走线通道，走线孔尺寸可按需调整。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齐全的可选配件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导播电脑</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品牌台式机，CUP：≧i5，内存：≧4G，硬盘：≧1TB，显示器：≧21英寸，标配正版win7专业版操作系统，标配键盘鼠标。</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预监电视</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55 英寸侧墙安装预监电视</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3"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装修</w:t>
            </w:r>
          </w:p>
        </w:tc>
        <w:tc>
          <w:tcPr>
            <w:tcW w:w="4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地面：教室处理地面自流平，满铺静音、易清洁、耐磨和防滑、防潮的环保PVC塑胶地板（2mm）或其他地面材料。</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门窗：根据现场情况加装隔音材料包教室门窗、窗户。使整体布局合理美观，增加观摩间观摩窗，玻璃采用单透玻璃。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顶面：宜采用白色矿棉穿孔板等材料的吸音吊顶。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墙面：墙面基层设30*30公分铺设龙骨，岩棉填充，木工板找平；墙面用阻燃聚酯吸音板饰面，用两种颜色，颜色与校方确定，中间用黑钛不锈钢腰线做提升，墙面下缘做踢脚线；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相应部分用轻钢龙骨隔开做观摩室用。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窗帘：采用厚实窗帘，具有吸音和有效隔绝自然光的作用，色调与墙体协调。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布线：室内线路采用强弱电分离敷设。室内电源设总控开关，设备系统、照明和电源插座用电应分路设计和分别控制，墙面预装多功能墙面插座至少2组。布线采用暗线敷设，应预先埋设地槽或PVC管。室内设有2个千兆网络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灯光：均匀布光，采用环保LED灯。照度要求：老师区域不低于800LX，学生区域不低于500LX。</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辅材：相关音视频线、网线、电源线等等。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隔断：轻钢龙骨隔断，加观摩窗，玻璃做单透处理。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相关垃圾清运</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jc w:val="center"/>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系统集成</w:t>
            </w:r>
          </w:p>
        </w:tc>
        <w:tc>
          <w:tcPr>
            <w:tcW w:w="4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包含设备的安装、调试、测试及所有线缆辅材、插线板、分配器等</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定制</w:t>
            </w:r>
          </w:p>
        </w:tc>
      </w:tr>
    </w:tbl>
    <w:p>
      <w:pPr>
        <w:keepNext w:val="0"/>
        <w:keepLines w:val="0"/>
        <w:pageBreakBefore w:val="0"/>
        <w:shd w:val="clear"/>
        <w:kinsoku/>
        <w:wordWrap/>
        <w:overflowPunct/>
        <w:topLinePunct w:val="0"/>
        <w:autoSpaceDE/>
        <w:autoSpaceDN/>
        <w:bidi w:val="0"/>
        <w:adjustRightInd/>
        <w:snapToGrid/>
        <w:spacing w:line="360" w:lineRule="auto"/>
        <w:rPr>
          <w:rFonts w:hint="default" w:ascii="仿宋" w:hAnsi="仿宋" w:eastAsia="仿宋" w:cs="仿宋"/>
          <w:color w:val="auto"/>
          <w:sz w:val="24"/>
          <w:szCs w:val="24"/>
          <w:highlight w:val="none"/>
          <w:lang w:val="en-US" w:eastAsia="zh-CN"/>
        </w:rPr>
        <w:sectPr>
          <w:footerReference r:id="rId5"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start="1"/>
          <w:cols w:space="425" w:num="1"/>
          <w:docGrid w:type="lines" w:linePitch="312" w:charSpace="0"/>
        </w:sectPr>
      </w:pPr>
    </w:p>
    <w:p>
      <w:pPr>
        <w:pStyle w:val="9"/>
        <w:keepNext/>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二、智慧书法教室</w:t>
      </w:r>
    </w:p>
    <w:tbl>
      <w:tblPr>
        <w:tblStyle w:val="21"/>
        <w:tblW w:w="8597" w:type="dxa"/>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10"/>
        <w:gridCol w:w="858"/>
        <w:gridCol w:w="6209"/>
        <w:gridCol w:w="510"/>
        <w:gridCol w:w="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 w:hRule="atLeast"/>
        </w:trPr>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产品名称</w:t>
            </w:r>
          </w:p>
        </w:tc>
        <w:tc>
          <w:tcPr>
            <w:tcW w:w="6209"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技术参数</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86" w:hRule="atLeast"/>
        </w:trPr>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交互式数字临摹台</w:t>
            </w:r>
          </w:p>
        </w:tc>
        <w:tc>
          <w:tcPr>
            <w:tcW w:w="6209"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1.一体化设计，无需外接任何辅助主机系统，基于iOS或者Android系统，支持远程升级。高清临摹：支持学生用宣纸、毛笔传统的方式进行高清临摹，能临摹长宽均不大于1cm的电子字帖。</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★2.临摹台支持网络供电功能，只需要在临摹台的网络接口插入一根网线，即可实现临摹台的供电和网络接入的功能。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十点触控功能，可用手指直接操控系统；支持分屏触控功能，支持临摹台左边一半能触控，即左边可以播放例字视频，并可以暂停或者快进以及调节音量大小；右边一半不能触控，右边排版好当前播放的例字字帖，可以实现摹帖和临帖；支持手指双击碑帖自动放大缩小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4.高可视角度：＞80/80/80/80 （上下左右）；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5.摹帖屏可承重60kg以上无裂痕；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6.防水：临摹屏支持防水功能；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7.耐磨：临摹区面板可抗击100000次以上自然摩擦无划痕；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8.护眼功能：发光柔和护眼，亮度低于260cd/m2；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9.支持RJ45接口；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10.支持WiFi连接；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11.摹帖屏显示尺寸：＞45cm×25cm；分辨率：1920×1080；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12.临摹台外置分体式接口：耳机插孔、USB接口、电源开关，并将分体式接口嵌入在临摹桌桌面前侧（学生座位一侧）；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13.支持自主学习模式下的碑帖临摹功能；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14.支持一键自动更新碑帖功能；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15.支持一键系统整体升级功能；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★16.上电自动开机，直接进入学生自主学习软件界面，通过学校、班级、账号、密码登录，直接触控操作4套软件系统：练习系统、碑帖系统、名家介绍、名家课堂系统；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17.支持软件方式调节音量和亮度的功能；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18.支持统一授课模式和自主学习模式切换功能，模式切换由老师控制；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19.支持学生通过自己账号登陆书法学习平台，拍照上传自己的书法作品，支持将软笔书写过程进行录制上传，同时支持查看自己的历史作品和书写过程视频记录（该功能需配备教学互动系统）；（提供证明材料。包括但不限于国家认可的第三方检测机构出具的检测报告、官网截图、产品彩页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★20.临摹台的学习书法软件平台有“润笔”和“洗笔”按钮，通过软件触控操作，智能笔洗自动出水。（提供证明材料。包括但不限于国家认可的第三方检测机构出具的检测报告、官网截图、产品彩页等）</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7" w:hRule="atLeast"/>
        </w:trPr>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学生互动拍摄系统</w:t>
            </w:r>
          </w:p>
        </w:tc>
        <w:tc>
          <w:tcPr>
            <w:tcW w:w="6209"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学生端临摹台的软件支持互动拍摄硬件，互动拍摄硬件与现有学生端临摹台的硬件对接，硬件固定到学生书法桌上；互动拍摄硬件具有笔架功能，支持同时挂三只毛笔；（提供证明材料。包括但不限于国家认可的第三方检测机构出具的检测报告、官网截图、产品彩页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2.通过USB连接交互式数字临摹台进行供电，USB线在桌面上不外露；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3.帧速率不低于24帧；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4.具备学生座位图功能，老师可管理班级、学生，并对学生进行排坐，形成座位图；</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5.老师直接双击座位图上的学生姓名即可查看该学生书写过程，支持老师通过控制系统切换每一个学生的书写过程实时传输到大屏和其他同学的临摹台上欣赏查看；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★6.一键收取作业:教师在中控台上可一键收取作业，作业按照学生座位图的顺序和位置关系进行排列（提供证明材料。包括但不限于国家认可的第三方检测机构出具的检测报告、官网截图、产品彩页等）；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7.支持书写过程分享到本班，老师与同学实时观看其他同学的书写过程及作品；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8.支持老师对任一学生的作品进行查看、讲评，并通过互动系统供其他学生观看讲评。</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教师中控条案</w:t>
            </w:r>
          </w:p>
        </w:tc>
        <w:tc>
          <w:tcPr>
            <w:tcW w:w="6209"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1.规格：200cm×80cm×75cm，实木结构；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2.古典书桌设计，烤漆处理；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3.全部卯榫结构；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4.支持将本方案中的中控、教师手绘屏、直播系统集成在中控条案中；</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5.砚台：20cm×13cm×2.5cm，材质：螺纹石；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6.毛笔笔架：36cm×34cm×10cm，材质: 鸡翅木；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7.笔洗：7.5cm×20cm，材质：优质陶瓷；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8.砚台水滴：陶瓷；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9.镇尺：加重型黑梓木；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10.笔搁：卧式笔架，材质：实木；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11.毛毡：1×2米，可以水洗反复使用；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12.笔筒：12.5cm×9.5cm，材质: 黑檀；</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13.毛笔套装：笔头材质为纯狼毫；笔杆材质：天然黑湘妃；大号毛笔尺寸：出锋3.8cm、口径1.1cm、全长26.5cm；中号毛笔：出锋3.3cm、口径0.9cm、全长26.0cm；小号毛笔：出锋2.8cm，口径0.8cm，全长25.5cm；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14.配套实木方凳1个。</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8" w:hRule="atLeast"/>
        </w:trPr>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书法临摹桌</w:t>
            </w:r>
          </w:p>
        </w:tc>
        <w:tc>
          <w:tcPr>
            <w:tcW w:w="6209"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1.仿古设计，弧形腿，框架结构：松木；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2.规格：≦134cm×60cm×75cm；左右两边两个墨盒孔，长宽：≦13.8cm×7.8cm；左右两边两个临摹台开关孔，长宽：≦7.5cm×1.8cm；洗笔器开关孔直径：≦1.6cm；桌面厚度：≧3.5cm；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3.交互式数字临摹台能无缝嵌入至书法桌，嵌入后临摹台与书法桌表面水平，为一体化设计；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4.书法桌学生一侧具有嵌入式临摹台开关，音频接口，USB接口；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5.专业笔搁；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6.配套实木方凳2个。</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4" w:hRule="atLeast"/>
        </w:trPr>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拷贝临摹台</w:t>
            </w:r>
          </w:p>
        </w:tc>
        <w:tc>
          <w:tcPr>
            <w:tcW w:w="6209"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1.支持字帖临摹；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2.LED光源；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3.支持触控控制明暗度；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4.支持触控开关；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5.嵌入式，完全跟书法桌桌面平齐；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6.规格尺寸：50cm*30cm；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7.边上有刻度尺。</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4" w:hRule="atLeast"/>
        </w:trPr>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书画教学展示台</w:t>
            </w:r>
          </w:p>
        </w:tc>
        <w:tc>
          <w:tcPr>
            <w:tcW w:w="6209"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1.拍摄架：≧10千克，全金属构架,铝合金底座；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2.支持每台摄像机360度旋转，拍摄幅面可以达到A2幅面（A4幅面的4倍），可清晰拍摄软硬笔的书写；</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3.配置3台摄像机从不同角度拍摄；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4.摄像机3台，网络接口，规格：≧138mm×58mm×68mm；帧速率：每秒大于30帧；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5．红外镜头3个。规格：≧48×65mm；镜头光圈：F1.2-2.8；接口：CS接口，支持手动调节焦距；</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6.支持场景式网络课堂教学系统直接调取3台摄像机使用；</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86" w:hRule="atLeast"/>
        </w:trPr>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书法教学直播系统</w:t>
            </w:r>
          </w:p>
        </w:tc>
        <w:tc>
          <w:tcPr>
            <w:tcW w:w="6209"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1．系统支持连接书画教学展示台的三台摄像机同时拍摄直播、录像，其中两台摄像机从正上方和左侧方45度进行同时拍摄录课，另一台摄像机录制授课特写画面；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软件界面同时显示正面、侧面、特写三个画面，并在画面上进行标识，画面上清楚标识正面、侧面、特写。支持单镜头画面、双镜头画面、三镜头画面、画中画四种录播模式功能，四种显示模式都直接双击切换。支持三台摄像机的视频语音录制功能；支持三个画面同步回放功能；支持播放文件时间显示数字走表功能；支持在软件内直接修改视频、图片文件名，支持拍摄的视频文件自带拍摄年、月、日、时、分、秒信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3.支持快镜头播放、暂停功能；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4.支持慢镜头播放、暂停功能；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5.支持摄像机自动录音功能，软件调节声音大小；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6.支持在画面上任意批注功能；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教师在示范书写的时候，可以在界面同时展现要示范的例字的视频、例字多个字体、例字的多个碑帖，显示在软件摄像机拍摄的界面，方便老师临写，字帖可随意放大缩小，可随意放在软件界面的任何位置（提供证明材料。包括但不限于国家认可的第三方检测机构出具的检测报告、官网截图、产品彩页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8.支持一键抓图、看图功能。</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45" w:hRule="atLeast"/>
        </w:trPr>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书法字帖排版系统</w:t>
            </w:r>
          </w:p>
        </w:tc>
        <w:tc>
          <w:tcPr>
            <w:tcW w:w="6209"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1.支持1-500个字内，任意字体数量排版功能，随意设置字格大小，调节字格的宽、高，支持鼠标滚轮选择模板。2.支持拼音搜索，可同时输入多字拼音，直接搜索多字；支持多字文本搜索；支持书写字体历史记录。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3.演示汉字笔顺功能：具备一笔一划功能，每一笔划自动按照顺序排列组成单字。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4.支持在软件界面直接点播现代书法家书写的颜欧柳赵及字体中偏旁、例字的视频。可以实时同步临摹台显示。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5.支持字帖文件随意排版及混排。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6.支持电子字帖全屏显示，通过调整排版规格可控制每个字的大小和位置。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7.内置篆、隶、楷、行、草五种软笔字体字帖文件，不少于2万字的字帖库资源。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8.支持米字格、回字格、九宫格、田字格、大方格选项。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9.支持进行集字练习；具备一键排版六步教学法。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10.支持边看边练，左边是书法家视频教学，右边是学生临摹书法家字帖功能；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11.支持字体使用的历史记录；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12.支持老师自定义适合自己教学的排版模板；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13.支持一字多体排版；</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14.支持硬笔字体排版，学生临摹。</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26" w:hRule="atLeast"/>
        </w:trPr>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书法集创系统</w:t>
            </w:r>
          </w:p>
        </w:tc>
        <w:tc>
          <w:tcPr>
            <w:tcW w:w="6209"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1.支持折扇、团扇、条幅、横幅、斗方、对联、中堂等模式集字创作功能，从1言到500言随意编辑排版功能，支持字体大小缩放功能；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2.支持自定义创作作品类型功能；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3.支持字体自适应大小功能，后面排版的字体自动适应第一个排版好的字体大小；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4.支持自适应角度调整，字体智能化自动调整摆放角度；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5.支持文件新建、修改、保存、放大缩小、临摹功能；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包含重修三门记、陋室铭、六体千字文、灵隐禅师塔铭、黄庭经、淮云院记、后赤壁赋、归来辞去、道德经、东铭、大学、感兴诗并序、多宝塔碑、颜勤礼碑、颜家庙碑、颜体合成创作、赵体合成创作等多个创作字体模块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7.支持一键还原功能；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8.支持文字和拼音搜索功能；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9.在配置互动模块时，支持老师一键收取学习集创练习作品的功能。</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66" w:hRule="atLeast"/>
        </w:trPr>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三笔字板书示范书写软件</w:t>
            </w:r>
          </w:p>
        </w:tc>
        <w:tc>
          <w:tcPr>
            <w:tcW w:w="6209"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1.软件支持选用白板、黑板、宣纸和画布四种模式作为背景底纹；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2.软件支持米字格、田字格、田回格、九宫格、方格和无格作为写字用底格；</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3.软件排版支持从一字格到十五字格共十种不同排版方式；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4.笔型：支持毛笔、铅笔、钢笔、粉笔、刀笔、水彩笔、艺术笔1、艺术笔2、艺术笔3、艺术笔4、标注、橡皮共12种书写功能。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5.软件支持标注和具有橡皮擦功能；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6.支持笔锋粗细、浓度、锐利可调控；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7.支持色板，颜色可自由设置；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8.具有全屏显示功能；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9.支持在字体排版软件界面、视频资源库软件界面、视频直播软件界面、碑帖查询软件界面、课程讲义软件界面进行批注、点评功能；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10.支持一键清屏功能。</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4" w:hRule="atLeast"/>
        </w:trPr>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书法教学视频资源平台</w:t>
            </w:r>
          </w:p>
        </w:tc>
        <w:tc>
          <w:tcPr>
            <w:tcW w:w="6209"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1.具备对平台资源进行控制、查询、播放及备课调整功能。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2.内置三年级、四年级、五年级、六年级、初级、中级（一）、中级（二）、高级的高清毛笔书法示范讲解视频。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3.含各年级课时的毛笔示范视频，针对每一个字，每一个笔画都有教学视频。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4.每个视频都配有教学音频讲解。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5.视频资源均为高清拍摄，可观察运笔方式。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6.视频资源按照每一例字的结构、笔画、结体规律进行分类，可以一键式调取任一课时内的视频资料。</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7.支持老师管理密码功能。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8.支持批注功能。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9.支持硬笔视频资源。</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0" w:hRule="atLeast"/>
        </w:trPr>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书法教学查询系统</w:t>
            </w:r>
          </w:p>
        </w:tc>
        <w:tc>
          <w:tcPr>
            <w:tcW w:w="6209"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1.碑帖资源查询可实现通过年代、作者、字帖名字进行智能化检索，并可任意放大缩小拖动字帖。</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2.支持通过原图模式、高光模式、荧光模式、红外模式、3D模式进行碑帖的查看欣赏以及临摹。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3.创作碑帖素材查询可通过关键字检索功能来搜索相应的碑帖素材。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4.支持输入文字、拼音搜索功能，支持临摹、欣赏选项按钮；支持黑白反向功能，原贴是白底黑字的可以直接转换成黑底白字，原贴是黑底白字的可以直接转换成白底黑字。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5.内含中国历代高清碑帖，包含临摹范本全部碑帖，有楷书、隶书、行书；包含欣赏作品全部碑帖，有篆、隶、草、楷、行五种字体。包含其他碑帖，包含篆、隶、草、楷、行五种字体，不少于10000张。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6.支持批注功能。</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45" w:hRule="atLeast"/>
        </w:trPr>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场景式网络课堂教学系统</w:t>
            </w:r>
          </w:p>
        </w:tc>
        <w:tc>
          <w:tcPr>
            <w:tcW w:w="6209"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一、教师授课端软件：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1.软件是从智慧书法教学系统界面直接点击进入。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★2.支持教师创建自己的直播课程，直播课程中可包含多个章节与课时，每个课时均可独立直播，也可单独设置直播时间。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3.教师申请功能，支持通过输入教师姓名、手机号、短信验证、密码设置、个人介绍、头像等信息，提交注册，可查询审核状态，查询时需要手机验证码审核教师身份。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可分类查看拥有的所有课程列表，可通过名称或名称简写对课程进行模糊查询。学校可自定义收费课程，支持课程账户管理，支持银行卡管理，自动计算可提现金额，支持提现到指定银行卡，可查询累计收入，可以直方图方式展示最近一年内的购买趋势（提供证明材料。包括但不限于国家认可的第三方检测机构出具的检测报告、官网截图、产品彩页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5.教师现场直播授课时，可切换不同的三维场景，三维场景支持不低于4个不同位置的场景大屏设置，不同的大屏可同时播放不同的内容。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6.课程同时支持直播与点播。支持下载所有课程的视频，支持视频本地编辑后再次上传更新。支持在线预览。</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7.三维场景支持远景、近景、特写，直播授课过程中教师可以任意切换三种方式，切换后学生端立即生效、进行观看。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在课时详情中一键进入直播。支持预览所有带摄像头的客户端的实时视频，支持与其中某个观众进行视频连线交流，交流期间，其他用户均可观看交互过程。以画中画形式展示双方视频，可切换放大本方或客户端视频。要求直播讲师端、PC端、移动端这三端互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二、接收客户端软件：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1.客户端软件是从智慧书法教学系统界面直接进入。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查看当前以及即将开播的直播课程，可查看当前的热门课程，还可查看全部可用课程。可查看本课程的热门程度以及订购费用（提供证明材料。包括但不限于国家认可的第三方检测机构出具的检测报告、官网截图、产品彩页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3.支持通过课时列表点击后直接进入直播或点播观看界面，在此界面中可以查看课程详细信息，包括课程名称，教师，以及所有章节中的课时。可支持表情与文本混合发送，可支持200字的文本内容。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4.支持查看学习历史记录，并可进行复习。</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5.客户端学习点播课程可以从上次学习位置开始播放：将课程加入学习后，进入某个点播课程时，自动从上次退出时的播放位置开始播放，比如某个课时上次看了5分钟，那么这次播放时会自动从5分钟开始播放。</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6.可查看所有教师以及教师的详细介绍，还可以查看教师的课程列表并播放相应课程。可按照课程分类，课程名称，教师姓名对课程进行搜索。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三、移动客户端软件：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支持通过安卓以及IOS的微信小程序参与直播或点播。支持轮播图，轮播图中可进入课程详情，课时详情。可显示最近的系统消息，可查看最近一年或更长时间的系统消息。可购买付费课时，并在个人中心查看已购课时，以及订单详情。可修改个人资料包括昵称、手机号，支持通过手机验证码验证用户个人身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2.要求通过微信扫码进入直播间，并与讲师、PC端用户三方进行文字、表情符号交流。</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4" w:hRule="atLeast"/>
        </w:trPr>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书法课程讲义系统</w:t>
            </w:r>
          </w:p>
        </w:tc>
        <w:tc>
          <w:tcPr>
            <w:tcW w:w="6209"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1.系统全部课程不少于700课时；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包含颜体1、颜体2、欧、柳、赵5套基本课程，每套课程各128课时，均是独立的软件模块，支持查看范字的书写要点讲解，书写示范视频讲解，单钩、双钩、笔法、示意图，核心示范字的文字演变，每课时都有书法知识点讲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3.支持左边有课程导航栏和底部有快捷键按钮；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包括三年级、四年级、五年级、六年级的课程128课时（可在教育部通过的11套教材里面任选1套），均是独立的软件模块，支持查看范字的书写要点讲解，书写示范视频讲解，单钩、双钩、笔法、示意图，核心示范字的文字演变，每课时都有书法知识点讲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5.颜欧柳赵的配套讲义中，支持课程临摹练习界面可一键统一变换字体、字格，可变换需要练习的字帖；</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6.颜欧柳赵的配套讲义中，支持所有示范字可一键变换字体、字格，可变换需要讲解的字帖；</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颜欧柳赵的配套讲义中，每个课时均具有通过拼字游戏进行书法结构练习：教师一键推送拼字游戏到学生端临摹台，学生临摹台变为手指触控操作，拖动被拆分的字体笔画，在米字格中进行拼字，拼字完成可显示原帖，系统可自动打分和排名，支持多次重复拼字学习（提供证明材料。包括但不限于国家认可的第三方检测机构出具的检测报告、官网截图、产品彩页等）。</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碑帖深度学习软件</w:t>
            </w:r>
          </w:p>
        </w:tc>
        <w:tc>
          <w:tcPr>
            <w:tcW w:w="6209"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1.该软件从智慧书法教学系统界面进入，支持打开碑帖深度学习软件。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点击碑帖名称，出现碑帖的相应图片，要求相应的碑帖图片可进行拖动条、滚轮、数字加减三种方式进行缩放（提供证明材料。包括但不限于国家认可的第三方检测机构出具的检测报告、官网截图、产品彩页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3.点击单字后，该单字的碑帖原图出现在界面左侧；再点击左侧的碑帖原图，可查看笔顺图，要求笔顺图中的每一笔为硬笔手写体；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4.可查看该字的行笔路线动画，要求行笔路线动画的每一笔为硬笔手写体；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5.可查看该字的笔势视图，视图中的每一个笔画的起笔、行笔、转折处要求用手写箭头标识出来；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6.可查看该字的单钩视图、双钩视图，单钩视图要求为硬笔手写体；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7.可查看碑帖原图和碑帖修复图，要求碑帖修复图为对破损的碑帖进行原意修复，修复后的字帖要求笔画完整、不允许变形、背景干净无污；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8.可查看碑帖修复提取图，要求碑帖修复图经过处理后变成背景透明字体，并放在米字格中；</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可查看该字的其他书体，要求该字对应的颜体、欧体、柳体、赵体、隶书、篆书、草书同时自动出现在界面上，并且点击任何一种书体可出现该书体对应的多个字帖，继续点击字帖可以放大的方式自动排列在界面上进行书体对比；</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可直接进入练习界面，左侧为碑帖原图，右侧为米字格，要求在该界面可以直接进行换字操作，换字操作可直接选取系统中的其他一个字进行练习；要求可直接切换到该字的其他书体进行练习；要求练习界面可以修改底格，包括米字格、田字格、九宫格、田回格、大方格；要求可直接切换到六步临摹法，出现“摹-摹-摹-临-摹-临” 的模式进行练习（提供证明材料。包括但不限于国家认可的第三方检测机构出具的检测报告、官网截图、产品彩页等）。</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 w:hRule="atLeast"/>
        </w:trPr>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学生镇尺</w:t>
            </w:r>
          </w:p>
        </w:tc>
        <w:tc>
          <w:tcPr>
            <w:tcW w:w="6209"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专业镇尺。</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 w:hRule="atLeast"/>
        </w:trPr>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学生毛笔</w:t>
            </w:r>
          </w:p>
        </w:tc>
        <w:tc>
          <w:tcPr>
            <w:tcW w:w="6209"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学生练习专用毛笔。</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兼毫中锋。</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4" w:hRule="atLeast"/>
        </w:trPr>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多功能墨盒</w:t>
            </w:r>
          </w:p>
        </w:tc>
        <w:tc>
          <w:tcPr>
            <w:tcW w:w="6209"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1.墨盒嵌入在桌面；材质：ABS；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2.外观尺寸：≦140×80×33mm；墨盒盖尺寸：≦140.mm×80.mm×6.5mm；墨盒右边水池：≦46×67mm，墨盒左上墨水池：≦33×56mm，左下舔笔台：≦33×56mm，左上角引流槽一个。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3.墨盒采用微倒扣防挥发设计，所盛墨汁可保持百日以上不干涸。墨盒集刮笔、舔笔、润笔功能于一体。</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毛毡</w:t>
            </w:r>
          </w:p>
        </w:tc>
        <w:tc>
          <w:tcPr>
            <w:tcW w:w="6209"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规格：不小于50×50cm。</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临摹专用纸</w:t>
            </w:r>
          </w:p>
        </w:tc>
        <w:tc>
          <w:tcPr>
            <w:tcW w:w="6209"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书法专用临摹纸，100张/包。</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吸墨性好，且不透墨。</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7" w:hRule="atLeast"/>
        </w:trPr>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中控系统</w:t>
            </w:r>
          </w:p>
        </w:tc>
        <w:tc>
          <w:tcPr>
            <w:tcW w:w="6209"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1.开机界面即是智慧书法教学系统平台界面，通过主机系统直接控制书法直播系统、大屏、软件等软硬件；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2.系统平台有独立的音乐背景模块软件；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3.控制系统硬件规格：</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CPU：酷睿I5；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内存：8G；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硬盘：1TB；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4.板书专用手写屏规格：</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显示尺寸：21.5寸（16:9）；</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解析度：1920*1080；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对比度：1000:1；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感应方式：电磁式；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分辨率：2000Lpi；</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反应速度：200点/秒；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压感：2048级；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压感笔1支。</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 w:hRule="atLeast"/>
        </w:trPr>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85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系统集成</w:t>
            </w:r>
          </w:p>
        </w:tc>
        <w:tc>
          <w:tcPr>
            <w:tcW w:w="6209"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包含运费、安装、调试费。</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51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bl>
    <w:p>
      <w:pPr>
        <w:shd w:val="clear"/>
        <w:rPr>
          <w:rFonts w:hint="eastAsia"/>
          <w:color w:val="auto"/>
          <w:highlight w:val="none"/>
          <w:lang w:val="en-US" w:eastAsia="zh-CN"/>
        </w:rPr>
      </w:pPr>
    </w:p>
    <w:p>
      <w:pPr>
        <w:pStyle w:val="2"/>
        <w:shd w:val="clear"/>
        <w:rPr>
          <w:rFonts w:hint="eastAsia"/>
          <w:color w:val="auto"/>
          <w:highlight w:val="none"/>
          <w:lang w:val="zh-CN" w:eastAsia="zh-CN"/>
        </w:rPr>
      </w:pPr>
    </w:p>
    <w:p>
      <w:pPr>
        <w:pageBreakBefore/>
        <w:numPr>
          <w:ilvl w:val="0"/>
          <w:numId w:val="0"/>
        </w:numPr>
        <w:shd w:val="clear"/>
        <w:adjustRightInd w:val="0"/>
        <w:snapToGrid w:val="0"/>
        <w:spacing w:line="360" w:lineRule="auto"/>
        <w:jc w:val="center"/>
        <w:outlineLvl w:val="0"/>
        <w:rPr>
          <w:rFonts w:hint="eastAsia" w:ascii="仿宋" w:hAnsi="仿宋" w:eastAsia="仿宋" w:cs="仿宋"/>
          <w:b/>
          <w:color w:val="auto"/>
          <w:sz w:val="32"/>
          <w:szCs w:val="32"/>
          <w:highlight w:val="none"/>
          <w:lang w:val="zh-CN"/>
        </w:rPr>
      </w:pPr>
      <w:r>
        <w:rPr>
          <w:rFonts w:hint="eastAsia" w:ascii="仿宋" w:hAnsi="仿宋" w:eastAsia="仿宋" w:cs="仿宋"/>
          <w:b/>
          <w:color w:val="auto"/>
          <w:sz w:val="32"/>
          <w:szCs w:val="32"/>
          <w:highlight w:val="none"/>
          <w:lang w:val="en-US" w:eastAsia="zh-CN"/>
        </w:rPr>
        <w:t xml:space="preserve">第四部分  </w:t>
      </w:r>
      <w:r>
        <w:rPr>
          <w:rFonts w:hint="eastAsia" w:ascii="仿宋" w:hAnsi="仿宋" w:eastAsia="仿宋" w:cs="仿宋"/>
          <w:b/>
          <w:color w:val="auto"/>
          <w:sz w:val="32"/>
          <w:szCs w:val="32"/>
          <w:highlight w:val="none"/>
          <w:lang w:val="zh-CN"/>
        </w:rPr>
        <w:t>合同条款及格式</w:t>
      </w:r>
      <w:bookmarkEnd w:id="312"/>
      <w:bookmarkEnd w:id="313"/>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甲方（采购人）：</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乙方（</w:t>
      </w:r>
      <w:r>
        <w:rPr>
          <w:rFonts w:hint="eastAsia" w:ascii="仿宋" w:hAnsi="仿宋" w:eastAsia="仿宋" w:cs="仿宋"/>
          <w:bCs/>
          <w:color w:val="auto"/>
          <w:sz w:val="24"/>
          <w:szCs w:val="24"/>
          <w:highlight w:val="none"/>
          <w:lang w:val="en-US" w:eastAsia="zh-CN"/>
        </w:rPr>
        <w:t>中标</w:t>
      </w:r>
      <w:r>
        <w:rPr>
          <w:rFonts w:hint="eastAsia" w:ascii="仿宋" w:hAnsi="仿宋" w:eastAsia="仿宋" w:cs="仿宋"/>
          <w:bCs/>
          <w:color w:val="auto"/>
          <w:sz w:val="24"/>
          <w:szCs w:val="24"/>
          <w:highlight w:val="none"/>
        </w:rPr>
        <w:t xml:space="preserve">供应商）： </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eastAsia="zh-CN"/>
        </w:rPr>
        <w:t>灞桥区2021年新增教育建设奖补资金--五星中学设备采购项目（第六标段）二次</w:t>
      </w:r>
      <w:r>
        <w:rPr>
          <w:rFonts w:hint="eastAsia" w:ascii="仿宋" w:hAnsi="仿宋" w:eastAsia="仿宋" w:cs="仿宋"/>
          <w:bCs/>
          <w:color w:val="auto"/>
          <w:sz w:val="24"/>
          <w:szCs w:val="24"/>
          <w:highlight w:val="none"/>
        </w:rPr>
        <w:t>(项</w:t>
      </w:r>
      <w:r>
        <w:rPr>
          <w:rFonts w:hint="eastAsia" w:ascii="仿宋" w:hAnsi="仿宋" w:eastAsia="仿宋" w:cs="仿宋"/>
          <w:bCs/>
          <w:color w:val="auto"/>
          <w:sz w:val="24"/>
          <w:szCs w:val="24"/>
          <w:highlight w:val="none"/>
          <w:u w:val="none"/>
        </w:rPr>
        <w:t>目编号：</w:t>
      </w:r>
      <w:r>
        <w:rPr>
          <w:rFonts w:hint="eastAsia" w:ascii="仿宋" w:hAnsi="仿宋" w:eastAsia="仿宋" w:cs="仿宋"/>
          <w:bCs/>
          <w:color w:val="auto"/>
          <w:sz w:val="24"/>
          <w:szCs w:val="24"/>
          <w:highlight w:val="none"/>
          <w:u w:val="none"/>
          <w:lang w:val="en-US" w:eastAsia="zh-CN"/>
        </w:rPr>
        <w:t>DX2022-164-1</w:t>
      </w:r>
      <w:r>
        <w:rPr>
          <w:rFonts w:hint="eastAsia" w:ascii="仿宋" w:hAnsi="仿宋" w:eastAsia="仿宋" w:cs="仿宋"/>
          <w:bCs/>
          <w:color w:val="auto"/>
          <w:sz w:val="24"/>
          <w:szCs w:val="24"/>
          <w:highlight w:val="none"/>
          <w:u w:val="none"/>
        </w:rPr>
        <w:t>)</w:t>
      </w:r>
      <w:r>
        <w:rPr>
          <w:rFonts w:hint="eastAsia" w:ascii="仿宋" w:hAnsi="仿宋" w:eastAsia="仿宋" w:cs="仿宋"/>
          <w:bCs/>
          <w:color w:val="auto"/>
          <w:sz w:val="24"/>
          <w:szCs w:val="24"/>
          <w:highlight w:val="none"/>
        </w:rPr>
        <w:t>由陕西笃信招标有限公司组织</w:t>
      </w:r>
      <w:r>
        <w:rPr>
          <w:rFonts w:hint="eastAsia" w:ascii="仿宋" w:hAnsi="仿宋" w:eastAsia="仿宋" w:cs="仿宋"/>
          <w:bCs/>
          <w:color w:val="auto"/>
          <w:sz w:val="24"/>
          <w:szCs w:val="24"/>
          <w:highlight w:val="none"/>
          <w:lang w:eastAsia="zh-CN"/>
        </w:rPr>
        <w:t>公开招标</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(以下简称“甲方”)确定</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（以下简称“乙方”）为</w:t>
      </w:r>
      <w:r>
        <w:rPr>
          <w:rFonts w:hint="eastAsia" w:ascii="仿宋" w:hAnsi="仿宋" w:eastAsia="仿宋" w:cs="仿宋"/>
          <w:bCs/>
          <w:color w:val="auto"/>
          <w:sz w:val="24"/>
          <w:szCs w:val="24"/>
          <w:highlight w:val="none"/>
          <w:lang w:val="en-US" w:eastAsia="zh-CN"/>
        </w:rPr>
        <w:t>本项目</w:t>
      </w:r>
      <w:r>
        <w:rPr>
          <w:rFonts w:hint="eastAsia" w:ascii="仿宋" w:hAnsi="仿宋" w:eastAsia="仿宋" w:cs="仿宋"/>
          <w:bCs/>
          <w:color w:val="auto"/>
          <w:sz w:val="24"/>
          <w:szCs w:val="24"/>
          <w:highlight w:val="none"/>
        </w:rPr>
        <w:t>第</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lang w:val="en-US" w:eastAsia="zh-CN"/>
        </w:rPr>
        <w:t>包</w:t>
      </w:r>
      <w:r>
        <w:rPr>
          <w:rFonts w:hint="eastAsia" w:ascii="仿宋" w:hAnsi="仿宋" w:eastAsia="仿宋" w:cs="仿宋"/>
          <w:bCs/>
          <w:color w:val="auto"/>
          <w:sz w:val="24"/>
          <w:szCs w:val="24"/>
          <w:highlight w:val="none"/>
        </w:rPr>
        <w:t>的中标供应商。</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依据《中华人民共和国</w:t>
      </w:r>
      <w:r>
        <w:rPr>
          <w:rFonts w:hint="eastAsia" w:ascii="仿宋" w:hAnsi="仿宋" w:eastAsia="仿宋" w:cs="仿宋"/>
          <w:bCs/>
          <w:color w:val="auto"/>
          <w:sz w:val="24"/>
          <w:szCs w:val="24"/>
          <w:highlight w:val="none"/>
          <w:lang w:val="en-US" w:eastAsia="zh-CN"/>
        </w:rPr>
        <w:t>民法典</w:t>
      </w:r>
      <w:r>
        <w:rPr>
          <w:rFonts w:hint="eastAsia" w:ascii="仿宋" w:hAnsi="仿宋" w:eastAsia="仿宋" w:cs="仿宋"/>
          <w:bCs/>
          <w:color w:val="auto"/>
          <w:sz w:val="24"/>
          <w:szCs w:val="24"/>
          <w:highlight w:val="none"/>
        </w:rPr>
        <w:t>》和《中华人民共和国政府采购法》，经双方协商按下述条款和条件签署本合同。</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一、合同价款</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（一）合同总价款为人民币（大写）</w:t>
      </w:r>
      <w:r>
        <w:rPr>
          <w:rFonts w:hint="eastAsia" w:ascii="仿宋" w:hAnsi="仿宋" w:eastAsia="仿宋" w:cs="仿宋"/>
          <w:bCs/>
          <w:color w:val="auto"/>
          <w:sz w:val="24"/>
          <w:szCs w:val="24"/>
          <w:highlight w:val="none"/>
          <w:u w:val="single"/>
          <w:lang w:eastAsia="zh-CN"/>
        </w:rPr>
        <w:t xml:space="preserve">        </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lang w:eastAsia="zh-CN"/>
        </w:rPr>
        <w:t xml:space="preserve">     元 </w:t>
      </w:r>
      <w:r>
        <w:rPr>
          <w:rFonts w:hint="eastAsia" w:ascii="仿宋" w:hAnsi="仿宋" w:eastAsia="仿宋" w:cs="仿宋"/>
          <w:bCs/>
          <w:color w:val="auto"/>
          <w:sz w:val="24"/>
          <w:szCs w:val="24"/>
          <w:highlight w:val="none"/>
          <w:lang w:eastAsia="zh-CN"/>
        </w:rPr>
        <w:t>）。</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（二）合同总价包括：</w:t>
      </w:r>
      <w:r>
        <w:rPr>
          <w:rFonts w:hint="eastAsia" w:ascii="仿宋" w:hAnsi="仿宋" w:eastAsia="仿宋" w:cs="仿宋"/>
          <w:bCs/>
          <w:color w:val="auto"/>
          <w:sz w:val="24"/>
          <w:szCs w:val="24"/>
          <w:highlight w:val="none"/>
        </w:rPr>
        <w:t>货物费、运输费（含保险费）、安装调试费、检测验收费及其它费用。</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（三）</w:t>
      </w:r>
      <w:r>
        <w:rPr>
          <w:rFonts w:hint="eastAsia" w:ascii="仿宋" w:hAnsi="仿宋" w:eastAsia="仿宋" w:cs="仿宋"/>
          <w:bCs/>
          <w:color w:val="auto"/>
          <w:sz w:val="24"/>
          <w:szCs w:val="24"/>
          <w:highlight w:val="none"/>
        </w:rPr>
        <w:t>合同总价</w:t>
      </w:r>
      <w:r>
        <w:rPr>
          <w:rFonts w:hint="eastAsia" w:ascii="仿宋" w:hAnsi="仿宋" w:eastAsia="仿宋" w:cs="仿宋"/>
          <w:bCs/>
          <w:color w:val="auto"/>
          <w:sz w:val="24"/>
          <w:szCs w:val="24"/>
          <w:highlight w:val="none"/>
          <w:lang w:eastAsia="zh-CN"/>
        </w:rPr>
        <w:t>一次性包死</w:t>
      </w:r>
      <w:r>
        <w:rPr>
          <w:rFonts w:hint="eastAsia" w:ascii="仿宋" w:hAnsi="仿宋" w:eastAsia="仿宋" w:cs="仿宋"/>
          <w:bCs/>
          <w:color w:val="auto"/>
          <w:sz w:val="24"/>
          <w:szCs w:val="24"/>
          <w:highlight w:val="none"/>
        </w:rPr>
        <w:t>，不受市场价格变化因素的影响。</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二、产品清单（附后）</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三、款项结算</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（一）所有货物到达甲方指定地点，安装、调试完毕并验收合格后，5个工作日内支付合同总价款的</w:t>
      </w:r>
      <w:r>
        <w:rPr>
          <w:rFonts w:hint="eastAsia" w:ascii="仿宋" w:hAnsi="仿宋" w:eastAsia="仿宋" w:cs="仿宋"/>
          <w:bCs/>
          <w:color w:val="auto"/>
          <w:sz w:val="24"/>
          <w:szCs w:val="24"/>
          <w:highlight w:val="none"/>
          <w:u w:val="single"/>
          <w:lang w:val="en-US" w:eastAsia="zh-CN"/>
        </w:rPr>
        <w:t>100</w:t>
      </w:r>
      <w:r>
        <w:rPr>
          <w:rFonts w:hint="eastAsia" w:ascii="仿宋" w:hAnsi="仿宋" w:eastAsia="仿宋" w:cs="仿宋"/>
          <w:bCs/>
          <w:color w:val="auto"/>
          <w:sz w:val="24"/>
          <w:szCs w:val="24"/>
          <w:highlight w:val="none"/>
          <w:u w:val="single"/>
        </w:rPr>
        <w:t>%</w:t>
      </w:r>
      <w:r>
        <w:rPr>
          <w:rFonts w:hint="eastAsia" w:ascii="仿宋" w:hAnsi="仿宋" w:eastAsia="仿宋" w:cs="仿宋"/>
          <w:bCs/>
          <w:color w:val="auto"/>
          <w:sz w:val="24"/>
          <w:szCs w:val="24"/>
          <w:highlight w:val="none"/>
        </w:rPr>
        <w:t>。即人民币（大写）：</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元整（￥：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元整 ）。</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二</w:t>
      </w:r>
      <w:r>
        <w:rPr>
          <w:rFonts w:hint="eastAsia" w:ascii="仿宋" w:hAnsi="仿宋" w:eastAsia="仿宋" w:cs="仿宋"/>
          <w:bCs/>
          <w:color w:val="auto"/>
          <w:sz w:val="24"/>
          <w:szCs w:val="24"/>
          <w:highlight w:val="none"/>
        </w:rPr>
        <w:t>）支付方式：银行转帐。</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三</w:t>
      </w:r>
      <w:r>
        <w:rPr>
          <w:rFonts w:hint="eastAsia" w:ascii="仿宋" w:hAnsi="仿宋" w:eastAsia="仿宋" w:cs="仿宋"/>
          <w:bCs/>
          <w:color w:val="auto"/>
          <w:sz w:val="24"/>
          <w:szCs w:val="24"/>
          <w:highlight w:val="none"/>
        </w:rPr>
        <w:t>）结算方式：由乙方与采购人结算，发票开采购单位，到采购单位办理付款手续。</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四</w:t>
      </w: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eastAsia="zh-CN"/>
        </w:rPr>
        <w:t>交货</w:t>
      </w:r>
      <w:r>
        <w:rPr>
          <w:rFonts w:hint="eastAsia" w:ascii="仿宋" w:hAnsi="仿宋" w:eastAsia="仿宋" w:cs="仿宋"/>
          <w:b/>
          <w:bCs w:val="0"/>
          <w:color w:val="auto"/>
          <w:sz w:val="24"/>
          <w:szCs w:val="24"/>
          <w:highlight w:val="none"/>
        </w:rPr>
        <w:t>地点及</w:t>
      </w:r>
      <w:r>
        <w:rPr>
          <w:rFonts w:hint="eastAsia" w:ascii="仿宋" w:hAnsi="仿宋" w:eastAsia="仿宋" w:cs="仿宋"/>
          <w:b/>
          <w:bCs w:val="0"/>
          <w:color w:val="auto"/>
          <w:sz w:val="24"/>
          <w:szCs w:val="24"/>
          <w:highlight w:val="none"/>
          <w:lang w:eastAsia="zh-CN"/>
        </w:rPr>
        <w:t>工期</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（一）</w:t>
      </w:r>
      <w:r>
        <w:rPr>
          <w:rFonts w:hint="eastAsia" w:ascii="仿宋" w:hAnsi="仿宋" w:eastAsia="仿宋" w:cs="仿宋"/>
          <w:bCs/>
          <w:color w:val="auto"/>
          <w:sz w:val="24"/>
          <w:szCs w:val="24"/>
          <w:highlight w:val="none"/>
          <w:lang w:eastAsia="zh-CN"/>
        </w:rPr>
        <w:t>交货</w:t>
      </w:r>
      <w:r>
        <w:rPr>
          <w:rFonts w:hint="eastAsia" w:ascii="仿宋" w:hAnsi="仿宋" w:eastAsia="仿宋" w:cs="仿宋"/>
          <w:bCs/>
          <w:color w:val="auto"/>
          <w:sz w:val="24"/>
          <w:szCs w:val="24"/>
          <w:highlight w:val="none"/>
        </w:rPr>
        <w:t>地点：</w:t>
      </w:r>
      <w:r>
        <w:rPr>
          <w:rFonts w:hint="eastAsia" w:ascii="仿宋" w:hAnsi="仿宋" w:eastAsia="仿宋" w:cs="仿宋"/>
          <w:bCs/>
          <w:color w:val="auto"/>
          <w:sz w:val="24"/>
          <w:szCs w:val="24"/>
          <w:highlight w:val="none"/>
          <w:lang w:eastAsia="zh-CN"/>
        </w:rPr>
        <w:t>甲方指定地点。</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（二）</w:t>
      </w:r>
      <w:r>
        <w:rPr>
          <w:rFonts w:hint="eastAsia" w:ascii="仿宋" w:hAnsi="仿宋" w:eastAsia="仿宋" w:cs="仿宋"/>
          <w:bCs/>
          <w:color w:val="auto"/>
          <w:sz w:val="24"/>
          <w:szCs w:val="24"/>
          <w:highlight w:val="none"/>
          <w:lang w:eastAsia="zh-CN"/>
        </w:rPr>
        <w:t>交货期</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30天</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五、运输</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（一）运输由乙方负责，运杂费已包含在合同总价内，包括从货物供应地点所含的运输费、装卸费、仓储费、保险费，安装调试费等。</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（二）运输方式由乙方自行选择，但必须保证按期交货。</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val="0"/>
          <w:color w:val="auto"/>
          <w:sz w:val="24"/>
          <w:szCs w:val="24"/>
          <w:highlight w:val="none"/>
          <w:lang w:val="zh-CN"/>
        </w:rPr>
      </w:pPr>
      <w:r>
        <w:rPr>
          <w:rFonts w:hint="eastAsia" w:ascii="仿宋" w:hAnsi="仿宋" w:eastAsia="仿宋" w:cs="仿宋"/>
          <w:b/>
          <w:bCs w:val="0"/>
          <w:color w:val="auto"/>
          <w:sz w:val="24"/>
          <w:szCs w:val="24"/>
          <w:highlight w:val="none"/>
          <w:lang w:val="zh-CN"/>
        </w:rPr>
        <w:t>六、质量保证</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乙方所供货物必须执行下列条款：</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（一）保证技术指标先进、质量性能可靠、进货渠道正常，配置合理，全面满足招标文件要求。</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（二）符合国家有关规范要求，确保达到最佳运行状态。</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（三）具有良好的外观，适合安装场所的使用。</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（四）自安装、调试正常运行并验收合格之日起：</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1、免费保修</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1</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终身维护，免费保修期内，同一主要部件出现质量问题经过两次维修后仍无法正常使用，可以更换同型号、同规格的产品，服务响应时间不超过2小时（工作日），解决问题不超过24小时（工作日），对问题较大短期内暂不能解决的，为不影响甲方正常工作，乙方在2日内免费提供替代产品，确保正常运行；</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2、180天内，如出现质量问题，可以选择换货或退货。</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val="0"/>
          <w:color w:val="auto"/>
          <w:sz w:val="24"/>
          <w:szCs w:val="24"/>
          <w:highlight w:val="none"/>
          <w:lang w:val="zh-CN"/>
        </w:rPr>
      </w:pPr>
      <w:r>
        <w:rPr>
          <w:rFonts w:hint="eastAsia" w:ascii="仿宋" w:hAnsi="仿宋" w:eastAsia="仿宋" w:cs="仿宋"/>
          <w:b/>
          <w:bCs w:val="0"/>
          <w:color w:val="auto"/>
          <w:sz w:val="24"/>
          <w:szCs w:val="24"/>
          <w:highlight w:val="none"/>
          <w:lang w:val="zh-CN"/>
        </w:rPr>
        <w:t>七、售后服务</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乙方所供货物提供以下售后服务：</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（一）质保期内：</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1、发生质量问题，接到甲方通知后，应于当日派出专业的维修人员到现场进行检测维修，发生的全部费用由乙方承担，若需送回生产厂，乙方承担往返费用；</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2、定期派技术人员到现场走访，给予检查维护；</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3、排除故障的期限不得超过24小时（工作日）。否则甲方有权指定第三方维修，维修费用由乙方承担。</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（二）质保期结束前，进行系统测试，全面保养维护，确保正常运行。</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val="0"/>
          <w:color w:val="auto"/>
          <w:sz w:val="24"/>
          <w:szCs w:val="24"/>
          <w:highlight w:val="none"/>
          <w:lang w:val="zh-CN"/>
        </w:rPr>
      </w:pPr>
      <w:r>
        <w:rPr>
          <w:rFonts w:hint="eastAsia" w:ascii="仿宋" w:hAnsi="仿宋" w:eastAsia="仿宋" w:cs="仿宋"/>
          <w:b/>
          <w:bCs w:val="0"/>
          <w:color w:val="auto"/>
          <w:sz w:val="24"/>
          <w:szCs w:val="24"/>
          <w:highlight w:val="none"/>
          <w:lang w:val="zh-CN"/>
        </w:rPr>
        <w:t xml:space="preserve">八、技术与服务 </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（一）技术资料：</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1、货物合格证；</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2、货物使用说明书（中文）；</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3、进口货物商检证明和报关单（如有）；</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4、项目峻工资料、检验测试报告；</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5、其它资料。</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（二）服务承诺：以投标文件、澄清表（函）、合同和随货物的相关文件为准。</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val="0"/>
          <w:color w:val="auto"/>
          <w:sz w:val="24"/>
          <w:szCs w:val="24"/>
          <w:highlight w:val="none"/>
          <w:lang w:val="zh-CN"/>
        </w:rPr>
      </w:pPr>
      <w:r>
        <w:rPr>
          <w:rFonts w:hint="eastAsia" w:ascii="仿宋" w:hAnsi="仿宋" w:eastAsia="仿宋" w:cs="仿宋"/>
          <w:b/>
          <w:bCs w:val="0"/>
          <w:color w:val="auto"/>
          <w:sz w:val="24"/>
          <w:szCs w:val="24"/>
          <w:highlight w:val="none"/>
          <w:lang w:val="zh-CN"/>
        </w:rPr>
        <w:t>九、验收</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（一）货物到达甲方指定地点后，甲方根据合同要求，进行外观验收，确认产地、规格、型号和数量。</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（二）货物安装、调试并正常运行后，由乙方进行自检，合格后，准备验收文件，并书面通知甲方。</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（三）甲方确认乙方的自检内容后，组织乙方、确认方（必要时请有关专家）进行系统验收，验收合格后，填写政府采购项目验收单（一式柒份）作为对货物的最终认可。</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（四）乙方向甲方提交货物实施过程中的所有资料。以便甲方日后管理和维护。</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（五）验收依据：</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1、招标文件、投标文件、澄清表（函）；</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2、本合同及附件文本；</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3、国家相应的标准、规范。</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val="0"/>
          <w:color w:val="auto"/>
          <w:sz w:val="24"/>
          <w:szCs w:val="24"/>
          <w:highlight w:val="none"/>
          <w:lang w:val="zh-CN"/>
        </w:rPr>
      </w:pPr>
      <w:r>
        <w:rPr>
          <w:rFonts w:hint="eastAsia" w:ascii="仿宋" w:hAnsi="仿宋" w:eastAsia="仿宋" w:cs="仿宋"/>
          <w:b/>
          <w:bCs w:val="0"/>
          <w:color w:val="auto"/>
          <w:sz w:val="24"/>
          <w:szCs w:val="24"/>
          <w:highlight w:val="none"/>
          <w:lang w:val="zh-CN"/>
        </w:rPr>
        <w:t>十、违约责任</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（一）按《政府采购法》、《民法典》中的相关条款执行。</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（二）未按合同要求提供货物或质量不能满足招标技术要求，乙方必须无条件更换，提高技术，完善质量，否则，甲方会同确认方有权终止合同，并对乙方的违约行为报监管机构进行相应的处罚。</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（三）延迟交货，乙方承担相应的违约责任。</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（四）逾期付款，甲方承担相应的违约责任。</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val="0"/>
          <w:color w:val="auto"/>
          <w:sz w:val="24"/>
          <w:szCs w:val="24"/>
          <w:highlight w:val="none"/>
          <w:lang w:val="zh-CN"/>
        </w:rPr>
      </w:pPr>
      <w:r>
        <w:rPr>
          <w:rFonts w:hint="eastAsia" w:ascii="仿宋" w:hAnsi="仿宋" w:eastAsia="仿宋" w:cs="仿宋"/>
          <w:b/>
          <w:bCs w:val="0"/>
          <w:color w:val="auto"/>
          <w:sz w:val="24"/>
          <w:szCs w:val="24"/>
          <w:highlight w:val="none"/>
          <w:lang w:val="zh-CN"/>
        </w:rPr>
        <w:t>十一、合同争议解决的方式</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本合同在履行过程中发生的争议，由甲、乙双方当事人协商解决，协商不成的按下列第（二）种方式解决：</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（一）提交西安仲裁委员会仲裁；</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（二）依法向甲方所在地人民法院起诉。</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val="0"/>
          <w:color w:val="auto"/>
          <w:sz w:val="24"/>
          <w:szCs w:val="24"/>
          <w:highlight w:val="none"/>
          <w:lang w:val="zh-CN"/>
        </w:rPr>
      </w:pPr>
      <w:r>
        <w:rPr>
          <w:rFonts w:hint="eastAsia" w:ascii="仿宋" w:hAnsi="仿宋" w:eastAsia="仿宋" w:cs="仿宋"/>
          <w:b/>
          <w:bCs w:val="0"/>
          <w:color w:val="auto"/>
          <w:sz w:val="24"/>
          <w:szCs w:val="24"/>
          <w:highlight w:val="none"/>
          <w:lang w:val="zh-CN"/>
        </w:rPr>
        <w:t>十二、合同生效</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（一）本合同经双方签字盖章后生效。</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（二）本合同须经甲、乙双方的法定代表人（负责人）在合同书上签字并加盖本单位公章后正式生效。</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（三）合同生效后，甲、乙双方须严格执行本合同条款的规定，全面履行合同，违者按《</w:t>
      </w:r>
      <w:r>
        <w:rPr>
          <w:rFonts w:hint="eastAsia" w:ascii="仿宋" w:hAnsi="仿宋" w:eastAsia="仿宋" w:cs="仿宋"/>
          <w:bCs/>
          <w:color w:val="auto"/>
          <w:sz w:val="24"/>
          <w:szCs w:val="24"/>
          <w:highlight w:val="none"/>
          <w:lang w:val="en-US" w:eastAsia="zh-CN"/>
        </w:rPr>
        <w:t>民法典</w:t>
      </w:r>
      <w:r>
        <w:rPr>
          <w:rFonts w:hint="eastAsia" w:ascii="仿宋" w:hAnsi="仿宋" w:eastAsia="仿宋" w:cs="仿宋"/>
          <w:bCs/>
          <w:color w:val="auto"/>
          <w:sz w:val="24"/>
          <w:szCs w:val="24"/>
          <w:highlight w:val="none"/>
          <w:lang w:val="zh-CN"/>
        </w:rPr>
        <w:t>》的有关规定承担相应责任。</w:t>
      </w:r>
    </w:p>
    <w:p>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（四）本合同一式</w:t>
      </w:r>
      <w:r>
        <w:rPr>
          <w:rFonts w:hint="eastAsia" w:ascii="仿宋" w:hAnsi="仿宋" w:eastAsia="仿宋" w:cs="仿宋"/>
          <w:bCs/>
          <w:color w:val="auto"/>
          <w:sz w:val="24"/>
          <w:szCs w:val="24"/>
          <w:highlight w:val="none"/>
          <w:u w:val="single"/>
          <w:lang w:val="zh-CN"/>
        </w:rPr>
        <w:t xml:space="preserve">   </w:t>
      </w:r>
      <w:r>
        <w:rPr>
          <w:rFonts w:hint="eastAsia" w:ascii="仿宋" w:hAnsi="仿宋" w:eastAsia="仿宋" w:cs="仿宋"/>
          <w:bCs/>
          <w:color w:val="auto"/>
          <w:sz w:val="24"/>
          <w:szCs w:val="24"/>
          <w:highlight w:val="none"/>
          <w:lang w:val="zh-CN"/>
        </w:rPr>
        <w:t>份，甲乙双方各执</w:t>
      </w:r>
      <w:r>
        <w:rPr>
          <w:rFonts w:hint="eastAsia" w:ascii="仿宋" w:hAnsi="仿宋" w:eastAsia="仿宋" w:cs="仿宋"/>
          <w:bCs/>
          <w:color w:val="auto"/>
          <w:sz w:val="24"/>
          <w:szCs w:val="24"/>
          <w:highlight w:val="none"/>
          <w:u w:val="single"/>
          <w:lang w:val="zh-CN"/>
        </w:rPr>
        <w:t xml:space="preserve">    </w:t>
      </w:r>
      <w:r>
        <w:rPr>
          <w:rFonts w:hint="eastAsia" w:ascii="仿宋" w:hAnsi="仿宋" w:eastAsia="仿宋" w:cs="仿宋"/>
          <w:bCs/>
          <w:color w:val="auto"/>
          <w:sz w:val="24"/>
          <w:szCs w:val="24"/>
          <w:highlight w:val="none"/>
          <w:lang w:val="zh-CN"/>
        </w:rPr>
        <w:t>份。</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7"/>
        <w:gridCol w:w="3186"/>
        <w:gridCol w:w="2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shd w:val="clear" w:color="auto" w:fill="D8D8D8"/>
            <w:noWrap w:val="0"/>
            <w:vAlign w:val="center"/>
          </w:tcPr>
          <w:p>
            <w:pPr>
              <w:shd w:val="clea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甲  方</w:t>
            </w:r>
          </w:p>
        </w:tc>
        <w:tc>
          <w:tcPr>
            <w:tcW w:w="3186" w:type="dxa"/>
            <w:shd w:val="clear" w:color="auto" w:fill="D8D8D8"/>
            <w:noWrap w:val="0"/>
            <w:vAlign w:val="center"/>
          </w:tcPr>
          <w:p>
            <w:pPr>
              <w:shd w:val="clea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乙  方</w:t>
            </w:r>
          </w:p>
        </w:tc>
        <w:tc>
          <w:tcPr>
            <w:tcW w:w="2889" w:type="dxa"/>
            <w:shd w:val="clear" w:color="auto" w:fill="D8D8D8"/>
            <w:noWrap w:val="0"/>
            <w:vAlign w:val="center"/>
          </w:tcPr>
          <w:p>
            <w:pPr>
              <w:shd w:val="clea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鉴 证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867" w:type="dxa"/>
            <w:noWrap w:val="0"/>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（公章）</w:t>
            </w:r>
          </w:p>
        </w:tc>
        <w:tc>
          <w:tcPr>
            <w:tcW w:w="3186" w:type="dxa"/>
            <w:noWrap w:val="0"/>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中标供应商</w:t>
            </w:r>
          </w:p>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（公章）</w:t>
            </w:r>
          </w:p>
        </w:tc>
        <w:tc>
          <w:tcPr>
            <w:tcW w:w="2889" w:type="dxa"/>
            <w:noWrap w:val="0"/>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3186" w:type="dxa"/>
            <w:noWrap w:val="0"/>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2889" w:type="dxa"/>
            <w:noWrap w:val="0"/>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p>
        </w:tc>
        <w:tc>
          <w:tcPr>
            <w:tcW w:w="3186" w:type="dxa"/>
            <w:noWrap w:val="0"/>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p>
        </w:tc>
        <w:tc>
          <w:tcPr>
            <w:tcW w:w="2889" w:type="dxa"/>
            <w:noWrap w:val="0"/>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3186" w:type="dxa"/>
            <w:noWrap w:val="0"/>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2889" w:type="dxa"/>
            <w:noWrap w:val="0"/>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负责人：（签字）</w:t>
            </w:r>
          </w:p>
        </w:tc>
        <w:tc>
          <w:tcPr>
            <w:tcW w:w="3186" w:type="dxa"/>
            <w:noWrap w:val="0"/>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负责人：（签字）</w:t>
            </w:r>
          </w:p>
        </w:tc>
        <w:tc>
          <w:tcPr>
            <w:tcW w:w="2889" w:type="dxa"/>
            <w:noWrap w:val="0"/>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3186" w:type="dxa"/>
            <w:noWrap w:val="0"/>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889" w:type="dxa"/>
            <w:noWrap w:val="0"/>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3186" w:type="dxa"/>
            <w:noWrap w:val="0"/>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2889" w:type="dxa"/>
            <w:noWrap w:val="0"/>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hd w:val="clear"/>
              <w:spacing w:line="360" w:lineRule="auto"/>
              <w:rPr>
                <w:rFonts w:hint="eastAsia" w:ascii="仿宋" w:hAnsi="仿宋" w:eastAsia="仿宋" w:cs="仿宋"/>
                <w:color w:val="auto"/>
                <w:sz w:val="24"/>
                <w:szCs w:val="24"/>
                <w:highlight w:val="none"/>
              </w:rPr>
            </w:pPr>
          </w:p>
        </w:tc>
        <w:tc>
          <w:tcPr>
            <w:tcW w:w="3186" w:type="dxa"/>
            <w:noWrap w:val="0"/>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889" w:type="dxa"/>
            <w:noWrap w:val="0"/>
            <w:vAlign w:val="center"/>
          </w:tcPr>
          <w:p>
            <w:pPr>
              <w:shd w:val="clea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hd w:val="clear"/>
              <w:spacing w:line="360" w:lineRule="auto"/>
              <w:rPr>
                <w:rFonts w:hint="eastAsia" w:ascii="仿宋" w:hAnsi="仿宋" w:eastAsia="仿宋" w:cs="仿宋"/>
                <w:color w:val="auto"/>
                <w:sz w:val="24"/>
                <w:szCs w:val="24"/>
                <w:highlight w:val="none"/>
              </w:rPr>
            </w:pPr>
          </w:p>
        </w:tc>
        <w:tc>
          <w:tcPr>
            <w:tcW w:w="3186" w:type="dxa"/>
            <w:noWrap w:val="0"/>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c>
          <w:tcPr>
            <w:tcW w:w="2889" w:type="dxa"/>
            <w:noWrap w:val="0"/>
            <w:vAlign w:val="center"/>
          </w:tcPr>
          <w:p>
            <w:pPr>
              <w:shd w:val="clea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tc>
        <w:tc>
          <w:tcPr>
            <w:tcW w:w="3186" w:type="dxa"/>
            <w:noWrap w:val="0"/>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tc>
        <w:tc>
          <w:tcPr>
            <w:tcW w:w="2889" w:type="dxa"/>
            <w:noWrap w:val="0"/>
            <w:vAlign w:val="center"/>
          </w:tcPr>
          <w:p>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tc>
      </w:tr>
    </w:tbl>
    <w:p>
      <w:pPr>
        <w:keepNext w:val="0"/>
        <w:keepLines w:val="0"/>
        <w:shd w:val="clear"/>
        <w:kinsoku/>
        <w:wordWrap/>
        <w:overflowPunct/>
        <w:topLinePunct w:val="0"/>
        <w:autoSpaceDE w:val="0"/>
        <w:autoSpaceDN w:val="0"/>
        <w:bidi w:val="0"/>
        <w:adjustRightInd w:val="0"/>
        <w:spacing w:line="360" w:lineRule="auto"/>
        <w:jc w:val="center"/>
        <w:textAlignment w:val="auto"/>
        <w:rPr>
          <w:rFonts w:hint="eastAsia" w:ascii="仿宋_GB2312" w:hAnsi="仿宋_GB2312" w:eastAsia="仿宋_GB2312" w:cs="仿宋_GB2312"/>
          <w:b/>
          <w:bCs/>
          <w:color w:val="auto"/>
          <w:sz w:val="44"/>
          <w:szCs w:val="44"/>
          <w:highlight w:val="none"/>
          <w:lang w:val="zh-CN"/>
        </w:rPr>
      </w:pPr>
    </w:p>
    <w:p>
      <w:pPr>
        <w:keepNext w:val="0"/>
        <w:keepLines w:val="0"/>
        <w:shd w:val="clear"/>
        <w:kinsoku/>
        <w:wordWrap/>
        <w:overflowPunct/>
        <w:topLinePunct w:val="0"/>
        <w:autoSpaceDE w:val="0"/>
        <w:autoSpaceDN w:val="0"/>
        <w:bidi w:val="0"/>
        <w:adjustRightInd w:val="0"/>
        <w:spacing w:line="360" w:lineRule="auto"/>
        <w:jc w:val="center"/>
        <w:textAlignment w:val="auto"/>
        <w:rPr>
          <w:rFonts w:hint="eastAsia" w:ascii="仿宋_GB2312" w:hAnsi="仿宋_GB2312" w:eastAsia="仿宋_GB2312" w:cs="仿宋_GB2312"/>
          <w:b/>
          <w:bCs/>
          <w:color w:val="auto"/>
          <w:sz w:val="44"/>
          <w:szCs w:val="44"/>
          <w:highlight w:val="none"/>
          <w:lang w:val="zh-CN"/>
        </w:rPr>
        <w:sectPr>
          <w:headerReference r:id="rId6" w:type="default"/>
          <w:footerReference r:id="rId7" w:type="default"/>
          <w:pgSz w:w="11906" w:h="16838"/>
          <w:pgMar w:top="1417" w:right="1701" w:bottom="1417" w:left="1701" w:header="851" w:footer="992" w:gutter="0"/>
          <w:pgBorders>
            <w:top w:val="none" w:sz="0" w:space="0"/>
            <w:left w:val="none" w:sz="0" w:space="0"/>
            <w:bottom w:val="none" w:sz="0" w:space="0"/>
            <w:right w:val="none" w:sz="0" w:space="0"/>
          </w:pgBorders>
          <w:pgNumType w:fmt="decimal"/>
          <w:cols w:space="720" w:num="1"/>
          <w:docGrid w:linePitch="312" w:charSpace="0"/>
        </w:sectPr>
      </w:pPr>
    </w:p>
    <w:p>
      <w:pPr>
        <w:pageBreakBefore/>
        <w:shd w:val="clear"/>
        <w:autoSpaceDE w:val="0"/>
        <w:autoSpaceDN w:val="0"/>
        <w:adjustRightInd w:val="0"/>
        <w:snapToGrid w:val="0"/>
        <w:spacing w:line="360" w:lineRule="auto"/>
        <w:jc w:val="center"/>
        <w:outlineLvl w:val="0"/>
        <w:rPr>
          <w:rFonts w:hint="eastAsia" w:ascii="仿宋" w:hAnsi="仿宋" w:eastAsia="仿宋" w:cs="仿宋"/>
          <w:b/>
          <w:bCs/>
          <w:color w:val="auto"/>
          <w:sz w:val="32"/>
          <w:szCs w:val="32"/>
          <w:highlight w:val="none"/>
        </w:rPr>
      </w:pPr>
      <w:bookmarkStart w:id="323" w:name="_Toc31053"/>
      <w:r>
        <w:rPr>
          <w:rFonts w:hint="eastAsia" w:ascii="仿宋" w:hAnsi="仿宋" w:eastAsia="仿宋" w:cs="仿宋"/>
          <w:b/>
          <w:bCs/>
          <w:color w:val="auto"/>
          <w:sz w:val="32"/>
          <w:szCs w:val="32"/>
          <w:highlight w:val="none"/>
          <w:lang w:val="zh-CN"/>
        </w:rPr>
        <w:t>第五部分</w:t>
      </w:r>
      <w:r>
        <w:rPr>
          <w:rFonts w:hint="eastAsia"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投标文件格式</w:t>
      </w:r>
      <w:bookmarkEnd w:id="323"/>
    </w:p>
    <w:p>
      <w:pPr>
        <w:shd w:val="clear"/>
        <w:autoSpaceDE w:val="0"/>
        <w:autoSpaceDN w:val="0"/>
        <w:adjustRightInd w:val="0"/>
        <w:snapToGrid w:val="0"/>
        <w:spacing w:line="360" w:lineRule="auto"/>
        <w:jc w:val="right"/>
        <w:rPr>
          <w:rFonts w:hint="eastAsia" w:ascii="仿宋" w:hAnsi="仿宋" w:eastAsia="仿宋" w:cs="仿宋"/>
          <w:b/>
          <w:bCs/>
          <w:color w:val="auto"/>
          <w:sz w:val="32"/>
          <w:szCs w:val="32"/>
          <w:highlight w:val="none"/>
          <w:lang w:val="zh-CN"/>
        </w:rPr>
      </w:pPr>
    </w:p>
    <w:p>
      <w:pPr>
        <w:shd w:val="clear"/>
        <w:autoSpaceDE w:val="0"/>
        <w:autoSpaceDN w:val="0"/>
        <w:adjustRightInd w:val="0"/>
        <w:snapToGrid w:val="0"/>
        <w:spacing w:line="360" w:lineRule="auto"/>
        <w:jc w:val="right"/>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正本/副本</w:t>
      </w:r>
    </w:p>
    <w:p>
      <w:pPr>
        <w:shd w:val="clear"/>
        <w:tabs>
          <w:tab w:val="left" w:pos="5670"/>
        </w:tabs>
        <w:autoSpaceDE w:val="0"/>
        <w:autoSpaceDN w:val="0"/>
        <w:adjustRightInd w:val="0"/>
        <w:spacing w:line="360" w:lineRule="auto"/>
        <w:rPr>
          <w:rFonts w:hint="default" w:ascii="仿宋" w:hAnsi="仿宋" w:eastAsia="仿宋" w:cs="仿宋"/>
          <w:b/>
          <w:bCs/>
          <w:color w:val="auto"/>
          <w:sz w:val="32"/>
          <w:szCs w:val="32"/>
          <w:highlight w:val="none"/>
          <w:lang w:val="en-US" w:eastAsia="zh-CN"/>
        </w:rPr>
      </w:pPr>
      <w:r>
        <w:rPr>
          <w:rFonts w:hint="default" w:ascii="仿宋" w:hAnsi="仿宋" w:eastAsia="仿宋" w:cs="仿宋"/>
          <w:b/>
          <w:bCs/>
          <w:color w:val="auto"/>
          <w:sz w:val="32"/>
          <w:szCs w:val="32"/>
          <w:highlight w:val="none"/>
          <w:lang w:val="en-US" w:eastAsia="zh-CN"/>
        </w:rPr>
        <w:t>政府采购项目</w:t>
      </w:r>
    </w:p>
    <w:p>
      <w:pPr>
        <w:shd w:val="clear"/>
        <w:tabs>
          <w:tab w:val="left" w:pos="5670"/>
        </w:tabs>
        <w:autoSpaceDE w:val="0"/>
        <w:autoSpaceDN w:val="0"/>
        <w:adjustRightInd w:val="0"/>
        <w:spacing w:line="360" w:lineRule="auto"/>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计划编号：ZCBN-灞桥区-2022-00468</w:t>
      </w:r>
    </w:p>
    <w:p>
      <w:pPr>
        <w:shd w:val="clear"/>
        <w:tabs>
          <w:tab w:val="left" w:pos="5670"/>
        </w:tabs>
        <w:autoSpaceDE w:val="0"/>
        <w:autoSpaceDN w:val="0"/>
        <w:adjustRightInd w:val="0"/>
        <w:spacing w:line="360" w:lineRule="auto"/>
        <w:rPr>
          <w:rFonts w:hint="eastAsia" w:ascii="仿宋" w:hAnsi="仿宋" w:eastAsia="仿宋" w:cs="仿宋"/>
          <w:b/>
          <w:bCs/>
          <w:color w:val="auto"/>
          <w:sz w:val="32"/>
          <w:szCs w:val="32"/>
          <w:highlight w:val="none"/>
          <w:lang w:val="zh-CN"/>
        </w:rPr>
      </w:pPr>
      <w:r>
        <w:rPr>
          <w:rFonts w:hint="default" w:ascii="仿宋" w:hAnsi="仿宋" w:eastAsia="仿宋" w:cs="仿宋"/>
          <w:b/>
          <w:bCs/>
          <w:color w:val="auto"/>
          <w:sz w:val="32"/>
          <w:szCs w:val="32"/>
          <w:highlight w:val="none"/>
          <w:lang w:val="en-US" w:eastAsia="zh-CN"/>
        </w:rPr>
        <w:t>项目编号：</w:t>
      </w:r>
      <w:r>
        <w:rPr>
          <w:rFonts w:hint="eastAsia" w:ascii="仿宋" w:hAnsi="仿宋" w:eastAsia="仿宋" w:cs="仿宋"/>
          <w:b/>
          <w:bCs/>
          <w:color w:val="auto"/>
          <w:sz w:val="32"/>
          <w:szCs w:val="32"/>
          <w:highlight w:val="none"/>
          <w:lang w:val="en-US" w:eastAsia="zh-CN"/>
        </w:rPr>
        <w:t>DX2022-164-1</w:t>
      </w:r>
    </w:p>
    <w:p>
      <w:pPr>
        <w:shd w:val="clear"/>
        <w:tabs>
          <w:tab w:val="left" w:pos="5670"/>
        </w:tabs>
        <w:autoSpaceDE w:val="0"/>
        <w:autoSpaceDN w:val="0"/>
        <w:adjustRightInd w:val="0"/>
        <w:spacing w:line="360" w:lineRule="auto"/>
        <w:jc w:val="both"/>
        <w:rPr>
          <w:rFonts w:hint="eastAsia" w:ascii="宋体" w:hAnsi="宋体" w:cs="宋体"/>
          <w:b/>
          <w:bCs/>
          <w:color w:val="auto"/>
          <w:sz w:val="44"/>
          <w:szCs w:val="44"/>
          <w:highlight w:val="none"/>
          <w:lang w:eastAsia="zh-CN"/>
        </w:rPr>
      </w:pPr>
    </w:p>
    <w:p>
      <w:pPr>
        <w:pStyle w:val="16"/>
        <w:shd w:val="clear"/>
        <w:rPr>
          <w:rFonts w:hint="eastAsia"/>
          <w:color w:val="auto"/>
          <w:highlight w:val="none"/>
          <w:lang w:eastAsia="zh-CN"/>
        </w:rPr>
      </w:pPr>
    </w:p>
    <w:p>
      <w:pPr>
        <w:pStyle w:val="5"/>
        <w:shd w:val="clear"/>
        <w:spacing w:line="360" w:lineRule="auto"/>
        <w:ind w:firstLine="210"/>
        <w:jc w:val="center"/>
        <w:rPr>
          <w:rFonts w:hint="default" w:ascii="仿宋" w:hAnsi="仿宋" w:eastAsia="仿宋" w:cs="仿宋"/>
          <w:b/>
          <w:color w:val="auto"/>
          <w:sz w:val="44"/>
          <w:szCs w:val="44"/>
          <w:highlight w:val="none"/>
          <w:u w:val="single"/>
          <w:lang w:val="en-US" w:eastAsia="zh-CN"/>
        </w:rPr>
      </w:pPr>
      <w:r>
        <w:rPr>
          <w:rFonts w:hint="eastAsia" w:ascii="宋体" w:hAnsi="宋体" w:cs="宋体"/>
          <w:b/>
          <w:bCs/>
          <w:color w:val="auto"/>
          <w:sz w:val="44"/>
          <w:szCs w:val="44"/>
          <w:highlight w:val="none"/>
          <w:lang w:eastAsia="zh-CN"/>
        </w:rPr>
        <w:t>灞桥区2021年新增教育建设奖补资金--五星中学设备采购项目（第六标段）二次</w:t>
      </w:r>
    </w:p>
    <w:p>
      <w:pPr>
        <w:shd w:val="clear"/>
        <w:tabs>
          <w:tab w:val="left" w:pos="5670"/>
        </w:tabs>
        <w:autoSpaceDE w:val="0"/>
        <w:autoSpaceDN w:val="0"/>
        <w:adjustRightInd w:val="0"/>
        <w:spacing w:line="360" w:lineRule="auto"/>
        <w:jc w:val="center"/>
        <w:rPr>
          <w:rFonts w:hint="eastAsia" w:ascii="仿宋" w:hAnsi="仿宋" w:eastAsia="仿宋" w:cs="仿宋"/>
          <w:b/>
          <w:color w:val="auto"/>
          <w:sz w:val="44"/>
          <w:szCs w:val="44"/>
          <w:highlight w:val="none"/>
        </w:rPr>
      </w:pPr>
    </w:p>
    <w:p>
      <w:pPr>
        <w:shd w:val="clear"/>
        <w:tabs>
          <w:tab w:val="left" w:pos="5670"/>
        </w:tabs>
        <w:autoSpaceDE w:val="0"/>
        <w:autoSpaceDN w:val="0"/>
        <w:adjustRightInd w:val="0"/>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投 标 文 件</w:t>
      </w:r>
    </w:p>
    <w:p>
      <w:pPr>
        <w:shd w:val="clear"/>
        <w:autoSpaceDE w:val="0"/>
        <w:autoSpaceDN w:val="0"/>
        <w:adjustRightInd w:val="0"/>
        <w:spacing w:line="360" w:lineRule="auto"/>
        <w:jc w:val="both"/>
        <w:rPr>
          <w:rFonts w:hint="eastAsia" w:ascii="仿宋" w:hAnsi="仿宋" w:eastAsia="仿宋" w:cs="仿宋"/>
          <w:color w:val="auto"/>
          <w:sz w:val="32"/>
          <w:szCs w:val="32"/>
          <w:highlight w:val="none"/>
        </w:rPr>
      </w:pPr>
    </w:p>
    <w:p>
      <w:pPr>
        <w:pStyle w:val="35"/>
        <w:shd w:val="clear"/>
        <w:rPr>
          <w:rFonts w:hint="eastAsia" w:ascii="仿宋" w:hAnsi="仿宋" w:eastAsia="仿宋" w:cs="仿宋"/>
          <w:color w:val="auto"/>
          <w:highlight w:val="none"/>
        </w:rPr>
      </w:pPr>
    </w:p>
    <w:p>
      <w:pPr>
        <w:pStyle w:val="35"/>
        <w:shd w:val="clear"/>
        <w:rPr>
          <w:rFonts w:hint="eastAsia" w:ascii="仿宋" w:hAnsi="仿宋" w:eastAsia="仿宋" w:cs="仿宋"/>
          <w:color w:val="auto"/>
          <w:highlight w:val="none"/>
        </w:rPr>
      </w:pPr>
    </w:p>
    <w:p>
      <w:pPr>
        <w:pStyle w:val="35"/>
        <w:shd w:val="clear"/>
        <w:ind w:left="0" w:leftChars="0" w:firstLine="0" w:firstLineChars="0"/>
        <w:rPr>
          <w:rFonts w:hint="eastAsia" w:ascii="仿宋" w:hAnsi="仿宋" w:eastAsia="仿宋" w:cs="仿宋"/>
          <w:color w:val="auto"/>
          <w:highlight w:val="none"/>
        </w:rPr>
      </w:pPr>
    </w:p>
    <w:p>
      <w:pPr>
        <w:pStyle w:val="35"/>
        <w:shd w:val="clear"/>
        <w:ind w:left="0" w:leftChars="0" w:firstLine="0" w:firstLineChars="0"/>
        <w:rPr>
          <w:rFonts w:hint="eastAsia" w:ascii="仿宋" w:hAnsi="仿宋" w:eastAsia="仿宋" w:cs="仿宋"/>
          <w:color w:val="auto"/>
          <w:highlight w:val="none"/>
        </w:rPr>
      </w:pPr>
    </w:p>
    <w:p>
      <w:pPr>
        <w:pStyle w:val="16"/>
        <w:shd w:val="clear"/>
        <w:rPr>
          <w:rFonts w:hint="eastAsia" w:ascii="仿宋" w:hAnsi="仿宋" w:eastAsia="仿宋" w:cs="仿宋"/>
          <w:color w:val="auto"/>
          <w:highlight w:val="none"/>
        </w:rPr>
      </w:pPr>
    </w:p>
    <w:p>
      <w:pPr>
        <w:shd w:val="clear"/>
        <w:spacing w:line="360" w:lineRule="auto"/>
        <w:ind w:left="420" w:leftChars="200" w:firstLine="421" w:firstLineChars="131"/>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供  应  商</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（盖章）</w:t>
      </w:r>
    </w:p>
    <w:p>
      <w:pPr>
        <w:shd w:val="clear"/>
        <w:spacing w:line="360" w:lineRule="auto"/>
        <w:ind w:left="420" w:leftChars="200" w:firstLine="421" w:firstLineChars="131"/>
        <w:rPr>
          <w:rFonts w:hint="eastAsia" w:ascii="仿宋" w:hAnsi="仿宋" w:eastAsia="仿宋" w:cs="仿宋"/>
          <w:b/>
          <w:bCs/>
          <w:color w:val="auto"/>
          <w:sz w:val="32"/>
          <w:szCs w:val="32"/>
          <w:highlight w:val="none"/>
        </w:rPr>
      </w:pPr>
      <w:r>
        <w:rPr>
          <w:rFonts w:hint="eastAsia" w:ascii="仿宋" w:hAnsi="仿宋" w:eastAsia="仿宋" w:cs="仿宋"/>
          <w:b/>
          <w:color w:val="auto"/>
          <w:sz w:val="32"/>
          <w:highlight w:val="none"/>
        </w:rPr>
        <w:t>法定代表人或授权代表：</w:t>
      </w:r>
      <w:r>
        <w:rPr>
          <w:rFonts w:hint="eastAsia" w:ascii="仿宋" w:hAnsi="仿宋" w:eastAsia="仿宋" w:cs="仿宋"/>
          <w:b/>
          <w:color w:val="auto"/>
          <w:sz w:val="32"/>
          <w:highlight w:val="none"/>
          <w:u w:val="single"/>
        </w:rPr>
        <w:t xml:space="preserve">             </w:t>
      </w:r>
      <w:r>
        <w:rPr>
          <w:rFonts w:hint="eastAsia" w:ascii="仿宋" w:hAnsi="仿宋" w:eastAsia="仿宋" w:cs="仿宋"/>
          <w:b/>
          <w:bCs/>
          <w:color w:val="auto"/>
          <w:sz w:val="32"/>
          <w:szCs w:val="32"/>
          <w:highlight w:val="none"/>
        </w:rPr>
        <w:t>（签字）</w:t>
      </w:r>
    </w:p>
    <w:p>
      <w:pPr>
        <w:shd w:val="clear"/>
        <w:spacing w:line="360" w:lineRule="auto"/>
        <w:ind w:left="420" w:leftChars="200" w:firstLine="421" w:firstLineChars="131"/>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日    期：</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月</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日</w:t>
      </w:r>
    </w:p>
    <w:p>
      <w:pPr>
        <w:pageBreakBefore/>
        <w:shd w:val="clear"/>
        <w:spacing w:line="360" w:lineRule="auto"/>
        <w:jc w:val="center"/>
        <w:rPr>
          <w:rFonts w:hint="eastAsia" w:ascii="仿宋" w:hAnsi="仿宋" w:eastAsia="仿宋" w:cs="仿宋"/>
          <w:b/>
          <w:bCs/>
          <w:color w:val="auto"/>
          <w:sz w:val="32"/>
          <w:szCs w:val="15"/>
          <w:highlight w:val="none"/>
          <w:lang w:val="zh-CN"/>
        </w:rPr>
      </w:pPr>
      <w:r>
        <w:rPr>
          <w:rFonts w:hint="eastAsia" w:ascii="仿宋" w:hAnsi="仿宋" w:eastAsia="仿宋" w:cs="仿宋"/>
          <w:b/>
          <w:bCs/>
          <w:color w:val="auto"/>
          <w:sz w:val="32"/>
          <w:szCs w:val="15"/>
          <w:highlight w:val="none"/>
          <w:lang w:val="zh-CN"/>
        </w:rPr>
        <w:t>目</w:t>
      </w:r>
      <w:r>
        <w:rPr>
          <w:rFonts w:hint="eastAsia" w:ascii="仿宋" w:hAnsi="仿宋" w:eastAsia="仿宋" w:cs="仿宋"/>
          <w:b/>
          <w:bCs/>
          <w:color w:val="auto"/>
          <w:sz w:val="32"/>
          <w:szCs w:val="15"/>
          <w:highlight w:val="none"/>
        </w:rPr>
        <w:t xml:space="preserve">  </w:t>
      </w:r>
      <w:r>
        <w:rPr>
          <w:rFonts w:hint="eastAsia" w:ascii="仿宋" w:hAnsi="仿宋" w:eastAsia="仿宋" w:cs="仿宋"/>
          <w:b/>
          <w:bCs/>
          <w:color w:val="auto"/>
          <w:sz w:val="32"/>
          <w:szCs w:val="15"/>
          <w:highlight w:val="none"/>
          <w:lang w:val="zh-CN"/>
        </w:rPr>
        <w:t>录</w:t>
      </w:r>
    </w:p>
    <w:p>
      <w:pPr>
        <w:shd w:val="clear"/>
        <w:jc w:val="center"/>
        <w:rPr>
          <w:rFonts w:hint="eastAsia" w:ascii="仿宋" w:hAnsi="仿宋" w:eastAsia="仿宋" w:cs="仿宋"/>
          <w:color w:val="auto"/>
          <w:highlight w:val="none"/>
          <w:lang w:val="zh-CN"/>
        </w:rPr>
      </w:pPr>
      <w:r>
        <w:rPr>
          <w:rFonts w:hint="eastAsia" w:ascii="仿宋" w:hAnsi="仿宋" w:eastAsia="仿宋" w:cs="仿宋"/>
          <w:color w:val="auto"/>
          <w:sz w:val="24"/>
          <w:szCs w:val="16"/>
          <w:highlight w:val="none"/>
          <w:lang w:val="zh-CN"/>
        </w:rPr>
        <w:t>请根据投标文件内容自动生成目录</w:t>
      </w:r>
    </w:p>
    <w:p>
      <w:pPr>
        <w:pageBreakBefore/>
        <w:shd w:val="clear"/>
        <w:spacing w:line="360" w:lineRule="auto"/>
        <w:jc w:val="center"/>
        <w:outlineLvl w:val="1"/>
        <w:rPr>
          <w:rFonts w:hint="eastAsia" w:ascii="仿宋" w:hAnsi="仿宋" w:eastAsia="仿宋" w:cs="仿宋"/>
          <w:color w:val="auto"/>
          <w:highlight w:val="none"/>
          <w:lang w:val="zh-CN"/>
        </w:rPr>
      </w:pPr>
      <w:bookmarkStart w:id="324" w:name="_Toc16671"/>
      <w:bookmarkStart w:id="325" w:name="_Toc14636"/>
      <w:bookmarkStart w:id="326" w:name="_Toc27884"/>
      <w:bookmarkStart w:id="327" w:name="_Toc3821"/>
      <w:bookmarkStart w:id="328" w:name="_Toc20494"/>
      <w:bookmarkStart w:id="329" w:name="_Toc32314"/>
      <w:r>
        <w:rPr>
          <w:rFonts w:hint="eastAsia" w:ascii="仿宋" w:hAnsi="仿宋" w:eastAsia="仿宋" w:cs="仿宋"/>
          <w:b/>
          <w:bCs/>
          <w:color w:val="auto"/>
          <w:sz w:val="32"/>
          <w:szCs w:val="15"/>
          <w:highlight w:val="none"/>
          <w:lang w:val="zh-CN"/>
        </w:rPr>
        <w:t>一、投标函</w:t>
      </w:r>
      <w:bookmarkEnd w:id="324"/>
      <w:bookmarkEnd w:id="325"/>
      <w:bookmarkEnd w:id="326"/>
      <w:bookmarkEnd w:id="327"/>
      <w:bookmarkEnd w:id="328"/>
      <w:bookmarkEnd w:id="329"/>
    </w:p>
    <w:p>
      <w:pPr>
        <w:shd w:val="clear"/>
        <w:autoSpaceDE w:val="0"/>
        <w:autoSpaceDN w:val="0"/>
        <w:adjustRightIn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rPr>
        <w:t>陕西笃信招标有限公司：</w:t>
      </w:r>
    </w:p>
    <w:p>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我单位收到贵公司关于</w:t>
      </w:r>
      <w:r>
        <w:rPr>
          <w:rFonts w:hint="eastAsia" w:ascii="仿宋" w:hAnsi="仿宋" w:eastAsia="仿宋" w:cs="仿宋"/>
          <w:color w:val="auto"/>
          <w:sz w:val="24"/>
          <w:szCs w:val="24"/>
          <w:highlight w:val="none"/>
          <w:u w:val="single"/>
          <w:lang w:eastAsia="zh-CN"/>
        </w:rPr>
        <w:t>灞桥区2021年新增教育建设奖补资金--五星中学设备采购项目（第六标段）二次</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DX2022-164-1</w:t>
      </w:r>
      <w:r>
        <w:rPr>
          <w:rFonts w:hint="eastAsia" w:ascii="仿宋" w:hAnsi="仿宋" w:eastAsia="仿宋" w:cs="仿宋"/>
          <w:color w:val="auto"/>
          <w:sz w:val="24"/>
          <w:szCs w:val="24"/>
          <w:highlight w:val="none"/>
        </w:rPr>
        <w:t>）的招标文件，经详细研究，我们决定参加本次项目招标活动并投标。为此，我方郑重声明以下诸点，并负法律责任。</w:t>
      </w:r>
    </w:p>
    <w:p>
      <w:pPr>
        <w:keepNext w:val="0"/>
        <w:keepLines w:val="0"/>
        <w:pageBreakBefore w:val="0"/>
        <w:widowControl w:val="0"/>
        <w:numPr>
          <w:ilvl w:val="0"/>
          <w:numId w:val="1"/>
        </w:numPr>
        <w:shd w:val="clear"/>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愿意按照招标文件中的一切要求，向采购人提供所需所有货物。</w:t>
      </w:r>
    </w:p>
    <w:p>
      <w:pPr>
        <w:pStyle w:val="16"/>
        <w:keepNext w:val="0"/>
        <w:keepLines w:val="0"/>
        <w:pageBreakBefore w:val="0"/>
        <w:widowControl w:val="0"/>
        <w:shd w:val="clear"/>
        <w:kinsoku/>
        <w:wordWrap/>
        <w:overflowPunct/>
        <w:topLinePunct w:val="0"/>
        <w:bidi w:val="0"/>
        <w:spacing w:line="360" w:lineRule="auto"/>
        <w:ind w:firstLine="480" w:firstLineChars="200"/>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二、按招标文件的规定，我公司的投标总报价大写：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kinsoku/>
        <w:wordWrap/>
        <w:overflowPunct/>
        <w:topLinePunct w:val="0"/>
        <w:bidi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三、我方提交的投标文件正本一份、副本</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有效电子版一份</w:t>
      </w:r>
      <w:r>
        <w:rPr>
          <w:rFonts w:hint="eastAsia" w:ascii="仿宋" w:hAnsi="仿宋" w:eastAsia="仿宋" w:cs="仿宋"/>
          <w:color w:val="auto"/>
          <w:sz w:val="24"/>
          <w:szCs w:val="24"/>
          <w:highlight w:val="none"/>
          <w:lang w:val="en-US" w:eastAsia="zh-CN"/>
        </w:rPr>
        <w:t>及资格证明文件一份</w:t>
      </w:r>
      <w:r>
        <w:rPr>
          <w:rFonts w:hint="eastAsia" w:ascii="仿宋" w:hAnsi="仿宋" w:eastAsia="仿宋" w:cs="仿宋"/>
          <w:color w:val="auto"/>
          <w:sz w:val="24"/>
          <w:szCs w:val="24"/>
          <w:highlight w:val="none"/>
        </w:rPr>
        <w:t>，并保证投标文件提供的数据和材料真实、准确。否则，愿承担相关的法律责任。</w:t>
      </w:r>
    </w:p>
    <w:p>
      <w:pPr>
        <w:keepNext w:val="0"/>
        <w:keepLines w:val="0"/>
        <w:pageBreakBefore w:val="0"/>
        <w:widowControl w:val="0"/>
        <w:shd w:val="clear"/>
        <w:kinsoku/>
        <w:wordWrap/>
        <w:overflowPunct/>
        <w:topLinePunct w:val="0"/>
        <w:bidi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四、我方已详细阅读了招标文件，完全理解并放弃提出含糊不清或易形成歧义的表述和资料。</w:t>
      </w:r>
    </w:p>
    <w:p>
      <w:pPr>
        <w:keepNext w:val="0"/>
        <w:keepLines w:val="0"/>
        <w:pageBreakBefore w:val="0"/>
        <w:widowControl w:val="0"/>
        <w:shd w:val="clear"/>
        <w:kinsoku/>
        <w:wordWrap/>
        <w:overflowPunct/>
        <w:topLinePunct w:val="0"/>
        <w:bidi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五、我方愿意向贵方提供任何与本次招标有关的数据、情况、样品和技术资料，若贵方需要，我方愿意提供我方作出的一切承诺的证明材料。</w:t>
      </w:r>
    </w:p>
    <w:p>
      <w:pPr>
        <w:keepNext w:val="0"/>
        <w:keepLines w:val="0"/>
        <w:pageBreakBefore w:val="0"/>
        <w:widowControl w:val="0"/>
        <w:shd w:val="clear"/>
        <w:kinsoku/>
        <w:wordWrap/>
        <w:overflowPunct/>
        <w:topLinePunct w:val="0"/>
        <w:bidi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六、开标后在规定的投标有效期内撤回投标，我们愿接受政府采购的有关处罚决定。</w:t>
      </w:r>
    </w:p>
    <w:p>
      <w:pPr>
        <w:keepNext w:val="0"/>
        <w:keepLines w:val="0"/>
        <w:pageBreakBefore w:val="0"/>
        <w:widowControl w:val="0"/>
        <w:shd w:val="clear"/>
        <w:kinsoku/>
        <w:wordWrap/>
        <w:overflowPunct/>
        <w:topLinePunct w:val="0"/>
        <w:bidi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七、我方承诺遵守《中华人民共和国政府采购法》及其实施条例的有关规定，保证在获得中标资格后：</w:t>
      </w:r>
    </w:p>
    <w:p>
      <w:pPr>
        <w:keepNext w:val="0"/>
        <w:keepLines w:val="0"/>
        <w:pageBreakBefore w:val="0"/>
        <w:widowControl w:val="0"/>
        <w:shd w:val="clear"/>
        <w:kinsoku/>
        <w:wordWrap/>
        <w:overflowPunct/>
        <w:topLinePunct w:val="0"/>
        <w:bidi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1、按照招标文件确定的事项签订合同，履行双方所签订的合同，并承担合同规定的责任和义务；</w:t>
      </w:r>
    </w:p>
    <w:p>
      <w:pPr>
        <w:keepNext w:val="0"/>
        <w:keepLines w:val="0"/>
        <w:pageBreakBefore w:val="0"/>
        <w:widowControl w:val="0"/>
        <w:shd w:val="clear"/>
        <w:kinsoku/>
        <w:wordWrap/>
        <w:overflowPunct/>
        <w:topLinePunct w:val="0"/>
        <w:bidi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2、我方保证按规定和标准向贵方缴纳中标服务费；</w:t>
      </w:r>
    </w:p>
    <w:p>
      <w:pPr>
        <w:keepNext w:val="0"/>
        <w:keepLines w:val="0"/>
        <w:pageBreakBefore w:val="0"/>
        <w:widowControl w:val="0"/>
        <w:shd w:val="clear"/>
        <w:kinsoku/>
        <w:wordWrap/>
        <w:overflowPunct/>
        <w:topLinePunct w:val="0"/>
        <w:bidi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3、投标文件有效期延长至合同履行完毕，且有效期自开标之日起不少于90天。</w:t>
      </w:r>
    </w:p>
    <w:p>
      <w:pPr>
        <w:keepNext w:val="0"/>
        <w:keepLines w:val="0"/>
        <w:pageBreakBefore w:val="0"/>
        <w:widowControl w:val="0"/>
        <w:shd w:val="clear"/>
        <w:kinsoku/>
        <w:wordWrap/>
        <w:overflowPunct/>
        <w:topLinePunct w:val="0"/>
        <w:bidi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八、我方完全理解最低报价不是中标的唯一条件，并尊重评标委员会的评标结论和定标结果。</w:t>
      </w:r>
    </w:p>
    <w:p>
      <w:pPr>
        <w:keepNext w:val="0"/>
        <w:keepLines w:val="0"/>
        <w:pageBreakBefore w:val="0"/>
        <w:widowControl w:val="0"/>
        <w:shd w:val="clear"/>
        <w:kinsoku/>
        <w:wordWrap/>
        <w:overflowPunct/>
        <w:topLinePunct w:val="0"/>
        <w:bidi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九、一旦我方中标,我方同意与使用单位签订保密协议；</w:t>
      </w:r>
    </w:p>
    <w:p>
      <w:pPr>
        <w:keepNext w:val="0"/>
        <w:keepLines w:val="0"/>
        <w:pageBreakBefore w:val="0"/>
        <w:widowControl w:val="0"/>
        <w:shd w:val="clear"/>
        <w:kinsoku/>
        <w:wordWrap/>
        <w:overflowPunct/>
        <w:topLinePunct w:val="0"/>
        <w:bidi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十、有关于本投标文件的函电，请按下列地址联系。</w:t>
      </w:r>
    </w:p>
    <w:p>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b/>
          <w:color w:val="auto"/>
          <w:sz w:val="24"/>
          <w:szCs w:val="24"/>
          <w:highlight w:val="none"/>
          <w:u w:val="singl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全称（印章）：</w:t>
      </w:r>
      <w:r>
        <w:rPr>
          <w:rFonts w:hint="eastAsia" w:ascii="仿宋" w:hAnsi="仿宋" w:eastAsia="仿宋" w:cs="仿宋"/>
          <w:b/>
          <w:color w:val="auto"/>
          <w:sz w:val="24"/>
          <w:szCs w:val="24"/>
          <w:highlight w:val="none"/>
          <w:u w:val="single"/>
        </w:rPr>
        <w:t xml:space="preserve">                                 </w:t>
      </w:r>
    </w:p>
    <w:p>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法定代表人或授权代表（签字）：</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b/>
          <w:color w:val="auto"/>
          <w:sz w:val="24"/>
          <w:szCs w:val="24"/>
          <w:highlight w:val="none"/>
          <w:u w:val="single"/>
        </w:rPr>
        <w:t xml:space="preserve">                                           </w:t>
      </w:r>
    </w:p>
    <w:p>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b/>
          <w:color w:val="auto"/>
          <w:sz w:val="24"/>
          <w:szCs w:val="24"/>
          <w:highlight w:val="none"/>
          <w:u w:val="single"/>
        </w:rPr>
        <w:t xml:space="preserve">                                           </w:t>
      </w:r>
    </w:p>
    <w:p>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r>
        <w:rPr>
          <w:rFonts w:hint="eastAsia" w:ascii="仿宋" w:hAnsi="仿宋" w:eastAsia="仿宋" w:cs="仿宋"/>
          <w:b/>
          <w:color w:val="auto"/>
          <w:sz w:val="24"/>
          <w:szCs w:val="24"/>
          <w:highlight w:val="none"/>
          <w:u w:val="single"/>
        </w:rPr>
        <w:t xml:space="preserve">                                           </w:t>
      </w:r>
    </w:p>
    <w:p>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b/>
          <w:color w:val="auto"/>
          <w:sz w:val="24"/>
          <w:szCs w:val="24"/>
          <w:highlight w:val="none"/>
          <w:u w:val="single"/>
        </w:rPr>
        <w:t xml:space="preserve">                                          </w:t>
      </w:r>
    </w:p>
    <w:p>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b/>
          <w:color w:val="auto"/>
          <w:sz w:val="24"/>
          <w:szCs w:val="24"/>
          <w:highlight w:val="none"/>
          <w:u w:val="single"/>
        </w:rPr>
        <w:t xml:space="preserve">                                          </w:t>
      </w:r>
    </w:p>
    <w:p>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    编：</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hd w:val="clear"/>
        <w:autoSpaceDE w:val="0"/>
        <w:autoSpaceDN w:val="0"/>
        <w:adjustRightIn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hd w:val="clear"/>
        <w:autoSpaceDE w:val="0"/>
        <w:autoSpaceDN w:val="0"/>
        <w:adjustRightInd w:val="0"/>
        <w:snapToGrid w:val="0"/>
        <w:spacing w:line="360" w:lineRule="auto"/>
        <w:jc w:val="right"/>
        <w:rPr>
          <w:rFonts w:hint="eastAsia" w:ascii="仿宋" w:hAnsi="仿宋" w:eastAsia="仿宋" w:cs="仿宋"/>
          <w:color w:val="auto"/>
          <w:sz w:val="24"/>
          <w:szCs w:val="24"/>
          <w:highlight w:val="none"/>
          <w:lang w:val="zh-CN"/>
        </w:rPr>
        <w:sectPr>
          <w:footerReference r:id="rId8" w:type="default"/>
          <w:pgSz w:w="11906" w:h="16838"/>
          <w:pgMar w:top="1417" w:right="1701" w:bottom="1417" w:left="1701"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9"/>
        <w:shd w:val="clear"/>
        <w:spacing w:line="360" w:lineRule="auto"/>
        <w:rPr>
          <w:rFonts w:hint="eastAsia" w:ascii="仿宋" w:hAnsi="仿宋" w:eastAsia="仿宋" w:cs="仿宋"/>
          <w:color w:val="auto"/>
          <w:sz w:val="32"/>
          <w:szCs w:val="15"/>
          <w:highlight w:val="none"/>
          <w:lang w:val="zh-CN"/>
        </w:rPr>
      </w:pPr>
      <w:bookmarkStart w:id="330" w:name="_Toc12108"/>
      <w:bookmarkStart w:id="331" w:name="_Toc19367"/>
      <w:bookmarkStart w:id="332" w:name="_Toc3436"/>
      <w:bookmarkStart w:id="333" w:name="_Toc30144"/>
      <w:bookmarkStart w:id="334" w:name="_Toc7809"/>
      <w:bookmarkStart w:id="335" w:name="_Toc15900"/>
      <w:bookmarkStart w:id="336" w:name="_Toc16343"/>
      <w:bookmarkStart w:id="337" w:name="_Toc4521"/>
      <w:bookmarkStart w:id="338" w:name="_Toc22952"/>
      <w:bookmarkStart w:id="339" w:name="_Toc16389"/>
      <w:bookmarkStart w:id="340" w:name="_Toc18879"/>
      <w:bookmarkStart w:id="341" w:name="_Toc22013"/>
      <w:bookmarkStart w:id="342" w:name="_Toc24304"/>
      <w:bookmarkStart w:id="343" w:name="_Toc18565"/>
      <w:bookmarkStart w:id="344" w:name="_Toc13002"/>
      <w:bookmarkStart w:id="345" w:name="_Toc20056"/>
      <w:bookmarkStart w:id="346" w:name="_Toc475451554"/>
      <w:bookmarkStart w:id="347" w:name="_Toc17040"/>
      <w:bookmarkStart w:id="348" w:name="_Toc475451801"/>
      <w:bookmarkStart w:id="349" w:name="_Toc473056004"/>
      <w:r>
        <w:rPr>
          <w:rFonts w:hint="eastAsia" w:ascii="仿宋" w:hAnsi="仿宋" w:eastAsia="仿宋" w:cs="仿宋"/>
          <w:color w:val="auto"/>
          <w:sz w:val="32"/>
          <w:szCs w:val="15"/>
          <w:highlight w:val="none"/>
          <w:lang w:val="zh-CN"/>
        </w:rPr>
        <w:t>二、开标一览表（唱标报告）</w:t>
      </w:r>
      <w:bookmarkEnd w:id="330"/>
      <w:bookmarkEnd w:id="331"/>
      <w:bookmarkEnd w:id="332"/>
      <w:bookmarkEnd w:id="333"/>
      <w:bookmarkEnd w:id="334"/>
      <w:bookmarkEnd w:id="335"/>
      <w:bookmarkEnd w:id="336"/>
      <w:bookmarkEnd w:id="337"/>
      <w:bookmarkEnd w:id="338"/>
    </w:p>
    <w:tbl>
      <w:tblPr>
        <w:tblStyle w:val="21"/>
        <w:tblW w:w="8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9" w:hRule="atLeast"/>
        </w:trPr>
        <w:tc>
          <w:tcPr>
            <w:tcW w:w="2088"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491" w:type="dxa"/>
            <w:noWrap w:val="0"/>
            <w:vAlign w:val="center"/>
          </w:tcPr>
          <w:p>
            <w:pPr>
              <w:shd w:val="clea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灞桥区2021年新增教育建设奖补资金--五星中学设备采购项目（第六标段）二次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2088" w:type="dxa"/>
            <w:noWrap w:val="0"/>
            <w:vAlign w:val="center"/>
          </w:tcPr>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6491" w:type="dxa"/>
            <w:noWrap w:val="0"/>
            <w:vAlign w:val="center"/>
          </w:tcPr>
          <w:p>
            <w:pPr>
              <w:shd w:val="clea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DX2022-164-1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2088" w:type="dxa"/>
            <w:noWrap w:val="0"/>
            <w:vAlign w:val="center"/>
          </w:tcPr>
          <w:p>
            <w:pPr>
              <w:widowControl/>
              <w:shd w:val="clea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投标总报价</w:t>
            </w:r>
          </w:p>
          <w:p>
            <w:pPr>
              <w:widowControl/>
              <w:shd w:val="clea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（元）</w:t>
            </w:r>
          </w:p>
        </w:tc>
        <w:tc>
          <w:tcPr>
            <w:tcW w:w="6491" w:type="dxa"/>
            <w:noWrap w:val="0"/>
            <w:vAlign w:val="center"/>
          </w:tcPr>
          <w:p>
            <w:pPr>
              <w:widowControl/>
              <w:shd w:val="clea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p>
            <w:pPr>
              <w:widowControl/>
              <w:shd w:val="clea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大写：</w:t>
            </w:r>
          </w:p>
          <w:p>
            <w:pPr>
              <w:widowControl/>
              <w:shd w:val="clea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小写：</w:t>
            </w:r>
          </w:p>
          <w:p>
            <w:pPr>
              <w:widowControl/>
              <w:shd w:val="clea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088" w:type="dxa"/>
            <w:noWrap w:val="0"/>
            <w:vAlign w:val="center"/>
          </w:tcPr>
          <w:p>
            <w:pPr>
              <w:widowControl/>
              <w:shd w:val="clear"/>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交货期</w:t>
            </w:r>
          </w:p>
        </w:tc>
        <w:tc>
          <w:tcPr>
            <w:tcW w:w="6491" w:type="dxa"/>
            <w:noWrap w:val="0"/>
            <w:vAlign w:val="center"/>
          </w:tcPr>
          <w:p>
            <w:pPr>
              <w:widowControl/>
              <w:shd w:val="clear"/>
              <w:spacing w:line="360" w:lineRule="auto"/>
              <w:jc w:val="left"/>
              <w:rPr>
                <w:rFonts w:hint="eastAsia" w:ascii="仿宋" w:hAnsi="仿宋" w:eastAsia="仿宋" w:cs="仿宋"/>
                <w:color w:val="auto"/>
                <w:kern w:val="0"/>
                <w:sz w:val="24"/>
                <w:szCs w:val="24"/>
                <w:highlight w:val="none"/>
              </w:rPr>
            </w:pPr>
          </w:p>
        </w:tc>
      </w:tr>
    </w:tbl>
    <w:p>
      <w:pPr>
        <w:widowControl/>
        <w:shd w:val="clear"/>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说明：</w:t>
      </w:r>
    </w:p>
    <w:p>
      <w:pPr>
        <w:widowControl/>
        <w:shd w:val="clear"/>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1.本表所列各项数据与招标文件其它地方表述不一致时，以本表为准。</w:t>
      </w:r>
    </w:p>
    <w:p>
      <w:pPr>
        <w:widowControl/>
        <w:shd w:val="clear"/>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2.投标总报价以元为单位，四舍五入精确到小数点后两位。</w:t>
      </w:r>
    </w:p>
    <w:p>
      <w:pPr>
        <w:widowControl/>
        <w:shd w:val="clear"/>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3.投标总报价应与分项报价表中合计金额一致。</w:t>
      </w:r>
    </w:p>
    <w:p>
      <w:pPr>
        <w:widowControl/>
        <w:shd w:val="clear"/>
        <w:spacing w:line="360" w:lineRule="auto"/>
        <w:rPr>
          <w:rFonts w:hint="eastAsia" w:ascii="仿宋" w:hAnsi="仿宋" w:eastAsia="仿宋" w:cs="仿宋"/>
          <w:bCs/>
          <w:color w:val="auto"/>
          <w:kern w:val="0"/>
          <w:sz w:val="24"/>
          <w:szCs w:val="24"/>
          <w:highlight w:val="none"/>
        </w:rPr>
      </w:pPr>
    </w:p>
    <w:p>
      <w:pPr>
        <w:shd w:val="clear"/>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hd w:val="clea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授权代表（签字或盖章）：</w:t>
      </w:r>
      <w:r>
        <w:rPr>
          <w:rFonts w:hint="eastAsia" w:ascii="仿宋" w:hAnsi="仿宋" w:eastAsia="仿宋" w:cs="仿宋"/>
          <w:color w:val="auto"/>
          <w:sz w:val="24"/>
          <w:szCs w:val="24"/>
          <w:highlight w:val="none"/>
          <w:u w:val="single"/>
        </w:rPr>
        <w:t xml:space="preserve">     </w:t>
      </w:r>
    </w:p>
    <w:p>
      <w:pPr>
        <w:shd w:val="clear"/>
        <w:adjustRightInd w:val="0"/>
        <w:snapToGrid w:val="0"/>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pStyle w:val="9"/>
        <w:keepNext w:val="0"/>
        <w:pageBreakBefore/>
        <w:shd w:val="clear"/>
        <w:spacing w:line="360" w:lineRule="auto"/>
        <w:ind w:left="420" w:leftChars="200"/>
        <w:rPr>
          <w:rFonts w:hint="eastAsia" w:ascii="仿宋" w:hAnsi="仿宋" w:eastAsia="仿宋" w:cs="仿宋"/>
          <w:color w:val="auto"/>
          <w:sz w:val="32"/>
          <w:szCs w:val="32"/>
          <w:highlight w:val="none"/>
        </w:rPr>
      </w:pPr>
      <w:bookmarkStart w:id="350" w:name="_Toc32341"/>
      <w:r>
        <w:rPr>
          <w:rFonts w:hint="eastAsia" w:ascii="仿宋" w:hAnsi="仿宋" w:eastAsia="仿宋" w:cs="仿宋"/>
          <w:color w:val="auto"/>
          <w:sz w:val="32"/>
          <w:szCs w:val="32"/>
          <w:highlight w:val="none"/>
        </w:rPr>
        <w:t>三、</w:t>
      </w:r>
      <w:bookmarkEnd w:id="339"/>
      <w:bookmarkEnd w:id="340"/>
      <w:bookmarkEnd w:id="341"/>
      <w:bookmarkEnd w:id="342"/>
      <w:bookmarkEnd w:id="343"/>
      <w:bookmarkEnd w:id="344"/>
      <w:bookmarkEnd w:id="345"/>
      <w:r>
        <w:rPr>
          <w:rFonts w:hint="eastAsia" w:ascii="仿宋" w:hAnsi="仿宋" w:eastAsia="仿宋" w:cs="仿宋"/>
          <w:color w:val="auto"/>
          <w:sz w:val="32"/>
          <w:szCs w:val="32"/>
          <w:highlight w:val="none"/>
          <w:lang w:val="en-US" w:eastAsia="zh-CN"/>
        </w:rPr>
        <w:t>费用组成明细表</w:t>
      </w:r>
      <w:bookmarkEnd w:id="350"/>
    </w:p>
    <w:tbl>
      <w:tblPr>
        <w:tblStyle w:val="2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183"/>
        <w:gridCol w:w="1367"/>
        <w:gridCol w:w="1233"/>
        <w:gridCol w:w="750"/>
        <w:gridCol w:w="760"/>
        <w:gridCol w:w="1137"/>
        <w:gridCol w:w="1247"/>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pPr>
              <w:widowControl/>
              <w:shd w:val="clear"/>
              <w:jc w:val="center"/>
              <w:textAlignment w:val="center"/>
              <w:rPr>
                <w:rFonts w:hint="eastAsia" w:ascii="仿宋" w:hAnsi="仿宋" w:eastAsia="仿宋" w:cs="仿宋"/>
                <w:bCs/>
                <w:color w:val="auto"/>
                <w:szCs w:val="21"/>
                <w:highlight w:val="none"/>
              </w:rPr>
            </w:pPr>
            <w:bookmarkStart w:id="351" w:name="_Toc5607"/>
            <w:bookmarkStart w:id="352" w:name="_Toc28835"/>
            <w:bookmarkStart w:id="353" w:name="_Toc5122"/>
            <w:bookmarkStart w:id="354" w:name="_Toc10639"/>
            <w:bookmarkStart w:id="355" w:name="_Toc27541"/>
            <w:bookmarkStart w:id="356" w:name="_Toc27212"/>
            <w:bookmarkStart w:id="357" w:name="_Toc2318"/>
            <w:r>
              <w:rPr>
                <w:rFonts w:hint="eastAsia" w:ascii="仿宋" w:hAnsi="仿宋" w:eastAsia="仿宋" w:cs="仿宋"/>
                <w:bCs/>
                <w:color w:val="auto"/>
                <w:kern w:val="0"/>
                <w:szCs w:val="21"/>
                <w:highlight w:val="none"/>
                <w:lang w:bidi="ar"/>
              </w:rPr>
              <w:t>序号</w:t>
            </w:r>
          </w:p>
        </w:tc>
        <w:tc>
          <w:tcPr>
            <w:tcW w:w="1183" w:type="dxa"/>
            <w:noWrap w:val="0"/>
            <w:vAlign w:val="center"/>
          </w:tcPr>
          <w:p>
            <w:pPr>
              <w:widowControl/>
              <w:shd w:val="clear"/>
              <w:jc w:val="center"/>
              <w:textAlignment w:val="center"/>
              <w:rPr>
                <w:rFonts w:hint="eastAsia" w:ascii="仿宋" w:hAnsi="仿宋" w:eastAsia="仿宋" w:cs="仿宋"/>
                <w:bCs/>
                <w:color w:val="auto"/>
                <w:szCs w:val="21"/>
                <w:highlight w:val="none"/>
              </w:rPr>
            </w:pPr>
            <w:r>
              <w:rPr>
                <w:rFonts w:hint="eastAsia" w:ascii="仿宋" w:hAnsi="仿宋" w:eastAsia="仿宋" w:cs="仿宋"/>
                <w:bCs/>
                <w:color w:val="auto"/>
                <w:kern w:val="0"/>
                <w:szCs w:val="21"/>
                <w:highlight w:val="none"/>
                <w:lang w:bidi="ar"/>
              </w:rPr>
              <w:t>采购物品</w:t>
            </w:r>
          </w:p>
        </w:tc>
        <w:tc>
          <w:tcPr>
            <w:tcW w:w="1367" w:type="dxa"/>
            <w:noWrap w:val="0"/>
            <w:vAlign w:val="center"/>
          </w:tcPr>
          <w:p>
            <w:pPr>
              <w:widowControl/>
              <w:shd w:val="clear"/>
              <w:jc w:val="center"/>
              <w:textAlignment w:val="center"/>
              <w:rPr>
                <w:rFonts w:hint="eastAsia" w:ascii="仿宋" w:hAnsi="仿宋" w:eastAsia="仿宋" w:cs="仿宋"/>
                <w:bCs/>
                <w:color w:val="auto"/>
                <w:szCs w:val="21"/>
                <w:highlight w:val="none"/>
              </w:rPr>
            </w:pPr>
            <w:r>
              <w:rPr>
                <w:rFonts w:hint="eastAsia" w:ascii="仿宋" w:hAnsi="仿宋" w:eastAsia="仿宋" w:cs="仿宋"/>
                <w:bCs/>
                <w:color w:val="auto"/>
                <w:kern w:val="0"/>
                <w:szCs w:val="21"/>
                <w:highlight w:val="none"/>
                <w:lang w:bidi="ar"/>
              </w:rPr>
              <w:t>货物内容</w:t>
            </w:r>
          </w:p>
        </w:tc>
        <w:tc>
          <w:tcPr>
            <w:tcW w:w="1233" w:type="dxa"/>
            <w:noWrap w:val="0"/>
            <w:vAlign w:val="center"/>
          </w:tcPr>
          <w:p>
            <w:pPr>
              <w:shd w:val="clea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品牌型号</w:t>
            </w:r>
          </w:p>
        </w:tc>
        <w:tc>
          <w:tcPr>
            <w:tcW w:w="750" w:type="dxa"/>
            <w:noWrap w:val="0"/>
            <w:vAlign w:val="center"/>
          </w:tcPr>
          <w:p>
            <w:pPr>
              <w:shd w:val="clea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数量</w:t>
            </w:r>
          </w:p>
        </w:tc>
        <w:tc>
          <w:tcPr>
            <w:tcW w:w="760" w:type="dxa"/>
            <w:noWrap w:val="0"/>
            <w:vAlign w:val="center"/>
          </w:tcPr>
          <w:p>
            <w:pPr>
              <w:shd w:val="clear"/>
              <w:jc w:val="center"/>
              <w:rPr>
                <w:rFonts w:hint="eastAsia" w:ascii="仿宋" w:hAnsi="仿宋" w:eastAsia="仿宋" w:cs="仿宋"/>
                <w:b/>
                <w:color w:val="auto"/>
                <w:szCs w:val="21"/>
                <w:highlight w:val="none"/>
                <w:lang w:val="en-US" w:eastAsia="zh-CN"/>
              </w:rPr>
            </w:pPr>
            <w:r>
              <w:rPr>
                <w:rFonts w:hint="eastAsia" w:ascii="仿宋" w:hAnsi="仿宋" w:eastAsia="仿宋" w:cs="仿宋"/>
                <w:b/>
                <w:color w:val="auto"/>
                <w:szCs w:val="21"/>
                <w:highlight w:val="none"/>
                <w:lang w:val="en-US" w:eastAsia="zh-CN"/>
              </w:rPr>
              <w:t>单位</w:t>
            </w:r>
          </w:p>
        </w:tc>
        <w:tc>
          <w:tcPr>
            <w:tcW w:w="1137" w:type="dxa"/>
            <w:noWrap w:val="0"/>
            <w:vAlign w:val="center"/>
          </w:tcPr>
          <w:p>
            <w:pPr>
              <w:shd w:val="clea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单价（元）</w:t>
            </w:r>
          </w:p>
        </w:tc>
        <w:tc>
          <w:tcPr>
            <w:tcW w:w="1247" w:type="dxa"/>
            <w:noWrap w:val="0"/>
            <w:vAlign w:val="center"/>
          </w:tcPr>
          <w:p>
            <w:pPr>
              <w:shd w:val="clea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总价(元）</w:t>
            </w:r>
          </w:p>
        </w:tc>
        <w:tc>
          <w:tcPr>
            <w:tcW w:w="662" w:type="dxa"/>
            <w:noWrap w:val="0"/>
            <w:vAlign w:val="center"/>
          </w:tcPr>
          <w:p>
            <w:pPr>
              <w:shd w:val="clea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183" w:type="dxa"/>
            <w:noWrap w:val="0"/>
            <w:vAlign w:val="center"/>
          </w:tcPr>
          <w:p>
            <w:pPr>
              <w:shd w:val="clear"/>
              <w:spacing w:line="360" w:lineRule="auto"/>
              <w:rPr>
                <w:rFonts w:hint="eastAsia" w:ascii="仿宋" w:hAnsi="仿宋" w:eastAsia="仿宋" w:cs="仿宋"/>
                <w:color w:val="auto"/>
                <w:sz w:val="24"/>
                <w:szCs w:val="24"/>
                <w:highlight w:val="none"/>
              </w:rPr>
            </w:pPr>
          </w:p>
        </w:tc>
        <w:tc>
          <w:tcPr>
            <w:tcW w:w="136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33" w:type="dxa"/>
            <w:noWrap w:val="0"/>
            <w:vAlign w:val="center"/>
          </w:tcPr>
          <w:p>
            <w:pPr>
              <w:shd w:val="clear"/>
              <w:spacing w:line="360" w:lineRule="auto"/>
              <w:ind w:left="392"/>
              <w:jc w:val="center"/>
              <w:rPr>
                <w:rFonts w:hint="eastAsia" w:ascii="仿宋" w:hAnsi="仿宋" w:eastAsia="仿宋" w:cs="仿宋"/>
                <w:color w:val="auto"/>
                <w:sz w:val="24"/>
                <w:szCs w:val="24"/>
                <w:highlight w:val="none"/>
              </w:rPr>
            </w:pPr>
          </w:p>
        </w:tc>
        <w:tc>
          <w:tcPr>
            <w:tcW w:w="750"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760"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13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4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662" w:type="dxa"/>
            <w:noWrap w:val="0"/>
            <w:vAlign w:val="center"/>
          </w:tcPr>
          <w:p>
            <w:pPr>
              <w:shd w:val="clea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183" w:type="dxa"/>
            <w:noWrap w:val="0"/>
            <w:vAlign w:val="center"/>
          </w:tcPr>
          <w:p>
            <w:pPr>
              <w:shd w:val="clear"/>
              <w:spacing w:line="360" w:lineRule="auto"/>
              <w:rPr>
                <w:rFonts w:hint="eastAsia" w:ascii="仿宋" w:hAnsi="仿宋" w:eastAsia="仿宋" w:cs="仿宋"/>
                <w:color w:val="auto"/>
                <w:sz w:val="24"/>
                <w:szCs w:val="24"/>
                <w:highlight w:val="none"/>
              </w:rPr>
            </w:pPr>
          </w:p>
        </w:tc>
        <w:tc>
          <w:tcPr>
            <w:tcW w:w="136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33" w:type="dxa"/>
            <w:noWrap w:val="0"/>
            <w:vAlign w:val="center"/>
          </w:tcPr>
          <w:p>
            <w:pPr>
              <w:shd w:val="clear"/>
              <w:spacing w:line="360" w:lineRule="auto"/>
              <w:ind w:left="392"/>
              <w:jc w:val="center"/>
              <w:rPr>
                <w:rFonts w:hint="eastAsia" w:ascii="仿宋" w:hAnsi="仿宋" w:eastAsia="仿宋" w:cs="仿宋"/>
                <w:color w:val="auto"/>
                <w:sz w:val="24"/>
                <w:szCs w:val="24"/>
                <w:highlight w:val="none"/>
              </w:rPr>
            </w:pPr>
          </w:p>
        </w:tc>
        <w:tc>
          <w:tcPr>
            <w:tcW w:w="750"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760"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13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4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662" w:type="dxa"/>
            <w:noWrap w:val="0"/>
            <w:vAlign w:val="center"/>
          </w:tcPr>
          <w:p>
            <w:pPr>
              <w:shd w:val="clea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183" w:type="dxa"/>
            <w:noWrap w:val="0"/>
            <w:vAlign w:val="center"/>
          </w:tcPr>
          <w:p>
            <w:pPr>
              <w:shd w:val="clear"/>
              <w:spacing w:line="360" w:lineRule="auto"/>
              <w:rPr>
                <w:rFonts w:hint="eastAsia" w:ascii="仿宋" w:hAnsi="仿宋" w:eastAsia="仿宋" w:cs="仿宋"/>
                <w:color w:val="auto"/>
                <w:sz w:val="24"/>
                <w:szCs w:val="24"/>
                <w:highlight w:val="none"/>
              </w:rPr>
            </w:pPr>
          </w:p>
        </w:tc>
        <w:tc>
          <w:tcPr>
            <w:tcW w:w="136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33" w:type="dxa"/>
            <w:noWrap w:val="0"/>
            <w:vAlign w:val="center"/>
          </w:tcPr>
          <w:p>
            <w:pPr>
              <w:shd w:val="clear"/>
              <w:spacing w:line="360" w:lineRule="auto"/>
              <w:ind w:left="392"/>
              <w:jc w:val="center"/>
              <w:rPr>
                <w:rFonts w:hint="eastAsia" w:ascii="仿宋" w:hAnsi="仿宋" w:eastAsia="仿宋" w:cs="仿宋"/>
                <w:color w:val="auto"/>
                <w:sz w:val="24"/>
                <w:szCs w:val="24"/>
                <w:highlight w:val="none"/>
              </w:rPr>
            </w:pPr>
          </w:p>
        </w:tc>
        <w:tc>
          <w:tcPr>
            <w:tcW w:w="750"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760"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13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4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662" w:type="dxa"/>
            <w:noWrap w:val="0"/>
            <w:vAlign w:val="center"/>
          </w:tcPr>
          <w:p>
            <w:pPr>
              <w:shd w:val="clea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183" w:type="dxa"/>
            <w:noWrap w:val="0"/>
            <w:vAlign w:val="center"/>
          </w:tcPr>
          <w:p>
            <w:pPr>
              <w:shd w:val="clear"/>
              <w:spacing w:line="360" w:lineRule="auto"/>
              <w:rPr>
                <w:rFonts w:hint="eastAsia" w:ascii="仿宋" w:hAnsi="仿宋" w:eastAsia="仿宋" w:cs="仿宋"/>
                <w:color w:val="auto"/>
                <w:sz w:val="24"/>
                <w:szCs w:val="24"/>
                <w:highlight w:val="none"/>
              </w:rPr>
            </w:pPr>
          </w:p>
        </w:tc>
        <w:tc>
          <w:tcPr>
            <w:tcW w:w="136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33" w:type="dxa"/>
            <w:noWrap w:val="0"/>
            <w:vAlign w:val="center"/>
          </w:tcPr>
          <w:p>
            <w:pPr>
              <w:shd w:val="clear"/>
              <w:spacing w:line="360" w:lineRule="auto"/>
              <w:ind w:left="392"/>
              <w:jc w:val="center"/>
              <w:rPr>
                <w:rFonts w:hint="eastAsia" w:ascii="仿宋" w:hAnsi="仿宋" w:eastAsia="仿宋" w:cs="仿宋"/>
                <w:color w:val="auto"/>
                <w:sz w:val="24"/>
                <w:szCs w:val="24"/>
                <w:highlight w:val="none"/>
              </w:rPr>
            </w:pPr>
          </w:p>
        </w:tc>
        <w:tc>
          <w:tcPr>
            <w:tcW w:w="750"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760"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13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4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662" w:type="dxa"/>
            <w:noWrap w:val="0"/>
            <w:vAlign w:val="center"/>
          </w:tcPr>
          <w:p>
            <w:pPr>
              <w:shd w:val="clea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183" w:type="dxa"/>
            <w:noWrap w:val="0"/>
            <w:vAlign w:val="center"/>
          </w:tcPr>
          <w:p>
            <w:pPr>
              <w:shd w:val="clear"/>
              <w:spacing w:line="360" w:lineRule="auto"/>
              <w:rPr>
                <w:rFonts w:hint="eastAsia" w:ascii="仿宋" w:hAnsi="仿宋" w:eastAsia="仿宋" w:cs="仿宋"/>
                <w:color w:val="auto"/>
                <w:sz w:val="24"/>
                <w:szCs w:val="24"/>
                <w:highlight w:val="none"/>
              </w:rPr>
            </w:pPr>
          </w:p>
        </w:tc>
        <w:tc>
          <w:tcPr>
            <w:tcW w:w="136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33" w:type="dxa"/>
            <w:noWrap w:val="0"/>
            <w:vAlign w:val="center"/>
          </w:tcPr>
          <w:p>
            <w:pPr>
              <w:shd w:val="clear"/>
              <w:spacing w:line="360" w:lineRule="auto"/>
              <w:ind w:left="392"/>
              <w:jc w:val="center"/>
              <w:rPr>
                <w:rFonts w:hint="eastAsia" w:ascii="仿宋" w:hAnsi="仿宋" w:eastAsia="仿宋" w:cs="仿宋"/>
                <w:color w:val="auto"/>
                <w:sz w:val="24"/>
                <w:szCs w:val="24"/>
                <w:highlight w:val="none"/>
              </w:rPr>
            </w:pPr>
          </w:p>
        </w:tc>
        <w:tc>
          <w:tcPr>
            <w:tcW w:w="750"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760"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13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4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662" w:type="dxa"/>
            <w:noWrap w:val="0"/>
            <w:vAlign w:val="center"/>
          </w:tcPr>
          <w:p>
            <w:pPr>
              <w:shd w:val="clea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183" w:type="dxa"/>
            <w:noWrap w:val="0"/>
            <w:vAlign w:val="center"/>
          </w:tcPr>
          <w:p>
            <w:pPr>
              <w:shd w:val="clear"/>
              <w:spacing w:line="360" w:lineRule="auto"/>
              <w:rPr>
                <w:rFonts w:hint="eastAsia" w:ascii="仿宋" w:hAnsi="仿宋" w:eastAsia="仿宋" w:cs="仿宋"/>
                <w:color w:val="auto"/>
                <w:sz w:val="24"/>
                <w:szCs w:val="24"/>
                <w:highlight w:val="none"/>
              </w:rPr>
            </w:pPr>
          </w:p>
        </w:tc>
        <w:tc>
          <w:tcPr>
            <w:tcW w:w="136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33"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750"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760"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13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4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662" w:type="dxa"/>
            <w:noWrap w:val="0"/>
            <w:vAlign w:val="center"/>
          </w:tcPr>
          <w:p>
            <w:pPr>
              <w:shd w:val="clea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183" w:type="dxa"/>
            <w:noWrap w:val="0"/>
            <w:vAlign w:val="center"/>
          </w:tcPr>
          <w:p>
            <w:pPr>
              <w:shd w:val="clear"/>
              <w:spacing w:line="360" w:lineRule="auto"/>
              <w:rPr>
                <w:rFonts w:hint="eastAsia" w:ascii="仿宋" w:hAnsi="仿宋" w:eastAsia="仿宋" w:cs="仿宋"/>
                <w:color w:val="auto"/>
                <w:sz w:val="24"/>
                <w:szCs w:val="24"/>
                <w:highlight w:val="none"/>
              </w:rPr>
            </w:pPr>
          </w:p>
        </w:tc>
        <w:tc>
          <w:tcPr>
            <w:tcW w:w="136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33"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750"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760"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13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4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662" w:type="dxa"/>
            <w:noWrap w:val="0"/>
            <w:vAlign w:val="center"/>
          </w:tcPr>
          <w:p>
            <w:pPr>
              <w:shd w:val="clea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183" w:type="dxa"/>
            <w:noWrap w:val="0"/>
            <w:vAlign w:val="center"/>
          </w:tcPr>
          <w:p>
            <w:pPr>
              <w:shd w:val="clear"/>
              <w:spacing w:line="360" w:lineRule="auto"/>
              <w:rPr>
                <w:rFonts w:hint="eastAsia" w:ascii="仿宋" w:hAnsi="仿宋" w:eastAsia="仿宋" w:cs="仿宋"/>
                <w:color w:val="auto"/>
                <w:sz w:val="24"/>
                <w:szCs w:val="24"/>
                <w:highlight w:val="none"/>
              </w:rPr>
            </w:pPr>
          </w:p>
        </w:tc>
        <w:tc>
          <w:tcPr>
            <w:tcW w:w="136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33"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750"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760"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13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4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662" w:type="dxa"/>
            <w:noWrap w:val="0"/>
            <w:vAlign w:val="center"/>
          </w:tcPr>
          <w:p>
            <w:pPr>
              <w:shd w:val="clea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183" w:type="dxa"/>
            <w:noWrap w:val="0"/>
            <w:vAlign w:val="center"/>
          </w:tcPr>
          <w:p>
            <w:pPr>
              <w:shd w:val="clear"/>
              <w:spacing w:line="360" w:lineRule="auto"/>
              <w:rPr>
                <w:rFonts w:hint="eastAsia" w:ascii="仿宋" w:hAnsi="仿宋" w:eastAsia="仿宋" w:cs="仿宋"/>
                <w:color w:val="auto"/>
                <w:sz w:val="24"/>
                <w:szCs w:val="24"/>
                <w:highlight w:val="none"/>
              </w:rPr>
            </w:pPr>
          </w:p>
        </w:tc>
        <w:tc>
          <w:tcPr>
            <w:tcW w:w="136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33"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750"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760"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13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4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662" w:type="dxa"/>
            <w:noWrap w:val="0"/>
            <w:vAlign w:val="center"/>
          </w:tcPr>
          <w:p>
            <w:pPr>
              <w:shd w:val="clea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183" w:type="dxa"/>
            <w:noWrap w:val="0"/>
            <w:vAlign w:val="center"/>
          </w:tcPr>
          <w:p>
            <w:pPr>
              <w:shd w:val="clear"/>
              <w:spacing w:line="360" w:lineRule="auto"/>
              <w:rPr>
                <w:rFonts w:hint="eastAsia" w:ascii="仿宋" w:hAnsi="仿宋" w:eastAsia="仿宋" w:cs="仿宋"/>
                <w:color w:val="auto"/>
                <w:sz w:val="24"/>
                <w:szCs w:val="24"/>
                <w:highlight w:val="none"/>
              </w:rPr>
            </w:pPr>
          </w:p>
        </w:tc>
        <w:tc>
          <w:tcPr>
            <w:tcW w:w="136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33"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750"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760"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13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4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662" w:type="dxa"/>
            <w:noWrap w:val="0"/>
            <w:vAlign w:val="center"/>
          </w:tcPr>
          <w:p>
            <w:pPr>
              <w:shd w:val="clea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183" w:type="dxa"/>
            <w:noWrap w:val="0"/>
            <w:vAlign w:val="center"/>
          </w:tcPr>
          <w:p>
            <w:pPr>
              <w:shd w:val="clear"/>
              <w:spacing w:line="360" w:lineRule="auto"/>
              <w:rPr>
                <w:rFonts w:hint="eastAsia" w:ascii="仿宋" w:hAnsi="仿宋" w:eastAsia="仿宋" w:cs="仿宋"/>
                <w:color w:val="auto"/>
                <w:sz w:val="24"/>
                <w:szCs w:val="24"/>
                <w:highlight w:val="none"/>
              </w:rPr>
            </w:pPr>
          </w:p>
        </w:tc>
        <w:tc>
          <w:tcPr>
            <w:tcW w:w="136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33"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750"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760"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13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4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662" w:type="dxa"/>
            <w:noWrap w:val="0"/>
            <w:vAlign w:val="center"/>
          </w:tcPr>
          <w:p>
            <w:pPr>
              <w:shd w:val="clea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183" w:type="dxa"/>
            <w:noWrap w:val="0"/>
            <w:vAlign w:val="center"/>
          </w:tcPr>
          <w:p>
            <w:pPr>
              <w:shd w:val="clear"/>
              <w:spacing w:line="360" w:lineRule="auto"/>
              <w:rPr>
                <w:rFonts w:hint="eastAsia" w:ascii="仿宋" w:hAnsi="仿宋" w:eastAsia="仿宋" w:cs="仿宋"/>
                <w:color w:val="auto"/>
                <w:sz w:val="24"/>
                <w:szCs w:val="24"/>
                <w:highlight w:val="none"/>
              </w:rPr>
            </w:pPr>
          </w:p>
        </w:tc>
        <w:tc>
          <w:tcPr>
            <w:tcW w:w="136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33"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750"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760"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13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4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662" w:type="dxa"/>
            <w:noWrap w:val="0"/>
            <w:vAlign w:val="center"/>
          </w:tcPr>
          <w:p>
            <w:pPr>
              <w:shd w:val="clea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3"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183" w:type="dxa"/>
            <w:noWrap w:val="0"/>
            <w:vAlign w:val="center"/>
          </w:tcPr>
          <w:p>
            <w:pPr>
              <w:shd w:val="clear"/>
              <w:spacing w:line="360" w:lineRule="auto"/>
              <w:rPr>
                <w:rFonts w:hint="eastAsia" w:ascii="仿宋" w:hAnsi="仿宋" w:eastAsia="仿宋" w:cs="仿宋"/>
                <w:color w:val="auto"/>
                <w:sz w:val="24"/>
                <w:szCs w:val="24"/>
                <w:highlight w:val="none"/>
              </w:rPr>
            </w:pPr>
          </w:p>
        </w:tc>
        <w:tc>
          <w:tcPr>
            <w:tcW w:w="136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33"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750"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760"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13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4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662" w:type="dxa"/>
            <w:noWrap w:val="0"/>
            <w:vAlign w:val="center"/>
          </w:tcPr>
          <w:p>
            <w:pPr>
              <w:shd w:val="clea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33"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183" w:type="dxa"/>
            <w:noWrap w:val="0"/>
            <w:vAlign w:val="center"/>
          </w:tcPr>
          <w:p>
            <w:pPr>
              <w:shd w:val="clear"/>
              <w:spacing w:line="360" w:lineRule="auto"/>
              <w:rPr>
                <w:rFonts w:hint="eastAsia" w:ascii="仿宋" w:hAnsi="仿宋" w:eastAsia="仿宋" w:cs="仿宋"/>
                <w:color w:val="auto"/>
                <w:sz w:val="24"/>
                <w:szCs w:val="24"/>
                <w:highlight w:val="none"/>
              </w:rPr>
            </w:pPr>
          </w:p>
        </w:tc>
        <w:tc>
          <w:tcPr>
            <w:tcW w:w="136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33"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750"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760"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13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47" w:type="dxa"/>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662" w:type="dxa"/>
            <w:noWrap w:val="0"/>
            <w:vAlign w:val="center"/>
          </w:tcPr>
          <w:p>
            <w:pPr>
              <w:shd w:val="clea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16" w:type="dxa"/>
            <w:gridSpan w:val="2"/>
            <w:noWrap w:val="0"/>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合计金额（元）</w:t>
            </w:r>
          </w:p>
        </w:tc>
        <w:tc>
          <w:tcPr>
            <w:tcW w:w="7156" w:type="dxa"/>
            <w:gridSpan w:val="7"/>
            <w:noWrap w:val="0"/>
            <w:vAlign w:val="center"/>
          </w:tcPr>
          <w:p>
            <w:pPr>
              <w:shd w:val="clear"/>
              <w:jc w:val="center"/>
              <w:rPr>
                <w:rFonts w:hint="eastAsia" w:ascii="仿宋" w:hAnsi="仿宋" w:eastAsia="仿宋" w:cs="仿宋"/>
                <w:color w:val="auto"/>
                <w:sz w:val="24"/>
                <w:szCs w:val="24"/>
                <w:highlight w:val="none"/>
              </w:rPr>
            </w:pPr>
          </w:p>
        </w:tc>
      </w:tr>
    </w:tbl>
    <w:p>
      <w:pPr>
        <w:shd w:val="clear"/>
        <w:ind w:left="420" w:leftChars="200"/>
        <w:rPr>
          <w:rFonts w:hint="eastAsia" w:ascii="仿宋" w:hAnsi="仿宋" w:eastAsia="仿宋" w:cs="仿宋"/>
          <w:color w:val="auto"/>
          <w:sz w:val="24"/>
          <w:szCs w:val="24"/>
          <w:highlight w:val="none"/>
        </w:rPr>
      </w:pPr>
    </w:p>
    <w:p>
      <w:pPr>
        <w:pStyle w:val="35"/>
        <w:shd w:val="clear"/>
        <w:spacing w:line="360" w:lineRule="auto"/>
        <w:ind w:firstLine="480"/>
        <w:rPr>
          <w:rFonts w:hint="eastAsia" w:ascii="仿宋" w:hAnsi="仿宋" w:eastAsia="仿宋" w:cs="仿宋"/>
          <w:bCs/>
          <w:color w:val="auto"/>
          <w:kern w:val="0"/>
          <w:sz w:val="24"/>
          <w:szCs w:val="24"/>
          <w:highlight w:val="none"/>
        </w:rPr>
      </w:pPr>
      <w:r>
        <w:rPr>
          <w:rFonts w:hint="eastAsia" w:ascii="仿宋" w:hAnsi="仿宋" w:eastAsia="仿宋" w:cs="仿宋"/>
          <w:color w:val="auto"/>
          <w:sz w:val="24"/>
          <w:szCs w:val="24"/>
          <w:highlight w:val="none"/>
        </w:rPr>
        <w:t>注：合计金额=各总价金额之和，报价</w:t>
      </w:r>
      <w:r>
        <w:rPr>
          <w:rFonts w:hint="eastAsia" w:ascii="仿宋" w:hAnsi="仿宋" w:eastAsia="仿宋" w:cs="仿宋"/>
          <w:bCs/>
          <w:color w:val="auto"/>
          <w:kern w:val="0"/>
          <w:sz w:val="24"/>
          <w:szCs w:val="24"/>
          <w:highlight w:val="none"/>
        </w:rPr>
        <w:t>以元为单位，四舍五入精确到小数点后两位。</w:t>
      </w:r>
    </w:p>
    <w:p>
      <w:pPr>
        <w:pStyle w:val="35"/>
        <w:shd w:val="clear"/>
        <w:spacing w:line="360" w:lineRule="auto"/>
        <w:ind w:firstLine="480"/>
        <w:rPr>
          <w:rFonts w:hint="eastAsia" w:ascii="仿宋" w:hAnsi="仿宋" w:eastAsia="仿宋" w:cs="仿宋"/>
          <w:bCs/>
          <w:color w:val="auto"/>
          <w:kern w:val="0"/>
          <w:sz w:val="24"/>
          <w:szCs w:val="24"/>
          <w:highlight w:val="none"/>
        </w:rPr>
      </w:pPr>
    </w:p>
    <w:p>
      <w:pPr>
        <w:pStyle w:val="35"/>
        <w:shd w:val="clear"/>
        <w:spacing w:line="360" w:lineRule="auto"/>
        <w:ind w:firstLine="480"/>
        <w:rPr>
          <w:rFonts w:hint="eastAsia" w:ascii="仿宋" w:hAnsi="仿宋" w:eastAsia="仿宋" w:cs="仿宋"/>
          <w:bCs/>
          <w:color w:val="auto"/>
          <w:kern w:val="0"/>
          <w:sz w:val="24"/>
          <w:szCs w:val="24"/>
          <w:highlight w:val="none"/>
        </w:rPr>
      </w:pPr>
    </w:p>
    <w:p>
      <w:pPr>
        <w:shd w:val="clear"/>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hd w:val="clea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授权代表（签字或盖章）：</w:t>
      </w:r>
      <w:r>
        <w:rPr>
          <w:rFonts w:hint="eastAsia" w:ascii="仿宋" w:hAnsi="仿宋" w:eastAsia="仿宋" w:cs="仿宋"/>
          <w:color w:val="auto"/>
          <w:sz w:val="24"/>
          <w:szCs w:val="24"/>
          <w:highlight w:val="none"/>
          <w:u w:val="single"/>
        </w:rPr>
        <w:t xml:space="preserve">     </w:t>
      </w:r>
    </w:p>
    <w:p>
      <w:pPr>
        <w:shd w:val="clear"/>
        <w:adjustRightInd w:val="0"/>
        <w:snapToGrid w:val="0"/>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pStyle w:val="35"/>
        <w:shd w:val="clear"/>
        <w:spacing w:line="360" w:lineRule="auto"/>
        <w:ind w:firstLine="480"/>
        <w:rPr>
          <w:rFonts w:hint="eastAsia" w:ascii="仿宋" w:hAnsi="仿宋" w:eastAsia="仿宋" w:cs="仿宋"/>
          <w:bCs/>
          <w:color w:val="auto"/>
          <w:kern w:val="0"/>
          <w:sz w:val="24"/>
          <w:szCs w:val="24"/>
          <w:highlight w:val="none"/>
        </w:rPr>
      </w:pPr>
    </w:p>
    <w:p>
      <w:pPr>
        <w:pStyle w:val="9"/>
        <w:keepNext w:val="0"/>
        <w:pageBreakBefore/>
        <w:shd w:val="clear"/>
        <w:spacing w:line="360" w:lineRule="auto"/>
        <w:ind w:left="420" w:leftChars="200"/>
        <w:rPr>
          <w:rFonts w:hint="eastAsia" w:ascii="仿宋" w:hAnsi="仿宋" w:eastAsia="仿宋" w:cs="仿宋"/>
          <w:color w:val="auto"/>
          <w:sz w:val="32"/>
          <w:szCs w:val="32"/>
          <w:highlight w:val="none"/>
          <w:lang w:val="zh-CN" w:eastAsia="zh-CN"/>
        </w:rPr>
      </w:pPr>
      <w:bookmarkStart w:id="358" w:name="_Toc6997"/>
      <w:r>
        <w:rPr>
          <w:rFonts w:hint="eastAsia" w:ascii="仿宋" w:hAnsi="仿宋" w:eastAsia="仿宋" w:cs="仿宋"/>
          <w:color w:val="auto"/>
          <w:sz w:val="32"/>
          <w:szCs w:val="32"/>
          <w:highlight w:val="none"/>
          <w:lang w:val="zh-CN" w:eastAsia="zh-CN"/>
        </w:rPr>
        <w:t>四、供应商资格证明文件</w:t>
      </w:r>
      <w:bookmarkEnd w:id="358"/>
    </w:p>
    <w:p>
      <w:pPr>
        <w:keepNext w:val="0"/>
        <w:keepLines w:val="0"/>
        <w:pageBreakBefore w:val="0"/>
        <w:widowControl w:val="0"/>
        <w:numPr>
          <w:ilvl w:val="0"/>
          <w:numId w:val="0"/>
        </w:numPr>
        <w:shd w:val="clear"/>
        <w:kinsoku/>
        <w:wordWrap/>
        <w:overflowPunct/>
        <w:topLinePunct w:val="0"/>
        <w:autoSpaceDE/>
        <w:autoSpaceDN/>
        <w:bidi w:val="0"/>
        <w:adjustRightInd/>
        <w:spacing w:line="360" w:lineRule="auto"/>
        <w:ind w:firstLine="482"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1、基本资格条件：符合《中华人民共和国政府采购法》第二十二条的规定；</w:t>
      </w:r>
    </w:p>
    <w:p>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eastAsia="zh-CN"/>
        </w:rPr>
        <w:t>1）提供统一社会信用代码的营业执照或其他组织经营的合法凭证或自然人的提供身份证明文件</w:t>
      </w:r>
      <w:r>
        <w:rPr>
          <w:rFonts w:hint="eastAsia" w:ascii="仿宋" w:hAnsi="仿宋" w:eastAsia="仿宋" w:cs="仿宋"/>
          <w:color w:val="auto"/>
          <w:sz w:val="24"/>
          <w:szCs w:val="24"/>
          <w:highlight w:val="none"/>
          <w:lang w:val="zh-CN" w:eastAsia="zh-CN"/>
        </w:rPr>
        <w:t>；</w:t>
      </w:r>
    </w:p>
    <w:p>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eastAsia="zh-CN"/>
        </w:rPr>
        <w:t>2）财务状况报告：提供具有财务审计资质单位出具的</w:t>
      </w:r>
      <w:r>
        <w:rPr>
          <w:rFonts w:hint="eastAsia" w:ascii="仿宋" w:hAnsi="仿宋" w:eastAsia="仿宋" w:cs="仿宋"/>
          <w:color w:val="auto"/>
          <w:sz w:val="24"/>
          <w:szCs w:val="24"/>
          <w:highlight w:val="none"/>
          <w:lang w:val="en-US" w:eastAsia="zh-CN"/>
        </w:rPr>
        <w:t>2021</w:t>
      </w:r>
      <w:r>
        <w:rPr>
          <w:rFonts w:hint="eastAsia" w:ascii="仿宋" w:hAnsi="仿宋" w:eastAsia="仿宋" w:cs="仿宋"/>
          <w:color w:val="auto"/>
          <w:sz w:val="24"/>
          <w:szCs w:val="24"/>
          <w:highlight w:val="none"/>
          <w:lang w:eastAsia="zh-CN"/>
        </w:rPr>
        <w:t>年度财务报告或开标前六个月内其基本账户银行出具的资信证明（附基本户证明资料）或财政部门认可的政府采购专业担保机构出具的担保函，以上形式的证明资料提供任何一种即可</w:t>
      </w:r>
      <w:r>
        <w:rPr>
          <w:rFonts w:hint="eastAsia" w:ascii="仿宋" w:hAnsi="仿宋" w:eastAsia="仿宋" w:cs="仿宋"/>
          <w:color w:val="auto"/>
          <w:sz w:val="24"/>
          <w:szCs w:val="24"/>
          <w:highlight w:val="none"/>
          <w:lang w:val="zh-CN" w:eastAsia="zh-CN"/>
        </w:rPr>
        <w:t>；</w:t>
      </w:r>
    </w:p>
    <w:p>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eastAsia="zh-CN"/>
        </w:rPr>
        <w:t>3）税收缴纳证明：提供已缴纳的 2022年1月1日以来至少一个月的纳税证明或完税证明（提供增值税、企业所得税至少一种），纳税证明或完税证明上</w:t>
      </w:r>
      <w:r>
        <w:rPr>
          <w:rFonts w:hint="eastAsia" w:ascii="仿宋" w:hAnsi="仿宋" w:eastAsia="仿宋" w:cs="仿宋"/>
          <w:color w:val="auto"/>
          <w:sz w:val="24"/>
          <w:szCs w:val="24"/>
          <w:highlight w:val="none"/>
          <w:lang w:val="zh-CN" w:eastAsia="zh-CN"/>
        </w:rPr>
        <w:t>应有代收机构或税务机关的公章或业务专用章。依法免税的供应商应提供相关文件证明；</w:t>
      </w:r>
    </w:p>
    <w:p>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（4）社会保障资金缴纳证明：提供已缴存的 2022年1月1日以来至少一个月的社会保障资金缴存单据或社保机构开具的社会保险参保缴费情况证明。成立时间至提交响应文件截止时间不足一个月或依法不需要缴纳社会保障资金的供应商应提供相关文件证明；</w:t>
      </w:r>
    </w:p>
    <w:p>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（5）出具履行合同所必需的设备和专业技术能力的书面声明；</w:t>
      </w:r>
    </w:p>
    <w:p>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eastAsia="zh-CN"/>
        </w:rPr>
        <w:t>）出具参加本次政府采购活动的书面声明。</w:t>
      </w:r>
    </w:p>
    <w:p>
      <w:pPr>
        <w:keepNext w:val="0"/>
        <w:keepLines w:val="0"/>
        <w:pageBreakBefore w:val="0"/>
        <w:widowControl w:val="0"/>
        <w:shd w:val="clear"/>
        <w:kinsoku/>
        <w:wordWrap/>
        <w:overflowPunct/>
        <w:topLinePunct w:val="0"/>
        <w:autoSpaceDE/>
        <w:autoSpaceDN/>
        <w:bidi w:val="0"/>
        <w:adjustRightInd/>
        <w:spacing w:line="360" w:lineRule="auto"/>
        <w:ind w:firstLine="48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2、特定资格条件：</w:t>
      </w:r>
    </w:p>
    <w:p>
      <w:pPr>
        <w:keepNext w:val="0"/>
        <w:keepLines w:val="0"/>
        <w:pageBreakBefore w:val="0"/>
        <w:widowControl w:val="0"/>
        <w:shd w:val="clear"/>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法定代表人授权书及被授权人身份证，并且提供有效的劳动合同或开标截止前六个月内任意一个月养老保险缴纳证明（法人参加只需提供法定代表人身份证明）</w:t>
      </w:r>
      <w:r>
        <w:rPr>
          <w:rFonts w:hint="eastAsia" w:ascii="仿宋" w:hAnsi="仿宋" w:eastAsia="仿宋" w:cs="仿宋"/>
          <w:color w:val="auto"/>
          <w:sz w:val="24"/>
          <w:szCs w:val="24"/>
          <w:highlight w:val="none"/>
        </w:rPr>
        <w:t>；</w:t>
      </w:r>
    </w:p>
    <w:p>
      <w:pPr>
        <w:keepNext w:val="0"/>
        <w:keepLines w:val="0"/>
        <w:pageBreakBefore w:val="0"/>
        <w:widowControl w:val="0"/>
        <w:shd w:val="clear"/>
        <w:tabs>
          <w:tab w:val="left" w:pos="9030"/>
        </w:tabs>
        <w:kinsoku/>
        <w:wordWrap/>
        <w:overflowPunct/>
        <w:topLinePunct w:val="0"/>
        <w:autoSpaceDE/>
        <w:autoSpaceDN/>
        <w:bidi w:val="0"/>
        <w:adjustRightInd/>
        <w:snapToGrid w:val="0"/>
        <w:spacing w:line="360" w:lineRule="auto"/>
        <w:ind w:right="-65" w:firstLine="480" w:firstLineChars="20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（2）符合《财政部关于在政府采购活动中查询及使用信用记录有关问题的通知》（财库【2016】125号）文件中信用查询的要求。（此项由采购人与采购代理单位在开标时查询，以现场查询为准。）</w:t>
      </w:r>
    </w:p>
    <w:p>
      <w:pPr>
        <w:keepNext w:val="0"/>
        <w:keepLines w:val="0"/>
        <w:pageBreakBefore w:val="0"/>
        <w:widowControl w:val="0"/>
        <w:numPr>
          <w:ilvl w:val="0"/>
          <w:numId w:val="0"/>
        </w:numPr>
        <w:shd w:val="clear"/>
        <w:kinsoku/>
        <w:wordWrap/>
        <w:overflowPunct/>
        <w:topLinePunct w:val="0"/>
        <w:autoSpaceDE/>
        <w:autoSpaceDN/>
        <w:bidi w:val="0"/>
        <w:adjustRightInd/>
        <w:spacing w:line="360" w:lineRule="auto"/>
        <w:ind w:firstLine="482" w:firstLineChars="200"/>
        <w:textAlignment w:val="auto"/>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注：“</w:t>
      </w:r>
      <w:r>
        <w:rPr>
          <w:rFonts w:hint="eastAsia" w:ascii="仿宋" w:hAnsi="仿宋" w:eastAsia="仿宋" w:cs="仿宋"/>
          <w:b/>
          <w:bCs/>
          <w:color w:val="auto"/>
          <w:sz w:val="24"/>
          <w:szCs w:val="24"/>
          <w:highlight w:val="none"/>
          <w:lang w:val="zh-CN" w:eastAsia="zh-CN"/>
        </w:rPr>
        <w:t>四、供应商资格证明文件</w:t>
      </w:r>
      <w:r>
        <w:rPr>
          <w:rFonts w:hint="eastAsia" w:ascii="仿宋" w:hAnsi="仿宋" w:eastAsia="仿宋" w:cs="仿宋"/>
          <w:b/>
          <w:bCs/>
          <w:color w:val="auto"/>
          <w:sz w:val="24"/>
          <w:szCs w:val="24"/>
          <w:highlight w:val="none"/>
          <w:lang w:eastAsia="zh-CN"/>
        </w:rPr>
        <w:t>”单独胶装成册</w:t>
      </w:r>
      <w:r>
        <w:rPr>
          <w:rFonts w:hint="eastAsia" w:ascii="仿宋" w:hAnsi="仿宋" w:eastAsia="仿宋" w:cs="仿宋"/>
          <w:b/>
          <w:bCs/>
          <w:color w:val="auto"/>
          <w:sz w:val="24"/>
          <w:szCs w:val="24"/>
          <w:highlight w:val="none"/>
          <w:lang w:val="en-US" w:eastAsia="zh-CN"/>
        </w:rPr>
        <w:t>1本</w:t>
      </w:r>
      <w:r>
        <w:rPr>
          <w:rFonts w:hint="eastAsia" w:ascii="仿宋" w:hAnsi="仿宋" w:eastAsia="仿宋" w:cs="仿宋"/>
          <w:b/>
          <w:bCs/>
          <w:color w:val="auto"/>
          <w:sz w:val="24"/>
          <w:szCs w:val="24"/>
          <w:highlight w:val="none"/>
          <w:lang w:eastAsia="zh-CN"/>
        </w:rPr>
        <w:t>，与投标文件正本一同密封。</w:t>
      </w:r>
    </w:p>
    <w:p>
      <w:pPr>
        <w:pStyle w:val="16"/>
        <w:shd w:val="clear"/>
        <w:rPr>
          <w:rFonts w:hint="eastAsia" w:ascii="仿宋" w:hAnsi="仿宋" w:eastAsia="仿宋" w:cs="仿宋"/>
          <w:color w:val="auto"/>
          <w:highlight w:val="none"/>
          <w:lang w:val="zh-CN" w:eastAsia="zh-CN"/>
        </w:rPr>
      </w:pPr>
    </w:p>
    <w:p>
      <w:pPr>
        <w:pageBreakBefore/>
        <w:shd w:val="clear"/>
        <w:spacing w:line="360" w:lineRule="auto"/>
        <w:jc w:val="center"/>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32"/>
          <w:szCs w:val="32"/>
          <w:highlight w:val="none"/>
          <w:lang w:eastAsia="zh-CN"/>
        </w:rPr>
        <w:t>供应商</w:t>
      </w:r>
      <w:r>
        <w:rPr>
          <w:rFonts w:hint="eastAsia" w:ascii="仿宋" w:hAnsi="仿宋" w:eastAsia="仿宋" w:cs="仿宋"/>
          <w:b/>
          <w:bCs/>
          <w:color w:val="auto"/>
          <w:sz w:val="32"/>
          <w:szCs w:val="32"/>
          <w:highlight w:val="none"/>
        </w:rPr>
        <w:t>基本情况表</w:t>
      </w:r>
    </w:p>
    <w:tbl>
      <w:tblPr>
        <w:tblStyle w:val="2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1053"/>
        <w:gridCol w:w="2205"/>
        <w:gridCol w:w="198"/>
        <w:gridCol w:w="1227"/>
        <w:gridCol w:w="1620"/>
        <w:gridCol w:w="16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atLeast"/>
        </w:trPr>
        <w:tc>
          <w:tcPr>
            <w:tcW w:w="2310" w:type="dxa"/>
            <w:gridSpan w:val="3"/>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p>
        </w:tc>
        <w:tc>
          <w:tcPr>
            <w:tcW w:w="3630" w:type="dxa"/>
            <w:gridSpan w:val="3"/>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p>
        </w:tc>
        <w:tc>
          <w:tcPr>
            <w:tcW w:w="1620" w:type="dxa"/>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1657" w:type="dxa"/>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2310" w:type="dxa"/>
            <w:gridSpan w:val="3"/>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3630" w:type="dxa"/>
            <w:gridSpan w:val="3"/>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p>
        </w:tc>
        <w:tc>
          <w:tcPr>
            <w:tcW w:w="1620" w:type="dxa"/>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657" w:type="dxa"/>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310" w:type="dxa"/>
            <w:gridSpan w:val="3"/>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上年营业收入</w:t>
            </w:r>
          </w:p>
        </w:tc>
        <w:tc>
          <w:tcPr>
            <w:tcW w:w="3630" w:type="dxa"/>
            <w:gridSpan w:val="3"/>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p>
        </w:tc>
        <w:tc>
          <w:tcPr>
            <w:tcW w:w="1620" w:type="dxa"/>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员工总人数</w:t>
            </w:r>
          </w:p>
        </w:tc>
        <w:tc>
          <w:tcPr>
            <w:tcW w:w="1657" w:type="dxa"/>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restart"/>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c>
          <w:tcPr>
            <w:tcW w:w="1592" w:type="dxa"/>
            <w:gridSpan w:val="2"/>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注册号码</w:t>
            </w:r>
          </w:p>
        </w:tc>
        <w:tc>
          <w:tcPr>
            <w:tcW w:w="2205" w:type="dxa"/>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p>
        </w:tc>
        <w:tc>
          <w:tcPr>
            <w:tcW w:w="1425" w:type="dxa"/>
            <w:gridSpan w:val="2"/>
            <w:noWrap w:val="0"/>
            <w:vAlign w:val="center"/>
          </w:tcPr>
          <w:p>
            <w:pPr>
              <w:shd w:val="clear"/>
              <w:topLinePunct/>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277" w:type="dxa"/>
            <w:gridSpan w:val="2"/>
            <w:noWrap w:val="0"/>
            <w:vAlign w:val="center"/>
          </w:tcPr>
          <w:p>
            <w:pPr>
              <w:shd w:val="clear"/>
              <w:topLinePunct/>
              <w:spacing w:line="360" w:lineRule="auto"/>
              <w:ind w:firstLine="120" w:firstLineChars="50"/>
              <w:jc w:val="center"/>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p>
        </w:tc>
        <w:tc>
          <w:tcPr>
            <w:tcW w:w="1592" w:type="dxa"/>
            <w:gridSpan w:val="2"/>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2205" w:type="dxa"/>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p>
        </w:tc>
        <w:tc>
          <w:tcPr>
            <w:tcW w:w="1425" w:type="dxa"/>
            <w:gridSpan w:val="2"/>
            <w:noWrap w:val="0"/>
            <w:vAlign w:val="center"/>
          </w:tcPr>
          <w:p>
            <w:pPr>
              <w:shd w:val="clear"/>
              <w:topLinePunct/>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发证日期</w:t>
            </w:r>
          </w:p>
        </w:tc>
        <w:tc>
          <w:tcPr>
            <w:tcW w:w="3277" w:type="dxa"/>
            <w:gridSpan w:val="2"/>
            <w:noWrap w:val="0"/>
            <w:vAlign w:val="center"/>
          </w:tcPr>
          <w:p>
            <w:pPr>
              <w:shd w:val="clear"/>
              <w:topLinePunct/>
              <w:spacing w:line="360" w:lineRule="auto"/>
              <w:ind w:firstLine="120" w:firstLineChars="50"/>
              <w:jc w:val="center"/>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p>
        </w:tc>
        <w:tc>
          <w:tcPr>
            <w:tcW w:w="1592" w:type="dxa"/>
            <w:gridSpan w:val="2"/>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w:t>
            </w:r>
          </w:p>
          <w:p>
            <w:pPr>
              <w:shd w:val="clea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（主营）</w:t>
            </w:r>
          </w:p>
        </w:tc>
        <w:tc>
          <w:tcPr>
            <w:tcW w:w="6907" w:type="dxa"/>
            <w:gridSpan w:val="5"/>
            <w:noWrap w:val="0"/>
            <w:vAlign w:val="center"/>
          </w:tcPr>
          <w:p>
            <w:pPr>
              <w:shd w:val="clear"/>
              <w:topLinePunct/>
              <w:spacing w:line="360" w:lineRule="auto"/>
              <w:ind w:firstLine="120" w:firstLineChars="50"/>
              <w:jc w:val="center"/>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p>
        </w:tc>
        <w:tc>
          <w:tcPr>
            <w:tcW w:w="1592" w:type="dxa"/>
            <w:gridSpan w:val="2"/>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w:t>
            </w:r>
          </w:p>
          <w:p>
            <w:pPr>
              <w:shd w:val="clea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（兼营）</w:t>
            </w:r>
          </w:p>
        </w:tc>
        <w:tc>
          <w:tcPr>
            <w:tcW w:w="6907" w:type="dxa"/>
            <w:gridSpan w:val="5"/>
            <w:noWrap w:val="0"/>
            <w:vAlign w:val="center"/>
          </w:tcPr>
          <w:p>
            <w:pPr>
              <w:shd w:val="clear"/>
              <w:topLinePunct/>
              <w:spacing w:line="360" w:lineRule="auto"/>
              <w:ind w:firstLine="120" w:firstLineChars="50"/>
              <w:jc w:val="center"/>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trPr>
        <w:tc>
          <w:tcPr>
            <w:tcW w:w="2310" w:type="dxa"/>
            <w:gridSpan w:val="3"/>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基本账户开户行及账号</w:t>
            </w:r>
          </w:p>
        </w:tc>
        <w:tc>
          <w:tcPr>
            <w:tcW w:w="6907" w:type="dxa"/>
            <w:gridSpan w:val="5"/>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trPr>
        <w:tc>
          <w:tcPr>
            <w:tcW w:w="2310" w:type="dxa"/>
            <w:gridSpan w:val="3"/>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资产总额（万元）</w:t>
            </w:r>
          </w:p>
        </w:tc>
        <w:tc>
          <w:tcPr>
            <w:tcW w:w="6907" w:type="dxa"/>
            <w:gridSpan w:val="5"/>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2310" w:type="dxa"/>
            <w:gridSpan w:val="3"/>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资质名称</w:t>
            </w:r>
          </w:p>
        </w:tc>
        <w:tc>
          <w:tcPr>
            <w:tcW w:w="2403" w:type="dxa"/>
            <w:gridSpan w:val="2"/>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等级</w:t>
            </w:r>
          </w:p>
        </w:tc>
        <w:tc>
          <w:tcPr>
            <w:tcW w:w="1227" w:type="dxa"/>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3277" w:type="dxa"/>
            <w:gridSpan w:val="2"/>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2310" w:type="dxa"/>
            <w:gridSpan w:val="3"/>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p>
        </w:tc>
        <w:tc>
          <w:tcPr>
            <w:tcW w:w="2403" w:type="dxa"/>
            <w:gridSpan w:val="2"/>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p>
        </w:tc>
        <w:tc>
          <w:tcPr>
            <w:tcW w:w="1227" w:type="dxa"/>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p>
        </w:tc>
        <w:tc>
          <w:tcPr>
            <w:tcW w:w="3277" w:type="dxa"/>
            <w:gridSpan w:val="2"/>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2310" w:type="dxa"/>
            <w:gridSpan w:val="3"/>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p>
        </w:tc>
        <w:tc>
          <w:tcPr>
            <w:tcW w:w="2403" w:type="dxa"/>
            <w:gridSpan w:val="2"/>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p>
        </w:tc>
        <w:tc>
          <w:tcPr>
            <w:tcW w:w="1227" w:type="dxa"/>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p>
        </w:tc>
        <w:tc>
          <w:tcPr>
            <w:tcW w:w="3277" w:type="dxa"/>
            <w:gridSpan w:val="2"/>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257" w:type="dxa"/>
            <w:gridSpan w:val="2"/>
            <w:noWrap w:val="0"/>
            <w:vAlign w:val="center"/>
          </w:tcPr>
          <w:p>
            <w:pPr>
              <w:shd w:val="clear"/>
              <w:topLinePunct/>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960" w:type="dxa"/>
            <w:gridSpan w:val="6"/>
            <w:noWrap w:val="0"/>
            <w:vAlign w:val="center"/>
          </w:tcPr>
          <w:p>
            <w:pPr>
              <w:shd w:val="clear"/>
              <w:topLinePunct/>
              <w:spacing w:line="360" w:lineRule="auto"/>
              <w:outlineLvl w:val="9"/>
              <w:rPr>
                <w:rFonts w:hint="eastAsia" w:ascii="仿宋" w:hAnsi="仿宋" w:eastAsia="仿宋" w:cs="仿宋"/>
                <w:color w:val="auto"/>
                <w:sz w:val="24"/>
                <w:szCs w:val="24"/>
                <w:highlight w:val="none"/>
              </w:rPr>
            </w:pPr>
          </w:p>
        </w:tc>
      </w:tr>
    </w:tbl>
    <w:p>
      <w:pPr>
        <w:shd w:val="clear"/>
        <w:autoSpaceDE w:val="0"/>
        <w:autoSpaceDN w:val="0"/>
        <w:adjustRightInd w:val="0"/>
        <w:snapToGrid w:val="0"/>
        <w:spacing w:before="120" w:beforeLines="50"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说明：企业类型指大型、中型、小型、微型；上年营业收入、资产总额要与财务报表中的数据一致；资质指特定条件要求提供的资质。</w:t>
      </w:r>
    </w:p>
    <w:p>
      <w:pPr>
        <w:shd w:val="clear"/>
        <w:spacing w:line="360" w:lineRule="auto"/>
        <w:ind w:firstLine="3840" w:firstLineChars="1600"/>
        <w:outlineLvl w:val="9"/>
        <w:rPr>
          <w:rFonts w:hint="eastAsia" w:ascii="仿宋" w:hAnsi="仿宋" w:eastAsia="仿宋" w:cs="仿宋"/>
          <w:color w:val="auto"/>
          <w:sz w:val="24"/>
          <w:szCs w:val="24"/>
          <w:highlight w:val="none"/>
        </w:rPr>
      </w:pPr>
    </w:p>
    <w:p>
      <w:pPr>
        <w:shd w:val="clear"/>
        <w:spacing w:line="360" w:lineRule="auto"/>
        <w:ind w:firstLine="3840" w:firstLineChars="16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hd w:val="clear"/>
        <w:spacing w:line="360" w:lineRule="auto"/>
        <w:ind w:firstLine="3840" w:firstLineChars="16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shd w:val="clear"/>
        <w:spacing w:line="360" w:lineRule="auto"/>
        <w:ind w:firstLine="3840" w:firstLineChars="16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pStyle w:val="16"/>
        <w:keepNext w:val="0"/>
        <w:keepLines w:val="0"/>
        <w:pageBreakBefore/>
        <w:widowControl w:val="0"/>
        <w:numPr>
          <w:ilvl w:val="0"/>
          <w:numId w:val="0"/>
        </w:numPr>
        <w:shd w:val="clear"/>
        <w:kinsoku/>
        <w:wordWrap/>
        <w:overflowPunct/>
        <w:topLinePunct w:val="0"/>
        <w:autoSpaceDE/>
        <w:autoSpaceDN/>
        <w:bidi w:val="0"/>
        <w:adjustRightInd/>
        <w:snapToGrid w:val="0"/>
        <w:jc w:val="center"/>
        <w:textAlignment w:val="auto"/>
        <w:outlineLvl w:val="9"/>
        <w:rPr>
          <w:rFonts w:hint="eastAsia" w:ascii="仿宋" w:hAnsi="仿宋" w:eastAsia="仿宋" w:cs="仿宋"/>
          <w:b/>
          <w:bCs/>
          <w:color w:val="auto"/>
          <w:sz w:val="28"/>
          <w:szCs w:val="28"/>
          <w:highlight w:val="none"/>
        </w:rPr>
      </w:pPr>
      <w:bookmarkStart w:id="359" w:name="_Toc22457"/>
      <w:r>
        <w:rPr>
          <w:rFonts w:hint="eastAsia" w:ascii="仿宋" w:hAnsi="仿宋" w:eastAsia="仿宋" w:cs="仿宋"/>
          <w:b/>
          <w:bCs/>
          <w:color w:val="auto"/>
          <w:sz w:val="28"/>
          <w:szCs w:val="28"/>
          <w:highlight w:val="none"/>
          <w:lang w:eastAsia="zh-CN"/>
        </w:rPr>
        <w:t>（一）</w:t>
      </w:r>
      <w:r>
        <w:rPr>
          <w:rFonts w:hint="eastAsia" w:ascii="仿宋" w:hAnsi="仿宋" w:eastAsia="仿宋" w:cs="仿宋"/>
          <w:b/>
          <w:bCs/>
          <w:color w:val="auto"/>
          <w:sz w:val="28"/>
          <w:szCs w:val="28"/>
          <w:highlight w:val="none"/>
        </w:rPr>
        <w:t>提供统一社会信用代码的营业执照或其他组织经营的合法凭证或自然人的提供身份证明文件</w:t>
      </w:r>
      <w:bookmarkEnd w:id="359"/>
      <w:bookmarkStart w:id="360" w:name="_Toc21445"/>
    </w:p>
    <w:p>
      <w:pPr>
        <w:pStyle w:val="16"/>
        <w:shd w:val="clear"/>
        <w:jc w:val="center"/>
        <w:rPr>
          <w:rFonts w:hint="eastAsia" w:ascii="仿宋" w:hAnsi="仿宋" w:eastAsia="仿宋" w:cs="仿宋"/>
          <w:b w:val="0"/>
          <w:bCs w:val="0"/>
          <w:color w:val="auto"/>
          <w:sz w:val="24"/>
          <w:szCs w:val="24"/>
          <w:highlight w:val="none"/>
          <w:lang w:val="en-US" w:eastAsia="zh-CN"/>
        </w:rPr>
      </w:pPr>
    </w:p>
    <w:p>
      <w:pPr>
        <w:pStyle w:val="16"/>
        <w:shd w:val="clear"/>
        <w:jc w:val="center"/>
        <w:rPr>
          <w:rFonts w:hint="eastAsia" w:ascii="仿宋" w:hAnsi="仿宋" w:eastAsia="仿宋" w:cs="仿宋"/>
          <w:b w:val="0"/>
          <w:bCs w:val="0"/>
          <w:color w:val="auto"/>
          <w:sz w:val="24"/>
          <w:szCs w:val="24"/>
          <w:highlight w:val="none"/>
          <w:lang w:val="en-US" w:eastAsia="zh-CN"/>
        </w:rPr>
      </w:pPr>
    </w:p>
    <w:p>
      <w:pPr>
        <w:pStyle w:val="16"/>
        <w:shd w:val="clear"/>
        <w:jc w:val="center"/>
        <w:rPr>
          <w:rFonts w:hint="eastAsia" w:ascii="仿宋" w:hAnsi="仿宋" w:eastAsia="仿宋" w:cs="仿宋"/>
          <w:b/>
          <w:bCs/>
          <w:color w:val="auto"/>
          <w:sz w:val="28"/>
          <w:szCs w:val="28"/>
          <w:highlight w:val="none"/>
        </w:rPr>
      </w:pPr>
      <w:r>
        <w:rPr>
          <w:rFonts w:hint="eastAsia" w:ascii="仿宋" w:hAnsi="仿宋" w:eastAsia="仿宋" w:cs="仿宋"/>
          <w:b w:val="0"/>
          <w:bCs w:val="0"/>
          <w:color w:val="auto"/>
          <w:sz w:val="24"/>
          <w:szCs w:val="24"/>
          <w:highlight w:val="none"/>
          <w:lang w:val="en-US" w:eastAsia="zh-CN"/>
        </w:rPr>
        <w:t>提供扫描件或复印件加盖</w:t>
      </w:r>
      <w:r>
        <w:rPr>
          <w:rFonts w:hint="eastAsia" w:ascii="仿宋" w:hAnsi="仿宋" w:eastAsia="仿宋" w:cs="仿宋"/>
          <w:color w:val="auto"/>
          <w:sz w:val="24"/>
          <w:szCs w:val="24"/>
          <w:highlight w:val="none"/>
          <w:lang w:val="en-US" w:eastAsia="zh-CN"/>
        </w:rPr>
        <w:t>单位</w:t>
      </w:r>
      <w:r>
        <w:rPr>
          <w:rFonts w:hint="eastAsia" w:ascii="仿宋" w:hAnsi="仿宋" w:eastAsia="仿宋" w:cs="仿宋"/>
          <w:b w:val="0"/>
          <w:bCs w:val="0"/>
          <w:color w:val="auto"/>
          <w:sz w:val="24"/>
          <w:szCs w:val="24"/>
          <w:highlight w:val="none"/>
          <w:lang w:val="en-US" w:eastAsia="zh-CN"/>
        </w:rPr>
        <w:t>公章</w:t>
      </w:r>
    </w:p>
    <w:p>
      <w:pPr>
        <w:keepNext w:val="0"/>
        <w:keepLines w:val="0"/>
        <w:pageBreakBefore/>
        <w:widowControl w:val="0"/>
        <w:shd w:val="clear"/>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二</w:t>
      </w:r>
      <w:r>
        <w:rPr>
          <w:rFonts w:hint="eastAsia" w:ascii="仿宋" w:hAnsi="仿宋" w:eastAsia="仿宋" w:cs="仿宋"/>
          <w:b/>
          <w:bCs/>
          <w:color w:val="auto"/>
          <w:sz w:val="28"/>
          <w:szCs w:val="28"/>
          <w:highlight w:val="none"/>
        </w:rPr>
        <w:t>）财务状况报告</w:t>
      </w:r>
      <w:bookmarkEnd w:id="360"/>
      <w:bookmarkStart w:id="361" w:name="_Toc17757"/>
    </w:p>
    <w:p>
      <w:pPr>
        <w:pStyle w:val="16"/>
        <w:shd w:val="clear"/>
        <w:jc w:val="center"/>
        <w:rPr>
          <w:rFonts w:hint="default" w:eastAsia="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提供扫描件或复印件加盖</w:t>
      </w:r>
      <w:r>
        <w:rPr>
          <w:rFonts w:hint="eastAsia" w:ascii="仿宋" w:hAnsi="仿宋" w:eastAsia="仿宋" w:cs="仿宋"/>
          <w:color w:val="auto"/>
          <w:sz w:val="24"/>
          <w:szCs w:val="24"/>
          <w:highlight w:val="none"/>
          <w:lang w:val="en-US" w:eastAsia="zh-CN"/>
        </w:rPr>
        <w:t>单位</w:t>
      </w:r>
      <w:r>
        <w:rPr>
          <w:rFonts w:hint="eastAsia" w:ascii="仿宋" w:hAnsi="仿宋" w:eastAsia="仿宋" w:cs="仿宋"/>
          <w:b w:val="0"/>
          <w:bCs w:val="0"/>
          <w:color w:val="auto"/>
          <w:sz w:val="24"/>
          <w:szCs w:val="24"/>
          <w:highlight w:val="none"/>
          <w:lang w:val="en-US" w:eastAsia="zh-CN"/>
        </w:rPr>
        <w:t>公章</w:t>
      </w:r>
    </w:p>
    <w:p>
      <w:pPr>
        <w:pageBreakBefore/>
        <w:shd w:val="clear"/>
        <w:spacing w:line="360" w:lineRule="auto"/>
        <w:jc w:val="center"/>
        <w:outlineLvl w:val="9"/>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三</w:t>
      </w:r>
      <w:r>
        <w:rPr>
          <w:rFonts w:hint="eastAsia" w:ascii="仿宋" w:hAnsi="仿宋" w:eastAsia="仿宋" w:cs="仿宋"/>
          <w:b/>
          <w:color w:val="auto"/>
          <w:sz w:val="28"/>
          <w:szCs w:val="28"/>
          <w:highlight w:val="none"/>
        </w:rPr>
        <w:t>）税收缴纳证明</w:t>
      </w:r>
      <w:bookmarkEnd w:id="361"/>
    </w:p>
    <w:p>
      <w:pPr>
        <w:pStyle w:val="16"/>
        <w:shd w:val="clear"/>
        <w:spacing w:line="360" w:lineRule="auto"/>
        <w:outlineLvl w:val="9"/>
        <w:rPr>
          <w:rFonts w:hint="eastAsia" w:ascii="仿宋" w:hAnsi="仿宋" w:eastAsia="仿宋" w:cs="仿宋"/>
          <w:color w:val="auto"/>
          <w:highlight w:val="none"/>
          <w:lang w:eastAsia="zh-CN"/>
        </w:rPr>
      </w:pPr>
    </w:p>
    <w:p>
      <w:pPr>
        <w:pStyle w:val="16"/>
        <w:shd w:val="clear"/>
        <w:jc w:val="center"/>
        <w:rPr>
          <w:rFonts w:hint="default" w:eastAsia="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提供扫描件或复印件加盖</w:t>
      </w:r>
      <w:r>
        <w:rPr>
          <w:rFonts w:hint="eastAsia" w:ascii="仿宋" w:hAnsi="仿宋" w:eastAsia="仿宋" w:cs="仿宋"/>
          <w:color w:val="auto"/>
          <w:sz w:val="24"/>
          <w:szCs w:val="24"/>
          <w:highlight w:val="none"/>
          <w:lang w:val="en-US" w:eastAsia="zh-CN"/>
        </w:rPr>
        <w:t>单位</w:t>
      </w:r>
      <w:r>
        <w:rPr>
          <w:rFonts w:hint="eastAsia" w:ascii="仿宋" w:hAnsi="仿宋" w:eastAsia="仿宋" w:cs="仿宋"/>
          <w:b w:val="0"/>
          <w:bCs w:val="0"/>
          <w:color w:val="auto"/>
          <w:sz w:val="24"/>
          <w:szCs w:val="24"/>
          <w:highlight w:val="none"/>
          <w:lang w:val="en-US" w:eastAsia="zh-CN"/>
        </w:rPr>
        <w:t>公章</w:t>
      </w:r>
    </w:p>
    <w:p>
      <w:pPr>
        <w:shd w:val="clear"/>
        <w:spacing w:line="360" w:lineRule="auto"/>
        <w:ind w:firstLine="480"/>
        <w:outlineLvl w:val="9"/>
        <w:rPr>
          <w:rFonts w:hint="eastAsia" w:ascii="仿宋" w:hAnsi="仿宋" w:eastAsia="仿宋" w:cs="仿宋"/>
          <w:color w:val="auto"/>
          <w:kern w:val="0"/>
          <w:sz w:val="24"/>
          <w:highlight w:val="none"/>
        </w:rPr>
      </w:pPr>
    </w:p>
    <w:p>
      <w:pPr>
        <w:shd w:val="clear"/>
        <w:spacing w:line="360" w:lineRule="auto"/>
        <w:ind w:firstLine="480"/>
        <w:outlineLvl w:val="9"/>
        <w:rPr>
          <w:rFonts w:hint="eastAsia" w:ascii="仿宋" w:hAnsi="仿宋" w:eastAsia="仿宋" w:cs="仿宋"/>
          <w:color w:val="auto"/>
          <w:kern w:val="0"/>
          <w:sz w:val="24"/>
          <w:szCs w:val="22"/>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pPr>
        <w:numPr>
          <w:ilvl w:val="0"/>
          <w:numId w:val="0"/>
        </w:numPr>
        <w:shd w:val="clear"/>
        <w:spacing w:line="360" w:lineRule="auto"/>
        <w:jc w:val="center"/>
        <w:outlineLvl w:val="9"/>
        <w:rPr>
          <w:rFonts w:hint="eastAsia" w:ascii="仿宋" w:hAnsi="仿宋" w:eastAsia="仿宋" w:cs="仿宋"/>
          <w:b/>
          <w:color w:val="auto"/>
          <w:sz w:val="28"/>
          <w:szCs w:val="28"/>
          <w:highlight w:val="none"/>
          <w:lang w:eastAsia="zh-CN"/>
        </w:rPr>
      </w:pPr>
      <w:bookmarkStart w:id="362" w:name="_Toc8139"/>
      <w:r>
        <w:rPr>
          <w:rFonts w:hint="eastAsia" w:ascii="仿宋" w:hAnsi="仿宋" w:eastAsia="仿宋" w:cs="仿宋"/>
          <w:b/>
          <w:color w:val="auto"/>
          <w:sz w:val="28"/>
          <w:szCs w:val="28"/>
          <w:highlight w:val="none"/>
          <w:lang w:eastAsia="zh-CN"/>
        </w:rPr>
        <w:t>（四）社会保障资金缴纳证明</w:t>
      </w:r>
      <w:bookmarkEnd w:id="362"/>
    </w:p>
    <w:p>
      <w:pPr>
        <w:pStyle w:val="16"/>
        <w:shd w:val="clear"/>
        <w:jc w:val="center"/>
        <w:rPr>
          <w:rFonts w:hint="default" w:eastAsia="仿宋"/>
          <w:b w:val="0"/>
          <w:bCs w:val="0"/>
          <w:color w:val="auto"/>
          <w:sz w:val="24"/>
          <w:szCs w:val="24"/>
          <w:highlight w:val="none"/>
          <w:lang w:val="en-US" w:eastAsia="zh-CN"/>
        </w:rPr>
      </w:pPr>
      <w:bookmarkStart w:id="363" w:name="_Toc8586"/>
      <w:r>
        <w:rPr>
          <w:rFonts w:hint="eastAsia" w:ascii="仿宋" w:hAnsi="仿宋" w:eastAsia="仿宋" w:cs="仿宋"/>
          <w:b w:val="0"/>
          <w:bCs w:val="0"/>
          <w:color w:val="auto"/>
          <w:sz w:val="24"/>
          <w:szCs w:val="24"/>
          <w:highlight w:val="none"/>
          <w:lang w:val="en-US" w:eastAsia="zh-CN"/>
        </w:rPr>
        <w:t>提供扫描件或复印件加盖</w:t>
      </w:r>
      <w:r>
        <w:rPr>
          <w:rFonts w:hint="eastAsia" w:ascii="仿宋" w:hAnsi="仿宋" w:eastAsia="仿宋" w:cs="仿宋"/>
          <w:color w:val="auto"/>
          <w:sz w:val="24"/>
          <w:szCs w:val="24"/>
          <w:highlight w:val="none"/>
          <w:lang w:val="en-US" w:eastAsia="zh-CN"/>
        </w:rPr>
        <w:t>单位</w:t>
      </w:r>
      <w:r>
        <w:rPr>
          <w:rFonts w:hint="eastAsia" w:ascii="仿宋" w:hAnsi="仿宋" w:eastAsia="仿宋" w:cs="仿宋"/>
          <w:b w:val="0"/>
          <w:bCs w:val="0"/>
          <w:color w:val="auto"/>
          <w:sz w:val="24"/>
          <w:szCs w:val="24"/>
          <w:highlight w:val="none"/>
          <w:lang w:val="en-US" w:eastAsia="zh-CN"/>
        </w:rPr>
        <w:t>公章</w:t>
      </w:r>
    </w:p>
    <w:p>
      <w:pPr>
        <w:keepNext w:val="0"/>
        <w:keepLines w:val="0"/>
        <w:pageBreakBefore/>
        <w:widowControl w:val="0"/>
        <w:numPr>
          <w:ilvl w:val="0"/>
          <w:numId w:val="0"/>
        </w:numPr>
        <w:shd w:val="clear"/>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28"/>
          <w:szCs w:val="28"/>
          <w:highlight w:val="none"/>
          <w:lang w:eastAsia="zh-CN"/>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五</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出具履行合同所必需的设备和专业技术能力的书面</w:t>
      </w:r>
      <w:r>
        <w:rPr>
          <w:rFonts w:hint="eastAsia" w:ascii="仿宋" w:hAnsi="仿宋" w:eastAsia="仿宋" w:cs="仿宋"/>
          <w:b/>
          <w:bCs/>
          <w:color w:val="auto"/>
          <w:sz w:val="28"/>
          <w:szCs w:val="28"/>
          <w:highlight w:val="none"/>
          <w:lang w:val="en-US" w:eastAsia="zh-CN"/>
        </w:rPr>
        <w:t>声</w:t>
      </w:r>
      <w:r>
        <w:rPr>
          <w:rFonts w:hint="eastAsia" w:ascii="仿宋" w:hAnsi="仿宋" w:eastAsia="仿宋" w:cs="仿宋"/>
          <w:b/>
          <w:bCs/>
          <w:color w:val="auto"/>
          <w:sz w:val="28"/>
          <w:szCs w:val="28"/>
          <w:highlight w:val="none"/>
          <w:lang w:eastAsia="zh-CN"/>
        </w:rPr>
        <w:t>明</w:t>
      </w:r>
      <w:bookmarkEnd w:id="363"/>
    </w:p>
    <w:p>
      <w:pPr>
        <w:keepNext w:val="0"/>
        <w:keepLines w:val="0"/>
        <w:pageBreakBefore w:val="0"/>
        <w:shd w:val="clear"/>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pacing w:val="4"/>
          <w:sz w:val="24"/>
          <w:szCs w:val="24"/>
          <w:highlight w:val="none"/>
          <w:u w:val="single"/>
        </w:rPr>
      </w:pPr>
      <w:r>
        <w:rPr>
          <w:rFonts w:hint="eastAsia" w:ascii="仿宋" w:hAnsi="仿宋" w:eastAsia="仿宋" w:cs="仿宋"/>
          <w:color w:val="auto"/>
          <w:spacing w:val="4"/>
          <w:sz w:val="24"/>
          <w:szCs w:val="24"/>
          <w:highlight w:val="none"/>
          <w:u w:val="none"/>
        </w:rPr>
        <w:t>致：</w:t>
      </w:r>
      <w:r>
        <w:rPr>
          <w:rFonts w:hint="eastAsia" w:ascii="仿宋" w:hAnsi="仿宋" w:eastAsia="仿宋" w:cs="仿宋"/>
          <w:color w:val="auto"/>
          <w:spacing w:val="4"/>
          <w:sz w:val="24"/>
          <w:szCs w:val="24"/>
          <w:highlight w:val="none"/>
          <w:u w:val="single"/>
        </w:rPr>
        <w:t xml:space="preserve">     （采购人名称）    ：</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pacing w:val="4"/>
          <w:sz w:val="24"/>
          <w:szCs w:val="24"/>
          <w:highlight w:val="none"/>
          <w:u w:val="single"/>
        </w:rPr>
      </w:pPr>
      <w:r>
        <w:rPr>
          <w:rFonts w:hint="eastAsia" w:ascii="仿宋" w:hAnsi="仿宋" w:eastAsia="仿宋" w:cs="仿宋"/>
          <w:color w:val="auto"/>
          <w:kern w:val="0"/>
          <w:sz w:val="24"/>
          <w:szCs w:val="24"/>
          <w:highlight w:val="none"/>
          <w:lang w:val="en-US" w:eastAsia="zh-CN" w:bidi="ar"/>
        </w:rPr>
        <w:t>我方作为</w:t>
      </w:r>
      <w:r>
        <w:rPr>
          <w:rFonts w:hint="eastAsia" w:ascii="仿宋" w:hAnsi="仿宋" w:eastAsia="仿宋" w:cs="仿宋"/>
          <w:color w:val="auto"/>
          <w:kern w:val="0"/>
          <w:sz w:val="24"/>
          <w:szCs w:val="24"/>
          <w:highlight w:val="none"/>
          <w:u w:val="single"/>
          <w:lang w:val="en-US" w:eastAsia="zh-CN" w:bidi="ar"/>
        </w:rPr>
        <w:t xml:space="preserve">         （项目名称）         </w:t>
      </w:r>
      <w:r>
        <w:rPr>
          <w:rFonts w:hint="eastAsia" w:ascii="仿宋" w:hAnsi="仿宋" w:eastAsia="仿宋" w:cs="仿宋"/>
          <w:color w:val="auto"/>
          <w:kern w:val="0"/>
          <w:sz w:val="24"/>
          <w:szCs w:val="24"/>
          <w:highlight w:val="none"/>
          <w:lang w:val="en-US" w:eastAsia="zh-CN" w:bidi="ar"/>
        </w:rPr>
        <w:t>（项目编号：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）的供应商，在此郑重声明：</w:t>
      </w:r>
    </w:p>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我方具备履行合同所必须的设备和专业技术能力。</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如有不实，我方将无条件地退出本项目的采购活动，并遵照《政府采购法》有关“提供虚假材料的规定”接受处罚。 </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特此声明。</w:t>
      </w:r>
    </w:p>
    <w:p>
      <w:pPr>
        <w:shd w:val="clear"/>
        <w:spacing w:before="240" w:beforeLines="100" w:after="120" w:afterLines="50" w:line="360" w:lineRule="auto"/>
        <w:ind w:firstLine="620" w:firstLineChars="250"/>
        <w:outlineLvl w:val="9"/>
        <w:rPr>
          <w:rFonts w:hint="eastAsia" w:ascii="仿宋" w:hAnsi="仿宋" w:eastAsia="仿宋" w:cs="仿宋"/>
          <w:color w:val="auto"/>
          <w:spacing w:val="4"/>
          <w:sz w:val="24"/>
          <w:szCs w:val="24"/>
          <w:highlight w:val="none"/>
        </w:rPr>
      </w:pPr>
    </w:p>
    <w:p>
      <w:pPr>
        <w:shd w:val="clear"/>
        <w:spacing w:before="240" w:beforeLines="100" w:after="120" w:afterLines="50" w:line="360" w:lineRule="auto"/>
        <w:ind w:firstLine="170"/>
        <w:outlineLvl w:val="9"/>
        <w:rPr>
          <w:rFonts w:hint="eastAsia" w:ascii="仿宋" w:hAnsi="仿宋" w:eastAsia="仿宋" w:cs="仿宋"/>
          <w:color w:val="auto"/>
          <w:spacing w:val="4"/>
          <w:sz w:val="24"/>
          <w:szCs w:val="24"/>
          <w:highlight w:val="none"/>
        </w:rPr>
      </w:pPr>
    </w:p>
    <w:p>
      <w:pPr>
        <w:shd w:val="clear"/>
        <w:spacing w:before="240" w:beforeLines="100" w:after="120" w:afterLines="50" w:line="360" w:lineRule="auto"/>
        <w:ind w:firstLine="170"/>
        <w:outlineLvl w:val="9"/>
        <w:rPr>
          <w:rFonts w:hint="eastAsia" w:ascii="仿宋" w:hAnsi="仿宋" w:eastAsia="仿宋" w:cs="仿宋"/>
          <w:color w:val="auto"/>
          <w:spacing w:val="4"/>
          <w:sz w:val="24"/>
          <w:szCs w:val="24"/>
          <w:highlight w:val="none"/>
        </w:rPr>
      </w:pPr>
    </w:p>
    <w:p>
      <w:pPr>
        <w:shd w:val="clear"/>
        <w:spacing w:line="360" w:lineRule="auto"/>
        <w:ind w:left="0" w:leftChars="0" w:firstLine="3360" w:firstLineChars="14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hd w:val="clear"/>
        <w:spacing w:line="360" w:lineRule="auto"/>
        <w:ind w:left="0" w:leftChars="0" w:firstLine="3360" w:firstLineChars="14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shd w:val="clear"/>
        <w:spacing w:line="360" w:lineRule="auto"/>
        <w:ind w:left="0" w:leftChars="0" w:firstLine="3360" w:firstLineChars="1400"/>
        <w:jc w:val="both"/>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hd w:val="clear"/>
        <w:spacing w:line="360" w:lineRule="auto"/>
        <w:outlineLvl w:val="9"/>
        <w:rPr>
          <w:rFonts w:hint="eastAsia" w:ascii="仿宋" w:hAnsi="仿宋" w:eastAsia="仿宋" w:cs="仿宋"/>
          <w:bCs/>
          <w:color w:val="auto"/>
          <w:sz w:val="24"/>
          <w:szCs w:val="24"/>
          <w:highlight w:val="none"/>
        </w:rPr>
      </w:pPr>
    </w:p>
    <w:p>
      <w:pPr>
        <w:shd w:val="clear"/>
        <w:spacing w:line="360" w:lineRule="auto"/>
        <w:outlineLvl w:val="9"/>
        <w:rPr>
          <w:rFonts w:hint="eastAsia" w:ascii="仿宋" w:hAnsi="仿宋" w:eastAsia="仿宋" w:cs="仿宋"/>
          <w:bCs/>
          <w:color w:val="auto"/>
          <w:sz w:val="24"/>
          <w:szCs w:val="24"/>
          <w:highlight w:val="none"/>
        </w:rPr>
      </w:pPr>
    </w:p>
    <w:p>
      <w:pPr>
        <w:shd w:val="clear"/>
        <w:spacing w:line="360" w:lineRule="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shd w:val="clear"/>
        <w:spacing w:line="360" w:lineRule="auto"/>
        <w:jc w:val="center"/>
        <w:outlineLvl w:val="9"/>
        <w:rPr>
          <w:rFonts w:hint="eastAsia" w:ascii="仿宋" w:hAnsi="仿宋" w:eastAsia="仿宋" w:cs="仿宋"/>
          <w:b/>
          <w:color w:val="auto"/>
          <w:sz w:val="28"/>
          <w:szCs w:val="28"/>
          <w:highlight w:val="none"/>
        </w:rPr>
      </w:pPr>
      <w:bookmarkStart w:id="364" w:name="_Toc1093"/>
      <w:bookmarkStart w:id="365" w:name="_Toc19749"/>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六</w:t>
      </w:r>
      <w:r>
        <w:rPr>
          <w:rFonts w:hint="eastAsia" w:ascii="仿宋" w:hAnsi="仿宋" w:eastAsia="仿宋" w:cs="仿宋"/>
          <w:b/>
          <w:color w:val="auto"/>
          <w:sz w:val="28"/>
          <w:szCs w:val="28"/>
          <w:highlight w:val="none"/>
        </w:rPr>
        <w:t>）参加政府采购活动的书面声明</w:t>
      </w:r>
      <w:bookmarkEnd w:id="364"/>
      <w:bookmarkEnd w:id="365"/>
    </w:p>
    <w:p>
      <w:pPr>
        <w:shd w:val="clear"/>
        <w:spacing w:line="360" w:lineRule="auto"/>
        <w:outlineLvl w:val="9"/>
        <w:rPr>
          <w:rFonts w:hint="eastAsia" w:ascii="仿宋" w:hAnsi="仿宋" w:eastAsia="仿宋" w:cs="仿宋"/>
          <w:color w:val="auto"/>
          <w:spacing w:val="4"/>
          <w:sz w:val="24"/>
          <w:szCs w:val="24"/>
          <w:highlight w:val="none"/>
          <w:u w:val="single"/>
        </w:rPr>
      </w:pPr>
      <w:r>
        <w:rPr>
          <w:rFonts w:hint="eastAsia" w:ascii="仿宋" w:hAnsi="仿宋" w:eastAsia="仿宋" w:cs="仿宋"/>
          <w:color w:val="auto"/>
          <w:spacing w:val="4"/>
          <w:sz w:val="24"/>
          <w:szCs w:val="24"/>
          <w:highlight w:val="none"/>
          <w:u w:val="none"/>
        </w:rPr>
        <w:t>致：</w:t>
      </w:r>
      <w:r>
        <w:rPr>
          <w:rFonts w:hint="eastAsia" w:ascii="仿宋" w:hAnsi="仿宋" w:eastAsia="仿宋" w:cs="仿宋"/>
          <w:color w:val="auto"/>
          <w:spacing w:val="4"/>
          <w:sz w:val="24"/>
          <w:szCs w:val="24"/>
          <w:highlight w:val="none"/>
          <w:u w:val="single"/>
        </w:rPr>
        <w:t xml:space="preserve">     （采购人名称）    </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我方作为</w:t>
      </w:r>
      <w:r>
        <w:rPr>
          <w:rFonts w:hint="eastAsia" w:ascii="仿宋" w:hAnsi="仿宋" w:eastAsia="仿宋" w:cs="仿宋"/>
          <w:color w:val="auto"/>
          <w:kern w:val="0"/>
          <w:sz w:val="24"/>
          <w:szCs w:val="24"/>
          <w:highlight w:val="none"/>
          <w:u w:val="single"/>
          <w:lang w:val="en-US" w:eastAsia="zh-CN" w:bidi="ar"/>
        </w:rPr>
        <w:t xml:space="preserve">         （项目名称）         </w:t>
      </w:r>
      <w:r>
        <w:rPr>
          <w:rFonts w:hint="eastAsia" w:ascii="仿宋" w:hAnsi="仿宋" w:eastAsia="仿宋" w:cs="仿宋"/>
          <w:color w:val="auto"/>
          <w:kern w:val="0"/>
          <w:sz w:val="24"/>
          <w:szCs w:val="24"/>
          <w:highlight w:val="none"/>
          <w:lang w:val="en-US" w:eastAsia="zh-CN" w:bidi="ar"/>
        </w:rPr>
        <w:t>（项目编号：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）的供应商，在此郑重声明：</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color w:val="auto"/>
          <w:kern w:val="0"/>
          <w:sz w:val="24"/>
          <w:szCs w:val="24"/>
          <w:highlight w:val="none"/>
          <w:lang w:val="en-US" w:eastAsia="zh-CN" w:bidi="ar"/>
        </w:rPr>
        <w:t>1、在参加本次政府采购活动前 3 年内的经营活动中____（填“没有”或“有”）重大违法记录。</w:t>
      </w:r>
      <w:r>
        <w:rPr>
          <w:rFonts w:hint="eastAsia" w:ascii="仿宋" w:hAnsi="仿宋" w:eastAsia="仿宋" w:cs="仿宋"/>
          <w:b w:val="0"/>
          <w:bCs w:val="0"/>
          <w:color w:val="auto"/>
          <w:kern w:val="0"/>
          <w:sz w:val="24"/>
          <w:szCs w:val="24"/>
          <w:highlight w:val="none"/>
          <w:lang w:val="en-US" w:eastAsia="zh-CN" w:bidi="ar"/>
        </w:rPr>
        <w:t xml:space="preserve">供应商在参加政府采购活动前 3 年内因违法经营被禁止在一定期限内参加政府采购活动，期限届满的，可以参加政府采购活动，但应提供期限届满的证明材料。 </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2、我方______（填“未被列入”或“被列入”）失信被执行人名单。</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3、我方______（填“未被列入”或“被列入”）重大税收违法案件当事人名单。</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4、我方______（填“未被列入”或“被列入”）政府采购严重违法失信行为记录名单。 </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如有不实，我方将无条件地退出本项目的采购活动，并遵照《政府采购法》有关“提供虚假材料的规定”接受处罚。 </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特此声明。</w:t>
      </w:r>
    </w:p>
    <w:p>
      <w:pPr>
        <w:shd w:val="clear"/>
        <w:autoSpaceDE w:val="0"/>
        <w:autoSpaceDN w:val="0"/>
        <w:adjustRightInd w:val="0"/>
        <w:spacing w:line="360" w:lineRule="auto"/>
        <w:ind w:firstLine="480" w:firstLineChars="200"/>
        <w:outlineLvl w:val="9"/>
        <w:rPr>
          <w:rFonts w:hint="eastAsia" w:ascii="仿宋" w:hAnsi="仿宋" w:eastAsia="仿宋" w:cs="仿宋"/>
          <w:color w:val="auto"/>
          <w:sz w:val="24"/>
          <w:szCs w:val="24"/>
          <w:highlight w:val="none"/>
        </w:rPr>
      </w:pPr>
    </w:p>
    <w:p>
      <w:pPr>
        <w:shd w:val="clear"/>
        <w:autoSpaceDE w:val="0"/>
        <w:autoSpaceDN w:val="0"/>
        <w:adjustRightInd w:val="0"/>
        <w:spacing w:line="360" w:lineRule="auto"/>
        <w:ind w:firstLine="480" w:firstLineChars="200"/>
        <w:outlineLvl w:val="9"/>
        <w:rPr>
          <w:rFonts w:hint="eastAsia" w:ascii="仿宋" w:hAnsi="仿宋" w:eastAsia="仿宋" w:cs="仿宋"/>
          <w:color w:val="auto"/>
          <w:sz w:val="24"/>
          <w:szCs w:val="24"/>
          <w:highlight w:val="none"/>
        </w:rPr>
      </w:pPr>
    </w:p>
    <w:p>
      <w:pPr>
        <w:shd w:val="clear"/>
        <w:spacing w:line="360" w:lineRule="auto"/>
        <w:ind w:firstLine="3840" w:firstLineChars="16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r>
        <w:rPr>
          <w:rFonts w:hint="eastAsia" w:ascii="仿宋" w:hAnsi="仿宋" w:eastAsia="仿宋" w:cs="仿宋"/>
          <w:color w:val="auto"/>
          <w:sz w:val="24"/>
          <w:szCs w:val="24"/>
          <w:highlight w:val="none"/>
          <w:u w:val="single"/>
        </w:rPr>
        <w:t xml:space="preserve">                              </w:t>
      </w:r>
    </w:p>
    <w:p>
      <w:pPr>
        <w:shd w:val="clear"/>
        <w:spacing w:line="360" w:lineRule="auto"/>
        <w:ind w:firstLine="3840" w:firstLineChars="16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shd w:val="clear"/>
        <w:spacing w:line="360" w:lineRule="auto"/>
        <w:ind w:firstLine="3840" w:firstLineChars="1600"/>
        <w:outlineLvl w:val="9"/>
        <w:rPr>
          <w:rFonts w:hint="eastAsia" w:ascii="仿宋" w:hAnsi="仿宋" w:eastAsia="仿宋" w:cs="仿宋"/>
          <w:color w:val="auto"/>
          <w:highlight w:val="none"/>
          <w:lang w:val="zh-CN"/>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keepNext w:val="0"/>
        <w:keepLines w:val="0"/>
        <w:pageBreakBefore/>
        <w:widowControl w:val="0"/>
        <w:numPr>
          <w:ilvl w:val="0"/>
          <w:numId w:val="0"/>
        </w:numPr>
        <w:shd w:val="clear"/>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val="0"/>
          <w:color w:val="auto"/>
          <w:kern w:val="2"/>
          <w:sz w:val="28"/>
          <w:szCs w:val="28"/>
          <w:highlight w:val="none"/>
          <w:u w:val="none"/>
          <w:lang w:val="zh-CN" w:eastAsia="zh-CN" w:bidi="ar-SA"/>
        </w:rPr>
      </w:pPr>
      <w:bookmarkStart w:id="366" w:name="_Toc19939"/>
      <w:r>
        <w:rPr>
          <w:rFonts w:hint="eastAsia" w:ascii="仿宋" w:hAnsi="仿宋" w:eastAsia="仿宋" w:cs="仿宋"/>
          <w:b/>
          <w:bCs w:val="0"/>
          <w:color w:val="auto"/>
          <w:kern w:val="2"/>
          <w:sz w:val="28"/>
          <w:szCs w:val="28"/>
          <w:highlight w:val="none"/>
          <w:u w:val="none"/>
          <w:lang w:val="zh-CN" w:eastAsia="zh-CN" w:bidi="ar-SA"/>
        </w:rPr>
        <w:t>（七）特定资格要求</w:t>
      </w:r>
      <w:bookmarkEnd w:id="366"/>
    </w:p>
    <w:p>
      <w:pPr>
        <w:shd w:val="clear"/>
        <w:adjustRightInd w:val="0"/>
        <w:snapToGrid w:val="0"/>
        <w:spacing w:line="360" w:lineRule="auto"/>
        <w:jc w:val="center"/>
        <w:outlineLvl w:val="9"/>
        <w:rPr>
          <w:rFonts w:hint="eastAsia" w:ascii="仿宋" w:hAnsi="仿宋" w:eastAsia="仿宋" w:cs="仿宋"/>
          <w:b/>
          <w:color w:val="auto"/>
          <w:sz w:val="24"/>
          <w:szCs w:val="24"/>
          <w:highlight w:val="none"/>
        </w:rPr>
      </w:pPr>
      <w:bookmarkStart w:id="367" w:name="_Toc495681252"/>
      <w:bookmarkStart w:id="368" w:name="_Toc495681406"/>
      <w:bookmarkStart w:id="369" w:name="_Toc495908048"/>
      <w:bookmarkStart w:id="370" w:name="_Toc495681533"/>
      <w:bookmarkStart w:id="371" w:name="_Toc1610"/>
      <w:bookmarkStart w:id="372" w:name="_Toc495671263"/>
      <w:r>
        <w:rPr>
          <w:rFonts w:hint="eastAsia" w:ascii="仿宋" w:hAnsi="仿宋" w:eastAsia="仿宋" w:cs="仿宋"/>
          <w:b/>
          <w:color w:val="auto"/>
          <w:sz w:val="24"/>
          <w:szCs w:val="24"/>
          <w:highlight w:val="none"/>
        </w:rPr>
        <w:t>1、法定代表人身份证明</w:t>
      </w:r>
      <w:bookmarkEnd w:id="367"/>
      <w:bookmarkEnd w:id="368"/>
      <w:bookmarkEnd w:id="369"/>
      <w:bookmarkEnd w:id="370"/>
      <w:bookmarkEnd w:id="371"/>
      <w:bookmarkEnd w:id="372"/>
    </w:p>
    <w:p>
      <w:pPr>
        <w:shd w:val="clea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kern w:val="0"/>
          <w:sz w:val="24"/>
          <w:szCs w:val="24"/>
          <w:highlight w:val="none"/>
        </w:rPr>
        <w:t>名称：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pPr>
        <w:shd w:val="clea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统一社会信用代码：</w:t>
      </w:r>
      <w:r>
        <w:rPr>
          <w:rFonts w:hint="eastAsia" w:ascii="仿宋" w:hAnsi="仿宋" w:eastAsia="仿宋" w:cs="仿宋"/>
          <w:color w:val="auto"/>
          <w:kern w:val="0"/>
          <w:sz w:val="24"/>
          <w:szCs w:val="24"/>
          <w:highlight w:val="none"/>
          <w:u w:val="single"/>
        </w:rPr>
        <w:t xml:space="preserve">                                  </w:t>
      </w:r>
    </w:p>
    <w:p>
      <w:pPr>
        <w:shd w:val="clea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注册地址：</w:t>
      </w:r>
      <w:r>
        <w:rPr>
          <w:rFonts w:hint="eastAsia" w:ascii="仿宋" w:hAnsi="仿宋" w:eastAsia="仿宋" w:cs="仿宋"/>
          <w:color w:val="auto"/>
          <w:kern w:val="0"/>
          <w:sz w:val="24"/>
          <w:szCs w:val="24"/>
          <w:highlight w:val="none"/>
          <w:u w:val="single"/>
        </w:rPr>
        <w:t xml:space="preserve">                                          </w:t>
      </w:r>
    </w:p>
    <w:p>
      <w:pPr>
        <w:shd w:val="clea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年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日；经营期限：</w:t>
      </w:r>
      <w:r>
        <w:rPr>
          <w:rFonts w:hint="eastAsia" w:ascii="仿宋" w:hAnsi="仿宋" w:eastAsia="仿宋" w:cs="仿宋"/>
          <w:color w:val="auto"/>
          <w:kern w:val="0"/>
          <w:sz w:val="24"/>
          <w:szCs w:val="24"/>
          <w:highlight w:val="none"/>
          <w:u w:val="single"/>
        </w:rPr>
        <w:t xml:space="preserve">                  </w:t>
      </w:r>
    </w:p>
    <w:p>
      <w:pPr>
        <w:shd w:val="clea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经营范围：主营：</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；兼营：</w:t>
      </w:r>
      <w:r>
        <w:rPr>
          <w:rFonts w:hint="eastAsia" w:ascii="仿宋" w:hAnsi="仿宋" w:eastAsia="仿宋" w:cs="仿宋"/>
          <w:color w:val="auto"/>
          <w:kern w:val="0"/>
          <w:sz w:val="24"/>
          <w:szCs w:val="24"/>
          <w:highlight w:val="none"/>
          <w:u w:val="single"/>
        </w:rPr>
        <w:t xml:space="preserve">              </w:t>
      </w:r>
    </w:p>
    <w:p>
      <w:pPr>
        <w:shd w:val="clea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供应商</w:t>
      </w:r>
      <w:r>
        <w:rPr>
          <w:rFonts w:hint="eastAsia" w:ascii="仿宋" w:hAnsi="仿宋" w:eastAsia="仿宋" w:cs="仿宋"/>
          <w:color w:val="auto"/>
          <w:kern w:val="0"/>
          <w:sz w:val="24"/>
          <w:szCs w:val="24"/>
          <w:highlight w:val="none"/>
        </w:rPr>
        <w:t>名称）的法定代表人。</w:t>
      </w:r>
    </w:p>
    <w:p>
      <w:pPr>
        <w:shd w:val="clea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pPr>
        <w:shd w:val="clear"/>
        <w:autoSpaceDE w:val="0"/>
        <w:autoSpaceDN w:val="0"/>
        <w:adjustRightInd w:val="0"/>
        <w:snapToGrid w:val="0"/>
        <w:spacing w:before="120"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附：法定代表人身份证复印件</w:t>
      </w:r>
    </w:p>
    <w:tbl>
      <w:tblPr>
        <w:tblStyle w:val="21"/>
        <w:tblW w:w="7996" w:type="dxa"/>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2818" w:hRule="atLeast"/>
        </w:trPr>
        <w:tc>
          <w:tcPr>
            <w:tcW w:w="4081"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法定代表人身份证</w:t>
            </w:r>
          </w:p>
          <w:p>
            <w:pPr>
              <w:shd w:val="clear"/>
              <w:spacing w:line="360" w:lineRule="auto"/>
              <w:jc w:val="center"/>
              <w:outlineLvl w:val="9"/>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zh-CN"/>
              </w:rPr>
              <w:t>复印件</w:t>
            </w:r>
          </w:p>
        </w:tc>
        <w:tc>
          <w:tcPr>
            <w:tcW w:w="3915" w:type="dxa"/>
            <w:tcBorders>
              <w:top w:val="single" w:color="auto" w:sz="6" w:space="0"/>
              <w:left w:val="single" w:color="auto" w:sz="6" w:space="0"/>
              <w:bottom w:val="single" w:color="auto" w:sz="6" w:space="0"/>
              <w:right w:val="single" w:color="auto" w:sz="6" w:space="0"/>
            </w:tcBorders>
            <w:vAlign w:val="center"/>
          </w:tcPr>
          <w:p>
            <w:pPr>
              <w:shd w:val="clear"/>
              <w:spacing w:line="360" w:lineRule="auto"/>
              <w:jc w:val="center"/>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法定代表人身份证</w:t>
            </w:r>
          </w:p>
          <w:p>
            <w:pPr>
              <w:shd w:val="clear"/>
              <w:spacing w:line="360" w:lineRule="auto"/>
              <w:jc w:val="center"/>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zh-CN"/>
              </w:rPr>
              <w:t>复印件</w:t>
            </w:r>
          </w:p>
        </w:tc>
      </w:tr>
    </w:tbl>
    <w:p>
      <w:pPr>
        <w:shd w:val="clear"/>
        <w:spacing w:line="360" w:lineRule="auto"/>
        <w:ind w:firstLine="1920" w:firstLineChars="800"/>
        <w:outlineLvl w:val="9"/>
        <w:rPr>
          <w:rFonts w:hint="eastAsia" w:ascii="仿宋" w:hAnsi="仿宋" w:eastAsia="仿宋" w:cs="仿宋"/>
          <w:color w:val="auto"/>
          <w:sz w:val="24"/>
          <w:szCs w:val="24"/>
          <w:highlight w:val="none"/>
        </w:rPr>
      </w:pPr>
    </w:p>
    <w:p>
      <w:pPr>
        <w:shd w:val="clear"/>
        <w:spacing w:line="360" w:lineRule="auto"/>
        <w:ind w:left="0" w:leftChars="0" w:firstLine="4418" w:firstLineChars="184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r>
        <w:rPr>
          <w:rFonts w:hint="eastAsia" w:ascii="仿宋" w:hAnsi="仿宋" w:eastAsia="仿宋" w:cs="仿宋"/>
          <w:color w:val="auto"/>
          <w:sz w:val="24"/>
          <w:szCs w:val="24"/>
          <w:highlight w:val="none"/>
          <w:u w:val="single"/>
        </w:rPr>
        <w:t xml:space="preserve">                        </w:t>
      </w:r>
    </w:p>
    <w:p>
      <w:pPr>
        <w:shd w:val="clear"/>
        <w:spacing w:line="360" w:lineRule="auto"/>
        <w:ind w:left="0" w:leftChars="0" w:firstLine="4418" w:firstLineChars="1841"/>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法定代表人（签字或盖章）：</w:t>
      </w:r>
      <w:r>
        <w:rPr>
          <w:rFonts w:hint="eastAsia" w:ascii="仿宋" w:hAnsi="仿宋" w:eastAsia="仿宋" w:cs="仿宋"/>
          <w:color w:val="auto"/>
          <w:sz w:val="24"/>
          <w:szCs w:val="24"/>
          <w:highlight w:val="none"/>
          <w:u w:val="single"/>
        </w:rPr>
        <w:t xml:space="preserve">                    </w:t>
      </w:r>
    </w:p>
    <w:p>
      <w:pPr>
        <w:shd w:val="clear"/>
        <w:adjustRightInd w:val="0"/>
        <w:snapToGrid w:val="0"/>
        <w:spacing w:line="360" w:lineRule="auto"/>
        <w:ind w:left="0" w:leftChars="0" w:firstLine="4418" w:firstLineChars="1841"/>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shd w:val="clear"/>
        <w:adjustRightInd w:val="0"/>
        <w:snapToGrid w:val="0"/>
        <w:spacing w:line="360" w:lineRule="auto"/>
        <w:jc w:val="center"/>
        <w:outlineLvl w:val="9"/>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br w:type="page"/>
      </w:r>
      <w:bookmarkStart w:id="373" w:name="_Toc495681407"/>
      <w:bookmarkStart w:id="374" w:name="_Toc495681253"/>
      <w:bookmarkStart w:id="375" w:name="_Toc495671264"/>
      <w:bookmarkStart w:id="376" w:name="_Toc495681534"/>
      <w:bookmarkStart w:id="377" w:name="_Toc18921"/>
      <w:bookmarkStart w:id="378" w:name="_Toc495908049"/>
      <w:r>
        <w:rPr>
          <w:rFonts w:hint="eastAsia" w:ascii="仿宋" w:hAnsi="仿宋" w:eastAsia="仿宋" w:cs="仿宋"/>
          <w:b/>
          <w:color w:val="auto"/>
          <w:sz w:val="24"/>
          <w:szCs w:val="24"/>
          <w:highlight w:val="none"/>
        </w:rPr>
        <w:t>2、法定代表人授权书</w:t>
      </w:r>
      <w:bookmarkEnd w:id="373"/>
      <w:bookmarkEnd w:id="374"/>
      <w:bookmarkEnd w:id="375"/>
      <w:bookmarkEnd w:id="376"/>
      <w:bookmarkEnd w:id="377"/>
      <w:bookmarkEnd w:id="378"/>
    </w:p>
    <w:p>
      <w:pPr>
        <w:shd w:val="clear"/>
        <w:autoSpaceDE w:val="0"/>
        <w:autoSpaceDN w:val="0"/>
        <w:adjustRightIn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陕西笃信招标有限公司：</w:t>
      </w:r>
    </w:p>
    <w:p>
      <w:pPr>
        <w:shd w:val="clea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注册于</w:t>
      </w:r>
      <w:r>
        <w:rPr>
          <w:rFonts w:hint="eastAsia" w:ascii="仿宋" w:hAnsi="仿宋" w:eastAsia="仿宋" w:cs="仿宋"/>
          <w:color w:val="auto"/>
          <w:sz w:val="24"/>
          <w:szCs w:val="24"/>
          <w:highlight w:val="none"/>
          <w:u w:val="single"/>
          <w:lang w:val="zh-CN"/>
        </w:rPr>
        <w:t xml:space="preserve">  （工商行政管理局名称）  </w:t>
      </w:r>
      <w:r>
        <w:rPr>
          <w:rFonts w:hint="eastAsia" w:ascii="仿宋" w:hAnsi="仿宋" w:eastAsia="仿宋" w:cs="仿宋"/>
          <w:color w:val="auto"/>
          <w:sz w:val="24"/>
          <w:szCs w:val="24"/>
          <w:highlight w:val="none"/>
          <w:lang w:val="zh-CN"/>
        </w:rPr>
        <w:t>之</w:t>
      </w:r>
      <w:r>
        <w:rPr>
          <w:rFonts w:hint="eastAsia" w:ascii="仿宋" w:hAnsi="仿宋" w:eastAsia="仿宋" w:cs="仿宋"/>
          <w:color w:val="auto"/>
          <w:sz w:val="24"/>
          <w:szCs w:val="24"/>
          <w:highlight w:val="none"/>
          <w:u w:val="single"/>
          <w:lang w:val="zh-CN"/>
        </w:rPr>
        <w:t xml:space="preserve">   （供应商全称）  </w:t>
      </w:r>
      <w:r>
        <w:rPr>
          <w:rFonts w:hint="eastAsia" w:ascii="仿宋" w:hAnsi="仿宋" w:eastAsia="仿宋" w:cs="仿宋"/>
          <w:color w:val="auto"/>
          <w:sz w:val="24"/>
          <w:szCs w:val="24"/>
          <w:highlight w:val="none"/>
          <w:lang w:val="zh-CN"/>
        </w:rPr>
        <w:t>的法定代表人</w:t>
      </w:r>
      <w:r>
        <w:rPr>
          <w:rFonts w:hint="eastAsia" w:ascii="仿宋" w:hAnsi="仿宋" w:eastAsia="仿宋" w:cs="仿宋"/>
          <w:color w:val="auto"/>
          <w:sz w:val="24"/>
          <w:szCs w:val="24"/>
          <w:highlight w:val="none"/>
          <w:u w:val="single"/>
          <w:lang w:val="zh-CN"/>
        </w:rPr>
        <w:t xml:space="preserve"> （姓名）</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rPr>
        <w:t>授权</w:t>
      </w:r>
      <w:r>
        <w:rPr>
          <w:rFonts w:hint="eastAsia" w:ascii="仿宋" w:hAnsi="仿宋" w:eastAsia="仿宋" w:cs="仿宋"/>
          <w:color w:val="auto"/>
          <w:sz w:val="24"/>
          <w:szCs w:val="24"/>
          <w:highlight w:val="none"/>
          <w:u w:val="single"/>
          <w:lang w:val="zh-CN"/>
        </w:rPr>
        <w:t xml:space="preserve"> （被授权人姓名）</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为我方合法委托代理人。代理人根据授权，以我方名义签署、澄清、说明、递交、撤回、修改</w:t>
      </w:r>
      <w:r>
        <w:rPr>
          <w:rFonts w:hint="eastAsia" w:ascii="仿宋" w:hAnsi="仿宋" w:eastAsia="仿宋" w:cs="仿宋"/>
          <w:color w:val="auto"/>
          <w:sz w:val="24"/>
          <w:szCs w:val="24"/>
          <w:highlight w:val="none"/>
          <w:u w:val="single"/>
        </w:rPr>
        <w:t xml:space="preserve">     （项目名称）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文件、签订合同和处理有关事宜，其法律后果由我方承担。</w:t>
      </w:r>
    </w:p>
    <w:p>
      <w:pPr>
        <w:shd w:val="clea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pPr>
        <w:shd w:val="clea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（盖单位公章）</w:t>
      </w:r>
    </w:p>
    <w:p>
      <w:pPr>
        <w:shd w:val="clea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pPr>
        <w:shd w:val="clea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pPr>
        <w:shd w:val="clea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签字或盖章</w:t>
      </w:r>
      <w:r>
        <w:rPr>
          <w:rFonts w:hint="eastAsia" w:ascii="仿宋" w:hAnsi="仿宋" w:eastAsia="仿宋" w:cs="仿宋"/>
          <w:color w:val="auto"/>
          <w:sz w:val="24"/>
          <w:szCs w:val="24"/>
          <w:highlight w:val="none"/>
        </w:rPr>
        <w:t>）</w:t>
      </w:r>
    </w:p>
    <w:p>
      <w:pPr>
        <w:shd w:val="clear"/>
        <w:spacing w:line="360" w:lineRule="auto"/>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pPr>
        <w:shd w:val="clear"/>
        <w:spacing w:line="360" w:lineRule="auto"/>
        <w:ind w:firstLine="5520" w:firstLineChars="23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hd w:val="clear"/>
        <w:spacing w:line="360" w:lineRule="auto"/>
        <w:ind w:firstLine="480" w:firstLineChars="200"/>
        <w:outlineLvl w:val="9"/>
        <w:rPr>
          <w:rFonts w:hint="eastAsia" w:ascii="仿宋" w:hAnsi="仿宋" w:eastAsia="仿宋" w:cs="仿宋"/>
          <w:color w:val="auto"/>
          <w:sz w:val="24"/>
          <w:szCs w:val="24"/>
          <w:highlight w:val="none"/>
        </w:rPr>
      </w:pPr>
    </w:p>
    <w:p>
      <w:pPr>
        <w:shd w:val="clea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本授权有效期：自开标之日起90日历日。</w:t>
      </w:r>
    </w:p>
    <w:p>
      <w:pPr>
        <w:shd w:val="clear"/>
        <w:spacing w:line="360" w:lineRule="auto"/>
        <w:ind w:firstLine="420"/>
        <w:outlineLvl w:val="9"/>
        <w:rPr>
          <w:rFonts w:hint="eastAsia" w:ascii="仿宋" w:hAnsi="仿宋" w:eastAsia="仿宋" w:cs="仿宋"/>
          <w:bCs/>
          <w:color w:val="auto"/>
          <w:sz w:val="24"/>
          <w:szCs w:val="24"/>
          <w:highlight w:val="none"/>
        </w:rPr>
      </w:pPr>
    </w:p>
    <w:p>
      <w:pPr>
        <w:shd w:val="clear"/>
        <w:spacing w:line="360" w:lineRule="auto"/>
        <w:ind w:firstLine="420"/>
        <w:outlineLvl w:val="9"/>
        <w:rPr>
          <w:rFonts w:hint="eastAsia" w:ascii="仿宋" w:hAnsi="仿宋" w:eastAsia="仿宋" w:cs="仿宋"/>
          <w:bCs/>
          <w:color w:val="auto"/>
          <w:sz w:val="24"/>
          <w:szCs w:val="24"/>
          <w:highlight w:val="none"/>
        </w:rPr>
      </w:pPr>
    </w:p>
    <w:p>
      <w:pPr>
        <w:shd w:val="clear"/>
        <w:spacing w:line="360" w:lineRule="auto"/>
        <w:ind w:firstLine="480" w:firstLineChars="200"/>
        <w:outlineLvl w:val="9"/>
        <w:rPr>
          <w:rFonts w:hint="eastAsia" w:ascii="仿宋" w:hAnsi="仿宋" w:eastAsia="仿宋" w:cs="仿宋"/>
          <w:bCs/>
          <w:color w:val="auto"/>
          <w:sz w:val="24"/>
          <w:szCs w:val="24"/>
          <w:highlight w:val="none"/>
        </w:rPr>
      </w:pPr>
    </w:p>
    <w:p>
      <w:pPr>
        <w:shd w:val="clear"/>
        <w:spacing w:line="360" w:lineRule="auto"/>
        <w:ind w:firstLine="480" w:firstLineChars="200"/>
        <w:outlineLvl w:val="9"/>
        <w:rPr>
          <w:rFonts w:hint="eastAsia" w:ascii="仿宋" w:hAnsi="仿宋" w:eastAsia="仿宋" w:cs="仿宋"/>
          <w:bCs/>
          <w:color w:val="auto"/>
          <w:sz w:val="24"/>
          <w:szCs w:val="24"/>
          <w:highlight w:val="none"/>
        </w:rPr>
      </w:pPr>
    </w:p>
    <w:p>
      <w:pPr>
        <w:shd w:val="clear"/>
        <w:spacing w:line="360" w:lineRule="auto"/>
        <w:ind w:firstLine="480" w:firstLineChars="200"/>
        <w:outlineLvl w:val="9"/>
        <w:rPr>
          <w:rFonts w:hint="eastAsia" w:ascii="仿宋" w:hAnsi="仿宋" w:eastAsia="仿宋" w:cs="仿宋"/>
          <w:color w:val="auto"/>
          <w:sz w:val="24"/>
          <w:szCs w:val="24"/>
          <w:highlight w:val="none"/>
          <w:lang w:val="zh-CN"/>
        </w:rPr>
      </w:pPr>
    </w:p>
    <w:p>
      <w:pPr>
        <w:shd w:val="clear"/>
        <w:spacing w:line="360" w:lineRule="auto"/>
        <w:ind w:firstLine="480" w:firstLineChars="200"/>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说明：</w:t>
      </w:r>
    </w:p>
    <w:p>
      <w:pPr>
        <w:shd w:val="clea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后</w:t>
      </w:r>
      <w:r>
        <w:rPr>
          <w:rFonts w:hint="eastAsia" w:ascii="仿宋" w:hAnsi="仿宋" w:eastAsia="仿宋" w:cs="仿宋"/>
          <w:color w:val="auto"/>
          <w:sz w:val="24"/>
          <w:szCs w:val="24"/>
          <w:highlight w:val="none"/>
        </w:rPr>
        <w:t>附被授权代表本单位证明：有效的劳动合同或</w:t>
      </w:r>
      <w:r>
        <w:rPr>
          <w:rFonts w:hint="eastAsia" w:ascii="仿宋" w:hAnsi="仿宋" w:eastAsia="仿宋" w:cs="仿宋"/>
          <w:color w:val="auto"/>
          <w:sz w:val="24"/>
          <w:szCs w:val="24"/>
          <w:highlight w:val="none"/>
          <w:lang w:val="en-US" w:eastAsia="zh-CN"/>
        </w:rPr>
        <w:t>开标</w:t>
      </w:r>
      <w:r>
        <w:rPr>
          <w:rFonts w:hint="eastAsia" w:ascii="仿宋" w:hAnsi="仿宋" w:eastAsia="仿宋" w:cs="仿宋"/>
          <w:color w:val="auto"/>
          <w:sz w:val="24"/>
          <w:szCs w:val="24"/>
          <w:highlight w:val="none"/>
        </w:rPr>
        <w:t>前</w:t>
      </w:r>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个月</w:t>
      </w:r>
      <w:r>
        <w:rPr>
          <w:rFonts w:hint="eastAsia" w:ascii="仿宋" w:hAnsi="仿宋" w:eastAsia="仿宋" w:cs="仿宋"/>
          <w:color w:val="auto"/>
          <w:sz w:val="24"/>
          <w:szCs w:val="24"/>
          <w:highlight w:val="none"/>
          <w:lang w:val="en-US" w:eastAsia="zh-CN"/>
        </w:rPr>
        <w:t>任意一个月</w:t>
      </w:r>
      <w:r>
        <w:rPr>
          <w:rFonts w:hint="eastAsia" w:ascii="仿宋" w:hAnsi="仿宋" w:eastAsia="仿宋" w:cs="仿宋"/>
          <w:color w:val="auto"/>
          <w:sz w:val="24"/>
          <w:szCs w:val="24"/>
          <w:highlight w:val="none"/>
        </w:rPr>
        <w:t>的养老保险缴纳证明。</w:t>
      </w:r>
    </w:p>
    <w:p>
      <w:pPr>
        <w:shd w:val="clear"/>
        <w:spacing w:line="360" w:lineRule="auto"/>
        <w:ind w:firstLine="480" w:firstLineChars="200"/>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后</w:t>
      </w:r>
      <w:r>
        <w:rPr>
          <w:rFonts w:hint="eastAsia" w:ascii="仿宋" w:hAnsi="仿宋" w:eastAsia="仿宋" w:cs="仿宋"/>
          <w:color w:val="auto"/>
          <w:sz w:val="24"/>
          <w:szCs w:val="24"/>
          <w:highlight w:val="none"/>
        </w:rPr>
        <w:t>附法定代表人和被授权委托代理人身份证复印件并加盖红色鲜章。</w:t>
      </w:r>
    </w:p>
    <w:p>
      <w:pPr>
        <w:shd w:val="clear"/>
        <w:spacing w:line="360" w:lineRule="auto"/>
        <w:ind w:firstLine="480" w:firstLineChars="200"/>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本授权有效期为</w:t>
      </w:r>
      <w:r>
        <w:rPr>
          <w:rFonts w:hint="eastAsia" w:ascii="仿宋" w:hAnsi="仿宋" w:eastAsia="仿宋" w:cs="仿宋"/>
          <w:color w:val="auto"/>
          <w:sz w:val="24"/>
          <w:szCs w:val="24"/>
          <w:highlight w:val="none"/>
          <w:lang w:val="en-US" w:eastAsia="zh-CN"/>
        </w:rPr>
        <w:t>开标</w:t>
      </w:r>
      <w:r>
        <w:rPr>
          <w:rFonts w:hint="eastAsia" w:ascii="仿宋" w:hAnsi="仿宋" w:eastAsia="仿宋" w:cs="仿宋"/>
          <w:color w:val="auto"/>
          <w:sz w:val="24"/>
          <w:szCs w:val="24"/>
          <w:highlight w:val="none"/>
          <w:lang w:val="zh-CN"/>
        </w:rPr>
        <w:t>之日起不少于90天，仅限授权代表参加</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时提供。</w:t>
      </w:r>
    </w:p>
    <w:p>
      <w:pPr>
        <w:pStyle w:val="16"/>
        <w:shd w:val="clear"/>
        <w:rPr>
          <w:rFonts w:hint="eastAsia" w:ascii="仿宋" w:hAnsi="仿宋" w:eastAsia="仿宋" w:cs="仿宋"/>
          <w:b/>
          <w:color w:val="auto"/>
          <w:sz w:val="24"/>
          <w:szCs w:val="24"/>
          <w:highlight w:val="none"/>
        </w:rPr>
      </w:pPr>
    </w:p>
    <w:p>
      <w:pPr>
        <w:keepNext w:val="0"/>
        <w:keepLines w:val="0"/>
        <w:pageBreakBefore/>
        <w:widowControl w:val="0"/>
        <w:shd w:val="clear"/>
        <w:tabs>
          <w:tab w:val="left" w:pos="292"/>
          <w:tab w:val="center" w:pos="4327"/>
        </w:tabs>
        <w:kinsoku/>
        <w:wordWrap/>
        <w:overflowPunct/>
        <w:topLinePunct w:val="0"/>
        <w:autoSpaceDE/>
        <w:autoSpaceDN/>
        <w:bidi w:val="0"/>
        <w:adjustRightInd w:val="0"/>
        <w:snapToGrid w:val="0"/>
        <w:spacing w:line="360" w:lineRule="auto"/>
        <w:jc w:val="center"/>
        <w:textAlignment w:val="auto"/>
        <w:outlineLvl w:val="9"/>
        <w:rPr>
          <w:rFonts w:hint="eastAsia" w:ascii="仿宋" w:hAnsi="仿宋" w:eastAsia="仿宋" w:cs="仿宋"/>
          <w:b/>
          <w:color w:val="auto"/>
          <w:sz w:val="24"/>
          <w:szCs w:val="24"/>
          <w:highlight w:val="none"/>
          <w:lang w:val="zh-CN" w:eastAsia="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lang w:val="zh-CN" w:eastAsia="zh-CN"/>
        </w:rPr>
        <w:t>提供政府采购政策等证明材料</w:t>
      </w:r>
    </w:p>
    <w:p>
      <w:pPr>
        <w:keepLines w:val="0"/>
        <w:shd w:val="clear"/>
        <w:wordWrap/>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（1）中小企业声明函（</w:t>
      </w:r>
      <w:r>
        <w:rPr>
          <w:rFonts w:hint="eastAsia" w:ascii="仿宋" w:hAnsi="仿宋" w:eastAsia="仿宋" w:cs="仿宋"/>
          <w:b/>
          <w:bCs/>
          <w:color w:val="auto"/>
          <w:sz w:val="24"/>
          <w:szCs w:val="24"/>
          <w:highlight w:val="none"/>
          <w:lang w:val="en-US" w:eastAsia="zh-CN"/>
        </w:rPr>
        <w:t>如适用</w:t>
      </w:r>
      <w:r>
        <w:rPr>
          <w:rFonts w:hint="eastAsia" w:ascii="仿宋" w:hAnsi="仿宋" w:eastAsia="仿宋" w:cs="仿宋"/>
          <w:color w:val="auto"/>
          <w:sz w:val="24"/>
          <w:szCs w:val="24"/>
          <w:highlight w:val="none"/>
        </w:rPr>
        <w:t>，请提供，格式见附件1，注：本项目属于</w:t>
      </w:r>
      <w:r>
        <w:rPr>
          <w:rFonts w:hint="eastAsia" w:ascii="仿宋" w:hAnsi="仿宋" w:eastAsia="仿宋" w:cs="仿宋"/>
          <w:color w:val="auto"/>
          <w:sz w:val="24"/>
          <w:szCs w:val="24"/>
          <w:highlight w:val="none"/>
          <w:lang w:val="en-US" w:eastAsia="zh-CN"/>
        </w:rPr>
        <w:t>零售业</w:t>
      </w:r>
      <w:r>
        <w:rPr>
          <w:rFonts w:hint="eastAsia" w:ascii="仿宋" w:hAnsi="仿宋" w:eastAsia="仿宋" w:cs="仿宋"/>
          <w:color w:val="auto"/>
          <w:sz w:val="24"/>
          <w:szCs w:val="24"/>
          <w:highlight w:val="none"/>
        </w:rPr>
        <w:t>）；</w:t>
      </w:r>
    </w:p>
    <w:p>
      <w:pPr>
        <w:keepLines w:val="0"/>
        <w:shd w:val="clear"/>
        <w:wordWrap/>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（2）残疾人福利性单位声明函（如适用，请提供，格式见附件2）；</w:t>
      </w:r>
    </w:p>
    <w:p>
      <w:pPr>
        <w:keepLines w:val="0"/>
        <w:shd w:val="clear"/>
        <w:wordWrap/>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（3）监狱企业、福利企业证明材料（如适用，请提供）；  </w:t>
      </w:r>
    </w:p>
    <w:p>
      <w:pPr>
        <w:keepLines w:val="0"/>
        <w:shd w:val="clear"/>
        <w:wordWrap/>
        <w:bidi w:val="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br w:type="page"/>
      </w:r>
    </w:p>
    <w:p>
      <w:pPr>
        <w:keepLines w:val="0"/>
        <w:shd w:val="clear"/>
        <w:wordWrap/>
        <w:bidi w:val="0"/>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附件</w:t>
      </w:r>
      <w:r>
        <w:rPr>
          <w:rFonts w:hint="eastAsia" w:ascii="仿宋" w:hAnsi="仿宋" w:eastAsia="仿宋" w:cs="仿宋"/>
          <w:b/>
          <w:bCs/>
          <w:color w:val="auto"/>
          <w:sz w:val="24"/>
          <w:szCs w:val="24"/>
          <w:highlight w:val="none"/>
          <w:lang w:val="en-US" w:eastAsia="zh-CN"/>
        </w:rPr>
        <w:t>1</w:t>
      </w:r>
    </w:p>
    <w:p>
      <w:pPr>
        <w:shd w:val="clear"/>
        <w:bidi w:val="0"/>
        <w:spacing w:line="360" w:lineRule="auto"/>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中小企业声明函（货物）</w:t>
      </w:r>
    </w:p>
    <w:p>
      <w:pPr>
        <w:widowControl w:val="0"/>
        <w:shd w:val="clear"/>
        <w:kinsoku w:val="0"/>
        <w:overflowPunct w:val="0"/>
        <w:spacing w:before="34" w:line="360" w:lineRule="auto"/>
        <w:ind w:firstLine="456" w:firstLineChars="200"/>
        <w:jc w:val="both"/>
        <w:rPr>
          <w:rFonts w:hint="eastAsia" w:ascii="仿宋" w:hAnsi="仿宋" w:eastAsia="仿宋" w:cs="仿宋"/>
          <w:color w:val="auto"/>
          <w:w w:val="95"/>
          <w:kern w:val="2"/>
          <w:sz w:val="24"/>
          <w:szCs w:val="24"/>
          <w:highlight w:val="none"/>
          <w:lang w:val="en-US" w:eastAsia="zh-CN" w:bidi="ar-SA"/>
        </w:rPr>
      </w:pPr>
      <w:r>
        <w:rPr>
          <w:rFonts w:hint="eastAsia" w:ascii="仿宋" w:hAnsi="仿宋" w:eastAsia="仿宋" w:cs="仿宋"/>
          <w:color w:val="auto"/>
          <w:w w:val="95"/>
          <w:kern w:val="2"/>
          <w:sz w:val="24"/>
          <w:szCs w:val="24"/>
          <w:highlight w:val="none"/>
          <w:lang w:val="en-US" w:eastAsia="zh-CN" w:bidi="ar-SA"/>
        </w:rPr>
        <w:t>本公司（联合体）郑重声明，根据《政府采购促进中小企业发展管理办法》（财库﹝2020﹞46号）的规定，本公司（联合体）参加</w:t>
      </w:r>
      <w:r>
        <w:rPr>
          <w:rFonts w:hint="eastAsia" w:ascii="仿宋" w:hAnsi="仿宋" w:eastAsia="仿宋" w:cs="仿宋"/>
          <w:color w:val="auto"/>
          <w:w w:val="95"/>
          <w:kern w:val="2"/>
          <w:sz w:val="24"/>
          <w:szCs w:val="24"/>
          <w:highlight w:val="none"/>
          <w:u w:val="single"/>
          <w:lang w:val="en-US" w:eastAsia="zh-CN" w:bidi="ar-SA"/>
        </w:rPr>
        <w:t>（单位名称）</w:t>
      </w:r>
      <w:r>
        <w:rPr>
          <w:rFonts w:hint="eastAsia" w:ascii="仿宋" w:hAnsi="仿宋" w:eastAsia="仿宋" w:cs="仿宋"/>
          <w:color w:val="auto"/>
          <w:w w:val="95"/>
          <w:kern w:val="2"/>
          <w:sz w:val="24"/>
          <w:szCs w:val="24"/>
          <w:highlight w:val="none"/>
          <w:lang w:val="en-US" w:eastAsia="zh-CN" w:bidi="ar-SA"/>
        </w:rPr>
        <w:t>的</w:t>
      </w:r>
      <w:r>
        <w:rPr>
          <w:rFonts w:hint="eastAsia" w:ascii="仿宋" w:hAnsi="仿宋" w:eastAsia="仿宋" w:cs="仿宋"/>
          <w:color w:val="auto"/>
          <w:w w:val="95"/>
          <w:kern w:val="2"/>
          <w:sz w:val="24"/>
          <w:szCs w:val="24"/>
          <w:highlight w:val="none"/>
          <w:u w:val="single"/>
          <w:lang w:val="en-US" w:eastAsia="zh-CN" w:bidi="ar-SA"/>
        </w:rPr>
        <w:t>（项目名称）</w:t>
      </w:r>
      <w:r>
        <w:rPr>
          <w:rFonts w:hint="eastAsia" w:ascii="仿宋" w:hAnsi="仿宋" w:eastAsia="仿宋" w:cs="仿宋"/>
          <w:color w:val="auto"/>
          <w:w w:val="95"/>
          <w:kern w:val="2"/>
          <w:sz w:val="24"/>
          <w:szCs w:val="24"/>
          <w:highlight w:val="none"/>
          <w:lang w:val="en-US" w:eastAsia="zh-CN" w:bidi="ar-SA"/>
        </w:rPr>
        <w:t>采购活动，提供的货物全部由符合政策要求的中小企业制造。相关企业（含联合体中的中小企业、签订分包意向协议的中小企业）的具体情况如下：</w:t>
      </w:r>
    </w:p>
    <w:p>
      <w:pPr>
        <w:widowControl w:val="0"/>
        <w:shd w:val="clear"/>
        <w:tabs>
          <w:tab w:val="left" w:pos="1384"/>
          <w:tab w:val="left" w:pos="4562"/>
          <w:tab w:val="left" w:pos="6803"/>
        </w:tabs>
        <w:kinsoku w:val="0"/>
        <w:overflowPunct w:val="0"/>
        <w:spacing w:before="13" w:line="360" w:lineRule="auto"/>
        <w:ind w:left="105" w:right="142" w:firstLine="655"/>
        <w:jc w:val="both"/>
        <w:rPr>
          <w:rFonts w:hint="eastAsia" w:ascii="仿宋" w:hAnsi="仿宋" w:eastAsia="仿宋" w:cs="仿宋"/>
          <w:color w:val="auto"/>
          <w:w w:val="95"/>
          <w:kern w:val="2"/>
          <w:sz w:val="24"/>
          <w:szCs w:val="24"/>
          <w:highlight w:val="none"/>
          <w:u w:val="single"/>
          <w:lang w:val="en-US" w:eastAsia="zh-CN" w:bidi="ar-SA"/>
        </w:rPr>
      </w:pPr>
      <w:r>
        <w:rPr>
          <w:rFonts w:hint="eastAsia" w:ascii="仿宋" w:hAnsi="仿宋" w:eastAsia="仿宋" w:cs="仿宋"/>
          <w:color w:val="auto"/>
          <w:spacing w:val="1"/>
          <w:w w:val="99"/>
          <w:kern w:val="2"/>
          <w:sz w:val="24"/>
          <w:szCs w:val="24"/>
          <w:highlight w:val="none"/>
          <w:lang w:val="en-US" w:eastAsia="zh-CN" w:bidi="ar-SA"/>
        </w:rPr>
        <w:t>1</w:t>
      </w:r>
      <w:r>
        <w:rPr>
          <w:rFonts w:hint="eastAsia" w:ascii="仿宋" w:hAnsi="仿宋" w:eastAsia="仿宋" w:cs="仿宋"/>
          <w:color w:val="auto"/>
          <w:spacing w:val="-41"/>
          <w:w w:val="99"/>
          <w:kern w:val="2"/>
          <w:sz w:val="24"/>
          <w:szCs w:val="24"/>
          <w:highlight w:val="none"/>
          <w:lang w:val="en-US" w:eastAsia="zh-CN" w:bidi="ar-SA"/>
        </w:rPr>
        <w:t>.</w:t>
      </w:r>
      <w:r>
        <w:rPr>
          <w:rFonts w:hint="eastAsia" w:ascii="仿宋" w:hAnsi="仿宋" w:eastAsia="仿宋" w:cs="仿宋"/>
          <w:color w:val="auto"/>
          <w:w w:val="95"/>
          <w:kern w:val="2"/>
          <w:sz w:val="24"/>
          <w:szCs w:val="24"/>
          <w:highlight w:val="none"/>
          <w:u w:val="single"/>
          <w:lang w:val="en-US" w:eastAsia="zh-CN" w:bidi="ar-SA"/>
        </w:rPr>
        <w:t xml:space="preserve"> （标的名称）</w:t>
      </w:r>
      <w:r>
        <w:rPr>
          <w:rFonts w:hint="eastAsia" w:ascii="仿宋" w:hAnsi="仿宋" w:eastAsia="仿宋" w:cs="仿宋"/>
          <w:i/>
          <w:color w:val="auto"/>
          <w:spacing w:val="-135"/>
          <w:kern w:val="2"/>
          <w:sz w:val="24"/>
          <w:szCs w:val="24"/>
          <w:highlight w:val="none"/>
          <w:lang w:val="en-US" w:eastAsia="zh-CN" w:bidi="ar-SA"/>
        </w:rPr>
        <w:t xml:space="preserve"> </w:t>
      </w:r>
      <w:r>
        <w:rPr>
          <w:rFonts w:hint="eastAsia" w:ascii="仿宋" w:hAnsi="仿宋" w:eastAsia="仿宋" w:cs="仿宋"/>
          <w:color w:val="auto"/>
          <w:spacing w:val="-43"/>
          <w:w w:val="99"/>
          <w:kern w:val="2"/>
          <w:sz w:val="24"/>
          <w:szCs w:val="24"/>
          <w:highlight w:val="none"/>
          <w:lang w:val="en-US" w:eastAsia="zh-CN" w:bidi="ar-SA"/>
        </w:rPr>
        <w:t>，</w:t>
      </w:r>
      <w:r>
        <w:rPr>
          <w:rFonts w:hint="eastAsia" w:ascii="仿宋" w:hAnsi="仿宋" w:eastAsia="仿宋" w:cs="仿宋"/>
          <w:color w:val="auto"/>
          <w:w w:val="99"/>
          <w:kern w:val="2"/>
          <w:sz w:val="24"/>
          <w:szCs w:val="24"/>
          <w:highlight w:val="none"/>
          <w:lang w:val="en-US" w:eastAsia="zh-CN" w:bidi="ar-SA"/>
        </w:rPr>
        <w:t>属</w:t>
      </w:r>
      <w:r>
        <w:rPr>
          <w:rFonts w:hint="eastAsia" w:ascii="仿宋" w:hAnsi="仿宋" w:eastAsia="仿宋" w:cs="仿宋"/>
          <w:color w:val="auto"/>
          <w:spacing w:val="-55"/>
          <w:w w:val="99"/>
          <w:kern w:val="2"/>
          <w:sz w:val="24"/>
          <w:szCs w:val="24"/>
          <w:highlight w:val="none"/>
          <w:lang w:val="en-US" w:eastAsia="zh-CN" w:bidi="ar-SA"/>
        </w:rPr>
        <w:t>于</w:t>
      </w:r>
      <w:r>
        <w:rPr>
          <w:rFonts w:hint="eastAsia" w:ascii="仿宋" w:hAnsi="仿宋" w:eastAsia="仿宋" w:cs="仿宋"/>
          <w:color w:val="auto"/>
          <w:w w:val="95"/>
          <w:kern w:val="2"/>
          <w:sz w:val="24"/>
          <w:szCs w:val="24"/>
          <w:highlight w:val="none"/>
          <w:u w:val="single"/>
          <w:lang w:val="en-US" w:eastAsia="zh-CN" w:bidi="ar-SA"/>
        </w:rPr>
        <w:t>（采购文件中明确的所属行业）行业</w:t>
      </w:r>
      <w:r>
        <w:rPr>
          <w:rFonts w:hint="eastAsia" w:ascii="仿宋" w:hAnsi="仿宋" w:eastAsia="仿宋" w:cs="仿宋"/>
          <w:color w:val="auto"/>
          <w:spacing w:val="7"/>
          <w:w w:val="99"/>
          <w:kern w:val="2"/>
          <w:sz w:val="24"/>
          <w:szCs w:val="24"/>
          <w:highlight w:val="none"/>
          <w:lang w:val="en-US" w:eastAsia="zh-CN" w:bidi="ar-SA"/>
        </w:rPr>
        <w:t>；</w:t>
      </w:r>
      <w:r>
        <w:rPr>
          <w:rFonts w:hint="eastAsia" w:ascii="仿宋" w:hAnsi="仿宋" w:eastAsia="仿宋" w:cs="仿宋"/>
          <w:color w:val="auto"/>
          <w:spacing w:val="5"/>
          <w:w w:val="99"/>
          <w:kern w:val="2"/>
          <w:sz w:val="24"/>
          <w:szCs w:val="24"/>
          <w:highlight w:val="none"/>
          <w:lang w:val="en-US" w:eastAsia="zh-CN" w:bidi="ar-SA"/>
        </w:rPr>
        <w:t>制</w:t>
      </w:r>
      <w:r>
        <w:rPr>
          <w:rFonts w:hint="eastAsia" w:ascii="仿宋" w:hAnsi="仿宋" w:eastAsia="仿宋" w:cs="仿宋"/>
          <w:color w:val="auto"/>
          <w:spacing w:val="7"/>
          <w:w w:val="99"/>
          <w:kern w:val="2"/>
          <w:sz w:val="24"/>
          <w:szCs w:val="24"/>
          <w:highlight w:val="none"/>
          <w:lang w:val="en-US" w:eastAsia="zh-CN" w:bidi="ar-SA"/>
        </w:rPr>
        <w:t>造</w:t>
      </w:r>
      <w:r>
        <w:rPr>
          <w:rFonts w:hint="eastAsia" w:ascii="仿宋" w:hAnsi="仿宋" w:eastAsia="仿宋" w:cs="仿宋"/>
          <w:color w:val="auto"/>
          <w:spacing w:val="5"/>
          <w:w w:val="99"/>
          <w:kern w:val="2"/>
          <w:sz w:val="24"/>
          <w:szCs w:val="24"/>
          <w:highlight w:val="none"/>
          <w:lang w:val="en-US" w:eastAsia="zh-CN" w:bidi="ar-SA"/>
        </w:rPr>
        <w:t>商</w:t>
      </w:r>
      <w:r>
        <w:rPr>
          <w:rFonts w:hint="eastAsia" w:ascii="仿宋" w:hAnsi="仿宋" w:eastAsia="仿宋" w:cs="仿宋"/>
          <w:color w:val="auto"/>
          <w:spacing w:val="-10"/>
          <w:w w:val="99"/>
          <w:kern w:val="2"/>
          <w:sz w:val="24"/>
          <w:szCs w:val="24"/>
          <w:highlight w:val="none"/>
          <w:lang w:val="en-US" w:eastAsia="zh-CN" w:bidi="ar-SA"/>
        </w:rPr>
        <w:t>为</w:t>
      </w:r>
      <w:r>
        <w:rPr>
          <w:rFonts w:hint="eastAsia" w:ascii="仿宋" w:hAnsi="仿宋" w:eastAsia="仿宋" w:cs="仿宋"/>
          <w:color w:val="auto"/>
          <w:w w:val="95"/>
          <w:kern w:val="2"/>
          <w:sz w:val="24"/>
          <w:szCs w:val="24"/>
          <w:highlight w:val="none"/>
          <w:u w:val="single"/>
          <w:lang w:val="en-US" w:eastAsia="zh-CN" w:bidi="ar-SA"/>
        </w:rPr>
        <w:t>（企业名称），</w:t>
      </w:r>
      <w:r>
        <w:rPr>
          <w:rFonts w:hint="eastAsia" w:ascii="仿宋" w:hAnsi="仿宋" w:eastAsia="仿宋" w:cs="仿宋"/>
          <w:color w:val="auto"/>
          <w:spacing w:val="5"/>
          <w:w w:val="99"/>
          <w:kern w:val="2"/>
          <w:sz w:val="24"/>
          <w:szCs w:val="24"/>
          <w:highlight w:val="none"/>
          <w:lang w:val="en-US" w:eastAsia="zh-CN" w:bidi="ar-SA"/>
        </w:rPr>
        <w:t>从</w:t>
      </w:r>
      <w:r>
        <w:rPr>
          <w:rFonts w:hint="eastAsia" w:ascii="仿宋" w:hAnsi="仿宋" w:eastAsia="仿宋" w:cs="仿宋"/>
          <w:color w:val="auto"/>
          <w:spacing w:val="7"/>
          <w:w w:val="99"/>
          <w:kern w:val="2"/>
          <w:sz w:val="24"/>
          <w:szCs w:val="24"/>
          <w:highlight w:val="none"/>
          <w:lang w:val="en-US" w:eastAsia="zh-CN" w:bidi="ar-SA"/>
        </w:rPr>
        <w:t>业</w:t>
      </w:r>
      <w:r>
        <w:rPr>
          <w:rFonts w:hint="eastAsia" w:ascii="仿宋" w:hAnsi="仿宋" w:eastAsia="仿宋" w:cs="仿宋"/>
          <w:color w:val="auto"/>
          <w:spacing w:val="5"/>
          <w:w w:val="99"/>
          <w:kern w:val="2"/>
          <w:sz w:val="24"/>
          <w:szCs w:val="24"/>
          <w:highlight w:val="none"/>
          <w:lang w:val="en-US" w:eastAsia="zh-CN" w:bidi="ar-SA"/>
        </w:rPr>
        <w:t>人</w:t>
      </w:r>
      <w:r>
        <w:rPr>
          <w:rFonts w:hint="eastAsia" w:ascii="仿宋" w:hAnsi="仿宋" w:eastAsia="仿宋" w:cs="仿宋"/>
          <w:color w:val="auto"/>
          <w:spacing w:val="4"/>
          <w:w w:val="99"/>
          <w:kern w:val="2"/>
          <w:sz w:val="24"/>
          <w:szCs w:val="24"/>
          <w:highlight w:val="none"/>
          <w:lang w:val="en-US" w:eastAsia="zh-CN" w:bidi="ar-SA"/>
        </w:rPr>
        <w:t>员</w:t>
      </w:r>
      <w:r>
        <w:rPr>
          <w:rFonts w:hint="eastAsia" w:ascii="仿宋" w:hAnsi="仿宋" w:eastAsia="仿宋" w:cs="仿宋"/>
          <w:color w:val="auto"/>
          <w:w w:val="99"/>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single"/>
          <w:lang w:val="en-US" w:eastAsia="zh-CN" w:bidi="ar-SA"/>
        </w:rPr>
        <w:tab/>
      </w:r>
      <w:r>
        <w:rPr>
          <w:rFonts w:hint="eastAsia" w:ascii="仿宋" w:hAnsi="仿宋" w:eastAsia="仿宋" w:cs="仿宋"/>
          <w:color w:val="auto"/>
          <w:spacing w:val="7"/>
          <w:w w:val="99"/>
          <w:kern w:val="2"/>
          <w:sz w:val="24"/>
          <w:szCs w:val="24"/>
          <w:highlight w:val="none"/>
          <w:lang w:val="en-US" w:eastAsia="zh-CN" w:bidi="ar-SA"/>
        </w:rPr>
        <w:t>人</w:t>
      </w:r>
      <w:r>
        <w:rPr>
          <w:rFonts w:hint="eastAsia" w:ascii="仿宋" w:hAnsi="仿宋" w:eastAsia="仿宋" w:cs="仿宋"/>
          <w:color w:val="auto"/>
          <w:spacing w:val="5"/>
          <w:w w:val="99"/>
          <w:kern w:val="2"/>
          <w:sz w:val="24"/>
          <w:szCs w:val="24"/>
          <w:highlight w:val="none"/>
          <w:lang w:val="en-US" w:eastAsia="zh-CN" w:bidi="ar-SA"/>
        </w:rPr>
        <w:t>，</w:t>
      </w:r>
      <w:r>
        <w:rPr>
          <w:rFonts w:hint="eastAsia" w:ascii="仿宋" w:hAnsi="仿宋" w:eastAsia="仿宋" w:cs="仿宋"/>
          <w:color w:val="auto"/>
          <w:spacing w:val="7"/>
          <w:w w:val="99"/>
          <w:kern w:val="2"/>
          <w:sz w:val="24"/>
          <w:szCs w:val="24"/>
          <w:highlight w:val="none"/>
          <w:lang w:val="en-US" w:eastAsia="zh-CN" w:bidi="ar-SA"/>
        </w:rPr>
        <w:t>营</w:t>
      </w:r>
      <w:r>
        <w:rPr>
          <w:rFonts w:hint="eastAsia" w:ascii="仿宋" w:hAnsi="仿宋" w:eastAsia="仿宋" w:cs="仿宋"/>
          <w:color w:val="auto"/>
          <w:spacing w:val="5"/>
          <w:w w:val="99"/>
          <w:kern w:val="2"/>
          <w:sz w:val="24"/>
          <w:szCs w:val="24"/>
          <w:highlight w:val="none"/>
          <w:lang w:val="en-US" w:eastAsia="zh-CN" w:bidi="ar-SA"/>
        </w:rPr>
        <w:t>业</w:t>
      </w:r>
      <w:r>
        <w:rPr>
          <w:rFonts w:hint="eastAsia" w:ascii="仿宋" w:hAnsi="仿宋" w:eastAsia="仿宋" w:cs="仿宋"/>
          <w:color w:val="auto"/>
          <w:w w:val="99"/>
          <w:kern w:val="2"/>
          <w:sz w:val="24"/>
          <w:szCs w:val="24"/>
          <w:highlight w:val="none"/>
          <w:lang w:val="en-US" w:eastAsia="zh-CN" w:bidi="ar-SA"/>
        </w:rPr>
        <w:t>收 入</w:t>
      </w:r>
      <w:r>
        <w:rPr>
          <w:rFonts w:hint="eastAsia" w:ascii="仿宋" w:hAnsi="仿宋" w:eastAsia="仿宋" w:cs="仿宋"/>
          <w:color w:val="auto"/>
          <w:spacing w:val="1"/>
          <w:w w:val="99"/>
          <w:kern w:val="2"/>
          <w:sz w:val="24"/>
          <w:szCs w:val="24"/>
          <w:highlight w:val="none"/>
          <w:lang w:val="en-US" w:eastAsia="zh-CN" w:bidi="ar-SA"/>
        </w:rPr>
        <w:t>为</w:t>
      </w:r>
      <w:r>
        <w:rPr>
          <w:rFonts w:hint="eastAsia" w:ascii="仿宋" w:hAnsi="仿宋" w:eastAsia="仿宋" w:cs="仿宋"/>
          <w:color w:val="auto"/>
          <w:w w:val="99"/>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single"/>
          <w:lang w:val="en-US" w:eastAsia="zh-CN" w:bidi="ar-SA"/>
        </w:rPr>
        <w:tab/>
      </w:r>
      <w:r>
        <w:rPr>
          <w:rFonts w:hint="eastAsia" w:ascii="仿宋" w:hAnsi="仿宋" w:eastAsia="仿宋" w:cs="仿宋"/>
          <w:color w:val="auto"/>
          <w:w w:val="99"/>
          <w:kern w:val="2"/>
          <w:sz w:val="24"/>
          <w:szCs w:val="24"/>
          <w:highlight w:val="none"/>
          <w:lang w:val="en-US" w:eastAsia="zh-CN" w:bidi="ar-SA"/>
        </w:rPr>
        <w:t>万</w:t>
      </w:r>
      <w:r>
        <w:rPr>
          <w:rFonts w:hint="eastAsia" w:ascii="仿宋" w:hAnsi="仿宋" w:eastAsia="仿宋" w:cs="仿宋"/>
          <w:color w:val="auto"/>
          <w:spacing w:val="2"/>
          <w:w w:val="99"/>
          <w:kern w:val="2"/>
          <w:sz w:val="24"/>
          <w:szCs w:val="24"/>
          <w:highlight w:val="none"/>
          <w:lang w:val="en-US" w:eastAsia="zh-CN" w:bidi="ar-SA"/>
        </w:rPr>
        <w:t>元</w:t>
      </w:r>
      <w:r>
        <w:rPr>
          <w:rFonts w:hint="eastAsia" w:ascii="仿宋" w:hAnsi="仿宋" w:eastAsia="仿宋" w:cs="仿宋"/>
          <w:color w:val="auto"/>
          <w:spacing w:val="-22"/>
          <w:w w:val="99"/>
          <w:kern w:val="2"/>
          <w:sz w:val="24"/>
          <w:szCs w:val="24"/>
          <w:highlight w:val="none"/>
          <w:lang w:val="en-US" w:eastAsia="zh-CN" w:bidi="ar-SA"/>
        </w:rPr>
        <w:t>，</w:t>
      </w:r>
      <w:r>
        <w:rPr>
          <w:rFonts w:hint="eastAsia" w:ascii="仿宋" w:hAnsi="仿宋" w:eastAsia="仿宋" w:cs="仿宋"/>
          <w:color w:val="auto"/>
          <w:w w:val="99"/>
          <w:kern w:val="2"/>
          <w:sz w:val="24"/>
          <w:szCs w:val="24"/>
          <w:highlight w:val="none"/>
          <w:lang w:val="en-US" w:eastAsia="zh-CN" w:bidi="ar-SA"/>
        </w:rPr>
        <w:t>资</w:t>
      </w:r>
      <w:r>
        <w:rPr>
          <w:rFonts w:hint="eastAsia" w:ascii="仿宋" w:hAnsi="仿宋" w:eastAsia="仿宋" w:cs="仿宋"/>
          <w:color w:val="auto"/>
          <w:spacing w:val="2"/>
          <w:w w:val="99"/>
          <w:kern w:val="2"/>
          <w:sz w:val="24"/>
          <w:szCs w:val="24"/>
          <w:highlight w:val="none"/>
          <w:lang w:val="en-US" w:eastAsia="zh-CN" w:bidi="ar-SA"/>
        </w:rPr>
        <w:t>产</w:t>
      </w:r>
      <w:r>
        <w:rPr>
          <w:rFonts w:hint="eastAsia" w:ascii="仿宋" w:hAnsi="仿宋" w:eastAsia="仿宋" w:cs="仿宋"/>
          <w:color w:val="auto"/>
          <w:w w:val="99"/>
          <w:kern w:val="2"/>
          <w:sz w:val="24"/>
          <w:szCs w:val="24"/>
          <w:highlight w:val="none"/>
          <w:lang w:val="en-US" w:eastAsia="zh-CN" w:bidi="ar-SA"/>
        </w:rPr>
        <w:t>总额为</w:t>
      </w:r>
      <w:r>
        <w:rPr>
          <w:rFonts w:hint="eastAsia" w:ascii="仿宋" w:hAnsi="仿宋" w:eastAsia="仿宋" w:cs="仿宋"/>
          <w:color w:val="auto"/>
          <w:w w:val="99"/>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single"/>
          <w:lang w:val="en-US" w:eastAsia="zh-CN" w:bidi="ar-SA"/>
        </w:rPr>
        <w:tab/>
      </w:r>
      <w:r>
        <w:rPr>
          <w:rFonts w:hint="eastAsia" w:ascii="仿宋" w:hAnsi="仿宋" w:eastAsia="仿宋" w:cs="仿宋"/>
          <w:color w:val="auto"/>
          <w:w w:val="99"/>
          <w:kern w:val="2"/>
          <w:sz w:val="24"/>
          <w:szCs w:val="24"/>
          <w:highlight w:val="none"/>
          <w:lang w:val="en-US" w:eastAsia="zh-CN" w:bidi="ar-SA"/>
        </w:rPr>
        <w:t>万</w:t>
      </w:r>
      <w:r>
        <w:rPr>
          <w:rFonts w:hint="eastAsia" w:ascii="仿宋" w:hAnsi="仿宋" w:eastAsia="仿宋" w:cs="仿宋"/>
          <w:color w:val="auto"/>
          <w:spacing w:val="2"/>
          <w:w w:val="99"/>
          <w:kern w:val="2"/>
          <w:sz w:val="24"/>
          <w:szCs w:val="24"/>
          <w:highlight w:val="none"/>
          <w:lang w:val="en-US" w:eastAsia="zh-CN" w:bidi="ar-SA"/>
        </w:rPr>
        <w:t>元</w:t>
      </w:r>
      <w:r>
        <w:rPr>
          <w:rFonts w:hint="eastAsia" w:ascii="仿宋" w:hAnsi="仿宋" w:eastAsia="仿宋" w:cs="仿宋"/>
          <w:color w:val="auto"/>
          <w:spacing w:val="-22"/>
          <w:w w:val="99"/>
          <w:kern w:val="2"/>
          <w:sz w:val="24"/>
          <w:szCs w:val="24"/>
          <w:highlight w:val="none"/>
          <w:lang w:val="en-US" w:eastAsia="zh-CN" w:bidi="ar-SA"/>
        </w:rPr>
        <w:t>，</w:t>
      </w:r>
      <w:r>
        <w:rPr>
          <w:rFonts w:hint="eastAsia" w:ascii="仿宋" w:hAnsi="仿宋" w:eastAsia="仿宋" w:cs="仿宋"/>
          <w:color w:val="auto"/>
          <w:w w:val="99"/>
          <w:kern w:val="2"/>
          <w:sz w:val="24"/>
          <w:szCs w:val="24"/>
          <w:highlight w:val="none"/>
          <w:lang w:val="en-US" w:eastAsia="zh-CN" w:bidi="ar-SA"/>
        </w:rPr>
        <w:t>属</w:t>
      </w:r>
      <w:r>
        <w:rPr>
          <w:rFonts w:hint="eastAsia" w:ascii="仿宋" w:hAnsi="仿宋" w:eastAsia="仿宋" w:cs="仿宋"/>
          <w:color w:val="auto"/>
          <w:spacing w:val="-36"/>
          <w:w w:val="99"/>
          <w:kern w:val="2"/>
          <w:sz w:val="24"/>
          <w:szCs w:val="24"/>
          <w:highlight w:val="none"/>
          <w:lang w:val="en-US" w:eastAsia="zh-CN" w:bidi="ar-SA"/>
        </w:rPr>
        <w:t>于</w:t>
      </w:r>
      <w:r>
        <w:rPr>
          <w:rFonts w:hint="eastAsia" w:ascii="仿宋" w:hAnsi="仿宋" w:eastAsia="仿宋" w:cs="仿宋"/>
          <w:color w:val="auto"/>
          <w:w w:val="95"/>
          <w:kern w:val="2"/>
          <w:sz w:val="24"/>
          <w:szCs w:val="24"/>
          <w:highlight w:val="none"/>
          <w:u w:val="single"/>
          <w:lang w:val="en-US" w:eastAsia="zh-CN" w:bidi="ar-SA"/>
        </w:rPr>
        <w:t>（中型企业、小 型企业、微型企业）；</w:t>
      </w:r>
    </w:p>
    <w:p>
      <w:pPr>
        <w:widowControl w:val="0"/>
        <w:shd w:val="clear"/>
        <w:tabs>
          <w:tab w:val="left" w:pos="1065"/>
          <w:tab w:val="left" w:pos="4262"/>
          <w:tab w:val="left" w:pos="6477"/>
        </w:tabs>
        <w:kinsoku w:val="0"/>
        <w:overflowPunct w:val="0"/>
        <w:spacing w:before="20" w:line="360" w:lineRule="auto"/>
        <w:ind w:left="105" w:right="142" w:firstLine="655"/>
        <w:jc w:val="both"/>
        <w:rPr>
          <w:rFonts w:hint="eastAsia" w:ascii="仿宋" w:hAnsi="仿宋" w:eastAsia="仿宋" w:cs="仿宋"/>
          <w:color w:val="auto"/>
          <w:w w:val="95"/>
          <w:kern w:val="2"/>
          <w:sz w:val="24"/>
          <w:szCs w:val="24"/>
          <w:highlight w:val="none"/>
          <w:u w:val="single"/>
          <w:lang w:val="en-US" w:eastAsia="zh-CN" w:bidi="ar-SA"/>
        </w:rPr>
      </w:pPr>
      <w:r>
        <w:rPr>
          <w:rFonts w:hint="eastAsia" w:ascii="仿宋" w:hAnsi="仿宋" w:eastAsia="仿宋" w:cs="仿宋"/>
          <w:color w:val="auto"/>
          <w:spacing w:val="-21"/>
          <w:kern w:val="2"/>
          <w:sz w:val="24"/>
          <w:szCs w:val="24"/>
          <w:highlight w:val="none"/>
          <w:lang w:val="en-US" w:eastAsia="zh-CN" w:bidi="ar-SA"/>
        </w:rPr>
        <w:t>2.</w:t>
      </w:r>
      <w:r>
        <w:rPr>
          <w:rFonts w:hint="eastAsia" w:ascii="仿宋" w:hAnsi="仿宋" w:eastAsia="仿宋" w:cs="仿宋"/>
          <w:color w:val="auto"/>
          <w:w w:val="95"/>
          <w:kern w:val="2"/>
          <w:sz w:val="24"/>
          <w:szCs w:val="24"/>
          <w:highlight w:val="none"/>
          <w:u w:val="single"/>
          <w:lang w:val="en-US" w:eastAsia="zh-CN" w:bidi="ar-SA"/>
        </w:rPr>
        <w:t xml:space="preserve"> （标的名称），</w:t>
      </w:r>
      <w:r>
        <w:rPr>
          <w:rFonts w:hint="eastAsia" w:ascii="仿宋" w:hAnsi="仿宋" w:eastAsia="仿宋" w:cs="仿宋"/>
          <w:color w:val="auto"/>
          <w:spacing w:val="-87"/>
          <w:kern w:val="2"/>
          <w:sz w:val="24"/>
          <w:szCs w:val="24"/>
          <w:highlight w:val="none"/>
          <w:lang w:val="en-US" w:eastAsia="zh-CN" w:bidi="ar-SA"/>
        </w:rPr>
        <w:t xml:space="preserve">     </w:t>
      </w:r>
      <w:r>
        <w:rPr>
          <w:rFonts w:hint="eastAsia" w:ascii="仿宋" w:hAnsi="仿宋" w:eastAsia="仿宋" w:cs="仿宋"/>
          <w:color w:val="auto"/>
          <w:w w:val="99"/>
          <w:kern w:val="2"/>
          <w:sz w:val="24"/>
          <w:szCs w:val="24"/>
          <w:highlight w:val="none"/>
          <w:lang w:val="en-US" w:eastAsia="zh-CN" w:bidi="ar-SA"/>
        </w:rPr>
        <w:t>属</w:t>
      </w:r>
      <w:r>
        <w:rPr>
          <w:rFonts w:hint="eastAsia" w:ascii="仿宋" w:hAnsi="仿宋" w:eastAsia="仿宋" w:cs="仿宋"/>
          <w:color w:val="auto"/>
          <w:spacing w:val="-55"/>
          <w:w w:val="99"/>
          <w:kern w:val="2"/>
          <w:sz w:val="24"/>
          <w:szCs w:val="24"/>
          <w:highlight w:val="none"/>
          <w:lang w:val="en-US" w:eastAsia="zh-CN" w:bidi="ar-SA"/>
        </w:rPr>
        <w:t xml:space="preserve">于     </w:t>
      </w:r>
      <w:r>
        <w:rPr>
          <w:rFonts w:hint="eastAsia" w:ascii="仿宋" w:hAnsi="仿宋" w:eastAsia="仿宋" w:cs="仿宋"/>
          <w:color w:val="auto"/>
          <w:w w:val="95"/>
          <w:kern w:val="2"/>
          <w:sz w:val="24"/>
          <w:szCs w:val="24"/>
          <w:highlight w:val="none"/>
          <w:u w:val="single"/>
          <w:lang w:val="en-US" w:eastAsia="zh-CN" w:bidi="ar-SA"/>
        </w:rPr>
        <w:t>（采购文件中明确的所属行业）行业</w:t>
      </w:r>
      <w:r>
        <w:rPr>
          <w:rFonts w:hint="eastAsia" w:ascii="仿宋" w:hAnsi="仿宋" w:eastAsia="仿宋" w:cs="仿宋"/>
          <w:color w:val="auto"/>
          <w:spacing w:val="-50"/>
          <w:w w:val="95"/>
          <w:kern w:val="2"/>
          <w:sz w:val="24"/>
          <w:szCs w:val="24"/>
          <w:highlight w:val="none"/>
          <w:lang w:val="en-US" w:eastAsia="zh-CN" w:bidi="ar-SA"/>
        </w:rPr>
        <w:t>；</w:t>
      </w:r>
      <w:r>
        <w:rPr>
          <w:rFonts w:hint="eastAsia" w:ascii="仿宋" w:hAnsi="仿宋" w:eastAsia="仿宋" w:cs="仿宋"/>
          <w:color w:val="auto"/>
          <w:spacing w:val="5"/>
          <w:w w:val="99"/>
          <w:kern w:val="2"/>
          <w:sz w:val="24"/>
          <w:szCs w:val="24"/>
          <w:highlight w:val="none"/>
          <w:lang w:val="en-US" w:eastAsia="zh-CN" w:bidi="ar-SA"/>
        </w:rPr>
        <w:t>制造商为</w:t>
      </w:r>
      <w:r>
        <w:rPr>
          <w:rFonts w:hint="eastAsia" w:ascii="仿宋" w:hAnsi="仿宋" w:eastAsia="仿宋" w:cs="仿宋"/>
          <w:color w:val="auto"/>
          <w:w w:val="95"/>
          <w:kern w:val="2"/>
          <w:sz w:val="24"/>
          <w:szCs w:val="24"/>
          <w:highlight w:val="none"/>
          <w:u w:val="single"/>
          <w:lang w:val="en-US" w:eastAsia="zh-CN" w:bidi="ar-SA"/>
        </w:rPr>
        <w:t>（企业名称）</w:t>
      </w:r>
      <w:r>
        <w:rPr>
          <w:rFonts w:hint="eastAsia" w:ascii="仿宋" w:hAnsi="仿宋" w:eastAsia="仿宋" w:cs="仿宋"/>
          <w:color w:val="auto"/>
          <w:spacing w:val="-50"/>
          <w:w w:val="95"/>
          <w:kern w:val="2"/>
          <w:sz w:val="24"/>
          <w:szCs w:val="24"/>
          <w:highlight w:val="none"/>
          <w:lang w:val="en-US" w:eastAsia="zh-CN" w:bidi="ar-SA"/>
        </w:rPr>
        <w:t>，从业人员</w:t>
      </w:r>
      <w:r>
        <w:rPr>
          <w:rFonts w:hint="eastAsia" w:ascii="仿宋" w:hAnsi="仿宋" w:eastAsia="仿宋" w:cs="仿宋"/>
          <w:color w:val="auto"/>
          <w:spacing w:val="-50"/>
          <w:w w:val="95"/>
          <w:kern w:val="2"/>
          <w:sz w:val="24"/>
          <w:szCs w:val="24"/>
          <w:highlight w:val="none"/>
          <w:u w:val="single"/>
          <w:lang w:val="en-US" w:eastAsia="zh-CN" w:bidi="ar-SA"/>
        </w:rPr>
        <w:tab/>
      </w:r>
      <w:r>
        <w:rPr>
          <w:rFonts w:hint="eastAsia" w:ascii="仿宋" w:hAnsi="仿宋" w:eastAsia="仿宋" w:cs="仿宋"/>
          <w:color w:val="auto"/>
          <w:spacing w:val="5"/>
          <w:kern w:val="2"/>
          <w:sz w:val="24"/>
          <w:szCs w:val="24"/>
          <w:highlight w:val="none"/>
          <w:lang w:val="en-US" w:eastAsia="zh-CN" w:bidi="ar-SA"/>
        </w:rPr>
        <w:t>人，营业收入</w:t>
      </w:r>
      <w:r>
        <w:rPr>
          <w:rFonts w:hint="eastAsia" w:ascii="仿宋" w:hAnsi="仿宋" w:eastAsia="仿宋" w:cs="仿宋"/>
          <w:color w:val="auto"/>
          <w:w w:val="99"/>
          <w:kern w:val="2"/>
          <w:sz w:val="24"/>
          <w:szCs w:val="24"/>
          <w:highlight w:val="none"/>
          <w:lang w:val="en-US" w:eastAsia="zh-CN" w:bidi="ar-SA"/>
        </w:rPr>
        <w:t xml:space="preserve"> </w:t>
      </w:r>
      <w:r>
        <w:rPr>
          <w:rFonts w:hint="eastAsia" w:ascii="仿宋" w:hAnsi="仿宋" w:eastAsia="仿宋" w:cs="仿宋"/>
          <w:color w:val="auto"/>
          <w:w w:val="95"/>
          <w:kern w:val="2"/>
          <w:sz w:val="24"/>
          <w:szCs w:val="24"/>
          <w:highlight w:val="none"/>
          <w:lang w:val="en-US" w:eastAsia="zh-CN" w:bidi="ar-SA"/>
        </w:rPr>
        <w:t>为</w:t>
      </w:r>
      <w:r>
        <w:rPr>
          <w:rFonts w:hint="eastAsia" w:ascii="仿宋" w:hAnsi="仿宋" w:eastAsia="仿宋" w:cs="仿宋"/>
          <w:color w:val="auto"/>
          <w:w w:val="95"/>
          <w:kern w:val="2"/>
          <w:sz w:val="24"/>
          <w:szCs w:val="24"/>
          <w:highlight w:val="none"/>
          <w:u w:val="single"/>
          <w:lang w:val="en-US" w:eastAsia="zh-CN" w:bidi="ar-SA"/>
        </w:rPr>
        <w:tab/>
      </w:r>
      <w:r>
        <w:rPr>
          <w:rFonts w:hint="eastAsia" w:ascii="仿宋" w:hAnsi="仿宋" w:eastAsia="仿宋" w:cs="仿宋"/>
          <w:color w:val="auto"/>
          <w:w w:val="95"/>
          <w:kern w:val="2"/>
          <w:sz w:val="24"/>
          <w:szCs w:val="24"/>
          <w:highlight w:val="none"/>
          <w:lang w:val="en-US" w:eastAsia="zh-CN" w:bidi="ar-SA"/>
        </w:rPr>
        <w:t>万元，资产总额为</w:t>
      </w:r>
      <w:r>
        <w:rPr>
          <w:rFonts w:hint="eastAsia" w:ascii="仿宋" w:hAnsi="仿宋" w:eastAsia="仿宋" w:cs="仿宋"/>
          <w:color w:val="auto"/>
          <w:w w:val="95"/>
          <w:kern w:val="2"/>
          <w:sz w:val="24"/>
          <w:szCs w:val="24"/>
          <w:highlight w:val="none"/>
          <w:u w:val="single"/>
          <w:lang w:val="en-US" w:eastAsia="zh-CN" w:bidi="ar-SA"/>
        </w:rPr>
        <w:tab/>
      </w:r>
      <w:r>
        <w:rPr>
          <w:rFonts w:hint="eastAsia" w:ascii="仿宋" w:hAnsi="仿宋" w:eastAsia="仿宋" w:cs="仿宋"/>
          <w:color w:val="auto"/>
          <w:spacing w:val="5"/>
          <w:w w:val="99"/>
          <w:kern w:val="2"/>
          <w:sz w:val="24"/>
          <w:szCs w:val="24"/>
          <w:highlight w:val="none"/>
          <w:lang w:val="en-US" w:eastAsia="zh-CN" w:bidi="ar-SA"/>
        </w:rPr>
        <w:t>万元</w:t>
      </w:r>
      <w:r>
        <w:rPr>
          <w:rFonts w:hint="eastAsia" w:ascii="仿宋" w:hAnsi="仿宋" w:eastAsia="仿宋" w:cs="仿宋"/>
          <w:color w:val="auto"/>
          <w:spacing w:val="-59"/>
          <w:kern w:val="2"/>
          <w:sz w:val="24"/>
          <w:szCs w:val="24"/>
          <w:highlight w:val="none"/>
          <w:lang w:val="en-US" w:eastAsia="zh-CN" w:bidi="ar-SA"/>
        </w:rPr>
        <w:t>，</w:t>
      </w:r>
      <w:r>
        <w:rPr>
          <w:rFonts w:hint="eastAsia" w:ascii="仿宋" w:hAnsi="仿宋" w:eastAsia="仿宋" w:cs="仿宋"/>
          <w:color w:val="auto"/>
          <w:w w:val="95"/>
          <w:kern w:val="2"/>
          <w:sz w:val="24"/>
          <w:szCs w:val="24"/>
          <w:highlight w:val="none"/>
          <w:lang w:val="en-US" w:eastAsia="zh-CN" w:bidi="ar-SA"/>
        </w:rPr>
        <w:t>属于</w:t>
      </w:r>
      <w:r>
        <w:rPr>
          <w:rFonts w:hint="eastAsia" w:ascii="仿宋" w:hAnsi="仿宋" w:eastAsia="仿宋" w:cs="仿宋"/>
          <w:color w:val="auto"/>
          <w:w w:val="95"/>
          <w:kern w:val="2"/>
          <w:sz w:val="24"/>
          <w:szCs w:val="24"/>
          <w:highlight w:val="none"/>
          <w:u w:val="single"/>
          <w:lang w:val="en-US" w:eastAsia="zh-CN" w:bidi="ar-SA"/>
        </w:rPr>
        <w:t>（中型企业、小型 企业、微型企业）；</w:t>
      </w:r>
    </w:p>
    <w:p>
      <w:pPr>
        <w:widowControl w:val="0"/>
        <w:shd w:val="clear"/>
        <w:kinsoku w:val="0"/>
        <w:overflowPunct w:val="0"/>
        <w:spacing w:before="34" w:line="360" w:lineRule="auto"/>
        <w:ind w:firstLine="456" w:firstLineChars="200"/>
        <w:jc w:val="both"/>
        <w:rPr>
          <w:rFonts w:hint="eastAsia" w:ascii="仿宋" w:hAnsi="仿宋" w:eastAsia="仿宋" w:cs="仿宋"/>
          <w:color w:val="auto"/>
          <w:w w:val="95"/>
          <w:kern w:val="2"/>
          <w:sz w:val="24"/>
          <w:szCs w:val="24"/>
          <w:highlight w:val="none"/>
          <w:lang w:val="en-US" w:eastAsia="zh-CN" w:bidi="ar-SA"/>
        </w:rPr>
      </w:pPr>
      <w:r>
        <w:rPr>
          <w:rFonts w:hint="eastAsia" w:ascii="仿宋" w:hAnsi="仿宋" w:eastAsia="仿宋" w:cs="仿宋"/>
          <w:color w:val="auto"/>
          <w:w w:val="95"/>
          <w:kern w:val="2"/>
          <w:sz w:val="24"/>
          <w:szCs w:val="24"/>
          <w:highlight w:val="none"/>
          <w:lang w:val="en-US" w:eastAsia="zh-CN" w:bidi="ar-SA"/>
        </w:rPr>
        <w:t xml:space="preserve">…… </w:t>
      </w:r>
    </w:p>
    <w:p>
      <w:pPr>
        <w:widowControl w:val="0"/>
        <w:shd w:val="clear"/>
        <w:kinsoku w:val="0"/>
        <w:overflowPunct w:val="0"/>
        <w:spacing w:before="34" w:line="360" w:lineRule="auto"/>
        <w:ind w:firstLine="456" w:firstLineChars="200"/>
        <w:jc w:val="both"/>
        <w:rPr>
          <w:rFonts w:hint="eastAsia" w:ascii="仿宋" w:hAnsi="仿宋" w:eastAsia="仿宋" w:cs="仿宋"/>
          <w:color w:val="auto"/>
          <w:w w:val="95"/>
          <w:kern w:val="2"/>
          <w:sz w:val="24"/>
          <w:szCs w:val="24"/>
          <w:highlight w:val="none"/>
          <w:lang w:val="en-US" w:eastAsia="zh-CN" w:bidi="ar-SA"/>
        </w:rPr>
      </w:pPr>
      <w:r>
        <w:rPr>
          <w:rFonts w:hint="eastAsia" w:ascii="仿宋" w:hAnsi="仿宋" w:eastAsia="仿宋" w:cs="仿宋"/>
          <w:color w:val="auto"/>
          <w:w w:val="95"/>
          <w:kern w:val="2"/>
          <w:sz w:val="24"/>
          <w:szCs w:val="24"/>
          <w:highlight w:val="none"/>
          <w:lang w:val="en-US" w:eastAsia="zh-CN" w:bidi="ar-SA"/>
        </w:rPr>
        <w:t>以上企业，不属于大企业的分支机构，不存在控股股东为大企业的情形，也不存在与大企业的负责人为同一人的情形。</w:t>
      </w:r>
    </w:p>
    <w:p>
      <w:pPr>
        <w:widowControl w:val="0"/>
        <w:shd w:val="clear"/>
        <w:kinsoku w:val="0"/>
        <w:overflowPunct w:val="0"/>
        <w:spacing w:before="34" w:line="360" w:lineRule="auto"/>
        <w:ind w:firstLine="456" w:firstLineChars="200"/>
        <w:jc w:val="both"/>
        <w:rPr>
          <w:rFonts w:hint="eastAsia" w:ascii="仿宋" w:hAnsi="仿宋" w:eastAsia="仿宋" w:cs="仿宋"/>
          <w:color w:val="auto"/>
          <w:w w:val="95"/>
          <w:kern w:val="2"/>
          <w:sz w:val="24"/>
          <w:szCs w:val="24"/>
          <w:highlight w:val="none"/>
          <w:lang w:val="en-US" w:eastAsia="zh-CN" w:bidi="ar-SA"/>
        </w:rPr>
      </w:pPr>
      <w:r>
        <w:rPr>
          <w:rFonts w:hint="eastAsia" w:ascii="仿宋" w:hAnsi="仿宋" w:eastAsia="仿宋" w:cs="仿宋"/>
          <w:color w:val="auto"/>
          <w:w w:val="95"/>
          <w:kern w:val="2"/>
          <w:sz w:val="24"/>
          <w:szCs w:val="24"/>
          <w:highlight w:val="none"/>
          <w:lang w:val="en-US" w:eastAsia="zh-CN" w:bidi="ar-SA"/>
        </w:rPr>
        <w:t>本企业对上述声明内容的真实性负责。如有虚假，将依法承担相应责任。</w:t>
      </w:r>
    </w:p>
    <w:p>
      <w:pPr>
        <w:keepLines w:val="0"/>
        <w:shd w:val="clear"/>
        <w:kinsoku/>
        <w:wordWrap/>
        <w:overflowPunct/>
        <w:bidi w:val="0"/>
        <w:spacing w:line="360" w:lineRule="auto"/>
        <w:ind w:firstLine="3024" w:firstLineChars="1200"/>
        <w:rPr>
          <w:rFonts w:hint="eastAsia" w:ascii="仿宋" w:hAnsi="仿宋" w:eastAsia="仿宋" w:cs="仿宋"/>
          <w:color w:val="auto"/>
          <w:spacing w:val="6"/>
          <w:sz w:val="24"/>
          <w:szCs w:val="24"/>
          <w:highlight w:val="none"/>
        </w:rPr>
      </w:pPr>
    </w:p>
    <w:p>
      <w:pPr>
        <w:keepLines w:val="0"/>
        <w:shd w:val="clear"/>
        <w:kinsoku/>
        <w:wordWrap/>
        <w:overflowPunct/>
        <w:bidi w:val="0"/>
        <w:spacing w:line="360" w:lineRule="auto"/>
        <w:ind w:firstLine="3024" w:firstLineChars="1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企业名称（盖章）：</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 xml:space="preserve"> </w:t>
      </w:r>
    </w:p>
    <w:p>
      <w:pPr>
        <w:keepLines w:val="0"/>
        <w:shd w:val="clear"/>
        <w:kinsoku/>
        <w:wordWrap/>
        <w:overflowPunct/>
        <w:bidi w:val="0"/>
        <w:spacing w:line="360" w:lineRule="auto"/>
        <w:ind w:firstLine="3024" w:firstLineChars="1200"/>
        <w:rPr>
          <w:rFonts w:hint="eastAsia" w:ascii="仿宋" w:hAnsi="仿宋" w:eastAsia="仿宋" w:cs="仿宋"/>
          <w:color w:val="auto"/>
          <w:spacing w:val="6"/>
          <w:sz w:val="24"/>
          <w:szCs w:val="24"/>
          <w:highlight w:val="none"/>
          <w:u w:val="single"/>
        </w:rPr>
      </w:pPr>
      <w:r>
        <w:rPr>
          <w:rFonts w:hint="eastAsia" w:ascii="仿宋" w:hAnsi="仿宋" w:eastAsia="仿宋" w:cs="仿宋"/>
          <w:color w:val="auto"/>
          <w:spacing w:val="6"/>
          <w:sz w:val="24"/>
          <w:szCs w:val="24"/>
          <w:highlight w:val="none"/>
        </w:rPr>
        <w:t xml:space="preserve">日 </w:t>
      </w:r>
      <w:r>
        <w:rPr>
          <w:rFonts w:hint="eastAsia" w:ascii="仿宋" w:hAnsi="仿宋" w:eastAsia="仿宋" w:cs="仿宋"/>
          <w:color w:val="auto"/>
          <w:spacing w:val="6"/>
          <w:sz w:val="24"/>
          <w:szCs w:val="24"/>
          <w:highlight w:val="none"/>
          <w:lang w:val="en-US" w:eastAsia="zh-CN"/>
        </w:rPr>
        <w:t xml:space="preserve">   </w:t>
      </w:r>
      <w:r>
        <w:rPr>
          <w:rFonts w:hint="eastAsia" w:ascii="仿宋" w:hAnsi="仿宋" w:eastAsia="仿宋" w:cs="仿宋"/>
          <w:color w:val="auto"/>
          <w:spacing w:val="6"/>
          <w:sz w:val="24"/>
          <w:szCs w:val="24"/>
          <w:highlight w:val="none"/>
        </w:rPr>
        <w:t>期：</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 xml:space="preserve">          </w:t>
      </w:r>
    </w:p>
    <w:p>
      <w:pPr>
        <w:shd w:val="clea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p>
    <w:p>
      <w:pPr>
        <w:shd w:val="clea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从业人员、营业收入、资产总额填报上一年度数据，无上一年度数据的新成立企业可不填报。</w:t>
      </w:r>
    </w:p>
    <w:p>
      <w:pPr>
        <w:keepLines w:val="0"/>
        <w:pageBreakBefore/>
        <w:shd w:val="clear"/>
        <w:wordWrap/>
        <w:bidi w:val="0"/>
        <w:spacing w:line="360" w:lineRule="auto"/>
        <w:ind w:firstLine="482" w:firstLineChars="200"/>
        <w:rPr>
          <w:rFonts w:hint="eastAsia" w:ascii="仿宋" w:hAnsi="仿宋" w:eastAsia="仿宋" w:cs="仿宋"/>
          <w:b/>
          <w:color w:val="auto"/>
          <w:spacing w:val="6"/>
          <w:sz w:val="24"/>
          <w:szCs w:val="24"/>
          <w:highlight w:val="none"/>
        </w:rPr>
      </w:pPr>
      <w:r>
        <w:rPr>
          <w:rFonts w:hint="eastAsia" w:ascii="仿宋" w:hAnsi="仿宋" w:eastAsia="仿宋" w:cs="仿宋"/>
          <w:b/>
          <w:color w:val="auto"/>
          <w:sz w:val="24"/>
          <w:szCs w:val="24"/>
          <w:highlight w:val="none"/>
        </w:rPr>
        <w:t>附件2：</w:t>
      </w:r>
    </w:p>
    <w:p>
      <w:pPr>
        <w:keepLines w:val="0"/>
        <w:shd w:val="clear"/>
        <w:wordWrap/>
        <w:bidi w:val="0"/>
        <w:spacing w:line="360" w:lineRule="auto"/>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残疾人福利性单位声明函</w:t>
      </w:r>
    </w:p>
    <w:p>
      <w:pPr>
        <w:keepLines w:val="0"/>
        <w:shd w:val="clear"/>
        <w:wordWrap/>
        <w:bidi w:val="0"/>
        <w:spacing w:line="360" w:lineRule="auto"/>
        <w:ind w:firstLine="504" w:firstLineChars="200"/>
        <w:outlineLvl w:val="9"/>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keepLines w:val="0"/>
        <w:shd w:val="clear"/>
        <w:wordWrap/>
        <w:bidi w:val="0"/>
        <w:spacing w:line="360" w:lineRule="auto"/>
        <w:ind w:firstLine="504" w:firstLineChars="200"/>
        <w:outlineLvl w:val="9"/>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pPr>
        <w:keepLines w:val="0"/>
        <w:shd w:val="clear"/>
        <w:wordWrap/>
        <w:bidi w:val="0"/>
        <w:spacing w:line="360" w:lineRule="auto"/>
        <w:ind w:firstLine="504" w:firstLineChars="200"/>
        <w:outlineLvl w:val="9"/>
        <w:rPr>
          <w:rFonts w:hint="eastAsia" w:ascii="仿宋" w:hAnsi="仿宋" w:eastAsia="仿宋" w:cs="仿宋"/>
          <w:color w:val="auto"/>
          <w:spacing w:val="6"/>
          <w:sz w:val="24"/>
          <w:szCs w:val="24"/>
          <w:highlight w:val="none"/>
        </w:rPr>
      </w:pPr>
    </w:p>
    <w:p>
      <w:pPr>
        <w:keepLines w:val="0"/>
        <w:shd w:val="clear"/>
        <w:wordWrap/>
        <w:bidi w:val="0"/>
        <w:spacing w:line="360" w:lineRule="auto"/>
        <w:ind w:firstLine="3840" w:firstLineChars="16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r>
        <w:rPr>
          <w:rFonts w:hint="eastAsia" w:ascii="仿宋" w:hAnsi="仿宋" w:eastAsia="仿宋" w:cs="仿宋"/>
          <w:color w:val="auto"/>
          <w:sz w:val="24"/>
          <w:szCs w:val="24"/>
          <w:highlight w:val="none"/>
          <w:u w:val="single"/>
        </w:rPr>
        <w:t xml:space="preserve">                              </w:t>
      </w:r>
    </w:p>
    <w:p>
      <w:pPr>
        <w:keepLines w:val="0"/>
        <w:shd w:val="clear"/>
        <w:wordWrap/>
        <w:bidi w:val="0"/>
        <w:spacing w:line="360" w:lineRule="auto"/>
        <w:ind w:firstLine="3840" w:firstLineChars="16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keepLines w:val="0"/>
        <w:shd w:val="clear"/>
        <w:wordWrap/>
        <w:autoSpaceDE w:val="0"/>
        <w:autoSpaceDN w:val="0"/>
        <w:bidi w:val="0"/>
        <w:adjustRightInd w:val="0"/>
        <w:snapToGrid w:val="0"/>
        <w:spacing w:line="360" w:lineRule="auto"/>
        <w:ind w:firstLine="3840" w:firstLineChars="16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keepLines w:val="0"/>
        <w:shd w:val="clear"/>
        <w:wordWrap/>
        <w:bidi w:val="0"/>
        <w:adjustRightInd w:val="0"/>
        <w:snapToGrid w:val="0"/>
        <w:spacing w:line="360" w:lineRule="auto"/>
        <w:outlineLvl w:val="9"/>
        <w:rPr>
          <w:rFonts w:hint="eastAsia" w:ascii="仿宋" w:hAnsi="仿宋" w:eastAsia="仿宋" w:cs="仿宋"/>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val="0"/>
        <w:snapToGrid w:val="0"/>
        <w:spacing w:line="360" w:lineRule="auto"/>
        <w:jc w:val="both"/>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说明：</w:t>
      </w:r>
      <w:r>
        <w:rPr>
          <w:rFonts w:hint="eastAsia" w:ascii="仿宋" w:hAnsi="仿宋" w:eastAsia="仿宋" w:cs="仿宋"/>
          <w:bCs/>
          <w:color w:val="auto"/>
          <w:sz w:val="24"/>
          <w:szCs w:val="24"/>
          <w:highlight w:val="none"/>
        </w:rPr>
        <w:t>未按上述要求提供、</w:t>
      </w:r>
      <w:r>
        <w:rPr>
          <w:rFonts w:hint="eastAsia" w:ascii="仿宋" w:hAnsi="仿宋" w:eastAsia="仿宋" w:cs="仿宋"/>
          <w:color w:val="auto"/>
          <w:sz w:val="24"/>
          <w:szCs w:val="24"/>
          <w:highlight w:val="none"/>
        </w:rPr>
        <w:t>填写</w:t>
      </w:r>
      <w:r>
        <w:rPr>
          <w:rFonts w:hint="eastAsia" w:ascii="仿宋" w:hAnsi="仿宋" w:eastAsia="仿宋" w:cs="仿宋"/>
          <w:bCs/>
          <w:color w:val="auto"/>
          <w:sz w:val="24"/>
          <w:szCs w:val="24"/>
          <w:highlight w:val="none"/>
        </w:rPr>
        <w:t>的，评审时不予以考虑。</w:t>
      </w:r>
    </w:p>
    <w:p>
      <w:pPr>
        <w:pStyle w:val="9"/>
        <w:keepNext w:val="0"/>
        <w:pageBreakBefore/>
        <w:shd w:val="clear"/>
        <w:spacing w:line="360" w:lineRule="auto"/>
        <w:rPr>
          <w:rFonts w:hint="eastAsia" w:ascii="仿宋" w:hAnsi="仿宋" w:eastAsia="仿宋" w:cs="仿宋"/>
          <w:color w:val="auto"/>
          <w:szCs w:val="44"/>
          <w:highlight w:val="none"/>
          <w:lang w:val="zh-CN"/>
        </w:rPr>
      </w:pPr>
      <w:bookmarkStart w:id="379" w:name="_Toc24985"/>
      <w:r>
        <w:rPr>
          <w:rFonts w:hint="eastAsia" w:ascii="仿宋" w:hAnsi="仿宋" w:eastAsia="仿宋" w:cs="仿宋"/>
          <w:color w:val="auto"/>
          <w:sz w:val="32"/>
          <w:szCs w:val="32"/>
          <w:highlight w:val="none"/>
          <w:lang w:val="zh-CN"/>
        </w:rPr>
        <w:t>五、合同主要条款偏离表</w:t>
      </w:r>
      <w:bookmarkEnd w:id="346"/>
      <w:bookmarkEnd w:id="347"/>
      <w:bookmarkEnd w:id="348"/>
      <w:bookmarkEnd w:id="349"/>
      <w:bookmarkEnd w:id="351"/>
      <w:bookmarkEnd w:id="352"/>
      <w:bookmarkEnd w:id="353"/>
      <w:bookmarkEnd w:id="354"/>
      <w:bookmarkEnd w:id="355"/>
      <w:bookmarkEnd w:id="356"/>
      <w:bookmarkEnd w:id="357"/>
      <w:bookmarkEnd w:id="379"/>
    </w:p>
    <w:p>
      <w:pPr>
        <w:shd w:val="clea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kern w:val="0"/>
          <w:sz w:val="24"/>
          <w:szCs w:val="24"/>
          <w:highlight w:val="none"/>
        </w:rPr>
        <w:t xml:space="preserve">项目编号：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80"/>
        <w:gridCol w:w="2341"/>
        <w:gridCol w:w="2678"/>
        <w:gridCol w:w="840"/>
        <w:gridCol w:w="1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2" w:type="dxa"/>
            <w:noWrap w:val="0"/>
            <w:vAlign w:val="center"/>
          </w:tcPr>
          <w:p>
            <w:pPr>
              <w:shd w:val="clea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380" w:type="dxa"/>
            <w:noWrap w:val="0"/>
            <w:vAlign w:val="center"/>
          </w:tcPr>
          <w:p>
            <w:pPr>
              <w:shd w:val="clea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文件</w:t>
            </w:r>
          </w:p>
          <w:p>
            <w:pPr>
              <w:shd w:val="clea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条目号</w:t>
            </w:r>
          </w:p>
        </w:tc>
        <w:tc>
          <w:tcPr>
            <w:tcW w:w="2341" w:type="dxa"/>
            <w:noWrap w:val="0"/>
            <w:vAlign w:val="center"/>
          </w:tcPr>
          <w:p>
            <w:pPr>
              <w:shd w:val="clea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招标文件</w:t>
            </w:r>
          </w:p>
          <w:p>
            <w:pPr>
              <w:shd w:val="clea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合同主要条款</w:t>
            </w:r>
          </w:p>
          <w:p>
            <w:pPr>
              <w:shd w:val="clea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要求</w:t>
            </w:r>
          </w:p>
        </w:tc>
        <w:tc>
          <w:tcPr>
            <w:tcW w:w="2678" w:type="dxa"/>
            <w:noWrap w:val="0"/>
            <w:vAlign w:val="center"/>
          </w:tcPr>
          <w:p>
            <w:pPr>
              <w:shd w:val="clea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pPr>
              <w:shd w:val="clea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合同主要条款</w:t>
            </w:r>
          </w:p>
          <w:p>
            <w:pPr>
              <w:shd w:val="clea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响应</w:t>
            </w:r>
          </w:p>
        </w:tc>
        <w:tc>
          <w:tcPr>
            <w:tcW w:w="840" w:type="dxa"/>
            <w:noWrap w:val="0"/>
            <w:vAlign w:val="center"/>
          </w:tcPr>
          <w:p>
            <w:pPr>
              <w:shd w:val="clea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偏离</w:t>
            </w:r>
          </w:p>
        </w:tc>
        <w:tc>
          <w:tcPr>
            <w:tcW w:w="1731" w:type="dxa"/>
            <w:noWrap w:val="0"/>
            <w:vAlign w:val="center"/>
          </w:tcPr>
          <w:p>
            <w:pPr>
              <w:shd w:val="clea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偏离</w:t>
            </w:r>
          </w:p>
          <w:p>
            <w:pPr>
              <w:shd w:val="clear"/>
              <w:adjustRightInd w:val="0"/>
              <w:snapToGrid w:val="0"/>
              <w:spacing w:line="360" w:lineRule="auto"/>
              <w:ind w:right="23"/>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c>
          <w:tcPr>
            <w:tcW w:w="1380"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c>
          <w:tcPr>
            <w:tcW w:w="2341"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c>
          <w:tcPr>
            <w:tcW w:w="2678"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c>
          <w:tcPr>
            <w:tcW w:w="840"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c>
          <w:tcPr>
            <w:tcW w:w="1731"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c>
          <w:tcPr>
            <w:tcW w:w="1380"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c>
          <w:tcPr>
            <w:tcW w:w="2341"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c>
          <w:tcPr>
            <w:tcW w:w="2678"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c>
          <w:tcPr>
            <w:tcW w:w="840"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c>
          <w:tcPr>
            <w:tcW w:w="1731"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c>
          <w:tcPr>
            <w:tcW w:w="1380"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c>
          <w:tcPr>
            <w:tcW w:w="2341"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c>
          <w:tcPr>
            <w:tcW w:w="2678"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c>
          <w:tcPr>
            <w:tcW w:w="840"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c>
          <w:tcPr>
            <w:tcW w:w="1731"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c>
          <w:tcPr>
            <w:tcW w:w="1380"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c>
          <w:tcPr>
            <w:tcW w:w="2341"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c>
          <w:tcPr>
            <w:tcW w:w="2678"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c>
          <w:tcPr>
            <w:tcW w:w="840"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c>
          <w:tcPr>
            <w:tcW w:w="1731"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c>
          <w:tcPr>
            <w:tcW w:w="1380"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c>
          <w:tcPr>
            <w:tcW w:w="2341"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c>
          <w:tcPr>
            <w:tcW w:w="2678"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c>
          <w:tcPr>
            <w:tcW w:w="840"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c>
          <w:tcPr>
            <w:tcW w:w="1731" w:type="dxa"/>
            <w:noWrap w:val="0"/>
            <w:vAlign w:val="top"/>
          </w:tcPr>
          <w:p>
            <w:pPr>
              <w:shd w:val="clear"/>
              <w:adjustRightInd w:val="0"/>
              <w:snapToGrid w:val="0"/>
              <w:spacing w:line="360" w:lineRule="auto"/>
              <w:ind w:right="24"/>
              <w:rPr>
                <w:rFonts w:hint="eastAsia" w:ascii="仿宋" w:hAnsi="仿宋" w:eastAsia="仿宋" w:cs="仿宋"/>
                <w:bCs/>
                <w:color w:val="auto"/>
                <w:sz w:val="24"/>
                <w:szCs w:val="24"/>
                <w:highlight w:val="none"/>
              </w:rPr>
            </w:pPr>
          </w:p>
        </w:tc>
      </w:tr>
    </w:tbl>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pPr>
        <w:numPr>
          <w:ilvl w:val="0"/>
          <w:numId w:val="2"/>
        </w:num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本表只填写投标文件中与招标文件有偏离（包括负偏离和正偏离）的内容，在投标文件中须一一列出，无偏离时须提供空白表。</w:t>
      </w:r>
    </w:p>
    <w:p>
      <w:pPr>
        <w:numPr>
          <w:ilvl w:val="0"/>
          <w:numId w:val="2"/>
        </w:num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必须据实填写，不得虚假响应，否则将取消其投标或中标资格，并按有关规定进处罚。</w:t>
      </w:r>
    </w:p>
    <w:p>
      <w:pPr>
        <w:shd w:val="clear"/>
        <w:spacing w:line="360" w:lineRule="auto"/>
        <w:ind w:firstLine="480" w:firstLineChars="200"/>
        <w:rPr>
          <w:rFonts w:hint="eastAsia" w:ascii="仿宋" w:hAnsi="仿宋" w:eastAsia="仿宋" w:cs="仿宋"/>
          <w:color w:val="auto"/>
          <w:sz w:val="24"/>
          <w:szCs w:val="24"/>
          <w:highlight w:val="none"/>
        </w:rPr>
      </w:pPr>
    </w:p>
    <w:p>
      <w:pPr>
        <w:shd w:val="clear"/>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hd w:val="clea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shd w:val="clear"/>
        <w:autoSpaceDE w:val="0"/>
        <w:autoSpaceDN w:val="0"/>
        <w:adjustRightInd w:val="0"/>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bookmarkStart w:id="380" w:name="_Toc473056006"/>
      <w:bookmarkStart w:id="381" w:name="_Toc475451803"/>
      <w:bookmarkStart w:id="382" w:name="_Toc475451556"/>
    </w:p>
    <w:p>
      <w:pPr>
        <w:pStyle w:val="9"/>
        <w:keepNext w:val="0"/>
        <w:pageBreakBefore/>
        <w:shd w:val="clear"/>
        <w:adjustRightInd w:val="0"/>
        <w:spacing w:line="416" w:lineRule="atLeast"/>
        <w:textAlignment w:val="baseline"/>
        <w:rPr>
          <w:rFonts w:hint="eastAsia" w:ascii="仿宋" w:hAnsi="仿宋" w:eastAsia="仿宋" w:cs="仿宋"/>
          <w:color w:val="auto"/>
          <w:sz w:val="24"/>
          <w:szCs w:val="24"/>
          <w:highlight w:val="none"/>
          <w:lang w:val="zh-CN"/>
        </w:rPr>
        <w:sectPr>
          <w:footerReference r:id="rId10" w:type="default"/>
          <w:headerReference r:id="rId9" w:type="even"/>
          <w:pgSz w:w="11906" w:h="16838"/>
          <w:pgMar w:top="1417" w:right="1701" w:bottom="1417" w:left="1701" w:header="851" w:footer="992" w:gutter="0"/>
          <w:pgBorders>
            <w:top w:val="none" w:sz="0" w:space="0"/>
            <w:left w:val="none" w:sz="0" w:space="0"/>
            <w:bottom w:val="none" w:sz="0" w:space="0"/>
            <w:right w:val="none" w:sz="0" w:space="0"/>
          </w:pgBorders>
          <w:pgNumType w:fmt="decimal"/>
          <w:cols w:space="720" w:num="1"/>
          <w:docGrid w:linePitch="312" w:charSpace="0"/>
        </w:sectPr>
      </w:pPr>
      <w:bookmarkStart w:id="383" w:name="_Toc11930"/>
    </w:p>
    <w:p>
      <w:pPr>
        <w:pageBreakBefore/>
        <w:shd w:val="clear"/>
        <w:adjustRightInd w:val="0"/>
        <w:snapToGrid w:val="0"/>
        <w:spacing w:line="360" w:lineRule="auto"/>
        <w:jc w:val="center"/>
        <w:outlineLvl w:val="1"/>
        <w:rPr>
          <w:rStyle w:val="33"/>
          <w:rFonts w:hint="eastAsia" w:ascii="仿宋" w:hAnsi="仿宋" w:eastAsia="仿宋" w:cs="仿宋"/>
          <w:color w:val="auto"/>
          <w:sz w:val="32"/>
          <w:szCs w:val="21"/>
          <w:highlight w:val="none"/>
          <w:lang w:eastAsia="zh-CN"/>
        </w:rPr>
      </w:pPr>
      <w:bookmarkStart w:id="384" w:name="_Toc11729"/>
      <w:bookmarkStart w:id="385" w:name="_Toc18259"/>
      <w:bookmarkStart w:id="386" w:name="_Toc24781"/>
      <w:bookmarkStart w:id="387" w:name="_Toc759"/>
      <w:bookmarkStart w:id="388" w:name="_Toc26846"/>
      <w:bookmarkStart w:id="389" w:name="_Toc3524"/>
      <w:bookmarkStart w:id="390" w:name="_Toc30778"/>
      <w:bookmarkStart w:id="391" w:name="_Toc8757"/>
      <w:bookmarkStart w:id="392" w:name="_Toc12016"/>
      <w:bookmarkStart w:id="393" w:name="_Toc27892"/>
      <w:bookmarkStart w:id="394" w:name="_Toc2566"/>
      <w:bookmarkStart w:id="395" w:name="_Toc1307"/>
      <w:bookmarkStart w:id="396" w:name="_Toc32190"/>
      <w:bookmarkStart w:id="397" w:name="_Toc25362"/>
      <w:bookmarkStart w:id="398" w:name="_Toc20878"/>
      <w:bookmarkStart w:id="399" w:name="_Toc31736"/>
      <w:bookmarkStart w:id="400" w:name="_Toc2298"/>
      <w:bookmarkStart w:id="401" w:name="_Toc17397"/>
      <w:bookmarkStart w:id="402" w:name="_Toc15409"/>
      <w:bookmarkStart w:id="403" w:name="_Toc15517"/>
      <w:bookmarkStart w:id="404" w:name="_Toc16548"/>
      <w:bookmarkStart w:id="405" w:name="_Toc21290"/>
      <w:bookmarkStart w:id="406" w:name="_Toc18203"/>
      <w:bookmarkStart w:id="407" w:name="_Toc26424"/>
      <w:r>
        <w:rPr>
          <w:rStyle w:val="33"/>
          <w:rFonts w:hint="eastAsia" w:ascii="仿宋" w:hAnsi="仿宋" w:eastAsia="仿宋" w:cs="仿宋"/>
          <w:color w:val="auto"/>
          <w:sz w:val="32"/>
          <w:szCs w:val="21"/>
          <w:highlight w:val="none"/>
          <w:lang w:eastAsia="zh-CN"/>
        </w:rPr>
        <w:t>六</w:t>
      </w:r>
      <w:r>
        <w:rPr>
          <w:rStyle w:val="33"/>
          <w:rFonts w:hint="eastAsia" w:ascii="仿宋" w:hAnsi="仿宋" w:eastAsia="仿宋" w:cs="仿宋"/>
          <w:color w:val="auto"/>
          <w:sz w:val="32"/>
          <w:szCs w:val="21"/>
          <w:highlight w:val="none"/>
        </w:rPr>
        <w:t>、节能环保、环境标志产品明细表</w:t>
      </w:r>
      <w:bookmarkEnd w:id="384"/>
      <w:bookmarkEnd w:id="385"/>
      <w:bookmarkEnd w:id="386"/>
      <w:r>
        <w:rPr>
          <w:rStyle w:val="33"/>
          <w:rFonts w:hint="eastAsia" w:ascii="仿宋" w:hAnsi="仿宋" w:eastAsia="仿宋" w:cs="仿宋"/>
          <w:color w:val="auto"/>
          <w:sz w:val="32"/>
          <w:szCs w:val="21"/>
          <w:highlight w:val="none"/>
          <w:lang w:eastAsia="zh-CN"/>
        </w:rPr>
        <w:t>（若有）</w:t>
      </w:r>
      <w:bookmarkEnd w:id="387"/>
    </w:p>
    <w:p>
      <w:pPr>
        <w:shd w:val="clear"/>
        <w:spacing w:line="360" w:lineRule="auto"/>
        <w:ind w:right="-197" w:rightChars="-94"/>
        <w:rPr>
          <w:rFonts w:hint="eastAsia" w:ascii="仿宋" w:hAnsi="仿宋" w:eastAsia="仿宋" w:cs="仿宋"/>
          <w:b/>
          <w:bCs/>
          <w:color w:val="auto"/>
          <w:sz w:val="24"/>
          <w:szCs w:val="24"/>
          <w:highlight w:val="none"/>
          <w:lang w:val="en-US" w:eastAsia="zh-CN"/>
        </w:rPr>
      </w:pPr>
      <w:r>
        <w:rPr>
          <w:rFonts w:hint="eastAsia" w:ascii="仿宋" w:hAnsi="仿宋" w:eastAsia="仿宋" w:cs="仿宋"/>
          <w:bCs/>
          <w:color w:val="auto"/>
          <w:kern w:val="0"/>
          <w:sz w:val="24"/>
          <w:szCs w:val="24"/>
          <w:highlight w:val="none"/>
        </w:rPr>
        <w:t xml:space="preserve">项目编号：                                            </w:t>
      </w:r>
    </w:p>
    <w:tbl>
      <w:tblPr>
        <w:tblStyle w:val="21"/>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序</w:t>
            </w:r>
          </w:p>
          <w:p>
            <w:pPr>
              <w:shd w:val="clear"/>
              <w:autoSpaceDE w:val="0"/>
              <w:autoSpaceDN w:val="0"/>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zh-CN"/>
              </w:rPr>
              <w:t>号</w:t>
            </w:r>
          </w:p>
        </w:tc>
        <w:tc>
          <w:tcPr>
            <w:tcW w:w="1554" w:type="dxa"/>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产品</w:t>
            </w:r>
          </w:p>
          <w:p>
            <w:pPr>
              <w:shd w:val="clear"/>
              <w:autoSpaceDE w:val="0"/>
              <w:autoSpaceDN w:val="0"/>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zh-CN"/>
              </w:rPr>
              <w:t>名称</w:t>
            </w:r>
          </w:p>
        </w:tc>
        <w:tc>
          <w:tcPr>
            <w:tcW w:w="1036" w:type="dxa"/>
            <w:tcBorders>
              <w:top w:val="single" w:color="auto" w:sz="6" w:space="0"/>
              <w:left w:val="single" w:color="auto" w:sz="6" w:space="0"/>
              <w:bottom w:val="single" w:color="auto" w:sz="6" w:space="0"/>
              <w:right w:val="single" w:color="auto" w:sz="4" w:space="0"/>
            </w:tcBorders>
            <w:noWrap w:val="0"/>
            <w:vAlign w:val="center"/>
          </w:tcPr>
          <w:p>
            <w:pPr>
              <w:shd w:val="clear"/>
              <w:autoSpaceDE w:val="0"/>
              <w:autoSpaceDN w:val="0"/>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制造</w:t>
            </w:r>
          </w:p>
          <w:p>
            <w:pPr>
              <w:shd w:val="clear"/>
              <w:autoSpaceDE w:val="0"/>
              <w:autoSpaceDN w:val="0"/>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厂家</w:t>
            </w:r>
          </w:p>
        </w:tc>
        <w:tc>
          <w:tcPr>
            <w:tcW w:w="1036" w:type="dxa"/>
            <w:tcBorders>
              <w:top w:val="single" w:color="auto" w:sz="6" w:space="0"/>
              <w:left w:val="single" w:color="auto" w:sz="4" w:space="0"/>
              <w:bottom w:val="single" w:color="auto" w:sz="6" w:space="0"/>
              <w:right w:val="single" w:color="auto" w:sz="6" w:space="0"/>
            </w:tcBorders>
            <w:noWrap w:val="0"/>
            <w:vAlign w:val="center"/>
          </w:tcPr>
          <w:p>
            <w:pPr>
              <w:shd w:val="clear"/>
              <w:autoSpaceDE w:val="0"/>
              <w:autoSpaceDN w:val="0"/>
              <w:adjustRightInd w:val="0"/>
              <w:snapToGrid w:val="0"/>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规格</w:t>
            </w:r>
          </w:p>
          <w:p>
            <w:pPr>
              <w:shd w:val="clear"/>
              <w:autoSpaceDE w:val="0"/>
              <w:autoSpaceDN w:val="0"/>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zh-CN"/>
              </w:rPr>
              <w:t>型号</w:t>
            </w: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类</w:t>
            </w:r>
          </w:p>
          <w:p>
            <w:pPr>
              <w:shd w:val="clear"/>
              <w:autoSpaceDE w:val="0"/>
              <w:autoSpaceDN w:val="0"/>
              <w:adjustRightInd w:val="0"/>
              <w:snapToGrid w:val="0"/>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别</w:t>
            </w:r>
          </w:p>
        </w:tc>
        <w:tc>
          <w:tcPr>
            <w:tcW w:w="1676" w:type="dxa"/>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认证证书</w:t>
            </w:r>
          </w:p>
          <w:p>
            <w:pPr>
              <w:shd w:val="clear"/>
              <w:autoSpaceDE w:val="0"/>
              <w:autoSpaceDN w:val="0"/>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zh-CN"/>
              </w:rPr>
              <w:t>编号</w:t>
            </w: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数</w:t>
            </w:r>
          </w:p>
          <w:p>
            <w:pPr>
              <w:shd w:val="clear"/>
              <w:autoSpaceDE w:val="0"/>
              <w:autoSpaceDN w:val="0"/>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zh-CN"/>
              </w:rPr>
              <w:t>量</w:t>
            </w: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单</w:t>
            </w:r>
          </w:p>
          <w:p>
            <w:pPr>
              <w:shd w:val="clear"/>
              <w:autoSpaceDE w:val="0"/>
              <w:autoSpaceDN w:val="0"/>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zh-CN"/>
              </w:rPr>
              <w:t>价</w:t>
            </w:r>
          </w:p>
        </w:tc>
        <w:tc>
          <w:tcPr>
            <w:tcW w:w="716" w:type="dxa"/>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总</w:t>
            </w:r>
          </w:p>
          <w:p>
            <w:pPr>
              <w:shd w:val="clear"/>
              <w:autoSpaceDE w:val="0"/>
              <w:autoSpaceDN w:val="0"/>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zh-CN"/>
              </w:rPr>
              <w:t>价</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167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pPr>
              <w:shd w:val="clear"/>
              <w:autoSpaceDE w:val="0"/>
              <w:autoSpaceDN w:val="0"/>
              <w:adjustRightInd w:val="0"/>
              <w:snapToGrid w:val="0"/>
              <w:spacing w:line="360" w:lineRule="auto"/>
              <w:rPr>
                <w:rFonts w:hint="eastAsia" w:ascii="仿宋" w:hAnsi="仿宋" w:eastAsia="仿宋" w:cs="仿宋"/>
                <w:color w:val="auto"/>
                <w:sz w:val="22"/>
                <w:szCs w:val="22"/>
                <w:highlight w:val="none"/>
              </w:rPr>
            </w:pPr>
          </w:p>
        </w:tc>
      </w:tr>
      <w:tr>
        <w:tblPrEx>
          <w:tblCellMar>
            <w:top w:w="0" w:type="dxa"/>
            <w:left w:w="108" w:type="dxa"/>
            <w:bottom w:w="0" w:type="dxa"/>
            <w:right w:w="108" w:type="dxa"/>
          </w:tblCellMar>
        </w:tblPrEx>
        <w:trPr>
          <w:trHeight w:val="580" w:hRule="atLeast"/>
          <w:jc w:val="center"/>
        </w:trPr>
        <w:tc>
          <w:tcPr>
            <w:tcW w:w="5058" w:type="dxa"/>
            <w:gridSpan w:val="5"/>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合计（万元人民币）</w:t>
            </w:r>
          </w:p>
        </w:tc>
        <w:tc>
          <w:tcPr>
            <w:tcW w:w="3824" w:type="dxa"/>
            <w:gridSpan w:val="4"/>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jc w:val="center"/>
              <w:rPr>
                <w:rFonts w:hint="eastAsia" w:ascii="仿宋" w:hAnsi="仿宋" w:eastAsia="仿宋" w:cs="仿宋"/>
                <w:color w:val="auto"/>
                <w:sz w:val="22"/>
                <w:szCs w:val="22"/>
                <w:highlight w:val="none"/>
              </w:rPr>
            </w:pPr>
          </w:p>
        </w:tc>
      </w:tr>
      <w:tr>
        <w:tblPrEx>
          <w:tblCellMar>
            <w:top w:w="0" w:type="dxa"/>
            <w:left w:w="108" w:type="dxa"/>
            <w:bottom w:w="0" w:type="dxa"/>
            <w:right w:w="108" w:type="dxa"/>
          </w:tblCellMar>
        </w:tblPrEx>
        <w:trPr>
          <w:trHeight w:val="581" w:hRule="atLeast"/>
          <w:jc w:val="center"/>
        </w:trPr>
        <w:tc>
          <w:tcPr>
            <w:tcW w:w="5058" w:type="dxa"/>
            <w:gridSpan w:val="5"/>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占投标总价的百分比（%）</w:t>
            </w:r>
          </w:p>
        </w:tc>
        <w:tc>
          <w:tcPr>
            <w:tcW w:w="3824" w:type="dxa"/>
            <w:gridSpan w:val="4"/>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jc w:val="center"/>
              <w:rPr>
                <w:rFonts w:hint="eastAsia" w:ascii="仿宋" w:hAnsi="仿宋" w:eastAsia="仿宋" w:cs="仿宋"/>
                <w:color w:val="auto"/>
                <w:sz w:val="22"/>
                <w:szCs w:val="22"/>
                <w:highlight w:val="none"/>
              </w:rPr>
            </w:pPr>
          </w:p>
        </w:tc>
      </w:tr>
    </w:tbl>
    <w:p>
      <w:pPr>
        <w:shd w:val="clear"/>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注：</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如投标产品为节能环保、环境标志产品，须按格式逐项填写，并附相关证明，否则评审时不予计分。</w:t>
      </w:r>
    </w:p>
    <w:p>
      <w:pPr>
        <w:shd w:val="clear"/>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类别填写：节能环保产品或环境标志产品。</w:t>
      </w:r>
    </w:p>
    <w:p>
      <w:pPr>
        <w:shd w:val="clear"/>
        <w:spacing w:line="360" w:lineRule="auto"/>
        <w:ind w:firstLine="480" w:firstLineChars="200"/>
        <w:rPr>
          <w:rFonts w:hint="eastAsia" w:ascii="仿宋" w:hAnsi="仿宋" w:eastAsia="仿宋" w:cs="仿宋"/>
          <w:color w:val="auto"/>
          <w:sz w:val="24"/>
          <w:szCs w:val="24"/>
          <w:highlight w:val="none"/>
        </w:rPr>
      </w:pPr>
    </w:p>
    <w:p>
      <w:pPr>
        <w:shd w:val="clear"/>
        <w:spacing w:line="360" w:lineRule="auto"/>
        <w:ind w:firstLine="560" w:firstLineChars="200"/>
        <w:rPr>
          <w:rFonts w:hint="eastAsia" w:ascii="仿宋" w:hAnsi="仿宋" w:eastAsia="仿宋" w:cs="仿宋"/>
          <w:color w:val="auto"/>
          <w:sz w:val="28"/>
          <w:szCs w:val="28"/>
          <w:highlight w:val="none"/>
        </w:rPr>
      </w:pPr>
    </w:p>
    <w:p>
      <w:pPr>
        <w:shd w:val="clear"/>
        <w:spacing w:line="360" w:lineRule="auto"/>
        <w:ind w:firstLine="560" w:firstLineChars="200"/>
        <w:rPr>
          <w:rFonts w:hint="eastAsia" w:ascii="仿宋" w:hAnsi="仿宋" w:eastAsia="仿宋" w:cs="仿宋"/>
          <w:color w:val="auto"/>
          <w:sz w:val="28"/>
          <w:szCs w:val="28"/>
          <w:highlight w:val="none"/>
        </w:rPr>
      </w:pPr>
    </w:p>
    <w:p>
      <w:pPr>
        <w:shd w:val="clear"/>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hd w:val="clea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shd w:val="clear"/>
        <w:autoSpaceDE w:val="0"/>
        <w:autoSpaceDN w:val="0"/>
        <w:adjustRightInd w:val="0"/>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pStyle w:val="9"/>
        <w:keepNext w:val="0"/>
        <w:pageBreakBefore/>
        <w:shd w:val="clear"/>
        <w:adjustRightInd w:val="0"/>
        <w:spacing w:line="416" w:lineRule="atLeast"/>
        <w:textAlignment w:val="baseline"/>
        <w:rPr>
          <w:rFonts w:hint="eastAsia" w:ascii="仿宋" w:hAnsi="仿宋" w:eastAsia="仿宋" w:cs="仿宋"/>
          <w:color w:val="auto"/>
          <w:sz w:val="24"/>
          <w:szCs w:val="24"/>
          <w:highlight w:val="none"/>
          <w:lang w:val="zh-CN"/>
        </w:rPr>
        <w:sectPr>
          <w:footerReference r:id="rId12" w:type="default"/>
          <w:headerReference r:id="rId11" w:type="even"/>
          <w:pgSz w:w="11906" w:h="16838"/>
          <w:pgMar w:top="1417" w:right="1701" w:bottom="1417" w:left="1701" w:header="851" w:footer="992" w:gutter="0"/>
          <w:pgBorders>
            <w:top w:val="none" w:sz="0" w:space="0"/>
            <w:left w:val="none" w:sz="0" w:space="0"/>
            <w:bottom w:val="none" w:sz="0" w:space="0"/>
            <w:right w:val="none" w:sz="0" w:space="0"/>
          </w:pgBorders>
          <w:pgNumType w:fmt="decimal"/>
          <w:cols w:space="720" w:num="1"/>
          <w:docGrid w:linePitch="312" w:charSpace="0"/>
        </w:sectPr>
      </w:pPr>
    </w:p>
    <w:bookmarkEnd w:id="383"/>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Pr>
        <w:pStyle w:val="9"/>
        <w:keepNext w:val="0"/>
        <w:pageBreakBefore/>
        <w:shd w:val="clear"/>
        <w:spacing w:line="360" w:lineRule="auto"/>
        <w:rPr>
          <w:rFonts w:hint="eastAsia" w:ascii="仿宋" w:hAnsi="仿宋" w:eastAsia="仿宋" w:cs="仿宋"/>
          <w:b w:val="0"/>
          <w:color w:val="auto"/>
          <w:kern w:val="2"/>
          <w:sz w:val="24"/>
          <w:szCs w:val="24"/>
          <w:highlight w:val="none"/>
          <w:lang w:val="zh-CN"/>
        </w:rPr>
      </w:pPr>
      <w:bookmarkStart w:id="408" w:name="_Toc14710"/>
      <w:bookmarkStart w:id="409" w:name="_Toc28411"/>
      <w:bookmarkStart w:id="410" w:name="_Toc11371"/>
      <w:bookmarkStart w:id="411" w:name="_Toc7823"/>
      <w:bookmarkStart w:id="412" w:name="_Toc8297"/>
      <w:bookmarkStart w:id="413" w:name="_Toc13042"/>
      <w:bookmarkStart w:id="414" w:name="_Toc26791"/>
      <w:bookmarkStart w:id="415" w:name="_Toc14308"/>
      <w:bookmarkStart w:id="416" w:name="_Toc4764"/>
      <w:bookmarkStart w:id="417" w:name="_Toc370"/>
      <w:bookmarkStart w:id="418" w:name="_Toc31212"/>
      <w:bookmarkStart w:id="419" w:name="_Toc4501"/>
      <w:bookmarkStart w:id="420" w:name="_Toc4404"/>
      <w:bookmarkStart w:id="421" w:name="_Toc22966"/>
      <w:bookmarkStart w:id="422" w:name="_Toc8261"/>
      <w:bookmarkStart w:id="423" w:name="_Toc518"/>
      <w:r>
        <w:rPr>
          <w:rFonts w:hint="eastAsia" w:ascii="仿宋" w:hAnsi="仿宋" w:eastAsia="仿宋" w:cs="仿宋"/>
          <w:color w:val="auto"/>
          <w:sz w:val="32"/>
          <w:szCs w:val="21"/>
          <w:highlight w:val="none"/>
          <w:lang w:val="en-US" w:eastAsia="zh-CN"/>
        </w:rPr>
        <w:t>七</w:t>
      </w:r>
      <w:r>
        <w:rPr>
          <w:rFonts w:hint="eastAsia" w:ascii="仿宋" w:hAnsi="仿宋" w:eastAsia="仿宋" w:cs="仿宋"/>
          <w:color w:val="auto"/>
          <w:sz w:val="32"/>
          <w:szCs w:val="21"/>
          <w:highlight w:val="none"/>
          <w:lang w:val="zh-CN"/>
        </w:rPr>
        <w:t>、技术规格偏离表</w:t>
      </w:r>
      <w:bookmarkEnd w:id="408"/>
      <w:bookmarkEnd w:id="409"/>
      <w:bookmarkEnd w:id="410"/>
      <w:bookmarkEnd w:id="411"/>
    </w:p>
    <w:p>
      <w:pPr>
        <w:shd w:val="clear"/>
        <w:spacing w:line="360" w:lineRule="auto"/>
        <w:rPr>
          <w:rFonts w:ascii="仿宋" w:hAnsi="仿宋" w:eastAsia="仿宋" w:cs="仿宋"/>
          <w:color w:val="auto"/>
          <w:sz w:val="28"/>
          <w:szCs w:val="28"/>
          <w:highlight w:val="none"/>
        </w:rPr>
      </w:pPr>
      <w:r>
        <w:rPr>
          <w:rFonts w:hint="eastAsia" w:ascii="仿宋" w:hAnsi="仿宋" w:eastAsia="仿宋" w:cs="仿宋"/>
          <w:color w:val="auto"/>
          <w:sz w:val="24"/>
          <w:szCs w:val="24"/>
          <w:highlight w:val="none"/>
        </w:rPr>
        <w:t xml:space="preserve">项目编号：                                   </w:t>
      </w:r>
    </w:p>
    <w:tbl>
      <w:tblPr>
        <w:tblStyle w:val="21"/>
        <w:tblW w:w="97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65"/>
        <w:gridCol w:w="2520"/>
        <w:gridCol w:w="2625"/>
        <w:gridCol w:w="840"/>
        <w:gridCol w:w="1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05" w:type="dxa"/>
            <w:noWrap w:val="0"/>
            <w:vAlign w:val="center"/>
          </w:tcPr>
          <w:p>
            <w:pPr>
              <w:shd w:val="clear"/>
              <w:adjustRightInd w:val="0"/>
              <w:snapToGrid w:val="0"/>
              <w:ind w:right="23"/>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365" w:type="dxa"/>
            <w:noWrap w:val="0"/>
            <w:vAlign w:val="center"/>
          </w:tcPr>
          <w:p>
            <w:pPr>
              <w:shd w:val="clear"/>
              <w:adjustRightInd w:val="0"/>
              <w:snapToGrid w:val="0"/>
              <w:ind w:right="23"/>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文件</w:t>
            </w:r>
          </w:p>
          <w:p>
            <w:pPr>
              <w:shd w:val="clear"/>
              <w:adjustRightInd w:val="0"/>
              <w:snapToGrid w:val="0"/>
              <w:ind w:right="23"/>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条目号</w:t>
            </w:r>
          </w:p>
        </w:tc>
        <w:tc>
          <w:tcPr>
            <w:tcW w:w="2520" w:type="dxa"/>
            <w:noWrap w:val="0"/>
            <w:vAlign w:val="center"/>
          </w:tcPr>
          <w:p>
            <w:pPr>
              <w:shd w:val="clear"/>
              <w:adjustRightInd w:val="0"/>
              <w:snapToGrid w:val="0"/>
              <w:ind w:right="23"/>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招标文件</w:t>
            </w:r>
          </w:p>
          <w:p>
            <w:pPr>
              <w:shd w:val="clear"/>
              <w:adjustRightInd w:val="0"/>
              <w:snapToGrid w:val="0"/>
              <w:ind w:right="23"/>
              <w:jc w:val="center"/>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规格及技术需求</w:t>
            </w:r>
          </w:p>
        </w:tc>
        <w:tc>
          <w:tcPr>
            <w:tcW w:w="2625" w:type="dxa"/>
            <w:noWrap w:val="0"/>
            <w:vAlign w:val="center"/>
          </w:tcPr>
          <w:p>
            <w:pPr>
              <w:shd w:val="clear"/>
              <w:adjustRightInd w:val="0"/>
              <w:snapToGrid w:val="0"/>
              <w:ind w:right="23"/>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投标文件</w:t>
            </w:r>
          </w:p>
          <w:p>
            <w:pPr>
              <w:shd w:val="clear"/>
              <w:adjustRightInd w:val="0"/>
              <w:snapToGrid w:val="0"/>
              <w:ind w:right="23"/>
              <w:jc w:val="center"/>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规格及技术参数</w:t>
            </w:r>
          </w:p>
        </w:tc>
        <w:tc>
          <w:tcPr>
            <w:tcW w:w="840" w:type="dxa"/>
            <w:noWrap w:val="0"/>
            <w:vAlign w:val="center"/>
          </w:tcPr>
          <w:p>
            <w:pPr>
              <w:shd w:val="clear"/>
              <w:adjustRightInd w:val="0"/>
              <w:snapToGrid w:val="0"/>
              <w:ind w:right="23"/>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偏离</w:t>
            </w:r>
          </w:p>
        </w:tc>
        <w:tc>
          <w:tcPr>
            <w:tcW w:w="1680" w:type="dxa"/>
            <w:noWrap w:val="0"/>
            <w:vAlign w:val="center"/>
          </w:tcPr>
          <w:p>
            <w:pPr>
              <w:shd w:val="clear"/>
              <w:adjustRightInd w:val="0"/>
              <w:snapToGrid w:val="0"/>
              <w:ind w:right="23"/>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偏离</w:t>
            </w:r>
          </w:p>
          <w:p>
            <w:pPr>
              <w:shd w:val="clear"/>
              <w:adjustRightInd w:val="0"/>
              <w:snapToGrid w:val="0"/>
              <w:ind w:right="23"/>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1365"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2520"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2625"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840"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1680"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1365"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2520"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2625"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840"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1680"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1365"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2520"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2625"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840"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1680"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1365"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2520"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2625"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840"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1680"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1365"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2520"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2625"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840"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1680"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1365"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2520"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2625"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840"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c>
          <w:tcPr>
            <w:tcW w:w="1680" w:type="dxa"/>
            <w:noWrap w:val="0"/>
            <w:vAlign w:val="top"/>
          </w:tcPr>
          <w:p>
            <w:pPr>
              <w:shd w:val="clear"/>
              <w:adjustRightInd w:val="0"/>
              <w:snapToGrid w:val="0"/>
              <w:spacing w:line="360" w:lineRule="auto"/>
              <w:ind w:right="24"/>
              <w:rPr>
                <w:rFonts w:hint="eastAsia" w:ascii="仿宋" w:hAnsi="仿宋" w:eastAsia="仿宋" w:cs="仿宋"/>
                <w:bCs/>
                <w:color w:val="auto"/>
                <w:szCs w:val="21"/>
                <w:highlight w:val="none"/>
              </w:rPr>
            </w:pPr>
          </w:p>
        </w:tc>
      </w:tr>
    </w:tbl>
    <w:p>
      <w:pPr>
        <w:shd w:val="clear"/>
        <w:spacing w:line="540" w:lineRule="exact"/>
        <w:ind w:right="-197"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1.本表只填写投标文件中与招标文件有偏离（包括负偏离和正偏离）的内容，在投标文件中须一一列出，无偏离时须提供空白表。</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必须据实填写，不得虚假响应，否则将取消其投标或中标资格，并按有关规定进处罚。</w:t>
      </w:r>
    </w:p>
    <w:p>
      <w:pPr>
        <w:shd w:val="clear"/>
        <w:rPr>
          <w:rFonts w:hint="eastAsia" w:ascii="仿宋" w:hAnsi="仿宋" w:eastAsia="仿宋" w:cs="仿宋"/>
          <w:color w:val="auto"/>
          <w:highlight w:val="none"/>
        </w:rPr>
      </w:pPr>
    </w:p>
    <w:p>
      <w:pPr>
        <w:shd w:val="clear"/>
        <w:spacing w:line="360" w:lineRule="auto"/>
        <w:rPr>
          <w:rFonts w:hint="eastAsia" w:ascii="仿宋" w:hAnsi="仿宋" w:eastAsia="仿宋" w:cs="仿宋"/>
          <w:color w:val="auto"/>
          <w:sz w:val="24"/>
          <w:szCs w:val="24"/>
          <w:highlight w:val="none"/>
        </w:rPr>
      </w:pPr>
    </w:p>
    <w:p>
      <w:pPr>
        <w:shd w:val="clear"/>
        <w:spacing w:line="360" w:lineRule="auto"/>
        <w:ind w:firstLine="560" w:firstLineChars="200"/>
        <w:rPr>
          <w:rFonts w:hint="eastAsia" w:ascii="仿宋" w:hAnsi="仿宋" w:eastAsia="仿宋" w:cs="仿宋"/>
          <w:color w:val="auto"/>
          <w:sz w:val="28"/>
          <w:szCs w:val="28"/>
          <w:highlight w:val="none"/>
        </w:rPr>
      </w:pPr>
    </w:p>
    <w:p>
      <w:pPr>
        <w:shd w:val="clear"/>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hd w:val="clea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shd w:val="clea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shd w:val="clear"/>
        <w:rPr>
          <w:rFonts w:hint="eastAsia" w:ascii="仿宋" w:hAnsi="仿宋" w:eastAsia="仿宋" w:cs="仿宋"/>
          <w:color w:val="auto"/>
          <w:highlight w:val="none"/>
        </w:rPr>
        <w:sectPr>
          <w:pgSz w:w="11906" w:h="16838"/>
          <w:pgMar w:top="1418" w:right="1474" w:bottom="1418" w:left="1474"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color w:val="auto"/>
          <w:sz w:val="24"/>
          <w:szCs w:val="24"/>
          <w:highlight w:val="none"/>
          <w:u w:val="single"/>
        </w:rPr>
        <w:br w:type="page"/>
      </w:r>
      <w:bookmarkEnd w:id="412"/>
      <w:bookmarkEnd w:id="413"/>
      <w:bookmarkEnd w:id="414"/>
      <w:bookmarkEnd w:id="415"/>
    </w:p>
    <w:p>
      <w:pPr>
        <w:pageBreakBefore/>
        <w:shd w:val="clear"/>
        <w:adjustRightInd w:val="0"/>
        <w:snapToGrid w:val="0"/>
        <w:spacing w:line="360" w:lineRule="auto"/>
        <w:jc w:val="center"/>
        <w:outlineLvl w:val="1"/>
        <w:rPr>
          <w:rStyle w:val="33"/>
          <w:rFonts w:hint="eastAsia" w:ascii="仿宋" w:hAnsi="仿宋" w:eastAsia="仿宋" w:cs="仿宋"/>
          <w:color w:val="auto"/>
          <w:sz w:val="32"/>
          <w:szCs w:val="21"/>
          <w:highlight w:val="none"/>
        </w:rPr>
      </w:pPr>
      <w:bookmarkStart w:id="424" w:name="_Toc30747"/>
      <w:r>
        <w:rPr>
          <w:rStyle w:val="33"/>
          <w:rFonts w:hint="eastAsia" w:ascii="仿宋" w:hAnsi="仿宋" w:eastAsia="仿宋" w:cs="仿宋"/>
          <w:color w:val="auto"/>
          <w:sz w:val="32"/>
          <w:szCs w:val="21"/>
          <w:highlight w:val="none"/>
          <w:lang w:val="en-US" w:eastAsia="zh-CN"/>
        </w:rPr>
        <w:t>八</w:t>
      </w:r>
      <w:r>
        <w:rPr>
          <w:rStyle w:val="33"/>
          <w:rFonts w:hint="eastAsia" w:ascii="仿宋" w:hAnsi="仿宋" w:eastAsia="仿宋" w:cs="仿宋"/>
          <w:color w:val="auto"/>
          <w:sz w:val="32"/>
          <w:szCs w:val="21"/>
          <w:highlight w:val="none"/>
        </w:rPr>
        <w:t>、</w:t>
      </w:r>
      <w:bookmarkEnd w:id="380"/>
      <w:bookmarkEnd w:id="381"/>
      <w:bookmarkEnd w:id="382"/>
      <w:bookmarkEnd w:id="416"/>
      <w:bookmarkEnd w:id="417"/>
      <w:bookmarkEnd w:id="418"/>
      <w:r>
        <w:rPr>
          <w:rStyle w:val="33"/>
          <w:rFonts w:hint="eastAsia" w:ascii="仿宋" w:hAnsi="仿宋" w:eastAsia="仿宋" w:cs="仿宋"/>
          <w:color w:val="auto"/>
          <w:sz w:val="32"/>
          <w:szCs w:val="21"/>
          <w:highlight w:val="none"/>
        </w:rPr>
        <w:t>技术方案</w:t>
      </w:r>
      <w:bookmarkEnd w:id="419"/>
      <w:bookmarkEnd w:id="420"/>
      <w:bookmarkEnd w:id="421"/>
      <w:bookmarkEnd w:id="422"/>
      <w:bookmarkEnd w:id="423"/>
      <w:bookmarkEnd w:id="424"/>
    </w:p>
    <w:p>
      <w:pPr>
        <w:shd w:val="clear"/>
        <w:bidi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格式自定</w:t>
      </w:r>
    </w:p>
    <w:p>
      <w:pPr>
        <w:pageBreakBefore/>
        <w:shd w:val="clear"/>
        <w:adjustRightInd w:val="0"/>
        <w:snapToGrid w:val="0"/>
        <w:spacing w:line="360" w:lineRule="auto"/>
        <w:jc w:val="center"/>
        <w:outlineLvl w:val="1"/>
        <w:rPr>
          <w:rFonts w:hint="eastAsia" w:ascii="仿宋" w:hAnsi="仿宋" w:eastAsia="仿宋" w:cs="仿宋"/>
          <w:b/>
          <w:color w:val="auto"/>
          <w:szCs w:val="32"/>
          <w:highlight w:val="none"/>
        </w:rPr>
      </w:pPr>
      <w:bookmarkStart w:id="425" w:name="_Toc24871"/>
      <w:bookmarkStart w:id="426" w:name="_Toc28055"/>
      <w:bookmarkStart w:id="427" w:name="_Toc23262"/>
      <w:bookmarkStart w:id="428" w:name="_Toc27566"/>
      <w:bookmarkStart w:id="429" w:name="_Toc25402"/>
      <w:bookmarkStart w:id="430" w:name="_Toc22956"/>
      <w:bookmarkStart w:id="431" w:name="_Toc2686"/>
      <w:bookmarkStart w:id="432" w:name="_Toc9259"/>
      <w:bookmarkStart w:id="433" w:name="_Toc20544"/>
      <w:r>
        <w:rPr>
          <w:rStyle w:val="33"/>
          <w:rFonts w:hint="eastAsia" w:ascii="仿宋" w:hAnsi="仿宋" w:eastAsia="仿宋" w:cs="仿宋"/>
          <w:color w:val="auto"/>
          <w:sz w:val="32"/>
          <w:szCs w:val="21"/>
          <w:highlight w:val="none"/>
          <w:lang w:val="en-US" w:eastAsia="zh-CN"/>
        </w:rPr>
        <w:t>九</w:t>
      </w:r>
      <w:r>
        <w:rPr>
          <w:rStyle w:val="33"/>
          <w:rFonts w:hint="eastAsia" w:ascii="仿宋" w:hAnsi="仿宋" w:eastAsia="仿宋" w:cs="仿宋"/>
          <w:color w:val="auto"/>
          <w:sz w:val="32"/>
          <w:szCs w:val="21"/>
          <w:highlight w:val="none"/>
        </w:rPr>
        <w:t>、</w:t>
      </w:r>
      <w:bookmarkEnd w:id="425"/>
      <w:bookmarkEnd w:id="426"/>
      <w:bookmarkEnd w:id="427"/>
      <w:bookmarkEnd w:id="428"/>
      <w:bookmarkEnd w:id="429"/>
      <w:bookmarkEnd w:id="430"/>
      <w:bookmarkEnd w:id="431"/>
      <w:r>
        <w:rPr>
          <w:rStyle w:val="33"/>
          <w:rFonts w:hint="eastAsia" w:ascii="仿宋" w:hAnsi="仿宋" w:eastAsia="仿宋" w:cs="仿宋"/>
          <w:color w:val="auto"/>
          <w:sz w:val="32"/>
          <w:szCs w:val="21"/>
          <w:highlight w:val="none"/>
          <w:lang w:eastAsia="zh-CN"/>
        </w:rPr>
        <w:t>质量保证及售后</w:t>
      </w:r>
      <w:r>
        <w:rPr>
          <w:rStyle w:val="33"/>
          <w:rFonts w:hint="eastAsia" w:ascii="仿宋" w:hAnsi="仿宋" w:eastAsia="仿宋" w:cs="仿宋"/>
          <w:color w:val="auto"/>
          <w:sz w:val="32"/>
          <w:szCs w:val="21"/>
          <w:highlight w:val="none"/>
        </w:rPr>
        <w:t>服务承诺</w:t>
      </w:r>
      <w:bookmarkEnd w:id="432"/>
      <w:bookmarkEnd w:id="433"/>
    </w:p>
    <w:p>
      <w:pPr>
        <w:shd w:val="clea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格式自定</w:t>
      </w:r>
      <w:bookmarkStart w:id="434" w:name="_Toc30152"/>
      <w:bookmarkStart w:id="435" w:name="_Toc15935"/>
      <w:bookmarkStart w:id="436" w:name="_Toc17895"/>
    </w:p>
    <w:bookmarkEnd w:id="434"/>
    <w:p>
      <w:pPr>
        <w:shd w:val="clear"/>
        <w:spacing w:line="360" w:lineRule="auto"/>
        <w:rPr>
          <w:rFonts w:hint="eastAsia" w:ascii="仿宋" w:hAnsi="仿宋" w:eastAsia="仿宋" w:cs="仿宋"/>
          <w:color w:val="auto"/>
          <w:sz w:val="24"/>
          <w:szCs w:val="24"/>
          <w:highlight w:val="none"/>
        </w:rPr>
      </w:pPr>
    </w:p>
    <w:bookmarkEnd w:id="435"/>
    <w:bookmarkEnd w:id="436"/>
    <w:p>
      <w:pPr>
        <w:shd w:val="clear"/>
        <w:rPr>
          <w:rFonts w:hint="eastAsia" w:ascii="仿宋" w:hAnsi="仿宋" w:eastAsia="仿宋" w:cs="仿宋"/>
          <w:b/>
          <w:color w:val="auto"/>
          <w:sz w:val="32"/>
          <w:szCs w:val="32"/>
          <w:highlight w:val="none"/>
        </w:rPr>
      </w:pPr>
      <w:bookmarkStart w:id="437" w:name="_Toc10131"/>
      <w:bookmarkStart w:id="438" w:name="_Toc475451557"/>
      <w:bookmarkStart w:id="439" w:name="_Toc475451804"/>
      <w:bookmarkStart w:id="440" w:name="_Toc6638"/>
      <w:bookmarkStart w:id="441" w:name="_Toc18031"/>
      <w:bookmarkStart w:id="442" w:name="_Toc23271"/>
      <w:bookmarkStart w:id="443" w:name="_Toc8020"/>
      <w:bookmarkStart w:id="444" w:name="_Toc473056008"/>
      <w:bookmarkStart w:id="445" w:name="_Toc27139"/>
      <w:bookmarkStart w:id="446" w:name="_Toc19696"/>
      <w:r>
        <w:rPr>
          <w:rFonts w:hint="eastAsia" w:ascii="仿宋" w:hAnsi="仿宋" w:eastAsia="仿宋" w:cs="仿宋"/>
          <w:b/>
          <w:color w:val="auto"/>
          <w:sz w:val="32"/>
          <w:szCs w:val="32"/>
          <w:highlight w:val="none"/>
        </w:rPr>
        <w:br w:type="page"/>
      </w:r>
    </w:p>
    <w:p>
      <w:pPr>
        <w:pageBreakBefore/>
        <w:shd w:val="clear"/>
        <w:spacing w:line="360" w:lineRule="auto"/>
        <w:jc w:val="center"/>
        <w:outlineLvl w:val="1"/>
        <w:rPr>
          <w:rFonts w:hint="eastAsia" w:ascii="仿宋" w:hAnsi="仿宋" w:eastAsia="仿宋" w:cs="仿宋"/>
          <w:b/>
          <w:color w:val="auto"/>
          <w:sz w:val="44"/>
          <w:szCs w:val="44"/>
          <w:highlight w:val="none"/>
        </w:rPr>
      </w:pPr>
      <w:bookmarkStart w:id="447" w:name="_Toc8031"/>
      <w:bookmarkStart w:id="448" w:name="_Toc31948"/>
      <w:r>
        <w:rPr>
          <w:rFonts w:hint="eastAsia" w:ascii="仿宋" w:hAnsi="仿宋" w:eastAsia="仿宋" w:cs="仿宋"/>
          <w:b/>
          <w:color w:val="auto"/>
          <w:sz w:val="32"/>
          <w:szCs w:val="32"/>
          <w:highlight w:val="none"/>
          <w:lang w:val="en-US" w:eastAsia="zh-CN"/>
        </w:rPr>
        <w:t>十</w:t>
      </w:r>
      <w:r>
        <w:rPr>
          <w:rFonts w:hint="eastAsia" w:ascii="仿宋" w:hAnsi="仿宋" w:eastAsia="仿宋" w:cs="仿宋"/>
          <w:b/>
          <w:color w:val="auto"/>
          <w:sz w:val="32"/>
          <w:szCs w:val="32"/>
          <w:highlight w:val="none"/>
        </w:rPr>
        <w:t>、近年业绩的有关证明材料</w:t>
      </w:r>
      <w:bookmarkEnd w:id="437"/>
      <w:bookmarkEnd w:id="438"/>
      <w:bookmarkEnd w:id="439"/>
      <w:bookmarkEnd w:id="440"/>
      <w:bookmarkEnd w:id="441"/>
      <w:bookmarkEnd w:id="442"/>
      <w:bookmarkEnd w:id="443"/>
      <w:bookmarkEnd w:id="444"/>
      <w:bookmarkEnd w:id="445"/>
      <w:bookmarkEnd w:id="446"/>
      <w:bookmarkEnd w:id="447"/>
      <w:bookmarkEnd w:id="448"/>
    </w:p>
    <w:tbl>
      <w:tblPr>
        <w:tblStyle w:val="21"/>
        <w:tblW w:w="93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2520"/>
        <w:gridCol w:w="1470"/>
        <w:gridCol w:w="1470"/>
        <w:gridCol w:w="13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00" w:type="dxa"/>
            <w:noWrap w:val="0"/>
            <w:vAlign w:val="center"/>
          </w:tcPr>
          <w:p>
            <w:pPr>
              <w:shd w:val="clea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620" w:type="dxa"/>
            <w:noWrap w:val="0"/>
            <w:vAlign w:val="center"/>
          </w:tcPr>
          <w:p>
            <w:pPr>
              <w:shd w:val="clea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用户名称</w:t>
            </w:r>
          </w:p>
        </w:tc>
        <w:tc>
          <w:tcPr>
            <w:tcW w:w="2520" w:type="dxa"/>
            <w:noWrap w:val="0"/>
            <w:vAlign w:val="center"/>
          </w:tcPr>
          <w:p>
            <w:pPr>
              <w:shd w:val="clea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p>
        </w:tc>
        <w:tc>
          <w:tcPr>
            <w:tcW w:w="1470" w:type="dxa"/>
            <w:noWrap w:val="0"/>
            <w:vAlign w:val="center"/>
          </w:tcPr>
          <w:p>
            <w:pPr>
              <w:shd w:val="clea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合同金额</w:t>
            </w:r>
          </w:p>
        </w:tc>
        <w:tc>
          <w:tcPr>
            <w:tcW w:w="1470" w:type="dxa"/>
            <w:noWrap w:val="0"/>
            <w:vAlign w:val="center"/>
          </w:tcPr>
          <w:p>
            <w:pPr>
              <w:shd w:val="clea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签订时间</w:t>
            </w:r>
          </w:p>
        </w:tc>
        <w:tc>
          <w:tcPr>
            <w:tcW w:w="1365" w:type="dxa"/>
            <w:noWrap w:val="0"/>
            <w:vAlign w:val="center"/>
          </w:tcPr>
          <w:p>
            <w:pPr>
              <w:shd w:val="clea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完成项目质量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hd w:val="clear"/>
              <w:spacing w:line="360" w:lineRule="auto"/>
              <w:rPr>
                <w:rFonts w:hint="eastAsia" w:ascii="仿宋" w:hAnsi="仿宋" w:eastAsia="仿宋" w:cs="仿宋"/>
                <w:color w:val="auto"/>
                <w:sz w:val="24"/>
                <w:szCs w:val="24"/>
                <w:highlight w:val="none"/>
              </w:rPr>
            </w:pPr>
          </w:p>
        </w:tc>
        <w:tc>
          <w:tcPr>
            <w:tcW w:w="1620" w:type="dxa"/>
            <w:noWrap w:val="0"/>
            <w:vAlign w:val="top"/>
          </w:tcPr>
          <w:p>
            <w:pPr>
              <w:shd w:val="clear"/>
              <w:spacing w:line="360" w:lineRule="auto"/>
              <w:rPr>
                <w:rFonts w:hint="eastAsia" w:ascii="仿宋" w:hAnsi="仿宋" w:eastAsia="仿宋" w:cs="仿宋"/>
                <w:color w:val="auto"/>
                <w:sz w:val="24"/>
                <w:szCs w:val="24"/>
                <w:highlight w:val="none"/>
              </w:rPr>
            </w:pPr>
          </w:p>
        </w:tc>
        <w:tc>
          <w:tcPr>
            <w:tcW w:w="2520" w:type="dxa"/>
            <w:noWrap w:val="0"/>
            <w:vAlign w:val="top"/>
          </w:tcPr>
          <w:p>
            <w:pPr>
              <w:shd w:val="clear"/>
              <w:spacing w:line="360" w:lineRule="auto"/>
              <w:rPr>
                <w:rFonts w:hint="eastAsia" w:ascii="仿宋" w:hAnsi="仿宋" w:eastAsia="仿宋" w:cs="仿宋"/>
                <w:color w:val="auto"/>
                <w:sz w:val="24"/>
                <w:szCs w:val="24"/>
                <w:highlight w:val="none"/>
              </w:rPr>
            </w:pPr>
          </w:p>
        </w:tc>
        <w:tc>
          <w:tcPr>
            <w:tcW w:w="1470" w:type="dxa"/>
            <w:noWrap w:val="0"/>
            <w:vAlign w:val="top"/>
          </w:tcPr>
          <w:p>
            <w:pPr>
              <w:shd w:val="clear"/>
              <w:spacing w:line="360" w:lineRule="auto"/>
              <w:rPr>
                <w:rFonts w:hint="eastAsia" w:ascii="仿宋" w:hAnsi="仿宋" w:eastAsia="仿宋" w:cs="仿宋"/>
                <w:color w:val="auto"/>
                <w:sz w:val="24"/>
                <w:szCs w:val="24"/>
                <w:highlight w:val="none"/>
              </w:rPr>
            </w:pPr>
          </w:p>
        </w:tc>
        <w:tc>
          <w:tcPr>
            <w:tcW w:w="1470" w:type="dxa"/>
            <w:noWrap w:val="0"/>
            <w:vAlign w:val="top"/>
          </w:tcPr>
          <w:p>
            <w:pPr>
              <w:shd w:val="clear"/>
              <w:spacing w:line="360" w:lineRule="auto"/>
              <w:rPr>
                <w:rFonts w:hint="eastAsia" w:ascii="仿宋" w:hAnsi="仿宋" w:eastAsia="仿宋" w:cs="仿宋"/>
                <w:color w:val="auto"/>
                <w:sz w:val="24"/>
                <w:szCs w:val="24"/>
                <w:highlight w:val="none"/>
              </w:rPr>
            </w:pPr>
          </w:p>
        </w:tc>
        <w:tc>
          <w:tcPr>
            <w:tcW w:w="1365" w:type="dxa"/>
            <w:noWrap w:val="0"/>
            <w:vAlign w:val="top"/>
          </w:tcPr>
          <w:p>
            <w:pPr>
              <w:shd w:val="clea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hd w:val="clear"/>
              <w:spacing w:line="360" w:lineRule="auto"/>
              <w:rPr>
                <w:rFonts w:hint="eastAsia" w:ascii="仿宋" w:hAnsi="仿宋" w:eastAsia="仿宋" w:cs="仿宋"/>
                <w:color w:val="auto"/>
                <w:sz w:val="24"/>
                <w:szCs w:val="24"/>
                <w:highlight w:val="none"/>
              </w:rPr>
            </w:pPr>
          </w:p>
        </w:tc>
        <w:tc>
          <w:tcPr>
            <w:tcW w:w="1620" w:type="dxa"/>
            <w:noWrap w:val="0"/>
            <w:vAlign w:val="top"/>
          </w:tcPr>
          <w:p>
            <w:pPr>
              <w:shd w:val="clear"/>
              <w:spacing w:line="360" w:lineRule="auto"/>
              <w:rPr>
                <w:rFonts w:hint="eastAsia" w:ascii="仿宋" w:hAnsi="仿宋" w:eastAsia="仿宋" w:cs="仿宋"/>
                <w:color w:val="auto"/>
                <w:sz w:val="24"/>
                <w:szCs w:val="24"/>
                <w:highlight w:val="none"/>
              </w:rPr>
            </w:pPr>
          </w:p>
        </w:tc>
        <w:tc>
          <w:tcPr>
            <w:tcW w:w="2520" w:type="dxa"/>
            <w:noWrap w:val="0"/>
            <w:vAlign w:val="top"/>
          </w:tcPr>
          <w:p>
            <w:pPr>
              <w:shd w:val="clear"/>
              <w:spacing w:line="360" w:lineRule="auto"/>
              <w:rPr>
                <w:rFonts w:hint="eastAsia" w:ascii="仿宋" w:hAnsi="仿宋" w:eastAsia="仿宋" w:cs="仿宋"/>
                <w:color w:val="auto"/>
                <w:sz w:val="24"/>
                <w:szCs w:val="24"/>
                <w:highlight w:val="none"/>
              </w:rPr>
            </w:pPr>
          </w:p>
        </w:tc>
        <w:tc>
          <w:tcPr>
            <w:tcW w:w="1470" w:type="dxa"/>
            <w:noWrap w:val="0"/>
            <w:vAlign w:val="top"/>
          </w:tcPr>
          <w:p>
            <w:pPr>
              <w:shd w:val="clear"/>
              <w:spacing w:line="360" w:lineRule="auto"/>
              <w:rPr>
                <w:rFonts w:hint="eastAsia" w:ascii="仿宋" w:hAnsi="仿宋" w:eastAsia="仿宋" w:cs="仿宋"/>
                <w:color w:val="auto"/>
                <w:sz w:val="24"/>
                <w:szCs w:val="24"/>
                <w:highlight w:val="none"/>
              </w:rPr>
            </w:pPr>
          </w:p>
        </w:tc>
        <w:tc>
          <w:tcPr>
            <w:tcW w:w="1470" w:type="dxa"/>
            <w:noWrap w:val="0"/>
            <w:vAlign w:val="top"/>
          </w:tcPr>
          <w:p>
            <w:pPr>
              <w:shd w:val="clear"/>
              <w:spacing w:line="360" w:lineRule="auto"/>
              <w:rPr>
                <w:rFonts w:hint="eastAsia" w:ascii="仿宋" w:hAnsi="仿宋" w:eastAsia="仿宋" w:cs="仿宋"/>
                <w:color w:val="auto"/>
                <w:sz w:val="24"/>
                <w:szCs w:val="24"/>
                <w:highlight w:val="none"/>
              </w:rPr>
            </w:pPr>
          </w:p>
        </w:tc>
        <w:tc>
          <w:tcPr>
            <w:tcW w:w="1365" w:type="dxa"/>
            <w:noWrap w:val="0"/>
            <w:vAlign w:val="top"/>
          </w:tcPr>
          <w:p>
            <w:pPr>
              <w:shd w:val="clea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0" w:type="dxa"/>
            <w:noWrap w:val="0"/>
            <w:vAlign w:val="top"/>
          </w:tcPr>
          <w:p>
            <w:pPr>
              <w:shd w:val="clear"/>
              <w:spacing w:line="360" w:lineRule="auto"/>
              <w:rPr>
                <w:rFonts w:hint="eastAsia" w:ascii="仿宋" w:hAnsi="仿宋" w:eastAsia="仿宋" w:cs="仿宋"/>
                <w:color w:val="auto"/>
                <w:sz w:val="24"/>
                <w:szCs w:val="24"/>
                <w:highlight w:val="none"/>
              </w:rPr>
            </w:pPr>
          </w:p>
        </w:tc>
        <w:tc>
          <w:tcPr>
            <w:tcW w:w="1620" w:type="dxa"/>
            <w:noWrap w:val="0"/>
            <w:vAlign w:val="top"/>
          </w:tcPr>
          <w:p>
            <w:pPr>
              <w:shd w:val="clear"/>
              <w:spacing w:line="360" w:lineRule="auto"/>
              <w:rPr>
                <w:rFonts w:hint="eastAsia" w:ascii="仿宋" w:hAnsi="仿宋" w:eastAsia="仿宋" w:cs="仿宋"/>
                <w:color w:val="auto"/>
                <w:sz w:val="24"/>
                <w:szCs w:val="24"/>
                <w:highlight w:val="none"/>
              </w:rPr>
            </w:pPr>
          </w:p>
        </w:tc>
        <w:tc>
          <w:tcPr>
            <w:tcW w:w="2520" w:type="dxa"/>
            <w:noWrap w:val="0"/>
            <w:vAlign w:val="top"/>
          </w:tcPr>
          <w:p>
            <w:pPr>
              <w:shd w:val="clear"/>
              <w:spacing w:line="360" w:lineRule="auto"/>
              <w:rPr>
                <w:rFonts w:hint="eastAsia" w:ascii="仿宋" w:hAnsi="仿宋" w:eastAsia="仿宋" w:cs="仿宋"/>
                <w:color w:val="auto"/>
                <w:sz w:val="24"/>
                <w:szCs w:val="24"/>
                <w:highlight w:val="none"/>
              </w:rPr>
            </w:pPr>
          </w:p>
        </w:tc>
        <w:tc>
          <w:tcPr>
            <w:tcW w:w="1470" w:type="dxa"/>
            <w:noWrap w:val="0"/>
            <w:vAlign w:val="top"/>
          </w:tcPr>
          <w:p>
            <w:pPr>
              <w:shd w:val="clear"/>
              <w:spacing w:line="360" w:lineRule="auto"/>
              <w:rPr>
                <w:rFonts w:hint="eastAsia" w:ascii="仿宋" w:hAnsi="仿宋" w:eastAsia="仿宋" w:cs="仿宋"/>
                <w:color w:val="auto"/>
                <w:sz w:val="24"/>
                <w:szCs w:val="24"/>
                <w:highlight w:val="none"/>
              </w:rPr>
            </w:pPr>
          </w:p>
        </w:tc>
        <w:tc>
          <w:tcPr>
            <w:tcW w:w="1470" w:type="dxa"/>
            <w:noWrap w:val="0"/>
            <w:vAlign w:val="top"/>
          </w:tcPr>
          <w:p>
            <w:pPr>
              <w:shd w:val="clear"/>
              <w:spacing w:line="360" w:lineRule="auto"/>
              <w:rPr>
                <w:rFonts w:hint="eastAsia" w:ascii="仿宋" w:hAnsi="仿宋" w:eastAsia="仿宋" w:cs="仿宋"/>
                <w:color w:val="auto"/>
                <w:sz w:val="24"/>
                <w:szCs w:val="24"/>
                <w:highlight w:val="none"/>
              </w:rPr>
            </w:pPr>
          </w:p>
        </w:tc>
        <w:tc>
          <w:tcPr>
            <w:tcW w:w="1365" w:type="dxa"/>
            <w:noWrap w:val="0"/>
            <w:vAlign w:val="top"/>
          </w:tcPr>
          <w:p>
            <w:pPr>
              <w:shd w:val="clea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hd w:val="clear"/>
              <w:spacing w:line="360" w:lineRule="auto"/>
              <w:rPr>
                <w:rFonts w:hint="eastAsia" w:ascii="仿宋" w:hAnsi="仿宋" w:eastAsia="仿宋" w:cs="仿宋"/>
                <w:color w:val="auto"/>
                <w:sz w:val="24"/>
                <w:szCs w:val="24"/>
                <w:highlight w:val="none"/>
              </w:rPr>
            </w:pPr>
          </w:p>
        </w:tc>
        <w:tc>
          <w:tcPr>
            <w:tcW w:w="1620" w:type="dxa"/>
            <w:noWrap w:val="0"/>
            <w:vAlign w:val="top"/>
          </w:tcPr>
          <w:p>
            <w:pPr>
              <w:shd w:val="clear"/>
              <w:spacing w:line="360" w:lineRule="auto"/>
              <w:rPr>
                <w:rFonts w:hint="eastAsia" w:ascii="仿宋" w:hAnsi="仿宋" w:eastAsia="仿宋" w:cs="仿宋"/>
                <w:color w:val="auto"/>
                <w:sz w:val="24"/>
                <w:szCs w:val="24"/>
                <w:highlight w:val="none"/>
              </w:rPr>
            </w:pPr>
          </w:p>
        </w:tc>
        <w:tc>
          <w:tcPr>
            <w:tcW w:w="2520" w:type="dxa"/>
            <w:noWrap w:val="0"/>
            <w:vAlign w:val="top"/>
          </w:tcPr>
          <w:p>
            <w:pPr>
              <w:shd w:val="clear"/>
              <w:spacing w:line="360" w:lineRule="auto"/>
              <w:rPr>
                <w:rFonts w:hint="eastAsia" w:ascii="仿宋" w:hAnsi="仿宋" w:eastAsia="仿宋" w:cs="仿宋"/>
                <w:color w:val="auto"/>
                <w:sz w:val="24"/>
                <w:szCs w:val="24"/>
                <w:highlight w:val="none"/>
              </w:rPr>
            </w:pPr>
          </w:p>
        </w:tc>
        <w:tc>
          <w:tcPr>
            <w:tcW w:w="1470" w:type="dxa"/>
            <w:noWrap w:val="0"/>
            <w:vAlign w:val="top"/>
          </w:tcPr>
          <w:p>
            <w:pPr>
              <w:shd w:val="clear"/>
              <w:spacing w:line="360" w:lineRule="auto"/>
              <w:rPr>
                <w:rFonts w:hint="eastAsia" w:ascii="仿宋" w:hAnsi="仿宋" w:eastAsia="仿宋" w:cs="仿宋"/>
                <w:color w:val="auto"/>
                <w:sz w:val="24"/>
                <w:szCs w:val="24"/>
                <w:highlight w:val="none"/>
              </w:rPr>
            </w:pPr>
          </w:p>
        </w:tc>
        <w:tc>
          <w:tcPr>
            <w:tcW w:w="1470" w:type="dxa"/>
            <w:noWrap w:val="0"/>
            <w:vAlign w:val="top"/>
          </w:tcPr>
          <w:p>
            <w:pPr>
              <w:shd w:val="clear"/>
              <w:spacing w:line="360" w:lineRule="auto"/>
              <w:rPr>
                <w:rFonts w:hint="eastAsia" w:ascii="仿宋" w:hAnsi="仿宋" w:eastAsia="仿宋" w:cs="仿宋"/>
                <w:color w:val="auto"/>
                <w:sz w:val="24"/>
                <w:szCs w:val="24"/>
                <w:highlight w:val="none"/>
              </w:rPr>
            </w:pPr>
          </w:p>
        </w:tc>
        <w:tc>
          <w:tcPr>
            <w:tcW w:w="1365" w:type="dxa"/>
            <w:noWrap w:val="0"/>
            <w:vAlign w:val="top"/>
          </w:tcPr>
          <w:p>
            <w:pPr>
              <w:shd w:val="clea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hd w:val="clear"/>
              <w:spacing w:line="360" w:lineRule="auto"/>
              <w:rPr>
                <w:rFonts w:hint="eastAsia" w:ascii="仿宋" w:hAnsi="仿宋" w:eastAsia="仿宋" w:cs="仿宋"/>
                <w:color w:val="auto"/>
                <w:sz w:val="24"/>
                <w:szCs w:val="24"/>
                <w:highlight w:val="none"/>
              </w:rPr>
            </w:pPr>
          </w:p>
        </w:tc>
        <w:tc>
          <w:tcPr>
            <w:tcW w:w="1620" w:type="dxa"/>
            <w:noWrap w:val="0"/>
            <w:vAlign w:val="top"/>
          </w:tcPr>
          <w:p>
            <w:pPr>
              <w:shd w:val="clear"/>
              <w:spacing w:line="360" w:lineRule="auto"/>
              <w:rPr>
                <w:rFonts w:hint="eastAsia" w:ascii="仿宋" w:hAnsi="仿宋" w:eastAsia="仿宋" w:cs="仿宋"/>
                <w:color w:val="auto"/>
                <w:sz w:val="24"/>
                <w:szCs w:val="24"/>
                <w:highlight w:val="none"/>
              </w:rPr>
            </w:pPr>
          </w:p>
        </w:tc>
        <w:tc>
          <w:tcPr>
            <w:tcW w:w="2520" w:type="dxa"/>
            <w:noWrap w:val="0"/>
            <w:vAlign w:val="top"/>
          </w:tcPr>
          <w:p>
            <w:pPr>
              <w:shd w:val="clear"/>
              <w:spacing w:line="360" w:lineRule="auto"/>
              <w:rPr>
                <w:rFonts w:hint="eastAsia" w:ascii="仿宋" w:hAnsi="仿宋" w:eastAsia="仿宋" w:cs="仿宋"/>
                <w:color w:val="auto"/>
                <w:sz w:val="24"/>
                <w:szCs w:val="24"/>
                <w:highlight w:val="none"/>
              </w:rPr>
            </w:pPr>
          </w:p>
        </w:tc>
        <w:tc>
          <w:tcPr>
            <w:tcW w:w="1470" w:type="dxa"/>
            <w:noWrap w:val="0"/>
            <w:vAlign w:val="top"/>
          </w:tcPr>
          <w:p>
            <w:pPr>
              <w:shd w:val="clear"/>
              <w:spacing w:line="360" w:lineRule="auto"/>
              <w:rPr>
                <w:rFonts w:hint="eastAsia" w:ascii="仿宋" w:hAnsi="仿宋" w:eastAsia="仿宋" w:cs="仿宋"/>
                <w:color w:val="auto"/>
                <w:sz w:val="24"/>
                <w:szCs w:val="24"/>
                <w:highlight w:val="none"/>
              </w:rPr>
            </w:pPr>
          </w:p>
        </w:tc>
        <w:tc>
          <w:tcPr>
            <w:tcW w:w="1470" w:type="dxa"/>
            <w:noWrap w:val="0"/>
            <w:vAlign w:val="top"/>
          </w:tcPr>
          <w:p>
            <w:pPr>
              <w:shd w:val="clear"/>
              <w:spacing w:line="360" w:lineRule="auto"/>
              <w:rPr>
                <w:rFonts w:hint="eastAsia" w:ascii="仿宋" w:hAnsi="仿宋" w:eastAsia="仿宋" w:cs="仿宋"/>
                <w:color w:val="auto"/>
                <w:sz w:val="24"/>
                <w:szCs w:val="24"/>
                <w:highlight w:val="none"/>
              </w:rPr>
            </w:pPr>
          </w:p>
        </w:tc>
        <w:tc>
          <w:tcPr>
            <w:tcW w:w="1365" w:type="dxa"/>
            <w:noWrap w:val="0"/>
            <w:vAlign w:val="top"/>
          </w:tcPr>
          <w:p>
            <w:pPr>
              <w:shd w:val="clea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hd w:val="clear"/>
              <w:spacing w:line="360" w:lineRule="auto"/>
              <w:rPr>
                <w:rFonts w:hint="eastAsia" w:ascii="仿宋" w:hAnsi="仿宋" w:eastAsia="仿宋" w:cs="仿宋"/>
                <w:color w:val="auto"/>
                <w:sz w:val="24"/>
                <w:szCs w:val="24"/>
                <w:highlight w:val="none"/>
              </w:rPr>
            </w:pPr>
          </w:p>
        </w:tc>
        <w:tc>
          <w:tcPr>
            <w:tcW w:w="1620" w:type="dxa"/>
            <w:noWrap w:val="0"/>
            <w:vAlign w:val="top"/>
          </w:tcPr>
          <w:p>
            <w:pPr>
              <w:shd w:val="clear"/>
              <w:spacing w:line="360" w:lineRule="auto"/>
              <w:rPr>
                <w:rFonts w:hint="eastAsia" w:ascii="仿宋" w:hAnsi="仿宋" w:eastAsia="仿宋" w:cs="仿宋"/>
                <w:color w:val="auto"/>
                <w:sz w:val="24"/>
                <w:szCs w:val="24"/>
                <w:highlight w:val="none"/>
              </w:rPr>
            </w:pPr>
          </w:p>
        </w:tc>
        <w:tc>
          <w:tcPr>
            <w:tcW w:w="2520" w:type="dxa"/>
            <w:noWrap w:val="0"/>
            <w:vAlign w:val="top"/>
          </w:tcPr>
          <w:p>
            <w:pPr>
              <w:shd w:val="clear"/>
              <w:spacing w:line="360" w:lineRule="auto"/>
              <w:rPr>
                <w:rFonts w:hint="eastAsia" w:ascii="仿宋" w:hAnsi="仿宋" w:eastAsia="仿宋" w:cs="仿宋"/>
                <w:color w:val="auto"/>
                <w:sz w:val="24"/>
                <w:szCs w:val="24"/>
                <w:highlight w:val="none"/>
              </w:rPr>
            </w:pPr>
          </w:p>
        </w:tc>
        <w:tc>
          <w:tcPr>
            <w:tcW w:w="1470" w:type="dxa"/>
            <w:noWrap w:val="0"/>
            <w:vAlign w:val="top"/>
          </w:tcPr>
          <w:p>
            <w:pPr>
              <w:shd w:val="clear"/>
              <w:spacing w:line="360" w:lineRule="auto"/>
              <w:rPr>
                <w:rFonts w:hint="eastAsia" w:ascii="仿宋" w:hAnsi="仿宋" w:eastAsia="仿宋" w:cs="仿宋"/>
                <w:color w:val="auto"/>
                <w:sz w:val="24"/>
                <w:szCs w:val="24"/>
                <w:highlight w:val="none"/>
              </w:rPr>
            </w:pPr>
          </w:p>
        </w:tc>
        <w:tc>
          <w:tcPr>
            <w:tcW w:w="1470" w:type="dxa"/>
            <w:noWrap w:val="0"/>
            <w:vAlign w:val="top"/>
          </w:tcPr>
          <w:p>
            <w:pPr>
              <w:shd w:val="clear"/>
              <w:spacing w:line="360" w:lineRule="auto"/>
              <w:rPr>
                <w:rFonts w:hint="eastAsia" w:ascii="仿宋" w:hAnsi="仿宋" w:eastAsia="仿宋" w:cs="仿宋"/>
                <w:color w:val="auto"/>
                <w:sz w:val="24"/>
                <w:szCs w:val="24"/>
                <w:highlight w:val="none"/>
              </w:rPr>
            </w:pPr>
          </w:p>
        </w:tc>
        <w:tc>
          <w:tcPr>
            <w:tcW w:w="1365" w:type="dxa"/>
            <w:noWrap w:val="0"/>
            <w:vAlign w:val="top"/>
          </w:tcPr>
          <w:p>
            <w:pPr>
              <w:shd w:val="clea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0" w:type="dxa"/>
            <w:noWrap w:val="0"/>
            <w:vAlign w:val="top"/>
          </w:tcPr>
          <w:p>
            <w:pPr>
              <w:shd w:val="clear"/>
              <w:spacing w:line="360" w:lineRule="auto"/>
              <w:rPr>
                <w:rFonts w:hint="eastAsia" w:ascii="仿宋" w:hAnsi="仿宋" w:eastAsia="仿宋" w:cs="仿宋"/>
                <w:color w:val="auto"/>
                <w:sz w:val="24"/>
                <w:szCs w:val="24"/>
                <w:highlight w:val="none"/>
              </w:rPr>
            </w:pPr>
          </w:p>
        </w:tc>
        <w:tc>
          <w:tcPr>
            <w:tcW w:w="1620" w:type="dxa"/>
            <w:noWrap w:val="0"/>
            <w:vAlign w:val="top"/>
          </w:tcPr>
          <w:p>
            <w:pPr>
              <w:shd w:val="clear"/>
              <w:spacing w:line="360" w:lineRule="auto"/>
              <w:rPr>
                <w:rFonts w:hint="eastAsia" w:ascii="仿宋" w:hAnsi="仿宋" w:eastAsia="仿宋" w:cs="仿宋"/>
                <w:color w:val="auto"/>
                <w:sz w:val="24"/>
                <w:szCs w:val="24"/>
                <w:highlight w:val="none"/>
              </w:rPr>
            </w:pPr>
          </w:p>
        </w:tc>
        <w:tc>
          <w:tcPr>
            <w:tcW w:w="2520" w:type="dxa"/>
            <w:noWrap w:val="0"/>
            <w:vAlign w:val="top"/>
          </w:tcPr>
          <w:p>
            <w:pPr>
              <w:shd w:val="clear"/>
              <w:spacing w:line="360" w:lineRule="auto"/>
              <w:rPr>
                <w:rFonts w:hint="eastAsia" w:ascii="仿宋" w:hAnsi="仿宋" w:eastAsia="仿宋" w:cs="仿宋"/>
                <w:color w:val="auto"/>
                <w:sz w:val="24"/>
                <w:szCs w:val="24"/>
                <w:highlight w:val="none"/>
              </w:rPr>
            </w:pPr>
          </w:p>
        </w:tc>
        <w:tc>
          <w:tcPr>
            <w:tcW w:w="1470" w:type="dxa"/>
            <w:noWrap w:val="0"/>
            <w:vAlign w:val="top"/>
          </w:tcPr>
          <w:p>
            <w:pPr>
              <w:shd w:val="clear"/>
              <w:spacing w:line="360" w:lineRule="auto"/>
              <w:rPr>
                <w:rFonts w:hint="eastAsia" w:ascii="仿宋" w:hAnsi="仿宋" w:eastAsia="仿宋" w:cs="仿宋"/>
                <w:color w:val="auto"/>
                <w:sz w:val="24"/>
                <w:szCs w:val="24"/>
                <w:highlight w:val="none"/>
              </w:rPr>
            </w:pPr>
          </w:p>
        </w:tc>
        <w:tc>
          <w:tcPr>
            <w:tcW w:w="1470" w:type="dxa"/>
            <w:noWrap w:val="0"/>
            <w:vAlign w:val="top"/>
          </w:tcPr>
          <w:p>
            <w:pPr>
              <w:shd w:val="clear"/>
              <w:spacing w:line="360" w:lineRule="auto"/>
              <w:rPr>
                <w:rFonts w:hint="eastAsia" w:ascii="仿宋" w:hAnsi="仿宋" w:eastAsia="仿宋" w:cs="仿宋"/>
                <w:color w:val="auto"/>
                <w:sz w:val="24"/>
                <w:szCs w:val="24"/>
                <w:highlight w:val="none"/>
              </w:rPr>
            </w:pPr>
          </w:p>
        </w:tc>
        <w:tc>
          <w:tcPr>
            <w:tcW w:w="1365" w:type="dxa"/>
            <w:noWrap w:val="0"/>
            <w:vAlign w:val="top"/>
          </w:tcPr>
          <w:p>
            <w:pPr>
              <w:shd w:val="clea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hd w:val="clear"/>
              <w:spacing w:line="360" w:lineRule="auto"/>
              <w:rPr>
                <w:rFonts w:hint="eastAsia" w:ascii="仿宋" w:hAnsi="仿宋" w:eastAsia="仿宋" w:cs="仿宋"/>
                <w:color w:val="auto"/>
                <w:sz w:val="24"/>
                <w:szCs w:val="24"/>
                <w:highlight w:val="none"/>
              </w:rPr>
            </w:pPr>
          </w:p>
        </w:tc>
        <w:tc>
          <w:tcPr>
            <w:tcW w:w="1620" w:type="dxa"/>
            <w:noWrap w:val="0"/>
            <w:vAlign w:val="top"/>
          </w:tcPr>
          <w:p>
            <w:pPr>
              <w:shd w:val="clear"/>
              <w:spacing w:line="360" w:lineRule="auto"/>
              <w:rPr>
                <w:rFonts w:hint="eastAsia" w:ascii="仿宋" w:hAnsi="仿宋" w:eastAsia="仿宋" w:cs="仿宋"/>
                <w:color w:val="auto"/>
                <w:sz w:val="24"/>
                <w:szCs w:val="24"/>
                <w:highlight w:val="none"/>
              </w:rPr>
            </w:pPr>
          </w:p>
        </w:tc>
        <w:tc>
          <w:tcPr>
            <w:tcW w:w="2520" w:type="dxa"/>
            <w:noWrap w:val="0"/>
            <w:vAlign w:val="top"/>
          </w:tcPr>
          <w:p>
            <w:pPr>
              <w:shd w:val="clear"/>
              <w:spacing w:line="360" w:lineRule="auto"/>
              <w:rPr>
                <w:rFonts w:hint="eastAsia" w:ascii="仿宋" w:hAnsi="仿宋" w:eastAsia="仿宋" w:cs="仿宋"/>
                <w:color w:val="auto"/>
                <w:sz w:val="24"/>
                <w:szCs w:val="24"/>
                <w:highlight w:val="none"/>
              </w:rPr>
            </w:pPr>
          </w:p>
        </w:tc>
        <w:tc>
          <w:tcPr>
            <w:tcW w:w="1470" w:type="dxa"/>
            <w:noWrap w:val="0"/>
            <w:vAlign w:val="top"/>
          </w:tcPr>
          <w:p>
            <w:pPr>
              <w:shd w:val="clear"/>
              <w:spacing w:line="360" w:lineRule="auto"/>
              <w:rPr>
                <w:rFonts w:hint="eastAsia" w:ascii="仿宋" w:hAnsi="仿宋" w:eastAsia="仿宋" w:cs="仿宋"/>
                <w:color w:val="auto"/>
                <w:sz w:val="24"/>
                <w:szCs w:val="24"/>
                <w:highlight w:val="none"/>
              </w:rPr>
            </w:pPr>
          </w:p>
        </w:tc>
        <w:tc>
          <w:tcPr>
            <w:tcW w:w="1470" w:type="dxa"/>
            <w:noWrap w:val="0"/>
            <w:vAlign w:val="top"/>
          </w:tcPr>
          <w:p>
            <w:pPr>
              <w:shd w:val="clear"/>
              <w:spacing w:line="360" w:lineRule="auto"/>
              <w:rPr>
                <w:rFonts w:hint="eastAsia" w:ascii="仿宋" w:hAnsi="仿宋" w:eastAsia="仿宋" w:cs="仿宋"/>
                <w:color w:val="auto"/>
                <w:sz w:val="24"/>
                <w:szCs w:val="24"/>
                <w:highlight w:val="none"/>
              </w:rPr>
            </w:pPr>
          </w:p>
        </w:tc>
        <w:tc>
          <w:tcPr>
            <w:tcW w:w="1365" w:type="dxa"/>
            <w:noWrap w:val="0"/>
            <w:vAlign w:val="top"/>
          </w:tcPr>
          <w:p>
            <w:pPr>
              <w:shd w:val="clea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hd w:val="clear"/>
              <w:spacing w:line="360" w:lineRule="auto"/>
              <w:rPr>
                <w:rFonts w:hint="eastAsia" w:ascii="仿宋" w:hAnsi="仿宋" w:eastAsia="仿宋" w:cs="仿宋"/>
                <w:color w:val="auto"/>
                <w:sz w:val="24"/>
                <w:szCs w:val="24"/>
                <w:highlight w:val="none"/>
              </w:rPr>
            </w:pPr>
          </w:p>
        </w:tc>
        <w:tc>
          <w:tcPr>
            <w:tcW w:w="1620" w:type="dxa"/>
            <w:noWrap w:val="0"/>
            <w:vAlign w:val="top"/>
          </w:tcPr>
          <w:p>
            <w:pPr>
              <w:shd w:val="clear"/>
              <w:spacing w:line="360" w:lineRule="auto"/>
              <w:rPr>
                <w:rFonts w:hint="eastAsia" w:ascii="仿宋" w:hAnsi="仿宋" w:eastAsia="仿宋" w:cs="仿宋"/>
                <w:color w:val="auto"/>
                <w:sz w:val="24"/>
                <w:szCs w:val="24"/>
                <w:highlight w:val="none"/>
              </w:rPr>
            </w:pPr>
          </w:p>
        </w:tc>
        <w:tc>
          <w:tcPr>
            <w:tcW w:w="2520" w:type="dxa"/>
            <w:noWrap w:val="0"/>
            <w:vAlign w:val="top"/>
          </w:tcPr>
          <w:p>
            <w:pPr>
              <w:shd w:val="clear"/>
              <w:spacing w:line="360" w:lineRule="auto"/>
              <w:rPr>
                <w:rFonts w:hint="eastAsia" w:ascii="仿宋" w:hAnsi="仿宋" w:eastAsia="仿宋" w:cs="仿宋"/>
                <w:color w:val="auto"/>
                <w:sz w:val="24"/>
                <w:szCs w:val="24"/>
                <w:highlight w:val="none"/>
              </w:rPr>
            </w:pPr>
          </w:p>
        </w:tc>
        <w:tc>
          <w:tcPr>
            <w:tcW w:w="1470" w:type="dxa"/>
            <w:noWrap w:val="0"/>
            <w:vAlign w:val="top"/>
          </w:tcPr>
          <w:p>
            <w:pPr>
              <w:shd w:val="clear"/>
              <w:spacing w:line="360" w:lineRule="auto"/>
              <w:rPr>
                <w:rFonts w:hint="eastAsia" w:ascii="仿宋" w:hAnsi="仿宋" w:eastAsia="仿宋" w:cs="仿宋"/>
                <w:color w:val="auto"/>
                <w:sz w:val="24"/>
                <w:szCs w:val="24"/>
                <w:highlight w:val="none"/>
              </w:rPr>
            </w:pPr>
          </w:p>
        </w:tc>
        <w:tc>
          <w:tcPr>
            <w:tcW w:w="1470" w:type="dxa"/>
            <w:noWrap w:val="0"/>
            <w:vAlign w:val="top"/>
          </w:tcPr>
          <w:p>
            <w:pPr>
              <w:shd w:val="clear"/>
              <w:spacing w:line="360" w:lineRule="auto"/>
              <w:rPr>
                <w:rFonts w:hint="eastAsia" w:ascii="仿宋" w:hAnsi="仿宋" w:eastAsia="仿宋" w:cs="仿宋"/>
                <w:color w:val="auto"/>
                <w:sz w:val="24"/>
                <w:szCs w:val="24"/>
                <w:highlight w:val="none"/>
              </w:rPr>
            </w:pPr>
          </w:p>
        </w:tc>
        <w:tc>
          <w:tcPr>
            <w:tcW w:w="1365" w:type="dxa"/>
            <w:noWrap w:val="0"/>
            <w:vAlign w:val="top"/>
          </w:tcPr>
          <w:p>
            <w:pPr>
              <w:shd w:val="clear"/>
              <w:spacing w:line="360" w:lineRule="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hd w:val="clear"/>
              <w:spacing w:line="360" w:lineRule="auto"/>
              <w:rPr>
                <w:rFonts w:hint="eastAsia" w:ascii="仿宋" w:hAnsi="仿宋" w:eastAsia="仿宋" w:cs="仿宋"/>
                <w:color w:val="auto"/>
                <w:sz w:val="24"/>
                <w:szCs w:val="24"/>
                <w:highlight w:val="none"/>
              </w:rPr>
            </w:pPr>
          </w:p>
        </w:tc>
        <w:tc>
          <w:tcPr>
            <w:tcW w:w="1620" w:type="dxa"/>
            <w:noWrap w:val="0"/>
            <w:vAlign w:val="top"/>
          </w:tcPr>
          <w:p>
            <w:pPr>
              <w:shd w:val="clear"/>
              <w:spacing w:line="360" w:lineRule="auto"/>
              <w:rPr>
                <w:rFonts w:hint="eastAsia" w:ascii="仿宋" w:hAnsi="仿宋" w:eastAsia="仿宋" w:cs="仿宋"/>
                <w:color w:val="auto"/>
                <w:sz w:val="24"/>
                <w:szCs w:val="24"/>
                <w:highlight w:val="none"/>
              </w:rPr>
            </w:pPr>
          </w:p>
        </w:tc>
        <w:tc>
          <w:tcPr>
            <w:tcW w:w="2520" w:type="dxa"/>
            <w:noWrap w:val="0"/>
            <w:vAlign w:val="top"/>
          </w:tcPr>
          <w:p>
            <w:pPr>
              <w:shd w:val="clear"/>
              <w:spacing w:line="360" w:lineRule="auto"/>
              <w:rPr>
                <w:rFonts w:hint="eastAsia" w:ascii="仿宋" w:hAnsi="仿宋" w:eastAsia="仿宋" w:cs="仿宋"/>
                <w:color w:val="auto"/>
                <w:sz w:val="24"/>
                <w:szCs w:val="24"/>
                <w:highlight w:val="none"/>
              </w:rPr>
            </w:pPr>
          </w:p>
        </w:tc>
        <w:tc>
          <w:tcPr>
            <w:tcW w:w="1470" w:type="dxa"/>
            <w:noWrap w:val="0"/>
            <w:vAlign w:val="top"/>
          </w:tcPr>
          <w:p>
            <w:pPr>
              <w:shd w:val="clear"/>
              <w:spacing w:line="360" w:lineRule="auto"/>
              <w:rPr>
                <w:rFonts w:hint="eastAsia" w:ascii="仿宋" w:hAnsi="仿宋" w:eastAsia="仿宋" w:cs="仿宋"/>
                <w:color w:val="auto"/>
                <w:sz w:val="24"/>
                <w:szCs w:val="24"/>
                <w:highlight w:val="none"/>
              </w:rPr>
            </w:pPr>
          </w:p>
        </w:tc>
        <w:tc>
          <w:tcPr>
            <w:tcW w:w="1470" w:type="dxa"/>
            <w:noWrap w:val="0"/>
            <w:vAlign w:val="top"/>
          </w:tcPr>
          <w:p>
            <w:pPr>
              <w:shd w:val="clear"/>
              <w:spacing w:line="360" w:lineRule="auto"/>
              <w:rPr>
                <w:rFonts w:hint="eastAsia" w:ascii="仿宋" w:hAnsi="仿宋" w:eastAsia="仿宋" w:cs="仿宋"/>
                <w:color w:val="auto"/>
                <w:sz w:val="24"/>
                <w:szCs w:val="24"/>
                <w:highlight w:val="none"/>
              </w:rPr>
            </w:pPr>
          </w:p>
        </w:tc>
        <w:tc>
          <w:tcPr>
            <w:tcW w:w="1365" w:type="dxa"/>
            <w:noWrap w:val="0"/>
            <w:vAlign w:val="top"/>
          </w:tcPr>
          <w:p>
            <w:pPr>
              <w:shd w:val="clear"/>
              <w:spacing w:line="360" w:lineRule="auto"/>
              <w:rPr>
                <w:rFonts w:hint="eastAsia" w:ascii="仿宋" w:hAnsi="仿宋" w:eastAsia="仿宋" w:cs="仿宋"/>
                <w:color w:val="auto"/>
                <w:sz w:val="24"/>
                <w:szCs w:val="24"/>
                <w:highlight w:val="none"/>
              </w:rPr>
            </w:pPr>
          </w:p>
        </w:tc>
      </w:tr>
    </w:tbl>
    <w:p>
      <w:pPr>
        <w:shd w:val="clear"/>
        <w:autoSpaceDE w:val="0"/>
        <w:autoSpaceDN w:val="0"/>
        <w:adjustRightIn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说明：</w:t>
      </w:r>
    </w:p>
    <w:p>
      <w:pPr>
        <w:shd w:val="clear"/>
        <w:autoSpaceDE w:val="0"/>
        <w:autoSpaceDN w:val="0"/>
        <w:adjustRightIn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1.相关业绩需提供合同复印件</w:t>
      </w:r>
      <w:r>
        <w:rPr>
          <w:rFonts w:hint="eastAsia" w:ascii="仿宋" w:hAnsi="仿宋" w:eastAsia="仿宋" w:cs="仿宋"/>
          <w:color w:val="auto"/>
          <w:sz w:val="24"/>
          <w:szCs w:val="24"/>
          <w:highlight w:val="none"/>
          <w:lang w:val="en-US" w:eastAsia="zh-CN"/>
        </w:rPr>
        <w:t>加盖单位公章</w:t>
      </w:r>
      <w:r>
        <w:rPr>
          <w:rFonts w:hint="eastAsia" w:ascii="仿宋" w:hAnsi="仿宋" w:eastAsia="仿宋" w:cs="仿宋"/>
          <w:color w:val="auto"/>
          <w:sz w:val="24"/>
          <w:szCs w:val="24"/>
          <w:highlight w:val="none"/>
          <w:lang w:val="zh-CN"/>
        </w:rPr>
        <w:t>。</w:t>
      </w:r>
    </w:p>
    <w:p>
      <w:pPr>
        <w:shd w:val="clear"/>
        <w:autoSpaceDE w:val="0"/>
        <w:autoSpaceDN w:val="0"/>
        <w:adjustRightIn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2.供应商应如实列出以上情况，如有隐瞒，一经查实将导致其投标文件被拒绝。</w:t>
      </w:r>
    </w:p>
    <w:p>
      <w:pPr>
        <w:shd w:val="clear"/>
        <w:autoSpaceDE w:val="0"/>
        <w:autoSpaceDN w:val="0"/>
        <w:adjustRightIn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3.未按上述要求提供、填写的，评审时不予以考虑。</w:t>
      </w:r>
    </w:p>
    <w:p>
      <w:pPr>
        <w:shd w:val="clear"/>
        <w:spacing w:line="360" w:lineRule="auto"/>
        <w:ind w:right="-197" w:rightChars="-94" w:firstLine="480" w:firstLineChars="200"/>
        <w:jc w:val="left"/>
        <w:rPr>
          <w:rFonts w:hint="eastAsia" w:ascii="仿宋" w:hAnsi="仿宋" w:eastAsia="仿宋" w:cs="仿宋"/>
          <w:color w:val="auto"/>
          <w:sz w:val="24"/>
          <w:szCs w:val="24"/>
          <w:highlight w:val="none"/>
        </w:rPr>
      </w:pPr>
    </w:p>
    <w:p>
      <w:pPr>
        <w:shd w:val="clear"/>
        <w:spacing w:line="360" w:lineRule="auto"/>
        <w:ind w:right="-197" w:rightChars="-94" w:firstLine="480" w:firstLineChars="200"/>
        <w:jc w:val="left"/>
        <w:rPr>
          <w:rFonts w:hint="eastAsia" w:ascii="仿宋" w:hAnsi="仿宋" w:eastAsia="仿宋" w:cs="仿宋"/>
          <w:color w:val="auto"/>
          <w:sz w:val="24"/>
          <w:szCs w:val="24"/>
          <w:highlight w:val="none"/>
        </w:rPr>
      </w:pPr>
    </w:p>
    <w:p>
      <w:pPr>
        <w:shd w:val="clear"/>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hd w:val="clea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shd w:val="clear"/>
        <w:autoSpaceDE w:val="0"/>
        <w:autoSpaceDN w:val="0"/>
        <w:adjustRightInd w:val="0"/>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shd w:val="clea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449" w:name="_Toc28776"/>
      <w:bookmarkStart w:id="450" w:name="_Toc23592"/>
      <w:bookmarkStart w:id="451" w:name="_Toc4012"/>
      <w:bookmarkStart w:id="452" w:name="_Toc19495"/>
      <w:bookmarkStart w:id="453" w:name="_Toc3523"/>
      <w:bookmarkStart w:id="454" w:name="_Toc18036"/>
      <w:bookmarkStart w:id="455" w:name="_Toc17302"/>
      <w:bookmarkStart w:id="456" w:name="_Toc11796"/>
      <w:bookmarkStart w:id="457" w:name="_Toc16864"/>
      <w:bookmarkStart w:id="458" w:name="_Toc24201"/>
      <w:bookmarkStart w:id="459" w:name="_Toc14104"/>
      <w:bookmarkStart w:id="460" w:name="_Toc32626"/>
      <w:bookmarkStart w:id="461" w:name="_Toc32284"/>
      <w:bookmarkStart w:id="462" w:name="_Toc31387"/>
      <w:bookmarkStart w:id="463" w:name="_Toc16096"/>
      <w:bookmarkStart w:id="464" w:name="_Toc8517"/>
    </w:p>
    <w:bookmarkEnd w:id="449"/>
    <w:bookmarkEnd w:id="450"/>
    <w:bookmarkEnd w:id="451"/>
    <w:bookmarkEnd w:id="452"/>
    <w:bookmarkEnd w:id="453"/>
    <w:bookmarkEnd w:id="454"/>
    <w:bookmarkEnd w:id="455"/>
    <w:bookmarkEnd w:id="456"/>
    <w:p>
      <w:pPr>
        <w:pStyle w:val="9"/>
        <w:keepNext w:val="0"/>
        <w:keepLines w:val="0"/>
        <w:pageBreakBefore/>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szCs w:val="44"/>
          <w:highlight w:val="none"/>
        </w:rPr>
      </w:pPr>
      <w:bookmarkStart w:id="465" w:name="_Toc1958"/>
      <w:r>
        <w:rPr>
          <w:rFonts w:hint="eastAsia" w:ascii="仿宋" w:hAnsi="仿宋" w:eastAsia="仿宋" w:cs="仿宋"/>
          <w:color w:val="auto"/>
          <w:sz w:val="36"/>
          <w:highlight w:val="none"/>
          <w:lang w:val="en-US" w:eastAsia="zh-CN"/>
        </w:rPr>
        <w:t>十一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企业关系关联承诺书</w:t>
      </w:r>
      <w:bookmarkEnd w:id="457"/>
      <w:bookmarkEnd w:id="458"/>
      <w:bookmarkEnd w:id="459"/>
      <w:bookmarkEnd w:id="460"/>
      <w:bookmarkEnd w:id="461"/>
      <w:bookmarkEnd w:id="462"/>
      <w:bookmarkEnd w:id="463"/>
      <w:bookmarkEnd w:id="464"/>
      <w:bookmarkEnd w:id="465"/>
    </w:p>
    <w:p>
      <w:pPr>
        <w:shd w:val="clear"/>
        <w:spacing w:line="360" w:lineRule="auto"/>
        <w:rPr>
          <w:rFonts w:hint="eastAsia" w:ascii="仿宋" w:hAnsi="仿宋" w:eastAsia="仿宋" w:cs="仿宋"/>
          <w:color w:val="auto"/>
          <w:spacing w:val="4"/>
          <w:sz w:val="24"/>
          <w:szCs w:val="24"/>
          <w:highlight w:val="none"/>
        </w:rPr>
      </w:pPr>
    </w:p>
    <w:p>
      <w:pPr>
        <w:shd w:val="clear"/>
        <w:spacing w:line="360" w:lineRule="auto"/>
        <w:rPr>
          <w:rFonts w:hint="eastAsia" w:ascii="仿宋" w:hAnsi="仿宋" w:eastAsia="仿宋" w:cs="仿宋"/>
          <w:color w:val="auto"/>
          <w:spacing w:val="4"/>
          <w:sz w:val="24"/>
          <w:szCs w:val="24"/>
          <w:highlight w:val="none"/>
          <w:u w:val="single"/>
        </w:rPr>
      </w:pPr>
      <w:r>
        <w:rPr>
          <w:rFonts w:hint="eastAsia" w:ascii="仿宋" w:hAnsi="仿宋" w:eastAsia="仿宋" w:cs="仿宋"/>
          <w:color w:val="auto"/>
          <w:spacing w:val="4"/>
          <w:sz w:val="24"/>
          <w:szCs w:val="24"/>
          <w:highlight w:val="none"/>
        </w:rPr>
        <w:t>致：</w:t>
      </w:r>
      <w:r>
        <w:rPr>
          <w:rFonts w:hint="eastAsia" w:ascii="仿宋" w:hAnsi="仿宋" w:eastAsia="仿宋" w:cs="仿宋"/>
          <w:color w:val="auto"/>
          <w:spacing w:val="4"/>
          <w:sz w:val="24"/>
          <w:szCs w:val="24"/>
          <w:highlight w:val="none"/>
          <w:u w:val="single"/>
        </w:rPr>
        <w:t xml:space="preserve">     （采购人名称）   </w:t>
      </w:r>
    </w:p>
    <w:p>
      <w:pPr>
        <w:widowControl/>
        <w:shd w:val="clea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我方作为</w:t>
      </w:r>
      <w:r>
        <w:rPr>
          <w:rFonts w:hint="eastAsia" w:ascii="仿宋" w:hAnsi="仿宋" w:eastAsia="仿宋" w:cs="仿宋"/>
          <w:color w:val="auto"/>
          <w:kern w:val="0"/>
          <w:sz w:val="24"/>
          <w:szCs w:val="24"/>
          <w:highlight w:val="none"/>
          <w:u w:val="single"/>
        </w:rPr>
        <w:t xml:space="preserve">    （项目名称）    </w:t>
      </w:r>
      <w:r>
        <w:rPr>
          <w:rFonts w:hint="eastAsia" w:ascii="仿宋" w:hAnsi="仿宋" w:eastAsia="仿宋" w:cs="仿宋"/>
          <w:color w:val="auto"/>
          <w:kern w:val="0"/>
          <w:sz w:val="24"/>
          <w:szCs w:val="24"/>
          <w:highlight w:val="none"/>
        </w:rPr>
        <w:t>（项目编号：</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rPr>
        <w:t>，在此郑重声明：</w:t>
      </w:r>
    </w:p>
    <w:p>
      <w:pPr>
        <w:shd w:val="clea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在本项目中，不存在与其它</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负责人为同一人，有控股、管理等关联关系承诺。</w:t>
      </w:r>
    </w:p>
    <w:p>
      <w:pPr>
        <w:widowControl/>
        <w:shd w:val="clea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2、我方未为本项目提供整体设计、规范编制或者项目管理、监理、检测等服务。</w:t>
      </w:r>
    </w:p>
    <w:p>
      <w:pPr>
        <w:widowControl/>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如有不实，我方将无条件地退出本项目的采购活动，并遵照《政府采购法》有关“提供虚假材料的规定”接受处罚。 </w:t>
      </w:r>
    </w:p>
    <w:p>
      <w:pPr>
        <w:widowControl/>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特此声明。</w:t>
      </w:r>
    </w:p>
    <w:p>
      <w:pPr>
        <w:shd w:val="clear"/>
        <w:autoSpaceDE w:val="0"/>
        <w:autoSpaceDN w:val="0"/>
        <w:adjustRightInd w:val="0"/>
        <w:spacing w:line="360" w:lineRule="auto"/>
        <w:ind w:firstLine="480" w:firstLineChars="200"/>
        <w:rPr>
          <w:rFonts w:hint="eastAsia" w:ascii="仿宋" w:hAnsi="仿宋" w:eastAsia="仿宋" w:cs="仿宋"/>
          <w:color w:val="auto"/>
          <w:sz w:val="24"/>
          <w:szCs w:val="24"/>
          <w:highlight w:val="none"/>
        </w:rPr>
      </w:pPr>
    </w:p>
    <w:p>
      <w:pPr>
        <w:pStyle w:val="5"/>
        <w:shd w:val="clear"/>
        <w:ind w:firstLine="240"/>
        <w:rPr>
          <w:rFonts w:hint="eastAsia" w:ascii="仿宋" w:hAnsi="仿宋" w:eastAsia="仿宋" w:cs="仿宋"/>
          <w:color w:val="auto"/>
          <w:sz w:val="24"/>
          <w:highlight w:val="none"/>
        </w:rPr>
      </w:pPr>
    </w:p>
    <w:p>
      <w:pPr>
        <w:shd w:val="clear"/>
        <w:autoSpaceDE w:val="0"/>
        <w:autoSpaceDN w:val="0"/>
        <w:adjustRightInd w:val="0"/>
        <w:spacing w:line="360" w:lineRule="auto"/>
        <w:jc w:val="center"/>
        <w:rPr>
          <w:rFonts w:hint="eastAsia" w:ascii="仿宋" w:hAnsi="仿宋" w:eastAsia="仿宋" w:cs="仿宋"/>
          <w:b/>
          <w:color w:val="auto"/>
          <w:sz w:val="24"/>
          <w:szCs w:val="24"/>
          <w:highlight w:val="none"/>
        </w:rPr>
      </w:pPr>
    </w:p>
    <w:p>
      <w:pPr>
        <w:shd w:val="clear"/>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hd w:val="clea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shd w:val="clear"/>
        <w:spacing w:line="360" w:lineRule="auto"/>
        <w:ind w:firstLine="4080" w:firstLineChars="1700"/>
        <w:rPr>
          <w:rFonts w:hint="eastAsia" w:ascii="仿宋" w:hAnsi="仿宋" w:eastAsia="仿宋" w:cs="仿宋"/>
          <w:color w:val="auto"/>
          <w:sz w:val="32"/>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pageBreakBefore/>
        <w:shd w:val="clear"/>
        <w:spacing w:line="360" w:lineRule="auto"/>
        <w:jc w:val="center"/>
        <w:outlineLvl w:val="1"/>
        <w:rPr>
          <w:rFonts w:hint="eastAsia" w:ascii="仿宋" w:hAnsi="仿宋" w:eastAsia="仿宋" w:cs="仿宋"/>
          <w:b/>
          <w:color w:val="auto"/>
          <w:kern w:val="0"/>
          <w:sz w:val="32"/>
          <w:szCs w:val="24"/>
          <w:highlight w:val="none"/>
          <w:lang w:val="zh-CN"/>
        </w:rPr>
      </w:pPr>
      <w:bookmarkStart w:id="466" w:name="_Toc5082"/>
      <w:bookmarkStart w:id="467" w:name="_Toc26450"/>
      <w:bookmarkStart w:id="468" w:name="_Toc31226"/>
      <w:bookmarkStart w:id="469" w:name="_Toc12844"/>
      <w:bookmarkStart w:id="470" w:name="_Toc2180"/>
      <w:bookmarkStart w:id="471" w:name="_Toc2681"/>
      <w:bookmarkStart w:id="472" w:name="_Toc19643"/>
      <w:bookmarkStart w:id="473" w:name="_Toc19579"/>
      <w:bookmarkStart w:id="474" w:name="_Toc7489"/>
      <w:bookmarkStart w:id="475" w:name="_Toc26328"/>
      <w:bookmarkStart w:id="476" w:name="_Toc28697"/>
      <w:bookmarkStart w:id="477" w:name="_Toc14521"/>
      <w:r>
        <w:rPr>
          <w:rFonts w:hint="eastAsia" w:ascii="仿宋" w:hAnsi="仿宋" w:eastAsia="仿宋" w:cs="仿宋"/>
          <w:b/>
          <w:color w:val="auto"/>
          <w:kern w:val="0"/>
          <w:sz w:val="32"/>
          <w:szCs w:val="24"/>
          <w:highlight w:val="none"/>
          <w:lang w:val="zh-CN"/>
        </w:rPr>
        <w:t>十</w:t>
      </w:r>
      <w:r>
        <w:rPr>
          <w:rFonts w:hint="eastAsia" w:ascii="仿宋" w:hAnsi="仿宋" w:eastAsia="仿宋" w:cs="仿宋"/>
          <w:b/>
          <w:color w:val="auto"/>
          <w:kern w:val="0"/>
          <w:sz w:val="32"/>
          <w:szCs w:val="24"/>
          <w:highlight w:val="none"/>
          <w:lang w:val="en-US" w:eastAsia="zh-CN"/>
        </w:rPr>
        <w:t>二</w:t>
      </w:r>
      <w:r>
        <w:rPr>
          <w:rFonts w:hint="eastAsia" w:ascii="仿宋" w:hAnsi="仿宋" w:eastAsia="仿宋" w:cs="仿宋"/>
          <w:b/>
          <w:color w:val="auto"/>
          <w:kern w:val="0"/>
          <w:sz w:val="32"/>
          <w:szCs w:val="24"/>
          <w:highlight w:val="none"/>
          <w:lang w:val="zh-CN"/>
        </w:rPr>
        <w:t>、供应商廉洁自律承诺书</w:t>
      </w:r>
      <w:bookmarkEnd w:id="466"/>
      <w:bookmarkEnd w:id="467"/>
      <w:bookmarkEnd w:id="468"/>
      <w:bookmarkEnd w:id="469"/>
      <w:bookmarkEnd w:id="470"/>
      <w:bookmarkEnd w:id="471"/>
      <w:bookmarkEnd w:id="472"/>
      <w:bookmarkEnd w:id="473"/>
    </w:p>
    <w:p>
      <w:pPr>
        <w:shd w:val="clea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为了积极配合</w:t>
      </w:r>
      <w:r>
        <w:rPr>
          <w:rFonts w:hint="eastAsia" w:ascii="仿宋" w:hAnsi="仿宋" w:eastAsia="仿宋" w:cs="仿宋"/>
          <w:snapToGrid w:val="0"/>
          <w:color w:val="auto"/>
          <w:sz w:val="24"/>
          <w:szCs w:val="24"/>
          <w:highlight w:val="none"/>
          <w:u w:val="single"/>
        </w:rPr>
        <w:t xml:space="preserve">                        </w:t>
      </w:r>
      <w:r>
        <w:rPr>
          <w:rFonts w:hint="eastAsia" w:ascii="仿宋" w:hAnsi="仿宋" w:eastAsia="仿宋" w:cs="仿宋"/>
          <w:snapToGrid w:val="0"/>
          <w:color w:val="auto"/>
          <w:sz w:val="24"/>
          <w:szCs w:val="24"/>
          <w:highlight w:val="none"/>
        </w:rPr>
        <w:t>进行的</w:t>
      </w:r>
      <w:r>
        <w:rPr>
          <w:rFonts w:hint="eastAsia" w:ascii="仿宋" w:hAnsi="仿宋" w:eastAsia="仿宋" w:cs="仿宋"/>
          <w:snapToGrid w:val="0"/>
          <w:color w:val="auto"/>
          <w:sz w:val="24"/>
          <w:szCs w:val="24"/>
          <w:highlight w:val="none"/>
          <w:u w:val="single"/>
        </w:rPr>
        <w:t xml:space="preserve">                     </w:t>
      </w:r>
      <w:r>
        <w:rPr>
          <w:rFonts w:hint="eastAsia" w:ascii="仿宋" w:hAnsi="仿宋" w:eastAsia="仿宋" w:cs="仿宋"/>
          <w:snapToGrid w:val="0"/>
          <w:color w:val="auto"/>
          <w:sz w:val="24"/>
          <w:szCs w:val="24"/>
          <w:highlight w:val="none"/>
        </w:rPr>
        <w:t>招标</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"http://www.yjbys.com/" </w:instrText>
      </w:r>
      <w:r>
        <w:rPr>
          <w:rFonts w:hint="eastAsia" w:ascii="仿宋" w:hAnsi="仿宋" w:eastAsia="仿宋" w:cs="仿宋"/>
          <w:color w:val="auto"/>
          <w:sz w:val="24"/>
          <w:szCs w:val="24"/>
          <w:highlight w:val="none"/>
        </w:rPr>
        <w:fldChar w:fldCharType="separate"/>
      </w:r>
      <w:r>
        <w:rPr>
          <w:rFonts w:hint="eastAsia" w:ascii="仿宋" w:hAnsi="仿宋" w:eastAsia="仿宋" w:cs="仿宋"/>
          <w:snapToGrid w:val="0"/>
          <w:color w:val="auto"/>
          <w:sz w:val="24"/>
          <w:szCs w:val="24"/>
          <w:highlight w:val="none"/>
        </w:rPr>
        <w:t>工作</w:t>
      </w:r>
      <w:r>
        <w:rPr>
          <w:rFonts w:hint="eastAsia" w:ascii="仿宋" w:hAnsi="仿宋" w:eastAsia="仿宋" w:cs="仿宋"/>
          <w:snapToGrid w:val="0"/>
          <w:color w:val="auto"/>
          <w:sz w:val="24"/>
          <w:szCs w:val="24"/>
          <w:highlight w:val="none"/>
        </w:rPr>
        <w:fldChar w:fldCharType="end"/>
      </w:r>
      <w:r>
        <w:rPr>
          <w:rFonts w:hint="eastAsia" w:ascii="仿宋" w:hAnsi="仿宋" w:eastAsia="仿宋" w:cs="仿宋"/>
          <w:snapToGrid w:val="0"/>
          <w:color w:val="auto"/>
          <w:sz w:val="24"/>
          <w:szCs w:val="24"/>
          <w:highlight w:val="none"/>
        </w:rPr>
        <w:t>，有效遏制不公平竞争和违规违纪问题的发生，确保招标工作的公平、公正、公开，我们特向贵司郑重承诺，在政府采购过程中严格遵守下列行为准则：</w:t>
      </w:r>
    </w:p>
    <w:p>
      <w:pPr>
        <w:shd w:val="clea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1、严格遵守国家有关法律法规及相关政策，以及廉洁从业的各项规定。</w:t>
      </w:r>
    </w:p>
    <w:p>
      <w:pPr>
        <w:shd w:val="clea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2、不以围标、串标、陪标、挂靠、提供虚假信息、恶意干扰采购人、评标委员会评审等违规手段实现中标目的；</w:t>
      </w:r>
    </w:p>
    <w:p>
      <w:pPr>
        <w:shd w:val="clea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3、不以任何理由、任何形式向采购人相关工作人员或其亲戚、朋友等利益相关人行贿或馈赠礼金、有价证券、贵重物品。</w:t>
      </w:r>
    </w:p>
    <w:p>
      <w:pPr>
        <w:shd w:val="clea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4、不以任何名义为采购人相关工作人员或其亲戚、朋友等利益相关人支付、报销应由其个人支付的费用。</w:t>
      </w:r>
    </w:p>
    <w:p>
      <w:pPr>
        <w:shd w:val="clea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5、不以任何理由安排采购人相关工作人员或其亲戚、朋友等利益相关人参加健身、娱乐和旅游等活动。</w:t>
      </w:r>
    </w:p>
    <w:p>
      <w:pPr>
        <w:shd w:val="clea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6、不为采购人的业务部门、关联企业或人员，购置或提供通讯工具、交通工具、高档办公用品或装修住房等。</w:t>
      </w:r>
    </w:p>
    <w:p>
      <w:pPr>
        <w:shd w:val="clea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7、不以贿赂之外的其他方式拉拢采购方相关工作人员，使其违背公平、公开、公正竞争原则，帮助实现中标目的。</w:t>
      </w:r>
    </w:p>
    <w:p>
      <w:pPr>
        <w:shd w:val="clea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8、如果采购人相关工作人员以帮助实现成交目的为对价向</w:t>
      </w:r>
      <w:r>
        <w:rPr>
          <w:rFonts w:hint="eastAsia" w:ascii="仿宋" w:hAnsi="仿宋" w:eastAsia="仿宋" w:cs="仿宋"/>
          <w:snapToGrid w:val="0"/>
          <w:color w:val="auto"/>
          <w:sz w:val="24"/>
          <w:szCs w:val="24"/>
          <w:highlight w:val="none"/>
          <w:lang w:eastAsia="zh-CN"/>
        </w:rPr>
        <w:t>供应商</w:t>
      </w:r>
      <w:r>
        <w:rPr>
          <w:rFonts w:hint="eastAsia" w:ascii="仿宋" w:hAnsi="仿宋" w:eastAsia="仿宋" w:cs="仿宋"/>
          <w:snapToGrid w:val="0"/>
          <w:color w:val="auto"/>
          <w:sz w:val="24"/>
          <w:szCs w:val="24"/>
          <w:highlight w:val="none"/>
        </w:rPr>
        <w:t>索取贿赂或谋求其他个人利益，</w:t>
      </w:r>
      <w:r>
        <w:rPr>
          <w:rFonts w:hint="eastAsia" w:ascii="仿宋" w:hAnsi="仿宋" w:eastAsia="仿宋" w:cs="仿宋"/>
          <w:snapToGrid w:val="0"/>
          <w:color w:val="auto"/>
          <w:sz w:val="24"/>
          <w:szCs w:val="24"/>
          <w:highlight w:val="none"/>
          <w:lang w:eastAsia="zh-CN"/>
        </w:rPr>
        <w:t>供应商</w:t>
      </w:r>
      <w:r>
        <w:rPr>
          <w:rFonts w:hint="eastAsia" w:ascii="仿宋" w:hAnsi="仿宋" w:eastAsia="仿宋" w:cs="仿宋"/>
          <w:snapToGrid w:val="0"/>
          <w:color w:val="auto"/>
          <w:sz w:val="24"/>
          <w:szCs w:val="24"/>
          <w:highlight w:val="none"/>
        </w:rPr>
        <w:t>应拒绝采购人相关工作人员的要求，并向采购人监督部门举报。</w:t>
      </w:r>
    </w:p>
    <w:p>
      <w:pPr>
        <w:shd w:val="clear"/>
        <w:spacing w:line="360" w:lineRule="auto"/>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如果承诺人违背上述承诺并中标，承诺人自愿承担与贵司签订的合同无效、贵司有权拒绝支付合同款、承诺人自身损失自己承担并赔偿贵司因此产生的一切损失的民事法律责任及因此产生的刑事责任。</w:t>
      </w:r>
    </w:p>
    <w:p>
      <w:pPr>
        <w:shd w:val="clear"/>
        <w:spacing w:line="360" w:lineRule="auto"/>
        <w:ind w:firstLine="4080" w:firstLineChars="1700"/>
        <w:rPr>
          <w:rFonts w:hint="eastAsia" w:ascii="仿宋" w:hAnsi="仿宋" w:eastAsia="仿宋" w:cs="仿宋"/>
          <w:color w:val="auto"/>
          <w:sz w:val="24"/>
          <w:szCs w:val="24"/>
          <w:highlight w:val="none"/>
          <w:lang w:eastAsia="zh-CN"/>
        </w:rPr>
      </w:pPr>
      <w:bookmarkStart w:id="478" w:name="_Toc1644"/>
      <w:bookmarkStart w:id="479" w:name="_Toc25981"/>
      <w:bookmarkStart w:id="480" w:name="_Toc7233"/>
      <w:bookmarkStart w:id="481" w:name="_Toc4293"/>
    </w:p>
    <w:p>
      <w:pPr>
        <w:shd w:val="clear"/>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hd w:val="clea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pPr>
        <w:shd w:val="clea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pStyle w:val="9"/>
        <w:keepNext w:val="0"/>
        <w:pageBreakBefore/>
        <w:shd w:val="clear"/>
        <w:spacing w:line="360" w:lineRule="auto"/>
        <w:rPr>
          <w:rFonts w:hint="eastAsia" w:ascii="仿宋" w:hAnsi="仿宋" w:eastAsia="仿宋" w:cs="仿宋"/>
          <w:color w:val="auto"/>
          <w:szCs w:val="22"/>
          <w:highlight w:val="none"/>
          <w:lang w:val="zh-CN"/>
        </w:rPr>
      </w:pPr>
      <w:bookmarkStart w:id="482" w:name="_Toc25138"/>
      <w:bookmarkStart w:id="483" w:name="_Toc19539"/>
      <w:r>
        <w:rPr>
          <w:rFonts w:hint="eastAsia" w:ascii="仿宋" w:hAnsi="仿宋" w:eastAsia="仿宋" w:cs="仿宋"/>
          <w:color w:val="auto"/>
          <w:sz w:val="32"/>
          <w:szCs w:val="21"/>
          <w:highlight w:val="none"/>
        </w:rPr>
        <w:t>十</w:t>
      </w:r>
      <w:r>
        <w:rPr>
          <w:rFonts w:hint="eastAsia" w:ascii="仿宋" w:hAnsi="仿宋" w:eastAsia="仿宋" w:cs="仿宋"/>
          <w:color w:val="auto"/>
          <w:sz w:val="32"/>
          <w:szCs w:val="21"/>
          <w:highlight w:val="none"/>
          <w:lang w:val="en-US" w:eastAsia="zh-CN"/>
        </w:rPr>
        <w:t>三</w:t>
      </w:r>
      <w:r>
        <w:rPr>
          <w:rFonts w:hint="eastAsia" w:ascii="仿宋" w:hAnsi="仿宋" w:eastAsia="仿宋" w:cs="仿宋"/>
          <w:color w:val="auto"/>
          <w:sz w:val="32"/>
          <w:szCs w:val="24"/>
          <w:highlight w:val="none"/>
          <w:lang w:val="zh-CN"/>
        </w:rPr>
        <w:t>、供应商认为有必要补充说明的事项</w:t>
      </w:r>
      <w:bookmarkEnd w:id="474"/>
      <w:bookmarkEnd w:id="475"/>
      <w:bookmarkEnd w:id="476"/>
      <w:bookmarkEnd w:id="477"/>
      <w:bookmarkEnd w:id="478"/>
      <w:bookmarkEnd w:id="479"/>
      <w:bookmarkEnd w:id="480"/>
      <w:bookmarkEnd w:id="481"/>
      <w:bookmarkEnd w:id="482"/>
      <w:bookmarkEnd w:id="483"/>
    </w:p>
    <w:bookmarkEnd w:id="314"/>
    <w:bookmarkEnd w:id="315"/>
    <w:bookmarkEnd w:id="316"/>
    <w:bookmarkEnd w:id="317"/>
    <w:bookmarkEnd w:id="318"/>
    <w:bookmarkEnd w:id="319"/>
    <w:bookmarkEnd w:id="320"/>
    <w:bookmarkEnd w:id="321"/>
    <w:bookmarkEnd w:id="322"/>
    <w:p>
      <w:pPr>
        <w:shd w:val="clear"/>
        <w:rPr>
          <w:rFonts w:hint="eastAsia" w:ascii="仿宋" w:hAnsi="仿宋" w:eastAsia="仿宋" w:cs="仿宋"/>
          <w:color w:val="auto"/>
          <w:highlight w:val="none"/>
          <w:lang w:val="zh-CN"/>
        </w:rPr>
      </w:pPr>
    </w:p>
    <w:sectPr>
      <w:footerReference r:id="rId13" w:type="default"/>
      <w:pgSz w:w="11906" w:h="16838"/>
      <w:pgMar w:top="1417" w:right="1701" w:bottom="1417" w:left="1701"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hint="eastAsia" w:ascii="仿宋" w:hAnsi="仿宋" w:eastAsia="仿宋" w:cs="仿宋"/>
        <w:b/>
        <w:bCs/>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hint="eastAsia" w:ascii="仿宋" w:hAnsi="仿宋" w:eastAsia="仿宋" w:cs="仿宋"/>
        <w:b/>
        <w:bCs/>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81</w:t>
                          </w:r>
                          <w:r>
                            <w:fldChar w:fldCharType="end"/>
                          </w:r>
                          <w:r>
                            <w:t xml:space="preserve"> 页 共 </w:t>
                          </w:r>
                          <w:r>
                            <w:fldChar w:fldCharType="begin"/>
                          </w:r>
                          <w:r>
                            <w:instrText xml:space="preserve"> NUMPAGES  \* MERGEFORMAT </w:instrText>
                          </w:r>
                          <w:r>
                            <w:fldChar w:fldCharType="separate"/>
                          </w:r>
                          <w:r>
                            <w:t>109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81</w:t>
                    </w:r>
                    <w:r>
                      <w:fldChar w:fldCharType="end"/>
                    </w:r>
                    <w:r>
                      <w:t xml:space="preserve"> 页 共 </w:t>
                    </w:r>
                    <w:r>
                      <w:fldChar w:fldCharType="begin"/>
                    </w:r>
                    <w:r>
                      <w:instrText xml:space="preserve"> NUMPAGES  \* MERGEFORMAT </w:instrText>
                    </w:r>
                    <w:r>
                      <w:fldChar w:fldCharType="separate"/>
                    </w:r>
                    <w:r>
                      <w:t>109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hint="eastAsia" w:ascii="仿宋" w:hAnsi="仿宋" w:eastAsia="仿宋" w:cs="仿宋"/>
        <w:b/>
        <w:bCs/>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92</w:t>
                          </w:r>
                          <w:r>
                            <w:fldChar w:fldCharType="end"/>
                          </w:r>
                          <w:r>
                            <w:t xml:space="preserve"> 页 共 </w:t>
                          </w:r>
                          <w:r>
                            <w:fldChar w:fldCharType="begin"/>
                          </w:r>
                          <w:r>
                            <w:instrText xml:space="preserve"> NUMPAGES  \* MERGEFORMAT </w:instrText>
                          </w:r>
                          <w:r>
                            <w:fldChar w:fldCharType="separate"/>
                          </w:r>
                          <w:r>
                            <w:t>109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92</w:t>
                    </w:r>
                    <w:r>
                      <w:fldChar w:fldCharType="end"/>
                    </w:r>
                    <w:r>
                      <w:t xml:space="preserve"> 页 共 </w:t>
                    </w:r>
                    <w:r>
                      <w:fldChar w:fldCharType="begin"/>
                    </w:r>
                    <w:r>
                      <w:instrText xml:space="preserve"> NUMPAGES  \* MERGEFORMAT </w:instrText>
                    </w:r>
                    <w:r>
                      <w:fldChar w:fldCharType="separate"/>
                    </w:r>
                    <w:r>
                      <w:t>109</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hint="eastAsia" w:ascii="仿宋" w:hAnsi="仿宋" w:eastAsia="仿宋" w:cs="仿宋"/>
        <w:b/>
        <w:bCs/>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98</w:t>
                          </w:r>
                          <w:r>
                            <w:fldChar w:fldCharType="end"/>
                          </w:r>
                          <w:r>
                            <w:t xml:space="preserve"> 页 共 </w:t>
                          </w:r>
                          <w:r>
                            <w:fldChar w:fldCharType="begin"/>
                          </w:r>
                          <w:r>
                            <w:instrText xml:space="preserve"> NUMPAGES  \* MERGEFORMAT </w:instrText>
                          </w:r>
                          <w:r>
                            <w:fldChar w:fldCharType="separate"/>
                          </w:r>
                          <w:r>
                            <w:t>109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98</w:t>
                    </w:r>
                    <w:r>
                      <w:fldChar w:fldCharType="end"/>
                    </w:r>
                    <w:r>
                      <w:t xml:space="preserve"> 页 共 </w:t>
                    </w:r>
                    <w:r>
                      <w:fldChar w:fldCharType="begin"/>
                    </w:r>
                    <w:r>
                      <w:instrText xml:space="preserve"> NUMPAGES  \* MERGEFORMAT </w:instrText>
                    </w:r>
                    <w:r>
                      <w:fldChar w:fldCharType="separate"/>
                    </w:r>
                    <w:r>
                      <w:t>109</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hint="eastAsia" w:ascii="仿宋" w:hAnsi="仿宋" w:eastAsia="仿宋" w:cs="仿宋"/>
        <w:b/>
        <w:bCs/>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101</w:t>
                          </w:r>
                          <w:r>
                            <w:fldChar w:fldCharType="end"/>
                          </w:r>
                          <w:r>
                            <w:t xml:space="preserve"> 页 共 </w:t>
                          </w:r>
                          <w:r>
                            <w:fldChar w:fldCharType="begin"/>
                          </w:r>
                          <w:r>
                            <w:instrText xml:space="preserve"> NUMPAGES  \* MERGEFORMAT </w:instrText>
                          </w:r>
                          <w:r>
                            <w:fldChar w:fldCharType="separate"/>
                          </w:r>
                          <w:r>
                            <w:t>109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101</w:t>
                    </w:r>
                    <w:r>
                      <w:fldChar w:fldCharType="end"/>
                    </w:r>
                    <w:r>
                      <w:t xml:space="preserve"> 页 共 </w:t>
                    </w:r>
                    <w:r>
                      <w:fldChar w:fldCharType="begin"/>
                    </w:r>
                    <w:r>
                      <w:instrText xml:space="preserve"> NUMPAGES  \* MERGEFORMAT </w:instrText>
                    </w:r>
                    <w:r>
                      <w:fldChar w:fldCharType="separate"/>
                    </w:r>
                    <w:r>
                      <w:t>109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hint="eastAsia"/>
        <w:sz w:val="15"/>
        <w:szCs w:val="15"/>
        <w:lang w:val="en-US" w:eastAsia="zh-CN"/>
      </w:rPr>
    </w:pPr>
    <w:r>
      <w:rPr>
        <w:rFonts w:hint="eastAsia" w:ascii="仿宋" w:hAnsi="仿宋" w:eastAsia="仿宋" w:cs="仿宋"/>
        <w:b/>
        <w:bCs/>
        <w:color w:val="auto"/>
        <w:sz w:val="18"/>
        <w:szCs w:val="18"/>
        <w:lang w:val="en-US" w:eastAsia="zh-CN"/>
      </w:rPr>
      <w:t>灞桥区2021年新增教育建设奖补资金--五星中学设备采购项目（第六标段）二次招标文件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hint="eastAsia"/>
        <w:sz w:val="15"/>
        <w:szCs w:val="15"/>
        <w:lang w:val="en-US" w:eastAsia="zh-CN"/>
      </w:rPr>
    </w:pPr>
    <w:r>
      <w:rPr>
        <w:rFonts w:hint="eastAsia" w:ascii="仿宋" w:hAnsi="仿宋" w:eastAsia="仿宋" w:cs="仿宋"/>
        <w:b/>
        <w:bCs/>
        <w:color w:val="auto"/>
        <w:sz w:val="18"/>
        <w:szCs w:val="18"/>
        <w:lang w:val="en-US" w:eastAsia="zh-CN"/>
      </w:rPr>
      <w:t>灞桥区2021年新增教育建设奖补资金--五星中学设备采购项目（第六标段）二次招标文件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229C5"/>
    <w:multiLevelType w:val="singleLevel"/>
    <w:tmpl w:val="94E229C5"/>
    <w:lvl w:ilvl="0" w:tentative="0">
      <w:start w:val="1"/>
      <w:numFmt w:val="chineseCounting"/>
      <w:suff w:val="nothing"/>
      <w:lvlText w:val="%1、"/>
      <w:lvlJc w:val="left"/>
      <w:rPr>
        <w:rFonts w:hint="eastAsia"/>
      </w:rPr>
    </w:lvl>
  </w:abstractNum>
  <w:abstractNum w:abstractNumId="1">
    <w:nsid w:val="BA8B1867"/>
    <w:multiLevelType w:val="singleLevel"/>
    <w:tmpl w:val="BA8B186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wZTg4OGJkNWRkOTJlMzY2NDhhMWVjMWFhNWQxMGYifQ=="/>
  </w:docVars>
  <w:rsids>
    <w:rsidRoot w:val="618052A3"/>
    <w:rsid w:val="002344DC"/>
    <w:rsid w:val="008E09C7"/>
    <w:rsid w:val="00E9070B"/>
    <w:rsid w:val="01072ECF"/>
    <w:rsid w:val="013A2268"/>
    <w:rsid w:val="01683551"/>
    <w:rsid w:val="01BF4CFA"/>
    <w:rsid w:val="01CE2DA2"/>
    <w:rsid w:val="02F65EA5"/>
    <w:rsid w:val="030D01F5"/>
    <w:rsid w:val="033663E9"/>
    <w:rsid w:val="0424200F"/>
    <w:rsid w:val="045B4C77"/>
    <w:rsid w:val="04CD44F6"/>
    <w:rsid w:val="051B4D72"/>
    <w:rsid w:val="054C4B68"/>
    <w:rsid w:val="0560491E"/>
    <w:rsid w:val="05CB26F0"/>
    <w:rsid w:val="05E17870"/>
    <w:rsid w:val="064E2CB2"/>
    <w:rsid w:val="06DB123D"/>
    <w:rsid w:val="06E762C1"/>
    <w:rsid w:val="07030667"/>
    <w:rsid w:val="08DA1CCC"/>
    <w:rsid w:val="092F2224"/>
    <w:rsid w:val="094E1B96"/>
    <w:rsid w:val="0A195CCB"/>
    <w:rsid w:val="0AB923E4"/>
    <w:rsid w:val="0ABA0821"/>
    <w:rsid w:val="0ABD0267"/>
    <w:rsid w:val="0AC61982"/>
    <w:rsid w:val="0AC83A82"/>
    <w:rsid w:val="0B725906"/>
    <w:rsid w:val="0BC342A5"/>
    <w:rsid w:val="0C39505A"/>
    <w:rsid w:val="0DD36A09"/>
    <w:rsid w:val="0F914EE8"/>
    <w:rsid w:val="0F987A35"/>
    <w:rsid w:val="0FEE4F26"/>
    <w:rsid w:val="108A40C0"/>
    <w:rsid w:val="10953ECE"/>
    <w:rsid w:val="111C783A"/>
    <w:rsid w:val="116B3023"/>
    <w:rsid w:val="1178071A"/>
    <w:rsid w:val="13023FD9"/>
    <w:rsid w:val="13FE1DA7"/>
    <w:rsid w:val="142B7B4A"/>
    <w:rsid w:val="143F67C8"/>
    <w:rsid w:val="15011221"/>
    <w:rsid w:val="152C2ACA"/>
    <w:rsid w:val="153E1FEF"/>
    <w:rsid w:val="15E74E5F"/>
    <w:rsid w:val="161768F2"/>
    <w:rsid w:val="16FE6533"/>
    <w:rsid w:val="170E6DF4"/>
    <w:rsid w:val="17276132"/>
    <w:rsid w:val="18124DBC"/>
    <w:rsid w:val="18A63803"/>
    <w:rsid w:val="18B90CA4"/>
    <w:rsid w:val="18EB42EB"/>
    <w:rsid w:val="19297178"/>
    <w:rsid w:val="194C152D"/>
    <w:rsid w:val="1A0E3F19"/>
    <w:rsid w:val="1A121B15"/>
    <w:rsid w:val="1AF228FD"/>
    <w:rsid w:val="1B377F57"/>
    <w:rsid w:val="1B430CEF"/>
    <w:rsid w:val="1BCB0C5B"/>
    <w:rsid w:val="1C044E7D"/>
    <w:rsid w:val="1C760B0D"/>
    <w:rsid w:val="1C832EF3"/>
    <w:rsid w:val="1D5B1219"/>
    <w:rsid w:val="1D631BA7"/>
    <w:rsid w:val="1D9B202C"/>
    <w:rsid w:val="1DD871C9"/>
    <w:rsid w:val="1E017374"/>
    <w:rsid w:val="1E120164"/>
    <w:rsid w:val="1EA26830"/>
    <w:rsid w:val="1EA64545"/>
    <w:rsid w:val="1FB42CDC"/>
    <w:rsid w:val="2030768E"/>
    <w:rsid w:val="20561977"/>
    <w:rsid w:val="2070384A"/>
    <w:rsid w:val="20EF433C"/>
    <w:rsid w:val="212E2BED"/>
    <w:rsid w:val="21B30412"/>
    <w:rsid w:val="22364F87"/>
    <w:rsid w:val="2267000F"/>
    <w:rsid w:val="22710E72"/>
    <w:rsid w:val="23BD535D"/>
    <w:rsid w:val="243D57B7"/>
    <w:rsid w:val="24B347CF"/>
    <w:rsid w:val="253907E9"/>
    <w:rsid w:val="2578616C"/>
    <w:rsid w:val="276E06FD"/>
    <w:rsid w:val="27DA227F"/>
    <w:rsid w:val="28874FC7"/>
    <w:rsid w:val="28EF40E2"/>
    <w:rsid w:val="29103985"/>
    <w:rsid w:val="29313E7E"/>
    <w:rsid w:val="29CE1C23"/>
    <w:rsid w:val="2A220659"/>
    <w:rsid w:val="2C79393B"/>
    <w:rsid w:val="2C84162D"/>
    <w:rsid w:val="2CD961F5"/>
    <w:rsid w:val="2D975164"/>
    <w:rsid w:val="2E027D31"/>
    <w:rsid w:val="2E3F3DC3"/>
    <w:rsid w:val="2EB81439"/>
    <w:rsid w:val="2EDB6767"/>
    <w:rsid w:val="2EEC419D"/>
    <w:rsid w:val="2F23488F"/>
    <w:rsid w:val="2F7964B4"/>
    <w:rsid w:val="2F9F0138"/>
    <w:rsid w:val="2FE14786"/>
    <w:rsid w:val="30166359"/>
    <w:rsid w:val="30431C6F"/>
    <w:rsid w:val="307F43ED"/>
    <w:rsid w:val="30AD27CA"/>
    <w:rsid w:val="30BD2FAC"/>
    <w:rsid w:val="31681718"/>
    <w:rsid w:val="319B60D4"/>
    <w:rsid w:val="31B06E61"/>
    <w:rsid w:val="321A4DAD"/>
    <w:rsid w:val="327178C9"/>
    <w:rsid w:val="32860B5F"/>
    <w:rsid w:val="32965068"/>
    <w:rsid w:val="32A20235"/>
    <w:rsid w:val="32AC6125"/>
    <w:rsid w:val="32C93046"/>
    <w:rsid w:val="33024A12"/>
    <w:rsid w:val="33AB4423"/>
    <w:rsid w:val="34B57FB8"/>
    <w:rsid w:val="34E66BA3"/>
    <w:rsid w:val="35385DB0"/>
    <w:rsid w:val="35AD6FFF"/>
    <w:rsid w:val="35BD41C8"/>
    <w:rsid w:val="35FA112A"/>
    <w:rsid w:val="360953A3"/>
    <w:rsid w:val="365F178C"/>
    <w:rsid w:val="367403BC"/>
    <w:rsid w:val="368B1AE1"/>
    <w:rsid w:val="36E66740"/>
    <w:rsid w:val="371D7D99"/>
    <w:rsid w:val="37D854E4"/>
    <w:rsid w:val="3806579E"/>
    <w:rsid w:val="38C0120A"/>
    <w:rsid w:val="395F3A3A"/>
    <w:rsid w:val="39A139DA"/>
    <w:rsid w:val="39F8254C"/>
    <w:rsid w:val="3A2427F7"/>
    <w:rsid w:val="3AD8706D"/>
    <w:rsid w:val="3BA53C49"/>
    <w:rsid w:val="3C2E148B"/>
    <w:rsid w:val="3CF25686"/>
    <w:rsid w:val="3D3D5BAB"/>
    <w:rsid w:val="3E7D13AA"/>
    <w:rsid w:val="3EA65882"/>
    <w:rsid w:val="3F5D4F76"/>
    <w:rsid w:val="403D0274"/>
    <w:rsid w:val="40B569EF"/>
    <w:rsid w:val="412905E8"/>
    <w:rsid w:val="41EB2146"/>
    <w:rsid w:val="420E7E94"/>
    <w:rsid w:val="421D7ADC"/>
    <w:rsid w:val="4286079A"/>
    <w:rsid w:val="42B555A4"/>
    <w:rsid w:val="42D651EB"/>
    <w:rsid w:val="42EE1036"/>
    <w:rsid w:val="43446DBF"/>
    <w:rsid w:val="436B5CCE"/>
    <w:rsid w:val="43A517E0"/>
    <w:rsid w:val="456D021B"/>
    <w:rsid w:val="46043E2E"/>
    <w:rsid w:val="464B633B"/>
    <w:rsid w:val="46A95600"/>
    <w:rsid w:val="46AD5CE1"/>
    <w:rsid w:val="46BE65AA"/>
    <w:rsid w:val="46F72CBA"/>
    <w:rsid w:val="48251964"/>
    <w:rsid w:val="484A1F91"/>
    <w:rsid w:val="48666E6E"/>
    <w:rsid w:val="489D68C6"/>
    <w:rsid w:val="48C76ACB"/>
    <w:rsid w:val="48D4271A"/>
    <w:rsid w:val="49440499"/>
    <w:rsid w:val="49536D89"/>
    <w:rsid w:val="49C16FAE"/>
    <w:rsid w:val="4A7A2631"/>
    <w:rsid w:val="4A91038C"/>
    <w:rsid w:val="4B665589"/>
    <w:rsid w:val="4CC96555"/>
    <w:rsid w:val="4D324DCC"/>
    <w:rsid w:val="4E0B07C7"/>
    <w:rsid w:val="4E91125B"/>
    <w:rsid w:val="4EC60B02"/>
    <w:rsid w:val="4ED714F3"/>
    <w:rsid w:val="4EFF70A2"/>
    <w:rsid w:val="4FFE2A4D"/>
    <w:rsid w:val="503F4646"/>
    <w:rsid w:val="50F002FC"/>
    <w:rsid w:val="510E5765"/>
    <w:rsid w:val="51860B4A"/>
    <w:rsid w:val="51FC39E5"/>
    <w:rsid w:val="51FE3A81"/>
    <w:rsid w:val="52522CA0"/>
    <w:rsid w:val="526A7F2E"/>
    <w:rsid w:val="52C24E98"/>
    <w:rsid w:val="52CD68BD"/>
    <w:rsid w:val="53140DC1"/>
    <w:rsid w:val="53821D2A"/>
    <w:rsid w:val="53E96407"/>
    <w:rsid w:val="54385FC3"/>
    <w:rsid w:val="5459227D"/>
    <w:rsid w:val="546D50F9"/>
    <w:rsid w:val="55576F8D"/>
    <w:rsid w:val="55C854F9"/>
    <w:rsid w:val="569641F3"/>
    <w:rsid w:val="56D63ED7"/>
    <w:rsid w:val="57616100"/>
    <w:rsid w:val="578C3138"/>
    <w:rsid w:val="5801517A"/>
    <w:rsid w:val="581035A9"/>
    <w:rsid w:val="58676F42"/>
    <w:rsid w:val="58710332"/>
    <w:rsid w:val="58A75040"/>
    <w:rsid w:val="59520CDF"/>
    <w:rsid w:val="599E6D32"/>
    <w:rsid w:val="5A0317C0"/>
    <w:rsid w:val="5A89045F"/>
    <w:rsid w:val="5AB36363"/>
    <w:rsid w:val="5ABD64B6"/>
    <w:rsid w:val="5AF12EB1"/>
    <w:rsid w:val="5B422FE5"/>
    <w:rsid w:val="5B6135AF"/>
    <w:rsid w:val="5B710B94"/>
    <w:rsid w:val="5B8B6B3E"/>
    <w:rsid w:val="5BC83D55"/>
    <w:rsid w:val="5BDE40AB"/>
    <w:rsid w:val="5C8B72C7"/>
    <w:rsid w:val="5CCB5C1B"/>
    <w:rsid w:val="5CD56263"/>
    <w:rsid w:val="5CE645B9"/>
    <w:rsid w:val="5D025327"/>
    <w:rsid w:val="5D855C78"/>
    <w:rsid w:val="5DDE0FF4"/>
    <w:rsid w:val="5E273BE8"/>
    <w:rsid w:val="5E8D5FD6"/>
    <w:rsid w:val="5EE7689A"/>
    <w:rsid w:val="5EF33572"/>
    <w:rsid w:val="5F832BD2"/>
    <w:rsid w:val="5FA83B23"/>
    <w:rsid w:val="600330A7"/>
    <w:rsid w:val="600B4430"/>
    <w:rsid w:val="608C3C37"/>
    <w:rsid w:val="609B2F18"/>
    <w:rsid w:val="60AB52FB"/>
    <w:rsid w:val="612F0AAC"/>
    <w:rsid w:val="617B342C"/>
    <w:rsid w:val="618052A3"/>
    <w:rsid w:val="61A05A41"/>
    <w:rsid w:val="61A65A50"/>
    <w:rsid w:val="62D973EC"/>
    <w:rsid w:val="633E6B67"/>
    <w:rsid w:val="638A29AA"/>
    <w:rsid w:val="644B5969"/>
    <w:rsid w:val="65B9364A"/>
    <w:rsid w:val="66217325"/>
    <w:rsid w:val="6639491E"/>
    <w:rsid w:val="663A635E"/>
    <w:rsid w:val="663B7C52"/>
    <w:rsid w:val="669979E6"/>
    <w:rsid w:val="66E64CB8"/>
    <w:rsid w:val="67314798"/>
    <w:rsid w:val="67A81366"/>
    <w:rsid w:val="67D609B5"/>
    <w:rsid w:val="6A3C0184"/>
    <w:rsid w:val="6A421349"/>
    <w:rsid w:val="6A593808"/>
    <w:rsid w:val="6A820CB5"/>
    <w:rsid w:val="6BA83A30"/>
    <w:rsid w:val="6C441E01"/>
    <w:rsid w:val="6CA11C93"/>
    <w:rsid w:val="6CB26F15"/>
    <w:rsid w:val="6D7C1D5A"/>
    <w:rsid w:val="6D7E166E"/>
    <w:rsid w:val="6E3F249C"/>
    <w:rsid w:val="6E515ED7"/>
    <w:rsid w:val="6E923519"/>
    <w:rsid w:val="6F450537"/>
    <w:rsid w:val="6F961D52"/>
    <w:rsid w:val="6FB74706"/>
    <w:rsid w:val="70332F55"/>
    <w:rsid w:val="705661F5"/>
    <w:rsid w:val="70741DA4"/>
    <w:rsid w:val="715227D8"/>
    <w:rsid w:val="72785511"/>
    <w:rsid w:val="730051F8"/>
    <w:rsid w:val="737D0386"/>
    <w:rsid w:val="74336640"/>
    <w:rsid w:val="745F5922"/>
    <w:rsid w:val="76876B6E"/>
    <w:rsid w:val="76F70D77"/>
    <w:rsid w:val="77250723"/>
    <w:rsid w:val="77253808"/>
    <w:rsid w:val="77DF601B"/>
    <w:rsid w:val="77E02A90"/>
    <w:rsid w:val="784C1F84"/>
    <w:rsid w:val="791D0736"/>
    <w:rsid w:val="79321132"/>
    <w:rsid w:val="79746AE6"/>
    <w:rsid w:val="7A172027"/>
    <w:rsid w:val="7A210D18"/>
    <w:rsid w:val="7AF21885"/>
    <w:rsid w:val="7C043FDC"/>
    <w:rsid w:val="7C0959BF"/>
    <w:rsid w:val="7C9E1718"/>
    <w:rsid w:val="7D4E4DE2"/>
    <w:rsid w:val="7D50736D"/>
    <w:rsid w:val="7D7D49E3"/>
    <w:rsid w:val="7E080F10"/>
    <w:rsid w:val="7EA644CC"/>
    <w:rsid w:val="7ED5572A"/>
    <w:rsid w:val="7EDA196C"/>
    <w:rsid w:val="7F4D1DB6"/>
    <w:rsid w:val="7F984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link w:val="34"/>
    <w:qFormat/>
    <w:uiPriority w:val="0"/>
    <w:pPr>
      <w:keepNext/>
      <w:jc w:val="center"/>
      <w:outlineLvl w:val="0"/>
    </w:pPr>
    <w:rPr>
      <w:rFonts w:ascii="黑体" w:hAnsi="黑体"/>
      <w:b/>
      <w:kern w:val="0"/>
      <w:sz w:val="44"/>
    </w:rPr>
  </w:style>
  <w:style w:type="paragraph" w:styleId="9">
    <w:name w:val="heading 2"/>
    <w:basedOn w:val="1"/>
    <w:next w:val="1"/>
    <w:link w:val="33"/>
    <w:qFormat/>
    <w:uiPriority w:val="0"/>
    <w:pPr>
      <w:keepNext/>
      <w:spacing w:line="720" w:lineRule="exact"/>
      <w:jc w:val="center"/>
      <w:outlineLvl w:val="1"/>
    </w:pPr>
    <w:rPr>
      <w:rFonts w:ascii="黑体" w:hAnsi="黑体"/>
      <w:b/>
      <w:kern w:val="0"/>
      <w:sz w:val="44"/>
    </w:rPr>
  </w:style>
  <w:style w:type="paragraph" w:styleId="10">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11">
    <w:name w:val="heading 4"/>
    <w:basedOn w:val="1"/>
    <w:next w:val="1"/>
    <w:qFormat/>
    <w:uiPriority w:val="0"/>
    <w:pPr>
      <w:keepNext/>
      <w:spacing w:line="600" w:lineRule="exact"/>
      <w:jc w:val="center"/>
      <w:outlineLvl w:val="3"/>
    </w:pPr>
    <w:rPr>
      <w:rFonts w:ascii="楷体_GB2312" w:eastAsia="楷体_GB2312"/>
      <w:sz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semiHidden/>
    <w:unhideWhenUsed/>
    <w:qFormat/>
    <w:uiPriority w:val="99"/>
    <w:pPr>
      <w:ind w:firstLine="420" w:firstLineChars="200"/>
    </w:pPr>
  </w:style>
  <w:style w:type="paragraph" w:styleId="3">
    <w:name w:val="Body Text Indent"/>
    <w:basedOn w:val="1"/>
    <w:next w:val="4"/>
    <w:semiHidden/>
    <w:unhideWhenUsed/>
    <w:qFormat/>
    <w:uiPriority w:val="99"/>
    <w:pPr>
      <w:ind w:left="420" w:leftChars="200"/>
    </w:pPr>
  </w:style>
  <w:style w:type="paragraph" w:customStyle="1" w:styleId="4">
    <w:name w:val="font5"/>
    <w:basedOn w:val="1"/>
    <w:qFormat/>
    <w:uiPriority w:val="0"/>
    <w:pPr>
      <w:widowControl/>
      <w:spacing w:before="100" w:beforeAutospacing="1" w:after="100" w:afterAutospacing="1"/>
      <w:jc w:val="left"/>
    </w:pPr>
    <w:rPr>
      <w:rFonts w:hint="eastAsia" w:ascii="宋体" w:hAnsi="宋体"/>
      <w:kern w:val="0"/>
      <w:sz w:val="24"/>
      <w:szCs w:val="24"/>
    </w:rPr>
  </w:style>
  <w:style w:type="paragraph" w:styleId="5">
    <w:name w:val="Body Text First Indent"/>
    <w:basedOn w:val="6"/>
    <w:next w:val="1"/>
    <w:unhideWhenUsed/>
    <w:qFormat/>
    <w:uiPriority w:val="99"/>
    <w:pPr>
      <w:ind w:firstLine="420" w:firstLineChars="100"/>
    </w:pPr>
    <w:rPr>
      <w:szCs w:val="24"/>
    </w:rPr>
  </w:style>
  <w:style w:type="paragraph" w:styleId="6">
    <w:name w:val="Body Text"/>
    <w:basedOn w:val="7"/>
    <w:next w:val="7"/>
    <w:qFormat/>
    <w:uiPriority w:val="0"/>
    <w:pPr>
      <w:spacing w:after="120" w:afterLines="0"/>
    </w:pPr>
    <w:rPr>
      <w:rFonts w:ascii="Times New Roman"/>
      <w:kern w:val="2"/>
      <w:sz w:val="21"/>
    </w:rPr>
  </w:style>
  <w:style w:type="paragraph" w:customStyle="1" w:styleId="7">
    <w:name w:val="Normal"/>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styleId="12">
    <w:name w:val="Normal Indent"/>
    <w:basedOn w:val="1"/>
    <w:qFormat/>
    <w:uiPriority w:val="0"/>
    <w:pPr>
      <w:ind w:firstLine="420" w:firstLineChars="200"/>
    </w:pPr>
  </w:style>
  <w:style w:type="paragraph" w:styleId="13">
    <w:name w:val="annotation text"/>
    <w:basedOn w:val="1"/>
    <w:qFormat/>
    <w:uiPriority w:val="0"/>
    <w:pPr>
      <w:jc w:val="left"/>
    </w:pPr>
  </w:style>
  <w:style w:type="paragraph" w:styleId="14">
    <w:name w:val="toc 3"/>
    <w:basedOn w:val="1"/>
    <w:next w:val="1"/>
    <w:semiHidden/>
    <w:qFormat/>
    <w:uiPriority w:val="0"/>
    <w:pPr>
      <w:ind w:left="840" w:leftChars="400"/>
    </w:pPr>
  </w:style>
  <w:style w:type="paragraph" w:styleId="15">
    <w:name w:val="Plain Text"/>
    <w:basedOn w:val="1"/>
    <w:qFormat/>
    <w:uiPriority w:val="0"/>
    <w:rPr>
      <w:rFonts w:ascii="宋体" w:hAnsi="Courier New" w:cs="Courier New"/>
      <w:szCs w:val="21"/>
    </w:rPr>
  </w:style>
  <w:style w:type="paragraph" w:styleId="16">
    <w:name w:val="footer"/>
    <w:basedOn w:val="1"/>
    <w:next w:val="1"/>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9060"/>
      </w:tabs>
      <w:spacing w:line="360" w:lineRule="auto"/>
    </w:pPr>
  </w:style>
  <w:style w:type="paragraph" w:styleId="19">
    <w:name w:val="toc 2"/>
    <w:basedOn w:val="1"/>
    <w:next w:val="1"/>
    <w:semiHidden/>
    <w:qFormat/>
    <w:uiPriority w:val="0"/>
    <w:pPr>
      <w:tabs>
        <w:tab w:val="right" w:leader="dot" w:pos="9060"/>
      </w:tabs>
      <w:spacing w:line="360" w:lineRule="auto"/>
      <w:ind w:left="420" w:leftChars="200"/>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FollowedHyperlink"/>
    <w:basedOn w:val="23"/>
    <w:qFormat/>
    <w:uiPriority w:val="0"/>
    <w:rPr>
      <w:color w:val="333333"/>
      <w:u w:val="none"/>
    </w:rPr>
  </w:style>
  <w:style w:type="character" w:styleId="26">
    <w:name w:val="Emphasis"/>
    <w:basedOn w:val="23"/>
    <w:qFormat/>
    <w:uiPriority w:val="0"/>
  </w:style>
  <w:style w:type="character" w:styleId="27">
    <w:name w:val="HTML Definition"/>
    <w:basedOn w:val="23"/>
    <w:qFormat/>
    <w:uiPriority w:val="0"/>
    <w:rPr>
      <w:i/>
      <w:iCs/>
    </w:rPr>
  </w:style>
  <w:style w:type="character" w:styleId="28">
    <w:name w:val="Hyperlink"/>
    <w:basedOn w:val="23"/>
    <w:qFormat/>
    <w:uiPriority w:val="0"/>
    <w:rPr>
      <w:color w:val="333333"/>
      <w:u w:val="none"/>
    </w:rPr>
  </w:style>
  <w:style w:type="character" w:styleId="29">
    <w:name w:val="HTML Code"/>
    <w:basedOn w:val="23"/>
    <w:qFormat/>
    <w:uiPriority w:val="0"/>
    <w:rPr>
      <w:rFonts w:hint="default" w:ascii="Consolas" w:hAnsi="Consolas" w:eastAsia="Consolas" w:cs="Consolas"/>
      <w:color w:val="C7254E"/>
      <w:sz w:val="21"/>
      <w:szCs w:val="21"/>
      <w:shd w:val="clear" w:fill="F9F2F4"/>
    </w:rPr>
  </w:style>
  <w:style w:type="character" w:styleId="30">
    <w:name w:val="HTML Keyboard"/>
    <w:basedOn w:val="23"/>
    <w:qFormat/>
    <w:uiPriority w:val="0"/>
    <w:rPr>
      <w:rFonts w:hint="default" w:ascii="Consolas" w:hAnsi="Consolas" w:eastAsia="Consolas" w:cs="Consolas"/>
      <w:color w:val="FFFFFF"/>
      <w:sz w:val="21"/>
      <w:szCs w:val="21"/>
      <w:shd w:val="clear" w:fill="333333"/>
    </w:rPr>
  </w:style>
  <w:style w:type="character" w:styleId="31">
    <w:name w:val="HTML Sample"/>
    <w:basedOn w:val="23"/>
    <w:qFormat/>
    <w:uiPriority w:val="0"/>
    <w:rPr>
      <w:rFonts w:ascii="Consolas" w:hAnsi="Consolas" w:eastAsia="Consolas" w:cs="Consolas"/>
      <w:sz w:val="21"/>
      <w:szCs w:val="21"/>
    </w:rPr>
  </w:style>
  <w:style w:type="paragraph" w:customStyle="1" w:styleId="32">
    <w:name w:val="默认段落字体 Para Char Char Char Char"/>
    <w:basedOn w:val="1"/>
    <w:qFormat/>
    <w:uiPriority w:val="0"/>
  </w:style>
  <w:style w:type="character" w:customStyle="1" w:styleId="33">
    <w:name w:val="标题 2 Char"/>
    <w:link w:val="9"/>
    <w:qFormat/>
    <w:uiPriority w:val="0"/>
    <w:rPr>
      <w:rFonts w:ascii="黑体" w:hAnsi="黑体"/>
      <w:b/>
      <w:kern w:val="0"/>
      <w:sz w:val="44"/>
    </w:rPr>
  </w:style>
  <w:style w:type="character" w:customStyle="1" w:styleId="34">
    <w:name w:val="标题 1 Char"/>
    <w:link w:val="8"/>
    <w:qFormat/>
    <w:uiPriority w:val="0"/>
    <w:rPr>
      <w:rFonts w:ascii="黑体" w:hAnsi="黑体"/>
      <w:b/>
      <w:kern w:val="0"/>
      <w:sz w:val="44"/>
    </w:rPr>
  </w:style>
  <w:style w:type="paragraph" w:customStyle="1" w:styleId="35">
    <w:name w:val="列出段落1"/>
    <w:basedOn w:val="1"/>
    <w:qFormat/>
    <w:uiPriority w:val="34"/>
    <w:pPr>
      <w:ind w:firstLine="420" w:firstLineChars="200"/>
    </w:pPr>
    <w:rPr>
      <w:rFonts w:ascii="Calibri" w:hAnsi="Calibri" w:cs="黑体"/>
      <w:szCs w:val="22"/>
    </w:rPr>
  </w:style>
  <w:style w:type="character" w:customStyle="1" w:styleId="36">
    <w:name w:val="font61"/>
    <w:basedOn w:val="23"/>
    <w:qFormat/>
    <w:uiPriority w:val="0"/>
    <w:rPr>
      <w:rFonts w:hint="eastAsia" w:ascii="宋体" w:hAnsi="宋体" w:eastAsia="宋体" w:cs="宋体"/>
      <w:b/>
      <w:color w:val="000000"/>
      <w:sz w:val="20"/>
      <w:szCs w:val="20"/>
      <w:u w:val="none"/>
    </w:rPr>
  </w:style>
  <w:style w:type="character" w:customStyle="1" w:styleId="37">
    <w:name w:val="font11"/>
    <w:basedOn w:val="23"/>
    <w:qFormat/>
    <w:uiPriority w:val="0"/>
    <w:rPr>
      <w:rFonts w:hint="eastAsia" w:ascii="宋体" w:hAnsi="宋体" w:eastAsia="宋体" w:cs="宋体"/>
      <w:color w:val="000000"/>
      <w:sz w:val="21"/>
      <w:szCs w:val="21"/>
      <w:u w:val="none"/>
    </w:rPr>
  </w:style>
  <w:style w:type="character" w:customStyle="1" w:styleId="38">
    <w:name w:val="font01"/>
    <w:basedOn w:val="23"/>
    <w:qFormat/>
    <w:uiPriority w:val="0"/>
    <w:rPr>
      <w:rFonts w:hint="eastAsia" w:ascii="宋体" w:hAnsi="宋体" w:eastAsia="宋体" w:cs="宋体"/>
      <w:color w:val="000000"/>
      <w:sz w:val="18"/>
      <w:szCs w:val="18"/>
      <w:u w:val="none"/>
    </w:rPr>
  </w:style>
  <w:style w:type="character" w:customStyle="1" w:styleId="39">
    <w:name w:val="font21"/>
    <w:basedOn w:val="23"/>
    <w:qFormat/>
    <w:uiPriority w:val="0"/>
    <w:rPr>
      <w:rFonts w:ascii="Calibri" w:hAnsi="Calibri" w:cs="Calibri"/>
      <w:color w:val="000000"/>
      <w:sz w:val="21"/>
      <w:szCs w:val="21"/>
      <w:u w:val="none"/>
    </w:rPr>
  </w:style>
  <w:style w:type="character" w:customStyle="1" w:styleId="40">
    <w:name w:val="font51"/>
    <w:basedOn w:val="23"/>
    <w:qFormat/>
    <w:uiPriority w:val="0"/>
    <w:rPr>
      <w:rFonts w:hint="default" w:ascii="Times New Roman" w:hAnsi="Times New Roman" w:cs="Times New Roman"/>
      <w:color w:val="000000"/>
      <w:sz w:val="20"/>
      <w:szCs w:val="20"/>
      <w:u w:val="none"/>
    </w:rPr>
  </w:style>
  <w:style w:type="character" w:customStyle="1" w:styleId="41">
    <w:name w:val="font41"/>
    <w:basedOn w:val="23"/>
    <w:qFormat/>
    <w:uiPriority w:val="0"/>
    <w:rPr>
      <w:rFonts w:hint="default" w:ascii="Times New Roman" w:hAnsi="Times New Roman" w:cs="Times New Roman"/>
      <w:color w:val="000000"/>
      <w:sz w:val="20"/>
      <w:szCs w:val="20"/>
      <w:u w:val="none"/>
    </w:rPr>
  </w:style>
  <w:style w:type="character" w:customStyle="1" w:styleId="42">
    <w:name w:val="font71"/>
    <w:basedOn w:val="23"/>
    <w:qFormat/>
    <w:uiPriority w:val="0"/>
    <w:rPr>
      <w:rFonts w:hint="eastAsia" w:ascii="宋体" w:hAnsi="宋体" w:eastAsia="宋体" w:cs="宋体"/>
      <w:color w:val="FF0000"/>
      <w:sz w:val="18"/>
      <w:szCs w:val="18"/>
      <w:u w:val="none"/>
    </w:rPr>
  </w:style>
  <w:style w:type="character" w:customStyle="1" w:styleId="43">
    <w:name w:val="font31"/>
    <w:basedOn w:val="23"/>
    <w:qFormat/>
    <w:uiPriority w:val="0"/>
    <w:rPr>
      <w:rFonts w:hint="eastAsia" w:ascii="宋体" w:hAnsi="宋体" w:eastAsia="宋体" w:cs="宋体"/>
      <w:color w:val="000000"/>
      <w:sz w:val="18"/>
      <w:szCs w:val="18"/>
      <w:u w:val="none"/>
    </w:rPr>
  </w:style>
  <w:style w:type="character" w:customStyle="1" w:styleId="44">
    <w:name w:val="font101"/>
    <w:basedOn w:val="23"/>
    <w:qFormat/>
    <w:uiPriority w:val="0"/>
    <w:rPr>
      <w:rFonts w:hint="eastAsia" w:ascii="宋体" w:hAnsi="宋体" w:eastAsia="宋体" w:cs="宋体"/>
      <w:color w:val="FF0000"/>
      <w:sz w:val="18"/>
      <w:szCs w:val="18"/>
      <w:u w:val="none"/>
    </w:rPr>
  </w:style>
  <w:style w:type="character" w:customStyle="1" w:styleId="45">
    <w:name w:val="button"/>
    <w:basedOn w:val="23"/>
    <w:qFormat/>
    <w:uiPriority w:val="0"/>
  </w:style>
  <w:style w:type="character" w:customStyle="1" w:styleId="46">
    <w:name w:val="hour_pm"/>
    <w:basedOn w:val="23"/>
    <w:qFormat/>
    <w:uiPriority w:val="0"/>
  </w:style>
  <w:style w:type="character" w:customStyle="1" w:styleId="47">
    <w:name w:val="hover3"/>
    <w:basedOn w:val="23"/>
    <w:qFormat/>
    <w:uiPriority w:val="0"/>
    <w:rPr>
      <w:shd w:val="clear" w:fill="EEEEEE"/>
    </w:rPr>
  </w:style>
  <w:style w:type="character" w:customStyle="1" w:styleId="48">
    <w:name w:val="tmpztreemove_arrow"/>
    <w:basedOn w:val="23"/>
    <w:qFormat/>
    <w:uiPriority w:val="0"/>
    <w:rPr>
      <w:shd w:val="clear" w:fill="FFFFFF"/>
    </w:rPr>
  </w:style>
  <w:style w:type="character" w:customStyle="1" w:styleId="49">
    <w:name w:val="hour_am"/>
    <w:basedOn w:val="23"/>
    <w:qFormat/>
    <w:uiPriority w:val="0"/>
  </w:style>
  <w:style w:type="character" w:customStyle="1" w:styleId="50">
    <w:name w:val="old"/>
    <w:basedOn w:val="23"/>
    <w:qFormat/>
    <w:uiPriority w:val="0"/>
    <w:rPr>
      <w:color w:val="999999"/>
    </w:rPr>
  </w:style>
  <w:style w:type="character" w:customStyle="1" w:styleId="51">
    <w:name w:val="glyphicon4"/>
    <w:basedOn w:val="23"/>
    <w:qFormat/>
    <w:uiPriority w:val="0"/>
  </w:style>
  <w:style w:type="character" w:customStyle="1" w:styleId="52">
    <w:name w:val="indent"/>
    <w:basedOn w:val="23"/>
    <w:qFormat/>
    <w:uiPriority w:val="0"/>
  </w:style>
  <w:style w:type="character" w:customStyle="1" w:styleId="53">
    <w:name w:val="font112"/>
    <w:basedOn w:val="23"/>
    <w:qFormat/>
    <w:uiPriority w:val="0"/>
    <w:rPr>
      <w:rFonts w:ascii="Wingdings 2" w:hAnsi="Wingdings 2" w:eastAsia="Wingdings 2" w:cs="Wingdings 2"/>
      <w:color w:val="000000"/>
      <w:sz w:val="24"/>
      <w:szCs w:val="24"/>
      <w:u w:val="none"/>
    </w:rPr>
  </w:style>
  <w:style w:type="character" w:customStyle="1" w:styleId="54">
    <w:name w:val="font121"/>
    <w:basedOn w:val="23"/>
    <w:qFormat/>
    <w:uiPriority w:val="0"/>
    <w:rPr>
      <w:rFonts w:hint="eastAsia" w:ascii="宋体" w:hAnsi="宋体" w:eastAsia="宋体" w:cs="宋体"/>
      <w:color w:val="000000"/>
      <w:sz w:val="24"/>
      <w:szCs w:val="24"/>
      <w:u w:val="none"/>
    </w:rPr>
  </w:style>
  <w:style w:type="character" w:customStyle="1" w:styleId="55">
    <w:name w:val="font131"/>
    <w:basedOn w:val="23"/>
    <w:qFormat/>
    <w:uiPriority w:val="0"/>
    <w:rPr>
      <w:rFonts w:ascii="微软雅黑" w:hAnsi="微软雅黑" w:eastAsia="微软雅黑" w:cs="微软雅黑"/>
      <w:color w:val="000000"/>
      <w:sz w:val="24"/>
      <w:szCs w:val="24"/>
      <w:u w:val="none"/>
    </w:rPr>
  </w:style>
  <w:style w:type="character" w:customStyle="1" w:styleId="56">
    <w:name w:val="font141"/>
    <w:basedOn w:val="23"/>
    <w:qFormat/>
    <w:uiPriority w:val="0"/>
    <w:rPr>
      <w:rFonts w:ascii="微软雅黑" w:hAnsi="微软雅黑" w:eastAsia="微软雅黑" w:cs="微软雅黑"/>
      <w:color w:val="000000"/>
      <w:sz w:val="22"/>
      <w:szCs w:val="22"/>
      <w:u w:val="none"/>
    </w:rPr>
  </w:style>
  <w:style w:type="character" w:customStyle="1" w:styleId="57">
    <w:name w:val="font81"/>
    <w:basedOn w:val="23"/>
    <w:qFormat/>
    <w:uiPriority w:val="0"/>
    <w:rPr>
      <w:rFonts w:hint="eastAsia" w:ascii="仿宋" w:hAnsi="仿宋" w:eastAsia="仿宋" w:cs="仿宋"/>
      <w:color w:val="000000"/>
      <w:sz w:val="22"/>
      <w:szCs w:val="22"/>
      <w:u w:val="none"/>
    </w:rPr>
  </w:style>
  <w:style w:type="character" w:customStyle="1" w:styleId="58">
    <w:name w:val="font91"/>
    <w:basedOn w:val="23"/>
    <w:qFormat/>
    <w:uiPriority w:val="0"/>
    <w:rPr>
      <w:rFonts w:hint="eastAsia" w:ascii="仿宋" w:hAnsi="仿宋" w:eastAsia="仿宋" w:cs="仿宋"/>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39131</Words>
  <Characters>42275</Characters>
  <Lines>0</Lines>
  <Paragraphs>0</Paragraphs>
  <TotalTime>22</TotalTime>
  <ScaleCrop>false</ScaleCrop>
  <LinksUpToDate>false</LinksUpToDate>
  <CharactersWithSpaces>45326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2020-09-11T01:34:00Z</dcterms:created>
  <dc:creator>Administrator</dc:creator>
  <cp:lastModifiedBy>张亚娜</cp:lastModifiedBy>
  <cp:lastPrinted>2021-02-09T03:28:00Z</cp:lastPrinted>
  <dcterms:modified xsi:type="dcterms:W3CDTF">2022-08-19T10:57:59Z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B610F5A96EC44638B115B5ACE7CBA15B</vt:lpwstr>
  </property>
</Properties>
</file>