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sz w:val="36"/>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SXZCZB2022-ZCCS-0619</w:t>
      </w:r>
    </w:p>
    <w:p>
      <w:pPr>
        <w:rPr>
          <w:rFonts w:hAnsi="宋体" w:cs="宋体"/>
          <w:b/>
          <w:sz w:val="36"/>
          <w:highlight w:val="none"/>
        </w:rPr>
      </w:pPr>
    </w:p>
    <w:p>
      <w:pPr>
        <w:rPr>
          <w:rFonts w:hAnsi="宋体" w:cs="宋体"/>
          <w:b/>
          <w:sz w:val="36"/>
          <w:highlight w:val="none"/>
        </w:rPr>
      </w:pPr>
    </w:p>
    <w:p>
      <w:pPr>
        <w:jc w:val="center"/>
        <w:rPr>
          <w:rFonts w:hAnsi="宋体" w:cs="宋体"/>
          <w:b/>
          <w:bCs/>
          <w:sz w:val="52"/>
          <w:szCs w:val="52"/>
          <w:highlight w:val="none"/>
        </w:rPr>
      </w:pPr>
    </w:p>
    <w:p>
      <w:pPr>
        <w:pStyle w:val="29"/>
        <w:rPr>
          <w:highlight w:val="none"/>
        </w:rPr>
      </w:pPr>
    </w:p>
    <w:p>
      <w:pPr>
        <w:jc w:val="center"/>
        <w:rPr>
          <w:rFonts w:hint="eastAsia" w:hAnsi="宋体" w:eastAsia="宋体" w:cs="宋体"/>
          <w:b/>
          <w:bCs/>
          <w:sz w:val="48"/>
          <w:szCs w:val="48"/>
          <w:highlight w:val="none"/>
          <w:lang w:eastAsia="zh-CN"/>
        </w:rPr>
      </w:pPr>
      <w:r>
        <w:rPr>
          <w:rFonts w:hint="eastAsia" w:hAnsi="宋体" w:cs="宋体"/>
          <w:b/>
          <w:bCs/>
          <w:sz w:val="72"/>
          <w:szCs w:val="72"/>
          <w:highlight w:val="none"/>
          <w:lang w:eastAsia="zh-CN"/>
        </w:rPr>
        <w:t>塑胶操场翻新改造工程</w:t>
      </w:r>
    </w:p>
    <w:p>
      <w:pPr>
        <w:jc w:val="center"/>
        <w:rPr>
          <w:rFonts w:hAnsi="宋体" w:cs="宋体"/>
          <w:b/>
          <w:sz w:val="72"/>
          <w:szCs w:val="72"/>
          <w:highlight w:val="none"/>
        </w:rPr>
      </w:pPr>
    </w:p>
    <w:p>
      <w:pPr>
        <w:spacing w:line="780" w:lineRule="auto"/>
        <w:jc w:val="center"/>
        <w:rPr>
          <w:rFonts w:hAnsi="宋体" w:cs="宋体"/>
          <w:b/>
          <w:sz w:val="72"/>
          <w:szCs w:val="72"/>
          <w:highlight w:val="none"/>
        </w:rPr>
      </w:pPr>
    </w:p>
    <w:p>
      <w:pPr>
        <w:spacing w:line="780" w:lineRule="auto"/>
        <w:jc w:val="center"/>
        <w:rPr>
          <w:rFonts w:hAnsi="宋体" w:cs="宋体"/>
          <w:b/>
          <w:sz w:val="72"/>
          <w:szCs w:val="72"/>
          <w:highlight w:val="none"/>
        </w:rPr>
      </w:pPr>
      <w:r>
        <w:rPr>
          <w:rFonts w:hint="eastAsia" w:hAnsi="宋体" w:cs="宋体"/>
          <w:b/>
          <w:sz w:val="72"/>
          <w:szCs w:val="72"/>
          <w:highlight w:val="none"/>
        </w:rPr>
        <w:t>竞争性磋商文件</w:t>
      </w:r>
    </w:p>
    <w:p>
      <w:pPr>
        <w:rPr>
          <w:rFonts w:hAnsi="宋体" w:cs="宋体"/>
          <w:highlight w:val="none"/>
        </w:rPr>
      </w:pPr>
      <w:bookmarkStart w:id="0" w:name="_Toc363463325"/>
    </w:p>
    <w:p>
      <w:pPr>
        <w:rPr>
          <w:rFonts w:hAnsi="宋体" w:cs="宋体"/>
          <w:highlight w:val="none"/>
        </w:rPr>
      </w:pPr>
    </w:p>
    <w:p>
      <w:pPr>
        <w:rPr>
          <w:highlight w:val="none"/>
        </w:rPr>
      </w:pPr>
    </w:p>
    <w:p>
      <w:pPr>
        <w:rPr>
          <w:rFonts w:hAnsi="宋体" w:cs="宋体"/>
          <w:highlight w:val="none"/>
        </w:rPr>
      </w:pPr>
    </w:p>
    <w:bookmarkEnd w:id="0"/>
    <w:p>
      <w:pPr>
        <w:jc w:val="center"/>
        <w:rPr>
          <w:rFonts w:hAnsi="宋体" w:cs="宋体"/>
          <w:b/>
          <w:sz w:val="36"/>
          <w:szCs w:val="36"/>
          <w:highlight w:val="none"/>
        </w:rPr>
      </w:pPr>
    </w:p>
    <w:p>
      <w:pPr>
        <w:jc w:val="both"/>
        <w:rPr>
          <w:rFonts w:hint="eastAsia" w:hAnsi="宋体" w:cs="宋体"/>
          <w:b/>
          <w:sz w:val="36"/>
          <w:szCs w:val="36"/>
          <w:highlight w:val="none"/>
          <w:lang w:eastAsia="zh-CN"/>
        </w:rPr>
      </w:pPr>
    </w:p>
    <w:p>
      <w:pPr>
        <w:jc w:val="center"/>
        <w:rPr>
          <w:rFonts w:hint="eastAsia" w:hAnsi="宋体" w:cs="宋体"/>
          <w:b/>
          <w:bCs/>
          <w:color w:val="auto"/>
          <w:sz w:val="32"/>
          <w:szCs w:val="32"/>
          <w:highlight w:val="none"/>
        </w:rPr>
      </w:pPr>
    </w:p>
    <w:p>
      <w:pPr>
        <w:jc w:val="center"/>
        <w:rPr>
          <w:rFonts w:hAnsi="宋体" w:cs="宋体"/>
          <w:b/>
          <w:bCs/>
          <w:color w:val="auto"/>
          <w:sz w:val="32"/>
          <w:szCs w:val="32"/>
          <w:highlight w:val="none"/>
        </w:rPr>
      </w:pPr>
      <w:r>
        <w:rPr>
          <w:rFonts w:hint="eastAsia" w:hAnsi="宋体" w:cs="宋体"/>
          <w:b/>
          <w:bCs/>
          <w:color w:val="auto"/>
          <w:sz w:val="32"/>
          <w:szCs w:val="32"/>
          <w:highlight w:val="none"/>
        </w:rPr>
        <w:t>陕西至诚招标咨询有限公司</w:t>
      </w:r>
    </w:p>
    <w:p>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bCs/>
          <w:sz w:val="28"/>
          <w:szCs w:val="28"/>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eastAsia="zh-CN"/>
        </w:rPr>
        <w:t>二</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eastAsia="zh-CN"/>
        </w:rPr>
        <w:t>六</w:t>
      </w:r>
      <w:r>
        <w:rPr>
          <w:rFonts w:hint="eastAsia" w:ascii="宋体" w:hAnsi="宋体" w:cs="宋体"/>
          <w:b/>
          <w:bCs/>
          <w:color w:val="auto"/>
          <w:sz w:val="32"/>
          <w:szCs w:val="32"/>
          <w:highlight w:val="none"/>
        </w:rPr>
        <w:t>月</w:t>
      </w:r>
    </w:p>
    <w:p>
      <w:pPr>
        <w:rPr>
          <w:rFonts w:hint="eastAsia" w:ascii="宋体" w:hAnsi="宋体" w:cs="宋体"/>
          <w:b/>
          <w:bCs/>
          <w:sz w:val="32"/>
          <w:szCs w:val="32"/>
          <w:highlight w:val="none"/>
        </w:rPr>
      </w:pPr>
    </w:p>
    <w:p>
      <w:pPr>
        <w:pStyle w:val="4"/>
        <w:rPr>
          <w:highlight w:val="none"/>
        </w:rPr>
        <w:sectPr>
          <w:headerReference r:id="rId4" w:type="first"/>
          <w:headerReference r:id="rId3" w:type="default"/>
          <w:footerReference r:id="rId5" w:type="default"/>
          <w:pgSz w:w="11906" w:h="16838"/>
          <w:pgMar w:top="1418" w:right="1418" w:bottom="1418" w:left="1701" w:header="851" w:footer="992" w:gutter="0"/>
          <w:cols w:space="720" w:num="1"/>
          <w:titlePg/>
          <w:docGrid w:type="lines" w:linePitch="312" w:charSpace="0"/>
        </w:sectPr>
      </w:pPr>
    </w:p>
    <w:p>
      <w:pPr>
        <w:jc w:val="center"/>
        <w:rPr>
          <w:rFonts w:hAnsi="宋体" w:cs="宋体"/>
          <w:b/>
          <w:sz w:val="44"/>
          <w:szCs w:val="44"/>
          <w:highlight w:val="none"/>
        </w:rPr>
      </w:pPr>
      <w:r>
        <w:rPr>
          <w:rFonts w:hint="eastAsia" w:hAnsi="宋体" w:cs="宋体"/>
          <w:b/>
          <w:sz w:val="44"/>
          <w:szCs w:val="44"/>
          <w:highlight w:val="none"/>
        </w:rPr>
        <w:t>目 录</w:t>
      </w:r>
    </w:p>
    <w:p>
      <w:pPr>
        <w:jc w:val="center"/>
        <w:rPr>
          <w:rFonts w:hAnsi="宋体" w:cs="宋体"/>
          <w:b/>
          <w:sz w:val="44"/>
          <w:szCs w:val="44"/>
          <w:highlight w:val="none"/>
        </w:rPr>
      </w:pP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bookmarkStart w:id="1" w:name="_Toc20858"/>
      <w:bookmarkStart w:id="2" w:name="_Toc5293"/>
      <w:bookmarkStart w:id="3" w:name="_Toc20652"/>
      <w:bookmarkStart w:id="4" w:name="_Toc16218"/>
      <w:bookmarkStart w:id="5" w:name="_Toc21518"/>
      <w:bookmarkStart w:id="6" w:name="_Toc19886"/>
      <w:bookmarkStart w:id="7" w:name="_Toc389582033"/>
      <w:bookmarkStart w:id="8" w:name="_Toc27420"/>
      <w:bookmarkStart w:id="9" w:name="_Toc363473971"/>
      <w:bookmarkStart w:id="10" w:name="_Toc363474016"/>
      <w:bookmarkStart w:id="11" w:name="_Toc403077638"/>
      <w:r>
        <w:rPr>
          <w:rFonts w:hint="eastAsia" w:hAnsi="宋体" w:cs="宋体"/>
          <w:bCs/>
          <w:sz w:val="48"/>
          <w:szCs w:val="48"/>
          <w:highlight w:val="none"/>
        </w:rPr>
        <w:fldChar w:fldCharType="begin"/>
      </w:r>
      <w:r>
        <w:rPr>
          <w:rFonts w:hint="eastAsia" w:hAnsi="宋体" w:cs="宋体"/>
          <w:bCs/>
          <w:sz w:val="48"/>
          <w:szCs w:val="48"/>
          <w:highlight w:val="none"/>
        </w:rPr>
        <w:instrText xml:space="preserve">TOC \o "1-2" \h \u </w:instrText>
      </w:r>
      <w:r>
        <w:rPr>
          <w:rFonts w:hint="eastAsia" w:hAnsi="宋体" w:cs="宋体"/>
          <w:bCs/>
          <w:sz w:val="48"/>
          <w:szCs w:val="48"/>
          <w:highlight w:val="none"/>
        </w:rPr>
        <w:fldChar w:fldCharType="separate"/>
      </w: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_Toc6659 </w:instrText>
      </w:r>
      <w:r>
        <w:rPr>
          <w:rFonts w:hint="eastAsia" w:hAnsi="宋体" w:cs="宋体"/>
          <w:bCs/>
          <w:sz w:val="32"/>
          <w:szCs w:val="48"/>
          <w:highlight w:val="none"/>
        </w:rPr>
        <w:fldChar w:fldCharType="separate"/>
      </w:r>
      <w:r>
        <w:rPr>
          <w:rFonts w:hint="eastAsia" w:ascii="宋体" w:eastAsia="宋体" w:cs="宋体"/>
          <w:bCs/>
          <w:sz w:val="32"/>
          <w:szCs w:val="44"/>
          <w:highlight w:val="none"/>
        </w:rPr>
        <w:t>第一章  竞争性磋商公告</w:t>
      </w:r>
      <w:r>
        <w:rPr>
          <w:sz w:val="32"/>
          <w:szCs w:val="22"/>
          <w:highlight w:val="none"/>
        </w:rPr>
        <w:tab/>
      </w:r>
      <w:r>
        <w:rPr>
          <w:sz w:val="32"/>
          <w:szCs w:val="22"/>
          <w:highlight w:val="none"/>
        </w:rPr>
        <w:fldChar w:fldCharType="begin"/>
      </w:r>
      <w:r>
        <w:rPr>
          <w:sz w:val="32"/>
          <w:szCs w:val="22"/>
          <w:highlight w:val="none"/>
        </w:rPr>
        <w:instrText xml:space="preserve"> PAGEREF _Toc6659 \h </w:instrText>
      </w:r>
      <w:r>
        <w:rPr>
          <w:sz w:val="32"/>
          <w:szCs w:val="22"/>
          <w:highlight w:val="none"/>
        </w:rPr>
        <w:fldChar w:fldCharType="separate"/>
      </w:r>
      <w:r>
        <w:rPr>
          <w:sz w:val="32"/>
          <w:szCs w:val="22"/>
          <w:highlight w:val="none"/>
        </w:rPr>
        <w:t>2</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_Toc19491 </w:instrText>
      </w:r>
      <w:r>
        <w:rPr>
          <w:rFonts w:hint="eastAsia" w:hAnsi="宋体" w:cs="宋体"/>
          <w:bCs/>
          <w:sz w:val="32"/>
          <w:szCs w:val="48"/>
          <w:highlight w:val="none"/>
        </w:rPr>
        <w:fldChar w:fldCharType="separate"/>
      </w:r>
      <w:r>
        <w:rPr>
          <w:rFonts w:hint="eastAsia" w:hAnsi="宋体" w:cs="宋体"/>
          <w:bCs/>
          <w:kern w:val="2"/>
          <w:sz w:val="32"/>
          <w:szCs w:val="44"/>
          <w:highlight w:val="none"/>
        </w:rPr>
        <w:t>第二章  供应商须知</w:t>
      </w:r>
      <w:r>
        <w:rPr>
          <w:sz w:val="32"/>
          <w:szCs w:val="22"/>
          <w:highlight w:val="none"/>
        </w:rPr>
        <w:tab/>
      </w:r>
      <w:r>
        <w:rPr>
          <w:sz w:val="32"/>
          <w:szCs w:val="22"/>
          <w:highlight w:val="none"/>
        </w:rPr>
        <w:fldChar w:fldCharType="begin"/>
      </w:r>
      <w:r>
        <w:rPr>
          <w:sz w:val="32"/>
          <w:szCs w:val="22"/>
          <w:highlight w:val="none"/>
        </w:rPr>
        <w:instrText xml:space="preserve"> PAGEREF _Toc19491 \h </w:instrText>
      </w:r>
      <w:r>
        <w:rPr>
          <w:sz w:val="32"/>
          <w:szCs w:val="22"/>
          <w:highlight w:val="none"/>
        </w:rPr>
        <w:fldChar w:fldCharType="separate"/>
      </w:r>
      <w:r>
        <w:rPr>
          <w:sz w:val="32"/>
          <w:szCs w:val="22"/>
          <w:highlight w:val="none"/>
        </w:rPr>
        <w:t>6</w:t>
      </w:r>
      <w:r>
        <w:rPr>
          <w:sz w:val="32"/>
          <w:szCs w:val="22"/>
          <w:highlight w:val="none"/>
        </w:rPr>
        <w:fldChar w:fldCharType="end"/>
      </w:r>
      <w:r>
        <w:rPr>
          <w:rFonts w:hint="eastAsia" w:hAnsi="宋体" w:cs="宋体"/>
          <w:bCs/>
          <w:sz w:val="32"/>
          <w:szCs w:val="48"/>
          <w:highlight w:val="none"/>
        </w:rPr>
        <w:fldChar w:fldCharType="end"/>
      </w:r>
    </w:p>
    <w:p>
      <w:pPr>
        <w:pStyle w:val="18"/>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_Toc17143 </w:instrText>
      </w:r>
      <w:r>
        <w:rPr>
          <w:rFonts w:hint="eastAsia" w:hAnsi="宋体" w:cs="宋体"/>
          <w:bCs/>
          <w:sz w:val="32"/>
          <w:szCs w:val="48"/>
          <w:highlight w:val="none"/>
        </w:rPr>
        <w:fldChar w:fldCharType="separate"/>
      </w:r>
      <w:r>
        <w:rPr>
          <w:rFonts w:hint="eastAsia" w:ascii="宋体" w:hAnsi="宋体" w:cs="宋体"/>
          <w:sz w:val="32"/>
          <w:szCs w:val="22"/>
          <w:highlight w:val="none"/>
        </w:rPr>
        <w:t>供应商须知前附表</w:t>
      </w:r>
      <w:r>
        <w:rPr>
          <w:sz w:val="32"/>
          <w:szCs w:val="22"/>
          <w:highlight w:val="none"/>
        </w:rPr>
        <w:tab/>
      </w:r>
      <w:r>
        <w:rPr>
          <w:sz w:val="32"/>
          <w:szCs w:val="22"/>
          <w:highlight w:val="none"/>
        </w:rPr>
        <w:fldChar w:fldCharType="begin"/>
      </w:r>
      <w:r>
        <w:rPr>
          <w:sz w:val="32"/>
          <w:szCs w:val="22"/>
          <w:highlight w:val="none"/>
        </w:rPr>
        <w:instrText xml:space="preserve"> PAGEREF _Toc17143 \h </w:instrText>
      </w:r>
      <w:r>
        <w:rPr>
          <w:sz w:val="32"/>
          <w:szCs w:val="22"/>
          <w:highlight w:val="none"/>
        </w:rPr>
        <w:fldChar w:fldCharType="separate"/>
      </w:r>
      <w:r>
        <w:rPr>
          <w:sz w:val="32"/>
          <w:szCs w:val="22"/>
          <w:highlight w:val="none"/>
        </w:rPr>
        <w:t>6</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_Toc17808 </w:instrText>
      </w:r>
      <w:r>
        <w:rPr>
          <w:rFonts w:hint="eastAsia" w:hAnsi="宋体" w:cs="宋体"/>
          <w:bCs/>
          <w:sz w:val="32"/>
          <w:szCs w:val="48"/>
          <w:highlight w:val="none"/>
        </w:rPr>
        <w:fldChar w:fldCharType="separate"/>
      </w:r>
      <w:r>
        <w:rPr>
          <w:rFonts w:hint="eastAsia" w:ascii="宋体" w:eastAsia="宋体" w:cs="宋体"/>
          <w:bCs/>
          <w:sz w:val="32"/>
          <w:szCs w:val="44"/>
          <w:highlight w:val="none"/>
        </w:rPr>
        <w:t xml:space="preserve">第三章  </w:t>
      </w:r>
      <w:r>
        <w:rPr>
          <w:rFonts w:hint="eastAsia" w:ascii="宋体" w:eastAsia="宋体" w:cs="宋体"/>
          <w:bCs/>
          <w:sz w:val="32"/>
          <w:szCs w:val="40"/>
          <w:highlight w:val="none"/>
        </w:rPr>
        <w:t>评审</w:t>
      </w:r>
      <w:r>
        <w:rPr>
          <w:rFonts w:hint="eastAsia" w:ascii="宋体" w:eastAsia="宋体" w:cs="宋体"/>
          <w:bCs/>
          <w:sz w:val="32"/>
          <w:szCs w:val="44"/>
          <w:highlight w:val="none"/>
        </w:rPr>
        <w:t>方法</w:t>
      </w:r>
      <w:r>
        <w:rPr>
          <w:sz w:val="32"/>
          <w:szCs w:val="22"/>
          <w:highlight w:val="none"/>
        </w:rPr>
        <w:tab/>
      </w:r>
      <w:r>
        <w:rPr>
          <w:sz w:val="32"/>
          <w:szCs w:val="22"/>
          <w:highlight w:val="none"/>
        </w:rPr>
        <w:fldChar w:fldCharType="begin"/>
      </w:r>
      <w:r>
        <w:rPr>
          <w:sz w:val="32"/>
          <w:szCs w:val="22"/>
          <w:highlight w:val="none"/>
        </w:rPr>
        <w:instrText xml:space="preserve"> PAGEREF _Toc17808 \h </w:instrText>
      </w:r>
      <w:r>
        <w:rPr>
          <w:sz w:val="32"/>
          <w:szCs w:val="22"/>
          <w:highlight w:val="none"/>
        </w:rPr>
        <w:fldChar w:fldCharType="separate"/>
      </w:r>
      <w:r>
        <w:rPr>
          <w:sz w:val="32"/>
          <w:szCs w:val="22"/>
          <w:highlight w:val="none"/>
        </w:rPr>
        <w:t>23</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_Toc7289 </w:instrText>
      </w:r>
      <w:r>
        <w:rPr>
          <w:rFonts w:hint="eastAsia" w:hAnsi="宋体" w:cs="宋体"/>
          <w:bCs/>
          <w:sz w:val="32"/>
          <w:szCs w:val="48"/>
          <w:highlight w:val="none"/>
        </w:rPr>
        <w:fldChar w:fldCharType="separate"/>
      </w:r>
      <w:r>
        <w:rPr>
          <w:rFonts w:hint="eastAsia" w:ascii="宋体" w:eastAsia="宋体" w:cs="宋体"/>
          <w:bCs/>
          <w:sz w:val="32"/>
          <w:szCs w:val="44"/>
          <w:highlight w:val="none"/>
        </w:rPr>
        <w:t>第四章  合同条款及格式</w:t>
      </w:r>
      <w:r>
        <w:rPr>
          <w:sz w:val="32"/>
          <w:szCs w:val="22"/>
          <w:highlight w:val="none"/>
        </w:rPr>
        <w:tab/>
      </w:r>
      <w:r>
        <w:rPr>
          <w:sz w:val="32"/>
          <w:szCs w:val="22"/>
          <w:highlight w:val="none"/>
        </w:rPr>
        <w:fldChar w:fldCharType="begin"/>
      </w:r>
      <w:r>
        <w:rPr>
          <w:sz w:val="32"/>
          <w:szCs w:val="22"/>
          <w:highlight w:val="none"/>
        </w:rPr>
        <w:instrText xml:space="preserve"> PAGEREF _Toc7289 \h </w:instrText>
      </w:r>
      <w:r>
        <w:rPr>
          <w:sz w:val="32"/>
          <w:szCs w:val="22"/>
          <w:highlight w:val="none"/>
        </w:rPr>
        <w:fldChar w:fldCharType="separate"/>
      </w:r>
      <w:r>
        <w:rPr>
          <w:sz w:val="32"/>
          <w:szCs w:val="22"/>
          <w:highlight w:val="none"/>
        </w:rPr>
        <w:t>30</w:t>
      </w:r>
      <w:r>
        <w:rPr>
          <w:sz w:val="32"/>
          <w:szCs w:val="22"/>
          <w:highlight w:val="none"/>
        </w:rPr>
        <w:fldChar w:fldCharType="end"/>
      </w:r>
      <w:r>
        <w:rPr>
          <w:rFonts w:hint="eastAsia" w:hAnsi="宋体" w:cs="宋体"/>
          <w:bCs/>
          <w:sz w:val="32"/>
          <w:szCs w:val="48"/>
          <w:highlight w:val="none"/>
        </w:rPr>
        <w:fldChar w:fldCharType="end"/>
      </w:r>
    </w:p>
    <w:p>
      <w:pPr>
        <w:pStyle w:val="18"/>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_Toc32723 </w:instrText>
      </w:r>
      <w:r>
        <w:rPr>
          <w:rFonts w:hint="eastAsia" w:hAnsi="宋体" w:cs="宋体"/>
          <w:bCs/>
          <w:sz w:val="32"/>
          <w:szCs w:val="48"/>
          <w:highlight w:val="none"/>
        </w:rPr>
        <w:fldChar w:fldCharType="separate"/>
      </w:r>
      <w:r>
        <w:rPr>
          <w:rFonts w:hint="eastAsia" w:ascii="宋体" w:hAnsi="宋体"/>
          <w:sz w:val="32"/>
          <w:szCs w:val="22"/>
          <w:highlight w:val="none"/>
        </w:rPr>
        <w:t>合同条款及格式前附表</w:t>
      </w:r>
      <w:r>
        <w:rPr>
          <w:sz w:val="32"/>
          <w:szCs w:val="22"/>
          <w:highlight w:val="none"/>
        </w:rPr>
        <w:tab/>
      </w:r>
      <w:r>
        <w:rPr>
          <w:sz w:val="32"/>
          <w:szCs w:val="22"/>
          <w:highlight w:val="none"/>
        </w:rPr>
        <w:fldChar w:fldCharType="begin"/>
      </w:r>
      <w:r>
        <w:rPr>
          <w:sz w:val="32"/>
          <w:szCs w:val="22"/>
          <w:highlight w:val="none"/>
        </w:rPr>
        <w:instrText xml:space="preserve"> PAGEREF _Toc32723 \h </w:instrText>
      </w:r>
      <w:r>
        <w:rPr>
          <w:sz w:val="32"/>
          <w:szCs w:val="22"/>
          <w:highlight w:val="none"/>
        </w:rPr>
        <w:fldChar w:fldCharType="separate"/>
      </w:r>
      <w:r>
        <w:rPr>
          <w:sz w:val="32"/>
          <w:szCs w:val="22"/>
          <w:highlight w:val="none"/>
        </w:rPr>
        <w:t>30</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_Toc8685 </w:instrText>
      </w:r>
      <w:r>
        <w:rPr>
          <w:rFonts w:hint="eastAsia" w:hAnsi="宋体" w:cs="宋体"/>
          <w:bCs/>
          <w:sz w:val="32"/>
          <w:szCs w:val="48"/>
          <w:highlight w:val="none"/>
        </w:rPr>
        <w:fldChar w:fldCharType="separate"/>
      </w:r>
      <w:r>
        <w:rPr>
          <w:rFonts w:hint="eastAsia" w:ascii="宋体" w:eastAsia="宋体" w:cs="宋体"/>
          <w:kern w:val="0"/>
          <w:sz w:val="32"/>
          <w:szCs w:val="44"/>
          <w:highlight w:val="none"/>
        </w:rPr>
        <w:t>第五章  磋商内容及技术要求</w:t>
      </w:r>
      <w:r>
        <w:rPr>
          <w:sz w:val="32"/>
          <w:szCs w:val="22"/>
          <w:highlight w:val="none"/>
        </w:rPr>
        <w:tab/>
      </w:r>
      <w:r>
        <w:rPr>
          <w:sz w:val="32"/>
          <w:szCs w:val="22"/>
          <w:highlight w:val="none"/>
        </w:rPr>
        <w:fldChar w:fldCharType="begin"/>
      </w:r>
      <w:r>
        <w:rPr>
          <w:sz w:val="32"/>
          <w:szCs w:val="22"/>
          <w:highlight w:val="none"/>
        </w:rPr>
        <w:instrText xml:space="preserve"> PAGEREF _Toc8685 \h </w:instrText>
      </w:r>
      <w:r>
        <w:rPr>
          <w:sz w:val="32"/>
          <w:szCs w:val="22"/>
          <w:highlight w:val="none"/>
        </w:rPr>
        <w:fldChar w:fldCharType="separate"/>
      </w:r>
      <w:r>
        <w:rPr>
          <w:sz w:val="32"/>
          <w:szCs w:val="22"/>
          <w:highlight w:val="none"/>
        </w:rPr>
        <w:t>44</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32"/>
          <w:szCs w:val="22"/>
          <w:highlight w:val="none"/>
        </w:rPr>
      </w:pPr>
      <w:r>
        <w:rPr>
          <w:rFonts w:hint="eastAsia" w:hAnsi="宋体" w:cs="宋体"/>
          <w:bCs/>
          <w:sz w:val="32"/>
          <w:szCs w:val="48"/>
          <w:highlight w:val="none"/>
        </w:rPr>
        <w:fldChar w:fldCharType="begin"/>
      </w:r>
      <w:r>
        <w:rPr>
          <w:rFonts w:hint="eastAsia" w:hAnsi="宋体" w:cs="宋体"/>
          <w:bCs/>
          <w:sz w:val="32"/>
          <w:szCs w:val="48"/>
          <w:highlight w:val="none"/>
        </w:rPr>
        <w:instrText xml:space="preserve"> HYPERLINK \l _Toc25633 </w:instrText>
      </w:r>
      <w:r>
        <w:rPr>
          <w:rFonts w:hint="eastAsia" w:hAnsi="宋体" w:cs="宋体"/>
          <w:bCs/>
          <w:sz w:val="32"/>
          <w:szCs w:val="48"/>
          <w:highlight w:val="none"/>
        </w:rPr>
        <w:fldChar w:fldCharType="separate"/>
      </w:r>
      <w:r>
        <w:rPr>
          <w:rFonts w:hint="eastAsia" w:ascii="宋体" w:eastAsia="宋体" w:cs="宋体"/>
          <w:kern w:val="0"/>
          <w:sz w:val="32"/>
          <w:szCs w:val="44"/>
          <w:highlight w:val="none"/>
          <w:lang w:val="en-US" w:eastAsia="zh-CN"/>
        </w:rPr>
        <w:t>第六章  竞争性磋商响应文件格式</w:t>
      </w:r>
      <w:r>
        <w:rPr>
          <w:sz w:val="32"/>
          <w:szCs w:val="22"/>
          <w:highlight w:val="none"/>
        </w:rPr>
        <w:tab/>
      </w:r>
      <w:r>
        <w:rPr>
          <w:sz w:val="32"/>
          <w:szCs w:val="22"/>
          <w:highlight w:val="none"/>
        </w:rPr>
        <w:fldChar w:fldCharType="begin"/>
      </w:r>
      <w:r>
        <w:rPr>
          <w:sz w:val="32"/>
          <w:szCs w:val="22"/>
          <w:highlight w:val="none"/>
        </w:rPr>
        <w:instrText xml:space="preserve"> PAGEREF _Toc25633 \h </w:instrText>
      </w:r>
      <w:r>
        <w:rPr>
          <w:sz w:val="32"/>
          <w:szCs w:val="22"/>
          <w:highlight w:val="none"/>
        </w:rPr>
        <w:fldChar w:fldCharType="separate"/>
      </w:r>
      <w:r>
        <w:rPr>
          <w:sz w:val="32"/>
          <w:szCs w:val="22"/>
          <w:highlight w:val="none"/>
        </w:rPr>
        <w:t>50</w:t>
      </w:r>
      <w:r>
        <w:rPr>
          <w:sz w:val="32"/>
          <w:szCs w:val="22"/>
          <w:highlight w:val="none"/>
        </w:rPr>
        <w:fldChar w:fldCharType="end"/>
      </w:r>
      <w:r>
        <w:rPr>
          <w:rFonts w:hint="eastAsia" w:hAnsi="宋体" w:cs="宋体"/>
          <w:bCs/>
          <w:sz w:val="32"/>
          <w:szCs w:val="48"/>
          <w:highlight w:val="none"/>
        </w:rPr>
        <w:fldChar w:fldCharType="end"/>
      </w:r>
    </w:p>
    <w:p>
      <w:pPr>
        <w:pStyle w:val="16"/>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Ansi="宋体" w:cs="宋体"/>
          <w:bCs/>
          <w:sz w:val="36"/>
          <w:szCs w:val="36"/>
          <w:highlight w:val="none"/>
        </w:rPr>
      </w:pPr>
      <w:r>
        <w:rPr>
          <w:rFonts w:hint="eastAsia" w:hAnsi="宋体" w:cs="宋体"/>
          <w:bCs/>
          <w:sz w:val="32"/>
          <w:szCs w:val="48"/>
          <w:highlight w:val="none"/>
        </w:rPr>
        <w:fldChar w:fldCharType="end"/>
      </w:r>
    </w:p>
    <w:p>
      <w:pPr>
        <w:pStyle w:val="3"/>
        <w:spacing w:before="312" w:beforeLines="100"/>
        <w:jc w:val="center"/>
        <w:rPr>
          <w:rFonts w:ascii="宋体" w:eastAsia="宋体" w:cs="宋体"/>
          <w:bCs/>
          <w:sz w:val="36"/>
          <w:szCs w:val="36"/>
          <w:highlight w:val="none"/>
        </w:rPr>
        <w:sectPr>
          <w:footerReference r:id="rId7" w:type="first"/>
          <w:footerReference r:id="rId6" w:type="default"/>
          <w:pgSz w:w="11906" w:h="16838"/>
          <w:pgMar w:top="1418" w:right="1418" w:bottom="1418" w:left="1701" w:header="851" w:footer="992" w:gutter="0"/>
          <w:pgNumType w:fmt="decimal" w:start="1"/>
          <w:cols w:space="720" w:num="1"/>
          <w:titlePg/>
          <w:docGrid w:type="lines" w:linePitch="312" w:charSpace="0"/>
        </w:sectPr>
      </w:pPr>
    </w:p>
    <w:p>
      <w:pPr>
        <w:pStyle w:val="3"/>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423973071"/>
      <w:bookmarkStart w:id="13" w:name="_Toc6659"/>
      <w:bookmarkStart w:id="225" w:name="_GoBack"/>
      <w:bookmarkEnd w:id="225"/>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bookmarkStart w:id="14" w:name="_Toc389582035"/>
      <w:bookmarkStart w:id="15" w:name="_Toc2929"/>
      <w:bookmarkStart w:id="16" w:name="_Toc423973072"/>
      <w:bookmarkStart w:id="17" w:name="_Toc29249"/>
      <w:r>
        <w:rPr>
          <w:rStyle w:val="25"/>
          <w:rFonts w:hint="eastAsia" w:ascii="宋体" w:hAnsi="宋体" w:eastAsia="宋体" w:cs="宋体"/>
          <w:b/>
          <w:bCs/>
          <w:i w:val="0"/>
          <w:iCs w:val="0"/>
          <w:caps w:val="0"/>
          <w:color w:val="auto"/>
          <w:spacing w:val="0"/>
          <w:sz w:val="24"/>
          <w:szCs w:val="24"/>
          <w:highlight w:val="none"/>
          <w:shd w:val="clear" w:fill="FFFFFF"/>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塑胶操场翻新改造工程采购项目的潜在供应商应在陕西省西安市未央区未央路171-1 银池广场道拉斯财富中心21楼03室获取采购文件，并于2022年07月</w:t>
      </w:r>
      <w:r>
        <w:rPr>
          <w:rFonts w:hint="eastAsia" w:cs="宋体"/>
          <w:i w:val="0"/>
          <w:iCs w:val="0"/>
          <w:caps w:val="0"/>
          <w:color w:val="auto"/>
          <w:spacing w:val="0"/>
          <w:sz w:val="24"/>
          <w:szCs w:val="24"/>
          <w:highlight w:val="none"/>
          <w:shd w:val="clear" w:fill="FFFFFF"/>
          <w:lang w:val="en-US" w:eastAsia="zh-CN"/>
        </w:rPr>
        <w:t>04</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shd w:val="clear" w:fill="FFFFFF"/>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cs="宋体"/>
          <w:i w:val="0"/>
          <w:iCs w:val="0"/>
          <w:caps w:val="0"/>
          <w:color w:val="auto"/>
          <w:spacing w:val="0"/>
          <w:sz w:val="24"/>
          <w:szCs w:val="24"/>
          <w:highlight w:val="none"/>
          <w:shd w:val="clear" w:fill="FFFFFF"/>
          <w:lang w:eastAsia="zh-CN"/>
        </w:rPr>
        <w:t>SXZCZB2022-ZCCS-0619</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项目名称：塑胶操场翻新改造工程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采购方式：竞争性磋商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预算金额：1,805,173.18元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合同包1(塑胶操场翻新改造工程):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合同包预算金额：1,805,173.18元</w:t>
      </w:r>
    </w:p>
    <w:tbl>
      <w:tblPr>
        <w:tblStyle w:val="22"/>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5"/>
        <w:gridCol w:w="1718"/>
        <w:gridCol w:w="1794"/>
        <w:gridCol w:w="1088"/>
        <w:gridCol w:w="1270"/>
        <w:gridCol w:w="2161"/>
        <w:gridCol w:w="8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8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2" w:firstLineChars="200"/>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9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2" w:firstLineChars="200"/>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5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6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11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4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8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其他建筑物、构筑物修缮</w:t>
            </w:r>
          </w:p>
        </w:tc>
        <w:tc>
          <w:tcPr>
            <w:tcW w:w="9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塑胶操场翻新改造工程</w:t>
            </w:r>
          </w:p>
        </w:tc>
        <w:tc>
          <w:tcPr>
            <w:tcW w:w="5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6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11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1,805,173.18</w:t>
            </w:r>
          </w:p>
        </w:tc>
        <w:tc>
          <w:tcPr>
            <w:tcW w:w="4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合同履行期限：45个日历日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shd w:val="clear" w:fill="FFFFFF"/>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合同包1(塑胶操场翻新改造工程)落实政府采购政策需满足的资格要求如下: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依据《中华人民共和国政府采购法》和《中华人民共和国政府采购实施条例》的有关规定，落实政府采购“优先购买节能环保产品、扶持小微企业、监狱企业、福利企业”等相关政策。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（1）《财政部国家发展改革委关于印发〈节能产品政府采购实施意见〉的通知》（财库〔2004〕185号）；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（2）《国务院办公厅关于建立政府强制采购节能产品制度的通知》（国办发〔2007〕51号）；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（3）《财政部环保总局关于环境标志产品政府采购实施的意见》（财库〔2006〕90号）；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（4）《政府采购促进中小企业发展暂行办法》（财库【2020】46号）；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（5）《财政部司法部关于政府采购支持监狱企业发展有关问题的通知》（财库〔2014〕68号）；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（6）《三部门联合发布关于促进残疾人就业政府采购政策的通知》（财库〔2017〕141号）；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（7）《财政部发展改革委生态环境部市场监管总局关于调整优化节能产品、环境标志产品政府采购执行机制的通知》（财库〔2019〕9号）；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（8）《财政部国务院扶贫办关于运用政府采购政策支持脱贫攻坚的通知》（财库〔2019〕27号）；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（9）《陕西省中小企业政府采购信用融资办法》（陕财办采〔2018〕23号）等。</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合同包1(塑胶操场翻新改造工程)特定资格要求如下: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2、提供法定代表人授权书（附法定代表人、被授权人身份证复印件）及被授权人身份证原件（法定代表人直接参加磋商，须提供法定代表人身份证明及身份证原件）；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报告：提供2020年度或2021年度的财务审计报告（至少包括资产负债表和利润表，成立时间至提交磋商响应文件截止时间不足一年的可提供成立后任意时段的资产负债表），或开标时间前六个月内银行出具的资信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4、税收缴纳证明：提供磋商截止日前一年内已缴纳的至少一个月的纳税证明或完税证明（任意税种），依法免税的单位应提供相关证明材料；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参加本项目的供应商应具备建设行政主管部门颁发合法有效的建筑工程施工总承包三级（含三级）及以上资质或市政公用工程施工总承包三级（含三级）及以上资质同时具备合法有效的安全生产许可证；拟派项目经理具备合法有效的建筑工程专业二级（含二级）及以上注册建造师资格或市政公用工程专业二级（含二级）及以上注册建造师资格同时具备安全生产考核合格证且无在建工程（提供无在建承诺书）；</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7、提供具有履行本合同所必需的设备和专业技术能力的说明及承诺书；</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8、供应商应通过“信用中国”网站(www.creditchina.gov.cn)、中国政府采购网(www.ccgp.gov.cn)查询相关主体信用记录；</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9、参加政府采购活动前3年内，在经营活动中没有重大违法记录的书面声明；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10、本项目不接受联合体磋商。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shd w:val="clear" w:fill="FFFFFF"/>
        </w:rPr>
        <w:t>三、获取采购文件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时间：2022年06月2</w:t>
      </w:r>
      <w:r>
        <w:rPr>
          <w:rFonts w:hint="eastAsia"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日至2022年06月</w:t>
      </w:r>
      <w:r>
        <w:rPr>
          <w:rFonts w:hint="eastAsia" w:cs="宋体"/>
          <w:i w:val="0"/>
          <w:iCs w:val="0"/>
          <w:caps w:val="0"/>
          <w:color w:val="auto"/>
          <w:spacing w:val="0"/>
          <w:sz w:val="24"/>
          <w:szCs w:val="24"/>
          <w:highlight w:val="none"/>
          <w:shd w:val="clear" w:fill="FFFFFF"/>
          <w:lang w:val="en-US" w:eastAsia="zh-CN"/>
        </w:rPr>
        <w:t>28</w:t>
      </w:r>
      <w:r>
        <w:rPr>
          <w:rFonts w:hint="eastAsia" w:ascii="宋体" w:hAnsi="宋体" w:eastAsia="宋体" w:cs="宋体"/>
          <w:i w:val="0"/>
          <w:iCs w:val="0"/>
          <w:caps w:val="0"/>
          <w:color w:val="auto"/>
          <w:spacing w:val="0"/>
          <w:sz w:val="24"/>
          <w:szCs w:val="24"/>
          <w:highlight w:val="none"/>
          <w:shd w:val="clear" w:fill="FFFFFF"/>
        </w:rPr>
        <w:t>日，每天上午09:00:00至12:00:00，下午14:00:00至17:00:00（北京时间,法定节假日除外）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地点：陕西省西安市未央区未央路171-1 银池广场道拉斯财富中心21楼03室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方式：现场获取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售价：免费获取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shd w:val="clear" w:fill="FFFFFF"/>
        </w:rPr>
        <w:t>四、响应文件提交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截止时间：2022年07月0</w:t>
      </w:r>
      <w:r>
        <w:rPr>
          <w:rFonts w:hint="eastAsia"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ascii="宋体" w:hAnsi="宋体" w:eastAsia="宋体"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时</w:t>
      </w:r>
      <w:r>
        <w:rPr>
          <w:rFonts w:hint="eastAsia" w:ascii="宋体" w:hAnsi="宋体" w:eastAsia="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地点：陕西省西安市未央区未央路171-1 银池广场道拉斯财富中心21楼03室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shd w:val="clear" w:fill="FFFFFF"/>
        </w:rPr>
        <w:t>五、开启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时间：2022年07月0</w:t>
      </w:r>
      <w:r>
        <w:rPr>
          <w:rFonts w:hint="eastAsia"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ascii="宋体" w:hAnsi="宋体" w:eastAsia="宋体"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时</w:t>
      </w:r>
      <w:r>
        <w:rPr>
          <w:rFonts w:hint="eastAsia" w:ascii="宋体" w:hAnsi="宋体" w:eastAsia="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地点：陕西省西安市未央区未央路171-1 银池广场道拉斯财富中心21楼03室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shd w:val="clear" w:fill="FFFFFF"/>
        </w:rPr>
        <w:t>六、公告期限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shd w:val="clear" w:fill="FFFFFF"/>
        </w:rPr>
        <w:t>七、其他补充事宜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1、获取竞争性磋商文件须提供被授权人身份证原件、单位介绍信原件、加盖供应商鲜章的身份证复印件；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2、本项目专门面向中小企业采购。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5"/>
          <w:rFonts w:hint="eastAsia" w:ascii="宋体" w:hAnsi="宋体" w:eastAsia="宋体" w:cs="宋体"/>
          <w:b/>
          <w:bCs/>
          <w:i w:val="0"/>
          <w:iCs w:val="0"/>
          <w:caps w:val="0"/>
          <w:color w:val="auto"/>
          <w:spacing w:val="0"/>
          <w:sz w:val="24"/>
          <w:szCs w:val="24"/>
          <w:highlight w:val="none"/>
          <w:shd w:val="clear" w:fill="FFFFFF"/>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名称：西安市第六十六中学</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地址：西安市未央区凤城四路7号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cs="宋体"/>
          <w:i w:val="0"/>
          <w:iCs w:val="0"/>
          <w:caps w:val="0"/>
          <w:color w:val="auto"/>
          <w:spacing w:val="0"/>
          <w:sz w:val="24"/>
          <w:szCs w:val="24"/>
          <w:highlight w:val="none"/>
          <w:shd w:val="clear" w:fill="FFFFFF"/>
          <w:lang w:eastAsia="zh-CN"/>
        </w:rPr>
        <w:t>029-86511708转8835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名称：陕西至诚招标咨询有限公司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地址：陕西省西安市未央区未央路171-1 银池广场道拉斯财富中心21楼03室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项目联系人：康乐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电话：029-88219779</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222222"/>
          <w:spacing w:val="0"/>
          <w:sz w:val="21"/>
          <w:szCs w:val="21"/>
          <w:highlight w:val="none"/>
        </w:rPr>
      </w:pPr>
    </w:p>
    <w:p>
      <w:pPr>
        <w:spacing w:line="560" w:lineRule="exact"/>
        <w:rPr>
          <w:rFonts w:hAnsi="宋体" w:cs="宋体"/>
          <w:szCs w:val="24"/>
          <w:highlight w:val="none"/>
        </w:rPr>
      </w:pPr>
    </w:p>
    <w:p>
      <w:pPr>
        <w:kinsoku w:val="0"/>
        <w:spacing w:line="348" w:lineRule="auto"/>
        <w:ind w:firstLine="480" w:firstLineChars="200"/>
        <w:jc w:val="left"/>
        <w:rPr>
          <w:rFonts w:hAnsi="宋体" w:cs="宋体"/>
          <w:szCs w:val="24"/>
          <w:highlight w:val="none"/>
        </w:rPr>
      </w:pPr>
      <w:r>
        <w:rPr>
          <w:rFonts w:hint="eastAsia" w:hAnsi="宋体" w:cs="宋体"/>
          <w:szCs w:val="24"/>
          <w:highlight w:val="none"/>
        </w:rPr>
        <w:t xml:space="preserve">                                             陕西至诚招标咨询有限公司</w:t>
      </w:r>
    </w:p>
    <w:p>
      <w:pPr>
        <w:spacing w:line="348" w:lineRule="auto"/>
        <w:ind w:right="119"/>
        <w:jc w:val="center"/>
        <w:rPr>
          <w:rFonts w:hAnsi="宋体" w:cs="宋体"/>
          <w:szCs w:val="24"/>
          <w:highlight w:val="none"/>
        </w:rPr>
      </w:pPr>
      <w:r>
        <w:rPr>
          <w:rFonts w:hint="eastAsia" w:hAnsi="宋体" w:cs="宋体"/>
          <w:szCs w:val="24"/>
          <w:highlight w:val="none"/>
        </w:rPr>
        <w:t xml:space="preserve">                                               </w:t>
      </w:r>
      <w:r>
        <w:rPr>
          <w:rFonts w:hint="eastAsia" w:hAnsi="宋体" w:cs="宋体"/>
          <w:szCs w:val="24"/>
          <w:highlight w:val="none"/>
          <w:lang w:val="en-US" w:eastAsia="zh-CN"/>
        </w:rPr>
        <w:t>2022</w:t>
      </w:r>
      <w:r>
        <w:rPr>
          <w:rFonts w:hint="eastAsia" w:hAnsi="宋体" w:cs="宋体"/>
          <w:szCs w:val="24"/>
          <w:highlight w:val="none"/>
        </w:rPr>
        <w:t>年</w:t>
      </w:r>
      <w:r>
        <w:rPr>
          <w:rFonts w:hint="eastAsia" w:hAnsi="宋体" w:cs="宋体"/>
          <w:szCs w:val="24"/>
          <w:highlight w:val="none"/>
          <w:lang w:val="en-US" w:eastAsia="zh-CN"/>
        </w:rPr>
        <w:t>06</w:t>
      </w:r>
      <w:r>
        <w:rPr>
          <w:rFonts w:hint="eastAsia" w:hAnsi="宋体" w:cs="宋体"/>
          <w:szCs w:val="24"/>
          <w:highlight w:val="none"/>
        </w:rPr>
        <w:t>月</w:t>
      </w:r>
      <w:r>
        <w:rPr>
          <w:rFonts w:hint="eastAsia" w:hAnsi="宋体" w:cs="宋体"/>
          <w:szCs w:val="24"/>
          <w:highlight w:val="none"/>
          <w:lang w:val="en-US" w:eastAsia="zh-CN"/>
        </w:rPr>
        <w:t>20</w:t>
      </w:r>
      <w:r>
        <w:rPr>
          <w:rFonts w:hint="eastAsia" w:hAnsi="宋体" w:cs="宋体"/>
          <w:szCs w:val="24"/>
          <w:highlight w:val="none"/>
        </w:rPr>
        <w:t>日</w:t>
      </w:r>
    </w:p>
    <w:p>
      <w:pPr>
        <w:spacing w:line="348" w:lineRule="auto"/>
        <w:ind w:right="119"/>
        <w:jc w:val="center"/>
        <w:outlineLvl w:val="0"/>
        <w:rPr>
          <w:rFonts w:hAnsi="宋体" w:cs="宋体"/>
          <w:bCs/>
          <w:sz w:val="36"/>
          <w:szCs w:val="36"/>
          <w:highlight w:val="none"/>
        </w:rPr>
      </w:pPr>
      <w:r>
        <w:rPr>
          <w:rFonts w:hint="eastAsia" w:hAnsi="宋体" w:cs="宋体"/>
          <w:bCs/>
          <w:sz w:val="36"/>
          <w:szCs w:val="36"/>
          <w:highlight w:val="none"/>
        </w:rPr>
        <w:br w:type="page"/>
      </w:r>
      <w:bookmarkStart w:id="18" w:name="_Toc19491"/>
      <w:r>
        <w:rPr>
          <w:rFonts w:hint="eastAsia" w:hAnsi="宋体" w:cs="宋体"/>
          <w:b/>
          <w:bCs/>
          <w:kern w:val="2"/>
          <w:sz w:val="36"/>
          <w:szCs w:val="36"/>
          <w:highlight w:val="none"/>
        </w:rPr>
        <w:t xml:space="preserve">第二章  </w:t>
      </w:r>
      <w:bookmarkEnd w:id="14"/>
      <w:bookmarkEnd w:id="15"/>
      <w:bookmarkStart w:id="19" w:name="OLE_LINK3"/>
      <w:r>
        <w:rPr>
          <w:rFonts w:hint="eastAsia" w:hAnsi="宋体" w:cs="宋体"/>
          <w:b/>
          <w:bCs/>
          <w:kern w:val="2"/>
          <w:sz w:val="36"/>
          <w:szCs w:val="36"/>
          <w:highlight w:val="none"/>
        </w:rPr>
        <w:t>供应商须知</w:t>
      </w:r>
      <w:bookmarkEnd w:id="16"/>
      <w:bookmarkEnd w:id="17"/>
      <w:bookmarkEnd w:id="18"/>
      <w:bookmarkEnd w:id="19"/>
    </w:p>
    <w:p>
      <w:pPr>
        <w:pStyle w:val="4"/>
        <w:widowControl w:val="0"/>
        <w:spacing w:before="120" w:after="120" w:line="360" w:lineRule="auto"/>
        <w:ind w:left="0"/>
        <w:jc w:val="center"/>
        <w:rPr>
          <w:rFonts w:ascii="宋体" w:hAnsi="宋体" w:cs="宋体"/>
          <w:sz w:val="32"/>
          <w:highlight w:val="none"/>
        </w:rPr>
      </w:pPr>
      <w:bookmarkStart w:id="20" w:name="_Toc423973073"/>
      <w:bookmarkStart w:id="21" w:name="OLE_LINK2"/>
      <w:bookmarkStart w:id="22" w:name="_Toc17143"/>
      <w:bookmarkStart w:id="23" w:name="_Toc19364"/>
      <w:r>
        <w:rPr>
          <w:rFonts w:hint="eastAsia" w:ascii="宋体" w:hAnsi="宋体" w:cs="宋体"/>
          <w:sz w:val="32"/>
          <w:highlight w:val="none"/>
        </w:rPr>
        <w:t>供应商须知前附表</w:t>
      </w:r>
      <w:bookmarkEnd w:id="20"/>
      <w:bookmarkEnd w:id="21"/>
      <w:bookmarkEnd w:id="22"/>
      <w:bookmarkEnd w:id="23"/>
    </w:p>
    <w:p>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951" w:type="dxa"/>
            <w:vAlign w:val="center"/>
          </w:tcPr>
          <w:p>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354" w:type="dxa"/>
          </w:tcPr>
          <w:p>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2.3</w:t>
            </w:r>
          </w:p>
        </w:tc>
        <w:tc>
          <w:tcPr>
            <w:tcW w:w="7354" w:type="dxa"/>
          </w:tcPr>
          <w:p>
            <w:pPr>
              <w:spacing w:line="360" w:lineRule="auto"/>
              <w:rPr>
                <w:rFonts w:hint="eastAsia" w:hAnsi="宋体" w:eastAsia="宋体" w:cs="宋体"/>
                <w:szCs w:val="24"/>
                <w:highlight w:val="none"/>
                <w:lang w:eastAsia="zh-CN"/>
              </w:rPr>
            </w:pPr>
            <w:r>
              <w:rPr>
                <w:rFonts w:hint="eastAsia" w:hAnsi="宋体" w:cs="宋体"/>
                <w:szCs w:val="24"/>
                <w:highlight w:val="none"/>
                <w:lang w:eastAsia="zh-CN"/>
              </w:rPr>
              <w:t>采</w:t>
            </w:r>
            <w:r>
              <w:rPr>
                <w:rFonts w:hint="eastAsia" w:hAnsi="宋体" w:cs="宋体"/>
                <w:szCs w:val="24"/>
                <w:highlight w:val="none"/>
                <w:lang w:val="en-US" w:eastAsia="zh-CN"/>
              </w:rPr>
              <w:t xml:space="preserve">   </w:t>
            </w:r>
            <w:r>
              <w:rPr>
                <w:rFonts w:hint="eastAsia" w:hAnsi="宋体" w:cs="宋体"/>
                <w:szCs w:val="24"/>
                <w:highlight w:val="none"/>
                <w:lang w:eastAsia="zh-CN"/>
              </w:rPr>
              <w:t>购</w:t>
            </w:r>
            <w:r>
              <w:rPr>
                <w:rFonts w:hint="eastAsia" w:hAnsi="宋体" w:cs="宋体"/>
                <w:szCs w:val="24"/>
                <w:highlight w:val="none"/>
                <w:lang w:val="en-US" w:eastAsia="zh-CN"/>
              </w:rPr>
              <w:t xml:space="preserve">   </w:t>
            </w:r>
            <w:r>
              <w:rPr>
                <w:rFonts w:hint="eastAsia" w:hAnsi="宋体" w:cs="宋体"/>
                <w:szCs w:val="24"/>
                <w:highlight w:val="none"/>
                <w:lang w:eastAsia="zh-CN"/>
              </w:rPr>
              <w:t>人：西安市第六十六中学</w:t>
            </w:r>
          </w:p>
          <w:p>
            <w:pPr>
              <w:spacing w:line="360" w:lineRule="auto"/>
              <w:rPr>
                <w:rFonts w:hAnsi="宋体" w:cs="宋体"/>
                <w:szCs w:val="24"/>
                <w:highlight w:val="none"/>
              </w:rPr>
            </w:pPr>
            <w:r>
              <w:rPr>
                <w:rFonts w:hint="eastAsia" w:hAnsi="宋体" w:cs="宋体"/>
                <w:szCs w:val="24"/>
                <w:highlight w:val="none"/>
              </w:rPr>
              <w:t>采购代理机构：陕西至诚招标咨询有限公司</w:t>
            </w:r>
          </w:p>
          <w:p>
            <w:pPr>
              <w:spacing w:line="360" w:lineRule="auto"/>
              <w:rPr>
                <w:rFonts w:hint="eastAsia" w:hAnsi="宋体" w:eastAsia="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陕西省西安市未央区未央路171-1 银池广场道拉斯财富中心21楼03室</w:t>
            </w:r>
          </w:p>
          <w:p>
            <w:pPr>
              <w:spacing w:line="360" w:lineRule="auto"/>
              <w:rPr>
                <w:rFonts w:hAnsi="宋体" w:cs="宋体"/>
                <w:szCs w:val="24"/>
                <w:highlight w:val="none"/>
              </w:rPr>
            </w:pPr>
            <w:r>
              <w:rPr>
                <w:rFonts w:hint="eastAsia" w:hAnsi="宋体" w:cs="宋体"/>
                <w:szCs w:val="24"/>
                <w:highlight w:val="none"/>
              </w:rPr>
              <w:t>邮        编：710065</w:t>
            </w:r>
          </w:p>
          <w:p>
            <w:pPr>
              <w:spacing w:line="360" w:lineRule="auto"/>
              <w:rPr>
                <w:rFonts w:hAnsi="宋体" w:cs="宋体"/>
                <w:szCs w:val="24"/>
                <w:highlight w:val="none"/>
              </w:rPr>
            </w:pPr>
            <w:r>
              <w:rPr>
                <w:rFonts w:hint="eastAsia" w:hAnsi="宋体" w:cs="宋体"/>
                <w:szCs w:val="24"/>
                <w:highlight w:val="none"/>
              </w:rPr>
              <w:t>电        话：029-88219779</w:t>
            </w:r>
          </w:p>
          <w:p>
            <w:pPr>
              <w:spacing w:line="360" w:lineRule="auto"/>
              <w:rPr>
                <w:rFonts w:hAnsi="宋体" w:cs="宋体"/>
                <w:szCs w:val="24"/>
                <w:highlight w:val="none"/>
              </w:rPr>
            </w:pPr>
            <w:r>
              <w:rPr>
                <w:rFonts w:hint="eastAsia"/>
                <w:szCs w:val="24"/>
                <w:highlight w:val="none"/>
              </w:rPr>
              <w:t>邮        箱：sxzczbzxyxgs@163.com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3.6</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9.2</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9.3</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11.1</w:t>
            </w:r>
          </w:p>
        </w:tc>
        <w:tc>
          <w:tcPr>
            <w:tcW w:w="7354" w:type="dxa"/>
          </w:tcPr>
          <w:p>
            <w:pPr>
              <w:spacing w:line="360" w:lineRule="auto"/>
              <w:ind w:firstLine="480"/>
              <w:rPr>
                <w:rFonts w:hAnsi="宋体" w:cs="宋体"/>
                <w:szCs w:val="24"/>
                <w:highlight w:val="none"/>
              </w:rPr>
            </w:pPr>
            <w:r>
              <w:rPr>
                <w:rFonts w:hint="eastAsia" w:hAnsi="宋体" w:cs="宋体"/>
                <w:szCs w:val="24"/>
                <w:highlight w:val="none"/>
              </w:rPr>
              <w:t>磋商报价：本工程发包方式为包工包料。采用</w:t>
            </w:r>
            <w:r>
              <w:rPr>
                <w:rFonts w:hint="eastAsia" w:hAnsi="宋体" w:cs="宋体"/>
                <w:szCs w:val="24"/>
                <w:highlight w:val="none"/>
                <w:lang w:eastAsia="zh-CN"/>
              </w:rPr>
              <w:t>固定总价</w:t>
            </w:r>
            <w:r>
              <w:rPr>
                <w:rFonts w:hint="eastAsia" w:hAnsi="宋体" w:cs="宋体"/>
                <w:szCs w:val="24"/>
                <w:highlight w:val="none"/>
              </w:rPr>
              <w:t>合同，包括但不限于工程施工费（人、材、机等费用）、规费、税金、项目措施费、招标代理服务费等其他一切相关费用。</w:t>
            </w:r>
          </w:p>
          <w:p>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12.1</w:t>
            </w:r>
          </w:p>
        </w:tc>
        <w:tc>
          <w:tcPr>
            <w:tcW w:w="7354" w:type="dxa"/>
          </w:tcPr>
          <w:p>
            <w:pPr>
              <w:spacing w:line="360" w:lineRule="auto"/>
              <w:rPr>
                <w:rFonts w:hAnsi="宋体" w:cs="宋体"/>
                <w:szCs w:val="24"/>
                <w:highlight w:val="none"/>
              </w:rPr>
            </w:pPr>
            <w:r>
              <w:rPr>
                <w:rFonts w:hint="eastAsia" w:hAnsi="宋体" w:cs="宋体"/>
                <w:szCs w:val="24"/>
                <w:highlight w:val="none"/>
              </w:rPr>
              <w:t>特定资格证明文件：</w:t>
            </w:r>
          </w:p>
          <w:p>
            <w:pPr>
              <w:spacing w:line="360" w:lineRule="auto"/>
              <w:ind w:firstLine="480" w:firstLineChars="200"/>
              <w:rPr>
                <w:rFonts w:hint="eastAsia" w:hAnsi="宋体" w:cs="宋体"/>
                <w:szCs w:val="24"/>
                <w:highlight w:val="none"/>
              </w:rPr>
            </w:pPr>
            <w:r>
              <w:rPr>
                <w:rFonts w:hint="eastAsia" w:hAnsi="宋体" w:cs="宋体"/>
                <w:szCs w:val="24"/>
                <w:highlight w:val="none"/>
              </w:rPr>
              <w:t>1、提供合格有效的法人或者其他组织的营业执照等证明文件，自然人的身份证明。</w:t>
            </w:r>
          </w:p>
          <w:p>
            <w:pPr>
              <w:spacing w:line="360" w:lineRule="auto"/>
              <w:ind w:firstLine="480" w:firstLineChars="200"/>
              <w:rPr>
                <w:rFonts w:hint="eastAsia"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2、提供法定代表人授权书（附法定代表人、被授权人身份证复印件）及被授权人身份证原件（法定代表人直接参加磋商，须提供法定代表人身份证明及身份证原件）；</w:t>
            </w:r>
          </w:p>
          <w:p>
            <w:pPr>
              <w:spacing w:line="360" w:lineRule="auto"/>
              <w:ind w:firstLine="480" w:firstLineChars="200"/>
              <w:rPr>
                <w:rFonts w:hint="eastAsia" w:hAnsi="宋体" w:cs="宋体"/>
                <w:szCs w:val="24"/>
                <w:highlight w:val="none"/>
              </w:rPr>
            </w:pPr>
            <w:r>
              <w:rPr>
                <w:rFonts w:hint="eastAsia" w:hAnsi="宋体" w:cs="宋体"/>
                <w:szCs w:val="24"/>
                <w:highlight w:val="none"/>
              </w:rPr>
              <w:t>3、财务状况报告：提供2020年度或2021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80" w:firstLineChars="200"/>
              <w:rPr>
                <w:rFonts w:hint="eastAsia" w:hAnsi="宋体" w:cs="宋体"/>
                <w:szCs w:val="24"/>
                <w:highlight w:val="none"/>
              </w:rPr>
            </w:pPr>
            <w:r>
              <w:rPr>
                <w:rFonts w:hint="eastAsia" w:hAnsi="宋体" w:cs="宋体"/>
                <w:szCs w:val="24"/>
                <w:highlight w:val="none"/>
              </w:rPr>
              <w:t>4、税收缴纳证明：提供磋商截止日前一年内已缴纳的至少一个月的纳税证明或完税证明（任意税种），依法免税的单位应提供相关证明材料；</w:t>
            </w:r>
          </w:p>
          <w:p>
            <w:pPr>
              <w:spacing w:line="360" w:lineRule="auto"/>
              <w:ind w:firstLine="480" w:firstLineChars="200"/>
              <w:rPr>
                <w:rFonts w:hint="eastAsia" w:hAnsi="宋体" w:cs="宋体"/>
                <w:szCs w:val="24"/>
                <w:highlight w:val="none"/>
              </w:rPr>
            </w:pPr>
            <w:r>
              <w:rPr>
                <w:rFonts w:hint="eastAsia" w:hAnsi="宋体" w:cs="宋体"/>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hAnsi="宋体" w:cs="宋体"/>
                <w:szCs w:val="24"/>
                <w:highlight w:val="none"/>
              </w:rPr>
            </w:pPr>
            <w:r>
              <w:rPr>
                <w:rFonts w:hint="eastAsia" w:hAnsi="宋体" w:cs="宋体"/>
                <w:szCs w:val="24"/>
                <w:highlight w:val="none"/>
              </w:rPr>
              <w:t>6、参加本项目的供应商应具备建设行政主管部门颁发合法有效的建筑工程施工总承包三级（含三级）及以上资质或市政公用工程施工总承包三级（含三级）及以上资质同时具备合法有效的安全生产许可证；拟派项目经理具备合法有效的建筑工程专业二级（含二级）及以上注册建造师资格或市政公用工程专业二级（含二级）及以上注册建造师资格</w:t>
            </w:r>
            <w:r>
              <w:rPr>
                <w:rFonts w:hint="eastAsia" w:hAnsi="宋体" w:cs="宋体"/>
                <w:szCs w:val="24"/>
                <w:highlight w:val="none"/>
                <w:lang w:eastAsia="zh-CN"/>
              </w:rPr>
              <w:t>同时具备</w:t>
            </w:r>
            <w:r>
              <w:rPr>
                <w:rFonts w:hint="eastAsia" w:hAnsi="宋体" w:cs="宋体"/>
                <w:szCs w:val="24"/>
                <w:highlight w:val="none"/>
              </w:rPr>
              <w:t>安全生产考核合格证且无在建工程（提供无在建承诺书）；</w:t>
            </w:r>
          </w:p>
          <w:p>
            <w:pPr>
              <w:spacing w:line="360" w:lineRule="auto"/>
              <w:ind w:firstLine="480" w:firstLineChars="200"/>
              <w:rPr>
                <w:rFonts w:hint="eastAsia" w:hAnsi="宋体" w:cs="宋体"/>
                <w:szCs w:val="24"/>
                <w:highlight w:val="none"/>
              </w:rPr>
            </w:pPr>
            <w:r>
              <w:rPr>
                <w:rFonts w:hint="eastAsia" w:hAnsi="宋体" w:cs="宋体"/>
                <w:szCs w:val="24"/>
                <w:highlight w:val="none"/>
              </w:rPr>
              <w:t>7、提供具有履行本合同所必需的设备和专业技术能力的说明及承诺书；</w:t>
            </w:r>
          </w:p>
          <w:p>
            <w:pPr>
              <w:spacing w:line="360" w:lineRule="auto"/>
              <w:ind w:firstLine="480" w:firstLineChars="200"/>
              <w:rPr>
                <w:rFonts w:hint="eastAsia" w:hAnsi="宋体" w:cs="宋体"/>
                <w:szCs w:val="24"/>
                <w:highlight w:val="none"/>
              </w:rPr>
            </w:pPr>
            <w:r>
              <w:rPr>
                <w:rFonts w:hint="eastAsia" w:hAnsi="宋体" w:cs="宋体"/>
                <w:szCs w:val="24"/>
                <w:highlight w:val="none"/>
              </w:rPr>
              <w:t>8、供应商应通过“信用中国”网站(www.creditchina.gov.cn)、中国政府采购网(www.ccgp.gov.cn) 查询相关主体信用记录；</w:t>
            </w:r>
          </w:p>
          <w:p>
            <w:pPr>
              <w:spacing w:line="360" w:lineRule="auto"/>
              <w:ind w:firstLine="480" w:firstLineChars="200"/>
              <w:rPr>
                <w:rFonts w:hint="eastAsia" w:hAnsi="宋体" w:cs="宋体"/>
                <w:szCs w:val="24"/>
                <w:highlight w:val="none"/>
              </w:rPr>
            </w:pPr>
            <w:r>
              <w:rPr>
                <w:rFonts w:hint="eastAsia" w:hAnsi="宋体" w:cs="宋体"/>
                <w:szCs w:val="24"/>
                <w:highlight w:val="none"/>
              </w:rPr>
              <w:t>9、参加政府采购活动前3年内，在经营活动中没有重大违法记录的书面声明；</w:t>
            </w:r>
          </w:p>
          <w:p>
            <w:pPr>
              <w:spacing w:line="360" w:lineRule="auto"/>
              <w:ind w:firstLine="480" w:firstLineChars="200"/>
              <w:rPr>
                <w:rFonts w:hint="eastAsia" w:hAnsi="宋体" w:cs="宋体"/>
                <w:szCs w:val="24"/>
                <w:highlight w:val="none"/>
              </w:rPr>
            </w:pPr>
            <w:r>
              <w:rPr>
                <w:rFonts w:hint="eastAsia" w:hAnsi="宋体" w:cs="宋体"/>
                <w:szCs w:val="24"/>
                <w:highlight w:val="none"/>
              </w:rPr>
              <w:t>10、本项目不接受联合体磋商。</w:t>
            </w:r>
          </w:p>
          <w:p>
            <w:pPr>
              <w:spacing w:line="360" w:lineRule="auto"/>
              <w:ind w:firstLine="482" w:firstLineChars="200"/>
              <w:rPr>
                <w:rFonts w:hAnsi="宋体" w:cs="宋体"/>
                <w:szCs w:val="24"/>
                <w:highlight w:val="none"/>
              </w:rPr>
            </w:pPr>
            <w:r>
              <w:rPr>
                <w:rFonts w:hint="eastAsia" w:hAnsi="宋体" w:cs="宋体"/>
                <w:b/>
                <w:bCs/>
                <w:szCs w:val="24"/>
                <w:highlight w:val="none"/>
              </w:rPr>
              <w:t>以上（1-</w:t>
            </w:r>
            <w:r>
              <w:rPr>
                <w:rFonts w:hint="eastAsia" w:hAnsi="宋体" w:cs="宋体"/>
                <w:b/>
                <w:bCs/>
                <w:szCs w:val="24"/>
                <w:highlight w:val="none"/>
                <w:lang w:val="en-US" w:eastAsia="zh-CN"/>
              </w:rPr>
              <w:t>9</w:t>
            </w:r>
            <w:r>
              <w:rPr>
                <w:rFonts w:hint="eastAsia" w:hAnsi="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14.4</w:t>
            </w:r>
          </w:p>
        </w:tc>
        <w:tc>
          <w:tcPr>
            <w:tcW w:w="7354" w:type="dxa"/>
          </w:tcPr>
          <w:p>
            <w:pPr>
              <w:spacing w:line="360" w:lineRule="auto"/>
              <w:ind w:firstLine="480"/>
              <w:rPr>
                <w:rFonts w:hint="eastAsia" w:hAnsi="宋体" w:eastAsia="宋体" w:cs="宋体"/>
                <w:szCs w:val="24"/>
                <w:highlight w:val="none"/>
                <w:lang w:eastAsia="zh-CN"/>
              </w:rPr>
            </w:pPr>
            <w:r>
              <w:rPr>
                <w:rFonts w:hint="eastAsia" w:hAnsi="宋体" w:cs="宋体"/>
                <w:b/>
                <w:bCs/>
                <w:szCs w:val="24"/>
                <w:highlight w:val="none"/>
              </w:rPr>
              <w:t>磋商保证金：</w:t>
            </w:r>
            <w:r>
              <w:rPr>
                <w:rFonts w:hint="eastAsia" w:hAnsi="宋体" w:cs="宋体"/>
                <w:b/>
                <w:bCs/>
                <w:szCs w:val="24"/>
                <w:highlight w:val="none"/>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15.1</w:t>
            </w:r>
          </w:p>
        </w:tc>
        <w:tc>
          <w:tcPr>
            <w:tcW w:w="7354" w:type="dxa"/>
            <w:vAlign w:val="center"/>
          </w:tcPr>
          <w:p>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354" w:type="dxa"/>
            <w:vAlign w:val="center"/>
          </w:tcPr>
          <w:p>
            <w:pPr>
              <w:spacing w:line="360" w:lineRule="auto"/>
              <w:rPr>
                <w:szCs w:val="24"/>
                <w:highlight w:val="none"/>
              </w:rPr>
            </w:pPr>
            <w:r>
              <w:rPr>
                <w:rFonts w:hint="eastAsia"/>
                <w:szCs w:val="24"/>
                <w:highlight w:val="none"/>
              </w:rPr>
              <w:t>正本的份数：壹份；副本的份数：贰份；</w:t>
            </w:r>
            <w:r>
              <w:rPr>
                <w:rFonts w:hint="eastAsia" w:hAnsi="宋体"/>
                <w:szCs w:val="24"/>
                <w:highlight w:val="none"/>
              </w:rPr>
              <w:t>报价一览表：</w:t>
            </w:r>
            <w:r>
              <w:rPr>
                <w:rFonts w:hint="eastAsia"/>
                <w:szCs w:val="24"/>
                <w:highlight w:val="none"/>
              </w:rPr>
              <w:t>壹</w:t>
            </w:r>
            <w:r>
              <w:rPr>
                <w:rFonts w:hint="eastAsia" w:hAnsi="宋体"/>
                <w:szCs w:val="24"/>
                <w:highlight w:val="none"/>
              </w:rPr>
              <w:t>份；</w:t>
            </w:r>
            <w:r>
              <w:rPr>
                <w:rFonts w:hint="eastAsia"/>
                <w:szCs w:val="24"/>
                <w:highlight w:val="none"/>
              </w:rPr>
              <w:t>同时提供与正本内容一致的电子版（U盘）壹份，并在盘面标注供应商全称、项目名称</w:t>
            </w:r>
            <w:r>
              <w:rPr>
                <w:szCs w:val="24"/>
                <w:highlight w:val="none"/>
              </w:rPr>
              <w:t>、</w:t>
            </w:r>
            <w:r>
              <w:rPr>
                <w:rFonts w:hint="eastAsia"/>
                <w:szCs w:val="24"/>
                <w:highlight w:val="none"/>
              </w:rPr>
              <w:t>编号；磋商响应文件装订要求：胶装。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10</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354" w:type="dxa"/>
            <w:vAlign w:val="center"/>
          </w:tcPr>
          <w:p>
            <w:pPr>
              <w:spacing w:line="360" w:lineRule="auto"/>
              <w:ind w:firstLine="480" w:firstLineChars="200"/>
              <w:rPr>
                <w:rFonts w:hAnsi="宋体" w:cs="宋体"/>
                <w:szCs w:val="24"/>
                <w:highlight w:val="none"/>
              </w:rPr>
            </w:pPr>
            <w:r>
              <w:rPr>
                <w:rFonts w:hint="eastAsia" w:hAnsi="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p>
            <w:pPr>
              <w:spacing w:line="360" w:lineRule="auto"/>
              <w:rPr>
                <w:rFonts w:hAnsi="宋体"/>
                <w:szCs w:val="24"/>
                <w:highlight w:val="none"/>
              </w:rPr>
            </w:pPr>
            <w:r>
              <w:rPr>
                <w:rFonts w:hAnsi="宋体"/>
                <w:szCs w:val="24"/>
                <w:highlight w:val="none"/>
              </w:rPr>
              <w:t>外层包装请按以下要求标记：</w:t>
            </w:r>
          </w:p>
          <w:p>
            <w:pPr>
              <w:spacing w:line="360" w:lineRule="auto"/>
              <w:ind w:firstLine="720" w:firstLineChars="300"/>
              <w:rPr>
                <w:rFonts w:hAnsi="宋体"/>
                <w:szCs w:val="24"/>
                <w:highlight w:val="none"/>
              </w:rPr>
            </w:pPr>
            <w:r>
              <w:rPr>
                <w:rFonts w:hAnsi="宋体"/>
                <w:szCs w:val="24"/>
                <w:highlight w:val="none"/>
              </w:rPr>
              <w:t xml:space="preserve">1) </w:t>
            </w:r>
            <w:r>
              <w:rPr>
                <w:rFonts w:hint="eastAsia" w:hAnsi="宋体"/>
                <w:szCs w:val="24"/>
                <w:highlight w:val="none"/>
              </w:rPr>
              <w:t>磋商响应单位</w:t>
            </w:r>
            <w:r>
              <w:rPr>
                <w:rFonts w:hAnsi="宋体"/>
                <w:szCs w:val="24"/>
                <w:highlight w:val="none"/>
              </w:rPr>
              <w:t>的全称；</w:t>
            </w:r>
          </w:p>
          <w:p>
            <w:pPr>
              <w:spacing w:line="360" w:lineRule="auto"/>
              <w:ind w:firstLine="720" w:firstLineChars="300"/>
              <w:rPr>
                <w:rFonts w:hAnsi="宋体"/>
                <w:szCs w:val="24"/>
                <w:highlight w:val="none"/>
              </w:rPr>
            </w:pPr>
            <w:r>
              <w:rPr>
                <w:rFonts w:hAnsi="宋体"/>
                <w:szCs w:val="24"/>
                <w:highlight w:val="none"/>
              </w:rPr>
              <w:t xml:space="preserve">2) </w:t>
            </w:r>
            <w:r>
              <w:rPr>
                <w:rFonts w:hint="eastAsia" w:hAnsi="宋体"/>
                <w:szCs w:val="24"/>
                <w:highlight w:val="none"/>
              </w:rPr>
              <w:t>磋商</w:t>
            </w:r>
            <w:r>
              <w:rPr>
                <w:rFonts w:hAnsi="宋体"/>
                <w:szCs w:val="24"/>
                <w:highlight w:val="none"/>
              </w:rPr>
              <w:t>项目名称、项目编号</w:t>
            </w:r>
            <w:r>
              <w:rPr>
                <w:rFonts w:hint="eastAsia" w:hAnsi="宋体"/>
                <w:szCs w:val="24"/>
                <w:highlight w:val="none"/>
              </w:rPr>
              <w:t>；</w:t>
            </w:r>
          </w:p>
          <w:p>
            <w:pPr>
              <w:spacing w:line="360" w:lineRule="auto"/>
              <w:ind w:firstLine="720" w:firstLineChars="300"/>
              <w:rPr>
                <w:rFonts w:hAnsi="宋体"/>
                <w:szCs w:val="24"/>
                <w:highlight w:val="none"/>
              </w:rPr>
            </w:pPr>
            <w:r>
              <w:rPr>
                <w:rFonts w:hAnsi="宋体"/>
                <w:bCs/>
                <w:szCs w:val="24"/>
                <w:highlight w:val="none"/>
              </w:rPr>
              <w:t>3）正本或副本</w:t>
            </w:r>
            <w:r>
              <w:rPr>
                <w:rFonts w:hint="eastAsia" w:hAnsi="宋体"/>
                <w:bCs/>
                <w:szCs w:val="24"/>
                <w:highlight w:val="none"/>
              </w:rPr>
              <w:t>、电子版、报价一览表</w:t>
            </w:r>
            <w:r>
              <w:rPr>
                <w:rFonts w:hAnsi="宋体"/>
                <w:bCs/>
                <w:szCs w:val="24"/>
                <w:highlight w:val="none"/>
              </w:rPr>
              <w:t>“请勿在＿＿＿＿＿(</w:t>
            </w:r>
            <w:r>
              <w:rPr>
                <w:rFonts w:hint="eastAsia" w:hAnsi="宋体"/>
                <w:bCs/>
                <w:szCs w:val="24"/>
                <w:highlight w:val="none"/>
              </w:rPr>
              <w:t>磋商</w:t>
            </w:r>
            <w:r>
              <w:rPr>
                <w:rFonts w:hAnsi="宋体"/>
                <w:bCs/>
                <w:szCs w:val="24"/>
                <w:highlight w:val="none"/>
              </w:rPr>
              <w:t>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354" w:type="dxa"/>
          </w:tcPr>
          <w:p>
            <w:pPr>
              <w:spacing w:line="360" w:lineRule="auto"/>
              <w:rPr>
                <w:rFonts w:hAnsi="宋体" w:cs="宋体"/>
                <w:szCs w:val="24"/>
                <w:highlight w:val="none"/>
              </w:rPr>
            </w:pPr>
            <w:r>
              <w:rPr>
                <w:rFonts w:hint="eastAsia" w:hAnsi="宋体" w:cs="宋体"/>
                <w:szCs w:val="24"/>
                <w:highlight w:val="none"/>
              </w:rPr>
              <w:t>磋商响应文件递交截止时间：202</w:t>
            </w:r>
            <w:r>
              <w:rPr>
                <w:rFonts w:hint="eastAsia" w:hAnsi="宋体" w:cs="宋体"/>
                <w:szCs w:val="24"/>
                <w:highlight w:val="none"/>
                <w:lang w:val="en-US" w:eastAsia="zh-CN"/>
              </w:rPr>
              <w:t>2</w:t>
            </w:r>
            <w:r>
              <w:rPr>
                <w:rFonts w:hint="eastAsia" w:hAnsi="宋体" w:cs="宋体"/>
                <w:szCs w:val="24"/>
                <w:highlight w:val="none"/>
              </w:rPr>
              <w:t>-</w:t>
            </w:r>
            <w:r>
              <w:rPr>
                <w:rFonts w:hint="eastAsia" w:hAnsi="宋体" w:cs="宋体"/>
                <w:szCs w:val="24"/>
                <w:highlight w:val="none"/>
                <w:lang w:val="en-US" w:eastAsia="zh-CN"/>
              </w:rPr>
              <w:t>07</w:t>
            </w:r>
            <w:r>
              <w:rPr>
                <w:rFonts w:hint="eastAsia" w:hAnsi="宋体" w:cs="宋体"/>
                <w:szCs w:val="24"/>
                <w:highlight w:val="none"/>
              </w:rPr>
              <w:t>-</w:t>
            </w:r>
            <w:r>
              <w:rPr>
                <w:rFonts w:hint="eastAsia" w:hAnsi="宋体" w:cs="宋体"/>
                <w:szCs w:val="24"/>
                <w:highlight w:val="none"/>
                <w:lang w:val="en-US" w:eastAsia="zh-CN"/>
              </w:rPr>
              <w:t>04</w:t>
            </w:r>
            <w:r>
              <w:rPr>
                <w:rFonts w:hint="eastAsia" w:hAnsi="宋体" w:cs="宋体"/>
                <w:szCs w:val="24"/>
                <w:highlight w:val="none"/>
              </w:rPr>
              <w:t xml:space="preserve"> </w:t>
            </w:r>
            <w:r>
              <w:rPr>
                <w:rFonts w:hint="eastAsia" w:hAnsi="宋体" w:cs="宋体"/>
                <w:szCs w:val="24"/>
                <w:highlight w:val="none"/>
                <w:lang w:eastAsia="zh-CN"/>
              </w:rPr>
              <w:t>下</w:t>
            </w:r>
            <w:r>
              <w:rPr>
                <w:rFonts w:hint="eastAsia" w:hAnsi="宋体" w:cs="宋体"/>
                <w:szCs w:val="24"/>
                <w:highlight w:val="none"/>
              </w:rPr>
              <w:t>午</w:t>
            </w:r>
            <w:r>
              <w:rPr>
                <w:rFonts w:hint="eastAsia" w:hAnsi="宋体" w:cs="宋体"/>
                <w:szCs w:val="24"/>
                <w:highlight w:val="none"/>
                <w:lang w:val="en-US" w:eastAsia="zh-CN"/>
              </w:rPr>
              <w:t>14</w:t>
            </w:r>
            <w:r>
              <w:rPr>
                <w:rFonts w:hint="eastAsia" w:hAnsi="宋体" w:cs="宋体"/>
                <w:szCs w:val="24"/>
                <w:highlight w:val="none"/>
              </w:rPr>
              <w:t>:</w:t>
            </w:r>
            <w:r>
              <w:rPr>
                <w:rFonts w:hint="eastAsia" w:hAnsi="宋体" w:cs="宋体"/>
                <w:szCs w:val="24"/>
                <w:highlight w:val="none"/>
                <w:lang w:val="en-US" w:eastAsia="zh-CN"/>
              </w:rPr>
              <w:t>3</w:t>
            </w:r>
            <w:r>
              <w:rPr>
                <w:rFonts w:hint="eastAsia" w:hAnsi="宋体" w:cs="宋体"/>
                <w:szCs w:val="24"/>
                <w:highlight w:val="none"/>
              </w:rPr>
              <w:t>0:00(北京时间)</w:t>
            </w:r>
          </w:p>
          <w:p>
            <w:pPr>
              <w:spacing w:line="360" w:lineRule="auto"/>
              <w:rPr>
                <w:rFonts w:hint="eastAsia" w:hAnsi="宋体" w:eastAsia="宋体" w:cs="宋体"/>
                <w:szCs w:val="24"/>
                <w:highlight w:val="none"/>
                <w:lang w:eastAsia="zh-CN"/>
              </w:rPr>
            </w:pPr>
            <w:r>
              <w:rPr>
                <w:rFonts w:hint="eastAsia" w:hAnsi="宋体" w:cs="宋体"/>
                <w:szCs w:val="24"/>
                <w:highlight w:val="none"/>
              </w:rPr>
              <w:t>磋商响应文件递交地址：</w:t>
            </w:r>
            <w:r>
              <w:rPr>
                <w:rFonts w:hint="eastAsia" w:hAnsi="宋体" w:cs="宋体"/>
                <w:szCs w:val="24"/>
                <w:highlight w:val="none"/>
                <w:lang w:eastAsia="zh-CN"/>
              </w:rPr>
              <w:t>陕西省西安市未央区未央路171-1 银池广场道拉斯财富中心21楼03室</w:t>
            </w:r>
          </w:p>
          <w:p>
            <w:pPr>
              <w:spacing w:line="360" w:lineRule="auto"/>
              <w:rPr>
                <w:rFonts w:hAnsi="宋体" w:cs="宋体"/>
                <w:szCs w:val="24"/>
                <w:highlight w:val="none"/>
              </w:rPr>
            </w:pPr>
            <w:r>
              <w:rPr>
                <w:rFonts w:hint="eastAsia" w:hAnsi="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354" w:type="dxa"/>
            <w:vAlign w:val="center"/>
          </w:tcPr>
          <w:p>
            <w:pPr>
              <w:spacing w:line="360" w:lineRule="auto"/>
              <w:rPr>
                <w:rFonts w:hAnsi="宋体" w:cs="宋体"/>
                <w:szCs w:val="24"/>
                <w:highlight w:val="none"/>
              </w:rPr>
            </w:pPr>
            <w:r>
              <w:rPr>
                <w:rFonts w:hint="eastAsia" w:hAnsi="宋体" w:cs="宋体"/>
                <w:szCs w:val="24"/>
                <w:highlight w:val="none"/>
              </w:rPr>
              <w:t>磋商时间：202</w:t>
            </w:r>
            <w:r>
              <w:rPr>
                <w:rFonts w:hint="eastAsia" w:hAnsi="宋体" w:cs="宋体"/>
                <w:szCs w:val="24"/>
                <w:highlight w:val="none"/>
                <w:lang w:val="en-US" w:eastAsia="zh-CN"/>
              </w:rPr>
              <w:t>2</w:t>
            </w:r>
            <w:r>
              <w:rPr>
                <w:rFonts w:hint="eastAsia" w:hAnsi="宋体" w:cs="宋体"/>
                <w:szCs w:val="24"/>
                <w:highlight w:val="none"/>
              </w:rPr>
              <w:t>-</w:t>
            </w:r>
            <w:r>
              <w:rPr>
                <w:rFonts w:hint="eastAsia" w:hAnsi="宋体" w:cs="宋体"/>
                <w:szCs w:val="24"/>
                <w:highlight w:val="none"/>
                <w:lang w:val="en-US" w:eastAsia="zh-CN"/>
              </w:rPr>
              <w:t>07</w:t>
            </w:r>
            <w:r>
              <w:rPr>
                <w:rFonts w:hint="eastAsia" w:hAnsi="宋体" w:cs="宋体"/>
                <w:szCs w:val="24"/>
                <w:highlight w:val="none"/>
              </w:rPr>
              <w:t>-</w:t>
            </w:r>
            <w:r>
              <w:rPr>
                <w:rFonts w:hint="eastAsia" w:hAnsi="宋体" w:cs="宋体"/>
                <w:szCs w:val="24"/>
                <w:highlight w:val="none"/>
                <w:lang w:val="en-US" w:eastAsia="zh-CN"/>
              </w:rPr>
              <w:t>04</w:t>
            </w:r>
            <w:r>
              <w:rPr>
                <w:rFonts w:hint="eastAsia" w:hAnsi="宋体" w:cs="宋体"/>
                <w:szCs w:val="24"/>
                <w:highlight w:val="none"/>
              </w:rPr>
              <w:t xml:space="preserve"> </w:t>
            </w:r>
            <w:r>
              <w:rPr>
                <w:rFonts w:hint="eastAsia" w:hAnsi="宋体" w:cs="宋体"/>
                <w:szCs w:val="24"/>
                <w:highlight w:val="none"/>
                <w:lang w:eastAsia="zh-CN"/>
              </w:rPr>
              <w:t>下</w:t>
            </w:r>
            <w:r>
              <w:rPr>
                <w:rFonts w:hint="eastAsia" w:hAnsi="宋体" w:cs="宋体"/>
                <w:szCs w:val="24"/>
                <w:highlight w:val="none"/>
              </w:rPr>
              <w:t>午</w:t>
            </w:r>
            <w:r>
              <w:rPr>
                <w:rFonts w:hint="eastAsia" w:hAnsi="宋体" w:cs="宋体"/>
                <w:szCs w:val="24"/>
                <w:highlight w:val="none"/>
                <w:lang w:val="en-US" w:eastAsia="zh-CN"/>
              </w:rPr>
              <w:t>14</w:t>
            </w:r>
            <w:r>
              <w:rPr>
                <w:rFonts w:hint="eastAsia" w:hAnsi="宋体" w:cs="宋体"/>
                <w:szCs w:val="24"/>
                <w:highlight w:val="none"/>
              </w:rPr>
              <w:t>:</w:t>
            </w:r>
            <w:r>
              <w:rPr>
                <w:rFonts w:hint="eastAsia" w:hAnsi="宋体" w:cs="宋体"/>
                <w:szCs w:val="24"/>
                <w:highlight w:val="none"/>
                <w:lang w:val="en-US" w:eastAsia="zh-CN"/>
              </w:rPr>
              <w:t>3</w:t>
            </w:r>
            <w:r>
              <w:rPr>
                <w:rFonts w:hint="eastAsia" w:hAnsi="宋体" w:cs="宋体"/>
                <w:szCs w:val="24"/>
                <w:highlight w:val="none"/>
              </w:rPr>
              <w:t>0:00(北京时间)</w:t>
            </w:r>
          </w:p>
          <w:p>
            <w:pPr>
              <w:spacing w:line="360" w:lineRule="auto"/>
              <w:jc w:val="left"/>
              <w:rPr>
                <w:rFonts w:hint="eastAsia" w:hAnsi="宋体" w:eastAsia="宋体" w:cs="宋体"/>
                <w:szCs w:val="24"/>
                <w:highlight w:val="none"/>
                <w:lang w:eastAsia="zh-CN"/>
              </w:rPr>
            </w:pPr>
            <w:r>
              <w:rPr>
                <w:rFonts w:hint="eastAsia" w:hAnsi="宋体" w:cs="宋体"/>
                <w:szCs w:val="24"/>
                <w:highlight w:val="none"/>
              </w:rPr>
              <w:t>磋商地点：</w:t>
            </w:r>
            <w:r>
              <w:rPr>
                <w:rFonts w:hint="eastAsia" w:hAnsi="宋体" w:cs="宋体"/>
                <w:szCs w:val="24"/>
                <w:highlight w:val="none"/>
                <w:lang w:eastAsia="zh-CN"/>
              </w:rPr>
              <w:t>陕西省西安市未央区未央路171-1 银池广场道拉斯财富中心21楼03室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354" w:type="dxa"/>
            <w:vAlign w:val="center"/>
          </w:tcPr>
          <w:p>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47"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951"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354" w:type="dxa"/>
            <w:vAlign w:val="center"/>
          </w:tcPr>
          <w:p>
            <w:pPr>
              <w:spacing w:after="156" w:afterLines="50" w:line="360" w:lineRule="auto"/>
              <w:jc w:val="left"/>
              <w:rPr>
                <w:rFonts w:hAnsi="宋体" w:cs="宋体"/>
                <w:szCs w:val="24"/>
                <w:highlight w:val="none"/>
              </w:rPr>
            </w:pPr>
            <w:r>
              <w:rPr>
                <w:rFonts w:hint="eastAsia" w:hAnsi="宋体" w:cs="宋体"/>
                <w:szCs w:val="24"/>
                <w:highlight w:val="none"/>
              </w:rPr>
              <w:t>代理服务费：</w:t>
            </w:r>
          </w:p>
          <w:p>
            <w:pPr>
              <w:spacing w:after="156" w:afterLines="50" w:line="360" w:lineRule="auto"/>
              <w:jc w:val="left"/>
              <w:rPr>
                <w:rFonts w:hint="eastAsia" w:hAnsi="宋体" w:cs="宋体"/>
                <w:szCs w:val="24"/>
                <w:highlight w:val="none"/>
              </w:rPr>
            </w:pPr>
            <w:r>
              <w:rPr>
                <w:rFonts w:hint="eastAsia" w:hAnsi="宋体" w:cs="宋体"/>
                <w:szCs w:val="24"/>
                <w:highlight w:val="none"/>
              </w:rPr>
              <w:t>29.1以中标金额为基数，参照国家计委颁布《招标代理服务收费管理暂行办法》（计价格[2002]1980 号）和国家发展改革委员会办公厅颁发的《关于招标代理服务收费有关问题的通知》（发改办价格[2003]857 号）文件规定执行。</w:t>
            </w:r>
          </w:p>
          <w:p>
            <w:pPr>
              <w:spacing w:after="156" w:afterLines="50" w:line="360" w:lineRule="auto"/>
              <w:jc w:val="left"/>
              <w:rPr>
                <w:rFonts w:hAnsi="宋体" w:cs="宋体"/>
                <w:szCs w:val="24"/>
                <w:highlight w:val="none"/>
              </w:rPr>
            </w:pPr>
            <w:r>
              <w:rPr>
                <w:rFonts w:hint="eastAsia" w:hAnsi="宋体" w:cs="宋体"/>
                <w:szCs w:val="24"/>
                <w:highlight w:val="none"/>
              </w:rPr>
              <w:t>29.2招标代理服务费由中标单位支付，在领取《</w:t>
            </w:r>
            <w:r>
              <w:rPr>
                <w:rFonts w:hint="eastAsia" w:hAnsi="宋体" w:cs="宋体"/>
                <w:szCs w:val="24"/>
                <w:highlight w:val="none"/>
                <w:lang w:eastAsia="zh-CN"/>
              </w:rPr>
              <w:t>成交</w:t>
            </w:r>
            <w:r>
              <w:rPr>
                <w:rFonts w:hint="eastAsia" w:hAnsi="宋体" w:cs="宋体"/>
                <w:szCs w:val="24"/>
                <w:highlight w:val="none"/>
              </w:rPr>
              <w:t>通知书》前，成交单位一次性支付给陕西至诚招标咨询有限公司。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15</w:t>
            </w:r>
          </w:p>
        </w:tc>
        <w:tc>
          <w:tcPr>
            <w:tcW w:w="951" w:type="dxa"/>
            <w:vAlign w:val="center"/>
          </w:tcPr>
          <w:p>
            <w:pPr>
              <w:jc w:val="center"/>
              <w:rPr>
                <w:rFonts w:hAnsi="宋体" w:cs="宋体"/>
                <w:b/>
                <w:bCs/>
                <w:szCs w:val="24"/>
                <w:highlight w:val="none"/>
              </w:rPr>
            </w:pPr>
            <w:r>
              <w:rPr>
                <w:rFonts w:hint="eastAsia" w:hAnsi="宋体" w:cs="宋体"/>
                <w:b/>
                <w:bCs/>
                <w:szCs w:val="24"/>
                <w:highlight w:val="none"/>
              </w:rPr>
              <w:t>银行</w:t>
            </w:r>
          </w:p>
          <w:p>
            <w:pPr>
              <w:jc w:val="center"/>
              <w:rPr>
                <w:rFonts w:hAnsi="宋体" w:cs="宋体"/>
                <w:b/>
                <w:bCs/>
                <w:szCs w:val="24"/>
                <w:highlight w:val="none"/>
              </w:rPr>
            </w:pPr>
            <w:r>
              <w:rPr>
                <w:rFonts w:hint="eastAsia" w:hAnsi="宋体" w:cs="宋体"/>
                <w:b/>
                <w:bCs/>
                <w:szCs w:val="24"/>
                <w:highlight w:val="none"/>
              </w:rPr>
              <w:t>账户</w:t>
            </w:r>
          </w:p>
          <w:p>
            <w:pPr>
              <w:jc w:val="center"/>
              <w:rPr>
                <w:rFonts w:hAnsi="宋体" w:cs="宋体"/>
                <w:szCs w:val="24"/>
                <w:highlight w:val="none"/>
              </w:rPr>
            </w:pPr>
            <w:r>
              <w:rPr>
                <w:rFonts w:hint="eastAsia" w:hAnsi="宋体" w:cs="宋体"/>
                <w:b/>
                <w:bCs/>
                <w:szCs w:val="24"/>
                <w:highlight w:val="none"/>
              </w:rPr>
              <w:t>信息</w:t>
            </w:r>
          </w:p>
        </w:tc>
        <w:tc>
          <w:tcPr>
            <w:tcW w:w="7354" w:type="dxa"/>
            <w:vAlign w:val="center"/>
          </w:tcPr>
          <w:p>
            <w:pPr>
              <w:numPr>
                <w:ilvl w:val="0"/>
                <w:numId w:val="1"/>
              </w:numPr>
              <w:spacing w:line="520" w:lineRule="exact"/>
              <w:rPr>
                <w:rFonts w:hAnsi="宋体" w:cs="宋体"/>
                <w:b/>
                <w:bCs/>
                <w:szCs w:val="24"/>
                <w:highlight w:val="none"/>
              </w:rPr>
            </w:pPr>
            <w:r>
              <w:rPr>
                <w:rFonts w:hint="eastAsia" w:hAnsi="宋体" w:cs="宋体"/>
                <w:b/>
                <w:bCs/>
                <w:szCs w:val="24"/>
                <w:highlight w:val="none"/>
              </w:rPr>
              <w:t>代理服务费账户：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采购代理机构开户名称</w:t>
            </w:r>
            <w:r>
              <w:rPr>
                <w:rFonts w:hint="eastAsia" w:hAnsi="宋体" w:cs="宋体"/>
                <w:b/>
                <w:bCs/>
                <w:szCs w:val="24"/>
                <w:highlight w:val="none"/>
                <w:lang w:eastAsia="zh-CN"/>
              </w:rPr>
              <w:t>：</w:t>
            </w:r>
            <w:r>
              <w:rPr>
                <w:rFonts w:hint="eastAsia" w:hAnsi="宋体" w:cs="宋体"/>
                <w:b/>
                <w:bCs/>
                <w:szCs w:val="24"/>
                <w:highlight w:val="none"/>
              </w:rPr>
              <w:t>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开户行名称：中国建设银行股份有限公司西安高新技术产业开发区支行</w:t>
            </w:r>
          </w:p>
          <w:p>
            <w:pPr>
              <w:pStyle w:val="9"/>
              <w:ind w:firstLine="482" w:firstLineChars="200"/>
              <w:rPr>
                <w:rFonts w:ascii="宋体" w:hAnsi="宋体" w:cs="宋体"/>
                <w:highlight w:val="none"/>
              </w:rPr>
            </w:pPr>
            <w:r>
              <w:rPr>
                <w:rFonts w:hint="eastAsia" w:ascii="宋体" w:hAnsi="宋体" w:cs="宋体"/>
                <w:b/>
                <w:bCs/>
                <w:sz w:val="24"/>
                <w:szCs w:val="24"/>
                <w:highlight w:val="none"/>
              </w:rPr>
              <w:t>账号：61050192090000002152</w:t>
            </w:r>
          </w:p>
          <w:p>
            <w:pPr>
              <w:spacing w:line="520" w:lineRule="exact"/>
              <w:ind w:firstLine="482" w:firstLineChars="200"/>
              <w:rPr>
                <w:rFonts w:hAnsi="宋体" w:cs="宋体"/>
                <w:szCs w:val="24"/>
                <w:highlight w:val="none"/>
              </w:rPr>
            </w:pPr>
            <w:r>
              <w:rPr>
                <w:rFonts w:hint="eastAsia" w:hAnsi="宋体" w:cs="宋体"/>
                <w:b/>
                <w:bCs/>
                <w:szCs w:val="24"/>
                <w:highlight w:val="none"/>
              </w:rPr>
              <w:t>请各供应商按照要求分别将保证金和服务费汇入以上指定账户，如因自身原因发生错误，产生的不利后果均由供应商自行承担。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16</w:t>
            </w:r>
          </w:p>
        </w:tc>
        <w:tc>
          <w:tcPr>
            <w:tcW w:w="951" w:type="dxa"/>
            <w:vAlign w:val="center"/>
          </w:tcPr>
          <w:p>
            <w:pPr>
              <w:spacing w:line="360" w:lineRule="auto"/>
              <w:jc w:val="center"/>
              <w:rPr>
                <w:rFonts w:hAnsi="宋体" w:cs="宋体"/>
                <w:szCs w:val="24"/>
                <w:highlight w:val="none"/>
              </w:rPr>
            </w:pPr>
            <w:r>
              <w:rPr>
                <w:rFonts w:hint="eastAsia" w:hAnsi="宋体" w:cs="宋体"/>
                <w:szCs w:val="24"/>
                <w:highlight w:val="none"/>
              </w:rPr>
              <w:t>履约</w:t>
            </w:r>
          </w:p>
          <w:p>
            <w:pPr>
              <w:spacing w:line="360" w:lineRule="auto"/>
              <w:jc w:val="center"/>
              <w:rPr>
                <w:rFonts w:hAnsi="宋体" w:cs="宋体"/>
                <w:b/>
                <w:bCs/>
                <w:szCs w:val="24"/>
                <w:highlight w:val="none"/>
              </w:rPr>
            </w:pPr>
            <w:r>
              <w:rPr>
                <w:rFonts w:hint="eastAsia" w:hAnsi="宋体" w:cs="宋体"/>
                <w:szCs w:val="24"/>
                <w:highlight w:val="none"/>
              </w:rPr>
              <w:t>担保</w:t>
            </w:r>
          </w:p>
        </w:tc>
        <w:tc>
          <w:tcPr>
            <w:tcW w:w="7354" w:type="dxa"/>
            <w:vAlign w:val="center"/>
          </w:tcPr>
          <w:p>
            <w:pPr>
              <w:widowControl/>
              <w:spacing w:line="360" w:lineRule="auto"/>
              <w:jc w:val="left"/>
              <w:rPr>
                <w:rFonts w:hint="eastAsia" w:hAnsi="宋体" w:eastAsia="宋体" w:cs="宋体"/>
                <w:szCs w:val="24"/>
                <w:highlight w:val="none"/>
                <w:lang w:eastAsia="zh-CN"/>
              </w:rPr>
            </w:pPr>
            <w:r>
              <w:rPr>
                <w:rFonts w:hint="eastAsia" w:hAnsi="宋体" w:cs="宋体"/>
                <w:szCs w:val="24"/>
                <w:highlight w:val="none"/>
              </w:rPr>
              <w:t>履约担保的形式：</w:t>
            </w:r>
            <w:r>
              <w:rPr>
                <w:rFonts w:hint="eastAsia" w:hAnsi="宋体" w:cs="宋体"/>
                <w:szCs w:val="24"/>
                <w:highlight w:val="none"/>
                <w:lang w:val="en-US" w:eastAsia="zh-CN"/>
              </w:rPr>
              <w:t>/</w:t>
            </w:r>
          </w:p>
          <w:p>
            <w:pPr>
              <w:spacing w:line="360" w:lineRule="auto"/>
              <w:rPr>
                <w:rFonts w:hint="default" w:hAnsi="宋体" w:eastAsia="宋体" w:cs="宋体"/>
                <w:b/>
                <w:bCs/>
                <w:szCs w:val="24"/>
                <w:highlight w:val="none"/>
                <w:lang w:val="en-US" w:eastAsia="zh-CN"/>
              </w:rPr>
            </w:pPr>
            <w:r>
              <w:rPr>
                <w:rFonts w:hint="eastAsia" w:hAnsi="宋体" w:cs="宋体"/>
                <w:szCs w:val="24"/>
                <w:highlight w:val="none"/>
              </w:rPr>
              <w:t>履约担保的金额：</w:t>
            </w:r>
            <w:r>
              <w:rPr>
                <w:rFonts w:hint="eastAsia" w:hAnsi="宋体" w:cs="宋体"/>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17</w:t>
            </w:r>
          </w:p>
        </w:tc>
        <w:tc>
          <w:tcPr>
            <w:tcW w:w="951" w:type="dxa"/>
            <w:vAlign w:val="center"/>
          </w:tcPr>
          <w:p>
            <w:pPr>
              <w:spacing w:line="360" w:lineRule="auto"/>
              <w:jc w:val="center"/>
              <w:rPr>
                <w:rFonts w:hAnsi="宋体" w:cs="宋体"/>
                <w:bCs/>
                <w:szCs w:val="24"/>
                <w:highlight w:val="none"/>
              </w:rPr>
            </w:pPr>
            <w:r>
              <w:rPr>
                <w:rFonts w:hint="eastAsia" w:hAnsi="宋体" w:cs="宋体"/>
                <w:bCs/>
                <w:szCs w:val="24"/>
                <w:highlight w:val="none"/>
              </w:rPr>
              <w:t>现场</w:t>
            </w:r>
          </w:p>
          <w:p>
            <w:pPr>
              <w:spacing w:line="360" w:lineRule="auto"/>
              <w:jc w:val="center"/>
              <w:rPr>
                <w:rFonts w:hAnsi="宋体" w:cs="宋体"/>
                <w:szCs w:val="24"/>
                <w:highlight w:val="none"/>
              </w:rPr>
            </w:pPr>
            <w:r>
              <w:rPr>
                <w:rFonts w:hint="eastAsia" w:hAnsi="宋体" w:cs="宋体"/>
                <w:kern w:val="2"/>
                <w:szCs w:val="24"/>
                <w:highlight w:val="none"/>
              </w:rPr>
              <w:t>踏</w:t>
            </w:r>
            <w:r>
              <w:rPr>
                <w:rFonts w:hint="eastAsia" w:hAnsi="宋体" w:cs="宋体"/>
                <w:bCs/>
                <w:szCs w:val="24"/>
                <w:highlight w:val="none"/>
              </w:rPr>
              <w:t>勘</w:t>
            </w:r>
          </w:p>
        </w:tc>
        <w:tc>
          <w:tcPr>
            <w:tcW w:w="7354" w:type="dxa"/>
            <w:vAlign w:val="center"/>
          </w:tcPr>
          <w:p>
            <w:pPr>
              <w:spacing w:line="360" w:lineRule="auto"/>
              <w:rPr>
                <w:highlight w:val="none"/>
              </w:rPr>
            </w:pPr>
            <w:r>
              <w:rPr>
                <w:rFonts w:hint="eastAsia"/>
                <w:highlight w:val="none"/>
              </w:rPr>
              <w:t>1、不组织；</w:t>
            </w:r>
          </w:p>
          <w:p>
            <w:pPr>
              <w:spacing w:line="360" w:lineRule="auto"/>
              <w:rPr>
                <w:highlight w:val="none"/>
              </w:rPr>
            </w:pPr>
            <w:r>
              <w:rPr>
                <w:rFonts w:hint="eastAsia"/>
                <w:highlight w:val="none"/>
              </w:rPr>
              <w:t>2、供应商自行踏勘，并承担踏勘现场所发生的相关费用和自身安全责任；踏勘过程不得扰民。</w:t>
            </w:r>
          </w:p>
          <w:p>
            <w:pPr>
              <w:spacing w:line="360" w:lineRule="auto"/>
              <w:rPr>
                <w:rFonts w:hint="eastAsia" w:eastAsia="宋体"/>
                <w:highlight w:val="none"/>
                <w:lang w:eastAsia="zh-CN"/>
              </w:rPr>
            </w:pPr>
            <w:r>
              <w:rPr>
                <w:rFonts w:hint="eastAsia"/>
                <w:szCs w:val="22"/>
                <w:highlight w:val="none"/>
                <w:lang w:val="en-US" w:eastAsia="zh-CN"/>
              </w:rPr>
              <w:t>3</w:t>
            </w:r>
            <w:r>
              <w:rPr>
                <w:rFonts w:hint="eastAsia"/>
                <w:szCs w:val="22"/>
                <w:highlight w:val="none"/>
              </w:rPr>
              <w:t>、联系电话：</w:t>
            </w:r>
            <w:r>
              <w:rPr>
                <w:rFonts w:hint="eastAsia" w:cs="宋体"/>
                <w:color w:val="333333"/>
                <w:highlight w:val="none"/>
                <w:shd w:val="clear" w:color="auto" w:fill="FFFFFF"/>
                <w:lang w:eastAsia="zh-CN"/>
              </w:rPr>
              <w:t>029-86511708转8835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int="default" w:hAnsi="宋体" w:eastAsia="宋体" w:cs="宋体"/>
                <w:szCs w:val="24"/>
                <w:highlight w:val="none"/>
                <w:lang w:val="en-US" w:eastAsia="zh-CN"/>
              </w:rPr>
            </w:pPr>
            <w:r>
              <w:rPr>
                <w:rFonts w:hint="eastAsia" w:hAnsi="宋体" w:cs="宋体"/>
                <w:szCs w:val="24"/>
                <w:highlight w:val="none"/>
                <w:lang w:val="en-US" w:eastAsia="zh-CN"/>
              </w:rPr>
              <w:t>18</w:t>
            </w:r>
          </w:p>
        </w:tc>
        <w:tc>
          <w:tcPr>
            <w:tcW w:w="951" w:type="dxa"/>
            <w:vAlign w:val="center"/>
          </w:tcPr>
          <w:p>
            <w:pPr>
              <w:spacing w:line="360" w:lineRule="auto"/>
              <w:jc w:val="center"/>
              <w:rPr>
                <w:rFonts w:hint="eastAsia" w:hAnsi="宋体" w:cs="宋体"/>
                <w:kern w:val="2"/>
                <w:szCs w:val="24"/>
                <w:highlight w:val="none"/>
              </w:rPr>
            </w:pPr>
            <w:r>
              <w:rPr>
                <w:rFonts w:hint="eastAsia" w:hAnsi="宋体" w:cs="宋体"/>
                <w:kern w:val="2"/>
                <w:szCs w:val="24"/>
                <w:highlight w:val="none"/>
                <w:lang w:eastAsia="zh-CN"/>
              </w:rPr>
              <w:t>是否实行</w:t>
            </w:r>
            <w:r>
              <w:rPr>
                <w:rFonts w:hint="eastAsia" w:hAnsi="宋体" w:cs="宋体"/>
                <w:kern w:val="2"/>
                <w:szCs w:val="24"/>
                <w:highlight w:val="none"/>
              </w:rPr>
              <w:t>计算机辅助评标</w:t>
            </w:r>
          </w:p>
        </w:tc>
        <w:tc>
          <w:tcPr>
            <w:tcW w:w="7354" w:type="dxa"/>
            <w:vAlign w:val="center"/>
          </w:tcPr>
          <w:p>
            <w:pPr>
              <w:spacing w:line="360" w:lineRule="auto"/>
              <w:rPr>
                <w:rFonts w:hint="eastAsia" w:eastAsia="宋体"/>
                <w:szCs w:val="22"/>
                <w:highlight w:val="none"/>
                <w:lang w:eastAsia="zh-CN"/>
              </w:rPr>
            </w:pPr>
            <w:r>
              <w:rPr>
                <w:rFonts w:hint="eastAsia"/>
                <w:szCs w:val="22"/>
                <w:highlight w:val="none"/>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eastAsia" w:hAnsi="宋体" w:eastAsia="宋体" w:cs="宋体"/>
                <w:b/>
                <w:bCs/>
                <w:szCs w:val="24"/>
                <w:highlight w:val="none"/>
                <w:lang w:val="en-US" w:eastAsia="zh-CN"/>
              </w:rPr>
            </w:pPr>
            <w:r>
              <w:rPr>
                <w:rFonts w:hint="eastAsia" w:hAnsi="宋体" w:cs="宋体"/>
                <w:b/>
                <w:bCs/>
                <w:szCs w:val="24"/>
                <w:highlight w:val="none"/>
              </w:rPr>
              <w:t>1</w:t>
            </w:r>
            <w:r>
              <w:rPr>
                <w:rFonts w:hint="eastAsia" w:hAnsi="宋体" w:cs="宋体"/>
                <w:b/>
                <w:bCs/>
                <w:szCs w:val="24"/>
                <w:highlight w:val="none"/>
                <w:lang w:val="en-US" w:eastAsia="zh-CN"/>
              </w:rPr>
              <w:t>9</w:t>
            </w:r>
          </w:p>
        </w:tc>
        <w:tc>
          <w:tcPr>
            <w:tcW w:w="951" w:type="dxa"/>
            <w:vAlign w:val="center"/>
          </w:tcPr>
          <w:p>
            <w:pPr>
              <w:widowControl/>
              <w:spacing w:line="360" w:lineRule="auto"/>
              <w:jc w:val="center"/>
              <w:rPr>
                <w:rFonts w:hAnsi="宋体" w:cs="宋体"/>
                <w:b/>
                <w:bCs/>
                <w:szCs w:val="24"/>
                <w:highlight w:val="none"/>
              </w:rPr>
            </w:pPr>
            <w:r>
              <w:rPr>
                <w:rFonts w:hint="eastAsia" w:hAnsi="宋体" w:cs="宋体"/>
                <w:b/>
                <w:bCs/>
                <w:szCs w:val="24"/>
                <w:highlight w:val="none"/>
              </w:rPr>
              <w:t>备注</w:t>
            </w:r>
          </w:p>
        </w:tc>
        <w:tc>
          <w:tcPr>
            <w:tcW w:w="7354" w:type="dxa"/>
            <w:vAlign w:val="center"/>
          </w:tcPr>
          <w:p>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pPr>
              <w:spacing w:line="500" w:lineRule="exact"/>
              <w:ind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eastAsia="宋体" w:cs="宋体"/>
                <w:b/>
                <w:bCs/>
                <w:szCs w:val="24"/>
                <w:highlight w:val="none"/>
                <w:lang w:val="en-US" w:eastAsia="zh-CN"/>
              </w:rPr>
            </w:pPr>
            <w:bookmarkStart w:id="24" w:name="_Toc363473972"/>
            <w:bookmarkStart w:id="25" w:name="_Toc403077639"/>
            <w:bookmarkStart w:id="26" w:name="_Toc363474017"/>
            <w:r>
              <w:rPr>
                <w:rFonts w:hint="eastAsia" w:hAnsi="宋体" w:cs="宋体"/>
                <w:b/>
                <w:bCs/>
                <w:szCs w:val="24"/>
                <w:highlight w:val="none"/>
                <w:lang w:val="en-US" w:eastAsia="zh-CN"/>
              </w:rPr>
              <w:t>20</w:t>
            </w:r>
          </w:p>
        </w:tc>
        <w:tc>
          <w:tcPr>
            <w:tcW w:w="951" w:type="dxa"/>
            <w:vAlign w:val="center"/>
          </w:tcPr>
          <w:p>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pPr>
              <w:widowControl/>
              <w:spacing w:line="360" w:lineRule="auto"/>
              <w:jc w:val="center"/>
              <w:rPr>
                <w:rFonts w:hint="eastAsia" w:hAnsi="宋体" w:eastAsia="宋体" w:cs="宋体"/>
                <w:b/>
                <w:bCs/>
                <w:szCs w:val="24"/>
                <w:highlight w:val="none"/>
                <w:lang w:eastAsia="zh-CN"/>
              </w:rPr>
            </w:pPr>
            <w:r>
              <w:rPr>
                <w:rFonts w:hint="eastAsia" w:hAnsi="宋体" w:cs="宋体"/>
                <w:b/>
                <w:bCs/>
                <w:szCs w:val="24"/>
                <w:highlight w:val="none"/>
                <w:lang w:eastAsia="zh-CN"/>
              </w:rPr>
              <w:t>性质</w:t>
            </w:r>
          </w:p>
        </w:tc>
        <w:tc>
          <w:tcPr>
            <w:tcW w:w="7354" w:type="dxa"/>
            <w:vAlign w:val="center"/>
          </w:tcPr>
          <w:p>
            <w:pPr>
              <w:spacing w:line="500" w:lineRule="exact"/>
              <w:ind w:firstLine="482" w:firstLineChars="200"/>
              <w:rPr>
                <w:rFonts w:hint="eastAsia" w:hAnsi="宋体" w:eastAsia="宋体" w:cs="宋体"/>
                <w:b/>
                <w:bCs/>
                <w:szCs w:val="24"/>
                <w:highlight w:val="none"/>
                <w:lang w:eastAsia="zh-CN"/>
              </w:rPr>
            </w:pPr>
            <w:r>
              <w:rPr>
                <w:rFonts w:hint="eastAsia" w:hAnsi="宋体" w:cs="宋体"/>
                <w:b/>
                <w:bCs/>
                <w:szCs w:val="24"/>
                <w:highlight w:val="none"/>
                <w:lang w:eastAsia="zh-CN"/>
              </w:rPr>
              <w:t>本项目专门面向中小企业；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cs="宋体"/>
                <w:b/>
                <w:bCs/>
                <w:szCs w:val="24"/>
                <w:highlight w:val="none"/>
                <w:lang w:val="en-US" w:eastAsia="zh-CN"/>
              </w:rPr>
            </w:pPr>
            <w:r>
              <w:rPr>
                <w:rFonts w:hint="eastAsia" w:hAnsi="宋体" w:cs="宋体"/>
                <w:b/>
                <w:bCs/>
                <w:szCs w:val="24"/>
                <w:highlight w:val="none"/>
                <w:lang w:val="en-US" w:eastAsia="zh-CN"/>
              </w:rPr>
              <w:t>21</w:t>
            </w:r>
          </w:p>
        </w:tc>
        <w:tc>
          <w:tcPr>
            <w:tcW w:w="951" w:type="dxa"/>
            <w:vAlign w:val="center"/>
          </w:tcPr>
          <w:p>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进口</w:t>
            </w:r>
          </w:p>
          <w:p>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产品</w:t>
            </w:r>
          </w:p>
        </w:tc>
        <w:tc>
          <w:tcPr>
            <w:tcW w:w="7354" w:type="dxa"/>
            <w:vAlign w:val="center"/>
          </w:tcPr>
          <w:p>
            <w:pPr>
              <w:spacing w:line="500" w:lineRule="exact"/>
              <w:ind w:firstLine="482" w:firstLineChars="200"/>
              <w:rPr>
                <w:rFonts w:hint="eastAsia" w:hAnsi="宋体" w:cs="宋体"/>
                <w:b/>
                <w:bCs/>
                <w:szCs w:val="24"/>
                <w:highlight w:val="none"/>
                <w:lang w:eastAsia="zh-CN"/>
              </w:rPr>
            </w:pPr>
            <w:r>
              <w:rPr>
                <w:rFonts w:hint="eastAsia" w:hAnsi="宋体" w:cs="宋体"/>
                <w:b/>
                <w:bCs/>
                <w:szCs w:val="24"/>
                <w:highlight w:val="none"/>
                <w:lang w:eastAsia="zh-CN"/>
              </w:rPr>
              <w:t>本项目不接受进口产品磋商；</w:t>
            </w:r>
          </w:p>
        </w:tc>
      </w:tr>
      <w:bookmarkEnd w:id="9"/>
      <w:bookmarkEnd w:id="10"/>
      <w:bookmarkEnd w:id="11"/>
    </w:tbl>
    <w:p>
      <w:pPr>
        <w:spacing w:before="156" w:beforeLines="50" w:after="156" w:afterLines="50"/>
        <w:jc w:val="center"/>
        <w:rPr>
          <w:rFonts w:hAnsi="宋体" w:cs="宋体"/>
          <w:sz w:val="32"/>
          <w:szCs w:val="32"/>
          <w:highlight w:val="none"/>
        </w:rPr>
      </w:pPr>
      <w:r>
        <w:rPr>
          <w:rFonts w:hint="eastAsia" w:hAnsi="宋体" w:cs="宋体"/>
          <w:b/>
          <w:sz w:val="32"/>
          <w:szCs w:val="32"/>
          <w:highlight w:val="none"/>
        </w:rPr>
        <w:br w:type="page"/>
      </w:r>
      <w:r>
        <w:rPr>
          <w:rFonts w:hint="eastAsia" w:hAnsi="宋体" w:cs="宋体"/>
          <w:b/>
          <w:sz w:val="32"/>
          <w:szCs w:val="32"/>
          <w:highlight w:val="none"/>
        </w:rPr>
        <w:t>一.总  则</w:t>
      </w:r>
      <w:bookmarkEnd w:id="24"/>
      <w:bookmarkEnd w:id="25"/>
      <w:bookmarkEnd w:id="26"/>
    </w:p>
    <w:p>
      <w:pPr>
        <w:spacing w:line="360" w:lineRule="auto"/>
        <w:rPr>
          <w:rFonts w:hAnsi="宋体" w:cs="宋体"/>
          <w:b/>
          <w:szCs w:val="24"/>
          <w:highlight w:val="none"/>
        </w:rPr>
      </w:pPr>
      <w:r>
        <w:rPr>
          <w:rFonts w:hint="eastAsia" w:hAnsi="宋体" w:cs="宋体"/>
          <w:b/>
          <w:szCs w:val="24"/>
          <w:highlight w:val="none"/>
        </w:rPr>
        <w:t>1.资金来源</w:t>
      </w:r>
    </w:p>
    <w:p>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w:t>
      </w:r>
      <w:r>
        <w:rPr>
          <w:rFonts w:hint="eastAsia" w:hAnsi="宋体" w:cs="宋体"/>
          <w:szCs w:val="24"/>
          <w:highlight w:val="none"/>
          <w:lang w:eastAsia="zh-CN"/>
        </w:rPr>
        <w:t>财政资金</w:t>
      </w:r>
      <w:r>
        <w:rPr>
          <w:rFonts w:hint="eastAsia" w:hAnsi="宋体" w:cs="宋体"/>
          <w:szCs w:val="24"/>
          <w:highlight w:val="none"/>
        </w:rPr>
        <w:t>支付，资金已落实到位。</w:t>
      </w:r>
    </w:p>
    <w:p>
      <w:pPr>
        <w:numPr>
          <w:ilvl w:val="0"/>
          <w:numId w:val="2"/>
        </w:numPr>
        <w:spacing w:line="500" w:lineRule="exact"/>
        <w:rPr>
          <w:rFonts w:hAnsi="宋体" w:cs="宋体"/>
          <w:b/>
          <w:szCs w:val="24"/>
          <w:highlight w:val="none"/>
        </w:rPr>
      </w:pPr>
      <w:bookmarkStart w:id="27" w:name="_Toc363473973"/>
      <w:bookmarkStart w:id="28" w:name="_Toc403077640"/>
      <w:bookmarkStart w:id="29" w:name="_Toc363474018"/>
      <w:r>
        <w:rPr>
          <w:rFonts w:hint="eastAsia" w:hAnsi="宋体" w:cs="宋体"/>
          <w:b/>
          <w:szCs w:val="24"/>
          <w:highlight w:val="none"/>
        </w:rPr>
        <w:t>名词解释</w:t>
      </w:r>
    </w:p>
    <w:p>
      <w:pPr>
        <w:tabs>
          <w:tab w:val="left" w:pos="7665"/>
        </w:tabs>
        <w:spacing w:line="360" w:lineRule="auto"/>
        <w:ind w:firstLine="480" w:firstLineChars="200"/>
        <w:rPr>
          <w:rFonts w:hint="eastAsia" w:hAnsi="宋体" w:eastAsia="宋体" w:cs="宋体"/>
          <w:szCs w:val="22"/>
          <w:highlight w:val="none"/>
          <w:lang w:eastAsia="zh-CN"/>
        </w:rPr>
      </w:pPr>
      <w:r>
        <w:rPr>
          <w:rFonts w:hint="eastAsia" w:hAnsi="宋体" w:cs="宋体"/>
          <w:szCs w:val="22"/>
          <w:highlight w:val="none"/>
        </w:rPr>
        <w:t>2.1采购人：</w:t>
      </w:r>
      <w:r>
        <w:rPr>
          <w:rFonts w:hint="eastAsia" w:hAnsi="宋体" w:cs="宋体"/>
          <w:szCs w:val="22"/>
          <w:highlight w:val="none"/>
          <w:lang w:eastAsia="zh-CN"/>
        </w:rPr>
        <w:t>西安市第六十六中学</w:t>
      </w:r>
    </w:p>
    <w:p>
      <w:pPr>
        <w:tabs>
          <w:tab w:val="left" w:pos="7665"/>
        </w:tabs>
        <w:spacing w:line="360" w:lineRule="auto"/>
        <w:ind w:firstLine="480" w:firstLineChars="200"/>
        <w:rPr>
          <w:rFonts w:hAnsi="宋体" w:cs="宋体"/>
          <w:szCs w:val="22"/>
          <w:highlight w:val="none"/>
        </w:rPr>
      </w:pPr>
      <w:r>
        <w:rPr>
          <w:rFonts w:hint="eastAsia" w:hAnsi="宋体" w:cs="宋体"/>
          <w:szCs w:val="22"/>
          <w:highlight w:val="none"/>
        </w:rPr>
        <w:t>2.2监督机构：同级人民政府财政部门</w:t>
      </w:r>
    </w:p>
    <w:p>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2.3采购代理机构：陕西至诚招标咨询有限公司</w:t>
      </w:r>
    </w:p>
    <w:p>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Ansi="宋体" w:cs="宋体"/>
          <w:b/>
          <w:szCs w:val="24"/>
          <w:highlight w:val="none"/>
        </w:rPr>
      </w:pPr>
      <w:r>
        <w:rPr>
          <w:rFonts w:hint="eastAsia" w:hAnsi="宋体" w:cs="宋体"/>
          <w:b/>
          <w:szCs w:val="24"/>
          <w:highlight w:val="none"/>
        </w:rPr>
        <w:t>3.合格的供应商</w:t>
      </w:r>
    </w:p>
    <w:p>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3.1《政府采购法》第二十二条第一款规定的供应商基本资格条件:</w:t>
      </w:r>
    </w:p>
    <w:p>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3.4供应商必须在陕西至诚招标咨询有限公司购买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pPr>
        <w:spacing w:line="360" w:lineRule="auto"/>
        <w:rPr>
          <w:rFonts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二.竞争性磋商文件</w:t>
      </w:r>
      <w:bookmarkEnd w:id="27"/>
      <w:bookmarkEnd w:id="28"/>
      <w:bookmarkEnd w:id="29"/>
    </w:p>
    <w:p>
      <w:pPr>
        <w:spacing w:line="360" w:lineRule="auto"/>
        <w:rPr>
          <w:rFonts w:hAnsi="宋体" w:cs="宋体"/>
          <w:b/>
          <w:szCs w:val="24"/>
          <w:highlight w:val="none"/>
        </w:rPr>
      </w:pPr>
      <w:r>
        <w:rPr>
          <w:rFonts w:hint="eastAsia" w:hAnsi="宋体" w:cs="宋体"/>
          <w:b/>
          <w:szCs w:val="24"/>
          <w:highlight w:val="none"/>
        </w:rPr>
        <w:t>6.竞争性磋商文件构成</w:t>
      </w:r>
    </w:p>
    <w:p>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Ansi="宋体" w:cs="宋体"/>
          <w:b/>
          <w:szCs w:val="24"/>
          <w:highlight w:val="none"/>
        </w:rPr>
      </w:pPr>
      <w:r>
        <w:rPr>
          <w:rFonts w:hint="eastAsia" w:hAnsi="宋体" w:cs="宋体"/>
          <w:b/>
          <w:szCs w:val="24"/>
          <w:highlight w:val="none"/>
        </w:rPr>
        <w:t>7.竞争性磋商文件的修改和澄清</w:t>
      </w:r>
    </w:p>
    <w:p>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pPr>
        <w:keepNext/>
        <w:keepLines/>
        <w:spacing w:before="312" w:beforeLines="100" w:after="156" w:afterLines="50" w:line="360" w:lineRule="auto"/>
        <w:jc w:val="center"/>
        <w:rPr>
          <w:rFonts w:hAnsi="宋体" w:cs="宋体"/>
          <w:b/>
          <w:sz w:val="32"/>
          <w:szCs w:val="32"/>
          <w:highlight w:val="none"/>
        </w:rPr>
      </w:pPr>
      <w:bookmarkStart w:id="30" w:name="_Toc363474019"/>
      <w:bookmarkStart w:id="31" w:name="_Toc363473974"/>
      <w:bookmarkStart w:id="32" w:name="_Toc403077641"/>
      <w:r>
        <w:rPr>
          <w:rFonts w:hint="eastAsia" w:hAnsi="宋体" w:cs="宋体"/>
          <w:b/>
          <w:sz w:val="32"/>
          <w:szCs w:val="32"/>
          <w:highlight w:val="none"/>
        </w:rPr>
        <w:t>三.磋商响应文件的编制</w:t>
      </w:r>
      <w:bookmarkEnd w:id="30"/>
      <w:bookmarkEnd w:id="31"/>
      <w:bookmarkEnd w:id="32"/>
    </w:p>
    <w:p>
      <w:pPr>
        <w:spacing w:line="360" w:lineRule="auto"/>
        <w:rPr>
          <w:rFonts w:hAnsi="宋体" w:cs="宋体"/>
          <w:b/>
          <w:szCs w:val="24"/>
          <w:highlight w:val="none"/>
        </w:rPr>
      </w:pPr>
      <w:r>
        <w:rPr>
          <w:rFonts w:hint="eastAsia" w:hAnsi="宋体" w:cs="宋体"/>
          <w:b/>
          <w:szCs w:val="24"/>
          <w:highlight w:val="none"/>
        </w:rPr>
        <w:t>8. 磋商语言和磋商货币</w:t>
      </w:r>
    </w:p>
    <w:p>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pPr>
        <w:spacing w:line="360" w:lineRule="auto"/>
        <w:rPr>
          <w:rFonts w:hAnsi="宋体" w:cs="宋体"/>
          <w:b/>
          <w:szCs w:val="24"/>
          <w:highlight w:val="none"/>
        </w:rPr>
      </w:pPr>
      <w:r>
        <w:rPr>
          <w:rFonts w:hint="eastAsia" w:hAnsi="宋体" w:cs="宋体"/>
          <w:b/>
          <w:szCs w:val="24"/>
          <w:highlight w:val="none"/>
        </w:rPr>
        <w:t>9.竞争性磋商响应文件的构成</w:t>
      </w:r>
    </w:p>
    <w:p>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w:t>
      </w:r>
      <w:r>
        <w:rPr>
          <w:rFonts w:hint="eastAsia" w:hAnsi="宋体" w:cs="宋体"/>
          <w:szCs w:val="24"/>
          <w:highlight w:val="none"/>
          <w:lang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szCs w:val="24"/>
          <w:highlight w:val="none"/>
        </w:rPr>
      </w:pPr>
      <w:r>
        <w:rPr>
          <w:rFonts w:hint="eastAsia" w:hAnsi="宋体" w:cs="宋体"/>
          <w:b/>
          <w:szCs w:val="24"/>
          <w:highlight w:val="none"/>
        </w:rPr>
        <w:t>11.磋商报价</w:t>
      </w:r>
    </w:p>
    <w:p>
      <w:pPr>
        <w:spacing w:line="360" w:lineRule="auto"/>
        <w:ind w:firstLine="480" w:firstLineChars="200"/>
        <w:rPr>
          <w:highlight w:val="none"/>
        </w:rPr>
      </w:pPr>
      <w:r>
        <w:rPr>
          <w:rFonts w:hint="eastAsia" w:hAnsi="宋体" w:cs="宋体"/>
          <w:highlight w:val="none"/>
        </w:rPr>
        <w:t>11.1</w:t>
      </w:r>
      <w:r>
        <w:rPr>
          <w:rFonts w:hint="eastAsia" w:hAnsi="宋体" w:cs="宋体"/>
          <w:szCs w:val="24"/>
          <w:highlight w:val="none"/>
        </w:rPr>
        <w:t>磋商</w:t>
      </w:r>
      <w:r>
        <w:rPr>
          <w:rFonts w:hint="eastAsia" w:hAnsi="宋体" w:cs="宋体"/>
          <w:highlight w:val="none"/>
        </w:rPr>
        <w:t>报价：本工程发包方式为包工包料。采用</w:t>
      </w:r>
      <w:r>
        <w:rPr>
          <w:rFonts w:hint="eastAsia" w:hAnsi="宋体" w:cs="宋体"/>
          <w:highlight w:val="none"/>
          <w:lang w:eastAsia="zh-CN"/>
        </w:rPr>
        <w:t>固定总价</w:t>
      </w:r>
      <w:r>
        <w:rPr>
          <w:rFonts w:hint="eastAsia" w:hAnsi="宋体" w:cs="宋体"/>
          <w:highlight w:val="none"/>
        </w:rPr>
        <w:t>合同，包括但不限于工程施工费（人、材、机等费用）、规费、税金、项目措施费、招标代理服务费等其他一切相关费用。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szCs w:val="24"/>
          <w:highlight w:val="none"/>
        </w:rPr>
      </w:pPr>
      <w:r>
        <w:rPr>
          <w:rFonts w:hint="eastAsia" w:hAnsi="宋体" w:cs="宋体"/>
          <w:b/>
          <w:szCs w:val="24"/>
          <w:highlight w:val="none"/>
        </w:rPr>
        <w:t>12.证明供应商合格的资格证明文件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szCs w:val="24"/>
          <w:highlight w:val="none"/>
        </w:rPr>
      </w:pPr>
      <w:r>
        <w:rPr>
          <w:rFonts w:hint="eastAsia" w:hAnsi="宋体" w:cs="宋体"/>
          <w:b/>
          <w:szCs w:val="24"/>
          <w:highlight w:val="none"/>
        </w:rPr>
        <w:t>13.</w:t>
      </w:r>
      <w:r>
        <w:rPr>
          <w:rFonts w:hAnsi="宋体"/>
          <w:b/>
          <w:szCs w:val="24"/>
          <w:highlight w:val="none"/>
        </w:rPr>
        <w:t>证明的合格性和符合</w:t>
      </w:r>
      <w:r>
        <w:rPr>
          <w:rFonts w:hint="eastAsia" w:hAnsi="宋体"/>
          <w:b/>
          <w:szCs w:val="24"/>
          <w:highlight w:val="none"/>
        </w:rPr>
        <w:t>竞争性磋商</w:t>
      </w:r>
      <w:r>
        <w:rPr>
          <w:rFonts w:hAnsi="宋体"/>
          <w:b/>
          <w:szCs w:val="24"/>
          <w:highlight w:val="none"/>
        </w:rPr>
        <w:t>文件规定的文件</w:t>
      </w:r>
    </w:p>
    <w:p>
      <w:pPr>
        <w:spacing w:line="360" w:lineRule="auto"/>
        <w:ind w:firstLine="480" w:firstLineChars="200"/>
        <w:rPr>
          <w:rFonts w:hAnsi="宋体"/>
          <w:szCs w:val="24"/>
          <w:highlight w:val="none"/>
        </w:rPr>
      </w:pPr>
      <w:r>
        <w:rPr>
          <w:rFonts w:hAnsi="宋体"/>
          <w:szCs w:val="24"/>
          <w:highlight w:val="none"/>
        </w:rPr>
        <w:t>13.1</w:t>
      </w:r>
      <w:r>
        <w:rPr>
          <w:rFonts w:hint="eastAsia" w:hAnsi="宋体"/>
          <w:szCs w:val="24"/>
          <w:highlight w:val="none"/>
        </w:rPr>
        <w:t>供应商</w:t>
      </w:r>
      <w:r>
        <w:rPr>
          <w:rFonts w:hAnsi="宋体"/>
          <w:szCs w:val="24"/>
          <w:highlight w:val="none"/>
        </w:rPr>
        <w:t>应在</w:t>
      </w:r>
      <w:r>
        <w:rPr>
          <w:rFonts w:hint="eastAsia" w:hAnsi="宋体"/>
          <w:szCs w:val="24"/>
          <w:highlight w:val="none"/>
        </w:rPr>
        <w:t>竞争性磋商响应文件</w:t>
      </w:r>
      <w:r>
        <w:rPr>
          <w:rFonts w:hAnsi="宋体"/>
          <w:szCs w:val="24"/>
          <w:highlight w:val="none"/>
        </w:rPr>
        <w:t>中提交服务满足</w:t>
      </w:r>
      <w:r>
        <w:rPr>
          <w:rFonts w:hint="eastAsia" w:hAnsi="宋体"/>
          <w:szCs w:val="24"/>
          <w:highlight w:val="none"/>
        </w:rPr>
        <w:t>竞争性磋商</w:t>
      </w:r>
      <w:r>
        <w:rPr>
          <w:rFonts w:hAnsi="宋体"/>
          <w:szCs w:val="24"/>
          <w:highlight w:val="none"/>
        </w:rPr>
        <w:t>文件要求并符合国家法律法规、行业管理部门要求的其他强制性标准的证明文件。缺少证明文件或证明文件不合格的</w:t>
      </w:r>
      <w:r>
        <w:rPr>
          <w:rFonts w:hint="eastAsia" w:hAnsi="宋体"/>
          <w:szCs w:val="24"/>
          <w:highlight w:val="none"/>
        </w:rPr>
        <w:t>磋商响应文件</w:t>
      </w:r>
      <w:r>
        <w:rPr>
          <w:rFonts w:hAnsi="宋体"/>
          <w:szCs w:val="24"/>
          <w:highlight w:val="none"/>
        </w:rPr>
        <w:t>，与</w:t>
      </w:r>
      <w:r>
        <w:rPr>
          <w:rFonts w:hint="eastAsia" w:hAnsi="宋体"/>
          <w:szCs w:val="24"/>
          <w:highlight w:val="none"/>
        </w:rPr>
        <w:t>竞争性磋商</w:t>
      </w:r>
      <w:r>
        <w:rPr>
          <w:rFonts w:hAnsi="宋体"/>
          <w:szCs w:val="24"/>
          <w:highlight w:val="none"/>
        </w:rPr>
        <w:t>文件要求有重大偏离的</w:t>
      </w:r>
      <w:r>
        <w:rPr>
          <w:rFonts w:hint="eastAsia" w:hAnsi="宋体"/>
          <w:szCs w:val="24"/>
          <w:highlight w:val="none"/>
        </w:rPr>
        <w:t>磋商响应文件</w:t>
      </w:r>
      <w:r>
        <w:rPr>
          <w:rFonts w:hAnsi="宋体"/>
          <w:szCs w:val="24"/>
          <w:highlight w:val="none"/>
        </w:rPr>
        <w:t>，不符合国家法律法规、行业管理部门要求的其他强制性标准的</w:t>
      </w:r>
      <w:r>
        <w:rPr>
          <w:rFonts w:hint="eastAsia" w:hAnsi="宋体"/>
          <w:szCs w:val="24"/>
          <w:highlight w:val="none"/>
        </w:rPr>
        <w:t>磋商响应文件</w:t>
      </w:r>
      <w:r>
        <w:rPr>
          <w:rFonts w:hAnsi="宋体"/>
          <w:szCs w:val="24"/>
          <w:highlight w:val="none"/>
        </w:rPr>
        <w:t>将</w:t>
      </w:r>
      <w:r>
        <w:rPr>
          <w:rFonts w:hint="eastAsia" w:hAnsi="宋体"/>
          <w:szCs w:val="24"/>
          <w:highlight w:val="none"/>
        </w:rPr>
        <w:t>按无效磋商处理</w:t>
      </w:r>
      <w:r>
        <w:rPr>
          <w:rFonts w:hAnsi="宋体"/>
          <w:szCs w:val="24"/>
          <w:highlight w:val="none"/>
        </w:rPr>
        <w:t>。</w:t>
      </w:r>
    </w:p>
    <w:p>
      <w:pPr>
        <w:spacing w:line="360" w:lineRule="auto"/>
        <w:ind w:firstLine="480" w:firstLineChars="200"/>
        <w:rPr>
          <w:rFonts w:hAnsi="宋体"/>
          <w:szCs w:val="24"/>
          <w:highlight w:val="none"/>
        </w:rPr>
      </w:pPr>
      <w:r>
        <w:rPr>
          <w:rFonts w:hAnsi="宋体"/>
          <w:szCs w:val="24"/>
          <w:highlight w:val="none"/>
        </w:rPr>
        <w:t>13.2上述证明文件可以是文字资料、图纸、图片</w:t>
      </w:r>
      <w:r>
        <w:rPr>
          <w:rFonts w:hint="eastAsia" w:hAnsi="宋体"/>
          <w:szCs w:val="24"/>
          <w:highlight w:val="none"/>
        </w:rPr>
        <w:t>、</w:t>
      </w:r>
      <w:r>
        <w:rPr>
          <w:rFonts w:hAnsi="宋体"/>
          <w:szCs w:val="24"/>
          <w:highlight w:val="none"/>
        </w:rPr>
        <w:t>数据</w:t>
      </w:r>
      <w:r>
        <w:rPr>
          <w:rFonts w:hint="eastAsia" w:hAnsi="宋体"/>
          <w:szCs w:val="24"/>
          <w:highlight w:val="none"/>
        </w:rPr>
        <w:t>、</w:t>
      </w:r>
      <w:r>
        <w:rPr>
          <w:rFonts w:hAnsi="宋体"/>
          <w:szCs w:val="24"/>
          <w:highlight w:val="none"/>
        </w:rPr>
        <w:t>宣传彩页等，所有证明文件表达意思必须统一。</w:t>
      </w:r>
    </w:p>
    <w:p>
      <w:pPr>
        <w:spacing w:line="360" w:lineRule="auto"/>
        <w:rPr>
          <w:rFonts w:hAnsi="宋体" w:cs="宋体"/>
          <w:b/>
          <w:szCs w:val="24"/>
          <w:highlight w:val="none"/>
        </w:rPr>
      </w:pPr>
      <w:r>
        <w:rPr>
          <w:rFonts w:hint="eastAsia" w:hAnsi="宋体" w:cs="宋体"/>
          <w:b/>
          <w:szCs w:val="24"/>
          <w:highlight w:val="none"/>
        </w:rPr>
        <w:t>14.磋商保证金</w:t>
      </w:r>
    </w:p>
    <w:p>
      <w:pPr>
        <w:spacing w:line="360" w:lineRule="auto"/>
        <w:ind w:firstLine="482" w:firstLineChars="200"/>
        <w:rPr>
          <w:rFonts w:hint="eastAsia" w:hAnsi="宋体" w:eastAsia="宋体" w:cs="宋体"/>
          <w:b/>
          <w:szCs w:val="24"/>
          <w:highlight w:val="none"/>
          <w:lang w:eastAsia="zh-CN"/>
        </w:rPr>
      </w:pPr>
      <w:r>
        <w:rPr>
          <w:rFonts w:hint="eastAsia" w:hAnsi="宋体" w:cs="宋体"/>
          <w:b/>
          <w:szCs w:val="24"/>
          <w:highlight w:val="none"/>
          <w:lang w:eastAsia="zh-CN"/>
        </w:rPr>
        <w:t>无</w:t>
      </w:r>
    </w:p>
    <w:p>
      <w:pPr>
        <w:spacing w:line="360" w:lineRule="auto"/>
        <w:rPr>
          <w:rFonts w:hAnsi="宋体" w:cs="宋体"/>
          <w:b/>
          <w:szCs w:val="24"/>
          <w:highlight w:val="none"/>
        </w:rPr>
      </w:pPr>
      <w:r>
        <w:rPr>
          <w:rFonts w:hint="eastAsia" w:hAnsi="宋体" w:cs="宋体"/>
          <w:b/>
          <w:szCs w:val="24"/>
          <w:highlight w:val="none"/>
        </w:rPr>
        <w:t>15.磋商有效期</w:t>
      </w:r>
    </w:p>
    <w:p>
      <w:pPr>
        <w:spacing w:line="360" w:lineRule="auto"/>
        <w:ind w:firstLine="480" w:firstLineChars="200"/>
        <w:rPr>
          <w:rFonts w:hAnsi="宋体" w:cs="宋体"/>
          <w:szCs w:val="24"/>
          <w:highlight w:val="none"/>
        </w:rPr>
      </w:pPr>
      <w:bookmarkStart w:id="33"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33"/>
    </w:p>
    <w:p>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Ansi="宋体" w:cs="宋体"/>
          <w:b/>
          <w:szCs w:val="24"/>
          <w:highlight w:val="none"/>
        </w:rPr>
      </w:pPr>
      <w:r>
        <w:rPr>
          <w:rFonts w:hint="eastAsia" w:hAnsi="宋体" w:cs="宋体"/>
          <w:b/>
          <w:szCs w:val="24"/>
          <w:highlight w:val="none"/>
        </w:rPr>
        <w:t>16.竞争性磋商响应文件的式样和签署</w:t>
      </w:r>
    </w:p>
    <w:p>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电子版（U/光盘）</w:t>
      </w:r>
      <w:r>
        <w:rPr>
          <w:rFonts w:hint="eastAsia" w:hAnsi="宋体" w:cs="宋体"/>
          <w:szCs w:val="24"/>
          <w:highlight w:val="none"/>
        </w:rPr>
        <w:t>并在盘面标注供应商全称、项目名称、项目编号，并与竞争性磋商响应文件同时递交。</w:t>
      </w:r>
    </w:p>
    <w:p>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16.4供应商名称应填写全称。磋商响应文件正本必须逐页加盖供应商公章（鲜章），否则按无效处理。</w:t>
      </w:r>
    </w:p>
    <w:p>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四.竞争性磋商响应文件的递交</w:t>
      </w:r>
    </w:p>
    <w:p>
      <w:pPr>
        <w:spacing w:line="360" w:lineRule="auto"/>
        <w:rPr>
          <w:rFonts w:hAnsi="宋体" w:cs="宋体"/>
          <w:b/>
          <w:szCs w:val="24"/>
          <w:highlight w:val="none"/>
        </w:rPr>
      </w:pPr>
      <w:r>
        <w:rPr>
          <w:rFonts w:hint="eastAsia" w:hAnsi="宋体" w:cs="宋体"/>
          <w:b/>
          <w:szCs w:val="24"/>
          <w:highlight w:val="none"/>
        </w:rPr>
        <w:t>17.竞争性磋商响应文件的密封和标记</w:t>
      </w:r>
    </w:p>
    <w:p>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w:t>
      </w:r>
      <w:r>
        <w:rPr>
          <w:rFonts w:hint="eastAsia" w:hAnsi="宋体" w:cs="宋体"/>
          <w:szCs w:val="24"/>
          <w:highlight w:val="none"/>
        </w:rPr>
        <w:t>所有的副本、</w:t>
      </w:r>
      <w:r>
        <w:rPr>
          <w:rFonts w:hint="eastAsia" w:hAnsi="宋体" w:cs="宋体"/>
          <w:highlight w:val="none"/>
        </w:rPr>
        <w:t>电子版本、报价一览表单独密封装在封袋中（封袋不得有破损），且在封袋正面标明</w:t>
      </w:r>
      <w:r>
        <w:rPr>
          <w:rFonts w:hint="eastAsia" w:hAnsi="宋体" w:cs="宋体"/>
          <w:szCs w:val="24"/>
          <w:highlight w:val="none"/>
        </w:rPr>
        <w:t>“正本”“副本”</w:t>
      </w:r>
      <w:r>
        <w:rPr>
          <w:rFonts w:hint="eastAsia" w:hAnsi="宋体" w:cs="宋体"/>
          <w:highlight w:val="none"/>
        </w:rPr>
        <w:t>“电子版本”“报价一览表”字样。封袋应加贴封条，并在封线处加盖供应商公章，封袋正面要粘贴供应商全称、项目名称、项目编号等标识。</w:t>
      </w:r>
    </w:p>
    <w:p>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pPr>
        <w:spacing w:line="360" w:lineRule="auto"/>
        <w:ind w:firstLine="480" w:firstLineChars="200"/>
        <w:rPr>
          <w:rFonts w:hAnsi="宋体" w:cs="宋体"/>
          <w:szCs w:val="24"/>
          <w:highlight w:val="none"/>
        </w:rPr>
      </w:pPr>
      <w:r>
        <w:rPr>
          <w:rFonts w:hint="eastAsia" w:hAnsi="宋体" w:cs="宋体"/>
          <w:szCs w:val="24"/>
          <w:highlight w:val="none"/>
        </w:rPr>
        <w:t>17.3如果供应商未对竞争性磋商响应文件按上述要求进行完好密封，由此产生的不利后果由供应商自行承担。</w:t>
      </w:r>
    </w:p>
    <w:p>
      <w:pPr>
        <w:spacing w:line="360" w:lineRule="auto"/>
        <w:rPr>
          <w:rFonts w:hAnsi="宋体" w:cs="宋体"/>
          <w:b/>
          <w:szCs w:val="24"/>
          <w:highlight w:val="none"/>
        </w:rPr>
      </w:pPr>
      <w:r>
        <w:rPr>
          <w:rFonts w:hint="eastAsia" w:hAnsi="宋体" w:cs="宋体"/>
          <w:b/>
          <w:szCs w:val="24"/>
          <w:highlight w:val="none"/>
        </w:rPr>
        <w:t>18．竞争性磋商响应文件的递交</w:t>
      </w:r>
    </w:p>
    <w:p>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pPr>
        <w:spacing w:line="360" w:lineRule="auto"/>
        <w:rPr>
          <w:rFonts w:hAnsi="宋体" w:cs="宋体"/>
          <w:b/>
          <w:szCs w:val="24"/>
          <w:highlight w:val="none"/>
        </w:rPr>
      </w:pPr>
      <w:r>
        <w:rPr>
          <w:rFonts w:hint="eastAsia" w:hAnsi="宋体" w:cs="宋体"/>
          <w:b/>
          <w:szCs w:val="24"/>
          <w:highlight w:val="none"/>
        </w:rPr>
        <w:t>19．递交的竞争性磋商响应文件</w:t>
      </w:r>
    </w:p>
    <w:p>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pPr>
        <w:spacing w:line="360" w:lineRule="auto"/>
        <w:rPr>
          <w:rFonts w:hAnsi="宋体" w:cs="宋体"/>
          <w:b/>
          <w:szCs w:val="24"/>
          <w:highlight w:val="none"/>
        </w:rPr>
      </w:pPr>
      <w:r>
        <w:rPr>
          <w:rFonts w:hint="eastAsia" w:hAnsi="宋体" w:cs="宋体"/>
          <w:b/>
          <w:szCs w:val="24"/>
          <w:highlight w:val="none"/>
        </w:rPr>
        <w:t>20．磋商的修改与撤回</w:t>
      </w:r>
    </w:p>
    <w:p>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pPr>
        <w:keepNext/>
        <w:keepLines/>
        <w:spacing w:before="312" w:beforeLines="100" w:after="156" w:afterLines="50" w:line="360" w:lineRule="auto"/>
        <w:jc w:val="center"/>
        <w:rPr>
          <w:rFonts w:hAnsi="宋体" w:cs="宋体"/>
          <w:b/>
          <w:sz w:val="32"/>
          <w:szCs w:val="32"/>
          <w:highlight w:val="none"/>
        </w:rPr>
      </w:pPr>
      <w:bookmarkStart w:id="34" w:name="_Toc363473976"/>
      <w:bookmarkStart w:id="35" w:name="_Toc363474021"/>
      <w:bookmarkStart w:id="36" w:name="_Toc403077643"/>
      <w:r>
        <w:rPr>
          <w:rFonts w:hint="eastAsia" w:hAnsi="宋体" w:cs="宋体"/>
          <w:b/>
          <w:sz w:val="32"/>
          <w:szCs w:val="32"/>
          <w:highlight w:val="none"/>
        </w:rPr>
        <w:t>五.磋商与评标</w:t>
      </w:r>
      <w:bookmarkEnd w:id="34"/>
      <w:bookmarkEnd w:id="35"/>
      <w:bookmarkEnd w:id="36"/>
    </w:p>
    <w:p>
      <w:pPr>
        <w:spacing w:line="360" w:lineRule="auto"/>
        <w:rPr>
          <w:rFonts w:hAnsi="宋体" w:cs="宋体"/>
          <w:b/>
          <w:szCs w:val="24"/>
          <w:highlight w:val="none"/>
        </w:rPr>
      </w:pPr>
      <w:r>
        <w:rPr>
          <w:rFonts w:hint="eastAsia" w:hAnsi="宋体" w:cs="宋体"/>
          <w:b/>
          <w:szCs w:val="24"/>
          <w:highlight w:val="none"/>
        </w:rPr>
        <w:t>21.磋商大会</w:t>
      </w:r>
    </w:p>
    <w:p>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pPr>
        <w:spacing w:line="360" w:lineRule="auto"/>
        <w:rPr>
          <w:rFonts w:hAnsi="宋体" w:cs="宋体"/>
          <w:b/>
          <w:szCs w:val="24"/>
          <w:highlight w:val="none"/>
        </w:rPr>
      </w:pPr>
      <w:r>
        <w:rPr>
          <w:rFonts w:hint="eastAsia" w:hAnsi="宋体" w:cs="宋体"/>
          <w:b/>
          <w:szCs w:val="24"/>
          <w:highlight w:val="none"/>
        </w:rPr>
        <w:t>22．评审程序</w:t>
      </w:r>
    </w:p>
    <w:p>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szCs w:val="24"/>
          <w:highlight w:val="none"/>
        </w:rPr>
      </w:pPr>
      <w:r>
        <w:rPr>
          <w:rFonts w:hint="eastAsia" w:hAnsi="宋体" w:cs="宋体"/>
          <w:b/>
          <w:szCs w:val="24"/>
          <w:highlight w:val="none"/>
        </w:rPr>
        <w:t>23．评审组织及评审原则</w:t>
      </w:r>
    </w:p>
    <w:p>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2</w:t>
      </w:r>
      <w:r>
        <w:rPr>
          <w:rFonts w:hint="eastAsia" w:hAnsi="宋体" w:cs="宋体"/>
          <w:b/>
          <w:bCs/>
          <w:szCs w:val="24"/>
          <w:highlight w:val="none"/>
        </w:rPr>
        <w:t>）供应商未提交有效的磋商保证金或金额不足的、磋商保证金形式不符合竞争性磋商文件要求的；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3</w:t>
      </w:r>
      <w:r>
        <w:rPr>
          <w:rFonts w:hint="eastAsia" w:hAnsi="宋体" w:cs="宋体"/>
          <w:b/>
          <w:bCs/>
          <w:szCs w:val="24"/>
          <w:highlight w:val="none"/>
        </w:rPr>
        <w:t>）资格证明文件不全的或无效的，或不符合国家规定的；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4</w:t>
      </w:r>
      <w:r>
        <w:rPr>
          <w:rFonts w:hint="eastAsia" w:hAnsi="宋体" w:cs="宋体"/>
          <w:b/>
          <w:bCs/>
          <w:szCs w:val="24"/>
          <w:highlight w:val="none"/>
        </w:rPr>
        <w:t>）竞争性磋商响应文件无供应商公章、无法定代表人签字或签字人无法定代表人有效委托书的；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5</w:t>
      </w:r>
      <w:r>
        <w:rPr>
          <w:rFonts w:hint="eastAsia" w:hAnsi="宋体" w:cs="宋体"/>
          <w:b/>
          <w:bCs/>
          <w:szCs w:val="24"/>
          <w:highlight w:val="none"/>
        </w:rPr>
        <w:t>）</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6</w:t>
      </w:r>
      <w:r>
        <w:rPr>
          <w:rFonts w:hint="eastAsia" w:hAnsi="宋体" w:cs="宋体"/>
          <w:b/>
          <w:bCs/>
          <w:szCs w:val="24"/>
          <w:highlight w:val="none"/>
        </w:rPr>
        <w:t>）供应商在同一份竞争性磋商响应文件中，有两个或多个报价的；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7</w:t>
      </w:r>
      <w:r>
        <w:rPr>
          <w:rFonts w:hint="eastAsia" w:hAnsi="宋体" w:cs="宋体"/>
          <w:b/>
          <w:bCs/>
          <w:szCs w:val="24"/>
          <w:highlight w:val="none"/>
        </w:rPr>
        <w:t>）存在有重大缺漏项和重大偏离的；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8</w:t>
      </w:r>
      <w:r>
        <w:rPr>
          <w:rFonts w:hint="eastAsia" w:hAnsi="宋体" w:cs="宋体"/>
          <w:b/>
          <w:bCs/>
          <w:szCs w:val="24"/>
          <w:highlight w:val="none"/>
        </w:rPr>
        <w:t>）供应商有串通磋商、以他人名义磋商、行贿、提供虚假证明（包括第三方提供的虚假证明），开具虚假资质，出现虚假应答的，除按无效文件处理外，还将按照政府采购的有关规定进行处罚；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9</w:t>
      </w:r>
      <w:r>
        <w:rPr>
          <w:rFonts w:hint="eastAsia" w:hAnsi="宋体" w:cs="宋体"/>
          <w:b/>
          <w:bCs/>
          <w:szCs w:val="24"/>
          <w:highlight w:val="none"/>
        </w:rPr>
        <w:t>）磋商总报价低于成本或者高于竞争性磋商文件公布的采购预算的。</w:t>
      </w:r>
    </w:p>
    <w:p>
      <w:pPr>
        <w:pStyle w:val="19"/>
        <w:spacing w:before="0" w:beforeAutospacing="0" w:after="0" w:afterAutospacing="0" w:line="500" w:lineRule="exact"/>
        <w:ind w:firstLine="482" w:firstLineChars="200"/>
        <w:jc w:val="both"/>
        <w:rPr>
          <w:rFonts w:cs="宋体"/>
          <w:b/>
          <w:bCs/>
          <w:highlight w:val="none"/>
        </w:rPr>
      </w:pPr>
      <w:r>
        <w:rPr>
          <w:rFonts w:hint="eastAsia" w:cs="宋体"/>
          <w:b/>
          <w:bCs/>
          <w:highlight w:val="none"/>
          <w:lang w:val="en-US" w:eastAsia="zh-CN"/>
        </w:rPr>
        <w:t>10</w:t>
      </w:r>
      <w:r>
        <w:rPr>
          <w:rFonts w:hint="eastAsia" w:cs="宋体"/>
          <w:b/>
          <w:bCs/>
          <w:highlight w:val="none"/>
        </w:rPr>
        <w:t>）竞争性磋商响应文件含有采购人不能接受的附加条件的；</w:t>
      </w:r>
    </w:p>
    <w:p>
      <w:pPr>
        <w:spacing w:line="500" w:lineRule="exact"/>
        <w:ind w:firstLine="482" w:firstLineChars="200"/>
        <w:rPr>
          <w:rFonts w:hAnsi="宋体" w:cs="宋体"/>
          <w:b/>
          <w:bCs/>
          <w:szCs w:val="24"/>
          <w:highlight w:val="none"/>
        </w:rPr>
      </w:pPr>
      <w:r>
        <w:rPr>
          <w:rFonts w:hint="eastAsia" w:hAnsi="宋体" w:cs="宋体"/>
          <w:b/>
          <w:bCs/>
          <w:szCs w:val="24"/>
          <w:highlight w:val="none"/>
          <w:lang w:val="en-US" w:eastAsia="zh-CN"/>
        </w:rPr>
        <w:t>11</w:t>
      </w:r>
      <w:r>
        <w:rPr>
          <w:rFonts w:hint="eastAsia" w:hAnsi="宋体" w:cs="宋体"/>
          <w:b/>
          <w:bCs/>
          <w:szCs w:val="24"/>
          <w:highlight w:val="none"/>
        </w:rPr>
        <w:t>）竞争性磋商响应文件不符合法律法规要求的；</w:t>
      </w:r>
    </w:p>
    <w:p>
      <w:pPr>
        <w:pStyle w:val="19"/>
        <w:spacing w:before="0" w:beforeAutospacing="0" w:after="0" w:afterAutospacing="0" w:line="500" w:lineRule="exact"/>
        <w:ind w:firstLine="482" w:firstLineChars="200"/>
        <w:jc w:val="both"/>
        <w:rPr>
          <w:rFonts w:cs="宋体"/>
          <w:highlight w:val="none"/>
        </w:rPr>
      </w:pPr>
      <w:r>
        <w:rPr>
          <w:rFonts w:hint="eastAsia" w:cs="宋体"/>
          <w:b/>
          <w:bCs/>
          <w:highlight w:val="none"/>
          <w:lang w:val="en-US" w:eastAsia="zh-CN"/>
        </w:rPr>
        <w:t>12</w:t>
      </w:r>
      <w:r>
        <w:rPr>
          <w:rFonts w:hint="eastAsia" w:cs="宋体"/>
          <w:b/>
          <w:bCs/>
          <w:highlight w:val="none"/>
        </w:rPr>
        <w:t>）供应商被列入失信被执行人、重大税收违法案件当事人名单、政府采购严重违法失信行为记录名单及其他不符合《中华人民共和国政府采购法》第二十二条规定条件。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pPr>
        <w:spacing w:line="360" w:lineRule="auto"/>
        <w:rPr>
          <w:rFonts w:hAnsi="宋体" w:cs="宋体"/>
          <w:b/>
          <w:szCs w:val="24"/>
          <w:highlight w:val="none"/>
        </w:rPr>
      </w:pPr>
      <w:r>
        <w:rPr>
          <w:rFonts w:hint="eastAsia" w:hAnsi="宋体" w:cs="宋体"/>
          <w:b/>
          <w:szCs w:val="24"/>
          <w:highlight w:val="none"/>
        </w:rPr>
        <w:t>24．评审过程的保密</w:t>
      </w:r>
    </w:p>
    <w:p>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Ansi="宋体" w:cs="宋体"/>
          <w:b/>
          <w:szCs w:val="24"/>
          <w:highlight w:val="none"/>
        </w:rPr>
      </w:pPr>
      <w:r>
        <w:rPr>
          <w:rFonts w:hint="eastAsia" w:hAnsi="宋体" w:cs="宋体"/>
          <w:b/>
          <w:szCs w:val="24"/>
          <w:highlight w:val="none"/>
        </w:rPr>
        <w:t>25．评审方法</w:t>
      </w:r>
    </w:p>
    <w:p>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六.成交、通知与签约</w:t>
      </w:r>
    </w:p>
    <w:p>
      <w:pPr>
        <w:spacing w:line="360" w:lineRule="auto"/>
        <w:rPr>
          <w:rFonts w:hAnsi="宋体" w:cs="宋体"/>
          <w:b/>
          <w:szCs w:val="24"/>
          <w:highlight w:val="none"/>
        </w:rPr>
      </w:pPr>
      <w:r>
        <w:rPr>
          <w:rFonts w:hint="eastAsia" w:hAnsi="宋体" w:cs="宋体"/>
          <w:b/>
          <w:szCs w:val="24"/>
          <w:highlight w:val="none"/>
        </w:rPr>
        <w:t>26．成交程序</w:t>
      </w:r>
    </w:p>
    <w:p>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pPr>
        <w:spacing w:line="360" w:lineRule="auto"/>
        <w:rPr>
          <w:rFonts w:hAnsi="宋体" w:cs="宋体"/>
          <w:b/>
          <w:szCs w:val="24"/>
          <w:highlight w:val="none"/>
        </w:rPr>
      </w:pPr>
      <w:r>
        <w:rPr>
          <w:rFonts w:hint="eastAsia" w:hAnsi="宋体" w:cs="宋体"/>
          <w:b/>
          <w:szCs w:val="24"/>
          <w:highlight w:val="none"/>
        </w:rPr>
        <w:t>27．成交通知</w:t>
      </w:r>
    </w:p>
    <w:p>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szCs w:val="24"/>
          <w:highlight w:val="none"/>
        </w:rPr>
      </w:pPr>
      <w:r>
        <w:rPr>
          <w:rFonts w:hint="eastAsia" w:hAnsi="宋体" w:cs="宋体"/>
          <w:b/>
          <w:szCs w:val="24"/>
          <w:highlight w:val="none"/>
        </w:rPr>
        <w:t>28. 采购合同的签订</w:t>
      </w:r>
    </w:p>
    <w:p>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pPr>
        <w:spacing w:line="360" w:lineRule="auto"/>
        <w:ind w:firstLine="480" w:firstLineChars="200"/>
        <w:rPr>
          <w:rFonts w:hint="eastAsia" w:hAnsi="宋体" w:cs="宋体"/>
          <w:szCs w:val="24"/>
          <w:highlight w:val="none"/>
        </w:rPr>
      </w:pPr>
      <w:r>
        <w:rPr>
          <w:rFonts w:hint="eastAsia" w:hAnsi="宋体" w:cs="宋体"/>
          <w:szCs w:val="24"/>
          <w:highlight w:val="none"/>
        </w:rPr>
        <w:t>29.1以中标金额为基数，参照国家计委颁布《招标代理服务收费管理暂行办法》（计价格[2002]1980 号）和国家发展改革委员会办公厅颁发的《关于招标代理服务收费有关问题的通知》（发改办价格[2003]857 号）文件规定执行。</w:t>
      </w:r>
    </w:p>
    <w:p>
      <w:pPr>
        <w:spacing w:line="360" w:lineRule="auto"/>
        <w:ind w:firstLine="480" w:firstLineChars="200"/>
        <w:rPr>
          <w:rFonts w:hint="eastAsia" w:hAnsi="宋体" w:cs="宋体"/>
          <w:szCs w:val="24"/>
          <w:highlight w:val="none"/>
        </w:rPr>
      </w:pPr>
      <w:r>
        <w:rPr>
          <w:rFonts w:hint="eastAsia" w:hAnsi="宋体" w:cs="宋体"/>
          <w:szCs w:val="24"/>
          <w:highlight w:val="none"/>
        </w:rPr>
        <w:t>29.2招标代理服务费由中标单位支付，在领取《成交通知书》前，成交单位一次性支付给陕西至诚招标咨询有限公司。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pPr>
        <w:pStyle w:val="9"/>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pPr>
        <w:numPr>
          <w:ilvl w:val="0"/>
          <w:numId w:val="3"/>
        </w:numPr>
        <w:spacing w:line="600" w:lineRule="exact"/>
        <w:rPr>
          <w:rFonts w:hAnsi="宋体" w:cs="宋体"/>
          <w:b/>
          <w:bCs/>
          <w:szCs w:val="24"/>
          <w:highlight w:val="none"/>
        </w:rPr>
      </w:pPr>
      <w:r>
        <w:rPr>
          <w:rFonts w:hint="eastAsia" w:hAnsi="宋体" w:cs="宋体"/>
          <w:b/>
          <w:bCs/>
          <w:szCs w:val="24"/>
          <w:highlight w:val="none"/>
        </w:rPr>
        <w:t>质疑</w:t>
      </w:r>
    </w:p>
    <w:p>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5"/>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pPr>
        <w:spacing w:line="500" w:lineRule="exact"/>
        <w:ind w:right="12" w:firstLine="480" w:firstLineChars="200"/>
        <w:rPr>
          <w:rStyle w:val="25"/>
          <w:rFonts w:hAnsi="宋体" w:cs="宋体"/>
          <w:b w:val="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pPr>
        <w:widowControl/>
        <w:spacing w:line="360" w:lineRule="auto"/>
        <w:ind w:firstLine="480" w:firstLineChars="200"/>
        <w:rPr>
          <w:rStyle w:val="25"/>
          <w:rFonts w:hAnsi="宋体" w:cs="宋体"/>
          <w:b w:val="0"/>
          <w:szCs w:val="24"/>
          <w:highlight w:val="none"/>
          <w:shd w:val="clear" w:color="auto" w:fill="FFFFFF"/>
        </w:rPr>
      </w:pPr>
      <w:r>
        <w:rPr>
          <w:rFonts w:hint="eastAsia" w:hAnsi="宋体" w:cs="宋体"/>
          <w:highlight w:val="none"/>
        </w:rPr>
        <w:t>30.6.8不符合法律、法规、规章和政府采购监管机构规定的其他条件的。</w:t>
      </w:r>
    </w:p>
    <w:p>
      <w:pPr>
        <w:spacing w:line="500" w:lineRule="exact"/>
        <w:ind w:right="12"/>
        <w:rPr>
          <w:rFonts w:hAnsi="宋体" w:cs="宋体"/>
          <w:szCs w:val="24"/>
          <w:highlight w:val="none"/>
        </w:rPr>
      </w:pPr>
      <w:r>
        <w:rPr>
          <w:rFonts w:hint="eastAsia" w:hAnsi="宋体" w:cs="宋体"/>
          <w:szCs w:val="24"/>
          <w:highlight w:val="none"/>
        </w:rPr>
        <w:t xml:space="preserve">    30.7质疑答复</w:t>
      </w:r>
    </w:p>
    <w:p>
      <w:pPr>
        <w:pStyle w:val="31"/>
        <w:spacing w:line="500" w:lineRule="exact"/>
        <w:ind w:firstLine="480"/>
        <w:jc w:val="left"/>
        <w:rPr>
          <w:rFonts w:hAnsi="宋体" w:cs="宋体"/>
          <w:szCs w:val="24"/>
          <w:highlight w:val="none"/>
        </w:rPr>
      </w:pPr>
      <w:r>
        <w:rPr>
          <w:rFonts w:hint="eastAsia" w:hAnsi="宋体" w:cs="宋体"/>
          <w:szCs w:val="24"/>
          <w:highlight w:val="none"/>
        </w:rPr>
        <w:t>30.7.1采购人或采购代理机构在收到质疑函后7个工作日内作出答复，并以书面形式通知质疑供应商和其他有关供应商。</w:t>
      </w:r>
    </w:p>
    <w:p>
      <w:pPr>
        <w:spacing w:line="360" w:lineRule="auto"/>
        <w:rPr>
          <w:rFonts w:hAnsi="宋体" w:cs="宋体"/>
          <w:b/>
          <w:szCs w:val="24"/>
          <w:highlight w:val="none"/>
        </w:rPr>
      </w:pPr>
      <w:r>
        <w:rPr>
          <w:rFonts w:hint="eastAsia" w:hAnsi="宋体" w:cs="宋体"/>
          <w:b/>
          <w:szCs w:val="24"/>
          <w:highlight w:val="none"/>
        </w:rPr>
        <w:t>31.其他</w:t>
      </w:r>
    </w:p>
    <w:p>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hAnsi="宋体" w:cs="宋体"/>
          <w:szCs w:val="24"/>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7" w:name="_Toc363474023"/>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w:t>
      </w:r>
      <w:r>
        <w:rPr>
          <w:rFonts w:hint="eastAsia" w:ascii="宋体" w:hAnsi="宋体" w:eastAsia="宋体" w:cs="宋体"/>
          <w:b/>
          <w:szCs w:val="24"/>
          <w:highlight w:val="none"/>
          <w:lang w:val="en-US" w:eastAsia="zh-CN"/>
        </w:rPr>
        <w:t>2</w:t>
      </w:r>
      <w:r>
        <w:rPr>
          <w:rFonts w:hint="eastAsia" w:ascii="宋体" w:hAnsi="宋体" w:eastAsia="宋体" w:cs="宋体"/>
          <w:b/>
          <w:szCs w:val="24"/>
          <w:highlight w:val="none"/>
        </w:rPr>
        <w:t>.信用担保</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（一）陕西省信用担保及信用融资政策</w:t>
      </w:r>
    </w:p>
    <w:p>
      <w:pPr>
        <w:spacing w:line="360" w:lineRule="auto"/>
        <w:ind w:firstLine="480" w:firstLineChars="200"/>
        <w:jc w:val="left"/>
        <w:rPr>
          <w:rFonts w:hint="default" w:ascii="宋体" w:hAnsi="宋体" w:eastAsia="宋体" w:cs="宋体"/>
          <w:szCs w:val="24"/>
          <w:highlight w:val="none"/>
          <w:lang w:val="en-US" w:eastAsia="zh-CN"/>
        </w:rPr>
      </w:pPr>
      <w:r>
        <w:rPr>
          <w:rFonts w:hint="eastAsia" w:ascii="宋体" w:hAnsi="宋体" w:eastAsia="宋体" w:cs="宋体"/>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3"/>
        <w:jc w:val="center"/>
        <w:rPr>
          <w:rFonts w:ascii="宋体" w:eastAsia="宋体" w:cs="宋体"/>
          <w:bCs/>
          <w:szCs w:val="24"/>
          <w:highlight w:val="none"/>
        </w:rPr>
      </w:pPr>
      <w:bookmarkStart w:id="38" w:name="_Toc403077645"/>
      <w:bookmarkStart w:id="39" w:name="_Toc25783"/>
      <w:bookmarkStart w:id="40" w:name="_Toc423973074"/>
      <w:r>
        <w:rPr>
          <w:rFonts w:hint="eastAsia" w:ascii="宋体" w:eastAsia="宋体" w:cs="宋体"/>
          <w:bCs/>
          <w:sz w:val="36"/>
          <w:szCs w:val="36"/>
          <w:highlight w:val="none"/>
        </w:rPr>
        <w:br w:type="page"/>
      </w:r>
      <w:bookmarkStart w:id="41" w:name="_Toc17808"/>
      <w:r>
        <w:rPr>
          <w:rFonts w:hint="eastAsia" w:ascii="宋体" w:eastAsia="宋体" w:cs="宋体"/>
          <w:bCs/>
          <w:szCs w:val="36"/>
          <w:highlight w:val="none"/>
        </w:rPr>
        <w:t xml:space="preserve">第三章  </w:t>
      </w:r>
      <w:r>
        <w:rPr>
          <w:rFonts w:hint="eastAsia" w:ascii="宋体" w:eastAsia="宋体" w:cs="宋体"/>
          <w:bCs/>
          <w:szCs w:val="32"/>
          <w:highlight w:val="none"/>
        </w:rPr>
        <w:t>评审</w:t>
      </w:r>
      <w:r>
        <w:rPr>
          <w:rFonts w:hint="eastAsia" w:ascii="宋体" w:eastAsia="宋体" w:cs="宋体"/>
          <w:bCs/>
          <w:szCs w:val="36"/>
          <w:highlight w:val="none"/>
        </w:rPr>
        <w:t>方法</w:t>
      </w:r>
      <w:bookmarkEnd w:id="41"/>
    </w:p>
    <w:p>
      <w:pPr>
        <w:spacing w:line="360" w:lineRule="auto"/>
        <w:rPr>
          <w:rFonts w:hAnsi="宋体" w:cs="宋体"/>
          <w:b/>
          <w:szCs w:val="24"/>
          <w:highlight w:val="none"/>
        </w:rPr>
      </w:pPr>
      <w:r>
        <w:rPr>
          <w:rFonts w:hint="eastAsia" w:hAnsi="宋体" w:cs="宋体"/>
          <w:b/>
          <w:szCs w:val="24"/>
          <w:highlight w:val="none"/>
        </w:rPr>
        <w:t>一．评审方法：</w:t>
      </w:r>
    </w:p>
    <w:p>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Ansi="宋体" w:cs="宋体"/>
          <w:b/>
          <w:spacing w:val="4"/>
          <w:szCs w:val="24"/>
          <w:highlight w:val="none"/>
        </w:rPr>
      </w:pPr>
      <w:r>
        <w:rPr>
          <w:rFonts w:hint="eastAsia" w:hAnsi="宋体" w:cs="宋体"/>
          <w:b/>
          <w:spacing w:val="4"/>
          <w:szCs w:val="24"/>
          <w:highlight w:val="none"/>
        </w:rPr>
        <w:t>二、评审程序：</w:t>
      </w:r>
    </w:p>
    <w:p>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9"/>
        <w:spacing w:line="500" w:lineRule="exact"/>
        <w:ind w:firstLine="482" w:firstLineChars="200"/>
        <w:rPr>
          <w:rFonts w:ascii="宋体" w:hAnsi="宋体" w:cs="宋体"/>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500" w:lineRule="exact"/>
        <w:jc w:val="left"/>
        <w:rPr>
          <w:rFonts w:hAnsi="宋体" w:cs="宋体"/>
          <w:b/>
          <w:szCs w:val="24"/>
          <w:highlight w:val="none"/>
        </w:rPr>
      </w:pPr>
      <w:r>
        <w:rPr>
          <w:rFonts w:hint="eastAsia" w:hAnsi="宋体" w:cs="宋体"/>
          <w:b/>
          <w:szCs w:val="24"/>
          <w:highlight w:val="none"/>
        </w:rPr>
        <w:t>三、政策性扣减</w:t>
      </w:r>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1.2依照&lt;关于印发《政府采购促进中小企业发展暂行办法》的通知&gt;（财库(20</w:t>
      </w:r>
      <w:r>
        <w:rPr>
          <w:rFonts w:hint="eastAsia" w:hAnsi="宋体" w:cs="宋体"/>
          <w:szCs w:val="24"/>
          <w:highlight w:val="none"/>
          <w:lang w:val="en-US" w:eastAsia="zh-CN"/>
        </w:rPr>
        <w:t>20</w:t>
      </w:r>
      <w:r>
        <w:rPr>
          <w:rFonts w:hint="eastAsia" w:hAnsi="宋体" w:cs="宋体"/>
          <w:szCs w:val="24"/>
          <w:highlight w:val="none"/>
        </w:rPr>
        <w:t>〕</w:t>
      </w:r>
      <w:r>
        <w:rPr>
          <w:rFonts w:hint="eastAsia" w:hAnsi="宋体" w:cs="宋体"/>
          <w:szCs w:val="24"/>
          <w:highlight w:val="none"/>
          <w:lang w:val="en-US" w:eastAsia="zh-CN"/>
        </w:rPr>
        <w:t>46</w:t>
      </w:r>
      <w:r>
        <w:rPr>
          <w:rFonts w:hint="eastAsia" w:hAnsi="宋体" w:cs="宋体"/>
          <w:szCs w:val="24"/>
          <w:highlight w:val="none"/>
        </w:rPr>
        <w:t>号）的规定，小型、微型企业应当同时符合以下条件：</w:t>
      </w:r>
    </w:p>
    <w:p>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pPr>
        <w:pStyle w:val="9"/>
        <w:rPr>
          <w:rFonts w:ascii="宋体" w:hAnsi="宋体" w:cs="宋体"/>
          <w:highlight w:val="none"/>
        </w:rPr>
      </w:pPr>
    </w:p>
    <w:p>
      <w:pPr>
        <w:spacing w:line="360" w:lineRule="auto"/>
        <w:ind w:firstLine="498" w:firstLineChars="200"/>
        <w:jc w:val="center"/>
        <w:rPr>
          <w:rFonts w:hAnsi="宋体" w:cs="宋体"/>
          <w:b/>
          <w:szCs w:val="24"/>
          <w:highlight w:val="none"/>
        </w:rPr>
      </w:pPr>
      <w:r>
        <w:rPr>
          <w:rFonts w:hint="eastAsia" w:hAnsi="宋体" w:cs="宋体"/>
          <w:b/>
          <w:spacing w:val="4"/>
          <w:szCs w:val="24"/>
          <w:highlight w:val="none"/>
        </w:rPr>
        <w:br w:type="page"/>
      </w:r>
      <w:r>
        <w:rPr>
          <w:rFonts w:hint="eastAsia" w:hAnsi="宋体" w:cs="宋体"/>
          <w:b/>
          <w:spacing w:val="4"/>
          <w:szCs w:val="24"/>
          <w:highlight w:val="none"/>
        </w:rPr>
        <w:t>四、</w:t>
      </w:r>
      <w:r>
        <w:rPr>
          <w:rFonts w:hint="eastAsia" w:hAnsi="宋体" w:cs="宋体"/>
          <w:b/>
          <w:szCs w:val="24"/>
          <w:highlight w:val="none"/>
        </w:rPr>
        <w:t>评审要素和分值分解表</w:t>
      </w:r>
    </w:p>
    <w:tbl>
      <w:tblPr>
        <w:tblStyle w:val="22"/>
        <w:tblW w:w="4999" w:type="pct"/>
        <w:jc w:val="center"/>
        <w:tblLayout w:type="autofit"/>
        <w:tblCellMar>
          <w:top w:w="0" w:type="dxa"/>
          <w:left w:w="0" w:type="dxa"/>
          <w:bottom w:w="0" w:type="dxa"/>
          <w:right w:w="0" w:type="dxa"/>
        </w:tblCellMar>
      </w:tblPr>
      <w:tblGrid>
        <w:gridCol w:w="1609"/>
        <w:gridCol w:w="1170"/>
        <w:gridCol w:w="4843"/>
        <w:gridCol w:w="1751"/>
      </w:tblGrid>
      <w:tr>
        <w:tblPrEx>
          <w:tblCellMar>
            <w:top w:w="0" w:type="dxa"/>
            <w:left w:w="0" w:type="dxa"/>
            <w:bottom w:w="0" w:type="dxa"/>
            <w:right w:w="0" w:type="dxa"/>
          </w:tblCellMar>
        </w:tblPrEx>
        <w:trPr>
          <w:trHeight w:val="595" w:hRule="atLeast"/>
          <w:jc w:val="center"/>
        </w:trPr>
        <w:tc>
          <w:tcPr>
            <w:tcW w:w="4065"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20"/>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评分因素及标准</w:t>
            </w:r>
          </w:p>
        </w:tc>
        <w:tc>
          <w:tcPr>
            <w:tcW w:w="934" w:type="pct"/>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hint="eastAsia" w:ascii="宋体" w:hAnsi="宋体" w:eastAsia="宋体" w:cs="宋体"/>
                <w:b/>
                <w:sz w:val="21"/>
                <w:szCs w:val="21"/>
                <w:highlight w:val="none"/>
              </w:rPr>
            </w:pPr>
          </w:p>
        </w:tc>
      </w:tr>
      <w:tr>
        <w:tblPrEx>
          <w:tblCellMar>
            <w:top w:w="0" w:type="dxa"/>
            <w:left w:w="0" w:type="dxa"/>
            <w:bottom w:w="0" w:type="dxa"/>
            <w:right w:w="0" w:type="dxa"/>
          </w:tblCellMar>
        </w:tblPrEx>
        <w:trPr>
          <w:trHeight w:val="510" w:hRule="atLeast"/>
          <w:jc w:val="center"/>
        </w:trPr>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w:t>
            </w:r>
          </w:p>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因素及权重</w:t>
            </w:r>
          </w:p>
        </w:tc>
        <w:tc>
          <w:tcPr>
            <w:tcW w:w="6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25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c>
          <w:tcPr>
            <w:tcW w:w="93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说明</w:t>
            </w:r>
          </w:p>
        </w:tc>
      </w:tr>
      <w:tr>
        <w:tblPrEx>
          <w:tblCellMar>
            <w:top w:w="0" w:type="dxa"/>
            <w:left w:w="0" w:type="dxa"/>
            <w:bottom w:w="0" w:type="dxa"/>
            <w:right w:w="0" w:type="dxa"/>
          </w:tblCellMar>
        </w:tblPrEx>
        <w:trPr>
          <w:trHeight w:val="1780" w:hRule="atLeast"/>
          <w:jc w:val="center"/>
        </w:trPr>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价格30%</w:t>
            </w:r>
          </w:p>
        </w:tc>
        <w:tc>
          <w:tcPr>
            <w:tcW w:w="6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价格30分</w:t>
            </w:r>
          </w:p>
        </w:tc>
        <w:tc>
          <w:tcPr>
            <w:tcW w:w="25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134" w:leftChars="56" w:right="70" w:rightChars="29"/>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以</w:t>
            </w:r>
            <w:r>
              <w:rPr>
                <w:rFonts w:hint="eastAsia" w:ascii="宋体" w:hAnsi="宋体" w:eastAsia="宋体" w:cs="宋体"/>
                <w:sz w:val="21"/>
                <w:szCs w:val="21"/>
                <w:highlight w:val="none"/>
                <w:lang w:eastAsia="zh-CN"/>
              </w:rPr>
              <w:t>磋商小组</w:t>
            </w:r>
            <w:r>
              <w:rPr>
                <w:rFonts w:hint="eastAsia" w:ascii="宋体" w:hAnsi="宋体" w:eastAsia="宋体" w:cs="宋体"/>
                <w:sz w:val="21"/>
                <w:szCs w:val="21"/>
                <w:highlight w:val="none"/>
              </w:rPr>
              <w:t>认定的有效供应商的有效投标文件中的最低价为评审基准价，价格得分=（评审基准价/报价）×30%×100。</w:t>
            </w:r>
          </w:p>
        </w:tc>
        <w:tc>
          <w:tcPr>
            <w:tcW w:w="934" w:type="pct"/>
            <w:tcBorders>
              <w:top w:val="single" w:color="000000" w:sz="4" w:space="0"/>
              <w:left w:val="single" w:color="000000" w:sz="4" w:space="0"/>
              <w:bottom w:val="single" w:color="000000" w:sz="4" w:space="0"/>
              <w:right w:val="single" w:color="000000" w:sz="4" w:space="0"/>
            </w:tcBorders>
            <w:vAlign w:val="center"/>
          </w:tcPr>
          <w:p>
            <w:pPr>
              <w:widowControl/>
              <w:ind w:left="134" w:leftChars="56" w:right="70" w:rightChars="29"/>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共同评分因素</w:t>
            </w:r>
          </w:p>
        </w:tc>
      </w:tr>
      <w:tr>
        <w:tblPrEx>
          <w:tblCellMar>
            <w:top w:w="0" w:type="dxa"/>
            <w:left w:w="0" w:type="dxa"/>
            <w:bottom w:w="0" w:type="dxa"/>
            <w:right w:w="0" w:type="dxa"/>
          </w:tblCellMar>
        </w:tblPrEx>
        <w:trPr>
          <w:trHeight w:val="1467" w:hRule="atLeast"/>
          <w:jc w:val="center"/>
        </w:trPr>
        <w:tc>
          <w:tcPr>
            <w:tcW w:w="858"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产品技术性能要求及施工方案</w:t>
            </w:r>
          </w:p>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c>
          <w:tcPr>
            <w:tcW w:w="6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产品技术性能</w:t>
            </w:r>
          </w:p>
          <w:p>
            <w:pPr>
              <w:widowControl/>
              <w:ind w:right="70" w:rightChars="29" w:firstLine="210" w:firstLineChars="100"/>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30分</w:t>
            </w:r>
          </w:p>
        </w:tc>
        <w:tc>
          <w:tcPr>
            <w:tcW w:w="25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3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1.跑道面层颜色耐用持久，依据ASTM G154标准经过光老化试验紫外辐射暴露3000~3500小时后，依据ISO105-A02灰标等级评定在3-4级或以上的，提供检验报告。完全满足得4分，不满足得0分。</w:t>
            </w:r>
          </w:p>
          <w:p>
            <w:pPr>
              <w:pStyle w:val="3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2.生产企业为提供的混合型颗粒面跑道材料同时投保“产品责任保险”和“产品质量保险”的，并出具有效期内的产品保险承保证书的，满足得4分，不满足得0分。</w:t>
            </w:r>
          </w:p>
          <w:p>
            <w:pPr>
              <w:pStyle w:val="3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3．跑道材料为中国环保产品，并获得中国环保产品认证证书以及RoHS符合性认证证书，满足得4分，不满足得0分。</w:t>
            </w:r>
          </w:p>
          <w:p>
            <w:pPr>
              <w:pStyle w:val="3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4.依据HG/T3950-2007标准检测，跑道面层成品抗黑曲霉、土曲霉、宛氏拟青霉、绳状青霉、出芽短梗霉、球毛壳防霉等级0~1级，满足得4分，不满足得0分。</w:t>
            </w:r>
          </w:p>
          <w:p>
            <w:pPr>
              <w:pStyle w:val="3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5.悬浮式地板材料须通过《GB/T2423.22-2012》-70℃(停留1h)~100℃(停留1h)标准的温度冲击试验，40个循环后，无明显变化，无开裂，变形等现象，满足得4分，不满足得0分。</w:t>
            </w:r>
          </w:p>
          <w:p>
            <w:pPr>
              <w:pStyle w:val="3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6.悬浮地板安全卫士材料须通过《GB23864-2009》标准冻融循环检测，检测结果：无开裂、粉化，满足得4分，不满足得0分。</w:t>
            </w:r>
          </w:p>
          <w:p>
            <w:pPr>
              <w:pStyle w:val="3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7.悬浮式地板弹性垫材料通过《GB/T 16422.3-2014》标准的紫外老化100h实验检测，满足得3分，不满足得0分。</w:t>
            </w:r>
          </w:p>
          <w:p>
            <w:pPr>
              <w:pStyle w:val="3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8.悬浮式地板材料通过《ISO 21702:2019》标准的病毒灭活实验检测，结论：细胞对照，生长正常,满足得3分，不满足得0分。</w:t>
            </w:r>
          </w:p>
        </w:tc>
        <w:tc>
          <w:tcPr>
            <w:tcW w:w="934" w:type="pct"/>
            <w:tcBorders>
              <w:top w:val="single" w:color="000000" w:sz="4" w:space="0"/>
              <w:left w:val="single" w:color="000000" w:sz="4" w:space="0"/>
              <w:bottom w:val="single" w:color="000000" w:sz="4" w:space="0"/>
              <w:right w:val="single" w:color="000000" w:sz="4" w:space="0"/>
            </w:tcBorders>
            <w:vAlign w:val="center"/>
          </w:tcPr>
          <w:p>
            <w:pPr>
              <w:pStyle w:val="37"/>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rPr>
              <w:t>技术类评分因素</w:t>
            </w:r>
          </w:p>
        </w:tc>
      </w:tr>
      <w:tr>
        <w:tblPrEx>
          <w:tblCellMar>
            <w:top w:w="0" w:type="dxa"/>
            <w:left w:w="0" w:type="dxa"/>
            <w:bottom w:w="0" w:type="dxa"/>
            <w:right w:w="0" w:type="dxa"/>
          </w:tblCellMar>
        </w:tblPrEx>
        <w:trPr>
          <w:trHeight w:val="1467" w:hRule="atLeast"/>
          <w:jc w:val="center"/>
        </w:trPr>
        <w:tc>
          <w:tcPr>
            <w:tcW w:w="858" w:type="pct"/>
            <w:vMerge w:val="continue"/>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p>
        </w:tc>
        <w:tc>
          <w:tcPr>
            <w:tcW w:w="6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beforeLine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施工方案</w:t>
            </w:r>
          </w:p>
          <w:p>
            <w:pPr>
              <w:widowControl/>
              <w:ind w:right="70" w:rightChars="29" w:firstLine="210" w:firstLineChars="100"/>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15分</w:t>
            </w:r>
          </w:p>
        </w:tc>
        <w:tc>
          <w:tcPr>
            <w:tcW w:w="25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横向比较各投标供应商拟对本项目安排的施工组织设计方案情况，包括但不限于对：1）施工成品保护措施和施工工艺方案；2）工程保修工作管理措施；3）雨季施工方案；4）工期确保措施；5）紧急预案处理措施和安全生产保障情况，</w:t>
            </w:r>
            <w:r>
              <w:rPr>
                <w:rFonts w:hint="eastAsia" w:ascii="宋体" w:hAnsi="宋体" w:eastAsia="宋体" w:cs="宋体"/>
                <w:kern w:val="0"/>
                <w:sz w:val="21"/>
                <w:szCs w:val="21"/>
                <w:highlight w:val="none"/>
              </w:rPr>
              <w:t>以上五个方面每有一方面内容完善且与本项目匹配的得3分；每有一个方面分析深度不够，内容简单或与本项目不匹配的得1分；每缺失一个方面该项不得分；本项最高得15分。</w:t>
            </w:r>
          </w:p>
          <w:p>
            <w:pPr>
              <w:widowControl/>
              <w:ind w:right="70" w:rightChars="29"/>
              <w:jc w:val="left"/>
              <w:textAlignment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注：根据供应商的方案对招标文件需求的响应程度进行评审。</w:t>
            </w:r>
          </w:p>
        </w:tc>
        <w:tc>
          <w:tcPr>
            <w:tcW w:w="934" w:type="pct"/>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技术类评分因素</w:t>
            </w:r>
          </w:p>
        </w:tc>
      </w:tr>
      <w:tr>
        <w:tblPrEx>
          <w:tblCellMar>
            <w:top w:w="0" w:type="dxa"/>
            <w:left w:w="0" w:type="dxa"/>
            <w:bottom w:w="0" w:type="dxa"/>
            <w:right w:w="0" w:type="dxa"/>
          </w:tblCellMar>
        </w:tblPrEx>
        <w:trPr>
          <w:trHeight w:val="540" w:hRule="atLeast"/>
          <w:jc w:val="center"/>
        </w:trPr>
        <w:tc>
          <w:tcPr>
            <w:tcW w:w="858" w:type="pc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样品10%</w:t>
            </w:r>
          </w:p>
        </w:tc>
        <w:tc>
          <w:tcPr>
            <w:tcW w:w="6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right="70" w:rightChars="29"/>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样品10分</w:t>
            </w:r>
          </w:p>
        </w:tc>
        <w:tc>
          <w:tcPr>
            <w:tcW w:w="25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1、塑胶跑道：投标人须提供规格为300*300*13mm的</w:t>
            </w:r>
            <w:r>
              <w:rPr>
                <w:rFonts w:hint="eastAsia" w:ascii="宋体" w:hAnsi="宋体" w:eastAsia="宋体" w:cs="宋体"/>
                <w:bCs/>
                <w:sz w:val="21"/>
                <w:szCs w:val="21"/>
                <w:highlight w:val="none"/>
              </w:rPr>
              <w:t>混合型SPU跑道成品</w:t>
            </w:r>
            <w:r>
              <w:rPr>
                <w:rFonts w:hint="eastAsia" w:ascii="宋体" w:hAnsi="宋体" w:eastAsia="宋体" w:cs="宋体"/>
                <w:sz w:val="21"/>
                <w:szCs w:val="21"/>
                <w:highlight w:val="none"/>
              </w:rPr>
              <w:t>样品1块。样品要求分层结构，</w:t>
            </w:r>
            <w:r>
              <w:rPr>
                <w:rFonts w:hint="eastAsia" w:ascii="宋体" w:hAnsi="宋体" w:eastAsia="宋体" w:cs="宋体"/>
                <w:bCs/>
                <w:sz w:val="21"/>
                <w:szCs w:val="21"/>
                <w:highlight w:val="none"/>
              </w:rPr>
              <w:t>弹性层须是单组份微气囊混合TPU颗粒发泡结构，面层为喷颗粒面层</w:t>
            </w:r>
            <w:r>
              <w:rPr>
                <w:rFonts w:hint="eastAsia" w:ascii="宋体" w:hAnsi="宋体" w:eastAsia="宋体" w:cs="宋体"/>
                <w:sz w:val="21"/>
                <w:szCs w:val="21"/>
                <w:highlight w:val="none"/>
              </w:rPr>
              <w:t>。</w:t>
            </w:r>
          </w:p>
          <w:p>
            <w:pPr>
              <w:spacing w:line="360" w:lineRule="auto"/>
              <w:rPr>
                <w:rFonts w:hint="eastAsia" w:ascii="宋体" w:hAnsi="宋体" w:eastAsia="宋体" w:cs="宋体"/>
                <w:bCs/>
                <w:sz w:val="21"/>
                <w:szCs w:val="21"/>
                <w:highlight w:val="none"/>
              </w:rPr>
            </w:pPr>
            <w:r>
              <w:rPr>
                <w:rFonts w:hint="eastAsia" w:ascii="宋体" w:hAnsi="宋体" w:eastAsia="宋体" w:cs="宋体"/>
                <w:sz w:val="21"/>
                <w:szCs w:val="21"/>
                <w:highlight w:val="none"/>
              </w:rPr>
              <w:t>2、悬浮地板：</w:t>
            </w:r>
            <w:r>
              <w:rPr>
                <w:rFonts w:hint="eastAsia" w:ascii="宋体" w:hAnsi="宋体" w:eastAsia="宋体" w:cs="宋体"/>
                <w:bCs/>
                <w:sz w:val="21"/>
                <w:szCs w:val="21"/>
                <w:highlight w:val="none"/>
              </w:rPr>
              <w:t>投标人须提供规格为≥498mm*498mm*19mm，≥940g的样块一份，无毒无味、不反光、不刺眼、色泽柔和、</w:t>
            </w:r>
            <w:r>
              <w:rPr>
                <w:rFonts w:hint="eastAsia" w:ascii="宋体" w:hAnsi="宋体" w:eastAsia="宋体" w:cs="宋体"/>
                <w:color w:val="000000" w:themeColor="text1"/>
                <w:sz w:val="21"/>
                <w:szCs w:val="21"/>
                <w:highlight w:val="none"/>
                <w14:textFill>
                  <w14:solidFill>
                    <w14:schemeClr w14:val="tx1"/>
                  </w14:solidFill>
                </w14:textFill>
              </w:rPr>
              <w:t>软连接（16宫格）+弹性垫、内嵌防风防盗防位移的安全扣。</w:t>
            </w:r>
          </w:p>
          <w:p>
            <w:pPr>
              <w:adjustRightIn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b/>
                <w:bCs/>
                <w:sz w:val="21"/>
                <w:szCs w:val="21"/>
                <w:highlight w:val="none"/>
              </w:rPr>
              <w:t>评委只对合格样品进行评议，投标样品材质、厚度、结构设计、外型美观、气味等要求实质性响应，有一项不满足在基础分上扣3 分，扣完为止；</w:t>
            </w:r>
          </w:p>
        </w:tc>
        <w:tc>
          <w:tcPr>
            <w:tcW w:w="934"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技术类评分因素</w:t>
            </w:r>
          </w:p>
        </w:tc>
      </w:tr>
      <w:tr>
        <w:tblPrEx>
          <w:tblCellMar>
            <w:top w:w="0" w:type="dxa"/>
            <w:left w:w="0" w:type="dxa"/>
            <w:bottom w:w="0" w:type="dxa"/>
            <w:right w:w="0" w:type="dxa"/>
          </w:tblCellMar>
        </w:tblPrEx>
        <w:trPr>
          <w:trHeight w:val="540" w:hRule="atLeast"/>
          <w:jc w:val="center"/>
        </w:trPr>
        <w:tc>
          <w:tcPr>
            <w:tcW w:w="858" w:type="pct"/>
            <w:tcBorders>
              <w:top w:val="single" w:color="000000" w:sz="4" w:space="0"/>
              <w:left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售后服务10%</w:t>
            </w:r>
          </w:p>
        </w:tc>
        <w:tc>
          <w:tcPr>
            <w:tcW w:w="6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right="70" w:rightChars="29"/>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25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根据投标人提供的售后服务网点、售后应急维修时间、质保范围、质保期限、维护等售后服务内容作综合评价。服务体系完备，售后服务承诺详细、具体，满足用户要求，优于其他投标人售后服务承诺的得 6-10 分；售后服务周到，具有服务体系的得 1-5 分；售后服务体系不完备不得分。</w:t>
            </w:r>
          </w:p>
        </w:tc>
        <w:tc>
          <w:tcPr>
            <w:tcW w:w="934"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技术类评分因素</w:t>
            </w:r>
          </w:p>
        </w:tc>
      </w:tr>
      <w:tr>
        <w:tblPrEx>
          <w:tblCellMar>
            <w:top w:w="0" w:type="dxa"/>
            <w:left w:w="0" w:type="dxa"/>
            <w:bottom w:w="0" w:type="dxa"/>
            <w:right w:w="0" w:type="dxa"/>
          </w:tblCellMar>
        </w:tblPrEx>
        <w:trPr>
          <w:trHeight w:val="794" w:hRule="atLeast"/>
          <w:jc w:val="center"/>
        </w:trPr>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业绩5%</w:t>
            </w:r>
          </w:p>
        </w:tc>
        <w:tc>
          <w:tcPr>
            <w:tcW w:w="6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right="70" w:rightChars="29"/>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25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供应商提供2016年1月至今2个类似项目业绩，最高得5 分，提供中标通知书或合同。</w:t>
            </w:r>
          </w:p>
        </w:tc>
        <w:tc>
          <w:tcPr>
            <w:tcW w:w="934"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共同评分因素</w:t>
            </w:r>
          </w:p>
        </w:tc>
      </w:tr>
      <w:tr>
        <w:tblPrEx>
          <w:tblCellMar>
            <w:top w:w="0" w:type="dxa"/>
            <w:left w:w="0" w:type="dxa"/>
            <w:bottom w:w="0" w:type="dxa"/>
            <w:right w:w="0" w:type="dxa"/>
          </w:tblCellMar>
        </w:tblPrEx>
        <w:trPr>
          <w:trHeight w:val="540" w:hRule="atLeast"/>
          <w:jc w:val="center"/>
        </w:trPr>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合计</w:t>
            </w:r>
          </w:p>
        </w:tc>
        <w:tc>
          <w:tcPr>
            <w:tcW w:w="6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right="70" w:rightChars="29"/>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100分</w:t>
            </w:r>
          </w:p>
        </w:tc>
        <w:tc>
          <w:tcPr>
            <w:tcW w:w="25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bCs/>
                <w:sz w:val="21"/>
                <w:szCs w:val="21"/>
                <w:highlight w:val="none"/>
              </w:rPr>
            </w:pPr>
          </w:p>
        </w:tc>
        <w:tc>
          <w:tcPr>
            <w:tcW w:w="934" w:type="pc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sz w:val="21"/>
                <w:szCs w:val="21"/>
                <w:highlight w:val="none"/>
              </w:rPr>
            </w:pPr>
          </w:p>
        </w:tc>
      </w:tr>
    </w:tbl>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bCs/>
          <w:sz w:val="36"/>
          <w:szCs w:val="36"/>
          <w:highlight w:val="none"/>
        </w:rPr>
      </w:pPr>
      <w:r>
        <w:rPr>
          <w:rFonts w:hint="eastAsia" w:hAnsi="宋体" w:cs="宋体"/>
          <w:spacing w:val="4"/>
          <w:szCs w:val="24"/>
          <w:highlight w:val="none"/>
        </w:rPr>
        <w:t>2、采购人根据评标报告中推荐的成交候选人排列顺序确定供应商，以复函通知招标代理机构。</w:t>
      </w:r>
    </w:p>
    <w:p>
      <w:pPr>
        <w:pStyle w:val="17"/>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pPr>
        <w:pStyle w:val="3"/>
        <w:jc w:val="center"/>
        <w:rPr>
          <w:highlight w:val="none"/>
        </w:rPr>
      </w:pPr>
      <w:bookmarkStart w:id="42" w:name="_Toc7289"/>
      <w:r>
        <w:rPr>
          <w:rFonts w:hint="eastAsia" w:ascii="宋体" w:eastAsia="宋体" w:cs="宋体"/>
          <w:bCs/>
          <w:sz w:val="36"/>
          <w:szCs w:val="36"/>
          <w:highlight w:val="none"/>
        </w:rPr>
        <w:t>第四章  合同条款及格式</w:t>
      </w:r>
      <w:bookmarkEnd w:id="38"/>
      <w:bookmarkEnd w:id="39"/>
      <w:bookmarkEnd w:id="40"/>
      <w:bookmarkEnd w:id="42"/>
      <w:bookmarkStart w:id="43" w:name="_Toc19246"/>
      <w:bookmarkStart w:id="44" w:name="_Toc8333"/>
      <w:bookmarkStart w:id="45" w:name="_Toc423973075"/>
      <w:bookmarkStart w:id="46" w:name="_Toc19199"/>
      <w:bookmarkStart w:id="47" w:name="_Toc389582037"/>
      <w:bookmarkStart w:id="48" w:name="_Toc31520"/>
      <w:bookmarkStart w:id="49" w:name="_Toc4679"/>
      <w:bookmarkStart w:id="50" w:name="_Toc29888"/>
      <w:bookmarkStart w:id="51" w:name="_Toc26595"/>
    </w:p>
    <w:p>
      <w:pPr>
        <w:pStyle w:val="4"/>
        <w:jc w:val="center"/>
        <w:rPr>
          <w:rFonts w:ascii="宋体" w:hAnsi="宋体"/>
          <w:highlight w:val="none"/>
        </w:rPr>
      </w:pPr>
      <w:bookmarkStart w:id="52" w:name="_Toc6935"/>
      <w:bookmarkStart w:id="53" w:name="_Toc30560"/>
      <w:bookmarkStart w:id="54" w:name="_Toc32723"/>
      <w:r>
        <w:rPr>
          <w:rFonts w:hint="eastAsia" w:ascii="宋体" w:hAnsi="宋体"/>
          <w:highlight w:val="none"/>
        </w:rPr>
        <w:t>合同条款及格式前附表</w:t>
      </w:r>
      <w:bookmarkEnd w:id="52"/>
      <w:bookmarkEnd w:id="53"/>
      <w:bookmarkEnd w:id="54"/>
    </w:p>
    <w:p>
      <w:pPr>
        <w:ind w:firstLine="480" w:firstLineChars="200"/>
        <w:rPr>
          <w:bCs/>
          <w:sz w:val="36"/>
          <w:szCs w:val="36"/>
          <w:highlight w:val="none"/>
        </w:rPr>
      </w:pPr>
      <w:r>
        <w:rPr>
          <w:rFonts w:hint="eastAsia"/>
          <w:szCs w:val="24"/>
          <w:highlight w:val="none"/>
        </w:rPr>
        <w:t>本表是对合同条款的具体补充和修改，如有矛盾，应以本资料表为准。</w:t>
      </w:r>
    </w:p>
    <w:tbl>
      <w:tblPr>
        <w:tblStyle w:val="22"/>
        <w:tblW w:w="93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vAlign w:val="center"/>
          </w:tcPr>
          <w:p>
            <w:pPr>
              <w:spacing w:line="360" w:lineRule="auto"/>
              <w:jc w:val="center"/>
              <w:rPr>
                <w:rFonts w:hAnsi="宋体" w:cs="宋体"/>
                <w:b/>
                <w:szCs w:val="21"/>
                <w:highlight w:val="none"/>
              </w:rPr>
            </w:pPr>
            <w:r>
              <w:rPr>
                <w:rFonts w:hint="eastAsia" w:hAnsi="宋体" w:cs="宋体"/>
                <w:b/>
                <w:szCs w:val="21"/>
                <w:highlight w:val="none"/>
              </w:rPr>
              <w:t>序号</w:t>
            </w:r>
          </w:p>
        </w:tc>
        <w:tc>
          <w:tcPr>
            <w:tcW w:w="7875" w:type="dxa"/>
            <w:vAlign w:val="center"/>
          </w:tcPr>
          <w:p>
            <w:pPr>
              <w:spacing w:line="360" w:lineRule="auto"/>
              <w:jc w:val="center"/>
              <w:rPr>
                <w:rFonts w:hAnsi="宋体" w:cs="宋体"/>
                <w:b/>
                <w:szCs w:val="21"/>
                <w:highlight w:val="none"/>
              </w:rPr>
            </w:pPr>
            <w:r>
              <w:rPr>
                <w:rFonts w:hint="eastAsia" w:hAnsi="宋体" w:cs="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jc w:val="center"/>
              <w:rPr>
                <w:rFonts w:hAnsi="宋体" w:cs="宋体"/>
                <w:szCs w:val="21"/>
                <w:highlight w:val="none"/>
              </w:rPr>
            </w:pPr>
            <w:r>
              <w:rPr>
                <w:rFonts w:hint="eastAsia" w:hAnsi="宋体" w:cs="宋体"/>
                <w:szCs w:val="21"/>
                <w:highlight w:val="none"/>
              </w:rPr>
              <w:t>1</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采购人：</w:t>
            </w:r>
            <w:r>
              <w:rPr>
                <w:rFonts w:hint="eastAsia" w:hAnsi="宋体" w:cs="宋体"/>
                <w:szCs w:val="21"/>
                <w:highlight w:val="none"/>
                <w:lang w:eastAsia="zh-CN"/>
              </w:rPr>
              <w:t>西安市第六十六中学</w:t>
            </w:r>
          </w:p>
          <w:p>
            <w:pPr>
              <w:spacing w:line="360" w:lineRule="auto"/>
              <w:rPr>
                <w:rFonts w:hint="eastAsia" w:hAnsi="宋体" w:eastAsia="宋体" w:cs="宋体"/>
                <w:szCs w:val="21"/>
                <w:highlight w:val="none"/>
                <w:lang w:eastAsia="zh-CN"/>
              </w:rPr>
            </w:pPr>
            <w:r>
              <w:rPr>
                <w:rFonts w:hint="eastAsia" w:hAnsi="宋体" w:cs="宋体"/>
                <w:szCs w:val="21"/>
                <w:highlight w:val="none"/>
              </w:rPr>
              <w:t>地址：</w:t>
            </w:r>
            <w:r>
              <w:rPr>
                <w:rFonts w:hint="eastAsia" w:hAnsi="宋体" w:cs="宋体"/>
                <w:szCs w:val="21"/>
                <w:highlight w:val="none"/>
                <w:lang w:eastAsia="zh-CN"/>
              </w:rPr>
              <w:t>西安市未央区凤城四路7号</w:t>
            </w:r>
          </w:p>
          <w:p>
            <w:pPr>
              <w:spacing w:line="360" w:lineRule="auto"/>
              <w:rPr>
                <w:rFonts w:hint="eastAsia" w:hAnsi="宋体" w:eastAsia="宋体" w:cs="宋体"/>
                <w:szCs w:val="21"/>
                <w:highlight w:val="none"/>
                <w:lang w:eastAsia="zh-CN"/>
              </w:rPr>
            </w:pPr>
            <w:r>
              <w:rPr>
                <w:rFonts w:hint="eastAsia" w:hAnsi="宋体" w:cs="宋体"/>
                <w:szCs w:val="21"/>
                <w:highlight w:val="none"/>
              </w:rPr>
              <w:t>项目名称：</w:t>
            </w:r>
            <w:r>
              <w:rPr>
                <w:rFonts w:hint="eastAsia" w:cs="宋体"/>
                <w:highlight w:val="none"/>
                <w:shd w:val="clear" w:color="auto" w:fill="FFFFFF"/>
                <w:lang w:eastAsia="zh-CN"/>
              </w:rPr>
              <w:t>塑胶操场翻新改造工程</w:t>
            </w:r>
          </w:p>
          <w:p>
            <w:pPr>
              <w:spacing w:line="360" w:lineRule="auto"/>
              <w:rPr>
                <w:rFonts w:hAnsi="宋体" w:cs="宋体"/>
                <w:szCs w:val="21"/>
                <w:highlight w:val="none"/>
              </w:rPr>
            </w:pPr>
            <w:r>
              <w:rPr>
                <w:rFonts w:hint="eastAsia" w:hAnsi="宋体" w:cs="宋体"/>
                <w:szCs w:val="21"/>
                <w:highlight w:val="none"/>
              </w:rPr>
              <w:t>资金来源：</w:t>
            </w:r>
            <w:r>
              <w:rPr>
                <w:rFonts w:hint="eastAsia" w:cs="宋体"/>
                <w:highlight w:val="none"/>
                <w:shd w:val="clear" w:color="auto" w:fill="FFFFFF"/>
                <w:lang w:eastAsia="zh-CN"/>
              </w:rPr>
              <w:t>财政资金</w:t>
            </w:r>
            <w:r>
              <w:rPr>
                <w:rFonts w:hint="eastAsia" w:hAnsi="宋体" w:cs="宋体"/>
                <w:szCs w:val="21"/>
                <w:highlight w:val="none"/>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2</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项目实施地点：</w:t>
            </w:r>
            <w:r>
              <w:rPr>
                <w:rFonts w:hint="eastAsia" w:hAnsi="宋体" w:cs="宋体"/>
                <w:szCs w:val="21"/>
                <w:highlight w:val="none"/>
                <w:lang w:eastAsia="zh-CN"/>
              </w:rPr>
              <w:t>西安市未央区张家堡街道凤城四路7号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3</w:t>
            </w:r>
          </w:p>
        </w:tc>
        <w:tc>
          <w:tcPr>
            <w:tcW w:w="7875" w:type="dxa"/>
            <w:vAlign w:val="center"/>
          </w:tcPr>
          <w:p>
            <w:pPr>
              <w:spacing w:line="360" w:lineRule="auto"/>
              <w:rPr>
                <w:rFonts w:hAnsi="宋体" w:cs="宋体"/>
                <w:szCs w:val="21"/>
                <w:highlight w:val="none"/>
              </w:rPr>
            </w:pPr>
            <w:r>
              <w:rPr>
                <w:rFonts w:hint="eastAsia" w:hAnsi="宋体" w:cs="宋体"/>
                <w:szCs w:val="21"/>
                <w:highlight w:val="none"/>
              </w:rPr>
              <w:t>工期</w:t>
            </w:r>
            <w:r>
              <w:rPr>
                <w:rFonts w:hAnsi="宋体" w:cs="宋体"/>
                <w:szCs w:val="21"/>
                <w:highlight w:val="none"/>
              </w:rPr>
              <w:t>：</w:t>
            </w:r>
            <w:r>
              <w:rPr>
                <w:rFonts w:hint="eastAsia" w:hAnsi="宋体" w:cs="宋体"/>
                <w:szCs w:val="21"/>
                <w:highlight w:val="none"/>
              </w:rPr>
              <w:t>自进场之日起45个日历日内竣工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shd w:val="clear" w:color="FFFFFF" w:fill="D9D9D9"/>
              </w:rPr>
            </w:pPr>
            <w:r>
              <w:rPr>
                <w:rFonts w:hint="eastAsia" w:hAnsi="宋体" w:cs="宋体"/>
                <w:szCs w:val="21"/>
                <w:highlight w:val="none"/>
              </w:rPr>
              <w:t>4</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1.</w:t>
            </w:r>
            <w:r>
              <w:rPr>
                <w:rFonts w:hint="eastAsia" w:hAnsi="宋体" w:cs="宋体"/>
                <w:szCs w:val="21"/>
                <w:highlight w:val="none"/>
                <w:lang w:eastAsia="zh-CN"/>
              </w:rPr>
              <w:t>合同结算方式为固定总价合同。</w:t>
            </w:r>
          </w:p>
          <w:p>
            <w:pPr>
              <w:spacing w:line="360" w:lineRule="auto"/>
              <w:rPr>
                <w:rFonts w:hAnsi="宋体" w:cs="宋体"/>
                <w:szCs w:val="21"/>
                <w:highlight w:val="none"/>
              </w:rPr>
            </w:pPr>
            <w:r>
              <w:rPr>
                <w:rFonts w:hint="eastAsia" w:hAnsi="宋体" w:cs="宋体"/>
                <w:szCs w:val="21"/>
                <w:highlight w:val="none"/>
                <w:lang w:val="en-US" w:eastAsia="zh-CN"/>
              </w:rPr>
              <w:t>2</w:t>
            </w:r>
            <w:r>
              <w:rPr>
                <w:rFonts w:hint="eastAsia" w:hAnsi="宋体" w:cs="宋体"/>
                <w:szCs w:val="21"/>
                <w:highlight w:val="none"/>
              </w:rPr>
              <w:t>.付款方式和程序：</w:t>
            </w:r>
          </w:p>
          <w:p>
            <w:pPr>
              <w:spacing w:line="360" w:lineRule="auto"/>
              <w:rPr>
                <w:rFonts w:hAnsi="宋体" w:cs="宋体"/>
                <w:szCs w:val="21"/>
                <w:highlight w:val="none"/>
              </w:rPr>
            </w:pPr>
            <w:r>
              <w:rPr>
                <w:rFonts w:hint="eastAsia" w:hAnsi="宋体" w:cs="宋体"/>
                <w:szCs w:val="21"/>
                <w:highlight w:val="none"/>
              </w:rPr>
              <w:t>（1）结算方式：</w:t>
            </w:r>
          </w:p>
          <w:p>
            <w:pPr>
              <w:spacing w:line="360" w:lineRule="auto"/>
              <w:ind w:firstLine="480" w:firstLineChars="200"/>
              <w:rPr>
                <w:rFonts w:hAnsi="宋体" w:cs="宋体"/>
                <w:szCs w:val="21"/>
                <w:highlight w:val="none"/>
              </w:rPr>
            </w:pPr>
            <w:r>
              <w:rPr>
                <w:rFonts w:hint="eastAsia" w:hAnsi="宋体" w:cs="宋体"/>
                <w:szCs w:val="21"/>
                <w:highlight w:val="none"/>
              </w:rPr>
              <w:t>由采购人负责结算</w:t>
            </w:r>
            <w:r>
              <w:rPr>
                <w:rFonts w:hint="eastAsia" w:hAnsi="宋体" w:cs="宋体"/>
                <w:szCs w:val="21"/>
                <w:highlight w:val="none"/>
                <w:lang w:eastAsia="zh-CN"/>
              </w:rPr>
              <w:t>，</w:t>
            </w:r>
            <w:r>
              <w:rPr>
                <w:rFonts w:hint="eastAsia" w:hAnsi="宋体" w:cs="宋体"/>
                <w:szCs w:val="21"/>
                <w:highlight w:val="none"/>
              </w:rPr>
              <w:t>在付款前，成交供应商须开具全额发票给采购人。</w:t>
            </w:r>
          </w:p>
          <w:p>
            <w:pPr>
              <w:spacing w:line="360" w:lineRule="auto"/>
              <w:jc w:val="left"/>
              <w:rPr>
                <w:rFonts w:hAnsi="宋体" w:cs="宋体"/>
                <w:szCs w:val="21"/>
                <w:highlight w:val="none"/>
              </w:rPr>
            </w:pPr>
            <w:r>
              <w:rPr>
                <w:rFonts w:hint="eastAsia" w:hAnsi="宋体" w:cs="宋体"/>
                <w:szCs w:val="21"/>
                <w:highlight w:val="none"/>
              </w:rPr>
              <w:t>（2）付款方式：</w:t>
            </w:r>
          </w:p>
          <w:p>
            <w:pPr>
              <w:spacing w:line="360" w:lineRule="auto"/>
              <w:ind w:firstLine="480" w:firstLineChars="200"/>
              <w:rPr>
                <w:rFonts w:hAnsi="宋体" w:cs="宋体"/>
                <w:szCs w:val="21"/>
                <w:highlight w:val="none"/>
              </w:rPr>
            </w:pPr>
            <w:r>
              <w:rPr>
                <w:rFonts w:hint="eastAsia" w:hAnsi="宋体" w:cs="宋体"/>
                <w:szCs w:val="21"/>
                <w:highlight w:val="none"/>
              </w:rPr>
              <w:t>银行转账，项目实施完成并通过验收后，由供应商提供票据并申请，经采购人签字同意后支付。</w:t>
            </w:r>
          </w:p>
          <w:p>
            <w:pPr>
              <w:spacing w:line="360" w:lineRule="auto"/>
              <w:rPr>
                <w:rFonts w:hint="eastAsia" w:hAnsi="宋体" w:cs="宋体"/>
                <w:szCs w:val="21"/>
                <w:highlight w:val="none"/>
              </w:rPr>
            </w:pPr>
            <w:r>
              <w:rPr>
                <w:rFonts w:hint="eastAsia" w:hAnsi="宋体" w:cs="宋体"/>
                <w:szCs w:val="21"/>
                <w:highlight w:val="none"/>
              </w:rPr>
              <w:t>（2）付款方式：</w:t>
            </w:r>
          </w:p>
          <w:p>
            <w:pPr>
              <w:spacing w:line="360" w:lineRule="auto"/>
              <w:ind w:firstLine="480" w:firstLineChars="200"/>
              <w:rPr>
                <w:szCs w:val="22"/>
                <w:highlight w:val="none"/>
              </w:rPr>
            </w:pPr>
            <w:r>
              <w:rPr>
                <w:rFonts w:hint="eastAsia" w:hAnsi="宋体" w:cs="宋体"/>
                <w:b w:val="0"/>
                <w:spacing w:val="0"/>
                <w:w w:val="100"/>
                <w:kern w:val="0"/>
                <w:sz w:val="24"/>
                <w:szCs w:val="21"/>
                <w:highlight w:val="none"/>
                <w:lang w:val="en-US" w:eastAsia="zh-CN" w:bidi="ar-SA"/>
              </w:rPr>
              <w:t>合同签订后支付合同价款的30%作为预付款；工程施工形象进度完成一半后支付至合同价款的60%；工程竣工验收合格且结算审计完成后支付至结算价的97%，预留结算价的3%作为工程保修金，缺陷责任期满无息支付；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5</w:t>
            </w:r>
          </w:p>
        </w:tc>
        <w:tc>
          <w:tcPr>
            <w:tcW w:w="7875" w:type="dxa"/>
            <w:vAlign w:val="center"/>
          </w:tcPr>
          <w:p>
            <w:pPr>
              <w:spacing w:line="360" w:lineRule="auto"/>
              <w:rPr>
                <w:rFonts w:hAnsi="宋体" w:cs="宋体"/>
                <w:szCs w:val="21"/>
                <w:highlight w:val="none"/>
              </w:rPr>
            </w:pPr>
            <w:r>
              <w:rPr>
                <w:rFonts w:hint="eastAsia" w:hAnsi="宋体" w:cs="宋体"/>
                <w:szCs w:val="21"/>
                <w:highlight w:val="none"/>
              </w:rPr>
              <w:t>缺陷责任期：</w:t>
            </w:r>
            <w:r>
              <w:rPr>
                <w:rFonts w:hint="eastAsia" w:hAnsi="宋体" w:cs="宋体"/>
                <w:szCs w:val="21"/>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6</w:t>
            </w:r>
          </w:p>
        </w:tc>
        <w:tc>
          <w:tcPr>
            <w:tcW w:w="7875" w:type="dxa"/>
            <w:vAlign w:val="center"/>
          </w:tcPr>
          <w:p>
            <w:pPr>
              <w:spacing w:line="360" w:lineRule="auto"/>
              <w:jc w:val="left"/>
              <w:rPr>
                <w:rFonts w:hAnsi="宋体" w:cs="宋体"/>
                <w:szCs w:val="21"/>
                <w:highlight w:val="none"/>
              </w:rPr>
            </w:pPr>
            <w:r>
              <w:rPr>
                <w:rFonts w:hint="eastAsia" w:hAnsi="宋体" w:cs="宋体"/>
                <w:szCs w:val="21"/>
                <w:highlight w:val="none"/>
              </w:rPr>
              <w:t>质量保证：</w:t>
            </w:r>
          </w:p>
          <w:p>
            <w:pPr>
              <w:spacing w:line="520" w:lineRule="exact"/>
              <w:ind w:firstLine="360" w:firstLineChars="150"/>
              <w:rPr>
                <w:rFonts w:hAnsi="宋体" w:cs="宋体"/>
                <w:szCs w:val="21"/>
                <w:highlight w:val="none"/>
              </w:rPr>
            </w:pPr>
            <w:r>
              <w:rPr>
                <w:rFonts w:hint="eastAsia" w:hAnsi="宋体" w:cs="宋体"/>
                <w:szCs w:val="21"/>
                <w:highlight w:val="none"/>
              </w:rPr>
              <w:t>工程质量标准：</w:t>
            </w:r>
            <w:r>
              <w:rPr>
                <w:rFonts w:hint="eastAsia" w:hAnsi="宋体" w:cs="宋体"/>
                <w:b/>
                <w:bCs/>
                <w:szCs w:val="21"/>
                <w:highlight w:val="none"/>
              </w:rPr>
              <w:t>达到现行国家有关验收规范“合格”标准。</w:t>
            </w:r>
          </w:p>
          <w:p>
            <w:pPr>
              <w:spacing w:line="520" w:lineRule="exact"/>
              <w:ind w:firstLine="360" w:firstLineChars="150"/>
              <w:rPr>
                <w:rFonts w:hAnsi="宋体" w:cs="宋体"/>
                <w:szCs w:val="21"/>
                <w:highlight w:val="none"/>
              </w:rPr>
            </w:pPr>
            <w:r>
              <w:rPr>
                <w:rFonts w:hint="eastAsia" w:hAnsi="宋体" w:cs="宋体"/>
                <w:szCs w:val="21"/>
                <w:highlight w:val="none"/>
              </w:rPr>
              <w:t>供应商必须保证材料合格、工程及服务质量可靠，并全面满足磋商文件的要求，磋商文件未明确要求的内容，供应商须按采购人的补充要求为准。施工工艺应严格按国家最新发布的规范标准执行，如发生质量问题由供应商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7</w:t>
            </w:r>
          </w:p>
        </w:tc>
        <w:tc>
          <w:tcPr>
            <w:tcW w:w="7875" w:type="dxa"/>
            <w:vAlign w:val="center"/>
          </w:tcPr>
          <w:p>
            <w:pPr>
              <w:spacing w:line="360" w:lineRule="auto"/>
              <w:rPr>
                <w:rFonts w:hAnsi="宋体" w:cs="宋体"/>
                <w:b/>
                <w:szCs w:val="21"/>
                <w:highlight w:val="none"/>
              </w:rPr>
            </w:pPr>
            <w:r>
              <w:rPr>
                <w:rFonts w:hint="eastAsia" w:hAnsi="宋体" w:cs="宋体"/>
                <w:b/>
                <w:szCs w:val="21"/>
                <w:highlight w:val="none"/>
              </w:rPr>
              <w:t>验收：</w:t>
            </w:r>
          </w:p>
          <w:p>
            <w:pPr>
              <w:spacing w:line="360" w:lineRule="auto"/>
              <w:ind w:firstLine="480" w:firstLineChars="200"/>
              <w:rPr>
                <w:rFonts w:hAnsi="宋体" w:cs="宋体"/>
                <w:szCs w:val="21"/>
                <w:highlight w:val="none"/>
              </w:rPr>
            </w:pPr>
            <w:r>
              <w:rPr>
                <w:rFonts w:hint="eastAsia" w:hAnsi="宋体" w:cs="宋体"/>
                <w:szCs w:val="21"/>
                <w:highlight w:val="none"/>
              </w:rPr>
              <w:t>由</w:t>
            </w:r>
            <w:r>
              <w:rPr>
                <w:rFonts w:hint="eastAsia" w:hAnsi="宋体" w:cs="宋体"/>
                <w:szCs w:val="21"/>
                <w:highlight w:val="none"/>
                <w:lang w:eastAsia="zh-CN"/>
              </w:rPr>
              <w:t>采购人、</w:t>
            </w:r>
            <w:r>
              <w:rPr>
                <w:rFonts w:hint="eastAsia" w:hAnsi="宋体" w:cs="宋体"/>
                <w:szCs w:val="21"/>
                <w:highlight w:val="none"/>
              </w:rPr>
              <w:t>供应商</w:t>
            </w:r>
            <w:r>
              <w:rPr>
                <w:rFonts w:hint="eastAsia" w:hAnsi="宋体" w:cs="宋体"/>
                <w:szCs w:val="21"/>
                <w:highlight w:val="none"/>
                <w:lang w:eastAsia="zh-CN"/>
              </w:rPr>
              <w:t>及招标代理机构</w:t>
            </w:r>
            <w:r>
              <w:rPr>
                <w:rFonts w:hint="eastAsia" w:hAnsi="宋体" w:cs="宋体"/>
                <w:szCs w:val="21"/>
                <w:highlight w:val="none"/>
              </w:rPr>
              <w:t>共同对项目进行整体验收。其内容包括材料和施工质量是否达到现行国家有关验收规范“合格”标准、是否按照招标人要求按时完工。</w:t>
            </w:r>
          </w:p>
          <w:p>
            <w:pPr>
              <w:spacing w:line="520" w:lineRule="exact"/>
              <w:ind w:firstLine="480" w:firstLineChars="200"/>
              <w:rPr>
                <w:rFonts w:hAnsi="宋体" w:cs="宋体"/>
                <w:szCs w:val="21"/>
                <w:highlight w:val="none"/>
              </w:rPr>
            </w:pPr>
            <w:r>
              <w:rPr>
                <w:rFonts w:hint="eastAsia" w:hAnsi="宋体" w:cs="宋体"/>
                <w:szCs w:val="21"/>
                <w:highlight w:val="none"/>
              </w:rPr>
              <w:t>1.所验各项内容最终验收达不到磋商文件要求和磋商响应文件承诺的，或在后续使用中发现招标人不能容忍的缺陷等，将视为验收不合格，供应商应在采购人要求的时间内无条件整改及恢复。</w:t>
            </w:r>
          </w:p>
          <w:p>
            <w:pPr>
              <w:spacing w:line="520" w:lineRule="exact"/>
              <w:ind w:firstLine="480" w:firstLineChars="200"/>
              <w:rPr>
                <w:rFonts w:hAnsi="宋体" w:cs="宋体"/>
                <w:szCs w:val="21"/>
                <w:highlight w:val="none"/>
              </w:rPr>
            </w:pPr>
            <w:r>
              <w:rPr>
                <w:rFonts w:hint="eastAsia" w:hAnsi="宋体" w:cs="宋体"/>
                <w:szCs w:val="21"/>
                <w:highlight w:val="none"/>
              </w:rPr>
              <w:t>2.若发现供应商有弄虚作假的，在磋商阶段故意或随意夸大技术能力、工程、服务质量的，采购人有权解除合同，并且要求供应商赔偿相关损失。</w:t>
            </w:r>
          </w:p>
          <w:p>
            <w:pPr>
              <w:spacing w:line="520" w:lineRule="exact"/>
              <w:ind w:firstLine="480" w:firstLineChars="200"/>
              <w:rPr>
                <w:rFonts w:hAnsi="宋体" w:cs="宋体"/>
                <w:szCs w:val="21"/>
                <w:highlight w:val="none"/>
              </w:rPr>
            </w:pPr>
            <w:r>
              <w:rPr>
                <w:rFonts w:hint="eastAsia" w:hAnsi="宋体" w:cs="宋体"/>
                <w:szCs w:val="21"/>
                <w:highlight w:val="none"/>
              </w:rPr>
              <w:t>3.验收标准：按磋商文件、磋商响应文件及澄清函等技术指标进行验收。各项指标均应符合验收标准及要求。</w:t>
            </w:r>
          </w:p>
          <w:p>
            <w:pPr>
              <w:spacing w:line="360" w:lineRule="auto"/>
              <w:ind w:firstLine="480" w:firstLineChars="200"/>
              <w:rPr>
                <w:rFonts w:hAnsi="宋体" w:cs="宋体"/>
                <w:szCs w:val="21"/>
                <w:highlight w:val="none"/>
              </w:rPr>
            </w:pPr>
            <w:r>
              <w:rPr>
                <w:rFonts w:hint="eastAsia" w:hAnsi="宋体" w:cs="宋体"/>
                <w:szCs w:val="21"/>
                <w:highlight w:val="none"/>
              </w:rPr>
              <w:t>4.验收合格后，填写验收单，双方签字生效。</w:t>
            </w:r>
          </w:p>
          <w:p>
            <w:pPr>
              <w:spacing w:line="360" w:lineRule="auto"/>
              <w:ind w:firstLine="480" w:firstLineChars="200"/>
              <w:rPr>
                <w:highlight w:val="none"/>
              </w:rPr>
            </w:pPr>
            <w:r>
              <w:rPr>
                <w:rFonts w:hint="eastAsia" w:hAnsi="宋体" w:cs="宋体"/>
                <w:szCs w:val="21"/>
                <w:highlight w:val="none"/>
              </w:rPr>
              <w:t>5.验收依据：</w:t>
            </w:r>
          </w:p>
          <w:p>
            <w:pPr>
              <w:numPr>
                <w:ilvl w:val="0"/>
                <w:numId w:val="5"/>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合同文本；</w:t>
            </w:r>
          </w:p>
          <w:p>
            <w:pPr>
              <w:numPr>
                <w:ilvl w:val="0"/>
                <w:numId w:val="5"/>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磋商文件及澄清函、磋商响应文件；</w:t>
            </w:r>
          </w:p>
          <w:p>
            <w:pPr>
              <w:numPr>
                <w:ilvl w:val="0"/>
                <w:numId w:val="5"/>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国家和行业制定的相应的标准和规范；</w:t>
            </w:r>
          </w:p>
          <w:p>
            <w:pPr>
              <w:tabs>
                <w:tab w:val="left" w:pos="498"/>
              </w:tabs>
              <w:spacing w:line="360" w:lineRule="auto"/>
              <w:ind w:firstLine="240" w:firstLineChars="100"/>
              <w:rPr>
                <w:rFonts w:hAnsi="宋体" w:cs="宋体"/>
                <w:szCs w:val="21"/>
                <w:highlight w:val="none"/>
              </w:rPr>
            </w:pPr>
            <w:r>
              <w:rPr>
                <w:rFonts w:hint="eastAsia" w:hAnsi="宋体" w:cs="宋体"/>
                <w:szCs w:val="21"/>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pStyle w:val="12"/>
              <w:spacing w:line="360" w:lineRule="auto"/>
              <w:jc w:val="center"/>
              <w:rPr>
                <w:rFonts w:hAnsi="宋体"/>
                <w:szCs w:val="21"/>
                <w:highlight w:val="none"/>
              </w:rPr>
            </w:pPr>
            <w:r>
              <w:rPr>
                <w:rFonts w:hint="eastAsia" w:hAnsi="宋体"/>
                <w:szCs w:val="21"/>
                <w:highlight w:val="none"/>
              </w:rPr>
              <w:t>8</w:t>
            </w:r>
          </w:p>
        </w:tc>
        <w:tc>
          <w:tcPr>
            <w:tcW w:w="7875" w:type="dxa"/>
            <w:vAlign w:val="center"/>
          </w:tcPr>
          <w:p>
            <w:pPr>
              <w:spacing w:line="360" w:lineRule="auto"/>
              <w:rPr>
                <w:rFonts w:hAnsi="宋体" w:cs="宋体"/>
                <w:b/>
                <w:bCs/>
                <w:szCs w:val="21"/>
                <w:highlight w:val="none"/>
              </w:rPr>
            </w:pPr>
            <w:r>
              <w:rPr>
                <w:rFonts w:hint="eastAsia" w:hAnsi="宋体" w:cs="宋体"/>
                <w:b/>
                <w:bCs/>
                <w:szCs w:val="21"/>
                <w:highlight w:val="none"/>
              </w:rPr>
              <w:t>违约责任：</w:t>
            </w:r>
          </w:p>
          <w:p>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9</w:t>
            </w:r>
          </w:p>
        </w:tc>
        <w:tc>
          <w:tcPr>
            <w:tcW w:w="7875" w:type="dxa"/>
            <w:vAlign w:val="center"/>
          </w:tcPr>
          <w:p>
            <w:pPr>
              <w:spacing w:line="360" w:lineRule="auto"/>
              <w:rPr>
                <w:rFonts w:hAnsi="宋体" w:cs="宋体"/>
                <w:b/>
                <w:szCs w:val="21"/>
                <w:highlight w:val="none"/>
              </w:rPr>
            </w:pPr>
            <w:r>
              <w:rPr>
                <w:rFonts w:hint="eastAsia" w:hAnsi="宋体" w:cs="宋体"/>
                <w:b/>
                <w:szCs w:val="21"/>
                <w:highlight w:val="none"/>
              </w:rPr>
              <w:t>政府采购合同：</w:t>
            </w:r>
          </w:p>
          <w:p>
            <w:pPr>
              <w:spacing w:line="360" w:lineRule="auto"/>
              <w:ind w:firstLine="480" w:firstLineChars="200"/>
              <w:rPr>
                <w:rFonts w:hAnsi="宋体" w:cs="宋体"/>
                <w:szCs w:val="21"/>
                <w:highlight w:val="none"/>
              </w:rPr>
            </w:pPr>
            <w:r>
              <w:rPr>
                <w:rFonts w:hint="eastAsia" w:hAnsi="宋体" w:cs="宋体"/>
                <w:szCs w:val="21"/>
                <w:highlight w:val="none"/>
              </w:rPr>
              <w:t>政府采购合同适用合同法。采购人和供应商之间的权利和义务，应当按照平等、自愿的原则以合同方式约定。</w:t>
            </w:r>
            <w:r>
              <w:rPr>
                <w:rFonts w:hint="eastAsia" w:hAnsi="宋体" w:cs="宋体"/>
                <w:szCs w:val="21"/>
                <w:highlight w:val="none"/>
              </w:rPr>
              <w:br w:type="textWrapping"/>
            </w:r>
            <w:r>
              <w:rPr>
                <w:rFonts w:hint="eastAsia" w:hAnsi="宋体" w:cs="宋体"/>
                <w:szCs w:val="21"/>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Ansi="宋体" w:cs="宋体"/>
                <w:szCs w:val="21"/>
                <w:highlight w:val="none"/>
              </w:rPr>
            </w:pPr>
            <w:r>
              <w:rPr>
                <w:rFonts w:hint="eastAsia" w:hAnsi="宋体" w:cs="宋体"/>
                <w:szCs w:val="21"/>
                <w:highlight w:val="none"/>
              </w:rPr>
              <w:t>政府采购合同应当采用书面形式。</w:t>
            </w:r>
          </w:p>
          <w:p>
            <w:pPr>
              <w:spacing w:line="360" w:lineRule="auto"/>
              <w:ind w:firstLine="480" w:firstLineChars="200"/>
              <w:rPr>
                <w:rFonts w:hAnsi="宋体" w:cs="宋体"/>
                <w:szCs w:val="21"/>
                <w:highlight w:val="none"/>
              </w:rPr>
            </w:pPr>
            <w:r>
              <w:rPr>
                <w:rFonts w:hint="eastAsia" w:hAnsi="宋体" w:cs="宋体"/>
                <w:szCs w:val="21"/>
                <w:highlight w:val="none"/>
              </w:rPr>
              <w:t>国务院政府采购监督管理部门应当会同国务院有关部门，规定政府采购合同必须具备的条款。</w:t>
            </w:r>
            <w:r>
              <w:rPr>
                <w:rFonts w:hint="eastAsia" w:hAnsi="宋体" w:cs="宋体"/>
                <w:szCs w:val="21"/>
                <w:highlight w:val="none"/>
              </w:rPr>
              <w:br w:type="textWrapping"/>
            </w:r>
            <w:r>
              <w:rPr>
                <w:rFonts w:hint="eastAsia" w:hAnsi="宋体" w:cs="宋体"/>
                <w:szCs w:val="21"/>
                <w:highlight w:val="none"/>
              </w:rPr>
              <w:t xml:space="preserve">    采购人与中标、成交供应商应当在中标、成交通知书发出之日起三十日内，按照采购文件确定的事项签订政府采购合同。</w:t>
            </w:r>
            <w:r>
              <w:rPr>
                <w:rFonts w:hint="eastAsia" w:hAnsi="宋体" w:cs="宋体"/>
                <w:szCs w:val="21"/>
                <w:highlight w:val="none"/>
              </w:rPr>
              <w:br w:type="textWrapping"/>
            </w:r>
            <w:r>
              <w:rPr>
                <w:rFonts w:hint="eastAsia" w:hAnsi="宋体" w:cs="宋体"/>
                <w:szCs w:val="21"/>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2"/>
              <w:spacing w:line="360" w:lineRule="auto"/>
              <w:ind w:firstLine="480" w:firstLineChars="200"/>
              <w:rPr>
                <w:rFonts w:hAnsi="宋体"/>
                <w:szCs w:val="21"/>
                <w:highlight w:val="none"/>
              </w:rPr>
            </w:pPr>
            <w:r>
              <w:rPr>
                <w:rFonts w:hint="eastAsia" w:hAnsi="宋体" w:cs="宋体"/>
                <w:kern w:val="0"/>
                <w:sz w:val="24"/>
                <w:szCs w:val="21"/>
                <w:highlight w:val="none"/>
              </w:rPr>
              <w:t>政府采购项目的采购合同自签订之日起七个工作日内，采购人应当将合同副本报同级政府采购监督管理部门和有关部门备案。</w:t>
            </w:r>
            <w:r>
              <w:rPr>
                <w:rFonts w:hint="eastAsia" w:hAnsi="宋体" w:cs="宋体"/>
                <w:kern w:val="0"/>
                <w:sz w:val="24"/>
                <w:szCs w:val="21"/>
                <w:highlight w:val="none"/>
              </w:rPr>
              <w:br w:type="textWrapping"/>
            </w:r>
            <w:r>
              <w:rPr>
                <w:rFonts w:hint="eastAsia" w:hAnsi="宋体" w:cs="宋体"/>
                <w:kern w:val="0"/>
                <w:sz w:val="24"/>
                <w:szCs w:val="21"/>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kern w:val="0"/>
                <w:sz w:val="24"/>
                <w:szCs w:val="21"/>
                <w:highlight w:val="none"/>
              </w:rPr>
              <w:br w:type="textWrapping"/>
            </w:r>
            <w:r>
              <w:rPr>
                <w:rFonts w:hint="eastAsia" w:hAnsi="宋体" w:cs="宋体"/>
                <w:kern w:val="0"/>
                <w:sz w:val="24"/>
                <w:szCs w:val="21"/>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kern w:val="0"/>
                <w:sz w:val="24"/>
                <w:szCs w:val="21"/>
                <w:highlight w:val="none"/>
              </w:rPr>
              <w:br w:type="textWrapping"/>
            </w:r>
            <w:r>
              <w:rPr>
                <w:rFonts w:hint="eastAsia" w:hAnsi="宋体" w:cs="宋体"/>
                <w:kern w:val="0"/>
                <w:sz w:val="24"/>
                <w:szCs w:val="21"/>
                <w:highlight w:val="none"/>
              </w:rPr>
              <w:t xml:space="preserve">    政府采购合同的双方当事人不得擅自变更、中止或者终止合同。</w:t>
            </w:r>
            <w:r>
              <w:rPr>
                <w:rFonts w:hint="eastAsia" w:hAnsi="宋体" w:cs="宋体"/>
                <w:kern w:val="0"/>
                <w:sz w:val="24"/>
                <w:szCs w:val="21"/>
                <w:highlight w:val="none"/>
              </w:rPr>
              <w:br w:type="textWrapping"/>
            </w:r>
            <w:r>
              <w:rPr>
                <w:rFonts w:hint="eastAsia" w:hAnsi="宋体" w:cs="宋体"/>
                <w:kern w:val="0"/>
                <w:sz w:val="24"/>
                <w:szCs w:val="21"/>
                <w:highlight w:val="none"/>
              </w:rPr>
              <w:t>政府采购合同继续履行将损害国家利益和社会公共利益的，双方当事人应当变更、中止或者终止合同。有过错的一方应当承担赔偿责任，双方都有过错的，各自承担相应的责任。</w:t>
            </w:r>
          </w:p>
        </w:tc>
      </w:tr>
    </w:tbl>
    <w:p>
      <w:pPr>
        <w:jc w:val="left"/>
        <w:rPr>
          <w:rFonts w:ascii="Times New Roman" w:eastAsia="仿宋_GB2312"/>
          <w:bCs/>
          <w:color w:val="000000"/>
          <w:sz w:val="32"/>
          <w:szCs w:val="32"/>
          <w:highlight w:val="none"/>
        </w:rPr>
      </w:pPr>
      <w:bookmarkStart w:id="55" w:name="_Toc209339595"/>
      <w:bookmarkEnd w:id="55"/>
      <w:bookmarkStart w:id="56" w:name="_Toc107194479"/>
      <w:bookmarkEnd w:id="56"/>
      <w:bookmarkStart w:id="57" w:name="_Toc205891759"/>
      <w:bookmarkEnd w:id="57"/>
      <w:r>
        <w:rPr>
          <w:rFonts w:hint="eastAsia" w:hAnsi="宋体" w:cs="宋体"/>
          <w:b/>
          <w:bCs/>
          <w:spacing w:val="100"/>
          <w:kern w:val="16"/>
          <w:sz w:val="52"/>
          <w:szCs w:val="52"/>
          <w:highlight w:val="none"/>
        </w:rPr>
        <w:br w:type="page"/>
      </w:r>
    </w:p>
    <w:p>
      <w:pPr>
        <w:widowControl/>
        <w:ind w:firstLine="1040" w:firstLineChars="200"/>
        <w:rPr>
          <w:rFonts w:hint="eastAsia" w:ascii="宋体" w:hAnsi="宋体"/>
          <w:bCs/>
          <w:kern w:val="0"/>
          <w:sz w:val="52"/>
          <w:szCs w:val="52"/>
          <w:highlight w:val="none"/>
        </w:rPr>
      </w:pPr>
    </w:p>
    <w:p>
      <w:pPr>
        <w:pStyle w:val="14"/>
        <w:rPr>
          <w:rFonts w:hint="eastAsia" w:ascii="宋体" w:hAnsi="宋体"/>
          <w:bCs/>
          <w:kern w:val="0"/>
          <w:sz w:val="52"/>
          <w:szCs w:val="52"/>
          <w:highlight w:val="none"/>
        </w:rPr>
      </w:pPr>
    </w:p>
    <w:p>
      <w:pPr>
        <w:jc w:val="center"/>
        <w:rPr>
          <w:rFonts w:hint="eastAsia" w:ascii="宋体" w:hAnsi="宋体"/>
          <w:b/>
          <w:bCs/>
          <w:sz w:val="56"/>
          <w:szCs w:val="18"/>
          <w:highlight w:val="none"/>
        </w:rPr>
      </w:pPr>
      <w:bookmarkStart w:id="58" w:name="_Toc413154063"/>
      <w:bookmarkStart w:id="59" w:name="_Toc422385739"/>
      <w:bookmarkStart w:id="60" w:name="_Toc415486310"/>
    </w:p>
    <w:p>
      <w:pPr>
        <w:jc w:val="center"/>
        <w:rPr>
          <w:rFonts w:hint="eastAsia" w:ascii="宋体" w:hAnsi="宋体"/>
          <w:b/>
          <w:bCs/>
          <w:sz w:val="56"/>
          <w:szCs w:val="18"/>
          <w:highlight w:val="none"/>
        </w:rPr>
      </w:pPr>
    </w:p>
    <w:p>
      <w:pPr>
        <w:jc w:val="center"/>
        <w:rPr>
          <w:rFonts w:hint="eastAsia" w:ascii="宋体" w:hAnsi="宋体"/>
          <w:b/>
          <w:bCs/>
          <w:sz w:val="56"/>
          <w:szCs w:val="18"/>
          <w:highlight w:val="none"/>
        </w:rPr>
      </w:pPr>
      <w:r>
        <w:rPr>
          <w:rFonts w:hint="eastAsia" w:ascii="宋体" w:hAnsi="宋体"/>
          <w:b/>
          <w:bCs/>
          <w:sz w:val="56"/>
          <w:szCs w:val="18"/>
          <w:highlight w:val="none"/>
        </w:rPr>
        <w:t>工程施工合同</w:t>
      </w: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pStyle w:val="9"/>
        <w:rPr>
          <w:rFonts w:hint="eastAsia" w:ascii="宋体" w:hAnsi="宋体"/>
          <w:sz w:val="28"/>
          <w:highlight w:val="none"/>
        </w:rPr>
      </w:pPr>
    </w:p>
    <w:p>
      <w:pPr>
        <w:rPr>
          <w:rFonts w:hint="eastAsia"/>
          <w:highlight w:val="none"/>
        </w:rPr>
      </w:pPr>
    </w:p>
    <w:p>
      <w:pPr>
        <w:ind w:left="2514" w:leftChars="464" w:hanging="1400" w:hangingChars="500"/>
        <w:jc w:val="left"/>
        <w:rPr>
          <w:rFonts w:hint="eastAsia" w:ascii="宋体" w:hAnsi="宋体" w:eastAsia="宋体"/>
          <w:sz w:val="28"/>
          <w:szCs w:val="28"/>
          <w:highlight w:val="none"/>
          <w:lang w:eastAsia="zh-CN"/>
        </w:rPr>
      </w:pPr>
      <w:r>
        <w:rPr>
          <w:rFonts w:hint="eastAsia" w:ascii="宋体" w:hAnsi="宋体"/>
          <w:sz w:val="28"/>
          <w:szCs w:val="28"/>
          <w:highlight w:val="none"/>
        </w:rPr>
        <w:t>工程名称：</w:t>
      </w:r>
      <w:r>
        <w:rPr>
          <w:rFonts w:hint="eastAsia" w:hAnsi="宋体"/>
          <w:sz w:val="28"/>
          <w:szCs w:val="28"/>
          <w:highlight w:val="none"/>
          <w:lang w:eastAsia="zh-CN"/>
        </w:rPr>
        <w:t>塑胶操场翻新改造工程</w:t>
      </w:r>
    </w:p>
    <w:p>
      <w:pPr>
        <w:ind w:firstLine="1120" w:firstLineChars="400"/>
        <w:jc w:val="left"/>
        <w:rPr>
          <w:rFonts w:hint="eastAsia" w:ascii="宋体" w:hAnsi="宋体" w:eastAsia="宋体"/>
          <w:sz w:val="28"/>
          <w:szCs w:val="28"/>
          <w:highlight w:val="none"/>
          <w:lang w:eastAsia="zh-CN"/>
        </w:rPr>
      </w:pPr>
      <w:r>
        <w:rPr>
          <w:rFonts w:hint="eastAsia" w:ascii="宋体" w:hAnsi="宋体"/>
          <w:sz w:val="28"/>
          <w:szCs w:val="28"/>
          <w:highlight w:val="none"/>
        </w:rPr>
        <w:t>工程地点：</w:t>
      </w:r>
    </w:p>
    <w:p>
      <w:pPr>
        <w:ind w:firstLine="1120" w:firstLineChars="400"/>
        <w:jc w:val="left"/>
        <w:rPr>
          <w:rFonts w:hint="eastAsia"/>
          <w:sz w:val="28"/>
          <w:szCs w:val="28"/>
          <w:highlight w:val="none"/>
        </w:rPr>
      </w:pPr>
      <w:r>
        <w:rPr>
          <w:rFonts w:hint="eastAsia" w:ascii="宋体" w:hAnsi="宋体"/>
          <w:sz w:val="28"/>
          <w:szCs w:val="28"/>
          <w:highlight w:val="none"/>
        </w:rPr>
        <w:t>发包单位：</w:t>
      </w:r>
    </w:p>
    <w:p>
      <w:pPr>
        <w:ind w:firstLine="1120" w:firstLineChars="400"/>
        <w:jc w:val="left"/>
        <w:rPr>
          <w:rFonts w:hint="eastAsia"/>
          <w:szCs w:val="21"/>
          <w:highlight w:val="none"/>
        </w:rPr>
      </w:pPr>
      <w:r>
        <w:rPr>
          <w:rFonts w:hint="eastAsia" w:ascii="宋体" w:hAnsi="宋体"/>
          <w:sz w:val="28"/>
          <w:szCs w:val="28"/>
          <w:highlight w:val="none"/>
        </w:rPr>
        <w:t>承包单位：</w:t>
      </w:r>
    </w:p>
    <w:p>
      <w:pPr>
        <w:ind w:firstLine="1120" w:firstLineChars="400"/>
        <w:jc w:val="left"/>
        <w:rPr>
          <w:rFonts w:hint="eastAsia" w:ascii="宋体" w:hAnsi="宋体"/>
          <w:sz w:val="28"/>
          <w:szCs w:val="28"/>
          <w:highlight w:val="none"/>
        </w:rPr>
      </w:pPr>
      <w:r>
        <w:rPr>
          <w:rFonts w:hint="eastAsia" w:ascii="宋体" w:hAnsi="宋体"/>
          <w:sz w:val="28"/>
          <w:szCs w:val="28"/>
          <w:highlight w:val="none"/>
        </w:rPr>
        <w:t>签定日期：202</w:t>
      </w:r>
      <w:r>
        <w:rPr>
          <w:rFonts w:hint="eastAsia" w:hAnsi="宋体"/>
          <w:sz w:val="28"/>
          <w:szCs w:val="28"/>
          <w:highlight w:val="none"/>
          <w:lang w:val="en-US" w:eastAsia="zh-CN"/>
        </w:rPr>
        <w:t>2</w:t>
      </w:r>
      <w:r>
        <w:rPr>
          <w:rFonts w:hint="eastAsia" w:ascii="宋体" w:hAnsi="宋体"/>
          <w:sz w:val="28"/>
          <w:szCs w:val="28"/>
          <w:highlight w:val="none"/>
        </w:rPr>
        <w:t>年   月   日</w:t>
      </w:r>
    </w:p>
    <w:p>
      <w:pPr>
        <w:ind w:firstLine="1120" w:firstLineChars="400"/>
        <w:jc w:val="left"/>
        <w:rPr>
          <w:rFonts w:hint="eastAsia" w:ascii="宋体" w:hAnsi="宋体"/>
          <w:sz w:val="28"/>
          <w:szCs w:val="28"/>
          <w:highlight w:val="none"/>
        </w:rPr>
      </w:pPr>
      <w:r>
        <w:rPr>
          <w:rFonts w:hint="eastAsia" w:ascii="宋体" w:hAnsi="宋体"/>
          <w:sz w:val="28"/>
          <w:szCs w:val="28"/>
          <w:highlight w:val="none"/>
        </w:rPr>
        <w:t>合同编号：</w:t>
      </w:r>
    </w:p>
    <w:p>
      <w:pPr>
        <w:jc w:val="left"/>
        <w:rPr>
          <w:rFonts w:hint="eastAsia" w:ascii="宋体" w:hAnsi="宋体"/>
          <w:sz w:val="36"/>
          <w:highlight w:val="none"/>
        </w:rPr>
        <w:sectPr>
          <w:footerReference r:id="rId8" w:type="default"/>
          <w:pgSz w:w="11906" w:h="16838"/>
          <w:pgMar w:top="1276" w:right="1133" w:bottom="1135" w:left="1418" w:header="851" w:footer="992" w:gutter="0"/>
          <w:pgNumType w:fmt="decimal"/>
          <w:cols w:space="720" w:num="1"/>
          <w:docGrid w:type="lines" w:linePitch="312" w:charSpace="0"/>
        </w:sectPr>
      </w:pPr>
    </w:p>
    <w:p>
      <w:pPr>
        <w:pStyle w:val="35"/>
        <w:ind w:firstLineChars="0"/>
        <w:jc w:val="center"/>
        <w:rPr>
          <w:rFonts w:hint="eastAsia" w:ascii="宋体" w:hAnsi="宋体" w:cs="宋体"/>
          <w:sz w:val="44"/>
          <w:szCs w:val="44"/>
          <w:highlight w:val="none"/>
        </w:rPr>
      </w:pPr>
      <w:r>
        <w:rPr>
          <w:rFonts w:hint="eastAsia" w:ascii="宋体" w:hAnsi="宋体" w:cs="宋体"/>
          <w:sz w:val="44"/>
          <w:szCs w:val="44"/>
          <w:highlight w:val="none"/>
        </w:rPr>
        <w:t>工程施工合同</w:t>
      </w:r>
    </w:p>
    <w:p>
      <w:pPr>
        <w:jc w:val="center"/>
        <w:rPr>
          <w:rFonts w:hint="eastAsia" w:ascii="宋体" w:hAnsi="宋体"/>
          <w:sz w:val="10"/>
          <w:szCs w:val="10"/>
          <w:highlight w:val="none"/>
        </w:rPr>
      </w:pPr>
    </w:p>
    <w:p>
      <w:pPr>
        <w:jc w:val="center"/>
        <w:rPr>
          <w:rFonts w:hint="eastAsia" w:ascii="宋体" w:hAnsi="宋体"/>
          <w:szCs w:val="21"/>
          <w:highlight w:val="none"/>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发包单位：</w:t>
      </w:r>
      <w:r>
        <w:rPr>
          <w:rFonts w:hint="eastAsia" w:hAnsi="宋体"/>
          <w:sz w:val="24"/>
          <w:szCs w:val="22"/>
          <w:highlight w:val="none"/>
          <w:u w:val="single"/>
          <w:lang w:eastAsia="zh-CN"/>
        </w:rPr>
        <w:t>西安市第六十六中学</w:t>
      </w:r>
      <w:r>
        <w:rPr>
          <w:rFonts w:hint="eastAsia" w:ascii="宋体" w:hAnsi="宋体"/>
          <w:sz w:val="24"/>
          <w:szCs w:val="22"/>
          <w:highlight w:val="none"/>
          <w:u w:val="single"/>
        </w:rPr>
        <w:t xml:space="preserve">          </w:t>
      </w:r>
      <w:r>
        <w:rPr>
          <w:rFonts w:hint="eastAsia"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(简称甲方)</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施工单位：</w:t>
      </w:r>
      <w:r>
        <w:rPr>
          <w:rFonts w:hint="eastAsia" w:ascii="宋体" w:hAnsi="宋体"/>
          <w:sz w:val="24"/>
          <w:szCs w:val="22"/>
          <w:highlight w:val="none"/>
          <w:u w:val="single"/>
        </w:rPr>
        <w:t xml:space="preserve">                                </w:t>
      </w:r>
      <w:r>
        <w:rPr>
          <w:rFonts w:hint="eastAsia" w:ascii="宋体"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(简称乙方)</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sz w:val="24"/>
          <w:szCs w:val="22"/>
          <w:highlight w:val="none"/>
        </w:rPr>
      </w:pPr>
      <w:r>
        <w:rPr>
          <w:rFonts w:hint="eastAsia" w:hAnsi="宋体"/>
          <w:sz w:val="24"/>
          <w:szCs w:val="22"/>
          <w:highlight w:val="none"/>
          <w:lang w:eastAsia="zh-CN"/>
        </w:rPr>
        <w:t>塑胶操场翻新改造工程</w:t>
      </w:r>
      <w:r>
        <w:rPr>
          <w:rFonts w:hint="eastAsia" w:ascii="宋体" w:hAnsi="宋体"/>
          <w:sz w:val="24"/>
          <w:szCs w:val="22"/>
          <w:highlight w:val="none"/>
        </w:rPr>
        <w:t>，经竞争性磋商招标，</w:t>
      </w:r>
      <w:r>
        <w:rPr>
          <w:rFonts w:hint="eastAsia" w:ascii="宋体" w:hAnsi="宋体"/>
          <w:sz w:val="24"/>
          <w:szCs w:val="22"/>
          <w:highlight w:val="none"/>
          <w:u w:val="single"/>
        </w:rPr>
        <w:t xml:space="preserve">              </w:t>
      </w:r>
      <w:r>
        <w:rPr>
          <w:rFonts w:hint="eastAsia"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为该项目中标单位。依据招标文件，根据《中华人民共和国</w:t>
      </w:r>
      <w:r>
        <w:rPr>
          <w:rFonts w:hint="eastAsia" w:hAnsi="宋体"/>
          <w:sz w:val="24"/>
          <w:szCs w:val="22"/>
          <w:highlight w:val="none"/>
          <w:lang w:eastAsia="zh-CN"/>
        </w:rPr>
        <w:t>民法典</w:t>
      </w:r>
      <w:r>
        <w:rPr>
          <w:rFonts w:hint="eastAsia" w:ascii="宋体" w:hAnsi="宋体"/>
          <w:sz w:val="24"/>
          <w:szCs w:val="22"/>
          <w:highlight w:val="none"/>
        </w:rPr>
        <w:t>》、《中华人民共和国采购法》和《中华人民共和国招标投标法》及有关法律法规规定，并结合本工程具体情况，为明确双方的权利、义务和责任，经双方协商签订本合同。</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第一条  工程概况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2"/>
          <w:highlight w:val="none"/>
          <w:lang w:eastAsia="zh-CN"/>
        </w:rPr>
      </w:pPr>
      <w:r>
        <w:rPr>
          <w:rFonts w:hint="eastAsia" w:ascii="宋体" w:hAnsi="宋体"/>
          <w:sz w:val="24"/>
          <w:szCs w:val="22"/>
          <w:highlight w:val="none"/>
        </w:rPr>
        <w:t>工程名称：</w:t>
      </w:r>
      <w:r>
        <w:rPr>
          <w:rFonts w:hint="eastAsia" w:hAnsi="宋体"/>
          <w:sz w:val="24"/>
          <w:szCs w:val="22"/>
          <w:highlight w:val="none"/>
          <w:lang w:eastAsia="zh-CN"/>
        </w:rPr>
        <w:t>塑胶操场翻新改造工程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u w:val="single"/>
        </w:rPr>
      </w:pPr>
      <w:r>
        <w:rPr>
          <w:rFonts w:hint="eastAsia" w:ascii="宋体" w:hAnsi="宋体"/>
          <w:sz w:val="24"/>
          <w:szCs w:val="22"/>
          <w:highlight w:val="none"/>
        </w:rPr>
        <w:t>工程地点：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主要工程内容：</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第二条  工期保证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1、本工程竣工日期为</w:t>
      </w:r>
      <w:r>
        <w:rPr>
          <w:rFonts w:hint="eastAsia" w:ascii="宋体" w:hAnsi="宋体"/>
          <w:sz w:val="24"/>
          <w:szCs w:val="22"/>
          <w:highlight w:val="none"/>
          <w:u w:val="single"/>
          <w:lang w:val="en-US" w:eastAsia="zh-CN"/>
        </w:rPr>
        <w:t xml:space="preserve">      </w:t>
      </w:r>
      <w:r>
        <w:rPr>
          <w:rFonts w:hint="eastAsia" w:ascii="宋体" w:hAnsi="宋体"/>
          <w:sz w:val="24"/>
          <w:szCs w:val="22"/>
          <w:highlight w:val="none"/>
        </w:rPr>
        <w:t>年</w:t>
      </w:r>
      <w:r>
        <w:rPr>
          <w:rFonts w:hint="eastAsia" w:ascii="宋体" w:hAnsi="宋体"/>
          <w:sz w:val="24"/>
          <w:szCs w:val="22"/>
          <w:highlight w:val="none"/>
          <w:u w:val="single"/>
        </w:rPr>
        <w:t xml:space="preserve">  </w:t>
      </w:r>
      <w:r>
        <w:rPr>
          <w:rFonts w:hint="eastAsia" w:ascii="宋体"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月</w:t>
      </w:r>
      <w:r>
        <w:rPr>
          <w:rFonts w:hint="eastAsia" w:ascii="宋体" w:hAnsi="宋体"/>
          <w:sz w:val="24"/>
          <w:szCs w:val="22"/>
          <w:highlight w:val="none"/>
          <w:u w:val="single"/>
        </w:rPr>
        <w:t xml:space="preserve">   </w:t>
      </w:r>
      <w:r>
        <w:rPr>
          <w:rFonts w:hint="eastAsia" w:ascii="宋体" w:hAnsi="宋体"/>
          <w:sz w:val="24"/>
          <w:szCs w:val="22"/>
          <w:highlight w:val="none"/>
        </w:rPr>
        <w:t>日前。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2、乙方严格按照本合同要求，保证该工程按时竣工。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3、甲方要求比合同约定的工期提前竣工时，应征得乙方同意，提前竣工费用另签协议。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4、因乙方责任，不能按期开工或中途无故停工，影响工期，工期不顺延。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5、因设计变更或非乙方原因造成的停电、停水及不可抗力因素影响，导致停工8小时以上（一周内累计计算），工期相应顺延。</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第三条  设备、材料供应</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根据《国务院办公厅关于建立政府强制采购节能产品制度的通知》国办发[2007]51号和《财政部国家环保总局联合印发关于环境标志产品政府采购实施的意见》财库[2006]90号文件规定，本工程项目所用材料、设备应符合节能环保及国家强制性规范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2、甲方指定材料种类、品牌、规格、型号和单价等，由乙方负责采购、运输和保管，并承担材料采购、运输和保管费。乙方采购的材料必须用于本工程，不准挪作他用。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3、乙方负责采购的材料、设备，必须符合设计要求的合格产品，必须在甲方提供材料品牌库内选择。乙方应向甲方提供采购的材料、设备产品合格证明，甲方签字认可后方可使用。</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第四条  合同价款</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本工程合同总金额为：￥：</w:t>
      </w:r>
      <w:r>
        <w:rPr>
          <w:rFonts w:hint="eastAsia" w:ascii="宋体" w:hAnsi="宋体"/>
          <w:sz w:val="24"/>
          <w:szCs w:val="22"/>
          <w:highlight w:val="none"/>
          <w:u w:val="single"/>
        </w:rPr>
        <w:t xml:space="preserve">      </w:t>
      </w:r>
      <w:r>
        <w:rPr>
          <w:rFonts w:hint="eastAsia"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元，大写：</w:t>
      </w:r>
      <w:r>
        <w:rPr>
          <w:rFonts w:hint="eastAsia" w:ascii="宋体" w:hAnsi="宋体"/>
          <w:sz w:val="24"/>
          <w:szCs w:val="22"/>
          <w:highlight w:val="none"/>
          <w:u w:val="single"/>
        </w:rPr>
        <w:t xml:space="preserve">                 </w:t>
      </w:r>
      <w:r>
        <w:rPr>
          <w:rFonts w:hint="eastAsia" w:ascii="宋体" w:hAnsi="宋体"/>
          <w:sz w:val="24"/>
          <w:szCs w:val="22"/>
          <w:highlight w:val="none"/>
        </w:rPr>
        <w:t>。</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第五条 工程价款的支付和结算</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1、资金性质：</w:t>
      </w:r>
      <w:r>
        <w:rPr>
          <w:rFonts w:hint="eastAsia" w:ascii="宋体" w:hAnsi="宋体"/>
          <w:sz w:val="24"/>
          <w:szCs w:val="22"/>
          <w:highlight w:val="none"/>
          <w:u w:val="single"/>
        </w:rPr>
        <w:t>财政资金。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b w:val="0"/>
          <w:bCs w:val="0"/>
          <w:color w:val="auto"/>
          <w:sz w:val="24"/>
          <w:szCs w:val="22"/>
          <w:highlight w:val="none"/>
          <w:u w:val="single"/>
        </w:rPr>
      </w:pPr>
      <w:r>
        <w:rPr>
          <w:rFonts w:hint="eastAsia" w:ascii="宋体" w:hAnsi="宋体"/>
          <w:b w:val="0"/>
          <w:bCs w:val="0"/>
          <w:color w:val="auto"/>
          <w:sz w:val="24"/>
          <w:szCs w:val="22"/>
          <w:highlight w:val="none"/>
        </w:rPr>
        <w:t>2、付款方式：</w:t>
      </w:r>
      <w:r>
        <w:rPr>
          <w:rFonts w:hint="eastAsia" w:ascii="宋体" w:hAnsi="宋体"/>
          <w:b w:val="0"/>
          <w:bCs w:val="0"/>
          <w:color w:val="auto"/>
          <w:sz w:val="24"/>
          <w:szCs w:val="22"/>
          <w:highlight w:val="none"/>
          <w:u w:val="single"/>
        </w:rPr>
        <w:t>合同签订后支付合同价款的30%作为预付款；工程施工形象进度完成一半后支付至合同价款的60%；工程竣工验收合格且结算审计完成后支付至结算价的97%，预留结算价的3%作为工程保修金，缺陷责任期满无息支付；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b w:val="0"/>
          <w:bCs w:val="0"/>
          <w:color w:val="auto"/>
          <w:sz w:val="24"/>
          <w:szCs w:val="22"/>
          <w:highlight w:val="none"/>
          <w:u w:val="single"/>
        </w:rPr>
      </w:pPr>
      <w:r>
        <w:rPr>
          <w:rFonts w:hint="eastAsia" w:ascii="宋体" w:hAnsi="宋体"/>
          <w:b w:val="0"/>
          <w:bCs w:val="0"/>
          <w:color w:val="auto"/>
          <w:sz w:val="24"/>
          <w:szCs w:val="22"/>
          <w:highlight w:val="none"/>
        </w:rPr>
        <w:t>3、工程结算形式</w:t>
      </w:r>
      <w:r>
        <w:rPr>
          <w:rFonts w:hint="eastAsia" w:ascii="宋体" w:hAnsi="宋体"/>
          <w:b w:val="0"/>
          <w:bCs w:val="0"/>
          <w:color w:val="auto"/>
          <w:sz w:val="24"/>
          <w:szCs w:val="22"/>
          <w:highlight w:val="none"/>
          <w:lang w:eastAsia="zh-CN"/>
        </w:rPr>
        <w:t>：</w:t>
      </w:r>
      <w:r>
        <w:rPr>
          <w:rFonts w:hint="eastAsia" w:hAnsi="宋体"/>
          <w:b w:val="0"/>
          <w:bCs w:val="0"/>
          <w:color w:val="auto"/>
          <w:sz w:val="24"/>
          <w:szCs w:val="22"/>
          <w:highlight w:val="none"/>
          <w:u w:val="single"/>
          <w:lang w:eastAsia="zh-CN"/>
        </w:rPr>
        <w:t>固定总价结算。</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b w:val="0"/>
          <w:bCs w:val="0"/>
          <w:color w:val="auto"/>
          <w:sz w:val="24"/>
          <w:szCs w:val="22"/>
          <w:highlight w:val="none"/>
          <w:u w:val="single"/>
        </w:rPr>
      </w:pPr>
      <w:r>
        <w:rPr>
          <w:rFonts w:hint="eastAsia" w:ascii="宋体" w:hAnsi="宋体"/>
          <w:b w:val="0"/>
          <w:bCs w:val="0"/>
          <w:color w:val="auto"/>
          <w:sz w:val="24"/>
          <w:szCs w:val="22"/>
          <w:highlight w:val="none"/>
        </w:rPr>
        <w:t>4、工程竣工结算：</w:t>
      </w:r>
      <w:r>
        <w:rPr>
          <w:rFonts w:hint="eastAsia" w:ascii="宋体" w:hAnsi="宋体"/>
          <w:b w:val="0"/>
          <w:bCs w:val="0"/>
          <w:color w:val="auto"/>
          <w:sz w:val="24"/>
          <w:szCs w:val="22"/>
          <w:highlight w:val="none"/>
          <w:u w:val="single"/>
        </w:rPr>
        <w:t>工程竣工验收后乙方向甲方提交工程结算书和其他有关工程资料，并将有关资料送交甲方。甲方自接到上述资料</w:t>
      </w:r>
      <w:r>
        <w:rPr>
          <w:rFonts w:hint="eastAsia" w:hAnsi="宋体"/>
          <w:b w:val="0"/>
          <w:bCs w:val="0"/>
          <w:color w:val="auto"/>
          <w:sz w:val="24"/>
          <w:szCs w:val="22"/>
          <w:highlight w:val="none"/>
          <w:u w:val="single"/>
          <w:lang w:eastAsia="zh-CN"/>
        </w:rPr>
        <w:t>后</w:t>
      </w:r>
      <w:r>
        <w:rPr>
          <w:rFonts w:hint="eastAsia" w:ascii="宋体" w:hAnsi="宋体"/>
          <w:b w:val="0"/>
          <w:bCs w:val="0"/>
          <w:color w:val="auto"/>
          <w:sz w:val="24"/>
          <w:szCs w:val="22"/>
          <w:highlight w:val="none"/>
          <w:u w:val="single"/>
        </w:rPr>
        <w:t>进行竣工结算。</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第六条  质量保证金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sz w:val="24"/>
          <w:szCs w:val="21"/>
          <w:highlight w:val="none"/>
          <w:u w:val="single"/>
          <w:lang w:eastAsia="zh-CN"/>
        </w:rPr>
      </w:pPr>
      <w:r>
        <w:rPr>
          <w:rFonts w:hint="eastAsia" w:ascii="宋体" w:hAnsi="宋体"/>
          <w:sz w:val="24"/>
          <w:szCs w:val="21"/>
          <w:highlight w:val="none"/>
          <w:u w:val="single"/>
          <w:lang w:eastAsia="zh-CN"/>
        </w:rPr>
        <w:t>无</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第七条  安全生产和防火</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1、乙方在施工期间应严格遵守《建筑工程施工安全技术操作规程》、《建筑工人安全技术操作规程》和其他相关的法规、规范。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第八条 工程质量与验收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1、乙方必须保证本工程质量，并按照相关规定办理工程质量检测手续，向甲方提交工程质量报告，乙方提供的主要材料、设备必须符合国家标准。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2、本工程以施工图纸、作法说明、设计变更和《建筑工程施工质量验收统一标准》（GB50300—2013）等国家制订的施工及验收规范以及建筑行业主管部门验收标准为本工程质量评定验收标准。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3、乙方应及时通知甲方对施工过程中的隐蔽工程进行检查和验收，并做好验收记录。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4、工程竣工前，乙方向甲方提交工程验收申请，约请甲方和有关部门对本工程进行验收。甲方应自接到验收通知 10 日内，可采取全面验收和抽检验收方法组织验收，并办理验收、移交手续。如甲方不能在规定时间内组织验收，需及时通知乙方，另定验收日期。但甲方应承认竣工日期，看管费用和相关费用由：乙方承担。如甲方在验收过程中发现存在质量问题，应在验收后5日内以书面形式向乙方提出，乙方应自收到甲方书面异议后 5日内及时予以解决。造成工程顺延由乙方承担责任。</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第九条 双方权利与义务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sz w:val="24"/>
          <w:szCs w:val="21"/>
          <w:highlight w:val="none"/>
        </w:rPr>
      </w:pPr>
      <w:r>
        <w:rPr>
          <w:rFonts w:hint="eastAsia" w:ascii="宋体" w:hAnsi="宋体"/>
          <w:sz w:val="24"/>
          <w:szCs w:val="21"/>
          <w:highlight w:val="none"/>
        </w:rPr>
        <w:t>一、甲方权利与义务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开工前，甲方向乙方进行现场交底。清除影响施工的障碍物。不能清除的采取保护措施。向乙方提供施工所需水源、电源等施工条件，并说明使用注意事项，施工中使用的水费、电费在结算时予以扣除。提供存放所用材料的场地。办理施工所涉及的应由甲方办理的消防等申请、批件手续或委托乙方代办理，所需费用由甲方承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2、指派</w:t>
      </w:r>
      <w:r>
        <w:rPr>
          <w:rFonts w:hint="eastAsia" w:ascii="宋体" w:hAnsi="宋体"/>
          <w:sz w:val="24"/>
          <w:szCs w:val="22"/>
          <w:highlight w:val="none"/>
          <w:u w:val="single"/>
        </w:rPr>
        <w:t xml:space="preserve">      </w:t>
      </w:r>
      <w:r>
        <w:rPr>
          <w:rFonts w:hint="eastAsia" w:ascii="宋体" w:hAnsi="宋体"/>
          <w:sz w:val="24"/>
          <w:szCs w:val="22"/>
          <w:highlight w:val="none"/>
        </w:rPr>
        <w:t>为甲方驻工地代表，负责对本工程质量、材料、工程进度等合同履行监督检查、认证工作，办理验收、变更、登记手续和其他事宜。如乙方施工中存在质量问题，经甲方代表指出后不改正的，甲方有权责令停工，严重的停止执行合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3、委托监理公司进行工程监理，监理公司任命</w:t>
      </w:r>
      <w:r>
        <w:rPr>
          <w:rFonts w:hint="eastAsia" w:ascii="宋体" w:hAnsi="宋体"/>
          <w:sz w:val="24"/>
          <w:szCs w:val="22"/>
          <w:highlight w:val="none"/>
          <w:u w:val="single"/>
        </w:rPr>
        <w:t xml:space="preserve">        </w:t>
      </w:r>
      <w:r>
        <w:rPr>
          <w:rFonts w:hint="eastAsia" w:ascii="宋体" w:hAnsi="宋体"/>
          <w:sz w:val="24"/>
          <w:szCs w:val="22"/>
          <w:highlight w:val="none"/>
        </w:rPr>
        <w:t>为总监理工程师，其职责在监理合同中应明确。</w:t>
      </w:r>
    </w:p>
    <w:p>
      <w:pPr>
        <w:keepNext w:val="0"/>
        <w:keepLines w:val="0"/>
        <w:pageBreakBefore w:val="0"/>
        <w:widowControl w:val="0"/>
        <w:kinsoku/>
        <w:wordWrap/>
        <w:overflowPunct/>
        <w:topLinePunct w:val="0"/>
        <w:autoSpaceDE/>
        <w:autoSpaceDN/>
        <w:bidi w:val="0"/>
        <w:spacing w:line="360" w:lineRule="auto"/>
        <w:ind w:left="480" w:leftChars="200"/>
        <w:textAlignment w:val="auto"/>
        <w:rPr>
          <w:rFonts w:hint="eastAsia" w:ascii="宋体" w:hAnsi="宋体"/>
          <w:sz w:val="24"/>
          <w:szCs w:val="22"/>
          <w:highlight w:val="none"/>
        </w:rPr>
      </w:pPr>
      <w:r>
        <w:rPr>
          <w:rFonts w:hint="eastAsia" w:ascii="宋体" w:hAnsi="宋体"/>
          <w:sz w:val="24"/>
          <w:szCs w:val="22"/>
          <w:highlight w:val="none"/>
        </w:rPr>
        <w:t>4、如确实需要拆改原建筑物结构或设备、管线，由甲方负责到有关部门办理相应审批手续。</w:t>
      </w:r>
    </w:p>
    <w:p>
      <w:pPr>
        <w:keepNext w:val="0"/>
        <w:keepLines w:val="0"/>
        <w:pageBreakBefore w:val="0"/>
        <w:widowControl w:val="0"/>
        <w:kinsoku/>
        <w:wordWrap/>
        <w:overflowPunct/>
        <w:topLinePunct w:val="0"/>
        <w:autoSpaceDE/>
        <w:autoSpaceDN/>
        <w:bidi w:val="0"/>
        <w:spacing w:line="360" w:lineRule="auto"/>
        <w:ind w:left="480" w:leftChars="200"/>
        <w:textAlignment w:val="auto"/>
        <w:rPr>
          <w:rFonts w:hint="eastAsia" w:ascii="宋体" w:hAnsi="宋体"/>
          <w:sz w:val="24"/>
          <w:szCs w:val="22"/>
          <w:highlight w:val="none"/>
        </w:rPr>
      </w:pPr>
      <w:r>
        <w:rPr>
          <w:rFonts w:hint="eastAsia" w:ascii="宋体" w:hAnsi="宋体"/>
          <w:sz w:val="24"/>
          <w:szCs w:val="22"/>
          <w:highlight w:val="none"/>
        </w:rPr>
        <w:t>二、乙方权利与义务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1、参加甲方组织的施工图纸或作法说明的现场交底，提供施工组织设计、施工方案和施工进度计划，7天内交甲方审定。办理施工所涉及的应由乙方办理的工程质量检测等报批手续和支付费用。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2、本工程项目班子成员包括： 项目经理、技术负责人、采购负责人、成本负责人等  。其中：</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项目经理姓名：       、级别：        、职务（职称）：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技术负责人姓名：          、职称：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项目经理和技术负责人为乙方驻工地代表，负责合同履行。按要求组织施工，保质保量、按期完成施工任务，解决由乙方负责的各项事宜。项目班子成员必须与投标文件相符。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3、严格执行施工规范、安全操作规程、防火安全和环境保护规定。严格按照图纸或作法说明进行施工，做好各项质量检查和增减项记录。参加竣工验收，编制工程结算，提供甲方签字认可的工程量变化清单。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遵守国家或地方政府及有关部门对施工现场管理的规定，妥善保护好施工现场周围建筑物、设备管线、古树名木不受损坏。做好施工现场保护和垃圾消纳等工作，处理好由于施工带来的扰民问题及周围单位（住户）的关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5、施工中未经有关部门批准和甲方同意，不得随意拆改原建筑物结构及各种设备、管线。</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6、工程竣工未移交甲方之前，负责对现场工程设施和工程成品进行保护。</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三、安全责任</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乙方在组织施工过程中，应严格执行《施工安全工作规定》，采取严格的防护措施，加强安全管理，承担安全工作全部责任。</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 xml:space="preserve">第十条 工程保修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1、本工程质量保修期</w:t>
      </w:r>
      <w:r>
        <w:rPr>
          <w:rFonts w:hint="eastAsia" w:hAnsi="宋体"/>
          <w:sz w:val="24"/>
          <w:szCs w:val="22"/>
          <w:highlight w:val="none"/>
          <w:lang w:val="en-US" w:eastAsia="zh-CN"/>
        </w:rPr>
        <w:t>3年</w:t>
      </w:r>
      <w:r>
        <w:rPr>
          <w:rFonts w:hint="eastAsia" w:ascii="宋体" w:hAnsi="宋体"/>
          <w:sz w:val="24"/>
          <w:szCs w:val="22"/>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2、质量保修期间，由于施工质量等发生的问题，需要维修时，乙方无偿负责保修。乙方收到甲方保修通知 2 小时内，进行保修。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3、质量保修期间，由于甲方使用不当造成的问题，乙方负责维修，甲方负责支付人工和材料费用。乙方收到甲方维修通知2 小时内，进行维修。</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第十一条 违约责任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1、由于甲方原因导致延期开工或中途停工，甲方应补偿乙方因延期开工或停工所造成的损失，每停工一天，甲方支付乙方 500 元违约金。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2、由于甲方提供或确定的材料、设备质量不合格而影响本工程质量，其返工费用由甲方承担，工期顺延。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3、甲方未办理任何手续，擅自同意拆改原有建筑物结构或设备、管线，由此发生的损失或事故（包括罚款），由甲方负责并承担损失。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4、甲方未办理验收手续，提前使用或擅自动用，造成损失由甲方负责。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5、由于乙方原因逾期竣工，乙方应补偿甲方因逾期竣工所造成的损失。每逾期一天，乙方支付甲方 1000 元违约金。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6、由于乙方原因造成本工程质量事故，其返工费用由乙方承担，工期不顺延，并负责因此造成的全部损失。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7、乙方应妥善保管甲方提供的材料、设备和现场堆放的物品及工程成品，如保管不当造成损失，乙方应照价赔偿。</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8、未经甲方同意，乙方擅自拆改原建筑物结构或设备、管线，由此发生的损失或事故（包括罚款），由乙方负责并承担损失。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9、由于乙方在施工生产过程中违反有关安全操作规程、消防法，导致发生安全事故或火灾事故，乙方应承担由此引发的一切责任。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10、乙方拒不执行保修期责任和服务承诺，甲方有权扣除全部质量保证金，并追究乙方违约责任。</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 xml:space="preserve">    11、因一方原因，合同无法继续履行时，应通知对方，按规定程序办理合同终止协议，并由责任方赔偿对方由此造成的全部经济损失。</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 xml:space="preserve">    12、其他违约行为按违约额5%收取违约金并赔偿经济损失。</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第十二条   纠纷解决办法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执行本合同发生争议时，由当事人双方协商解决，协商不成，双方应选择下列一种争议解决方式：(1)申请仲裁委员会仲裁，(2)向人民法院起诉。</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第十三条   以下资料为合同不可分割部分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 xml:space="preserve">1、附件一： </w:t>
      </w:r>
      <w:r>
        <w:rPr>
          <w:rFonts w:hint="eastAsia" w:hAnsi="宋体"/>
          <w:sz w:val="24"/>
          <w:szCs w:val="22"/>
          <w:highlight w:val="none"/>
          <w:lang w:eastAsia="zh-CN"/>
        </w:rPr>
        <w:t>竞争性磋商</w:t>
      </w:r>
      <w:r>
        <w:rPr>
          <w:rFonts w:hint="eastAsia" w:ascii="宋体" w:hAnsi="宋体"/>
          <w:sz w:val="24"/>
          <w:szCs w:val="22"/>
          <w:highlight w:val="none"/>
        </w:rPr>
        <w:t>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 xml:space="preserve">2、附件二： </w:t>
      </w:r>
      <w:r>
        <w:rPr>
          <w:rFonts w:hint="eastAsia" w:hAnsi="宋体"/>
          <w:sz w:val="24"/>
          <w:szCs w:val="22"/>
          <w:highlight w:val="none"/>
          <w:lang w:eastAsia="zh-CN"/>
        </w:rPr>
        <w:t>竞争性磋商响应</w:t>
      </w:r>
      <w:r>
        <w:rPr>
          <w:rFonts w:hint="eastAsia" w:ascii="宋体" w:hAnsi="宋体"/>
          <w:sz w:val="24"/>
          <w:szCs w:val="22"/>
          <w:highlight w:val="none"/>
        </w:rPr>
        <w:t>文件</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第十四条  合同的生效、终止及其他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1、本合同经双方单位及法人代表(或委托人)签字盖章后生效，工程完工甲方全部付完施工费后，合同自行解除。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2、本合同未尽事宜由甲、乙双方友好协商解决，形成书面文件，作为本合同附件，与本合同具有同等法律效力。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3、本合同一式壹拾陆份，甲方执肆份，乙方执贰份，具有同等法律效力。</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 xml:space="preserve"> 十五、合同附件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1"/>
          <w:highlight w:val="none"/>
        </w:rPr>
      </w:pPr>
      <w:r>
        <w:rPr>
          <w:rFonts w:hint="eastAsia" w:ascii="宋体" w:hAnsi="宋体"/>
          <w:sz w:val="24"/>
          <w:szCs w:val="21"/>
          <w:highlight w:val="none"/>
        </w:rPr>
        <w:t>附件1：工程质量保修书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1"/>
          <w:highlight w:val="none"/>
        </w:rPr>
      </w:pPr>
      <w:r>
        <w:rPr>
          <w:rFonts w:hint="eastAsia" w:ascii="宋体" w:hAnsi="宋体"/>
          <w:sz w:val="24"/>
          <w:szCs w:val="21"/>
          <w:highlight w:val="none"/>
        </w:rPr>
        <w:t>附件</w:t>
      </w:r>
      <w:r>
        <w:rPr>
          <w:rFonts w:hint="eastAsia" w:ascii="宋体" w:hAnsi="宋体"/>
          <w:sz w:val="24"/>
          <w:szCs w:val="21"/>
          <w:highlight w:val="none"/>
          <w:lang w:val="en-US" w:eastAsia="zh-CN"/>
        </w:rPr>
        <w:t>2</w:t>
      </w:r>
      <w:r>
        <w:rPr>
          <w:rFonts w:hint="eastAsia" w:ascii="宋体" w:hAnsi="宋体"/>
          <w:sz w:val="24"/>
          <w:szCs w:val="21"/>
          <w:highlight w:val="none"/>
        </w:rPr>
        <w:t>：工程项目廉政合同</w:t>
      </w:r>
    </w:p>
    <w:p>
      <w:pPr>
        <w:pStyle w:val="30"/>
        <w:rPr>
          <w:rFonts w:hint="eastAsia" w:eastAsia="仿宋_GB2312"/>
          <w:highlight w:val="none"/>
          <w:lang w:val="en-US" w:eastAsia="zh-CN"/>
        </w:rPr>
      </w:pPr>
      <w:r>
        <w:rPr>
          <w:rFonts w:hint="eastAsia"/>
          <w:highlight w:val="none"/>
          <w:lang w:val="en-US" w:eastAsia="zh-CN"/>
        </w:rPr>
        <w:t>:</w:t>
      </w:r>
    </w:p>
    <w:p>
      <w:pPr>
        <w:pStyle w:val="30"/>
        <w:rPr>
          <w:rFonts w:hint="eastAsia"/>
          <w:highlight w:val="none"/>
        </w:rPr>
      </w:pPr>
    </w:p>
    <w:p>
      <w:pPr>
        <w:spacing w:line="360" w:lineRule="auto"/>
        <w:rPr>
          <w:rFonts w:hint="eastAsia" w:ascii="宋体" w:hAnsi="宋体"/>
          <w:szCs w:val="22"/>
          <w:highlight w:val="none"/>
        </w:rPr>
      </w:pPr>
      <w:r>
        <w:rPr>
          <w:rFonts w:hint="eastAsia" w:ascii="宋体" w:hAnsi="宋体"/>
          <w:szCs w:val="22"/>
          <w:highlight w:val="none"/>
        </w:rPr>
        <w:t>发包方：                      （盖章）     施工方：         （盖章）</w:t>
      </w:r>
    </w:p>
    <w:p>
      <w:pPr>
        <w:spacing w:line="360" w:lineRule="auto"/>
        <w:rPr>
          <w:rFonts w:hint="eastAsia" w:ascii="宋体" w:hAnsi="宋体"/>
          <w:szCs w:val="22"/>
          <w:highlight w:val="none"/>
        </w:rPr>
      </w:pPr>
    </w:p>
    <w:p>
      <w:pPr>
        <w:spacing w:line="360" w:lineRule="auto"/>
        <w:rPr>
          <w:rFonts w:hint="eastAsia" w:ascii="宋体" w:hAnsi="宋体"/>
          <w:szCs w:val="22"/>
          <w:highlight w:val="none"/>
        </w:rPr>
      </w:pPr>
      <w:r>
        <w:rPr>
          <w:rFonts w:hint="eastAsia" w:ascii="宋体" w:hAnsi="宋体"/>
          <w:szCs w:val="22"/>
          <w:highlight w:val="none"/>
        </w:rPr>
        <w:t>委托代理人：                               委托代理人：</w:t>
      </w:r>
    </w:p>
    <w:p>
      <w:pPr>
        <w:spacing w:line="360" w:lineRule="auto"/>
        <w:rPr>
          <w:rFonts w:hint="eastAsia" w:ascii="宋体" w:hAnsi="宋体"/>
          <w:szCs w:val="22"/>
          <w:highlight w:val="none"/>
        </w:rPr>
      </w:pPr>
      <w:r>
        <w:rPr>
          <w:rFonts w:hint="eastAsia" w:ascii="宋体" w:hAnsi="宋体"/>
          <w:szCs w:val="22"/>
          <w:highlight w:val="none"/>
        </w:rPr>
        <w:t>地    址：                                 地    址：</w:t>
      </w:r>
    </w:p>
    <w:p>
      <w:pPr>
        <w:spacing w:line="360" w:lineRule="auto"/>
        <w:rPr>
          <w:rFonts w:hint="eastAsia" w:ascii="宋体" w:hAnsi="宋体"/>
          <w:szCs w:val="22"/>
          <w:highlight w:val="none"/>
        </w:rPr>
      </w:pPr>
      <w:r>
        <w:rPr>
          <w:rFonts w:hint="eastAsia" w:ascii="宋体" w:hAnsi="宋体"/>
          <w:szCs w:val="22"/>
          <w:highlight w:val="none"/>
        </w:rPr>
        <w:t>电    话：                                 电    话：</w:t>
      </w:r>
    </w:p>
    <w:p>
      <w:pPr>
        <w:spacing w:line="360" w:lineRule="auto"/>
        <w:rPr>
          <w:rFonts w:hint="eastAsia" w:ascii="宋体" w:hAnsi="宋体"/>
          <w:szCs w:val="22"/>
          <w:highlight w:val="none"/>
        </w:rPr>
      </w:pPr>
      <w:r>
        <w:rPr>
          <w:rFonts w:hint="eastAsia" w:ascii="宋体" w:hAnsi="宋体"/>
          <w:szCs w:val="22"/>
          <w:highlight w:val="none"/>
        </w:rPr>
        <w:t xml:space="preserve">开户银行：                                 开户银行： </w:t>
      </w:r>
    </w:p>
    <w:p>
      <w:pPr>
        <w:spacing w:line="360" w:lineRule="auto"/>
        <w:rPr>
          <w:rFonts w:hint="eastAsia" w:ascii="宋体" w:hAnsi="宋体"/>
          <w:szCs w:val="22"/>
          <w:highlight w:val="none"/>
        </w:rPr>
      </w:pPr>
      <w:r>
        <w:rPr>
          <w:rFonts w:hint="eastAsia" w:ascii="宋体" w:hAnsi="宋体"/>
          <w:szCs w:val="22"/>
          <w:highlight w:val="none"/>
        </w:rPr>
        <w:t>帐    号：                                 帐    号：</w:t>
      </w:r>
    </w:p>
    <w:p>
      <w:pPr>
        <w:spacing w:line="360" w:lineRule="auto"/>
        <w:rPr>
          <w:rFonts w:hint="eastAsia" w:ascii="宋体" w:hAnsi="宋体"/>
          <w:szCs w:val="22"/>
          <w:highlight w:val="none"/>
        </w:rPr>
      </w:pPr>
      <w:r>
        <w:rPr>
          <w:rFonts w:hint="eastAsia" w:ascii="宋体" w:hAnsi="宋体"/>
          <w:szCs w:val="22"/>
          <w:highlight w:val="none"/>
        </w:rPr>
        <w:t xml:space="preserve">签订时间：    年    月    日               签订时间：     年     月    日           </w:t>
      </w:r>
    </w:p>
    <w:bookmarkEnd w:id="58"/>
    <w:bookmarkEnd w:id="59"/>
    <w:bookmarkEnd w:id="60"/>
    <w:p>
      <w:pPr>
        <w:rPr>
          <w:rFonts w:hint="eastAsia"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附件1：</w:t>
      </w:r>
    </w:p>
    <w:p>
      <w:pPr>
        <w:pStyle w:val="10"/>
        <w:spacing w:after="240" w:afterLines="100" w:line="420" w:lineRule="exact"/>
        <w:ind w:left="1343" w:hanging="128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工程质量保修书</w:t>
      </w:r>
    </w:p>
    <w:p>
      <w:pPr>
        <w:widowControl/>
        <w:spacing w:line="360" w:lineRule="auto"/>
        <w:ind w:firstLine="482" w:firstLineChars="200"/>
        <w:jc w:val="left"/>
        <w:rPr>
          <w:rFonts w:hint="eastAsia" w:ascii="宋体" w:hAnsi="宋体" w:eastAsia="宋体" w:cs="宋体"/>
          <w:szCs w:val="21"/>
          <w:highlight w:val="none"/>
        </w:rPr>
      </w:pPr>
      <w:r>
        <w:rPr>
          <w:rFonts w:hint="eastAsia" w:ascii="宋体" w:hAnsi="宋体" w:eastAsia="宋体" w:cs="宋体"/>
          <w:b/>
          <w:szCs w:val="21"/>
          <w:highlight w:val="none"/>
        </w:rPr>
        <w:t>发包人（全称）：</w:t>
      </w:r>
      <w:r>
        <w:rPr>
          <w:rFonts w:hint="eastAsia" w:ascii="宋体" w:hAnsi="宋体" w:eastAsia="宋体" w:cs="宋体"/>
          <w:szCs w:val="21"/>
          <w:highlight w:val="none"/>
          <w:u w:val="single"/>
        </w:rPr>
        <w:t xml:space="preserve">                         </w:t>
      </w:r>
    </w:p>
    <w:p>
      <w:pPr>
        <w:widowControl/>
        <w:spacing w:line="360" w:lineRule="auto"/>
        <w:ind w:firstLine="482" w:firstLineChars="200"/>
        <w:rPr>
          <w:rFonts w:hint="eastAsia" w:ascii="宋体" w:hAnsi="宋体" w:eastAsia="宋体" w:cs="宋体"/>
          <w:b/>
          <w:szCs w:val="21"/>
          <w:highlight w:val="none"/>
          <w:u w:val="single"/>
        </w:rPr>
      </w:pPr>
      <w:r>
        <w:rPr>
          <w:rFonts w:hint="eastAsia" w:ascii="宋体" w:hAnsi="宋体" w:eastAsia="宋体" w:cs="宋体"/>
          <w:b/>
          <w:szCs w:val="21"/>
          <w:highlight w:val="none"/>
        </w:rPr>
        <w:t>承包人（全称）：</w:t>
      </w:r>
      <w:r>
        <w:rPr>
          <w:rFonts w:hint="eastAsia" w:ascii="宋体" w:hAnsi="宋体" w:eastAsia="宋体" w:cs="宋体"/>
          <w:szCs w:val="21"/>
          <w:highlight w:val="none"/>
          <w:u w:val="single"/>
          <w:shd w:val="clear" w:color="auto" w:fill="FFFFFF"/>
        </w:rPr>
        <w:t xml:space="preserve">                         </w:t>
      </w:r>
    </w:p>
    <w:p>
      <w:pPr>
        <w:widowControl/>
        <w:spacing w:line="360" w:lineRule="auto"/>
        <w:ind w:firstLine="480" w:firstLineChars="200"/>
        <w:jc w:val="left"/>
        <w:rPr>
          <w:szCs w:val="21"/>
          <w:highlight w:val="none"/>
        </w:rPr>
      </w:pPr>
      <w:r>
        <w:rPr>
          <w:szCs w:val="21"/>
          <w:highlight w:val="none"/>
        </w:rPr>
        <w:t>为保证</w:t>
      </w:r>
      <w:r>
        <w:rPr>
          <w:rFonts w:hint="eastAsia"/>
          <w:szCs w:val="21"/>
          <w:highlight w:val="none"/>
        </w:rPr>
        <w:t>本项目</w:t>
      </w:r>
      <w:r>
        <w:rPr>
          <w:szCs w:val="21"/>
          <w:highlight w:val="none"/>
        </w:rPr>
        <w:t>工程在合理使用期限内正常使用，发包人、承包人协商一致签订工程质量保修书。承包人在质量保修期内按照有关管理规定及双方约定承担工程质量保修责任，发包人在质量保修期内行使发包人的职责。</w:t>
      </w:r>
    </w:p>
    <w:p>
      <w:pPr>
        <w:widowControl/>
        <w:spacing w:line="360" w:lineRule="auto"/>
        <w:ind w:firstLine="482" w:firstLineChars="200"/>
        <w:rPr>
          <w:b/>
          <w:szCs w:val="21"/>
          <w:highlight w:val="none"/>
        </w:rPr>
      </w:pPr>
      <w:r>
        <w:rPr>
          <w:b/>
          <w:szCs w:val="21"/>
          <w:highlight w:val="none"/>
        </w:rPr>
        <w:t xml:space="preserve">一、工程质量保修范围和内容 </w:t>
      </w:r>
    </w:p>
    <w:p>
      <w:pPr>
        <w:widowControl/>
        <w:spacing w:line="360" w:lineRule="auto"/>
        <w:ind w:firstLine="480" w:firstLineChars="200"/>
        <w:rPr>
          <w:szCs w:val="21"/>
          <w:highlight w:val="none"/>
        </w:rPr>
      </w:pPr>
      <w:r>
        <w:rPr>
          <w:szCs w:val="21"/>
          <w:highlight w:val="none"/>
        </w:rPr>
        <w:t xml:space="preserve">质量保修范围包括地基基础工程、主体结构工程、屋面防水工程和双方约定的其他土建工程，以及电气管线、上下水管线的安装工程，供热、供冷系统工程等项目。具体质量保修内容双方约定如下： </w:t>
      </w:r>
      <w:r>
        <w:rPr>
          <w:szCs w:val="21"/>
          <w:highlight w:val="none"/>
          <w:u w:val="single"/>
        </w:rPr>
        <w:t>承包范围以内的所有工程。</w:t>
      </w:r>
    </w:p>
    <w:p>
      <w:pPr>
        <w:widowControl/>
        <w:spacing w:line="360" w:lineRule="auto"/>
        <w:ind w:firstLine="482" w:firstLineChars="200"/>
        <w:rPr>
          <w:b/>
          <w:szCs w:val="21"/>
          <w:highlight w:val="none"/>
        </w:rPr>
      </w:pPr>
      <w:r>
        <w:rPr>
          <w:b/>
          <w:szCs w:val="21"/>
          <w:highlight w:val="none"/>
        </w:rPr>
        <w:t xml:space="preserve">二、质量保修期 </w:t>
      </w:r>
    </w:p>
    <w:p>
      <w:pPr>
        <w:spacing w:line="420" w:lineRule="exact"/>
        <w:ind w:firstLine="480" w:firstLineChars="200"/>
        <w:rPr>
          <w:szCs w:val="21"/>
          <w:highlight w:val="none"/>
        </w:rPr>
      </w:pPr>
      <w:r>
        <w:rPr>
          <w:szCs w:val="21"/>
          <w:highlight w:val="none"/>
        </w:rPr>
        <w:t>根据《建设工程质量管理条例》及有关规定，工程的质量保修期如下：</w:t>
      </w:r>
    </w:p>
    <w:p>
      <w:pPr>
        <w:spacing w:line="420" w:lineRule="exact"/>
        <w:ind w:firstLine="480" w:firstLineChars="200"/>
        <w:rPr>
          <w:szCs w:val="21"/>
          <w:highlight w:val="none"/>
        </w:rPr>
      </w:pPr>
      <w:r>
        <w:rPr>
          <w:szCs w:val="21"/>
          <w:highlight w:val="none"/>
        </w:rPr>
        <w:t>1．地基基础工程和主体结构工程为设计文件规定的工程合理使用年限；</w:t>
      </w:r>
    </w:p>
    <w:p>
      <w:pPr>
        <w:spacing w:line="420" w:lineRule="exact"/>
        <w:ind w:firstLine="480" w:firstLineChars="200"/>
        <w:rPr>
          <w:szCs w:val="21"/>
          <w:highlight w:val="none"/>
        </w:rPr>
      </w:pPr>
      <w:r>
        <w:rPr>
          <w:szCs w:val="21"/>
          <w:highlight w:val="none"/>
        </w:rPr>
        <w:t>2．屋面防水工程、有防水要求的卫生间、房间和外墙面的防渗为</w:t>
      </w:r>
      <w:r>
        <w:rPr>
          <w:szCs w:val="21"/>
          <w:highlight w:val="none"/>
          <w:u w:val="single"/>
        </w:rPr>
        <w:t xml:space="preserve">   5   </w:t>
      </w:r>
      <w:r>
        <w:rPr>
          <w:szCs w:val="21"/>
          <w:highlight w:val="none"/>
        </w:rPr>
        <w:t>年；</w:t>
      </w:r>
    </w:p>
    <w:p>
      <w:pPr>
        <w:spacing w:line="420" w:lineRule="exact"/>
        <w:ind w:firstLine="480" w:firstLineChars="200"/>
        <w:rPr>
          <w:szCs w:val="21"/>
          <w:highlight w:val="none"/>
        </w:rPr>
      </w:pPr>
      <w:r>
        <w:rPr>
          <w:szCs w:val="21"/>
          <w:highlight w:val="none"/>
        </w:rPr>
        <w:t>3．装修工程为</w:t>
      </w:r>
      <w:r>
        <w:rPr>
          <w:szCs w:val="21"/>
          <w:highlight w:val="none"/>
          <w:u w:val="single"/>
        </w:rPr>
        <w:t xml:space="preserve">    2  </w:t>
      </w:r>
      <w:r>
        <w:rPr>
          <w:rFonts w:hint="eastAsia"/>
          <w:szCs w:val="21"/>
          <w:highlight w:val="none"/>
          <w:u w:val="single"/>
          <w:lang w:val="en-US" w:eastAsia="zh-CN"/>
        </w:rPr>
        <w:t xml:space="preserve"> </w:t>
      </w:r>
      <w:r>
        <w:rPr>
          <w:szCs w:val="21"/>
          <w:highlight w:val="none"/>
          <w:u w:val="single"/>
        </w:rPr>
        <w:t xml:space="preserve"> </w:t>
      </w:r>
      <w:r>
        <w:rPr>
          <w:szCs w:val="21"/>
          <w:highlight w:val="none"/>
        </w:rPr>
        <w:t>年；</w:t>
      </w:r>
    </w:p>
    <w:p>
      <w:pPr>
        <w:spacing w:line="420" w:lineRule="exact"/>
        <w:ind w:firstLine="480" w:firstLineChars="200"/>
        <w:rPr>
          <w:szCs w:val="21"/>
          <w:highlight w:val="none"/>
        </w:rPr>
      </w:pPr>
      <w:r>
        <w:rPr>
          <w:szCs w:val="21"/>
          <w:highlight w:val="none"/>
        </w:rPr>
        <w:t>4．电气管线、给排水管道、设备安装工程为</w:t>
      </w:r>
      <w:r>
        <w:rPr>
          <w:szCs w:val="21"/>
          <w:highlight w:val="none"/>
          <w:u w:val="single"/>
        </w:rPr>
        <w:t xml:space="preserve">     2  </w:t>
      </w:r>
      <w:r>
        <w:rPr>
          <w:rFonts w:hint="eastAsia"/>
          <w:szCs w:val="21"/>
          <w:highlight w:val="none"/>
          <w:u w:val="single"/>
          <w:lang w:val="en-US" w:eastAsia="zh-CN"/>
        </w:rPr>
        <w:t xml:space="preserve"> </w:t>
      </w:r>
      <w:r>
        <w:rPr>
          <w:szCs w:val="21"/>
          <w:highlight w:val="none"/>
          <w:u w:val="single"/>
        </w:rPr>
        <w:t xml:space="preserve"> </w:t>
      </w:r>
      <w:r>
        <w:rPr>
          <w:szCs w:val="21"/>
          <w:highlight w:val="none"/>
        </w:rPr>
        <w:t>年；</w:t>
      </w:r>
    </w:p>
    <w:p>
      <w:pPr>
        <w:spacing w:line="420" w:lineRule="exact"/>
        <w:ind w:firstLine="480" w:firstLineChars="200"/>
        <w:rPr>
          <w:szCs w:val="21"/>
          <w:highlight w:val="none"/>
        </w:rPr>
      </w:pPr>
      <w:r>
        <w:rPr>
          <w:szCs w:val="21"/>
          <w:highlight w:val="none"/>
        </w:rPr>
        <w:t>5．供热与供冷系统为</w:t>
      </w:r>
      <w:r>
        <w:rPr>
          <w:szCs w:val="21"/>
          <w:highlight w:val="none"/>
          <w:u w:val="single"/>
        </w:rPr>
        <w:t xml:space="preserve">    2     </w:t>
      </w:r>
      <w:r>
        <w:rPr>
          <w:szCs w:val="21"/>
          <w:highlight w:val="none"/>
        </w:rPr>
        <w:t>个采暖期、供冷期；</w:t>
      </w:r>
    </w:p>
    <w:p>
      <w:pPr>
        <w:spacing w:line="420" w:lineRule="exact"/>
        <w:ind w:firstLine="480" w:firstLineChars="200"/>
        <w:rPr>
          <w:rFonts w:hAnsi="Times New Roman" w:cs="Times New Roman"/>
          <w:szCs w:val="21"/>
          <w:highlight w:val="none"/>
        </w:rPr>
      </w:pPr>
      <w:r>
        <w:rPr>
          <w:rFonts w:hAnsi="Times New Roman" w:cs="Times New Roman"/>
          <w:szCs w:val="21"/>
          <w:highlight w:val="none"/>
        </w:rPr>
        <w:t>6．住宅小区内的给排水设施、道路等配套工程为</w:t>
      </w:r>
      <w:r>
        <w:rPr>
          <w:rFonts w:hAnsi="Times New Roman" w:cs="Times New Roman"/>
          <w:szCs w:val="21"/>
          <w:highlight w:val="none"/>
          <w:u w:val="single"/>
        </w:rPr>
        <w:t xml:space="preserve">     2   </w:t>
      </w:r>
      <w:r>
        <w:rPr>
          <w:rFonts w:hint="eastAsia" w:hAnsi="Times New Roman" w:cs="Times New Roman"/>
          <w:szCs w:val="21"/>
          <w:highlight w:val="none"/>
          <w:u w:val="single"/>
          <w:lang w:val="en-US" w:eastAsia="zh-CN"/>
        </w:rPr>
        <w:t xml:space="preserve"> </w:t>
      </w:r>
      <w:r>
        <w:rPr>
          <w:rFonts w:hAnsi="Times New Roman" w:cs="Times New Roman"/>
          <w:szCs w:val="21"/>
          <w:highlight w:val="none"/>
          <w:u w:val="single"/>
        </w:rPr>
        <w:t xml:space="preserve"> </w:t>
      </w:r>
      <w:r>
        <w:rPr>
          <w:rFonts w:hAnsi="Times New Roman" w:cs="Times New Roman"/>
          <w:szCs w:val="21"/>
          <w:highlight w:val="none"/>
        </w:rPr>
        <w:t>年；</w:t>
      </w:r>
    </w:p>
    <w:p>
      <w:pPr>
        <w:spacing w:line="420" w:lineRule="exact"/>
        <w:ind w:firstLine="480" w:firstLineChars="200"/>
        <w:rPr>
          <w:rFonts w:hint="default" w:hAnsi="Times New Roman" w:cs="Times New Roman"/>
          <w:szCs w:val="21"/>
          <w:highlight w:val="none"/>
          <w:lang w:val="en-US" w:eastAsia="zh-CN"/>
        </w:rPr>
      </w:pPr>
      <w:r>
        <w:rPr>
          <w:rFonts w:hAnsi="Times New Roman" w:cs="Times New Roman"/>
          <w:szCs w:val="21"/>
          <w:highlight w:val="none"/>
        </w:rPr>
        <w:t>7．其他项目保修期限约定如下：</w:t>
      </w:r>
      <w:r>
        <w:rPr>
          <w:rFonts w:hAnsi="Times New Roman" w:cs="Times New Roman"/>
          <w:szCs w:val="21"/>
          <w:highlight w:val="none"/>
          <w:u w:val="single"/>
        </w:rPr>
        <w:t xml:space="preserve"> </w:t>
      </w:r>
      <w:r>
        <w:rPr>
          <w:rFonts w:hint="eastAsia" w:hAnsi="Times New Roman" w:cs="Times New Roman"/>
          <w:szCs w:val="21"/>
          <w:highlight w:val="none"/>
          <w:u w:val="single"/>
          <w:lang w:val="en-US" w:eastAsia="zh-CN"/>
        </w:rPr>
        <w:t xml:space="preserve">                        </w:t>
      </w:r>
    </w:p>
    <w:p>
      <w:pPr>
        <w:spacing w:line="420" w:lineRule="exact"/>
        <w:ind w:firstLine="480" w:firstLineChars="200"/>
        <w:rPr>
          <w:rFonts w:hint="eastAsia" w:hAnsi="Times New Roman" w:cs="Times New Roman"/>
          <w:szCs w:val="21"/>
          <w:highlight w:val="none"/>
        </w:rPr>
      </w:pPr>
      <w:r>
        <w:rPr>
          <w:rFonts w:hint="eastAsia" w:hAnsi="Times New Roman" w:cs="Times New Roman"/>
          <w:szCs w:val="21"/>
          <w:highlight w:val="none"/>
        </w:rPr>
        <w:t>质量保修期自工程竣工验收合格之日起计算。</w:t>
      </w:r>
    </w:p>
    <w:p>
      <w:pPr>
        <w:widowControl/>
        <w:spacing w:line="360" w:lineRule="auto"/>
        <w:ind w:firstLine="482" w:firstLineChars="200"/>
        <w:rPr>
          <w:rFonts w:hint="eastAsia" w:hAnsi="Times New Roman" w:cs="Times New Roman"/>
          <w:b/>
          <w:szCs w:val="21"/>
          <w:highlight w:val="none"/>
        </w:rPr>
      </w:pPr>
      <w:r>
        <w:rPr>
          <w:rFonts w:hint="eastAsia" w:hAnsi="Times New Roman" w:cs="Times New Roman"/>
          <w:b/>
          <w:szCs w:val="21"/>
          <w:highlight w:val="none"/>
        </w:rPr>
        <w:t xml:space="preserve">三、质量保修责任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1、属于保修范围和内容的项目，承包人应在接到修理通知之日后7天内派人修理。承包人不在约定期限内派人修理，发包人可委托其他人员修理，保修费用从质量保证金内扣除。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2、发生须紧急抢修事故，承包人接到事故通知后，应立即到达事故现场抢修。</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4．质量保修完成后，由发包人组织验收。</w:t>
      </w:r>
    </w:p>
    <w:p>
      <w:pPr>
        <w:widowControl/>
        <w:spacing w:line="360" w:lineRule="auto"/>
        <w:ind w:firstLine="482" w:firstLineChars="200"/>
        <w:rPr>
          <w:rFonts w:hint="eastAsia" w:hAnsi="Times New Roman" w:cs="Times New Roman"/>
          <w:b/>
          <w:szCs w:val="21"/>
          <w:highlight w:val="none"/>
        </w:rPr>
      </w:pPr>
      <w:r>
        <w:rPr>
          <w:rFonts w:hint="eastAsia" w:hAnsi="Times New Roman" w:cs="Times New Roman"/>
          <w:b/>
          <w:szCs w:val="21"/>
          <w:highlight w:val="none"/>
        </w:rPr>
        <w:t>四、保修费用</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保修费用由造成质量缺陷的责任方承担。</w:t>
      </w:r>
    </w:p>
    <w:p>
      <w:pPr>
        <w:widowControl/>
        <w:spacing w:line="360" w:lineRule="auto"/>
        <w:ind w:firstLine="482" w:firstLineChars="200"/>
        <w:rPr>
          <w:rFonts w:hint="eastAsia" w:hAnsi="Times New Roman" w:cs="Times New Roman"/>
          <w:b/>
          <w:szCs w:val="21"/>
          <w:highlight w:val="none"/>
        </w:rPr>
      </w:pPr>
      <w:r>
        <w:rPr>
          <w:rFonts w:hint="eastAsia" w:hAnsi="Times New Roman" w:cs="Times New Roman"/>
          <w:b/>
          <w:szCs w:val="21"/>
          <w:highlight w:val="none"/>
        </w:rPr>
        <w:t xml:space="preserve">五、其他 </w:t>
      </w:r>
    </w:p>
    <w:p>
      <w:pPr>
        <w:widowControl/>
        <w:spacing w:line="360" w:lineRule="auto"/>
        <w:ind w:firstLine="480" w:firstLineChars="2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双方约定的其他工程质量保修事项：</w:t>
      </w:r>
      <w:r>
        <w:rPr>
          <w:rFonts w:hint="eastAsia" w:ascii="宋体" w:hAnsi="宋体" w:eastAsia="宋体" w:cs="宋体"/>
          <w:kern w:val="0"/>
          <w:sz w:val="24"/>
          <w:highlight w:val="none"/>
          <w:u w:val="single"/>
        </w:rPr>
        <w:t xml:space="preserve">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本工程质量保修作书为施工合同的附件，由施工合同发包人、承包人双方共同签订。</w:t>
      </w:r>
    </w:p>
    <w:p>
      <w:pPr>
        <w:spacing w:line="420" w:lineRule="exact"/>
        <w:ind w:firstLine="456" w:firstLineChars="190"/>
        <w:rPr>
          <w:rFonts w:ascii="宋体" w:hAnsi="宋体"/>
          <w:szCs w:val="21"/>
          <w:highlight w:val="none"/>
        </w:rPr>
      </w:pPr>
    </w:p>
    <w:p>
      <w:pPr>
        <w:spacing w:line="420" w:lineRule="exact"/>
        <w:ind w:firstLine="456" w:firstLineChars="190"/>
        <w:rPr>
          <w:rFonts w:ascii="宋体" w:hAnsi="宋体"/>
          <w:szCs w:val="21"/>
          <w:highlight w:val="none"/>
        </w:rPr>
      </w:pPr>
    </w:p>
    <w:p>
      <w:pPr>
        <w:spacing w:line="420" w:lineRule="exact"/>
        <w:ind w:firstLine="240" w:firstLineChars="100"/>
        <w:rPr>
          <w:rFonts w:ascii="宋体" w:hAnsi="宋体"/>
          <w:szCs w:val="21"/>
          <w:highlight w:val="none"/>
        </w:rPr>
      </w:pPr>
      <w:r>
        <w:rPr>
          <w:rFonts w:ascii="宋体" w:hAnsi="宋体"/>
          <w:szCs w:val="21"/>
          <w:highlight w:val="none"/>
        </w:rPr>
        <w:t>发包人(公章)：</w:t>
      </w:r>
      <w:r>
        <w:rPr>
          <w:rFonts w:ascii="宋体" w:hAnsi="宋体"/>
          <w:szCs w:val="21"/>
          <w:highlight w:val="none"/>
          <w:u w:val="single"/>
        </w:rPr>
        <w:t xml:space="preserve">        </w:t>
      </w:r>
      <w:r>
        <w:rPr>
          <w:rFonts w:ascii="宋体" w:hAnsi="宋体"/>
          <w:szCs w:val="21"/>
          <w:highlight w:val="none"/>
        </w:rPr>
        <w:t xml:space="preserve">           承包人(公章)：</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地  址：</w:t>
      </w:r>
      <w:r>
        <w:rPr>
          <w:rFonts w:ascii="宋体" w:hAnsi="宋体"/>
          <w:szCs w:val="21"/>
          <w:highlight w:val="none"/>
          <w:u w:val="single"/>
        </w:rPr>
        <w:t xml:space="preserve">      </w:t>
      </w:r>
      <w:r>
        <w:rPr>
          <w:rFonts w:hint="eastAsia" w:ascii="宋体" w:hAnsi="宋体"/>
          <w:szCs w:val="21"/>
          <w:highlight w:val="none"/>
        </w:rPr>
        <w:t xml:space="preserve">  </w:t>
      </w:r>
      <w:r>
        <w:rPr>
          <w:rFonts w:ascii="宋体" w:hAnsi="宋体"/>
          <w:szCs w:val="21"/>
          <w:highlight w:val="none"/>
        </w:rPr>
        <w:t xml:space="preserve">         地  址：</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代表人(签字)：</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法定代表人(签字)：</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委托代理人(签字)：</w:t>
      </w:r>
      <w:r>
        <w:rPr>
          <w:rFonts w:ascii="宋体" w:hAnsi="宋体"/>
          <w:szCs w:val="21"/>
          <w:highlight w:val="none"/>
          <w:u w:val="single"/>
        </w:rPr>
        <w:t xml:space="preserve">      </w:t>
      </w:r>
      <w:r>
        <w:rPr>
          <w:rFonts w:ascii="宋体" w:hAnsi="宋体"/>
          <w:szCs w:val="21"/>
          <w:highlight w:val="none"/>
        </w:rPr>
        <w:t xml:space="preserve">           委托代理人(签字)：</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电  话：</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w:t>
      </w:r>
    </w:p>
    <w:p>
      <w:pPr>
        <w:spacing w:line="420" w:lineRule="exact"/>
        <w:ind w:firstLine="240" w:firstLineChars="100"/>
        <w:rPr>
          <w:rFonts w:ascii="宋体" w:hAnsi="宋体"/>
          <w:szCs w:val="21"/>
          <w:highlight w:val="none"/>
        </w:rPr>
      </w:pPr>
      <w:r>
        <w:rPr>
          <w:rFonts w:ascii="宋体" w:hAnsi="宋体"/>
          <w:szCs w:val="21"/>
          <w:highlight w:val="none"/>
        </w:rPr>
        <w:t>传  真：</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传  真：</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420" w:lineRule="exact"/>
        <w:ind w:firstLine="240" w:firstLineChars="100"/>
        <w:rPr>
          <w:rFonts w:ascii="宋体" w:hAnsi="宋体"/>
          <w:szCs w:val="21"/>
          <w:highlight w:val="none"/>
          <w:u w:val="single"/>
        </w:rPr>
      </w:pPr>
      <w:r>
        <w:rPr>
          <w:rFonts w:ascii="宋体" w:hAnsi="宋体"/>
          <w:szCs w:val="21"/>
          <w:highlight w:val="none"/>
        </w:rPr>
        <w:t>开户银行：</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开户银行：</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账  号：</w:t>
      </w:r>
      <w:r>
        <w:rPr>
          <w:rFonts w:ascii="宋体" w:hAnsi="宋体"/>
          <w:szCs w:val="21"/>
          <w:highlight w:val="none"/>
          <w:u w:val="single"/>
        </w:rPr>
        <w:t xml:space="preserve">        </w:t>
      </w:r>
      <w:r>
        <w:rPr>
          <w:rFonts w:hint="eastAsia" w:ascii="宋体" w:hAnsi="宋体"/>
          <w:szCs w:val="21"/>
          <w:highlight w:val="none"/>
        </w:rPr>
        <w:t xml:space="preserve">  </w:t>
      </w:r>
      <w:r>
        <w:rPr>
          <w:rFonts w:ascii="宋体" w:hAnsi="宋体"/>
          <w:szCs w:val="21"/>
          <w:highlight w:val="none"/>
        </w:rPr>
        <w:t xml:space="preserve">         账</w:t>
      </w:r>
      <w:r>
        <w:rPr>
          <w:rFonts w:hint="eastAsia" w:ascii="宋体" w:hAnsi="宋体"/>
          <w:szCs w:val="21"/>
          <w:highlight w:val="none"/>
        </w:rPr>
        <w:t xml:space="preserve"> </w:t>
      </w:r>
      <w:r>
        <w:rPr>
          <w:rFonts w:ascii="宋体" w:hAnsi="宋体"/>
          <w:szCs w:val="21"/>
          <w:highlight w:val="none"/>
        </w:rPr>
        <w:t xml:space="preserve"> 号：</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邮政编码：</w:t>
      </w:r>
      <w:r>
        <w:rPr>
          <w:rFonts w:ascii="宋体" w:hAnsi="宋体"/>
          <w:szCs w:val="21"/>
          <w:highlight w:val="none"/>
          <w:u w:val="single"/>
        </w:rPr>
        <w:t xml:space="preserve">      </w:t>
      </w:r>
      <w:r>
        <w:rPr>
          <w:rFonts w:ascii="宋体" w:hAnsi="宋体"/>
          <w:szCs w:val="21"/>
          <w:highlight w:val="none"/>
        </w:rPr>
        <w:t xml:space="preserve">           邮政编码  </w:t>
      </w:r>
      <w:r>
        <w:rPr>
          <w:rFonts w:ascii="宋体" w:hAnsi="宋体"/>
          <w:szCs w:val="21"/>
          <w:highlight w:val="none"/>
          <w:u w:val="single"/>
        </w:rPr>
        <w:t xml:space="preserve">     </w:t>
      </w:r>
    </w:p>
    <w:p>
      <w:pPr>
        <w:jc w:val="center"/>
        <w:rPr>
          <w:rFonts w:hint="eastAsia" w:ascii="宋体" w:hAnsi="宋体"/>
          <w:b/>
          <w:szCs w:val="21"/>
          <w:highlight w:val="none"/>
        </w:rPr>
      </w:pPr>
    </w:p>
    <w:p>
      <w:pPr>
        <w:rPr>
          <w:rFonts w:hint="eastAsia" w:ascii="宋体" w:hAnsi="宋体"/>
          <w:b/>
          <w:szCs w:val="21"/>
          <w:highlight w:val="none"/>
        </w:rPr>
      </w:pPr>
    </w:p>
    <w:p>
      <w:pPr>
        <w:rPr>
          <w:rFonts w:hint="eastAsia" w:ascii="宋体" w:hAnsi="宋体"/>
          <w:szCs w:val="21"/>
          <w:highlight w:val="none"/>
        </w:rPr>
      </w:pPr>
    </w:p>
    <w:p>
      <w:pPr>
        <w:rPr>
          <w:rFonts w:hint="eastAsia" w:ascii="宋体" w:hAnsi="宋体"/>
          <w:b/>
          <w:szCs w:val="21"/>
          <w:highlight w:val="none"/>
        </w:rPr>
      </w:pPr>
    </w:p>
    <w:p>
      <w:pPr>
        <w:rPr>
          <w:rFonts w:hint="eastAsia" w:ascii="宋体" w:hAnsi="宋体"/>
          <w:b/>
          <w:sz w:val="28"/>
          <w:szCs w:val="28"/>
          <w:highlight w:val="none"/>
        </w:rPr>
      </w:pPr>
    </w:p>
    <w:p>
      <w:pPr>
        <w:rPr>
          <w:rFonts w:hint="eastAsia" w:ascii="宋体" w:hAnsi="宋体"/>
          <w:b/>
          <w:sz w:val="28"/>
          <w:szCs w:val="28"/>
          <w:highlight w:val="none"/>
        </w:rPr>
      </w:pPr>
    </w:p>
    <w:p>
      <w:pPr>
        <w:rPr>
          <w:rFonts w:hint="eastAsia" w:ascii="宋体" w:hAnsi="宋体"/>
          <w:b/>
          <w:sz w:val="28"/>
          <w:szCs w:val="28"/>
          <w:highlight w:val="none"/>
        </w:rPr>
      </w:pPr>
    </w:p>
    <w:p>
      <w:pPr>
        <w:widowControl/>
        <w:spacing w:line="360" w:lineRule="auto"/>
        <w:rPr>
          <w:b/>
          <w:szCs w:val="21"/>
          <w:highlight w:val="none"/>
        </w:rPr>
      </w:pPr>
      <w:r>
        <w:rPr>
          <w:rFonts w:hint="eastAsia" w:ascii="宋体" w:hAnsi="宋体"/>
          <w:b/>
          <w:sz w:val="28"/>
          <w:szCs w:val="28"/>
          <w:highlight w:val="none"/>
        </w:rPr>
        <w:br w:type="page"/>
      </w:r>
    </w:p>
    <w:p>
      <w:pPr>
        <w:rPr>
          <w:rFonts w:hint="eastAsia" w:ascii="宋体" w:hAnsi="宋体"/>
          <w:b/>
          <w:sz w:val="28"/>
          <w:szCs w:val="28"/>
          <w:highlight w:val="none"/>
        </w:rPr>
      </w:pPr>
      <w:r>
        <w:rPr>
          <w:rFonts w:hint="eastAsia" w:ascii="宋体" w:hAnsi="宋体"/>
          <w:b/>
          <w:sz w:val="28"/>
          <w:szCs w:val="28"/>
          <w:highlight w:val="none"/>
        </w:rPr>
        <w:t>附件</w:t>
      </w:r>
      <w:r>
        <w:rPr>
          <w:rFonts w:hint="eastAsia" w:ascii="宋体" w:hAnsi="宋体"/>
          <w:b/>
          <w:sz w:val="28"/>
          <w:szCs w:val="28"/>
          <w:highlight w:val="none"/>
          <w:lang w:val="en-US" w:eastAsia="zh-CN"/>
        </w:rPr>
        <w:t>2</w:t>
      </w:r>
      <w:r>
        <w:rPr>
          <w:rFonts w:hint="eastAsia" w:ascii="宋体" w:hAnsi="宋体"/>
          <w:b/>
          <w:sz w:val="28"/>
          <w:szCs w:val="28"/>
          <w:highlight w:val="none"/>
        </w:rPr>
        <w:t>：</w:t>
      </w:r>
    </w:p>
    <w:p>
      <w:pPr>
        <w:snapToGrid w:val="0"/>
        <w:spacing w:line="380" w:lineRule="exact"/>
        <w:jc w:val="center"/>
        <w:rPr>
          <w:rFonts w:hint="eastAsia" w:ascii="宋体" w:hAnsi="宋体" w:cs="宋体"/>
          <w:b/>
          <w:sz w:val="28"/>
          <w:szCs w:val="28"/>
          <w:highlight w:val="none"/>
        </w:rPr>
      </w:pPr>
      <w:r>
        <w:rPr>
          <w:rFonts w:hint="eastAsia" w:ascii="宋体" w:hAnsi="宋体" w:cs="宋体"/>
          <w:b/>
          <w:sz w:val="28"/>
          <w:szCs w:val="28"/>
          <w:highlight w:val="none"/>
        </w:rPr>
        <w:t>工程项目廉政合同</w:t>
      </w:r>
    </w:p>
    <w:p>
      <w:pPr>
        <w:pStyle w:val="21"/>
        <w:ind w:left="1313" w:hanging="893"/>
        <w:rPr>
          <w:rFonts w:hint="eastAsia"/>
          <w:sz w:val="24"/>
          <w:szCs w:val="24"/>
          <w:highlight w:val="none"/>
        </w:rPr>
      </w:pPr>
    </w:p>
    <w:p>
      <w:pPr>
        <w:autoSpaceDE w:val="0"/>
        <w:autoSpaceDN w:val="0"/>
        <w:adjustRightInd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为加强工程项目建设中的廉政建设，预防腐败现象的发生，规范工程项目承包、发包及监理等单位的各项活动，防止发生各种谋取不正当利益的违法违纪行为，保护国家、集体和当事人的合法权益，根据《反不正当竞争法》、《建筑法》、《招标投标法》等法律法规和廉政建设有关规定</w:t>
      </w:r>
    </w:p>
    <w:p>
      <w:pPr>
        <w:autoSpaceDE w:val="0"/>
        <w:autoSpaceDN w:val="0"/>
        <w:adjustRightInd w:val="0"/>
        <w:spacing w:line="360" w:lineRule="auto"/>
        <w:ind w:firstLine="480" w:firstLineChars="200"/>
        <w:jc w:val="left"/>
        <w:rPr>
          <w:rFonts w:hint="eastAsia" w:ascii="宋体" w:hAnsi="宋体"/>
          <w:sz w:val="24"/>
          <w:szCs w:val="24"/>
          <w:highlight w:val="none"/>
          <w:u w:val="single"/>
        </w:rPr>
      </w:pP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（以下简称“甲方”）与</w:t>
      </w:r>
      <w:r>
        <w:rPr>
          <w:rFonts w:hint="eastAsia" w:ascii="宋体" w:hAnsi="宋体"/>
          <w:sz w:val="24"/>
          <w:szCs w:val="24"/>
          <w:highlight w:val="none"/>
          <w:u w:val="single"/>
        </w:rPr>
        <w:t xml:space="preserve">               </w:t>
      </w:r>
      <w:r>
        <w:rPr>
          <w:rFonts w:hint="eastAsia" w:ascii="宋体" w:hAnsi="宋体"/>
          <w:sz w:val="24"/>
          <w:szCs w:val="24"/>
          <w:highlight w:val="none"/>
        </w:rPr>
        <w:t>（以下简称“乙方”），特订立本廉政合同。</w:t>
      </w:r>
    </w:p>
    <w:p>
      <w:pPr>
        <w:spacing w:line="360" w:lineRule="auto"/>
        <w:ind w:firstLine="480" w:firstLineChars="200"/>
        <w:jc w:val="left"/>
        <w:outlineLvl w:val="9"/>
        <w:rPr>
          <w:rFonts w:hint="eastAsia" w:ascii="宋体" w:hAnsi="宋体"/>
          <w:sz w:val="24"/>
          <w:szCs w:val="24"/>
          <w:highlight w:val="none"/>
        </w:rPr>
      </w:pPr>
      <w:bookmarkStart w:id="61" w:name="_Toc913"/>
      <w:bookmarkStart w:id="62" w:name="_Toc11887"/>
      <w:bookmarkStart w:id="63" w:name="_Toc17019"/>
      <w:bookmarkStart w:id="64" w:name="_Toc16977"/>
      <w:bookmarkStart w:id="65" w:name="_Toc415486315"/>
      <w:bookmarkStart w:id="66" w:name="_Toc22123"/>
      <w:bookmarkStart w:id="67" w:name="_Toc13238"/>
      <w:bookmarkStart w:id="68" w:name="_Toc1436"/>
      <w:bookmarkStart w:id="69" w:name="_Toc28072"/>
      <w:bookmarkStart w:id="70" w:name="_Toc30261"/>
      <w:bookmarkStart w:id="71" w:name="_Toc18752"/>
      <w:bookmarkStart w:id="72" w:name="_Toc422385744"/>
      <w:bookmarkStart w:id="73" w:name="_Toc14453"/>
      <w:bookmarkStart w:id="74" w:name="_Toc413154068"/>
      <w:r>
        <w:rPr>
          <w:rFonts w:hint="eastAsia" w:ascii="宋体" w:hAnsi="宋体"/>
          <w:sz w:val="24"/>
          <w:szCs w:val="24"/>
          <w:highlight w:val="none"/>
        </w:rPr>
        <w:t>第一条  甲乙双方的权利和义务</w:t>
      </w:r>
      <w:bookmarkEnd w:id="61"/>
      <w:bookmarkEnd w:id="62"/>
      <w:bookmarkEnd w:id="63"/>
      <w:bookmarkEnd w:id="64"/>
      <w:bookmarkEnd w:id="65"/>
      <w:bookmarkEnd w:id="66"/>
      <w:bookmarkEnd w:id="67"/>
      <w:bookmarkEnd w:id="68"/>
      <w:bookmarkEnd w:id="69"/>
      <w:bookmarkEnd w:id="70"/>
      <w:bookmarkEnd w:id="71"/>
      <w:bookmarkEnd w:id="72"/>
      <w:bookmarkEnd w:id="73"/>
      <w:bookmarkEnd w:id="74"/>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双方同意并声明，在业务活动中：</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（一）严格遵守国家关于市场准入、勘测设计、施工监理、招标投标、工程施工、设备安装和市场经营活动等有关法律法规及相关政策，以及廉政建设的各项规定；</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（二）严格执行本项目甲乙双方签订的施工合同文件，自觉按合同办事；</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（四）建立健全廉政制度，开展廉政教育，设立廉政公示牌，公布举报电话。积极开展相互监督，发现对方在业务活动中有违反本合同行为的，有及时提醒对方纠正或向有关部门举报的权利和义务。</w:t>
      </w:r>
    </w:p>
    <w:p>
      <w:pPr>
        <w:spacing w:line="360" w:lineRule="auto"/>
        <w:ind w:firstLine="480" w:firstLineChars="200"/>
        <w:jc w:val="left"/>
        <w:outlineLvl w:val="9"/>
        <w:rPr>
          <w:rFonts w:hint="eastAsia" w:ascii="宋体" w:hAnsi="宋体"/>
          <w:sz w:val="24"/>
          <w:szCs w:val="24"/>
          <w:highlight w:val="none"/>
        </w:rPr>
      </w:pPr>
      <w:bookmarkStart w:id="75" w:name="_Toc413154069"/>
      <w:bookmarkStart w:id="76" w:name="_Toc21231"/>
      <w:bookmarkStart w:id="77" w:name="_Toc141"/>
      <w:bookmarkStart w:id="78" w:name="_Toc8341"/>
      <w:bookmarkStart w:id="79" w:name="_Toc7152"/>
      <w:bookmarkStart w:id="80" w:name="_Toc25417"/>
      <w:bookmarkStart w:id="81" w:name="_Toc18373"/>
      <w:bookmarkStart w:id="82" w:name="_Toc2524"/>
      <w:bookmarkStart w:id="83" w:name="_Toc2478"/>
      <w:bookmarkStart w:id="84" w:name="_Toc12370"/>
      <w:bookmarkStart w:id="85" w:name="_Toc415486316"/>
      <w:bookmarkStart w:id="86" w:name="_Toc422385745"/>
      <w:bookmarkStart w:id="87" w:name="_Toc24150"/>
      <w:bookmarkStart w:id="88" w:name="_Toc32555"/>
      <w:r>
        <w:rPr>
          <w:rFonts w:hint="eastAsia" w:ascii="宋体" w:hAnsi="宋体"/>
          <w:sz w:val="24"/>
          <w:szCs w:val="24"/>
          <w:highlight w:val="none"/>
        </w:rPr>
        <w:t>第二条  甲方的责任</w:t>
      </w:r>
      <w:bookmarkEnd w:id="75"/>
      <w:bookmarkEnd w:id="76"/>
      <w:bookmarkEnd w:id="77"/>
      <w:bookmarkEnd w:id="78"/>
      <w:bookmarkEnd w:id="79"/>
      <w:bookmarkEnd w:id="80"/>
      <w:bookmarkEnd w:id="81"/>
      <w:bookmarkEnd w:id="82"/>
      <w:bookmarkEnd w:id="83"/>
      <w:bookmarkEnd w:id="84"/>
      <w:bookmarkEnd w:id="85"/>
      <w:bookmarkEnd w:id="86"/>
      <w:bookmarkEnd w:id="87"/>
      <w:bookmarkEnd w:id="88"/>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甲方的领导和从事该工程项目的工作人员，在工程项目的事前、事中、事后应遵守以下规定：</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（一）禁止向乙方索要、接受回扣、礼金、有价证券、贵重物品和好处费、感谢费或在乙方报销任何应由甲方（个人）支付的费用；</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（二）禁止参加乙方安排的宴请和健身、娱乐等活动或接受乙方提供的通讯工具、交通工具和高档办公用品等；</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（三）禁止要求、暗示和接受乙方为个人装修住房、婚丧嫁娶、配偶子女的工作安排以及出国（境）、旅游等提供方便；</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（四）禁止允许、纵容配偶、子女从事与乙方承包本工程有关的设备材料供应、工程分包、劳务等经济活动，并为其提供便利条件；</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（五）禁止以任何理由向乙方推荐分包单位和设备、材料供应商，不得要求乙方购买项目合同规定外的材料、设备和服务等；</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（六）不得为获取乙方回扣或其他谋取私利而多签或多算工程量、多结工程款；不得从乙方承包的工程中收受回扣，谋取私利；</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(七)不得因乙方拒绝本人的不合理要求，而故意刁难乙方；</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(八)其它有关违反廉政规定的行为。</w:t>
      </w:r>
    </w:p>
    <w:p>
      <w:pPr>
        <w:spacing w:line="360" w:lineRule="auto"/>
        <w:ind w:firstLine="480" w:firstLineChars="200"/>
        <w:jc w:val="left"/>
        <w:outlineLvl w:val="9"/>
        <w:rPr>
          <w:rFonts w:hint="eastAsia" w:ascii="宋体" w:hAnsi="宋体"/>
          <w:sz w:val="24"/>
          <w:szCs w:val="24"/>
          <w:highlight w:val="none"/>
        </w:rPr>
      </w:pPr>
      <w:bookmarkStart w:id="89" w:name="_Toc3887"/>
      <w:bookmarkStart w:id="90" w:name="_Toc23197"/>
      <w:bookmarkStart w:id="91" w:name="_Toc7038"/>
      <w:bookmarkStart w:id="92" w:name="_Toc2684"/>
      <w:bookmarkStart w:id="93" w:name="_Toc7583"/>
      <w:bookmarkStart w:id="94" w:name="_Toc413154070"/>
      <w:bookmarkStart w:id="95" w:name="_Toc422385746"/>
      <w:bookmarkStart w:id="96" w:name="_Toc6206"/>
      <w:bookmarkStart w:id="97" w:name="_Toc31918"/>
      <w:bookmarkStart w:id="98" w:name="_Toc415486317"/>
      <w:bookmarkStart w:id="99" w:name="_Toc32519"/>
      <w:bookmarkStart w:id="100" w:name="_Toc32412"/>
      <w:bookmarkStart w:id="101" w:name="_Toc12744"/>
      <w:bookmarkStart w:id="102" w:name="_Toc28178"/>
      <w:r>
        <w:rPr>
          <w:rFonts w:hint="eastAsia" w:ascii="宋体" w:hAnsi="宋体"/>
          <w:sz w:val="24"/>
          <w:szCs w:val="24"/>
          <w:highlight w:val="none"/>
        </w:rPr>
        <w:t>第三条  乙方的责任</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乙方应与甲方保持正常的业务交往，按照有关法律法规和程序开展业务工作，严格执行工程建设的有关方针、政策，尤其是有关强制性标准和规范，并遵守以下规定：</w:t>
      </w:r>
    </w:p>
    <w:p>
      <w:pPr>
        <w:spacing w:line="360" w:lineRule="auto"/>
        <w:ind w:firstLine="480" w:firstLineChars="200"/>
        <w:jc w:val="left"/>
        <w:outlineLvl w:val="9"/>
        <w:rPr>
          <w:rFonts w:hint="eastAsia" w:ascii="宋体" w:hAnsi="宋体"/>
          <w:sz w:val="24"/>
          <w:szCs w:val="24"/>
          <w:highlight w:val="none"/>
        </w:rPr>
      </w:pPr>
      <w:bookmarkStart w:id="103" w:name="_Toc422385747"/>
      <w:bookmarkStart w:id="104" w:name="_Toc30492"/>
      <w:bookmarkStart w:id="105" w:name="_Toc31442"/>
      <w:bookmarkStart w:id="106" w:name="_Toc25572"/>
      <w:bookmarkStart w:id="107" w:name="_Toc8553"/>
      <w:bookmarkStart w:id="108" w:name="_Toc413154071"/>
      <w:bookmarkStart w:id="109" w:name="_Toc25626"/>
      <w:bookmarkStart w:id="110" w:name="_Toc415486318"/>
      <w:bookmarkStart w:id="111" w:name="_Toc31008"/>
      <w:bookmarkStart w:id="112" w:name="_Toc17968"/>
      <w:bookmarkStart w:id="113" w:name="_Toc13064"/>
      <w:bookmarkStart w:id="114" w:name="_Toc7562"/>
      <w:bookmarkStart w:id="115" w:name="_Toc5847"/>
      <w:bookmarkStart w:id="116" w:name="_Toc593"/>
      <w:bookmarkStart w:id="117" w:name="_Toc8905"/>
      <w:r>
        <w:rPr>
          <w:rFonts w:hint="eastAsia" w:ascii="宋体" w:hAnsi="宋体"/>
          <w:sz w:val="24"/>
          <w:szCs w:val="24"/>
          <w:highlight w:val="none"/>
        </w:rPr>
        <w:t>（一）不准以任何理由、任何形式向甲方、监理单位及其工作人员行贿或馈赠礼金、有价证券、贵重物品等；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360" w:lineRule="auto"/>
        <w:ind w:firstLine="480" w:firstLineChars="200"/>
        <w:jc w:val="left"/>
        <w:outlineLvl w:val="9"/>
        <w:rPr>
          <w:rFonts w:hint="eastAsia" w:ascii="宋体" w:hAnsi="宋体"/>
          <w:sz w:val="24"/>
          <w:szCs w:val="24"/>
          <w:highlight w:val="none"/>
        </w:rPr>
      </w:pPr>
      <w:bookmarkStart w:id="118" w:name="_Toc7351"/>
      <w:bookmarkStart w:id="119" w:name="_Toc20043"/>
      <w:bookmarkStart w:id="120" w:name="_Toc510"/>
      <w:bookmarkStart w:id="121" w:name="_Toc9694"/>
      <w:bookmarkStart w:id="122" w:name="_Toc48"/>
      <w:bookmarkStart w:id="123" w:name="_Toc22664"/>
      <w:bookmarkStart w:id="124" w:name="_Toc22886"/>
      <w:bookmarkStart w:id="125" w:name="_Toc22905"/>
      <w:bookmarkStart w:id="126" w:name="_Toc422385748"/>
      <w:bookmarkStart w:id="127" w:name="_Toc3813"/>
      <w:bookmarkStart w:id="128" w:name="_Toc413154072"/>
      <w:bookmarkStart w:id="129" w:name="_Toc21027"/>
      <w:bookmarkStart w:id="130" w:name="_Toc8995"/>
      <w:bookmarkStart w:id="131" w:name="_Toc415486319"/>
      <w:bookmarkStart w:id="132" w:name="_Toc25010"/>
      <w:r>
        <w:rPr>
          <w:rFonts w:hint="eastAsia" w:ascii="宋体" w:hAnsi="宋体"/>
          <w:sz w:val="24"/>
          <w:szCs w:val="24"/>
          <w:highlight w:val="none"/>
        </w:rPr>
        <w:t>（二）不准以任何名义为甲方、监理单位及其工作人员报销应由对方或个人支付的费用；</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360" w:lineRule="auto"/>
        <w:ind w:firstLine="480" w:firstLineChars="200"/>
        <w:jc w:val="left"/>
        <w:outlineLvl w:val="9"/>
        <w:rPr>
          <w:rFonts w:hint="eastAsia" w:ascii="宋体" w:hAnsi="宋体"/>
          <w:sz w:val="24"/>
          <w:szCs w:val="24"/>
          <w:highlight w:val="none"/>
        </w:rPr>
      </w:pPr>
      <w:bookmarkStart w:id="133" w:name="_Toc25972"/>
      <w:bookmarkStart w:id="134" w:name="_Toc18761"/>
      <w:bookmarkStart w:id="135" w:name="_Toc9592"/>
      <w:bookmarkStart w:id="136" w:name="_Toc415486320"/>
      <w:bookmarkStart w:id="137" w:name="_Toc413154073"/>
      <w:bookmarkStart w:id="138" w:name="_Toc13487"/>
      <w:bookmarkStart w:id="139" w:name="_Toc11157"/>
      <w:bookmarkStart w:id="140" w:name="_Toc32349"/>
      <w:bookmarkStart w:id="141" w:name="_Toc6840"/>
      <w:bookmarkStart w:id="142" w:name="_Toc9580"/>
      <w:bookmarkStart w:id="143" w:name="_Toc5542"/>
      <w:bookmarkStart w:id="144" w:name="_Toc422385749"/>
      <w:bookmarkStart w:id="145" w:name="_Toc20669"/>
      <w:bookmarkStart w:id="146" w:name="_Toc23130"/>
      <w:bookmarkStart w:id="147" w:name="_Toc16297"/>
      <w:r>
        <w:rPr>
          <w:rFonts w:hint="eastAsia" w:ascii="宋体" w:hAnsi="宋体"/>
          <w:sz w:val="24"/>
          <w:szCs w:val="24"/>
          <w:highlight w:val="none"/>
        </w:rPr>
        <w:t>（三）不准以任何理由为甲方、监理单位和其他相关单位及其工作人员提供有可能影响执行公务的宴请及健身、娱乐和旅游等活动；</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spacing w:line="360" w:lineRule="auto"/>
        <w:ind w:firstLine="480" w:firstLineChars="200"/>
        <w:jc w:val="left"/>
        <w:outlineLvl w:val="9"/>
        <w:rPr>
          <w:rFonts w:hint="eastAsia" w:ascii="宋体" w:hAnsi="宋体"/>
          <w:sz w:val="24"/>
          <w:szCs w:val="24"/>
          <w:highlight w:val="none"/>
        </w:rPr>
      </w:pPr>
      <w:bookmarkStart w:id="148" w:name="_Toc9394"/>
      <w:bookmarkStart w:id="149" w:name="_Toc2249"/>
      <w:bookmarkStart w:id="150" w:name="_Toc29314"/>
      <w:bookmarkStart w:id="151" w:name="_Toc32282"/>
      <w:bookmarkStart w:id="152" w:name="_Toc30162"/>
      <w:bookmarkStart w:id="153" w:name="_Toc413154074"/>
      <w:bookmarkStart w:id="154" w:name="_Toc415486321"/>
      <w:bookmarkStart w:id="155" w:name="_Toc17480"/>
      <w:bookmarkStart w:id="156" w:name="_Toc5954"/>
      <w:bookmarkStart w:id="157" w:name="_Toc3652"/>
      <w:bookmarkStart w:id="158" w:name="_Toc422385750"/>
      <w:bookmarkStart w:id="159" w:name="_Toc30132"/>
      <w:bookmarkStart w:id="160" w:name="_Toc23772"/>
      <w:bookmarkStart w:id="161" w:name="_Toc20572"/>
      <w:bookmarkStart w:id="162" w:name="_Toc24555"/>
      <w:r>
        <w:rPr>
          <w:rFonts w:hint="eastAsia" w:ascii="宋体" w:hAnsi="宋体"/>
          <w:sz w:val="24"/>
          <w:szCs w:val="24"/>
          <w:highlight w:val="none"/>
        </w:rPr>
        <w:t>（四）不准为甲方和监理单位及其工作人员购置或提供通讯工具、交通工具和高档办公用品和装修住房等；</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(五)不准接受或暗示为甲方、监理单位和其它相关单位及其工作人员装修房屋、婚丧嫁娶、配偶子女的工作安排以及出国（境）、旅游观光活动提供方便；</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(六)不准利用黄、赌、贿等各种手段拉拢腐蚀甲方工作人员；</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(七)其它有关违反廉政规定的行为。</w:t>
      </w:r>
    </w:p>
    <w:p>
      <w:pPr>
        <w:spacing w:line="360" w:lineRule="auto"/>
        <w:ind w:firstLine="480" w:firstLineChars="200"/>
        <w:jc w:val="left"/>
        <w:outlineLvl w:val="9"/>
        <w:rPr>
          <w:rFonts w:hint="eastAsia" w:ascii="宋体" w:hAnsi="宋体"/>
          <w:sz w:val="24"/>
          <w:szCs w:val="24"/>
          <w:highlight w:val="none"/>
        </w:rPr>
      </w:pPr>
      <w:bookmarkStart w:id="163" w:name="_Toc30789"/>
      <w:bookmarkStart w:id="164" w:name="_Toc30061"/>
      <w:bookmarkStart w:id="165" w:name="_Toc413154075"/>
      <w:bookmarkStart w:id="166" w:name="_Toc415486322"/>
      <w:bookmarkStart w:id="167" w:name="_Toc5945"/>
      <w:bookmarkStart w:id="168" w:name="_Toc19167"/>
      <w:bookmarkStart w:id="169" w:name="_Toc12408"/>
      <w:bookmarkStart w:id="170" w:name="_Toc18902"/>
      <w:bookmarkStart w:id="171" w:name="_Toc21238"/>
      <w:bookmarkStart w:id="172" w:name="_Toc17403"/>
      <w:bookmarkStart w:id="173" w:name="_Toc31896"/>
      <w:bookmarkStart w:id="174" w:name="_Toc24845"/>
      <w:bookmarkStart w:id="175" w:name="_Toc422385751"/>
      <w:bookmarkStart w:id="176" w:name="_Toc955"/>
      <w:r>
        <w:rPr>
          <w:rFonts w:hint="eastAsia" w:ascii="宋体" w:hAnsi="宋体"/>
          <w:sz w:val="24"/>
          <w:szCs w:val="24"/>
          <w:highlight w:val="none"/>
        </w:rPr>
        <w:t>第四条  违约责任</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（一）甲方工作人员违反本合同第一、第二条责任行为的，按照管理权限，依据有关法律法规和规定给予党纪政纪处分或组织处理；涉嫌犯罪的，移交司法机关追究刑事责任；</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（二）乙方工作人员违反本合同第一、第三条责任行为的，</w:t>
      </w:r>
      <w:r>
        <w:rPr>
          <w:rFonts w:hint="eastAsia" w:ascii="宋体" w:hAnsi="宋体"/>
          <w:kern w:val="0"/>
          <w:sz w:val="24"/>
          <w:szCs w:val="24"/>
          <w:highlight w:val="none"/>
          <w:lang w:val="zh-CN"/>
        </w:rPr>
        <w:t>有关行政主管部门有权中止工程项目建设合同</w:t>
      </w:r>
      <w:r>
        <w:rPr>
          <w:rFonts w:hint="eastAsia" w:ascii="宋体" w:hAnsi="宋体"/>
          <w:sz w:val="24"/>
          <w:szCs w:val="24"/>
          <w:highlight w:val="none"/>
        </w:rPr>
        <w:t>；涉嫌犯罪的，移交司法机关追究刑事责任；情节严重的，限制乙方不得进入辖区建设市场并在新闻媒体曝光；</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（三）乙方如将部分辅助项目分包的，有责任向承包方交待本合同的具体内容，并要求其严格执行本合同规定；</w:t>
      </w:r>
    </w:p>
    <w:p>
      <w:pPr>
        <w:tabs>
          <w:tab w:val="left" w:pos="158"/>
        </w:tabs>
        <w:autoSpaceDE w:val="0"/>
        <w:autoSpaceDN w:val="0"/>
        <w:adjustRightInd w:val="0"/>
        <w:spacing w:line="360" w:lineRule="auto"/>
        <w:ind w:firstLine="480" w:firstLineChars="200"/>
        <w:jc w:val="left"/>
        <w:rPr>
          <w:rFonts w:hint="eastAsia" w:ascii="宋体" w:hAnsi="宋体"/>
          <w:kern w:val="0"/>
          <w:sz w:val="24"/>
          <w:szCs w:val="24"/>
          <w:highlight w:val="none"/>
          <w:lang w:val="zh-CN"/>
        </w:rPr>
      </w:pPr>
      <w:r>
        <w:rPr>
          <w:rFonts w:hint="eastAsia" w:ascii="宋体" w:hAnsi="宋体"/>
          <w:kern w:val="0"/>
          <w:sz w:val="24"/>
          <w:szCs w:val="24"/>
          <w:highlight w:val="none"/>
        </w:rPr>
        <w:t>（</w:t>
      </w:r>
      <w:r>
        <w:rPr>
          <w:rFonts w:hint="eastAsia" w:ascii="宋体" w:hAnsi="宋体"/>
          <w:kern w:val="0"/>
          <w:sz w:val="24"/>
          <w:szCs w:val="24"/>
          <w:highlight w:val="none"/>
          <w:lang w:val="zh-CN"/>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pPr>
        <w:autoSpaceDE w:val="0"/>
        <w:autoSpaceDN w:val="0"/>
        <w:adjustRightInd w:val="0"/>
        <w:spacing w:line="360" w:lineRule="auto"/>
        <w:ind w:firstLine="480" w:firstLineChars="200"/>
        <w:rPr>
          <w:rFonts w:hint="eastAsia" w:ascii="宋体" w:hAnsi="宋体"/>
          <w:kern w:val="0"/>
          <w:sz w:val="24"/>
          <w:szCs w:val="24"/>
          <w:highlight w:val="none"/>
          <w:lang w:val="zh-CN"/>
        </w:rPr>
      </w:pPr>
      <w:r>
        <w:rPr>
          <w:rFonts w:hint="eastAsia" w:ascii="宋体" w:hAnsi="宋体"/>
          <w:kern w:val="0"/>
          <w:sz w:val="24"/>
          <w:szCs w:val="24"/>
          <w:highlight w:val="none"/>
          <w:lang w:val="zh-CN"/>
        </w:rPr>
        <w:t>（五）甲乙双方人员赠送、贿赂、接受或索要钱物的行为，如果一方发生，另一方当事人应立即主动报告本单位领导，或向纪委、监察局等有关部门举报。</w:t>
      </w:r>
    </w:p>
    <w:p>
      <w:pPr>
        <w:tabs>
          <w:tab w:val="left" w:pos="628"/>
        </w:tabs>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第五条  本合同作为工程合同的附件，与工程施工合同具有同等法律效力，甲乙双方签署后立即生效。</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第六条  本合同的有效期为双方签署之日起至该工程项目竣工验收合格、工程资金结清时止。</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第七条  本合同正本贰份。甲乙方各执正（副）本陆份，其中甲方应在其纪检监察部门报备本合同副本一份。</w:t>
      </w:r>
    </w:p>
    <w:p>
      <w:pPr>
        <w:spacing w:line="360" w:lineRule="auto"/>
        <w:ind w:firstLine="720" w:firstLineChars="300"/>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 xml:space="preserve">甲方单位：（盖章）                  乙方单位：（盖章）   </w:t>
      </w:r>
    </w:p>
    <w:p>
      <w:pPr>
        <w:spacing w:line="360" w:lineRule="auto"/>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法定代表人（委托代理人）：          法定代表人（委托代理人）：</w:t>
      </w:r>
    </w:p>
    <w:p>
      <w:pPr>
        <w:spacing w:line="360" w:lineRule="auto"/>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地址：                             地址：</w:t>
      </w:r>
    </w:p>
    <w:p>
      <w:pPr>
        <w:spacing w:line="360" w:lineRule="auto"/>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电话：                             电话：</w:t>
      </w:r>
    </w:p>
    <w:p>
      <w:pPr>
        <w:spacing w:line="360" w:lineRule="auto"/>
        <w:ind w:firstLine="360" w:firstLineChars="150"/>
        <w:jc w:val="left"/>
        <w:rPr>
          <w:rFonts w:hint="eastAsia" w:ascii="宋体" w:hAnsi="宋体"/>
          <w:sz w:val="24"/>
          <w:szCs w:val="24"/>
          <w:highlight w:val="none"/>
        </w:rPr>
      </w:pPr>
    </w:p>
    <w:p>
      <w:pPr>
        <w:spacing w:line="360" w:lineRule="auto"/>
        <w:ind w:firstLine="720" w:firstLineChars="300"/>
        <w:jc w:val="left"/>
        <w:rPr>
          <w:rFonts w:hint="eastAsia" w:ascii="宋体" w:hAnsi="宋体"/>
          <w:b/>
          <w:sz w:val="24"/>
          <w:szCs w:val="24"/>
          <w:highlight w:val="none"/>
        </w:rPr>
      </w:pPr>
      <w:r>
        <w:rPr>
          <w:rFonts w:hint="eastAsia" w:ascii="宋体" w:hAnsi="宋体"/>
          <w:sz w:val="24"/>
          <w:szCs w:val="24"/>
          <w:highlight w:val="none"/>
        </w:rPr>
        <w:t>年   月   日                       年   月   日</w:t>
      </w:r>
    </w:p>
    <w:p>
      <w:pPr>
        <w:spacing w:line="360" w:lineRule="auto"/>
        <w:rPr>
          <w:rFonts w:ascii="Times New Roman" w:eastAsia="仿宋_GB2312"/>
          <w:color w:val="000000"/>
          <w:sz w:val="30"/>
          <w:szCs w:val="30"/>
          <w:highlight w:val="none"/>
        </w:rPr>
      </w:pPr>
    </w:p>
    <w:p>
      <w:pPr>
        <w:rPr>
          <w:highlight w:val="none"/>
        </w:rPr>
      </w:pPr>
    </w:p>
    <w:p>
      <w:pPr>
        <w:adjustRightInd w:val="0"/>
        <w:snapToGrid w:val="0"/>
        <w:spacing w:before="60" w:after="60" w:line="360" w:lineRule="auto"/>
        <w:jc w:val="center"/>
        <w:rPr>
          <w:rFonts w:hAnsi="宋体" w:cs="宋体"/>
          <w:b/>
          <w:bCs/>
          <w:spacing w:val="100"/>
          <w:kern w:val="16"/>
          <w:sz w:val="52"/>
          <w:szCs w:val="52"/>
          <w:highlight w:val="none"/>
        </w:rPr>
      </w:pPr>
    </w:p>
    <w:p>
      <w:pPr>
        <w:tabs>
          <w:tab w:val="left" w:pos="1175"/>
          <w:tab w:val="left" w:pos="2975"/>
          <w:tab w:val="left" w:pos="3455"/>
          <w:tab w:val="left" w:pos="3935"/>
          <w:tab w:val="left" w:pos="3995"/>
          <w:tab w:val="left" w:pos="4415"/>
          <w:tab w:val="left" w:pos="7475"/>
          <w:tab w:val="left" w:pos="7715"/>
        </w:tabs>
        <w:spacing w:line="360" w:lineRule="auto"/>
        <w:jc w:val="left"/>
        <w:rPr>
          <w:rFonts w:hAnsi="宋体" w:cs="宋体"/>
          <w:kern w:val="2"/>
          <w:szCs w:val="24"/>
          <w:highlight w:val="none"/>
        </w:rPr>
        <w:sectPr>
          <w:footerReference r:id="rId9" w:type="default"/>
          <w:pgSz w:w="11911" w:h="16838"/>
          <w:pgMar w:top="1276" w:right="1134" w:bottom="1134" w:left="1417" w:header="771" w:footer="771" w:gutter="0"/>
          <w:pgNumType w:fmt="decimal"/>
          <w:cols w:space="720" w:num="1"/>
          <w:docGrid w:linePitch="1" w:charSpace="0"/>
        </w:sectPr>
      </w:pPr>
    </w:p>
    <w:p>
      <w:pPr>
        <w:pStyle w:val="3"/>
        <w:jc w:val="center"/>
        <w:rPr>
          <w:rFonts w:eastAsia="宋体"/>
          <w:bCs/>
          <w:highlight w:val="none"/>
        </w:rPr>
      </w:pPr>
      <w:bookmarkStart w:id="177" w:name="_Toc8685"/>
      <w:r>
        <w:rPr>
          <w:rFonts w:hint="eastAsia" w:ascii="宋体" w:eastAsia="宋体" w:cs="宋体"/>
          <w:kern w:val="0"/>
          <w:sz w:val="36"/>
          <w:szCs w:val="36"/>
          <w:highlight w:val="none"/>
        </w:rPr>
        <w:t xml:space="preserve">第五章 </w:t>
      </w:r>
      <w:bookmarkEnd w:id="43"/>
      <w:bookmarkEnd w:id="44"/>
      <w:bookmarkEnd w:id="45"/>
      <w:bookmarkEnd w:id="46"/>
      <w:bookmarkEnd w:id="47"/>
      <w:bookmarkEnd w:id="48"/>
      <w:bookmarkEnd w:id="49"/>
      <w:bookmarkEnd w:id="50"/>
      <w:bookmarkEnd w:id="51"/>
      <w:r>
        <w:rPr>
          <w:rFonts w:hint="eastAsia" w:ascii="宋体" w:eastAsia="宋体" w:cs="宋体"/>
          <w:kern w:val="0"/>
          <w:sz w:val="36"/>
          <w:szCs w:val="36"/>
          <w:highlight w:val="none"/>
        </w:rPr>
        <w:t xml:space="preserve"> 磋商内容及技术要求</w:t>
      </w:r>
      <w:bookmarkEnd w:id="177"/>
      <w:bookmarkStart w:id="178" w:name="_Toc2711"/>
      <w:bookmarkStart w:id="179" w:name="_Toc1025"/>
      <w:bookmarkStart w:id="180" w:name="_Toc4053"/>
      <w:bookmarkStart w:id="181" w:name="_Toc20481"/>
      <w:bookmarkStart w:id="182" w:name="_Toc389582038"/>
      <w:bookmarkStart w:id="183" w:name="_Toc23856"/>
      <w:bookmarkStart w:id="184" w:name="_Toc11450"/>
    </w:p>
    <w:bookmarkEnd w:id="37"/>
    <w:bookmarkEnd w:id="178"/>
    <w:bookmarkEnd w:id="179"/>
    <w:bookmarkEnd w:id="180"/>
    <w:bookmarkEnd w:id="181"/>
    <w:bookmarkEnd w:id="182"/>
    <w:bookmarkEnd w:id="183"/>
    <w:bookmarkEnd w:id="184"/>
    <w:p>
      <w:pPr>
        <w:pStyle w:val="34"/>
        <w:numPr>
          <w:ilvl w:val="0"/>
          <w:numId w:val="6"/>
        </w:numPr>
        <w:ind w:firstLineChars="0"/>
        <w:jc w:val="left"/>
        <w:rPr>
          <w:rFonts w:ascii="华文宋体" w:hAnsi="华文宋体" w:eastAsia="华文宋体"/>
          <w:b/>
          <w:bCs/>
          <w:sz w:val="30"/>
          <w:szCs w:val="30"/>
          <w:highlight w:val="none"/>
        </w:rPr>
      </w:pPr>
      <w:bookmarkStart w:id="185" w:name="_Toc363474025"/>
      <w:bookmarkStart w:id="186" w:name="_Toc403077646"/>
      <w:bookmarkStart w:id="187" w:name="_Toc423973079"/>
      <w:bookmarkStart w:id="188" w:name="_Toc5084"/>
      <w:r>
        <w:rPr>
          <w:rFonts w:hint="eastAsia" w:ascii="华文宋体" w:hAnsi="华文宋体" w:eastAsia="华文宋体"/>
          <w:b/>
          <w:bCs/>
          <w:sz w:val="30"/>
          <w:szCs w:val="30"/>
          <w:highlight w:val="none"/>
        </w:rPr>
        <w:t>项目具体改造内容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1、原有塑胶面层拆除3650㎡，新铺厚13mm混合型塑胶面层35</w:t>
      </w:r>
      <w:r>
        <w:rPr>
          <w:rFonts w:ascii="宋体" w:hAnsi="宋体" w:eastAsia="宋体"/>
          <w:sz w:val="24"/>
          <w:szCs w:val="24"/>
          <w:highlight w:val="none"/>
        </w:rPr>
        <w:t>0</w:t>
      </w:r>
      <w:r>
        <w:rPr>
          <w:rFonts w:hint="eastAsia" w:ascii="宋体" w:hAnsi="宋体" w:eastAsia="宋体"/>
          <w:sz w:val="24"/>
          <w:szCs w:val="24"/>
          <w:highlight w:val="none"/>
        </w:rPr>
        <w:t>0㎡，含场地划线；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、清理基础并新铺装规格49</w:t>
      </w:r>
      <w:r>
        <w:rPr>
          <w:rFonts w:ascii="宋体" w:hAnsi="宋体" w:eastAsia="宋体"/>
          <w:sz w:val="24"/>
          <w:szCs w:val="24"/>
          <w:highlight w:val="none"/>
        </w:rPr>
        <w:t>8</w:t>
      </w:r>
      <w:r>
        <w:rPr>
          <w:rFonts w:hint="eastAsia" w:ascii="宋体" w:hAnsi="宋体" w:eastAsia="宋体"/>
          <w:sz w:val="24"/>
          <w:szCs w:val="24"/>
          <w:highlight w:val="none"/>
        </w:rPr>
        <w:t>*49</w:t>
      </w:r>
      <w:r>
        <w:rPr>
          <w:rFonts w:ascii="宋体" w:hAnsi="宋体" w:eastAsia="宋体"/>
          <w:sz w:val="24"/>
          <w:szCs w:val="24"/>
          <w:highlight w:val="none"/>
        </w:rPr>
        <w:t>8</w:t>
      </w:r>
      <w:r>
        <w:rPr>
          <w:rFonts w:hint="eastAsia" w:ascii="宋体" w:hAnsi="宋体" w:eastAsia="宋体"/>
          <w:sz w:val="24"/>
          <w:szCs w:val="24"/>
          <w:highlight w:val="none"/>
        </w:rPr>
        <w:t>*19mm复合型悬浮地板2240㎡，含场地划线；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、原地砖基础破除并做基础处理，新做混凝土基础310㎡；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、新做加厚专用训练塑胶跑道30</w:t>
      </w:r>
      <w:r>
        <w:rPr>
          <w:rFonts w:hint="eastAsia" w:hAnsi="宋体"/>
          <w:sz w:val="24"/>
          <w:szCs w:val="24"/>
          <w:highlight w:val="none"/>
          <w:lang w:eastAsia="zh-CN"/>
        </w:rPr>
        <w:t>㎡</w:t>
      </w:r>
      <w:r>
        <w:rPr>
          <w:rFonts w:hint="eastAsia" w:ascii="宋体" w:hAnsi="宋体" w:eastAsia="宋体"/>
          <w:sz w:val="24"/>
          <w:szCs w:val="24"/>
          <w:highlight w:val="none"/>
        </w:rPr>
        <w:t>，含场地划线，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、拆除现有道牙并新做石材道牙石94m；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、新做石材踏步65㎡；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、铅球投掷区后墙清理并进行文化墙改造60㎡；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8</w:t>
      </w:r>
      <w:r>
        <w:rPr>
          <w:rFonts w:hint="eastAsia" w:ascii="宋体" w:hAnsi="宋体" w:eastAsia="宋体"/>
          <w:sz w:val="24"/>
          <w:szCs w:val="24"/>
          <w:highlight w:val="none"/>
        </w:rPr>
        <w:t>、铅球投掷区防护网更换118㎡；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9</w:t>
      </w:r>
      <w:r>
        <w:rPr>
          <w:rFonts w:hint="eastAsia" w:ascii="宋体" w:hAnsi="宋体" w:eastAsia="宋体"/>
          <w:sz w:val="24"/>
          <w:szCs w:val="24"/>
          <w:highlight w:val="none"/>
        </w:rPr>
        <w:t>、铅球投掷区塑胶改造30㎡，含场地划线；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10</w:t>
      </w:r>
      <w:r>
        <w:rPr>
          <w:rFonts w:hint="eastAsia" w:ascii="宋体" w:hAnsi="宋体" w:eastAsia="宋体"/>
          <w:sz w:val="24"/>
          <w:szCs w:val="24"/>
          <w:highlight w:val="none"/>
        </w:rPr>
        <w:t>、排水沟清淤并修补400m；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11</w:t>
      </w:r>
      <w:r>
        <w:rPr>
          <w:rFonts w:hint="eastAsia" w:ascii="宋体" w:hAnsi="宋体" w:eastAsia="宋体"/>
          <w:sz w:val="24"/>
          <w:szCs w:val="24"/>
          <w:highlight w:val="none"/>
        </w:rPr>
        <w:t>、篮板、蓝环及拉杆架更换8个，支架油漆（不含立柱）。</w:t>
      </w:r>
    </w:p>
    <w:p>
      <w:pPr>
        <w:pStyle w:val="34"/>
        <w:numPr>
          <w:ilvl w:val="0"/>
          <w:numId w:val="6"/>
        </w:numPr>
        <w:spacing w:line="360" w:lineRule="auto"/>
        <w:ind w:firstLineChars="0"/>
        <w:rPr>
          <w:rFonts w:ascii="华文宋体" w:hAnsi="华文宋体" w:eastAsia="华文宋体"/>
          <w:b/>
          <w:bCs/>
          <w:sz w:val="30"/>
          <w:szCs w:val="30"/>
          <w:highlight w:val="none"/>
        </w:rPr>
      </w:pPr>
      <w:r>
        <w:rPr>
          <w:rFonts w:hint="eastAsia" w:ascii="华文宋体" w:hAnsi="华文宋体" w:eastAsia="华文宋体"/>
          <w:b/>
          <w:bCs/>
          <w:sz w:val="30"/>
          <w:szCs w:val="30"/>
          <w:highlight w:val="none"/>
        </w:rPr>
        <w:t>主要材料技术指标</w:t>
      </w:r>
    </w:p>
    <w:p>
      <w:pPr>
        <w:pStyle w:val="37"/>
        <w:rPr>
          <w:rFonts w:ascii="宋体" w:hAnsi="宋体" w:eastAsia="宋体"/>
          <w:b/>
          <w:bCs/>
          <w:sz w:val="28"/>
          <w:szCs w:val="28"/>
          <w:highlight w:val="none"/>
        </w:rPr>
      </w:pPr>
      <w:r>
        <w:rPr>
          <w:rFonts w:hint="eastAsia" w:ascii="宋体" w:hAnsi="宋体" w:eastAsia="宋体"/>
          <w:b/>
          <w:bCs/>
          <w:sz w:val="28"/>
          <w:szCs w:val="28"/>
          <w:highlight w:val="none"/>
        </w:rPr>
        <w:t>一、复合型悬浮地板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1、基本要求：</w:t>
      </w:r>
    </w:p>
    <w:p>
      <w:pPr>
        <w:pStyle w:val="3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）产品规格：≥498mm*498mm*19mm，≥</w:t>
      </w:r>
      <w:r>
        <w:rPr>
          <w:rFonts w:ascii="宋体" w:hAnsi="宋体" w:eastAsia="宋体" w:cs="宋体"/>
          <w:sz w:val="24"/>
          <w:szCs w:val="24"/>
          <w:highlight w:val="none"/>
        </w:rPr>
        <w:t>940</w:t>
      </w:r>
      <w:r>
        <w:rPr>
          <w:rFonts w:hint="eastAsia" w:ascii="宋体" w:hAnsi="宋体" w:eastAsia="宋体" w:cs="宋体"/>
          <w:sz w:val="24"/>
          <w:szCs w:val="24"/>
          <w:highlight w:val="none"/>
        </w:rPr>
        <w:t>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）食品级改性聚丙烯材质，100%原生料，无毒无味，绿色、安全，环保；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3）材料为环保高强度改性聚丙烯，100%原生料，食品级材料，无毒无味，绿色、安全，环保；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整体结构</w:t>
      </w:r>
      <w:r>
        <w:rPr>
          <w:rFonts w:hint="eastAsia" w:ascii="宋体" w:hAnsi="宋体" w:eastAsia="宋体" w:cs="宋体"/>
          <w:sz w:val="24"/>
          <w:szCs w:val="24"/>
          <w:highlight w:val="none"/>
        </w:rPr>
        <w:t>：</w:t>
      </w:r>
      <w:r>
        <w:rPr>
          <w:rFonts w:ascii="宋体" w:hAnsi="宋体" w:eastAsia="宋体" w:cs="宋体"/>
          <w:sz w:val="24"/>
          <w:szCs w:val="24"/>
          <w:highlight w:val="none"/>
        </w:rPr>
        <w:t>复合型</w:t>
      </w:r>
      <w:r>
        <w:rPr>
          <w:rFonts w:hint="eastAsia" w:ascii="宋体" w:hAnsi="宋体" w:eastAsia="宋体" w:cs="宋体"/>
          <w:sz w:val="24"/>
          <w:szCs w:val="24"/>
          <w:highlight w:val="none"/>
        </w:rPr>
        <w:t>大米</w:t>
      </w:r>
      <w:r>
        <w:rPr>
          <w:rFonts w:ascii="宋体" w:hAnsi="宋体" w:eastAsia="宋体" w:cs="宋体"/>
          <w:sz w:val="24"/>
          <w:szCs w:val="24"/>
          <w:highlight w:val="none"/>
        </w:rPr>
        <w:t>纹面层</w:t>
      </w:r>
      <w:r>
        <w:rPr>
          <w:rFonts w:hint="eastAsia" w:ascii="宋体" w:hAnsi="宋体" w:eastAsia="宋体" w:cs="宋体"/>
          <w:sz w:val="24"/>
          <w:szCs w:val="24"/>
          <w:highlight w:val="none"/>
        </w:rPr>
        <w:t>+</w:t>
      </w:r>
      <w:r>
        <w:rPr>
          <w:rFonts w:ascii="宋体" w:hAnsi="宋体" w:eastAsia="宋体" w:cs="宋体"/>
          <w:sz w:val="24"/>
          <w:szCs w:val="24"/>
          <w:highlight w:val="none"/>
        </w:rPr>
        <w:t>软连接（16宫格）</w:t>
      </w:r>
      <w:r>
        <w:rPr>
          <w:rFonts w:hint="eastAsia" w:ascii="宋体" w:hAnsi="宋体" w:eastAsia="宋体" w:cs="宋体"/>
          <w:sz w:val="24"/>
          <w:szCs w:val="24"/>
          <w:highlight w:val="none"/>
        </w:rPr>
        <w:t>+弹性垫，不反光、不刺眼，色泽柔和，极大提高摩擦力，防滑效果更显著；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5）皮纹纹理：不反光、不刺眼，色泽柔和，极大提高摩擦力，防滑效果更显著；</w:t>
      </w:r>
      <w:r>
        <w:rPr>
          <w:rFonts w:hint="eastAsia" w:ascii="宋体" w:hAnsi="宋体" w:eastAsia="宋体" w:cs="宋体"/>
          <w:b/>
          <w:bCs/>
          <w:color w:val="000000" w:themeColor="text1"/>
          <w:sz w:val="24"/>
          <w:szCs w:val="24"/>
          <w:highlight w:val="none"/>
          <w14:textFill>
            <w14:solidFill>
              <w14:schemeClr w14:val="tx1"/>
            </w14:solidFill>
          </w14:textFill>
        </w:rPr>
        <w:t>（评标现场提供样品证明）；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ascii="宋体" w:hAnsi="宋体" w:eastAsia="宋体" w:cs="宋体"/>
          <w:sz w:val="24"/>
          <w:szCs w:val="24"/>
          <w:highlight w:val="none"/>
        </w:rPr>
        <w:t>6</w:t>
      </w:r>
      <w:r>
        <w:rPr>
          <w:rFonts w:hint="eastAsia" w:ascii="宋体" w:hAnsi="宋体" w:eastAsia="宋体" w:cs="宋体"/>
          <w:sz w:val="24"/>
          <w:szCs w:val="24"/>
          <w:highlight w:val="none"/>
        </w:rPr>
        <w:t>）支撑系统：≥</w:t>
      </w:r>
      <w:r>
        <w:rPr>
          <w:rFonts w:ascii="宋体" w:hAnsi="宋体" w:eastAsia="宋体" w:cs="宋体"/>
          <w:sz w:val="24"/>
          <w:szCs w:val="24"/>
          <w:highlight w:val="none"/>
        </w:rPr>
        <w:t>80颗弹性垫为主支撑</w:t>
      </w:r>
      <w:r>
        <w:rPr>
          <w:rFonts w:hint="eastAsia" w:ascii="宋体" w:hAnsi="宋体" w:eastAsia="宋体" w:cs="宋体"/>
          <w:sz w:val="24"/>
          <w:szCs w:val="24"/>
          <w:highlight w:val="none"/>
        </w:rPr>
        <w:t>（大大提高冲击吸收及球类回弹）；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FF0000"/>
          <w:sz w:val="24"/>
          <w:szCs w:val="24"/>
          <w:highlight w:val="none"/>
        </w:rPr>
      </w:pPr>
      <w:r>
        <w:rPr>
          <w:rFonts w:ascii="宋体" w:hAnsi="宋体" w:eastAsia="宋体" w:cs="宋体"/>
          <w:sz w:val="24"/>
          <w:szCs w:val="24"/>
          <w:highlight w:val="none"/>
        </w:rPr>
        <w:t>7</w:t>
      </w:r>
      <w:r>
        <w:rPr>
          <w:rFonts w:hint="eastAsia" w:ascii="宋体" w:hAnsi="宋体" w:eastAsia="宋体" w:cs="宋体"/>
          <w:sz w:val="24"/>
          <w:szCs w:val="24"/>
          <w:highlight w:val="none"/>
        </w:rPr>
        <w:t>）采用航空材质、圆形结构设计二代固定块可以扩大安装区域，单块产品正中间中扣可取出、嵌入，为保障整体性和平整度，中扣直径不大于40mm,更大缓冲间隙，实现360°旋转，有效防风、防盗、防位移。</w:t>
      </w:r>
      <w:r>
        <w:rPr>
          <w:rFonts w:hint="eastAsia" w:ascii="宋体" w:hAnsi="宋体" w:eastAsia="宋体" w:cs="宋体"/>
          <w:b/>
          <w:bCs/>
          <w:color w:val="000000" w:themeColor="text1"/>
          <w:sz w:val="24"/>
          <w:szCs w:val="24"/>
          <w:highlight w:val="none"/>
          <w14:textFill>
            <w14:solidFill>
              <w14:schemeClr w14:val="tx1"/>
            </w14:solidFill>
          </w14:textFill>
        </w:rPr>
        <w:t>（评标现场提供样品证明）；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2、具体参数要求：</w:t>
      </w:r>
    </w:p>
    <w:p>
      <w:pPr>
        <w:pStyle w:val="3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球类回弹值≥</w:t>
      </w:r>
      <w:r>
        <w:rPr>
          <w:rFonts w:ascii="宋体" w:hAnsi="宋体" w:eastAsia="宋体" w:cs="宋体"/>
          <w:sz w:val="24"/>
          <w:szCs w:val="24"/>
          <w:highlight w:val="none"/>
        </w:rPr>
        <w:t>95%</w:t>
      </w:r>
    </w:p>
    <w:p>
      <w:pPr>
        <w:pStyle w:val="3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冲击吸收≥</w:t>
      </w:r>
      <w:r>
        <w:rPr>
          <w:rFonts w:ascii="宋体" w:hAnsi="宋体" w:eastAsia="宋体" w:cs="宋体"/>
          <w:sz w:val="24"/>
          <w:szCs w:val="24"/>
          <w:highlight w:val="none"/>
        </w:rPr>
        <w:t>29%</w:t>
      </w:r>
    </w:p>
    <w:p>
      <w:pPr>
        <w:pStyle w:val="3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摩擦系数：</w:t>
      </w:r>
      <w:r>
        <w:rPr>
          <w:rFonts w:ascii="宋体" w:hAnsi="宋体" w:eastAsia="宋体" w:cs="宋体"/>
          <w:sz w:val="24"/>
          <w:szCs w:val="24"/>
          <w:highlight w:val="none"/>
        </w:rPr>
        <w:t>0.5~0.7</w:t>
      </w:r>
    </w:p>
    <w:p>
      <w:pPr>
        <w:pStyle w:val="34"/>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弯曲模量≥</w:t>
      </w:r>
      <w:r>
        <w:rPr>
          <w:rFonts w:ascii="宋体" w:hAnsi="宋体" w:eastAsia="宋体" w:cs="宋体"/>
          <w:sz w:val="24"/>
          <w:szCs w:val="24"/>
          <w:highlight w:val="none"/>
        </w:rPr>
        <w:t>1020Mpa</w:t>
      </w:r>
    </w:p>
    <w:p>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bookmarkStart w:id="189" w:name="_Hlk99524190"/>
      <w:r>
        <w:rPr>
          <w:rFonts w:ascii="宋体" w:hAnsi="宋体" w:eastAsia="宋体" w:cs="宋体"/>
          <w:sz w:val="24"/>
          <w:szCs w:val="24"/>
          <w:highlight w:val="none"/>
        </w:rPr>
        <w:t>5</w:t>
      </w:r>
      <w:r>
        <w:rPr>
          <w:rFonts w:hint="eastAsia" w:ascii="宋体" w:hAnsi="宋体" w:eastAsia="宋体" w:cs="宋体"/>
          <w:sz w:val="24"/>
          <w:szCs w:val="24"/>
          <w:highlight w:val="none"/>
        </w:rPr>
        <w:t>）</w:t>
      </w:r>
      <w:r>
        <w:rPr>
          <w:rFonts w:hint="eastAsia" w:hAnsi="宋体" w:cs="宋体"/>
          <w:b/>
          <w:bCs/>
          <w:sz w:val="24"/>
          <w:szCs w:val="24"/>
          <w:highlight w:val="none"/>
          <w:lang w:eastAsia="zh-CN"/>
        </w:rPr>
        <w:t>↓</w:t>
      </w:r>
      <w:r>
        <w:rPr>
          <w:rFonts w:hint="eastAsia" w:ascii="宋体" w:hAnsi="宋体" w:eastAsia="宋体" w:cs="宋体"/>
          <w:sz w:val="24"/>
          <w:szCs w:val="24"/>
          <w:highlight w:val="none"/>
        </w:rPr>
        <w:t>悬浮式地板材料须通过《</w:t>
      </w:r>
      <w:r>
        <w:rPr>
          <w:rFonts w:ascii="宋体" w:hAnsi="宋体" w:eastAsia="宋体" w:cs="宋体"/>
          <w:sz w:val="24"/>
          <w:szCs w:val="24"/>
          <w:highlight w:val="none"/>
        </w:rPr>
        <w:t>ISO 10993.11-2017</w:t>
      </w:r>
      <w:r>
        <w:rPr>
          <w:rFonts w:hint="eastAsia" w:ascii="宋体" w:hAnsi="宋体" w:eastAsia="宋体" w:cs="宋体"/>
          <w:sz w:val="24"/>
          <w:szCs w:val="24"/>
          <w:highlight w:val="none"/>
        </w:rPr>
        <w:t>》标准的急性经皮毒性试验，</w:t>
      </w:r>
      <w:r>
        <w:rPr>
          <w:rFonts w:hint="eastAsia" w:ascii="宋体" w:hAnsi="宋体" w:eastAsia="宋体" w:cs="宋体"/>
          <w:b/>
          <w:bCs/>
          <w:color w:val="000000" w:themeColor="text1"/>
          <w:sz w:val="24"/>
          <w:szCs w:val="24"/>
          <w:highlight w:val="none"/>
          <w14:textFill>
            <w14:solidFill>
              <w14:schemeClr w14:val="tx1"/>
            </w14:solidFill>
          </w14:textFill>
        </w:rPr>
        <w:t>提供加盖制造商公章的检测报告；</w:t>
      </w:r>
    </w:p>
    <w:p>
      <w:pPr>
        <w:pStyle w:val="34"/>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highlight w:val="none"/>
        </w:rPr>
      </w:pPr>
      <w:r>
        <w:rPr>
          <w:rFonts w:hint="eastAsia" w:hAnsi="宋体" w:cs="宋体"/>
          <w:b/>
          <w:bCs/>
          <w:sz w:val="24"/>
          <w:szCs w:val="24"/>
          <w:highlight w:val="none"/>
          <w:lang w:eastAsia="zh-CN"/>
        </w:rPr>
        <w:t>↓</w:t>
      </w:r>
      <w:r>
        <w:rPr>
          <w:rFonts w:hint="eastAsia" w:ascii="宋体" w:hAnsi="宋体" w:eastAsia="宋体" w:cs="宋体"/>
          <w:sz w:val="24"/>
          <w:szCs w:val="24"/>
          <w:highlight w:val="none"/>
        </w:rPr>
        <w:t>悬浮式地板材料须通过《</w:t>
      </w:r>
      <w:r>
        <w:rPr>
          <w:rFonts w:ascii="宋体" w:hAnsi="宋体" w:eastAsia="宋体" w:cs="宋体"/>
          <w:sz w:val="24"/>
          <w:szCs w:val="24"/>
          <w:highlight w:val="none"/>
        </w:rPr>
        <w:t xml:space="preserve">ASTM G 21-15 </w:t>
      </w:r>
      <w:r>
        <w:rPr>
          <w:rFonts w:hint="eastAsia" w:ascii="宋体" w:hAnsi="宋体" w:eastAsia="宋体" w:cs="宋体"/>
          <w:sz w:val="24"/>
          <w:szCs w:val="24"/>
          <w:highlight w:val="none"/>
        </w:rPr>
        <w:t>合成高分子材料防霉性的测定》标准的防霉试验，巴西曲霉、绳状青霉、球毛壳霉、绿色木霉、出芽短梗霉结果为0级，</w:t>
      </w:r>
      <w:r>
        <w:rPr>
          <w:rFonts w:hint="eastAsia" w:ascii="宋体" w:hAnsi="宋体" w:eastAsia="宋体" w:cs="宋体"/>
          <w:b/>
          <w:bCs/>
          <w:color w:val="000000" w:themeColor="text1"/>
          <w:sz w:val="24"/>
          <w:szCs w:val="24"/>
          <w:highlight w:val="none"/>
          <w14:textFill>
            <w14:solidFill>
              <w14:schemeClr w14:val="tx1"/>
            </w14:solidFill>
          </w14:textFill>
        </w:rPr>
        <w:t>提供加盖制造商公章的检测报告；</w:t>
      </w:r>
    </w:p>
    <w:p>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ascii="宋体" w:hAnsi="宋体" w:eastAsia="宋体" w:cs="宋体"/>
          <w:sz w:val="24"/>
          <w:szCs w:val="24"/>
          <w:highlight w:val="none"/>
        </w:rPr>
        <w:t>7</w:t>
      </w:r>
      <w:r>
        <w:rPr>
          <w:rFonts w:hint="eastAsia" w:ascii="宋体" w:hAnsi="宋体" w:eastAsia="宋体" w:cs="宋体"/>
          <w:sz w:val="24"/>
          <w:szCs w:val="24"/>
          <w:highlight w:val="none"/>
        </w:rPr>
        <w:t>）</w:t>
      </w:r>
      <w:r>
        <w:rPr>
          <w:rFonts w:hint="eastAsia" w:hAnsi="宋体" w:cs="宋体"/>
          <w:b/>
          <w:bCs/>
          <w:sz w:val="24"/>
          <w:szCs w:val="24"/>
          <w:highlight w:val="none"/>
          <w:lang w:eastAsia="zh-CN"/>
        </w:rPr>
        <w:t>↓</w:t>
      </w:r>
      <w:r>
        <w:rPr>
          <w:rFonts w:hint="eastAsia" w:ascii="宋体" w:hAnsi="宋体" w:eastAsia="宋体" w:cs="宋体"/>
          <w:sz w:val="24"/>
          <w:szCs w:val="24"/>
          <w:highlight w:val="none"/>
        </w:rPr>
        <w:t>悬浮式地板弹性垫材料通过《</w:t>
      </w:r>
      <w:r>
        <w:rPr>
          <w:rFonts w:ascii="宋体" w:hAnsi="宋体" w:eastAsia="宋体" w:cs="宋体"/>
          <w:sz w:val="24"/>
          <w:szCs w:val="24"/>
          <w:highlight w:val="none"/>
        </w:rPr>
        <w:t>GB/T 9867</w:t>
      </w:r>
      <w:r>
        <w:rPr>
          <w:rFonts w:hint="eastAsia" w:ascii="宋体" w:hAnsi="宋体" w:eastAsia="宋体" w:cs="宋体"/>
          <w:sz w:val="24"/>
          <w:szCs w:val="24"/>
          <w:highlight w:val="none"/>
        </w:rPr>
        <w:t>-</w:t>
      </w:r>
      <w:r>
        <w:rPr>
          <w:rFonts w:ascii="宋体" w:hAnsi="宋体" w:eastAsia="宋体" w:cs="宋体"/>
          <w:sz w:val="24"/>
          <w:szCs w:val="24"/>
          <w:highlight w:val="none"/>
        </w:rPr>
        <w:t>2008</w:t>
      </w:r>
      <w:r>
        <w:rPr>
          <w:rFonts w:hint="eastAsia" w:ascii="宋体" w:hAnsi="宋体" w:eastAsia="宋体" w:cs="宋体"/>
          <w:sz w:val="24"/>
          <w:szCs w:val="24"/>
          <w:highlight w:val="none"/>
        </w:rPr>
        <w:t>方法A》标准的磨耗量检测，相对体积磨耗量≤</w:t>
      </w:r>
      <w:r>
        <w:rPr>
          <w:rFonts w:ascii="宋体" w:hAnsi="宋体" w:eastAsia="宋体" w:cs="宋体"/>
          <w:sz w:val="24"/>
          <w:szCs w:val="24"/>
          <w:highlight w:val="none"/>
        </w:rPr>
        <w:t>232.3mm</w:t>
      </w:r>
      <w:r>
        <w:rPr>
          <w:rFonts w:hint="eastAsia" w:ascii="宋体" w:hAnsi="宋体" w:eastAsia="宋体" w:cs="宋体"/>
          <w:sz w:val="24"/>
          <w:szCs w:val="24"/>
          <w:highlight w:val="none"/>
        </w:rPr>
        <w:t>³，提供加盖制造商公章的检测报告；</w:t>
      </w:r>
    </w:p>
    <w:p>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FF0000"/>
          <w:sz w:val="24"/>
          <w:szCs w:val="24"/>
          <w:highlight w:val="none"/>
        </w:rPr>
      </w:pPr>
      <w:r>
        <w:rPr>
          <w:rFonts w:ascii="宋体" w:hAnsi="宋体" w:eastAsia="宋体" w:cs="宋体"/>
          <w:sz w:val="24"/>
          <w:szCs w:val="24"/>
          <w:highlight w:val="none"/>
        </w:rPr>
        <w:t>8</w:t>
      </w:r>
      <w:r>
        <w:rPr>
          <w:rFonts w:hint="eastAsia" w:ascii="宋体" w:hAnsi="宋体" w:eastAsia="宋体" w:cs="宋体"/>
          <w:sz w:val="24"/>
          <w:szCs w:val="24"/>
          <w:highlight w:val="none"/>
        </w:rPr>
        <w:t>）</w:t>
      </w:r>
      <w:r>
        <w:rPr>
          <w:rFonts w:hint="eastAsia" w:hAnsi="宋体" w:cs="宋体"/>
          <w:b/>
          <w:bCs/>
          <w:sz w:val="24"/>
          <w:szCs w:val="24"/>
          <w:highlight w:val="none"/>
          <w:lang w:eastAsia="zh-CN"/>
        </w:rPr>
        <w:t>↓</w:t>
      </w:r>
      <w:r>
        <w:rPr>
          <w:rFonts w:hint="eastAsia" w:ascii="宋体" w:hAnsi="宋体" w:eastAsia="宋体" w:cs="宋体"/>
          <w:sz w:val="24"/>
          <w:szCs w:val="24"/>
          <w:highlight w:val="none"/>
        </w:rPr>
        <w:t>悬浮式地板弹性垫材料通过《</w:t>
      </w:r>
      <w:r>
        <w:rPr>
          <w:rFonts w:ascii="宋体" w:hAnsi="宋体" w:eastAsia="宋体" w:cs="宋体"/>
          <w:sz w:val="24"/>
          <w:szCs w:val="24"/>
          <w:highlight w:val="none"/>
        </w:rPr>
        <w:t>GB/T 7759.1-2015</w:t>
      </w:r>
      <w:r>
        <w:rPr>
          <w:rFonts w:hint="eastAsia" w:ascii="宋体" w:hAnsi="宋体" w:eastAsia="宋体" w:cs="宋体"/>
          <w:sz w:val="24"/>
          <w:szCs w:val="24"/>
          <w:highlight w:val="none"/>
        </w:rPr>
        <w:t>》标准的压缩永久变形检测，</w:t>
      </w:r>
      <w:r>
        <w:rPr>
          <w:rFonts w:hint="eastAsia" w:ascii="宋体" w:hAnsi="宋体" w:eastAsia="宋体" w:cs="宋体"/>
          <w:b/>
          <w:bCs/>
          <w:color w:val="000000" w:themeColor="text1"/>
          <w:sz w:val="24"/>
          <w:szCs w:val="24"/>
          <w:highlight w:val="none"/>
          <w14:textFill>
            <w14:solidFill>
              <w14:schemeClr w14:val="tx1"/>
            </w14:solidFill>
          </w14:textFill>
        </w:rPr>
        <w:t>提供加盖制造商公章的检测报告；</w:t>
      </w:r>
    </w:p>
    <w:p>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sz w:val="24"/>
          <w:szCs w:val="24"/>
          <w:highlight w:val="none"/>
        </w:rPr>
        <w:t>9</w:t>
      </w:r>
      <w:r>
        <w:rPr>
          <w:rFonts w:hint="eastAsia" w:ascii="宋体" w:hAnsi="宋体" w:eastAsia="宋体" w:cs="宋体"/>
          <w:sz w:val="24"/>
          <w:szCs w:val="24"/>
          <w:highlight w:val="none"/>
        </w:rPr>
        <w:t>）</w:t>
      </w:r>
      <w:r>
        <w:rPr>
          <w:rFonts w:hint="eastAsia" w:hAnsi="宋体" w:cs="宋体"/>
          <w:b/>
          <w:bCs/>
          <w:sz w:val="24"/>
          <w:szCs w:val="24"/>
          <w:highlight w:val="none"/>
          <w:lang w:eastAsia="zh-CN"/>
        </w:rPr>
        <w:t>↓</w:t>
      </w:r>
      <w:r>
        <w:rPr>
          <w:rFonts w:hint="eastAsia" w:ascii="宋体" w:hAnsi="宋体" w:eastAsia="宋体" w:cs="宋体"/>
          <w:sz w:val="24"/>
          <w:szCs w:val="24"/>
          <w:highlight w:val="none"/>
        </w:rPr>
        <w:t>悬浮式地板弹性垫材料通过《</w:t>
      </w:r>
      <w:r>
        <w:rPr>
          <w:rFonts w:ascii="宋体" w:hAnsi="宋体" w:eastAsia="宋体" w:cs="宋体"/>
          <w:sz w:val="24"/>
          <w:szCs w:val="24"/>
          <w:highlight w:val="none"/>
        </w:rPr>
        <w:t>GB/T 1681-2009</w:t>
      </w:r>
      <w:r>
        <w:rPr>
          <w:rFonts w:hint="eastAsia" w:ascii="宋体" w:hAnsi="宋体" w:eastAsia="宋体" w:cs="宋体"/>
          <w:sz w:val="24"/>
          <w:szCs w:val="24"/>
          <w:highlight w:val="none"/>
        </w:rPr>
        <w:t>》标准的回弹性检测，结果≥</w:t>
      </w:r>
      <w:r>
        <w:rPr>
          <w:rFonts w:ascii="宋体" w:hAnsi="宋体" w:eastAsia="宋体" w:cs="宋体"/>
          <w:sz w:val="24"/>
          <w:szCs w:val="24"/>
          <w:highlight w:val="none"/>
        </w:rPr>
        <w:t>40%</w:t>
      </w:r>
      <w:r>
        <w:rPr>
          <w:rFonts w:hint="eastAsia" w:ascii="宋体" w:hAnsi="宋体" w:eastAsia="宋体" w:cs="宋体"/>
          <w:sz w:val="24"/>
          <w:szCs w:val="24"/>
          <w:highlight w:val="none"/>
        </w:rPr>
        <w:t>，</w:t>
      </w:r>
      <w:r>
        <w:rPr>
          <w:rFonts w:hint="eastAsia" w:ascii="宋体" w:hAnsi="宋体" w:eastAsia="宋体" w:cs="宋体"/>
          <w:b/>
          <w:bCs/>
          <w:color w:val="000000" w:themeColor="text1"/>
          <w:sz w:val="24"/>
          <w:szCs w:val="24"/>
          <w:highlight w:val="none"/>
          <w14:textFill>
            <w14:solidFill>
              <w14:schemeClr w14:val="tx1"/>
            </w14:solidFill>
          </w14:textFill>
        </w:rPr>
        <w:t>提供加盖制造商公章的检测报告；</w:t>
      </w:r>
    </w:p>
    <w:p>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heme="minorEastAsia"/>
          <w:color w:val="000000" w:themeColor="text1"/>
          <w:sz w:val="24"/>
          <w:szCs w:val="24"/>
          <w:highlight w:val="none"/>
          <w14:textFill>
            <w14:solidFill>
              <w14:schemeClr w14:val="tx1"/>
            </w14:solidFill>
          </w14:textFill>
        </w:rPr>
      </w:pPr>
      <w:r>
        <w:rPr>
          <w:rFonts w:ascii="宋体" w:hAnsi="宋体" w:eastAsia="宋体" w:cstheme="minorEastAsia"/>
          <w:color w:val="000000" w:themeColor="text1"/>
          <w:sz w:val="24"/>
          <w:szCs w:val="24"/>
          <w:highlight w:val="none"/>
          <w14:textFill>
            <w14:solidFill>
              <w14:schemeClr w14:val="tx1"/>
            </w14:solidFill>
          </w14:textFill>
        </w:rPr>
        <w:t>10</w:t>
      </w:r>
      <w:r>
        <w:rPr>
          <w:rFonts w:hint="eastAsia" w:ascii="宋体" w:hAnsi="宋体" w:eastAsia="宋体" w:cstheme="minorEastAsia"/>
          <w:color w:val="000000" w:themeColor="text1"/>
          <w:sz w:val="24"/>
          <w:szCs w:val="24"/>
          <w:highlight w:val="none"/>
          <w14:textFill>
            <w14:solidFill>
              <w14:schemeClr w14:val="tx1"/>
            </w14:solidFill>
          </w14:textFill>
        </w:rPr>
        <w:t>）</w:t>
      </w:r>
      <w:r>
        <w:rPr>
          <w:rFonts w:hint="eastAsia" w:hAnsi="宋体" w:cs="宋体"/>
          <w:b/>
          <w:bCs/>
          <w:sz w:val="24"/>
          <w:szCs w:val="24"/>
          <w:highlight w:val="none"/>
          <w:lang w:eastAsia="zh-CN"/>
        </w:rPr>
        <w:t>↓</w:t>
      </w:r>
      <w:r>
        <w:rPr>
          <w:rFonts w:hint="eastAsia" w:ascii="宋体" w:hAnsi="宋体" w:eastAsia="宋体" w:cstheme="minorEastAsia"/>
          <w:color w:val="000000" w:themeColor="text1"/>
          <w:sz w:val="24"/>
          <w:szCs w:val="24"/>
          <w:highlight w:val="none"/>
          <w14:textFill>
            <w14:solidFill>
              <w14:schemeClr w14:val="tx1"/>
            </w14:solidFill>
          </w14:textFill>
        </w:rPr>
        <w:t>悬浮地板安全卫士材料须通过《</w:t>
      </w:r>
      <w:r>
        <w:rPr>
          <w:rFonts w:ascii="宋体" w:hAnsi="宋体" w:eastAsia="宋体" w:cstheme="minorEastAsia"/>
          <w:color w:val="000000" w:themeColor="text1"/>
          <w:sz w:val="24"/>
          <w:szCs w:val="24"/>
          <w:highlight w:val="none"/>
          <w14:textFill>
            <w14:solidFill>
              <w14:schemeClr w14:val="tx1"/>
            </w14:solidFill>
          </w14:textFill>
        </w:rPr>
        <w:t xml:space="preserve">GB/T 1633-2000 </w:t>
      </w:r>
      <w:r>
        <w:rPr>
          <w:rFonts w:hint="eastAsia" w:ascii="宋体" w:hAnsi="宋体" w:eastAsia="宋体" w:cstheme="minorEastAsia"/>
          <w:color w:val="000000" w:themeColor="text1"/>
          <w:sz w:val="24"/>
          <w:szCs w:val="24"/>
          <w:highlight w:val="none"/>
          <w14:textFill>
            <w14:solidFill>
              <w14:schemeClr w14:val="tx1"/>
            </w14:solidFill>
          </w14:textFill>
        </w:rPr>
        <w:t>方法</w:t>
      </w:r>
      <w:r>
        <w:rPr>
          <w:rFonts w:ascii="宋体" w:hAnsi="宋体" w:eastAsia="宋体" w:cstheme="minorEastAsia"/>
          <w:color w:val="000000" w:themeColor="text1"/>
          <w:sz w:val="24"/>
          <w:szCs w:val="24"/>
          <w:highlight w:val="none"/>
          <w14:textFill>
            <w14:solidFill>
              <w14:schemeClr w14:val="tx1"/>
            </w14:solidFill>
          </w14:textFill>
        </w:rPr>
        <w:t>B120</w:t>
      </w:r>
      <w:r>
        <w:rPr>
          <w:rFonts w:hint="eastAsia" w:ascii="宋体" w:hAnsi="宋体" w:eastAsia="宋体" w:cstheme="minorEastAsia"/>
          <w:color w:val="000000" w:themeColor="text1"/>
          <w:sz w:val="24"/>
          <w:szCs w:val="24"/>
          <w:highlight w:val="none"/>
          <w14:textFill>
            <w14:solidFill>
              <w14:schemeClr w14:val="tx1"/>
            </w14:solidFill>
          </w14:textFill>
        </w:rPr>
        <w:t>》标准维卡软化温度检测，检测结果≥</w:t>
      </w:r>
      <w:r>
        <w:rPr>
          <w:rFonts w:ascii="宋体" w:hAnsi="宋体" w:eastAsia="宋体" w:cstheme="minorEastAsia"/>
          <w:color w:val="000000" w:themeColor="text1"/>
          <w:sz w:val="24"/>
          <w:szCs w:val="24"/>
          <w:highlight w:val="none"/>
          <w14:textFill>
            <w14:solidFill>
              <w14:schemeClr w14:val="tx1"/>
            </w14:solidFill>
          </w14:textFill>
        </w:rPr>
        <w:t>70</w:t>
      </w:r>
      <w:r>
        <w:rPr>
          <w:rFonts w:hint="eastAsia" w:ascii="宋体" w:hAnsi="宋体" w:eastAsia="宋体" w:cstheme="minorEastAsia"/>
          <w:color w:val="000000" w:themeColor="text1"/>
          <w:sz w:val="24"/>
          <w:szCs w:val="24"/>
          <w:highlight w:val="none"/>
          <w14:textFill>
            <w14:solidFill>
              <w14:schemeClr w14:val="tx1"/>
            </w14:solidFill>
          </w14:textFill>
        </w:rPr>
        <w:t>℃.，</w:t>
      </w:r>
      <w:r>
        <w:rPr>
          <w:rFonts w:hint="eastAsia" w:ascii="宋体" w:hAnsi="宋体" w:eastAsia="宋体" w:cstheme="minorEastAsia"/>
          <w:b/>
          <w:bCs/>
          <w:color w:val="000000" w:themeColor="text1"/>
          <w:sz w:val="24"/>
          <w:szCs w:val="24"/>
          <w:highlight w:val="none"/>
          <w14:textFill>
            <w14:solidFill>
              <w14:schemeClr w14:val="tx1"/>
            </w14:solidFill>
          </w14:textFill>
        </w:rPr>
        <w:t>提供加盖制造商公章的检测报告；</w:t>
      </w:r>
    </w:p>
    <w:p>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heme="minorEastAsia"/>
          <w:b/>
          <w:bCs/>
          <w:color w:val="000000" w:themeColor="text1"/>
          <w:sz w:val="24"/>
          <w:szCs w:val="24"/>
          <w:highlight w:val="none"/>
          <w14:textFill>
            <w14:solidFill>
              <w14:schemeClr w14:val="tx1"/>
            </w14:solidFill>
          </w14:textFill>
        </w:rPr>
      </w:pPr>
      <w:r>
        <w:rPr>
          <w:rFonts w:ascii="宋体" w:hAnsi="宋体" w:eastAsia="宋体" w:cstheme="minorEastAsia"/>
          <w:color w:val="000000" w:themeColor="text1"/>
          <w:sz w:val="24"/>
          <w:szCs w:val="24"/>
          <w:highlight w:val="none"/>
          <w14:textFill>
            <w14:solidFill>
              <w14:schemeClr w14:val="tx1"/>
            </w14:solidFill>
          </w14:textFill>
        </w:rPr>
        <w:t>11</w:t>
      </w:r>
      <w:r>
        <w:rPr>
          <w:rFonts w:hint="eastAsia" w:ascii="宋体" w:hAnsi="宋体" w:eastAsia="宋体" w:cstheme="minorEastAsia"/>
          <w:color w:val="000000" w:themeColor="text1"/>
          <w:sz w:val="24"/>
          <w:szCs w:val="24"/>
          <w:highlight w:val="none"/>
          <w14:textFill>
            <w14:solidFill>
              <w14:schemeClr w14:val="tx1"/>
            </w14:solidFill>
          </w14:textFill>
        </w:rPr>
        <w:t>）</w:t>
      </w:r>
      <w:r>
        <w:rPr>
          <w:rFonts w:hint="eastAsia" w:hAnsi="宋体" w:cs="宋体"/>
          <w:b/>
          <w:bCs/>
          <w:sz w:val="24"/>
          <w:szCs w:val="24"/>
          <w:highlight w:val="none"/>
          <w:lang w:eastAsia="zh-CN"/>
        </w:rPr>
        <w:t>↓</w:t>
      </w:r>
      <w:r>
        <w:rPr>
          <w:rFonts w:ascii="宋体" w:hAnsi="宋体" w:eastAsia="宋体" w:cstheme="minorEastAsia"/>
          <w:color w:val="000000" w:themeColor="text1"/>
          <w:sz w:val="24"/>
          <w:szCs w:val="24"/>
          <w:highlight w:val="none"/>
          <w14:textFill>
            <w14:solidFill>
              <w14:schemeClr w14:val="tx1"/>
            </w14:solidFill>
          </w14:textFill>
        </w:rPr>
        <w:t>悬浮式地板材料须通过《GB/T2423.22-2012》-70℃(停留1h)~100℃(停留1h)标准的温度冲击试验，40个循环后，无明显变化，无开裂，变形等现象</w:t>
      </w:r>
      <w:r>
        <w:rPr>
          <w:rFonts w:hint="eastAsia" w:ascii="宋体" w:hAnsi="宋体" w:eastAsia="宋体" w:cstheme="minorEastAsia"/>
          <w:color w:val="000000" w:themeColor="text1"/>
          <w:sz w:val="24"/>
          <w:szCs w:val="24"/>
          <w:highlight w:val="none"/>
          <w14:textFill>
            <w14:solidFill>
              <w14:schemeClr w14:val="tx1"/>
            </w14:solidFill>
          </w14:textFill>
        </w:rPr>
        <w:t>，</w:t>
      </w:r>
      <w:r>
        <w:rPr>
          <w:rFonts w:hint="eastAsia" w:ascii="宋体" w:hAnsi="宋体" w:eastAsia="宋体" w:cstheme="minorEastAsia"/>
          <w:b/>
          <w:bCs/>
          <w:color w:val="000000" w:themeColor="text1"/>
          <w:sz w:val="24"/>
          <w:szCs w:val="24"/>
          <w:highlight w:val="none"/>
          <w14:textFill>
            <w14:solidFill>
              <w14:schemeClr w14:val="tx1"/>
            </w14:solidFill>
          </w14:textFill>
        </w:rPr>
        <w:t>提供加盖制造商公章的检测报告；</w:t>
      </w:r>
    </w:p>
    <w:p>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heme="minorEastAsia"/>
          <w:b/>
          <w:bCs/>
          <w:color w:val="000000" w:themeColor="text1"/>
          <w:sz w:val="24"/>
          <w:szCs w:val="24"/>
          <w:highlight w:val="none"/>
          <w14:textFill>
            <w14:solidFill>
              <w14:schemeClr w14:val="tx1"/>
            </w14:solidFill>
          </w14:textFill>
        </w:rPr>
      </w:pPr>
      <w:r>
        <w:rPr>
          <w:rFonts w:ascii="宋体" w:hAnsi="宋体" w:eastAsia="宋体" w:cstheme="minorEastAsia"/>
          <w:color w:val="000000" w:themeColor="text1"/>
          <w:sz w:val="24"/>
          <w:szCs w:val="24"/>
          <w:highlight w:val="none"/>
          <w14:textFill>
            <w14:solidFill>
              <w14:schemeClr w14:val="tx1"/>
            </w14:solidFill>
          </w14:textFill>
        </w:rPr>
        <w:t>12</w:t>
      </w:r>
      <w:r>
        <w:rPr>
          <w:rFonts w:hint="eastAsia" w:ascii="宋体" w:hAnsi="宋体" w:eastAsia="宋体" w:cstheme="minorEastAsia"/>
          <w:color w:val="000000" w:themeColor="text1"/>
          <w:sz w:val="24"/>
          <w:szCs w:val="24"/>
          <w:highlight w:val="none"/>
          <w14:textFill>
            <w14:solidFill>
              <w14:schemeClr w14:val="tx1"/>
            </w14:solidFill>
          </w14:textFill>
        </w:rPr>
        <w:t>）</w:t>
      </w:r>
      <w:r>
        <w:rPr>
          <w:rFonts w:hint="eastAsia" w:hAnsi="宋体" w:cs="宋体"/>
          <w:b/>
          <w:bCs/>
          <w:sz w:val="24"/>
          <w:szCs w:val="24"/>
          <w:highlight w:val="none"/>
          <w:lang w:eastAsia="zh-CN"/>
        </w:rPr>
        <w:t>↓</w:t>
      </w:r>
      <w:r>
        <w:rPr>
          <w:rFonts w:hint="eastAsia" w:ascii="宋体" w:hAnsi="宋体" w:eastAsia="宋体" w:cstheme="minorEastAsia"/>
          <w:color w:val="000000" w:themeColor="text1"/>
          <w:sz w:val="24"/>
          <w:szCs w:val="24"/>
          <w:highlight w:val="none"/>
          <w14:textFill>
            <w14:solidFill>
              <w14:schemeClr w14:val="tx1"/>
            </w14:solidFill>
          </w14:textFill>
        </w:rPr>
        <w:t>悬浮地板安全卫士材料须通过《GB23864-2009》标准冻融循环检测，检测结果：无开裂、粉化，，</w:t>
      </w:r>
      <w:r>
        <w:rPr>
          <w:rFonts w:hint="eastAsia" w:ascii="宋体" w:hAnsi="宋体" w:eastAsia="宋体" w:cstheme="minorEastAsia"/>
          <w:b/>
          <w:bCs/>
          <w:color w:val="000000" w:themeColor="text1"/>
          <w:sz w:val="24"/>
          <w:szCs w:val="24"/>
          <w:highlight w:val="none"/>
          <w14:textFill>
            <w14:solidFill>
              <w14:schemeClr w14:val="tx1"/>
            </w14:solidFill>
          </w14:textFill>
        </w:rPr>
        <w:t>提供加盖制造商公章的检测报告；</w:t>
      </w:r>
    </w:p>
    <w:p>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heme="minorEastAsia"/>
          <w:color w:val="000000" w:themeColor="text1"/>
          <w:sz w:val="24"/>
          <w:szCs w:val="24"/>
          <w:highlight w:val="none"/>
          <w14:textFill>
            <w14:solidFill>
              <w14:schemeClr w14:val="tx1"/>
            </w14:solidFill>
          </w14:textFill>
        </w:rPr>
      </w:pPr>
      <w:r>
        <w:rPr>
          <w:rFonts w:ascii="宋体" w:hAnsi="宋体" w:eastAsia="宋体" w:cstheme="minorEastAsia"/>
          <w:color w:val="000000" w:themeColor="text1"/>
          <w:sz w:val="24"/>
          <w:szCs w:val="24"/>
          <w:highlight w:val="none"/>
          <w14:textFill>
            <w14:solidFill>
              <w14:schemeClr w14:val="tx1"/>
            </w14:solidFill>
          </w14:textFill>
        </w:rPr>
        <w:t>13</w:t>
      </w:r>
      <w:r>
        <w:rPr>
          <w:rFonts w:hint="eastAsia" w:ascii="宋体" w:hAnsi="宋体" w:eastAsia="宋体" w:cstheme="minorEastAsia"/>
          <w:color w:val="000000" w:themeColor="text1"/>
          <w:sz w:val="24"/>
          <w:szCs w:val="24"/>
          <w:highlight w:val="none"/>
          <w14:textFill>
            <w14:solidFill>
              <w14:schemeClr w14:val="tx1"/>
            </w14:solidFill>
          </w14:textFill>
        </w:rPr>
        <w:t>）</w:t>
      </w:r>
      <w:r>
        <w:rPr>
          <w:rFonts w:hint="eastAsia" w:hAnsi="宋体" w:cs="宋体"/>
          <w:b/>
          <w:bCs/>
          <w:sz w:val="24"/>
          <w:szCs w:val="24"/>
          <w:highlight w:val="none"/>
          <w:lang w:eastAsia="zh-CN"/>
        </w:rPr>
        <w:t>↓</w:t>
      </w:r>
      <w:r>
        <w:rPr>
          <w:rFonts w:ascii="宋体" w:hAnsi="宋体" w:eastAsia="宋体" w:cstheme="minorEastAsia"/>
          <w:color w:val="000000" w:themeColor="text1"/>
          <w:sz w:val="24"/>
          <w:szCs w:val="24"/>
          <w:highlight w:val="none"/>
          <w14:textFill>
            <w14:solidFill>
              <w14:schemeClr w14:val="tx1"/>
            </w14:solidFill>
          </w14:textFill>
        </w:rPr>
        <w:t>悬浮式地板弹性垫材料通过《GB/T 16422.3-2014》标准的紫外老化100h实验检测，检测结果：样品无明显变化</w:t>
      </w:r>
      <w:r>
        <w:rPr>
          <w:rFonts w:hint="eastAsia" w:ascii="宋体" w:hAnsi="宋体" w:eastAsia="宋体" w:cstheme="minorEastAsia"/>
          <w:color w:val="000000" w:themeColor="text1"/>
          <w:sz w:val="24"/>
          <w:szCs w:val="24"/>
          <w:highlight w:val="none"/>
          <w14:textFill>
            <w14:solidFill>
              <w14:schemeClr w14:val="tx1"/>
            </w14:solidFill>
          </w14:textFill>
        </w:rPr>
        <w:t>，</w:t>
      </w:r>
      <w:r>
        <w:rPr>
          <w:rFonts w:hint="eastAsia" w:ascii="宋体" w:hAnsi="宋体" w:eastAsia="宋体" w:cstheme="minorEastAsia"/>
          <w:b/>
          <w:bCs/>
          <w:color w:val="000000" w:themeColor="text1"/>
          <w:sz w:val="24"/>
          <w:szCs w:val="24"/>
          <w:highlight w:val="none"/>
          <w14:textFill>
            <w14:solidFill>
              <w14:schemeClr w14:val="tx1"/>
            </w14:solidFill>
          </w14:textFill>
        </w:rPr>
        <w:t>提供加盖制造商公章的检测报告；</w:t>
      </w:r>
    </w:p>
    <w:p>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heme="minorEastAsia"/>
          <w:b/>
          <w:bCs/>
          <w:color w:val="000000" w:themeColor="text1"/>
          <w:sz w:val="24"/>
          <w:szCs w:val="24"/>
          <w:highlight w:val="none"/>
          <w14:textFill>
            <w14:solidFill>
              <w14:schemeClr w14:val="tx1"/>
            </w14:solidFill>
          </w14:textFill>
        </w:rPr>
      </w:pPr>
      <w:r>
        <w:rPr>
          <w:rFonts w:ascii="宋体" w:hAnsi="宋体" w:eastAsia="宋体" w:cstheme="minorEastAsia"/>
          <w:color w:val="000000" w:themeColor="text1"/>
          <w:sz w:val="24"/>
          <w:szCs w:val="24"/>
          <w:highlight w:val="none"/>
          <w14:textFill>
            <w14:solidFill>
              <w14:schemeClr w14:val="tx1"/>
            </w14:solidFill>
          </w14:textFill>
        </w:rPr>
        <w:t>14</w:t>
      </w:r>
      <w:r>
        <w:rPr>
          <w:rFonts w:hint="eastAsia" w:ascii="宋体" w:hAnsi="宋体" w:eastAsia="宋体" w:cstheme="minorEastAsia"/>
          <w:color w:val="000000" w:themeColor="text1"/>
          <w:sz w:val="24"/>
          <w:szCs w:val="24"/>
          <w:highlight w:val="none"/>
          <w14:textFill>
            <w14:solidFill>
              <w14:schemeClr w14:val="tx1"/>
            </w14:solidFill>
          </w14:textFill>
        </w:rPr>
        <w:t>）</w:t>
      </w:r>
      <w:r>
        <w:rPr>
          <w:rFonts w:hint="eastAsia" w:hAnsi="宋体" w:cs="宋体"/>
          <w:b/>
          <w:bCs/>
          <w:sz w:val="24"/>
          <w:szCs w:val="24"/>
          <w:highlight w:val="none"/>
          <w:lang w:eastAsia="zh-CN"/>
        </w:rPr>
        <w:t>↓</w:t>
      </w:r>
      <w:r>
        <w:rPr>
          <w:rFonts w:ascii="宋体" w:hAnsi="宋体" w:eastAsia="宋体" w:cstheme="minorEastAsia"/>
          <w:color w:val="000000" w:themeColor="text1"/>
          <w:sz w:val="24"/>
          <w:szCs w:val="24"/>
          <w:highlight w:val="none"/>
          <w14:textFill>
            <w14:solidFill>
              <w14:schemeClr w14:val="tx1"/>
            </w14:solidFill>
          </w14:textFill>
        </w:rPr>
        <w:t>悬浮式地板材料通过《ISO 21702:2019》标准的病毒灭活实验检测，结论：细胞对照，生长正常</w:t>
      </w:r>
      <w:r>
        <w:rPr>
          <w:rFonts w:hint="eastAsia" w:ascii="宋体" w:hAnsi="宋体" w:eastAsia="宋体" w:cstheme="minorEastAsia"/>
          <w:color w:val="000000" w:themeColor="text1"/>
          <w:sz w:val="24"/>
          <w:szCs w:val="24"/>
          <w:highlight w:val="none"/>
          <w14:textFill>
            <w14:solidFill>
              <w14:schemeClr w14:val="tx1"/>
            </w14:solidFill>
          </w14:textFill>
        </w:rPr>
        <w:t>，</w:t>
      </w:r>
      <w:r>
        <w:rPr>
          <w:rFonts w:hint="eastAsia" w:ascii="宋体" w:hAnsi="宋体" w:eastAsia="宋体" w:cstheme="minorEastAsia"/>
          <w:b/>
          <w:bCs/>
          <w:color w:val="000000" w:themeColor="text1"/>
          <w:sz w:val="24"/>
          <w:szCs w:val="24"/>
          <w:highlight w:val="none"/>
          <w14:textFill>
            <w14:solidFill>
              <w14:schemeClr w14:val="tx1"/>
            </w14:solidFill>
          </w14:textFill>
        </w:rPr>
        <w:t>提供加盖制造商公章的检测报告；</w:t>
      </w:r>
    </w:p>
    <w:bookmarkEnd w:id="189"/>
    <w:p>
      <w:pPr>
        <w:pStyle w:val="3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theme="minorEastAsia"/>
          <w:b/>
          <w:bCs/>
          <w:color w:val="000000" w:themeColor="text1"/>
          <w:sz w:val="24"/>
          <w:szCs w:val="24"/>
          <w:highlight w:val="none"/>
          <w14:textFill>
            <w14:solidFill>
              <w14:schemeClr w14:val="tx1"/>
            </w14:solidFill>
          </w14:textFill>
        </w:rPr>
      </w:pPr>
      <w:r>
        <w:rPr>
          <w:rFonts w:hint="eastAsia" w:hAnsi="宋体" w:cs="宋体"/>
          <w:b/>
          <w:bCs/>
          <w:sz w:val="24"/>
          <w:szCs w:val="24"/>
          <w:highlight w:val="none"/>
          <w:lang w:eastAsia="zh-CN"/>
        </w:rPr>
        <w:t>↓</w:t>
      </w:r>
      <w:r>
        <w:rPr>
          <w:rFonts w:hint="eastAsia" w:ascii="宋体" w:hAnsi="宋体" w:eastAsia="宋体" w:cstheme="minorEastAsia"/>
          <w:b/>
          <w:bCs/>
          <w:color w:val="000000" w:themeColor="text1"/>
          <w:sz w:val="24"/>
          <w:szCs w:val="24"/>
          <w:highlight w:val="none"/>
          <w14:textFill>
            <w14:solidFill>
              <w14:schemeClr w14:val="tx1"/>
            </w14:solidFill>
          </w14:textFill>
        </w:rPr>
        <w:t>备注：以上1</w:t>
      </w:r>
      <w:r>
        <w:rPr>
          <w:rFonts w:ascii="宋体" w:hAnsi="宋体" w:eastAsia="宋体" w:cstheme="minorEastAsia"/>
          <w:b/>
          <w:bCs/>
          <w:color w:val="000000" w:themeColor="text1"/>
          <w:sz w:val="24"/>
          <w:szCs w:val="24"/>
          <w:highlight w:val="none"/>
          <w14:textFill>
            <w14:solidFill>
              <w14:schemeClr w14:val="tx1"/>
            </w14:solidFill>
          </w14:textFill>
        </w:rPr>
        <w:t>-1</w:t>
      </w:r>
      <w:r>
        <w:rPr>
          <w:rFonts w:hint="eastAsia" w:ascii="宋体" w:hAnsi="宋体" w:eastAsia="宋体" w:cstheme="minorEastAsia"/>
          <w:b/>
          <w:bCs/>
          <w:color w:val="000000" w:themeColor="text1"/>
          <w:sz w:val="24"/>
          <w:szCs w:val="24"/>
          <w:highlight w:val="none"/>
          <w14:textFill>
            <w14:solidFill>
              <w14:schemeClr w14:val="tx1"/>
            </w14:solidFill>
          </w14:textFill>
        </w:rPr>
        <w:t>4项，提供中国合格评定国家认可委员会的检测报告，并加盖制造商公章，原件备查。</w:t>
      </w:r>
    </w:p>
    <w:p>
      <w:pPr>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二、混合型塑胶跑道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产品品质及规格要求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1）</w:t>
      </w:r>
      <w:r>
        <w:rPr>
          <w:rFonts w:hint="eastAsia" w:hAnsi="宋体" w:cs="宋体"/>
          <w:b/>
          <w:bCs/>
          <w:sz w:val="24"/>
          <w:szCs w:val="24"/>
          <w:highlight w:val="none"/>
          <w:lang w:eastAsia="zh-CN"/>
        </w:rPr>
        <w:t>↓</w:t>
      </w:r>
      <w:r>
        <w:rPr>
          <w:rFonts w:hint="eastAsia" w:ascii="宋体" w:hAnsi="宋体" w:eastAsia="宋体"/>
          <w:sz w:val="24"/>
          <w:szCs w:val="24"/>
          <w:highlight w:val="none"/>
        </w:rPr>
        <w:t>混合型跑道材料通过I型HJ457-2009、HJ2537-2014中国环境标志产品认证证书；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w:t>
      </w:r>
      <w:r>
        <w:rPr>
          <w:rFonts w:hint="eastAsia" w:hAnsi="宋体" w:cs="宋体"/>
          <w:b/>
          <w:bCs/>
          <w:sz w:val="24"/>
          <w:szCs w:val="24"/>
          <w:highlight w:val="none"/>
          <w:lang w:eastAsia="zh-CN"/>
        </w:rPr>
        <w:t>↓</w:t>
      </w:r>
      <w:r>
        <w:rPr>
          <w:rFonts w:hint="eastAsia" w:ascii="宋体" w:hAnsi="宋体" w:eastAsia="宋体"/>
          <w:sz w:val="24"/>
          <w:szCs w:val="24"/>
          <w:highlight w:val="none"/>
        </w:rPr>
        <w:t>混合型跑道面层材料为绿色建筑选用产品并入选绿色建筑选用产品导向目录;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hint="eastAsia" w:hAnsi="宋体" w:cs="宋体"/>
          <w:b/>
          <w:bCs/>
          <w:sz w:val="24"/>
          <w:szCs w:val="24"/>
          <w:highlight w:val="none"/>
          <w:lang w:eastAsia="zh-CN"/>
        </w:rPr>
        <w:t>↓</w:t>
      </w:r>
      <w:r>
        <w:rPr>
          <w:rFonts w:hint="eastAsia" w:ascii="宋体" w:hAnsi="宋体" w:eastAsia="宋体"/>
          <w:sz w:val="24"/>
          <w:szCs w:val="24"/>
          <w:highlight w:val="none"/>
        </w:rPr>
        <w:t>混合型跑道生产厂家具备污染物排放许可证及产品并获得世界田联颁发的合格认证证书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4）</w:t>
      </w:r>
      <w:r>
        <w:rPr>
          <w:rFonts w:hint="eastAsia" w:hAnsi="宋体" w:cs="宋体"/>
          <w:b/>
          <w:bCs/>
          <w:sz w:val="24"/>
          <w:szCs w:val="24"/>
          <w:highlight w:val="none"/>
          <w:lang w:eastAsia="zh-CN"/>
        </w:rPr>
        <w:t>↓</w:t>
      </w:r>
      <w:r>
        <w:rPr>
          <w:rFonts w:hint="eastAsia" w:ascii="宋体" w:hAnsi="宋体" w:eastAsia="宋体"/>
          <w:sz w:val="24"/>
          <w:szCs w:val="24"/>
          <w:highlight w:val="none"/>
        </w:rPr>
        <w:t>生产厂家具有有效的符合GB/T27922-2011标准五星级《售后服务认证证书》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）混合型跑道厚度不小于13mm。</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sz w:val="24"/>
          <w:szCs w:val="24"/>
          <w:highlight w:val="none"/>
        </w:rPr>
      </w:pPr>
      <w:r>
        <w:rPr>
          <w:rFonts w:hint="eastAsia" w:hAnsi="宋体" w:cs="宋体"/>
          <w:b/>
          <w:bCs/>
          <w:sz w:val="24"/>
          <w:szCs w:val="24"/>
          <w:highlight w:val="none"/>
          <w:lang w:eastAsia="zh-CN"/>
        </w:rPr>
        <w:t>↓</w:t>
      </w:r>
      <w:r>
        <w:rPr>
          <w:rFonts w:hint="eastAsia" w:ascii="宋体" w:hAnsi="宋体" w:eastAsia="宋体"/>
          <w:b/>
          <w:bCs/>
          <w:color w:val="000000" w:themeColor="text1"/>
          <w:sz w:val="24"/>
          <w:szCs w:val="24"/>
          <w:highlight w:val="none"/>
          <w14:textFill>
            <w14:solidFill>
              <w14:schemeClr w14:val="tx1"/>
            </w14:solidFill>
          </w14:textFill>
        </w:rPr>
        <w:t>以上1</w:t>
      </w:r>
      <w:r>
        <w:rPr>
          <w:rFonts w:ascii="宋体" w:hAnsi="宋体" w:eastAsia="宋体"/>
          <w:b/>
          <w:bCs/>
          <w:color w:val="000000" w:themeColor="text1"/>
          <w:sz w:val="24"/>
          <w:szCs w:val="24"/>
          <w:highlight w:val="none"/>
          <w14:textFill>
            <w14:solidFill>
              <w14:schemeClr w14:val="tx1"/>
            </w14:solidFill>
          </w14:textFill>
        </w:rPr>
        <w:t>-4</w:t>
      </w:r>
      <w:r>
        <w:rPr>
          <w:rFonts w:hint="eastAsia" w:ascii="宋体" w:hAnsi="宋体" w:eastAsia="宋体"/>
          <w:b/>
          <w:bCs/>
          <w:color w:val="000000" w:themeColor="text1"/>
          <w:sz w:val="24"/>
          <w:szCs w:val="24"/>
          <w:highlight w:val="none"/>
          <w14:textFill>
            <w14:solidFill>
              <w14:schemeClr w14:val="tx1"/>
            </w14:solidFill>
          </w14:textFill>
        </w:rPr>
        <w:t>项提供加盖制造商公章的检测报告。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产品技术参数要求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bCs/>
          <w:color w:val="000000" w:themeColor="text1"/>
          <w:sz w:val="24"/>
          <w:szCs w:val="24"/>
          <w:highlight w:val="none"/>
          <w14:textFill>
            <w14:solidFill>
              <w14:schemeClr w14:val="tx1"/>
            </w14:solidFill>
          </w14:textFill>
        </w:rPr>
      </w:pPr>
      <w:r>
        <w:rPr>
          <w:rFonts w:ascii="宋体" w:hAnsi="宋体" w:eastAsia="宋体"/>
          <w:sz w:val="24"/>
          <w:szCs w:val="24"/>
          <w:highlight w:val="none"/>
        </w:rPr>
        <w:t>1</w:t>
      </w:r>
      <w:r>
        <w:rPr>
          <w:rFonts w:hint="eastAsia" w:ascii="宋体" w:hAnsi="宋体" w:eastAsia="宋体"/>
          <w:sz w:val="24"/>
          <w:szCs w:val="24"/>
          <w:highlight w:val="none"/>
        </w:rPr>
        <w:t>、塑胶跑道产品环保无毒无害，原材料及成品面层化学性能指标要求符合GB36246-2018《合成材料面层运动场地》标准 ，</w:t>
      </w:r>
      <w:r>
        <w:rPr>
          <w:rFonts w:hint="eastAsia" w:ascii="宋体" w:hAnsi="宋体" w:eastAsia="宋体"/>
          <w:b/>
          <w:bCs/>
          <w:color w:val="000000" w:themeColor="text1"/>
          <w:sz w:val="24"/>
          <w:szCs w:val="24"/>
          <w:highlight w:val="none"/>
          <w14:textFill>
            <w14:solidFill>
              <w14:schemeClr w14:val="tx1"/>
            </w14:solidFill>
          </w14:textFill>
        </w:rPr>
        <w:t>提供加盖制造商公章的检测报告；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）成品环保性能要求</w:t>
      </w:r>
    </w:p>
    <w:tbl>
      <w:tblPr>
        <w:tblStyle w:val="22"/>
        <w:tblW w:w="8794" w:type="dxa"/>
        <w:jc w:val="center"/>
        <w:tblLayout w:type="fixed"/>
        <w:tblCellMar>
          <w:top w:w="15" w:type="dxa"/>
          <w:left w:w="15" w:type="dxa"/>
          <w:bottom w:w="15" w:type="dxa"/>
          <w:right w:w="15" w:type="dxa"/>
        </w:tblCellMar>
      </w:tblPr>
      <w:tblGrid>
        <w:gridCol w:w="850"/>
        <w:gridCol w:w="1134"/>
        <w:gridCol w:w="4536"/>
        <w:gridCol w:w="2274"/>
      </w:tblGrid>
      <w:tr>
        <w:tblPrEx>
          <w:tblCellMar>
            <w:top w:w="15" w:type="dxa"/>
            <w:left w:w="15" w:type="dxa"/>
            <w:bottom w:w="15" w:type="dxa"/>
            <w:right w:w="15" w:type="dxa"/>
          </w:tblCellMar>
        </w:tblPrEx>
        <w:trPr>
          <w:trHeight w:val="624" w:hRule="atLeast"/>
          <w:jc w:val="center"/>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5670" w:type="dxa"/>
            <w:gridSpan w:val="2"/>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限量值要求</w:t>
            </w:r>
          </w:p>
        </w:tc>
        <w:tc>
          <w:tcPr>
            <w:tcW w:w="2274"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限量值要求</w:t>
            </w:r>
          </w:p>
        </w:tc>
      </w:tr>
      <w:tr>
        <w:tblPrEx>
          <w:tblCellMar>
            <w:top w:w="15" w:type="dxa"/>
            <w:left w:w="15" w:type="dxa"/>
            <w:bottom w:w="15" w:type="dxa"/>
            <w:right w:w="15" w:type="dxa"/>
          </w:tblCellMar>
        </w:tblPrEx>
        <w:trPr>
          <w:trHeight w:val="624" w:hRule="atLeast"/>
          <w:jc w:val="cent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400"/>
              <w:jc w:val="center"/>
              <w:rPr>
                <w:rFonts w:ascii="宋体" w:hAnsi="宋体" w:eastAsia="宋体"/>
                <w:sz w:val="24"/>
                <w:szCs w:val="24"/>
                <w:highlight w:val="none"/>
              </w:rPr>
            </w:pPr>
          </w:p>
        </w:tc>
        <w:tc>
          <w:tcPr>
            <w:tcW w:w="5670"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ind w:left="400"/>
              <w:rPr>
                <w:rFonts w:ascii="宋体" w:hAnsi="宋体" w:eastAsia="宋体"/>
                <w:sz w:val="24"/>
                <w:szCs w:val="24"/>
                <w:highlight w:val="none"/>
              </w:rPr>
            </w:pPr>
          </w:p>
        </w:tc>
        <w:tc>
          <w:tcPr>
            <w:tcW w:w="227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ind w:left="400"/>
              <w:jc w:val="center"/>
              <w:rPr>
                <w:rFonts w:ascii="宋体" w:hAnsi="宋体" w:eastAsia="宋体"/>
                <w:sz w:val="24"/>
                <w:szCs w:val="24"/>
                <w:highlight w:val="none"/>
              </w:rPr>
            </w:pP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成品有害物质限量</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3种邻苯二甲酸酯类化合物（DBP、BBP、DEHP）总和 </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≤1.0,g/kg</w:t>
            </w: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2</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3种邻苯二甲酸酯类化合物（DNOP、DINP、DIDP）总和 </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≤1.0,g/kg</w:t>
            </w: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3</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多环芳烃（18种总和） </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≤50，mg/kg</w:t>
            </w:r>
          </w:p>
        </w:tc>
      </w:tr>
      <w:tr>
        <w:tblPrEx>
          <w:tblCellMar>
            <w:top w:w="15" w:type="dxa"/>
            <w:left w:w="15" w:type="dxa"/>
            <w:bottom w:w="15" w:type="dxa"/>
            <w:right w:w="15"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4</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苯并{a}芘</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≤1.0，mg/kg</w:t>
            </w:r>
          </w:p>
        </w:tc>
      </w:tr>
      <w:tr>
        <w:tblPrEx>
          <w:tblCellMar>
            <w:top w:w="15" w:type="dxa"/>
            <w:left w:w="15" w:type="dxa"/>
            <w:bottom w:w="15" w:type="dxa"/>
            <w:right w:w="15"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短链氯石化蜡（C10-C13） </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≤1.5,g/kg</w:t>
            </w:r>
          </w:p>
        </w:tc>
      </w:tr>
      <w:tr>
        <w:tblPrEx>
          <w:tblCellMar>
            <w:top w:w="15" w:type="dxa"/>
            <w:left w:w="15" w:type="dxa"/>
            <w:bottom w:w="15" w:type="dxa"/>
            <w:right w:w="15"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6</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3，3’-二氯-4,4’-二氨基二苯甲烷（MOCA）</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≤1.0,g/kg</w:t>
            </w: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7</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游离甲苯二异氰酸酯（TDI）和游离六亚甲基二异氰酸酯（HDI）总和</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≤0.2,g/kg</w:t>
            </w: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8</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游离二苯基甲烷二异氰酸酯（MDI）</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≤1.0,g/kg</w:t>
            </w:r>
          </w:p>
        </w:tc>
      </w:tr>
      <w:tr>
        <w:tblPrEx>
          <w:tblCellMar>
            <w:top w:w="15" w:type="dxa"/>
            <w:left w:w="15" w:type="dxa"/>
            <w:bottom w:w="15" w:type="dxa"/>
            <w:right w:w="15"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9</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可溶性铅</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≤50，mg/kg</w:t>
            </w:r>
          </w:p>
        </w:tc>
      </w:tr>
      <w:tr>
        <w:tblPrEx>
          <w:tblCellMar>
            <w:top w:w="15" w:type="dxa"/>
            <w:left w:w="15" w:type="dxa"/>
            <w:bottom w:w="15" w:type="dxa"/>
            <w:right w:w="15" w:type="dxa"/>
          </w:tblCellMar>
        </w:tblPrEx>
        <w:trPr>
          <w:trHeight w:val="4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10</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可溶性镉</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≤10，mg/kg</w:t>
            </w: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11</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可溶性铬</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≤10，mg/kg</w:t>
            </w: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12</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可溶性汞</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≤2，mg/kg</w:t>
            </w:r>
          </w:p>
        </w:tc>
      </w:tr>
      <w:tr>
        <w:tblPrEx>
          <w:tblCellMar>
            <w:top w:w="15" w:type="dxa"/>
            <w:left w:w="15" w:type="dxa"/>
            <w:bottom w:w="15" w:type="dxa"/>
            <w:right w:w="15" w:type="dxa"/>
          </w:tblCellMar>
        </w:tblPrEx>
        <w:trPr>
          <w:trHeight w:val="52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13</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成品有害物质释放量</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总挥发性有机化合物（TVOC）释放率</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≤5.0，mg/m²·h</w:t>
            </w: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14</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甲醛</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≤0.4，mg/m²·h</w:t>
            </w: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15</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苯</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≤0.1，mg/m²·h</w:t>
            </w: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16</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甲苯、二甲苯和乙苯总和</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≤1.0，mg/m²·h</w:t>
            </w: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17</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二氧化碳</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≤7.0，mg/m²·h</w:t>
            </w:r>
          </w:p>
        </w:tc>
      </w:tr>
      <w:tr>
        <w:tblPrEx>
          <w:tblCellMar>
            <w:top w:w="15" w:type="dxa"/>
            <w:left w:w="15" w:type="dxa"/>
            <w:bottom w:w="15" w:type="dxa"/>
            <w:right w:w="15" w:type="dxa"/>
          </w:tblCellMar>
        </w:tblPrEx>
        <w:trPr>
          <w:trHeight w:val="2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18</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line="360" w:lineRule="auto"/>
              <w:ind w:left="400"/>
              <w:rPr>
                <w:rFonts w:ascii="宋体" w:hAnsi="宋体" w:eastAsia="宋体"/>
                <w:sz w:val="24"/>
                <w:szCs w:val="24"/>
                <w:highlight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ascii="宋体" w:hAnsi="宋体" w:eastAsia="宋体"/>
                <w:sz w:val="24"/>
                <w:szCs w:val="24"/>
                <w:highlight w:val="none"/>
              </w:rPr>
            </w:pPr>
            <w:r>
              <w:rPr>
                <w:rFonts w:hint="eastAsia" w:ascii="宋体" w:hAnsi="宋体" w:eastAsia="宋体"/>
                <w:sz w:val="24"/>
                <w:szCs w:val="24"/>
                <w:highlight w:val="none"/>
              </w:rPr>
              <w:t>气味等级</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≤3，级</w:t>
            </w:r>
          </w:p>
        </w:tc>
      </w:tr>
    </w:tbl>
    <w:p>
      <w:pPr>
        <w:spacing w:line="360" w:lineRule="auto"/>
        <w:rPr>
          <w:rFonts w:ascii="宋体" w:hAnsi="宋体" w:eastAsia="宋体"/>
          <w:sz w:val="24"/>
          <w:szCs w:val="24"/>
          <w:highlight w:val="none"/>
        </w:rPr>
      </w:pPr>
      <w:bookmarkStart w:id="190" w:name="_Hlk105095128"/>
    </w:p>
    <w:p>
      <w:pPr>
        <w:spacing w:line="360" w:lineRule="auto"/>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）运动物理性能：</w:t>
      </w:r>
      <w:bookmarkEnd w:id="190"/>
    </w:p>
    <w:tbl>
      <w:tblPr>
        <w:tblStyle w:val="22"/>
        <w:tblW w:w="4999" w:type="pct"/>
        <w:tblInd w:w="0" w:type="dxa"/>
        <w:tblLayout w:type="autofit"/>
        <w:tblCellMar>
          <w:top w:w="0" w:type="dxa"/>
          <w:left w:w="108" w:type="dxa"/>
          <w:bottom w:w="0" w:type="dxa"/>
          <w:right w:w="108" w:type="dxa"/>
        </w:tblCellMar>
      </w:tblPr>
      <w:tblGrid>
        <w:gridCol w:w="898"/>
        <w:gridCol w:w="4494"/>
        <w:gridCol w:w="3894"/>
      </w:tblGrid>
      <w:tr>
        <w:tblPrEx>
          <w:tblCellMar>
            <w:top w:w="0" w:type="dxa"/>
            <w:left w:w="108" w:type="dxa"/>
            <w:bottom w:w="0" w:type="dxa"/>
            <w:right w:w="108" w:type="dxa"/>
          </w:tblCellMar>
        </w:tblPrEx>
        <w:trPr>
          <w:trHeight w:val="312" w:hRule="atLeast"/>
        </w:trPr>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highlight w:val="none"/>
              </w:rPr>
            </w:pPr>
            <w:r>
              <w:rPr>
                <w:rFonts w:ascii="宋体" w:hAnsi="宋体"/>
                <w:b/>
                <w:bCs/>
                <w:color w:val="000000"/>
                <w:kern w:val="0"/>
                <w:sz w:val="22"/>
                <w:highlight w:val="none"/>
              </w:rPr>
              <w:t>序号</w:t>
            </w:r>
          </w:p>
        </w:tc>
        <w:tc>
          <w:tcPr>
            <w:tcW w:w="2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highlight w:val="none"/>
              </w:rPr>
            </w:pPr>
            <w:r>
              <w:rPr>
                <w:rFonts w:ascii="宋体" w:hAnsi="宋体"/>
                <w:b/>
                <w:bCs/>
                <w:color w:val="000000"/>
                <w:kern w:val="0"/>
                <w:sz w:val="22"/>
                <w:highlight w:val="none"/>
              </w:rPr>
              <w:t>检测项目</w:t>
            </w:r>
          </w:p>
        </w:tc>
        <w:tc>
          <w:tcPr>
            <w:tcW w:w="20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color w:val="000000"/>
                <w:sz w:val="22"/>
                <w:highlight w:val="none"/>
              </w:rPr>
            </w:pPr>
            <w:r>
              <w:rPr>
                <w:rFonts w:ascii="宋体" w:hAnsi="宋体"/>
                <w:b/>
                <w:bCs/>
                <w:color w:val="000000"/>
                <w:kern w:val="0"/>
                <w:sz w:val="22"/>
                <w:highlight w:val="none"/>
              </w:rPr>
              <w:t>标准要求</w:t>
            </w:r>
          </w:p>
        </w:tc>
      </w:tr>
      <w:tr>
        <w:tblPrEx>
          <w:tblCellMar>
            <w:top w:w="0" w:type="dxa"/>
            <w:left w:w="108" w:type="dxa"/>
            <w:bottom w:w="0" w:type="dxa"/>
            <w:right w:w="108" w:type="dxa"/>
          </w:tblCellMar>
        </w:tblPrEx>
        <w:trPr>
          <w:trHeight w:val="312" w:hRule="atLeast"/>
        </w:trPr>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highlight w:val="none"/>
              </w:rPr>
            </w:pPr>
          </w:p>
        </w:tc>
        <w:tc>
          <w:tcPr>
            <w:tcW w:w="2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highlight w:val="none"/>
              </w:rPr>
            </w:pPr>
          </w:p>
        </w:tc>
        <w:tc>
          <w:tcPr>
            <w:tcW w:w="20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2"/>
                <w:highlight w:val="none"/>
              </w:rPr>
            </w:pPr>
          </w:p>
        </w:tc>
      </w:tr>
      <w:tr>
        <w:tblPrEx>
          <w:tblCellMar>
            <w:top w:w="0" w:type="dxa"/>
            <w:left w:w="108" w:type="dxa"/>
            <w:bottom w:w="0" w:type="dxa"/>
            <w:right w:w="108" w:type="dxa"/>
          </w:tblCellMar>
        </w:tblPrEx>
        <w:trPr>
          <w:trHeight w:val="436"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highlight w:val="none"/>
              </w:rPr>
            </w:pPr>
            <w:r>
              <w:rPr>
                <w:rFonts w:cs="Calibri"/>
                <w:color w:val="000000"/>
                <w:kern w:val="0"/>
                <w:sz w:val="24"/>
                <w:highlight w:val="none"/>
              </w:rPr>
              <w:t>1</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191" w:name="_Hlk105095174"/>
            <w:r>
              <w:rPr>
                <w:rFonts w:ascii="宋体" w:hAnsi="宋体"/>
                <w:color w:val="000000"/>
                <w:kern w:val="0"/>
                <w:sz w:val="24"/>
                <w:highlight w:val="none"/>
              </w:rPr>
              <w:t>冲击吸收(%)</w:t>
            </w:r>
            <w:bookmarkEnd w:id="191"/>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192" w:name="_Hlk105095181"/>
            <w:r>
              <w:rPr>
                <w:rFonts w:ascii="宋体" w:hAnsi="宋体"/>
                <w:color w:val="000000"/>
                <w:kern w:val="0"/>
                <w:sz w:val="24"/>
                <w:highlight w:val="none"/>
              </w:rPr>
              <w:t xml:space="preserve">田径场地：35-50 </w:t>
            </w:r>
            <w:bookmarkEnd w:id="192"/>
          </w:p>
        </w:tc>
      </w:tr>
      <w:tr>
        <w:tblPrEx>
          <w:tblCellMar>
            <w:top w:w="0" w:type="dxa"/>
            <w:left w:w="108" w:type="dxa"/>
            <w:bottom w:w="0" w:type="dxa"/>
            <w:right w:w="108" w:type="dxa"/>
          </w:tblCellMar>
        </w:tblPrEx>
        <w:trPr>
          <w:trHeight w:val="38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highlight w:val="none"/>
              </w:rPr>
            </w:pPr>
            <w:r>
              <w:rPr>
                <w:rFonts w:cs="Calibri"/>
                <w:color w:val="000000"/>
                <w:kern w:val="0"/>
                <w:sz w:val="24"/>
                <w:highlight w:val="none"/>
              </w:rPr>
              <w:t>2</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193" w:name="_Hlk105095217"/>
            <w:r>
              <w:rPr>
                <w:rFonts w:ascii="宋体" w:hAnsi="宋体"/>
                <w:color w:val="000000"/>
                <w:kern w:val="0"/>
                <w:sz w:val="24"/>
                <w:highlight w:val="none"/>
              </w:rPr>
              <w:t xml:space="preserve">垂直变形(mm) </w:t>
            </w:r>
            <w:bookmarkEnd w:id="193"/>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194" w:name="_Hlk105095227"/>
            <w:r>
              <w:rPr>
                <w:rFonts w:ascii="宋体" w:hAnsi="宋体"/>
                <w:color w:val="000000"/>
                <w:kern w:val="0"/>
                <w:sz w:val="24"/>
                <w:highlight w:val="none"/>
              </w:rPr>
              <w:t xml:space="preserve">0.6-3.0 </w:t>
            </w:r>
            <w:bookmarkEnd w:id="194"/>
          </w:p>
        </w:tc>
      </w:tr>
      <w:tr>
        <w:tblPrEx>
          <w:tblCellMar>
            <w:top w:w="0" w:type="dxa"/>
            <w:left w:w="108" w:type="dxa"/>
            <w:bottom w:w="0" w:type="dxa"/>
            <w:right w:w="108" w:type="dxa"/>
          </w:tblCellMar>
        </w:tblPrEx>
        <w:trPr>
          <w:trHeight w:val="32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highlight w:val="none"/>
              </w:rPr>
            </w:pPr>
            <w:r>
              <w:rPr>
                <w:rFonts w:cs="Calibri"/>
                <w:color w:val="000000"/>
                <w:kern w:val="0"/>
                <w:sz w:val="24"/>
                <w:highlight w:val="none"/>
              </w:rPr>
              <w:t>3</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195" w:name="_Hlk105095234"/>
            <w:r>
              <w:rPr>
                <w:rFonts w:ascii="宋体" w:hAnsi="宋体"/>
                <w:color w:val="000000"/>
                <w:kern w:val="0"/>
                <w:sz w:val="24"/>
                <w:highlight w:val="none"/>
              </w:rPr>
              <w:t xml:space="preserve">抗滑值(BPN,20℃) </w:t>
            </w:r>
            <w:bookmarkEnd w:id="195"/>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196" w:name="_Hlk105095241"/>
            <w:r>
              <w:rPr>
                <w:rFonts w:ascii="宋体" w:hAnsi="宋体"/>
                <w:color w:val="000000"/>
                <w:kern w:val="0"/>
                <w:sz w:val="24"/>
                <w:highlight w:val="none"/>
              </w:rPr>
              <w:t>≥47（湿测）</w:t>
            </w:r>
            <w:bookmarkEnd w:id="196"/>
          </w:p>
        </w:tc>
      </w:tr>
      <w:tr>
        <w:tblPrEx>
          <w:tblCellMar>
            <w:top w:w="0" w:type="dxa"/>
            <w:left w:w="108" w:type="dxa"/>
            <w:bottom w:w="0" w:type="dxa"/>
            <w:right w:w="108" w:type="dxa"/>
          </w:tblCellMar>
        </w:tblPrEx>
        <w:trPr>
          <w:trHeight w:val="326"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highlight w:val="none"/>
              </w:rPr>
            </w:pPr>
            <w:r>
              <w:rPr>
                <w:rFonts w:cs="Calibri"/>
                <w:color w:val="000000"/>
                <w:kern w:val="0"/>
                <w:sz w:val="24"/>
                <w:highlight w:val="none"/>
              </w:rPr>
              <w:t>4</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197" w:name="_Hlk105095252"/>
            <w:r>
              <w:rPr>
                <w:rFonts w:ascii="宋体" w:hAnsi="宋体"/>
                <w:color w:val="000000"/>
                <w:kern w:val="0"/>
                <w:sz w:val="24"/>
                <w:highlight w:val="none"/>
              </w:rPr>
              <w:t>拉伸强度（MPa）</w:t>
            </w:r>
            <w:bookmarkEnd w:id="197"/>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198" w:name="_Hlk105095261"/>
            <w:r>
              <w:rPr>
                <w:rFonts w:ascii="宋体" w:hAnsi="宋体"/>
                <w:color w:val="000000"/>
                <w:kern w:val="0"/>
                <w:sz w:val="24"/>
                <w:highlight w:val="none"/>
              </w:rPr>
              <w:t>非渗水型面层：≥0.5</w:t>
            </w:r>
            <w:bookmarkEnd w:id="198"/>
          </w:p>
        </w:tc>
      </w:tr>
      <w:tr>
        <w:tblPrEx>
          <w:tblCellMar>
            <w:top w:w="0" w:type="dxa"/>
            <w:left w:w="108" w:type="dxa"/>
            <w:bottom w:w="0" w:type="dxa"/>
            <w:right w:w="108" w:type="dxa"/>
          </w:tblCellMar>
        </w:tblPrEx>
        <w:trPr>
          <w:trHeight w:val="419"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highlight w:val="none"/>
              </w:rPr>
            </w:pPr>
            <w:r>
              <w:rPr>
                <w:rFonts w:cs="Calibri"/>
                <w:color w:val="000000"/>
                <w:kern w:val="0"/>
                <w:sz w:val="24"/>
                <w:highlight w:val="none"/>
              </w:rPr>
              <w:t>5</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199" w:name="_Hlk105095269"/>
            <w:r>
              <w:rPr>
                <w:rFonts w:ascii="宋体" w:hAnsi="宋体"/>
                <w:color w:val="000000"/>
                <w:kern w:val="0"/>
                <w:sz w:val="24"/>
                <w:highlight w:val="none"/>
              </w:rPr>
              <w:t>拉断伸长率(%)</w:t>
            </w:r>
            <w:bookmarkEnd w:id="199"/>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200" w:name="_Hlk105095276"/>
            <w:r>
              <w:rPr>
                <w:rFonts w:ascii="宋体" w:hAnsi="宋体"/>
                <w:color w:val="000000"/>
                <w:kern w:val="0"/>
                <w:sz w:val="24"/>
                <w:highlight w:val="none"/>
              </w:rPr>
              <w:t>≥40</w:t>
            </w:r>
            <w:bookmarkEnd w:id="200"/>
          </w:p>
        </w:tc>
      </w:tr>
      <w:tr>
        <w:tblPrEx>
          <w:tblCellMar>
            <w:top w:w="0" w:type="dxa"/>
            <w:left w:w="108" w:type="dxa"/>
            <w:bottom w:w="0" w:type="dxa"/>
            <w:right w:w="108" w:type="dxa"/>
          </w:tblCellMar>
        </w:tblPrEx>
        <w:trPr>
          <w:trHeight w:val="440"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highlight w:val="none"/>
              </w:rPr>
            </w:pPr>
            <w:r>
              <w:rPr>
                <w:rFonts w:cs="Calibri"/>
                <w:color w:val="000000"/>
                <w:kern w:val="0"/>
                <w:sz w:val="24"/>
                <w:highlight w:val="none"/>
              </w:rPr>
              <w:t>6</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201" w:name="_Hlk105095283"/>
            <w:r>
              <w:rPr>
                <w:rFonts w:ascii="宋体" w:hAnsi="宋体"/>
                <w:color w:val="000000"/>
                <w:kern w:val="0"/>
                <w:sz w:val="24"/>
                <w:highlight w:val="none"/>
              </w:rPr>
              <w:t>阻燃性能</w:t>
            </w:r>
            <w:bookmarkEnd w:id="201"/>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24"/>
                <w:highlight w:val="none"/>
              </w:rPr>
            </w:pPr>
            <w:bookmarkStart w:id="202" w:name="_Hlk105095290"/>
            <w:r>
              <w:rPr>
                <w:rFonts w:ascii="宋体" w:hAnsi="宋体"/>
                <w:color w:val="000000"/>
                <w:kern w:val="0"/>
                <w:sz w:val="24"/>
                <w:highlight w:val="none"/>
              </w:rPr>
              <w:t>I级（燃斑直径≤50mm）</w:t>
            </w:r>
            <w:bookmarkEnd w:id="202"/>
          </w:p>
        </w:tc>
      </w:tr>
    </w:tbl>
    <w:p>
      <w:pPr>
        <w:spacing w:line="360" w:lineRule="auto"/>
        <w:rPr>
          <w:szCs w:val="21"/>
          <w:highlight w:val="none"/>
        </w:rPr>
      </w:pPr>
    </w:p>
    <w:p>
      <w:pPr>
        <w:pStyle w:val="37"/>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、环保耐用性能要求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bCs/>
          <w:color w:val="000000" w:themeColor="text1"/>
          <w:sz w:val="24"/>
          <w:szCs w:val="24"/>
          <w:highlight w:val="none"/>
          <w14:textFill>
            <w14:solidFill>
              <w14:schemeClr w14:val="tx1"/>
            </w14:solidFill>
          </w14:textFill>
        </w:rPr>
      </w:pPr>
      <w:r>
        <w:rPr>
          <w:rFonts w:ascii="宋体" w:hAnsi="宋体" w:eastAsia="宋体" w:cstheme="minorEastAsia"/>
          <w:color w:val="000000" w:themeColor="text1"/>
          <w:sz w:val="24"/>
          <w:szCs w:val="24"/>
          <w:highlight w:val="none"/>
          <w14:textFill>
            <w14:solidFill>
              <w14:schemeClr w14:val="tx1"/>
            </w14:solidFill>
          </w14:textFill>
        </w:rPr>
        <w:t>1</w:t>
      </w:r>
      <w:r>
        <w:rPr>
          <w:rFonts w:hint="eastAsia" w:ascii="宋体" w:hAnsi="宋体" w:eastAsia="宋体" w:cstheme="minorEastAsia"/>
          <w:color w:val="000000" w:themeColor="text1"/>
          <w:sz w:val="24"/>
          <w:szCs w:val="24"/>
          <w:highlight w:val="none"/>
          <w14:textFill>
            <w14:solidFill>
              <w14:schemeClr w14:val="tx1"/>
            </w14:solidFill>
          </w14:textFill>
        </w:rPr>
        <w:t>）</w:t>
      </w:r>
      <w:r>
        <w:rPr>
          <w:rFonts w:hint="eastAsia" w:hAnsi="宋体" w:cs="宋体"/>
          <w:b/>
          <w:bCs/>
          <w:sz w:val="24"/>
          <w:szCs w:val="24"/>
          <w:highlight w:val="none"/>
          <w:lang w:eastAsia="zh-CN"/>
        </w:rPr>
        <w:t>↓</w:t>
      </w:r>
      <w:r>
        <w:rPr>
          <w:rFonts w:hint="eastAsia" w:ascii="宋体" w:hAnsi="宋体" w:eastAsia="宋体"/>
          <w:sz w:val="24"/>
          <w:szCs w:val="24"/>
          <w:highlight w:val="none"/>
        </w:rPr>
        <w:t>跑道面层不应对周边环境造成有害物质迁移影响，要求成品中可溶解有机碳DOC≦50mg/l，可萃取有机卤化物EOX≦100mg/kg，</w:t>
      </w:r>
      <w:r>
        <w:rPr>
          <w:rFonts w:hint="eastAsia" w:ascii="宋体" w:hAnsi="宋体" w:eastAsia="宋体"/>
          <w:b/>
          <w:bCs/>
          <w:color w:val="000000" w:themeColor="text1"/>
          <w:sz w:val="24"/>
          <w:szCs w:val="24"/>
          <w:highlight w:val="none"/>
          <w14:textFill>
            <w14:solidFill>
              <w14:schemeClr w14:val="tx1"/>
            </w14:solidFill>
          </w14:textFill>
        </w:rPr>
        <w:t>提供测试合格的测试报告；提供加盖制造商公章的检测报告；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bCs/>
          <w:color w:val="FF0000"/>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hint="eastAsia" w:hAnsi="宋体" w:cs="宋体"/>
          <w:b/>
          <w:bCs/>
          <w:sz w:val="24"/>
          <w:szCs w:val="24"/>
          <w:highlight w:val="none"/>
          <w:lang w:eastAsia="zh-CN"/>
        </w:rPr>
        <w:t>↓</w:t>
      </w:r>
      <w:r>
        <w:rPr>
          <w:rFonts w:hint="eastAsia" w:ascii="宋体" w:hAnsi="宋体" w:eastAsia="宋体"/>
          <w:sz w:val="24"/>
          <w:szCs w:val="24"/>
          <w:highlight w:val="none"/>
        </w:rPr>
        <w:t>跑道面层成品中，要求邻苯二甲酸酯中BBP、DBP、DCHP、DEHP、DHEXP/DnHP、DIBP、DINP、DPENP/DnPP少于0.1%且要求成品中乙酰柠檬酸三丁酯（ATBC)含量不得高于15%，</w:t>
      </w:r>
      <w:r>
        <w:rPr>
          <w:rFonts w:hint="eastAsia" w:ascii="宋体" w:hAnsi="宋体" w:eastAsia="宋体"/>
          <w:b/>
          <w:bCs/>
          <w:color w:val="000000" w:themeColor="text1"/>
          <w:sz w:val="24"/>
          <w:szCs w:val="24"/>
          <w:highlight w:val="none"/>
          <w14:textFill>
            <w14:solidFill>
              <w14:schemeClr w14:val="tx1"/>
            </w14:solidFill>
          </w14:textFill>
        </w:rPr>
        <w:t>提供加盖制造商公章的检测报告；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bCs/>
          <w:color w:val="FF0000"/>
          <w:sz w:val="24"/>
          <w:szCs w:val="24"/>
          <w:highlight w:val="none"/>
        </w:rPr>
      </w:pPr>
      <w:r>
        <w:rPr>
          <w:rFonts w:hint="eastAsia" w:ascii="宋体" w:hAnsi="宋体" w:eastAsia="宋体"/>
          <w:sz w:val="24"/>
          <w:szCs w:val="24"/>
          <w:highlight w:val="none"/>
        </w:rPr>
        <w:t>3）</w:t>
      </w:r>
      <w:r>
        <w:rPr>
          <w:rFonts w:hint="eastAsia" w:hAnsi="宋体" w:cs="宋体"/>
          <w:b/>
          <w:bCs/>
          <w:sz w:val="24"/>
          <w:szCs w:val="24"/>
          <w:highlight w:val="none"/>
          <w:lang w:eastAsia="zh-CN"/>
        </w:rPr>
        <w:t>↓</w:t>
      </w:r>
      <w:r>
        <w:rPr>
          <w:rFonts w:hint="eastAsia" w:ascii="宋体" w:hAnsi="宋体" w:eastAsia="宋体"/>
          <w:sz w:val="24"/>
          <w:szCs w:val="24"/>
          <w:highlight w:val="none"/>
        </w:rPr>
        <w:t>跑道面层成品中18项多环芳香烃每项物质的含量以及要求18项多环芳香烃总和≦0.5mg/k</w:t>
      </w:r>
      <w:r>
        <w:rPr>
          <w:rFonts w:hint="eastAsia" w:ascii="宋体" w:hAnsi="宋体" w:eastAsia="宋体"/>
          <w:color w:val="000000" w:themeColor="text1"/>
          <w:sz w:val="24"/>
          <w:szCs w:val="24"/>
          <w:highlight w:val="none"/>
          <w14:textFill>
            <w14:solidFill>
              <w14:schemeClr w14:val="tx1"/>
            </w14:solidFill>
          </w14:textFill>
        </w:rPr>
        <w:t>g，</w:t>
      </w:r>
      <w:r>
        <w:rPr>
          <w:rFonts w:hint="eastAsia" w:ascii="宋体" w:hAnsi="宋体" w:eastAsia="宋体"/>
          <w:b/>
          <w:bCs/>
          <w:color w:val="000000" w:themeColor="text1"/>
          <w:sz w:val="24"/>
          <w:szCs w:val="24"/>
          <w:highlight w:val="none"/>
          <w14:textFill>
            <w14:solidFill>
              <w14:schemeClr w14:val="tx1"/>
            </w14:solidFill>
          </w14:textFill>
        </w:rPr>
        <w:t>提供加盖制造商公章的检测报告；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bCs/>
          <w:color w:val="000000" w:themeColor="text1"/>
          <w:sz w:val="24"/>
          <w:szCs w:val="24"/>
          <w:highlight w:val="none"/>
          <w14:textFill>
            <w14:solidFill>
              <w14:schemeClr w14:val="tx1"/>
            </w14:solidFill>
          </w14:textFill>
        </w:rPr>
      </w:pPr>
      <w:r>
        <w:rPr>
          <w:rFonts w:ascii="宋体" w:hAnsi="宋体" w:eastAsia="宋体"/>
          <w:sz w:val="24"/>
          <w:szCs w:val="24"/>
          <w:highlight w:val="none"/>
        </w:rPr>
        <w:t>4</w:t>
      </w:r>
      <w:r>
        <w:rPr>
          <w:rFonts w:hint="eastAsia" w:ascii="宋体" w:hAnsi="宋体" w:eastAsia="宋体"/>
          <w:sz w:val="24"/>
          <w:szCs w:val="24"/>
          <w:highlight w:val="none"/>
        </w:rPr>
        <w:t>）</w:t>
      </w:r>
      <w:r>
        <w:rPr>
          <w:rFonts w:hint="eastAsia" w:hAnsi="宋体" w:cs="宋体"/>
          <w:b/>
          <w:bCs/>
          <w:sz w:val="24"/>
          <w:szCs w:val="24"/>
          <w:highlight w:val="none"/>
          <w:lang w:eastAsia="zh-CN"/>
        </w:rPr>
        <w:t>↓</w:t>
      </w:r>
      <w:r>
        <w:rPr>
          <w:rFonts w:hint="eastAsia" w:ascii="宋体" w:hAnsi="宋体" w:eastAsia="宋体"/>
          <w:sz w:val="24"/>
          <w:szCs w:val="24"/>
          <w:highlight w:val="none"/>
        </w:rPr>
        <w:t>跑道面层EPDM颗粒的撕裂强度&gt;10kN/m，拉伸强度&gt;5MPa，拉断伸长率&gt;500%，高聚物含量&gt;20%，</w:t>
      </w:r>
      <w:r>
        <w:rPr>
          <w:rFonts w:hint="eastAsia" w:ascii="宋体" w:hAnsi="宋体" w:eastAsia="宋体"/>
          <w:b/>
          <w:bCs/>
          <w:color w:val="000000" w:themeColor="text1"/>
          <w:sz w:val="24"/>
          <w:szCs w:val="24"/>
          <w:highlight w:val="none"/>
          <w14:textFill>
            <w14:solidFill>
              <w14:schemeClr w14:val="tx1"/>
            </w14:solidFill>
          </w14:textFill>
        </w:rPr>
        <w:t>提供加盖制造商公章的检测报告；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bCs/>
          <w:color w:val="000000" w:themeColor="text1"/>
          <w:sz w:val="24"/>
          <w:szCs w:val="24"/>
          <w:highlight w:val="none"/>
          <w14:textFill>
            <w14:solidFill>
              <w14:schemeClr w14:val="tx1"/>
            </w14:solidFill>
          </w14:textFill>
        </w:rPr>
      </w:pPr>
      <w:r>
        <w:rPr>
          <w:rFonts w:ascii="宋体" w:hAnsi="宋体" w:eastAsia="宋体"/>
          <w:sz w:val="24"/>
          <w:szCs w:val="24"/>
          <w:highlight w:val="none"/>
        </w:rPr>
        <w:t>5</w:t>
      </w:r>
      <w:r>
        <w:rPr>
          <w:rFonts w:hint="eastAsia" w:ascii="宋体" w:hAnsi="宋体" w:eastAsia="宋体"/>
          <w:sz w:val="24"/>
          <w:szCs w:val="24"/>
          <w:highlight w:val="none"/>
        </w:rPr>
        <w:t>）</w:t>
      </w:r>
      <w:r>
        <w:rPr>
          <w:rFonts w:hint="eastAsia" w:hAnsi="宋体" w:cs="宋体"/>
          <w:b/>
          <w:bCs/>
          <w:sz w:val="24"/>
          <w:szCs w:val="24"/>
          <w:highlight w:val="none"/>
          <w:lang w:eastAsia="zh-CN"/>
        </w:rPr>
        <w:t>↓</w:t>
      </w:r>
      <w:r>
        <w:rPr>
          <w:rFonts w:hint="eastAsia" w:ascii="宋体" w:hAnsi="宋体" w:eastAsia="宋体"/>
          <w:sz w:val="24"/>
          <w:szCs w:val="24"/>
          <w:highlight w:val="none"/>
        </w:rPr>
        <w:t>跑道面层成品经过60℃热空气老化≥800h后，拉断伸长率＞150%。热空气老化前后，冲击吸收、垂直变形、拉伸强度、拉断伸长率均符合GB/T22517.6-2020、GB/T 14833-2020、GB 36246-2018的相关要求，</w:t>
      </w:r>
      <w:r>
        <w:rPr>
          <w:rFonts w:hint="eastAsia" w:ascii="宋体" w:hAnsi="宋体" w:eastAsia="宋体"/>
          <w:b/>
          <w:bCs/>
          <w:color w:val="000000" w:themeColor="text1"/>
          <w:sz w:val="24"/>
          <w:szCs w:val="24"/>
          <w:highlight w:val="none"/>
          <w14:textFill>
            <w14:solidFill>
              <w14:schemeClr w14:val="tx1"/>
            </w14:solidFill>
          </w14:textFill>
        </w:rPr>
        <w:t>提供加盖制造商公章的检测报告；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sz w:val="36"/>
          <w:highlight w:val="none"/>
        </w:rPr>
      </w:pPr>
      <w:r>
        <w:rPr>
          <w:rFonts w:hint="eastAsia"/>
          <w:b w:val="0"/>
          <w:bCs/>
          <w:sz w:val="24"/>
          <w:szCs w:val="15"/>
          <w:highlight w:val="none"/>
          <w:lang w:eastAsia="zh-CN"/>
        </w:rPr>
        <w:t>施工要求：</w:t>
      </w:r>
      <w:r>
        <w:rPr>
          <w:rFonts w:hint="eastAsia"/>
          <w:b w:val="0"/>
          <w:bCs/>
          <w:sz w:val="24"/>
          <w:szCs w:val="15"/>
          <w:highlight w:val="none"/>
        </w:rPr>
        <w:t>在施工期间，中标供应商必须注意校园内人员安全，加强安全措施，并对施工人员进行安全教育。施工人员必须持证上岗。因采购人工作的特殊性，要求中标供应商在施工中做到封闭性施工，施工机械、车辆出入服从采购方校园安全管理规定，服从门卫和采购方现场管理人员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kern w:val="0"/>
          <w:sz w:val="36"/>
          <w:szCs w:val="36"/>
          <w:highlight w:val="none"/>
          <w:lang w:val="en-US" w:eastAsia="zh-CN" w:bidi="ar-SA"/>
        </w:rPr>
      </w:pPr>
      <w:r>
        <w:rPr>
          <w:rFonts w:hint="eastAsia" w:hAnsi="宋体" w:cs="宋体"/>
          <w:b w:val="0"/>
          <w:bCs/>
          <w:kern w:val="0"/>
          <w:sz w:val="24"/>
          <w:szCs w:val="24"/>
          <w:highlight w:val="none"/>
          <w:lang w:val="en-US" w:eastAsia="zh-CN" w:bidi="ar-SA"/>
        </w:rPr>
        <w:t>施工内容：详见工程量清单（单独提供）</w:t>
      </w:r>
    </w:p>
    <w:p>
      <w:pPr>
        <w:spacing w:before="624" w:beforeLines="200"/>
        <w:jc w:val="center"/>
        <w:outlineLvl w:val="9"/>
        <w:rPr>
          <w:rFonts w:hint="eastAsia" w:ascii="宋体" w:hAnsi="宋体" w:eastAsia="宋体" w:cs="宋体"/>
          <w:b/>
          <w:bCs/>
          <w:sz w:val="44"/>
          <w:szCs w:val="44"/>
          <w:highlight w:val="none"/>
        </w:rPr>
      </w:pPr>
      <w:r>
        <w:rPr>
          <w:rFonts w:hint="eastAsia" w:ascii="宋体" w:hAnsi="宋体" w:eastAsia="宋体" w:cs="宋体"/>
          <w:b w:val="0"/>
          <w:bCs w:val="0"/>
          <w:sz w:val="44"/>
          <w:szCs w:val="44"/>
          <w:highlight w:val="none"/>
          <w:lang w:val="en-US" w:eastAsia="zh-CN"/>
        </w:rPr>
        <w:t>工程量清单</w:t>
      </w:r>
      <w:r>
        <w:rPr>
          <w:rFonts w:hint="eastAsia" w:ascii="宋体" w:hAnsi="宋体" w:eastAsia="宋体" w:cs="宋体"/>
          <w:b w:val="0"/>
          <w:bCs w:val="0"/>
          <w:sz w:val="44"/>
          <w:szCs w:val="44"/>
          <w:highlight w:val="none"/>
        </w:rPr>
        <w:t>编制说明</w:t>
      </w:r>
    </w:p>
    <w:p>
      <w:pPr>
        <w:pageBreakBefore w:val="0"/>
        <w:widowControl w:val="0"/>
        <w:numPr>
          <w:ilvl w:val="0"/>
          <w:numId w:val="0"/>
        </w:numPr>
        <w:kinsoku/>
        <w:wordWrap/>
        <w:overflowPunct/>
        <w:topLinePunct w:val="0"/>
        <w:autoSpaceDE/>
        <w:autoSpaceDN/>
        <w:bidi w:val="0"/>
        <w:adjustRightInd/>
        <w:snapToGrid/>
        <w:spacing w:line="500" w:lineRule="exact"/>
        <w:ind w:leftChars="139"/>
        <w:textAlignment w:val="auto"/>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一、</w:t>
      </w:r>
      <w:r>
        <w:rPr>
          <w:rFonts w:hint="eastAsia" w:ascii="宋体" w:hAnsi="宋体" w:eastAsia="宋体" w:cs="宋体"/>
          <w:highlight w:val="none"/>
        </w:rPr>
        <w:t>工程概况</w:t>
      </w:r>
      <w:r>
        <w:rPr>
          <w:rFonts w:hint="eastAsia" w:ascii="宋体" w:hAnsi="宋体" w:eastAsia="宋体" w:cs="宋体"/>
          <w:highlight w:val="none"/>
          <w:lang w:eastAsia="zh-CN"/>
        </w:rPr>
        <w:t>：</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建设单位：西安市第六十六中学</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工程名称：西安市第六十六中学塑胶操场翻新改造工程</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工程地点：陕西省西安市未央区</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工程内容：原操场跑道及其他活动区域地面拆除，新塑胶地面安装，路牙更换，铅球投掷区域改造，新文化墙安装，排水沟清淤等，具体内容详见工程量清单。</w:t>
      </w:r>
    </w:p>
    <w:p>
      <w:pPr>
        <w:pageBreakBefore w:val="0"/>
        <w:widowControl w:val="0"/>
        <w:numPr>
          <w:ilvl w:val="0"/>
          <w:numId w:val="0"/>
        </w:numPr>
        <w:kinsoku/>
        <w:wordWrap/>
        <w:overflowPunct/>
        <w:topLinePunct w:val="0"/>
        <w:autoSpaceDE/>
        <w:autoSpaceDN/>
        <w:bidi w:val="0"/>
        <w:adjustRightInd/>
        <w:snapToGrid/>
        <w:spacing w:line="500" w:lineRule="exact"/>
        <w:ind w:leftChars="139"/>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二、编制依据：</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1、《陕西省工程造价管理办法》（陕西省人民政府令第133号）；</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2、《建设工程工程量清单计价规范》（GB50500-2008）；</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3、《陕西省建设工程工程量清单计价规则》(2009)；</w:t>
      </w:r>
    </w:p>
    <w:p>
      <w:pPr>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《陕西省建设工程工程量清单计价费率》(2009)；</w:t>
      </w:r>
    </w:p>
    <w:p>
      <w:pPr>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《陕西省建筑、装饰、安装工程价目表》(2009)；</w:t>
      </w:r>
    </w:p>
    <w:p>
      <w:pPr>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《陕西省建筑、装饰、安装工程消耗量定额》(2004)；</w:t>
      </w:r>
    </w:p>
    <w:p>
      <w:pPr>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《陕西省建设工程施工机械台班价目表》(2009)；</w:t>
      </w:r>
    </w:p>
    <w:p>
      <w:pPr>
        <w:pageBreakBefore w:val="0"/>
        <w:widowControl w:val="0"/>
        <w:numPr>
          <w:ilvl w:val="0"/>
          <w:numId w:val="0"/>
        </w:numPr>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《陕西省建设工程消耗量勘误及补充定额》(2009)；</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4、西安市第六十六中学改造工程量清单；</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5、相关的施工规范及验收规范等；</w:t>
      </w:r>
    </w:p>
    <w:p>
      <w:pPr>
        <w:pageBreakBefore w:val="0"/>
        <w:widowControl w:val="0"/>
        <w:numPr>
          <w:ilvl w:val="0"/>
          <w:numId w:val="0"/>
        </w:numPr>
        <w:kinsoku/>
        <w:wordWrap/>
        <w:overflowPunct/>
        <w:topLinePunct w:val="0"/>
        <w:autoSpaceDE/>
        <w:autoSpaceDN/>
        <w:bidi w:val="0"/>
        <w:adjustRightInd/>
        <w:snapToGrid/>
        <w:spacing w:line="500" w:lineRule="exact"/>
        <w:ind w:leftChars="139"/>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三、其他说明：</w:t>
      </w:r>
    </w:p>
    <w:p>
      <w:pPr>
        <w:spacing w:line="500" w:lineRule="exact"/>
        <w:ind w:firstLine="420" w:firstLineChars="17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（1）本工程砂浆采用预拌砂浆；</w:t>
      </w:r>
    </w:p>
    <w:p>
      <w:pPr>
        <w:spacing w:line="500" w:lineRule="exact"/>
        <w:ind w:firstLine="420" w:firstLineChars="17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（2）暂列金额：15万元计入其他项目费暂列金额中；</w:t>
      </w:r>
    </w:p>
    <w:p>
      <w:pPr>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（3）本工程采用</w:t>
      </w:r>
      <w:r>
        <w:rPr>
          <w:rFonts w:hint="eastAsia" w:ascii="宋体" w:hAnsi="宋体" w:eastAsia="宋体" w:cs="宋体"/>
          <w:color w:val="auto"/>
          <w:sz w:val="24"/>
          <w:szCs w:val="24"/>
          <w:highlight w:val="none"/>
          <w:lang w:val="en-US" w:eastAsia="zh-CN"/>
        </w:rPr>
        <w:t>广联达云计价平台GCCP6.0（6.3000.23.110）</w:t>
      </w:r>
      <w:r>
        <w:rPr>
          <w:rFonts w:hint="eastAsia" w:ascii="宋体" w:hAnsi="宋体" w:eastAsia="宋体" w:cs="宋体"/>
          <w:color w:val="auto"/>
          <w:sz w:val="24"/>
          <w:szCs w:val="24"/>
          <w:highlight w:val="none"/>
          <w:lang w:eastAsia="zh-CN"/>
        </w:rPr>
        <w:t>。</w:t>
      </w:r>
    </w:p>
    <w:p>
      <w:pPr>
        <w:rPr>
          <w:rFonts w:hint="eastAsia" w:ascii="宋体" w:hAnsi="宋体" w:eastAsia="宋体" w:cs="宋体"/>
          <w:b/>
          <w:kern w:val="0"/>
          <w:sz w:val="36"/>
          <w:szCs w:val="36"/>
          <w:highlight w:val="none"/>
          <w:lang w:val="en-US" w:eastAsia="zh-CN" w:bidi="ar-SA"/>
        </w:rPr>
      </w:pPr>
      <w:r>
        <w:rPr>
          <w:rFonts w:hint="eastAsia" w:ascii="宋体" w:hAnsi="宋体" w:eastAsia="宋体" w:cs="宋体"/>
          <w:b/>
          <w:kern w:val="0"/>
          <w:sz w:val="36"/>
          <w:szCs w:val="36"/>
          <w:highlight w:val="none"/>
          <w:lang w:val="en-US" w:eastAsia="zh-CN" w:bidi="ar-SA"/>
        </w:rPr>
        <w:br w:type="page"/>
      </w:r>
    </w:p>
    <w:p>
      <w:pPr>
        <w:pStyle w:val="3"/>
        <w:jc w:val="center"/>
        <w:rPr>
          <w:rFonts w:hint="eastAsia" w:ascii="宋体" w:eastAsia="宋体" w:cs="宋体"/>
          <w:kern w:val="0"/>
          <w:sz w:val="36"/>
          <w:szCs w:val="36"/>
          <w:highlight w:val="none"/>
        </w:rPr>
      </w:pPr>
      <w:bookmarkStart w:id="203" w:name="_Toc25633"/>
      <w:r>
        <w:rPr>
          <w:rFonts w:hint="eastAsia" w:ascii="宋体" w:eastAsia="宋体" w:cs="宋体"/>
          <w:kern w:val="0"/>
          <w:sz w:val="36"/>
          <w:szCs w:val="36"/>
          <w:highlight w:val="none"/>
          <w:lang w:val="en-US" w:eastAsia="zh-CN"/>
        </w:rPr>
        <w:t>第六章  竞争性磋商响应文件格式</w:t>
      </w:r>
      <w:bookmarkEnd w:id="185"/>
      <w:bookmarkEnd w:id="186"/>
      <w:bookmarkEnd w:id="187"/>
      <w:bookmarkEnd w:id="188"/>
      <w:bookmarkEnd w:id="203"/>
    </w:p>
    <w:p>
      <w:pPr>
        <w:rPr>
          <w:rFonts w:hAnsi="宋体" w:cs="宋体"/>
          <w:highlight w:val="none"/>
        </w:rPr>
      </w:pPr>
    </w:p>
    <w:p>
      <w:pPr>
        <w:rPr>
          <w:rFonts w:hAnsi="宋体" w:cs="宋体"/>
          <w:highlight w:val="none"/>
        </w:rPr>
      </w:pPr>
    </w:p>
    <w:p>
      <w:pPr>
        <w:framePr w:w="5311" w:hSpace="180" w:wrap="around" w:vAnchor="text" w:hAnchor="page" w:x="1473" w:y="19"/>
        <w:rPr>
          <w:rFonts w:hint="eastAsia" w:hAnsi="宋体" w:eastAsia="宋体" w:cs="宋体"/>
          <w:b/>
          <w:bCs/>
          <w:sz w:val="32"/>
          <w:szCs w:val="32"/>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SXZCZB2022-ZCCS-0619</w:t>
      </w:r>
    </w:p>
    <w:p>
      <w:pPr>
        <w:jc w:val="right"/>
        <w:rPr>
          <w:rFonts w:hAnsi="宋体" w:cs="宋体"/>
          <w:b/>
          <w:sz w:val="32"/>
          <w:szCs w:val="32"/>
          <w:highlight w:val="none"/>
        </w:rPr>
      </w:pPr>
      <w:r>
        <w:rPr>
          <w:rFonts w:hint="eastAsia" w:hAnsi="宋体" w:cs="宋体"/>
          <w:b/>
          <w:sz w:val="32"/>
          <w:szCs w:val="32"/>
          <w:highlight w:val="none"/>
        </w:rPr>
        <w:t>（正本或副本）</w:t>
      </w:r>
    </w:p>
    <w:p>
      <w:pPr>
        <w:jc w:val="right"/>
        <w:rPr>
          <w:rFonts w:hAnsi="宋体" w:cs="宋体"/>
          <w:b/>
          <w:sz w:val="32"/>
          <w:szCs w:val="32"/>
          <w:highlight w:val="none"/>
        </w:rPr>
      </w:pPr>
    </w:p>
    <w:p>
      <w:pPr>
        <w:jc w:val="center"/>
        <w:rPr>
          <w:rFonts w:hAnsi="宋体" w:cs="宋体"/>
          <w:b/>
          <w:sz w:val="72"/>
          <w:szCs w:val="72"/>
          <w:highlight w:val="none"/>
        </w:rPr>
      </w:pPr>
    </w:p>
    <w:p>
      <w:pPr>
        <w:jc w:val="center"/>
        <w:rPr>
          <w:rFonts w:hAnsi="宋体" w:cs="宋体"/>
          <w:b/>
          <w:sz w:val="56"/>
          <w:szCs w:val="56"/>
          <w:highlight w:val="none"/>
        </w:rPr>
      </w:pPr>
    </w:p>
    <w:p>
      <w:pPr>
        <w:jc w:val="center"/>
        <w:rPr>
          <w:rFonts w:hAnsi="宋体" w:cs="宋体"/>
          <w:b/>
          <w:sz w:val="56"/>
          <w:szCs w:val="56"/>
          <w:highlight w:val="none"/>
        </w:rPr>
      </w:pPr>
    </w:p>
    <w:p>
      <w:pPr>
        <w:jc w:val="center"/>
        <w:rPr>
          <w:rFonts w:hint="eastAsia" w:eastAsia="宋体" w:cs="宋体"/>
          <w:b/>
          <w:color w:val="333333"/>
          <w:sz w:val="56"/>
          <w:szCs w:val="56"/>
          <w:highlight w:val="none"/>
          <w:shd w:val="clear" w:color="auto" w:fill="FFFFFF"/>
          <w:lang w:eastAsia="zh-CN"/>
        </w:rPr>
      </w:pPr>
      <w:r>
        <w:rPr>
          <w:rFonts w:hint="eastAsia" w:hAnsi="宋体" w:cs="宋体"/>
          <w:b/>
          <w:sz w:val="72"/>
          <w:szCs w:val="72"/>
          <w:highlight w:val="none"/>
          <w:lang w:eastAsia="zh-CN"/>
        </w:rPr>
        <w:t>塑胶操场翻新改造工程</w:t>
      </w:r>
    </w:p>
    <w:p>
      <w:pPr>
        <w:pStyle w:val="9"/>
        <w:rPr>
          <w:highlight w:val="none"/>
        </w:rPr>
      </w:pPr>
    </w:p>
    <w:p>
      <w:pPr>
        <w:rPr>
          <w:highlight w:val="none"/>
        </w:rPr>
      </w:pPr>
    </w:p>
    <w:p>
      <w:pPr>
        <w:jc w:val="center"/>
        <w:rPr>
          <w:rFonts w:hAnsi="宋体" w:cs="宋体"/>
          <w:b/>
          <w:sz w:val="62"/>
          <w:szCs w:val="72"/>
          <w:highlight w:val="none"/>
        </w:rPr>
      </w:pPr>
    </w:p>
    <w:p>
      <w:pPr>
        <w:jc w:val="center"/>
        <w:rPr>
          <w:rFonts w:hAnsi="宋体" w:cs="宋体"/>
          <w:b/>
          <w:sz w:val="56"/>
          <w:szCs w:val="56"/>
          <w:highlight w:val="none"/>
        </w:rPr>
      </w:pPr>
      <w:r>
        <w:rPr>
          <w:rFonts w:hint="eastAsia" w:hAnsi="宋体" w:cs="宋体"/>
          <w:b/>
          <w:sz w:val="56"/>
          <w:szCs w:val="56"/>
          <w:highlight w:val="none"/>
        </w:rPr>
        <w:t>竞争性磋商响应文件</w:t>
      </w:r>
    </w:p>
    <w:p>
      <w:pPr>
        <w:jc w:val="center"/>
        <w:rPr>
          <w:rFonts w:hAnsi="宋体" w:cs="宋体"/>
          <w:b/>
          <w:sz w:val="36"/>
          <w:szCs w:val="36"/>
          <w:highlight w:val="none"/>
        </w:rPr>
      </w:pPr>
    </w:p>
    <w:p>
      <w:pPr>
        <w:rPr>
          <w:rFonts w:hAnsi="宋体" w:cs="宋体"/>
          <w:b/>
          <w:sz w:val="36"/>
          <w:szCs w:val="36"/>
          <w:highlight w:val="none"/>
        </w:rPr>
      </w:pPr>
    </w:p>
    <w:p>
      <w:pPr>
        <w:rPr>
          <w:rFonts w:hAnsi="宋体" w:cs="宋体"/>
          <w:b/>
          <w:sz w:val="36"/>
          <w:szCs w:val="36"/>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6"/>
          <w:szCs w:val="36"/>
          <w:highlight w:val="none"/>
        </w:rPr>
        <w:br w:type="page"/>
      </w:r>
      <w:bookmarkStart w:id="204" w:name="_Toc344572156"/>
    </w:p>
    <w:p>
      <w:pPr>
        <w:jc w:val="center"/>
        <w:rPr>
          <w:rFonts w:hAnsi="宋体" w:cs="宋体"/>
          <w:b/>
          <w:sz w:val="44"/>
          <w:highlight w:val="none"/>
        </w:rPr>
      </w:pPr>
      <w:r>
        <w:rPr>
          <w:rFonts w:hint="eastAsia" w:hAnsi="宋体" w:cs="宋体"/>
          <w:b/>
          <w:sz w:val="44"/>
          <w:highlight w:val="none"/>
        </w:rPr>
        <w:t>目  录</w:t>
      </w:r>
    </w:p>
    <w:p>
      <w:pPr>
        <w:pStyle w:val="9"/>
        <w:rPr>
          <w:rFonts w:ascii="宋体" w:hAnsi="宋体" w:cs="宋体"/>
          <w:highlight w:val="none"/>
        </w:rPr>
      </w:pP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一、磋商响应函</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二、磋商报价表</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三、磋商方案说明书</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四、商务条款偏离表</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五、陕西省政府采购供应商拒绝政府采购领域商业贿赂承诺书</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六、特定资格证明文件</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七、其他</w:t>
      </w:r>
    </w:p>
    <w:p>
      <w:pPr>
        <w:pStyle w:val="7"/>
        <w:spacing w:line="360" w:lineRule="auto"/>
        <w:rPr>
          <w:rFonts w:ascii="宋体" w:hAnsi="宋体" w:cs="宋体"/>
          <w:highlight w:val="none"/>
        </w:rPr>
      </w:pPr>
    </w:p>
    <w:p>
      <w:pPr>
        <w:pStyle w:val="7"/>
        <w:spacing w:line="360" w:lineRule="auto"/>
        <w:rPr>
          <w:rFonts w:ascii="宋体" w:hAnsi="宋体" w:cs="宋体"/>
          <w:highlight w:val="none"/>
        </w:rPr>
      </w:pPr>
    </w:p>
    <w:p>
      <w:pPr>
        <w:keepNext/>
        <w:keepLines/>
        <w:widowControl/>
        <w:tabs>
          <w:tab w:val="left" w:pos="3705"/>
        </w:tabs>
        <w:spacing w:line="360" w:lineRule="auto"/>
        <w:ind w:left="3708"/>
        <w:rPr>
          <w:rFonts w:hAnsi="宋体" w:cs="宋体"/>
          <w:bCs/>
          <w:sz w:val="44"/>
          <w:highlight w:val="none"/>
        </w:rPr>
      </w:pPr>
    </w:p>
    <w:p>
      <w:pPr>
        <w:pStyle w:val="7"/>
        <w:ind w:firstLine="880"/>
        <w:rPr>
          <w:rFonts w:ascii="宋体" w:hAnsi="宋体" w:cs="宋体"/>
          <w:bCs/>
          <w:sz w:val="44"/>
          <w:highlight w:val="none"/>
        </w:rPr>
      </w:pPr>
    </w:p>
    <w:p>
      <w:pPr>
        <w:pStyle w:val="7"/>
        <w:ind w:firstLine="880"/>
        <w:rPr>
          <w:rFonts w:ascii="宋体" w:hAnsi="宋体" w:cs="宋体"/>
          <w:bCs/>
          <w:sz w:val="44"/>
          <w:highlight w:val="none"/>
        </w:rPr>
      </w:pPr>
    </w:p>
    <w:bookmarkEnd w:id="204"/>
    <w:p>
      <w:pPr>
        <w:pStyle w:val="9"/>
        <w:rPr>
          <w:rFonts w:ascii="宋体" w:hAnsi="宋体" w:cs="宋体"/>
          <w:b/>
          <w:sz w:val="32"/>
          <w:szCs w:val="32"/>
          <w:highlight w:val="none"/>
        </w:rPr>
      </w:pPr>
      <w:bookmarkStart w:id="205" w:name="_Toc363474027"/>
      <w:bookmarkStart w:id="206" w:name="_Toc403077648"/>
      <w:bookmarkStart w:id="207" w:name="_Toc204524343"/>
    </w:p>
    <w:p>
      <w:pPr>
        <w:pStyle w:val="9"/>
        <w:rPr>
          <w:rFonts w:ascii="宋体" w:hAnsi="宋体" w:cs="宋体"/>
          <w:b/>
          <w:sz w:val="32"/>
          <w:szCs w:val="32"/>
          <w:highlight w:val="none"/>
        </w:rPr>
      </w:pPr>
    </w:p>
    <w:p>
      <w:pPr>
        <w:pStyle w:val="9"/>
        <w:rPr>
          <w:rFonts w:ascii="宋体" w:hAnsi="宋体" w:cs="宋体"/>
          <w:b/>
          <w:sz w:val="32"/>
          <w:szCs w:val="32"/>
          <w:highlight w:val="none"/>
        </w:rPr>
      </w:pPr>
    </w:p>
    <w:p>
      <w:pPr>
        <w:spacing w:line="520" w:lineRule="exact"/>
        <w:jc w:val="center"/>
        <w:outlineLvl w:val="2"/>
        <w:rPr>
          <w:rFonts w:hAnsi="宋体" w:cs="宋体"/>
          <w:b/>
          <w:sz w:val="32"/>
          <w:szCs w:val="32"/>
          <w:highlight w:val="none"/>
        </w:rPr>
      </w:pPr>
      <w:r>
        <w:rPr>
          <w:rFonts w:hint="eastAsia" w:hAnsi="宋体" w:cs="宋体"/>
          <w:b/>
          <w:sz w:val="32"/>
          <w:szCs w:val="32"/>
          <w:highlight w:val="none"/>
        </w:rPr>
        <w:br w:type="page"/>
      </w:r>
      <w:r>
        <w:rPr>
          <w:rFonts w:hint="eastAsia" w:hAnsi="宋体" w:cs="宋体"/>
          <w:b/>
          <w:sz w:val="32"/>
          <w:szCs w:val="32"/>
          <w:highlight w:val="none"/>
        </w:rPr>
        <w:t>一、磋商</w:t>
      </w:r>
      <w:bookmarkEnd w:id="205"/>
      <w:bookmarkEnd w:id="206"/>
      <w:r>
        <w:rPr>
          <w:rFonts w:hint="eastAsia" w:hAnsi="宋体" w:cs="宋体"/>
          <w:b/>
          <w:sz w:val="32"/>
          <w:szCs w:val="32"/>
          <w:highlight w:val="none"/>
        </w:rPr>
        <w:t>响应函</w:t>
      </w:r>
    </w:p>
    <w:p>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陕西至诚招标咨询有限公司</w:t>
      </w:r>
    </w:p>
    <w:p>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份。并提交磋商保证金，金额为</w:t>
      </w:r>
      <w:r>
        <w:rPr>
          <w:rFonts w:hint="eastAsia" w:hAnsi="宋体" w:cs="宋体"/>
          <w:spacing w:val="4"/>
          <w:szCs w:val="24"/>
          <w:highlight w:val="none"/>
          <w:u w:val="single"/>
        </w:rPr>
        <w:t xml:space="preserve">            </w:t>
      </w:r>
      <w:r>
        <w:rPr>
          <w:rFonts w:hint="eastAsia" w:hAnsi="宋体" w:cs="宋体"/>
          <w:spacing w:val="4"/>
          <w:szCs w:val="24"/>
          <w:highlight w:val="none"/>
        </w:rPr>
        <w:t>。</w:t>
      </w:r>
    </w:p>
    <w:p>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pPr>
        <w:numPr>
          <w:ilvl w:val="0"/>
          <w:numId w:val="9"/>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pPr>
        <w:numPr>
          <w:ilvl w:val="0"/>
          <w:numId w:val="9"/>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7）我们同意，如果成交，向陕西至诚招标咨询有限公司交纳招标代理服务费。</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供应商法定代表人</w:t>
      </w:r>
      <w:r>
        <w:rPr>
          <w:rFonts w:hint="eastAsia" w:hAnsi="宋体" w:cs="宋体"/>
          <w:spacing w:val="4"/>
          <w:highlight w:val="none"/>
        </w:rPr>
        <w:t>/被授权人</w:t>
      </w:r>
      <w:r>
        <w:rPr>
          <w:rFonts w:hint="eastAsia" w:hAnsi="宋体" w:cs="宋体"/>
          <w:spacing w:val="4"/>
          <w:szCs w:val="24"/>
          <w:highlight w:val="none"/>
        </w:rPr>
        <w:t>签字</w:t>
      </w:r>
      <w:r>
        <w:rPr>
          <w:rFonts w:hint="eastAsia" w:hAnsi="宋体" w:cs="宋体"/>
          <w:spacing w:val="4"/>
          <w:highlight w:val="none"/>
        </w:rPr>
        <w:t>或盖章</w:t>
      </w:r>
      <w:r>
        <w:rPr>
          <w:rFonts w:hint="eastAsia" w:hAnsi="宋体" w:cs="宋体"/>
          <w:szCs w:val="24"/>
          <w:highlight w:val="none"/>
        </w:rPr>
        <w:t>：</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pPr>
        <w:pStyle w:val="5"/>
        <w:spacing w:before="312" w:beforeLines="100" w:line="360" w:lineRule="auto"/>
        <w:rPr>
          <w:rFonts w:ascii="宋体" w:hAnsi="宋体" w:cs="宋体"/>
          <w:sz w:val="32"/>
          <w:szCs w:val="32"/>
          <w:highlight w:val="none"/>
        </w:rPr>
      </w:pPr>
      <w:r>
        <w:rPr>
          <w:rFonts w:hint="eastAsia" w:ascii="宋体" w:hAnsi="宋体" w:cs="宋体"/>
          <w:highlight w:val="none"/>
        </w:rPr>
        <w:br w:type="page"/>
      </w:r>
      <w:bookmarkStart w:id="208" w:name="_Toc403077651"/>
      <w:bookmarkStart w:id="209" w:name="_Toc363474030"/>
      <w:r>
        <w:rPr>
          <w:rFonts w:hint="eastAsia" w:ascii="宋体" w:hAnsi="宋体" w:cs="宋体"/>
          <w:sz w:val="32"/>
          <w:szCs w:val="32"/>
          <w:highlight w:val="none"/>
        </w:rPr>
        <w:t>二、磋商报价表</w:t>
      </w:r>
      <w:bookmarkEnd w:id="208"/>
      <w:bookmarkEnd w:id="209"/>
    </w:p>
    <w:p>
      <w:pPr>
        <w:spacing w:line="360" w:lineRule="auto"/>
        <w:jc w:val="center"/>
        <w:rPr>
          <w:rFonts w:hAnsi="宋体" w:cs="宋体"/>
          <w:szCs w:val="24"/>
          <w:highlight w:val="none"/>
        </w:rPr>
      </w:pPr>
      <w:r>
        <w:rPr>
          <w:rFonts w:hint="eastAsia" w:hAnsi="宋体" w:cs="宋体"/>
          <w:szCs w:val="24"/>
          <w:highlight w:val="none"/>
        </w:rPr>
        <w:t>2.1报价一览表</w:t>
      </w:r>
    </w:p>
    <w:p>
      <w:pPr>
        <w:spacing w:line="360" w:lineRule="auto"/>
        <w:jc w:val="center"/>
        <w:rPr>
          <w:rFonts w:hAnsi="宋体" w:cs="宋体"/>
          <w:szCs w:val="24"/>
          <w:highlight w:val="none"/>
        </w:rPr>
      </w:pPr>
    </w:p>
    <w:p>
      <w:pPr>
        <w:jc w:val="left"/>
        <w:rPr>
          <w:rFonts w:hAnsi="宋体" w:cs="宋体"/>
          <w:highlight w:val="none"/>
        </w:rPr>
      </w:pPr>
      <w:r>
        <w:rPr>
          <w:rFonts w:hint="eastAsia" w:hAnsi="宋体" w:cs="宋体"/>
          <w:highlight w:val="none"/>
        </w:rPr>
        <w:t xml:space="preserve">项目名称：                                                 </w:t>
      </w:r>
    </w:p>
    <w:p>
      <w:pPr>
        <w:jc w:val="left"/>
        <w:rPr>
          <w:rFonts w:hAnsi="宋体" w:cs="宋体"/>
          <w:highlight w:val="none"/>
        </w:rPr>
      </w:pPr>
      <w:r>
        <w:rPr>
          <w:rFonts w:hint="eastAsia" w:hAnsi="宋体" w:cs="宋体"/>
          <w:highlight w:val="none"/>
        </w:rPr>
        <w:t xml:space="preserve">项目编号：                                               </w:t>
      </w:r>
    </w:p>
    <w:tbl>
      <w:tblPr>
        <w:tblStyle w:val="22"/>
        <w:tblpPr w:leftFromText="180" w:rightFromText="180" w:vertAnchor="page" w:horzAnchor="margin" w:tblpXSpec="center" w:tblpY="478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4"/>
        <w:gridCol w:w="649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500" w:type="pct"/>
            <w:vMerge w:val="restart"/>
            <w:vAlign w:val="center"/>
          </w:tcPr>
          <w:p>
            <w:pPr>
              <w:jc w:val="center"/>
              <w:rPr>
                <w:rFonts w:hAnsi="宋体"/>
                <w:highlight w:val="none"/>
              </w:rPr>
            </w:pPr>
            <w:r>
              <w:rPr>
                <w:rFonts w:hint="eastAsia" w:hAnsi="宋体"/>
                <w:highlight w:val="none"/>
              </w:rPr>
              <w:t>磋商总报价（元）</w:t>
            </w:r>
          </w:p>
        </w:tc>
        <w:tc>
          <w:tcPr>
            <w:tcW w:w="3497" w:type="pct"/>
            <w:vAlign w:val="center"/>
          </w:tcPr>
          <w:p>
            <w:pPr>
              <w:rPr>
                <w:rFonts w:hAnsi="宋体"/>
                <w:highlight w:val="none"/>
              </w:rPr>
            </w:pPr>
            <w:r>
              <w:rPr>
                <w:rFonts w:hint="eastAsia" w:hAnsi="宋体"/>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500" w:type="pct"/>
            <w:vMerge w:val="continue"/>
            <w:vAlign w:val="center"/>
          </w:tcPr>
          <w:p>
            <w:pPr>
              <w:jc w:val="center"/>
              <w:rPr>
                <w:rFonts w:hAnsi="宋体"/>
                <w:highlight w:val="none"/>
              </w:rPr>
            </w:pPr>
          </w:p>
        </w:tc>
        <w:tc>
          <w:tcPr>
            <w:tcW w:w="3497" w:type="pct"/>
            <w:vAlign w:val="center"/>
          </w:tcPr>
          <w:p>
            <w:pPr>
              <w:rPr>
                <w:rFonts w:hAnsi="宋体"/>
                <w:highlight w:val="none"/>
              </w:rPr>
            </w:pPr>
            <w:r>
              <w:rPr>
                <w:rFonts w:hint="eastAsia" w:hAnsi="宋体"/>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项目经理</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质量标准</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工期（日历天）</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备注</w:t>
            </w:r>
          </w:p>
        </w:tc>
        <w:tc>
          <w:tcPr>
            <w:tcW w:w="3500" w:type="pct"/>
            <w:gridSpan w:val="2"/>
            <w:vAlign w:val="center"/>
          </w:tcPr>
          <w:p>
            <w:pPr>
              <w:rPr>
                <w:rFonts w:hAnsi="宋体"/>
                <w:highlight w:val="none"/>
              </w:rPr>
            </w:pPr>
          </w:p>
        </w:tc>
      </w:tr>
    </w:tbl>
    <w:p>
      <w:pPr>
        <w:rPr>
          <w:highlight w:val="none"/>
        </w:rPr>
      </w:pPr>
    </w:p>
    <w:p>
      <w:pPr>
        <w:rPr>
          <w:rFonts w:hAnsi="宋体" w:cs="宋体"/>
          <w:szCs w:val="24"/>
          <w:highlight w:val="none"/>
        </w:rPr>
      </w:pP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Ansi="宋体" w:cs="宋体"/>
          <w:szCs w:val="24"/>
          <w:highlight w:val="none"/>
        </w:rPr>
      </w:pPr>
    </w:p>
    <w:p>
      <w:pPr>
        <w:spacing w:line="280" w:lineRule="exact"/>
        <w:ind w:right="617" w:rightChars="257"/>
        <w:rPr>
          <w:rFonts w:hAnsi="宋体" w:cs="宋体"/>
          <w:szCs w:val="24"/>
          <w:highlight w:val="none"/>
        </w:rPr>
      </w:pPr>
      <w:r>
        <w:rPr>
          <w:rFonts w:hint="eastAsia" w:hAnsi="宋体" w:cs="宋体"/>
          <w:szCs w:val="24"/>
          <w:highlight w:val="none"/>
        </w:rPr>
        <w:t>日    期：</w:t>
      </w:r>
    </w:p>
    <w:p>
      <w:pPr>
        <w:jc w:val="center"/>
        <w:rPr>
          <w:rFonts w:hAnsi="宋体" w:cs="宋体"/>
          <w:szCs w:val="24"/>
          <w:highlight w:val="none"/>
        </w:rPr>
      </w:pPr>
    </w:p>
    <w:p>
      <w:pPr>
        <w:spacing w:before="156" w:beforeLines="50" w:after="156" w:afterLines="50" w:line="400" w:lineRule="atLeast"/>
        <w:rPr>
          <w:rFonts w:hAnsi="宋体" w:cs="宋体"/>
          <w:b/>
          <w:sz w:val="30"/>
          <w:szCs w:val="30"/>
          <w:highlight w:val="none"/>
        </w:rPr>
      </w:pPr>
      <w:r>
        <w:rPr>
          <w:rFonts w:hint="eastAsia" w:hAnsi="宋体" w:cs="宋体"/>
          <w:szCs w:val="24"/>
          <w:highlight w:val="none"/>
        </w:rPr>
        <w:t>注：本表应按“供应商须知”的规定密封单独提交。若有折扣声明，请与本表一并装订和密封。严格按照表格格式报价。</w:t>
      </w:r>
    </w:p>
    <w:p>
      <w:pPr>
        <w:jc w:val="center"/>
        <w:rPr>
          <w:rFonts w:hAnsi="宋体" w:cs="宋体"/>
          <w:b/>
          <w:sz w:val="30"/>
          <w:szCs w:val="30"/>
          <w:highlight w:val="none"/>
        </w:rPr>
      </w:pPr>
      <w:r>
        <w:rPr>
          <w:rFonts w:hint="eastAsia" w:hAnsi="宋体" w:cs="宋体"/>
          <w:b/>
          <w:sz w:val="30"/>
          <w:szCs w:val="30"/>
          <w:highlight w:val="none"/>
        </w:rPr>
        <w:br w:type="page"/>
      </w:r>
      <w:r>
        <w:rPr>
          <w:rFonts w:hint="eastAsia" w:hAnsi="宋体" w:cs="宋体"/>
          <w:b/>
          <w:sz w:val="30"/>
          <w:szCs w:val="30"/>
          <w:highlight w:val="none"/>
        </w:rPr>
        <w:t>2.2分项报价表</w:t>
      </w:r>
    </w:p>
    <w:p>
      <w:pPr>
        <w:jc w:val="center"/>
        <w:rPr>
          <w:rFonts w:hAnsi="宋体" w:cs="宋体"/>
          <w:highlight w:val="none"/>
        </w:rPr>
      </w:pPr>
      <w:r>
        <w:rPr>
          <w:rFonts w:hint="eastAsia" w:hAnsi="宋体" w:cs="宋体"/>
          <w:b/>
          <w:sz w:val="30"/>
          <w:szCs w:val="30"/>
          <w:highlight w:val="none"/>
        </w:rPr>
        <w:t>（已标价的工程量清单）</w:t>
      </w:r>
    </w:p>
    <w:p>
      <w:pPr>
        <w:jc w:val="center"/>
        <w:outlineLvl w:val="2"/>
        <w:rPr>
          <w:rFonts w:hAnsi="宋体" w:cs="宋体"/>
          <w:sz w:val="32"/>
          <w:szCs w:val="32"/>
          <w:highlight w:val="none"/>
        </w:rPr>
      </w:pPr>
      <w:r>
        <w:rPr>
          <w:rFonts w:hint="eastAsia" w:hAnsi="宋体" w:cs="宋体"/>
          <w:b/>
          <w:sz w:val="30"/>
          <w:szCs w:val="30"/>
          <w:highlight w:val="none"/>
        </w:rPr>
        <w:br w:type="page"/>
      </w:r>
      <w:bookmarkEnd w:id="207"/>
      <w:bookmarkStart w:id="210" w:name="_Toc344572163"/>
      <w:r>
        <w:rPr>
          <w:rFonts w:hint="eastAsia" w:hAnsi="宋体" w:cs="宋体"/>
          <w:b/>
          <w:bCs/>
          <w:sz w:val="32"/>
          <w:szCs w:val="32"/>
          <w:highlight w:val="none"/>
        </w:rPr>
        <w:t>三、磋商方案说明书</w:t>
      </w:r>
    </w:p>
    <w:p>
      <w:pPr>
        <w:spacing w:line="580" w:lineRule="exact"/>
        <w:rPr>
          <w:highlight w:val="none"/>
        </w:rPr>
      </w:pPr>
      <w:r>
        <w:rPr>
          <w:rFonts w:hint="eastAsia" w:hAnsi="宋体" w:cs="宋体"/>
          <w:szCs w:val="24"/>
          <w:highlight w:val="none"/>
        </w:rPr>
        <w:t>1、按照磋商文件的要求编制的响应说明书，包括但不限于以下内容：</w:t>
      </w:r>
    </w:p>
    <w:p>
      <w:pPr>
        <w:spacing w:line="48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hAnsi="宋体" w:cs="宋体"/>
          <w:color w:val="auto"/>
          <w:szCs w:val="24"/>
          <w:highlight w:val="none"/>
        </w:rPr>
        <w:t>1）</w:t>
      </w:r>
      <w:r>
        <w:rPr>
          <w:rFonts w:hint="eastAsia" w:asciiTheme="minorEastAsia" w:hAnsiTheme="minorEastAsia" w:eastAsiaTheme="minorEastAsia" w:cstheme="minorEastAsia"/>
          <w:color w:val="auto"/>
          <w:sz w:val="24"/>
          <w:szCs w:val="24"/>
          <w:highlight w:val="none"/>
        </w:rPr>
        <w:t>项目管理架构及项目经理部组成人员组成情况</w:t>
      </w:r>
      <w:r>
        <w:rPr>
          <w:rFonts w:hint="eastAsia" w:asciiTheme="minorEastAsia" w:hAnsiTheme="minorEastAsia" w:eastAsiaTheme="minorEastAsia" w:cstheme="minorEastAsia"/>
          <w:color w:val="auto"/>
          <w:sz w:val="24"/>
          <w:szCs w:val="24"/>
          <w:highlight w:val="none"/>
          <w:lang w:eastAsia="zh-CN"/>
        </w:rPr>
        <w:t>；</w:t>
      </w:r>
    </w:p>
    <w:p>
      <w:pPr>
        <w:spacing w:line="480" w:lineRule="auto"/>
        <w:ind w:firstLine="240" w:firstLineChars="100"/>
        <w:rPr>
          <w:rFonts w:hint="eastAsia" w:hAnsi="宋体" w:cs="宋体"/>
          <w:color w:val="auto"/>
          <w:szCs w:val="24"/>
          <w:highlight w:val="none"/>
        </w:rPr>
      </w:pPr>
      <w:r>
        <w:rPr>
          <w:rFonts w:hint="eastAsia" w:hAnsi="宋体" w:cs="宋体"/>
          <w:color w:val="auto"/>
          <w:szCs w:val="24"/>
          <w:highlight w:val="none"/>
          <w:lang w:val="en-US" w:eastAsia="zh-CN"/>
        </w:rPr>
        <w:t>2</w:t>
      </w:r>
      <w:r>
        <w:rPr>
          <w:rFonts w:hint="eastAsia" w:hAnsi="宋体" w:cs="宋体"/>
          <w:color w:val="auto"/>
          <w:szCs w:val="24"/>
          <w:highlight w:val="none"/>
        </w:rPr>
        <w:t>）</w:t>
      </w:r>
      <w:r>
        <w:rPr>
          <w:rFonts w:hint="eastAsia" w:asciiTheme="minorEastAsia" w:hAnsiTheme="minorEastAsia" w:eastAsiaTheme="minorEastAsia" w:cstheme="minorEastAsia"/>
          <w:color w:val="auto"/>
          <w:sz w:val="24"/>
          <w:szCs w:val="24"/>
          <w:highlight w:val="none"/>
        </w:rPr>
        <w:t>施工方案</w:t>
      </w:r>
      <w:r>
        <w:rPr>
          <w:rFonts w:hint="eastAsia" w:asciiTheme="minorEastAsia" w:hAnsiTheme="minorEastAsia" w:eastAsiaTheme="minorEastAsia" w:cstheme="minorEastAsia"/>
          <w:color w:val="auto"/>
          <w:sz w:val="24"/>
          <w:szCs w:val="24"/>
          <w:highlight w:val="none"/>
          <w:lang w:eastAsia="zh-CN"/>
        </w:rPr>
        <w:t>及安装方案；</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3</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劳动力配备情况</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4</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确保工期的技术组织措施</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5</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lang w:val="en-US" w:eastAsia="zh-CN"/>
        </w:rPr>
        <w:t>施工所投入的</w:t>
      </w:r>
      <w:r>
        <w:rPr>
          <w:rFonts w:hint="eastAsia" w:asciiTheme="minorEastAsia" w:hAnsiTheme="minorEastAsia" w:eastAsiaTheme="minorEastAsia" w:cstheme="minorEastAsia"/>
          <w:b w:val="0"/>
          <w:bCs w:val="0"/>
          <w:i w:val="0"/>
          <w:iCs w:val="0"/>
          <w:color w:val="auto"/>
          <w:sz w:val="24"/>
          <w:szCs w:val="24"/>
          <w:highlight w:val="none"/>
        </w:rPr>
        <w:t>必备仪器、机械设备配备情况</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6</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确保工程质量的技术组织措施</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pPr>
      <w:r>
        <w:rPr>
          <w:rFonts w:hint="eastAsia" w:hAnsi="宋体" w:cs="宋体"/>
          <w:color w:val="auto"/>
          <w:szCs w:val="24"/>
          <w:highlight w:val="none"/>
          <w:lang w:val="en-US" w:eastAsia="zh-CN"/>
        </w:rPr>
        <w:t>7</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t>施工进度表或施工网络图；</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8）安全、文明、环境施工措施；</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10）确保安全生产的技术组织措施 ；</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11）其它投标人认为有必要说明的内容。</w:t>
      </w:r>
    </w:p>
    <w:p>
      <w:pPr>
        <w:kinsoku w:val="0"/>
        <w:spacing w:line="580" w:lineRule="exact"/>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r>
        <w:rPr>
          <w:rFonts w:hint="eastAsia" w:hAnsi="宋体" w:cs="宋体"/>
          <w:szCs w:val="24"/>
          <w:highlight w:val="none"/>
        </w:rPr>
        <w:t>被授权人签字或盖章：</w:t>
      </w: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r>
        <w:rPr>
          <w:rFonts w:hint="eastAsia" w:hAnsi="宋体" w:cs="宋体"/>
          <w:szCs w:val="24"/>
          <w:highlight w:val="none"/>
        </w:rPr>
        <w:t>公      章：</w:t>
      </w:r>
    </w:p>
    <w:p>
      <w:pPr>
        <w:spacing w:line="440" w:lineRule="exact"/>
        <w:ind w:firstLine="3734" w:firstLineChars="1556"/>
        <w:rPr>
          <w:rFonts w:hAnsi="宋体" w:cs="宋体"/>
          <w:szCs w:val="24"/>
          <w:highlight w:val="none"/>
        </w:rPr>
      </w:pPr>
    </w:p>
    <w:p>
      <w:pPr>
        <w:spacing w:line="440" w:lineRule="exact"/>
        <w:ind w:firstLine="3734" w:firstLineChars="1556"/>
        <w:rPr>
          <w:rFonts w:hAnsi="宋体" w:cs="宋体"/>
          <w:szCs w:val="24"/>
          <w:highlight w:val="none"/>
        </w:rPr>
      </w:pPr>
      <w:r>
        <w:rPr>
          <w:rFonts w:hint="eastAsia" w:hAnsi="宋体" w:cs="宋体"/>
          <w:szCs w:val="24"/>
          <w:highlight w:val="none"/>
        </w:rPr>
        <w:t>日      期：</w:t>
      </w:r>
    </w:p>
    <w:p>
      <w:pPr>
        <w:rPr>
          <w:highlight w:val="none"/>
        </w:rPr>
      </w:pPr>
      <w:r>
        <w:rPr>
          <w:rFonts w:hint="eastAsia"/>
          <w:highlight w:val="none"/>
        </w:rPr>
        <w:t xml:space="preserve"> </w:t>
      </w:r>
    </w:p>
    <w:p>
      <w:pPr>
        <w:rPr>
          <w:highlight w:val="none"/>
        </w:rPr>
        <w:sectPr>
          <w:headerReference r:id="rId10" w:type="default"/>
          <w:footerReference r:id="rId12" w:type="default"/>
          <w:headerReference r:id="rId11" w:type="even"/>
          <w:pgSz w:w="11906" w:h="16838"/>
          <w:pgMar w:top="1417" w:right="1417" w:bottom="1417" w:left="1417" w:header="851" w:footer="992" w:gutter="0"/>
          <w:pgNumType w:fmt="decimal"/>
          <w:cols w:space="720" w:num="1"/>
          <w:docGrid w:type="lines" w:linePitch="312" w:charSpace="0"/>
        </w:sectPr>
      </w:pPr>
      <w:r>
        <w:rPr>
          <w:rFonts w:hint="eastAsia"/>
          <w:highlight w:val="none"/>
        </w:rPr>
        <w:t xml:space="preserve"> </w:t>
      </w:r>
    </w:p>
    <w:p>
      <w:pPr>
        <w:spacing w:line="440" w:lineRule="exact"/>
        <w:rPr>
          <w:rFonts w:hAnsi="宋体" w:cs="宋体"/>
          <w:szCs w:val="24"/>
          <w:highlight w:val="none"/>
        </w:rPr>
      </w:pPr>
    </w:p>
    <w:p>
      <w:pPr>
        <w:spacing w:line="440" w:lineRule="exact"/>
        <w:jc w:val="center"/>
        <w:outlineLvl w:val="2"/>
        <w:rPr>
          <w:rFonts w:hAnsi="宋体" w:cs="宋体"/>
          <w:sz w:val="32"/>
          <w:szCs w:val="32"/>
          <w:highlight w:val="none"/>
        </w:rPr>
      </w:pPr>
      <w:bookmarkStart w:id="211" w:name="_Toc1379"/>
      <w:bookmarkStart w:id="212" w:name="_Toc21284"/>
      <w:bookmarkStart w:id="213" w:name="_Toc9218"/>
      <w:bookmarkStart w:id="214" w:name="_Toc23455"/>
      <w:bookmarkStart w:id="215" w:name="_Toc2621"/>
      <w:r>
        <w:rPr>
          <w:rFonts w:hint="eastAsia" w:hAnsi="宋体" w:cs="宋体"/>
          <w:b/>
          <w:bCs/>
          <w:sz w:val="32"/>
          <w:szCs w:val="32"/>
          <w:highlight w:val="none"/>
        </w:rPr>
        <w:t>四、</w:t>
      </w:r>
      <w:bookmarkEnd w:id="211"/>
      <w:bookmarkEnd w:id="212"/>
      <w:bookmarkEnd w:id="213"/>
      <w:bookmarkEnd w:id="214"/>
      <w:bookmarkEnd w:id="215"/>
      <w:r>
        <w:rPr>
          <w:rFonts w:hint="eastAsia" w:hAnsi="宋体" w:cs="宋体"/>
          <w:b/>
          <w:bCs/>
          <w:sz w:val="32"/>
          <w:szCs w:val="32"/>
          <w:highlight w:val="none"/>
        </w:rPr>
        <w:t>商务条款偏离表</w:t>
      </w:r>
    </w:p>
    <w:p>
      <w:pPr>
        <w:pStyle w:val="19"/>
        <w:widowControl w:val="0"/>
        <w:spacing w:before="0" w:beforeAutospacing="0" w:after="0" w:afterAutospacing="0"/>
        <w:jc w:val="both"/>
        <w:rPr>
          <w:rFonts w:cs="宋体"/>
          <w:highlight w:val="none"/>
        </w:rPr>
      </w:pPr>
    </w:p>
    <w:p>
      <w:pPr>
        <w:pStyle w:val="19"/>
        <w:widowControl w:val="0"/>
        <w:spacing w:before="156" w:beforeLines="50" w:beforeAutospacing="0" w:after="156" w:afterLines="50" w:afterAutospacing="0"/>
        <w:rPr>
          <w:rFonts w:cs="宋体"/>
          <w:highlight w:val="none"/>
        </w:rPr>
      </w:pPr>
      <w:r>
        <w:rPr>
          <w:rFonts w:hint="eastAsia" w:cs="宋体"/>
          <w:highlight w:val="none"/>
        </w:rPr>
        <w:t>项目名称：</w:t>
      </w:r>
    </w:p>
    <w:p>
      <w:pPr>
        <w:pStyle w:val="19"/>
        <w:widowControl w:val="0"/>
        <w:spacing w:before="156" w:beforeLines="50" w:beforeAutospacing="0" w:after="156" w:afterLines="50" w:afterAutospacing="0"/>
        <w:rPr>
          <w:rFonts w:cs="宋体"/>
          <w:highlight w:val="none"/>
          <w:u w:val="single"/>
        </w:rPr>
      </w:pPr>
      <w:r>
        <w:rPr>
          <w:rFonts w:hint="eastAsia" w:cs="宋体"/>
          <w:highlight w:val="none"/>
        </w:rPr>
        <w:t>项目编号：</w:t>
      </w:r>
    </w:p>
    <w:p>
      <w:pPr>
        <w:pStyle w:val="19"/>
        <w:widowControl w:val="0"/>
        <w:spacing w:before="0" w:beforeAutospacing="0" w:after="0" w:afterAutospacing="0"/>
        <w:ind w:firstLine="480" w:firstLineChars="200"/>
        <w:jc w:val="center"/>
        <w:rPr>
          <w:rFonts w:cs="宋体"/>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3013"/>
        <w:gridCol w:w="142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jc w:val="center"/>
              <w:rPr>
                <w:rFonts w:cs="宋体"/>
                <w:highlight w:val="none"/>
              </w:rPr>
            </w:pPr>
            <w:r>
              <w:rPr>
                <w:rFonts w:hint="eastAsia" w:cs="宋体"/>
                <w:highlight w:val="none"/>
              </w:rPr>
              <w:t>磋商文件的商务条款</w:t>
            </w: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jc w:val="center"/>
              <w:rPr>
                <w:rFonts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19"/>
              <w:widowControl w:val="0"/>
              <w:spacing w:before="0" w:beforeAutospacing="0" w:after="0" w:afterAutospacing="0"/>
              <w:ind w:firstLine="480" w:firstLineChars="200"/>
              <w:jc w:val="center"/>
              <w:rPr>
                <w:rFonts w:cs="宋体"/>
                <w:highlight w:val="none"/>
              </w:rPr>
            </w:pPr>
          </w:p>
        </w:tc>
      </w:tr>
    </w:tbl>
    <w:p>
      <w:pPr>
        <w:pStyle w:val="19"/>
        <w:widowControl w:val="0"/>
        <w:spacing w:before="0" w:beforeAutospacing="0" w:after="0" w:afterAutospacing="0"/>
        <w:rPr>
          <w:rFonts w:cs="宋体"/>
          <w:highlight w:val="none"/>
        </w:rPr>
      </w:pPr>
      <w:r>
        <w:rPr>
          <w:rFonts w:hint="eastAsia" w:cs="宋体"/>
          <w:highlight w:val="none"/>
        </w:rPr>
        <w:t>说明：</w:t>
      </w:r>
    </w:p>
    <w:p>
      <w:pPr>
        <w:pStyle w:val="19"/>
        <w:widowControl w:val="0"/>
        <w:spacing w:before="0" w:beforeAutospacing="0" w:after="0" w:afterAutospacing="0"/>
        <w:ind w:firstLine="480" w:firstLineChars="200"/>
        <w:jc w:val="both"/>
        <w:rPr>
          <w:rFonts w:cs="宋体"/>
          <w:highlight w:val="none"/>
        </w:rPr>
      </w:pPr>
      <w:r>
        <w:rPr>
          <w:rFonts w:hint="eastAsia" w:cs="宋体"/>
          <w:highlight w:val="none"/>
        </w:rPr>
        <w:t>1.参照第四章合同条款要求内容进行响应。</w:t>
      </w:r>
    </w:p>
    <w:p>
      <w:pPr>
        <w:pStyle w:val="19"/>
        <w:widowControl w:val="0"/>
        <w:spacing w:before="0" w:beforeAutospacing="0" w:after="0" w:afterAutospacing="0"/>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19"/>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pPr>
        <w:pStyle w:val="19"/>
        <w:widowControl w:val="0"/>
        <w:spacing w:before="0" w:beforeAutospacing="0" w:after="0" w:afterAutospacing="0"/>
        <w:ind w:firstLine="480" w:firstLineChars="200"/>
        <w:jc w:val="center"/>
        <w:rPr>
          <w:rFonts w:cs="宋体"/>
          <w:highlight w:val="none"/>
        </w:rPr>
      </w:pPr>
    </w:p>
    <w:p>
      <w:pPr>
        <w:pStyle w:val="19"/>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pPr>
        <w:pStyle w:val="19"/>
        <w:widowControl w:val="0"/>
        <w:spacing w:before="0" w:beforeAutospacing="0" w:after="0" w:afterAutospacing="0"/>
        <w:ind w:firstLine="480" w:firstLineChars="200"/>
        <w:jc w:val="center"/>
        <w:rPr>
          <w:rFonts w:cs="宋体"/>
          <w:highlight w:val="none"/>
        </w:rPr>
      </w:pPr>
    </w:p>
    <w:p>
      <w:pPr>
        <w:spacing w:line="400" w:lineRule="exact"/>
        <w:ind w:firstLine="480" w:firstLineChars="200"/>
        <w:rPr>
          <w:rFonts w:hAnsi="宋体" w:cs="宋体"/>
          <w:szCs w:val="24"/>
          <w:highlight w:val="none"/>
        </w:rPr>
      </w:pPr>
      <w:r>
        <w:rPr>
          <w:rFonts w:hint="eastAsia" w:hAnsi="宋体" w:cs="宋体"/>
          <w:highlight w:val="none"/>
        </w:rPr>
        <w:t xml:space="preserve">法定代表人或委托代理人：              （签字） </w:t>
      </w:r>
    </w:p>
    <w:p>
      <w:pPr>
        <w:spacing w:line="360" w:lineRule="auto"/>
        <w:ind w:left="600" w:leftChars="250"/>
        <w:rPr>
          <w:rFonts w:hAnsi="宋体" w:cs="宋体"/>
          <w:b/>
          <w:bCs/>
          <w:sz w:val="28"/>
          <w:szCs w:val="28"/>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bookmarkEnd w:id="210"/>
    <w:p>
      <w:pPr>
        <w:spacing w:line="360" w:lineRule="auto"/>
        <w:jc w:val="center"/>
        <w:outlineLvl w:val="2"/>
        <w:rPr>
          <w:rFonts w:hAnsi="宋体" w:cs="宋体"/>
          <w:b/>
          <w:bCs/>
          <w:sz w:val="30"/>
          <w:szCs w:val="30"/>
          <w:highlight w:val="none"/>
        </w:rPr>
      </w:pPr>
      <w:bookmarkStart w:id="216" w:name="_Toc403077656"/>
      <w:bookmarkStart w:id="217" w:name="_Toc363474033"/>
      <w:r>
        <w:rPr>
          <w:rFonts w:hint="eastAsia" w:hAnsi="宋体" w:cs="宋体"/>
          <w:b/>
          <w:bCs/>
          <w:sz w:val="30"/>
          <w:szCs w:val="30"/>
          <w:highlight w:val="none"/>
        </w:rPr>
        <w:br w:type="page"/>
      </w:r>
      <w:r>
        <w:rPr>
          <w:rFonts w:hint="eastAsia" w:hAnsi="宋体" w:cs="宋体"/>
          <w:b/>
          <w:bCs/>
          <w:sz w:val="30"/>
          <w:szCs w:val="30"/>
          <w:highlight w:val="none"/>
        </w:rPr>
        <w:t>五、陕西省政府采购供应商拒绝政府采购领域商业贿赂承诺书</w:t>
      </w:r>
      <w:bookmarkEnd w:id="216"/>
      <w:bookmarkEnd w:id="217"/>
    </w:p>
    <w:p>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p>
    <w:p>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pPr>
        <w:jc w:val="center"/>
        <w:outlineLvl w:val="2"/>
        <w:rPr>
          <w:rFonts w:hAnsi="宋体" w:cs="宋体"/>
          <w:b/>
          <w:bCs/>
          <w:sz w:val="30"/>
          <w:szCs w:val="30"/>
          <w:highlight w:val="none"/>
        </w:rPr>
      </w:pPr>
      <w:bookmarkStart w:id="218" w:name="_Toc403077657"/>
      <w:bookmarkStart w:id="219" w:name="_Toc363474034"/>
      <w:r>
        <w:rPr>
          <w:rFonts w:hint="eastAsia" w:hAnsi="宋体" w:cs="宋体"/>
          <w:b/>
          <w:bCs/>
          <w:sz w:val="30"/>
          <w:szCs w:val="30"/>
          <w:highlight w:val="none"/>
        </w:rPr>
        <w:br w:type="page"/>
      </w:r>
      <w:r>
        <w:rPr>
          <w:rFonts w:hint="eastAsia" w:hAnsi="宋体" w:cs="宋体"/>
          <w:b/>
          <w:bCs/>
          <w:sz w:val="30"/>
          <w:szCs w:val="30"/>
          <w:highlight w:val="none"/>
        </w:rPr>
        <w:t>六、特定资格证明文件</w:t>
      </w:r>
      <w:bookmarkEnd w:id="218"/>
      <w:bookmarkEnd w:id="2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1、提供合格有效的法人或者其他组织的营业执照等证明文件，自然人的身份证明。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2、提供法定代表人授权书（附法定代表人、被授权人身份证复印件）及被授权人身份证原件（法定代表人直接参加磋商，须提供法定代表人身份证明及身份证原件）；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3、财务状况报告：提供2020年度或2021年度的财务审计报告（至少包括资产负债表和利润表，成立时间至提交磋商响应文件截止时间不足一年的可提供成立后任意时段的资产负债表），或开标时间前六个月内银行出具的资信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4、税收缴纳证明：提供磋商截止日前一年内已缴纳的至少一个月的纳税证明或完税证明（任意税种），依法免税的单位应提供相关证明材料；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6、参加本项目的供应商应具备建设行政主管部门颁发合法有效的建筑工程施工总承包三级（含三级）及以上资质或市政公用工程施工总承包三级（含三级）及以上资质同时具备合法有效的安全生产许可证；拟派项目经理具备合法有效的建筑工程专业二级（含二级）及以上注册建造师资格或市政公用工程专业二级（含二级）及以上注册建造师资格同时具备安全生产考核合格证且无在建工程（提供无在建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7、提供具有履行本合同所必需的设备和专业技术能力的说明及承诺书；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8、供应商应通过“信用中国”网站(www.creditchina.gov.cn)、中国政府采购网(www.ccgp.gov.cn) 查询相关主体信用记录；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9、参加政府采购活动前3年内，在经营活动中没有重大违法记录的书面声明；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10、本项目不接受联合体磋商。</w:t>
      </w:r>
    </w:p>
    <w:p>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pPr>
        <w:pStyle w:val="19"/>
        <w:shd w:val="clear" w:color="auto" w:fill="FFFFFF"/>
        <w:spacing w:before="0" w:beforeAutospacing="0" w:after="0" w:afterAutospacing="0" w:line="360" w:lineRule="auto"/>
        <w:ind w:firstLine="315" w:firstLineChars="150"/>
        <w:rPr>
          <w:rFonts w:ascii="微软雅黑" w:hAnsi="微软雅黑" w:eastAsia="微软雅黑" w:cs="Arial"/>
          <w:b/>
          <w:bCs/>
          <w:color w:val="333333"/>
          <w:sz w:val="21"/>
          <w:szCs w:val="21"/>
          <w:highlight w:val="none"/>
        </w:rPr>
      </w:pPr>
    </w:p>
    <w:p>
      <w:pPr>
        <w:jc w:val="center"/>
        <w:outlineLvl w:val="2"/>
        <w:rPr>
          <w:rFonts w:hAnsi="宋体" w:cs="宋体"/>
          <w:b/>
          <w:bCs/>
          <w:sz w:val="30"/>
          <w:szCs w:val="30"/>
          <w:highlight w:val="none"/>
        </w:rPr>
      </w:pPr>
      <w:r>
        <w:rPr>
          <w:rFonts w:hint="eastAsia" w:hAnsi="宋体" w:cs="宋体"/>
          <w:szCs w:val="24"/>
          <w:highlight w:val="none"/>
        </w:rPr>
        <w:br w:type="page"/>
      </w:r>
      <w:r>
        <w:rPr>
          <w:rFonts w:hint="eastAsia" w:hAnsi="宋体" w:cs="宋体"/>
          <w:b/>
          <w:bCs/>
          <w:sz w:val="30"/>
          <w:szCs w:val="30"/>
          <w:highlight w:val="none"/>
        </w:rPr>
        <w:t>七、其它</w:t>
      </w:r>
    </w:p>
    <w:p>
      <w:pPr>
        <w:pStyle w:val="9"/>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pPr>
        <w:pStyle w:val="9"/>
        <w:rPr>
          <w:rFonts w:ascii="宋体" w:hAnsi="宋体" w:cs="宋体"/>
          <w:sz w:val="24"/>
          <w:szCs w:val="24"/>
          <w:highlight w:val="none"/>
        </w:rPr>
      </w:pPr>
      <w:r>
        <w:rPr>
          <w:rFonts w:hint="eastAsia" w:ascii="宋体" w:hAnsi="宋体" w:cs="宋体"/>
          <w:sz w:val="24"/>
          <w:szCs w:val="24"/>
          <w:highlight w:val="none"/>
        </w:rPr>
        <w:t>2、其他可以证明供应商实力的文件。</w:t>
      </w:r>
    </w:p>
    <w:p>
      <w:pPr>
        <w:spacing w:before="156" w:beforeLines="50" w:after="156" w:afterLines="50" w:line="500" w:lineRule="exact"/>
        <w:rPr>
          <w:rFonts w:hAnsi="宋体" w:cs="宋体"/>
          <w:b/>
          <w:sz w:val="28"/>
          <w:szCs w:val="28"/>
          <w:highlight w:val="none"/>
        </w:rPr>
      </w:pPr>
      <w:r>
        <w:rPr>
          <w:rFonts w:hint="eastAsia" w:hAnsi="宋体" w:cs="宋体"/>
          <w:szCs w:val="24"/>
          <w:highlight w:val="none"/>
        </w:rPr>
        <w:br w:type="page"/>
      </w:r>
      <w:r>
        <w:rPr>
          <w:rFonts w:hint="eastAsia" w:hAnsi="宋体" w:cs="宋体"/>
          <w:b/>
          <w:sz w:val="28"/>
          <w:szCs w:val="28"/>
          <w:highlight w:val="none"/>
        </w:rPr>
        <w:t>附件1：</w:t>
      </w:r>
    </w:p>
    <w:p>
      <w:pPr>
        <w:keepNext/>
        <w:spacing w:before="312" w:beforeLines="100" w:line="360" w:lineRule="auto"/>
        <w:jc w:val="center"/>
        <w:rPr>
          <w:rFonts w:hAnsi="宋体" w:cs="宋体"/>
          <w:sz w:val="32"/>
          <w:szCs w:val="32"/>
          <w:highlight w:val="none"/>
        </w:rPr>
      </w:pPr>
      <w:bookmarkStart w:id="220" w:name="_Toc403077649"/>
      <w:bookmarkStart w:id="221" w:name="_Toc363474028"/>
      <w:r>
        <w:rPr>
          <w:rFonts w:hint="eastAsia" w:hAnsi="宋体" w:cs="宋体"/>
          <w:sz w:val="32"/>
          <w:szCs w:val="32"/>
          <w:highlight w:val="none"/>
        </w:rPr>
        <w:t>法定代表人身份证明/法定代表人授权书</w:t>
      </w:r>
      <w:bookmarkEnd w:id="220"/>
      <w:bookmarkEnd w:id="221"/>
    </w:p>
    <w:p>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pPr>
        <w:pStyle w:val="9"/>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年龄：</w:t>
      </w:r>
      <w:r>
        <w:rPr>
          <w:rFonts w:hint="eastAsia" w:hAnsi="宋体" w:cs="宋体"/>
          <w:highlight w:val="none"/>
          <w:u w:val="single"/>
        </w:rPr>
        <w:t xml:space="preserve">   </w:t>
      </w:r>
      <w:r>
        <w:rPr>
          <w:rFonts w:hint="eastAsia" w:hAnsi="宋体" w:cs="宋体"/>
          <w:highlight w:val="none"/>
        </w:rPr>
        <w:t>系</w:t>
      </w:r>
      <w:r>
        <w:rPr>
          <w:rFonts w:hint="eastAsia" w:hAnsi="宋体" w:cs="宋体"/>
          <w:highlight w:val="none"/>
          <w:u w:val="single"/>
        </w:rPr>
        <w:t xml:space="preserve">            </w:t>
      </w:r>
      <w:r>
        <w:rPr>
          <w:rFonts w:hint="eastAsia" w:hAnsi="宋体" w:cs="宋体"/>
          <w:highlight w:val="none"/>
        </w:rPr>
        <w:t>（供应商名称）的法定代表人。</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p>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pPr>
              <w:pStyle w:val="9"/>
              <w:jc w:val="center"/>
              <w:rPr>
                <w:rFonts w:ascii="宋体" w:hAnsi="宋体" w:cs="宋体"/>
                <w:highlight w:val="none"/>
              </w:rPr>
            </w:pPr>
            <w:r>
              <w:rPr>
                <w:rFonts w:hint="eastAsia" w:ascii="宋体" w:hAnsi="宋体" w:cs="宋体"/>
                <w:szCs w:val="21"/>
                <w:highlight w:val="none"/>
              </w:rPr>
              <w:t>（正反面）</w:t>
            </w:r>
          </w:p>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tc>
      </w:tr>
    </w:tbl>
    <w:p>
      <w:pPr>
        <w:snapToGrid w:val="0"/>
        <w:spacing w:line="480" w:lineRule="auto"/>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adjustRightInd w:val="0"/>
        <w:snapToGrid w:val="0"/>
        <w:spacing w:line="360" w:lineRule="auto"/>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r>
        <w:rPr>
          <w:rFonts w:hint="eastAsia" w:hAnsi="宋体" w:cs="宋体"/>
          <w:highlight w:val="none"/>
        </w:rPr>
        <w:t>供应商名称（公章）：</w:t>
      </w:r>
    </w:p>
    <w:p>
      <w:pPr>
        <w:adjustRightInd w:val="0"/>
        <w:snapToGrid w:val="0"/>
        <w:spacing w:line="360" w:lineRule="auto"/>
        <w:ind w:right="420"/>
        <w:rPr>
          <w:rFonts w:hAnsi="宋体" w:cs="宋体"/>
          <w:highlight w:val="none"/>
        </w:rPr>
      </w:pPr>
      <w:r>
        <w:rPr>
          <w:rFonts w:hint="eastAsia" w:hAnsi="宋体" w:cs="宋体"/>
          <w:highlight w:val="none"/>
        </w:rPr>
        <w:t>日期：    年  月  日</w:t>
      </w:r>
    </w:p>
    <w:p>
      <w:pPr>
        <w:pStyle w:val="9"/>
        <w:rPr>
          <w:rFonts w:ascii="宋体" w:hAnsi="宋体" w:cs="宋体"/>
          <w:highlight w:val="none"/>
        </w:rPr>
      </w:pPr>
    </w:p>
    <w:p>
      <w:pPr>
        <w:spacing w:line="360" w:lineRule="auto"/>
        <w:jc w:val="left"/>
        <w:rPr>
          <w:rFonts w:hAnsi="宋体" w:cs="宋体"/>
          <w:spacing w:val="4"/>
          <w:szCs w:val="24"/>
          <w:highlight w:val="none"/>
        </w:rPr>
      </w:pPr>
    </w:p>
    <w:p>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陕西至诚招标咨询有限公司 </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    ）</w:t>
      </w:r>
      <w:r>
        <w:rPr>
          <w:rFonts w:hint="eastAsia" w:hAnsi="宋体" w:cs="宋体"/>
          <w:spacing w:val="4"/>
          <w:szCs w:val="24"/>
          <w:highlight w:val="none"/>
        </w:rPr>
        <w:t>项目的磋商、签约等具体工作，并签署全部有关的文件、协议及合同。</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pPr>
        <w:spacing w:line="360" w:lineRule="auto"/>
        <w:ind w:firstLine="496" w:firstLineChars="200"/>
        <w:jc w:val="left"/>
        <w:rPr>
          <w:rFonts w:hAnsi="宋体" w:cs="宋体"/>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pPr>
              <w:spacing w:line="360" w:lineRule="auto"/>
              <w:jc w:val="left"/>
              <w:rPr>
                <w:rFonts w:hAnsi="宋体" w:cs="宋体"/>
                <w:spacing w:val="4"/>
                <w:szCs w:val="24"/>
                <w:highlight w:val="none"/>
              </w:rPr>
            </w:pPr>
          </w:p>
        </w:tc>
      </w:tr>
    </w:tbl>
    <w:p>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pPr>
        <w:spacing w:line="360" w:lineRule="auto"/>
        <w:rPr>
          <w:rFonts w:hAnsi="宋体" w:cs="宋体"/>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pPr>
              <w:spacing w:line="360" w:lineRule="auto"/>
              <w:jc w:val="center"/>
              <w:rPr>
                <w:rFonts w:hAnsi="宋体" w:cs="宋体"/>
                <w:highlight w:val="none"/>
                <w:u w:val="single"/>
              </w:rPr>
            </w:pPr>
            <w:r>
              <w:rPr>
                <w:rFonts w:hint="eastAsia" w:hAnsi="宋体" w:cs="宋体"/>
                <w:szCs w:val="21"/>
                <w:highlight w:val="none"/>
                <w:lang w:val="zh-CN"/>
              </w:rPr>
              <w:t>（正反面）</w:t>
            </w:r>
          </w:p>
        </w:tc>
      </w:tr>
    </w:tbl>
    <w:p>
      <w:pPr>
        <w:spacing w:line="360" w:lineRule="auto"/>
        <w:ind w:firstLine="510"/>
        <w:rPr>
          <w:rFonts w:hAnsi="宋体" w:cs="宋体"/>
          <w:spacing w:val="4"/>
          <w:szCs w:val="24"/>
          <w:highlight w:val="none"/>
        </w:rPr>
      </w:pP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pPr>
        <w:spacing w:before="156" w:beforeLines="50" w:after="156" w:afterLines="50" w:line="360" w:lineRule="auto"/>
        <w:rPr>
          <w:rFonts w:hAnsi="宋体" w:cs="宋体"/>
          <w:highlight w:val="none"/>
        </w:rPr>
      </w:pPr>
      <w:r>
        <w:rPr>
          <w:rFonts w:hint="eastAsia" w:hAnsi="宋体" w:cs="宋体"/>
          <w:spacing w:val="4"/>
          <w:szCs w:val="24"/>
          <w:highlight w:val="none"/>
        </w:rPr>
        <w:t>日期：</w:t>
      </w:r>
    </w:p>
    <w:p>
      <w:pPr>
        <w:widowControl/>
        <w:spacing w:line="360" w:lineRule="auto"/>
        <w:ind w:left="1" w:firstLine="280" w:firstLineChars="100"/>
        <w:jc w:val="center"/>
        <w:rPr>
          <w:rFonts w:hint="eastAsia" w:ascii="宋体" w:hAnsi="宋体" w:cs="宋体"/>
          <w:b/>
          <w:kern w:val="0"/>
          <w:sz w:val="24"/>
          <w:szCs w:val="24"/>
          <w:highlight w:val="none"/>
        </w:rPr>
      </w:pPr>
      <w:r>
        <w:rPr>
          <w:rFonts w:hint="eastAsia" w:hAnsi="宋体" w:cs="宋体"/>
          <w:sz w:val="28"/>
          <w:szCs w:val="28"/>
          <w:highlight w:val="none"/>
          <w:u w:val="single"/>
        </w:rPr>
        <w:br w:type="page"/>
      </w:r>
    </w:p>
    <w:p>
      <w:pPr>
        <w:spacing w:before="156" w:beforeLines="50" w:after="156" w:afterLines="50" w:line="50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附件2：</w:t>
      </w:r>
    </w:p>
    <w:p>
      <w:pPr>
        <w:pStyle w:val="9"/>
        <w:rPr>
          <w:rFonts w:hint="eastAsia"/>
          <w:highlight w:val="none"/>
        </w:rPr>
      </w:pPr>
    </w:p>
    <w:p>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br w:type="textWrapping"/>
      </w:r>
      <w:r>
        <w:rPr>
          <w:rFonts w:hint="eastAsia" w:ascii="宋体" w:hAnsi="宋体" w:cs="宋体"/>
          <w:b/>
          <w:kern w:val="0"/>
          <w:sz w:val="24"/>
          <w:szCs w:val="24"/>
          <w:highlight w:val="none"/>
        </w:rPr>
        <w:t>参加政府采购活动前3年内在经营活动中没有重大违法纪录的书面声明</w:t>
      </w:r>
    </w:p>
    <w:p>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pPr>
        <w:pStyle w:val="19"/>
        <w:wordWrap w:val="0"/>
        <w:spacing w:line="560" w:lineRule="exact"/>
        <w:rPr>
          <w:rFonts w:ascii="宋体" w:hAnsi="宋体" w:cs="宋体"/>
          <w:highlight w:val="none"/>
          <w:u w:val="single"/>
          <w:shd w:val="clear" w:color="auto" w:fill="FFFFFF"/>
        </w:rPr>
      </w:pPr>
      <w:r>
        <w:rPr>
          <w:rFonts w:hint="eastAsia" w:ascii="宋体" w:hAnsi="宋体" w:cs="宋体"/>
          <w:highlight w:val="none"/>
          <w:u w:val="single"/>
          <w:shd w:val="clear" w:color="auto" w:fill="FFFFFF"/>
        </w:rPr>
        <w:t xml:space="preserve">      （采购人）           ：</w:t>
      </w:r>
    </w:p>
    <w:p>
      <w:pPr>
        <w:pStyle w:val="19"/>
        <w:wordWrap w:val="0"/>
        <w:spacing w:line="560" w:lineRule="exact"/>
        <w:ind w:firstLine="640"/>
        <w:rPr>
          <w:rFonts w:ascii="宋体" w:hAnsi="宋体" w:cs="宋体"/>
          <w:highlight w:val="none"/>
        </w:rPr>
      </w:pPr>
      <w:r>
        <w:rPr>
          <w:rFonts w:hint="eastAsia" w:ascii="宋体" w:hAnsi="宋体" w:cs="宋体"/>
          <w:highlight w:val="none"/>
          <w:shd w:val="clear" w:color="auto" w:fill="FFFFFF"/>
        </w:rPr>
        <w:t>我方作为项目名称</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（项目编号：</w:t>
      </w:r>
      <w:r>
        <w:rPr>
          <w:rFonts w:hint="eastAsia" w:ascii="宋体" w:hAnsi="宋体" w:cs="宋体"/>
          <w:i/>
          <w:iCs/>
          <w:highlight w:val="none"/>
          <w:u w:val="single"/>
          <w:shd w:val="clear" w:color="auto" w:fill="FFFFFF"/>
        </w:rPr>
        <w:t xml:space="preserve">          </w:t>
      </w:r>
      <w:r>
        <w:rPr>
          <w:rFonts w:hint="eastAsia" w:ascii="宋体" w:hAnsi="宋体" w:cs="宋体"/>
          <w:highlight w:val="none"/>
          <w:shd w:val="clear" w:color="auto" w:fill="FFFFFF"/>
        </w:rPr>
        <w:t xml:space="preserve">）的供应商，在此郑重声明： </w:t>
      </w:r>
    </w:p>
    <w:p>
      <w:pPr>
        <w:pStyle w:val="19"/>
        <w:wordWrap w:val="0"/>
        <w:spacing w:line="560" w:lineRule="exact"/>
        <w:ind w:firstLine="420"/>
        <w:rPr>
          <w:rFonts w:ascii="宋体" w:hAnsi="宋体" w:cs="宋体"/>
          <w:highlight w:val="none"/>
        </w:rPr>
      </w:pPr>
      <w:r>
        <w:rPr>
          <w:rFonts w:hint="eastAsia" w:ascii="宋体" w:hAnsi="宋体" w:cs="宋体"/>
          <w:highlight w:val="none"/>
          <w:shd w:val="clear" w:color="auto" w:fill="FFFFFF"/>
        </w:rPr>
        <w:t>在参加本次政府采购活动前3年内的经营活动中</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9"/>
        <w:wordWrap w:val="0"/>
        <w:spacing w:line="560" w:lineRule="exact"/>
        <w:ind w:firstLine="420"/>
        <w:rPr>
          <w:rFonts w:ascii="宋体" w:hAnsi="宋体" w:cs="宋体"/>
          <w:highlight w:val="none"/>
        </w:rPr>
      </w:pPr>
      <w:r>
        <w:rPr>
          <w:rFonts w:hint="eastAsia" w:ascii="宋体" w:hAnsi="宋体" w:cs="宋体"/>
          <w:highlight w:val="none"/>
          <w:shd w:val="clear" w:color="auto" w:fill="FFFFFF"/>
        </w:rPr>
        <w:t xml:space="preserve">如有不实，我方将无条件地退出本项目的采购活动，并遵照《政府采购法》有关“提供虚假材料的规定”接受处罚。 </w:t>
      </w:r>
    </w:p>
    <w:p>
      <w:pPr>
        <w:pStyle w:val="19"/>
        <w:wordWrap w:val="0"/>
        <w:spacing w:line="560" w:lineRule="exact"/>
        <w:ind w:firstLine="420"/>
        <w:rPr>
          <w:rFonts w:ascii="宋体" w:hAnsi="宋体" w:cs="宋体"/>
          <w:highlight w:val="none"/>
          <w:shd w:val="clear" w:color="auto" w:fill="FFFFFF"/>
        </w:rPr>
      </w:pPr>
      <w:r>
        <w:rPr>
          <w:rFonts w:hint="eastAsia" w:ascii="宋体" w:hAnsi="宋体" w:cs="宋体"/>
          <w:highlight w:val="none"/>
          <w:shd w:val="clear" w:color="auto" w:fill="FFFFFF"/>
        </w:rPr>
        <w:t>特此声明！</w:t>
      </w:r>
    </w:p>
    <w:p>
      <w:pPr>
        <w:pStyle w:val="19"/>
        <w:wordWrap w:val="0"/>
        <w:spacing w:line="560" w:lineRule="exact"/>
        <w:ind w:firstLine="420"/>
        <w:rPr>
          <w:rFonts w:ascii="宋体" w:hAnsi="宋体" w:cs="宋体"/>
          <w:highlight w:val="none"/>
          <w:shd w:val="clear" w:color="auto" w:fill="FFFFFF"/>
        </w:rPr>
      </w:pPr>
    </w:p>
    <w:p>
      <w:pPr>
        <w:spacing w:line="480" w:lineRule="auto"/>
        <w:ind w:firstLine="3360" w:firstLineChars="1400"/>
        <w:rPr>
          <w:rFonts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pStyle w:val="36"/>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pPr>
        <w:adjustRightInd w:val="0"/>
        <w:snapToGrid w:val="0"/>
        <w:spacing w:line="360" w:lineRule="auto"/>
        <w:jc w:val="center"/>
        <w:rPr>
          <w:rFonts w:asciiTheme="minorEastAsia" w:hAnsiTheme="minorEastAsia" w:eastAsiaTheme="minorEastAsia" w:cstheme="minorEastAsia"/>
          <w:b/>
          <w:sz w:val="28"/>
          <w:szCs w:val="28"/>
          <w:highlight w:val="none"/>
        </w:rPr>
      </w:pPr>
    </w:p>
    <w:p>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pPr>
        <w:rPr>
          <w:highlight w:val="none"/>
        </w:rPr>
      </w:pPr>
    </w:p>
    <w:p>
      <w:pPr>
        <w:pStyle w:val="12"/>
        <w:adjustRightInd w:val="0"/>
        <w:snapToGrid w:val="0"/>
        <w:spacing w:line="720" w:lineRule="exact"/>
        <w:jc w:val="center"/>
        <w:rPr>
          <w:rFonts w:hAnsi="宋体"/>
          <w:b/>
          <w:sz w:val="28"/>
          <w:szCs w:val="28"/>
          <w:highlight w:val="none"/>
        </w:rPr>
      </w:pPr>
    </w:p>
    <w:p>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（采购人名称）    ：</w:t>
      </w:r>
    </w:p>
    <w:p>
      <w:pPr>
        <w:pStyle w:val="12"/>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pPr>
        <w:pStyle w:val="12"/>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pPr>
        <w:pStyle w:val="12"/>
        <w:adjustRightInd w:val="0"/>
        <w:snapToGrid w:val="0"/>
        <w:spacing w:line="720" w:lineRule="exact"/>
        <w:rPr>
          <w:rFonts w:hAnsi="宋体"/>
          <w:spacing w:val="4"/>
          <w:sz w:val="24"/>
          <w:szCs w:val="24"/>
          <w:highlight w:val="none"/>
        </w:rPr>
      </w:pPr>
    </w:p>
    <w:p>
      <w:pPr>
        <w:pStyle w:val="12"/>
        <w:adjustRightInd w:val="0"/>
        <w:snapToGrid w:val="0"/>
        <w:spacing w:line="720" w:lineRule="exact"/>
        <w:rPr>
          <w:rFonts w:hAnsi="宋体"/>
          <w:spacing w:val="4"/>
          <w:sz w:val="24"/>
          <w:szCs w:val="24"/>
          <w:highlight w:val="none"/>
        </w:rPr>
      </w:pPr>
    </w:p>
    <w:p>
      <w:pPr>
        <w:pStyle w:val="12"/>
        <w:adjustRightInd w:val="0"/>
        <w:snapToGrid w:val="0"/>
        <w:spacing w:line="720" w:lineRule="exact"/>
        <w:rPr>
          <w:rFonts w:hAnsi="宋体"/>
          <w:spacing w:val="4"/>
          <w:sz w:val="24"/>
          <w:szCs w:val="24"/>
          <w:highlight w:val="none"/>
        </w:rPr>
      </w:pPr>
    </w:p>
    <w:p>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pStyle w:val="36"/>
        <w:spacing w:before="156" w:beforeLines="50"/>
        <w:ind w:firstLine="3360" w:firstLineChars="140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rPr>
          <w:rFonts w:hint="eastAsia" w:ascii="宋体" w:hAnsi="宋体" w:cs="宋体"/>
          <w:sz w:val="24"/>
          <w:szCs w:val="24"/>
          <w:highlight w:val="none"/>
        </w:rPr>
      </w:pPr>
      <w:r>
        <w:rPr>
          <w:rFonts w:hint="eastAsia" w:ascii="宋体" w:hAnsi="宋体" w:cs="宋体"/>
          <w:sz w:val="24"/>
          <w:szCs w:val="24"/>
          <w:highlight w:val="none"/>
        </w:rPr>
        <w:br w:type="page"/>
      </w:r>
    </w:p>
    <w:p>
      <w:pPr>
        <w:spacing w:before="240" w:beforeLines="100" w:after="240" w:afterLines="100"/>
        <w:jc w:val="center"/>
        <w:rPr>
          <w:rFonts w:hint="eastAsia" w:ascii="宋体" w:hAnsi="宋体"/>
          <w:b/>
          <w:color w:val="auto"/>
          <w:sz w:val="24"/>
          <w:szCs w:val="24"/>
          <w:highlight w:val="none"/>
          <w:lang w:eastAsia="zh-CN"/>
        </w:rPr>
      </w:pPr>
    </w:p>
    <w:p>
      <w:pPr>
        <w:spacing w:before="240" w:beforeLines="100" w:after="240" w:afterLines="100"/>
        <w:jc w:val="center"/>
        <w:rPr>
          <w:rFonts w:hint="eastAsia" w:ascii="宋体" w:hAnsi="宋体"/>
          <w:b/>
          <w:color w:val="auto"/>
          <w:sz w:val="24"/>
          <w:szCs w:val="24"/>
          <w:highlight w:val="none"/>
          <w:lang w:eastAsia="zh-CN"/>
        </w:rPr>
      </w:pPr>
    </w:p>
    <w:p>
      <w:pPr>
        <w:spacing w:before="240" w:beforeLines="100" w:after="240" w:afterLines="100"/>
        <w:jc w:val="center"/>
        <w:rPr>
          <w:rFonts w:hint="eastAsia" w:ascii="宋体" w:hAnsi="宋体"/>
          <w:b/>
          <w:color w:val="auto"/>
          <w:sz w:val="24"/>
          <w:szCs w:val="24"/>
          <w:highlight w:val="none"/>
          <w:lang w:eastAsia="zh-CN"/>
        </w:rPr>
      </w:pPr>
    </w:p>
    <w:p>
      <w:pPr>
        <w:spacing w:before="240" w:beforeLines="100" w:after="240" w:afterLines="100"/>
        <w:jc w:val="center"/>
        <w:rPr>
          <w:rFonts w:ascii="宋体" w:hAnsi="宋体"/>
          <w:b/>
          <w:color w:val="auto"/>
          <w:sz w:val="24"/>
          <w:szCs w:val="24"/>
          <w:highlight w:val="none"/>
        </w:rPr>
      </w:pPr>
      <w:r>
        <w:rPr>
          <w:rFonts w:hint="eastAsia" w:ascii="宋体" w:hAnsi="宋体"/>
          <w:b/>
          <w:color w:val="auto"/>
          <w:sz w:val="24"/>
          <w:szCs w:val="24"/>
          <w:highlight w:val="none"/>
          <w:lang w:eastAsia="zh-CN"/>
        </w:rPr>
        <w:t>项目经理无在建</w:t>
      </w:r>
      <w:r>
        <w:rPr>
          <w:rFonts w:hint="eastAsia" w:ascii="宋体" w:hAnsi="宋体"/>
          <w:b/>
          <w:color w:val="auto"/>
          <w:sz w:val="24"/>
          <w:szCs w:val="24"/>
          <w:highlight w:val="none"/>
        </w:rPr>
        <w:t>承诺书</w:t>
      </w:r>
    </w:p>
    <w:p>
      <w:pPr>
        <w:spacing w:after="240" w:afterLines="100" w:line="440" w:lineRule="exac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hAnsi="宋体"/>
          <w:color w:val="auto"/>
          <w:sz w:val="24"/>
          <w:szCs w:val="24"/>
          <w:highlight w:val="none"/>
          <w:lang w:val="en-US" w:eastAsia="zh-CN"/>
        </w:rPr>
        <w:t>采购</w:t>
      </w:r>
      <w:r>
        <w:rPr>
          <w:rFonts w:hint="eastAsia" w:ascii="宋体" w:hAnsi="宋体"/>
          <w:color w:val="auto"/>
          <w:sz w:val="24"/>
          <w:szCs w:val="24"/>
          <w:highlight w:val="none"/>
        </w:rPr>
        <w:t>人名称）：</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我方在此声明，我方拟派往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（项目名称）（以下简称“本工程”）的项目经理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（项目经理姓名）现阶段没有担任任何在施建设工程项目的项目经理。</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w:t>
      </w:r>
    </w:p>
    <w:p>
      <w:pPr>
        <w:spacing w:line="440" w:lineRule="exact"/>
        <w:jc w:val="right"/>
        <w:rPr>
          <w:rFonts w:ascii="宋体" w:hAnsi="宋体"/>
          <w:color w:val="auto"/>
          <w:sz w:val="24"/>
          <w:szCs w:val="24"/>
          <w:highlight w:val="none"/>
        </w:rPr>
      </w:pPr>
    </w:p>
    <w:p>
      <w:pPr>
        <w:jc w:val="right"/>
        <w:rPr>
          <w:rFonts w:hint="eastAsia" w:hAnsi="宋体" w:cs="宋体"/>
          <w:sz w:val="28"/>
          <w:szCs w:val="28"/>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rPr>
          <w:rFonts w:hint="eastAsia" w:ascii="宋体" w:hAnsi="宋体" w:cs="宋体"/>
          <w:sz w:val="24"/>
          <w:szCs w:val="24"/>
          <w:highlight w:val="none"/>
        </w:rPr>
      </w:pPr>
      <w:r>
        <w:rPr>
          <w:rFonts w:hint="eastAsia" w:ascii="宋体" w:hAnsi="宋体" w:cs="宋体"/>
          <w:sz w:val="24"/>
          <w:szCs w:val="24"/>
          <w:highlight w:val="none"/>
        </w:rPr>
        <w:br w:type="page"/>
      </w:r>
    </w:p>
    <w:p>
      <w:pPr>
        <w:spacing w:before="156" w:beforeLines="50" w:after="156" w:afterLines="50"/>
        <w:rPr>
          <w:rFonts w:hAnsi="宋体" w:cs="宋体"/>
          <w:highlight w:val="none"/>
        </w:rPr>
      </w:pPr>
      <w:r>
        <w:rPr>
          <w:rFonts w:hint="eastAsia" w:hAnsi="宋体" w:cs="宋体"/>
          <w:b/>
          <w:bCs/>
          <w:sz w:val="28"/>
          <w:szCs w:val="28"/>
          <w:highlight w:val="none"/>
        </w:rPr>
        <w:t>附件</w:t>
      </w:r>
      <w:r>
        <w:rPr>
          <w:rFonts w:hint="eastAsia" w:hAnsi="宋体" w:cs="宋体"/>
          <w:b/>
          <w:bCs/>
          <w:sz w:val="28"/>
          <w:szCs w:val="28"/>
          <w:highlight w:val="none"/>
          <w:lang w:val="en-US" w:eastAsia="zh-CN"/>
        </w:rPr>
        <w:t>3</w:t>
      </w:r>
      <w:r>
        <w:rPr>
          <w:rFonts w:hint="eastAsia" w:hAnsi="宋体" w:cs="宋体"/>
          <w:b/>
          <w:bCs/>
          <w:sz w:val="28"/>
          <w:szCs w:val="28"/>
          <w:highlight w:val="none"/>
        </w:rPr>
        <w:t>：</w:t>
      </w:r>
    </w:p>
    <w:p>
      <w:pPr>
        <w:spacing w:before="156" w:beforeLines="50" w:after="156" w:afterLines="50" w:line="360" w:lineRule="auto"/>
        <w:jc w:val="center"/>
        <w:rPr>
          <w:rFonts w:hint="eastAsia" w:hAnsi="宋体" w:cs="宋体"/>
          <w:szCs w:val="24"/>
          <w:highlight w:val="none"/>
        </w:rPr>
      </w:pPr>
      <w:bookmarkStart w:id="222" w:name="_Toc13836"/>
      <w:r>
        <w:rPr>
          <w:rFonts w:hint="eastAsia" w:hAnsi="宋体" w:cs="宋体"/>
          <w:b/>
          <w:sz w:val="28"/>
          <w:szCs w:val="28"/>
          <w:highlight w:val="none"/>
        </w:rPr>
        <w:t>中小企业声明函</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pPr>
        <w:tabs>
          <w:tab w:val="left" w:pos="1620"/>
          <w:tab w:val="left" w:pos="1800"/>
        </w:tabs>
        <w:spacing w:line="500" w:lineRule="exact"/>
        <w:rPr>
          <w:rFonts w:hint="eastAsia" w:hAnsi="宋体" w:cs="宋体"/>
          <w:sz w:val="21"/>
          <w:szCs w:val="21"/>
          <w:highlight w:val="none"/>
        </w:rPr>
      </w:pPr>
      <w:r>
        <w:rPr>
          <w:rFonts w:hint="eastAsia" w:hAnsi="宋体" w:cs="宋体"/>
          <w:sz w:val="21"/>
          <w:szCs w:val="21"/>
          <w:highlight w:val="none"/>
        </w:rPr>
        <w:t>备注：</w:t>
      </w:r>
    </w:p>
    <w:p>
      <w:pPr>
        <w:tabs>
          <w:tab w:val="left" w:pos="1620"/>
          <w:tab w:val="left" w:pos="1800"/>
        </w:tabs>
        <w:spacing w:line="500" w:lineRule="exact"/>
        <w:rPr>
          <w:rFonts w:hint="eastAsia" w:hAnsi="宋体" w:cs="宋体"/>
          <w:szCs w:val="24"/>
          <w:highlight w:val="none"/>
        </w:rPr>
      </w:pPr>
      <w:r>
        <w:rPr>
          <w:rFonts w:hint="eastAsia" w:hAnsi="宋体" w:cs="宋体"/>
          <w:szCs w:val="24"/>
          <w:highlight w:val="none"/>
          <w:lang w:val="en-US" w:eastAsia="zh-CN"/>
        </w:rPr>
        <w:t>1.</w:t>
      </w:r>
      <w:r>
        <w:rPr>
          <w:rFonts w:hint="eastAsia" w:hAnsi="宋体" w:cs="宋体"/>
          <w:szCs w:val="24"/>
          <w:highlight w:val="none"/>
          <w:lang w:eastAsia="zh-CN"/>
        </w:rPr>
        <w:t>资产总额：</w:t>
      </w:r>
      <w:r>
        <w:rPr>
          <w:rFonts w:hint="eastAsia" w:hAnsi="宋体" w:cs="宋体"/>
          <w:szCs w:val="24"/>
          <w:highlight w:val="none"/>
        </w:rPr>
        <w:t>从业人员、营业收入、资产总额填报上一年度数据，无上一年度数据的新成立企业可不填报。</w:t>
      </w:r>
    </w:p>
    <w:p>
      <w:pPr>
        <w:spacing w:before="312" w:beforeLines="100" w:after="156" w:afterLines="50"/>
        <w:rPr>
          <w:rFonts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附件</w:t>
      </w:r>
      <w:r>
        <w:rPr>
          <w:rFonts w:hint="eastAsia" w:hAnsi="宋体" w:cs="宋体"/>
          <w:b/>
          <w:sz w:val="28"/>
          <w:szCs w:val="28"/>
          <w:highlight w:val="none"/>
          <w:lang w:val="en-US" w:eastAsia="zh-CN"/>
        </w:rPr>
        <w:t>4</w:t>
      </w:r>
      <w:r>
        <w:rPr>
          <w:rFonts w:hint="eastAsia" w:hAnsi="宋体" w:cs="宋体"/>
          <w:b/>
          <w:sz w:val="28"/>
          <w:szCs w:val="28"/>
          <w:highlight w:val="none"/>
        </w:rPr>
        <w:t>（如有）：</w:t>
      </w:r>
    </w:p>
    <w:p>
      <w:pPr>
        <w:spacing w:before="312" w:beforeLines="100" w:after="156" w:afterLines="50"/>
        <w:jc w:val="center"/>
        <w:rPr>
          <w:rFonts w:hAnsi="宋体" w:cs="宋体"/>
          <w:b/>
          <w:sz w:val="28"/>
          <w:szCs w:val="28"/>
          <w:highlight w:val="none"/>
        </w:rPr>
      </w:pPr>
      <w:r>
        <w:rPr>
          <w:rFonts w:hint="eastAsia" w:hAnsi="宋体" w:cs="宋体"/>
          <w:b/>
          <w:sz w:val="28"/>
          <w:szCs w:val="28"/>
          <w:highlight w:val="none"/>
        </w:rPr>
        <w:t>磋商产品属节能、环境标志产品列表</w:t>
      </w:r>
      <w:bookmarkEnd w:id="222"/>
    </w:p>
    <w:p>
      <w:pPr>
        <w:spacing w:line="360" w:lineRule="auto"/>
        <w:rPr>
          <w:rFonts w:hAnsi="宋体" w:cs="宋体"/>
          <w:bCs/>
          <w:szCs w:val="24"/>
          <w:highlight w:val="none"/>
        </w:rPr>
      </w:pPr>
      <w:r>
        <w:rPr>
          <w:rFonts w:hint="eastAsia" w:hAnsi="宋体" w:cs="宋体"/>
          <w:bCs/>
          <w:szCs w:val="24"/>
          <w:highlight w:val="none"/>
        </w:rPr>
        <w:t>项目名称：</w:t>
      </w:r>
    </w:p>
    <w:p>
      <w:pPr>
        <w:spacing w:line="360" w:lineRule="auto"/>
        <w:rPr>
          <w:rFonts w:hAnsi="宋体" w:cs="宋体"/>
          <w:bCs/>
          <w:szCs w:val="24"/>
          <w:highlight w:val="none"/>
        </w:rPr>
      </w:pPr>
      <w:r>
        <w:rPr>
          <w:rFonts w:hint="eastAsia" w:hAnsi="宋体" w:cs="宋体"/>
          <w:bCs/>
          <w:szCs w:val="24"/>
          <w:highlight w:val="none"/>
        </w:rPr>
        <w:t>项目编号：</w:t>
      </w:r>
    </w:p>
    <w:tbl>
      <w:tblPr>
        <w:tblStyle w:val="22"/>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Ansi="宋体" w:cs="宋体"/>
                <w:highlight w:val="none"/>
              </w:rPr>
            </w:pPr>
            <w:r>
              <w:rPr>
                <w:rFonts w:hint="eastAsia" w:hAnsi="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Ansi="宋体" w:cs="宋体"/>
                <w:highlight w:val="none"/>
              </w:rPr>
            </w:pPr>
            <w:r>
              <w:rPr>
                <w:rFonts w:hint="eastAsia" w:hAnsi="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单价</w:t>
            </w:r>
          </w:p>
          <w:p>
            <w:pPr>
              <w:spacing w:after="120"/>
              <w:jc w:val="center"/>
              <w:rPr>
                <w:rFonts w:hAnsi="宋体" w:cs="宋体"/>
                <w:bCs/>
                <w:highlight w:val="none"/>
              </w:rPr>
            </w:pPr>
            <w:r>
              <w:rPr>
                <w:rFonts w:hint="eastAsia" w:hAnsi="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highlight w:val="none"/>
              </w:rPr>
            </w:pPr>
            <w:r>
              <w:rPr>
                <w:rFonts w:hint="eastAsia" w:hAnsi="宋体" w:cs="宋体"/>
                <w:bCs/>
                <w:highlight w:val="none"/>
              </w:rPr>
              <w:t>总价</w:t>
            </w:r>
          </w:p>
          <w:p>
            <w:pPr>
              <w:spacing w:after="120"/>
              <w:jc w:val="center"/>
              <w:rPr>
                <w:rFonts w:hAnsi="宋体" w:cs="宋体"/>
                <w:bCs/>
                <w:highlight w:val="none"/>
              </w:rPr>
            </w:pPr>
            <w:r>
              <w:rPr>
                <w:rFonts w:hint="eastAsia" w:hAnsi="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hAnsi="宋体" w:cs="宋体"/>
                <w:highlight w:val="none"/>
              </w:rPr>
            </w:pPr>
            <w:r>
              <w:rPr>
                <w:rFonts w:hint="eastAsia" w:hAnsi="宋体" w:cs="宋体"/>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b/>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hAnsi="宋体" w:cs="宋体"/>
                <w:highlight w:val="none"/>
              </w:rPr>
            </w:pPr>
            <w:r>
              <w:rPr>
                <w:rFonts w:hint="eastAsia" w:hAnsi="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r>
              <w:rPr>
                <w:rFonts w:hint="eastAsia" w:hAnsi="宋体" w:cs="宋体"/>
                <w:spacing w:val="-6"/>
                <w:highlight w:val="none"/>
              </w:rPr>
              <w:t>保留小数点后两位。</w:t>
            </w:r>
          </w:p>
        </w:tc>
      </w:tr>
    </w:tbl>
    <w:p>
      <w:pPr>
        <w:adjustRightInd w:val="0"/>
        <w:snapToGrid w:val="0"/>
        <w:spacing w:line="360" w:lineRule="auto"/>
        <w:rPr>
          <w:rFonts w:hAnsi="宋体" w:cs="宋体"/>
          <w:szCs w:val="21"/>
          <w:highlight w:val="none"/>
        </w:rPr>
      </w:pPr>
    </w:p>
    <w:p>
      <w:pPr>
        <w:adjustRightInd w:val="0"/>
        <w:snapToGrid w:val="0"/>
        <w:spacing w:line="360" w:lineRule="auto"/>
        <w:rPr>
          <w:rFonts w:hAnsi="宋体" w:cs="宋体"/>
          <w:bCs/>
          <w:szCs w:val="21"/>
          <w:highlight w:val="none"/>
        </w:rPr>
      </w:pPr>
      <w:r>
        <w:rPr>
          <w:rFonts w:hint="eastAsia" w:hAnsi="宋体" w:cs="宋体"/>
          <w:szCs w:val="21"/>
          <w:highlight w:val="none"/>
        </w:rPr>
        <w:t>说明：</w:t>
      </w:r>
      <w:r>
        <w:rPr>
          <w:rFonts w:hint="eastAsia" w:hAnsi="宋体" w:cs="宋体"/>
          <w:bCs/>
          <w:szCs w:val="21"/>
          <w:highlight w:val="none"/>
        </w:rPr>
        <w:t>1、</w:t>
      </w:r>
      <w:r>
        <w:rPr>
          <w:rFonts w:hint="eastAsia" w:hAnsi="宋体" w:cs="宋体"/>
          <w:szCs w:val="21"/>
          <w:highlight w:val="none"/>
        </w:rPr>
        <w:t>供应商提供的属于节能、环境标志产品品目清单中优先采购的产品，须按磋商文件要求提供相关证明材料。</w:t>
      </w:r>
    </w:p>
    <w:p>
      <w:pPr>
        <w:pStyle w:val="33"/>
        <w:spacing w:line="400" w:lineRule="exact"/>
        <w:ind w:left="480" w:leftChars="200" w:firstLine="240" w:firstLineChars="100"/>
        <w:rPr>
          <w:rFonts w:hAnsi="宋体" w:cs="宋体"/>
          <w:sz w:val="28"/>
          <w:szCs w:val="28"/>
          <w:highlight w:val="none"/>
        </w:rPr>
      </w:pPr>
      <w:r>
        <w:rPr>
          <w:rFonts w:hint="eastAsia" w:hAnsi="宋体" w:cs="宋体"/>
          <w:bCs/>
          <w:highlight w:val="none"/>
        </w:rPr>
        <w:t>2、未按上述要求提供、</w:t>
      </w:r>
      <w:r>
        <w:rPr>
          <w:rFonts w:hint="eastAsia" w:hAnsi="宋体" w:cs="宋体"/>
          <w:highlight w:val="none"/>
        </w:rPr>
        <w:t>填写</w:t>
      </w:r>
      <w:r>
        <w:rPr>
          <w:rFonts w:hint="eastAsia" w:hAnsi="宋体" w:cs="宋体"/>
          <w:bCs/>
          <w:highlight w:val="none"/>
        </w:rPr>
        <w:t>的，评审时不予以考虑。</w:t>
      </w:r>
    </w:p>
    <w:p>
      <w:pPr>
        <w:spacing w:before="100" w:beforeAutospacing="1" w:after="156" w:afterLines="50" w:line="360" w:lineRule="auto"/>
        <w:rPr>
          <w:rFonts w:hAnsi="宋体" w:cs="宋体"/>
          <w:b/>
          <w:bCs/>
          <w:spacing w:val="6"/>
          <w:sz w:val="30"/>
          <w:szCs w:val="30"/>
          <w:highlight w:val="none"/>
        </w:rPr>
      </w:pPr>
      <w:r>
        <w:rPr>
          <w:rFonts w:hint="eastAsia" w:hAnsi="宋体" w:cs="宋体"/>
          <w:szCs w:val="24"/>
          <w:highlight w:val="none"/>
        </w:rPr>
        <w:br w:type="page"/>
      </w:r>
      <w:r>
        <w:rPr>
          <w:rFonts w:hint="eastAsia" w:hAnsi="宋体" w:cs="宋体"/>
          <w:b/>
          <w:bCs/>
          <w:spacing w:val="6"/>
          <w:sz w:val="30"/>
          <w:szCs w:val="30"/>
          <w:highlight w:val="none"/>
        </w:rPr>
        <w:t>附件</w:t>
      </w:r>
      <w:r>
        <w:rPr>
          <w:rFonts w:hint="eastAsia" w:hAnsi="宋体" w:cs="宋体"/>
          <w:b/>
          <w:bCs/>
          <w:spacing w:val="6"/>
          <w:sz w:val="30"/>
          <w:szCs w:val="30"/>
          <w:highlight w:val="none"/>
          <w:lang w:val="en-US" w:eastAsia="zh-CN"/>
        </w:rPr>
        <w:t>5</w:t>
      </w:r>
      <w:r>
        <w:rPr>
          <w:rFonts w:hint="eastAsia" w:hAnsi="宋体" w:cs="宋体"/>
          <w:b/>
          <w:bCs/>
          <w:spacing w:val="6"/>
          <w:sz w:val="30"/>
          <w:szCs w:val="30"/>
          <w:highlight w:val="none"/>
        </w:rPr>
        <w:t>（如有）：</w:t>
      </w:r>
    </w:p>
    <w:p>
      <w:pPr>
        <w:spacing w:line="588" w:lineRule="exact"/>
        <w:jc w:val="center"/>
        <w:rPr>
          <w:rFonts w:hAnsi="宋体" w:cs="宋体"/>
          <w:b/>
          <w:spacing w:val="6"/>
          <w:sz w:val="32"/>
          <w:szCs w:val="32"/>
          <w:highlight w:val="none"/>
        </w:rPr>
      </w:pPr>
      <w:bookmarkStart w:id="223" w:name="OLE_LINK14"/>
      <w:bookmarkStart w:id="224" w:name="OLE_LINK13"/>
      <w:r>
        <w:rPr>
          <w:rFonts w:hint="eastAsia" w:hAnsi="宋体" w:cs="宋体"/>
          <w:b/>
          <w:spacing w:val="6"/>
          <w:sz w:val="32"/>
          <w:szCs w:val="32"/>
          <w:highlight w:val="none"/>
        </w:rPr>
        <w:t>残疾人福利性单位声明函</w:t>
      </w:r>
    </w:p>
    <w:bookmarkEnd w:id="223"/>
    <w:bookmarkEnd w:id="224"/>
    <w:p>
      <w:pPr>
        <w:spacing w:line="588" w:lineRule="exact"/>
        <w:rPr>
          <w:rFonts w:hAnsi="宋体" w:cs="宋体"/>
          <w:b/>
          <w:spacing w:val="6"/>
          <w:sz w:val="30"/>
          <w:szCs w:val="30"/>
          <w:highlight w:val="none"/>
        </w:rPr>
      </w:pP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pPr>
        <w:tabs>
          <w:tab w:val="left" w:pos="2488"/>
        </w:tabs>
        <w:jc w:val="left"/>
        <w:rPr>
          <w:rFonts w:hAnsi="宋体" w:cs="宋体"/>
          <w:b/>
          <w:sz w:val="28"/>
          <w:szCs w:val="28"/>
          <w:highlight w:val="none"/>
        </w:rPr>
      </w:pPr>
      <w:r>
        <w:rPr>
          <w:rFonts w:hint="eastAsia" w:hAnsi="宋体" w:cs="宋体"/>
          <w:highlight w:val="none"/>
        </w:rPr>
        <w:br w:type="page"/>
      </w:r>
      <w:r>
        <w:rPr>
          <w:rFonts w:hint="eastAsia" w:hAnsi="宋体" w:cs="宋体"/>
          <w:b/>
          <w:sz w:val="28"/>
          <w:szCs w:val="28"/>
          <w:highlight w:val="none"/>
        </w:rPr>
        <w:t>附件</w:t>
      </w:r>
      <w:r>
        <w:rPr>
          <w:rFonts w:hint="eastAsia" w:hAnsi="宋体" w:cs="宋体"/>
          <w:b/>
          <w:sz w:val="28"/>
          <w:szCs w:val="28"/>
          <w:highlight w:val="none"/>
          <w:lang w:val="en-US" w:eastAsia="zh-CN"/>
        </w:rPr>
        <w:t>6</w:t>
      </w:r>
      <w:r>
        <w:rPr>
          <w:rFonts w:hint="eastAsia" w:hAnsi="宋体" w:cs="宋体"/>
          <w:b/>
          <w:sz w:val="28"/>
          <w:szCs w:val="28"/>
          <w:highlight w:val="none"/>
        </w:rPr>
        <w:t>：（参考格式）</w:t>
      </w:r>
    </w:p>
    <w:p>
      <w:pPr>
        <w:spacing w:line="550" w:lineRule="exact"/>
        <w:jc w:val="center"/>
        <w:rPr>
          <w:rFonts w:hAnsi="宋体" w:cs="宋体"/>
          <w:b/>
          <w:bCs/>
          <w:sz w:val="32"/>
          <w:szCs w:val="32"/>
          <w:highlight w:val="none"/>
        </w:rPr>
      </w:pPr>
      <w:r>
        <w:rPr>
          <w:rFonts w:hint="eastAsia" w:hAnsi="宋体" w:cs="宋体"/>
          <w:b/>
          <w:bCs/>
          <w:sz w:val="32"/>
          <w:szCs w:val="32"/>
          <w:highlight w:val="none"/>
        </w:rPr>
        <w:t>磋商担保函</w:t>
      </w:r>
    </w:p>
    <w:p>
      <w:pPr>
        <w:rPr>
          <w:rFonts w:hAnsi="宋体" w:cs="宋体"/>
          <w:szCs w:val="32"/>
          <w:highlight w:val="none"/>
        </w:rPr>
      </w:pPr>
      <w:r>
        <w:rPr>
          <w:rFonts w:hint="eastAsia" w:hAnsi="宋体" w:cs="宋体"/>
          <w:szCs w:val="32"/>
          <w:highlight w:val="none"/>
        </w:rPr>
        <w:t xml:space="preserve">                                         </w:t>
      </w:r>
    </w:p>
    <w:p>
      <w:pPr>
        <w:jc w:val="center"/>
        <w:rPr>
          <w:rFonts w:hAnsi="宋体" w:cs="宋体"/>
          <w:szCs w:val="32"/>
          <w:highlight w:val="none"/>
        </w:rPr>
      </w:pPr>
      <w:r>
        <w:rPr>
          <w:rFonts w:hint="eastAsia" w:hAnsi="宋体" w:cs="宋体"/>
          <w:szCs w:val="32"/>
          <w:highlight w:val="none"/>
        </w:rPr>
        <w:t xml:space="preserve">                     </w:t>
      </w:r>
      <w:r>
        <w:rPr>
          <w:rFonts w:hint="eastAsia" w:hAnsi="宋体" w:cs="宋体"/>
          <w:szCs w:val="24"/>
          <w:highlight w:val="none"/>
        </w:rPr>
        <w:t xml:space="preserve">         编号： </w:t>
      </w:r>
    </w:p>
    <w:p>
      <w:pPr>
        <w:rPr>
          <w:rFonts w:hAnsi="宋体" w:cs="宋体"/>
          <w:szCs w:val="32"/>
          <w:highlight w:val="none"/>
          <w:u w:val="single"/>
        </w:rPr>
      </w:pPr>
    </w:p>
    <w:p>
      <w:pPr>
        <w:spacing w:line="360" w:lineRule="auto"/>
        <w:rPr>
          <w:rFonts w:hAnsi="宋体" w:cs="宋体"/>
          <w:szCs w:val="24"/>
          <w:highlight w:val="none"/>
        </w:rPr>
      </w:pPr>
      <w:r>
        <w:rPr>
          <w:rFonts w:hint="eastAsia" w:hAnsi="宋体" w:cs="宋体"/>
          <w:szCs w:val="24"/>
          <w:highlight w:val="none"/>
        </w:rPr>
        <w:t xml:space="preserve">___________________（采购人或采购代理机构）： </w:t>
      </w:r>
    </w:p>
    <w:p>
      <w:pPr>
        <w:spacing w:line="360" w:lineRule="auto"/>
        <w:ind w:firstLine="480" w:firstLineChars="200"/>
        <w:rPr>
          <w:rFonts w:hAnsi="宋体" w:cs="宋体"/>
          <w:szCs w:val="24"/>
          <w:highlight w:val="none"/>
        </w:rPr>
      </w:pPr>
      <w:r>
        <w:rPr>
          <w:rFonts w:hint="eastAsia" w:hAnsi="宋体" w:cs="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一、保证责任的情形及保证金额 </w:t>
      </w:r>
    </w:p>
    <w:p>
      <w:pPr>
        <w:spacing w:line="360" w:lineRule="auto"/>
        <w:rPr>
          <w:rFonts w:hAnsi="宋体" w:cs="宋体"/>
          <w:szCs w:val="24"/>
          <w:highlight w:val="none"/>
        </w:rPr>
      </w:pPr>
      <w:r>
        <w:rPr>
          <w:rFonts w:hint="eastAsia" w:hAnsi="宋体" w:cs="宋体"/>
          <w:szCs w:val="24"/>
          <w:highlight w:val="none"/>
        </w:rPr>
        <w:t xml:space="preserve">   （一）在供应商出现下列情形之一时，我方承担保证责任： </w:t>
      </w:r>
    </w:p>
    <w:p>
      <w:pPr>
        <w:spacing w:line="360" w:lineRule="auto"/>
        <w:rPr>
          <w:rFonts w:hAnsi="宋体" w:cs="宋体"/>
          <w:szCs w:val="24"/>
          <w:highlight w:val="none"/>
        </w:rPr>
      </w:pPr>
      <w:r>
        <w:rPr>
          <w:rFonts w:hint="eastAsia" w:hAnsi="宋体" w:cs="宋体"/>
          <w:szCs w:val="24"/>
          <w:highlight w:val="none"/>
        </w:rPr>
        <w:t xml:space="preserve">    1．成交后供应商无正当理由不与采购人或者采购代理机构签订《政府采购合同》； </w:t>
      </w:r>
    </w:p>
    <w:p>
      <w:pPr>
        <w:spacing w:line="360" w:lineRule="auto"/>
        <w:rPr>
          <w:rFonts w:hAnsi="宋体" w:cs="宋体"/>
          <w:szCs w:val="24"/>
          <w:highlight w:val="none"/>
        </w:rPr>
      </w:pPr>
      <w:r>
        <w:rPr>
          <w:rFonts w:hint="eastAsia" w:hAnsi="宋体" w:cs="宋体"/>
          <w:szCs w:val="24"/>
          <w:highlight w:val="none"/>
        </w:rPr>
        <w:t xml:space="preserve">    2．竞争性磋商文件规定的供应商应当缴纳保证金的其他情形。 </w:t>
      </w:r>
    </w:p>
    <w:p>
      <w:pPr>
        <w:spacing w:line="360" w:lineRule="auto"/>
        <w:ind w:firstLine="480" w:firstLineChars="200"/>
        <w:jc w:val="left"/>
        <w:rPr>
          <w:rFonts w:hAnsi="宋体" w:cs="宋体"/>
          <w:szCs w:val="24"/>
          <w:highlight w:val="none"/>
        </w:rPr>
      </w:pPr>
      <w:r>
        <w:rPr>
          <w:rFonts w:hint="eastAsia" w:hAnsi="宋体" w:cs="宋体"/>
          <w:szCs w:val="24"/>
          <w:highlight w:val="none"/>
        </w:rPr>
        <w:t xml:space="preserve">  （二）我方承担保证责任的最高金额为人民币______元（大写_____________），即本项目的磋商保证金金额。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二、保证的方式及保证期间 </w:t>
      </w:r>
    </w:p>
    <w:p>
      <w:pPr>
        <w:spacing w:line="360" w:lineRule="auto"/>
        <w:rPr>
          <w:rFonts w:hAnsi="宋体" w:cs="宋体"/>
          <w:szCs w:val="24"/>
          <w:highlight w:val="none"/>
        </w:rPr>
      </w:pPr>
      <w:r>
        <w:rPr>
          <w:rFonts w:hint="eastAsia" w:hAnsi="宋体" w:cs="宋体"/>
          <w:szCs w:val="24"/>
          <w:highlight w:val="none"/>
        </w:rPr>
        <w:t xml:space="preserve">    我方保证的方式为：连带责任保证。 </w:t>
      </w:r>
    </w:p>
    <w:p>
      <w:pPr>
        <w:spacing w:line="360" w:lineRule="auto"/>
        <w:rPr>
          <w:rFonts w:hAnsi="宋体" w:cs="宋体"/>
          <w:szCs w:val="24"/>
          <w:highlight w:val="none"/>
        </w:rPr>
      </w:pPr>
      <w:r>
        <w:rPr>
          <w:rFonts w:hint="eastAsia" w:hAnsi="宋体" w:cs="宋体"/>
          <w:szCs w:val="24"/>
          <w:highlight w:val="none"/>
        </w:rPr>
        <w:t xml:space="preserve">    我方的保证期间为：自本保函生效之日起______个月止。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三、承担保证责任的程序 </w:t>
      </w:r>
    </w:p>
    <w:p>
      <w:pPr>
        <w:spacing w:line="360" w:lineRule="auto"/>
        <w:rPr>
          <w:rFonts w:hAnsi="宋体" w:cs="宋体"/>
          <w:szCs w:val="24"/>
          <w:highlight w:val="none"/>
        </w:rPr>
      </w:pPr>
      <w:r>
        <w:rPr>
          <w:rFonts w:hint="eastAsia" w:hAnsi="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szCs w:val="24"/>
          <w:highlight w:val="none"/>
        </w:rPr>
      </w:pPr>
      <w:r>
        <w:rPr>
          <w:rFonts w:hint="eastAsia" w:hAnsi="宋体" w:cs="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cs="宋体"/>
          <w:b/>
          <w:szCs w:val="24"/>
          <w:highlight w:val="none"/>
        </w:rPr>
      </w:pPr>
      <w:r>
        <w:rPr>
          <w:rFonts w:hint="eastAsia" w:hAnsi="宋体" w:cs="宋体"/>
          <w:b/>
          <w:szCs w:val="24"/>
          <w:highlight w:val="none"/>
        </w:rPr>
        <w:t xml:space="preserve">    四、保证责任的终止 </w:t>
      </w:r>
    </w:p>
    <w:p>
      <w:pPr>
        <w:spacing w:line="360" w:lineRule="auto"/>
        <w:rPr>
          <w:rFonts w:hAnsi="宋体" w:cs="宋体"/>
          <w:szCs w:val="24"/>
          <w:highlight w:val="none"/>
        </w:rPr>
      </w:pPr>
      <w:r>
        <w:rPr>
          <w:rFonts w:hint="eastAsia" w:hAnsi="宋体" w:cs="宋体"/>
          <w:szCs w:val="24"/>
          <w:highlight w:val="none"/>
        </w:rPr>
        <w:t xml:space="preserve">    1．保证期间届满你方未向我方书面主张保证责任的，自保证期间届满次日起，我方保证责任自动终止。 </w:t>
      </w:r>
    </w:p>
    <w:p>
      <w:pPr>
        <w:spacing w:line="360" w:lineRule="auto"/>
        <w:rPr>
          <w:rFonts w:hAnsi="宋体" w:cs="宋体"/>
          <w:szCs w:val="24"/>
          <w:highlight w:val="none"/>
        </w:rPr>
      </w:pPr>
      <w:r>
        <w:rPr>
          <w:rFonts w:hint="eastAsia" w:hAnsi="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cs="宋体"/>
          <w:szCs w:val="24"/>
          <w:highlight w:val="none"/>
        </w:rPr>
      </w:pPr>
      <w:r>
        <w:rPr>
          <w:rFonts w:hint="eastAsia" w:hAnsi="宋体" w:cs="宋体"/>
          <w:szCs w:val="24"/>
          <w:highlight w:val="none"/>
        </w:rPr>
        <w:t xml:space="preserve">    3．按照法律法规的规定或出现我方保证责任终止的其它情形的，我方在本保函项下的保证责任亦终止。 </w:t>
      </w:r>
    </w:p>
    <w:p>
      <w:pPr>
        <w:spacing w:line="360" w:lineRule="auto"/>
        <w:rPr>
          <w:rFonts w:hAnsi="宋体" w:cs="宋体"/>
          <w:b/>
          <w:szCs w:val="24"/>
          <w:highlight w:val="none"/>
        </w:rPr>
      </w:pPr>
      <w:r>
        <w:rPr>
          <w:rFonts w:hint="eastAsia" w:hAnsi="宋体" w:cs="宋体"/>
          <w:b/>
          <w:szCs w:val="24"/>
          <w:highlight w:val="none"/>
        </w:rPr>
        <w:t xml:space="preserve">    五、免责条款 </w:t>
      </w:r>
    </w:p>
    <w:p>
      <w:pPr>
        <w:spacing w:line="360" w:lineRule="auto"/>
        <w:rPr>
          <w:rFonts w:hAnsi="宋体" w:cs="宋体"/>
          <w:szCs w:val="24"/>
          <w:highlight w:val="none"/>
        </w:rPr>
      </w:pPr>
      <w:r>
        <w:rPr>
          <w:rFonts w:hint="eastAsia" w:hAnsi="宋体" w:cs="宋体"/>
          <w:szCs w:val="24"/>
          <w:highlight w:val="none"/>
        </w:rPr>
        <w:t xml:space="preserve">    1．依照法律规定或你方与供应商的另行约定，全部或者部分免除供应商磋商保证金义务时，我方亦免除相应的保证责任。 </w:t>
      </w:r>
    </w:p>
    <w:p>
      <w:pPr>
        <w:spacing w:line="360" w:lineRule="auto"/>
        <w:rPr>
          <w:rFonts w:hAnsi="宋体" w:cs="宋体"/>
          <w:szCs w:val="24"/>
          <w:highlight w:val="none"/>
        </w:rPr>
      </w:pPr>
      <w:r>
        <w:rPr>
          <w:rFonts w:hint="eastAsia" w:hAnsi="宋体" w:cs="宋体"/>
          <w:szCs w:val="24"/>
          <w:highlight w:val="none"/>
        </w:rPr>
        <w:t xml:space="preserve">    2．因你方原因致使供应商发生本保函第一条第（一）款约定情形的，我方不承担保证责任。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3．因不可抗力造成供应商发生本保函第一条约定情形的，我方不承担保证责任。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六、争议的解决 </w:t>
      </w:r>
    </w:p>
    <w:p>
      <w:pPr>
        <w:spacing w:line="360" w:lineRule="auto"/>
        <w:rPr>
          <w:rFonts w:hAnsi="宋体" w:cs="宋体"/>
          <w:szCs w:val="24"/>
          <w:highlight w:val="none"/>
        </w:rPr>
      </w:pPr>
      <w:r>
        <w:rPr>
          <w:rFonts w:hint="eastAsia" w:hAnsi="宋体" w:cs="宋体"/>
          <w:szCs w:val="24"/>
          <w:highlight w:val="none"/>
        </w:rPr>
        <w:t xml:space="preserve">    因本保函发生的纠纷，由你我双方协商解决，协商不成的，通过诉讼程序解决，诉讼管辖地法院为________________法院。 </w:t>
      </w:r>
    </w:p>
    <w:p>
      <w:pPr>
        <w:spacing w:line="360" w:lineRule="auto"/>
        <w:rPr>
          <w:rFonts w:hAnsi="宋体" w:cs="宋体"/>
          <w:b/>
          <w:szCs w:val="24"/>
          <w:highlight w:val="none"/>
        </w:rPr>
      </w:pPr>
      <w:r>
        <w:rPr>
          <w:rFonts w:hint="eastAsia" w:hAnsi="宋体" w:cs="宋体"/>
          <w:b/>
          <w:szCs w:val="24"/>
          <w:highlight w:val="none"/>
        </w:rPr>
        <w:t xml:space="preserve">    七、保函的生效 </w:t>
      </w:r>
    </w:p>
    <w:p>
      <w:pPr>
        <w:spacing w:line="360" w:lineRule="auto"/>
        <w:rPr>
          <w:rFonts w:hAnsi="宋体" w:cs="宋体"/>
          <w:szCs w:val="24"/>
          <w:highlight w:val="none"/>
        </w:rPr>
      </w:pPr>
      <w:r>
        <w:rPr>
          <w:rFonts w:hint="eastAsia" w:hAnsi="宋体" w:cs="宋体"/>
          <w:szCs w:val="24"/>
          <w:highlight w:val="none"/>
        </w:rPr>
        <w:t xml:space="preserve">    本保函自我方加盖公章之日起生效。 </w:t>
      </w:r>
    </w:p>
    <w:p>
      <w:pPr>
        <w:spacing w:line="360" w:lineRule="auto"/>
        <w:rPr>
          <w:rFonts w:hAnsi="宋体" w:cs="宋体"/>
          <w:szCs w:val="24"/>
          <w:highlight w:val="none"/>
        </w:rPr>
      </w:pPr>
      <w:r>
        <w:rPr>
          <w:rFonts w:hint="eastAsia" w:hAnsi="宋体" w:cs="宋体"/>
          <w:szCs w:val="24"/>
          <w:highlight w:val="none"/>
        </w:rPr>
        <w:t xml:space="preserve"> </w:t>
      </w:r>
    </w:p>
    <w:p>
      <w:pPr>
        <w:spacing w:line="360" w:lineRule="auto"/>
        <w:rPr>
          <w:rFonts w:hAnsi="宋体" w:cs="宋体"/>
          <w:szCs w:val="24"/>
          <w:highlight w:val="none"/>
        </w:rPr>
      </w:pPr>
    </w:p>
    <w:p>
      <w:pPr>
        <w:spacing w:line="360" w:lineRule="auto"/>
        <w:ind w:right="640" w:firstLine="3840" w:firstLineChars="1600"/>
        <w:rPr>
          <w:rFonts w:hAnsi="宋体" w:cs="宋体"/>
          <w:szCs w:val="24"/>
          <w:highlight w:val="none"/>
        </w:rPr>
      </w:pPr>
      <w:r>
        <w:rPr>
          <w:rFonts w:hint="eastAsia" w:hAnsi="宋体" w:cs="宋体"/>
          <w:szCs w:val="24"/>
          <w:highlight w:val="none"/>
        </w:rPr>
        <w:t>保证人：（公章）</w:t>
      </w:r>
    </w:p>
    <w:p>
      <w:pPr>
        <w:spacing w:line="360" w:lineRule="auto"/>
        <w:ind w:right="640"/>
        <w:rPr>
          <w:rFonts w:hAnsi="宋体" w:cs="宋体"/>
          <w:szCs w:val="24"/>
          <w:highlight w:val="none"/>
        </w:rPr>
      </w:pPr>
      <w:r>
        <w:rPr>
          <w:rFonts w:hint="eastAsia" w:hAnsi="宋体" w:cs="宋体"/>
          <w:szCs w:val="24"/>
          <w:highlight w:val="none"/>
        </w:rPr>
        <w:t xml:space="preserve">                              年     月      日</w:t>
      </w: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b/>
          <w:sz w:val="28"/>
          <w:szCs w:val="28"/>
          <w:highlight w:val="none"/>
        </w:rPr>
      </w:pPr>
      <w:r>
        <w:rPr>
          <w:rFonts w:hint="eastAsia" w:hAnsi="宋体" w:cs="宋体"/>
          <w:szCs w:val="24"/>
          <w:highlight w:val="none"/>
        </w:rPr>
        <w:t xml:space="preserve"> </w:t>
      </w:r>
      <w:r>
        <w:rPr>
          <w:rFonts w:hint="eastAsia" w:hAnsi="宋体" w:cs="宋体"/>
          <w:b/>
          <w:sz w:val="28"/>
          <w:szCs w:val="28"/>
          <w:highlight w:val="none"/>
        </w:rPr>
        <w:t>附件</w:t>
      </w:r>
      <w:r>
        <w:rPr>
          <w:rFonts w:hint="eastAsia" w:hAnsi="宋体" w:cs="宋体"/>
          <w:b/>
          <w:sz w:val="28"/>
          <w:szCs w:val="28"/>
          <w:highlight w:val="none"/>
          <w:lang w:val="en-US" w:eastAsia="zh-CN"/>
        </w:rPr>
        <w:t>7</w:t>
      </w:r>
      <w:r>
        <w:rPr>
          <w:rFonts w:hint="eastAsia" w:hAnsi="宋体" w:cs="宋体"/>
          <w:b/>
          <w:sz w:val="28"/>
          <w:szCs w:val="28"/>
          <w:highlight w:val="none"/>
        </w:rPr>
        <w:t>：</w:t>
      </w:r>
    </w:p>
    <w:p>
      <w:pPr>
        <w:jc w:val="center"/>
        <w:rPr>
          <w:rFonts w:hAnsi="宋体" w:cs="宋体"/>
          <w:b/>
          <w:bCs/>
          <w:sz w:val="44"/>
          <w:szCs w:val="44"/>
          <w:highlight w:val="none"/>
        </w:rPr>
      </w:pPr>
      <w:r>
        <w:rPr>
          <w:rFonts w:hint="eastAsia" w:hAnsi="宋体" w:cs="宋体"/>
          <w:b/>
          <w:bCs/>
          <w:sz w:val="44"/>
          <w:szCs w:val="44"/>
          <w:highlight w:val="none"/>
        </w:rPr>
        <w:t>质疑函范本</w:t>
      </w:r>
    </w:p>
    <w:p>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pPr>
        <w:adjustRightInd w:val="0"/>
        <w:snapToGrid w:val="0"/>
        <w:spacing w:line="360" w:lineRule="auto"/>
        <w:rPr>
          <w:rFonts w:hAnsi="宋体" w:cs="宋体"/>
          <w:szCs w:val="24"/>
          <w:highlight w:val="none"/>
        </w:rPr>
      </w:pPr>
      <w:r>
        <w:rPr>
          <w:rFonts w:hint="eastAsia" w:hAnsi="宋体" w:cs="宋体"/>
          <w:szCs w:val="24"/>
          <w:highlight w:val="none"/>
        </w:rPr>
        <w:t>……</w:t>
      </w:r>
    </w:p>
    <w:p>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Cs w:val="24"/>
          <w:highlight w:val="none"/>
        </w:rPr>
      </w:pPr>
      <w:r>
        <w:rPr>
          <w:rFonts w:hint="eastAsia" w:hAnsi="宋体" w:cs="宋体"/>
          <w:szCs w:val="24"/>
          <w:highlight w:val="none"/>
        </w:rPr>
        <w:t xml:space="preserve">日期：    </w:t>
      </w:r>
    </w:p>
    <w:p>
      <w:pPr>
        <w:jc w:val="center"/>
        <w:rPr>
          <w:rFonts w:hAnsi="宋体" w:cs="宋体"/>
          <w:b/>
          <w:sz w:val="44"/>
          <w:szCs w:val="44"/>
          <w:highlight w:val="none"/>
        </w:rPr>
      </w:pPr>
    </w:p>
    <w:p>
      <w:pPr>
        <w:jc w:val="center"/>
        <w:rPr>
          <w:rFonts w:hAnsi="宋体" w:cs="宋体"/>
          <w:b/>
          <w:sz w:val="44"/>
          <w:szCs w:val="44"/>
          <w:highlight w:val="none"/>
        </w:rPr>
      </w:pPr>
    </w:p>
    <w:p>
      <w:pPr>
        <w:jc w:val="center"/>
        <w:rPr>
          <w:rFonts w:hAnsi="宋体" w:cs="宋体"/>
          <w:b/>
          <w:sz w:val="44"/>
          <w:szCs w:val="44"/>
          <w:highlight w:val="none"/>
        </w:rPr>
      </w:pPr>
      <w:r>
        <w:rPr>
          <w:rFonts w:hint="eastAsia" w:hAnsi="宋体" w:cs="宋体"/>
          <w:b/>
          <w:sz w:val="44"/>
          <w:szCs w:val="44"/>
          <w:highlight w:val="none"/>
        </w:rPr>
        <w:t>投诉书范本</w:t>
      </w:r>
    </w:p>
    <w:p>
      <w:pPr>
        <w:rPr>
          <w:rFonts w:hAnsi="宋体" w:cs="宋体"/>
          <w:szCs w:val="24"/>
          <w:highlight w:val="none"/>
        </w:rPr>
      </w:pPr>
      <w:r>
        <w:rPr>
          <w:rFonts w:hint="eastAsia" w:hAnsi="宋体" w:cs="宋体"/>
          <w:szCs w:val="24"/>
          <w:highlight w:val="none"/>
        </w:rPr>
        <w:t>一、投诉相关主体基本情况</w:t>
      </w:r>
    </w:p>
    <w:p>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被投诉人2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二、投诉项目基本情况</w:t>
      </w:r>
    </w:p>
    <w:p>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三、质疑基本情况</w:t>
      </w:r>
    </w:p>
    <w:p>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pPr>
        <w:rPr>
          <w:rFonts w:hAnsi="宋体" w:cs="宋体"/>
          <w:szCs w:val="24"/>
          <w:highlight w:val="none"/>
        </w:rPr>
      </w:pPr>
      <w:r>
        <w:rPr>
          <w:rFonts w:hint="eastAsia" w:hAnsi="宋体" w:cs="宋体"/>
          <w:szCs w:val="24"/>
          <w:highlight w:val="none"/>
        </w:rPr>
        <w:t>四、投诉事项具体内容</w:t>
      </w:r>
    </w:p>
    <w:p>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投诉事项2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rPr>
      </w:pPr>
      <w:r>
        <w:rPr>
          <w:rFonts w:hint="eastAsia" w:hAnsi="宋体" w:cs="宋体"/>
          <w:szCs w:val="24"/>
          <w:highlight w:val="none"/>
        </w:rPr>
        <w:t>五、与投诉事项相关的投诉请求</w:t>
      </w:r>
    </w:p>
    <w:p>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pPr>
        <w:rPr>
          <w:rFonts w:hAnsi="宋体" w:cs="宋体"/>
          <w:szCs w:val="24"/>
          <w:highlight w:val="none"/>
          <w:u w:val="single"/>
        </w:rPr>
      </w:pPr>
      <w:r>
        <w:rPr>
          <w:rFonts w:hint="eastAsia" w:hAnsi="宋体" w:cs="宋体"/>
          <w:szCs w:val="24"/>
          <w:highlight w:val="none"/>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p>
      <w:pPr>
        <w:bidi w:val="0"/>
        <w:rPr>
          <w:rFonts w:hint="eastAsia"/>
        </w:rPr>
      </w:pPr>
    </w:p>
    <w:p>
      <w:pPr>
        <w:rPr>
          <w:rFonts w:hAnsi="宋体" w:cs="宋体"/>
          <w:szCs w:val="24"/>
          <w:highlight w:val="none"/>
        </w:rPr>
      </w:pPr>
    </w:p>
    <w:sectPr>
      <w:footerReference r:id="rId14" w:type="first"/>
      <w:footerReference r:id="rId13"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宋体"/>
        <w:lang w:eastAsia="zh-CN"/>
      </w:rPr>
    </w:pPr>
    <w:r>
      <w:rPr>
        <w:rFonts w:hint="eastAsia"/>
      </w:rPr>
      <w:t xml:space="preserve">陕西至诚招标咨询有限公司                         </w:t>
    </w:r>
    <w:r>
      <w:rPr>
        <w:rFonts w:hint="eastAsia"/>
      </w:rPr>
      <w:tab/>
    </w:r>
    <w:r>
      <w:rPr>
        <w:rFonts w:hint="eastAsia"/>
      </w:rPr>
      <w:t>地址：西安市</w:t>
    </w:r>
    <w:r>
      <w:rPr>
        <w:rFonts w:hint="eastAsia"/>
        <w:lang w:eastAsia="zh-CN"/>
      </w:rPr>
      <w:t>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陕西至诚招标咨询有限公司                         </w:t>
    </w:r>
    <w:r>
      <w:rPr>
        <w:rFonts w:hint="eastAsia"/>
      </w:rPr>
      <w:tab/>
    </w:r>
    <w:r>
      <w:rPr>
        <w:rFonts w:hint="eastAsia"/>
      </w:rPr>
      <w:t xml:space="preserve">         西安市</w:t>
    </w:r>
    <w:r>
      <w:rPr>
        <w:rFonts w:hint="eastAsia"/>
        <w:lang w:eastAsia="zh-CN"/>
      </w:rPr>
      <w:t>陕西省西安市未央区未央路171-1 银池广场道拉斯财富中心21楼03室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89</w:t>
                    </w:r>
                    <w:r>
                      <w:fldChar w:fldCharType="end"/>
                    </w:r>
                  </w:p>
                </w:txbxContent>
              </v:textbox>
            </v:shape>
          </w:pict>
        </mc:Fallback>
      </mc:AlternateContent>
    </w:r>
  </w:p>
  <w:p>
    <w:pPr>
      <w:pStyle w:val="14"/>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bCs/>
        <w:sz w:val="18"/>
        <w:szCs w:val="18"/>
        <w:u w:val="single"/>
      </w:rPr>
    </w:pPr>
    <w:r>
      <w:rPr>
        <w:rFonts w:hint="eastAsia" w:hAnsi="宋体"/>
        <w:bCs/>
        <w:sz w:val="18"/>
        <w:szCs w:val="18"/>
        <w:u w:val="single"/>
        <w:lang w:eastAsia="zh-CN"/>
      </w:rPr>
      <w:t>塑胶操场翻新改造工程</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p>
    <w:pPr>
      <w:pStyle w:val="15"/>
      <w:pBdr>
        <w:bottom w:val="none" w:color="auto" w:sz="0" w:space="1"/>
      </w:pBdr>
      <w:jc w:val="both"/>
      <w:rPr>
        <w:rFonts w:hAnsi="宋体"/>
        <w:bCs/>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cs="宋体"/>
        <w:bCs/>
        <w:shd w:val="clear" w:color="auto" w:fill="FFFFFF"/>
      </w:rPr>
    </w:pPr>
  </w:p>
  <w:p>
    <w:pPr>
      <w:pStyle w:val="15"/>
      <w:jc w:val="left"/>
      <w:rPr>
        <w:rFonts w:ascii="宋体" w:hAnsi="宋体"/>
        <w:bCs/>
      </w:rPr>
    </w:pPr>
    <w:r>
      <w:rPr>
        <w:rFonts w:hint="eastAsia" w:cs="宋体"/>
        <w:bCs/>
        <w:shd w:val="clear" w:color="auto" w:fill="FFFFFF"/>
        <w:lang w:eastAsia="zh-CN"/>
      </w:rPr>
      <w:t>塑胶操场翻新改造工程</w:t>
    </w:r>
    <w:r>
      <w:rPr>
        <w:rFonts w:hint="eastAsia" w:cs="宋体"/>
        <w:bCs/>
        <w:shd w:val="clear" w:color="auto" w:fill="FFFFFF"/>
      </w:rPr>
      <w:t xml:space="preserve">                              </w:t>
    </w:r>
    <w:r>
      <w:rPr>
        <w:rFonts w:hint="eastAsia" w:cs="宋体"/>
        <w:bCs/>
        <w:shd w:val="clear" w:color="auto" w:fill="FFFFFF"/>
        <w:lang w:val="en-US" w:eastAsia="zh-CN"/>
      </w:rPr>
      <w:t xml:space="preserve">                         </w:t>
    </w:r>
    <w:r>
      <w:rPr>
        <w:rFonts w:hint="eastAsia" w:cs="宋体"/>
        <w:bCs/>
        <w:shd w:val="clear" w:color="auto" w:fill="FFFFFF"/>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宋体" w:hAnsi="宋体"/>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44036104"/>
    <w:multiLevelType w:val="multilevel"/>
    <w:tmpl w:val="44036104"/>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ascii="宋体" w:hAnsi="宋体" w:cs="Times New Roman" w:eastAsiaTheme="minorEastAsia"/>
      </w:rPr>
    </w:lvl>
    <w:lvl w:ilvl="2" w:tentative="0">
      <w:start w:val="1"/>
      <w:numFmt w:val="decimal"/>
      <w:lvlText w:val="%3、"/>
      <w:lvlJc w:val="left"/>
      <w:pPr>
        <w:ind w:left="1200" w:hanging="360"/>
      </w:pPr>
      <w:rPr>
        <w:rFonts w:ascii="宋体" w:hAnsi="宋体" w:cs="Times New Roman" w:eastAsiaTheme="minor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143594"/>
    <w:multiLevelType w:val="multilevel"/>
    <w:tmpl w:val="49143594"/>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54ECB6"/>
    <w:multiLevelType w:val="singleLevel"/>
    <w:tmpl w:val="5354ECB6"/>
    <w:lvl w:ilvl="0" w:tentative="0">
      <w:start w:val="1"/>
      <w:numFmt w:val="decimal"/>
      <w:suff w:val="nothing"/>
      <w:lvlText w:val="%1、"/>
      <w:lvlJc w:val="left"/>
    </w:lvl>
  </w:abstractNum>
  <w:abstractNum w:abstractNumId="5">
    <w:nsid w:val="590049E8"/>
    <w:multiLevelType w:val="singleLevel"/>
    <w:tmpl w:val="590049E8"/>
    <w:lvl w:ilvl="0" w:tentative="0">
      <w:start w:val="30"/>
      <w:numFmt w:val="decimal"/>
      <w:suff w:val="nothing"/>
      <w:lvlText w:val="%1."/>
      <w:lvlJc w:val="left"/>
    </w:lvl>
  </w:abstractNum>
  <w:abstractNum w:abstractNumId="6">
    <w:nsid w:val="59B2460E"/>
    <w:multiLevelType w:val="singleLevel"/>
    <w:tmpl w:val="59B2460E"/>
    <w:lvl w:ilvl="0" w:tentative="0">
      <w:start w:val="2"/>
      <w:numFmt w:val="decimal"/>
      <w:suff w:val="nothing"/>
      <w:lvlText w:val="%1."/>
      <w:lvlJc w:val="left"/>
    </w:lvl>
  </w:abstractNum>
  <w:abstractNum w:abstractNumId="7">
    <w:nsid w:val="59CF0981"/>
    <w:multiLevelType w:val="singleLevel"/>
    <w:tmpl w:val="59CF0981"/>
    <w:lvl w:ilvl="0" w:tentative="0">
      <w:start w:val="1"/>
      <w:numFmt w:val="decimal"/>
      <w:suff w:val="nothing"/>
      <w:lvlText w:val="%1、"/>
      <w:lvlJc w:val="left"/>
    </w:lvl>
  </w:abstractNum>
  <w:abstractNum w:abstractNumId="8">
    <w:nsid w:val="6844580A"/>
    <w:multiLevelType w:val="multilevel"/>
    <w:tmpl w:val="684458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6"/>
  </w:num>
  <w:num w:numId="3">
    <w:abstractNumId w:val="5"/>
  </w:num>
  <w:num w:numId="4">
    <w:abstractNumId w:val="7"/>
  </w:num>
  <w:num w:numId="5">
    <w:abstractNumId w:val="0"/>
  </w:num>
  <w:num w:numId="6">
    <w:abstractNumId w:val="8"/>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k2MTQyODg0ZDk5MTI0YWY4MGUzOGFjOTBhYWIifQ=="/>
  </w:docVars>
  <w:rsids>
    <w:rsidRoot w:val="004139B6"/>
    <w:rsid w:val="001564DA"/>
    <w:rsid w:val="00266952"/>
    <w:rsid w:val="002C09D8"/>
    <w:rsid w:val="004139B6"/>
    <w:rsid w:val="00517D1D"/>
    <w:rsid w:val="00C8092C"/>
    <w:rsid w:val="00C8642A"/>
    <w:rsid w:val="00E20FEB"/>
    <w:rsid w:val="01555A9A"/>
    <w:rsid w:val="0193039D"/>
    <w:rsid w:val="030407EA"/>
    <w:rsid w:val="030A201D"/>
    <w:rsid w:val="044B49A4"/>
    <w:rsid w:val="04564D84"/>
    <w:rsid w:val="051E0FF5"/>
    <w:rsid w:val="05D75CDB"/>
    <w:rsid w:val="071308F8"/>
    <w:rsid w:val="08123EB3"/>
    <w:rsid w:val="08D21FF8"/>
    <w:rsid w:val="0B7B588D"/>
    <w:rsid w:val="0C080095"/>
    <w:rsid w:val="0C556D09"/>
    <w:rsid w:val="0F4F1D25"/>
    <w:rsid w:val="0F613067"/>
    <w:rsid w:val="0F997A1F"/>
    <w:rsid w:val="10043C73"/>
    <w:rsid w:val="10711ECF"/>
    <w:rsid w:val="1095499B"/>
    <w:rsid w:val="11D44776"/>
    <w:rsid w:val="12C617E6"/>
    <w:rsid w:val="130B35CF"/>
    <w:rsid w:val="13864C2A"/>
    <w:rsid w:val="145872ED"/>
    <w:rsid w:val="16474784"/>
    <w:rsid w:val="182D2FB6"/>
    <w:rsid w:val="1832167D"/>
    <w:rsid w:val="18AD56E9"/>
    <w:rsid w:val="18BD7413"/>
    <w:rsid w:val="191114F7"/>
    <w:rsid w:val="1AD6795F"/>
    <w:rsid w:val="1B0974F8"/>
    <w:rsid w:val="1BDE6CFA"/>
    <w:rsid w:val="1BF6670B"/>
    <w:rsid w:val="1D0B2B5B"/>
    <w:rsid w:val="1EED73BF"/>
    <w:rsid w:val="1F3708D8"/>
    <w:rsid w:val="20E04C24"/>
    <w:rsid w:val="21096515"/>
    <w:rsid w:val="222B57A6"/>
    <w:rsid w:val="22E17783"/>
    <w:rsid w:val="234C78BD"/>
    <w:rsid w:val="24AE6EB4"/>
    <w:rsid w:val="24DD1172"/>
    <w:rsid w:val="25D53DF3"/>
    <w:rsid w:val="26077449"/>
    <w:rsid w:val="26597F9E"/>
    <w:rsid w:val="267A2725"/>
    <w:rsid w:val="27132728"/>
    <w:rsid w:val="277D689B"/>
    <w:rsid w:val="287F7C2C"/>
    <w:rsid w:val="28936D4C"/>
    <w:rsid w:val="28EF66C3"/>
    <w:rsid w:val="292C2993"/>
    <w:rsid w:val="2A2A47AC"/>
    <w:rsid w:val="2A8B6E31"/>
    <w:rsid w:val="2B346CE4"/>
    <w:rsid w:val="2C363381"/>
    <w:rsid w:val="2E265AE2"/>
    <w:rsid w:val="2E746297"/>
    <w:rsid w:val="2EED1018"/>
    <w:rsid w:val="2F2533C6"/>
    <w:rsid w:val="300D0F72"/>
    <w:rsid w:val="306A6183"/>
    <w:rsid w:val="30B96A80"/>
    <w:rsid w:val="30E05D82"/>
    <w:rsid w:val="32F55B7E"/>
    <w:rsid w:val="33FA289F"/>
    <w:rsid w:val="34681F9A"/>
    <w:rsid w:val="36C9283B"/>
    <w:rsid w:val="36FD75C1"/>
    <w:rsid w:val="377B5495"/>
    <w:rsid w:val="384369FD"/>
    <w:rsid w:val="39B75640"/>
    <w:rsid w:val="39BD4530"/>
    <w:rsid w:val="3A5B1476"/>
    <w:rsid w:val="3AB17101"/>
    <w:rsid w:val="3B81645D"/>
    <w:rsid w:val="3B8F2096"/>
    <w:rsid w:val="3BFA15F2"/>
    <w:rsid w:val="3EE13F16"/>
    <w:rsid w:val="3F0614FE"/>
    <w:rsid w:val="3F76250C"/>
    <w:rsid w:val="3FD324F1"/>
    <w:rsid w:val="400D7F7B"/>
    <w:rsid w:val="40B91AE2"/>
    <w:rsid w:val="40D047EA"/>
    <w:rsid w:val="426E2B33"/>
    <w:rsid w:val="42EA3D57"/>
    <w:rsid w:val="43420106"/>
    <w:rsid w:val="4440544D"/>
    <w:rsid w:val="44D4651B"/>
    <w:rsid w:val="450E5A3D"/>
    <w:rsid w:val="46A23069"/>
    <w:rsid w:val="46B10F69"/>
    <w:rsid w:val="486852FA"/>
    <w:rsid w:val="49045422"/>
    <w:rsid w:val="496A6B29"/>
    <w:rsid w:val="49995ADF"/>
    <w:rsid w:val="49FD6207"/>
    <w:rsid w:val="4B101917"/>
    <w:rsid w:val="4B8D0E2D"/>
    <w:rsid w:val="4BB46130"/>
    <w:rsid w:val="4CB7264B"/>
    <w:rsid w:val="4D7D3A4A"/>
    <w:rsid w:val="4D850ADA"/>
    <w:rsid w:val="4E930995"/>
    <w:rsid w:val="4FB93093"/>
    <w:rsid w:val="50F74B2F"/>
    <w:rsid w:val="51347AAB"/>
    <w:rsid w:val="51360454"/>
    <w:rsid w:val="523D1183"/>
    <w:rsid w:val="53033E94"/>
    <w:rsid w:val="54160EF8"/>
    <w:rsid w:val="5448127D"/>
    <w:rsid w:val="55303AEA"/>
    <w:rsid w:val="55657708"/>
    <w:rsid w:val="563070BD"/>
    <w:rsid w:val="57F42634"/>
    <w:rsid w:val="58620795"/>
    <w:rsid w:val="597375B7"/>
    <w:rsid w:val="5A691DBF"/>
    <w:rsid w:val="5C681EE2"/>
    <w:rsid w:val="5C8A7A34"/>
    <w:rsid w:val="5DA54D35"/>
    <w:rsid w:val="5FA60862"/>
    <w:rsid w:val="60695FC5"/>
    <w:rsid w:val="6090130A"/>
    <w:rsid w:val="610B7306"/>
    <w:rsid w:val="62F075B9"/>
    <w:rsid w:val="65890DA2"/>
    <w:rsid w:val="66055487"/>
    <w:rsid w:val="66265A06"/>
    <w:rsid w:val="665969A9"/>
    <w:rsid w:val="6750787A"/>
    <w:rsid w:val="67553EFC"/>
    <w:rsid w:val="687156D7"/>
    <w:rsid w:val="68F04190"/>
    <w:rsid w:val="6A0236F7"/>
    <w:rsid w:val="6A227E13"/>
    <w:rsid w:val="6A256AD2"/>
    <w:rsid w:val="6A82638A"/>
    <w:rsid w:val="6BAC7F04"/>
    <w:rsid w:val="6CC60373"/>
    <w:rsid w:val="6D8124F7"/>
    <w:rsid w:val="6E606344"/>
    <w:rsid w:val="6FDA32FF"/>
    <w:rsid w:val="70E22485"/>
    <w:rsid w:val="713C6B66"/>
    <w:rsid w:val="714A546C"/>
    <w:rsid w:val="71655048"/>
    <w:rsid w:val="71E62861"/>
    <w:rsid w:val="71ED3F44"/>
    <w:rsid w:val="72007C89"/>
    <w:rsid w:val="72DB3D94"/>
    <w:rsid w:val="74C11DBF"/>
    <w:rsid w:val="75050630"/>
    <w:rsid w:val="75D97758"/>
    <w:rsid w:val="76F45923"/>
    <w:rsid w:val="77351123"/>
    <w:rsid w:val="773B116D"/>
    <w:rsid w:val="77676CEE"/>
    <w:rsid w:val="7BE544EC"/>
    <w:rsid w:val="7CF2547A"/>
    <w:rsid w:val="7E805F67"/>
    <w:rsid w:val="7F0773AA"/>
    <w:rsid w:val="7F7C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qFormat/>
    <w:uiPriority w:val="0"/>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2">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Times New Roman"/>
      <w:kern w:val="2"/>
      <w:sz w:val="21"/>
      <w:szCs w:val="24"/>
    </w:rPr>
  </w:style>
  <w:style w:type="paragraph" w:styleId="8">
    <w:name w:val="Body Text 3"/>
    <w:basedOn w:val="1"/>
    <w:qFormat/>
    <w:uiPriority w:val="0"/>
    <w:pPr>
      <w:jc w:val="center"/>
    </w:pPr>
    <w:rPr>
      <w:rFonts w:ascii="Times New Roman"/>
      <w:b/>
      <w:spacing w:val="-20"/>
      <w:w w:val="110"/>
      <w:kern w:val="2"/>
      <w:sz w:val="52"/>
    </w:rPr>
  </w:style>
  <w:style w:type="paragraph" w:styleId="9">
    <w:name w:val="Body Text"/>
    <w:basedOn w:val="1"/>
    <w:next w:val="1"/>
    <w:qFormat/>
    <w:uiPriority w:val="0"/>
    <w:pPr>
      <w:spacing w:after="120"/>
    </w:pPr>
    <w:rPr>
      <w:rFonts w:ascii="Times New Roman"/>
      <w:kern w:val="2"/>
      <w:sz w:val="21"/>
    </w:rPr>
  </w:style>
  <w:style w:type="paragraph" w:styleId="10">
    <w:name w:val="Body Text Indent"/>
    <w:basedOn w:val="1"/>
    <w:next w:val="11"/>
    <w:qFormat/>
    <w:uiPriority w:val="0"/>
    <w:pPr>
      <w:ind w:left="1083" w:leftChars="30" w:hanging="1020" w:hangingChars="425"/>
    </w:pPr>
    <w:rPr>
      <w:rFonts w:ascii="宋体" w:hAnsi="宋体"/>
      <w:sz w:val="24"/>
    </w:rPr>
  </w:style>
  <w:style w:type="paragraph" w:customStyle="1" w:styleId="11">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styleId="12">
    <w:name w:val="Plain Text"/>
    <w:basedOn w:val="1"/>
    <w:qFormat/>
    <w:uiPriority w:val="0"/>
    <w:rPr>
      <w:rFonts w:hAnsi="Courier New"/>
      <w:kern w:val="2"/>
      <w:sz w:val="21"/>
    </w:rPr>
  </w:style>
  <w:style w:type="paragraph" w:styleId="13">
    <w:name w:val="Date"/>
    <w:basedOn w:val="1"/>
    <w:next w:val="1"/>
    <w:qFormat/>
    <w:uiPriority w:val="0"/>
    <w:rPr>
      <w:rFonts w:ascii="Times New Roman"/>
      <w:kern w:val="2"/>
      <w:sz w:val="28"/>
    </w:rPr>
  </w:style>
  <w:style w:type="paragraph" w:styleId="14">
    <w:name w:val="footer"/>
    <w:basedOn w:val="1"/>
    <w:qFormat/>
    <w:uiPriority w:val="0"/>
    <w:pPr>
      <w:tabs>
        <w:tab w:val="center" w:pos="4153"/>
        <w:tab w:val="right" w:pos="8306"/>
      </w:tabs>
      <w:snapToGrid w:val="0"/>
      <w:jc w:val="left"/>
    </w:pPr>
    <w:rPr>
      <w:rFonts w:ascii="Times New Roman"/>
      <w:kern w:val="2"/>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6">
    <w:name w:val="toc 1"/>
    <w:basedOn w:val="1"/>
    <w:next w:val="1"/>
    <w:unhideWhenUsed/>
    <w:qFormat/>
    <w:uiPriority w:val="0"/>
  </w:style>
  <w:style w:type="paragraph" w:styleId="17">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unhideWhenUsed/>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hAnsi="宋体"/>
      <w:szCs w:val="24"/>
    </w:rPr>
  </w:style>
  <w:style w:type="paragraph" w:styleId="20">
    <w:name w:val="Body Text First Indent"/>
    <w:basedOn w:val="1"/>
    <w:next w:val="1"/>
    <w:qFormat/>
    <w:uiPriority w:val="0"/>
    <w:pPr>
      <w:adjustRightInd w:val="0"/>
      <w:ind w:firstLine="420"/>
      <w:jc w:val="left"/>
      <w:textAlignment w:val="baseline"/>
    </w:pPr>
    <w:rPr>
      <w:b/>
      <w:kern w:val="0"/>
      <w:sz w:val="21"/>
    </w:rPr>
  </w:style>
  <w:style w:type="paragraph" w:styleId="21">
    <w:name w:val="Body Text First Indent 2"/>
    <w:basedOn w:val="10"/>
    <w:next w:val="20"/>
    <w:qFormat/>
    <w:uiPriority w:val="0"/>
    <w:pPr>
      <w:spacing w:after="120"/>
      <w:ind w:left="420" w:leftChars="200" w:firstLine="42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0"/>
    <w:rPr>
      <w:color w:val="333333"/>
      <w:u w:val="single"/>
    </w:rPr>
  </w:style>
  <w:style w:type="paragraph" w:customStyle="1" w:styleId="2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9">
    <w:name w:val="520"/>
    <w:qFormat/>
    <w:uiPriority w:val="0"/>
    <w:pPr>
      <w:spacing w:line="360" w:lineRule="auto"/>
    </w:pPr>
    <w:rPr>
      <w:rFonts w:ascii="宋体" w:hAnsi="宋体" w:eastAsia="仿宋_GB2312" w:cs="Times New Roman"/>
      <w:b/>
      <w:kern w:val="2"/>
      <w:sz w:val="30"/>
      <w:szCs w:val="30"/>
      <w:lang w:val="en-US" w:eastAsia="zh-CN" w:bidi="ar-SA"/>
    </w:rPr>
  </w:style>
  <w:style w:type="paragraph" w:customStyle="1" w:styleId="30">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customStyle="1" w:styleId="31">
    <w:name w:val="列出段落1"/>
    <w:basedOn w:val="1"/>
    <w:qFormat/>
    <w:uiPriority w:val="34"/>
    <w:pPr>
      <w:ind w:firstLine="420" w:firstLineChars="200"/>
    </w:pPr>
  </w:style>
  <w:style w:type="paragraph" w:customStyle="1" w:styleId="32">
    <w:name w:val="_Style 17"/>
    <w:basedOn w:val="3"/>
    <w:next w:val="1"/>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33">
    <w:name w:val="Char1"/>
    <w:basedOn w:val="1"/>
    <w:qFormat/>
    <w:uiPriority w:val="0"/>
    <w:pPr>
      <w:tabs>
        <w:tab w:val="left" w:pos="360"/>
      </w:tabs>
      <w:ind w:left="360" w:hanging="360" w:hangingChars="200"/>
    </w:pPr>
    <w:rPr>
      <w:szCs w:val="24"/>
    </w:rPr>
  </w:style>
  <w:style w:type="paragraph" w:customStyle="1" w:styleId="34">
    <w:name w:val="List Paragraph"/>
    <w:basedOn w:val="1"/>
    <w:qFormat/>
    <w:uiPriority w:val="34"/>
    <w:pPr>
      <w:ind w:firstLine="420" w:firstLineChars="200"/>
    </w:pPr>
  </w:style>
  <w:style w:type="paragraph" w:customStyle="1" w:styleId="35">
    <w:name w:val="彩色列表1"/>
    <w:basedOn w:val="1"/>
    <w:qFormat/>
    <w:uiPriority w:val="34"/>
    <w:pPr>
      <w:ind w:firstLine="420" w:firstLineChars="200"/>
    </w:pPr>
    <w:rPr>
      <w:rFonts w:ascii="Calibri" w:hAnsi="Calibri" w:eastAsia="宋体" w:cs="Times New Roman"/>
      <w:szCs w:val="22"/>
    </w:rPr>
  </w:style>
  <w:style w:type="paragraph" w:customStyle="1" w:styleId="36">
    <w:name w:val="列出段落11"/>
    <w:basedOn w:val="1"/>
    <w:qFormat/>
    <w:uiPriority w:val="34"/>
    <w:pPr>
      <w:ind w:firstLine="420" w:firstLineChars="200"/>
    </w:pPr>
    <w:rPr>
      <w:rFonts w:ascii="Calibri" w:hAnsi="Calibri"/>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34384</Words>
  <Characters>36871</Characters>
  <Lines>246</Lines>
  <Paragraphs>69</Paragraphs>
  <TotalTime>59</TotalTime>
  <ScaleCrop>false</ScaleCrop>
  <LinksUpToDate>false</LinksUpToDate>
  <CharactersWithSpaces>41645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2020-11-26T02:22:00Z</dcterms:created>
  <dc:creator>Administrator</dc:creator>
  <cp:lastModifiedBy>井鼻殉</cp:lastModifiedBy>
  <cp:lastPrinted>2022-06-28T02:02:00Z</cp:lastPrinted>
  <dcterms:modified xsi:type="dcterms:W3CDTF">2022-07-01T09:05:26Z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0DEAC38E5C764487900992F173D8781A</vt:lpwstr>
  </property>
</Properties>
</file>