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sz w:val="32"/>
          <w:szCs w:val="32"/>
        </w:rPr>
      </w:pPr>
      <w:bookmarkStart w:id="0" w:name="_Toc283626499"/>
      <w:bookmarkStart w:id="1" w:name="_Toc283240483"/>
      <w:r>
        <w:rPr>
          <w:rFonts w:hint="eastAsia" w:ascii="宋体" w:hAnsi="宋体" w:eastAsia="宋体" w:cs="宋体"/>
          <w:b/>
          <w:sz w:val="32"/>
          <w:szCs w:val="32"/>
        </w:rPr>
        <w:t>项目编号：SXJTZB-ZC-GK20220524</w:t>
      </w:r>
    </w:p>
    <w:p>
      <w:pPr>
        <w:spacing w:line="360" w:lineRule="auto"/>
        <w:rPr>
          <w:rFonts w:hint="eastAsia" w:ascii="宋体" w:hAnsi="宋体" w:eastAsia="宋体" w:cs="宋体"/>
          <w:b/>
          <w:sz w:val="32"/>
          <w:szCs w:val="32"/>
        </w:rPr>
      </w:pPr>
    </w:p>
    <w:p>
      <w:pPr>
        <w:pStyle w:val="10"/>
        <w:rPr>
          <w:rFonts w:hint="eastAsia" w:ascii="宋体" w:hAnsi="宋体" w:eastAsia="宋体" w:cs="宋体"/>
          <w:b/>
          <w:sz w:val="32"/>
          <w:szCs w:val="32"/>
          <w:lang w:eastAsia="zh-CN"/>
        </w:rPr>
      </w:pPr>
    </w:p>
    <w:p>
      <w:pPr>
        <w:pStyle w:val="32"/>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sz w:val="40"/>
          <w:szCs w:val="40"/>
          <w:lang w:eastAsia="zh-CN"/>
        </w:rPr>
      </w:pPr>
      <w:r>
        <w:rPr>
          <w:rFonts w:hint="eastAsia" w:ascii="宋体" w:hAnsi="宋体" w:cs="宋体"/>
          <w:b/>
          <w:sz w:val="40"/>
          <w:szCs w:val="40"/>
          <w:lang w:eastAsia="zh-CN"/>
        </w:rPr>
        <w:t>未央区教育局下属四所学校教学办公设备</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sz w:val="40"/>
          <w:szCs w:val="40"/>
          <w:lang w:eastAsia="zh-CN"/>
        </w:rPr>
      </w:pPr>
      <w:r>
        <w:rPr>
          <w:rFonts w:hint="eastAsia" w:ascii="宋体" w:hAnsi="宋体" w:cs="宋体"/>
          <w:b/>
          <w:sz w:val="40"/>
          <w:szCs w:val="40"/>
          <w:lang w:eastAsia="zh-CN"/>
        </w:rPr>
        <w:t>及设施采购项目</w:t>
      </w:r>
    </w:p>
    <w:p>
      <w:pPr>
        <w:rPr>
          <w:rFonts w:hint="eastAsia" w:ascii="宋体" w:hAnsi="宋体" w:eastAsia="宋体" w:cs="宋体"/>
        </w:rPr>
      </w:pPr>
    </w:p>
    <w:p>
      <w:pPr>
        <w:pStyle w:val="10"/>
        <w:rPr>
          <w:rFonts w:hint="eastAsia" w:ascii="宋体" w:hAnsi="宋体" w:eastAsia="宋体" w:cs="宋体"/>
        </w:rPr>
      </w:pPr>
    </w:p>
    <w:p>
      <w:pPr>
        <w:pStyle w:val="32"/>
        <w:rPr>
          <w:rFonts w:hint="eastAsia" w:ascii="宋体" w:hAnsi="宋体" w:eastAsia="宋体" w:cs="宋体"/>
        </w:rPr>
      </w:pPr>
    </w:p>
    <w:p>
      <w:pPr>
        <w:rPr>
          <w:rFonts w:hint="eastAsia" w:ascii="宋体" w:hAnsi="宋体" w:eastAsia="宋体" w:cs="宋体"/>
          <w:lang w:eastAsia="zh-CN"/>
        </w:rPr>
      </w:pPr>
    </w:p>
    <w:p>
      <w:pPr>
        <w:pStyle w:val="10"/>
        <w:rPr>
          <w:rFonts w:hint="eastAsia" w:ascii="宋体" w:hAnsi="宋体" w:eastAsia="宋体" w:cs="宋体"/>
        </w:rPr>
      </w:pPr>
    </w:p>
    <w:p>
      <w:pPr>
        <w:pStyle w:val="32"/>
        <w:rPr>
          <w:rFonts w:hint="eastAsia"/>
        </w:rPr>
      </w:pPr>
    </w:p>
    <w:p>
      <w:pPr>
        <w:spacing w:line="360" w:lineRule="auto"/>
        <w:jc w:val="center"/>
        <w:rPr>
          <w:rFonts w:hint="eastAsia" w:ascii="宋体" w:hAnsi="宋体" w:eastAsia="宋体" w:cs="宋体"/>
          <w:b/>
          <w:sz w:val="72"/>
          <w:szCs w:val="72"/>
        </w:rPr>
      </w:pPr>
      <w:r>
        <w:rPr>
          <w:rFonts w:hint="eastAsia" w:ascii="宋体" w:hAnsi="宋体" w:eastAsia="宋体" w:cs="宋体"/>
          <w:b/>
          <w:sz w:val="72"/>
          <w:szCs w:val="72"/>
        </w:rPr>
        <w:t>招 标 文 件</w:t>
      </w:r>
    </w:p>
    <w:p>
      <w:pPr>
        <w:spacing w:line="360" w:lineRule="auto"/>
        <w:jc w:val="center"/>
        <w:rPr>
          <w:rFonts w:hint="eastAsia" w:ascii="宋体" w:hAnsi="宋体" w:eastAsia="宋体" w:cs="宋体"/>
          <w:b/>
          <w:sz w:val="32"/>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10"/>
        <w:rPr>
          <w:rFonts w:hint="eastAsia" w:ascii="宋体" w:hAnsi="宋体" w:eastAsia="宋体" w:cs="宋体"/>
          <w:sz w:val="24"/>
        </w:rPr>
      </w:pPr>
    </w:p>
    <w:p>
      <w:pPr>
        <w:rPr>
          <w:rFonts w:hint="eastAsia"/>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hd w:val="clear" w:color="auto" w:fill="FFFFFF"/>
        <w:snapToGrid w:val="0"/>
        <w:ind w:firstLine="1285" w:firstLineChars="400"/>
        <w:rPr>
          <w:rFonts w:hint="eastAsia" w:ascii="宋体" w:hAnsi="宋体" w:eastAsia="宋体" w:cs="宋体"/>
          <w:b/>
          <w:sz w:val="32"/>
          <w:szCs w:val="32"/>
        </w:rPr>
      </w:pPr>
      <w:r>
        <w:rPr>
          <w:rFonts w:hint="eastAsia" w:ascii="宋体" w:hAnsi="宋体" w:eastAsia="宋体" w:cs="宋体"/>
          <w:b/>
          <w:sz w:val="32"/>
          <w:szCs w:val="32"/>
          <w:highlight w:val="none"/>
        </w:rPr>
        <w:t>采   购   人</w:t>
      </w:r>
      <w:r>
        <w:rPr>
          <w:rFonts w:hint="eastAsia" w:ascii="宋体" w:hAnsi="宋体" w:eastAsia="宋体" w:cs="宋体"/>
          <w:b/>
          <w:sz w:val="32"/>
          <w:szCs w:val="32"/>
        </w:rPr>
        <w:t>：西安市未央区教育局</w:t>
      </w:r>
    </w:p>
    <w:p>
      <w:pPr>
        <w:shd w:val="clear" w:color="auto" w:fill="FFFFFF"/>
        <w:snapToGrid w:val="0"/>
        <w:ind w:firstLine="1285" w:firstLineChars="400"/>
        <w:rPr>
          <w:rFonts w:hint="eastAsia" w:ascii="宋体" w:hAnsi="宋体" w:eastAsia="宋体" w:cs="宋体"/>
          <w:b/>
          <w:sz w:val="32"/>
          <w:szCs w:val="32"/>
          <w:lang w:eastAsia="zh-CN"/>
        </w:rPr>
      </w:pPr>
      <w:r>
        <w:rPr>
          <w:rFonts w:hint="eastAsia" w:ascii="宋体" w:hAnsi="宋体" w:eastAsia="宋体" w:cs="宋体"/>
          <w:b/>
          <w:sz w:val="32"/>
          <w:szCs w:val="32"/>
        </w:rPr>
        <w:t>采购代理机构：</w:t>
      </w:r>
      <w:r>
        <w:rPr>
          <w:rFonts w:hint="eastAsia" w:ascii="宋体" w:hAnsi="宋体" w:eastAsia="宋体" w:cs="宋体"/>
          <w:b/>
          <w:sz w:val="32"/>
          <w:szCs w:val="32"/>
          <w:lang w:eastAsia="zh-CN"/>
        </w:rPr>
        <w:t>陕西嘉唐建设项目管理有限公司</w:t>
      </w:r>
    </w:p>
    <w:p>
      <w:pPr>
        <w:shd w:val="clear" w:color="auto" w:fill="FFFFFF"/>
        <w:snapToGrid w:val="0"/>
        <w:jc w:val="center"/>
        <w:rPr>
          <w:rFonts w:hint="eastAsia" w:ascii="宋体" w:hAnsi="宋体" w:eastAsia="宋体" w:cs="宋体"/>
          <w:b/>
          <w:sz w:val="32"/>
          <w:szCs w:val="32"/>
        </w:rPr>
      </w:pPr>
    </w:p>
    <w:p>
      <w:pPr>
        <w:tabs>
          <w:tab w:val="left" w:pos="7560"/>
        </w:tabs>
        <w:spacing w:line="600" w:lineRule="auto"/>
        <w:jc w:val="center"/>
        <w:rPr>
          <w:rFonts w:hint="eastAsia" w:ascii="宋体" w:hAnsi="宋体" w:eastAsia="宋体" w:cs="宋体"/>
          <w:b/>
          <w:sz w:val="32"/>
          <w:szCs w:val="32"/>
        </w:rPr>
      </w:pPr>
      <w:r>
        <w:rPr>
          <w:rFonts w:hint="eastAsia" w:ascii="宋体" w:hAnsi="宋体" w:eastAsia="宋体" w:cs="宋体"/>
          <w:b/>
          <w:sz w:val="32"/>
          <w:szCs w:val="32"/>
        </w:rPr>
        <w:t>二〇二</w:t>
      </w:r>
      <w:r>
        <w:rPr>
          <w:rFonts w:hint="eastAsia" w:ascii="宋体" w:hAnsi="宋体" w:eastAsia="宋体" w:cs="宋体"/>
          <w:b/>
          <w:sz w:val="32"/>
          <w:szCs w:val="32"/>
          <w:lang w:val="en-US" w:eastAsia="zh-CN"/>
        </w:rPr>
        <w:t>二</w:t>
      </w:r>
      <w:r>
        <w:rPr>
          <w:rFonts w:hint="eastAsia" w:ascii="宋体" w:hAnsi="宋体" w:eastAsia="宋体" w:cs="宋体"/>
          <w:b/>
          <w:sz w:val="32"/>
          <w:szCs w:val="32"/>
        </w:rPr>
        <w:t>年</w:t>
      </w:r>
      <w:r>
        <w:rPr>
          <w:rFonts w:hint="eastAsia" w:ascii="宋体" w:hAnsi="宋体" w:cs="宋体"/>
          <w:b/>
          <w:sz w:val="32"/>
          <w:szCs w:val="32"/>
          <w:lang w:eastAsia="zh-CN"/>
        </w:rPr>
        <w:t>七</w:t>
      </w:r>
      <w:r>
        <w:rPr>
          <w:rFonts w:hint="eastAsia" w:ascii="宋体" w:hAnsi="宋体" w:eastAsia="宋体" w:cs="宋体"/>
          <w:b/>
          <w:sz w:val="32"/>
          <w:szCs w:val="32"/>
        </w:rPr>
        <w:t>月</w:t>
      </w:r>
    </w:p>
    <w:p>
      <w:pPr>
        <w:spacing w:line="360" w:lineRule="auto"/>
        <w:jc w:val="center"/>
        <w:rPr>
          <w:rFonts w:hint="eastAsia" w:ascii="宋体" w:hAnsi="宋体" w:eastAsia="宋体" w:cs="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Borders>
            <w:top w:val="none" w:sz="0" w:space="0"/>
            <w:left w:val="none" w:sz="0" w:space="0"/>
            <w:bottom w:val="none" w:sz="0" w:space="0"/>
            <w:right w:val="none" w:sz="0" w:space="0"/>
          </w:pgBorders>
          <w:pgNumType w:fmt="decimal"/>
          <w:cols w:space="720" w:num="1"/>
          <w:titlePg/>
          <w:docGrid w:type="lines" w:linePitch="312" w:charSpace="39161"/>
        </w:sectPr>
      </w:pP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特别提示</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各供应商，在此我们特别提醒您注意以下事项：</w:t>
      </w:r>
    </w:p>
    <w:p>
      <w:pPr>
        <w:spacing w:line="460" w:lineRule="exact"/>
        <w:rPr>
          <w:rFonts w:hint="eastAsia" w:ascii="宋体" w:hAnsi="宋体" w:eastAsia="宋体" w:cs="宋体"/>
          <w:b/>
          <w:bCs/>
          <w:color w:val="000000"/>
          <w:sz w:val="24"/>
        </w:rPr>
      </w:pPr>
      <w:r>
        <w:rPr>
          <w:rFonts w:hint="eastAsia" w:ascii="宋体" w:hAnsi="宋体" w:eastAsia="宋体" w:cs="宋体"/>
          <w:b/>
          <w:bCs/>
          <w:color w:val="000000"/>
          <w:sz w:val="24"/>
        </w:rPr>
        <w:t>一、有关投标文件</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1、请仔细阅读招标文件并正确理解招标文件中各项具体要求。如您对招标文件有疑问，请在招标文件规定的时间内以书面形式提出，逾期将被拒绝受理。</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2、请严格按照招标文件载明的投标文件的格式要求编制投标文件，投标文件须胶装成册。</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3、请仔细核对投标文件是否已按照招标文件的要求签字、签章和加盖单位公章，实质性条款是否满足招标文件要求，投标文件中所附资格证明等资料是否齐全、有效且是否满足招标文件要求。</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4、请按照招标文件要求密封投标文件，并正确标记。</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提示：投标文件若不满足以上条件将有被否决的风险。</w:t>
      </w:r>
    </w:p>
    <w:p>
      <w:pPr>
        <w:spacing w:line="460" w:lineRule="exact"/>
        <w:rPr>
          <w:rFonts w:hint="eastAsia" w:ascii="宋体" w:hAnsi="宋体" w:eastAsia="宋体" w:cs="宋体"/>
          <w:b/>
          <w:bCs/>
          <w:color w:val="000000"/>
          <w:sz w:val="24"/>
        </w:rPr>
      </w:pPr>
      <w:r>
        <w:rPr>
          <w:rFonts w:hint="eastAsia" w:ascii="宋体" w:hAnsi="宋体" w:eastAsia="宋体" w:cs="宋体"/>
          <w:b/>
          <w:bCs/>
          <w:color w:val="000000"/>
          <w:sz w:val="24"/>
        </w:rPr>
        <w:t>二、有关开标</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1、除招标文件要求递交的文件和资料外，请随身携带招标文件要求提供的其他备查文件原件。</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2、请务必考虑天气情况、交通情况以及您对开标地址的路线熟悉等情况于招标公告规定的时间及地点递交投标文件，投标文件逾期到达，将被拒绝接收。</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3、请到达文件递交地点后及时到投标文件接收处签字登记。</w:t>
      </w:r>
    </w:p>
    <w:p>
      <w:pPr>
        <w:spacing w:line="460" w:lineRule="exact"/>
        <w:rPr>
          <w:rFonts w:hint="eastAsia" w:ascii="宋体" w:hAnsi="宋体" w:eastAsia="宋体" w:cs="宋体"/>
          <w:b/>
          <w:bCs/>
          <w:color w:val="000000"/>
          <w:sz w:val="24"/>
        </w:rPr>
      </w:pPr>
      <w:r>
        <w:rPr>
          <w:rFonts w:hint="eastAsia" w:ascii="宋体" w:hAnsi="宋体" w:eastAsia="宋体" w:cs="宋体"/>
          <w:b/>
          <w:bCs/>
          <w:color w:val="000000"/>
          <w:sz w:val="24"/>
        </w:rPr>
        <w:t>三、关于弃标的说明</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若您因为一些特殊原因不能参加本次招标活动，请务必以书面形式告知我们，以便我们正常开展后期工作，同时也避免再次打扰您，感谢您的配合。</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四、关于供应商注册登记提醒</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请各投标单位仔细阅读上述提示。如需帮助，请您与我们的工作人员（</w:t>
      </w:r>
      <w:r>
        <w:rPr>
          <w:rFonts w:hint="eastAsia" w:ascii="宋体" w:hAnsi="宋体" w:cs="宋体"/>
          <w:color w:val="000000"/>
          <w:sz w:val="24"/>
          <w:lang w:eastAsia="zh-CN"/>
        </w:rPr>
        <w:t>张工</w:t>
      </w:r>
      <w:r>
        <w:rPr>
          <w:rFonts w:hint="eastAsia" w:ascii="宋体" w:hAnsi="宋体" w:eastAsia="宋体" w:cs="宋体"/>
          <w:color w:val="000000"/>
          <w:sz w:val="24"/>
        </w:rPr>
        <w:t>：029-89351397）联系，我们将非常高兴地为您服务。</w:t>
      </w:r>
    </w:p>
    <w:p>
      <w:pPr>
        <w:spacing w:line="360" w:lineRule="auto"/>
        <w:jc w:val="center"/>
        <w:rPr>
          <w:rFonts w:hint="eastAsia" w:ascii="宋体" w:hAnsi="宋体" w:eastAsia="宋体" w:cs="宋体"/>
          <w:b/>
          <w:sz w:val="36"/>
          <w:szCs w:val="36"/>
        </w:rPr>
      </w:pPr>
    </w:p>
    <w:p>
      <w:pPr>
        <w:spacing w:line="360" w:lineRule="auto"/>
        <w:ind w:firstLine="3975" w:firstLineChars="1100"/>
        <w:rPr>
          <w:rFonts w:hint="eastAsia" w:ascii="宋体" w:hAnsi="宋体" w:eastAsia="宋体" w:cs="宋体"/>
          <w:b/>
          <w:sz w:val="36"/>
          <w:szCs w:val="36"/>
        </w:rPr>
      </w:pPr>
      <w:r>
        <w:rPr>
          <w:rFonts w:hint="eastAsia" w:ascii="宋体" w:hAnsi="宋体" w:eastAsia="宋体" w:cs="宋体"/>
          <w:b/>
          <w:sz w:val="36"/>
          <w:szCs w:val="36"/>
        </w:rPr>
        <w:t>目</w:t>
      </w:r>
      <w:r>
        <w:rPr>
          <w:rFonts w:hint="eastAsia" w:ascii="宋体" w:hAnsi="宋体" w:eastAsia="宋体" w:cs="宋体"/>
          <w:b/>
          <w:sz w:val="36"/>
          <w:szCs w:val="36"/>
          <w:lang w:val="en-US" w:eastAsia="zh-CN"/>
        </w:rPr>
        <w:t xml:space="preserve"> </w:t>
      </w:r>
      <w:r>
        <w:rPr>
          <w:rFonts w:hint="eastAsia" w:ascii="宋体" w:hAnsi="宋体" w:eastAsia="宋体" w:cs="宋体"/>
          <w:b/>
          <w:sz w:val="36"/>
          <w:szCs w:val="36"/>
        </w:rPr>
        <w:t>录</w:t>
      </w:r>
    </w:p>
    <w:p>
      <w:pPr>
        <w:pStyle w:val="17"/>
        <w:tabs>
          <w:tab w:val="right" w:leader="dot" w:pos="8505"/>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TOC \o "1-1" \h \u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_Toc1342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第一章  招标公告</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_Toc1342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3</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7"/>
        <w:tabs>
          <w:tab w:val="right" w:leader="dot" w:pos="8505"/>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_Toc13392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lang w:val="en-US" w:eastAsia="zh-CN"/>
        </w:rPr>
        <w:t xml:space="preserve">第二章  </w:t>
      </w:r>
      <w:r>
        <w:rPr>
          <w:rFonts w:hint="eastAsia" w:ascii="宋体" w:hAnsi="宋体" w:eastAsia="宋体" w:cs="宋体"/>
          <w:b w:val="0"/>
          <w:bCs w:val="0"/>
          <w:sz w:val="30"/>
          <w:szCs w:val="30"/>
        </w:rPr>
        <w:t>投标人须知</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_Toc13392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11</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7"/>
        <w:tabs>
          <w:tab w:val="right" w:leader="dot" w:pos="8505"/>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_Toc17288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第三章  评标方法和标准</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_Toc17288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31</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7"/>
        <w:tabs>
          <w:tab w:val="right" w:leader="dot" w:pos="8505"/>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_Toc13451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lang w:val="en-US" w:eastAsia="zh-CN"/>
        </w:rPr>
        <w:t>第四章</w:t>
      </w:r>
      <w:r>
        <w:rPr>
          <w:rFonts w:hint="eastAsia" w:ascii="宋体" w:hAnsi="宋体" w:eastAsia="宋体" w:cs="宋体"/>
          <w:b w:val="0"/>
          <w:bCs w:val="0"/>
          <w:sz w:val="30"/>
          <w:szCs w:val="30"/>
          <w:highlight w:val="none"/>
        </w:rPr>
        <w:t xml:space="preserve"> </w:t>
      </w:r>
      <w:r>
        <w:rPr>
          <w:rFonts w:hint="eastAsia" w:ascii="宋体" w:hAnsi="宋体" w:eastAsia="宋体" w:cs="宋体"/>
          <w:b w:val="0"/>
          <w:bCs w:val="0"/>
          <w:sz w:val="30"/>
          <w:szCs w:val="30"/>
          <w:highlight w:val="none"/>
          <w:lang w:val="en-US" w:eastAsia="zh-CN"/>
        </w:rPr>
        <w:t xml:space="preserve"> </w:t>
      </w:r>
      <w:r>
        <w:rPr>
          <w:rFonts w:hint="eastAsia" w:ascii="宋体" w:hAnsi="宋体" w:eastAsia="宋体" w:cs="宋体"/>
          <w:b w:val="0"/>
          <w:bCs w:val="0"/>
          <w:sz w:val="30"/>
          <w:szCs w:val="30"/>
          <w:highlight w:val="none"/>
        </w:rPr>
        <w:t>采购内容及技术要求</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_Toc13451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40</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17"/>
        <w:tabs>
          <w:tab w:val="right" w:leader="dot" w:pos="8505"/>
        </w:tabs>
        <w:spacing w:line="360" w:lineRule="auto"/>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_Toc27057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第五章  合同条款</w:t>
      </w:r>
      <w:r>
        <w:rPr>
          <w:rFonts w:hint="eastAsia" w:ascii="宋体" w:hAnsi="宋体" w:eastAsia="宋体" w:cs="宋体"/>
          <w:b w:val="0"/>
          <w:bCs w:val="0"/>
          <w:sz w:val="30"/>
          <w:szCs w:val="30"/>
          <w:lang w:eastAsia="zh-CN"/>
        </w:rPr>
        <w:t>（参考格式）</w:t>
      </w:r>
      <w:r>
        <w:rPr>
          <w:rFonts w:hint="eastAsia" w:ascii="宋体" w:hAnsi="宋体" w:eastAsia="宋体" w:cs="宋体"/>
          <w:b w:val="0"/>
          <w:bCs w:val="0"/>
          <w:sz w:val="30"/>
          <w:szCs w:val="30"/>
        </w:rPr>
        <w:tab/>
      </w: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rPr>
        <w:fldChar w:fldCharType="end"/>
      </w:r>
      <w:r>
        <w:rPr>
          <w:rFonts w:hint="eastAsia" w:ascii="宋体" w:hAnsi="宋体" w:cs="宋体"/>
          <w:b w:val="0"/>
          <w:bCs w:val="0"/>
          <w:sz w:val="30"/>
          <w:szCs w:val="30"/>
          <w:lang w:val="en-US" w:eastAsia="zh-CN"/>
        </w:rPr>
        <w:t>57</w:t>
      </w:r>
      <w:bookmarkStart w:id="94" w:name="_GoBack"/>
      <w:bookmarkEnd w:id="94"/>
    </w:p>
    <w:p>
      <w:pPr>
        <w:pStyle w:val="17"/>
        <w:tabs>
          <w:tab w:val="right" w:leader="dot" w:pos="8505"/>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_Toc17700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第六章  投标文件格式</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_Toc17700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162</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spacing w:line="360" w:lineRule="auto"/>
        <w:jc w:val="center"/>
        <w:rPr>
          <w:rFonts w:hint="eastAsia" w:ascii="宋体" w:hAnsi="宋体" w:eastAsia="宋体" w:cs="宋体"/>
          <w:b/>
          <w:sz w:val="24"/>
        </w:rPr>
      </w:pPr>
      <w:r>
        <w:rPr>
          <w:rFonts w:hint="eastAsia" w:ascii="宋体" w:hAnsi="宋体" w:eastAsia="宋体" w:cs="宋体"/>
          <w:b w:val="0"/>
          <w:bCs w:val="0"/>
          <w:sz w:val="30"/>
          <w:szCs w:val="30"/>
        </w:rPr>
        <w:fldChar w:fldCharType="end"/>
      </w:r>
    </w:p>
    <w:p>
      <w:pPr>
        <w:pStyle w:val="3"/>
        <w:overflowPunct w:val="0"/>
        <w:adjustRightInd w:val="0"/>
        <w:snapToGrid w:val="0"/>
        <w:spacing w:line="360" w:lineRule="auto"/>
        <w:rPr>
          <w:rFonts w:hint="eastAsia" w:ascii="宋体" w:hAnsi="宋体" w:eastAsia="宋体" w:cs="宋体"/>
          <w:sz w:val="24"/>
          <w:szCs w:val="24"/>
        </w:rPr>
        <w:sectPr>
          <w:headerReference r:id="rId10" w:type="first"/>
          <w:footerReference r:id="rId12" w:type="first"/>
          <w:headerReference r:id="rId9" w:type="default"/>
          <w:footerReference r:id="rId11" w:type="default"/>
          <w:pgSz w:w="11906" w:h="16838"/>
          <w:pgMar w:top="1417" w:right="1644" w:bottom="1417" w:left="1757" w:header="850" w:footer="850" w:gutter="0"/>
          <w:pgBorders>
            <w:top w:val="none" w:sz="0" w:space="0"/>
            <w:left w:val="none" w:sz="0" w:space="0"/>
            <w:bottom w:val="none" w:sz="0" w:space="0"/>
            <w:right w:val="none" w:sz="0" w:space="0"/>
          </w:pgBorders>
          <w:pgNumType w:fmt="decimal" w:start="1"/>
          <w:cols w:space="0" w:num="1"/>
          <w:titlePg/>
          <w:docGrid w:linePitch="312" w:charSpace="0"/>
        </w:sectPr>
      </w:pPr>
      <w:bookmarkStart w:id="2" w:name="_Toc311415567"/>
      <w:bookmarkStart w:id="3" w:name="_Toc332874416"/>
    </w:p>
    <w:p>
      <w:pPr>
        <w:pStyle w:val="3"/>
        <w:overflowPunct w:val="0"/>
        <w:adjustRightInd w:val="0"/>
        <w:snapToGrid w:val="0"/>
        <w:spacing w:line="360" w:lineRule="auto"/>
        <w:jc w:val="center"/>
        <w:rPr>
          <w:rFonts w:hint="eastAsia" w:ascii="宋体" w:hAnsi="宋体" w:eastAsia="宋体" w:cs="宋体"/>
          <w:sz w:val="32"/>
          <w:szCs w:val="32"/>
        </w:rPr>
      </w:pPr>
      <w:bookmarkStart w:id="4" w:name="_Toc54688982"/>
      <w:bookmarkStart w:id="5" w:name="_Toc18418"/>
      <w:bookmarkStart w:id="6" w:name="_Toc30081"/>
      <w:bookmarkStart w:id="7" w:name="_Toc1342"/>
      <w:r>
        <w:rPr>
          <w:rFonts w:hint="eastAsia" w:ascii="宋体" w:hAnsi="宋体" w:eastAsia="宋体" w:cs="宋体"/>
          <w:sz w:val="32"/>
          <w:szCs w:val="32"/>
        </w:rPr>
        <w:t>第一章  招标公告</w:t>
      </w:r>
      <w:bookmarkEnd w:id="0"/>
      <w:bookmarkEnd w:id="1"/>
      <w:bookmarkEnd w:id="2"/>
      <w:bookmarkEnd w:id="3"/>
      <w:bookmarkEnd w:id="4"/>
      <w:bookmarkEnd w:id="5"/>
      <w:bookmarkEnd w:id="6"/>
      <w:bookmarkEnd w:id="7"/>
    </w:p>
    <w:tbl>
      <w:tblPr>
        <w:tblStyle w:val="23"/>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780" w:type="dxa"/>
            <w:noWrap w:val="0"/>
            <w:vAlign w:val="top"/>
          </w:tcPr>
          <w:p>
            <w:pPr>
              <w:pStyle w:val="20"/>
              <w:keepNext w:val="0"/>
              <w:keepLines w:val="0"/>
              <w:widowControl/>
              <w:suppressLineNumbers w:val="0"/>
              <w:spacing w:before="150" w:beforeAutospacing="0" w:after="0" w:afterAutospacing="0" w:line="240" w:lineRule="auto"/>
              <w:ind w:right="0"/>
              <w:jc w:val="both"/>
              <w:rPr>
                <w:rFonts w:hint="eastAsia" w:ascii="宋体" w:hAnsi="宋体" w:eastAsia="宋体" w:cs="宋体"/>
                <w:b/>
                <w:bCs/>
                <w:i w:val="0"/>
                <w:caps w:val="0"/>
                <w:color w:val="000000"/>
                <w:spacing w:val="0"/>
                <w:sz w:val="22"/>
                <w:szCs w:val="22"/>
                <w:highlight w:val="none"/>
                <w:u w:val="none"/>
                <w:lang w:eastAsia="zh-CN"/>
              </w:rPr>
            </w:pPr>
            <w:bookmarkStart w:id="8" w:name="_Toc332874417"/>
            <w:bookmarkStart w:id="9" w:name="_Toc283240484"/>
            <w:bookmarkStart w:id="10" w:name="_Toc246928892"/>
            <w:bookmarkStart w:id="11" w:name="_Toc283626500"/>
            <w:bookmarkStart w:id="12" w:name="_Toc311415568"/>
            <w:bookmarkStart w:id="13" w:name="_Toc30649"/>
            <w:bookmarkStart w:id="14" w:name="_Toc440"/>
            <w:r>
              <w:rPr>
                <w:rFonts w:hint="eastAsia" w:ascii="宋体" w:hAnsi="宋体" w:eastAsia="宋体" w:cs="宋体"/>
                <w:b/>
                <w:bCs/>
                <w:i w:val="0"/>
                <w:caps w:val="0"/>
                <w:color w:val="000000"/>
                <w:spacing w:val="0"/>
                <w:sz w:val="22"/>
                <w:szCs w:val="22"/>
                <w:highlight w:val="none"/>
                <w:u w:val="none"/>
                <w:lang w:eastAsia="zh-CN"/>
              </w:rPr>
              <w:t>项目概况</w:t>
            </w:r>
          </w:p>
          <w:p>
            <w:pPr>
              <w:pStyle w:val="20"/>
              <w:keepNext w:val="0"/>
              <w:keepLines w:val="0"/>
              <w:widowControl/>
              <w:suppressLineNumbers w:val="0"/>
              <w:spacing w:before="150" w:beforeAutospacing="0" w:after="0" w:afterAutospacing="0" w:line="360" w:lineRule="auto"/>
              <w:ind w:right="0" w:firstLine="480" w:firstLineChars="200"/>
              <w:jc w:val="left"/>
              <w:rPr>
                <w:rFonts w:hint="eastAsia" w:ascii="宋体" w:hAnsi="宋体" w:eastAsia="宋体" w:cs="宋体"/>
                <w:b/>
                <w:i w:val="0"/>
                <w:caps w:val="0"/>
                <w:color w:val="000000"/>
                <w:spacing w:val="0"/>
                <w:sz w:val="22"/>
                <w:szCs w:val="22"/>
                <w:u w:val="none"/>
                <w:vertAlign w:val="baseline"/>
                <w:lang w:eastAsia="zh-CN"/>
              </w:rPr>
            </w:pPr>
            <w:r>
              <w:rPr>
                <w:rFonts w:hint="eastAsia" w:ascii="宋体" w:hAnsi="宋体" w:cs="宋体"/>
                <w:b w:val="0"/>
                <w:color w:val="333333"/>
                <w:sz w:val="24"/>
                <w:szCs w:val="24"/>
                <w:lang w:eastAsia="zh-CN"/>
              </w:rPr>
              <w:t>未央区教育局下属四所学校教学办公设备及设施采购项目</w:t>
            </w:r>
            <w:r>
              <w:rPr>
                <w:rFonts w:hint="eastAsia" w:ascii="宋体" w:hAnsi="宋体" w:eastAsia="宋体" w:cs="宋体"/>
                <w:i w:val="0"/>
                <w:caps w:val="0"/>
                <w:color w:val="000000"/>
                <w:spacing w:val="0"/>
                <w:sz w:val="24"/>
                <w:szCs w:val="24"/>
                <w:highlight w:val="none"/>
                <w:u w:val="none"/>
                <w:lang w:eastAsia="zh-CN"/>
              </w:rPr>
              <w:t>招标项目的潜在投标人应在西安市未央区凤城五路与明光路十字天朗经开中心10楼11002室获取招标文件，并于2022年</w:t>
            </w:r>
            <w:r>
              <w:rPr>
                <w:rFonts w:hint="eastAsia" w:ascii="宋体" w:hAnsi="宋体" w:cs="宋体"/>
                <w:color w:val="000000"/>
                <w:highlight w:val="none"/>
                <w:lang w:val="en-US" w:eastAsia="zh-CN"/>
              </w:rPr>
              <w:t>08</w:t>
            </w:r>
            <w:r>
              <w:rPr>
                <w:rFonts w:hint="eastAsia" w:ascii="宋体" w:hAnsi="宋体" w:eastAsia="宋体" w:cs="宋体"/>
                <w:color w:val="000000"/>
                <w:highlight w:val="none"/>
              </w:rPr>
              <w:t>月</w:t>
            </w:r>
            <w:r>
              <w:rPr>
                <w:rFonts w:hint="eastAsia" w:ascii="宋体" w:hAnsi="宋体" w:cs="宋体"/>
                <w:color w:val="000000"/>
                <w:highlight w:val="none"/>
                <w:lang w:val="en-US" w:eastAsia="zh-CN"/>
              </w:rPr>
              <w:t>05</w:t>
            </w:r>
            <w:r>
              <w:rPr>
                <w:rFonts w:hint="eastAsia" w:ascii="宋体" w:hAnsi="宋体" w:eastAsia="宋体" w:cs="宋体"/>
                <w:color w:val="000000"/>
                <w:highlight w:val="none"/>
              </w:rPr>
              <w:t>日</w:t>
            </w:r>
            <w:r>
              <w:rPr>
                <w:rFonts w:hint="eastAsia" w:ascii="宋体" w:hAnsi="宋体" w:cs="宋体"/>
                <w:color w:val="000000"/>
                <w:highlight w:val="none"/>
                <w:lang w:val="en-US" w:eastAsia="zh-CN"/>
              </w:rPr>
              <w:t>14</w:t>
            </w:r>
            <w:r>
              <w:rPr>
                <w:rFonts w:hint="eastAsia" w:ascii="宋体" w:hAnsi="宋体" w:eastAsia="宋体" w:cs="宋体"/>
                <w:color w:val="000000"/>
                <w:highlight w:val="none"/>
              </w:rPr>
              <w:t>时</w:t>
            </w:r>
            <w:r>
              <w:rPr>
                <w:rFonts w:hint="eastAsia" w:ascii="宋体" w:hAnsi="宋体" w:cs="宋体"/>
                <w:color w:val="000000"/>
                <w:highlight w:val="none"/>
                <w:lang w:val="en-US" w:eastAsia="zh-CN"/>
              </w:rPr>
              <w:t>00</w:t>
            </w:r>
            <w:r>
              <w:rPr>
                <w:rFonts w:hint="eastAsia" w:ascii="宋体" w:hAnsi="宋体" w:eastAsia="宋体" w:cs="宋体"/>
                <w:color w:val="000000"/>
                <w:highlight w:val="none"/>
              </w:rPr>
              <w:t>分</w:t>
            </w:r>
            <w:r>
              <w:rPr>
                <w:rFonts w:hint="eastAsia" w:ascii="宋体" w:hAnsi="宋体" w:eastAsia="宋体" w:cs="宋体"/>
                <w:i w:val="0"/>
                <w:caps w:val="0"/>
                <w:color w:val="000000"/>
                <w:spacing w:val="0"/>
                <w:sz w:val="24"/>
                <w:szCs w:val="24"/>
                <w:highlight w:val="none"/>
                <w:u w:val="none"/>
                <w:lang w:eastAsia="zh-CN"/>
              </w:rPr>
              <w:t>（北京时间）前递交投标文件。</w:t>
            </w:r>
          </w:p>
        </w:tc>
      </w:tr>
    </w:tbl>
    <w:p>
      <w:pPr>
        <w:pStyle w:val="33"/>
        <w:shd w:val="clear" w:color="auto" w:fill="FFFFFF"/>
        <w:spacing w:before="0" w:line="360" w:lineRule="auto"/>
        <w:rPr>
          <w:rFonts w:hint="eastAsia" w:ascii="宋体" w:hAnsi="宋体" w:eastAsia="宋体" w:cs="宋体"/>
          <w:b/>
          <w:bCs w:val="0"/>
          <w:color w:val="333333"/>
          <w:sz w:val="24"/>
          <w:szCs w:val="24"/>
        </w:rPr>
      </w:pPr>
      <w:r>
        <w:rPr>
          <w:rFonts w:hint="eastAsia" w:ascii="宋体" w:hAnsi="宋体" w:eastAsia="宋体" w:cs="宋体"/>
          <w:b/>
          <w:bCs w:val="0"/>
          <w:color w:val="333333"/>
          <w:sz w:val="24"/>
          <w:szCs w:val="24"/>
        </w:rPr>
        <w:t>一、项目基本情况：</w:t>
      </w:r>
    </w:p>
    <w:p>
      <w:pPr>
        <w:pStyle w:val="33"/>
        <w:shd w:val="clear" w:color="auto" w:fill="FFFFFF"/>
        <w:spacing w:before="0" w:line="360" w:lineRule="auto"/>
        <w:ind w:firstLine="480" w:firstLineChars="200"/>
        <w:rPr>
          <w:rFonts w:hint="eastAsia" w:ascii="宋体" w:hAnsi="宋体" w:eastAsia="宋体" w:cs="宋体"/>
          <w:b w:val="0"/>
          <w:color w:val="333333"/>
          <w:sz w:val="24"/>
          <w:szCs w:val="24"/>
          <w:lang w:eastAsia="zh-CN"/>
        </w:rPr>
      </w:pPr>
      <w:r>
        <w:rPr>
          <w:rFonts w:hint="eastAsia" w:ascii="宋体" w:hAnsi="宋体" w:eastAsia="宋体" w:cs="宋体"/>
          <w:b w:val="0"/>
          <w:color w:val="333333"/>
          <w:sz w:val="24"/>
          <w:szCs w:val="24"/>
        </w:rPr>
        <w:t>项目编号：</w:t>
      </w:r>
      <w:r>
        <w:rPr>
          <w:rFonts w:hint="eastAsia" w:ascii="宋体" w:hAnsi="宋体" w:cs="宋体"/>
          <w:b w:val="0"/>
          <w:color w:val="333333"/>
          <w:sz w:val="24"/>
          <w:szCs w:val="24"/>
          <w:lang w:eastAsia="zh-CN"/>
        </w:rPr>
        <w:t>SXJTZB-ZC-GK20220524</w:t>
      </w:r>
    </w:p>
    <w:p>
      <w:pPr>
        <w:pStyle w:val="33"/>
        <w:shd w:val="clear" w:color="auto" w:fill="FFFFFF"/>
        <w:spacing w:before="0" w:line="360" w:lineRule="auto"/>
        <w:ind w:firstLine="480" w:firstLineChars="200"/>
        <w:rPr>
          <w:rFonts w:hint="eastAsia" w:ascii="宋体" w:hAnsi="宋体" w:eastAsia="宋体" w:cs="宋体"/>
          <w:b w:val="0"/>
          <w:color w:val="333333"/>
          <w:sz w:val="24"/>
          <w:szCs w:val="24"/>
          <w:lang w:eastAsia="zh-CN"/>
        </w:rPr>
      </w:pPr>
      <w:r>
        <w:rPr>
          <w:rFonts w:hint="eastAsia" w:ascii="宋体" w:hAnsi="宋体" w:eastAsia="宋体" w:cs="宋体"/>
          <w:b w:val="0"/>
          <w:color w:val="333333"/>
          <w:sz w:val="24"/>
          <w:szCs w:val="24"/>
        </w:rPr>
        <w:t>项目名称：</w:t>
      </w:r>
      <w:r>
        <w:rPr>
          <w:rFonts w:hint="eastAsia" w:ascii="宋体" w:hAnsi="宋体" w:cs="宋体"/>
          <w:b w:val="0"/>
          <w:color w:val="333333"/>
          <w:sz w:val="24"/>
          <w:szCs w:val="24"/>
          <w:lang w:eastAsia="zh-CN"/>
        </w:rPr>
        <w:t>未央区教育局下属四所学校教学办公设备及设施采购项目</w:t>
      </w:r>
    </w:p>
    <w:p>
      <w:pPr>
        <w:pStyle w:val="33"/>
        <w:shd w:val="clear" w:color="auto" w:fill="FFFFFF"/>
        <w:spacing w:before="0" w:line="360" w:lineRule="auto"/>
        <w:ind w:firstLine="480" w:firstLineChars="200"/>
        <w:rPr>
          <w:rFonts w:hint="eastAsia" w:ascii="宋体" w:hAnsi="宋体" w:eastAsia="宋体" w:cs="宋体"/>
          <w:b w:val="0"/>
          <w:color w:val="333333"/>
          <w:sz w:val="24"/>
          <w:szCs w:val="24"/>
          <w:lang w:val="en-US" w:eastAsia="zh-CN"/>
        </w:rPr>
      </w:pPr>
      <w:r>
        <w:rPr>
          <w:rFonts w:hint="eastAsia" w:ascii="宋体" w:hAnsi="宋体" w:eastAsia="宋体" w:cs="宋体"/>
          <w:b w:val="0"/>
          <w:color w:val="333333"/>
          <w:sz w:val="24"/>
          <w:szCs w:val="24"/>
          <w:lang w:val="en-US" w:eastAsia="zh-CN"/>
        </w:rPr>
        <w:t>采购方式：公开招标</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rPr>
      </w:pPr>
      <w:r>
        <w:rPr>
          <w:rFonts w:hint="eastAsia" w:ascii="宋体" w:hAnsi="宋体" w:eastAsia="宋体" w:cs="宋体"/>
          <w:b w:val="0"/>
          <w:color w:val="333333"/>
          <w:sz w:val="24"/>
          <w:szCs w:val="24"/>
          <w:highlight w:val="none"/>
        </w:rPr>
        <w:t>预算金额：4306280.00元</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rPr>
      </w:pPr>
      <w:r>
        <w:rPr>
          <w:rFonts w:hint="eastAsia" w:ascii="宋体" w:hAnsi="宋体" w:eastAsia="宋体" w:cs="宋体"/>
          <w:b w:val="0"/>
          <w:color w:val="333333"/>
          <w:sz w:val="24"/>
          <w:szCs w:val="24"/>
          <w:highlight w:val="none"/>
        </w:rPr>
        <w:t>采购需求:</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合同包1(</w:t>
      </w:r>
      <w:r>
        <w:rPr>
          <w:rFonts w:hint="eastAsia" w:ascii="宋体" w:hAnsi="宋体" w:cs="宋体"/>
          <w:b w:val="0"/>
          <w:color w:val="333333"/>
          <w:sz w:val="24"/>
          <w:szCs w:val="24"/>
          <w:lang w:eastAsia="zh-CN"/>
        </w:rPr>
        <w:t>未央区教育局下属四所学校教学办公设备及设施采购项目第一包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523420</w:t>
      </w:r>
      <w:r>
        <w:rPr>
          <w:rFonts w:hint="eastAsia" w:ascii="宋体" w:hAnsi="宋体" w:eastAsia="宋体" w:cs="宋体"/>
          <w:color w:val="000000"/>
          <w:highlight w:val="none"/>
          <w:lang w:val="en-US" w:eastAsia="zh-CN"/>
        </w:rPr>
        <w:t>.00元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523420</w:t>
      </w:r>
      <w:r>
        <w:rPr>
          <w:rFonts w:hint="eastAsia" w:ascii="宋体" w:hAnsi="宋体" w:eastAsia="宋体" w:cs="宋体"/>
          <w:color w:val="000000"/>
          <w:highlight w:val="none"/>
          <w:lang w:val="en-US" w:eastAsia="zh-CN"/>
        </w:rPr>
        <w:t>.00元</w:t>
      </w:r>
    </w:p>
    <w:tbl>
      <w:tblPr>
        <w:tblStyle w:val="23"/>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（元）</w:t>
            </w:r>
          </w:p>
        </w:tc>
        <w:tc>
          <w:tcPr>
            <w:tcW w:w="142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sz w:val="20"/>
                <w:szCs w:val="20"/>
                <w:highlight w:val="none"/>
                <w:vertAlign w:val="baseline"/>
                <w:lang w:val="en-US" w:eastAsia="zh-CN"/>
              </w:rPr>
            </w:pPr>
            <w:r>
              <w:rPr>
                <w:rFonts w:hint="eastAsia" w:ascii="宋体" w:hAnsi="宋体" w:eastAsia="宋体" w:cs="宋体"/>
                <w:b/>
                <w:bCs/>
                <w:color w:val="000000"/>
                <w:sz w:val="20"/>
                <w:szCs w:val="2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eastAsia="宋体" w:cs="宋体"/>
                <w:color w:val="000000"/>
                <w:sz w:val="20"/>
                <w:szCs w:val="20"/>
                <w:highlight w:val="none"/>
                <w:vertAlign w:val="baseline"/>
                <w:lang w:val="en-US" w:eastAsia="zh-CN"/>
              </w:rPr>
              <w:t>1-1</w:t>
            </w:r>
          </w:p>
        </w:tc>
        <w:tc>
          <w:tcPr>
            <w:tcW w:w="1622" w:type="dxa"/>
            <w:noWrap w:val="0"/>
            <w:vAlign w:val="center"/>
          </w:tcPr>
          <w:p>
            <w:pPr>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eastAsia="宋体" w:cs="宋体"/>
                <w:color w:val="000000"/>
                <w:sz w:val="20"/>
                <w:szCs w:val="20"/>
                <w:highlight w:val="none"/>
                <w:vertAlign w:val="baseline"/>
                <w:lang w:val="en-US" w:eastAsia="zh-CN"/>
              </w:rPr>
              <w:t>其他文艺设备</w:t>
            </w:r>
          </w:p>
        </w:tc>
        <w:tc>
          <w:tcPr>
            <w:tcW w:w="1611" w:type="dxa"/>
            <w:noWrap w:val="0"/>
            <w:vAlign w:val="center"/>
          </w:tcPr>
          <w:p>
            <w:pPr>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eastAsia="宋体" w:cs="宋体"/>
                <w:color w:val="000000"/>
                <w:sz w:val="20"/>
                <w:szCs w:val="20"/>
                <w:highlight w:val="none"/>
                <w:vertAlign w:val="baseline"/>
                <w:lang w:val="en-US" w:eastAsia="zh-CN"/>
              </w:rPr>
              <w:t>多功能厅设备</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eastAsia="宋体" w:cs="宋体"/>
                <w:color w:val="000000"/>
                <w:sz w:val="20"/>
                <w:szCs w:val="2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eastAsia="宋体" w:cs="宋体"/>
                <w:color w:val="000000"/>
                <w:sz w:val="20"/>
                <w:szCs w:val="20"/>
                <w:highlight w:val="none"/>
                <w:vertAlign w:val="baseline"/>
                <w:lang w:val="en-US" w:eastAsia="zh-CN"/>
              </w:rPr>
              <w:t>详见采购文件</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cs="宋体"/>
                <w:color w:val="000000"/>
                <w:sz w:val="20"/>
                <w:szCs w:val="20"/>
                <w:highlight w:val="none"/>
                <w:lang w:val="en-US" w:eastAsia="zh-CN"/>
              </w:rPr>
              <w:t>523420</w:t>
            </w:r>
            <w:r>
              <w:rPr>
                <w:rFonts w:hint="eastAsia" w:ascii="宋体" w:hAnsi="宋体" w:eastAsia="宋体" w:cs="宋体"/>
                <w:color w:val="000000"/>
                <w:sz w:val="20"/>
                <w:szCs w:val="20"/>
                <w:highlight w:val="none"/>
                <w:lang w:val="en-US" w:eastAsia="zh-CN"/>
              </w:rPr>
              <w:t>.00</w:t>
            </w:r>
          </w:p>
        </w:tc>
        <w:tc>
          <w:tcPr>
            <w:tcW w:w="1421" w:type="dxa"/>
            <w:noWrap w:val="0"/>
            <w:vAlign w:val="center"/>
          </w:tcPr>
          <w:p>
            <w:pPr>
              <w:pStyle w:val="20"/>
              <w:spacing w:before="0" w:beforeAutospacing="0" w:after="0" w:afterAutospacing="0" w:line="360" w:lineRule="auto"/>
              <w:jc w:val="center"/>
              <w:rPr>
                <w:rFonts w:hint="eastAsia" w:ascii="宋体" w:hAnsi="宋体" w:eastAsia="宋体" w:cs="宋体"/>
                <w:color w:val="000000"/>
                <w:sz w:val="20"/>
                <w:szCs w:val="20"/>
                <w:highlight w:val="none"/>
                <w:vertAlign w:val="baseline"/>
                <w:lang w:val="en-US" w:eastAsia="zh-CN"/>
              </w:rPr>
            </w:pPr>
            <w:r>
              <w:rPr>
                <w:rFonts w:hint="eastAsia" w:ascii="宋体" w:hAnsi="宋体" w:cs="宋体"/>
                <w:color w:val="000000"/>
                <w:sz w:val="20"/>
                <w:szCs w:val="20"/>
                <w:highlight w:val="none"/>
                <w:lang w:val="en-US" w:eastAsia="zh-CN"/>
              </w:rPr>
              <w:t>523420</w:t>
            </w:r>
            <w:r>
              <w:rPr>
                <w:rFonts w:hint="eastAsia" w:ascii="宋体" w:hAnsi="宋体" w:eastAsia="宋体" w:cs="宋体"/>
                <w:color w:val="000000"/>
                <w:sz w:val="20"/>
                <w:szCs w:val="20"/>
                <w:highlight w:val="none"/>
                <w:lang w:val="en-US" w:eastAsia="zh-CN"/>
              </w:rPr>
              <w:t>.00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20"/>
        <w:shd w:val="clear" w:color="auto" w:fill="FFFFFF"/>
        <w:spacing w:before="0" w:beforeAutospacing="0" w:after="0" w:afterAutospacing="0" w:line="360" w:lineRule="auto"/>
        <w:ind w:firstLine="420"/>
        <w:rPr>
          <w:rFonts w:hint="default" w:ascii="宋体" w:hAnsi="宋体" w:eastAsia="宋体" w:cs="宋体"/>
          <w:color w:val="000000"/>
          <w:highlight w:val="none"/>
          <w:lang w:val="en-US" w:eastAsia="zh-CN"/>
        </w:rPr>
      </w:pPr>
      <w:r>
        <w:rPr>
          <w:rFonts w:hint="eastAsia" w:ascii="宋体" w:hAnsi="宋体" w:eastAsia="宋体" w:cs="宋体"/>
          <w:color w:val="000000"/>
          <w:highlight w:val="none"/>
        </w:rPr>
        <w:t>合同履行期限：</w:t>
      </w:r>
      <w:r>
        <w:rPr>
          <w:rFonts w:hint="eastAsia" w:ascii="宋体" w:hAnsi="宋体" w:cs="宋体"/>
          <w:color w:val="000000"/>
          <w:highlight w:val="none"/>
          <w:lang w:eastAsia="zh-CN"/>
        </w:rPr>
        <w:t>自合同签订之日起</w:t>
      </w:r>
      <w:r>
        <w:rPr>
          <w:rFonts w:hint="eastAsia" w:ascii="宋体" w:hAnsi="宋体" w:cs="宋体"/>
          <w:color w:val="000000"/>
          <w:highlight w:val="none"/>
          <w:lang w:val="en-US" w:eastAsia="zh-CN"/>
        </w:rPr>
        <w:t>10日历天内</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eastAsia="宋体" w:cs="宋体"/>
          <w:b w:val="0"/>
          <w:color w:val="333333"/>
          <w:sz w:val="24"/>
          <w:szCs w:val="24"/>
          <w:highlight w:val="none"/>
          <w:lang w:val="en-US" w:eastAsia="zh-CN"/>
        </w:rPr>
        <w:t>2</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第二包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729490.00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729490.00</w:t>
      </w:r>
      <w:r>
        <w:rPr>
          <w:rFonts w:hint="eastAsia" w:ascii="宋体" w:hAnsi="宋体" w:eastAsia="宋体" w:cs="宋体"/>
          <w:color w:val="000000"/>
          <w:highlight w:val="none"/>
          <w:lang w:val="en-US" w:eastAsia="zh-CN"/>
        </w:rPr>
        <w:t>元</w:t>
      </w:r>
    </w:p>
    <w:tbl>
      <w:tblPr>
        <w:tblStyle w:val="2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（元）</w:t>
            </w:r>
          </w:p>
        </w:tc>
        <w:tc>
          <w:tcPr>
            <w:tcW w:w="1494" w:type="dxa"/>
            <w:noWrap w:val="0"/>
            <w:vAlign w:val="center"/>
          </w:tcPr>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i w:val="0"/>
                <w:iCs w:val="0"/>
                <w:color w:val="000000"/>
                <w:sz w:val="21"/>
                <w:szCs w:val="21"/>
                <w:highlight w:val="none"/>
                <w:vertAlign w:val="baseline"/>
                <w:lang w:val="en-US" w:eastAsia="zh-CN"/>
              </w:rPr>
            </w:pPr>
            <w:r>
              <w:rPr>
                <w:rFonts w:hint="eastAsia" w:ascii="宋体" w:hAnsi="宋体" w:eastAsia="宋体" w:cs="宋体"/>
                <w:b/>
                <w:bCs/>
                <w:i w:val="0"/>
                <w:iCs w:val="0"/>
                <w:color w:val="000000"/>
                <w:sz w:val="21"/>
                <w:szCs w:val="21"/>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2-1</w:t>
            </w:r>
          </w:p>
        </w:tc>
        <w:tc>
          <w:tcPr>
            <w:tcW w:w="1622" w:type="dxa"/>
            <w:noWrap w:val="0"/>
            <w:vAlign w:val="center"/>
          </w:tcPr>
          <w:p>
            <w:pPr>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计算机光电设备</w:t>
            </w:r>
          </w:p>
        </w:tc>
        <w:tc>
          <w:tcPr>
            <w:tcW w:w="1611" w:type="dxa"/>
            <w:noWrap w:val="0"/>
            <w:vAlign w:val="center"/>
          </w:tcPr>
          <w:p>
            <w:pPr>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教学办公电教设备</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详见采购文件</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cs="宋体"/>
                <w:i w:val="0"/>
                <w:iCs w:val="0"/>
                <w:color w:val="000000"/>
                <w:sz w:val="21"/>
                <w:szCs w:val="21"/>
                <w:highlight w:val="none"/>
                <w:lang w:val="en-US" w:eastAsia="zh-CN"/>
              </w:rPr>
              <w:t>729490.00</w:t>
            </w:r>
          </w:p>
        </w:tc>
        <w:tc>
          <w:tcPr>
            <w:tcW w:w="1494" w:type="dxa"/>
            <w:noWrap w:val="0"/>
            <w:vAlign w:val="center"/>
          </w:tcPr>
          <w:p>
            <w:pPr>
              <w:pStyle w:val="20"/>
              <w:spacing w:before="0" w:beforeAutospacing="0" w:after="0" w:afterAutospacing="0" w:line="360" w:lineRule="auto"/>
              <w:jc w:val="center"/>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cs="宋体"/>
                <w:i w:val="0"/>
                <w:iCs w:val="0"/>
                <w:color w:val="000000"/>
                <w:sz w:val="21"/>
                <w:szCs w:val="21"/>
                <w:highlight w:val="none"/>
                <w:lang w:val="en-US" w:eastAsia="zh-CN"/>
              </w:rPr>
              <w:t>729490.00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合同履行期限：</w:t>
      </w:r>
      <w:r>
        <w:rPr>
          <w:rFonts w:hint="eastAsia" w:ascii="宋体" w:hAnsi="宋体" w:cs="宋体"/>
          <w:color w:val="000000"/>
          <w:highlight w:val="none"/>
          <w:lang w:eastAsia="zh-CN"/>
        </w:rPr>
        <w:t>自合同签订之日起</w:t>
      </w:r>
      <w:r>
        <w:rPr>
          <w:rFonts w:hint="eastAsia" w:ascii="宋体" w:hAnsi="宋体" w:cs="宋体"/>
          <w:color w:val="000000"/>
          <w:highlight w:val="none"/>
          <w:lang w:val="en-US" w:eastAsia="zh-CN"/>
        </w:rPr>
        <w:t>10日历天内</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eastAsia="宋体" w:cs="宋体"/>
          <w:b w:val="0"/>
          <w:color w:val="333333"/>
          <w:sz w:val="24"/>
          <w:szCs w:val="24"/>
          <w:highlight w:val="none"/>
          <w:lang w:val="en-US" w:eastAsia="zh-CN"/>
        </w:rPr>
        <w:t>3</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第三包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76500.00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76500.00</w:t>
      </w:r>
      <w:r>
        <w:rPr>
          <w:rFonts w:hint="eastAsia" w:ascii="宋体" w:hAnsi="宋体" w:eastAsia="宋体" w:cs="宋体"/>
          <w:color w:val="000000"/>
          <w:highlight w:val="none"/>
          <w:lang w:val="en-US" w:eastAsia="zh-CN"/>
        </w:rPr>
        <w:t>元</w:t>
      </w:r>
    </w:p>
    <w:tbl>
      <w:tblPr>
        <w:tblStyle w:val="2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（元）</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3-1</w:t>
            </w:r>
          </w:p>
        </w:tc>
        <w:tc>
          <w:tcPr>
            <w:tcW w:w="1622" w:type="dxa"/>
            <w:noWrap w:val="0"/>
            <w:vAlign w:val="center"/>
          </w:tcPr>
          <w:p>
            <w:pPr>
              <w:spacing w:before="0" w:beforeAutospacing="0" w:after="0" w:afterAutospacing="0" w:line="360" w:lineRule="auto"/>
              <w:jc w:val="center"/>
              <w:rPr>
                <w:rFonts w:hint="eastAsia" w:ascii="宋体" w:hAnsi="宋体" w:eastAsia="宋体" w:cs="宋体"/>
                <w:color w:val="000000"/>
                <w:sz w:val="24"/>
                <w:szCs w:val="32"/>
                <w:highlight w:val="none"/>
                <w:vertAlign w:val="baseline"/>
                <w:lang w:val="en-US" w:eastAsia="zh-CN"/>
              </w:rPr>
            </w:pPr>
            <w:r>
              <w:rPr>
                <w:rFonts w:hint="eastAsia" w:ascii="宋体" w:hAnsi="宋体" w:eastAsia="宋体" w:cs="宋体"/>
                <w:color w:val="000000"/>
                <w:sz w:val="24"/>
                <w:szCs w:val="32"/>
                <w:highlight w:val="none"/>
                <w:vertAlign w:val="baseline"/>
                <w:lang w:val="en-US" w:eastAsia="zh-CN"/>
              </w:rPr>
              <w:t>调湿调温机</w:t>
            </w:r>
          </w:p>
        </w:tc>
        <w:tc>
          <w:tcPr>
            <w:tcW w:w="1611" w:type="dxa"/>
            <w:noWrap w:val="0"/>
            <w:vAlign w:val="center"/>
          </w:tcPr>
          <w:p>
            <w:pPr>
              <w:spacing w:before="0" w:beforeAutospacing="0" w:after="0" w:afterAutospacing="0" w:line="360" w:lineRule="auto"/>
              <w:jc w:val="center"/>
              <w:rPr>
                <w:rFonts w:hint="eastAsia" w:ascii="宋体" w:hAnsi="宋体" w:eastAsia="宋体" w:cs="宋体"/>
                <w:color w:val="000000"/>
                <w:sz w:val="24"/>
                <w:szCs w:val="32"/>
                <w:highlight w:val="none"/>
                <w:vertAlign w:val="baseline"/>
                <w:lang w:val="en-US" w:eastAsia="zh-CN"/>
              </w:rPr>
            </w:pPr>
            <w:r>
              <w:rPr>
                <w:rFonts w:hint="eastAsia" w:ascii="宋体" w:hAnsi="宋体" w:eastAsia="宋体" w:cs="宋体"/>
                <w:color w:val="000000"/>
                <w:sz w:val="24"/>
                <w:szCs w:val="32"/>
                <w:highlight w:val="none"/>
                <w:vertAlign w:val="baseline"/>
                <w:lang w:val="en-US" w:eastAsia="zh-CN"/>
              </w:rPr>
              <w:t>空调</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详见采购文件</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lang w:val="en-US" w:eastAsia="zh-CN"/>
              </w:rPr>
            </w:pPr>
            <w:r>
              <w:rPr>
                <w:rFonts w:hint="eastAsia" w:ascii="宋体" w:hAnsi="宋体" w:cs="宋体"/>
                <w:color w:val="000000"/>
                <w:highlight w:val="none"/>
                <w:lang w:val="en-US" w:eastAsia="zh-CN"/>
              </w:rPr>
              <w:t>76500.00</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76500.00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合同履行期限：</w:t>
      </w:r>
      <w:r>
        <w:rPr>
          <w:rFonts w:hint="eastAsia" w:ascii="宋体" w:hAnsi="宋体" w:cs="宋体"/>
          <w:color w:val="000000"/>
          <w:highlight w:val="none"/>
          <w:lang w:eastAsia="zh-CN"/>
        </w:rPr>
        <w:t>自合同签订之日起</w:t>
      </w:r>
      <w:r>
        <w:rPr>
          <w:rFonts w:hint="eastAsia" w:ascii="宋体" w:hAnsi="宋体" w:cs="宋体"/>
          <w:color w:val="000000"/>
          <w:highlight w:val="none"/>
          <w:lang w:val="en-US" w:eastAsia="zh-CN"/>
        </w:rPr>
        <w:t>10日历天内</w:t>
      </w:r>
    </w:p>
    <w:p>
      <w:pPr>
        <w:pStyle w:val="20"/>
        <w:shd w:val="clear" w:color="auto" w:fill="FFFFFF"/>
        <w:spacing w:before="0" w:beforeAutospacing="0" w:after="0" w:afterAutospacing="0" w:line="360" w:lineRule="auto"/>
        <w:ind w:firstLine="42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eastAsia="宋体" w:cs="宋体"/>
          <w:b w:val="0"/>
          <w:color w:val="333333"/>
          <w:sz w:val="24"/>
          <w:szCs w:val="24"/>
          <w:highlight w:val="none"/>
          <w:lang w:val="en-US" w:eastAsia="zh-CN"/>
        </w:rPr>
        <w:t>4</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第四包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456363.00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456363.00</w:t>
      </w:r>
      <w:r>
        <w:rPr>
          <w:rFonts w:hint="eastAsia" w:ascii="宋体" w:hAnsi="宋体" w:eastAsia="宋体" w:cs="宋体"/>
          <w:color w:val="000000"/>
          <w:highlight w:val="none"/>
          <w:lang w:val="en-US" w:eastAsia="zh-CN"/>
        </w:rPr>
        <w:t>元</w:t>
      </w:r>
    </w:p>
    <w:tbl>
      <w:tblPr>
        <w:tblStyle w:val="2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（元）</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4-1</w:t>
            </w:r>
          </w:p>
        </w:tc>
        <w:tc>
          <w:tcPr>
            <w:tcW w:w="1622" w:type="dxa"/>
            <w:noWrap w:val="0"/>
            <w:vAlign w:val="center"/>
          </w:tcPr>
          <w:p>
            <w:pPr>
              <w:spacing w:before="0" w:beforeAutospacing="0" w:after="0" w:afterAutospacing="0" w:line="360" w:lineRule="auto"/>
              <w:jc w:val="center"/>
              <w:rPr>
                <w:rFonts w:hint="eastAsia" w:ascii="宋体" w:hAnsi="宋体" w:eastAsia="宋体" w:cs="宋体"/>
                <w:color w:val="000000"/>
                <w:sz w:val="24"/>
                <w:szCs w:val="32"/>
                <w:highlight w:val="none"/>
                <w:vertAlign w:val="baseline"/>
                <w:lang w:val="en-US" w:eastAsia="zh-CN"/>
              </w:rPr>
            </w:pPr>
            <w:r>
              <w:rPr>
                <w:rFonts w:hint="eastAsia" w:ascii="宋体" w:hAnsi="宋体" w:eastAsia="宋体" w:cs="宋体"/>
                <w:color w:val="000000"/>
                <w:sz w:val="24"/>
                <w:szCs w:val="32"/>
                <w:highlight w:val="none"/>
                <w:vertAlign w:val="baseline"/>
                <w:lang w:val="en-US" w:eastAsia="zh-CN"/>
              </w:rPr>
              <w:t>终端接入设备</w:t>
            </w:r>
          </w:p>
        </w:tc>
        <w:tc>
          <w:tcPr>
            <w:tcW w:w="1611" w:type="dxa"/>
            <w:noWrap w:val="0"/>
            <w:vAlign w:val="center"/>
          </w:tcPr>
          <w:p>
            <w:pPr>
              <w:spacing w:before="0" w:beforeAutospacing="0" w:after="0" w:afterAutospacing="0" w:line="360" w:lineRule="auto"/>
              <w:jc w:val="center"/>
              <w:rPr>
                <w:rFonts w:hint="eastAsia" w:ascii="宋体" w:hAnsi="宋体" w:eastAsia="宋体" w:cs="宋体"/>
                <w:color w:val="000000"/>
                <w:sz w:val="24"/>
                <w:szCs w:val="32"/>
                <w:highlight w:val="none"/>
                <w:vertAlign w:val="baseline"/>
                <w:lang w:val="en-US" w:eastAsia="zh-CN"/>
              </w:rPr>
            </w:pPr>
            <w:r>
              <w:rPr>
                <w:rFonts w:hint="eastAsia" w:ascii="宋体" w:hAnsi="宋体" w:eastAsia="宋体" w:cs="宋体"/>
                <w:color w:val="000000"/>
                <w:sz w:val="24"/>
                <w:szCs w:val="32"/>
                <w:highlight w:val="none"/>
                <w:vertAlign w:val="baseline"/>
                <w:lang w:val="en-US" w:eastAsia="zh-CN"/>
              </w:rPr>
              <w:t>监控设备设施</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详见采购文件</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cs="宋体"/>
                <w:color w:val="000000"/>
                <w:highlight w:val="none"/>
                <w:lang w:val="en-US" w:eastAsia="zh-CN"/>
              </w:rPr>
              <w:t>456363.00</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cs="宋体"/>
                <w:color w:val="000000"/>
                <w:highlight w:val="none"/>
                <w:lang w:val="en-US" w:eastAsia="zh-CN"/>
              </w:rPr>
              <w:t>456363.00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合同履行期限：</w:t>
      </w:r>
      <w:r>
        <w:rPr>
          <w:rFonts w:hint="eastAsia" w:ascii="宋体" w:hAnsi="宋体" w:cs="宋体"/>
          <w:color w:val="000000"/>
          <w:highlight w:val="none"/>
          <w:lang w:eastAsia="zh-CN"/>
        </w:rPr>
        <w:t>自合同签订之日起</w:t>
      </w:r>
      <w:r>
        <w:rPr>
          <w:rFonts w:hint="eastAsia" w:ascii="宋体" w:hAnsi="宋体" w:cs="宋体"/>
          <w:color w:val="000000"/>
          <w:highlight w:val="none"/>
          <w:lang w:val="en-US" w:eastAsia="zh-CN"/>
        </w:rPr>
        <w:t>10日历天内</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eastAsia="宋体" w:cs="宋体"/>
          <w:b w:val="0"/>
          <w:color w:val="333333"/>
          <w:sz w:val="24"/>
          <w:szCs w:val="24"/>
          <w:highlight w:val="none"/>
          <w:lang w:val="en-US" w:eastAsia="zh-CN"/>
        </w:rPr>
        <w:t>5</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第五包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232280.00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232280.00</w:t>
      </w:r>
      <w:r>
        <w:rPr>
          <w:rFonts w:hint="eastAsia" w:ascii="宋体" w:hAnsi="宋体" w:eastAsia="宋体" w:cs="宋体"/>
          <w:color w:val="000000"/>
          <w:highlight w:val="none"/>
          <w:lang w:val="en-US" w:eastAsia="zh-CN"/>
        </w:rPr>
        <w:t>元</w:t>
      </w:r>
    </w:p>
    <w:tbl>
      <w:tblPr>
        <w:tblStyle w:val="2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497"/>
        <w:gridCol w:w="1047"/>
        <w:gridCol w:w="1580"/>
        <w:gridCol w:w="15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品目名称</w:t>
            </w:r>
          </w:p>
        </w:tc>
        <w:tc>
          <w:tcPr>
            <w:tcW w:w="1497"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采购标的</w:t>
            </w:r>
          </w:p>
        </w:tc>
        <w:tc>
          <w:tcPr>
            <w:tcW w:w="1047"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（元）</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5-1</w:t>
            </w:r>
          </w:p>
        </w:tc>
        <w:tc>
          <w:tcPr>
            <w:tcW w:w="1622" w:type="dxa"/>
            <w:noWrap w:val="0"/>
            <w:vAlign w:val="center"/>
          </w:tcPr>
          <w:p>
            <w:pPr>
              <w:spacing w:before="0" w:beforeAutospacing="0" w:after="0" w:afterAutospacing="0" w:line="360" w:lineRule="auto"/>
              <w:jc w:val="center"/>
              <w:rPr>
                <w:rFonts w:hint="eastAsia" w:ascii="宋体" w:hAnsi="宋体" w:eastAsia="宋体" w:cs="宋体"/>
                <w:color w:val="000000"/>
                <w:sz w:val="24"/>
                <w:szCs w:val="32"/>
                <w:highlight w:val="none"/>
                <w:vertAlign w:val="baseline"/>
                <w:lang w:val="en-US" w:eastAsia="zh-CN"/>
              </w:rPr>
            </w:pPr>
            <w:r>
              <w:rPr>
                <w:rFonts w:hint="eastAsia" w:ascii="宋体" w:hAnsi="宋体" w:eastAsia="宋体" w:cs="宋体"/>
                <w:color w:val="000000"/>
                <w:sz w:val="24"/>
                <w:szCs w:val="32"/>
                <w:highlight w:val="none"/>
                <w:vertAlign w:val="baseline"/>
                <w:lang w:val="en-US" w:eastAsia="zh-CN"/>
              </w:rPr>
              <w:t>其他家具用具</w:t>
            </w:r>
          </w:p>
        </w:tc>
        <w:tc>
          <w:tcPr>
            <w:tcW w:w="1497" w:type="dxa"/>
            <w:noWrap w:val="0"/>
            <w:vAlign w:val="center"/>
          </w:tcPr>
          <w:p>
            <w:pPr>
              <w:spacing w:before="0" w:beforeAutospacing="0" w:after="0" w:afterAutospacing="0" w:line="360" w:lineRule="auto"/>
              <w:jc w:val="center"/>
              <w:rPr>
                <w:rFonts w:hint="eastAsia" w:ascii="宋体" w:hAnsi="宋体" w:eastAsia="宋体" w:cs="宋体"/>
                <w:color w:val="000000"/>
                <w:sz w:val="24"/>
                <w:szCs w:val="32"/>
                <w:highlight w:val="none"/>
                <w:vertAlign w:val="baseline"/>
                <w:lang w:val="en-US" w:eastAsia="zh-CN"/>
              </w:rPr>
            </w:pPr>
            <w:r>
              <w:rPr>
                <w:rFonts w:hint="eastAsia" w:ascii="宋体" w:hAnsi="宋体" w:eastAsia="宋体" w:cs="宋体"/>
                <w:color w:val="000000"/>
                <w:sz w:val="24"/>
                <w:szCs w:val="32"/>
                <w:highlight w:val="none"/>
                <w:vertAlign w:val="baseline"/>
                <w:lang w:val="en-US" w:eastAsia="zh-CN"/>
              </w:rPr>
              <w:t>教学办公家具用具</w:t>
            </w:r>
          </w:p>
        </w:tc>
        <w:tc>
          <w:tcPr>
            <w:tcW w:w="1047"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详见采购文件</w:t>
            </w:r>
          </w:p>
        </w:tc>
        <w:tc>
          <w:tcPr>
            <w:tcW w:w="1564"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232280.00</w:t>
            </w:r>
          </w:p>
        </w:tc>
        <w:tc>
          <w:tcPr>
            <w:tcW w:w="1338"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232280.00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合同履行期限：</w:t>
      </w:r>
      <w:r>
        <w:rPr>
          <w:rFonts w:hint="eastAsia" w:ascii="宋体" w:hAnsi="宋体" w:cs="宋体"/>
          <w:color w:val="000000"/>
          <w:highlight w:val="none"/>
          <w:lang w:eastAsia="zh-CN"/>
        </w:rPr>
        <w:t>自合同签订之日起</w:t>
      </w:r>
      <w:r>
        <w:rPr>
          <w:rFonts w:hint="eastAsia" w:ascii="宋体" w:hAnsi="宋体" w:cs="宋体"/>
          <w:color w:val="000000"/>
          <w:highlight w:val="none"/>
          <w:lang w:val="en-US" w:eastAsia="zh-CN"/>
        </w:rPr>
        <w:t>10日历天内</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eastAsia="宋体" w:cs="宋体"/>
          <w:b w:val="0"/>
          <w:color w:val="333333"/>
          <w:sz w:val="24"/>
          <w:szCs w:val="24"/>
          <w:highlight w:val="none"/>
          <w:lang w:val="en-US" w:eastAsia="zh-CN"/>
        </w:rPr>
        <w:t>6</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第六包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760201.00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760201.00</w:t>
      </w:r>
      <w:r>
        <w:rPr>
          <w:rFonts w:hint="eastAsia" w:ascii="宋体" w:hAnsi="宋体" w:eastAsia="宋体" w:cs="宋体"/>
          <w:color w:val="000000"/>
          <w:highlight w:val="none"/>
          <w:lang w:val="en-US" w:eastAsia="zh-CN"/>
        </w:rPr>
        <w:t>元</w:t>
      </w:r>
    </w:p>
    <w:tbl>
      <w:tblPr>
        <w:tblStyle w:val="2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（元）</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6-1</w:t>
            </w:r>
          </w:p>
        </w:tc>
        <w:tc>
          <w:tcPr>
            <w:tcW w:w="1622" w:type="dxa"/>
            <w:noWrap w:val="0"/>
            <w:vAlign w:val="center"/>
          </w:tcPr>
          <w:p>
            <w:pPr>
              <w:spacing w:before="0" w:beforeAutospacing="0" w:after="0" w:afterAutospacing="0" w:line="360" w:lineRule="auto"/>
              <w:jc w:val="center"/>
              <w:rPr>
                <w:rFonts w:hint="eastAsia" w:ascii="宋体" w:hAnsi="宋体" w:eastAsia="宋体" w:cs="宋体"/>
                <w:color w:val="000000"/>
                <w:kern w:val="0"/>
                <w:sz w:val="24"/>
                <w:szCs w:val="24"/>
                <w:highlight w:val="none"/>
                <w:vertAlign w:val="baseline"/>
                <w:lang w:val="en-US" w:eastAsia="zh-CN" w:bidi="ar-SA"/>
              </w:rPr>
            </w:pPr>
            <w:r>
              <w:rPr>
                <w:rFonts w:hint="eastAsia" w:ascii="宋体" w:hAnsi="宋体" w:eastAsia="宋体" w:cs="宋体"/>
                <w:color w:val="000000"/>
                <w:kern w:val="0"/>
                <w:sz w:val="24"/>
                <w:szCs w:val="24"/>
                <w:highlight w:val="none"/>
                <w:vertAlign w:val="baseline"/>
                <w:lang w:val="en-US" w:eastAsia="zh-CN" w:bidi="ar-SA"/>
              </w:rPr>
              <w:t>计算机光电设备</w:t>
            </w:r>
          </w:p>
        </w:tc>
        <w:tc>
          <w:tcPr>
            <w:tcW w:w="1611" w:type="dxa"/>
            <w:noWrap w:val="0"/>
            <w:vAlign w:val="center"/>
          </w:tcPr>
          <w:p>
            <w:pPr>
              <w:spacing w:before="0" w:beforeAutospacing="0" w:after="0" w:afterAutospacing="0" w:line="360" w:lineRule="auto"/>
              <w:jc w:val="center"/>
              <w:rPr>
                <w:rFonts w:hint="eastAsia" w:ascii="宋体" w:hAnsi="宋体" w:eastAsia="宋体" w:cs="宋体"/>
                <w:color w:val="000000"/>
                <w:kern w:val="0"/>
                <w:sz w:val="24"/>
                <w:szCs w:val="24"/>
                <w:highlight w:val="none"/>
                <w:vertAlign w:val="baseline"/>
                <w:lang w:val="en-US" w:eastAsia="zh-CN" w:bidi="ar-SA"/>
              </w:rPr>
            </w:pPr>
            <w:r>
              <w:rPr>
                <w:rFonts w:hint="eastAsia" w:ascii="宋体" w:hAnsi="宋体" w:eastAsia="宋体" w:cs="宋体"/>
                <w:color w:val="000000"/>
                <w:kern w:val="0"/>
                <w:sz w:val="24"/>
                <w:szCs w:val="24"/>
                <w:highlight w:val="none"/>
                <w:vertAlign w:val="baseline"/>
                <w:lang w:val="en-US" w:eastAsia="zh-CN" w:bidi="ar-SA"/>
              </w:rPr>
              <w:t>学校网络电教设备设施</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详见采购文件</w:t>
            </w:r>
          </w:p>
        </w:tc>
        <w:tc>
          <w:tcPr>
            <w:tcW w:w="1564"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760201.00</w:t>
            </w:r>
          </w:p>
        </w:tc>
        <w:tc>
          <w:tcPr>
            <w:tcW w:w="1338"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760201.00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33"/>
        <w:numPr>
          <w:ilvl w:val="0"/>
          <w:numId w:val="0"/>
        </w:numPr>
        <w:shd w:val="clear" w:color="auto" w:fill="FFFFFF"/>
        <w:spacing w:before="0" w:line="360" w:lineRule="auto"/>
        <w:ind w:firstLine="442" w:firstLineChars="200"/>
        <w:rPr>
          <w:rFonts w:hint="eastAsia" w:ascii="宋体" w:hAnsi="宋体" w:eastAsia="宋体" w:cs="宋体"/>
          <w:color w:val="000000"/>
          <w:highlight w:val="none"/>
        </w:rPr>
      </w:pPr>
      <w:r>
        <w:rPr>
          <w:rFonts w:hint="eastAsia" w:ascii="宋体" w:hAnsi="宋体" w:eastAsia="宋体" w:cs="宋体"/>
          <w:color w:val="000000"/>
          <w:highlight w:val="none"/>
        </w:rPr>
        <w:t>合同履行期限：</w:t>
      </w:r>
      <w:r>
        <w:rPr>
          <w:rFonts w:hint="eastAsia" w:ascii="宋体" w:hAnsi="宋体" w:cs="宋体"/>
          <w:b w:val="0"/>
          <w:color w:val="333333"/>
          <w:sz w:val="24"/>
          <w:szCs w:val="24"/>
          <w:highlight w:val="none"/>
          <w:lang w:eastAsia="zh-CN"/>
        </w:rPr>
        <w:t>自合同签订之日起</w:t>
      </w:r>
      <w:r>
        <w:rPr>
          <w:rFonts w:hint="eastAsia" w:ascii="宋体" w:hAnsi="宋体" w:cs="宋体"/>
          <w:b w:val="0"/>
          <w:color w:val="333333"/>
          <w:sz w:val="24"/>
          <w:szCs w:val="24"/>
          <w:highlight w:val="none"/>
          <w:lang w:val="en-US" w:eastAsia="zh-CN"/>
        </w:rPr>
        <w:t>10日历天内</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cs="宋体"/>
          <w:b w:val="0"/>
          <w:color w:val="333333"/>
          <w:sz w:val="24"/>
          <w:szCs w:val="24"/>
          <w:highlight w:val="none"/>
          <w:lang w:val="en-US" w:eastAsia="zh-CN"/>
        </w:rPr>
        <w:t>7</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w:t>
      </w:r>
      <w:r>
        <w:rPr>
          <w:rFonts w:hint="eastAsia" w:ascii="宋体" w:hAnsi="宋体" w:cs="宋体"/>
          <w:b w:val="0"/>
          <w:color w:val="333333"/>
          <w:sz w:val="24"/>
          <w:szCs w:val="24"/>
          <w:highlight w:val="none"/>
          <w:lang w:val="en-US" w:eastAsia="zh-CN"/>
        </w:rPr>
        <w:t>七</w:t>
      </w:r>
      <w:r>
        <w:rPr>
          <w:rFonts w:hint="eastAsia" w:ascii="宋体" w:hAnsi="宋体" w:eastAsia="宋体" w:cs="宋体"/>
          <w:b w:val="0"/>
          <w:color w:val="333333"/>
          <w:sz w:val="24"/>
          <w:szCs w:val="24"/>
          <w:highlight w:val="none"/>
          <w:lang w:val="en-US" w:eastAsia="zh-CN"/>
        </w:rPr>
        <w:t>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628299.00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628299.00</w:t>
      </w:r>
      <w:r>
        <w:rPr>
          <w:rFonts w:hint="eastAsia" w:ascii="宋体" w:hAnsi="宋体" w:eastAsia="宋体" w:cs="宋体"/>
          <w:color w:val="000000"/>
          <w:highlight w:val="none"/>
          <w:lang w:val="en-US" w:eastAsia="zh-CN"/>
        </w:rPr>
        <w:t>元</w:t>
      </w:r>
    </w:p>
    <w:tbl>
      <w:tblPr>
        <w:tblStyle w:val="2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（元）</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7</w:t>
            </w:r>
            <w:r>
              <w:rPr>
                <w:rFonts w:hint="eastAsia" w:ascii="宋体" w:hAnsi="宋体" w:eastAsia="宋体" w:cs="宋体"/>
                <w:color w:val="000000"/>
                <w:highlight w:val="none"/>
                <w:vertAlign w:val="baseline"/>
                <w:lang w:val="en-US" w:eastAsia="zh-CN"/>
              </w:rPr>
              <w:t>-1</w:t>
            </w:r>
          </w:p>
        </w:tc>
        <w:tc>
          <w:tcPr>
            <w:tcW w:w="1622" w:type="dxa"/>
            <w:shd w:val="clear" w:color="auto" w:fill="auto"/>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教学专用仪器</w:t>
            </w:r>
          </w:p>
        </w:tc>
        <w:tc>
          <w:tcPr>
            <w:tcW w:w="1611" w:type="dxa"/>
            <w:shd w:val="clear" w:color="auto" w:fill="auto"/>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教学部室设备设施</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详见采购文件</w:t>
            </w:r>
          </w:p>
        </w:tc>
        <w:tc>
          <w:tcPr>
            <w:tcW w:w="1564"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628299.00</w:t>
            </w:r>
          </w:p>
        </w:tc>
        <w:tc>
          <w:tcPr>
            <w:tcW w:w="1338"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628299.00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33"/>
        <w:numPr>
          <w:ilvl w:val="0"/>
          <w:numId w:val="0"/>
        </w:numPr>
        <w:shd w:val="clear" w:color="auto" w:fill="FFFFFF"/>
        <w:spacing w:before="0" w:line="360" w:lineRule="auto"/>
        <w:ind w:firstLine="480" w:firstLineChars="200"/>
        <w:rPr>
          <w:rFonts w:hint="eastAsia" w:ascii="宋体" w:hAnsi="宋体" w:cs="宋体"/>
          <w:b w:val="0"/>
          <w:color w:val="333333"/>
          <w:sz w:val="24"/>
          <w:szCs w:val="24"/>
          <w:highlight w:val="none"/>
          <w:lang w:eastAsia="zh-CN"/>
        </w:rPr>
      </w:pPr>
      <w:r>
        <w:rPr>
          <w:rFonts w:hint="eastAsia" w:ascii="宋体" w:hAnsi="宋体" w:eastAsia="宋体" w:cs="宋体"/>
          <w:b w:val="0"/>
          <w:color w:val="000000"/>
          <w:kern w:val="0"/>
          <w:sz w:val="24"/>
          <w:szCs w:val="24"/>
          <w:highlight w:val="none"/>
          <w:lang w:val="en-US" w:eastAsia="zh-CN" w:bidi="ar-SA"/>
        </w:rPr>
        <w:t>合同履行期限：</w:t>
      </w:r>
      <w:r>
        <w:rPr>
          <w:rFonts w:hint="eastAsia" w:ascii="宋体" w:hAnsi="宋体" w:cs="宋体"/>
          <w:b w:val="0"/>
          <w:color w:val="333333"/>
          <w:sz w:val="24"/>
          <w:szCs w:val="24"/>
          <w:highlight w:val="none"/>
          <w:lang w:eastAsia="zh-CN"/>
        </w:rPr>
        <w:t>自合同签订之日起</w:t>
      </w:r>
      <w:r>
        <w:rPr>
          <w:rFonts w:hint="eastAsia" w:ascii="宋体" w:hAnsi="宋体" w:cs="宋体"/>
          <w:b w:val="0"/>
          <w:color w:val="333333"/>
          <w:sz w:val="24"/>
          <w:szCs w:val="24"/>
          <w:highlight w:val="none"/>
          <w:lang w:val="en-US" w:eastAsia="zh-CN"/>
        </w:rPr>
        <w:t>10日历天内</w:t>
      </w:r>
    </w:p>
    <w:p>
      <w:pPr>
        <w:pStyle w:val="33"/>
        <w:numPr>
          <w:ilvl w:val="0"/>
          <w:numId w:val="0"/>
        </w:numPr>
        <w:shd w:val="clear" w:color="auto" w:fill="FFFFFF"/>
        <w:spacing w:before="0" w:line="360" w:lineRule="auto"/>
        <w:ind w:firstLine="480" w:firstLineChars="200"/>
        <w:rPr>
          <w:rFonts w:hint="eastAsia" w:ascii="宋体" w:hAnsi="宋体" w:eastAsia="宋体" w:cs="宋体"/>
          <w:b w:val="0"/>
          <w:color w:val="333333"/>
          <w:sz w:val="24"/>
          <w:szCs w:val="24"/>
          <w:highlight w:val="none"/>
          <w:lang w:eastAsia="zh-CN"/>
        </w:rPr>
      </w:pPr>
      <w:r>
        <w:rPr>
          <w:rFonts w:hint="eastAsia" w:ascii="宋体" w:hAnsi="宋体" w:eastAsia="宋体" w:cs="宋体"/>
          <w:b w:val="0"/>
          <w:color w:val="333333"/>
          <w:sz w:val="24"/>
          <w:szCs w:val="24"/>
          <w:highlight w:val="none"/>
        </w:rPr>
        <w:t>合同包</w:t>
      </w:r>
      <w:r>
        <w:rPr>
          <w:rFonts w:hint="eastAsia" w:ascii="宋体" w:hAnsi="宋体" w:cs="宋体"/>
          <w:b w:val="0"/>
          <w:color w:val="333333"/>
          <w:sz w:val="24"/>
          <w:szCs w:val="24"/>
          <w:highlight w:val="none"/>
          <w:lang w:val="en-US" w:eastAsia="zh-CN"/>
        </w:rPr>
        <w:t>8</w:t>
      </w:r>
      <w:r>
        <w:rPr>
          <w:rFonts w:hint="eastAsia" w:ascii="宋体" w:hAnsi="宋体" w:eastAsia="宋体" w:cs="宋体"/>
          <w:b w:val="0"/>
          <w:color w:val="333333"/>
          <w:sz w:val="24"/>
          <w:szCs w:val="24"/>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w:t>
      </w:r>
      <w:r>
        <w:rPr>
          <w:rFonts w:hint="eastAsia" w:ascii="宋体" w:hAnsi="宋体" w:cs="宋体"/>
          <w:b w:val="0"/>
          <w:color w:val="333333"/>
          <w:sz w:val="24"/>
          <w:szCs w:val="24"/>
          <w:highlight w:val="none"/>
          <w:lang w:val="en-US" w:eastAsia="zh-CN"/>
        </w:rPr>
        <w:t>八</w:t>
      </w:r>
      <w:r>
        <w:rPr>
          <w:rFonts w:hint="eastAsia" w:ascii="宋体" w:hAnsi="宋体" w:eastAsia="宋体" w:cs="宋体"/>
          <w:b w:val="0"/>
          <w:color w:val="333333"/>
          <w:sz w:val="24"/>
          <w:szCs w:val="24"/>
          <w:highlight w:val="none"/>
          <w:lang w:val="en-US" w:eastAsia="zh-CN"/>
        </w:rPr>
        <w:t>包</w:t>
      </w:r>
      <w:r>
        <w:rPr>
          <w:rFonts w:hint="eastAsia" w:ascii="宋体" w:hAnsi="宋体" w:eastAsia="宋体" w:cs="宋体"/>
          <w:b w:val="0"/>
          <w:color w:val="333333"/>
          <w:sz w:val="24"/>
          <w:szCs w:val="24"/>
          <w:highlight w:val="none"/>
        </w:rPr>
        <w:t>)</w:t>
      </w:r>
      <w:r>
        <w:rPr>
          <w:rFonts w:hint="eastAsia" w:ascii="宋体" w:hAnsi="宋体" w:eastAsia="宋体" w:cs="宋体"/>
          <w:b w:val="0"/>
          <w:color w:val="333333"/>
          <w:sz w:val="24"/>
          <w:szCs w:val="24"/>
          <w:highlight w:val="none"/>
          <w:lang w:eastAsia="zh-CN"/>
        </w:rPr>
        <w:t>：</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合同包预算金额：</w:t>
      </w:r>
      <w:r>
        <w:rPr>
          <w:rFonts w:hint="eastAsia" w:ascii="宋体" w:hAnsi="宋体" w:cs="宋体"/>
          <w:color w:val="000000"/>
          <w:highlight w:val="none"/>
          <w:lang w:val="en-US" w:eastAsia="zh-CN"/>
        </w:rPr>
        <w:t>899727.00</w:t>
      </w:r>
      <w:r>
        <w:rPr>
          <w:rFonts w:hint="eastAsia" w:ascii="宋体" w:hAnsi="宋体" w:eastAsia="宋体" w:cs="宋体"/>
          <w:color w:val="000000"/>
          <w:highlight w:val="none"/>
          <w:lang w:val="en-US" w:eastAsia="zh-CN"/>
        </w:rPr>
        <w:t>元</w:t>
      </w:r>
    </w:p>
    <w:p>
      <w:pPr>
        <w:pStyle w:val="20"/>
        <w:spacing w:before="0" w:beforeAutospacing="0" w:after="0" w:afterAutospacing="0" w:line="360" w:lineRule="auto"/>
        <w:ind w:firstLine="720" w:firstLineChars="30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合同包最高限价：</w:t>
      </w:r>
      <w:r>
        <w:rPr>
          <w:rFonts w:hint="eastAsia" w:ascii="宋体" w:hAnsi="宋体" w:cs="宋体"/>
          <w:color w:val="000000"/>
          <w:highlight w:val="none"/>
          <w:lang w:val="en-US" w:eastAsia="zh-CN"/>
        </w:rPr>
        <w:t>899727.00</w:t>
      </w:r>
      <w:r>
        <w:rPr>
          <w:rFonts w:hint="eastAsia" w:ascii="宋体" w:hAnsi="宋体" w:eastAsia="宋体" w:cs="宋体"/>
          <w:color w:val="000000"/>
          <w:highlight w:val="none"/>
          <w:lang w:val="en-US" w:eastAsia="zh-CN"/>
        </w:rPr>
        <w:t>元</w:t>
      </w:r>
    </w:p>
    <w:tbl>
      <w:tblPr>
        <w:tblStyle w:val="2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2"/>
        <w:gridCol w:w="1611"/>
        <w:gridCol w:w="933"/>
        <w:gridCol w:w="1580"/>
        <w:gridCol w:w="156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目</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号</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品目名称</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采购标的</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数量</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(单位)</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技术规格、参数及要求</w:t>
            </w:r>
          </w:p>
        </w:tc>
        <w:tc>
          <w:tcPr>
            <w:tcW w:w="1564"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品目预算</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（元）</w:t>
            </w:r>
          </w:p>
        </w:tc>
        <w:tc>
          <w:tcPr>
            <w:tcW w:w="1338" w:type="dxa"/>
            <w:noWrap w:val="0"/>
            <w:vAlign w:val="center"/>
          </w:tcPr>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最高</w:t>
            </w:r>
          </w:p>
          <w:p>
            <w:pPr>
              <w:pStyle w:val="20"/>
              <w:spacing w:before="0" w:beforeAutospacing="0" w:after="0" w:afterAutospacing="0" w:line="360" w:lineRule="auto"/>
              <w:jc w:val="center"/>
              <w:rPr>
                <w:rFonts w:hint="eastAsia" w:ascii="宋体" w:hAnsi="宋体" w:eastAsia="宋体" w:cs="宋体"/>
                <w:b/>
                <w:bCs/>
                <w:color w:val="000000"/>
                <w:highlight w:val="none"/>
                <w:vertAlign w:val="baseline"/>
                <w:lang w:val="en-US" w:eastAsia="zh-CN"/>
              </w:rPr>
            </w:pPr>
            <w:r>
              <w:rPr>
                <w:rFonts w:hint="eastAsia" w:ascii="宋体" w:hAnsi="宋体" w:eastAsia="宋体" w:cs="宋体"/>
                <w:b/>
                <w:bCs/>
                <w:color w:val="000000"/>
                <w:highlight w:val="none"/>
                <w:vertAlign w:val="baseline"/>
                <w:lang w:val="en-US" w:eastAsia="zh-CN"/>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48"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cs="宋体"/>
                <w:color w:val="000000"/>
                <w:highlight w:val="none"/>
                <w:vertAlign w:val="baseline"/>
                <w:lang w:val="en-US" w:eastAsia="zh-CN"/>
              </w:rPr>
              <w:t>8</w:t>
            </w:r>
            <w:r>
              <w:rPr>
                <w:rFonts w:hint="eastAsia" w:ascii="宋体" w:hAnsi="宋体" w:eastAsia="宋体" w:cs="宋体"/>
                <w:color w:val="000000"/>
                <w:highlight w:val="none"/>
                <w:vertAlign w:val="baseline"/>
                <w:lang w:val="en-US" w:eastAsia="zh-CN"/>
              </w:rPr>
              <w:t>-1</w:t>
            </w:r>
          </w:p>
        </w:tc>
        <w:tc>
          <w:tcPr>
            <w:tcW w:w="1622"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其他文艺设备</w:t>
            </w:r>
          </w:p>
        </w:tc>
        <w:tc>
          <w:tcPr>
            <w:tcW w:w="1611"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多功能厅设备设施</w:t>
            </w:r>
          </w:p>
        </w:tc>
        <w:tc>
          <w:tcPr>
            <w:tcW w:w="933"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1(批)</w:t>
            </w:r>
          </w:p>
        </w:tc>
        <w:tc>
          <w:tcPr>
            <w:tcW w:w="1580" w:type="dxa"/>
            <w:noWrap w:val="0"/>
            <w:vAlign w:val="center"/>
          </w:tcPr>
          <w:p>
            <w:pPr>
              <w:pStyle w:val="20"/>
              <w:spacing w:before="0" w:beforeAutospacing="0" w:after="0" w:afterAutospacing="0" w:line="360" w:lineRule="auto"/>
              <w:jc w:val="center"/>
              <w:rPr>
                <w:rFonts w:hint="eastAsia" w:ascii="宋体" w:hAnsi="宋体" w:eastAsia="宋体" w:cs="宋体"/>
                <w:color w:val="000000"/>
                <w:highlight w:val="none"/>
                <w:vertAlign w:val="baseline"/>
                <w:lang w:val="en-US" w:eastAsia="zh-CN"/>
              </w:rPr>
            </w:pPr>
            <w:r>
              <w:rPr>
                <w:rFonts w:hint="eastAsia" w:ascii="宋体" w:hAnsi="宋体" w:eastAsia="宋体" w:cs="宋体"/>
                <w:color w:val="000000"/>
                <w:highlight w:val="none"/>
                <w:vertAlign w:val="baseline"/>
                <w:lang w:val="en-US" w:eastAsia="zh-CN"/>
              </w:rPr>
              <w:t>详见采购文件</w:t>
            </w:r>
          </w:p>
        </w:tc>
        <w:tc>
          <w:tcPr>
            <w:tcW w:w="1564"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899727.00</w:t>
            </w:r>
          </w:p>
        </w:tc>
        <w:tc>
          <w:tcPr>
            <w:tcW w:w="1338" w:type="dxa"/>
            <w:noWrap w:val="0"/>
            <w:vAlign w:val="center"/>
          </w:tcPr>
          <w:p>
            <w:pPr>
              <w:spacing w:before="0" w:beforeAutospacing="0" w:after="0" w:afterAutospacing="0" w:line="360" w:lineRule="auto"/>
              <w:jc w:val="center"/>
              <w:rPr>
                <w:rFonts w:hint="eastAsia" w:ascii="宋体" w:hAnsi="宋体" w:eastAsia="宋体" w:cs="宋体"/>
                <w:color w:val="000000"/>
                <w:sz w:val="24"/>
                <w:szCs w:val="24"/>
                <w:highlight w:val="none"/>
                <w:vertAlign w:val="baseline"/>
                <w:lang w:val="en-US" w:eastAsia="zh-CN"/>
              </w:rPr>
            </w:pPr>
            <w:r>
              <w:rPr>
                <w:rFonts w:hint="eastAsia" w:ascii="宋体" w:hAnsi="宋体" w:cs="宋体"/>
                <w:color w:val="000000"/>
                <w:highlight w:val="none"/>
                <w:lang w:val="en-US" w:eastAsia="zh-CN"/>
              </w:rPr>
              <w:t>899727.00</w:t>
            </w:r>
          </w:p>
        </w:tc>
      </w:tr>
    </w:tbl>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本合同包不接受联合体投标</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合同履行期限：</w:t>
      </w:r>
      <w:r>
        <w:rPr>
          <w:rFonts w:hint="eastAsia" w:ascii="宋体" w:hAnsi="宋体" w:cs="宋体"/>
          <w:color w:val="000000"/>
          <w:highlight w:val="none"/>
          <w:lang w:eastAsia="zh-CN"/>
        </w:rPr>
        <w:t>自合同签订之日起</w:t>
      </w:r>
      <w:r>
        <w:rPr>
          <w:rFonts w:hint="eastAsia" w:ascii="宋体" w:hAnsi="宋体" w:cs="宋体"/>
          <w:color w:val="000000"/>
          <w:highlight w:val="none"/>
          <w:lang w:val="en-US" w:eastAsia="zh-CN"/>
        </w:rPr>
        <w:t>10日历天内</w:t>
      </w:r>
    </w:p>
    <w:p>
      <w:pPr>
        <w:pStyle w:val="20"/>
        <w:shd w:val="clear" w:color="auto" w:fill="FFFFFF"/>
        <w:spacing w:before="120" w:beforeAutospacing="0" w:after="0" w:afterAutospacing="0" w:line="360" w:lineRule="auto"/>
        <w:rPr>
          <w:rFonts w:hint="eastAsia" w:ascii="宋体" w:hAnsi="宋体" w:eastAsia="宋体" w:cs="宋体"/>
          <w:b/>
          <w:color w:val="333333"/>
          <w:highlight w:val="none"/>
        </w:rPr>
      </w:pPr>
      <w:r>
        <w:rPr>
          <w:rFonts w:hint="eastAsia" w:ascii="宋体" w:hAnsi="宋体" w:eastAsia="宋体" w:cs="宋体"/>
          <w:b/>
          <w:color w:val="333333"/>
          <w:highlight w:val="none"/>
          <w:shd w:val="clear" w:color="auto" w:fill="FFFFFF"/>
        </w:rPr>
        <w:t>二、</w:t>
      </w:r>
      <w:r>
        <w:rPr>
          <w:rFonts w:hint="eastAsia" w:ascii="宋体" w:hAnsi="宋体" w:eastAsia="宋体" w:cs="宋体"/>
          <w:b/>
          <w:color w:val="333333"/>
          <w:highlight w:val="none"/>
          <w:shd w:val="clear" w:color="auto" w:fill="FFFFFF"/>
          <w:lang w:val="en-US" w:eastAsia="zh-CN"/>
        </w:rPr>
        <w:t>申请人</w:t>
      </w:r>
      <w:r>
        <w:rPr>
          <w:rFonts w:hint="eastAsia" w:ascii="宋体" w:hAnsi="宋体" w:eastAsia="宋体" w:cs="宋体"/>
          <w:b/>
          <w:color w:val="333333"/>
          <w:highlight w:val="none"/>
          <w:shd w:val="clear" w:color="auto" w:fill="FFFFFF"/>
        </w:rPr>
        <w:t>的资格要求</w:t>
      </w:r>
    </w:p>
    <w:p>
      <w:pPr>
        <w:pStyle w:val="20"/>
        <w:shd w:val="clear" w:color="auto" w:fill="FFFFFF"/>
        <w:spacing w:before="0" w:beforeAutospacing="0" w:after="0" w:afterAutospacing="0" w:line="360" w:lineRule="auto"/>
        <w:rPr>
          <w:rFonts w:hint="eastAsia" w:ascii="宋体" w:hAnsi="宋体" w:eastAsia="宋体" w:cs="宋体"/>
          <w:color w:val="000000"/>
          <w:highlight w:val="none"/>
        </w:rPr>
      </w:pPr>
      <w:r>
        <w:rPr>
          <w:rFonts w:hint="eastAsia" w:ascii="宋体" w:hAnsi="宋体" w:eastAsia="宋体" w:cs="宋体"/>
          <w:color w:val="000000"/>
          <w:highlight w:val="none"/>
        </w:rPr>
        <w:t xml:space="preserve">    1.满足《中华人民共和国政府采购法》第二十二条规定</w:t>
      </w:r>
    </w:p>
    <w:p>
      <w:pPr>
        <w:pStyle w:val="20"/>
        <w:shd w:val="clear" w:color="auto" w:fill="FFFFFF"/>
        <w:spacing w:before="0" w:beforeAutospacing="0" w:after="0" w:afterAutospacing="0" w:line="36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2.落实政府采购政策需满足的资格要求：</w:t>
      </w:r>
    </w:p>
    <w:p>
      <w:pPr>
        <w:pStyle w:val="20"/>
        <w:shd w:val="clear" w:color="auto" w:fill="FFFFFF"/>
        <w:spacing w:before="0" w:beforeAutospacing="0" w:after="0" w:afterAutospacing="0" w:line="360" w:lineRule="auto"/>
        <w:ind w:firstLine="48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合同包1(</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第一包</w:t>
      </w:r>
      <w:r>
        <w:rPr>
          <w:rFonts w:hint="eastAsia" w:ascii="宋体" w:hAnsi="宋体" w:eastAsia="宋体" w:cs="宋体"/>
          <w:color w:val="000000"/>
          <w:highlight w:val="none"/>
        </w:rPr>
        <w:t>)落实政府采购政策需满足的资格要求如下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val="en-US"/>
        </w:rPr>
      </w:pPr>
      <w:r>
        <w:rPr>
          <w:rFonts w:hint="eastAsia" w:ascii="宋体" w:hAnsi="宋体" w:eastAsia="宋体" w:cs="宋体"/>
          <w:b w:val="0"/>
          <w:bCs w:val="0"/>
          <w:color w:val="000000"/>
          <w:highlight w:val="none"/>
          <w:lang w:val="en-US" w:eastAsia="zh-CN"/>
        </w:rPr>
        <w:t>本项目专门面向中小企业采购</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eastAsia="宋体" w:cs="宋体"/>
          <w:b w:val="0"/>
          <w:bCs w:val="0"/>
          <w:color w:val="333333"/>
          <w:sz w:val="24"/>
          <w:szCs w:val="24"/>
          <w:highlight w:val="none"/>
          <w:lang w:val="en-US" w:eastAsia="zh-CN"/>
        </w:rPr>
        <w:t>2</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第二包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val="en-US" w:eastAsia="zh-CN"/>
        </w:rPr>
      </w:pPr>
      <w:r>
        <w:rPr>
          <w:rFonts w:hint="eastAsia" w:ascii="宋体" w:hAnsi="宋体" w:eastAsia="宋体" w:cs="宋体"/>
          <w:b w:val="0"/>
          <w:bCs w:val="0"/>
          <w:color w:val="000000"/>
          <w:highlight w:val="none"/>
          <w:lang w:val="en-US" w:eastAsia="zh-CN"/>
        </w:rPr>
        <w:t>本项目非专门面向中小企业采购</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eastAsia="宋体" w:cs="宋体"/>
          <w:b w:val="0"/>
          <w:bCs w:val="0"/>
          <w:color w:val="333333"/>
          <w:sz w:val="24"/>
          <w:szCs w:val="24"/>
          <w:highlight w:val="none"/>
          <w:lang w:val="en-US" w:eastAsia="zh-CN"/>
        </w:rPr>
        <w:t>3</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第三包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val="en-US" w:eastAsia="zh-CN"/>
        </w:rPr>
      </w:pPr>
      <w:r>
        <w:rPr>
          <w:rFonts w:hint="eastAsia" w:ascii="宋体" w:hAnsi="宋体" w:eastAsia="宋体" w:cs="宋体"/>
          <w:b w:val="0"/>
          <w:bCs w:val="0"/>
          <w:color w:val="000000"/>
          <w:highlight w:val="none"/>
          <w:lang w:val="en-US" w:eastAsia="zh-CN"/>
        </w:rPr>
        <w:t>本项目非专门面向中小企业采购</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eastAsia="宋体" w:cs="宋体"/>
          <w:b w:val="0"/>
          <w:bCs w:val="0"/>
          <w:color w:val="333333"/>
          <w:sz w:val="24"/>
          <w:szCs w:val="24"/>
          <w:highlight w:val="none"/>
          <w:lang w:val="en-US" w:eastAsia="zh-CN"/>
        </w:rPr>
        <w:t>4</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第四包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val="en-US" w:eastAsia="zh-CN"/>
        </w:rPr>
      </w:pPr>
      <w:r>
        <w:rPr>
          <w:rFonts w:hint="eastAsia" w:ascii="宋体" w:hAnsi="宋体" w:eastAsia="宋体" w:cs="宋体"/>
          <w:b w:val="0"/>
          <w:bCs w:val="0"/>
          <w:color w:val="000000"/>
          <w:highlight w:val="none"/>
          <w:lang w:eastAsia="zh-CN"/>
        </w:rPr>
        <w:t>本项目</w:t>
      </w:r>
      <w:r>
        <w:rPr>
          <w:rFonts w:hint="eastAsia" w:ascii="宋体" w:hAnsi="宋体" w:cs="宋体"/>
          <w:b w:val="0"/>
          <w:bCs w:val="0"/>
          <w:color w:val="000000"/>
          <w:highlight w:val="none"/>
          <w:lang w:eastAsia="zh-CN"/>
        </w:rPr>
        <w:t>非</w:t>
      </w:r>
      <w:r>
        <w:rPr>
          <w:rFonts w:hint="eastAsia" w:ascii="宋体" w:hAnsi="宋体" w:eastAsia="宋体" w:cs="宋体"/>
          <w:b w:val="0"/>
          <w:bCs w:val="0"/>
          <w:color w:val="000000"/>
          <w:highlight w:val="none"/>
          <w:lang w:eastAsia="zh-CN"/>
        </w:rPr>
        <w:t>专门面向中小企业采购（残疾人福利性单位及监狱企业视同小型、微型企业）</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eastAsia="宋体" w:cs="宋体"/>
          <w:b w:val="0"/>
          <w:bCs w:val="0"/>
          <w:color w:val="333333"/>
          <w:sz w:val="24"/>
          <w:szCs w:val="24"/>
          <w:highlight w:val="none"/>
          <w:lang w:val="en-US" w:eastAsia="zh-CN"/>
        </w:rPr>
        <w:t>5</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第五包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000000"/>
          <w:highlight w:val="none"/>
          <w:lang w:eastAsia="zh-CN"/>
        </w:rPr>
        <w:t>本项目专门面向中小企业采购（残疾人福利性单位及监狱企业视同小型、微型企业）</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eastAsia="宋体" w:cs="宋体"/>
          <w:b w:val="0"/>
          <w:bCs w:val="0"/>
          <w:color w:val="333333"/>
          <w:sz w:val="24"/>
          <w:szCs w:val="24"/>
          <w:highlight w:val="none"/>
          <w:lang w:val="en-US" w:eastAsia="zh-CN"/>
        </w:rPr>
        <w:t>6</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第六包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000000"/>
          <w:highlight w:val="none"/>
          <w:lang w:eastAsia="zh-CN"/>
        </w:rPr>
        <w:t>本项目</w:t>
      </w:r>
      <w:r>
        <w:rPr>
          <w:rFonts w:hint="eastAsia" w:ascii="宋体" w:hAnsi="宋体" w:cs="宋体"/>
          <w:b w:val="0"/>
          <w:bCs w:val="0"/>
          <w:color w:val="000000"/>
          <w:highlight w:val="none"/>
          <w:lang w:eastAsia="zh-CN"/>
        </w:rPr>
        <w:t>非</w:t>
      </w:r>
      <w:r>
        <w:rPr>
          <w:rFonts w:hint="eastAsia" w:ascii="宋体" w:hAnsi="宋体" w:eastAsia="宋体" w:cs="宋体"/>
          <w:b w:val="0"/>
          <w:bCs w:val="0"/>
          <w:color w:val="000000"/>
          <w:highlight w:val="none"/>
          <w:lang w:eastAsia="zh-CN"/>
        </w:rPr>
        <w:t>专门面向中小企业采购（残疾人福利性单位及监狱企业视同小型、微型企业）</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cs="宋体"/>
          <w:b w:val="0"/>
          <w:bCs w:val="0"/>
          <w:color w:val="333333"/>
          <w:sz w:val="24"/>
          <w:szCs w:val="24"/>
          <w:highlight w:val="none"/>
          <w:lang w:val="en-US" w:eastAsia="zh-CN"/>
        </w:rPr>
        <w:t>7</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w:t>
      </w:r>
      <w:r>
        <w:rPr>
          <w:rFonts w:hint="eastAsia" w:ascii="宋体" w:hAnsi="宋体" w:cs="宋体"/>
          <w:b w:val="0"/>
          <w:bCs w:val="0"/>
          <w:color w:val="333333"/>
          <w:sz w:val="24"/>
          <w:szCs w:val="24"/>
          <w:highlight w:val="none"/>
          <w:lang w:val="en-US" w:eastAsia="zh-CN"/>
        </w:rPr>
        <w:t>七</w:t>
      </w:r>
      <w:r>
        <w:rPr>
          <w:rFonts w:hint="eastAsia" w:ascii="宋体" w:hAnsi="宋体" w:eastAsia="宋体" w:cs="宋体"/>
          <w:b w:val="0"/>
          <w:bCs w:val="0"/>
          <w:color w:val="333333"/>
          <w:sz w:val="24"/>
          <w:szCs w:val="24"/>
          <w:highlight w:val="none"/>
          <w:lang w:val="en-US" w:eastAsia="zh-CN"/>
        </w:rPr>
        <w:t>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000000"/>
          <w:highlight w:val="none"/>
          <w:lang w:eastAsia="zh-CN"/>
        </w:rPr>
        <w:t>本项目专门面向中小企业采购（残疾人福利性单位及监狱企业视同小型、微型企业）</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eastAsia="zh-CN"/>
        </w:rPr>
      </w:pPr>
      <w:r>
        <w:rPr>
          <w:rFonts w:hint="eastAsia" w:ascii="宋体" w:hAnsi="宋体" w:eastAsia="宋体" w:cs="宋体"/>
          <w:b w:val="0"/>
          <w:bCs w:val="0"/>
          <w:color w:val="333333"/>
          <w:sz w:val="24"/>
          <w:szCs w:val="24"/>
          <w:highlight w:val="none"/>
        </w:rPr>
        <w:t>合同包</w:t>
      </w:r>
      <w:r>
        <w:rPr>
          <w:rFonts w:hint="eastAsia" w:ascii="宋体" w:hAnsi="宋体" w:cs="宋体"/>
          <w:b w:val="0"/>
          <w:bCs w:val="0"/>
          <w:color w:val="333333"/>
          <w:sz w:val="24"/>
          <w:szCs w:val="24"/>
          <w:highlight w:val="none"/>
          <w:lang w:val="en-US" w:eastAsia="zh-CN"/>
        </w:rPr>
        <w:t>8</w:t>
      </w:r>
      <w:r>
        <w:rPr>
          <w:rFonts w:hint="eastAsia" w:ascii="宋体" w:hAnsi="宋体" w:eastAsia="宋体" w:cs="宋体"/>
          <w:b w:val="0"/>
          <w:bCs w:val="0"/>
          <w:color w:val="333333"/>
          <w:sz w:val="24"/>
          <w:szCs w:val="24"/>
          <w:highlight w:val="none"/>
        </w:rPr>
        <w:t>(</w:t>
      </w:r>
      <w:r>
        <w:rPr>
          <w:rFonts w:hint="eastAsia" w:ascii="宋体" w:hAnsi="宋体" w:cs="宋体"/>
          <w:b w:val="0"/>
          <w:bCs w:val="0"/>
          <w:color w:val="333333"/>
          <w:sz w:val="24"/>
          <w:szCs w:val="24"/>
          <w:highlight w:val="none"/>
          <w:lang w:eastAsia="zh-CN"/>
        </w:rPr>
        <w:t>未央区教育局下属四所学校教学办公设备及设施采购项目</w:t>
      </w:r>
      <w:r>
        <w:rPr>
          <w:rFonts w:hint="eastAsia" w:ascii="宋体" w:hAnsi="宋体" w:eastAsia="宋体" w:cs="宋体"/>
          <w:b w:val="0"/>
          <w:bCs w:val="0"/>
          <w:color w:val="333333"/>
          <w:sz w:val="24"/>
          <w:szCs w:val="24"/>
          <w:highlight w:val="none"/>
          <w:lang w:val="en-US" w:eastAsia="zh-CN"/>
        </w:rPr>
        <w:t>第</w:t>
      </w:r>
      <w:r>
        <w:rPr>
          <w:rFonts w:hint="eastAsia" w:ascii="宋体" w:hAnsi="宋体" w:cs="宋体"/>
          <w:b w:val="0"/>
          <w:bCs w:val="0"/>
          <w:color w:val="333333"/>
          <w:sz w:val="24"/>
          <w:szCs w:val="24"/>
          <w:highlight w:val="none"/>
          <w:lang w:val="en-US" w:eastAsia="zh-CN"/>
        </w:rPr>
        <w:t>八</w:t>
      </w:r>
      <w:r>
        <w:rPr>
          <w:rFonts w:hint="eastAsia" w:ascii="宋体" w:hAnsi="宋体" w:eastAsia="宋体" w:cs="宋体"/>
          <w:b w:val="0"/>
          <w:bCs w:val="0"/>
          <w:color w:val="333333"/>
          <w:sz w:val="24"/>
          <w:szCs w:val="24"/>
          <w:highlight w:val="none"/>
          <w:lang w:val="en-US" w:eastAsia="zh-CN"/>
        </w:rPr>
        <w:t>包</w:t>
      </w:r>
      <w:r>
        <w:rPr>
          <w:rFonts w:hint="eastAsia" w:ascii="宋体" w:hAnsi="宋体" w:eastAsia="宋体" w:cs="宋体"/>
          <w:b w:val="0"/>
          <w:bCs w:val="0"/>
          <w:color w:val="333333"/>
          <w:sz w:val="24"/>
          <w:szCs w:val="24"/>
          <w:highlight w:val="none"/>
        </w:rPr>
        <w:t>)</w:t>
      </w:r>
      <w:r>
        <w:rPr>
          <w:rFonts w:hint="eastAsia" w:ascii="宋体" w:hAnsi="宋体" w:eastAsia="宋体" w:cs="宋体"/>
          <w:b w:val="0"/>
          <w:bCs w:val="0"/>
          <w:color w:val="000000"/>
          <w:highlight w:val="none"/>
        </w:rPr>
        <w:t>落实政府采购政策需满足的资格要求如下</w:t>
      </w:r>
      <w:r>
        <w:rPr>
          <w:rFonts w:hint="eastAsia" w:ascii="宋体" w:hAnsi="宋体" w:eastAsia="宋体" w:cs="宋体"/>
          <w:b w:val="0"/>
          <w:bCs w:val="0"/>
          <w:color w:val="000000"/>
          <w:highlight w:val="none"/>
          <w:lang w:eastAsia="zh-CN"/>
        </w:rPr>
        <w:t>：</w:t>
      </w:r>
    </w:p>
    <w:p>
      <w:pPr>
        <w:pStyle w:val="20"/>
        <w:shd w:val="clear" w:color="auto" w:fill="FFFFFF"/>
        <w:spacing w:before="0" w:beforeAutospacing="0" w:after="0" w:afterAutospacing="0" w:line="360" w:lineRule="auto"/>
        <w:ind w:firstLine="480"/>
        <w:rPr>
          <w:rFonts w:hint="eastAsia" w:ascii="宋体" w:hAnsi="宋体" w:eastAsia="宋体" w:cs="宋体"/>
          <w:b w:val="0"/>
          <w:bCs w:val="0"/>
          <w:color w:val="000000"/>
          <w:highlight w:val="none"/>
          <w:lang w:val="en-US" w:eastAsia="zh-CN"/>
        </w:rPr>
      </w:pPr>
      <w:r>
        <w:rPr>
          <w:rFonts w:hint="eastAsia" w:ascii="宋体" w:hAnsi="宋体" w:eastAsia="宋体" w:cs="宋体"/>
          <w:b w:val="0"/>
          <w:bCs w:val="0"/>
          <w:color w:val="000000"/>
          <w:highlight w:val="none"/>
          <w:lang w:eastAsia="zh-CN"/>
        </w:rPr>
        <w:t>本项目专门面向中小企业采购（残疾人福利性单位及监狱企业视同小型、微型企业）</w:t>
      </w:r>
    </w:p>
    <w:p>
      <w:pPr>
        <w:pStyle w:val="20"/>
        <w:shd w:val="clear" w:color="auto" w:fill="FFFFFF"/>
        <w:spacing w:before="0" w:beforeAutospacing="0" w:after="0" w:afterAutospacing="0" w:line="360" w:lineRule="auto"/>
        <w:ind w:firstLine="480"/>
        <w:rPr>
          <w:rFonts w:hint="eastAsia" w:ascii="宋体" w:hAnsi="宋体" w:eastAsia="宋体" w:cs="宋体"/>
          <w:color w:val="000000"/>
          <w:highlight w:val="none"/>
        </w:rPr>
      </w:pPr>
      <w:r>
        <w:rPr>
          <w:rFonts w:hint="eastAsia" w:ascii="宋体" w:hAnsi="宋体" w:eastAsia="宋体" w:cs="宋体"/>
          <w:color w:val="000000"/>
          <w:highlight w:val="none"/>
        </w:rPr>
        <w:t>3.本项目的特定资格要求：</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合同包1(</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第一包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r>
        <w:rPr>
          <w:rFonts w:hint="eastAsia" w:ascii="宋体" w:hAnsi="宋体" w:eastAsia="宋体" w:cs="宋体"/>
          <w:color w:val="000000"/>
          <w:highlight w:val="none"/>
        </w:rPr>
        <w:t xml:space="preserve"> </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第二包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r>
        <w:rPr>
          <w:rFonts w:hint="eastAsia" w:ascii="宋体" w:hAnsi="宋体" w:eastAsia="宋体" w:cs="宋体"/>
          <w:color w:val="000000"/>
          <w:highlight w:val="none"/>
        </w:rPr>
        <w:t xml:space="preserve"> </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第三包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r>
        <w:rPr>
          <w:rFonts w:hint="eastAsia" w:ascii="宋体" w:hAnsi="宋体" w:eastAsia="宋体" w:cs="宋体"/>
          <w:color w:val="000000"/>
          <w:highlight w:val="none"/>
        </w:rPr>
        <w:t xml:space="preserve"> </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eastAsia="宋体" w:cs="宋体"/>
          <w:color w:val="000000"/>
          <w:highlight w:val="none"/>
          <w:lang w:val="en-US" w:eastAsia="zh-CN"/>
        </w:rPr>
        <w:t>4</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第四包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r>
        <w:rPr>
          <w:rFonts w:hint="eastAsia" w:ascii="宋体" w:hAnsi="宋体" w:eastAsia="宋体" w:cs="宋体"/>
          <w:color w:val="000000"/>
          <w:highlight w:val="none"/>
        </w:rPr>
        <w:t xml:space="preserve"> </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eastAsia="宋体" w:cs="宋体"/>
          <w:color w:val="000000"/>
          <w:highlight w:val="none"/>
          <w:lang w:val="en-US" w:eastAsia="zh-CN"/>
        </w:rPr>
        <w:t>5</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第五包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r>
        <w:rPr>
          <w:rFonts w:hint="eastAsia" w:ascii="宋体" w:hAnsi="宋体" w:eastAsia="宋体" w:cs="宋体"/>
          <w:color w:val="000000"/>
          <w:highlight w:val="none"/>
        </w:rPr>
        <w:t xml:space="preserve"> </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eastAsia="宋体" w:cs="宋体"/>
          <w:color w:val="000000"/>
          <w:highlight w:val="none"/>
          <w:lang w:val="en-US" w:eastAsia="zh-CN"/>
        </w:rPr>
        <w:t>6</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第六包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bCs/>
          <w:color w:val="333333"/>
          <w:sz w:val="24"/>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cs="宋体"/>
          <w:color w:val="000000"/>
          <w:highlight w:val="none"/>
          <w:lang w:val="en-US" w:eastAsia="zh-CN"/>
        </w:rPr>
        <w:t>7</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w:t>
      </w:r>
      <w:r>
        <w:rPr>
          <w:rFonts w:hint="eastAsia" w:ascii="宋体" w:hAnsi="宋体" w:cs="宋体"/>
          <w:b w:val="0"/>
          <w:color w:val="333333"/>
          <w:sz w:val="24"/>
          <w:szCs w:val="24"/>
          <w:highlight w:val="none"/>
          <w:lang w:val="en-US" w:eastAsia="zh-CN"/>
        </w:rPr>
        <w:t>七</w:t>
      </w:r>
      <w:r>
        <w:rPr>
          <w:rFonts w:hint="eastAsia" w:ascii="宋体" w:hAnsi="宋体" w:eastAsia="宋体" w:cs="宋体"/>
          <w:b w:val="0"/>
          <w:color w:val="333333"/>
          <w:sz w:val="24"/>
          <w:szCs w:val="24"/>
          <w:highlight w:val="none"/>
          <w:lang w:val="en-US" w:eastAsia="zh-CN"/>
        </w:rPr>
        <w:t>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r>
        <w:rPr>
          <w:rFonts w:hint="eastAsia" w:ascii="宋体" w:hAnsi="宋体" w:eastAsia="宋体" w:cs="宋体"/>
          <w:color w:val="000000"/>
          <w:highlight w:val="none"/>
        </w:rPr>
        <w:t xml:space="preserve"> </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合同包</w:t>
      </w:r>
      <w:r>
        <w:rPr>
          <w:rFonts w:hint="eastAsia" w:ascii="宋体" w:hAnsi="宋体" w:cs="宋体"/>
          <w:color w:val="000000"/>
          <w:highlight w:val="none"/>
          <w:lang w:val="en-US" w:eastAsia="zh-CN"/>
        </w:rPr>
        <w:t>8</w:t>
      </w:r>
      <w:r>
        <w:rPr>
          <w:rFonts w:hint="eastAsia" w:ascii="宋体" w:hAnsi="宋体" w:eastAsia="宋体" w:cs="宋体"/>
          <w:color w:val="000000"/>
          <w:highlight w:val="none"/>
        </w:rPr>
        <w:t>(</w:t>
      </w:r>
      <w:r>
        <w:rPr>
          <w:rFonts w:hint="eastAsia" w:ascii="宋体" w:hAnsi="宋体" w:cs="宋体"/>
          <w:b w:val="0"/>
          <w:color w:val="333333"/>
          <w:sz w:val="24"/>
          <w:szCs w:val="24"/>
          <w:highlight w:val="none"/>
          <w:lang w:eastAsia="zh-CN"/>
        </w:rPr>
        <w:t>未央区教育局下属四所学校教学办公设备及设施采购项目</w:t>
      </w:r>
      <w:r>
        <w:rPr>
          <w:rFonts w:hint="eastAsia" w:ascii="宋体" w:hAnsi="宋体" w:eastAsia="宋体" w:cs="宋体"/>
          <w:b w:val="0"/>
          <w:color w:val="333333"/>
          <w:sz w:val="24"/>
          <w:szCs w:val="24"/>
          <w:highlight w:val="none"/>
          <w:lang w:val="en-US" w:eastAsia="zh-CN"/>
        </w:rPr>
        <w:t>第</w:t>
      </w:r>
      <w:r>
        <w:rPr>
          <w:rFonts w:hint="eastAsia" w:ascii="宋体" w:hAnsi="宋体" w:cs="宋体"/>
          <w:b w:val="0"/>
          <w:color w:val="333333"/>
          <w:sz w:val="24"/>
          <w:szCs w:val="24"/>
          <w:highlight w:val="none"/>
          <w:lang w:val="en-US" w:eastAsia="zh-CN"/>
        </w:rPr>
        <w:t>八</w:t>
      </w:r>
      <w:r>
        <w:rPr>
          <w:rFonts w:hint="eastAsia" w:ascii="宋体" w:hAnsi="宋体" w:eastAsia="宋体" w:cs="宋体"/>
          <w:b w:val="0"/>
          <w:color w:val="333333"/>
          <w:sz w:val="24"/>
          <w:szCs w:val="24"/>
          <w:highlight w:val="none"/>
          <w:lang w:val="en-US" w:eastAsia="zh-CN"/>
        </w:rPr>
        <w:t>包</w:t>
      </w:r>
      <w:r>
        <w:rPr>
          <w:rFonts w:hint="eastAsia" w:ascii="宋体" w:hAnsi="宋体" w:eastAsia="宋体" w:cs="宋体"/>
          <w:color w:val="000000"/>
          <w:highlight w:val="none"/>
        </w:rPr>
        <w:t>)特定资格要求如下</w:t>
      </w:r>
      <w:r>
        <w:rPr>
          <w:rFonts w:hint="eastAsia" w:ascii="宋体" w:hAnsi="宋体" w:eastAsia="宋体" w:cs="宋体"/>
          <w:color w:val="000000"/>
          <w:highlight w:val="none"/>
          <w:lang w:eastAsia="zh-CN"/>
        </w:rPr>
        <w:t>：</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bCs/>
          <w:color w:val="333333"/>
          <w:sz w:val="24"/>
        </w:rPr>
        <w:t>①法定代表人授权书（附法定代表人、被授权人身份证复印件）及被授权人身份证（法定代表人直接参加招标，须提供法定代表人身份证明及身份证原件）；</w:t>
      </w:r>
      <w:r>
        <w:rPr>
          <w:rFonts w:hint="eastAsia" w:ascii="宋体" w:hAnsi="宋体" w:eastAsia="宋体" w:cs="宋体"/>
          <w:bCs/>
          <w:color w:val="333333"/>
          <w:sz w:val="24"/>
          <w:lang w:eastAsia="zh-CN"/>
        </w:rPr>
        <w:t>②</w:t>
      </w:r>
      <w:r>
        <w:rPr>
          <w:rFonts w:hint="eastAsia" w:ascii="宋体" w:hAnsi="宋体" w:eastAsia="宋体" w:cs="宋体"/>
          <w:bCs/>
          <w:color w:val="333333"/>
          <w:sz w:val="24"/>
        </w:rPr>
        <w:t>本项目不接受联合体投标(提供书面声明)。</w:t>
      </w:r>
    </w:p>
    <w:p>
      <w:pPr>
        <w:pStyle w:val="20"/>
        <w:shd w:val="clear" w:color="auto" w:fill="FFFFFF"/>
        <w:spacing w:before="120" w:beforeAutospacing="0" w:after="0" w:afterAutospacing="0" w:line="360" w:lineRule="auto"/>
        <w:rPr>
          <w:rFonts w:hint="eastAsia" w:ascii="宋体" w:hAnsi="宋体" w:eastAsia="宋体" w:cs="宋体"/>
          <w:b/>
          <w:color w:val="333333"/>
          <w:highlight w:val="none"/>
          <w:lang w:val="en-US" w:eastAsia="zh-CN"/>
        </w:rPr>
      </w:pPr>
      <w:r>
        <w:rPr>
          <w:rFonts w:hint="eastAsia" w:ascii="宋体" w:hAnsi="宋体" w:eastAsia="宋体" w:cs="宋体"/>
          <w:b/>
          <w:color w:val="333333"/>
          <w:highlight w:val="none"/>
          <w:shd w:val="clear" w:color="auto" w:fill="FFFFFF"/>
        </w:rPr>
        <w:t>三、</w:t>
      </w:r>
      <w:r>
        <w:rPr>
          <w:rFonts w:hint="eastAsia" w:ascii="宋体" w:hAnsi="宋体" w:eastAsia="宋体" w:cs="宋体"/>
          <w:b/>
          <w:color w:val="333333"/>
          <w:highlight w:val="none"/>
          <w:shd w:val="clear" w:color="auto" w:fill="FFFFFF"/>
          <w:lang w:val="en-US" w:eastAsia="zh-CN"/>
        </w:rPr>
        <w:t>获取招标文件</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时间：2022年</w:t>
      </w:r>
      <w:r>
        <w:rPr>
          <w:rFonts w:hint="eastAsia" w:ascii="宋体" w:hAnsi="宋体" w:cs="宋体"/>
          <w:color w:val="000000"/>
          <w:highlight w:val="none"/>
          <w:lang w:val="en-US" w:eastAsia="zh-CN"/>
        </w:rPr>
        <w:t>07</w:t>
      </w:r>
      <w:r>
        <w:rPr>
          <w:rFonts w:hint="eastAsia" w:ascii="宋体" w:hAnsi="宋体" w:eastAsia="宋体" w:cs="宋体"/>
          <w:color w:val="000000"/>
          <w:highlight w:val="none"/>
        </w:rPr>
        <w:t>月</w:t>
      </w:r>
      <w:r>
        <w:rPr>
          <w:rFonts w:hint="eastAsia" w:ascii="宋体" w:hAnsi="宋体" w:cs="宋体"/>
          <w:color w:val="000000"/>
          <w:highlight w:val="none"/>
          <w:lang w:val="en-US" w:eastAsia="zh-CN"/>
        </w:rPr>
        <w:t>11</w:t>
      </w:r>
      <w:r>
        <w:rPr>
          <w:rFonts w:hint="eastAsia" w:ascii="宋体" w:hAnsi="宋体" w:eastAsia="宋体" w:cs="宋体"/>
          <w:color w:val="000000"/>
          <w:highlight w:val="none"/>
        </w:rPr>
        <w:t>日至 2022年</w:t>
      </w:r>
      <w:r>
        <w:rPr>
          <w:rFonts w:hint="eastAsia" w:ascii="宋体" w:hAnsi="宋体" w:cs="宋体"/>
          <w:color w:val="000000"/>
          <w:highlight w:val="none"/>
          <w:lang w:val="en-US" w:eastAsia="zh-CN"/>
        </w:rPr>
        <w:t>07</w:t>
      </w:r>
      <w:r>
        <w:rPr>
          <w:rFonts w:hint="eastAsia" w:ascii="宋体" w:hAnsi="宋体" w:eastAsia="宋体" w:cs="宋体"/>
          <w:color w:val="000000"/>
          <w:highlight w:val="none"/>
        </w:rPr>
        <w:t>月</w:t>
      </w:r>
      <w:r>
        <w:rPr>
          <w:rFonts w:hint="eastAsia" w:ascii="宋体" w:hAnsi="宋体" w:cs="宋体"/>
          <w:color w:val="000000"/>
          <w:highlight w:val="none"/>
          <w:lang w:val="en-US" w:eastAsia="zh-CN"/>
        </w:rPr>
        <w:t>15</w:t>
      </w:r>
      <w:r>
        <w:rPr>
          <w:rFonts w:hint="eastAsia" w:ascii="宋体" w:hAnsi="宋体" w:eastAsia="宋体" w:cs="宋体"/>
          <w:color w:val="000000"/>
          <w:highlight w:val="none"/>
        </w:rPr>
        <w:t>日 ，每天上午 09:00:00 至 12:00:00 ，下午 14:00:00 至 1</w:t>
      </w:r>
      <w:r>
        <w:rPr>
          <w:rFonts w:hint="eastAsia" w:ascii="宋体" w:hAnsi="宋体" w:cs="宋体"/>
          <w:color w:val="000000"/>
          <w:highlight w:val="none"/>
          <w:lang w:val="en-US" w:eastAsia="zh-CN"/>
        </w:rPr>
        <w:t>8</w:t>
      </w:r>
      <w:r>
        <w:rPr>
          <w:rFonts w:hint="eastAsia" w:ascii="宋体" w:hAnsi="宋体" w:eastAsia="宋体" w:cs="宋体"/>
          <w:color w:val="000000"/>
          <w:highlight w:val="none"/>
        </w:rPr>
        <w:t>:00:00 （北京时间,法定节假日除外）</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地点：西安市未央区凤城五路与明光路十字天朗经开中心10楼11002室</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方式：现场</w:t>
      </w:r>
      <w:r>
        <w:rPr>
          <w:rFonts w:hint="eastAsia" w:ascii="宋体" w:hAnsi="宋体" w:eastAsia="宋体" w:cs="宋体"/>
          <w:color w:val="000000"/>
          <w:highlight w:val="none"/>
          <w:lang w:val="en-US" w:eastAsia="zh-CN"/>
        </w:rPr>
        <w:t>获取</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售价：免费</w:t>
      </w:r>
      <w:r>
        <w:rPr>
          <w:rFonts w:hint="eastAsia" w:ascii="宋体" w:hAnsi="宋体" w:eastAsia="宋体" w:cs="宋体"/>
          <w:color w:val="000000"/>
          <w:highlight w:val="none"/>
          <w:lang w:val="en-US" w:eastAsia="zh-CN"/>
        </w:rPr>
        <w:t>获取</w:t>
      </w:r>
    </w:p>
    <w:p>
      <w:pPr>
        <w:pStyle w:val="20"/>
        <w:shd w:val="clear" w:color="auto" w:fill="FFFFFF"/>
        <w:spacing w:before="120" w:beforeAutospacing="0" w:after="0" w:afterAutospacing="0" w:line="360" w:lineRule="auto"/>
        <w:rPr>
          <w:rFonts w:hint="eastAsia" w:ascii="宋体" w:hAnsi="宋体" w:eastAsia="宋体" w:cs="宋体"/>
          <w:b/>
          <w:color w:val="333333"/>
          <w:highlight w:val="none"/>
        </w:rPr>
      </w:pPr>
      <w:r>
        <w:rPr>
          <w:rFonts w:hint="eastAsia" w:ascii="宋体" w:hAnsi="宋体" w:eastAsia="宋体" w:cs="宋体"/>
          <w:b/>
          <w:color w:val="333333"/>
          <w:highlight w:val="none"/>
          <w:shd w:val="clear" w:color="auto" w:fill="FFFFFF"/>
        </w:rPr>
        <w:t>四、提交投标文件截止时间、开标时间和地点</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截止时间：2022年</w:t>
      </w:r>
      <w:r>
        <w:rPr>
          <w:rFonts w:hint="eastAsia" w:ascii="宋体" w:hAnsi="宋体" w:cs="宋体"/>
          <w:color w:val="000000"/>
          <w:highlight w:val="none"/>
          <w:lang w:val="en-US" w:eastAsia="zh-CN"/>
        </w:rPr>
        <w:t>08</w:t>
      </w:r>
      <w:r>
        <w:rPr>
          <w:rFonts w:hint="eastAsia" w:ascii="宋体" w:hAnsi="宋体" w:eastAsia="宋体" w:cs="宋体"/>
          <w:color w:val="000000"/>
          <w:highlight w:val="none"/>
        </w:rPr>
        <w:t>月</w:t>
      </w:r>
      <w:r>
        <w:rPr>
          <w:rFonts w:hint="eastAsia" w:ascii="宋体" w:hAnsi="宋体" w:cs="宋体"/>
          <w:color w:val="000000"/>
          <w:highlight w:val="none"/>
          <w:lang w:val="en-US" w:eastAsia="zh-CN"/>
        </w:rPr>
        <w:t>05</w:t>
      </w:r>
      <w:r>
        <w:rPr>
          <w:rFonts w:hint="eastAsia" w:ascii="宋体" w:hAnsi="宋体" w:eastAsia="宋体" w:cs="宋体"/>
          <w:color w:val="000000"/>
          <w:highlight w:val="none"/>
        </w:rPr>
        <w:t>日</w:t>
      </w:r>
      <w:r>
        <w:rPr>
          <w:rFonts w:hint="eastAsia" w:ascii="宋体" w:hAnsi="宋体" w:cs="宋体"/>
          <w:color w:val="000000"/>
          <w:highlight w:val="none"/>
          <w:lang w:val="en-US" w:eastAsia="zh-CN"/>
        </w:rPr>
        <w:t>09</w:t>
      </w:r>
      <w:r>
        <w:rPr>
          <w:rFonts w:hint="eastAsia" w:ascii="宋体" w:hAnsi="宋体" w:eastAsia="宋体" w:cs="宋体"/>
          <w:color w:val="000000"/>
          <w:highlight w:val="none"/>
        </w:rPr>
        <w:t>时</w:t>
      </w:r>
      <w:r>
        <w:rPr>
          <w:rFonts w:hint="eastAsia" w:ascii="宋体" w:hAnsi="宋体" w:cs="宋体"/>
          <w:color w:val="000000"/>
          <w:highlight w:val="none"/>
          <w:lang w:val="en-US" w:eastAsia="zh-CN"/>
        </w:rPr>
        <w:t>30</w:t>
      </w:r>
      <w:r>
        <w:rPr>
          <w:rFonts w:hint="eastAsia" w:ascii="宋体" w:hAnsi="宋体" w:eastAsia="宋体" w:cs="宋体"/>
          <w:color w:val="000000"/>
          <w:highlight w:val="none"/>
        </w:rPr>
        <w:t>分 （北京时间）</w:t>
      </w:r>
    </w:p>
    <w:p>
      <w:pPr>
        <w:pStyle w:val="20"/>
        <w:shd w:val="clear" w:color="auto" w:fill="FFFFFF"/>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highlight w:val="none"/>
        </w:rPr>
        <w:t>地点：西安市未央区凤城五路与明光路十</w:t>
      </w:r>
      <w:r>
        <w:rPr>
          <w:rFonts w:hint="eastAsia" w:ascii="宋体" w:hAnsi="宋体" w:eastAsia="宋体" w:cs="宋体"/>
          <w:color w:val="000000"/>
        </w:rPr>
        <w:t>字天朗经开中心10楼11002室</w:t>
      </w:r>
    </w:p>
    <w:p>
      <w:pPr>
        <w:pStyle w:val="20"/>
        <w:shd w:val="clear" w:color="auto" w:fill="FFFFFF"/>
        <w:spacing w:before="120" w:beforeAutospacing="0" w:after="0" w:afterAutospacing="0" w:line="360" w:lineRule="auto"/>
        <w:rPr>
          <w:rFonts w:hint="eastAsia" w:ascii="宋体" w:hAnsi="宋体" w:eastAsia="宋体" w:cs="宋体"/>
          <w:b/>
          <w:color w:val="333333"/>
        </w:rPr>
      </w:pPr>
      <w:r>
        <w:rPr>
          <w:rFonts w:hint="eastAsia" w:ascii="宋体" w:hAnsi="宋体" w:eastAsia="宋体" w:cs="宋体"/>
          <w:b/>
          <w:color w:val="333333"/>
          <w:shd w:val="clear" w:color="auto" w:fill="FFFFFF"/>
        </w:rPr>
        <w:t>五、公告期限</w:t>
      </w:r>
    </w:p>
    <w:p>
      <w:pPr>
        <w:pStyle w:val="20"/>
        <w:shd w:val="clear" w:color="auto" w:fill="FFFFFF"/>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自本公告发布之日起5个工作日。</w:t>
      </w:r>
    </w:p>
    <w:p>
      <w:pPr>
        <w:pStyle w:val="20"/>
        <w:numPr>
          <w:ilvl w:val="0"/>
          <w:numId w:val="0"/>
        </w:numPr>
        <w:shd w:val="clear" w:color="auto" w:fill="FFFFFF"/>
        <w:spacing w:before="120" w:beforeAutospacing="0" w:after="0" w:afterAutospacing="0" w:line="360" w:lineRule="auto"/>
        <w:rPr>
          <w:rFonts w:hint="eastAsia" w:ascii="宋体" w:hAnsi="宋体" w:eastAsia="宋体" w:cs="宋体"/>
          <w:b/>
          <w:color w:val="333333"/>
          <w:shd w:val="clear" w:color="auto" w:fill="FFFFFF"/>
        </w:rPr>
      </w:pPr>
      <w:r>
        <w:rPr>
          <w:rFonts w:hint="eastAsia" w:ascii="宋体" w:hAnsi="宋体" w:eastAsia="宋体" w:cs="宋体"/>
          <w:b/>
          <w:color w:val="333333"/>
          <w:shd w:val="clear" w:color="auto" w:fill="FFFFFF"/>
          <w:lang w:val="en-US" w:eastAsia="zh-CN"/>
        </w:rPr>
        <w:t>六、</w:t>
      </w:r>
      <w:r>
        <w:rPr>
          <w:rFonts w:hint="eastAsia" w:ascii="宋体" w:hAnsi="宋体" w:eastAsia="宋体" w:cs="宋体"/>
          <w:b/>
          <w:color w:val="333333"/>
          <w:shd w:val="clear" w:color="auto" w:fill="FFFFFF"/>
        </w:rPr>
        <w:t>其他补充事宜</w:t>
      </w:r>
    </w:p>
    <w:p>
      <w:pPr>
        <w:pStyle w:val="20"/>
        <w:numPr>
          <w:ilvl w:val="0"/>
          <w:numId w:val="0"/>
        </w:numPr>
        <w:shd w:val="clear" w:color="auto" w:fill="FFFFFF"/>
        <w:spacing w:before="120" w:beforeAutospacing="0" w:after="0" w:afterAutospacing="0" w:line="360" w:lineRule="auto"/>
        <w:ind w:firstLine="480" w:firstLineChars="200"/>
        <w:rPr>
          <w:rFonts w:hint="eastAsia" w:ascii="宋体" w:hAnsi="宋体" w:eastAsia="宋体" w:cs="宋体"/>
          <w:color w:val="000000"/>
          <w:lang w:eastAsia="zh-CN"/>
        </w:rPr>
      </w:pPr>
      <w:r>
        <w:rPr>
          <w:rFonts w:hint="eastAsia" w:ascii="宋体" w:hAnsi="宋体" w:eastAsia="宋体" w:cs="宋体"/>
          <w:color w:val="000000"/>
          <w:lang w:val="en-US" w:eastAsia="zh-CN"/>
        </w:rPr>
        <w:t>1、</w:t>
      </w:r>
      <w:r>
        <w:rPr>
          <w:rFonts w:hint="eastAsia" w:ascii="宋体" w:hAnsi="宋体" w:eastAsia="宋体" w:cs="宋体"/>
          <w:color w:val="000000"/>
          <w:lang w:eastAsia="zh-CN"/>
        </w:rPr>
        <w:t>需要落实的政府采购政策：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若享受以上政策优惠的企业，提供相应声明函或产品目录；</w:t>
      </w:r>
      <w:r>
        <w:rPr>
          <w:rFonts w:hint="eastAsia" w:ascii="宋体" w:hAnsi="宋体" w:eastAsia="宋体" w:cs="宋体"/>
          <w:color w:val="000000"/>
          <w:lang w:val="en-US" w:eastAsia="zh-CN"/>
        </w:rPr>
        <w:t>⑬《关于进一步加大政府采购支持中小企业力度的通知》（财库﹝2022﹞19号）。若享受以上政策优惠的企业，提供相应声明函或产品目录</w:t>
      </w:r>
      <w:r>
        <w:rPr>
          <w:rFonts w:hint="eastAsia" w:ascii="宋体" w:hAnsi="宋体" w:eastAsia="宋体" w:cs="宋体"/>
          <w:color w:val="000000"/>
          <w:lang w:eastAsia="zh-CN"/>
        </w:rPr>
        <w:t>。</w:t>
      </w:r>
    </w:p>
    <w:p>
      <w:pPr>
        <w:pStyle w:val="20"/>
        <w:numPr>
          <w:ilvl w:val="0"/>
          <w:numId w:val="0"/>
        </w:numPr>
        <w:shd w:val="clear" w:color="auto" w:fill="FFFFFF"/>
        <w:spacing w:before="120" w:beforeAutospacing="0" w:after="0" w:afterAutospacing="0" w:line="360" w:lineRule="auto"/>
        <w:ind w:firstLine="480"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2、</w:t>
      </w:r>
      <w:r>
        <w:rPr>
          <w:rFonts w:hint="eastAsia" w:ascii="宋体" w:hAnsi="宋体" w:eastAsia="宋体" w:cs="宋体"/>
          <w:bCs/>
          <w:sz w:val="24"/>
          <w:highlight w:val="none"/>
          <w:lang w:val="en-US" w:eastAsia="zh-CN"/>
        </w:rPr>
        <w:t>获取</w:t>
      </w:r>
      <w:r>
        <w:rPr>
          <w:rFonts w:hint="eastAsia" w:ascii="宋体" w:hAnsi="宋体" w:eastAsia="宋体" w:cs="宋体"/>
          <w:bCs/>
          <w:sz w:val="24"/>
          <w:highlight w:val="none"/>
        </w:rPr>
        <w:t>招标文件请携带单位介绍信原件、经办人身份证原件及复印件加盖公章。</w:t>
      </w:r>
      <w:r>
        <w:rPr>
          <w:rFonts w:hint="eastAsia" w:ascii="宋体" w:hAnsi="宋体" w:eastAsia="宋体" w:cs="宋体"/>
          <w:bCs/>
          <w:sz w:val="24"/>
          <w:highlight w:val="none"/>
          <w:lang w:val="en-US" w:eastAsia="zh-CN"/>
        </w:rPr>
        <w:t>介绍信上注明项目名称+包号。</w:t>
      </w:r>
    </w:p>
    <w:p>
      <w:pPr>
        <w:pStyle w:val="20"/>
        <w:shd w:val="clear" w:color="auto" w:fill="FFFFFF"/>
        <w:spacing w:before="120" w:beforeAutospacing="0" w:after="0" w:afterAutospacing="0" w:line="360" w:lineRule="auto"/>
        <w:rPr>
          <w:rFonts w:hint="eastAsia" w:ascii="宋体" w:hAnsi="宋体" w:eastAsia="宋体" w:cs="宋体"/>
          <w:b/>
          <w:color w:val="333333"/>
        </w:rPr>
      </w:pPr>
      <w:r>
        <w:rPr>
          <w:rFonts w:hint="eastAsia" w:ascii="宋体" w:hAnsi="宋体" w:eastAsia="宋体" w:cs="宋体"/>
          <w:b/>
          <w:color w:val="333333"/>
          <w:shd w:val="clear" w:color="auto" w:fill="FFFFFF"/>
        </w:rPr>
        <w:t>七、对本次招标提出询问，请按以下方式联系。</w:t>
      </w:r>
    </w:p>
    <w:p>
      <w:pPr>
        <w:pStyle w:val="20"/>
        <w:shd w:val="clear" w:color="auto" w:fill="FFFFFF"/>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1.采购人信息：</w:t>
      </w:r>
    </w:p>
    <w:p>
      <w:pPr>
        <w:pStyle w:val="20"/>
        <w:shd w:val="clear" w:color="auto" w:fill="FFFFFF"/>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lang w:val="en-US" w:eastAsia="zh-CN"/>
        </w:rPr>
        <w:t>名称：</w:t>
      </w:r>
      <w:r>
        <w:rPr>
          <w:rFonts w:hint="eastAsia" w:ascii="宋体" w:hAnsi="宋体" w:cs="宋体"/>
          <w:sz w:val="24"/>
          <w:highlight w:val="none"/>
          <w:lang w:eastAsia="zh-CN"/>
        </w:rPr>
        <w:t>西安市未央区教育局</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eastAsia="zh-CN"/>
        </w:rPr>
      </w:pPr>
      <w:r>
        <w:rPr>
          <w:rFonts w:hint="eastAsia" w:ascii="宋体" w:hAnsi="宋体" w:eastAsia="宋体" w:cs="宋体"/>
          <w:color w:val="000000"/>
          <w:highlight w:val="none"/>
        </w:rPr>
        <w:t>地址：</w:t>
      </w:r>
      <w:r>
        <w:rPr>
          <w:rFonts w:hint="eastAsia" w:ascii="宋体" w:hAnsi="宋体" w:cs="宋体"/>
          <w:sz w:val="24"/>
          <w:highlight w:val="none"/>
          <w:lang w:eastAsia="zh-CN"/>
        </w:rPr>
        <w:t>未央区纬30街</w:t>
      </w:r>
    </w:p>
    <w:p>
      <w:pPr>
        <w:pStyle w:val="20"/>
        <w:shd w:val="clear" w:color="auto" w:fill="FFFFFF"/>
        <w:spacing w:before="0" w:beforeAutospacing="0" w:after="0" w:afterAutospacing="0" w:line="360" w:lineRule="auto"/>
        <w:ind w:firstLine="42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联系方式</w:t>
      </w:r>
      <w:r>
        <w:rPr>
          <w:rFonts w:hint="eastAsia" w:ascii="宋体" w:hAnsi="宋体" w:eastAsia="宋体" w:cs="宋体"/>
          <w:sz w:val="24"/>
          <w:highlight w:val="none"/>
        </w:rPr>
        <w:t>：029-86239743</w:t>
      </w:r>
    </w:p>
    <w:p>
      <w:pPr>
        <w:pStyle w:val="20"/>
        <w:shd w:val="clear" w:color="auto" w:fill="FFFFFF"/>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.采购代理机构信息</w:t>
      </w:r>
    </w:p>
    <w:p>
      <w:pPr>
        <w:pStyle w:val="20"/>
        <w:shd w:val="clear" w:color="auto" w:fill="FFFFFF"/>
        <w:spacing w:before="0" w:beforeAutospacing="0" w:after="0" w:afterAutospacing="0" w:line="360" w:lineRule="auto"/>
        <w:ind w:firstLine="480" w:firstLineChars="200"/>
        <w:rPr>
          <w:rFonts w:hint="eastAsia" w:ascii="宋体" w:hAnsi="宋体" w:eastAsia="宋体" w:cs="宋体"/>
          <w:color w:val="000000"/>
        </w:rPr>
      </w:pPr>
      <w:r>
        <w:rPr>
          <w:rFonts w:hint="eastAsia" w:ascii="宋体" w:hAnsi="宋体" w:eastAsia="宋体" w:cs="宋体"/>
          <w:color w:val="000000"/>
        </w:rPr>
        <w:t xml:space="preserve">名称：陕西嘉唐建设项目管理有限公司 </w:t>
      </w:r>
    </w:p>
    <w:p>
      <w:pPr>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地址：西安市未央区凤城五路与明光路十字天朗经开中心10楼11002室</w:t>
      </w:r>
    </w:p>
    <w:p>
      <w:pPr>
        <w:pStyle w:val="20"/>
        <w:shd w:val="clear" w:color="auto" w:fill="FFFFFF"/>
        <w:spacing w:before="0" w:beforeAutospacing="0" w:after="0" w:afterAutospacing="0" w:line="360" w:lineRule="auto"/>
        <w:ind w:firstLine="480" w:firstLineChars="200"/>
        <w:rPr>
          <w:rFonts w:hint="eastAsia" w:ascii="宋体" w:hAnsi="宋体" w:eastAsia="宋体" w:cs="宋体"/>
          <w:color w:val="000000"/>
        </w:rPr>
      </w:pPr>
      <w:r>
        <w:rPr>
          <w:rFonts w:hint="eastAsia" w:ascii="宋体" w:hAnsi="宋体" w:eastAsia="宋体" w:cs="宋体"/>
          <w:color w:val="000000"/>
        </w:rPr>
        <w:t>联系方式：</w:t>
      </w:r>
      <w:r>
        <w:rPr>
          <w:rFonts w:hint="eastAsia" w:ascii="宋体" w:hAnsi="宋体" w:eastAsia="宋体" w:cs="宋体"/>
          <w:color w:val="000000"/>
          <w:lang w:val="en-US" w:eastAsia="zh-CN"/>
        </w:rPr>
        <w:t>029-89351397</w:t>
      </w:r>
    </w:p>
    <w:p>
      <w:pPr>
        <w:pStyle w:val="20"/>
        <w:shd w:val="clear" w:color="auto" w:fill="FFFFFF"/>
        <w:spacing w:before="0" w:beforeAutospacing="0" w:after="0" w:afterAutospacing="0" w:line="360" w:lineRule="auto"/>
        <w:ind w:firstLine="480"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3.项目联系方式</w:t>
      </w:r>
    </w:p>
    <w:p>
      <w:pPr>
        <w:pStyle w:val="20"/>
        <w:shd w:val="clear" w:color="auto" w:fill="FFFFFF"/>
        <w:spacing w:before="0" w:beforeAutospacing="0" w:after="0" w:afterAutospacing="0" w:line="360" w:lineRule="auto"/>
        <w:ind w:firstLine="480"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项目联系人：</w:t>
      </w:r>
      <w:r>
        <w:rPr>
          <w:rFonts w:hint="eastAsia" w:ascii="宋体" w:hAnsi="宋体" w:cs="宋体"/>
          <w:color w:val="000000"/>
          <w:lang w:val="en-US" w:eastAsia="zh-CN"/>
        </w:rPr>
        <w:t>张工</w:t>
      </w:r>
    </w:p>
    <w:p>
      <w:pPr>
        <w:pStyle w:val="20"/>
        <w:shd w:val="clear" w:color="auto" w:fill="FFFFFF"/>
        <w:spacing w:before="0" w:beforeAutospacing="0" w:after="0" w:afterAutospacing="0" w:line="360" w:lineRule="auto"/>
        <w:ind w:firstLine="480" w:firstLineChars="200"/>
        <w:rPr>
          <w:rFonts w:hint="eastAsia" w:ascii="宋体" w:hAnsi="宋体" w:eastAsia="宋体" w:cs="宋体"/>
          <w:color w:val="000000"/>
          <w:lang w:val="en-US" w:eastAsia="zh-CN"/>
        </w:rPr>
      </w:pPr>
      <w:r>
        <w:rPr>
          <w:rFonts w:hint="eastAsia" w:ascii="宋体" w:hAnsi="宋体" w:eastAsia="宋体" w:cs="宋体"/>
          <w:color w:val="000000"/>
          <w:lang w:val="en-US" w:eastAsia="zh-CN"/>
        </w:rPr>
        <w:t>电话：029-89351397</w:t>
      </w:r>
    </w:p>
    <w:p>
      <w:pPr>
        <w:rPr>
          <w:rFonts w:hint="eastAsia" w:ascii="宋体" w:hAnsi="宋体" w:eastAsia="宋体" w:cs="宋体"/>
          <w:bCs/>
          <w:color w:val="333333"/>
          <w:kern w:val="0"/>
          <w:sz w:val="24"/>
        </w:rPr>
      </w:pPr>
      <w:r>
        <w:rPr>
          <w:rFonts w:hint="eastAsia" w:ascii="宋体" w:hAnsi="宋体" w:eastAsia="宋体" w:cs="宋体"/>
          <w:bCs/>
          <w:color w:val="333333"/>
          <w:kern w:val="0"/>
          <w:sz w:val="24"/>
        </w:rPr>
        <w:br w:type="page"/>
      </w:r>
    </w:p>
    <w:bookmarkEnd w:id="8"/>
    <w:bookmarkEnd w:id="9"/>
    <w:bookmarkEnd w:id="10"/>
    <w:bookmarkEnd w:id="11"/>
    <w:bookmarkEnd w:id="12"/>
    <w:p>
      <w:pPr>
        <w:pStyle w:val="3"/>
        <w:numPr>
          <w:ilvl w:val="0"/>
          <w:numId w:val="0"/>
        </w:numPr>
        <w:adjustRightInd w:val="0"/>
        <w:snapToGrid w:val="0"/>
        <w:spacing w:line="360" w:lineRule="auto"/>
        <w:jc w:val="center"/>
        <w:rPr>
          <w:rFonts w:hint="eastAsia" w:ascii="宋体" w:hAnsi="宋体" w:eastAsia="宋体" w:cs="宋体"/>
          <w:sz w:val="32"/>
          <w:szCs w:val="32"/>
        </w:rPr>
      </w:pPr>
      <w:bookmarkStart w:id="15" w:name="_Toc13392"/>
      <w:bookmarkStart w:id="16" w:name="_Toc54688983"/>
      <w:r>
        <w:rPr>
          <w:rFonts w:hint="eastAsia" w:ascii="宋体" w:hAnsi="宋体" w:eastAsia="宋体" w:cs="宋体"/>
          <w:sz w:val="32"/>
          <w:szCs w:val="32"/>
          <w:lang w:val="en-US" w:eastAsia="zh-CN"/>
        </w:rPr>
        <w:t xml:space="preserve">第二章  </w:t>
      </w:r>
      <w:r>
        <w:rPr>
          <w:rFonts w:hint="eastAsia" w:ascii="宋体" w:hAnsi="宋体" w:eastAsia="宋体" w:cs="宋体"/>
          <w:sz w:val="32"/>
          <w:szCs w:val="32"/>
        </w:rPr>
        <w:t>投标人须知</w:t>
      </w:r>
      <w:bookmarkEnd w:id="15"/>
    </w:p>
    <w:p>
      <w:pPr>
        <w:pStyle w:val="4"/>
        <w:adjustRightInd w:val="0"/>
        <w:snapToGrid w:val="0"/>
        <w:spacing w:line="360" w:lineRule="auto"/>
        <w:jc w:val="center"/>
        <w:outlineLvl w:val="1"/>
        <w:rPr>
          <w:rFonts w:hint="eastAsia" w:ascii="宋体" w:hAnsi="宋体" w:eastAsia="宋体" w:cs="宋体"/>
          <w:sz w:val="24"/>
          <w:szCs w:val="24"/>
        </w:rPr>
      </w:pPr>
      <w:bookmarkStart w:id="17" w:name="_Toc3442"/>
      <w:r>
        <w:rPr>
          <w:rFonts w:hint="eastAsia" w:ascii="宋体" w:hAnsi="宋体" w:eastAsia="宋体" w:cs="宋体"/>
          <w:sz w:val="24"/>
          <w:szCs w:val="24"/>
          <w:lang w:eastAsia="zh-CN"/>
        </w:rPr>
        <w:t>供应商须知</w:t>
      </w:r>
      <w:r>
        <w:rPr>
          <w:rFonts w:hint="eastAsia" w:ascii="宋体" w:hAnsi="宋体" w:eastAsia="宋体" w:cs="宋体"/>
          <w:sz w:val="24"/>
          <w:szCs w:val="24"/>
        </w:rPr>
        <w:t>前附表</w:t>
      </w:r>
      <w:bookmarkEnd w:id="13"/>
      <w:bookmarkEnd w:id="14"/>
      <w:bookmarkEnd w:id="16"/>
      <w:bookmarkEnd w:id="17"/>
    </w:p>
    <w:tbl>
      <w:tblPr>
        <w:tblStyle w:val="22"/>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347"/>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spacing w:line="360" w:lineRule="auto"/>
              <w:ind w:left="-105" w:leftChars="-50" w:right="-105" w:rightChars="-50"/>
              <w:jc w:val="center"/>
              <w:rPr>
                <w:rFonts w:hint="eastAsia" w:ascii="宋体" w:hAnsi="宋体" w:eastAsia="宋体" w:cs="宋体"/>
                <w:sz w:val="24"/>
              </w:rPr>
            </w:pPr>
            <w:r>
              <w:rPr>
                <w:rFonts w:hint="eastAsia" w:ascii="宋体" w:hAnsi="宋体" w:eastAsia="宋体" w:cs="宋体"/>
                <w:sz w:val="24"/>
              </w:rPr>
              <w:t>序号</w:t>
            </w:r>
          </w:p>
        </w:tc>
        <w:tc>
          <w:tcPr>
            <w:tcW w:w="1347" w:type="dxa"/>
            <w:vAlign w:val="center"/>
          </w:tcPr>
          <w:p>
            <w:pPr>
              <w:spacing w:line="360" w:lineRule="auto"/>
              <w:ind w:left="-105" w:leftChars="-50" w:right="-105" w:rightChars="-50"/>
              <w:jc w:val="center"/>
              <w:rPr>
                <w:rFonts w:hint="eastAsia" w:ascii="宋体" w:hAnsi="宋体" w:eastAsia="宋体" w:cs="宋体"/>
                <w:sz w:val="24"/>
              </w:rPr>
            </w:pPr>
            <w:r>
              <w:rPr>
                <w:rFonts w:hint="eastAsia" w:ascii="宋体" w:hAnsi="宋体" w:eastAsia="宋体" w:cs="宋体"/>
                <w:sz w:val="24"/>
              </w:rPr>
              <w:t>条款号</w:t>
            </w:r>
          </w:p>
        </w:tc>
        <w:tc>
          <w:tcPr>
            <w:tcW w:w="7086"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项目名称</w:t>
            </w:r>
          </w:p>
        </w:tc>
        <w:tc>
          <w:tcPr>
            <w:tcW w:w="7086" w:type="dxa"/>
            <w:vAlign w:val="center"/>
          </w:tcPr>
          <w:p>
            <w:pPr>
              <w:widowControl/>
              <w:spacing w:line="360" w:lineRule="auto"/>
              <w:jc w:val="left"/>
              <w:rPr>
                <w:rFonts w:hint="eastAsia" w:ascii="宋体" w:hAnsi="宋体" w:eastAsia="宋体" w:cs="宋体"/>
                <w:sz w:val="24"/>
                <w:lang w:eastAsia="zh-CN"/>
              </w:rPr>
            </w:pPr>
            <w:r>
              <w:rPr>
                <w:rFonts w:hint="eastAsia" w:ascii="宋体" w:hAnsi="宋体" w:cs="宋体"/>
                <w:sz w:val="24"/>
                <w:lang w:eastAsia="zh-CN"/>
              </w:rPr>
              <w:t>未央区教育局下属四所学校教学办公设备及设施采购项目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highlight w:val="none"/>
              </w:rPr>
              <w:t>采购人</w:t>
            </w:r>
          </w:p>
        </w:tc>
        <w:tc>
          <w:tcPr>
            <w:tcW w:w="7086" w:type="dxa"/>
            <w:vAlign w:val="center"/>
          </w:tcPr>
          <w:p>
            <w:pPr>
              <w:tabs>
                <w:tab w:val="left" w:pos="1180"/>
              </w:tabs>
              <w:rPr>
                <w:rFonts w:hint="eastAsia" w:ascii="宋体" w:hAnsi="宋体" w:eastAsia="宋体" w:cs="宋体"/>
                <w:sz w:val="24"/>
                <w:highlight w:val="none"/>
                <w:lang w:eastAsia="zh-CN"/>
              </w:rPr>
            </w:pPr>
            <w:r>
              <w:rPr>
                <w:rFonts w:hint="eastAsia" w:ascii="宋体" w:hAnsi="宋体" w:eastAsia="宋体" w:cs="宋体"/>
                <w:sz w:val="24"/>
                <w:highlight w:val="none"/>
              </w:rPr>
              <w:t>名称：</w:t>
            </w:r>
            <w:r>
              <w:rPr>
                <w:rFonts w:hint="eastAsia" w:ascii="宋体" w:hAnsi="宋体" w:cs="宋体"/>
                <w:sz w:val="24"/>
                <w:highlight w:val="none"/>
                <w:lang w:eastAsia="zh-CN"/>
              </w:rPr>
              <w:t>西安市未央区教育局</w:t>
            </w:r>
          </w:p>
          <w:p>
            <w:pPr>
              <w:tabs>
                <w:tab w:val="left" w:pos="1180"/>
              </w:tabs>
              <w:rPr>
                <w:rFonts w:hint="eastAsia" w:ascii="宋体" w:hAnsi="宋体" w:eastAsia="宋体" w:cs="宋体"/>
                <w:sz w:val="24"/>
                <w:highlight w:val="none"/>
                <w:lang w:eastAsia="zh-CN"/>
              </w:rPr>
            </w:pPr>
            <w:r>
              <w:rPr>
                <w:rFonts w:hint="eastAsia" w:ascii="宋体" w:hAnsi="宋体" w:eastAsia="宋体" w:cs="宋体"/>
                <w:sz w:val="24"/>
                <w:highlight w:val="none"/>
              </w:rPr>
              <w:t>地址：</w:t>
            </w:r>
            <w:r>
              <w:rPr>
                <w:rFonts w:hint="eastAsia" w:ascii="宋体" w:hAnsi="宋体" w:cs="宋体"/>
                <w:sz w:val="24"/>
                <w:highlight w:val="none"/>
                <w:lang w:eastAsia="zh-CN"/>
              </w:rPr>
              <w:t>未央区纬30街</w:t>
            </w:r>
          </w:p>
          <w:p>
            <w:pPr>
              <w:tabs>
                <w:tab w:val="left" w:pos="1180"/>
              </w:tabs>
              <w:rPr>
                <w:rFonts w:hint="eastAsia" w:ascii="宋体" w:hAnsi="宋体" w:eastAsia="宋体" w:cs="宋体"/>
                <w:sz w:val="24"/>
                <w:highlight w:val="none"/>
                <w:lang w:val="en-US" w:eastAsia="zh-CN"/>
              </w:rPr>
            </w:pPr>
            <w:r>
              <w:rPr>
                <w:rFonts w:hint="eastAsia" w:ascii="宋体" w:hAnsi="宋体" w:eastAsia="宋体" w:cs="宋体"/>
                <w:sz w:val="24"/>
                <w:highlight w:val="none"/>
              </w:rPr>
              <w:t>联系人：</w:t>
            </w:r>
            <w:r>
              <w:rPr>
                <w:rFonts w:hint="eastAsia" w:ascii="宋体" w:hAnsi="宋体" w:cs="宋体"/>
                <w:sz w:val="24"/>
                <w:highlight w:val="none"/>
                <w:lang w:val="en-US" w:eastAsia="zh-CN"/>
              </w:rPr>
              <w:t>杨老师</w:t>
            </w:r>
          </w:p>
          <w:p>
            <w:pPr>
              <w:tabs>
                <w:tab w:val="left" w:pos="1180"/>
              </w:tabs>
              <w:rPr>
                <w:rFonts w:hint="default" w:ascii="宋体" w:hAnsi="宋体" w:eastAsia="宋体" w:cs="宋体"/>
                <w:sz w:val="24"/>
                <w:highlight w:val="none"/>
                <w:lang w:val="en-US"/>
              </w:rPr>
            </w:pPr>
            <w:r>
              <w:rPr>
                <w:rFonts w:hint="eastAsia" w:ascii="宋体" w:hAnsi="宋体" w:eastAsia="宋体" w:cs="宋体"/>
                <w:sz w:val="24"/>
                <w:highlight w:val="none"/>
              </w:rPr>
              <w:t>电话：</w:t>
            </w:r>
            <w:r>
              <w:rPr>
                <w:rFonts w:hint="eastAsia" w:ascii="宋体" w:hAnsi="宋体" w:cs="宋体"/>
                <w:sz w:val="24"/>
                <w:highlight w:val="none"/>
                <w:lang w:val="en-US" w:eastAsia="zh-CN"/>
              </w:rPr>
              <w:t>029-86239743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3</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采购代理机构</w:t>
            </w:r>
          </w:p>
        </w:tc>
        <w:tc>
          <w:tcPr>
            <w:tcW w:w="7086" w:type="dxa"/>
            <w:vAlign w:val="center"/>
          </w:tcPr>
          <w:p>
            <w:pPr>
              <w:tabs>
                <w:tab w:val="left" w:pos="1180"/>
              </w:tabs>
              <w:rPr>
                <w:rFonts w:hint="eastAsia" w:ascii="宋体" w:hAnsi="宋体" w:eastAsia="宋体" w:cs="宋体"/>
                <w:sz w:val="24"/>
                <w:lang w:eastAsia="zh-CN"/>
              </w:rPr>
            </w:pPr>
            <w:r>
              <w:rPr>
                <w:rFonts w:hint="eastAsia" w:ascii="宋体" w:hAnsi="宋体" w:eastAsia="宋体" w:cs="宋体"/>
                <w:sz w:val="24"/>
                <w:lang w:eastAsia="zh-CN"/>
              </w:rPr>
              <w:t>名称：陕西嘉唐建设项目管理有限公司</w:t>
            </w:r>
          </w:p>
          <w:p>
            <w:pPr>
              <w:tabs>
                <w:tab w:val="left" w:pos="1180"/>
              </w:tabs>
              <w:rPr>
                <w:rFonts w:hint="eastAsia" w:ascii="宋体" w:hAnsi="宋体" w:eastAsia="宋体" w:cs="宋体"/>
                <w:sz w:val="24"/>
                <w:lang w:eastAsia="zh-CN"/>
              </w:rPr>
            </w:pPr>
            <w:r>
              <w:rPr>
                <w:rFonts w:hint="eastAsia" w:ascii="宋体" w:hAnsi="宋体" w:eastAsia="宋体" w:cs="宋体"/>
                <w:sz w:val="24"/>
                <w:lang w:eastAsia="zh-CN"/>
              </w:rPr>
              <w:t>地址：西安市未央区凤城五路与明光路十字天朗经开中心10楼11002室</w:t>
            </w:r>
          </w:p>
          <w:p>
            <w:pPr>
              <w:tabs>
                <w:tab w:val="left" w:pos="1180"/>
              </w:tabs>
              <w:rPr>
                <w:rFonts w:hint="eastAsia" w:ascii="宋体" w:hAnsi="宋体" w:eastAsia="宋体" w:cs="宋体"/>
                <w:sz w:val="24"/>
                <w:lang w:eastAsia="zh-CN"/>
              </w:rPr>
            </w:pPr>
            <w:r>
              <w:rPr>
                <w:rFonts w:hint="eastAsia" w:ascii="宋体" w:hAnsi="宋体" w:eastAsia="宋体" w:cs="宋体"/>
                <w:sz w:val="24"/>
                <w:lang w:eastAsia="zh-CN"/>
              </w:rPr>
              <w:t>联系人：</w:t>
            </w:r>
            <w:r>
              <w:rPr>
                <w:rFonts w:hint="eastAsia" w:ascii="宋体" w:hAnsi="宋体" w:cs="宋体"/>
                <w:sz w:val="24"/>
                <w:lang w:eastAsia="zh-CN"/>
              </w:rPr>
              <w:t>张工</w:t>
            </w:r>
          </w:p>
          <w:p>
            <w:pPr>
              <w:tabs>
                <w:tab w:val="left" w:pos="1180"/>
              </w:tabs>
              <w:rPr>
                <w:rFonts w:hint="eastAsia" w:ascii="宋体" w:hAnsi="宋体" w:eastAsia="宋体" w:cs="宋体"/>
                <w:sz w:val="24"/>
                <w:lang w:eastAsia="zh-CN"/>
              </w:rPr>
            </w:pPr>
            <w:r>
              <w:rPr>
                <w:rFonts w:hint="eastAsia" w:ascii="宋体" w:hAnsi="宋体" w:eastAsia="宋体" w:cs="宋体"/>
                <w:sz w:val="24"/>
                <w:lang w:eastAsia="zh-CN"/>
              </w:rPr>
              <w:t>联系方式：029-89351397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4</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资金状况</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财政拨款，已落实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5</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采购内容</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color w:val="333333"/>
                <w:sz w:val="24"/>
              </w:rPr>
              <w:t>具体内容详见招标文件第四章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6</w:t>
            </w:r>
          </w:p>
        </w:tc>
        <w:tc>
          <w:tcPr>
            <w:tcW w:w="1347"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采购预算</w:t>
            </w:r>
          </w:p>
        </w:tc>
        <w:tc>
          <w:tcPr>
            <w:tcW w:w="7086" w:type="dxa"/>
            <w:vAlign w:val="center"/>
          </w:tcPr>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lang w:val="en-US" w:eastAsia="zh-CN"/>
              </w:rPr>
              <w:t>第</w:t>
            </w:r>
            <w:r>
              <w:rPr>
                <w:rFonts w:hint="eastAsia" w:ascii="宋体" w:hAnsi="宋体" w:eastAsia="宋体" w:cs="宋体"/>
                <w:bCs/>
                <w:color w:val="333333"/>
                <w:sz w:val="24"/>
                <w:highlight w:val="none"/>
              </w:rPr>
              <w:t>一包：</w:t>
            </w:r>
            <w:r>
              <w:rPr>
                <w:rFonts w:hint="eastAsia" w:ascii="宋体" w:hAnsi="宋体" w:cs="宋体"/>
                <w:bCs/>
                <w:color w:val="333333"/>
                <w:sz w:val="24"/>
                <w:highlight w:val="none"/>
                <w:lang w:val="en-US" w:eastAsia="zh-CN"/>
              </w:rPr>
              <w:t>523420.00</w:t>
            </w:r>
            <w:r>
              <w:rPr>
                <w:rFonts w:hint="eastAsia" w:ascii="宋体" w:hAnsi="宋体" w:eastAsia="宋体" w:cs="宋体"/>
                <w:bCs/>
                <w:color w:val="333333"/>
                <w:sz w:val="24"/>
                <w:highlight w:val="none"/>
                <w:lang w:eastAsia="zh-CN"/>
              </w:rPr>
              <w:t>元</w:t>
            </w:r>
          </w:p>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lang w:val="en-US" w:eastAsia="zh-CN"/>
              </w:rPr>
              <w:t>第</w:t>
            </w:r>
            <w:r>
              <w:rPr>
                <w:rFonts w:hint="eastAsia" w:ascii="宋体" w:hAnsi="宋体" w:eastAsia="宋体" w:cs="宋体"/>
                <w:bCs/>
                <w:color w:val="333333"/>
                <w:sz w:val="24"/>
                <w:highlight w:val="none"/>
              </w:rPr>
              <w:t>二包：</w:t>
            </w:r>
            <w:r>
              <w:rPr>
                <w:rFonts w:hint="eastAsia" w:ascii="宋体" w:hAnsi="宋体" w:cs="宋体"/>
                <w:bCs/>
                <w:color w:val="333333"/>
                <w:sz w:val="24"/>
                <w:highlight w:val="none"/>
                <w:lang w:val="en-US" w:eastAsia="zh-CN"/>
              </w:rPr>
              <w:t>729490.00</w:t>
            </w:r>
            <w:r>
              <w:rPr>
                <w:rFonts w:hint="eastAsia" w:ascii="宋体" w:hAnsi="宋体" w:eastAsia="宋体" w:cs="宋体"/>
                <w:bCs/>
                <w:color w:val="333333"/>
                <w:sz w:val="24"/>
                <w:highlight w:val="none"/>
                <w:lang w:eastAsia="zh-CN"/>
              </w:rPr>
              <w:t>元</w:t>
            </w:r>
          </w:p>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lang w:val="en-US" w:eastAsia="zh-CN"/>
              </w:rPr>
              <w:t>第三</w:t>
            </w:r>
            <w:r>
              <w:rPr>
                <w:rFonts w:hint="eastAsia" w:ascii="宋体" w:hAnsi="宋体" w:eastAsia="宋体" w:cs="宋体"/>
                <w:bCs/>
                <w:color w:val="333333"/>
                <w:sz w:val="24"/>
                <w:highlight w:val="none"/>
              </w:rPr>
              <w:t>包：</w:t>
            </w:r>
            <w:r>
              <w:rPr>
                <w:rFonts w:hint="eastAsia" w:ascii="宋体" w:hAnsi="宋体" w:cs="宋体"/>
                <w:bCs/>
                <w:color w:val="333333"/>
                <w:sz w:val="24"/>
                <w:highlight w:val="none"/>
                <w:lang w:val="en-US" w:eastAsia="zh-CN"/>
              </w:rPr>
              <w:t>76500.00</w:t>
            </w:r>
            <w:r>
              <w:rPr>
                <w:rFonts w:hint="eastAsia" w:ascii="宋体" w:hAnsi="宋体" w:eastAsia="宋体" w:cs="宋体"/>
                <w:bCs/>
                <w:color w:val="333333"/>
                <w:sz w:val="24"/>
                <w:highlight w:val="none"/>
                <w:lang w:eastAsia="zh-CN"/>
              </w:rPr>
              <w:t>元</w:t>
            </w:r>
          </w:p>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lang w:val="en-US" w:eastAsia="zh-CN"/>
              </w:rPr>
              <w:t>第四</w:t>
            </w:r>
            <w:r>
              <w:rPr>
                <w:rFonts w:hint="eastAsia" w:ascii="宋体" w:hAnsi="宋体" w:eastAsia="宋体" w:cs="宋体"/>
                <w:bCs/>
                <w:color w:val="333333"/>
                <w:sz w:val="24"/>
                <w:highlight w:val="none"/>
              </w:rPr>
              <w:t>包：</w:t>
            </w:r>
            <w:r>
              <w:rPr>
                <w:rFonts w:hint="eastAsia" w:ascii="宋体" w:hAnsi="宋体" w:cs="宋体"/>
                <w:bCs/>
                <w:color w:val="333333"/>
                <w:sz w:val="24"/>
                <w:highlight w:val="none"/>
                <w:lang w:val="en-US" w:eastAsia="zh-CN"/>
              </w:rPr>
              <w:t>456363.00</w:t>
            </w:r>
            <w:r>
              <w:rPr>
                <w:rFonts w:hint="eastAsia" w:ascii="宋体" w:hAnsi="宋体" w:eastAsia="宋体" w:cs="宋体"/>
                <w:bCs/>
                <w:color w:val="333333"/>
                <w:sz w:val="24"/>
                <w:highlight w:val="none"/>
                <w:lang w:eastAsia="zh-CN"/>
              </w:rPr>
              <w:t>元</w:t>
            </w:r>
          </w:p>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lang w:val="en-US" w:eastAsia="zh-CN"/>
              </w:rPr>
              <w:t>第五</w:t>
            </w:r>
            <w:r>
              <w:rPr>
                <w:rFonts w:hint="eastAsia" w:ascii="宋体" w:hAnsi="宋体" w:eastAsia="宋体" w:cs="宋体"/>
                <w:bCs/>
                <w:color w:val="333333"/>
                <w:sz w:val="24"/>
                <w:highlight w:val="none"/>
              </w:rPr>
              <w:t>包：</w:t>
            </w:r>
            <w:r>
              <w:rPr>
                <w:rFonts w:hint="eastAsia" w:ascii="宋体" w:hAnsi="宋体" w:cs="宋体"/>
                <w:bCs/>
                <w:color w:val="333333"/>
                <w:sz w:val="24"/>
                <w:highlight w:val="none"/>
                <w:lang w:val="en-US" w:eastAsia="zh-CN"/>
              </w:rPr>
              <w:t>232280.00</w:t>
            </w:r>
            <w:r>
              <w:rPr>
                <w:rFonts w:hint="eastAsia" w:ascii="宋体" w:hAnsi="宋体" w:eastAsia="宋体" w:cs="宋体"/>
                <w:bCs/>
                <w:color w:val="333333"/>
                <w:sz w:val="24"/>
                <w:highlight w:val="none"/>
                <w:lang w:eastAsia="zh-CN"/>
              </w:rPr>
              <w:t>元</w:t>
            </w:r>
          </w:p>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lang w:val="en-US" w:eastAsia="zh-CN"/>
              </w:rPr>
              <w:t>第六</w:t>
            </w:r>
            <w:r>
              <w:rPr>
                <w:rFonts w:hint="eastAsia" w:ascii="宋体" w:hAnsi="宋体" w:eastAsia="宋体" w:cs="宋体"/>
                <w:bCs/>
                <w:color w:val="333333"/>
                <w:sz w:val="24"/>
                <w:highlight w:val="none"/>
              </w:rPr>
              <w:t>包：</w:t>
            </w:r>
            <w:r>
              <w:rPr>
                <w:rFonts w:hint="eastAsia" w:ascii="宋体" w:hAnsi="宋体" w:cs="宋体"/>
                <w:bCs/>
                <w:color w:val="333333"/>
                <w:sz w:val="24"/>
                <w:highlight w:val="none"/>
                <w:lang w:val="en-US" w:eastAsia="zh-CN"/>
              </w:rPr>
              <w:t>760201.00</w:t>
            </w:r>
            <w:r>
              <w:rPr>
                <w:rFonts w:hint="eastAsia" w:ascii="宋体" w:hAnsi="宋体" w:eastAsia="宋体" w:cs="宋体"/>
                <w:bCs/>
                <w:color w:val="333333"/>
                <w:sz w:val="24"/>
                <w:highlight w:val="none"/>
                <w:lang w:eastAsia="zh-CN"/>
              </w:rPr>
              <w:t>元</w:t>
            </w:r>
          </w:p>
          <w:p>
            <w:pPr>
              <w:spacing w:line="360" w:lineRule="auto"/>
              <w:rPr>
                <w:rFonts w:hint="eastAsia" w:ascii="宋体" w:hAnsi="宋体" w:cs="宋体"/>
                <w:bCs/>
                <w:color w:val="333333"/>
                <w:sz w:val="24"/>
                <w:highlight w:val="none"/>
                <w:lang w:val="en-US" w:eastAsia="zh-CN"/>
              </w:rPr>
            </w:pPr>
            <w:r>
              <w:rPr>
                <w:rFonts w:hint="eastAsia" w:ascii="宋体" w:hAnsi="宋体" w:cs="宋体"/>
                <w:bCs/>
                <w:color w:val="333333"/>
                <w:sz w:val="24"/>
                <w:highlight w:val="none"/>
                <w:lang w:eastAsia="zh-CN"/>
              </w:rPr>
              <w:t>第七包：</w:t>
            </w:r>
            <w:r>
              <w:rPr>
                <w:rFonts w:hint="eastAsia" w:ascii="宋体" w:hAnsi="宋体" w:cs="宋体"/>
                <w:bCs/>
                <w:color w:val="333333"/>
                <w:sz w:val="24"/>
                <w:highlight w:val="none"/>
                <w:lang w:val="en-US" w:eastAsia="zh-CN"/>
              </w:rPr>
              <w:t>628299.00元</w:t>
            </w:r>
          </w:p>
          <w:p>
            <w:pPr>
              <w:pStyle w:val="10"/>
              <w:rPr>
                <w:rFonts w:hint="default"/>
                <w:highlight w:val="none"/>
                <w:lang w:val="en-US" w:eastAsia="zh-CN"/>
              </w:rPr>
            </w:pPr>
            <w:r>
              <w:rPr>
                <w:rFonts w:hint="eastAsia" w:ascii="宋体" w:hAnsi="宋体" w:cs="宋体"/>
                <w:bCs/>
                <w:color w:val="333333"/>
                <w:sz w:val="24"/>
                <w:highlight w:val="none"/>
                <w:lang w:val="en-US" w:eastAsia="zh-CN"/>
              </w:rPr>
              <w:t>第八包：899727.00元</w:t>
            </w:r>
          </w:p>
          <w:p>
            <w:pPr>
              <w:spacing w:line="360" w:lineRule="auto"/>
              <w:rPr>
                <w:rFonts w:hint="eastAsia" w:ascii="宋体" w:hAnsi="宋体" w:eastAsia="宋体" w:cs="宋体"/>
                <w:bCs/>
                <w:color w:val="333333"/>
                <w:sz w:val="24"/>
                <w:highlight w:val="none"/>
                <w:lang w:eastAsia="zh-CN"/>
              </w:rPr>
            </w:pPr>
            <w:r>
              <w:rPr>
                <w:rFonts w:hint="eastAsia" w:ascii="宋体" w:hAnsi="宋体" w:eastAsia="宋体" w:cs="宋体"/>
                <w:bCs/>
                <w:color w:val="333333"/>
                <w:sz w:val="24"/>
                <w:highlight w:val="none"/>
              </w:rPr>
              <w:t>注：投标人投标报价不得高于</w:t>
            </w:r>
            <w:r>
              <w:rPr>
                <w:rFonts w:hint="eastAsia" w:ascii="宋体" w:hAnsi="宋体" w:eastAsia="宋体" w:cs="宋体"/>
                <w:sz w:val="24"/>
                <w:highlight w:val="none"/>
              </w:rPr>
              <w:t>采购预算，否则按无效投标处理</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7</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highlight w:val="none"/>
              </w:rPr>
              <w:t>交货期</w:t>
            </w:r>
          </w:p>
        </w:tc>
        <w:tc>
          <w:tcPr>
            <w:tcW w:w="7086" w:type="dxa"/>
            <w:vAlign w:val="center"/>
          </w:tcPr>
          <w:p>
            <w:pPr>
              <w:spacing w:line="360" w:lineRule="auto"/>
              <w:rPr>
                <w:rFonts w:hint="default" w:ascii="宋体" w:hAnsi="宋体" w:eastAsia="宋体" w:cs="宋体"/>
                <w:sz w:val="24"/>
                <w:highlight w:val="yellow"/>
                <w:lang w:val="en-US" w:eastAsia="zh-CN"/>
              </w:rPr>
            </w:pPr>
            <w:r>
              <w:rPr>
                <w:rFonts w:hint="eastAsia" w:ascii="宋体" w:hAnsi="宋体" w:cs="宋体"/>
                <w:sz w:val="24"/>
                <w:highlight w:val="none"/>
                <w:lang w:eastAsia="zh-CN"/>
              </w:rPr>
              <w:t>自合同签订之日起</w:t>
            </w:r>
            <w:r>
              <w:rPr>
                <w:rFonts w:hint="eastAsia" w:ascii="宋体" w:hAnsi="宋体" w:cs="宋体"/>
                <w:sz w:val="24"/>
                <w:highlight w:val="none"/>
                <w:lang w:val="en-US" w:eastAsia="zh-CN"/>
              </w:rPr>
              <w:t>10日历天内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8</w:t>
            </w:r>
          </w:p>
        </w:tc>
        <w:tc>
          <w:tcPr>
            <w:tcW w:w="1347"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交货地点</w:t>
            </w:r>
          </w:p>
        </w:tc>
        <w:tc>
          <w:tcPr>
            <w:tcW w:w="7086"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lang w:eastAsia="zh-CN"/>
              </w:rPr>
              <w:t>采购人</w:t>
            </w:r>
            <w:r>
              <w:rPr>
                <w:rFonts w:hint="eastAsia" w:ascii="宋体" w:hAnsi="宋体" w:eastAsia="宋体" w:cs="宋体"/>
                <w:sz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1347"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lang w:eastAsia="zh-CN"/>
              </w:rPr>
              <w:t>付款方式</w:t>
            </w:r>
          </w:p>
        </w:tc>
        <w:tc>
          <w:tcPr>
            <w:tcW w:w="7086"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合同签订后，</w:t>
            </w:r>
            <w:r>
              <w:rPr>
                <w:rFonts w:hint="eastAsia" w:ascii="宋体" w:hAnsi="宋体" w:eastAsia="宋体" w:cs="宋体"/>
                <w:sz w:val="24"/>
                <w:highlight w:val="none"/>
                <w:lang w:eastAsia="zh-CN"/>
              </w:rPr>
              <w:t>乙方所提供</w:t>
            </w:r>
            <w:r>
              <w:rPr>
                <w:rFonts w:hint="eastAsia" w:ascii="宋体" w:hAnsi="宋体" w:eastAsia="宋体" w:cs="宋体"/>
                <w:sz w:val="24"/>
                <w:highlight w:val="none"/>
              </w:rPr>
              <w:t>设备</w:t>
            </w:r>
            <w:r>
              <w:rPr>
                <w:rFonts w:hint="eastAsia" w:ascii="宋体" w:hAnsi="宋体" w:eastAsia="宋体" w:cs="宋体"/>
                <w:sz w:val="24"/>
                <w:highlight w:val="none"/>
                <w:lang w:eastAsia="zh-CN"/>
              </w:rPr>
              <w:t>到达</w:t>
            </w:r>
            <w:r>
              <w:rPr>
                <w:rFonts w:hint="eastAsia" w:ascii="宋体" w:hAnsi="宋体" w:eastAsia="宋体" w:cs="宋体"/>
                <w:sz w:val="24"/>
                <w:highlight w:val="none"/>
              </w:rPr>
              <w:t>甲方指定地点，安装、调试完毕、试运行正常并验收合格后，甲方向乙方支付至合同总价款的</w:t>
            </w:r>
            <w:r>
              <w:rPr>
                <w:rFonts w:hint="eastAsia" w:ascii="宋体" w:hAnsi="宋体" w:eastAsia="宋体" w:cs="宋体"/>
                <w:sz w:val="24"/>
                <w:highlight w:val="none"/>
                <w:lang w:val="en-US" w:eastAsia="zh-CN"/>
              </w:rPr>
              <w:t>95</w:t>
            </w:r>
            <w:r>
              <w:rPr>
                <w:rFonts w:hint="eastAsia" w:ascii="宋体" w:hAnsi="宋体" w:eastAsia="宋体" w:cs="宋体"/>
                <w:sz w:val="24"/>
                <w:highlight w:val="none"/>
              </w:rPr>
              <w:t>%，留合同总价的</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%作为</w:t>
            </w:r>
            <w:r>
              <w:rPr>
                <w:rFonts w:hint="eastAsia" w:ascii="宋体" w:hAnsi="宋体" w:cs="宋体"/>
                <w:sz w:val="24"/>
                <w:highlight w:val="none"/>
                <w:lang w:eastAsia="zh-CN"/>
              </w:rPr>
              <w:t>设备尾款</w:t>
            </w:r>
            <w:r>
              <w:rPr>
                <w:rFonts w:hint="eastAsia" w:ascii="宋体" w:hAnsi="宋体" w:eastAsia="宋体" w:cs="宋体"/>
                <w:sz w:val="24"/>
                <w:highlight w:val="none"/>
              </w:rPr>
              <w:t>。从验收合格之日起</w:t>
            </w:r>
            <w:r>
              <w:rPr>
                <w:rFonts w:hint="eastAsia" w:ascii="宋体" w:hAnsi="宋体" w:cs="宋体"/>
                <w:sz w:val="24"/>
                <w:highlight w:val="none"/>
                <w:lang w:val="en-US" w:eastAsia="zh-CN"/>
              </w:rPr>
              <w:t>1</w:t>
            </w:r>
            <w:r>
              <w:rPr>
                <w:rFonts w:hint="eastAsia" w:ascii="宋体" w:hAnsi="宋体" w:eastAsia="宋体" w:cs="宋体"/>
                <w:sz w:val="24"/>
                <w:highlight w:val="none"/>
              </w:rPr>
              <w:t>年后，如无质量等问题，甲方于一周内将</w:t>
            </w:r>
            <w:r>
              <w:rPr>
                <w:rFonts w:hint="eastAsia" w:ascii="宋体" w:hAnsi="宋体" w:cs="宋体"/>
                <w:sz w:val="24"/>
                <w:highlight w:val="none"/>
                <w:lang w:eastAsia="zh-CN"/>
              </w:rPr>
              <w:t>设备尾款</w:t>
            </w:r>
            <w:r>
              <w:rPr>
                <w:rFonts w:hint="eastAsia" w:ascii="宋体" w:hAnsi="宋体" w:eastAsia="宋体" w:cs="宋体"/>
                <w:sz w:val="24"/>
                <w:highlight w:val="none"/>
              </w:rPr>
              <w:t>（合同总价</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％）向乙方结清。(相关费用的税款由乙方承担)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10</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val="zh-CN"/>
              </w:rPr>
              <w:t>进口产品</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本采购项目拒绝进口产品参加投标</w:t>
            </w:r>
          </w:p>
          <w:p>
            <w:pPr>
              <w:spacing w:line="360" w:lineRule="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本采购项目已经财政部审核同意购买进口产品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w:t>
            </w:r>
          </w:p>
        </w:tc>
        <w:tc>
          <w:tcPr>
            <w:tcW w:w="1347" w:type="dxa"/>
            <w:vAlign w:val="center"/>
          </w:tcPr>
          <w:p>
            <w:pPr>
              <w:spacing w:line="360" w:lineRule="auto"/>
              <w:jc w:val="center"/>
              <w:rPr>
                <w:rFonts w:hint="eastAsia" w:ascii="宋体" w:hAnsi="宋体" w:eastAsia="宋体" w:cs="宋体"/>
                <w:sz w:val="24"/>
                <w:lang w:val="zh-CN"/>
              </w:rPr>
            </w:pPr>
            <w:r>
              <w:rPr>
                <w:rFonts w:hint="eastAsia" w:ascii="宋体" w:hAnsi="宋体" w:eastAsia="宋体" w:cs="宋体"/>
                <w:sz w:val="24"/>
                <w:lang w:val="zh-CN"/>
              </w:rPr>
              <w:t>投标人应具备的资格条件</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12</w:t>
            </w:r>
          </w:p>
        </w:tc>
        <w:tc>
          <w:tcPr>
            <w:tcW w:w="1347" w:type="dxa"/>
            <w:vAlign w:val="center"/>
          </w:tcPr>
          <w:p>
            <w:pPr>
              <w:spacing w:line="360" w:lineRule="auto"/>
              <w:jc w:val="center"/>
              <w:rPr>
                <w:rFonts w:hint="eastAsia" w:ascii="宋体" w:hAnsi="宋体" w:eastAsia="宋体" w:cs="宋体"/>
                <w:sz w:val="24"/>
                <w:lang w:val="zh-CN"/>
              </w:rPr>
            </w:pPr>
            <w:r>
              <w:rPr>
                <w:rFonts w:hint="eastAsia" w:ascii="宋体" w:hAnsi="宋体" w:eastAsia="宋体" w:cs="宋体"/>
                <w:sz w:val="24"/>
                <w:lang w:val="zh-CN"/>
              </w:rPr>
              <w:t>是否接受联合体投标</w:t>
            </w:r>
          </w:p>
        </w:tc>
        <w:tc>
          <w:tcPr>
            <w:tcW w:w="7086" w:type="dxa"/>
            <w:vAlign w:val="center"/>
          </w:tcPr>
          <w:p>
            <w:pPr>
              <w:rPr>
                <w:rFonts w:hint="eastAsia" w:ascii="宋体" w:hAnsi="宋体" w:eastAsia="宋体" w:cs="宋体"/>
                <w:sz w:val="24"/>
              </w:rPr>
            </w:pPr>
            <w:r>
              <w:rPr>
                <w:rFonts w:hint="eastAsia" w:ascii="宋体" w:hAnsi="宋体" w:eastAsia="宋体" w:cs="宋体"/>
                <w:sz w:val="24"/>
              </w:rPr>
              <w:t>☑ 不接受</w:t>
            </w:r>
          </w:p>
          <w:p>
            <w:pPr>
              <w:spacing w:line="360" w:lineRule="auto"/>
              <w:rPr>
                <w:rFonts w:hint="eastAsia" w:ascii="宋体" w:hAnsi="宋体" w:eastAsia="宋体" w:cs="宋体"/>
                <w:sz w:val="24"/>
              </w:rPr>
            </w:pPr>
            <w:r>
              <w:rPr>
                <w:rFonts w:hint="eastAsia" w:ascii="宋体" w:hAnsi="宋体" w:eastAsia="宋体" w:cs="宋体"/>
                <w:sz w:val="24"/>
              </w:rPr>
              <w:t>□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13</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投标保证金</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14</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分包或转包</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本项目不允许将中标项目分包或转包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15</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备选方案</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16</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投标有效期</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投标文件从开标之日起，投标有效期为90天。中标供应商投标文件有效期自动延长至项目质保期结束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17</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投标文件份数</w:t>
            </w:r>
          </w:p>
        </w:tc>
        <w:tc>
          <w:tcPr>
            <w:tcW w:w="7086" w:type="dxa"/>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正本壹份；副本贰份；</w:t>
            </w:r>
            <w:r>
              <w:rPr>
                <w:rFonts w:hint="eastAsia" w:ascii="宋体" w:hAnsi="宋体" w:cs="宋体"/>
                <w:sz w:val="24"/>
                <w:lang w:eastAsia="zh-CN"/>
              </w:rPr>
              <w:t>开标一览表壹份；</w:t>
            </w:r>
            <w:r>
              <w:rPr>
                <w:rFonts w:hint="eastAsia" w:ascii="宋体" w:hAnsi="宋体" w:eastAsia="宋体" w:cs="宋体"/>
                <w:sz w:val="24"/>
              </w:rPr>
              <w:t>电子版（U盘）贰份（U盘储存Word及PDF格式，包含磋商响应文件所有内容</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18</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封套上写明</w:t>
            </w:r>
          </w:p>
        </w:tc>
        <w:tc>
          <w:tcPr>
            <w:tcW w:w="7086" w:type="dxa"/>
            <w:vAlign w:val="center"/>
          </w:tcPr>
          <w:p>
            <w:pPr>
              <w:spacing w:line="360" w:lineRule="auto"/>
              <w:rPr>
                <w:rFonts w:hint="eastAsia" w:ascii="宋体" w:hAnsi="宋体" w:eastAsia="宋体" w:cs="宋体"/>
                <w:sz w:val="24"/>
              </w:rPr>
            </w:pPr>
            <w:r>
              <w:rPr>
                <w:rFonts w:hint="eastAsia" w:ascii="宋体" w:hAnsi="宋体" w:eastAsia="宋体" w:cs="宋体"/>
                <w:sz w:val="24"/>
              </w:rPr>
              <w:t>1、招标人名称：</w:t>
            </w:r>
          </w:p>
          <w:p>
            <w:pPr>
              <w:spacing w:line="360" w:lineRule="auto"/>
              <w:rPr>
                <w:rFonts w:hint="eastAsia" w:ascii="宋体" w:hAnsi="宋体" w:eastAsia="宋体" w:cs="宋体"/>
                <w:sz w:val="24"/>
              </w:rPr>
            </w:pPr>
            <w:r>
              <w:rPr>
                <w:rFonts w:hint="eastAsia" w:ascii="宋体" w:hAnsi="宋体" w:eastAsia="宋体" w:cs="宋体"/>
                <w:sz w:val="24"/>
              </w:rPr>
              <w:t>2、投标人名称以及标注“正本”、“副本”、“电子版”</w:t>
            </w:r>
            <w:r>
              <w:rPr>
                <w:rFonts w:hint="eastAsia" w:ascii="宋体" w:hAnsi="宋体" w:cs="宋体"/>
                <w:sz w:val="24"/>
                <w:lang w:eastAsia="zh-CN"/>
              </w:rPr>
              <w:t>“</w:t>
            </w:r>
            <w:r>
              <w:rPr>
                <w:rFonts w:hint="eastAsia" w:ascii="宋体" w:hAnsi="宋体" w:cs="宋体"/>
                <w:sz w:val="24"/>
                <w:lang w:val="en-US" w:eastAsia="zh-CN"/>
              </w:rPr>
              <w:t>开标一览表</w:t>
            </w:r>
            <w:r>
              <w:rPr>
                <w:rFonts w:hint="eastAsia" w:ascii="宋体" w:hAnsi="宋体" w:cs="宋体"/>
                <w:sz w:val="24"/>
                <w:lang w:eastAsia="zh-CN"/>
              </w:rPr>
              <w:t>”</w:t>
            </w:r>
            <w:r>
              <w:rPr>
                <w:rFonts w:hint="eastAsia" w:ascii="宋体" w:hAnsi="宋体" w:eastAsia="宋体" w:cs="宋体"/>
                <w:sz w:val="24"/>
              </w:rPr>
              <w:t>字样，密封处应加盖投标人公章。</w:t>
            </w:r>
          </w:p>
          <w:p>
            <w:pPr>
              <w:spacing w:line="360" w:lineRule="auto"/>
              <w:rPr>
                <w:rFonts w:hint="eastAsia" w:ascii="宋体" w:hAnsi="宋体" w:eastAsia="宋体" w:cs="宋体"/>
                <w:sz w:val="24"/>
              </w:rPr>
            </w:pPr>
            <w:r>
              <w:rPr>
                <w:rFonts w:hint="eastAsia" w:ascii="宋体" w:hAnsi="宋体" w:eastAsia="宋体" w:cs="宋体"/>
                <w:sz w:val="24"/>
              </w:rPr>
              <w:t>3、（项目名称</w:t>
            </w:r>
            <w:r>
              <w:rPr>
                <w:rFonts w:hint="eastAsia" w:ascii="宋体" w:hAnsi="宋体" w:eastAsia="宋体" w:cs="宋体"/>
                <w:sz w:val="24"/>
                <w:lang w:eastAsia="zh-CN"/>
              </w:rPr>
              <w:t>、</w:t>
            </w:r>
            <w:r>
              <w:rPr>
                <w:rFonts w:hint="eastAsia" w:ascii="宋体" w:hAnsi="宋体" w:eastAsia="宋体" w:cs="宋体"/>
                <w:sz w:val="24"/>
                <w:lang w:val="en-US" w:eastAsia="zh-CN"/>
              </w:rPr>
              <w:t>包号</w:t>
            </w:r>
            <w:r>
              <w:rPr>
                <w:rFonts w:hint="eastAsia" w:ascii="宋体" w:hAnsi="宋体" w:eastAsia="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19</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装订与密封要求</w:t>
            </w:r>
          </w:p>
        </w:tc>
        <w:tc>
          <w:tcPr>
            <w:tcW w:w="7086" w:type="dxa"/>
            <w:vAlign w:val="center"/>
          </w:tcPr>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投标文件须胶装成套且须用密封袋密封，包括投标文件正本、副本、开标一览表、投标文件电子版；投标文件的正本须单独包装，副本可以包装在一个封套内或分别包装，电子版单独包装</w:t>
            </w:r>
            <w:r>
              <w:rPr>
                <w:rFonts w:hint="eastAsia" w:ascii="宋体" w:hAnsi="宋体" w:cs="宋体"/>
                <w:sz w:val="24"/>
                <w:lang w:eastAsia="zh-CN"/>
              </w:rPr>
              <w:t>，</w:t>
            </w:r>
            <w:r>
              <w:rPr>
                <w:rFonts w:hint="eastAsia" w:ascii="宋体" w:hAnsi="宋体" w:eastAsia="宋体" w:cs="宋体"/>
                <w:sz w:val="24"/>
              </w:rPr>
              <w:t>开标一览表单独包装</w:t>
            </w:r>
            <w:r>
              <w:rPr>
                <w:rFonts w:hint="eastAsia" w:ascii="宋体" w:hAnsi="宋体" w:cs="宋体"/>
                <w:sz w:val="24"/>
                <w:lang w:eastAsia="zh-CN"/>
              </w:rPr>
              <w:t>。</w:t>
            </w:r>
            <w:r>
              <w:rPr>
                <w:rFonts w:hint="eastAsia" w:ascii="宋体" w:hAnsi="宋体" w:eastAsia="宋体" w:cs="宋体"/>
                <w:sz w:val="24"/>
              </w:rPr>
              <w:t>所有封套均应加贴封条，并在封套的封口处加盖投标人公章及法定代表人或其委托代理人签字或盖章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20</w:t>
            </w:r>
          </w:p>
        </w:tc>
        <w:tc>
          <w:tcPr>
            <w:tcW w:w="134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投标报价的其他要求</w:t>
            </w:r>
          </w:p>
        </w:tc>
        <w:tc>
          <w:tcPr>
            <w:tcW w:w="7086" w:type="dxa"/>
            <w:vAlign w:val="center"/>
          </w:tcPr>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1.投标价格以人民币为计量币种，单位为元。</w:t>
            </w:r>
          </w:p>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2.本项目采用固定总价合同，投标报价为完成该项目所发生的全部费用总和，包含设备费、材料费、安装费、运杂费、保险费、利润、</w:t>
            </w:r>
            <w:r>
              <w:rPr>
                <w:rFonts w:hint="eastAsia" w:ascii="宋体" w:hAnsi="宋体" w:eastAsia="宋体" w:cs="宋体"/>
                <w:sz w:val="24"/>
                <w:lang w:eastAsia="zh-CN"/>
              </w:rPr>
              <w:t>税金、</w:t>
            </w:r>
            <w:r>
              <w:rPr>
                <w:rFonts w:hint="eastAsia" w:ascii="宋体" w:hAnsi="宋体" w:eastAsia="宋体" w:cs="宋体"/>
                <w:sz w:val="24"/>
              </w:rPr>
              <w:t>招标代理服务费</w:t>
            </w:r>
            <w:r>
              <w:rPr>
                <w:rFonts w:hint="eastAsia" w:ascii="宋体" w:hAnsi="宋体" w:eastAsia="宋体" w:cs="宋体"/>
                <w:sz w:val="24"/>
                <w:lang w:eastAsia="zh-CN"/>
              </w:rPr>
              <w:t>、</w:t>
            </w:r>
            <w:r>
              <w:rPr>
                <w:rFonts w:hint="eastAsia" w:ascii="宋体" w:hAnsi="宋体" w:eastAsia="宋体" w:cs="宋体"/>
                <w:sz w:val="24"/>
              </w:rPr>
              <w:t>全程的服务配合等相关费用。</w:t>
            </w:r>
          </w:p>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3.投标文件中对招标文件要求的内容有缺漏项的，不满足采购人实际需求（设备数量偏差）的将可能导致废标。</w:t>
            </w:r>
          </w:p>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4.投标报价表中标明的价格在合同执行过程中是固定不变的，不得以任何理由予以变更。</w:t>
            </w:r>
          </w:p>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5.凡因投标人对招标文件阅读不深、理解不透、误解、疏漏或因市场行情了解不清造成的后果和风险均由投标人自负。投标人应充分考虑招标文件的各项条款要求，结合本项目实际情况进行自主报价。</w:t>
            </w:r>
          </w:p>
          <w:p>
            <w:pPr>
              <w:autoSpaceDE w:val="0"/>
              <w:autoSpaceDN w:val="0"/>
              <w:adjustRightInd w:val="0"/>
              <w:spacing w:line="360" w:lineRule="auto"/>
              <w:rPr>
                <w:rFonts w:hint="eastAsia" w:ascii="宋体" w:hAnsi="宋体" w:eastAsia="宋体" w:cs="宋体"/>
                <w:sz w:val="24"/>
              </w:rPr>
            </w:pPr>
            <w:r>
              <w:rPr>
                <w:rFonts w:hint="eastAsia" w:ascii="宋体" w:hAnsi="宋体" w:eastAsia="宋体" w:cs="宋体"/>
                <w:sz w:val="24"/>
              </w:rPr>
              <w:t>6. 最低报价不是中标的唯一依据。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0" w:type="dxa"/>
            <w:vMerge w:val="restart"/>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21</w:t>
            </w:r>
          </w:p>
        </w:tc>
        <w:tc>
          <w:tcPr>
            <w:tcW w:w="1347" w:type="dxa"/>
            <w:vMerge w:val="restart"/>
            <w:vAlign w:val="center"/>
          </w:tcPr>
          <w:p>
            <w:pPr>
              <w:jc w:val="center"/>
              <w:rPr>
                <w:rFonts w:hint="eastAsia" w:ascii="宋体" w:hAnsi="宋体" w:eastAsia="宋体" w:cs="宋体"/>
                <w:sz w:val="24"/>
                <w:lang w:val="zh-CN"/>
              </w:rPr>
            </w:pPr>
            <w:r>
              <w:rPr>
                <w:rFonts w:hint="eastAsia" w:ascii="宋体" w:hAnsi="宋体" w:eastAsia="宋体" w:cs="宋体"/>
                <w:sz w:val="24"/>
                <w:lang w:val="zh-CN"/>
              </w:rPr>
              <w:t>招标文件的澄清和修改</w:t>
            </w:r>
          </w:p>
        </w:tc>
        <w:tc>
          <w:tcPr>
            <w:tcW w:w="7086" w:type="dxa"/>
            <w:vAlign w:val="center"/>
          </w:tcPr>
          <w:p>
            <w:pPr>
              <w:tabs>
                <w:tab w:val="left" w:pos="1180"/>
              </w:tabs>
              <w:rPr>
                <w:rFonts w:hint="eastAsia" w:ascii="宋体" w:hAnsi="宋体" w:eastAsia="宋体" w:cs="宋体"/>
                <w:kern w:val="0"/>
                <w:sz w:val="24"/>
              </w:rPr>
            </w:pPr>
            <w:r>
              <w:rPr>
                <w:rFonts w:hint="eastAsia" w:ascii="宋体" w:hAnsi="宋体" w:eastAsia="宋体" w:cs="宋体"/>
                <w:kern w:val="0"/>
                <w:sz w:val="24"/>
              </w:rPr>
              <w:t>时间：投标截止时间15天前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0" w:type="dxa"/>
            <w:vMerge w:val="continue"/>
            <w:vAlign w:val="center"/>
          </w:tcPr>
          <w:p>
            <w:pPr>
              <w:tabs>
                <w:tab w:val="left" w:pos="1180"/>
              </w:tabs>
              <w:jc w:val="center"/>
              <w:rPr>
                <w:rFonts w:hint="eastAsia" w:ascii="宋体" w:hAnsi="宋体" w:eastAsia="宋体" w:cs="宋体"/>
                <w:sz w:val="24"/>
                <w:szCs w:val="24"/>
              </w:rPr>
            </w:pPr>
          </w:p>
        </w:tc>
        <w:tc>
          <w:tcPr>
            <w:tcW w:w="1347" w:type="dxa"/>
            <w:vMerge w:val="continue"/>
            <w:vAlign w:val="center"/>
          </w:tcPr>
          <w:p>
            <w:pPr>
              <w:tabs>
                <w:tab w:val="left" w:pos="1180"/>
              </w:tabs>
              <w:rPr>
                <w:rFonts w:hint="eastAsia" w:ascii="宋体" w:hAnsi="宋体" w:eastAsia="宋体" w:cs="宋体"/>
              </w:rPr>
            </w:pPr>
          </w:p>
        </w:tc>
        <w:tc>
          <w:tcPr>
            <w:tcW w:w="7086" w:type="dxa"/>
            <w:vAlign w:val="center"/>
          </w:tcPr>
          <w:p>
            <w:pPr>
              <w:tabs>
                <w:tab w:val="left" w:pos="1180"/>
              </w:tabs>
              <w:rPr>
                <w:rFonts w:hint="eastAsia" w:ascii="宋体" w:hAnsi="宋体" w:eastAsia="宋体" w:cs="宋体"/>
                <w:kern w:val="0"/>
                <w:sz w:val="24"/>
              </w:rPr>
            </w:pPr>
            <w:r>
              <w:rPr>
                <w:rFonts w:hint="eastAsia" w:ascii="宋体" w:hAnsi="宋体" w:eastAsia="宋体" w:cs="宋体"/>
                <w:kern w:val="0"/>
                <w:sz w:val="24"/>
              </w:rPr>
              <w:t>形式：书面形式</w:t>
            </w:r>
            <w:r>
              <w:rPr>
                <w:rFonts w:hint="eastAsia" w:ascii="宋体" w:hAnsi="宋体" w:eastAsia="宋体" w:cs="宋体"/>
                <w:kern w:val="0"/>
                <w:sz w:val="24"/>
                <w:lang w:val="zh-CN"/>
              </w:rPr>
              <w:t>发给所有购买招标文件的潜在投标人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22</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lang w:val="zh-CN"/>
              </w:rPr>
              <w:t>投标截止时间</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kern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23</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lang w:val="zh-CN"/>
              </w:rPr>
              <w:t>递交投标文件的地点</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kern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24</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rPr>
              <w:t>投标文件是否退还</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25</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rPr>
              <w:t>开标时间和地点</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kern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sz w:val="24"/>
                <w:lang w:val="en-US" w:eastAsia="zh-CN"/>
              </w:rPr>
              <w:t>26</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rPr>
              <w:t>履约保证金</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sz w:val="24"/>
              </w:rPr>
              <w:t>☑ 无</w:t>
            </w:r>
          </w:p>
          <w:p>
            <w:pPr>
              <w:tabs>
                <w:tab w:val="left" w:pos="1180"/>
              </w:tabs>
              <w:rPr>
                <w:rFonts w:hint="eastAsia" w:ascii="宋体" w:hAnsi="宋体" w:eastAsia="宋体" w:cs="宋体"/>
                <w:sz w:val="24"/>
              </w:rPr>
            </w:pPr>
            <w:r>
              <w:rPr>
                <w:rFonts w:hint="eastAsia" w:ascii="宋体" w:hAnsi="宋体" w:eastAsia="宋体" w:cs="宋体"/>
                <w:sz w:val="24"/>
              </w:rPr>
              <w:t>□ 有，履约保证金的形式和金额：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sz w:val="24"/>
                <w:lang w:val="en-US" w:eastAsia="zh-CN"/>
              </w:rPr>
              <w:t>27</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rPr>
              <w:t>踏勘</w:t>
            </w:r>
          </w:p>
        </w:tc>
        <w:tc>
          <w:tcPr>
            <w:tcW w:w="7086" w:type="dxa"/>
            <w:vAlign w:val="center"/>
          </w:tcPr>
          <w:p>
            <w:pPr>
              <w:tabs>
                <w:tab w:val="left" w:pos="1180"/>
              </w:tabs>
              <w:rPr>
                <w:rFonts w:hint="eastAsia" w:ascii="宋体" w:hAnsi="宋体" w:eastAsia="宋体" w:cs="宋体"/>
                <w:sz w:val="24"/>
              </w:rPr>
            </w:pPr>
            <w:r>
              <w:rPr>
                <w:rFonts w:hint="eastAsia" w:ascii="宋体" w:hAnsi="宋体" w:eastAsia="宋体" w:cs="宋体"/>
                <w:sz w:val="24"/>
              </w:rPr>
              <w:t>□ 踏勘</w:t>
            </w:r>
          </w:p>
          <w:p>
            <w:pPr>
              <w:tabs>
                <w:tab w:val="left" w:pos="1180"/>
              </w:tabs>
              <w:rPr>
                <w:rFonts w:hint="eastAsia" w:ascii="宋体" w:hAnsi="宋体" w:eastAsia="宋体" w:cs="宋体"/>
                <w:color w:val="FF0000"/>
                <w:sz w:val="24"/>
              </w:rPr>
            </w:pPr>
            <w:r>
              <w:rPr>
                <w:rFonts w:hint="eastAsia" w:ascii="宋体" w:hAnsi="宋体" w:eastAsia="宋体" w:cs="宋体"/>
                <w:sz w:val="24"/>
              </w:rPr>
              <w:t>☑ 不踏勘：采购人不统一组织现场踏勘。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0" w:type="dxa"/>
            <w:vAlign w:val="center"/>
          </w:tcPr>
          <w:p>
            <w:pPr>
              <w:keepNext w:val="0"/>
              <w:keepLines w:val="0"/>
              <w:widowControl/>
              <w:suppressLineNumbers w:val="0"/>
              <w:jc w:val="center"/>
              <w:textAlignment w:val="center"/>
              <w:rPr>
                <w:rFonts w:hint="eastAsia" w:ascii="宋体" w:hAnsi="宋体" w:eastAsia="宋体" w:cs="宋体"/>
                <w:sz w:val="24"/>
                <w:lang w:val="en-US" w:eastAsia="zh-CN"/>
              </w:rPr>
            </w:pPr>
            <w:bookmarkStart w:id="18" w:name="_Toc24303"/>
            <w:bookmarkStart w:id="19" w:name="_Toc311415569"/>
            <w:bookmarkStart w:id="20" w:name="_Toc31308"/>
            <w:bookmarkStart w:id="21" w:name="_Toc283240485"/>
            <w:bookmarkStart w:id="22" w:name="_Toc283626501"/>
            <w:bookmarkStart w:id="23" w:name="_Toc332874418"/>
            <w:r>
              <w:rPr>
                <w:rFonts w:hint="eastAsia" w:ascii="宋体" w:hAnsi="宋体" w:eastAsia="宋体" w:cs="宋体"/>
                <w:sz w:val="24"/>
                <w:lang w:val="en-US" w:eastAsia="zh-CN"/>
              </w:rPr>
              <w:t>28</w:t>
            </w:r>
          </w:p>
        </w:tc>
        <w:tc>
          <w:tcPr>
            <w:tcW w:w="1347" w:type="dxa"/>
            <w:vAlign w:val="center"/>
          </w:tcPr>
          <w:p>
            <w:pPr>
              <w:jc w:val="center"/>
              <w:rPr>
                <w:rFonts w:hint="eastAsia" w:ascii="宋体" w:hAnsi="宋体" w:eastAsia="宋体" w:cs="宋体"/>
                <w:sz w:val="24"/>
              </w:rPr>
            </w:pPr>
            <w:r>
              <w:rPr>
                <w:rFonts w:hint="eastAsia" w:ascii="宋体" w:hAnsi="宋体" w:eastAsia="宋体" w:cs="宋体"/>
                <w:sz w:val="24"/>
              </w:rPr>
              <w:t>融资平台</w:t>
            </w:r>
          </w:p>
        </w:tc>
        <w:tc>
          <w:tcPr>
            <w:tcW w:w="7086" w:type="dxa"/>
          </w:tcPr>
          <w:p>
            <w:pPr>
              <w:spacing w:line="360" w:lineRule="auto"/>
              <w:rPr>
                <w:rFonts w:hint="eastAsia" w:ascii="宋体" w:hAnsi="宋体" w:eastAsia="宋体" w:cs="宋体"/>
                <w:sz w:val="24"/>
              </w:rPr>
            </w:pPr>
            <w:r>
              <w:rPr>
                <w:rFonts w:hint="eastAsia" w:ascii="宋体" w:hAnsi="宋体" w:eastAsia="宋体" w:cs="宋体"/>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pacing w:line="360" w:lineRule="auto"/>
              <w:rPr>
                <w:rFonts w:hint="eastAsia" w:ascii="宋体" w:hAnsi="宋体" w:eastAsia="宋体" w:cs="宋体"/>
                <w:sz w:val="24"/>
              </w:rPr>
            </w:pPr>
            <w:r>
              <w:rPr>
                <w:rFonts w:hint="eastAsia" w:ascii="宋体" w:hAnsi="宋体" w:eastAsia="宋体" w:cs="宋体"/>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spacing w:line="360" w:lineRule="auto"/>
              <w:jc w:val="left"/>
              <w:rPr>
                <w:rFonts w:hint="eastAsia" w:ascii="宋体" w:hAnsi="宋体" w:eastAsia="宋体" w:cs="宋体"/>
                <w:sz w:val="24"/>
              </w:rPr>
            </w:pPr>
            <w:r>
              <w:rPr>
                <w:rFonts w:hint="eastAsia" w:ascii="宋体" w:hAnsi="宋体" w:eastAsia="宋体" w:cs="宋体"/>
                <w:sz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网址</w:t>
            </w:r>
            <w:r>
              <w:rPr>
                <w:rFonts w:hint="eastAsia" w:ascii="宋体" w:hAnsi="宋体" w:eastAsia="宋体" w:cs="宋体"/>
                <w:sz w:val="24"/>
              </w:rPr>
              <w:t>:</w:t>
            </w:r>
            <w:r>
              <w:rPr>
                <w:rFonts w:hint="eastAsia" w:ascii="宋体" w:hAnsi="宋体" w:eastAsia="宋体" w:cs="宋体"/>
                <w:sz w:val="22"/>
                <w:szCs w:val="22"/>
              </w:rPr>
              <w:t>http://www.ccgp-shaanxi.gov.cn/zcdservice/zcd/shanxi/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0" w:type="dxa"/>
            <w:vAlign w:val="center"/>
          </w:tcPr>
          <w:p>
            <w:pPr>
              <w:numPr>
                <w:ilvl w:val="0"/>
                <w:numId w:val="0"/>
              </w:numPr>
              <w:spacing w:line="360" w:lineRule="auto"/>
              <w:ind w:leftChars="0"/>
              <w:jc w:val="both"/>
              <w:rPr>
                <w:rFonts w:hint="eastAsia" w:ascii="宋体" w:hAnsi="宋体" w:eastAsia="宋体" w:cs="宋体"/>
                <w:sz w:val="24"/>
                <w:lang w:val="en-US" w:eastAsia="zh-CN"/>
              </w:rPr>
            </w:pPr>
            <w:r>
              <w:rPr>
                <w:rFonts w:hint="eastAsia" w:ascii="宋体" w:hAnsi="宋体" w:eastAsia="宋体" w:cs="宋体"/>
                <w:sz w:val="24"/>
                <w:lang w:val="en-US" w:eastAsia="zh-CN"/>
              </w:rPr>
              <w:t>29</w:t>
            </w:r>
          </w:p>
        </w:tc>
        <w:tc>
          <w:tcPr>
            <w:tcW w:w="1347" w:type="dxa"/>
            <w:vAlign w:val="center"/>
          </w:tcPr>
          <w:p>
            <w:pPr>
              <w:jc w:val="center"/>
              <w:rPr>
                <w:rFonts w:hint="eastAsia" w:ascii="宋体" w:hAnsi="宋体" w:eastAsia="宋体" w:cs="宋体"/>
                <w:sz w:val="24"/>
                <w:highlight w:val="yellow"/>
              </w:rPr>
            </w:pPr>
            <w:r>
              <w:rPr>
                <w:rFonts w:hint="eastAsia" w:ascii="宋体" w:hAnsi="宋体" w:eastAsia="宋体" w:cs="宋体"/>
                <w:sz w:val="24"/>
                <w:highlight w:val="none"/>
              </w:rPr>
              <w:t>核心产品</w:t>
            </w:r>
          </w:p>
        </w:tc>
        <w:tc>
          <w:tcPr>
            <w:tcW w:w="7086" w:type="dxa"/>
          </w:tcPr>
          <w:p>
            <w:pPr>
              <w:spacing w:line="360" w:lineRule="auto"/>
              <w:rPr>
                <w:rFonts w:hint="eastAsia"/>
              </w:rPr>
            </w:pPr>
            <w:r>
              <w:rPr>
                <w:rFonts w:hint="eastAsia"/>
              </w:rPr>
              <w:t>本项目核心产品为：</w:t>
            </w:r>
          </w:p>
          <w:p>
            <w:pPr>
              <w:spacing w:line="360" w:lineRule="auto"/>
              <w:rPr>
                <w:rFonts w:hint="eastAsia" w:eastAsia="宋体"/>
                <w:highlight w:val="none"/>
                <w:lang w:val="en-US" w:eastAsia="zh-CN"/>
              </w:rPr>
            </w:pPr>
            <w:r>
              <w:rPr>
                <w:rFonts w:hint="eastAsia"/>
                <w:lang w:val="en-US" w:eastAsia="zh-CN"/>
              </w:rPr>
              <w:t>第</w:t>
            </w:r>
            <w:r>
              <w:rPr>
                <w:rFonts w:hint="eastAsia"/>
              </w:rPr>
              <w:t>一包</w:t>
            </w:r>
            <w:r>
              <w:rPr>
                <w:rFonts w:hint="eastAsia"/>
                <w:highlight w:val="none"/>
              </w:rPr>
              <w:t>：</w:t>
            </w:r>
            <w:r>
              <w:rPr>
                <w:rFonts w:hint="eastAsia"/>
                <w:highlight w:val="none"/>
                <w:lang w:eastAsia="zh-CN"/>
              </w:rPr>
              <w:t>室内全彩显示屏</w:t>
            </w:r>
          </w:p>
          <w:p>
            <w:pPr>
              <w:spacing w:line="360" w:lineRule="auto"/>
              <w:rPr>
                <w:rFonts w:hint="eastAsia" w:eastAsia="宋体"/>
                <w:highlight w:val="none"/>
                <w:lang w:val="en-US" w:eastAsia="zh-CN"/>
              </w:rPr>
            </w:pPr>
            <w:r>
              <w:rPr>
                <w:rFonts w:hint="eastAsia"/>
                <w:highlight w:val="none"/>
                <w:lang w:val="en-US" w:eastAsia="zh-CN"/>
              </w:rPr>
              <w:t>第</w:t>
            </w:r>
            <w:r>
              <w:rPr>
                <w:rFonts w:hint="eastAsia"/>
                <w:highlight w:val="none"/>
              </w:rPr>
              <w:t>二包：</w:t>
            </w:r>
            <w:r>
              <w:rPr>
                <w:rFonts w:hint="eastAsia"/>
                <w:highlight w:val="none"/>
                <w:lang w:eastAsia="zh-CN"/>
              </w:rPr>
              <w:t>教室电脑</w:t>
            </w:r>
          </w:p>
          <w:p>
            <w:pPr>
              <w:spacing w:line="360" w:lineRule="auto"/>
              <w:rPr>
                <w:rFonts w:hint="default" w:eastAsia="宋体"/>
                <w:lang w:val="en-US" w:eastAsia="zh-CN"/>
              </w:rPr>
            </w:pPr>
            <w:r>
              <w:rPr>
                <w:rFonts w:hint="eastAsia"/>
                <w:lang w:val="en-US" w:eastAsia="zh-CN"/>
              </w:rPr>
              <w:t>第三</w:t>
            </w:r>
            <w:r>
              <w:rPr>
                <w:rFonts w:hint="eastAsia"/>
              </w:rPr>
              <w:t>包：</w:t>
            </w:r>
            <w:r>
              <w:rPr>
                <w:rFonts w:hint="eastAsia"/>
                <w:lang w:val="en-US" w:eastAsia="zh-CN"/>
              </w:rPr>
              <w:t>1.5P空调</w:t>
            </w:r>
          </w:p>
          <w:p>
            <w:pPr>
              <w:spacing w:line="360" w:lineRule="auto"/>
              <w:rPr>
                <w:rFonts w:hint="eastAsia"/>
                <w:lang w:eastAsia="zh-CN"/>
              </w:rPr>
            </w:pPr>
            <w:r>
              <w:rPr>
                <w:rFonts w:hint="eastAsia"/>
                <w:lang w:val="en-US" w:eastAsia="zh-CN"/>
              </w:rPr>
              <w:t>第四</w:t>
            </w:r>
            <w:r>
              <w:rPr>
                <w:rFonts w:hint="eastAsia"/>
              </w:rPr>
              <w:t>包：高清红外网络摄像机（枪机）</w:t>
            </w:r>
          </w:p>
          <w:p>
            <w:pPr>
              <w:spacing w:line="360" w:lineRule="auto"/>
              <w:rPr>
                <w:rFonts w:hint="eastAsia"/>
                <w:lang w:val="en-US" w:eastAsia="zh-CN"/>
              </w:rPr>
            </w:pPr>
            <w:r>
              <w:rPr>
                <w:rFonts w:hint="eastAsia"/>
                <w:lang w:val="en-US" w:eastAsia="zh-CN"/>
              </w:rPr>
              <w:t>第五</w:t>
            </w:r>
            <w:r>
              <w:rPr>
                <w:rFonts w:hint="eastAsia"/>
              </w:rPr>
              <w:t>包：学生单人桌椅</w:t>
            </w:r>
          </w:p>
          <w:p>
            <w:pPr>
              <w:spacing w:line="360" w:lineRule="auto"/>
              <w:rPr>
                <w:rFonts w:hint="eastAsia" w:eastAsia="宋体"/>
                <w:lang w:eastAsia="zh-CN"/>
              </w:rPr>
            </w:pPr>
            <w:r>
              <w:rPr>
                <w:rFonts w:hint="eastAsia"/>
                <w:lang w:val="en-US" w:eastAsia="zh-CN"/>
              </w:rPr>
              <w:t>第六</w:t>
            </w:r>
            <w:r>
              <w:rPr>
                <w:rFonts w:hint="eastAsia"/>
              </w:rPr>
              <w:t>包：</w:t>
            </w:r>
            <w:r>
              <w:rPr>
                <w:rFonts w:hint="eastAsia"/>
                <w:lang w:eastAsia="zh-CN"/>
              </w:rPr>
              <w:t>计算机教室</w:t>
            </w:r>
          </w:p>
          <w:p>
            <w:pPr>
              <w:spacing w:line="360" w:lineRule="auto"/>
              <w:rPr>
                <w:rFonts w:hint="eastAsia"/>
                <w:highlight w:val="none"/>
                <w:lang w:val="en-US" w:eastAsia="zh-CN"/>
              </w:rPr>
            </w:pPr>
            <w:r>
              <w:rPr>
                <w:rFonts w:hint="eastAsia"/>
                <w:lang w:val="en-US" w:eastAsia="zh-CN"/>
              </w:rPr>
              <w:t>第七包：科学实验室</w:t>
            </w:r>
          </w:p>
          <w:p>
            <w:pPr>
              <w:spacing w:line="360" w:lineRule="auto"/>
              <w:rPr>
                <w:rFonts w:hint="eastAsia"/>
                <w:lang w:val="en-US" w:eastAsia="zh-CN"/>
              </w:rPr>
            </w:pPr>
            <w:r>
              <w:rPr>
                <w:rFonts w:hint="eastAsia"/>
                <w:highlight w:val="none"/>
                <w:lang w:val="en-US" w:eastAsia="zh-CN"/>
              </w:rPr>
              <w:t>第八包：智能化集中控制系统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0" w:type="dxa"/>
            <w:vAlign w:val="center"/>
          </w:tcPr>
          <w:p>
            <w:pPr>
              <w:numPr>
                <w:ilvl w:val="0"/>
                <w:numId w:val="0"/>
              </w:numPr>
              <w:spacing w:line="360" w:lineRule="auto"/>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347" w:type="dxa"/>
            <w:vAlign w:val="center"/>
          </w:tcPr>
          <w:p>
            <w:pPr>
              <w:jc w:val="center"/>
              <w:rPr>
                <w:rFonts w:hint="eastAsia" w:ascii="宋体" w:hAnsi="宋体" w:eastAsia="宋体" w:cs="宋体"/>
                <w:sz w:val="24"/>
                <w:szCs w:val="24"/>
                <w:highlight w:val="yellow"/>
              </w:rPr>
            </w:pPr>
            <w:r>
              <w:rPr>
                <w:rFonts w:hint="eastAsia" w:ascii="宋体" w:hAnsi="宋体" w:eastAsia="宋体" w:cs="宋体"/>
                <w:sz w:val="24"/>
                <w:szCs w:val="24"/>
                <w:highlight w:val="none"/>
              </w:rPr>
              <w:t>招标代理服务费</w:t>
            </w:r>
          </w:p>
        </w:tc>
        <w:tc>
          <w:tcPr>
            <w:tcW w:w="7086" w:type="dxa"/>
          </w:tcPr>
          <w:p>
            <w:pPr>
              <w:spacing w:line="36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rPr>
              <w:t>中标供应商应向采购代理机构交纳招标代理服务费，投标供应商</w:t>
            </w:r>
            <w:r>
              <w:rPr>
                <w:rFonts w:hint="eastAsia" w:ascii="宋体" w:hAnsi="宋体" w:eastAsia="宋体" w:cs="宋体"/>
                <w:sz w:val="22"/>
                <w:szCs w:val="22"/>
                <w:lang w:val="zh-CN"/>
              </w:rPr>
              <w:t>可将此费用考虑在投标报价中，采购人不再单独支付。招标代理服务费参照国家计委颁发的《招标代理服务收费管理暂行办法》（计价格[2002]1980号）和国家发展改革委员会办公厅颁发的《关于招标代理服务收费有关问题的通知》（发改办价格[2003]857号）的有关规定</w:t>
            </w:r>
            <w:r>
              <w:rPr>
                <w:rFonts w:hint="eastAsia" w:ascii="宋体" w:hAnsi="宋体" w:cs="宋体"/>
                <w:sz w:val="22"/>
                <w:szCs w:val="22"/>
                <w:lang w:val="zh-CN"/>
              </w:rPr>
              <w:t>不足伍仟元按伍仟元计取</w:t>
            </w:r>
            <w:r>
              <w:rPr>
                <w:rFonts w:hint="eastAsia" w:ascii="宋体" w:hAnsi="宋体" w:eastAsia="宋体" w:cs="宋体"/>
                <w:sz w:val="22"/>
                <w:szCs w:val="22"/>
                <w:lang w:val="zh-CN"/>
              </w:rPr>
              <w:t>执行。</w:t>
            </w:r>
          </w:p>
          <w:p>
            <w:pPr>
              <w:spacing w:line="360" w:lineRule="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户名：</w:t>
            </w:r>
            <w:r>
              <w:rPr>
                <w:rFonts w:hint="eastAsia" w:ascii="宋体" w:hAnsi="宋体" w:eastAsia="宋体" w:cs="宋体"/>
                <w:sz w:val="22"/>
                <w:szCs w:val="22"/>
                <w:highlight w:val="none"/>
                <w:lang w:eastAsia="zh-CN"/>
              </w:rPr>
              <w:t>陕西嘉唐建设项目管理有限公司</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开户行：西安银行股份有限公司含光门支行</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账号：112011580000141313</w:t>
            </w:r>
          </w:p>
          <w:p>
            <w:pPr>
              <w:spacing w:line="360" w:lineRule="auto"/>
              <w:rPr>
                <w:rFonts w:hint="eastAsia" w:ascii="宋体" w:hAnsi="宋体" w:eastAsia="宋体" w:cs="宋体"/>
                <w:sz w:val="24"/>
                <w:szCs w:val="24"/>
              </w:rPr>
            </w:pPr>
            <w:r>
              <w:rPr>
                <w:rFonts w:hint="eastAsia" w:ascii="宋体" w:hAnsi="宋体" w:eastAsia="宋体" w:cs="宋体"/>
                <w:sz w:val="22"/>
                <w:szCs w:val="22"/>
                <w:highlight w:val="none"/>
              </w:rPr>
              <w:t>请中标供应商按照要求将招标代理服务费转入以上指定账户，如因自身原因发生错误，产生的不利后果均由供应商自行承担。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0" w:type="dxa"/>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31</w:t>
            </w:r>
          </w:p>
        </w:tc>
        <w:tc>
          <w:tcPr>
            <w:tcW w:w="1347" w:type="dxa"/>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其他</w:t>
            </w:r>
          </w:p>
        </w:tc>
        <w:tc>
          <w:tcPr>
            <w:tcW w:w="7086" w:type="dxa"/>
            <w:vAlign w:val="center"/>
          </w:tcPr>
          <w:p>
            <w:pPr>
              <w:spacing w:line="360" w:lineRule="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提交投标文件时需要提供以下原件，未携带或经审验后不合格，视为无效投标文件，不得进入后续评审：法定代表人授权书（附法定代表人身份证复印件）及被授权人身份证</w:t>
            </w:r>
            <w:r>
              <w:rPr>
                <w:rFonts w:hint="eastAsia" w:ascii="宋体" w:hAnsi="宋体" w:eastAsia="宋体" w:cs="宋体"/>
                <w:b/>
                <w:bCs/>
                <w:color w:val="auto"/>
                <w:sz w:val="24"/>
                <w:highlight w:val="none"/>
                <w:lang w:val="en-US" w:eastAsia="zh-CN"/>
              </w:rPr>
              <w:t>原件及复印件</w:t>
            </w:r>
            <w:r>
              <w:rPr>
                <w:rFonts w:hint="eastAsia" w:ascii="宋体" w:hAnsi="宋体" w:eastAsia="宋体" w:cs="宋体"/>
                <w:b/>
                <w:bCs/>
                <w:color w:val="auto"/>
                <w:sz w:val="24"/>
                <w:highlight w:val="none"/>
              </w:rPr>
              <w:t>（法定代表人直接参加投标只须提供法定代表人身份证</w:t>
            </w:r>
            <w:r>
              <w:rPr>
                <w:rFonts w:hint="eastAsia" w:ascii="宋体" w:hAnsi="宋体" w:eastAsia="宋体" w:cs="宋体"/>
                <w:b/>
                <w:bCs/>
                <w:color w:val="auto"/>
                <w:sz w:val="24"/>
                <w:highlight w:val="none"/>
                <w:lang w:val="en-US" w:eastAsia="zh-CN"/>
              </w:rPr>
              <w:t>原件</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eastAsia="zh-CN"/>
              </w:rPr>
              <w:t>。</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本项目采购标的所属行业为</w:t>
            </w:r>
            <w:r>
              <w:rPr>
                <w:rFonts w:hint="eastAsia" w:ascii="宋体" w:hAnsi="宋体" w:eastAsia="宋体" w:cs="宋体"/>
                <w:sz w:val="24"/>
                <w:szCs w:val="24"/>
                <w:highlight w:val="none"/>
                <w:lang w:val="en-US" w:eastAsia="zh-CN"/>
              </w:rPr>
              <w:t>工业</w:t>
            </w:r>
            <w:r>
              <w:rPr>
                <w:rFonts w:hint="eastAsia" w:ascii="宋体" w:hAnsi="宋体" w:eastAsia="宋体" w:cs="宋体"/>
                <w:sz w:val="24"/>
                <w:szCs w:val="24"/>
                <w:highlight w:val="none"/>
              </w:rPr>
              <w:t>。</w:t>
            </w:r>
          </w:p>
          <w:p>
            <w:pPr>
              <w:snapToGrid w:val="0"/>
              <w:spacing w:line="360" w:lineRule="auto"/>
              <w:rPr>
                <w:rFonts w:hint="eastAsia" w:ascii="宋体" w:hAnsi="宋体" w:eastAsia="宋体" w:cs="宋体"/>
                <w:sz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按照</w:t>
            </w:r>
            <w:r>
              <w:rPr>
                <w:rFonts w:hint="eastAsia" w:ascii="宋体" w:hAnsi="宋体" w:eastAsia="宋体" w:cs="宋体"/>
                <w:sz w:val="24"/>
              </w:rPr>
              <w:t>《西安市财政局关于促进政府采购公平竞争优化营商环境的通知》（市财函〔2021) 431号）规定：供应商登记免费领取招标文件的，如不参与项目投标，应在递交投标文件截止时间前一日以书面形式（格式如下，签字盖章后发回代理机构邮箱shanxi</w:t>
            </w:r>
            <w:r>
              <w:rPr>
                <w:rFonts w:hint="eastAsia" w:ascii="宋体" w:hAnsi="宋体" w:eastAsia="宋体" w:cs="宋体"/>
                <w:sz w:val="24"/>
                <w:lang w:val="en-US" w:eastAsia="zh-CN"/>
              </w:rPr>
              <w:t>jiatang</w:t>
            </w:r>
            <w:r>
              <w:rPr>
                <w:rFonts w:hint="eastAsia" w:ascii="宋体" w:hAnsi="宋体" w:eastAsia="宋体" w:cs="宋体"/>
                <w:sz w:val="24"/>
              </w:rPr>
              <w:t>@163.com即可）告知釆购代理机构。否则，采购代理机构可以向财政部门反映情况并提供相应的佐证。供应商一年内累计出现三次该情形，将被监管部门记录为失信行为。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不参与投标告知函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（招标代理机构名称）：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经研究决定，由于</w:t>
            </w:r>
            <w:r>
              <w:rPr>
                <w:rFonts w:hint="eastAsia" w:ascii="宋体" w:hAnsi="宋体" w:eastAsia="宋体" w:cs="宋体"/>
                <w:sz w:val="24"/>
                <w:u w:val="single"/>
              </w:rPr>
              <w:t xml:space="preserve">    </w:t>
            </w:r>
            <w:r>
              <w:rPr>
                <w:rFonts w:hint="eastAsia" w:ascii="宋体" w:hAnsi="宋体" w:eastAsia="宋体" w:cs="宋体"/>
                <w:sz w:val="24"/>
              </w:rPr>
              <w:t>（不参与原因），我单位                  （单位名称）确认不参与关于</w:t>
            </w:r>
            <w:r>
              <w:rPr>
                <w:rFonts w:hint="eastAsia" w:ascii="宋体" w:hAnsi="宋体" w:eastAsia="宋体" w:cs="宋体"/>
                <w:sz w:val="24"/>
                <w:u w:val="single"/>
              </w:rPr>
              <w:t xml:space="preserve">           </w:t>
            </w:r>
            <w:r>
              <w:rPr>
                <w:rFonts w:hint="eastAsia" w:ascii="宋体" w:hAnsi="宋体" w:eastAsia="宋体" w:cs="宋体"/>
                <w:sz w:val="24"/>
              </w:rPr>
              <w:t>（项目名称</w:t>
            </w:r>
            <w:r>
              <w:rPr>
                <w:rFonts w:hint="eastAsia" w:ascii="宋体" w:hAnsi="宋体" w:eastAsia="宋体" w:cs="宋体"/>
                <w:sz w:val="24"/>
                <w:lang w:val="en-US" w:eastAsia="zh-CN"/>
              </w:rPr>
              <w:t>+包号</w:t>
            </w:r>
            <w:r>
              <w:rPr>
                <w:rFonts w:hint="eastAsia" w:ascii="宋体" w:hAnsi="宋体" w:eastAsia="宋体" w:cs="宋体"/>
                <w:sz w:val="24"/>
              </w:rPr>
              <w:t>）的投标活动。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单位名称（盖章）：</w:t>
            </w:r>
          </w:p>
          <w:p>
            <w:pPr>
              <w:spacing w:line="360" w:lineRule="auto"/>
              <w:rPr>
                <w:rFonts w:hint="eastAsia" w:ascii="宋体" w:hAnsi="宋体" w:eastAsia="宋体" w:cs="宋体"/>
                <w:kern w:val="2"/>
                <w:sz w:val="21"/>
                <w:szCs w:val="24"/>
                <w:highlight w:val="none"/>
                <w:lang w:val="en-US" w:eastAsia="zh-CN" w:bidi="ar-SA"/>
              </w:rPr>
            </w:pPr>
            <w:r>
              <w:rPr>
                <w:rFonts w:hint="eastAsia" w:ascii="宋体" w:hAnsi="宋体" w:eastAsia="宋体" w:cs="宋体"/>
                <w:sz w:val="24"/>
              </w:rPr>
              <w:t>法定代表人或授权代表（签字或盖章）：</w:t>
            </w:r>
          </w:p>
        </w:tc>
      </w:tr>
    </w:tbl>
    <w:p>
      <w:pPr>
        <w:pStyle w:val="4"/>
        <w:adjustRightInd w:val="0"/>
        <w:snapToGrid w:val="0"/>
        <w:spacing w:line="360" w:lineRule="auto"/>
        <w:outlineLvl w:val="1"/>
        <w:rPr>
          <w:rFonts w:hint="eastAsia" w:ascii="宋体" w:hAnsi="宋体" w:eastAsia="宋体" w:cs="宋体"/>
          <w:sz w:val="32"/>
          <w:szCs w:val="32"/>
        </w:rPr>
        <w:sectPr>
          <w:footnotePr>
            <w:pos w:val="beneathText"/>
          </w:footnote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bookmarkStart w:id="24" w:name="_Toc12431"/>
      <w:r>
        <w:rPr>
          <w:rFonts w:hint="eastAsia" w:ascii="宋体" w:hAnsi="宋体" w:eastAsia="宋体" w:cs="宋体"/>
          <w:sz w:val="24"/>
          <w:szCs w:val="24"/>
        </w:rPr>
        <w:t>注：1、投标人须知前附表与招标文件正文对同一事项描述不一致的，以投标人须知前附表为准。</w:t>
      </w:r>
      <w:bookmarkEnd w:id="24"/>
    </w:p>
    <w:bookmarkEnd w:id="18"/>
    <w:bookmarkEnd w:id="19"/>
    <w:bookmarkEnd w:id="20"/>
    <w:bookmarkEnd w:id="21"/>
    <w:bookmarkEnd w:id="22"/>
    <w:bookmarkEnd w:id="23"/>
    <w:p>
      <w:pPr>
        <w:adjustRightInd w:val="0"/>
        <w:snapToGrid w:val="0"/>
        <w:spacing w:line="360" w:lineRule="auto"/>
        <w:rPr>
          <w:rFonts w:hint="eastAsia" w:ascii="宋体" w:hAnsi="宋体" w:eastAsia="宋体" w:cs="宋体"/>
          <w:b/>
          <w:bCs/>
          <w:sz w:val="24"/>
          <w:lang w:val="zh-CN"/>
        </w:rPr>
      </w:pPr>
      <w:bookmarkStart w:id="25" w:name="_Toc21394"/>
      <w:r>
        <w:rPr>
          <w:rFonts w:hint="eastAsia" w:ascii="宋体" w:hAnsi="宋体" w:eastAsia="宋体" w:cs="宋体"/>
          <w:b/>
          <w:bCs/>
          <w:sz w:val="24"/>
          <w:lang w:val="zh-CN"/>
        </w:rPr>
        <w:t>2.总则</w:t>
      </w:r>
      <w:bookmarkEnd w:id="25"/>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b/>
          <w:bCs/>
          <w:sz w:val="24"/>
          <w:lang w:val="zh-CN"/>
        </w:rPr>
        <w:t>2.1 项目概况</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2.1.1 根据《中华人民共和国政府采购法》、《中华人民共和国政府采购法实施条例》等有关法律、法规和规章，本项目已具备招标条件，现进行招标。</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zh-CN"/>
        </w:rPr>
        <w:t>2.1.2 采购人：见投标人须知前附表。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rPr>
        <w:t xml:space="preserve">2.1.3 </w:t>
      </w:r>
      <w:r>
        <w:rPr>
          <w:rFonts w:hint="eastAsia" w:ascii="宋体" w:hAnsi="宋体" w:eastAsia="宋体" w:cs="宋体"/>
          <w:sz w:val="24"/>
          <w:lang w:val="zh-CN"/>
        </w:rPr>
        <w:t>采购代理机构：见投标人须知前附表。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2.1.4 采购项目名称：见投标人须知前附表。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b/>
          <w:bCs/>
          <w:sz w:val="24"/>
          <w:lang w:val="zh-CN"/>
        </w:rPr>
        <w:t>2.2 招标范围、交货期、交货地点</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2.2.1 招标范围：见投标人须知前附表。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2.2.2 交货期：见投标人须知前附表。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2.2.3 交货地点：见投标人须知前附表。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2.2.4 是否允许采购进口产品：见投标人须知前附表。</w:t>
      </w:r>
    </w:p>
    <w:p>
      <w:pPr>
        <w:adjustRightInd w:val="0"/>
        <w:snapToGrid w:val="0"/>
        <w:spacing w:line="360" w:lineRule="auto"/>
        <w:rPr>
          <w:rFonts w:hint="eastAsia" w:ascii="宋体" w:hAnsi="宋体" w:eastAsia="宋体" w:cs="宋体"/>
          <w:b/>
          <w:bCs/>
          <w:sz w:val="24"/>
          <w:lang w:val="zh-CN"/>
        </w:rPr>
      </w:pPr>
      <w:r>
        <w:rPr>
          <w:rFonts w:hint="eastAsia" w:ascii="宋体" w:hAnsi="宋体" w:eastAsia="宋体" w:cs="宋体"/>
          <w:b/>
          <w:bCs/>
          <w:sz w:val="24"/>
          <w:lang w:val="zh-CN"/>
        </w:rPr>
        <w:t>2.3 投标人资格要求</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2.3.1 投标人应具备的资格条件：见投标人须知前附表。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需要提交的资格证明材料见本章第8.2款的规定。</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2.3.</w:t>
      </w:r>
      <w:r>
        <w:rPr>
          <w:rFonts w:hint="eastAsia" w:ascii="宋体" w:hAnsi="宋体" w:eastAsia="宋体" w:cs="宋体"/>
          <w:sz w:val="24"/>
        </w:rPr>
        <w:t>2</w:t>
      </w:r>
      <w:r>
        <w:rPr>
          <w:rFonts w:hint="eastAsia" w:ascii="宋体" w:hAnsi="宋体" w:eastAsia="宋体" w:cs="宋体"/>
          <w:sz w:val="24"/>
          <w:lang w:val="zh-CN"/>
        </w:rPr>
        <w:t xml:space="preserve"> 投标人不得存在下列情形之一，否则按无效投标处理：</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（1）与采购人存在利害关系且可能影响招标公正性；</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（2）单位负责人为同一人或者存在直接控股、管理关系；</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（3）为采购项目提供整体设计、规范编制或者项目管理、监理、检测等服务；</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（4）参加政府采购活动前3年内在经营活动中有重大违法记录（重大违法记录是指供应商因违法经营受到刑事处罚或者责令停产停业、吊销许可证或者执照、较大数额罚款等行政处罚）；</w:t>
      </w:r>
    </w:p>
    <w:p>
      <w:pPr>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lang w:val="zh-CN"/>
        </w:rPr>
        <w:t>（5）</w:t>
      </w:r>
      <w:r>
        <w:rPr>
          <w:rFonts w:hint="eastAsia" w:ascii="宋体" w:hAnsi="宋体" w:eastAsia="宋体" w:cs="宋体"/>
          <w:sz w:val="24"/>
          <w:highlight w:val="none"/>
        </w:rPr>
        <w:t>“信用中国”网站（www.creditchina.gov.cn）中列入失信被执行人和重大税收违法案件当事人名单的供应商，中国政府采购网（www.ccgp.gov.cn）政府采购严重违法失信行为记录名单中被财政部门禁止参加政府采购活动的供应商；</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查询渠道：投标单位通过“信用中国”网站(www.creditchina.gov.cn)、中国政府采购网(www.ccgp.gov.cn)等渠道查询相关主体信用记录；</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查询截止时点：投标文件递交截止时间后 2 小时；</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查询记录和证据留存方式：（代理机构网站截图留存）；</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使用规则：对列入失信被执行人、重大税收违法案件当事人名单、政府采购严重违法失信行为记录名单的投标单位，其投标无效；</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（6）法律法规规定的其他情形。</w:t>
      </w:r>
    </w:p>
    <w:p>
      <w:pPr>
        <w:adjustRightInd w:val="0"/>
        <w:snapToGrid w:val="0"/>
        <w:spacing w:line="360" w:lineRule="auto"/>
        <w:rPr>
          <w:rFonts w:hint="eastAsia" w:ascii="宋体" w:hAnsi="宋体" w:eastAsia="宋体" w:cs="宋体"/>
          <w:b/>
          <w:bCs/>
          <w:sz w:val="24"/>
        </w:rPr>
      </w:pPr>
      <w:r>
        <w:rPr>
          <w:rFonts w:hint="eastAsia" w:ascii="宋体" w:hAnsi="宋体" w:eastAsia="宋体" w:cs="宋体"/>
          <w:b/>
          <w:bCs/>
          <w:sz w:val="24"/>
        </w:rPr>
        <w:t>2.4 费用承担</w:t>
      </w:r>
    </w:p>
    <w:p>
      <w:pPr>
        <w:adjustRightInd w:val="0"/>
        <w:snapToGrid w:val="0"/>
        <w:spacing w:line="360" w:lineRule="auto"/>
        <w:jc w:val="left"/>
        <w:rPr>
          <w:rFonts w:hint="eastAsia" w:ascii="宋体" w:hAnsi="宋体" w:eastAsia="宋体" w:cs="宋体"/>
          <w:sz w:val="24"/>
        </w:rPr>
      </w:pPr>
      <w:r>
        <w:rPr>
          <w:rFonts w:hint="eastAsia" w:ascii="宋体" w:hAnsi="宋体" w:eastAsia="宋体" w:cs="宋体"/>
          <w:sz w:val="24"/>
        </w:rPr>
        <w:t>投标人准备和参加投标活动发生的费用自理。</w:t>
      </w:r>
    </w:p>
    <w:p>
      <w:pPr>
        <w:adjustRightInd w:val="0"/>
        <w:snapToGrid w:val="0"/>
        <w:spacing w:line="360" w:lineRule="auto"/>
        <w:rPr>
          <w:rFonts w:hint="eastAsia" w:ascii="宋体" w:hAnsi="宋体" w:eastAsia="宋体" w:cs="宋体"/>
          <w:sz w:val="24"/>
        </w:rPr>
      </w:pPr>
      <w:r>
        <w:rPr>
          <w:rFonts w:hint="eastAsia" w:ascii="宋体" w:hAnsi="宋体" w:eastAsia="宋体" w:cs="宋体"/>
          <w:b/>
          <w:bCs/>
          <w:sz w:val="24"/>
        </w:rPr>
        <w:t>2.5 保密</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参与政府采购活动的各方应对招标文件和投标文件中的商业和技术等秘密保密，否则应承担相应的法律责任。</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b/>
          <w:bCs/>
          <w:sz w:val="24"/>
          <w:lang w:val="zh-CN"/>
        </w:rPr>
        <w:t>2.6 语言文字</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招标文件和投标文件使用的语言文字为中文。专业术语使用外文的，应附有中文注释。</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b/>
          <w:bCs/>
          <w:sz w:val="24"/>
          <w:lang w:val="zh-CN"/>
        </w:rPr>
        <w:t>2.7 计量单位</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所有计量均采用中华人民共和国法定计量单位。</w:t>
      </w:r>
    </w:p>
    <w:p>
      <w:pPr>
        <w:adjustRightInd w:val="0"/>
        <w:snapToGrid w:val="0"/>
        <w:spacing w:line="360" w:lineRule="auto"/>
        <w:rPr>
          <w:rFonts w:hint="eastAsia" w:ascii="宋体" w:hAnsi="宋体" w:eastAsia="宋体" w:cs="宋体"/>
          <w:b/>
          <w:bCs/>
          <w:sz w:val="24"/>
          <w:lang w:val="zh-CN"/>
        </w:rPr>
      </w:pPr>
      <w:r>
        <w:rPr>
          <w:rFonts w:hint="eastAsia" w:ascii="宋体" w:hAnsi="宋体" w:eastAsia="宋体" w:cs="宋体"/>
          <w:b/>
          <w:bCs/>
          <w:sz w:val="24"/>
          <w:lang w:val="zh-CN"/>
        </w:rPr>
        <w:t>2.8 分包</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2.8.1 投标人拟在中标后将中标项目的非主体、非关键性工作分包的，应符合投标人须知前附表规定的分包内容、分包金额和资格要求</w:t>
      </w:r>
      <w:r>
        <w:rPr>
          <w:rFonts w:hint="eastAsia" w:ascii="宋体" w:hAnsi="宋体" w:eastAsia="宋体" w:cs="宋体"/>
          <w:sz w:val="24"/>
        </w:rPr>
        <w:t xml:space="preserve"> </w:t>
      </w:r>
      <w:r>
        <w:rPr>
          <w:rFonts w:hint="eastAsia" w:ascii="宋体" w:hAnsi="宋体" w:eastAsia="宋体" w:cs="宋体"/>
          <w:sz w:val="24"/>
          <w:lang w:val="zh-CN"/>
        </w:rPr>
        <w:t>等条件。</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2.8.2 中标人不得向他人转让中标项目，接受分包的供应商不得再次分包。中标人就采购项目和分包项目向采购人负责，分包供应商就分包项目承担责任。</w:t>
      </w:r>
    </w:p>
    <w:p>
      <w:pPr>
        <w:adjustRightInd w:val="0"/>
        <w:snapToGrid w:val="0"/>
        <w:spacing w:line="360" w:lineRule="auto"/>
        <w:rPr>
          <w:rFonts w:hint="eastAsia" w:ascii="宋体" w:hAnsi="宋体" w:eastAsia="宋体" w:cs="宋体"/>
          <w:b/>
          <w:bCs/>
          <w:sz w:val="24"/>
          <w:lang w:val="zh-CN"/>
        </w:rPr>
      </w:pPr>
      <w:r>
        <w:rPr>
          <w:rFonts w:hint="eastAsia" w:ascii="宋体" w:hAnsi="宋体" w:eastAsia="宋体" w:cs="宋体"/>
          <w:b/>
          <w:bCs/>
          <w:sz w:val="24"/>
          <w:lang w:val="zh-CN"/>
        </w:rPr>
        <w:t>2.9 响应和偏差</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2.9.1 投标文件应对招标文件的实质性要求和条件作出满足性或更有利于采购人的响应，否则，投标人的投标按无效处理。</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2.9.2 投标人应根据招标文件的要求提供详细的技术支持资料、服务计划等内容对招标文件作出响应。</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2.9.3 投标文件对招标文件的全部偏差，均应在投标文件的商务和技术偏差表中列明，除列明的内容外，视为投标人响应招标文件的全部要求。</w:t>
      </w:r>
    </w:p>
    <w:p>
      <w:pPr>
        <w:adjustRightInd w:val="0"/>
        <w:snapToGrid w:val="0"/>
        <w:spacing w:line="360" w:lineRule="auto"/>
        <w:rPr>
          <w:rFonts w:hint="eastAsia" w:ascii="宋体" w:hAnsi="宋体" w:eastAsia="宋体" w:cs="宋体"/>
          <w:sz w:val="24"/>
          <w:lang w:val="zh-CN"/>
        </w:rPr>
      </w:pPr>
      <w:bookmarkStart w:id="26" w:name="_Toc13227"/>
      <w:r>
        <w:rPr>
          <w:rFonts w:hint="eastAsia" w:ascii="宋体" w:hAnsi="宋体" w:eastAsia="宋体" w:cs="宋体"/>
          <w:b/>
          <w:bCs/>
          <w:sz w:val="24"/>
          <w:lang w:val="zh-CN"/>
        </w:rPr>
        <w:t>3.招标文件</w:t>
      </w:r>
      <w:bookmarkEnd w:id="26"/>
    </w:p>
    <w:p>
      <w:pPr>
        <w:adjustRightInd w:val="0"/>
        <w:snapToGrid w:val="0"/>
        <w:spacing w:line="360" w:lineRule="auto"/>
        <w:rPr>
          <w:rFonts w:hint="eastAsia" w:ascii="宋体" w:hAnsi="宋体" w:eastAsia="宋体" w:cs="宋体"/>
          <w:b/>
          <w:bCs/>
          <w:sz w:val="24"/>
          <w:lang w:val="zh-CN"/>
        </w:rPr>
      </w:pPr>
      <w:r>
        <w:rPr>
          <w:rFonts w:hint="eastAsia" w:ascii="宋体" w:hAnsi="宋体" w:eastAsia="宋体" w:cs="宋体"/>
          <w:b/>
          <w:bCs/>
          <w:sz w:val="24"/>
          <w:lang w:val="zh-CN"/>
        </w:rPr>
        <w:t>3.1 招标文件的组成</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（1）招标公告；</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（2）投标人须知；</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（3）评标办法</w:t>
      </w:r>
      <w:r>
        <w:rPr>
          <w:rFonts w:hint="eastAsia" w:ascii="宋体" w:hAnsi="宋体" w:eastAsia="宋体" w:cs="宋体"/>
          <w:sz w:val="24"/>
          <w:lang w:val="en-US" w:eastAsia="zh-CN"/>
        </w:rPr>
        <w:t>和标准</w:t>
      </w:r>
      <w:r>
        <w:rPr>
          <w:rFonts w:hint="eastAsia" w:ascii="宋体" w:hAnsi="宋体" w:eastAsia="宋体" w:cs="宋体"/>
          <w:sz w:val="24"/>
          <w:lang w:val="zh-CN"/>
        </w:rPr>
        <w:t>；</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（4）</w:t>
      </w:r>
      <w:r>
        <w:rPr>
          <w:rFonts w:hint="eastAsia" w:ascii="宋体" w:hAnsi="宋体" w:eastAsia="宋体" w:cs="宋体"/>
          <w:sz w:val="24"/>
          <w:lang w:val="en-US" w:eastAsia="zh-CN"/>
        </w:rPr>
        <w:t>采购内容</w:t>
      </w:r>
      <w:r>
        <w:rPr>
          <w:rFonts w:hint="eastAsia" w:ascii="宋体" w:hAnsi="宋体" w:eastAsia="宋体" w:cs="宋体"/>
          <w:sz w:val="24"/>
          <w:lang w:val="zh-CN"/>
        </w:rPr>
        <w:t>和</w:t>
      </w:r>
      <w:r>
        <w:rPr>
          <w:rFonts w:hint="eastAsia" w:ascii="宋体" w:hAnsi="宋体" w:eastAsia="宋体" w:cs="宋体"/>
          <w:sz w:val="24"/>
          <w:lang w:val="en-US" w:eastAsia="zh-CN"/>
        </w:rPr>
        <w:t>技术</w:t>
      </w:r>
      <w:r>
        <w:rPr>
          <w:rFonts w:hint="eastAsia" w:ascii="宋体" w:hAnsi="宋体" w:eastAsia="宋体" w:cs="宋体"/>
          <w:sz w:val="24"/>
          <w:lang w:val="zh-CN"/>
        </w:rPr>
        <w:t>要求；</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（5）合同条款；</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（6）投标文件格式；</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对招标文件作出的澄清、修改，构成招标文件的组成部分。</w:t>
      </w:r>
    </w:p>
    <w:p>
      <w:pPr>
        <w:adjustRightInd w:val="0"/>
        <w:snapToGrid w:val="0"/>
        <w:spacing w:line="360" w:lineRule="auto"/>
        <w:rPr>
          <w:rFonts w:hint="eastAsia" w:ascii="宋体" w:hAnsi="宋体" w:eastAsia="宋体" w:cs="宋体"/>
          <w:b/>
          <w:bCs/>
          <w:sz w:val="24"/>
          <w:lang w:val="zh-CN"/>
        </w:rPr>
      </w:pPr>
      <w:r>
        <w:rPr>
          <w:rFonts w:hint="eastAsia" w:ascii="宋体" w:hAnsi="宋体" w:eastAsia="宋体" w:cs="宋体"/>
          <w:b/>
          <w:bCs/>
          <w:sz w:val="24"/>
          <w:lang w:val="zh-CN"/>
        </w:rPr>
        <w:t>3.2 招标文件的澄清和修改</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3.2.1 投标人应仔细阅读和检查招标文件的全部内容。如有疑问，应及时向采购人或采购代理机构提出。</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3.2.2 采购人或者采购代理机构可以对已发出的招标文件进行必要的澄清或者修改，招标文件的澄清以投标人须知前附表规定的形式发给所有购买招标文件的投标人。澄清或者修改发出的时间距投标截止时间不足15日的，并且澄清或者修改的内容可能影响投标文件编制的，将相应延长投标截止时间。</w:t>
      </w:r>
    </w:p>
    <w:p>
      <w:pPr>
        <w:adjustRightInd w:val="0"/>
        <w:snapToGrid w:val="0"/>
        <w:spacing w:line="360" w:lineRule="auto"/>
        <w:rPr>
          <w:rFonts w:hint="eastAsia" w:ascii="宋体" w:hAnsi="宋体" w:eastAsia="宋体" w:cs="宋体"/>
          <w:sz w:val="24"/>
          <w:lang w:val="zh-CN"/>
        </w:rPr>
      </w:pPr>
      <w:bookmarkStart w:id="27" w:name="_Toc12818"/>
      <w:r>
        <w:rPr>
          <w:rFonts w:hint="eastAsia" w:ascii="宋体" w:hAnsi="宋体" w:eastAsia="宋体" w:cs="宋体"/>
          <w:b/>
          <w:bCs/>
          <w:sz w:val="24"/>
          <w:lang w:val="zh-CN"/>
        </w:rPr>
        <w:t>4. 政府采购政策</w:t>
      </w:r>
      <w:bookmarkEnd w:id="27"/>
    </w:p>
    <w:p>
      <w:pPr>
        <w:tabs>
          <w:tab w:val="left" w:pos="4900"/>
        </w:tabs>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根据《陕西省财政厅关于政府采购有关问题的通知》（陕财办采资（2016）53号）、《西安市政府采购信用担保及信用融资工作实施方案（试行）》（市财发〔2014〕167）的规定，对政府采购相关政策落实如下：</w:t>
      </w:r>
    </w:p>
    <w:p>
      <w:pPr>
        <w:spacing w:line="360" w:lineRule="auto"/>
        <w:ind w:firstLine="472" w:firstLineChars="196"/>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4</w:t>
      </w:r>
      <w:r>
        <w:rPr>
          <w:rFonts w:hint="eastAsia" w:ascii="宋体" w:hAnsi="宋体" w:eastAsia="宋体" w:cs="宋体"/>
          <w:b/>
          <w:color w:val="000000"/>
          <w:sz w:val="24"/>
          <w:highlight w:val="none"/>
        </w:rPr>
        <w:t>.1《</w:t>
      </w:r>
      <w:r>
        <w:rPr>
          <w:rFonts w:hint="eastAsia" w:ascii="宋体" w:hAnsi="宋体" w:eastAsia="宋体" w:cs="宋体"/>
          <w:b/>
          <w:bCs/>
          <w:sz w:val="24"/>
          <w:highlight w:val="none"/>
        </w:rPr>
        <w:t>政府采购促进中小企业发展管理办法</w:t>
      </w:r>
      <w:r>
        <w:rPr>
          <w:rFonts w:hint="eastAsia" w:ascii="宋体" w:hAnsi="宋体" w:eastAsia="宋体" w:cs="宋体"/>
          <w:b/>
          <w:color w:val="000000"/>
          <w:sz w:val="24"/>
          <w:highlight w:val="none"/>
        </w:rPr>
        <w:t>》的通知--财库〔2020〕46号</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政府采购促进中小企业发展管理办法》（财库（2020）46号）规定，参加政府采购活动的中小企业应当提供《中小企业声明函》。供应商提供的《中小企业声明函》资料必须真实，否则，按照有关规定予以处理。</w:t>
      </w:r>
    </w:p>
    <w:p>
      <w:pPr>
        <w:spacing w:line="360" w:lineRule="auto"/>
        <w:ind w:firstLine="480" w:firstLineChars="200"/>
        <w:rPr>
          <w:rFonts w:hint="eastAsia" w:ascii="宋体" w:hAnsi="宋体" w:eastAsia="宋体" w:cs="宋体"/>
          <w:color w:val="000000"/>
          <w:sz w:val="24"/>
          <w:highlight w:val="none"/>
        </w:rPr>
      </w:pPr>
      <w:r>
        <w:rPr>
          <w:rFonts w:hint="eastAsia" w:ascii="宋体" w:cs="Times New Roman"/>
          <w:sz w:val="24"/>
          <w:highlight w:val="none"/>
          <w:lang w:eastAsia="zh-CN"/>
        </w:rPr>
        <w:t>对于未预留份额专门面向中小企业采购的采购项目，以及预留份额项目的非预留部分采购包中符合条件的小微企业，</w:t>
      </w:r>
      <w:r>
        <w:rPr>
          <w:rFonts w:hint="eastAsia" w:ascii="宋体" w:hAnsi="Times New Roman" w:eastAsia="宋体" w:cs="Times New Roman"/>
          <w:sz w:val="24"/>
          <w:highlight w:val="none"/>
        </w:rPr>
        <w:t>评标委员会对小型、微型企业的价格给予</w:t>
      </w:r>
      <w:r>
        <w:rPr>
          <w:rFonts w:hint="eastAsia" w:ascii="宋体" w:hAnsi="Times New Roman" w:cs="Times New Roman"/>
          <w:sz w:val="24"/>
          <w:highlight w:val="none"/>
          <w:lang w:eastAsia="zh-CN"/>
        </w:rPr>
        <w:t>政策扣减</w:t>
      </w:r>
      <w:r>
        <w:rPr>
          <w:rFonts w:hint="eastAsia" w:ascii="宋体" w:hAnsi="Times New Roman" w:eastAsia="宋体" w:cs="Times New Roman"/>
          <w:sz w:val="24"/>
          <w:highlight w:val="none"/>
        </w:rPr>
        <w:t>，用</w:t>
      </w:r>
      <w:r>
        <w:rPr>
          <w:rFonts w:hint="eastAsia" w:ascii="宋体" w:hAnsi="Times New Roman" w:cs="Times New Roman"/>
          <w:sz w:val="24"/>
          <w:highlight w:val="none"/>
          <w:lang w:eastAsia="zh-CN"/>
        </w:rPr>
        <w:t>扣减</w:t>
      </w:r>
      <w:r>
        <w:rPr>
          <w:rFonts w:hint="eastAsia" w:ascii="宋体" w:hAnsi="Times New Roman" w:eastAsia="宋体" w:cs="Times New Roman"/>
          <w:sz w:val="24"/>
          <w:highlight w:val="none"/>
        </w:rPr>
        <w:t>后的价格参与评审</w:t>
      </w:r>
      <w:r>
        <w:rPr>
          <w:rFonts w:hint="eastAsia" w:ascii="宋体" w:hAnsi="Times New Roman" w:eastAsia="宋体" w:cs="Times New Roman"/>
          <w:sz w:val="24"/>
          <w:highlight w:val="none"/>
          <w:lang w:eastAsia="zh-CN"/>
        </w:rPr>
        <w:t>。</w:t>
      </w:r>
    </w:p>
    <w:p>
      <w:pPr>
        <w:spacing w:line="360" w:lineRule="auto"/>
        <w:ind w:firstLine="472" w:firstLineChars="196"/>
        <w:rPr>
          <w:rFonts w:hint="eastAsia" w:ascii="宋体" w:hAnsi="宋体" w:eastAsia="宋体" w:cs="宋体"/>
          <w:b/>
          <w:color w:val="000000"/>
          <w:kern w:val="0"/>
          <w:sz w:val="24"/>
          <w:highlight w:val="none"/>
        </w:rPr>
      </w:pPr>
      <w:r>
        <w:rPr>
          <w:rFonts w:hint="eastAsia" w:ascii="宋体" w:hAnsi="宋体" w:eastAsia="宋体" w:cs="宋体"/>
          <w:b/>
          <w:color w:val="000000"/>
          <w:kern w:val="0"/>
          <w:sz w:val="24"/>
          <w:highlight w:val="none"/>
          <w:lang w:val="en-US" w:eastAsia="zh-CN"/>
        </w:rPr>
        <w:t>4</w:t>
      </w:r>
      <w:r>
        <w:rPr>
          <w:rFonts w:hint="eastAsia" w:ascii="宋体" w:hAnsi="宋体" w:eastAsia="宋体" w:cs="宋体"/>
          <w:b/>
          <w:color w:val="000000"/>
          <w:kern w:val="0"/>
          <w:sz w:val="24"/>
          <w:highlight w:val="none"/>
        </w:rPr>
        <w:t xml:space="preserve">.2财政部司法部关于政府采购支持监狱企业发展有关问题的通知--财库〔2014〕68号 </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根据《关于政府采购支持监狱企业发展有关问题的通知》（财库（2014）68号）规定，在政府采购活动中，监狱企业视同小型、微型企业，享受政府采购促进中小企业发展的政府采购政策。</w:t>
      </w:r>
    </w:p>
    <w:p>
      <w:pPr>
        <w:spacing w:line="360" w:lineRule="auto"/>
        <w:ind w:firstLine="472" w:firstLineChars="196"/>
        <w:rPr>
          <w:rFonts w:hint="eastAsia" w:ascii="宋体" w:hAnsi="宋体" w:eastAsia="宋体" w:cs="宋体"/>
          <w:b/>
          <w:color w:val="000000"/>
          <w:kern w:val="0"/>
          <w:sz w:val="24"/>
          <w:highlight w:val="none"/>
        </w:rPr>
      </w:pPr>
      <w:r>
        <w:rPr>
          <w:rFonts w:hint="eastAsia" w:ascii="宋体" w:hAnsi="宋体" w:eastAsia="宋体" w:cs="宋体"/>
          <w:b/>
          <w:color w:val="000000"/>
          <w:kern w:val="0"/>
          <w:sz w:val="24"/>
          <w:highlight w:val="none"/>
          <w:lang w:val="en-US" w:eastAsia="zh-CN"/>
        </w:rPr>
        <w:t>4</w:t>
      </w:r>
      <w:r>
        <w:rPr>
          <w:rFonts w:hint="eastAsia" w:ascii="宋体" w:hAnsi="宋体" w:eastAsia="宋体" w:cs="宋体"/>
          <w:b/>
          <w:color w:val="000000"/>
          <w:kern w:val="0"/>
          <w:sz w:val="24"/>
          <w:highlight w:val="none"/>
        </w:rPr>
        <w:t>.3《关于政府采购优先购买福利性企业产品和服务的意见》（陕民发〔2015〕1号）</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根据《关于政府采购优先购买福利性企业产品和服务的意见》（陕民发〔2015〕1号）规定，在政府采购活动中，本省福利性企业享受我省规定的采购扶持政策。</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评标委员会对供应商提供的福利企业的证明文件进行核实后，根据相关规定，对福利企业的价格给予6%的扣除，用扣除后的价格参与评审。</w:t>
      </w:r>
    </w:p>
    <w:p>
      <w:pPr>
        <w:spacing w:line="360" w:lineRule="auto"/>
        <w:ind w:firstLine="472" w:firstLineChars="196"/>
        <w:rPr>
          <w:rFonts w:hint="eastAsia" w:ascii="宋体" w:hAnsi="宋体" w:eastAsia="宋体" w:cs="宋体"/>
          <w:b/>
          <w:color w:val="000000"/>
          <w:kern w:val="0"/>
          <w:sz w:val="24"/>
          <w:highlight w:val="none"/>
        </w:rPr>
      </w:pPr>
      <w:r>
        <w:rPr>
          <w:rFonts w:hint="eastAsia" w:ascii="宋体" w:hAnsi="宋体" w:eastAsia="宋体" w:cs="宋体"/>
          <w:b/>
          <w:color w:val="000000"/>
          <w:kern w:val="0"/>
          <w:sz w:val="24"/>
          <w:highlight w:val="none"/>
          <w:lang w:val="en-US" w:eastAsia="zh-CN"/>
        </w:rPr>
        <w:t>4</w:t>
      </w:r>
      <w:r>
        <w:rPr>
          <w:rFonts w:hint="eastAsia" w:ascii="宋体" w:hAnsi="宋体" w:eastAsia="宋体" w:cs="宋体"/>
          <w:b/>
          <w:color w:val="000000"/>
          <w:kern w:val="0"/>
          <w:sz w:val="24"/>
          <w:highlight w:val="none"/>
        </w:rPr>
        <w:t>.4《国务院办公厅关于建立政府强制采购节能产品制度的通知》--国办发〔2007〕51号</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72" w:firstLineChars="196"/>
        <w:rPr>
          <w:rFonts w:hint="eastAsia" w:ascii="宋体" w:hAnsi="宋体" w:eastAsia="宋体" w:cs="宋体"/>
          <w:b/>
          <w:color w:val="000000"/>
          <w:kern w:val="0"/>
          <w:sz w:val="24"/>
          <w:highlight w:val="none"/>
        </w:rPr>
      </w:pPr>
      <w:r>
        <w:rPr>
          <w:rFonts w:hint="eastAsia" w:ascii="宋体" w:hAnsi="宋体" w:eastAsia="宋体" w:cs="宋体"/>
          <w:b/>
          <w:color w:val="000000"/>
          <w:kern w:val="0"/>
          <w:sz w:val="24"/>
          <w:highlight w:val="none"/>
          <w:lang w:val="en-US" w:eastAsia="zh-CN"/>
        </w:rPr>
        <w:t>4</w:t>
      </w:r>
      <w:r>
        <w:rPr>
          <w:rFonts w:hint="eastAsia" w:ascii="宋体" w:hAnsi="宋体" w:eastAsia="宋体" w:cs="宋体"/>
          <w:b/>
          <w:color w:val="000000"/>
          <w:kern w:val="0"/>
          <w:sz w:val="24"/>
          <w:highlight w:val="none"/>
        </w:rPr>
        <w:t>.5《环境标志产品政府采购实施的意见》--财库〔2006〕90号</w:t>
      </w:r>
    </w:p>
    <w:p>
      <w:pPr>
        <w:tabs>
          <w:tab w:val="left" w:pos="360"/>
        </w:tabs>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政府采购属于环境标志品目清单中产品时，在技术、服务等指标同等条件下，应当优先采购环境标志清单品目所列的节能产品。</w:t>
      </w:r>
    </w:p>
    <w:p>
      <w:pPr>
        <w:tabs>
          <w:tab w:val="left" w:pos="360"/>
        </w:tabs>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在投标时供应商应提供有效证明材料。（注：属于环境标志品目清单范围中实施政府优先采购的，依据提供的品目清单和国家确认的认证机构出具的认证证书实施政府优先采购）。</w:t>
      </w:r>
    </w:p>
    <w:p>
      <w:pPr>
        <w:tabs>
          <w:tab w:val="left" w:pos="360"/>
        </w:tabs>
        <w:snapToGrid w:val="0"/>
        <w:spacing w:line="360" w:lineRule="auto"/>
        <w:ind w:firstLine="472" w:firstLineChars="196"/>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4</w:t>
      </w:r>
      <w:r>
        <w:rPr>
          <w:rFonts w:hint="eastAsia" w:ascii="宋体" w:hAnsi="宋体" w:eastAsia="宋体" w:cs="宋体"/>
          <w:b/>
          <w:color w:val="000000"/>
          <w:sz w:val="24"/>
          <w:highlight w:val="none"/>
        </w:rPr>
        <w:t>.6《关于促进残疾人就业政府采购政策的通知》--财库〔2017〕141号</w:t>
      </w:r>
    </w:p>
    <w:p>
      <w:pPr>
        <w:tabs>
          <w:tab w:val="left" w:pos="360"/>
        </w:tabs>
        <w:snapToGrid w:val="0"/>
        <w:spacing w:line="360" w:lineRule="auto"/>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 xml:space="preserve">   </w:t>
      </w:r>
      <w:r>
        <w:rPr>
          <w:rFonts w:hint="eastAsia" w:ascii="宋体" w:hAnsi="宋体" w:eastAsia="宋体" w:cs="宋体"/>
          <w:color w:val="000000"/>
          <w:sz w:val="24"/>
          <w:highlight w:val="none"/>
        </w:rPr>
        <w:t>符合条件的残疾人福利性单位在参加政府采购活动时，应当提供本通知规定的《残疾人福利性单位声明函》，并对声明的真实性负责。 供应商提供的《残疾人福利性单位声明函》与事实不符的，依照《政府采购法》第七十七条第一款的规定追究法律责任。</w:t>
      </w:r>
    </w:p>
    <w:p>
      <w:pPr>
        <w:tabs>
          <w:tab w:val="left" w:pos="360"/>
        </w:tabs>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val="0"/>
        <w:snapToGrid w:val="0"/>
        <w:spacing w:line="360" w:lineRule="auto"/>
        <w:ind w:firstLine="472" w:firstLineChars="196"/>
        <w:rPr>
          <w:rFonts w:hint="eastAsia" w:ascii="宋体" w:hAnsi="宋体" w:eastAsia="宋体" w:cs="宋体"/>
          <w:b/>
          <w:color w:val="000000"/>
          <w:kern w:val="0"/>
          <w:sz w:val="24"/>
          <w:highlight w:val="none"/>
        </w:rPr>
      </w:pPr>
      <w:r>
        <w:rPr>
          <w:rFonts w:hint="eastAsia" w:ascii="宋体" w:hAnsi="宋体" w:eastAsia="宋体" w:cs="宋体"/>
          <w:b/>
          <w:color w:val="000000"/>
          <w:kern w:val="0"/>
          <w:sz w:val="24"/>
          <w:highlight w:val="none"/>
          <w:lang w:val="en-US" w:eastAsia="zh-CN"/>
        </w:rPr>
        <w:t>4</w:t>
      </w:r>
      <w:r>
        <w:rPr>
          <w:rFonts w:hint="eastAsia" w:ascii="宋体" w:hAnsi="宋体" w:eastAsia="宋体" w:cs="宋体"/>
          <w:b/>
          <w:color w:val="000000"/>
          <w:kern w:val="0"/>
          <w:sz w:val="24"/>
          <w:highlight w:val="none"/>
        </w:rPr>
        <w:t>.7财政部国家发展改革委关于印发《节能产品政府采购实施意见》的通知--（财库〔2004〕185号）</w:t>
      </w:r>
    </w:p>
    <w:p>
      <w:pPr>
        <w:tabs>
          <w:tab w:val="left" w:pos="360"/>
        </w:tabs>
        <w:adjustRightInd w:val="0"/>
        <w:snapToGrid w:val="0"/>
        <w:spacing w:line="360" w:lineRule="auto"/>
        <w:ind w:firstLine="470" w:firstLineChars="196"/>
        <w:rPr>
          <w:rFonts w:hint="eastAsia" w:ascii="宋体" w:hAnsi="宋体" w:eastAsia="宋体" w:cs="宋体"/>
          <w:color w:val="000000"/>
          <w:sz w:val="24"/>
          <w:highlight w:val="none"/>
        </w:rPr>
      </w:pPr>
      <w:r>
        <w:rPr>
          <w:rFonts w:hint="eastAsia" w:ascii="宋体" w:hAnsi="宋体" w:eastAsia="宋体" w:cs="宋体"/>
          <w:color w:val="000000"/>
          <w:sz w:val="24"/>
          <w:highlight w:val="none"/>
        </w:rPr>
        <w:t>政府采购属于节能品目清单中产品时，在技术、服务等指标同等条件下，应当优先采购节能清单品目所列的节能产品。</w:t>
      </w:r>
    </w:p>
    <w:p>
      <w:pPr>
        <w:tabs>
          <w:tab w:val="left" w:pos="360"/>
        </w:tabs>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在投标时供应商应提供有效证明材料。（注：属于节能品目清单范围中实施政府优先采购的，依据提供的品目清单和国家确认的认证机构出具的认证证书实施政府优先采购）。</w:t>
      </w:r>
    </w:p>
    <w:p>
      <w:pPr>
        <w:tabs>
          <w:tab w:val="left" w:pos="360"/>
        </w:tabs>
        <w:adjustRightInd w:val="0"/>
        <w:snapToGrid w:val="0"/>
        <w:spacing w:line="360" w:lineRule="auto"/>
        <w:ind w:firstLine="480"/>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4</w:t>
      </w:r>
      <w:r>
        <w:rPr>
          <w:rFonts w:hint="eastAsia" w:ascii="宋体" w:hAnsi="宋体" w:eastAsia="宋体" w:cs="宋体"/>
          <w:b/>
          <w:color w:val="000000"/>
          <w:sz w:val="24"/>
          <w:highlight w:val="none"/>
        </w:rPr>
        <w:t>.8 陕西省财政厅关于印发《陕西省中小企业政府采购信用融资办法》--陕财办采〔2018〕23号</w:t>
      </w:r>
    </w:p>
    <w:p>
      <w:pPr>
        <w:tabs>
          <w:tab w:val="left" w:pos="360"/>
        </w:tabs>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tabs>
          <w:tab w:val="left" w:pos="360"/>
        </w:tabs>
        <w:adjustRightInd w:val="0"/>
        <w:snapToGrid w:val="0"/>
        <w:spacing w:line="360" w:lineRule="auto"/>
        <w:ind w:firstLine="480"/>
        <w:rPr>
          <w:rFonts w:hint="eastAsia" w:ascii="宋体" w:hAnsi="宋体" w:eastAsia="宋体" w:cs="宋体"/>
          <w:b/>
          <w:color w:val="000000"/>
          <w:kern w:val="0"/>
          <w:sz w:val="24"/>
          <w:highlight w:val="none"/>
        </w:rPr>
      </w:pPr>
      <w:r>
        <w:rPr>
          <w:rFonts w:hint="eastAsia" w:ascii="宋体" w:hAnsi="宋体" w:eastAsia="宋体" w:cs="宋体"/>
          <w:b/>
          <w:color w:val="000000"/>
          <w:kern w:val="2"/>
          <w:sz w:val="24"/>
          <w:szCs w:val="24"/>
          <w:highlight w:val="none"/>
          <w:lang w:val="en-US" w:eastAsia="zh-CN" w:bidi="ar-SA"/>
        </w:rPr>
        <w:t>4.9《关于运用政府采购政策支持乡村产业振兴的通知》-</w:t>
      </w:r>
      <w:r>
        <w:rPr>
          <w:rFonts w:hint="eastAsia" w:ascii="宋体" w:hAnsi="宋体" w:eastAsia="宋体" w:cs="宋体"/>
          <w:b/>
          <w:color w:val="000000"/>
          <w:kern w:val="0"/>
          <w:sz w:val="24"/>
          <w:highlight w:val="none"/>
        </w:rPr>
        <w:t>-财库〔2021〕19 号</w:t>
      </w:r>
    </w:p>
    <w:p>
      <w:pPr>
        <w:tabs>
          <w:tab w:val="left" w:pos="360"/>
        </w:tabs>
        <w:snapToGrid w:val="0"/>
        <w:spacing w:line="360" w:lineRule="auto"/>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kern w:val="2"/>
          <w:sz w:val="24"/>
          <w:szCs w:val="24"/>
          <w:highlight w:val="none"/>
          <w:lang w:val="en-US" w:eastAsia="zh-CN" w:bidi="ar-SA"/>
        </w:rPr>
        <w:t>财政部、农业农村部、国家乡村振兴局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color w:val="000000"/>
          <w:kern w:val="2"/>
          <w:sz w:val="24"/>
          <w:szCs w:val="24"/>
          <w:highlight w:val="none"/>
          <w:lang w:val="en-US" w:eastAsia="zh-CN" w:bidi="ar-SA"/>
        </w:rPr>
        <w:t>《通知》明确，财政部会同农业农村部、国家乡村振兴局等部门制定政府采购脱贫地区农副产品工作的实施意见，加强脱贫地区农副产品货源组织、供应链管理和网络销售平台运营管理，积极组织预算单位采购脱贫地区农副产品。</w:t>
      </w:r>
    </w:p>
    <w:p>
      <w:pPr>
        <w:adjustRightInd w:val="0"/>
        <w:snapToGrid w:val="0"/>
        <w:spacing w:line="360" w:lineRule="auto"/>
        <w:ind w:firstLine="482" w:firstLineChars="200"/>
        <w:rPr>
          <w:rFonts w:hint="eastAsia" w:ascii="宋体" w:hAnsi="宋体" w:eastAsia="宋体" w:cs="宋体"/>
          <w:b/>
          <w:bCs/>
          <w:sz w:val="24"/>
          <w:lang w:val="zh-CN"/>
        </w:rPr>
      </w:pPr>
      <w:bookmarkStart w:id="28" w:name="_Toc8247"/>
      <w:r>
        <w:rPr>
          <w:rFonts w:hint="eastAsia" w:ascii="宋体" w:hAnsi="宋体" w:cs="宋体"/>
          <w:b/>
          <w:bCs/>
          <w:sz w:val="24"/>
          <w:lang w:val="en-US" w:eastAsia="zh-CN"/>
        </w:rPr>
        <w:t>4</w:t>
      </w:r>
      <w:r>
        <w:rPr>
          <w:rFonts w:hint="eastAsia" w:ascii="宋体" w:hAnsi="宋体" w:eastAsia="宋体" w:cs="宋体"/>
          <w:b/>
          <w:bCs/>
          <w:sz w:val="24"/>
          <w:lang w:val="zh-CN"/>
        </w:rPr>
        <w:t>.</w:t>
      </w:r>
      <w:r>
        <w:rPr>
          <w:rFonts w:hint="eastAsia" w:ascii="宋体" w:hAnsi="宋体" w:cs="宋体"/>
          <w:b/>
          <w:bCs/>
          <w:sz w:val="24"/>
          <w:lang w:val="en-US" w:eastAsia="zh-CN"/>
        </w:rPr>
        <w:t>10</w:t>
      </w:r>
      <w:r>
        <w:rPr>
          <w:rFonts w:hint="eastAsia" w:ascii="宋体" w:hAnsi="宋体" w:eastAsia="宋体" w:cs="宋体"/>
          <w:b/>
          <w:bCs/>
          <w:sz w:val="24"/>
          <w:lang w:val="zh-CN"/>
        </w:rPr>
        <w:t>《关于进一步加大政府采购支持中小企业力度的通知》（财库﹝2022﹞19号）</w:t>
      </w:r>
    </w:p>
    <w:p>
      <w:pPr>
        <w:adjustRightInd w:val="0"/>
        <w:snapToGrid w:val="0"/>
        <w:spacing w:line="360" w:lineRule="auto"/>
        <w:ind w:firstLine="480" w:firstLineChars="200"/>
        <w:rPr>
          <w:rFonts w:hint="eastAsia" w:ascii="宋体" w:hAnsi="宋体" w:eastAsia="宋体" w:cs="宋体"/>
          <w:b w:val="0"/>
          <w:bCs w:val="0"/>
          <w:sz w:val="24"/>
          <w:lang w:val="zh-CN"/>
        </w:rPr>
      </w:pPr>
      <w:r>
        <w:rPr>
          <w:rFonts w:hint="eastAsia" w:ascii="宋体" w:hAnsi="宋体" w:eastAsia="宋体" w:cs="宋体"/>
          <w:b w:val="0"/>
          <w:bCs w:val="0"/>
          <w:sz w:val="24"/>
          <w:lang w:val="zh-CN"/>
        </w:rPr>
        <w:t>对于未预留份额专门面向中小企业采购的采购项目，以及预留份额项目的非预留部分采购包中符合条件的小微企业报价给予10%的扣除。用扣除后的价格参加评审。</w:t>
      </w:r>
    </w:p>
    <w:p>
      <w:pPr>
        <w:adjustRightInd w:val="0"/>
        <w:snapToGrid w:val="0"/>
        <w:spacing w:line="360" w:lineRule="auto"/>
        <w:rPr>
          <w:rFonts w:hint="eastAsia" w:ascii="宋体" w:hAnsi="宋体" w:eastAsia="宋体" w:cs="宋体"/>
          <w:b/>
          <w:bCs/>
          <w:sz w:val="24"/>
          <w:lang w:val="zh-CN"/>
        </w:rPr>
      </w:pPr>
      <w:r>
        <w:rPr>
          <w:rFonts w:hint="eastAsia" w:ascii="宋体" w:hAnsi="宋体" w:eastAsia="宋体" w:cs="宋体"/>
          <w:b/>
          <w:bCs/>
          <w:sz w:val="24"/>
          <w:lang w:val="zh-CN"/>
        </w:rPr>
        <w:t>5.投标文件</w:t>
      </w:r>
      <w:bookmarkEnd w:id="28"/>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b/>
          <w:bCs/>
          <w:sz w:val="24"/>
          <w:lang w:val="zh-CN"/>
        </w:rPr>
        <w:t>投标文件的组成</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投标文件应包括下列内容：</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（1）投标函</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（2）</w:t>
      </w:r>
      <w:r>
        <w:rPr>
          <w:rFonts w:hint="eastAsia" w:ascii="宋体" w:hAnsi="宋体" w:cs="宋体"/>
          <w:sz w:val="24"/>
          <w:lang w:val="zh-CN"/>
        </w:rPr>
        <w:t>报价</w:t>
      </w:r>
      <w:r>
        <w:rPr>
          <w:rFonts w:hint="eastAsia" w:ascii="宋体" w:hAnsi="宋体" w:eastAsia="宋体" w:cs="宋体"/>
          <w:sz w:val="24"/>
          <w:lang w:val="zh-CN"/>
        </w:rPr>
        <w:t>一览表；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3</w:t>
      </w:r>
      <w:r>
        <w:rPr>
          <w:rFonts w:hint="eastAsia" w:ascii="宋体" w:hAnsi="宋体" w:eastAsia="宋体" w:cs="宋体"/>
          <w:sz w:val="24"/>
          <w:lang w:val="zh-CN"/>
        </w:rPr>
        <w:t>）法定代表人（单位负责人/自然人）身份证明；</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4</w:t>
      </w:r>
      <w:r>
        <w:rPr>
          <w:rFonts w:hint="eastAsia" w:ascii="宋体" w:hAnsi="宋体" w:eastAsia="宋体" w:cs="宋体"/>
          <w:sz w:val="24"/>
          <w:lang w:val="zh-CN"/>
        </w:rPr>
        <w:t>）授权委托书；</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5</w:t>
      </w:r>
      <w:r>
        <w:rPr>
          <w:rFonts w:hint="eastAsia" w:ascii="宋体" w:hAnsi="宋体" w:eastAsia="宋体" w:cs="宋体"/>
          <w:sz w:val="24"/>
          <w:lang w:val="zh-CN"/>
        </w:rPr>
        <w:t>）资格审查资料；</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6</w:t>
      </w:r>
      <w:r>
        <w:rPr>
          <w:rFonts w:hint="eastAsia" w:ascii="宋体" w:hAnsi="宋体" w:eastAsia="宋体" w:cs="宋体"/>
          <w:sz w:val="24"/>
          <w:lang w:val="zh-CN"/>
        </w:rPr>
        <w:t>）商务响应表；</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7</w:t>
      </w:r>
      <w:r>
        <w:rPr>
          <w:rFonts w:hint="eastAsia" w:ascii="宋体" w:hAnsi="宋体" w:eastAsia="宋体" w:cs="宋体"/>
          <w:sz w:val="24"/>
          <w:lang w:val="zh-CN"/>
        </w:rPr>
        <w:t>）商务和技术响应；</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）承诺书；</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9</w:t>
      </w:r>
      <w:r>
        <w:rPr>
          <w:rFonts w:hint="eastAsia" w:ascii="宋体" w:hAnsi="宋体" w:eastAsia="宋体" w:cs="宋体"/>
          <w:sz w:val="24"/>
          <w:lang w:val="zh-CN"/>
        </w:rPr>
        <w:t>）其他资料。</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投标人在评标过程中作出的符合法律法规和招标文件规定的澄清确认，构成投标文件的组成部分。</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5.2 投标报价</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5.2.1 投标报价应包括国家规定的税金，投标人应按第六章“投标文件格式”的要求在开标一览表中进行报价并填写分项报价表。</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5.2.2 投标人应充分了解该项目的总体情况以及影响投标报价的其他要素。</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报价的，应同时修改投标文件“分项报价表”中的相应报价。</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5.2.4 投标人的投标报价不得超过采购预算，否则按无效投标处理。</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5.2.5 投标报价的其他要求见投标人须知前附表。</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5.3 投标有效期</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5.3.1 除投标人须知前附表另有规定外，投标有效期为投标截止之日起90日历天。</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5.3.</w:t>
      </w:r>
      <w:r>
        <w:rPr>
          <w:rFonts w:hint="eastAsia" w:ascii="宋体" w:hAnsi="宋体" w:eastAsia="宋体" w:cs="宋体"/>
          <w:sz w:val="24"/>
        </w:rPr>
        <w:t>2</w:t>
      </w:r>
      <w:r>
        <w:rPr>
          <w:rFonts w:hint="eastAsia" w:ascii="宋体" w:hAnsi="宋体" w:eastAsia="宋体" w:cs="宋体"/>
          <w:sz w:val="24"/>
          <w:lang w:val="zh-CN"/>
        </w:rPr>
        <w:t xml:space="preserve">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5.4 投标保证金：无</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5.</w:t>
      </w:r>
      <w:r>
        <w:rPr>
          <w:rFonts w:hint="eastAsia" w:ascii="宋体" w:hAnsi="宋体" w:eastAsia="宋体" w:cs="宋体"/>
          <w:b/>
          <w:bCs/>
          <w:sz w:val="24"/>
        </w:rPr>
        <w:t>5</w:t>
      </w:r>
      <w:r>
        <w:rPr>
          <w:rFonts w:hint="eastAsia" w:ascii="宋体" w:hAnsi="宋体" w:eastAsia="宋体" w:cs="宋体"/>
          <w:b/>
          <w:bCs/>
          <w:sz w:val="24"/>
          <w:lang w:val="zh-CN"/>
        </w:rPr>
        <w:t>备选投标方案</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5</w:t>
      </w:r>
      <w:r>
        <w:rPr>
          <w:rFonts w:hint="eastAsia" w:ascii="宋体" w:hAnsi="宋体" w:eastAsia="宋体" w:cs="宋体"/>
          <w:sz w:val="24"/>
          <w:lang w:val="zh-CN"/>
        </w:rPr>
        <w:t>.1 除投标人须知前附表规定允许外，投标人不得递交备选投标方案，否则其投标按无效处理。</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5.</w:t>
      </w:r>
      <w:r>
        <w:rPr>
          <w:rFonts w:hint="eastAsia" w:ascii="宋体" w:hAnsi="宋体" w:eastAsia="宋体" w:cs="宋体"/>
          <w:b/>
          <w:bCs/>
          <w:sz w:val="24"/>
        </w:rPr>
        <w:t>6</w:t>
      </w:r>
      <w:r>
        <w:rPr>
          <w:rFonts w:hint="eastAsia" w:ascii="宋体" w:hAnsi="宋体" w:eastAsia="宋体" w:cs="宋体"/>
          <w:b/>
          <w:bCs/>
          <w:sz w:val="24"/>
          <w:lang w:val="zh-CN"/>
        </w:rPr>
        <w:t>投标文件的编制</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6</w:t>
      </w:r>
      <w:r>
        <w:rPr>
          <w:rFonts w:hint="eastAsia" w:ascii="宋体" w:hAnsi="宋体" w:eastAsia="宋体" w:cs="宋体"/>
          <w:sz w:val="24"/>
          <w:lang w:val="zh-CN"/>
        </w:rPr>
        <w:t>.1 投标文件应按第六章“投标文件格式”进行编写，如有必要，可以增加附页，作为投标文件的组成部分。</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6</w:t>
      </w:r>
      <w:r>
        <w:rPr>
          <w:rFonts w:hint="eastAsia" w:ascii="宋体" w:hAnsi="宋体" w:eastAsia="宋体" w:cs="宋体"/>
          <w:sz w:val="24"/>
          <w:lang w:val="zh-CN"/>
        </w:rPr>
        <w:t>.2 投标文件应当对招标文件有关投标有效期、供货期、供货要求、招标范围等实质性内容作出响应。投标文件在满足招标文件实质性要求的基础上，可以提出比招标文件要求更有利于采购人的承诺。</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6</w:t>
      </w:r>
      <w:r>
        <w:rPr>
          <w:rFonts w:hint="eastAsia" w:ascii="宋体" w:hAnsi="宋体" w:eastAsia="宋体" w:cs="宋体"/>
          <w:sz w:val="24"/>
          <w:lang w:val="zh-CN"/>
        </w:rPr>
        <w:t>.3 投标文件应用不褪色的材料书写或打印，开标一览表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6</w:t>
      </w:r>
      <w:r>
        <w:rPr>
          <w:rFonts w:hint="eastAsia" w:ascii="宋体" w:hAnsi="宋体" w:eastAsia="宋体" w:cs="宋体"/>
          <w:sz w:val="24"/>
          <w:lang w:val="zh-CN"/>
        </w:rPr>
        <w:t>.4 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6</w:t>
      </w:r>
      <w:r>
        <w:rPr>
          <w:rFonts w:hint="eastAsia" w:ascii="宋体" w:hAnsi="宋体" w:eastAsia="宋体" w:cs="宋体"/>
          <w:sz w:val="24"/>
          <w:lang w:val="zh-CN"/>
        </w:rPr>
        <w:t>.5 投标文件的正本与副本应分别胶装成册，否则按无效投标处理。</w:t>
      </w:r>
    </w:p>
    <w:p>
      <w:pPr>
        <w:adjustRightInd w:val="0"/>
        <w:snapToGrid w:val="0"/>
        <w:spacing w:line="360" w:lineRule="auto"/>
        <w:ind w:firstLine="482" w:firstLineChars="200"/>
        <w:rPr>
          <w:rFonts w:hint="eastAsia" w:ascii="宋体" w:hAnsi="宋体" w:eastAsia="宋体" w:cs="宋体"/>
          <w:sz w:val="24"/>
          <w:lang w:val="zh-CN"/>
        </w:rPr>
      </w:pPr>
      <w:bookmarkStart w:id="29" w:name="_Toc2414"/>
      <w:r>
        <w:rPr>
          <w:rFonts w:hint="eastAsia" w:ascii="宋体" w:hAnsi="宋体" w:eastAsia="宋体" w:cs="宋体"/>
          <w:b/>
          <w:bCs/>
          <w:sz w:val="24"/>
          <w:lang w:val="zh-CN"/>
        </w:rPr>
        <w:t>6.投标文件的密封和提交</w:t>
      </w:r>
      <w:bookmarkEnd w:id="29"/>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6.1 投标文件的密封</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6.1.1 投标文件应密封包装，见投标人须知前附表。</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6.1.2 投标文件封套上应写明的内容见投标人须知前附表。</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6.1.3 未按本章第6.1.1项和6.1.2项要求密封的投标文件，采购人将予以拒收。</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6.2 投标文件的递交</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6.2.1 投标人应当在招标文件要求提交投标文件的截止时间前，将投标文件密封送达投标地点。</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6.2.2 投标人递交投标文件的地点：见投标人须知前附表。</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6.2.3</w:t>
      </w:r>
      <w:r>
        <w:rPr>
          <w:rFonts w:hint="eastAsia" w:ascii="宋体" w:hAnsi="宋体" w:eastAsia="宋体" w:cs="宋体"/>
          <w:sz w:val="24"/>
          <w:highlight w:val="none"/>
          <w:lang w:val="en-US" w:eastAsia="zh-CN"/>
        </w:rPr>
        <w:t>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6.2.</w:t>
      </w:r>
      <w:r>
        <w:rPr>
          <w:rFonts w:hint="eastAsia" w:ascii="宋体" w:hAnsi="宋体" w:cs="宋体"/>
          <w:sz w:val="24"/>
          <w:lang w:val="en-US" w:eastAsia="zh-CN"/>
        </w:rPr>
        <w:t>4</w:t>
      </w:r>
      <w:r>
        <w:rPr>
          <w:rFonts w:hint="eastAsia" w:ascii="宋体" w:hAnsi="宋体" w:eastAsia="宋体" w:cs="宋体"/>
          <w:sz w:val="24"/>
          <w:lang w:val="zh-CN"/>
        </w:rPr>
        <w:t xml:space="preserve"> 除投标人须知前附表另有规定外，投标人所递交的投标文件不予退还。</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6.2.</w:t>
      </w:r>
      <w:r>
        <w:rPr>
          <w:rFonts w:hint="eastAsia" w:ascii="宋体" w:hAnsi="宋体" w:cs="宋体"/>
          <w:sz w:val="24"/>
          <w:lang w:val="en-US" w:eastAsia="zh-CN"/>
        </w:rPr>
        <w:t>5</w:t>
      </w:r>
      <w:r>
        <w:rPr>
          <w:rFonts w:hint="eastAsia" w:ascii="宋体" w:hAnsi="宋体" w:eastAsia="宋体" w:cs="宋体"/>
          <w:sz w:val="24"/>
          <w:lang w:val="zh-CN"/>
        </w:rPr>
        <w:t xml:space="preserve"> 逾期送达的或者未送达指定地点的投标文件，采购人将予以拒收。</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6.3 投标文件的修改与撤回</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6.3.1 投标人在投标截止时间前，可以对所递交的投标文件进行补充、修改或者撤回，并书面通知采购人或者采购代理机构。补充、修改的内容应当按照招标文件要求签署、盖章、密封后，作为投标文件的组成部分。</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6.3.2 投标人撤回投标文件的，采购人自收到投标人书面撤回通知之日起5个工作日内退还已收取的投标保证金，</w:t>
      </w:r>
      <w:r>
        <w:rPr>
          <w:rFonts w:hint="eastAsia" w:ascii="宋体" w:hAnsi="宋体" w:eastAsia="宋体" w:cs="宋体"/>
          <w:sz w:val="24"/>
        </w:rPr>
        <w:t>但因投标人自身原因导致无法及时退还的除外。</w:t>
      </w:r>
    </w:p>
    <w:p>
      <w:pPr>
        <w:adjustRightInd w:val="0"/>
        <w:snapToGrid w:val="0"/>
        <w:spacing w:line="360" w:lineRule="auto"/>
        <w:ind w:firstLine="482" w:firstLineChars="200"/>
        <w:rPr>
          <w:rFonts w:hint="eastAsia" w:ascii="宋体" w:hAnsi="宋体" w:eastAsia="宋体" w:cs="宋体"/>
          <w:b/>
          <w:bCs/>
          <w:sz w:val="24"/>
          <w:lang w:val="zh-CN"/>
        </w:rPr>
      </w:pPr>
      <w:bookmarkStart w:id="30" w:name="_Toc9154"/>
      <w:r>
        <w:rPr>
          <w:rFonts w:hint="eastAsia" w:ascii="宋体" w:hAnsi="宋体" w:eastAsia="宋体" w:cs="宋体"/>
          <w:b/>
          <w:bCs/>
          <w:sz w:val="24"/>
          <w:lang w:val="zh-CN"/>
        </w:rPr>
        <w:t>7.开标</w:t>
      </w:r>
      <w:bookmarkEnd w:id="30"/>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7.1 开标时间和地点</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采购人在本章第 6.2.1 项规定的投标截止时间（开标时间）和投标人须知前附表规定的地点公开开标。</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7.2 开标程序</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（1）宣布开标纪律；</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（2）公布在投标截止时间前递交投标文件的投标人名称；</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（3）宣布开标人、唱标人、记录人、监标人等有关人员姓名；</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（4）检查投标文件的密封情况并当众开标，公布招标项目名称、投标人名称、投标报价、交货期、交货地点及其他内容，并记录在案；</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（5）投标人代表、采购人、监标人、记录人等有关人员在开标记录上签字确认；</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（6）开标结束。</w:t>
      </w:r>
    </w:p>
    <w:p>
      <w:pPr>
        <w:adjustRightInd w:val="0"/>
        <w:snapToGrid w:val="0"/>
        <w:spacing w:line="360" w:lineRule="auto"/>
        <w:ind w:firstLine="482" w:firstLineChars="200"/>
        <w:rPr>
          <w:rFonts w:hint="eastAsia" w:ascii="宋体" w:hAnsi="宋体" w:eastAsia="宋体" w:cs="宋体"/>
          <w:b/>
          <w:bCs/>
          <w:sz w:val="24"/>
          <w:lang w:val="zh-CN"/>
        </w:rPr>
      </w:pPr>
      <w:bookmarkStart w:id="31" w:name="_Toc16394"/>
      <w:r>
        <w:rPr>
          <w:rFonts w:hint="eastAsia" w:ascii="宋体" w:hAnsi="宋体" w:eastAsia="宋体" w:cs="宋体"/>
          <w:b/>
          <w:bCs/>
          <w:sz w:val="24"/>
          <w:lang w:val="zh-CN"/>
        </w:rPr>
        <w:t>8.投标人资格审查</w:t>
      </w:r>
      <w:bookmarkEnd w:id="31"/>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8.1 开标结束后，</w:t>
      </w:r>
      <w:r>
        <w:rPr>
          <w:rFonts w:hint="eastAsia" w:ascii="宋体" w:hAnsi="宋体" w:eastAsia="宋体" w:cs="宋体"/>
          <w:color w:val="auto"/>
          <w:sz w:val="24"/>
          <w:lang w:val="zh-CN"/>
        </w:rPr>
        <w:t>采购代理机构协助</w:t>
      </w:r>
      <w:r>
        <w:rPr>
          <w:rFonts w:hint="eastAsia" w:ascii="宋体" w:hAnsi="宋体" w:eastAsia="宋体" w:cs="宋体"/>
          <w:sz w:val="24"/>
          <w:lang w:val="zh-CN"/>
        </w:rPr>
        <w:t>采购人按照《政府采购货物和服务招标投标管理办法》（财政部第87号令）有关规定，对投标文件正本中的投标人资格证明文件进行审查。</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8.2 投标人供应商应按下表中的资格审查标准的评审因素和标准要求提供相关资格审查资料，以证明其满足本章第2.3款规定的资格要求。供应商未按招标文件规定提供齐全且合法有效的资格审查资料的，按无效投标处理。</w:t>
      </w:r>
    </w:p>
    <w:tbl>
      <w:tblPr>
        <w:tblStyle w:val="22"/>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671"/>
        <w:gridCol w:w="585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42" w:type="dxa"/>
            <w:gridSpan w:val="2"/>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条款号</w:t>
            </w:r>
          </w:p>
        </w:tc>
        <w:tc>
          <w:tcPr>
            <w:tcW w:w="5857"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评审因素</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restart"/>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8.2</w:t>
            </w:r>
          </w:p>
        </w:tc>
        <w:tc>
          <w:tcPr>
            <w:tcW w:w="671" w:type="dxa"/>
            <w:vMerge w:val="restart"/>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资格审查标准</w:t>
            </w:r>
          </w:p>
        </w:tc>
        <w:tc>
          <w:tcPr>
            <w:tcW w:w="5857" w:type="dxa"/>
            <w:vAlign w:val="center"/>
          </w:tcPr>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eastAsia="zh-CN"/>
              </w:rPr>
              <w:t>具有独立承担民事责任能力的法人或其他组织，提供有效存续的营业执照或事业单位法人证书或非企业专业服务机构执业许可证或民办非企业单位登记证书或自然人的身份证明；</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财务状况报告：提供经审计的2020年或2021年财务报告，包括“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后附开户许可证或基本账户</w:t>
            </w:r>
            <w:r>
              <w:rPr>
                <w:rFonts w:hint="eastAsia" w:ascii="宋体" w:hAnsi="宋体" w:eastAsia="宋体" w:cs="宋体"/>
                <w:sz w:val="24"/>
                <w:lang w:eastAsia="zh-CN"/>
              </w:rPr>
              <w:t>信息</w:t>
            </w:r>
            <w:r>
              <w:rPr>
                <w:rFonts w:hint="eastAsia" w:ascii="宋体" w:hAnsi="宋体" w:eastAsia="宋体" w:cs="宋体"/>
                <w:sz w:val="24"/>
                <w:lang w:val="en-US" w:eastAsia="zh-CN"/>
              </w:rPr>
              <w:t>），以上两种形式的资料提供任何一种即可（分支机构如无法提供财务审计报告，须出具包含分支机构的财务数据的总公司财务审计报告）；事业单位零余额账户提供相应证明；</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税收缴纳证明：提供已缴纳的2021年度6月份至今任意一个月的纳税证明或完税证明，纳税证明或完税证明上应有代收机构或税务机关的公章。依法免税的供应商应提供相关文件证明；</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供应商须提供具有履行合同所必需的设备和专业技术能力的承诺；</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lang w:val="zh-CN" w:eastAsia="zh-CN"/>
              </w:rPr>
            </w:pPr>
            <w:r>
              <w:rPr>
                <w:rFonts w:hint="eastAsia" w:ascii="宋体" w:hAnsi="宋体" w:eastAsia="宋体" w:cs="宋体"/>
                <w:sz w:val="24"/>
              </w:rPr>
              <w:t>社会保障资金缴纳证明：提供已缴存的2021年度</w:t>
            </w:r>
            <w:r>
              <w:rPr>
                <w:rFonts w:hint="eastAsia" w:ascii="宋体" w:hAnsi="宋体" w:eastAsia="宋体" w:cs="宋体"/>
                <w:sz w:val="24"/>
                <w:lang w:val="en-US" w:eastAsia="zh-CN"/>
              </w:rPr>
              <w:t>6月份</w:t>
            </w:r>
            <w:r>
              <w:rPr>
                <w:rFonts w:hint="eastAsia" w:ascii="宋体" w:hAnsi="宋体" w:eastAsia="宋体" w:cs="宋体"/>
                <w:sz w:val="24"/>
              </w:rPr>
              <w:t>至今任意一个月的社会保障资金缴存单据或社保机构开具的社会保险参保缴费情况证明，单据或证明上应有社保机构或代收机构的公章。依法不需要缴纳社会保障资金的供应商应提供相关文件证明；</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rPr>
              <w:t>出具参加本次政府采购活动前三年内在经营活动中没有重大违法记录的书面声明；</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lang w:eastAsia="zh-CN"/>
              </w:rPr>
              <w:t>第一包、第五包、第七包、第八包提供：</w:t>
            </w:r>
            <w:r>
              <w:rPr>
                <w:rFonts w:hint="eastAsia" w:ascii="宋体" w:hAnsi="宋体" w:eastAsia="宋体" w:cs="宋体"/>
                <w:sz w:val="24"/>
                <w:highlight w:val="none"/>
              </w:rPr>
              <w:t>本项目专门面向中小企业采购（残疾人福利性单位及监狱企业视同小型、微型企业）</w:t>
            </w:r>
            <w:r>
              <w:rPr>
                <w:rFonts w:hint="eastAsia" w:ascii="宋体" w:hAnsi="宋体" w:cs="宋体"/>
                <w:sz w:val="24"/>
                <w:highlight w:val="none"/>
                <w:lang w:eastAsia="zh-CN"/>
              </w:rPr>
              <w:t>（提供声明函）</w:t>
            </w:r>
          </w:p>
        </w:tc>
        <w:tc>
          <w:tcPr>
            <w:tcW w:w="1575" w:type="dxa"/>
            <w:vAlign w:val="center"/>
          </w:tcPr>
          <w:p>
            <w:pPr>
              <w:adjustRightInd w:val="0"/>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lang w:val="en-US" w:eastAsia="zh-CN"/>
              </w:rPr>
            </w:pPr>
            <w:r>
              <w:rPr>
                <w:rFonts w:hint="eastAsia" w:ascii="宋体" w:hAnsi="宋体" w:eastAsia="宋体" w:cs="宋体"/>
                <w:sz w:val="24"/>
              </w:rPr>
              <w:t>法定代表人授权书（附法定代表人、被授权人身份证复印件）及被授权人身份证（法定代表人直接参加招标，须提供法定代表人身份证明及身份证原件）；</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71" w:type="dxa"/>
            <w:vMerge w:val="continue"/>
            <w:vAlign w:val="center"/>
          </w:tcPr>
          <w:p>
            <w:pPr>
              <w:adjustRightInd w:val="0"/>
              <w:snapToGrid w:val="0"/>
              <w:spacing w:line="360" w:lineRule="auto"/>
              <w:rPr>
                <w:rFonts w:hint="eastAsia" w:ascii="宋体" w:hAnsi="宋体" w:eastAsia="宋体" w:cs="宋体"/>
                <w:sz w:val="24"/>
              </w:rPr>
            </w:pPr>
          </w:p>
        </w:tc>
        <w:tc>
          <w:tcPr>
            <w:tcW w:w="671" w:type="dxa"/>
            <w:vMerge w:val="continue"/>
            <w:vAlign w:val="center"/>
          </w:tcPr>
          <w:p>
            <w:pPr>
              <w:adjustRightInd w:val="0"/>
              <w:snapToGrid w:val="0"/>
              <w:spacing w:line="360" w:lineRule="auto"/>
              <w:rPr>
                <w:rFonts w:hint="eastAsia" w:ascii="宋体" w:hAnsi="宋体" w:eastAsia="宋体" w:cs="宋体"/>
                <w:sz w:val="24"/>
              </w:rPr>
            </w:pPr>
          </w:p>
        </w:tc>
        <w:tc>
          <w:tcPr>
            <w:tcW w:w="5857"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lang w:val="zh-CN"/>
              </w:rPr>
              <w:t>本项目不接受联合体投标（提供书面说明）。</w:t>
            </w:r>
          </w:p>
        </w:tc>
        <w:tc>
          <w:tcPr>
            <w:tcW w:w="1575" w:type="dxa"/>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符合招标文件要求</w:t>
            </w:r>
          </w:p>
        </w:tc>
      </w:tr>
    </w:tbl>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 xml:space="preserve"> 8.3 资格审查结束后，资格审查人员对审查结果进行签字确认，并告知无效投标供应商资格审查未通过的原因，资格审查不合格的供应商，不得进入评标环节。</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 xml:space="preserve"> 8.4 资格审查后合格供应商不足3家的，不得评标。 </w:t>
      </w:r>
    </w:p>
    <w:p>
      <w:pPr>
        <w:adjustRightInd w:val="0"/>
        <w:snapToGrid w:val="0"/>
        <w:spacing w:line="360" w:lineRule="auto"/>
        <w:rPr>
          <w:rFonts w:hint="eastAsia" w:ascii="宋体" w:hAnsi="宋体" w:eastAsia="宋体" w:cs="宋体"/>
          <w:b/>
          <w:bCs/>
          <w:sz w:val="24"/>
          <w:lang w:val="zh-CN"/>
        </w:rPr>
      </w:pPr>
      <w:bookmarkStart w:id="32" w:name="_Toc8665"/>
      <w:r>
        <w:rPr>
          <w:rFonts w:hint="eastAsia" w:ascii="宋体" w:hAnsi="宋体" w:eastAsia="宋体" w:cs="宋体"/>
          <w:b/>
          <w:bCs/>
          <w:sz w:val="24"/>
          <w:lang w:val="zh-CN"/>
        </w:rPr>
        <w:t>9.评标</w:t>
      </w:r>
      <w:bookmarkEnd w:id="32"/>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b/>
          <w:bCs/>
          <w:sz w:val="24"/>
          <w:lang w:val="zh-CN"/>
        </w:rPr>
        <w:t>9.1 评标委员会</w:t>
      </w:r>
    </w:p>
    <w:p>
      <w:pPr>
        <w:adjustRightInd w:val="0"/>
        <w:snapToGrid w:val="0"/>
        <w:spacing w:line="360" w:lineRule="auto"/>
        <w:rPr>
          <w:rFonts w:hint="eastAsia" w:ascii="宋体" w:hAnsi="宋体" w:eastAsia="宋体" w:cs="宋体"/>
          <w:sz w:val="24"/>
          <w:lang w:val="zh-CN"/>
        </w:rPr>
      </w:pPr>
      <w:r>
        <w:rPr>
          <w:rFonts w:hint="eastAsia" w:ascii="宋体" w:hAnsi="宋体" w:eastAsia="宋体" w:cs="宋体"/>
          <w:sz w:val="24"/>
          <w:lang w:val="zh-CN"/>
        </w:rPr>
        <w:t>9.1.1 评标由采购人依法组建的评标委员会负责。评标委员会的组成见投标人须知前附表。</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9.1.2 评标委员会成员有下列情形之一的，应当回避：</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（1）参加采购活动前3年内与投标人存在劳动关系；</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（2）参加采购活动前3年内担任投标人的董事、监事；</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（3）参加采购活动前3年内是投标人的控股股东或者实际控制人；</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（4）与投标人的法定代表人或者负责人有夫妻、直系血亲、三代以内旁系血亲或者近姻亲关系；</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（5）与投标人有其他可能影响政府采购活动公平、公正进行的关系。</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9.1.3 评标过程中，评标委员会成员有回避事由、擅离职守或者因健康等原因不能继续评标的，采购人有权更换。被更换的评标委员会成员作出的评审结论无效，由更换后的评标委员会成员重新进行评审。</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9.2 评标原则</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评标活动遵循公平、公正、科学和择优的原则。</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9.3 评标</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9.3.1 评标委员会按照第三章“评标办法”规定的方法、评审因素、标准和程序对投标文件进行评审。第三章“评标办法”没有规定的方法、评审因素和标准，不作为评标依据。</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9.3.2 评标完成后，评标委员会应当向采购人提交书面评标报告和中标候选人名单。评标委员会推荐中标候选人的人数见投标人须知前附表。</w:t>
      </w:r>
    </w:p>
    <w:p>
      <w:pPr>
        <w:adjustRightInd w:val="0"/>
        <w:snapToGrid w:val="0"/>
        <w:spacing w:line="360" w:lineRule="auto"/>
        <w:ind w:firstLine="480" w:firstLineChars="200"/>
        <w:outlineLvl w:val="2"/>
        <w:rPr>
          <w:rFonts w:hint="eastAsia" w:ascii="宋体" w:hAnsi="宋体" w:eastAsia="宋体" w:cs="宋体"/>
          <w:sz w:val="24"/>
        </w:rPr>
      </w:pPr>
      <w:r>
        <w:rPr>
          <w:rFonts w:hint="eastAsia" w:ascii="宋体" w:hAnsi="宋体" w:eastAsia="宋体" w:cs="宋体"/>
          <w:sz w:val="24"/>
        </w:rPr>
        <w:t>9.3.3特殊情况的处理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单一产品采购项目中，提供相同品牌的产品的不同供应商参加同一合同项下投标的，按以下方法处理：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使用最低评标价法的采购项目，提供相同品牌产品的不同供应商参加同一合同项下投标的，以其中通过资格审查、符合性审查且报价最低的参加评标；报价相同的，由采购人及评标委员会按照技术方案、售后服务等内容择优选择确定一个参加评标的供应商，其他投标无效。</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使用综合评分法的采购项目，提供相同品牌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非单一产品采购项目中，提供相同品牌的核心产品的不同供应商参加同一合同项下投标的，按以下方法处理：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使用最低评标价法的采购项目，提供相同品牌核心产品的不同供应商参加同一合同项下投标的，以其中通过资格审查、符合性审查且投标报价最低的参加评标；投标报价相同的，由采购人及评标委员会按照技术方案、售后服务等内容择优选择确定一个参加评标的供应商，其他投标无效。</w:t>
      </w:r>
    </w:p>
    <w:p>
      <w:pPr>
        <w:adjustRightInd w:val="0"/>
        <w:snapToGrid w:val="0"/>
        <w:spacing w:line="360" w:lineRule="auto"/>
        <w:ind w:firstLine="480" w:firstLineChars="200"/>
        <w:rPr>
          <w:rFonts w:hint="eastAsia" w:ascii="宋体" w:hAnsi="宋体" w:eastAsia="宋体" w:cs="宋体"/>
        </w:rPr>
      </w:pPr>
      <w:r>
        <w:rPr>
          <w:rFonts w:hint="eastAsia" w:ascii="宋体" w:hAnsi="宋体" w:eastAsia="宋体" w:cs="宋体"/>
          <w:sz w:val="24"/>
        </w:rPr>
        <w:t>使用综合评分法的采购项目，提供相同品牌核心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adjustRightInd w:val="0"/>
        <w:snapToGrid w:val="0"/>
        <w:spacing w:line="360" w:lineRule="auto"/>
        <w:ind w:firstLine="482" w:firstLineChars="200"/>
        <w:rPr>
          <w:rFonts w:hint="eastAsia" w:ascii="宋体" w:hAnsi="宋体" w:eastAsia="宋体" w:cs="宋体"/>
          <w:sz w:val="24"/>
          <w:lang w:val="zh-CN"/>
        </w:rPr>
      </w:pPr>
      <w:bookmarkStart w:id="33" w:name="_Toc12075"/>
      <w:r>
        <w:rPr>
          <w:rFonts w:hint="eastAsia" w:ascii="宋体" w:hAnsi="宋体" w:eastAsia="宋体" w:cs="宋体"/>
          <w:b/>
          <w:bCs/>
          <w:sz w:val="24"/>
          <w:lang w:val="zh-CN"/>
        </w:rPr>
        <w:t>10.确定中标人</w:t>
      </w:r>
      <w:bookmarkEnd w:id="33"/>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10.1 中标复函</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采购人自收到评标报告之日起5个工作日内，在评标报告确定的中标候选人名单中按顺序确定中标人，复函采购代理机构。</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10.2 中标公告</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采购代理机构应当在收到采购人“复函”后按照投标人须知前附表规定的公告媒介和期限公告中标人。</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10.3 中标通知</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在公告中标结果的同时，采购人向中标人发出中标通知书。</w:t>
      </w:r>
    </w:p>
    <w:p>
      <w:pPr>
        <w:adjustRightInd w:val="0"/>
        <w:snapToGrid w:val="0"/>
        <w:spacing w:line="360" w:lineRule="auto"/>
        <w:ind w:firstLine="482" w:firstLineChars="200"/>
        <w:rPr>
          <w:rFonts w:hint="eastAsia" w:ascii="宋体" w:hAnsi="宋体" w:eastAsia="宋体" w:cs="宋体"/>
          <w:b/>
          <w:bCs/>
          <w:sz w:val="24"/>
          <w:lang w:val="zh-CN"/>
        </w:rPr>
      </w:pPr>
      <w:bookmarkStart w:id="34" w:name="_Toc10986"/>
      <w:r>
        <w:rPr>
          <w:rFonts w:hint="eastAsia" w:ascii="宋体" w:hAnsi="宋体" w:eastAsia="宋体" w:cs="宋体"/>
          <w:b/>
          <w:bCs/>
          <w:sz w:val="24"/>
          <w:lang w:val="zh-CN"/>
        </w:rPr>
        <w:t>11.质疑投诉</w:t>
      </w:r>
      <w:bookmarkEnd w:id="34"/>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b/>
          <w:bCs/>
          <w:sz w:val="24"/>
        </w:rPr>
        <w:t>11.1 质疑</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11.1.1 投标人认为招标文件、采购过程和中标结果使自己的权益受到损害的，可以在知道或者应知其权益受到损害之日起七个工作日内，以书面形式向采购人提出质疑。</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11.1.2 提出质疑的应当是参与所质疑项目采购活动的投标人。</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11.1.3 提出质疑应当提交质疑函和必要的证明材料。质疑函应当包括下列内容：</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（1）投标人的姓名或者名称、地址、邮编、联系人及联系电话；</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（2）质疑项目的名称、编号；</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（3）具体、明确的质疑事项和与质疑事项相关的请求；</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（4）事实依据；</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（5）必要的法律依据；</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（6）提出质疑的日期。</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11.1.4 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 xml:space="preserve">11.1.5 </w:t>
      </w:r>
      <w:r>
        <w:rPr>
          <w:rFonts w:hint="eastAsia" w:ascii="宋体" w:hAnsi="宋体" w:eastAsia="宋体" w:cs="宋体"/>
          <w:sz w:val="24"/>
        </w:rPr>
        <w:t>有下列情形之一的，属于无效质疑：</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①质疑人不是参与本次政府采购项目的服务商或潜在服务商；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②质疑人与质疑事项不存在利害关系的；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③未在法定期限内提出质疑的；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④质疑未以书面形式提出，或质疑函主要内容构成不完整的；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⑤质疑函没有合法有效的签字、盖章或授权的；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⑥以非法手段取得证据、材料的；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⑦质疑答复后，同一质疑人就同一事项再次提出质疑的；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⑧不符合法律、法规、规章和政府采购监管机构规定的其他条件的。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 xml:space="preserve">11.1.6 </w:t>
      </w:r>
      <w:r>
        <w:rPr>
          <w:rFonts w:hint="eastAsia" w:ascii="宋体" w:hAnsi="宋体" w:eastAsia="宋体" w:cs="宋体"/>
          <w:sz w:val="24"/>
        </w:rPr>
        <w:t>符合要求的质疑，采购代理机构将予以受理并答复，具体联系方式如下：</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联系电话：</w:t>
      </w:r>
      <w:r>
        <w:rPr>
          <w:rFonts w:hint="eastAsia" w:ascii="宋体" w:hAnsi="宋体" w:eastAsia="宋体" w:cs="宋体"/>
          <w:sz w:val="24"/>
          <w:lang w:eastAsia="zh-CN"/>
        </w:rPr>
        <w:t>029-89351397</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地址：</w:t>
      </w:r>
      <w:r>
        <w:rPr>
          <w:rFonts w:hint="eastAsia" w:ascii="宋体" w:hAnsi="宋体" w:eastAsia="宋体" w:cs="宋体"/>
          <w:sz w:val="24"/>
          <w:lang w:eastAsia="zh-CN"/>
        </w:rPr>
        <w:t>西安市未央区凤城五路与明光路十字天朗经开中心10楼11002室</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 xml:space="preserve">11.1.7 </w:t>
      </w:r>
      <w:r>
        <w:rPr>
          <w:rFonts w:hint="eastAsia" w:ascii="宋体" w:hAnsi="宋体" w:eastAsia="宋体" w:cs="宋体"/>
          <w:sz w:val="24"/>
        </w:rPr>
        <w:t>采购代理机构或采购人将在收到书面质疑后7个工作日内做出答复，并以书面形式通知质疑人和其他有关投标人。</w:t>
      </w:r>
    </w:p>
    <w:p>
      <w:pPr>
        <w:adjustRightInd w:val="0"/>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11.2 投诉</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11.2.1 质疑人对采购代理机构或采购人的答复不满意，以及采购代理机构或采购人未在规定时间内做出答复的，可以在答复期满后15个工作日内向政府采购监管机构提出投诉。</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11.2.2 投诉的事项不得超出已质疑事项的范围。</w:t>
      </w:r>
    </w:p>
    <w:p>
      <w:pPr>
        <w:adjustRightInd w:val="0"/>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11.2.3 投标人在全国范围12个月内三次以上投诉查无实据的，由财政部门列入不良行为记录名单。投标人捏造事实、提供虚假材料或者以非法手段取得证明材料进行投诉的，由财政部门列入不良行为记录名单，禁止其1至3年内参加政府采购活动。</w:t>
      </w:r>
    </w:p>
    <w:p>
      <w:pPr>
        <w:adjustRightInd w:val="0"/>
        <w:snapToGrid w:val="0"/>
        <w:spacing w:line="360" w:lineRule="auto"/>
        <w:ind w:firstLine="482" w:firstLineChars="200"/>
        <w:rPr>
          <w:rFonts w:hint="eastAsia" w:ascii="宋体" w:hAnsi="宋体" w:eastAsia="宋体" w:cs="宋体"/>
          <w:b/>
          <w:bCs/>
          <w:sz w:val="24"/>
          <w:lang w:val="zh-CN"/>
        </w:rPr>
      </w:pPr>
      <w:bookmarkStart w:id="35" w:name="_Toc22716"/>
      <w:r>
        <w:rPr>
          <w:rFonts w:hint="eastAsia" w:ascii="宋体" w:hAnsi="宋体" w:eastAsia="宋体" w:cs="宋体"/>
          <w:b/>
          <w:bCs/>
          <w:sz w:val="24"/>
          <w:lang w:val="zh-CN"/>
        </w:rPr>
        <w:t>12 招标代理服务费</w:t>
      </w:r>
      <w:bookmarkEnd w:id="35"/>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12.1</w:t>
      </w:r>
      <w:r>
        <w:rPr>
          <w:rFonts w:hint="eastAsia" w:ascii="宋体" w:hAnsi="宋体" w:eastAsia="宋体" w:cs="宋体"/>
          <w:sz w:val="24"/>
        </w:rPr>
        <w:t>中标供应商应向采购代理机构交纳招标代理服务费，投标供应商</w:t>
      </w:r>
      <w:r>
        <w:rPr>
          <w:rFonts w:hint="eastAsia" w:ascii="宋体" w:hAnsi="宋体" w:eastAsia="宋体" w:cs="宋体"/>
          <w:sz w:val="24"/>
          <w:lang w:val="zh-CN"/>
        </w:rPr>
        <w:t>可将此费用考虑在投标报价中，采购人不再单独支付。招标代理服务费参照国家计委颁发的《招标代理服务收费管理暂行办法》（计价格[2002]1980号）和国家发展改革委员会办公厅颁发的《关于招标代理服务收费有关问题的通知》（发改办价格[2003]857号）的有关规定不足伍仟元按伍仟元计取执行。</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12.2 中标人在取得中标通知书前，向采购代理机构一次性缴纳招标代理服务费。</w:t>
      </w:r>
    </w:p>
    <w:p>
      <w:pPr>
        <w:adjustRightInd w:val="0"/>
        <w:snapToGrid w:val="0"/>
        <w:spacing w:line="360" w:lineRule="auto"/>
        <w:ind w:firstLine="482" w:firstLineChars="200"/>
        <w:rPr>
          <w:rFonts w:hint="eastAsia" w:ascii="宋体" w:hAnsi="宋体" w:eastAsia="宋体" w:cs="宋体"/>
          <w:sz w:val="24"/>
          <w:lang w:val="zh-CN"/>
        </w:rPr>
      </w:pPr>
      <w:bookmarkStart w:id="36" w:name="_Toc1926"/>
      <w:r>
        <w:rPr>
          <w:rFonts w:hint="eastAsia" w:ascii="宋体" w:hAnsi="宋体" w:eastAsia="宋体" w:cs="宋体"/>
          <w:b/>
          <w:bCs/>
          <w:sz w:val="24"/>
          <w:lang w:val="zh-CN"/>
        </w:rPr>
        <w:t>13.合同授予</w:t>
      </w:r>
      <w:bookmarkEnd w:id="36"/>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13.1 履约担保</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13.1.1 在签订合同前，中标人应按投标人须知前附表规定的形式、金额向招标人提交履约保证金。联合体中标的，其履约保证金以联合体各方或者联合体中牵头人的名义提交。</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13.1.2 中标人不能按本章第13.</w:t>
      </w:r>
      <w:r>
        <w:rPr>
          <w:rFonts w:hint="eastAsia" w:ascii="宋体" w:hAnsi="宋体" w:eastAsia="宋体" w:cs="宋体"/>
          <w:sz w:val="24"/>
          <w:lang w:val="en-US" w:eastAsia="zh-CN"/>
        </w:rPr>
        <w:t>1</w:t>
      </w:r>
      <w:r>
        <w:rPr>
          <w:rFonts w:hint="eastAsia" w:ascii="宋体" w:hAnsi="宋体" w:eastAsia="宋体" w:cs="宋体"/>
          <w:sz w:val="24"/>
          <w:lang w:val="zh-CN"/>
        </w:rPr>
        <w:t>.1项要求提交履约保证金的，视为放弃中标，给招标人造成损失的予以赔偿。</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13.</w:t>
      </w:r>
      <w:r>
        <w:rPr>
          <w:rFonts w:hint="eastAsia" w:ascii="宋体" w:hAnsi="宋体" w:eastAsia="宋体" w:cs="宋体"/>
          <w:b/>
          <w:bCs/>
          <w:sz w:val="24"/>
        </w:rPr>
        <w:t>2</w:t>
      </w:r>
      <w:r>
        <w:rPr>
          <w:rFonts w:hint="eastAsia" w:ascii="宋体" w:hAnsi="宋体" w:eastAsia="宋体" w:cs="宋体"/>
          <w:b/>
          <w:bCs/>
          <w:sz w:val="24"/>
          <w:lang w:val="zh-CN"/>
        </w:rPr>
        <w:t xml:space="preserve"> 签订合同</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13.</w:t>
      </w:r>
      <w:r>
        <w:rPr>
          <w:rFonts w:hint="eastAsia" w:ascii="宋体" w:hAnsi="宋体" w:eastAsia="宋体" w:cs="宋体"/>
          <w:sz w:val="24"/>
        </w:rPr>
        <w:t>2</w:t>
      </w:r>
      <w:r>
        <w:rPr>
          <w:rFonts w:hint="eastAsia" w:ascii="宋体" w:hAnsi="宋体" w:eastAsia="宋体" w:cs="宋体"/>
          <w:sz w:val="24"/>
          <w:lang w:val="zh-CN"/>
        </w:rPr>
        <w:t>.1 采购人和中标人应当在中标通知书发出之日起30日内，根据招标文件和中标人的投标文件订立书面合同。所签订的合同不得对招标文件确定的事项和中标人投标文件作实质性修改。中标人无正当理由拒签合同，在签订合同时向采购人提出附加条件的，采购人有权取消其中标资格，其投标保证金不予退还，给采购人造成损失的予以赔偿。</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13.</w:t>
      </w:r>
      <w:r>
        <w:rPr>
          <w:rFonts w:hint="eastAsia" w:ascii="宋体" w:hAnsi="宋体" w:eastAsia="宋体" w:cs="宋体"/>
          <w:sz w:val="24"/>
        </w:rPr>
        <w:t>2</w:t>
      </w:r>
      <w:r>
        <w:rPr>
          <w:rFonts w:hint="eastAsia" w:ascii="宋体" w:hAnsi="宋体" w:eastAsia="宋体" w:cs="宋体"/>
          <w:sz w:val="24"/>
          <w:lang w:val="zh-CN"/>
        </w:rPr>
        <w:t>.2 联合体中标的，联合体各方应当共同与采购人签订合同，就中标项目向采购人承担连带责任。</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13.</w:t>
      </w:r>
      <w:r>
        <w:rPr>
          <w:rFonts w:hint="eastAsia" w:ascii="宋体" w:hAnsi="宋体" w:eastAsia="宋体" w:cs="宋体"/>
          <w:sz w:val="24"/>
        </w:rPr>
        <w:t>2</w:t>
      </w:r>
      <w:r>
        <w:rPr>
          <w:rFonts w:hint="eastAsia" w:ascii="宋体" w:hAnsi="宋体" w:eastAsia="宋体" w:cs="宋体"/>
          <w:sz w:val="24"/>
          <w:lang w:val="zh-CN"/>
        </w:rPr>
        <w:t>.3 中标人拒绝与采购人签订合同的，采购人可以按照评审报告推荐的中标候选人名单排序，确定下一候选人为中标人，也可以重新开展政府采购活动。</w:t>
      </w:r>
    </w:p>
    <w:p>
      <w:pPr>
        <w:adjustRightInd w:val="0"/>
        <w:snapToGrid w:val="0"/>
        <w:spacing w:line="360" w:lineRule="auto"/>
        <w:ind w:firstLine="482" w:firstLineChars="200"/>
        <w:rPr>
          <w:rFonts w:hint="eastAsia" w:ascii="宋体" w:hAnsi="宋体" w:eastAsia="宋体" w:cs="宋体"/>
          <w:b/>
          <w:bCs/>
          <w:sz w:val="24"/>
          <w:lang w:val="zh-CN"/>
        </w:rPr>
      </w:pPr>
      <w:bookmarkStart w:id="37" w:name="_Toc16408"/>
      <w:r>
        <w:rPr>
          <w:rFonts w:hint="eastAsia" w:ascii="宋体" w:hAnsi="宋体" w:eastAsia="宋体" w:cs="宋体"/>
          <w:b/>
          <w:bCs/>
          <w:sz w:val="24"/>
          <w:lang w:val="zh-CN"/>
        </w:rPr>
        <w:t>14. 纪律和监督</w:t>
      </w:r>
      <w:bookmarkEnd w:id="37"/>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14.1 对采购人的纪律要求</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采购人不得泄露采购活动中应当保密的情况和资料，不得与投标人串通损害国家利益、社会公共利益或者他人合法权益。采购人员及相关人员与供应商有利害关系的，必须回避。</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14.2 对投标人的纪律要求</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14.3 对评标委员会成员的纪律要求</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招标文件没有规定的评审因素和标准进行评标。</w:t>
      </w:r>
    </w:p>
    <w:p>
      <w:pPr>
        <w:adjustRightInd w:val="0"/>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14.4 对与评标活动有关的工作人员的纪律要求</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djustRightInd w:val="0"/>
        <w:snapToGrid w:val="0"/>
        <w:spacing w:line="360" w:lineRule="auto"/>
        <w:ind w:firstLine="482" w:firstLineChars="200"/>
        <w:rPr>
          <w:rFonts w:hint="eastAsia" w:ascii="宋体" w:hAnsi="宋体" w:eastAsia="宋体" w:cs="宋体"/>
          <w:b/>
          <w:bCs/>
          <w:sz w:val="24"/>
          <w:lang w:val="zh-CN"/>
        </w:rPr>
      </w:pPr>
      <w:bookmarkStart w:id="38" w:name="_Toc15998"/>
      <w:r>
        <w:rPr>
          <w:rFonts w:hint="eastAsia" w:ascii="宋体" w:hAnsi="宋体" w:eastAsia="宋体" w:cs="宋体"/>
          <w:b/>
          <w:bCs/>
          <w:sz w:val="24"/>
          <w:lang w:val="zh-CN"/>
        </w:rPr>
        <w:t>15. 废标或者采购方式的变更</w:t>
      </w:r>
      <w:bookmarkEnd w:id="38"/>
    </w:p>
    <w:p>
      <w:pPr>
        <w:adjustRightInd w:val="0"/>
        <w:snapToGrid w:val="0"/>
        <w:spacing w:line="360" w:lineRule="auto"/>
        <w:ind w:firstLine="482" w:firstLineChars="200"/>
        <w:rPr>
          <w:rFonts w:hint="eastAsia" w:ascii="宋体" w:hAnsi="宋体" w:eastAsia="宋体" w:cs="宋体"/>
          <w:sz w:val="24"/>
        </w:rPr>
      </w:pPr>
      <w:r>
        <w:rPr>
          <w:rFonts w:hint="eastAsia" w:ascii="宋体" w:hAnsi="宋体" w:eastAsia="宋体" w:cs="宋体"/>
          <w:b/>
          <w:bCs/>
          <w:sz w:val="24"/>
        </w:rPr>
        <w:t>15.1 在采购中，出现下列情形之一的，应予废标：</w:t>
      </w:r>
      <w:r>
        <w:rPr>
          <w:rFonts w:hint="eastAsia" w:ascii="宋体" w:hAnsi="宋体" w:eastAsia="宋体" w:cs="宋体"/>
          <w:sz w:val="24"/>
        </w:rPr>
        <w:t>　　</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15.1.1 投标截止时间后投标人不足3家；</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15.1.2 资格审查或符合性审查后有效投标人不足3家；</w:t>
      </w:r>
      <w:r>
        <w:rPr>
          <w:rFonts w:hint="eastAsia" w:ascii="宋体" w:hAnsi="宋体" w:eastAsia="宋体" w:cs="宋体"/>
          <w:sz w:val="24"/>
          <w:lang w:val="zh-CN"/>
        </w:rPr>
        <w:br w:type="textWrapping"/>
      </w:r>
      <w:r>
        <w:rPr>
          <w:rFonts w:hint="eastAsia" w:ascii="宋体" w:hAnsi="宋体" w:eastAsia="宋体" w:cs="宋体"/>
          <w:sz w:val="24"/>
          <w:lang w:val="zh-CN"/>
        </w:rPr>
        <w:t xml:space="preserve">15.1.3 出现影响采购公正的违法、违规行为的； </w:t>
      </w:r>
      <w:r>
        <w:rPr>
          <w:rFonts w:hint="eastAsia" w:ascii="宋体" w:hAnsi="宋体" w:eastAsia="宋体" w:cs="宋体"/>
          <w:sz w:val="24"/>
          <w:lang w:val="zh-CN"/>
        </w:rPr>
        <w:br w:type="textWrapping"/>
      </w:r>
      <w:r>
        <w:rPr>
          <w:rFonts w:hint="eastAsia" w:ascii="宋体" w:hAnsi="宋体" w:eastAsia="宋体" w:cs="宋体"/>
          <w:sz w:val="24"/>
          <w:lang w:val="zh-CN"/>
        </w:rPr>
        <w:t>15.1.</w:t>
      </w:r>
      <w:r>
        <w:rPr>
          <w:rFonts w:hint="eastAsia" w:ascii="宋体" w:hAnsi="宋体" w:eastAsia="宋体" w:cs="宋体"/>
          <w:sz w:val="24"/>
        </w:rPr>
        <w:t>4</w:t>
      </w:r>
      <w:r>
        <w:rPr>
          <w:rFonts w:hint="eastAsia" w:ascii="宋体" w:hAnsi="宋体" w:eastAsia="宋体" w:cs="宋体"/>
          <w:sz w:val="24"/>
          <w:lang w:val="zh-CN"/>
        </w:rPr>
        <w:t xml:space="preserve"> </w:t>
      </w:r>
      <w:r>
        <w:rPr>
          <w:rFonts w:hint="eastAsia" w:ascii="宋体" w:hAnsi="宋体" w:eastAsia="宋体" w:cs="宋体"/>
          <w:sz w:val="24"/>
        </w:rPr>
        <w:t>因重大变故，采购任务取消的；</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 xml:space="preserve">15.2 </w:t>
      </w:r>
      <w:r>
        <w:rPr>
          <w:rFonts w:hint="eastAsia" w:ascii="宋体" w:hAnsi="宋体" w:eastAsia="宋体" w:cs="宋体"/>
          <w:sz w:val="24"/>
          <w:lang w:val="zh-CN"/>
        </w:rPr>
        <w:t>废标后，除采购任务取消情形外，报告政府采购监督管理部门批准，重新组织招标或采用其他方式进行采购:</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15.2.1在招标过程中，提交投标文件或者通过资格审查或符合性审查的投标人只有2家时，根据中华人民共和国财政部2017年第87号部长令--《政府采购货物和服务招标投标管理办法》第四十三条、2013年第74号部长令--《政府采购非招标采购方式管理办法》第二十七条和陕西省财政厅陕财办采资（2016）53号文件第七条的规定，经采购人书面请示政府采购管理机构同意后，可以现场转为竞争性谈判或者竞争性磋商的方式继续采购。</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①如果转为竞争性谈判方式，则原招标文件转为竞争性谈判文件，原投标人即为报价人，原投标文件报价作为竞争性谈判的第一次报价，评审方法按照竞争性谈判的评审原则，在质量和服务均能满足采购文件实质性要求的基础上，按照最后报价由低到高的顺序，确定成交候选人。</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 xml:space="preserve">②如果转为竞争性磋商方式，则原招标文件转为竞争性磋商文件，原投标文件报价作为竞争性磋商的第一次报价，评审方法采用原评标方法。 </w:t>
      </w:r>
    </w:p>
    <w:p>
      <w:pPr>
        <w:adjustRightInd w:val="0"/>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在招标过程中，提交投标文件或者通过资格审查或符合性审查的投标人只有1家时，按废标处理，重新开展采购活动。</w:t>
      </w:r>
    </w:p>
    <w:p>
      <w:pPr>
        <w:adjustRightInd w:val="0"/>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15.融资平台</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网址：http://www.ccgp-shaanxi.gov.cn/zcdservice/zcd/shanxi/</w:t>
      </w:r>
    </w:p>
    <w:p>
      <w:pPr>
        <w:adjustRightInd w:val="0"/>
        <w:snapToGrid w:val="0"/>
        <w:spacing w:line="360" w:lineRule="auto"/>
        <w:ind w:firstLine="482" w:firstLineChars="200"/>
        <w:rPr>
          <w:rFonts w:hint="eastAsia" w:ascii="宋体" w:hAnsi="宋体" w:eastAsia="宋体" w:cs="宋体"/>
          <w:sz w:val="24"/>
          <w:lang w:val="zh-CN"/>
        </w:rPr>
      </w:pPr>
      <w:r>
        <w:rPr>
          <w:rFonts w:hint="eastAsia" w:ascii="宋体" w:hAnsi="宋体" w:eastAsia="宋体" w:cs="宋体"/>
          <w:b/>
          <w:bCs/>
          <w:sz w:val="24"/>
          <w:lang w:val="zh-CN"/>
        </w:rPr>
        <w:t>16.踏勘</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采购人不统一组织现场踏勘</w:t>
      </w:r>
      <w:r>
        <w:rPr>
          <w:rFonts w:hint="eastAsia" w:ascii="宋体" w:hAnsi="宋体" w:eastAsia="宋体" w:cs="宋体"/>
          <w:sz w:val="24"/>
          <w:lang w:eastAsia="zh-CN"/>
        </w:rPr>
        <w:t>。</w:t>
      </w:r>
    </w:p>
    <w:p>
      <w:pPr>
        <w:rPr>
          <w:rFonts w:hint="eastAsia" w:ascii="宋体" w:hAnsi="宋体" w:eastAsia="宋体" w:cs="宋体"/>
          <w:sz w:val="24"/>
        </w:rPr>
      </w:pPr>
      <w:r>
        <w:rPr>
          <w:rFonts w:hint="eastAsia" w:ascii="宋体" w:hAnsi="宋体" w:eastAsia="宋体" w:cs="宋体"/>
          <w:sz w:val="24"/>
        </w:rPr>
        <w:br w:type="page"/>
      </w:r>
    </w:p>
    <w:p>
      <w:pPr>
        <w:pStyle w:val="3"/>
        <w:adjustRightInd w:val="0"/>
        <w:snapToGrid w:val="0"/>
        <w:spacing w:line="360" w:lineRule="auto"/>
        <w:jc w:val="center"/>
        <w:rPr>
          <w:rFonts w:hint="eastAsia" w:ascii="宋体" w:hAnsi="宋体" w:eastAsia="宋体" w:cs="宋体"/>
          <w:sz w:val="32"/>
          <w:szCs w:val="32"/>
        </w:rPr>
      </w:pPr>
      <w:bookmarkStart w:id="39" w:name="_Toc17288"/>
      <w:bookmarkStart w:id="40" w:name="_Toc21597"/>
      <w:bookmarkStart w:id="41" w:name="_Toc18976"/>
      <w:bookmarkStart w:id="42" w:name="_Toc54688991"/>
      <w:bookmarkStart w:id="43" w:name="_Toc283240494"/>
      <w:r>
        <w:rPr>
          <w:rFonts w:hint="eastAsia" w:ascii="宋体" w:hAnsi="宋体" w:eastAsia="宋体" w:cs="宋体"/>
          <w:sz w:val="32"/>
          <w:szCs w:val="32"/>
        </w:rPr>
        <w:t>第三章  评标方法和标准</w:t>
      </w:r>
      <w:bookmarkEnd w:id="39"/>
    </w:p>
    <w:p>
      <w:pPr>
        <w:pStyle w:val="4"/>
        <w:rPr>
          <w:rFonts w:hint="eastAsia" w:ascii="宋体" w:hAnsi="宋体" w:eastAsia="宋体" w:cs="宋体"/>
          <w:sz w:val="24"/>
          <w:szCs w:val="24"/>
        </w:rPr>
      </w:pPr>
      <w:bookmarkStart w:id="44" w:name="_Toc350345684"/>
      <w:bookmarkStart w:id="45" w:name="_Toc358557659"/>
      <w:bookmarkStart w:id="46" w:name="_Toc274911111"/>
      <w:bookmarkStart w:id="47" w:name="_Toc54689004"/>
      <w:bookmarkStart w:id="48" w:name="_Toc381633056"/>
      <w:bookmarkStart w:id="49" w:name="_Toc17197784"/>
      <w:r>
        <w:rPr>
          <w:rFonts w:hint="eastAsia" w:ascii="宋体" w:hAnsi="宋体" w:eastAsia="宋体" w:cs="宋体"/>
          <w:sz w:val="24"/>
          <w:szCs w:val="24"/>
        </w:rPr>
        <w:t>一、总则</w:t>
      </w:r>
      <w:bookmarkEnd w:id="44"/>
      <w:bookmarkEnd w:id="45"/>
      <w:bookmarkEnd w:id="46"/>
      <w:bookmarkEnd w:id="47"/>
      <w:bookmarkEnd w:id="48"/>
      <w:bookmarkEnd w:id="49"/>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1、采用综合评分法：是指投标文件满足招标文件全部实质性要求，且按照评审因素的量化指标评审得分最高的投标人为中标候选人的评标方法。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3、评标委员会负责具体评标事务，并独立履行下列职责：</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3.1审查、评价投标文件是否符合招标文件的商务、技术等实质性要求；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3.2要求投标人对投标文件有关事项作出澄清或者说明；</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3.3对投标文件进行比较和评价；</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3.4确定中标候选人名单，以及根据采购人委托直接确定中标人；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3.5向采购人、采购代理机构或者有关部门报告评标中发现的违法行为。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5、评标委员会及其成员不得有下列行为：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5.1确定参与评标至评标结束前私自接触投标人；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5.2接受投标人提出的与投标文件不一致的澄清或者说明，评标委员会以书面形式要求投标人作出必要的澄清、说明或者补正除外；</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5.3违反评标纪律发表倾向性意见或者征询采购人的倾向性意见；</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5.4对需要专业判断的主观评审因素协商评分；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5.5在评标过程中擅离职守，影响评标程序正常进行的；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5.6记录、复制或者带走任何评标资料；</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5.7其他不遵守评标纪律的行为。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6、评标委员会成员有5.1-5.5项行为之一的，其评审意见无效，并不得获取评审劳务报酬和报销异地评审差旅费。</w:t>
      </w:r>
    </w:p>
    <w:p>
      <w:pPr>
        <w:pStyle w:val="4"/>
        <w:ind w:firstLine="482" w:firstLineChars="200"/>
        <w:rPr>
          <w:rFonts w:hint="eastAsia" w:ascii="宋体" w:hAnsi="宋体" w:eastAsia="宋体" w:cs="宋体"/>
          <w:sz w:val="24"/>
          <w:szCs w:val="24"/>
        </w:rPr>
      </w:pPr>
      <w:bookmarkStart w:id="50" w:name="_Toc54689005"/>
      <w:r>
        <w:rPr>
          <w:rFonts w:hint="eastAsia" w:ascii="宋体" w:hAnsi="宋体" w:eastAsia="宋体" w:cs="宋体"/>
          <w:sz w:val="24"/>
          <w:szCs w:val="24"/>
        </w:rPr>
        <w:t>二、初步评审</w:t>
      </w:r>
      <w:bookmarkEnd w:id="5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（一）资格性审查</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2、</w:t>
      </w:r>
      <w:r>
        <w:rPr>
          <w:rFonts w:hint="eastAsia" w:ascii="宋体" w:hAnsi="宋体" w:eastAsia="宋体" w:cs="宋体"/>
          <w:sz w:val="24"/>
          <w:lang w:val="en-US" w:eastAsia="zh-CN"/>
        </w:rPr>
        <w:t>财务状况报告：提供经审计的2020年或2021年财务报告，包括“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后附开户许可证或基本账户</w:t>
      </w:r>
      <w:r>
        <w:rPr>
          <w:rFonts w:hint="eastAsia" w:ascii="宋体" w:hAnsi="宋体" w:eastAsia="宋体" w:cs="宋体"/>
          <w:sz w:val="24"/>
          <w:lang w:eastAsia="zh-CN"/>
        </w:rPr>
        <w:t>信息</w:t>
      </w:r>
      <w:r>
        <w:rPr>
          <w:rFonts w:hint="eastAsia" w:ascii="宋体" w:hAnsi="宋体" w:eastAsia="宋体" w:cs="宋体"/>
          <w:sz w:val="24"/>
          <w:lang w:val="en-US" w:eastAsia="zh-CN"/>
        </w:rPr>
        <w:t>），以上两种形式的资料提供任何一种即可（分支机构如无法提供财务审计报告，须出具包含分支机构的财务数据的总公司财务审计报告）；事业单位零余额账户提供相应证明；</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3、</w:t>
      </w:r>
      <w:r>
        <w:rPr>
          <w:rFonts w:hint="eastAsia" w:ascii="宋体" w:hAnsi="宋体" w:eastAsia="宋体" w:cs="宋体"/>
          <w:sz w:val="24"/>
          <w:lang w:val="en-US" w:eastAsia="zh-CN"/>
        </w:rPr>
        <w:t>税收缴纳证明：提供已缴纳的2021年度6月份至今任意一个月的纳税证明或完税证明，纳税证明或完税证明上应有代收机构或税务机关的公章。依法免税的供应商应提供相关文件证明；</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4、</w:t>
      </w:r>
      <w:r>
        <w:rPr>
          <w:rFonts w:hint="eastAsia" w:ascii="宋体" w:hAnsi="宋体" w:eastAsia="宋体" w:cs="宋体"/>
          <w:sz w:val="24"/>
          <w:lang w:val="en-US" w:eastAsia="zh-CN"/>
        </w:rPr>
        <w:t>供应商须提供具有履行合同所必需的设备和专业技术能力的承诺；</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社会保障资金缴纳证明：提供已缴存的2021年度</w:t>
      </w:r>
      <w:r>
        <w:rPr>
          <w:rFonts w:hint="eastAsia" w:ascii="宋体" w:hAnsi="宋体" w:eastAsia="宋体" w:cs="宋体"/>
          <w:sz w:val="24"/>
          <w:lang w:val="en-US" w:eastAsia="zh-CN"/>
        </w:rPr>
        <w:t>6月份</w:t>
      </w:r>
      <w:r>
        <w:rPr>
          <w:rFonts w:hint="eastAsia" w:ascii="宋体" w:hAnsi="宋体" w:eastAsia="宋体" w:cs="宋体"/>
          <w:sz w:val="24"/>
        </w:rPr>
        <w:t>至今任意一个月的社会保障资金缴存单据或社保机构开具的社会保险参保缴费情况证明，单据或证明上应有社保机构或代收机构的公章。依法不需要缴纳社会保障资金的供应商应提供相关文件证明；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zh-CN"/>
        </w:rPr>
        <w:t>6、</w:t>
      </w:r>
      <w:r>
        <w:rPr>
          <w:rFonts w:hint="eastAsia" w:ascii="宋体" w:hAnsi="宋体" w:eastAsia="宋体" w:cs="宋体"/>
          <w:sz w:val="24"/>
        </w:rPr>
        <w:t>出具参加本次政府采购活动前三年内在经营活动中没有重大违法记录的书面声明；</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7、第一包、第五包、第七包、第八包提供：本项目专门面向中小企业采购（残疾人福利性单位及监狱企业视同小型、微型企业）（提供声明函）</w:t>
      </w:r>
      <w:r>
        <w:rPr>
          <w:rFonts w:hint="eastAsia" w:ascii="宋体" w:hAnsi="宋体" w:eastAsia="宋体" w:cs="宋体"/>
          <w:sz w:val="24"/>
          <w:highlight w:val="none"/>
          <w:lang w:eastAsia="zh-CN"/>
        </w:rPr>
        <w:t>；</w:t>
      </w:r>
    </w:p>
    <w:p>
      <w:pPr>
        <w:spacing w:line="360" w:lineRule="auto"/>
        <w:ind w:firstLine="480" w:firstLineChars="200"/>
        <w:rPr>
          <w:rFonts w:hint="eastAsia" w:ascii="宋体" w:hAnsi="宋体" w:eastAsia="宋体" w:cs="宋体"/>
          <w:sz w:val="24"/>
          <w:lang w:val="zh-CN"/>
        </w:rPr>
      </w:pPr>
      <w:r>
        <w:rPr>
          <w:rFonts w:hint="eastAsia" w:ascii="宋体" w:hAnsi="宋体" w:cs="宋体"/>
          <w:sz w:val="24"/>
          <w:lang w:val="en-US" w:eastAsia="zh-CN"/>
        </w:rPr>
        <w:t>8</w:t>
      </w:r>
      <w:r>
        <w:rPr>
          <w:rFonts w:hint="eastAsia" w:ascii="宋体" w:hAnsi="宋体" w:eastAsia="宋体" w:cs="宋体"/>
          <w:sz w:val="24"/>
          <w:lang w:val="zh-CN"/>
        </w:rPr>
        <w:t>、</w:t>
      </w:r>
      <w:r>
        <w:rPr>
          <w:rFonts w:hint="eastAsia" w:ascii="宋体" w:hAnsi="宋体" w:eastAsia="宋体" w:cs="宋体"/>
          <w:sz w:val="24"/>
        </w:rPr>
        <w:t>法定代表人授权书（附法定代表人、被授权人身份证复印件）及被授权人身份证（法定代表人直接参加招标，须提供法定代表人身份证明及身份证原件）；</w:t>
      </w:r>
    </w:p>
    <w:p>
      <w:pPr>
        <w:spacing w:line="360" w:lineRule="auto"/>
        <w:ind w:firstLine="480" w:firstLineChars="200"/>
        <w:rPr>
          <w:rFonts w:hint="eastAsia" w:ascii="宋体" w:hAnsi="宋体" w:eastAsia="宋体" w:cs="宋体"/>
          <w:sz w:val="24"/>
          <w:lang w:val="zh-CN"/>
        </w:rPr>
      </w:pPr>
      <w:r>
        <w:rPr>
          <w:rFonts w:hint="eastAsia" w:ascii="宋体" w:hAnsi="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zh-CN"/>
        </w:rPr>
        <w:t>本项目不接受联合体投标（提供书面说明）。</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备注：</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1、采购人或者代理机构依法对投标人的资格进行审查。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2、合格投标人不足3家的，不得评标。</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（二）符合性审查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1、投标文件的完整性：对招标文件的各项要求响应完整，无缺漏项。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2、投标文件的有效性：报价有效，方案唯一。</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3、对招标文件的响应程度：对招标文件的各项要求无重大偏离，无采购人不能接受的响应条件，实质性条款完全响应。</w:t>
      </w:r>
    </w:p>
    <w:p>
      <w:pPr>
        <w:pStyle w:val="4"/>
        <w:ind w:firstLine="482" w:firstLineChars="200"/>
        <w:rPr>
          <w:rFonts w:hint="eastAsia" w:ascii="宋体" w:hAnsi="宋体" w:eastAsia="宋体" w:cs="宋体"/>
          <w:sz w:val="24"/>
          <w:szCs w:val="24"/>
        </w:rPr>
      </w:pPr>
      <w:bookmarkStart w:id="51" w:name="_Toc54689006"/>
      <w:r>
        <w:rPr>
          <w:rFonts w:hint="eastAsia" w:ascii="宋体" w:hAnsi="宋体" w:eastAsia="宋体" w:cs="宋体"/>
          <w:sz w:val="24"/>
          <w:szCs w:val="24"/>
        </w:rPr>
        <w:t>三、比较和评价</w:t>
      </w:r>
      <w:bookmarkEnd w:id="51"/>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（一）评标价格的确定：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经初审合格的投标，为有效投标。对于所有有效投标按照以下规则进行评标价格的确定。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1政策性价格优惠折扣规定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1.1供应商为小型和微型企业（含联合体）、监狱企业的评标价计算规则：</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1.1.1本办法所称中小企业（含中型、小型、微型企业，下同）应当同时符合以下条件：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（1）符合中小企业划分标准；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（2）在货物采购项目中，货物由中小企业制造，即货物由中小企业生产且使用该中小企业商号或者注册商标；</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1.1.2本规定所称中小企业划分标准，是指国务院有关部门根据企业从业人员、营业收入、资产总额等指标制定的中小企业划型标准（工信部联企业〔2011〕300号）；</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1.1.3在货物采购项目中，供应商提供的货物既有中小企业制造货物，也有大型企业制造货物的，不享受本办法规定的中小企业扶持政策。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1.1.4本办法所称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1.1.5 本办法所称福利性企业指按照《三部门联合发布关于促进残疾人就业政府采购政策的通知》认定的福利企业。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1.1.6评标价的计算：</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1.1.6.1供应商为非联合体投标的情况：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小型企业/微型企业/监狱企业/福利企业，其评标价=投标报价*（1-</w:t>
      </w:r>
      <w:r>
        <w:rPr>
          <w:rFonts w:hint="eastAsia" w:ascii="宋体" w:hAnsi="宋体" w:cs="宋体"/>
          <w:sz w:val="24"/>
          <w:lang w:val="en-US" w:eastAsia="zh-CN"/>
        </w:rPr>
        <w:t>10</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（二）比较与评价：</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2.2对所有有效投标进行了评标价确认之后，由评委会各成员按照下列《评标因素及权重分解表》规定的内容独立进行综合比较、评价打分。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3、推荐中标候选供应商名单：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3.1汇总全体评委对每个供应商的赋分，计算出每个供应商的综合得分，按从高到低依次排序，推荐前1～3名为中标候选人。</w:t>
      </w:r>
    </w:p>
    <w:p>
      <w:pPr>
        <w:widowControl/>
        <w:spacing w:line="360" w:lineRule="auto"/>
        <w:ind w:firstLine="480" w:firstLineChars="200"/>
        <w:jc w:val="left"/>
        <w:rPr>
          <w:rFonts w:hint="eastAsia" w:ascii="宋体" w:hAnsi="宋体"/>
          <w:sz w:val="24"/>
        </w:rPr>
      </w:pPr>
      <w:r>
        <w:rPr>
          <w:rFonts w:hint="eastAsia" w:ascii="宋体" w:hAnsi="宋体" w:eastAsia="宋体" w:cs="宋体"/>
          <w:sz w:val="24"/>
        </w:rPr>
        <w:t xml:space="preserve">3.2 </w:t>
      </w:r>
      <w:r>
        <w:rPr>
          <w:rFonts w:hint="eastAsia" w:ascii="宋体" w:hAnsi="宋体"/>
          <w:sz w:val="24"/>
        </w:rPr>
        <w:t>单一产品采购项目中，提供相同品牌产品且通过资格审查、符合性审查的不同投标人参加同一合同项下投标的，按一家投标人计算，评审后得分最高的同品牌投标人获得中标人推荐资格；评审得分相同的，由评标委员会按照投标报价最低的方式确定一个投标人获得中标人推荐资格，其他同品牌投标人不作为中标候选人。</w:t>
      </w:r>
    </w:p>
    <w:p>
      <w:pPr>
        <w:widowControl/>
        <w:spacing w:line="360" w:lineRule="auto"/>
        <w:ind w:firstLine="480" w:firstLineChars="200"/>
        <w:jc w:val="left"/>
        <w:rPr>
          <w:rFonts w:hint="eastAsia" w:ascii="宋体" w:hAnsi="宋体"/>
          <w:sz w:val="24"/>
        </w:rPr>
      </w:pPr>
      <w:r>
        <w:rPr>
          <w:rFonts w:hint="eastAsia" w:ascii="宋体" w:hAnsi="宋体"/>
          <w:sz w:val="24"/>
        </w:rPr>
        <w:t>非单一产品采购项目中，多家投标人提供的核心产品品牌相同的，且通过资格审查、符合性审查的不同投标人参加同一合同项下投标的，按一家投标人计算。遵照前款规定处理。</w:t>
      </w:r>
    </w:p>
    <w:p>
      <w:pPr>
        <w:rPr>
          <w:rFonts w:hint="eastAsia" w:ascii="宋体" w:hAnsi="宋体" w:eastAsia="宋体" w:cs="宋体"/>
          <w:sz w:val="24"/>
          <w:szCs w:val="24"/>
        </w:rPr>
      </w:pPr>
      <w:bookmarkStart w:id="52" w:name="_Toc54689007"/>
      <w:r>
        <w:rPr>
          <w:rFonts w:hint="eastAsia" w:ascii="宋体" w:hAnsi="宋体" w:eastAsia="宋体" w:cs="宋体"/>
          <w:sz w:val="24"/>
          <w:szCs w:val="24"/>
        </w:rPr>
        <w:br w:type="page"/>
      </w:r>
    </w:p>
    <w:p>
      <w:pPr>
        <w:pStyle w:val="4"/>
        <w:rPr>
          <w:rFonts w:hint="eastAsia" w:ascii="宋体" w:hAnsi="宋体" w:eastAsia="宋体" w:cs="宋体"/>
          <w:sz w:val="24"/>
          <w:szCs w:val="24"/>
          <w:highlight w:val="yellow"/>
        </w:rPr>
      </w:pPr>
      <w:r>
        <w:rPr>
          <w:rFonts w:hint="eastAsia" w:ascii="宋体" w:hAnsi="宋体" w:eastAsia="宋体" w:cs="宋体"/>
          <w:sz w:val="24"/>
          <w:szCs w:val="24"/>
        </w:rPr>
        <w:t>四、</w:t>
      </w:r>
      <w:r>
        <w:rPr>
          <w:rFonts w:hint="eastAsia" w:ascii="宋体" w:hAnsi="宋体" w:eastAsia="宋体" w:cs="宋体"/>
          <w:sz w:val="24"/>
          <w:szCs w:val="24"/>
          <w:highlight w:val="none"/>
        </w:rPr>
        <w:t>详细评审</w:t>
      </w:r>
      <w:bookmarkEnd w:id="52"/>
    </w:p>
    <w:p>
      <w:pPr>
        <w:pStyle w:val="11"/>
        <w:spacing w:afterLines="50" w:line="360" w:lineRule="auto"/>
        <w:ind w:left="1444" w:hanging="1024"/>
        <w:jc w:val="center"/>
        <w:rPr>
          <w:rFonts w:hint="eastAsia" w:ascii="宋体" w:hAnsi="宋体" w:eastAsia="宋体" w:cs="宋体"/>
          <w:b/>
          <w:sz w:val="24"/>
        </w:rPr>
      </w:pPr>
      <w:bookmarkStart w:id="53" w:name="_Toc381633058"/>
      <w:bookmarkStart w:id="54" w:name="_Toc358557661"/>
      <w:r>
        <w:rPr>
          <w:rFonts w:hint="eastAsia" w:ascii="宋体" w:hAnsi="宋体" w:eastAsia="宋体" w:cs="宋体"/>
          <w:b/>
          <w:sz w:val="24"/>
        </w:rPr>
        <w:t>评标因素及权重分值表</w:t>
      </w:r>
    </w:p>
    <w:p>
      <w:pPr>
        <w:spacing w:line="360" w:lineRule="auto"/>
        <w:ind w:left="1"/>
        <w:outlineLvl w:val="2"/>
        <w:rPr>
          <w:rFonts w:hint="eastAsia" w:ascii="宋体" w:hAnsi="宋体" w:cs="宋体"/>
          <w:b/>
          <w:sz w:val="24"/>
          <w:lang w:val="en-US" w:eastAsia="zh-CN"/>
        </w:rPr>
      </w:pPr>
      <w:r>
        <w:rPr>
          <w:rFonts w:hint="eastAsia" w:ascii="宋体" w:hAnsi="宋体" w:cs="宋体"/>
          <w:b/>
          <w:sz w:val="24"/>
          <w:lang w:val="en-US" w:eastAsia="zh-CN"/>
        </w:rPr>
        <w:t>（第1-4包、6-8包）</w:t>
      </w:r>
    </w:p>
    <w:p>
      <w:pPr>
        <w:spacing w:line="360" w:lineRule="auto"/>
        <w:ind w:left="1"/>
        <w:rPr>
          <w:rFonts w:hint="eastAsia" w:ascii="宋体" w:hAnsi="宋体" w:eastAsia="宋体" w:cs="宋体"/>
          <w:sz w:val="24"/>
          <w:lang w:eastAsia="zh-CN"/>
        </w:rPr>
      </w:pPr>
      <w:r>
        <w:rPr>
          <w:rFonts w:hint="eastAsia" w:ascii="宋体" w:hAnsi="宋体" w:eastAsia="宋体" w:cs="宋体"/>
          <w:b/>
          <w:sz w:val="24"/>
        </w:rPr>
        <w:t>本项目采用综合评分法进行评审，总分为100分，具体评分方法如下</w:t>
      </w:r>
      <w:r>
        <w:rPr>
          <w:rFonts w:hint="eastAsia" w:ascii="宋体" w:hAnsi="宋体" w:cs="宋体"/>
          <w:b/>
          <w:sz w:val="24"/>
          <w:lang w:eastAsia="zh-CN"/>
        </w:rPr>
        <w:t>：</w:t>
      </w:r>
    </w:p>
    <w:tbl>
      <w:tblPr>
        <w:tblStyle w:val="22"/>
        <w:tblW w:w="86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51"/>
        <w:gridCol w:w="757"/>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8" w:hRule="atLeast"/>
        </w:trPr>
        <w:tc>
          <w:tcPr>
            <w:tcW w:w="1151" w:type="dxa"/>
            <w:shd w:val="clear" w:color="auto" w:fill="auto"/>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评审因素</w:t>
            </w:r>
          </w:p>
        </w:tc>
        <w:tc>
          <w:tcPr>
            <w:tcW w:w="757" w:type="dxa"/>
            <w:shd w:val="clear" w:color="auto" w:fill="auto"/>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分值</w:t>
            </w:r>
          </w:p>
        </w:tc>
        <w:tc>
          <w:tcPr>
            <w:tcW w:w="6731" w:type="dxa"/>
            <w:shd w:val="clear" w:color="auto" w:fill="auto"/>
            <w:vAlign w:val="center"/>
          </w:tcPr>
          <w:p>
            <w:pPr>
              <w:widowControl/>
              <w:spacing w:line="36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55" w:hRule="atLeast"/>
        </w:trPr>
        <w:tc>
          <w:tcPr>
            <w:tcW w:w="1151" w:type="dxa"/>
            <w:shd w:val="clear" w:color="auto" w:fill="auto"/>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投标报价</w:t>
            </w:r>
          </w:p>
        </w:tc>
        <w:tc>
          <w:tcPr>
            <w:tcW w:w="757" w:type="dxa"/>
            <w:shd w:val="clear" w:color="auto" w:fill="auto"/>
            <w:vAlign w:val="center"/>
          </w:tcPr>
          <w:p>
            <w:pPr>
              <w:widowControl/>
              <w:spacing w:line="360" w:lineRule="auto"/>
              <w:jc w:val="left"/>
              <w:rPr>
                <w:rFonts w:hint="default" w:ascii="宋体" w:hAnsi="宋体" w:eastAsia="宋体" w:cs="宋体"/>
                <w:sz w:val="21"/>
                <w:szCs w:val="21"/>
                <w:lang w:val="en-US"/>
              </w:rPr>
            </w:pPr>
            <w:r>
              <w:rPr>
                <w:rFonts w:hint="eastAsia" w:ascii="宋体" w:hAnsi="宋体" w:eastAsia="宋体" w:cs="宋体"/>
                <w:sz w:val="21"/>
                <w:szCs w:val="21"/>
                <w:lang w:val="en-US" w:eastAsia="zh-CN"/>
              </w:rPr>
              <w:t>30分</w:t>
            </w:r>
          </w:p>
        </w:tc>
        <w:tc>
          <w:tcPr>
            <w:tcW w:w="6731" w:type="dxa"/>
            <w:shd w:val="clear" w:color="auto" w:fill="auto"/>
            <w:vAlign w:val="center"/>
          </w:tcPr>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价格分统一采用低价优先法计算，即满足招标文件要求且投标价格最低的投标报价为投标基准价，其价格分为满分。其他投标人的价格分统一按照下列公式计算：</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投标报价得分=(投标基准价／投标报价)×价格权值×100               </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注：投标报价得分取小数点后两位；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trPr>
        <w:tc>
          <w:tcPr>
            <w:tcW w:w="1151" w:type="dxa"/>
            <w:vMerge w:val="restart"/>
            <w:shd w:val="clear" w:color="auto" w:fill="auto"/>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技术响应</w:t>
            </w:r>
          </w:p>
        </w:tc>
        <w:tc>
          <w:tcPr>
            <w:tcW w:w="757" w:type="dxa"/>
            <w:vMerge w:val="restart"/>
            <w:shd w:val="clear" w:color="auto" w:fill="auto"/>
            <w:vAlign w:val="center"/>
          </w:tcPr>
          <w:p>
            <w:pPr>
              <w:widowControl/>
              <w:spacing w:line="360" w:lineRule="auto"/>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55</w:t>
            </w:r>
            <w:r>
              <w:rPr>
                <w:rFonts w:hint="eastAsia" w:ascii="宋体" w:hAnsi="宋体" w:eastAsia="宋体" w:cs="宋体"/>
                <w:sz w:val="21"/>
                <w:szCs w:val="21"/>
                <w:lang w:val="en-US" w:eastAsia="zh-CN"/>
              </w:rPr>
              <w:t>分</w:t>
            </w:r>
          </w:p>
        </w:tc>
        <w:tc>
          <w:tcPr>
            <w:tcW w:w="6731" w:type="dxa"/>
            <w:shd w:val="clear" w:color="auto" w:fill="auto"/>
            <w:vAlign w:val="center"/>
          </w:tcPr>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①投标设备的规格型号、技术指标、配置等描述完整、详细。设备的彩页（如有）、相应的功能证明材料（包括但不限于测试报告、官网和功能截图等）等进行赋分；</w:t>
            </w:r>
          </w:p>
          <w:p>
            <w:pPr>
              <w:widowControl/>
              <w:spacing w:line="36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响应产品技术参数</w:t>
            </w:r>
            <w:r>
              <w:rPr>
                <w:rFonts w:hint="eastAsia" w:ascii="宋体" w:hAnsi="宋体" w:cs="宋体"/>
                <w:sz w:val="21"/>
                <w:szCs w:val="21"/>
                <w:lang w:val="en-US" w:eastAsia="zh-CN"/>
              </w:rPr>
              <w:t>优于采购要求，技术参数正偏离一项得1分，最高得10分。</w:t>
            </w:r>
          </w:p>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响应产品技术参数清楚、明确，完全满足招标要求得</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分。技术参数负偏离一项扣1分，扣完为止</w:t>
            </w: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6" w:hRule="atLeast"/>
        </w:trPr>
        <w:tc>
          <w:tcPr>
            <w:tcW w:w="1151" w:type="dxa"/>
            <w:vMerge w:val="continue"/>
            <w:shd w:val="clear" w:color="auto" w:fill="auto"/>
            <w:vAlign w:val="center"/>
          </w:tcPr>
          <w:p>
            <w:pPr>
              <w:widowControl/>
              <w:spacing w:line="360" w:lineRule="auto"/>
              <w:ind w:firstLine="420" w:firstLineChars="200"/>
              <w:jc w:val="left"/>
              <w:rPr>
                <w:rFonts w:hint="eastAsia" w:ascii="宋体" w:hAnsi="宋体" w:eastAsia="宋体" w:cs="宋体"/>
                <w:sz w:val="21"/>
                <w:szCs w:val="21"/>
              </w:rPr>
            </w:pPr>
          </w:p>
        </w:tc>
        <w:tc>
          <w:tcPr>
            <w:tcW w:w="757" w:type="dxa"/>
            <w:vMerge w:val="continue"/>
            <w:shd w:val="clear" w:color="auto" w:fill="auto"/>
            <w:vAlign w:val="center"/>
          </w:tcPr>
          <w:p>
            <w:pPr>
              <w:widowControl/>
              <w:spacing w:line="360" w:lineRule="auto"/>
              <w:ind w:firstLine="420" w:firstLineChars="200"/>
              <w:jc w:val="left"/>
              <w:rPr>
                <w:rFonts w:hint="eastAsia" w:ascii="宋体" w:hAnsi="宋体" w:eastAsia="宋体" w:cs="宋体"/>
                <w:sz w:val="21"/>
                <w:szCs w:val="21"/>
              </w:rPr>
            </w:pPr>
          </w:p>
        </w:tc>
        <w:tc>
          <w:tcPr>
            <w:tcW w:w="6731" w:type="dxa"/>
            <w:shd w:val="clear" w:color="auto" w:fill="auto"/>
            <w:vAlign w:val="center"/>
          </w:tcPr>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投标设备的质量保障措施，确保生产供应的设备无假货、水货、翻新货且无产权纠纷，并符合国际、国内相关标准或行业标准，提供来源渠道合法的证明文件（包括但不限于销售协议、代理协议、原厂授权等），根据响应程度进行赋分：</w:t>
            </w:r>
          </w:p>
          <w:p>
            <w:pPr>
              <w:widowControl/>
              <w:spacing w:line="360" w:lineRule="auto"/>
              <w:ind w:left="210" w:hanging="210" w:hanging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投标设备质量保障措施完整、详尽，证明文件齐全，得10-15分；      </w:t>
            </w:r>
          </w:p>
          <w:p>
            <w:pPr>
              <w:widowControl/>
              <w:spacing w:line="360" w:lineRule="auto"/>
              <w:ind w:left="210" w:hanging="210" w:hanging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投标设备质量保障措施</w:t>
            </w:r>
            <w:r>
              <w:rPr>
                <w:rFonts w:hint="eastAsia" w:ascii="宋体" w:hAnsi="宋体" w:cs="宋体"/>
                <w:sz w:val="21"/>
                <w:szCs w:val="21"/>
                <w:lang w:val="en-US" w:eastAsia="zh-CN"/>
              </w:rPr>
              <w:t>较</w:t>
            </w:r>
            <w:r>
              <w:rPr>
                <w:rFonts w:hint="eastAsia" w:ascii="宋体" w:hAnsi="宋体" w:eastAsia="宋体" w:cs="宋体"/>
                <w:sz w:val="21"/>
                <w:szCs w:val="21"/>
                <w:lang w:val="en-US" w:eastAsia="zh-CN"/>
              </w:rPr>
              <w:t>完整、详尽，证明文件</w:t>
            </w:r>
            <w:r>
              <w:rPr>
                <w:rFonts w:hint="eastAsia" w:ascii="宋体" w:hAnsi="宋体" w:cs="宋体"/>
                <w:sz w:val="21"/>
                <w:szCs w:val="21"/>
                <w:lang w:val="en-US" w:eastAsia="zh-CN"/>
              </w:rPr>
              <w:t>较</w:t>
            </w:r>
            <w:r>
              <w:rPr>
                <w:rFonts w:hint="eastAsia" w:ascii="宋体" w:hAnsi="宋体" w:eastAsia="宋体" w:cs="宋体"/>
                <w:sz w:val="21"/>
                <w:szCs w:val="21"/>
                <w:lang w:val="en-US" w:eastAsia="zh-CN"/>
              </w:rPr>
              <w:t>齐全，得</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分；</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投标设备质量保障措施粗略简单、证明文件不齐全，得0-5分。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92" w:hRule="atLeast"/>
        </w:trPr>
        <w:tc>
          <w:tcPr>
            <w:tcW w:w="1151" w:type="dxa"/>
            <w:vMerge w:val="continue"/>
            <w:shd w:val="clear" w:color="auto" w:fill="auto"/>
            <w:vAlign w:val="center"/>
          </w:tcPr>
          <w:p>
            <w:pPr>
              <w:widowControl/>
              <w:spacing w:line="360" w:lineRule="auto"/>
              <w:ind w:firstLine="420" w:firstLineChars="200"/>
              <w:jc w:val="left"/>
              <w:rPr>
                <w:rFonts w:hint="eastAsia" w:ascii="宋体" w:hAnsi="宋体" w:eastAsia="宋体" w:cs="宋体"/>
                <w:sz w:val="21"/>
                <w:szCs w:val="21"/>
              </w:rPr>
            </w:pPr>
          </w:p>
        </w:tc>
        <w:tc>
          <w:tcPr>
            <w:tcW w:w="757" w:type="dxa"/>
            <w:vMerge w:val="continue"/>
            <w:shd w:val="clear" w:color="auto" w:fill="auto"/>
            <w:vAlign w:val="center"/>
          </w:tcPr>
          <w:p>
            <w:pPr>
              <w:widowControl/>
              <w:spacing w:line="360" w:lineRule="auto"/>
              <w:ind w:firstLine="420" w:firstLineChars="200"/>
              <w:jc w:val="left"/>
              <w:rPr>
                <w:rFonts w:hint="eastAsia" w:ascii="宋体" w:hAnsi="宋体" w:eastAsia="宋体" w:cs="宋体"/>
                <w:sz w:val="21"/>
                <w:szCs w:val="21"/>
              </w:rPr>
            </w:pPr>
          </w:p>
        </w:tc>
        <w:tc>
          <w:tcPr>
            <w:tcW w:w="6731" w:type="dxa"/>
            <w:shd w:val="clear" w:color="auto" w:fill="auto"/>
            <w:vAlign w:val="center"/>
          </w:tcPr>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③总体实施方案：根据投标人针对本项目的组织能力、实施方案、安装方案、供货运输计划、技术力量配备、拟投入的人员情况等响应情况赋分：</w:t>
            </w:r>
          </w:p>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总体实施方案完备</w:t>
            </w:r>
            <w:r>
              <w:rPr>
                <w:rFonts w:hint="eastAsia" w:ascii="宋体" w:hAnsi="宋体" w:cs="宋体"/>
                <w:sz w:val="21"/>
                <w:szCs w:val="21"/>
                <w:lang w:val="en-US" w:eastAsia="zh-CN"/>
              </w:rPr>
              <w:t>合理科学</w:t>
            </w:r>
            <w:r>
              <w:rPr>
                <w:rFonts w:hint="eastAsia" w:ascii="宋体" w:hAnsi="宋体" w:eastAsia="宋体" w:cs="宋体"/>
                <w:sz w:val="21"/>
                <w:szCs w:val="21"/>
                <w:lang w:val="en-US" w:eastAsia="zh-CN"/>
              </w:rPr>
              <w:t>可行</w:t>
            </w:r>
            <w:r>
              <w:rPr>
                <w:rFonts w:hint="eastAsia" w:ascii="宋体" w:hAnsi="宋体" w:cs="宋体"/>
                <w:sz w:val="21"/>
                <w:szCs w:val="21"/>
                <w:lang w:val="en-US" w:eastAsia="zh-CN"/>
              </w:rPr>
              <w:t>高</w:t>
            </w:r>
            <w:r>
              <w:rPr>
                <w:rFonts w:hint="eastAsia" w:ascii="宋体" w:hAnsi="宋体" w:eastAsia="宋体" w:cs="宋体"/>
                <w:sz w:val="21"/>
                <w:szCs w:val="21"/>
                <w:lang w:val="en-US" w:eastAsia="zh-CN"/>
              </w:rPr>
              <w:t>，得</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20</w:t>
            </w:r>
            <w:r>
              <w:rPr>
                <w:rFonts w:hint="eastAsia" w:ascii="宋体" w:hAnsi="宋体" w:eastAsia="宋体" w:cs="宋体"/>
                <w:sz w:val="21"/>
                <w:szCs w:val="21"/>
                <w:lang w:val="en-US" w:eastAsia="zh-CN"/>
              </w:rPr>
              <w:t>分；</w:t>
            </w:r>
          </w:p>
          <w:p>
            <w:pPr>
              <w:widowControl/>
              <w:spacing w:line="360" w:lineRule="auto"/>
              <w:jc w:val="left"/>
              <w:rPr>
                <w:rFonts w:hint="eastAsia"/>
                <w:lang w:val="en-US" w:eastAsia="zh-CN"/>
              </w:rPr>
            </w:pPr>
            <w:r>
              <w:rPr>
                <w:rFonts w:hint="eastAsia" w:ascii="宋体" w:hAnsi="宋体" w:eastAsia="宋体" w:cs="宋体"/>
                <w:sz w:val="21"/>
                <w:szCs w:val="21"/>
                <w:lang w:val="en-US" w:eastAsia="zh-CN"/>
              </w:rPr>
              <w:t>总体实施方案</w:t>
            </w:r>
            <w:r>
              <w:rPr>
                <w:rFonts w:hint="eastAsia" w:ascii="宋体" w:hAnsi="宋体" w:cs="宋体"/>
                <w:sz w:val="21"/>
                <w:szCs w:val="21"/>
                <w:lang w:val="en-US" w:eastAsia="zh-CN"/>
              </w:rPr>
              <w:t>具体</w:t>
            </w:r>
            <w:r>
              <w:rPr>
                <w:rFonts w:hint="eastAsia" w:ascii="宋体" w:hAnsi="宋体" w:eastAsia="宋体" w:cs="宋体"/>
                <w:sz w:val="21"/>
                <w:szCs w:val="21"/>
                <w:lang w:val="en-US" w:eastAsia="zh-CN"/>
              </w:rPr>
              <w:t>可行，得</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分；</w:t>
            </w:r>
          </w:p>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总体实施方案较完备、合理、</w:t>
            </w:r>
            <w:r>
              <w:rPr>
                <w:rFonts w:hint="eastAsia" w:ascii="宋体" w:hAnsi="宋体" w:cs="宋体"/>
                <w:sz w:val="21"/>
                <w:szCs w:val="21"/>
                <w:lang w:val="en-US" w:eastAsia="zh-CN"/>
              </w:rPr>
              <w:t>较为</w:t>
            </w:r>
            <w:r>
              <w:rPr>
                <w:rFonts w:hint="eastAsia" w:ascii="宋体" w:hAnsi="宋体" w:eastAsia="宋体" w:cs="宋体"/>
                <w:sz w:val="21"/>
                <w:szCs w:val="21"/>
                <w:lang w:val="en-US" w:eastAsia="zh-CN"/>
              </w:rPr>
              <w:t>可行，得</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p>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总体实施方案、供货方案笼统粗略，得0-</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95" w:hRule="atLeast"/>
        </w:trPr>
        <w:tc>
          <w:tcPr>
            <w:tcW w:w="1151" w:type="dxa"/>
            <w:shd w:val="clear" w:color="auto" w:fill="auto"/>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培训及售后服务</w:t>
            </w:r>
          </w:p>
        </w:tc>
        <w:tc>
          <w:tcPr>
            <w:tcW w:w="757" w:type="dxa"/>
            <w:shd w:val="clear" w:color="auto" w:fill="auto"/>
            <w:vAlign w:val="center"/>
          </w:tcPr>
          <w:p>
            <w:pPr>
              <w:widowControl/>
              <w:spacing w:line="360" w:lineRule="auto"/>
              <w:jc w:val="left"/>
              <w:rPr>
                <w:rFonts w:hint="default" w:ascii="宋体" w:hAnsi="宋体" w:eastAsia="宋体" w:cs="宋体"/>
                <w:sz w:val="21"/>
                <w:szCs w:val="21"/>
                <w:lang w:val="en-US"/>
              </w:rPr>
            </w:pP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p>
        </w:tc>
        <w:tc>
          <w:tcPr>
            <w:tcW w:w="6731" w:type="dxa"/>
            <w:shd w:val="clear" w:color="auto" w:fill="auto"/>
            <w:vAlign w:val="center"/>
          </w:tcPr>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④针对本项目售后服务、产品调换措施</w:t>
            </w:r>
            <w:r>
              <w:rPr>
                <w:rFonts w:hint="eastAsia" w:ascii="宋体" w:hAnsi="宋体" w:cs="宋体"/>
                <w:sz w:val="21"/>
                <w:szCs w:val="21"/>
                <w:lang w:val="en-US" w:eastAsia="zh-CN"/>
              </w:rPr>
              <w:t>、承诺</w:t>
            </w:r>
            <w:r>
              <w:rPr>
                <w:rFonts w:hint="eastAsia" w:ascii="宋体" w:hAnsi="宋体" w:eastAsia="宋体" w:cs="宋体"/>
                <w:sz w:val="21"/>
                <w:szCs w:val="21"/>
                <w:lang w:val="en-US" w:eastAsia="zh-CN"/>
              </w:rPr>
              <w:t>：</w:t>
            </w:r>
          </w:p>
          <w:p>
            <w:pPr>
              <w:widowControl/>
              <w:numPr>
                <w:ilvl w:val="0"/>
                <w:numId w:val="0"/>
              </w:num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售后服务、产品调换措施完善具体、可行性强计</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p>
          <w:p>
            <w:pPr>
              <w:widowControl/>
              <w:numPr>
                <w:ilvl w:val="0"/>
                <w:numId w:val="0"/>
              </w:num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售后服务、产品调换措施粗略简单计0-</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w:t>
            </w:r>
          </w:p>
          <w:p>
            <w:pPr>
              <w:widowControl/>
              <w:spacing w:line="360" w:lineRule="auto"/>
              <w:jc w:val="left"/>
              <w:rPr>
                <w:rFonts w:hint="eastAsia" w:ascii="宋体" w:hAnsi="宋体" w:cs="宋体"/>
                <w:sz w:val="21"/>
                <w:szCs w:val="21"/>
                <w:lang w:val="en-US" w:eastAsia="zh-CN"/>
              </w:rPr>
            </w:pPr>
            <w:r>
              <w:rPr>
                <w:rFonts w:hint="eastAsia" w:ascii="宋体" w:hAnsi="宋体" w:eastAsia="宋体" w:cs="宋体"/>
                <w:sz w:val="21"/>
                <w:szCs w:val="21"/>
                <w:lang w:val="en-US" w:eastAsia="zh-CN"/>
              </w:rPr>
              <w:t>培训方案</w:t>
            </w:r>
            <w:r>
              <w:rPr>
                <w:rFonts w:hint="eastAsia" w:ascii="宋体" w:hAnsi="宋体" w:cs="宋体"/>
                <w:sz w:val="21"/>
                <w:szCs w:val="21"/>
                <w:lang w:val="en-US" w:eastAsia="zh-CN"/>
              </w:rPr>
              <w:t>：</w:t>
            </w:r>
          </w:p>
          <w:p>
            <w:pPr>
              <w:widowControl/>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⑤培训方案完善具体、可行性强计</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p>
          <w:p>
            <w:pPr>
              <w:widowControl/>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方案粗略简单计0-</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51" w:type="dxa"/>
            <w:shd w:val="clear" w:color="auto" w:fill="auto"/>
            <w:vAlign w:val="center"/>
          </w:tcPr>
          <w:p>
            <w:pPr>
              <w:widowControl/>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业绩</w:t>
            </w:r>
          </w:p>
        </w:tc>
        <w:tc>
          <w:tcPr>
            <w:tcW w:w="757" w:type="dxa"/>
            <w:shd w:val="clear" w:color="auto" w:fill="auto"/>
            <w:vAlign w:val="center"/>
          </w:tcPr>
          <w:p>
            <w:pPr>
              <w:widowControl/>
              <w:spacing w:line="360" w:lineRule="auto"/>
              <w:jc w:val="left"/>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5分</w:t>
            </w:r>
          </w:p>
        </w:tc>
        <w:tc>
          <w:tcPr>
            <w:tcW w:w="6731" w:type="dxa"/>
            <w:shd w:val="clear" w:color="auto" w:fill="auto"/>
            <w:vAlign w:val="center"/>
          </w:tcPr>
          <w:p>
            <w:pPr>
              <w:widowControl/>
              <w:numPr>
                <w:ilvl w:val="0"/>
                <w:numId w:val="0"/>
              </w:numPr>
              <w:spacing w:line="36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⑥</w:t>
            </w:r>
            <w:r>
              <w:rPr>
                <w:rFonts w:hint="eastAsia" w:ascii="宋体" w:hAnsi="宋体" w:eastAsia="宋体" w:cs="宋体"/>
                <w:sz w:val="21"/>
                <w:szCs w:val="21"/>
                <w:lang w:val="en-US" w:eastAsia="zh-CN"/>
              </w:rPr>
              <w:t>提供投标人2019年</w:t>
            </w:r>
            <w:r>
              <w:rPr>
                <w:rFonts w:hint="eastAsia" w:ascii="宋体" w:hAnsi="宋体" w:cs="宋体"/>
                <w:sz w:val="21"/>
                <w:szCs w:val="21"/>
                <w:lang w:val="en-US" w:eastAsia="zh-CN"/>
              </w:rPr>
              <w:t>8月1日至今</w:t>
            </w:r>
            <w:r>
              <w:rPr>
                <w:rFonts w:hint="eastAsia" w:ascii="宋体" w:hAnsi="宋体" w:eastAsia="宋体" w:cs="宋体"/>
                <w:sz w:val="21"/>
                <w:szCs w:val="21"/>
                <w:lang w:val="en-US" w:eastAsia="zh-CN"/>
              </w:rPr>
              <w:t>类似项目业绩，</w:t>
            </w:r>
            <w:r>
              <w:rPr>
                <w:rFonts w:hint="eastAsia" w:ascii="宋体" w:hAnsi="宋体" w:cs="宋体"/>
                <w:sz w:val="21"/>
                <w:szCs w:val="21"/>
                <w:lang w:val="en-US" w:eastAsia="zh-CN"/>
              </w:rPr>
              <w:t>投标</w:t>
            </w:r>
            <w:r>
              <w:rPr>
                <w:rFonts w:hint="eastAsia" w:ascii="宋体" w:hAnsi="宋体" w:eastAsia="宋体" w:cs="宋体"/>
                <w:sz w:val="21"/>
                <w:szCs w:val="21"/>
                <w:lang w:val="en-US" w:eastAsia="zh-CN"/>
              </w:rPr>
              <w:t>文件中附有其合同等证明文件，每提供一个业绩证明计</w:t>
            </w:r>
            <w:r>
              <w:rPr>
                <w:rFonts w:hint="eastAsia" w:ascii="宋体" w:hAnsi="宋体" w:cs="宋体"/>
                <w:sz w:val="21"/>
                <w:szCs w:val="21"/>
                <w:lang w:val="en-US" w:eastAsia="zh-CN"/>
              </w:rPr>
              <w:t>2.5</w:t>
            </w:r>
            <w:r>
              <w:rPr>
                <w:rFonts w:hint="eastAsia" w:ascii="宋体" w:hAnsi="宋体" w:eastAsia="宋体" w:cs="宋体"/>
                <w:sz w:val="21"/>
                <w:szCs w:val="21"/>
                <w:lang w:val="en-US" w:eastAsia="zh-CN"/>
              </w:rPr>
              <w:t>分，但最多计</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p>
          <w:p>
            <w:pPr>
              <w:widowControl/>
              <w:spacing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（需提供业绩证明文件，以提供标明合同买卖双方、货物名称及数量的销售合同为准（复印件加盖公章）。否则评标时不予认定）。</w:t>
            </w:r>
          </w:p>
        </w:tc>
      </w:tr>
    </w:tbl>
    <w:p>
      <w:pPr>
        <w:rPr>
          <w:rFonts w:hint="eastAsia" w:ascii="宋体" w:hAnsi="宋体" w:eastAsia="宋体" w:cs="宋体"/>
          <w:b/>
          <w:sz w:val="24"/>
        </w:rPr>
      </w:pPr>
      <w:r>
        <w:rPr>
          <w:rFonts w:hint="eastAsia" w:ascii="宋体" w:hAnsi="宋体" w:eastAsia="宋体" w:cs="宋体"/>
          <w:b/>
          <w:sz w:val="24"/>
        </w:rPr>
        <w:br w:type="page"/>
      </w:r>
    </w:p>
    <w:p>
      <w:pPr>
        <w:pStyle w:val="11"/>
        <w:spacing w:afterLines="50" w:line="360" w:lineRule="auto"/>
        <w:ind w:left="1444" w:hanging="1024"/>
        <w:jc w:val="center"/>
        <w:rPr>
          <w:rFonts w:hint="eastAsia" w:ascii="宋体" w:hAnsi="宋体" w:eastAsia="宋体" w:cs="宋体"/>
          <w:b/>
          <w:sz w:val="24"/>
        </w:rPr>
      </w:pPr>
      <w:r>
        <w:rPr>
          <w:rFonts w:hint="eastAsia" w:ascii="宋体" w:hAnsi="宋体" w:eastAsia="宋体" w:cs="宋体"/>
          <w:b/>
          <w:sz w:val="24"/>
        </w:rPr>
        <w:t>评标因素及权重分值表</w:t>
      </w:r>
    </w:p>
    <w:p>
      <w:pPr>
        <w:spacing w:line="360" w:lineRule="auto"/>
        <w:ind w:left="1"/>
        <w:rPr>
          <w:rFonts w:hint="eastAsia" w:ascii="宋体" w:hAnsi="宋体" w:eastAsia="宋体" w:cs="宋体"/>
          <w:sz w:val="24"/>
        </w:rPr>
      </w:pPr>
      <w:r>
        <w:rPr>
          <w:rFonts w:hint="eastAsia" w:ascii="宋体" w:hAnsi="宋体" w:eastAsia="宋体" w:cs="宋体"/>
          <w:b/>
          <w:sz w:val="24"/>
        </w:rPr>
        <w:t>本项目采用综合评分法进行评审，总分为100分，具体评分方法如下</w:t>
      </w:r>
      <w:r>
        <w:rPr>
          <w:rFonts w:hint="eastAsia" w:ascii="宋体" w:hAnsi="宋体" w:eastAsia="宋体" w:cs="宋体"/>
          <w:sz w:val="24"/>
        </w:rPr>
        <w:t>：</w:t>
      </w:r>
    </w:p>
    <w:p>
      <w:pPr>
        <w:spacing w:line="360" w:lineRule="auto"/>
        <w:ind w:left="1"/>
        <w:rPr>
          <w:rFonts w:hint="eastAsia" w:ascii="宋体" w:hAnsi="宋体" w:cs="宋体"/>
          <w:b/>
          <w:sz w:val="24"/>
          <w:lang w:eastAsia="zh-CN"/>
        </w:rPr>
      </w:pPr>
      <w:r>
        <w:rPr>
          <w:rFonts w:hint="eastAsia" w:ascii="宋体" w:hAnsi="宋体" w:cs="宋体"/>
          <w:b/>
          <w:sz w:val="24"/>
          <w:lang w:eastAsia="zh-CN"/>
        </w:rPr>
        <w:t>（第</w:t>
      </w:r>
      <w:r>
        <w:rPr>
          <w:rFonts w:hint="eastAsia" w:ascii="宋体" w:hAnsi="宋体" w:cs="宋体"/>
          <w:b/>
          <w:sz w:val="24"/>
          <w:lang w:val="en-US" w:eastAsia="zh-CN"/>
        </w:rPr>
        <w:t>5包</w:t>
      </w:r>
      <w:r>
        <w:rPr>
          <w:rFonts w:hint="eastAsia" w:ascii="宋体" w:hAnsi="宋体" w:cs="宋体"/>
          <w:b/>
          <w:sz w:val="24"/>
          <w:lang w:eastAsia="zh-CN"/>
        </w:rPr>
        <w:t>）</w:t>
      </w:r>
    </w:p>
    <w:tbl>
      <w:tblPr>
        <w:tblStyle w:val="22"/>
        <w:tblW w:w="8655"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035"/>
        <w:gridCol w:w="57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960" w:type="dxa"/>
            <w:noWrap w:val="0"/>
            <w:vAlign w:val="center"/>
          </w:tcPr>
          <w:p>
            <w:pPr>
              <w:pStyle w:val="13"/>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类别</w:t>
            </w:r>
          </w:p>
        </w:tc>
        <w:tc>
          <w:tcPr>
            <w:tcW w:w="1035"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总分</w:t>
            </w:r>
          </w:p>
        </w:tc>
        <w:tc>
          <w:tcPr>
            <w:tcW w:w="579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评  审  要  素</w:t>
            </w:r>
          </w:p>
        </w:tc>
        <w:tc>
          <w:tcPr>
            <w:tcW w:w="87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分项</w:t>
            </w:r>
          </w:p>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6" w:hRule="atLeast"/>
        </w:trPr>
        <w:tc>
          <w:tcPr>
            <w:tcW w:w="96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投标</w:t>
            </w:r>
          </w:p>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报价</w:t>
            </w:r>
          </w:p>
        </w:tc>
        <w:tc>
          <w:tcPr>
            <w:tcW w:w="1035"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30分</w:t>
            </w:r>
          </w:p>
        </w:tc>
        <w:tc>
          <w:tcPr>
            <w:tcW w:w="5790" w:type="dxa"/>
            <w:noWrap w:val="0"/>
            <w:vAlign w:val="center"/>
          </w:tcPr>
          <w:p>
            <w:pPr>
              <w:snapToGrid w:val="0"/>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1.经初审合格的投标文件，其投标报价为有效投标报价。</w:t>
            </w:r>
          </w:p>
          <w:p>
            <w:pPr>
              <w:snapToGrid w:val="0"/>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2.满足招标文件实质性要求且最终报价最低的供应商的价格为评标基准价，其价格分为满分30分。</w:t>
            </w:r>
          </w:p>
          <w:p>
            <w:pPr>
              <w:snapToGrid w:val="0"/>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3.投标报价得分=（评标基准价/投标报价）×30的公式计算得分。</w:t>
            </w:r>
          </w:p>
          <w:p>
            <w:pPr>
              <w:snapToGrid w:val="0"/>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4.投标报价不完整的，不进入评标标准价的计算，本项得0分。</w:t>
            </w:r>
          </w:p>
        </w:tc>
        <w:tc>
          <w:tcPr>
            <w:tcW w:w="87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960" w:type="dxa"/>
            <w:vMerge w:val="restart"/>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技术</w:t>
            </w:r>
          </w:p>
          <w:p>
            <w:pPr>
              <w:spacing w:line="360" w:lineRule="auto"/>
              <w:jc w:val="center"/>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rPr>
              <w:t>响应</w:t>
            </w:r>
            <w:r>
              <w:rPr>
                <w:rFonts w:hint="eastAsia" w:ascii="宋体" w:hAnsi="宋体" w:cs="宋体"/>
                <w:b w:val="0"/>
                <w:bCs/>
                <w:color w:val="000000"/>
                <w:sz w:val="21"/>
                <w:szCs w:val="21"/>
                <w:lang w:val="en-US" w:eastAsia="zh-CN"/>
              </w:rPr>
              <w:t>方案</w:t>
            </w:r>
          </w:p>
        </w:tc>
        <w:tc>
          <w:tcPr>
            <w:tcW w:w="1035" w:type="dxa"/>
            <w:vMerge w:val="restart"/>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50</w:t>
            </w:r>
            <w:r>
              <w:rPr>
                <w:rFonts w:hint="eastAsia" w:ascii="宋体" w:hAnsi="宋体" w:eastAsia="宋体" w:cs="宋体"/>
                <w:b w:val="0"/>
                <w:bCs/>
                <w:color w:val="000000"/>
                <w:sz w:val="21"/>
                <w:szCs w:val="21"/>
              </w:rPr>
              <w:t>分</w:t>
            </w:r>
          </w:p>
        </w:tc>
        <w:tc>
          <w:tcPr>
            <w:tcW w:w="5790" w:type="dxa"/>
            <w:noWrap w:val="0"/>
            <w:vAlign w:val="top"/>
          </w:tcPr>
          <w:p>
            <w:pPr>
              <w:spacing w:line="360" w:lineRule="auto"/>
              <w:jc w:val="left"/>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lang w:val="en-US" w:eastAsia="zh-CN"/>
              </w:rPr>
              <w:t>①</w:t>
            </w:r>
            <w:r>
              <w:rPr>
                <w:rFonts w:hint="eastAsia" w:ascii="宋体" w:hAnsi="宋体" w:eastAsia="宋体" w:cs="宋体"/>
                <w:b w:val="0"/>
                <w:bCs/>
                <w:color w:val="000000"/>
                <w:kern w:val="2"/>
                <w:sz w:val="21"/>
                <w:szCs w:val="21"/>
              </w:rPr>
              <w:t>产品参数:</w:t>
            </w:r>
          </w:p>
          <w:p>
            <w:pPr>
              <w:spacing w:line="360" w:lineRule="auto"/>
              <w:jc w:val="left"/>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rPr>
              <w:t>供应商须明确</w:t>
            </w:r>
            <w:r>
              <w:rPr>
                <w:rFonts w:hint="eastAsia" w:ascii="宋体" w:hAnsi="宋体" w:eastAsia="宋体" w:cs="宋体"/>
                <w:b w:val="0"/>
                <w:bCs/>
                <w:color w:val="000000"/>
                <w:kern w:val="2"/>
                <w:sz w:val="21"/>
                <w:szCs w:val="21"/>
                <w:lang w:val="zh-CN"/>
              </w:rPr>
              <w:t>所</w:t>
            </w:r>
            <w:r>
              <w:rPr>
                <w:rFonts w:hint="eastAsia" w:ascii="宋体" w:hAnsi="宋体" w:eastAsia="宋体" w:cs="宋体"/>
                <w:b w:val="0"/>
                <w:bCs/>
                <w:color w:val="000000"/>
                <w:kern w:val="2"/>
                <w:sz w:val="21"/>
                <w:szCs w:val="21"/>
              </w:rPr>
              <w:t>供</w:t>
            </w:r>
            <w:r>
              <w:rPr>
                <w:rFonts w:hint="eastAsia" w:ascii="宋体" w:hAnsi="宋体" w:eastAsia="宋体" w:cs="宋体"/>
                <w:b w:val="0"/>
                <w:bCs/>
                <w:color w:val="000000"/>
                <w:kern w:val="2"/>
                <w:sz w:val="21"/>
                <w:szCs w:val="21"/>
                <w:lang w:val="zh-CN"/>
              </w:rPr>
              <w:t>产品主要技术指标、参数、性能</w:t>
            </w:r>
            <w:r>
              <w:rPr>
                <w:rFonts w:hint="eastAsia" w:ascii="宋体" w:hAnsi="宋体" w:eastAsia="宋体" w:cs="宋体"/>
                <w:b w:val="0"/>
                <w:bCs/>
                <w:color w:val="000000"/>
                <w:kern w:val="2"/>
                <w:sz w:val="21"/>
                <w:szCs w:val="21"/>
              </w:rPr>
              <w:t>，提供产品彩页、检测报告等相关证明材料</w:t>
            </w:r>
            <w:r>
              <w:rPr>
                <w:rFonts w:hint="eastAsia" w:ascii="宋体" w:hAnsi="宋体" w:eastAsia="宋体" w:cs="宋体"/>
                <w:b w:val="0"/>
                <w:bCs/>
                <w:color w:val="000000"/>
                <w:kern w:val="2"/>
                <w:sz w:val="21"/>
                <w:szCs w:val="21"/>
                <w:lang w:val="zh-CN"/>
              </w:rPr>
              <w:t>，</w:t>
            </w:r>
            <w:r>
              <w:rPr>
                <w:rFonts w:hint="eastAsia" w:ascii="宋体" w:hAnsi="宋体" w:eastAsia="宋体" w:cs="宋体"/>
                <w:b w:val="0"/>
                <w:bCs/>
                <w:color w:val="000000"/>
                <w:kern w:val="2"/>
                <w:sz w:val="21"/>
                <w:szCs w:val="21"/>
              </w:rPr>
              <w:t>评标委员会根据响应情况进行得分。</w:t>
            </w:r>
          </w:p>
          <w:p>
            <w:pPr>
              <w:spacing w:line="360" w:lineRule="auto"/>
              <w:jc w:val="left"/>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rPr>
              <w:t>响应产品技术参数优于采购要求，技术参数正偏离一项得1分，最高得10分。</w:t>
            </w:r>
          </w:p>
          <w:p>
            <w:pPr>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color w:val="000000"/>
                <w:kern w:val="2"/>
                <w:sz w:val="21"/>
                <w:szCs w:val="21"/>
              </w:rPr>
              <w:t>响应产品技术参数清楚、明确，完全满足招标要求得10分。技术参数负偏离一项扣1分，扣完为止。</w:t>
            </w:r>
          </w:p>
        </w:tc>
        <w:tc>
          <w:tcPr>
            <w:tcW w:w="87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20</w:t>
            </w:r>
            <w:r>
              <w:rPr>
                <w:rFonts w:hint="eastAsia" w:ascii="宋体" w:hAnsi="宋体" w:eastAsia="宋体" w:cs="宋体"/>
                <w:b w:val="0"/>
                <w:bCs/>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60"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1035"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5790" w:type="dxa"/>
            <w:noWrap w:val="0"/>
            <w:vAlign w:val="top"/>
          </w:tcPr>
          <w:p>
            <w:pPr>
              <w:spacing w:line="360" w:lineRule="auto"/>
              <w:jc w:val="left"/>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lang w:val="en-US" w:eastAsia="zh-CN"/>
              </w:rPr>
              <w:t>②</w:t>
            </w:r>
            <w:r>
              <w:rPr>
                <w:rFonts w:hint="eastAsia" w:ascii="宋体" w:hAnsi="宋体" w:eastAsia="宋体" w:cs="宋体"/>
                <w:b w:val="0"/>
                <w:bCs/>
                <w:color w:val="000000"/>
                <w:kern w:val="2"/>
                <w:sz w:val="21"/>
                <w:szCs w:val="21"/>
              </w:rPr>
              <w:t>产品来源渠道：</w:t>
            </w:r>
          </w:p>
          <w:p>
            <w:pPr>
              <w:spacing w:line="360" w:lineRule="auto"/>
              <w:jc w:val="left"/>
              <w:rPr>
                <w:rFonts w:hint="eastAsia" w:ascii="宋体" w:hAnsi="宋体" w:eastAsia="宋体" w:cs="宋体"/>
                <w:b w:val="0"/>
                <w:bCs/>
                <w:color w:val="000000"/>
                <w:kern w:val="2"/>
                <w:sz w:val="21"/>
                <w:szCs w:val="21"/>
              </w:rPr>
            </w:pPr>
            <w:r>
              <w:rPr>
                <w:rFonts w:hint="eastAsia" w:ascii="宋体" w:hAnsi="宋体" w:eastAsia="宋体" w:cs="宋体"/>
                <w:b w:val="0"/>
                <w:bCs/>
                <w:color w:val="000000"/>
                <w:kern w:val="2"/>
                <w:sz w:val="21"/>
                <w:szCs w:val="21"/>
              </w:rPr>
              <w:t>所供产品货源渠道正常，技术资料齐全，符合国家标准、无产权纠纷，提供来源渠道证明材料（包括但不限于厂家授权、检测报告等），表述清楚明确、充分。评标委员会根据响应情况得分。</w:t>
            </w:r>
          </w:p>
          <w:p>
            <w:pPr>
              <w:spacing w:line="360" w:lineRule="auto"/>
              <w:jc w:val="left"/>
              <w:rPr>
                <w:rFonts w:hint="eastAsia" w:ascii="宋体" w:hAnsi="宋体" w:eastAsia="宋体" w:cs="宋体"/>
                <w:b w:val="0"/>
                <w:bCs/>
                <w:color w:val="000000"/>
                <w:kern w:val="2"/>
                <w:sz w:val="21"/>
                <w:szCs w:val="21"/>
                <w:lang w:eastAsia="zh-CN"/>
              </w:rPr>
            </w:pPr>
            <w:r>
              <w:rPr>
                <w:rFonts w:hint="eastAsia" w:ascii="宋体" w:hAnsi="宋体" w:eastAsia="宋体" w:cs="宋体"/>
                <w:b w:val="0"/>
                <w:bCs/>
                <w:color w:val="000000"/>
                <w:kern w:val="2"/>
                <w:sz w:val="21"/>
                <w:szCs w:val="21"/>
              </w:rPr>
              <w:t>证明材料齐全，表述明确、充分得10-</w:t>
            </w:r>
            <w:r>
              <w:rPr>
                <w:rFonts w:hint="eastAsia" w:ascii="宋体" w:hAnsi="宋体" w:cs="宋体"/>
                <w:b w:val="0"/>
                <w:bCs/>
                <w:color w:val="000000"/>
                <w:kern w:val="2"/>
                <w:sz w:val="21"/>
                <w:szCs w:val="21"/>
                <w:lang w:val="en-US" w:eastAsia="zh-CN"/>
              </w:rPr>
              <w:t>14</w:t>
            </w:r>
            <w:r>
              <w:rPr>
                <w:rFonts w:hint="eastAsia" w:ascii="宋体" w:hAnsi="宋体" w:eastAsia="宋体" w:cs="宋体"/>
                <w:b w:val="0"/>
                <w:bCs/>
                <w:color w:val="000000"/>
                <w:kern w:val="2"/>
                <w:sz w:val="21"/>
                <w:szCs w:val="21"/>
              </w:rPr>
              <w:t>分</w:t>
            </w:r>
            <w:r>
              <w:rPr>
                <w:rFonts w:hint="eastAsia" w:ascii="宋体" w:hAnsi="宋体" w:cs="宋体"/>
                <w:b w:val="0"/>
                <w:bCs/>
                <w:color w:val="000000"/>
                <w:kern w:val="2"/>
                <w:sz w:val="21"/>
                <w:szCs w:val="21"/>
                <w:lang w:eastAsia="zh-CN"/>
              </w:rPr>
              <w:t>；</w:t>
            </w:r>
          </w:p>
          <w:p>
            <w:pPr>
              <w:spacing w:line="360" w:lineRule="auto"/>
              <w:jc w:val="left"/>
              <w:rPr>
                <w:rFonts w:hint="eastAsia" w:ascii="宋体" w:hAnsi="宋体" w:eastAsia="宋体" w:cs="宋体"/>
                <w:b w:val="0"/>
                <w:bCs/>
                <w:color w:val="000000"/>
                <w:kern w:val="2"/>
                <w:sz w:val="21"/>
                <w:szCs w:val="21"/>
                <w:lang w:eastAsia="zh-CN"/>
              </w:rPr>
            </w:pPr>
            <w:r>
              <w:rPr>
                <w:rFonts w:hint="eastAsia" w:ascii="宋体" w:hAnsi="宋体" w:eastAsia="宋体" w:cs="宋体"/>
                <w:b w:val="0"/>
                <w:bCs/>
                <w:color w:val="000000"/>
                <w:kern w:val="2"/>
                <w:sz w:val="21"/>
                <w:szCs w:val="21"/>
              </w:rPr>
              <w:t>证明材料较为齐全，表述较为明确、充分得5-10分</w:t>
            </w:r>
            <w:r>
              <w:rPr>
                <w:rFonts w:hint="eastAsia" w:ascii="宋体" w:hAnsi="宋体" w:cs="宋体"/>
                <w:b w:val="0"/>
                <w:bCs/>
                <w:color w:val="000000"/>
                <w:kern w:val="2"/>
                <w:sz w:val="21"/>
                <w:szCs w:val="21"/>
                <w:lang w:eastAsia="zh-CN"/>
              </w:rPr>
              <w:t>；</w:t>
            </w:r>
          </w:p>
          <w:p>
            <w:pPr>
              <w:spacing w:line="360" w:lineRule="auto"/>
              <w:rPr>
                <w:rFonts w:hint="eastAsia" w:ascii="宋体" w:hAnsi="宋体" w:eastAsia="宋体" w:cs="宋体"/>
                <w:b w:val="0"/>
                <w:bCs/>
                <w:color w:val="000000"/>
                <w:sz w:val="21"/>
                <w:szCs w:val="21"/>
              </w:rPr>
            </w:pPr>
            <w:r>
              <w:rPr>
                <w:rFonts w:hint="eastAsia" w:ascii="宋体" w:hAnsi="宋体" w:eastAsia="宋体" w:cs="宋体"/>
                <w:b w:val="0"/>
                <w:bCs/>
                <w:color w:val="000000"/>
                <w:kern w:val="2"/>
                <w:sz w:val="21"/>
                <w:szCs w:val="21"/>
              </w:rPr>
              <w:t>无证明材料或证明材料较少，表述一般得0-5分。</w:t>
            </w:r>
          </w:p>
        </w:tc>
        <w:tc>
          <w:tcPr>
            <w:tcW w:w="870" w:type="dxa"/>
            <w:noWrap w:val="0"/>
            <w:vAlign w:val="center"/>
          </w:tcPr>
          <w:p>
            <w:pPr>
              <w:spacing w:line="360" w:lineRule="auto"/>
              <w:jc w:val="center"/>
              <w:rPr>
                <w:rFonts w:hint="eastAsia" w:ascii="宋体" w:hAnsi="宋体" w:eastAsia="宋体" w:cs="宋体"/>
                <w:b w:val="0"/>
                <w:bCs/>
                <w:sz w:val="21"/>
                <w:szCs w:val="21"/>
              </w:rPr>
            </w:pPr>
            <w:r>
              <w:rPr>
                <w:rFonts w:hint="eastAsia" w:ascii="宋体" w:hAnsi="宋体" w:cs="宋体"/>
                <w:b w:val="0"/>
                <w:bCs/>
                <w:sz w:val="21"/>
                <w:szCs w:val="21"/>
                <w:lang w:val="en-US" w:eastAsia="zh-CN"/>
              </w:rPr>
              <w:t>14</w:t>
            </w:r>
            <w:r>
              <w:rPr>
                <w:rFonts w:hint="eastAsia" w:ascii="宋体" w:hAnsi="宋体" w:eastAsia="宋体" w:cs="宋体"/>
                <w:b w:val="0"/>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trPr>
        <w:tc>
          <w:tcPr>
            <w:tcW w:w="960"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1035"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5790" w:type="dxa"/>
            <w:noWrap w:val="0"/>
            <w:vAlign w:val="center"/>
          </w:tcPr>
          <w:p>
            <w:pPr>
              <w:spacing w:line="360" w:lineRule="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③</w:t>
            </w:r>
            <w:r>
              <w:rPr>
                <w:rFonts w:hint="eastAsia" w:ascii="宋体" w:hAnsi="宋体" w:eastAsia="宋体" w:cs="宋体"/>
                <w:b w:val="0"/>
                <w:bCs/>
                <w:sz w:val="21"/>
                <w:szCs w:val="21"/>
              </w:rPr>
              <w:t>产品的环保性、耐用性、安全可靠性、使用性能：</w:t>
            </w:r>
          </w:p>
          <w:p>
            <w:pPr>
              <w:spacing w:line="360" w:lineRule="auto"/>
              <w:rPr>
                <w:rFonts w:hint="eastAsia" w:ascii="宋体" w:hAnsi="宋体" w:eastAsia="宋体" w:cs="宋体"/>
                <w:b w:val="0"/>
                <w:bCs/>
                <w:sz w:val="21"/>
                <w:szCs w:val="21"/>
              </w:rPr>
            </w:pPr>
            <w:r>
              <w:rPr>
                <w:rFonts w:hint="eastAsia" w:ascii="宋体" w:hAnsi="宋体" w:eastAsia="宋体" w:cs="宋体"/>
                <w:b w:val="0"/>
                <w:bCs/>
                <w:sz w:val="21"/>
                <w:szCs w:val="21"/>
              </w:rPr>
              <w:t>产品的环保性、耐用性、安全可靠性、使用性能，根据所提供的产品技术资料</w:t>
            </w:r>
            <w:r>
              <w:rPr>
                <w:rFonts w:hint="eastAsia" w:ascii="宋体" w:hAnsi="宋体" w:cs="宋体"/>
                <w:b w:val="0"/>
                <w:bCs/>
                <w:sz w:val="21"/>
                <w:szCs w:val="21"/>
                <w:lang w:val="en-US" w:eastAsia="zh-CN"/>
              </w:rPr>
              <w:t>等方案</w:t>
            </w:r>
            <w:r>
              <w:rPr>
                <w:rFonts w:hint="eastAsia" w:ascii="宋体" w:hAnsi="宋体" w:eastAsia="宋体" w:cs="宋体"/>
                <w:b w:val="0"/>
                <w:bCs/>
                <w:sz w:val="21"/>
                <w:szCs w:val="21"/>
              </w:rPr>
              <w:t>进行赋分。</w:t>
            </w:r>
          </w:p>
          <w:p>
            <w:pPr>
              <w:spacing w:line="360" w:lineRule="auto"/>
              <w:rPr>
                <w:rFonts w:hint="eastAsia" w:ascii="宋体" w:hAnsi="宋体" w:eastAsia="宋体" w:cs="宋体"/>
                <w:b w:val="0"/>
                <w:bCs/>
                <w:sz w:val="21"/>
                <w:szCs w:val="21"/>
              </w:rPr>
            </w:pPr>
            <w:r>
              <w:rPr>
                <w:rFonts w:hint="eastAsia" w:ascii="宋体" w:hAnsi="宋体" w:eastAsia="宋体" w:cs="宋体"/>
                <w:b w:val="0"/>
                <w:bCs/>
                <w:sz w:val="21"/>
                <w:szCs w:val="21"/>
              </w:rPr>
              <w:t>技术资料条理清晰、明确，逻辑性强，有系统、科学的技术措施，综合对比得</w:t>
            </w:r>
            <w:r>
              <w:rPr>
                <w:rFonts w:hint="eastAsia" w:ascii="宋体" w:hAnsi="宋体" w:cs="宋体"/>
                <w:b w:val="0"/>
                <w:bCs/>
                <w:sz w:val="21"/>
                <w:szCs w:val="21"/>
                <w:lang w:val="en-US" w:eastAsia="zh-CN"/>
              </w:rPr>
              <w:t>4</w:t>
            </w:r>
            <w:r>
              <w:rPr>
                <w:rFonts w:hint="eastAsia" w:ascii="宋体" w:hAnsi="宋体" w:eastAsia="宋体" w:cs="宋体"/>
                <w:b w:val="0"/>
                <w:bCs/>
                <w:sz w:val="21"/>
                <w:szCs w:val="21"/>
              </w:rPr>
              <w:t>-</w:t>
            </w:r>
            <w:r>
              <w:rPr>
                <w:rFonts w:hint="eastAsia" w:ascii="宋体" w:hAnsi="宋体" w:cs="宋体"/>
                <w:b w:val="0"/>
                <w:bCs/>
                <w:sz w:val="21"/>
                <w:szCs w:val="21"/>
                <w:lang w:val="en-US" w:eastAsia="zh-CN"/>
              </w:rPr>
              <w:t>8</w:t>
            </w:r>
            <w:r>
              <w:rPr>
                <w:rFonts w:hint="eastAsia" w:ascii="宋体" w:hAnsi="宋体" w:eastAsia="宋体" w:cs="宋体"/>
                <w:b w:val="0"/>
                <w:bCs/>
                <w:sz w:val="21"/>
                <w:szCs w:val="21"/>
              </w:rPr>
              <w:t>分；</w:t>
            </w:r>
          </w:p>
          <w:p>
            <w:pPr>
              <w:spacing w:line="360" w:lineRule="auto"/>
              <w:rPr>
                <w:rFonts w:hint="eastAsia" w:ascii="宋体" w:hAnsi="宋体" w:eastAsia="宋体" w:cs="宋体"/>
                <w:b w:val="0"/>
                <w:bCs/>
                <w:color w:val="000000"/>
                <w:sz w:val="21"/>
                <w:szCs w:val="21"/>
              </w:rPr>
            </w:pPr>
            <w:r>
              <w:rPr>
                <w:rFonts w:hint="eastAsia" w:ascii="宋体" w:hAnsi="宋体" w:eastAsia="宋体" w:cs="宋体"/>
                <w:b w:val="0"/>
                <w:bCs/>
                <w:sz w:val="21"/>
                <w:szCs w:val="21"/>
              </w:rPr>
              <w:t>技术资料条理思路较清晰、明确，有一定的逻辑性，综合对比得</w:t>
            </w:r>
            <w:r>
              <w:rPr>
                <w:rFonts w:hint="eastAsia" w:ascii="宋体" w:hAnsi="宋体" w:cs="宋体"/>
                <w:b w:val="0"/>
                <w:bCs/>
                <w:sz w:val="21"/>
                <w:szCs w:val="21"/>
                <w:lang w:val="en-US" w:eastAsia="zh-CN"/>
              </w:rPr>
              <w:t>0</w:t>
            </w:r>
            <w:r>
              <w:rPr>
                <w:rFonts w:hint="eastAsia" w:ascii="宋体" w:hAnsi="宋体" w:eastAsia="宋体" w:cs="宋体"/>
                <w:b w:val="0"/>
                <w:bCs/>
                <w:sz w:val="21"/>
                <w:szCs w:val="21"/>
              </w:rPr>
              <w:t>-</w:t>
            </w:r>
            <w:r>
              <w:rPr>
                <w:rFonts w:hint="eastAsia" w:ascii="宋体" w:hAnsi="宋体" w:cs="宋体"/>
                <w:b w:val="0"/>
                <w:bCs/>
                <w:sz w:val="21"/>
                <w:szCs w:val="21"/>
                <w:lang w:val="en-US" w:eastAsia="zh-CN"/>
              </w:rPr>
              <w:t>4</w:t>
            </w:r>
            <w:r>
              <w:rPr>
                <w:rFonts w:hint="eastAsia" w:ascii="宋体" w:hAnsi="宋体" w:eastAsia="宋体" w:cs="宋体"/>
                <w:b w:val="0"/>
                <w:bCs/>
                <w:sz w:val="21"/>
                <w:szCs w:val="21"/>
              </w:rPr>
              <w:t>分；</w:t>
            </w:r>
          </w:p>
        </w:tc>
        <w:tc>
          <w:tcPr>
            <w:tcW w:w="870" w:type="dxa"/>
            <w:noWrap w:val="0"/>
            <w:vAlign w:val="center"/>
          </w:tcPr>
          <w:p>
            <w:pPr>
              <w:spacing w:line="360" w:lineRule="auto"/>
              <w:jc w:val="center"/>
              <w:rPr>
                <w:rFonts w:hint="eastAsia" w:ascii="宋体" w:hAnsi="宋体" w:eastAsia="宋体" w:cs="宋体"/>
                <w:b w:val="0"/>
                <w:bCs/>
                <w:sz w:val="21"/>
                <w:szCs w:val="21"/>
              </w:rPr>
            </w:pPr>
            <w:r>
              <w:rPr>
                <w:rFonts w:hint="eastAsia" w:ascii="宋体" w:hAnsi="宋体" w:cs="宋体"/>
                <w:b w:val="0"/>
                <w:bCs/>
                <w:sz w:val="21"/>
                <w:szCs w:val="21"/>
                <w:lang w:val="en-US" w:eastAsia="zh-CN"/>
              </w:rPr>
              <w:t>8</w:t>
            </w:r>
            <w:r>
              <w:rPr>
                <w:rFonts w:hint="eastAsia" w:ascii="宋体" w:hAnsi="宋体" w:eastAsia="宋体" w:cs="宋体"/>
                <w:b w:val="0"/>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trPr>
        <w:tc>
          <w:tcPr>
            <w:tcW w:w="960"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1035"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5790" w:type="dxa"/>
            <w:noWrap w:val="0"/>
            <w:vAlign w:val="center"/>
          </w:tcPr>
          <w:p>
            <w:pPr>
              <w:spacing w:line="360" w:lineRule="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④</w:t>
            </w:r>
            <w:r>
              <w:rPr>
                <w:rFonts w:hint="eastAsia" w:ascii="宋体" w:hAnsi="宋体" w:eastAsia="宋体" w:cs="宋体"/>
                <w:b w:val="0"/>
                <w:bCs/>
                <w:sz w:val="21"/>
                <w:szCs w:val="21"/>
              </w:rPr>
              <w:t>总体实施方案：</w:t>
            </w:r>
          </w:p>
          <w:p>
            <w:pPr>
              <w:spacing w:line="360" w:lineRule="auto"/>
              <w:rPr>
                <w:rFonts w:hint="eastAsia" w:ascii="宋体" w:hAnsi="宋体" w:eastAsia="宋体" w:cs="宋体"/>
                <w:b w:val="0"/>
                <w:bCs/>
                <w:sz w:val="21"/>
                <w:szCs w:val="21"/>
              </w:rPr>
            </w:pPr>
            <w:r>
              <w:rPr>
                <w:rFonts w:hint="eastAsia" w:ascii="宋体" w:hAnsi="宋体" w:eastAsia="宋体" w:cs="宋体"/>
                <w:b w:val="0"/>
                <w:bCs/>
                <w:sz w:val="21"/>
                <w:szCs w:val="21"/>
              </w:rPr>
              <w:t>根据供应商针对本项目的组织能力、供货计划、物流保障、安装调试方案等响应情况进行赋分。</w:t>
            </w:r>
          </w:p>
          <w:p>
            <w:pPr>
              <w:spacing w:line="360" w:lineRule="auto"/>
              <w:rPr>
                <w:rFonts w:hint="eastAsia" w:ascii="宋体" w:hAnsi="宋体" w:eastAsia="宋体" w:cs="宋体"/>
                <w:b w:val="0"/>
                <w:bCs/>
                <w:sz w:val="21"/>
                <w:szCs w:val="21"/>
              </w:rPr>
            </w:pPr>
            <w:r>
              <w:rPr>
                <w:rFonts w:hint="eastAsia" w:ascii="宋体" w:hAnsi="宋体" w:eastAsia="宋体" w:cs="宋体"/>
                <w:b w:val="0"/>
                <w:bCs/>
                <w:sz w:val="21"/>
                <w:szCs w:val="21"/>
              </w:rPr>
              <w:t>总体实施方案完备、合理、切实可行，得</w:t>
            </w:r>
            <w:r>
              <w:rPr>
                <w:rFonts w:hint="eastAsia" w:ascii="宋体" w:hAnsi="宋体" w:cs="宋体"/>
                <w:b w:val="0"/>
                <w:bCs/>
                <w:sz w:val="21"/>
                <w:szCs w:val="21"/>
                <w:lang w:val="en-US" w:eastAsia="zh-CN"/>
              </w:rPr>
              <w:t>4</w:t>
            </w:r>
            <w:r>
              <w:rPr>
                <w:rFonts w:hint="eastAsia" w:ascii="宋体" w:hAnsi="宋体" w:eastAsia="宋体" w:cs="宋体"/>
                <w:b w:val="0"/>
                <w:bCs/>
                <w:sz w:val="21"/>
                <w:szCs w:val="21"/>
              </w:rPr>
              <w:t>-</w:t>
            </w:r>
            <w:r>
              <w:rPr>
                <w:rFonts w:hint="eastAsia" w:ascii="宋体" w:hAnsi="宋体" w:cs="宋体"/>
                <w:b w:val="0"/>
                <w:bCs/>
                <w:sz w:val="21"/>
                <w:szCs w:val="21"/>
                <w:lang w:val="en-US" w:eastAsia="zh-CN"/>
              </w:rPr>
              <w:t>8</w:t>
            </w:r>
            <w:r>
              <w:rPr>
                <w:rFonts w:hint="eastAsia" w:ascii="宋体" w:hAnsi="宋体" w:eastAsia="宋体" w:cs="宋体"/>
                <w:b w:val="0"/>
                <w:bCs/>
                <w:sz w:val="21"/>
                <w:szCs w:val="21"/>
              </w:rPr>
              <w:t>分；</w:t>
            </w:r>
          </w:p>
          <w:p>
            <w:pPr>
              <w:spacing w:line="360" w:lineRule="auto"/>
              <w:rPr>
                <w:rFonts w:hint="eastAsia" w:ascii="宋体" w:hAnsi="宋体" w:eastAsia="宋体" w:cs="宋体"/>
                <w:b w:val="0"/>
                <w:bCs/>
                <w:color w:val="000000"/>
                <w:sz w:val="21"/>
                <w:szCs w:val="21"/>
                <w:lang w:eastAsia="zh-CN"/>
              </w:rPr>
            </w:pPr>
            <w:r>
              <w:rPr>
                <w:rFonts w:hint="eastAsia" w:ascii="宋体" w:hAnsi="宋体" w:eastAsia="宋体" w:cs="宋体"/>
                <w:b w:val="0"/>
                <w:bCs/>
                <w:sz w:val="21"/>
                <w:szCs w:val="21"/>
              </w:rPr>
              <w:t>总体实施方案较完备、合理、基本可行，得</w:t>
            </w:r>
            <w:r>
              <w:rPr>
                <w:rFonts w:hint="eastAsia" w:ascii="宋体" w:hAnsi="宋体" w:cs="宋体"/>
                <w:b w:val="0"/>
                <w:bCs/>
                <w:sz w:val="21"/>
                <w:szCs w:val="21"/>
                <w:lang w:val="en-US" w:eastAsia="zh-CN"/>
              </w:rPr>
              <w:t>0</w:t>
            </w:r>
            <w:r>
              <w:rPr>
                <w:rFonts w:hint="eastAsia" w:ascii="宋体" w:hAnsi="宋体" w:eastAsia="宋体" w:cs="宋体"/>
                <w:b w:val="0"/>
                <w:bCs/>
                <w:sz w:val="21"/>
                <w:szCs w:val="21"/>
              </w:rPr>
              <w:t>-</w:t>
            </w:r>
            <w:r>
              <w:rPr>
                <w:rFonts w:hint="eastAsia" w:ascii="宋体" w:hAnsi="宋体" w:cs="宋体"/>
                <w:b w:val="0"/>
                <w:bCs/>
                <w:sz w:val="21"/>
                <w:szCs w:val="21"/>
                <w:lang w:val="en-US" w:eastAsia="zh-CN"/>
              </w:rPr>
              <w:t>4</w:t>
            </w:r>
            <w:r>
              <w:rPr>
                <w:rFonts w:hint="eastAsia" w:ascii="宋体" w:hAnsi="宋体" w:eastAsia="宋体" w:cs="宋体"/>
                <w:b w:val="0"/>
                <w:bCs/>
                <w:sz w:val="21"/>
                <w:szCs w:val="21"/>
              </w:rPr>
              <w:t>分</w:t>
            </w:r>
            <w:r>
              <w:rPr>
                <w:rFonts w:hint="eastAsia" w:ascii="宋体" w:hAnsi="宋体" w:cs="宋体"/>
                <w:b w:val="0"/>
                <w:bCs/>
                <w:sz w:val="21"/>
                <w:szCs w:val="21"/>
                <w:lang w:eastAsia="zh-CN"/>
              </w:rPr>
              <w:t>。</w:t>
            </w:r>
          </w:p>
        </w:tc>
        <w:tc>
          <w:tcPr>
            <w:tcW w:w="870" w:type="dxa"/>
            <w:noWrap w:val="0"/>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trPr>
        <w:tc>
          <w:tcPr>
            <w:tcW w:w="960" w:type="dxa"/>
            <w:vMerge w:val="restart"/>
            <w:noWrap w:val="0"/>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人员配备及</w:t>
            </w:r>
          </w:p>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sz w:val="21"/>
                <w:szCs w:val="21"/>
              </w:rPr>
              <w:t>售后服务</w:t>
            </w:r>
          </w:p>
        </w:tc>
        <w:tc>
          <w:tcPr>
            <w:tcW w:w="1035" w:type="dxa"/>
            <w:vMerge w:val="restart"/>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sz w:val="21"/>
                <w:szCs w:val="21"/>
                <w:lang w:val="en-US" w:eastAsia="zh-CN"/>
              </w:rPr>
              <w:t>10</w:t>
            </w:r>
            <w:r>
              <w:rPr>
                <w:rFonts w:hint="eastAsia" w:ascii="宋体" w:hAnsi="宋体" w:eastAsia="宋体" w:cs="宋体"/>
                <w:b w:val="0"/>
                <w:bCs/>
                <w:sz w:val="21"/>
                <w:szCs w:val="21"/>
              </w:rPr>
              <w:t>分</w:t>
            </w:r>
          </w:p>
        </w:tc>
        <w:tc>
          <w:tcPr>
            <w:tcW w:w="5790" w:type="dxa"/>
            <w:noWrap w:val="0"/>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⑥</w:t>
            </w:r>
            <w:r>
              <w:rPr>
                <w:rFonts w:hint="eastAsia" w:ascii="宋体" w:hAnsi="宋体" w:eastAsia="宋体" w:cs="宋体"/>
                <w:b w:val="0"/>
                <w:bCs/>
                <w:sz w:val="21"/>
                <w:szCs w:val="21"/>
              </w:rPr>
              <w:t>针对本项目配备相应的项目实施人员：</w:t>
            </w:r>
          </w:p>
          <w:p>
            <w:pPr>
              <w:spacing w:line="360" w:lineRule="auto"/>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人员分工合理，责任明确</w:t>
            </w:r>
            <w:r>
              <w:rPr>
                <w:rFonts w:hint="eastAsia" w:ascii="宋体" w:hAnsi="宋体" w:eastAsia="宋体" w:cs="宋体"/>
                <w:b w:val="0"/>
                <w:bCs/>
                <w:sz w:val="21"/>
                <w:szCs w:val="21"/>
                <w:lang w:val="en-US" w:eastAsia="zh-CN"/>
              </w:rPr>
              <w:t>得3-</w:t>
            </w:r>
            <w:r>
              <w:rPr>
                <w:rFonts w:hint="eastAsia" w:ascii="宋体" w:hAnsi="宋体" w:cs="宋体"/>
                <w:b w:val="0"/>
                <w:bCs/>
                <w:sz w:val="21"/>
                <w:szCs w:val="21"/>
                <w:lang w:val="en-US" w:eastAsia="zh-CN"/>
              </w:rPr>
              <w:t>5</w:t>
            </w:r>
            <w:r>
              <w:rPr>
                <w:rFonts w:hint="eastAsia" w:ascii="宋体" w:hAnsi="宋体" w:eastAsia="宋体" w:cs="宋体"/>
                <w:b w:val="0"/>
                <w:bCs/>
                <w:sz w:val="21"/>
                <w:szCs w:val="21"/>
                <w:lang w:val="en-US" w:eastAsia="zh-CN"/>
              </w:rPr>
              <w:t>分；</w:t>
            </w:r>
          </w:p>
          <w:p>
            <w:pPr>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sz w:val="21"/>
                <w:szCs w:val="21"/>
              </w:rPr>
              <w:t>人员分工</w:t>
            </w:r>
            <w:r>
              <w:rPr>
                <w:rFonts w:hint="eastAsia" w:ascii="宋体" w:hAnsi="宋体" w:cs="宋体"/>
                <w:b w:val="0"/>
                <w:bCs/>
                <w:sz w:val="21"/>
                <w:szCs w:val="21"/>
                <w:lang w:val="en-US" w:eastAsia="zh-CN"/>
              </w:rPr>
              <w:t>较为</w:t>
            </w:r>
            <w:r>
              <w:rPr>
                <w:rFonts w:hint="eastAsia" w:ascii="宋体" w:hAnsi="宋体" w:eastAsia="宋体" w:cs="宋体"/>
                <w:b w:val="0"/>
                <w:bCs/>
                <w:sz w:val="21"/>
                <w:szCs w:val="21"/>
              </w:rPr>
              <w:t>合理，责任</w:t>
            </w:r>
            <w:r>
              <w:rPr>
                <w:rFonts w:hint="eastAsia" w:ascii="宋体" w:hAnsi="宋体" w:cs="宋体"/>
                <w:b w:val="0"/>
                <w:bCs/>
                <w:sz w:val="21"/>
                <w:szCs w:val="21"/>
                <w:lang w:val="en-US" w:eastAsia="zh-CN"/>
              </w:rPr>
              <w:t>模糊</w:t>
            </w:r>
            <w:r>
              <w:rPr>
                <w:rFonts w:hint="eastAsia" w:ascii="宋体" w:hAnsi="宋体" w:eastAsia="宋体" w:cs="宋体"/>
                <w:b w:val="0"/>
                <w:bCs/>
                <w:sz w:val="21"/>
                <w:szCs w:val="21"/>
                <w:lang w:val="en-US" w:eastAsia="zh-CN"/>
              </w:rPr>
              <w:t>得</w:t>
            </w:r>
            <w:r>
              <w:rPr>
                <w:rFonts w:hint="eastAsia" w:ascii="宋体" w:hAnsi="宋体" w:cs="宋体"/>
                <w:b w:val="0"/>
                <w:bCs/>
                <w:sz w:val="21"/>
                <w:szCs w:val="21"/>
                <w:lang w:val="en-US" w:eastAsia="zh-CN"/>
              </w:rPr>
              <w:t>0</w:t>
            </w:r>
            <w:r>
              <w:rPr>
                <w:rFonts w:hint="eastAsia" w:ascii="宋体" w:hAnsi="宋体" w:eastAsia="宋体" w:cs="宋体"/>
                <w:b w:val="0"/>
                <w:bCs/>
                <w:sz w:val="21"/>
                <w:szCs w:val="21"/>
                <w:lang w:val="en-US" w:eastAsia="zh-CN"/>
              </w:rPr>
              <w:t>-</w:t>
            </w:r>
            <w:r>
              <w:rPr>
                <w:rFonts w:hint="eastAsia" w:ascii="宋体" w:hAnsi="宋体" w:cs="宋体"/>
                <w:b w:val="0"/>
                <w:bCs/>
                <w:sz w:val="21"/>
                <w:szCs w:val="21"/>
                <w:lang w:val="en-US" w:eastAsia="zh-CN"/>
              </w:rPr>
              <w:t>3</w:t>
            </w:r>
            <w:r>
              <w:rPr>
                <w:rFonts w:hint="eastAsia" w:ascii="宋体" w:hAnsi="宋体" w:eastAsia="宋体" w:cs="宋体"/>
                <w:b w:val="0"/>
                <w:bCs/>
                <w:sz w:val="21"/>
                <w:szCs w:val="21"/>
                <w:lang w:val="en-US" w:eastAsia="zh-CN"/>
              </w:rPr>
              <w:t>分</w:t>
            </w:r>
            <w:r>
              <w:rPr>
                <w:rFonts w:hint="eastAsia" w:ascii="宋体" w:hAnsi="宋体" w:eastAsia="宋体" w:cs="宋体"/>
                <w:b w:val="0"/>
                <w:bCs/>
                <w:sz w:val="21"/>
                <w:szCs w:val="21"/>
              </w:rPr>
              <w:t>。</w:t>
            </w:r>
          </w:p>
        </w:tc>
        <w:tc>
          <w:tcPr>
            <w:tcW w:w="87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sz w:val="21"/>
                <w:szCs w:val="21"/>
                <w:lang w:val="en-US" w:eastAsia="zh-CN"/>
              </w:rPr>
              <w:t>5</w:t>
            </w:r>
            <w:r>
              <w:rPr>
                <w:rFonts w:hint="eastAsia" w:ascii="宋体" w:hAnsi="宋体" w:eastAsia="宋体" w:cs="宋体"/>
                <w:b w:val="0"/>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6" w:hRule="atLeast"/>
        </w:trPr>
        <w:tc>
          <w:tcPr>
            <w:tcW w:w="960" w:type="dxa"/>
            <w:vMerge w:val="continue"/>
            <w:noWrap w:val="0"/>
            <w:vAlign w:val="center"/>
          </w:tcPr>
          <w:p>
            <w:pPr>
              <w:spacing w:line="360" w:lineRule="auto"/>
              <w:jc w:val="center"/>
              <w:rPr>
                <w:rFonts w:hint="eastAsia" w:ascii="宋体" w:hAnsi="宋体" w:eastAsia="宋体" w:cs="宋体"/>
                <w:b w:val="0"/>
                <w:bCs/>
                <w:color w:val="000000"/>
                <w:sz w:val="21"/>
                <w:szCs w:val="21"/>
              </w:rPr>
            </w:pPr>
          </w:p>
        </w:tc>
        <w:tc>
          <w:tcPr>
            <w:tcW w:w="1035" w:type="dxa"/>
            <w:vMerge w:val="continue"/>
            <w:noWrap w:val="0"/>
            <w:vAlign w:val="center"/>
          </w:tcPr>
          <w:p>
            <w:pPr>
              <w:spacing w:line="360" w:lineRule="auto"/>
              <w:rPr>
                <w:rFonts w:hint="eastAsia" w:ascii="宋体" w:hAnsi="宋体" w:eastAsia="宋体" w:cs="宋体"/>
                <w:b w:val="0"/>
                <w:bCs/>
                <w:color w:val="000000"/>
                <w:sz w:val="21"/>
                <w:szCs w:val="21"/>
              </w:rPr>
            </w:pPr>
          </w:p>
        </w:tc>
        <w:tc>
          <w:tcPr>
            <w:tcW w:w="5790" w:type="dxa"/>
            <w:noWrap w:val="0"/>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⑦</w:t>
            </w:r>
            <w:r>
              <w:rPr>
                <w:rFonts w:hint="eastAsia" w:ascii="宋体" w:hAnsi="宋体" w:eastAsia="宋体" w:cs="宋体"/>
                <w:b w:val="0"/>
                <w:bCs/>
                <w:sz w:val="21"/>
                <w:szCs w:val="21"/>
              </w:rPr>
              <w:t>售后服务</w:t>
            </w:r>
            <w:r>
              <w:rPr>
                <w:rFonts w:hint="eastAsia" w:ascii="宋体" w:hAnsi="宋体" w:cs="宋体"/>
                <w:b w:val="0"/>
                <w:bCs/>
                <w:sz w:val="21"/>
                <w:szCs w:val="21"/>
                <w:lang w:eastAsia="zh-CN"/>
              </w:rPr>
              <w:t>承诺</w:t>
            </w:r>
            <w:r>
              <w:rPr>
                <w:rFonts w:hint="eastAsia" w:ascii="宋体" w:hAnsi="宋体" w:eastAsia="宋体" w:cs="宋体"/>
                <w:b w:val="0"/>
                <w:bCs/>
                <w:sz w:val="21"/>
                <w:szCs w:val="21"/>
              </w:rPr>
              <w:t>方案：</w:t>
            </w:r>
          </w:p>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售后服务方案详细具体、合理可行（包括供应商的售后服务机构地址电话联系人、售后服务方案及措施、产品交付采购方后出现质量问题的响应时间、补货换货等解决方案等）评标委员会根据响应情况进行赋分。</w:t>
            </w:r>
          </w:p>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售后服务措施和承诺详细可行，得</w:t>
            </w:r>
            <w:r>
              <w:rPr>
                <w:rFonts w:hint="eastAsia" w:ascii="宋体" w:hAnsi="宋体" w:cs="宋体"/>
                <w:b w:val="0"/>
                <w:bCs/>
                <w:sz w:val="21"/>
                <w:szCs w:val="21"/>
                <w:lang w:val="en-US" w:eastAsia="zh-CN"/>
              </w:rPr>
              <w:t>3</w:t>
            </w:r>
            <w:r>
              <w:rPr>
                <w:rFonts w:hint="eastAsia" w:ascii="宋体" w:hAnsi="宋体" w:eastAsia="宋体" w:cs="宋体"/>
                <w:b w:val="0"/>
                <w:bCs/>
                <w:sz w:val="21"/>
                <w:szCs w:val="21"/>
              </w:rPr>
              <w:t>-</w:t>
            </w:r>
            <w:r>
              <w:rPr>
                <w:rFonts w:hint="eastAsia" w:ascii="宋体" w:hAnsi="宋体" w:cs="宋体"/>
                <w:b w:val="0"/>
                <w:bCs/>
                <w:sz w:val="21"/>
                <w:szCs w:val="21"/>
                <w:lang w:val="en-US" w:eastAsia="zh-CN"/>
              </w:rPr>
              <w:t>5</w:t>
            </w:r>
            <w:r>
              <w:rPr>
                <w:rFonts w:hint="eastAsia" w:ascii="宋体" w:hAnsi="宋体" w:eastAsia="宋体" w:cs="宋体"/>
                <w:b w:val="0"/>
                <w:bCs/>
                <w:sz w:val="21"/>
                <w:szCs w:val="21"/>
              </w:rPr>
              <w:t>分；</w:t>
            </w:r>
          </w:p>
          <w:p>
            <w:pPr>
              <w:spacing w:line="360" w:lineRule="auto"/>
              <w:jc w:val="left"/>
              <w:rPr>
                <w:rFonts w:hint="eastAsia" w:ascii="宋体" w:hAnsi="宋体" w:eastAsia="宋体" w:cs="宋体"/>
                <w:b w:val="0"/>
                <w:bCs/>
                <w:color w:val="000000"/>
                <w:sz w:val="21"/>
                <w:szCs w:val="21"/>
              </w:rPr>
            </w:pPr>
            <w:r>
              <w:rPr>
                <w:rFonts w:hint="eastAsia" w:ascii="宋体" w:hAnsi="宋体" w:eastAsia="宋体" w:cs="宋体"/>
                <w:b w:val="0"/>
                <w:bCs/>
                <w:sz w:val="21"/>
                <w:szCs w:val="21"/>
              </w:rPr>
              <w:t>售后服务措施和承诺基本合理，得</w:t>
            </w:r>
            <w:r>
              <w:rPr>
                <w:rFonts w:hint="eastAsia" w:ascii="宋体" w:hAnsi="宋体" w:cs="宋体"/>
                <w:b w:val="0"/>
                <w:bCs/>
                <w:sz w:val="21"/>
                <w:szCs w:val="21"/>
                <w:lang w:val="en-US" w:eastAsia="zh-CN"/>
              </w:rPr>
              <w:t>0</w:t>
            </w:r>
            <w:r>
              <w:rPr>
                <w:rFonts w:hint="eastAsia" w:ascii="宋体" w:hAnsi="宋体" w:eastAsia="宋体" w:cs="宋体"/>
                <w:b w:val="0"/>
                <w:bCs/>
                <w:sz w:val="21"/>
                <w:szCs w:val="21"/>
              </w:rPr>
              <w:t>-</w:t>
            </w:r>
            <w:r>
              <w:rPr>
                <w:rFonts w:hint="eastAsia" w:ascii="宋体" w:hAnsi="宋体" w:cs="宋体"/>
                <w:b w:val="0"/>
                <w:bCs/>
                <w:sz w:val="21"/>
                <w:szCs w:val="21"/>
                <w:lang w:val="en-US" w:eastAsia="zh-CN"/>
              </w:rPr>
              <w:t>3</w:t>
            </w:r>
            <w:r>
              <w:rPr>
                <w:rFonts w:hint="eastAsia" w:ascii="宋体" w:hAnsi="宋体" w:eastAsia="宋体" w:cs="宋体"/>
                <w:b w:val="0"/>
                <w:bCs/>
                <w:sz w:val="21"/>
                <w:szCs w:val="21"/>
              </w:rPr>
              <w:t>分；</w:t>
            </w:r>
          </w:p>
        </w:tc>
        <w:tc>
          <w:tcPr>
            <w:tcW w:w="87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sz w:val="21"/>
                <w:szCs w:val="21"/>
                <w:lang w:val="en-US" w:eastAsia="zh-CN"/>
              </w:rPr>
              <w:t>5</w:t>
            </w:r>
            <w:r>
              <w:rPr>
                <w:rFonts w:hint="eastAsia" w:ascii="宋体" w:hAnsi="宋体" w:eastAsia="宋体" w:cs="宋体"/>
                <w:b w:val="0"/>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96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eastAsia="宋体" w:cs="宋体"/>
                <w:b w:val="0"/>
                <w:bCs/>
                <w:sz w:val="21"/>
                <w:szCs w:val="21"/>
              </w:rPr>
              <w:t>业绩</w:t>
            </w:r>
          </w:p>
        </w:tc>
        <w:tc>
          <w:tcPr>
            <w:tcW w:w="1035"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sz w:val="21"/>
                <w:szCs w:val="21"/>
                <w:lang w:val="en-US" w:eastAsia="zh-CN"/>
              </w:rPr>
              <w:t>10</w:t>
            </w:r>
            <w:r>
              <w:rPr>
                <w:rFonts w:hint="eastAsia" w:ascii="宋体" w:hAnsi="宋体" w:eastAsia="宋体" w:cs="宋体"/>
                <w:b w:val="0"/>
                <w:bCs/>
                <w:sz w:val="21"/>
                <w:szCs w:val="21"/>
              </w:rPr>
              <w:t>分</w:t>
            </w:r>
          </w:p>
        </w:tc>
        <w:tc>
          <w:tcPr>
            <w:tcW w:w="5790" w:type="dxa"/>
            <w:noWrap w:val="0"/>
            <w:vAlign w:val="center"/>
          </w:tcPr>
          <w:p>
            <w:pPr>
              <w:spacing w:line="360" w:lineRule="auto"/>
              <w:jc w:val="left"/>
              <w:rPr>
                <w:rFonts w:hint="eastAsia" w:ascii="宋体" w:hAnsi="宋体" w:cs="宋体"/>
                <w:b w:val="0"/>
                <w:bCs/>
                <w:sz w:val="21"/>
                <w:szCs w:val="21"/>
                <w:lang w:val="en-US" w:eastAsia="zh-CN"/>
              </w:rPr>
            </w:pPr>
            <w:r>
              <w:rPr>
                <w:rFonts w:hint="eastAsia" w:ascii="宋体" w:hAnsi="宋体" w:eastAsia="宋体" w:cs="宋体"/>
                <w:b w:val="0"/>
                <w:bCs/>
                <w:sz w:val="21"/>
                <w:szCs w:val="21"/>
                <w:lang w:val="en-US" w:eastAsia="zh-CN"/>
              </w:rPr>
              <w:t>⑧</w:t>
            </w:r>
            <w:r>
              <w:rPr>
                <w:rFonts w:hint="eastAsia" w:ascii="宋体" w:hAnsi="宋体" w:cs="宋体"/>
                <w:b w:val="0"/>
                <w:bCs/>
                <w:sz w:val="21"/>
                <w:szCs w:val="21"/>
                <w:lang w:val="en-US" w:eastAsia="zh-CN"/>
              </w:rPr>
              <w:t>业绩：提供投标人2019年8月1日至今类似项目业绩，响应文件中附有其合同等证明文件，每提供一个业绩证明计2分，但最多计10分。</w:t>
            </w:r>
          </w:p>
          <w:p>
            <w:pPr>
              <w:spacing w:line="360" w:lineRule="auto"/>
              <w:jc w:val="left"/>
              <w:rPr>
                <w:rFonts w:hint="eastAsia" w:ascii="宋体" w:hAnsi="宋体" w:eastAsia="宋体" w:cs="宋体"/>
                <w:b w:val="0"/>
                <w:bCs/>
                <w:color w:val="000000"/>
                <w:sz w:val="21"/>
                <w:szCs w:val="21"/>
              </w:rPr>
            </w:pPr>
            <w:r>
              <w:rPr>
                <w:rFonts w:hint="eastAsia" w:ascii="宋体" w:hAnsi="宋体" w:cs="宋体"/>
                <w:b w:val="0"/>
                <w:bCs/>
                <w:sz w:val="21"/>
                <w:szCs w:val="21"/>
                <w:lang w:val="en-US" w:eastAsia="zh-CN"/>
              </w:rPr>
              <w:t>（需提供业绩证明文件，以提供标明合同买卖双方、货物名称及数量的销售合同为准（复印件加盖公章）。否则评标时不予认定）。</w:t>
            </w:r>
          </w:p>
        </w:tc>
        <w:tc>
          <w:tcPr>
            <w:tcW w:w="870" w:type="dxa"/>
            <w:noWrap w:val="0"/>
            <w:vAlign w:val="center"/>
          </w:tcPr>
          <w:p>
            <w:pPr>
              <w:spacing w:line="360" w:lineRule="auto"/>
              <w:jc w:val="center"/>
              <w:rPr>
                <w:rFonts w:hint="eastAsia" w:ascii="宋体" w:hAnsi="宋体" w:eastAsia="宋体" w:cs="宋体"/>
                <w:b w:val="0"/>
                <w:bCs/>
                <w:color w:val="000000"/>
                <w:sz w:val="21"/>
                <w:szCs w:val="21"/>
              </w:rPr>
            </w:pPr>
            <w:r>
              <w:rPr>
                <w:rFonts w:hint="eastAsia" w:ascii="宋体" w:hAnsi="宋体" w:cs="宋体"/>
                <w:b w:val="0"/>
                <w:bCs/>
                <w:sz w:val="21"/>
                <w:szCs w:val="21"/>
                <w:lang w:val="en-US" w:eastAsia="zh-CN"/>
              </w:rPr>
              <w:t>10</w:t>
            </w:r>
            <w:r>
              <w:rPr>
                <w:rFonts w:hint="eastAsia" w:ascii="宋体" w:hAnsi="宋体" w:eastAsia="宋体" w:cs="宋体"/>
                <w:b w:val="0"/>
                <w:bCs/>
                <w:sz w:val="21"/>
                <w:szCs w:val="21"/>
              </w:rPr>
              <w:t>分</w:t>
            </w:r>
          </w:p>
        </w:tc>
      </w:tr>
    </w:tbl>
    <w:p>
      <w:pPr>
        <w:rPr>
          <w:rFonts w:hint="eastAsia" w:ascii="宋体" w:hAnsi="宋体" w:eastAsia="宋体" w:cs="宋体"/>
          <w:b/>
          <w:sz w:val="24"/>
        </w:rPr>
        <w:sectPr>
          <w:footerReference r:id="rId14" w:type="first"/>
          <w:footerReference r:id="rId13" w:type="default"/>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5.特殊情况的处理</w:t>
      </w:r>
      <w:bookmarkEnd w:id="53"/>
      <w:bookmarkEnd w:id="54"/>
    </w:p>
    <w:p>
      <w:pPr>
        <w:tabs>
          <w:tab w:val="left" w:pos="1050"/>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5.1投标文件中缺少某分项时，该分项为0分。</w:t>
      </w:r>
    </w:p>
    <w:p>
      <w:pPr>
        <w:tabs>
          <w:tab w:val="left" w:pos="1050"/>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5.2评标过程中，各种数字计算（四舍五入）均精确至小数点后两位。</w:t>
      </w:r>
    </w:p>
    <w:p>
      <w:pPr>
        <w:tabs>
          <w:tab w:val="left" w:pos="1050"/>
        </w:tabs>
        <w:adjustRightInd w:val="0"/>
        <w:snapToGrid w:val="0"/>
        <w:spacing w:line="360" w:lineRule="auto"/>
        <w:ind w:firstLine="480" w:firstLineChars="200"/>
        <w:rPr>
          <w:rFonts w:hint="eastAsia" w:ascii="宋体" w:hAnsi="宋体" w:eastAsia="宋体" w:cs="宋体"/>
          <w:b/>
          <w:sz w:val="24"/>
        </w:rPr>
      </w:pPr>
      <w:r>
        <w:rPr>
          <w:rFonts w:hint="eastAsia" w:ascii="宋体" w:hAnsi="宋体" w:eastAsia="宋体" w:cs="宋体"/>
          <w:sz w:val="24"/>
        </w:rPr>
        <w:t>5.3各评委必须按本办法据实</w:t>
      </w:r>
      <w:r>
        <w:rPr>
          <w:rFonts w:hint="eastAsia" w:ascii="宋体" w:hAnsi="宋体" w:cs="宋体"/>
          <w:sz w:val="24"/>
          <w:lang w:val="en-US" w:eastAsia="zh-CN"/>
        </w:rPr>
        <w:t>独立</w:t>
      </w:r>
      <w:r>
        <w:rPr>
          <w:rFonts w:hint="eastAsia" w:ascii="宋体" w:hAnsi="宋体" w:eastAsia="宋体" w:cs="宋体"/>
          <w:sz w:val="24"/>
        </w:rPr>
        <w:t>记分。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5.4评标委员会按评审后综合得分由高到低顺序排列推荐中标候选人。得分相同的，按投标报价由低到高顺序排列，得分与投标报价均相同的，按技术响应得分由高到低顺序排列。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5.5若供应商提供虚假材料骗取中标的，取消其中标资格，并承担以此带来的损失，按照政府采购相关规定给予处罚。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5.6 供应商响应的技术文件若前后矛盾或虚假响应，影响评标委员会评审的，按无效标处理。</w:t>
      </w:r>
    </w:p>
    <w:p>
      <w:pPr>
        <w:spacing w:line="360" w:lineRule="auto"/>
        <w:ind w:firstLine="480" w:firstLineChars="200"/>
        <w:rPr>
          <w:rFonts w:hint="eastAsia" w:ascii="宋体" w:hAnsi="宋体" w:eastAsia="宋体"/>
          <w:sz w:val="24"/>
          <w:highlight w:val="none"/>
        </w:rPr>
      </w:pPr>
      <w:r>
        <w:rPr>
          <w:rFonts w:hint="eastAsia" w:ascii="宋体" w:hAnsi="宋体" w:cs="宋体"/>
          <w:sz w:val="24"/>
          <w:highlight w:val="none"/>
          <w:lang w:val="en-US" w:eastAsia="zh-CN"/>
        </w:rPr>
        <w:t>5.7</w:t>
      </w:r>
      <w:r>
        <w:rPr>
          <w:rFonts w:hint="eastAsia" w:ascii="宋体" w:hAnsi="宋体" w:eastAsia="宋体"/>
          <w:sz w:val="24"/>
          <w:highlight w:val="none"/>
        </w:rPr>
        <w:t>对于未预留份额专门面向中小企业采购的采购项目，以及预留份额项目的非预留部分采购包中符合条件的小微企业报价给予</w:t>
      </w:r>
      <w:r>
        <w:rPr>
          <w:rFonts w:hint="eastAsia" w:ascii="宋体" w:hAnsi="宋体"/>
          <w:sz w:val="24"/>
          <w:highlight w:val="none"/>
          <w:lang w:val="en-US" w:eastAsia="zh-CN"/>
        </w:rPr>
        <w:t>10</w:t>
      </w:r>
      <w:r>
        <w:rPr>
          <w:rFonts w:hint="eastAsia" w:ascii="宋体" w:hAnsi="宋体" w:eastAsia="宋体"/>
          <w:sz w:val="24"/>
          <w:highlight w:val="none"/>
        </w:rPr>
        <w:t>%的扣除。监狱企业、残疾人福利性单位视同小微企业，享受预留份额、评审中价格扣除等促进中小企业发展的政府采购政策。监狱企业、残疾人福利性单位属于小微企业的，不重复享受政策。</w:t>
      </w:r>
    </w:p>
    <w:p>
      <w:pPr>
        <w:spacing w:line="360" w:lineRule="auto"/>
        <w:ind w:firstLine="480" w:firstLineChars="200"/>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5.8供应商享受支持中小型企业发展政策优惠的，可以同时享受节能、环境标志产品优先采购政策。</w:t>
      </w:r>
    </w:p>
    <w:p>
      <w:pPr>
        <w:spacing w:line="360" w:lineRule="auto"/>
        <w:ind w:firstLine="480" w:firstLineChars="200"/>
        <w:rPr>
          <w:rFonts w:hint="eastAsia" w:ascii="宋体" w:hAnsi="宋体" w:eastAsia="宋体" w:cs="宋体"/>
          <w:sz w:val="32"/>
          <w:szCs w:val="32"/>
          <w:lang w:val="en-US" w:eastAsia="zh-CN"/>
        </w:rPr>
      </w:pPr>
      <w:r>
        <w:rPr>
          <w:rFonts w:hint="eastAsia" w:ascii="宋体" w:hAnsi="宋体" w:eastAsia="宋体" w:cs="宋体"/>
          <w:sz w:val="24"/>
        </w:rPr>
        <w:t>5.</w:t>
      </w:r>
      <w:r>
        <w:rPr>
          <w:rFonts w:hint="eastAsia" w:ascii="宋体" w:hAnsi="宋体" w:cs="宋体"/>
          <w:sz w:val="24"/>
          <w:lang w:val="en-US" w:eastAsia="zh-CN"/>
        </w:rPr>
        <w:t>9</w:t>
      </w:r>
      <w:r>
        <w:rPr>
          <w:rFonts w:hint="eastAsia" w:ascii="宋体" w:hAnsi="宋体" w:eastAsia="宋体" w:cs="宋体"/>
          <w:sz w:val="24"/>
        </w:rPr>
        <w:t>评标委员会认为投标人的报价明显低于其他通过符合性审查投标人的报价，有可能影响产品质量或者不能诚信履约的，可要求其在评标现场合理的时间内提供书面说明，必要时提交相关证明材料；投标人不能证明其报价合理性的，评标委员会应当将其作为无效投标处理</w:t>
      </w:r>
      <w:r>
        <w:rPr>
          <w:rFonts w:hint="eastAsia" w:ascii="宋体" w:hAnsi="宋体" w:eastAsia="宋体" w:cs="宋体"/>
          <w:sz w:val="24"/>
          <w:szCs w:val="28"/>
        </w:rPr>
        <w:t>。</w:t>
      </w:r>
      <w:bookmarkStart w:id="55" w:name="_Toc9992"/>
      <w:bookmarkStart w:id="56" w:name="_Toc11332"/>
      <w:bookmarkStart w:id="57" w:name="_Toc54689008"/>
    </w:p>
    <w:p>
      <w:pPr>
        <w:rPr>
          <w:rFonts w:hint="eastAsia" w:ascii="宋体" w:hAnsi="宋体" w:eastAsia="宋体" w:cs="宋体"/>
          <w:sz w:val="32"/>
          <w:szCs w:val="32"/>
        </w:rPr>
      </w:pPr>
      <w:r>
        <w:rPr>
          <w:rFonts w:hint="eastAsia" w:ascii="宋体" w:hAnsi="宋体" w:eastAsia="宋体" w:cs="宋体"/>
          <w:sz w:val="32"/>
          <w:szCs w:val="32"/>
        </w:rPr>
        <w:br w:type="page"/>
      </w:r>
    </w:p>
    <w:p>
      <w:pPr>
        <w:pStyle w:val="3"/>
        <w:numPr>
          <w:ilvl w:val="0"/>
          <w:numId w:val="0"/>
        </w:numPr>
        <w:adjustRightInd w:val="0"/>
        <w:snapToGrid w:val="0"/>
        <w:spacing w:line="360" w:lineRule="auto"/>
        <w:ind w:leftChars="0" w:firstLine="2249" w:firstLineChars="700"/>
        <w:jc w:val="both"/>
        <w:rPr>
          <w:rFonts w:hint="eastAsia" w:ascii="宋体" w:hAnsi="宋体" w:eastAsia="宋体" w:cs="宋体"/>
          <w:b/>
          <w:bCs/>
          <w:sz w:val="28"/>
          <w:szCs w:val="28"/>
          <w:lang w:eastAsia="zh-CN"/>
        </w:rPr>
      </w:pPr>
      <w:bookmarkStart w:id="58" w:name="_Toc13451"/>
      <w:r>
        <w:rPr>
          <w:rFonts w:hint="eastAsia" w:ascii="宋体" w:hAnsi="宋体" w:eastAsia="宋体" w:cs="宋体"/>
          <w:sz w:val="32"/>
          <w:szCs w:val="32"/>
          <w:highlight w:val="none"/>
          <w:lang w:val="en-US" w:eastAsia="zh-CN"/>
        </w:rPr>
        <w:t>第四章</w:t>
      </w:r>
      <w:r>
        <w:rPr>
          <w:rFonts w:hint="eastAsia" w:ascii="宋体" w:hAnsi="宋体" w:eastAsia="宋体" w:cs="宋体"/>
          <w:sz w:val="32"/>
          <w:szCs w:val="32"/>
          <w:highlight w:val="none"/>
        </w:rPr>
        <w:t xml:space="preserve"> </w:t>
      </w:r>
      <w:r>
        <w:rPr>
          <w:rFonts w:hint="eastAsia" w:ascii="宋体" w:hAnsi="宋体" w:eastAsia="宋体" w:cs="宋体"/>
          <w:sz w:val="32"/>
          <w:szCs w:val="32"/>
          <w:highlight w:val="none"/>
          <w:lang w:val="en-US" w:eastAsia="zh-CN"/>
        </w:rPr>
        <w:t xml:space="preserve"> </w:t>
      </w:r>
      <w:r>
        <w:rPr>
          <w:rFonts w:hint="eastAsia" w:ascii="宋体" w:hAnsi="宋体" w:eastAsia="宋体" w:cs="宋体"/>
          <w:sz w:val="32"/>
          <w:szCs w:val="32"/>
          <w:highlight w:val="none"/>
        </w:rPr>
        <w:t>采购内容及技术要求</w:t>
      </w:r>
      <w:bookmarkEnd w:id="55"/>
      <w:bookmarkEnd w:id="56"/>
      <w:bookmarkEnd w:id="57"/>
      <w:bookmarkEnd w:id="58"/>
    </w:p>
    <w:p>
      <w:pPr>
        <w:rPr>
          <w:rFonts w:hint="eastAsia" w:ascii="宋体" w:hAnsi="宋体" w:cs="宋体"/>
          <w:b/>
          <w:bCs/>
          <w:sz w:val="28"/>
          <w:szCs w:val="28"/>
        </w:rPr>
      </w:pPr>
    </w:p>
    <w:p>
      <w:pPr>
        <w:spacing w:line="360" w:lineRule="auto"/>
        <w:rPr>
          <w:rFonts w:hint="eastAsia" w:ascii="宋体" w:hAnsi="宋体" w:eastAsia="宋体" w:cs="宋体"/>
          <w:sz w:val="24"/>
          <w:lang w:eastAsia="zh-CN"/>
        </w:rPr>
      </w:pPr>
      <w:r>
        <w:rPr>
          <w:rFonts w:hint="eastAsia" w:ascii="宋体" w:hAnsi="宋体" w:cs="宋体"/>
          <w:sz w:val="24"/>
          <w:lang w:eastAsia="zh-CN"/>
        </w:rPr>
        <w:t>一、</w:t>
      </w:r>
      <w:r>
        <w:rPr>
          <w:rFonts w:hint="eastAsia" w:ascii="宋体" w:hAnsi="宋体" w:eastAsia="宋体" w:cs="宋体"/>
          <w:b/>
          <w:bCs/>
          <w:sz w:val="24"/>
        </w:rPr>
        <w:t>采购内容</w:t>
      </w:r>
      <w:r>
        <w:rPr>
          <w:rFonts w:hint="eastAsia" w:ascii="宋体" w:hAnsi="宋体" w:eastAsia="宋体" w:cs="宋体"/>
          <w:sz w:val="24"/>
        </w:rPr>
        <w:t>：</w:t>
      </w:r>
      <w:r>
        <w:rPr>
          <w:rFonts w:hint="eastAsia" w:ascii="宋体" w:hAnsi="宋体" w:eastAsia="宋体" w:cs="宋体"/>
          <w:sz w:val="24"/>
          <w:lang w:eastAsia="zh-CN"/>
        </w:rPr>
        <w:t>未央区教育局下属四所学校教学办公设备及设施采购项目</w:t>
      </w:r>
    </w:p>
    <w:p>
      <w:pPr>
        <w:spacing w:line="360" w:lineRule="auto"/>
        <w:rPr>
          <w:rFonts w:hint="eastAsia" w:ascii="宋体" w:hAnsi="宋体" w:eastAsia="宋体" w:cs="宋体"/>
          <w:sz w:val="24"/>
        </w:rPr>
      </w:pPr>
      <w:bookmarkStart w:id="59" w:name="_Toc27057"/>
      <w:r>
        <w:rPr>
          <w:rFonts w:hint="eastAsia" w:ascii="宋体" w:hAnsi="宋体" w:cs="宋体"/>
          <w:sz w:val="24"/>
          <w:lang w:eastAsia="zh-CN"/>
        </w:rPr>
        <w:t>二、</w:t>
      </w:r>
      <w:r>
        <w:rPr>
          <w:rFonts w:hint="eastAsia" w:ascii="宋体" w:hAnsi="宋体" w:eastAsia="宋体" w:cs="宋体"/>
          <w:b/>
          <w:bCs/>
          <w:sz w:val="24"/>
        </w:rPr>
        <w:t>交货安装期</w:t>
      </w:r>
      <w:r>
        <w:rPr>
          <w:rFonts w:hint="eastAsia" w:ascii="宋体" w:hAnsi="宋体" w:eastAsia="宋体" w:cs="宋体"/>
          <w:sz w:val="24"/>
        </w:rPr>
        <w:t>：</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自合同签订之日起</w:t>
      </w:r>
      <w:r>
        <w:rPr>
          <w:rFonts w:hint="eastAsia" w:ascii="宋体" w:hAnsi="宋体" w:cs="宋体"/>
          <w:sz w:val="24"/>
          <w:u w:val="none"/>
          <w:lang w:val="en-US" w:eastAsia="zh-CN"/>
        </w:rPr>
        <w:t>10</w:t>
      </w:r>
      <w:r>
        <w:rPr>
          <w:rFonts w:hint="eastAsia" w:ascii="宋体" w:hAnsi="宋体" w:eastAsia="宋体" w:cs="宋体"/>
          <w:sz w:val="24"/>
        </w:rPr>
        <w:t>日历天内完成所有产品的供货、安装、调试工作。</w:t>
      </w:r>
    </w:p>
    <w:p>
      <w:pPr>
        <w:pStyle w:val="9"/>
        <w:numPr>
          <w:ilvl w:val="0"/>
          <w:numId w:val="0"/>
        </w:numPr>
        <w:spacing w:line="360" w:lineRule="auto"/>
        <w:ind w:leftChars="0"/>
        <w:rPr>
          <w:rFonts w:hint="eastAsia" w:ascii="宋体" w:hAnsi="宋体" w:cs="宋体"/>
          <w:b/>
          <w:bCs/>
          <w:sz w:val="24"/>
        </w:rPr>
      </w:pPr>
      <w:r>
        <w:rPr>
          <w:rFonts w:hint="eastAsia" w:ascii="宋体" w:hAnsi="宋体" w:cs="宋体"/>
          <w:b/>
          <w:bCs/>
          <w:sz w:val="24"/>
          <w:lang w:eastAsia="zh-CN"/>
        </w:rPr>
        <w:t>三、</w:t>
      </w:r>
      <w:r>
        <w:rPr>
          <w:rFonts w:hint="eastAsia" w:ascii="宋体" w:hAnsi="宋体" w:cs="宋体"/>
          <w:b/>
          <w:bCs/>
          <w:sz w:val="24"/>
        </w:rPr>
        <w:t>投标总价</w:t>
      </w:r>
    </w:p>
    <w:p>
      <w:pPr>
        <w:pStyle w:val="9"/>
        <w:numPr>
          <w:ilvl w:val="0"/>
          <w:numId w:val="0"/>
        </w:numPr>
        <w:spacing w:line="360" w:lineRule="auto"/>
        <w:ind w:leftChars="0" w:firstLine="480" w:firstLineChars="200"/>
        <w:rPr>
          <w:rFonts w:ascii="宋体" w:hAnsi="宋体" w:cs="宋体"/>
          <w:sz w:val="24"/>
        </w:rPr>
      </w:pPr>
      <w:r>
        <w:rPr>
          <w:rFonts w:hint="eastAsia" w:ascii="宋体" w:hAnsi="宋体" w:cs="宋体"/>
          <w:sz w:val="24"/>
        </w:rPr>
        <w:t>包括：货物（设施）、运输、安装、调试、技术培训及相应保险、验收费用、安装及放置场所室内空气质量检测费用。</w:t>
      </w:r>
    </w:p>
    <w:p>
      <w:pPr>
        <w:pStyle w:val="9"/>
        <w:spacing w:line="360" w:lineRule="auto"/>
        <w:rPr>
          <w:rFonts w:ascii="宋体" w:hAnsi="宋体" w:cs="宋体"/>
          <w:sz w:val="24"/>
        </w:rPr>
      </w:pPr>
      <w:r>
        <w:rPr>
          <w:rFonts w:hint="eastAsia" w:ascii="宋体" w:hAnsi="宋体" w:cs="宋体"/>
          <w:b/>
          <w:bCs/>
          <w:sz w:val="24"/>
          <w:lang w:eastAsia="zh-CN"/>
        </w:rPr>
        <w:t>四、</w:t>
      </w:r>
      <w:r>
        <w:rPr>
          <w:rFonts w:hint="eastAsia" w:ascii="宋体" w:hAnsi="宋体" w:cs="宋体"/>
          <w:b/>
          <w:bCs/>
          <w:sz w:val="24"/>
        </w:rPr>
        <w:t>质量保修范围和保修期：</w:t>
      </w:r>
      <w:r>
        <w:rPr>
          <w:rFonts w:hint="eastAsia" w:ascii="宋体" w:hAnsi="宋体" w:cs="宋体"/>
          <w:sz w:val="24"/>
        </w:rPr>
        <w:t>质保期</w:t>
      </w:r>
      <w:r>
        <w:rPr>
          <w:rFonts w:hint="eastAsia" w:ascii="宋体" w:hAnsi="宋体" w:cs="宋体"/>
          <w:sz w:val="24"/>
          <w:lang w:eastAsia="zh-CN"/>
        </w:rPr>
        <w:t>最少</w:t>
      </w:r>
      <w:r>
        <w:rPr>
          <w:rFonts w:hint="eastAsia" w:ascii="宋体" w:hAnsi="宋体" w:cs="宋体"/>
          <w:sz w:val="24"/>
        </w:rPr>
        <w:t>1年</w:t>
      </w:r>
      <w:r>
        <w:rPr>
          <w:rFonts w:hint="eastAsia" w:ascii="宋体" w:hAnsi="宋体" w:cs="宋体"/>
          <w:sz w:val="24"/>
          <w:lang w:eastAsia="zh-CN"/>
        </w:rPr>
        <w:t>。</w:t>
      </w:r>
      <w:r>
        <w:rPr>
          <w:rFonts w:hint="eastAsia" w:ascii="宋体" w:hAnsi="宋体" w:cs="宋体"/>
          <w:sz w:val="24"/>
        </w:rPr>
        <w:t>不得低于产品生产商对产品保修期标准。供货商提供法人代表签字后盖公章的售后服务承诺函。</w:t>
      </w:r>
    </w:p>
    <w:p>
      <w:pPr>
        <w:widowControl/>
        <w:snapToGrid w:val="0"/>
        <w:spacing w:line="360" w:lineRule="auto"/>
        <w:jc w:val="left"/>
        <w:rPr>
          <w:rFonts w:hint="eastAsia" w:ascii="宋体" w:hAnsi="宋体" w:cs="宋体"/>
          <w:b/>
          <w:bCs w:val="0"/>
          <w:sz w:val="24"/>
        </w:rPr>
      </w:pPr>
      <w:r>
        <w:rPr>
          <w:rFonts w:hint="eastAsia" w:ascii="宋体" w:hAnsi="宋体" w:cs="宋体"/>
          <w:b/>
          <w:bCs/>
          <w:sz w:val="24"/>
          <w:lang w:eastAsia="zh-CN"/>
        </w:rPr>
        <w:t>五、</w:t>
      </w:r>
      <w:r>
        <w:rPr>
          <w:rFonts w:hint="eastAsia" w:ascii="宋体" w:hAnsi="宋体" w:cs="宋体"/>
          <w:b/>
          <w:bCs/>
          <w:sz w:val="24"/>
        </w:rPr>
        <w:t>交货</w:t>
      </w:r>
      <w:r>
        <w:rPr>
          <w:rFonts w:hint="eastAsia" w:ascii="宋体" w:hAnsi="宋体" w:cs="宋体"/>
          <w:b/>
          <w:bCs w:val="0"/>
          <w:sz w:val="24"/>
        </w:rPr>
        <w:t>地点</w:t>
      </w:r>
    </w:p>
    <w:p>
      <w:pPr>
        <w:widowControl/>
        <w:snapToGrid w:val="0"/>
        <w:spacing w:line="360" w:lineRule="auto"/>
        <w:ind w:firstLine="480" w:firstLineChars="200"/>
        <w:jc w:val="left"/>
        <w:rPr>
          <w:rFonts w:ascii="宋体" w:hAnsi="宋体" w:cs="宋体"/>
          <w:bCs/>
          <w:sz w:val="24"/>
        </w:rPr>
      </w:pPr>
      <w:r>
        <w:rPr>
          <w:rFonts w:hint="eastAsia" w:ascii="宋体" w:hAnsi="宋体" w:cs="宋体"/>
          <w:bCs/>
          <w:sz w:val="24"/>
        </w:rPr>
        <w:t>采购人指定地点。</w:t>
      </w:r>
    </w:p>
    <w:p>
      <w:pPr>
        <w:widowControl/>
        <w:numPr>
          <w:ilvl w:val="0"/>
          <w:numId w:val="2"/>
        </w:numPr>
        <w:snapToGrid w:val="0"/>
        <w:spacing w:line="360" w:lineRule="auto"/>
        <w:jc w:val="left"/>
        <w:rPr>
          <w:rFonts w:hint="eastAsia" w:ascii="宋体" w:hAnsi="宋体" w:cs="宋体"/>
          <w:b/>
          <w:bCs w:val="0"/>
          <w:sz w:val="24"/>
        </w:rPr>
      </w:pPr>
      <w:r>
        <w:rPr>
          <w:rFonts w:hint="eastAsia" w:ascii="宋体" w:hAnsi="宋体" w:cs="宋体"/>
          <w:b/>
          <w:bCs w:val="0"/>
          <w:sz w:val="24"/>
        </w:rPr>
        <w:t>付款进度安排</w:t>
      </w:r>
    </w:p>
    <w:p>
      <w:pPr>
        <w:widowControl/>
        <w:numPr>
          <w:ilvl w:val="0"/>
          <w:numId w:val="0"/>
        </w:numPr>
        <w:snapToGrid w:val="0"/>
        <w:spacing w:line="360" w:lineRule="auto"/>
        <w:ind w:firstLine="480" w:firstLineChars="200"/>
        <w:jc w:val="left"/>
        <w:rPr>
          <w:rFonts w:ascii="宋体" w:hAnsi="宋体" w:cs="宋体"/>
          <w:bCs/>
          <w:sz w:val="24"/>
        </w:rPr>
      </w:pPr>
      <w:r>
        <w:rPr>
          <w:rFonts w:hint="eastAsia" w:ascii="宋体" w:hAnsi="宋体" w:cs="宋体"/>
          <w:bCs/>
          <w:sz w:val="24"/>
        </w:rPr>
        <w:t>验收合格后，视财政资金情况支付不超过合同总价款95%，剩余合同总价款5％作为设备尾款，根据设备种类双方协商约定时间一次性付清。</w:t>
      </w:r>
    </w:p>
    <w:p>
      <w:pPr>
        <w:widowControl/>
        <w:numPr>
          <w:ilvl w:val="0"/>
          <w:numId w:val="0"/>
        </w:numPr>
        <w:snapToGrid w:val="0"/>
        <w:spacing w:line="360" w:lineRule="auto"/>
        <w:ind w:leftChars="0"/>
        <w:jc w:val="left"/>
        <w:rPr>
          <w:rFonts w:ascii="宋体" w:hAnsi="宋体" w:cs="宋体"/>
          <w:bCs/>
          <w:sz w:val="24"/>
        </w:rPr>
      </w:pPr>
      <w:r>
        <w:rPr>
          <w:rFonts w:hint="eastAsia" w:ascii="宋体" w:hAnsi="宋体" w:cs="宋体"/>
          <w:b/>
          <w:bCs w:val="0"/>
          <w:sz w:val="24"/>
          <w:lang w:eastAsia="zh-CN"/>
        </w:rPr>
        <w:t>七、</w:t>
      </w:r>
      <w:r>
        <w:rPr>
          <w:rFonts w:hint="eastAsia" w:ascii="宋体" w:hAnsi="宋体" w:cs="宋体"/>
          <w:b/>
          <w:bCs w:val="0"/>
          <w:sz w:val="24"/>
        </w:rPr>
        <w:t>资金支付方式</w:t>
      </w:r>
      <w:r>
        <w:rPr>
          <w:rFonts w:hint="eastAsia" w:ascii="宋体" w:hAnsi="宋体" w:cs="宋体"/>
          <w:b/>
          <w:bCs w:val="0"/>
          <w:sz w:val="24"/>
          <w:lang w:eastAsia="zh-CN"/>
        </w:rPr>
        <w:t>：</w:t>
      </w:r>
      <w:r>
        <w:rPr>
          <w:rFonts w:hint="eastAsia" w:ascii="宋体" w:hAnsi="宋体" w:cs="宋体"/>
          <w:bCs/>
          <w:sz w:val="24"/>
        </w:rPr>
        <w:t>银行转账。</w:t>
      </w:r>
    </w:p>
    <w:p>
      <w:pPr>
        <w:spacing w:line="360" w:lineRule="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八、采购标的统一需满足的参数及要求</w:t>
      </w:r>
    </w:p>
    <w:p>
      <w:pPr>
        <w:spacing w:line="360"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1、本项目要求所有设备和设施明确品牌、产地、型号和规格（符合招标文件要求），且安装调试到位，正常使用，达到交钥匙工程。</w:t>
      </w:r>
    </w:p>
    <w:p>
      <w:pPr>
        <w:spacing w:line="360"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2、产品提供合格证和检测报告（如有资料），包括但不限于以下资料：释放甲醛等有害气产品提供检测合格的检测资料、塑料等材料制品提供邻苯二甲酸酯，重金属，多环芳烃等含量符合国家相关规定标准（提供证明材料。以上资料纳入评分标准。没有明确颜色的设备项目，以与学校或幼儿园装修风格相匹配（实际供货前由双方协商一致书面确定）为准。厨具设备按国家相关规定使用食品级别的材料。 </w:t>
      </w:r>
    </w:p>
    <w:p>
      <w:pPr>
        <w:spacing w:line="360"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项目验收前由供货商提供空气质量检测报告，须由具有相关资质的环境检测机构，对所供货物安装或摆放的室内空间进行空气质量检测，符合国家最新的室内空气质量标准要求（学校或幼儿园），并出具检测报告，若由于所供货物造成检测不符合标准或不合格，供应商应及时进行整改或免费更换，直至检测合格后再进行设备验收。</w:t>
      </w:r>
    </w:p>
    <w:p>
      <w:pPr>
        <w:spacing w:line="360"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电子类（包括但不限于智慧黑板、电脑、监控设备、视频音频设备、网络、广播、电话、智慧校园设备设施等）产品必须具备后期扩展性、兼容性、稳定性以及能与学校现有的省市区三级网络设备和平台相匹配对接功能和端口。计算机不得是组装机。计算机教室功能必须满足学校正常教学外，还要满足学校计算机相关考试功能的要求。</w:t>
      </w:r>
    </w:p>
    <w:p>
      <w:pPr>
        <w:spacing w:line="360" w:lineRule="auto"/>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供应商提供的产品及材料必须保证质量可靠，为市场最新或主流产品，产品具有合格证（代销产品提供授权书（如有）），进货渠道正常，配置合理齐全，标书所要求参数为最低标准，投标单位提供产品必须不低于磋商文件参数要求标准。磋商文件未明确要求的内容，投标人必须按采购产品市场主流标准配置和采购人补充要求为准。所供产品所用原料和材料及工艺质量必须符合国家最新颁布的各项规范标准和制度要求，如发生质量问题由投标人承担全部责任。为幼儿园提供的产品一定要符合国家对幼儿产品的环保及安全要求。</w:t>
      </w:r>
    </w:p>
    <w:p>
      <w:p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6、中标单位不得转包，私自更换产品，提供产品必须与投标产品相符。</w:t>
      </w:r>
    </w:p>
    <w:p>
      <w:pPr>
        <w:outlineLvl w:val="9"/>
        <w:rPr>
          <w:rFonts w:hint="eastAsia"/>
        </w:rPr>
      </w:pPr>
      <w:r>
        <w:rPr>
          <w:rFonts w:hint="eastAsia" w:ascii="宋体" w:hAnsi="宋体" w:eastAsia="宋体" w:cs="宋体"/>
          <w:b w:val="0"/>
          <w:bCs w:val="0"/>
          <w:kern w:val="2"/>
          <w:sz w:val="24"/>
          <w:szCs w:val="24"/>
          <w:lang w:val="en-US" w:eastAsia="zh-CN" w:bidi="ar-SA"/>
        </w:rPr>
        <w:t>7、中标单位应与甲方2日历天内签订供货合同。</w:t>
      </w:r>
    </w:p>
    <w:p>
      <w:pPr>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rPr>
          <w:rFonts w:hint="eastAsia"/>
          <w:b/>
          <w:bCs/>
          <w:color w:val="auto"/>
        </w:rPr>
      </w:pPr>
    </w:p>
    <w:p>
      <w:pPr>
        <w:spacing w:line="360" w:lineRule="auto"/>
        <w:jc w:val="center"/>
        <w:rPr>
          <w:rFonts w:hint="eastAsia" w:eastAsia="宋体"/>
          <w:b/>
          <w:bCs/>
          <w:color w:val="auto"/>
          <w:sz w:val="24"/>
          <w:szCs w:val="32"/>
          <w:lang w:eastAsia="zh-CN"/>
        </w:rPr>
      </w:pPr>
      <w:r>
        <w:rPr>
          <w:rFonts w:hint="eastAsia"/>
          <w:b/>
          <w:bCs/>
          <w:color w:val="auto"/>
          <w:sz w:val="24"/>
          <w:szCs w:val="32"/>
          <w:lang w:eastAsia="zh-CN"/>
        </w:rPr>
        <w:t>未央区教育局下属四所学校教学办公设备及设施采购项目分包情况</w:t>
      </w:r>
    </w:p>
    <w:tbl>
      <w:tblPr>
        <w:tblStyle w:val="22"/>
        <w:tblW w:w="79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5"/>
        <w:gridCol w:w="1026"/>
        <w:gridCol w:w="1158"/>
        <w:gridCol w:w="2573"/>
        <w:gridCol w:w="1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jc w:val="center"/>
        </w:trPr>
        <w:tc>
          <w:tcPr>
            <w:tcW w:w="1515" w:type="dxa"/>
            <w:tcBorders>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学校</w:t>
            </w:r>
          </w:p>
        </w:tc>
        <w:tc>
          <w:tcPr>
            <w:tcW w:w="1026" w:type="dxa"/>
            <w:tcBorders>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类别</w:t>
            </w:r>
          </w:p>
        </w:tc>
        <w:tc>
          <w:tcPr>
            <w:tcW w:w="1158" w:type="dxa"/>
            <w:tcBorders>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包数</w:t>
            </w:r>
          </w:p>
        </w:tc>
        <w:tc>
          <w:tcPr>
            <w:tcW w:w="2573" w:type="dxa"/>
            <w:tcBorders>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724" w:type="dxa"/>
            <w:tcBorders>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惠育小学</w:t>
            </w:r>
          </w:p>
        </w:tc>
        <w:tc>
          <w:tcPr>
            <w:tcW w:w="10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多功能厅设备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多功能厅</w:t>
            </w:r>
          </w:p>
        </w:tc>
        <w:tc>
          <w:tcPr>
            <w:tcW w:w="0" w:type="auto"/>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523420.00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惠育小学</w:t>
            </w:r>
          </w:p>
        </w:tc>
        <w:tc>
          <w:tcPr>
            <w:tcW w:w="10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电教设备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智慧黑板</w:t>
            </w:r>
          </w:p>
        </w:tc>
        <w:tc>
          <w:tcPr>
            <w:tcW w:w="0" w:type="auto"/>
            <w:vMerge w:val="restart"/>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729490.00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雷寨小学</w:t>
            </w: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智慧黑板</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雷寨小学</w:t>
            </w: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微机室（云机房）</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雷寨小学</w:t>
            </w: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雷寨小学</w:t>
            </w: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教师电脑</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雷寨小学</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空调</w:t>
            </w:r>
          </w:p>
        </w:tc>
        <w:tc>
          <w:tcPr>
            <w:tcW w:w="0" w:type="auto"/>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76500.00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惠育小学</w:t>
            </w:r>
          </w:p>
        </w:tc>
        <w:tc>
          <w:tcPr>
            <w:tcW w:w="102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监控设备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w:t>
            </w:r>
          </w:p>
        </w:tc>
        <w:tc>
          <w:tcPr>
            <w:tcW w:w="0" w:type="auto"/>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456363.00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惠育小学</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家具类</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5包</w:t>
            </w:r>
          </w:p>
        </w:tc>
        <w:tc>
          <w:tcPr>
            <w:tcW w:w="25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家具</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（多功能厅）</w:t>
            </w:r>
          </w:p>
        </w:tc>
        <w:tc>
          <w:tcPr>
            <w:tcW w:w="0" w:type="auto"/>
            <w:vMerge w:val="restart"/>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232280.00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雷寨小学</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桌椅</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楼阁台小学</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办公及教学家具等</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restart"/>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楼阁台小学</w:t>
            </w:r>
          </w:p>
        </w:tc>
        <w:tc>
          <w:tcPr>
            <w:tcW w:w="10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电教设备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智慧黑板</w:t>
            </w:r>
          </w:p>
        </w:tc>
        <w:tc>
          <w:tcPr>
            <w:tcW w:w="0" w:type="auto"/>
            <w:vMerge w:val="restart"/>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760201.00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LED屏幕</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计算机教室</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监控设备</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无线网络</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restart"/>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楼阁台小学</w:t>
            </w:r>
          </w:p>
        </w:tc>
        <w:tc>
          <w:tcPr>
            <w:tcW w:w="10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教学部室</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科学实验室</w:t>
            </w:r>
          </w:p>
        </w:tc>
        <w:tc>
          <w:tcPr>
            <w:tcW w:w="0" w:type="auto"/>
            <w:vMerge w:val="restart"/>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628299.00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音美部室设备</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会议室电子设备</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校园文化</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restart"/>
            <w:tcBorders>
              <w:top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三官庙小学</w:t>
            </w:r>
          </w:p>
        </w:tc>
        <w:tc>
          <w:tcPr>
            <w:tcW w:w="10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多功能厅设备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8包</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会议系统</w:t>
            </w:r>
          </w:p>
        </w:tc>
        <w:tc>
          <w:tcPr>
            <w:tcW w:w="0" w:type="auto"/>
            <w:vMerge w:val="restart"/>
            <w:tcBorders>
              <w:top w:val="single" w:color="000000" w:sz="8" w:space="0"/>
              <w:left w:val="single" w:color="000000" w:sz="8" w:space="0"/>
              <w:bottom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899727.00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显示屏系统</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监控系统</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智能化集中控制系统</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移动舞台</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舞台电动幕布</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0" w:type="auto"/>
            <w:vMerge w:val="continue"/>
            <w:tcBorders>
              <w:top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主席台会议桌椅</w:t>
            </w:r>
          </w:p>
        </w:tc>
        <w:tc>
          <w:tcPr>
            <w:tcW w:w="0" w:type="auto"/>
            <w:vMerge w:val="continue"/>
            <w:tcBorders>
              <w:top w:val="single" w:color="000000" w:sz="8" w:space="0"/>
              <w:left w:val="single" w:color="000000" w:sz="8" w:space="0"/>
              <w:bottom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0" w:type="auto"/>
            <w:tcBorders>
              <w:top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0" w:type="auto"/>
            <w:tcBorders>
              <w:top w:val="single" w:color="000000" w:sz="8" w:space="0"/>
              <w:left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8" w:space="0"/>
              <w:lef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4306280.00</w:t>
            </w:r>
          </w:p>
        </w:tc>
      </w:tr>
    </w:tbl>
    <w:p>
      <w:pPr>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outlineLvl w:val="1"/>
        <w:rPr>
          <w:rFonts w:hint="eastAsia"/>
          <w:b/>
          <w:bCs/>
          <w:lang w:eastAsia="zh-CN"/>
        </w:rPr>
      </w:pPr>
      <w:r>
        <w:rPr>
          <w:rFonts w:hint="eastAsia"/>
          <w:b/>
          <w:bCs/>
          <w:lang w:eastAsia="zh-CN"/>
        </w:rPr>
        <w:t>第一包：惠育小学多功能厅设备</w:t>
      </w:r>
    </w:p>
    <w:tbl>
      <w:tblPr>
        <w:tblStyle w:val="22"/>
        <w:tblW w:w="86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4"/>
        <w:gridCol w:w="690"/>
        <w:gridCol w:w="4663"/>
        <w:gridCol w:w="1354"/>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类别</w:t>
            </w:r>
          </w:p>
        </w:tc>
        <w:tc>
          <w:tcPr>
            <w:tcW w:w="46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主音箱</w:t>
            </w:r>
          </w:p>
        </w:tc>
        <w:tc>
          <w:tcPr>
            <w:tcW w:w="4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单15寸全频音响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单元组合:LF 1×15"HF 1×44"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低音75芯160磁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阻抗8Ω,额定功率350W,最大功率700W,灵敏度103dB,声压级127dB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频率响应:47Hz～20KHz (±3dB)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辐射角度(1KHz)(H×V):90°× 60°</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1"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主音箱</w:t>
            </w:r>
          </w:p>
        </w:tc>
        <w:tc>
          <w:tcPr>
            <w:tcW w:w="4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单12寸全频音响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单元组合:LF 1×12"HF 1×34"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低音65芯140磁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阻抗8Ω,额定功率250W,最大功率500W,灵敏度98dB,声压级125dB peak,@1m.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频率响应:50Hz～20KHz (±3dB)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辐射角度(1KHz)(H×V):90°× 60°</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功放</w:t>
            </w:r>
          </w:p>
        </w:tc>
        <w:tc>
          <w:tcPr>
            <w:tcW w:w="4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额定功率（8Ω／通道）：2x400W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频响范围：20Hz～20kHz                                 谐波失真率：﹤0.05%@8 Ω1KHZ                                                        阻尼系数:≥900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信噪比：&gt;108dB                                                                                                                                                                                            灵敏度（8ohms 1KHz）:0.775v/26/32dB                                                                      转换速率：50V/ms                                        指示灯：LED                                     </w:t>
            </w:r>
          </w:p>
        </w:tc>
        <w:tc>
          <w:tcPr>
            <w:tcW w:w="13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功放</w:t>
            </w:r>
          </w:p>
        </w:tc>
        <w:tc>
          <w:tcPr>
            <w:tcW w:w="466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额定功率（8Ω／通道）：2x550W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频响范围：20Hz～20kHz                                 谐波失真率：﹤0.05%@8 Ω1KHZ                                                        阻尼系数:≥900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信噪比：&gt;108dB                                                                                                                                                                                            灵敏度（8ohms 1KHz）:0.775v/26/32dB                                                                      转换速率：50V/ms                                        指示灯：LED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保护方式：功率保护、温度功率控制、功放输出短路、过载保护、输出直流保护</w:t>
            </w:r>
          </w:p>
        </w:tc>
        <w:tc>
          <w:tcPr>
            <w:tcW w:w="135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7"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4进8出音频处理器</w:t>
            </w:r>
          </w:p>
        </w:tc>
        <w:tc>
          <w:tcPr>
            <w:tcW w:w="466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采用96KHz采样处理的音频处理器，32-bit 高精度DSP处理器，及高性能24-bit A/D及D/A转换器，高音质保证；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4进8出,可灵活组合各类型音频系统；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每路输入均设有31段图示均衡GEQ+10段PEQ,输出设有10段PEQ</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 每路输入通道均设有增益、相位、延时、静音的功能及每路输出通道均设有增益、相位、分频、压限、静音、延时的功能；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每路输出延时均可调，最长可达1000MS，最小调整步距为0.021MS；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输入输出通道可实现全路由，并可同步多个输出通道联调所有参数以及通道参数拷贝功能；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可变高/低通滤波器的斜率均可设置，其中贝塞尔（Bessel）,巴特活斯（Butterworth）设置为12dB、18dB、24dB每倍频程，林克维茨-瑞莱（Linkwitz-Riley）可设置为12dB、18dB、24dB、36dB、48dB 每倍频程；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每台机器均可根据用户需要存储，可存储12种用户程序；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本机设有面板操作锁</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设有USB、RS485和RS232多种控制方式，通过RS485接口可级联，且设有RS232串口，可做远程编辑和控制。</w:t>
            </w:r>
          </w:p>
        </w:tc>
        <w:tc>
          <w:tcPr>
            <w:tcW w:w="1354"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8"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鹅颈麦</w:t>
            </w:r>
          </w:p>
        </w:tc>
        <w:tc>
          <w:tcPr>
            <w:tcW w:w="466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话筒ON/OFF超长寿命、高抗静噪按键开关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话筒开启时，音头红色工作指示灯发亮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指向特性：心型单指向（电容式）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频率响应：60Hz~15KHz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灵敏度：-42dB（11.2mV）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高通滤波：80Hz 18dB/OCTAVE</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输出阻抗：250Ω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承受音压：139dB SPL 1KHz At1% T.H.D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信噪比：70dB.1KHz AT 1PA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动态范围：115dB.1KHz AT MAX SPL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电源供应：DC 48V/3V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输出连接器：内置式3针卡侬公头</w:t>
            </w:r>
          </w:p>
        </w:tc>
        <w:tc>
          <w:tcPr>
            <w:tcW w:w="135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5"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大合唱麦</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产品用途：采防/录音专用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产品类型：有线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指向特征：超心型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收音头：电容式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灵敏度：3.0 mV/Pa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频率范围：40-20000Hz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产品声道：单声道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产品阻抗：350欧姆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供电方式：48V幻像供电</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个</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8"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UHF一拖二无线话筒</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系统指标 ：无线一拖二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频率范围 ：612-690的频率，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调制方式 : 宽带FM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RF工作带宽：60MHz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接收机指标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灵敏度：12dBuV(80dB S/N)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灵敏度调节范围：12-32dBuV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杂散抑制：≥75dB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最大出电平：+10dBV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发射机指标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输出功率：＜30mW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杂散抑：-60dB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信道数目：≥100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频率稳定度：±0.005%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动态范围：100dB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最大偏移：±45KHz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音频频率响应：80Hz-20KHz（±3dB）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综合信噪比：≥105dB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综合失真：≤0.5%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工作距离：≥50m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供   电：2节5号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工作温度: -10℃ -+40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7"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UHF一拖二无线头戴</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系统指标 ：无线一拖二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频率范围 ：612-690的频率</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调制方式 : 宽带FM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RF工作带宽：60MHz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接收机指标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灵敏度：12dBuV(80dB S/N)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灵敏度调节范围：12-32dBuV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杂散抑制：≥75dB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最大出电平：+10dBV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发射机指标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输出功率：＜30mW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杂散抑：-60dB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信道数目：≥100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频率稳定度：±0.005%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动态范围：100dB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最大偏移：±45KHz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音频频率响应：80Hz-20KHz（±3dB）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综合信噪比：≥105dB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综合失真：≤0.5%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工作距离：≥50m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供   电：2节5号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工作温度: -10℃ -+40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8进8出音频矩阵处理器</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1.采用了ADI SHARC第四代ADSP-21489浮点音频DSP芯片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2.8通道平衡,话筒MIC输入音频通道,支持48V幻象供电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3.8个平衡,话筒MIC音频输出通道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4.每通道内置独立的自适应反馈抑制器(FEEDBACK)                                                      5.回声消除功能（AEC）                                                                             6.自主研发PC操作软件控制界面, 简便操作易懂,通过RS232端口控制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7.音量编组控制功能，最多编为8个音量组,通道单控和联控功能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8.16ADC CS5368 114dB动态,AC CS4385 114dB动态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9.输入每通道：前级放大、噪声门、压缩器、16段参量均衡、延时器、自动混音台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10.输出每通道： 16段参量均衡、分频器、高低通滤波器、限幅器、延时器。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11.内置信号发生器：正弦波信号、粉红噪声、白噪声。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12.开放RS- 232、TCP/ I P协议实现第三方控制音量、调用模式等。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13.有摄像跟踪代码输出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14.支持32组场景预设功能，可通过TCP/IP、RS-232协议调用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15.音频输入：8路平衡输入，凤凰插头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16.标称输入电平： 0dBu线路或-40 dBu话筒电平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话筒前置放大增益： 0－40 dB模拟增益，12dB数字增益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17.最大输入电平： +20dBu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18.输入阻抗：&gt;5 kΩ平衡，&gt;3kΩ非平衡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19.共模抑制比(CMRR)：&gt;70dB @ 1 kHz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20.前置放大等效输入噪声(EI N)： &lt;-125 dBu, 2 2Hz - 22kHz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21.幻象电源： +48 VDC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22.音频输出： 8路平衡线路电平，凤凰插头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23.标称输出电平：0 dBu线路电平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24.输出阻抗：600Ω平衡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25.DSP频率、处理能力：400Mhz，400MIPS,2200 MFLOP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26.采样频率量化：48 kHz，24Bi t ADC，24Bi t DAC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27.频率响应：20 Hz – 20 kHz, + /- 0. 5 dB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28.总谐波失真：&lt;0. 01%；20Hz～20kHz@+4dBu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29.信道间串扰： &gt;-80 dB @ 1 kHz, 典 型 </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4"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调音台</w:t>
            </w:r>
          </w:p>
        </w:tc>
        <w:tc>
          <w:tcPr>
            <w:tcW w:w="466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话筒：10 频响：+0.5dB/-0.5dB（20Hz-20kHz） 总谐波失真：0.03%@+14dBu（20 Hz-20kHz） 输入通道：16通道：单声道：8；立体声：4 输出通道：STEREO OUT：2；PHONES：1 母线：立体声：1；编组：4，AUX（包括FX） USB音频：USB音频2.0兼容 采样率：最大192kHz，Bit深度：24-bit 幻象电源电压：+48V 内建数字效果：24编程 功耗：30W 操作温度：0-40℃</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8"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电源时序器</w:t>
            </w:r>
          </w:p>
        </w:tc>
        <w:tc>
          <w:tcPr>
            <w:tcW w:w="4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2寸彩色液晶智能显示窗，实时显示当前电压、日期时间，通道开关状态；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8路通道输出，每路延时开启和关闭时间可自由设置（范围0~999S）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带8路独立的强电开关，用于控制220V电源的通断，兼容快思聪、AMX等多种中控系统的通讯网络；提供RS232/485通讯控制功能；具有手动和中控或电脑软件同时管理功能。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通讯方式： RS-232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电源： DC 24V(外部电源适配器供电)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继电器数量：≥8个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单路载入容量： 20A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支持面板Lock锁定功能，防止人为误操作。</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智能中央控制机</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采用TCP/IP网络通讯，可同时支持ipad、安卓平板电脑、windows电脑等各种操控终端。。                                                                        1.处理器：采用2颗嵌入式高速中央双处理器（CPU）并行运算；                                                                                   2.内置红外学习器，支持超长码识别；                                               3.指令存储器：FLASH，大容量，可保存高达2048条指令，支持扩展；                                                                                            4.RS485/422串口：8路，可编程，232和485相互独立，可同时使用；                                                                                               5.RS232串口：16路，可编程，和RS-485互不相联，可同时使用；                                                                                                 6.红外口：8路，8路独立可编程，支持控制DVD、投影机等设备；                                                                                            7.继电器（RELAY)：8路，用于窗帘，电动幕布等控制；                                                                             8.数字输入/输出(IO)接口：8路，支持外部高电平触发动作或输出高电平；                                                                                             9.支持摄像跟踪；                                                                                            10.可操控会议系统、AV、VGA、RGB音视频矩阵切换器，拼接墙、灯光、摄像机、投影、窗帘、幕布、空调、电视、机顶盒等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处理器CPU： 667MHz主频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 256M DDR-RAM，1G FLASH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以太网接口： 1路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RS-232通讯串口： 16路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RS-422/485通讯串口： 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红外独立发射端口： 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数字I/0口： 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弱电继电器接口： 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外部供电接口： 24V供电1路、5V供电1路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红外学习器： 有</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中控控制平板电脑</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分辨率：2560*1600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屏幕尺寸：≥10英寸类型：娱乐平板内存容量：128GB系统：Android颜色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前置摄像头120W</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无线路由器</w:t>
            </w:r>
          </w:p>
        </w:tc>
        <w:tc>
          <w:tcPr>
            <w:tcW w:w="4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企业办公级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HDMI8进8出视频矩阵</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支持8路HDMI视频输入，8路HDMI输出；包括1080p/60的所有HDTV分辨率和高达1920*1200分辨率兼容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采用液晶显示屏，可显示设备各通道的切换状态；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具有掉电记忆功能带有断电现场保护，上电自动恢复关机前状态；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支持HDMI 1.3a、HDCP 1.3、与及DVI 1.0协议。支持高色深，以及高达2.25Gbps速率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具备RS232通讯通讯接口；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兼容市场主流同类产品的代码和指令；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控制方式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按键控制：通过面板按键直接切换；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智能中控控制：配合中控系统控制,连接接口可以使用RS232、RS485接口或TCP/IP接口；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4"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会议服务器</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CPU系列 英特尔 酷睿i5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存储设备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内存容量 8GB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内存类型 DDR4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硬盘容量 128GB+1TB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硬盘描述 混合硬盘（SSD+7200转HDD）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独立显卡</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监视器</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≥27英寸 2k</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屏幕刷新率：≥60Hz分辨率≥：1920*1080面板：IPS技术接口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600*600*2000MM</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音响线</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信号线</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高清线</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高清线</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连接线</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音箱架</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辅料</w:t>
            </w:r>
          </w:p>
        </w:tc>
        <w:tc>
          <w:tcPr>
            <w:tcW w:w="4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地插线材、配件、卡龙头、胶木插头、线槽等其他配件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安装调试费</w:t>
            </w:r>
          </w:p>
        </w:tc>
        <w:tc>
          <w:tcPr>
            <w:tcW w:w="466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rPr>
          <w:sz w:val="18"/>
          <w:szCs w:val="18"/>
        </w:rPr>
      </w:pPr>
    </w:p>
    <w:tbl>
      <w:tblPr>
        <w:tblStyle w:val="22"/>
        <w:tblW w:w="85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4"/>
        <w:gridCol w:w="690"/>
        <w:gridCol w:w="4964"/>
        <w:gridCol w:w="103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6298" w:type="dxa"/>
            <w:gridSpan w:val="3"/>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二.灯光系统</w:t>
            </w:r>
          </w:p>
        </w:tc>
        <w:tc>
          <w:tcPr>
            <w:tcW w:w="1035" w:type="dxa"/>
            <w:tcBorders>
              <w:top w:val="single" w:color="000000" w:sz="4" w:space="0"/>
              <w:left w:val="single" w:color="auto" w:sz="4" w:space="0"/>
              <w:bottom w:val="single" w:color="000000" w:sz="4" w:space="0"/>
              <w:right w:val="single" w:color="auto" w:sz="4" w:space="0"/>
            </w:tcBorders>
            <w:noWrap/>
            <w:vAlign w:val="center"/>
          </w:tcPr>
          <w:p>
            <w:pPr>
              <w:rPr>
                <w:rFonts w:hint="eastAsia" w:ascii="宋体" w:hAnsi="宋体" w:eastAsia="宋体" w:cs="宋体"/>
                <w:i w:val="0"/>
                <w:iCs w:val="0"/>
                <w:color w:val="000000"/>
                <w:sz w:val="18"/>
                <w:szCs w:val="18"/>
                <w:u w:val="none"/>
              </w:rPr>
            </w:pP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44"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9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  称</w:t>
            </w:r>
          </w:p>
        </w:tc>
        <w:tc>
          <w:tcPr>
            <w:tcW w:w="4964"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产品技术参数</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 位</w:t>
            </w:r>
          </w:p>
        </w:tc>
        <w:tc>
          <w:tcPr>
            <w:tcW w:w="12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3"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COB面光灯</w:t>
            </w:r>
          </w:p>
        </w:tc>
        <w:tc>
          <w:tcPr>
            <w:tcW w:w="49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输入电压：AC100V-240V,50/60Hz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功率：200W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灯珠：200W正/暖白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灯珠寿命：＞50000小时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光束角度：50度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驱动模式：横流驱动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控制模式：DMX512,自走模式，主控模式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DMX通道：4/6CH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色温：3200K-5600K</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电子调光：0-100%线性调光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频闪：1-20f/s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外壳材料/颜色：铸铝/黑色</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LED染色帕灯</w:t>
            </w:r>
          </w:p>
        </w:tc>
        <w:tc>
          <w:tcPr>
            <w:tcW w:w="49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电压:AC90V-250V/50-60Hz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功率 消耗:170W  保险:3A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灯泡: 54颗 3W 高亮度 LED 角度:25(±5)度灯泡寿命:6-10 万小时。颜色:1670万颜色变换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控制:DMX512,主从控制,自走,声控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通道:8CH , 显示: 4数字 LED 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自走模式(功能按钮控制) 颜色变化,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颜色 频闪, 颜色 调光,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颜色渐变/颜色跳变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可射30米以上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防水等级：IP25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8"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会议三基色</w:t>
            </w:r>
          </w:p>
        </w:tc>
        <w:tc>
          <w:tcPr>
            <w:tcW w:w="49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额定电压：AC110-240V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额定功率200W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光源：423.颗0.5W 5730 LED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使用寿命：50000H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色温：3200K/5600K(±200K)</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显色指数：Ra≥85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调光：0-100%线性调光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控制模式: DMX512 、手动、主从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通道数：2个DMX512通道（调光，频闪）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灯光控制台</w:t>
            </w:r>
          </w:p>
        </w:tc>
        <w:tc>
          <w:tcPr>
            <w:tcW w:w="49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含中控控制器一台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操作系统: 全中文 中英文界面可选择可带灯最大数量: 30台 不同灯种16个   DMX512/1990 信号输出 384 个控制通道 有 30 个 BANKS,每个 BANK 有 8 个可编程的 SCENES 有 16 个可调电位器调节输出大小 重新通电可运行上一次的 Chase 或 Bank 内置 MIC 头，提供声音触发 在自动触发状态，通过 TAP SYNC 键或 SPEED 电位 器确定自动触发时间 在 MIDI 接口,可随时用 MIDI 信号控制 4 位数码显示屏 B</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6"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光束灯</w:t>
            </w:r>
          </w:p>
        </w:tc>
        <w:tc>
          <w:tcPr>
            <w:tcW w:w="49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输入电压：110V-220V  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灯泡：原装7R   230瓦灯泡,(8500K色温，2000小时)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功耗：350 VA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通道模式：16个国际标准DMX512通道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水平扫描：540°(16bit精度扫描)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垂直扫描：280°(16bit精度扫描)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色片盘：14个色片+白光，带双向旋转的彩虹效果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旋转图案盘：17个旋转图案片+白圆，带图案抖动和图案任意定位功能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色片，14种颜色+白</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信号放大器</w:t>
            </w:r>
          </w:p>
        </w:tc>
        <w:tc>
          <w:tcPr>
            <w:tcW w:w="49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产品类别：信号分配器 产品名称：8路信号放大器(信号分配器)；输入：110/220V, 50/60Hz；输出：6路/8路光电隔离输出,1路非隔离的直通输出；各输入输出接口之间的电气隔离电压:&gt;1000V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外壳及防护等级：CNC合金材料，IP42；工作环境温度： -20°C～40°C；</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铝合金灯钩和保险绳</w:t>
            </w:r>
          </w:p>
        </w:tc>
        <w:tc>
          <w:tcPr>
            <w:tcW w:w="4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灯杆</w:t>
            </w:r>
          </w:p>
        </w:tc>
        <w:tc>
          <w:tcPr>
            <w:tcW w:w="4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电源箱</w:t>
            </w:r>
          </w:p>
        </w:tc>
        <w:tc>
          <w:tcPr>
            <w:tcW w:w="4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4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窗帘</w:t>
            </w:r>
          </w:p>
        </w:tc>
        <w:tc>
          <w:tcPr>
            <w:tcW w:w="4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 </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信号线</w:t>
            </w:r>
          </w:p>
        </w:tc>
        <w:tc>
          <w:tcPr>
            <w:tcW w:w="4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bl>
    <w:p>
      <w:pPr>
        <w:rPr>
          <w:sz w:val="18"/>
          <w:szCs w:val="18"/>
        </w:rPr>
      </w:pPr>
    </w:p>
    <w:tbl>
      <w:tblPr>
        <w:tblStyle w:val="22"/>
        <w:tblW w:w="85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570"/>
        <w:gridCol w:w="5399"/>
        <w:gridCol w:w="105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三.录制系统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329" w:type="dxa"/>
            <w:tcBorders>
              <w:top w:val="single" w:color="auto" w:sz="4" w:space="0"/>
              <w:left w:val="single" w:color="auto"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7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类别</w:t>
            </w:r>
          </w:p>
        </w:tc>
        <w:tc>
          <w:tcPr>
            <w:tcW w:w="5399"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105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45"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录播主机</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一、整体要求：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1.全互动终端为嵌入式架构一体化智能硬件设备，支持H.323，RTMP等协议。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全互动终端内置常态化录播、远程音视频互动、音频处理、无线麦信号处理等功能；采用壁挂方式安装，所有功能操作通过终端内嵌的一块触控屏即可操作完成。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二、内置可视化控制模块：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1.通过终端内嵌的触控屏可实现对整个系统的可视化操作，包括远程互动、课程录制、系统设置等。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终端内置触控屏尺寸不小于11英寸（提供演示验证）。可实时显示教室信息、网络信息、使用状态等，包括教室名称、用户名称、当前时间、录播画面预览、录制状态指示、远程互动状态、互动带宽质量、直播状态、设备IP地址等多种信息。提供现场演示核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内置教师考勤管理模块，教师可通过账号密码方式登录终端，可自动采集上传用户及终端的使用信息，在平台端生成教师考勤、产品使用周期等数据，通过平台进行统计和分析形成图例或报表，为管理者提供教学与设备使用率等教育大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三、内置常态化录播模块：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1.内置常态化录播模块，要求集录制、导播、音视频编解码、音频处理、录制存储、流媒体服务器等于一体，无需额外再添加音频处理器、流媒体服务器等外设。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终端触控屏需支持对录播画面的实时预览（提供演示验证），支持导播模式切换（手动/自动）、画中画布局切换；支持手动切换电脑、教师摄像机、学生摄像机等画面，支持触控摄像机预览画面来控制摄像机转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3.终端触控屏需支持开始录制、暂停、结束等操作；支持录制封面设置；终端触控屏可查看录制视频列表，可预览已录制视频并支持插入U盘一键导出视频。（提供演示验证）。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内置数字音频处理模块，音频输入不少于5路，每路音频输入均可独立开关48V幻象供电，用于适配麦克风输入或线性音频输入；立体声音频输出不少于1路；支持麦克风拾音降噪、回声抑制、EQ均衡调节、输入输出增益调节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5.视频信号处理能力：支持教学电脑、教师全景、教师特写、学生全景信号的接入；支持远端HDMI信号输出；支持视频分辨率1080P30以上，H.264视频编码。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6.主机接口支持最少2路支持POE网络摄像机接入（提供演示验证）。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四、内置远程互动教学模块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1.要求采用标准H.323协议，支持高、中、低多码流功能，支持H.239双流功能，可直接与采用标准H.323协议的视频会议MCU、视频会议终端、第三方互动录播系统等进行互联互通。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通过终端触控屏直接拨号可与其它互动教室进行音视频互动；支持拨号历史记录查看，点击拨号历史记录，可快速重连。支持教室终端、笔记本电脑、平板、手机加入远程互动。支持20方以上的大规模互动，支持全体互动方的多分屏视频画面同时显示（提供演示验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3.互动控制功能：支持双流互动功能，支持摄像机视频与电脑信号同步输出，支持双流调换；支持本地静音、远端静音，VGA锁定等操作；支持互动视频录制（提供演示验证）。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同屏板书互动：互动教学过程中，主讲教室电脑画面可以同步显示给所有听课教室，主讲教室老师和所有听课教室学生可以对该画面共同进行板书批注圈点，展开多方问答式板书教学；支持实时修改画笔尺寸与颜色，方便彼此区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支持“全编全解”技术：互动过程中，当低清分辨率的移动设备加入时，例如手机或笔记本电脑，其他高清入会方的画面分辨率不会因此而降低。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6.具备从内网穿透路由器、防护墙等网络环境进行音视频传输的能力、具备在网络丢包达30%的情况下，视频仍可流畅播放且帧率不低于25帧/秒。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五、内置嵌入式管理系统模块：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1.可根据用户登录信息，统计用户使用频率与使用周期，生成数据统计报表；可查看系统运行时长统计记录，支持表格类反馈和折线图式反馈。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2.终端运行情况查看，可实时查看终端运行使用信息、版本信息、基本配置信息等。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3.全互动终端支持远程升级，平台支持对全互动终端进行远程软件版本升级功能，支持升级包批量推送或自动升级，无需技术人员到教室现场进行硬件升级工作，大大降低系统维护成本。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4.录制资源支持自动上传与分类，生成校本资源库。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5.支持远程巡查课，可以方便巡视组在不影响学生听课、老师讲课的情况下，灵活组织时间进行课堂巡视。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6.支持课表对接：支持教室统一监管，通过与课表对接实现多间教室管理。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7.提供嵌入式管理软件软件自主知识产权证书复印件。</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9"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吊麦</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1.频率范围：40-18000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2.灵敏度：</w:t>
            </w:r>
            <w:r>
              <w:rPr>
                <w:rFonts w:hint="eastAsia" w:ascii="宋体" w:hAnsi="宋体" w:eastAsia="宋体" w:cs="宋体"/>
                <w:i w:val="0"/>
                <w:iCs w:val="0"/>
                <w:color w:val="000000"/>
                <w:kern w:val="0"/>
                <w:sz w:val="18"/>
                <w:szCs w:val="18"/>
                <w:u w:val="none"/>
                <w:lang w:val="en-US" w:eastAsia="zh-CN" w:bidi="ar"/>
              </w:rPr>
              <w:t>-35dB（</w:t>
            </w:r>
            <w:r>
              <w:rPr>
                <w:rFonts w:hint="eastAsia" w:ascii="宋体" w:hAnsi="宋体" w:eastAsia="宋体" w:cs="宋体"/>
                <w:i w:val="0"/>
                <w:iCs w:val="0"/>
                <w:color w:val="000000"/>
                <w:kern w:val="0"/>
                <w:sz w:val="20"/>
                <w:szCs w:val="20"/>
                <w:u w:val="none"/>
                <w:lang w:val="en-US" w:eastAsia="zh-CN" w:bidi="ar"/>
              </w:rPr>
              <w:t>18mV/Pa）；指向性：超窄指向；拾音角度：100°。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3.阻抗：200Ω。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4.最大声压级：132dB。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5.工作电压：48V幻象供电。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6.信噪比65DB。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7.可吊式安装。</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主录播摄像机</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1.≥850万像素1/2.5英寸4K CMOS传感器。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2.最高支持4K分辨率30帧的网络H265/H264视频输出。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3.单镜头可输出全景和特写两个景别。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4.支持4码流，即特写双码流和全景双码流，并可支持特写和全景同时RTMP推流。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5.具备RJ45网口和SDI接口，支持POE和POC功能，可同时输出全景和特写两个景别的高清视频。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6.支持老师跟踪，人脸识别+运动检测，单摄像机同时实现全景景别和跟踪特写景别拍摄；支持多种跟踪模式；支持多速度等级的电子云台控制。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7.支持数字变焦、自动增益、自动白平衡等功能。</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5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排插，网线，视频线，音频线，电源线，交换机等。</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批 </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593" w:type="dxa"/>
            <w:gridSpan w:val="5"/>
            <w:tcBorders>
              <w:top w:val="single" w:color="000000" w:sz="4" w:space="0"/>
              <w:left w:val="single" w:color="auto" w:sz="4" w:space="0"/>
              <w:bottom w:val="single" w:color="000000" w:sz="4" w:space="0"/>
              <w:right w:val="single" w:color="auto" w:sz="4" w:space="0"/>
            </w:tcBorders>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329"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类别</w:t>
            </w:r>
          </w:p>
        </w:tc>
        <w:tc>
          <w:tcPr>
            <w:tcW w:w="53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4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台式电脑</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i5/8G/1T+128固态/2G显卡</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室内全彩</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1、像素点间距 1.86±0.05mm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2、结构   LED显示屏显示部分结构可采用钢、铝、镀锌方管、塑料等材料，结构安全坚固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3、外观   LED显示屏的外表面无明显划痕，LED显示屏模组安装应一致，无松动无破裂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4、工作环境  -20℃~50℃条件下能正常工作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5、材质   箱体采用镁合金/压铸铝/铁材质 符合，套件采用采用聚碳酸酯和玻璃纤维材质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6、系统调节功能 可通过系统调节参数影响显示效果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7、动态扫描 采用行驱动芯片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8、像素组成 1R、1G、1B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9、支持亮度调节功能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10、支持亮度校正、色度校正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11、驱动芯片功能 具有列下消隐功能、倍频刷新率提升、低灰偏色改善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12、支持鬼影消除、暗亮线消除、慢速开启、十字架消除、毛毛虫消除、亮度缓慢变亮功能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13、功能  显示单元均可独立控制，单点故障不影响整屏使用，单元支持带电热插拔；单元板支持前、后维护；系统、电源支持前、后维护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14、防伪功能 具备logo、产品型号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15、支持联网一键下载程序文件和调试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16、支持亮暗线拼缝调节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17、整屏平整度 ≤0.1mm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18、模组平整度 ≤0.04mm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19、拼接缝  ≤0.04mm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20、最大亮度 ≥600cd/㎡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21、最高对比度 ≥6000:1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22、水平视角 ≥160°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23、垂直视角 ≥160°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24、亮度均匀性 ≥97%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25、刷新率  ≥3000Hz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26、最大功耗 ≤350W/m2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27、像素中心距精确度 ≤3%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28、像素失控率 &lt;0.01%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29、灰度级数（信号处理深度） 采用14bit技术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30、色度均匀性 ±0.002Cx、Cy内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31、低亮高灰  亮度为20%时信号处理深度（灰度级数）达到14bit</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32、采用恒流设计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33、换帧频率  60Hz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34、宽色域  测试NTSC色域112.5%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35、平均功耗 ≤150W/m2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36、色度均匀性 -0.003＜Cx＜0.003，-0.003＜Cy＜0.003（校正后）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37、反光率  ≤1.5%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38、画面延时 ≤500ns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39、衰减率  ≤10%（工作3年）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40、图像质量 LED显示屏图像质量主观评价优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41、防护性能 具有防静电、防电磁干扰、喷三防漆防潮、防腐蚀、防虫、抗震动、抗雷击等功能；具有电源过压、过流、断电保护、分布上电措施、防护等级达到IP50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42、连续工作时间   连续工作时间：≥7×24hrs，支持连续不间断显示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43、使用寿命 ≥100000h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44、平均无故障时间 MTBF平均无故障时间≥20000h；MTTR平均修复时间≤20分钟以上技术参数指标，必需提供</w:t>
            </w:r>
            <w:r>
              <w:rPr>
                <w:rFonts w:hint="eastAsia" w:ascii="宋体" w:hAnsi="宋体" w:eastAsia="宋体" w:cs="宋体"/>
                <w:i w:val="0"/>
                <w:iCs w:val="0"/>
                <w:color w:val="000000"/>
                <w:kern w:val="0"/>
                <w:sz w:val="18"/>
                <w:szCs w:val="18"/>
                <w:highlight w:val="none"/>
                <w:u w:val="none"/>
                <w:lang w:val="en-US" w:eastAsia="zh-CN" w:bidi="ar"/>
              </w:rPr>
              <w:t>专业机构出具的检测报告复印件，并加盖公章</w:t>
            </w: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视频处理器</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1.支持丰富的数字信号接口，包括1路SDI，1路HDMI，2路DVI；</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2.最大输入分辨率1920*1200@60Hz，支持分辨率任意设置；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3.最大带载390万像素，最宽可达8192点，或最高可达8192点；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4.支持视频源任意切换，任意缩放；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5.支持三画面显示，位置、大小可自由调节；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6.支持HDCP1.4；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7.双USB2.0高速通讯接口，用于电脑调试和主控间任意级联；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8.支持亮度和色温调节；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9.视频控制设备可支持250N恒定作用力，外部防护罩可承受250</w:t>
            </w:r>
            <w:r>
              <w:rPr>
                <w:rFonts w:hint="eastAsia" w:ascii="宋体" w:hAnsi="宋体" w:eastAsia="宋体" w:cs="宋体"/>
                <w:i w:val="0"/>
                <w:iCs w:val="0"/>
                <w:color w:val="000000"/>
                <w:kern w:val="0"/>
                <w:sz w:val="18"/>
                <w:szCs w:val="18"/>
                <w:highlight w:val="none"/>
                <w:u w:val="none"/>
                <w:lang w:val="en-US" w:eastAsia="zh-CN" w:bidi="ar"/>
              </w:rPr>
              <w:t>N+10N的恒定作用力持续5S（</w:t>
            </w:r>
            <w:r>
              <w:rPr>
                <w:rFonts w:hint="eastAsia" w:ascii="宋体" w:hAnsi="宋体" w:eastAsia="宋体" w:cs="宋体"/>
                <w:i w:val="0"/>
                <w:iCs w:val="0"/>
                <w:color w:val="000000"/>
                <w:kern w:val="0"/>
                <w:sz w:val="18"/>
                <w:szCs w:val="18"/>
                <w:u w:val="none"/>
                <w:lang w:val="en-US" w:eastAsia="zh-CN" w:bidi="ar"/>
              </w:rPr>
              <w:t>提供</w:t>
            </w:r>
            <w:r>
              <w:rPr>
                <w:rFonts w:hint="eastAsia" w:ascii="宋体" w:hAnsi="宋体" w:eastAsia="宋体" w:cs="宋体"/>
                <w:i w:val="0"/>
                <w:iCs w:val="0"/>
                <w:color w:val="000000"/>
                <w:kern w:val="0"/>
                <w:sz w:val="18"/>
                <w:szCs w:val="18"/>
                <w:highlight w:val="none"/>
                <w:u w:val="none"/>
                <w:lang w:val="en-US" w:eastAsia="zh-CN" w:bidi="ar"/>
              </w:rPr>
              <w:t>专业机构出具的检测报告复印件，并加盖公章）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10.通过该发送卡可调试显示屏的色域坐标显 示不同坐标值色温，进行精确颜色管理;可 任意改变 0-255 灰阶不同灰度值的亮度显示 并进行任意调节;色温调整精度在 100K 以 内   （</w:t>
            </w:r>
            <w:r>
              <w:rPr>
                <w:rFonts w:hint="eastAsia" w:ascii="宋体" w:hAnsi="宋体" w:eastAsia="宋体" w:cs="宋体"/>
                <w:i w:val="0"/>
                <w:iCs w:val="0"/>
                <w:color w:val="000000"/>
                <w:kern w:val="0"/>
                <w:sz w:val="18"/>
                <w:szCs w:val="18"/>
                <w:u w:val="none"/>
                <w:lang w:val="en-US" w:eastAsia="zh-CN" w:bidi="ar"/>
              </w:rPr>
              <w:t>提供</w:t>
            </w:r>
            <w:r>
              <w:rPr>
                <w:rFonts w:hint="eastAsia" w:ascii="宋体" w:hAnsi="宋体" w:eastAsia="宋体" w:cs="宋体"/>
                <w:i w:val="0"/>
                <w:iCs w:val="0"/>
                <w:color w:val="000000"/>
                <w:kern w:val="0"/>
                <w:sz w:val="18"/>
                <w:szCs w:val="18"/>
                <w:highlight w:val="none"/>
                <w:u w:val="none"/>
                <w:lang w:val="en-US" w:eastAsia="zh-CN" w:bidi="ar"/>
              </w:rPr>
              <w:t>专业机构出具的检测报告复印件，并加盖公章）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11.视频控制设备可支持EUT的连接方法（</w:t>
            </w:r>
            <w:r>
              <w:rPr>
                <w:rFonts w:hint="eastAsia" w:ascii="宋体" w:hAnsi="宋体" w:eastAsia="宋体" w:cs="宋体"/>
                <w:i w:val="0"/>
                <w:iCs w:val="0"/>
                <w:color w:val="000000"/>
                <w:kern w:val="0"/>
                <w:sz w:val="18"/>
                <w:szCs w:val="18"/>
                <w:u w:val="none"/>
                <w:lang w:val="en-US" w:eastAsia="zh-CN" w:bidi="ar"/>
              </w:rPr>
              <w:t>提供</w:t>
            </w:r>
            <w:r>
              <w:rPr>
                <w:rFonts w:hint="eastAsia" w:ascii="宋体" w:hAnsi="宋体" w:eastAsia="宋体" w:cs="宋体"/>
                <w:i w:val="0"/>
                <w:iCs w:val="0"/>
                <w:color w:val="000000"/>
                <w:kern w:val="0"/>
                <w:sz w:val="18"/>
                <w:szCs w:val="18"/>
                <w:highlight w:val="none"/>
                <w:u w:val="none"/>
                <w:lang w:val="en-US" w:eastAsia="zh-CN" w:bidi="ar"/>
              </w:rPr>
              <w:t>专业机构出具的检测报告复印件，并加盖公章）</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在-20°C-60°C下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全彩接收卡</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1.支持14bit精度的色度、亮度逐点校正；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2.支持静态屏、1/2~1/64扫之间的任意扫描类型；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3.支持任意抽点，支持数据偏移，可轻松实现各种异型屏、球形屏、创意显示屏；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4.单卡支持16组RGB信号输出；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5.支持超大带载面积，单卡带载128*512，256*256；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控制软件</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LED演播室</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5V40A</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合金支架</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60cm/80cm</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329"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外框设备</w:t>
            </w:r>
          </w:p>
        </w:tc>
        <w:tc>
          <w:tcPr>
            <w:tcW w:w="5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9"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9</w:t>
            </w:r>
          </w:p>
        </w:tc>
        <w:tc>
          <w:tcPr>
            <w:tcW w:w="5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电缆线</w:t>
            </w:r>
          </w:p>
        </w:tc>
        <w:tc>
          <w:tcPr>
            <w:tcW w:w="53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4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593" w:type="dxa"/>
            <w:gridSpan w:val="5"/>
            <w:tcBorders>
              <w:top w:val="single" w:color="auto" w:sz="4" w:space="0"/>
              <w:left w:val="single" w:color="auto" w:sz="4" w:space="0"/>
              <w:bottom w:val="single" w:color="000000" w:sz="4" w:space="0"/>
              <w:right w:val="single" w:color="auto" w:sz="4" w:space="0"/>
            </w:tcBorders>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五.教室装饰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329"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类别</w:t>
            </w:r>
          </w:p>
        </w:tc>
        <w:tc>
          <w:tcPr>
            <w:tcW w:w="53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4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8" w:hRule="atLeast"/>
        </w:trPr>
        <w:tc>
          <w:tcPr>
            <w:tcW w:w="329"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教室装饰</w:t>
            </w:r>
          </w:p>
        </w:tc>
        <w:tc>
          <w:tcPr>
            <w:tcW w:w="53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国标根据教室情况设计：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1.室内地面处理：地面处理、舞台、收边 ，200平方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2.舞台制作：6.8M*4.5M*0.32M，41平方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3.室内强电：走线、刻槽、装灯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4.背景幕：背景幕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5.拆除吊顶：拆除原吊顶200平方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5.吊顶新做：600*600矿棉板200平方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6.室内吸音：吸音棉231.12平方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7.墙面设计：</w:t>
            </w:r>
          </w:p>
        </w:tc>
        <w:tc>
          <w:tcPr>
            <w:tcW w:w="105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45"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rPr>
          <w:rFonts w:hint="eastAsia"/>
          <w:sz w:val="18"/>
          <w:szCs w:val="18"/>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outlineLvl w:val="1"/>
        <w:rPr>
          <w:rFonts w:hint="eastAsia"/>
          <w:b/>
          <w:bCs/>
          <w:lang w:eastAsia="zh-CN"/>
        </w:rPr>
      </w:pPr>
      <w:r>
        <w:rPr>
          <w:rFonts w:hint="eastAsia"/>
          <w:b/>
          <w:bCs/>
          <w:lang w:eastAsia="zh-CN"/>
        </w:rPr>
        <w:t>第二包：</w:t>
      </w:r>
    </w:p>
    <w:p>
      <w:pPr>
        <w:rPr>
          <w:rFonts w:hint="eastAsia"/>
          <w:lang w:eastAsia="zh-CN"/>
        </w:rPr>
      </w:pPr>
    </w:p>
    <w:tbl>
      <w:tblPr>
        <w:tblStyle w:val="22"/>
        <w:tblW w:w="83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10"/>
        <w:gridCol w:w="1279"/>
        <w:gridCol w:w="4851"/>
        <w:gridCol w:w="512"/>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510"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惠育</w:t>
            </w:r>
            <w:r>
              <w:rPr>
                <w:rFonts w:hint="eastAsia" w:ascii="宋体" w:hAnsi="宋体" w:eastAsia="宋体" w:cs="宋体"/>
                <w:b/>
                <w:bCs/>
                <w:i w:val="0"/>
                <w:iCs w:val="0"/>
                <w:color w:val="000000"/>
                <w:kern w:val="0"/>
                <w:sz w:val="21"/>
                <w:szCs w:val="21"/>
                <w:u w:val="none"/>
                <w:lang w:val="en-US" w:eastAsia="zh-CN" w:bidi="ar"/>
              </w:rPr>
              <w:t>小学</w:t>
            </w:r>
          </w:p>
        </w:tc>
        <w:tc>
          <w:tcPr>
            <w:tcW w:w="51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79"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4851"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512"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3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7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智慧黑板</w:t>
            </w: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一、整体设计</w:t>
            </w:r>
          </w:p>
        </w:tc>
        <w:tc>
          <w:tcPr>
            <w:tcW w:w="51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p>
        </w:tc>
        <w:tc>
          <w:tcPr>
            <w:tcW w:w="73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1.整机主副屏过渡平滑并在同一平面，外观参考尺寸：宽≥4000mm，高≥1100mm，厚≤100mm。</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2.整机采用UHD超高清LED液晶屏，显示比例16:9，分辨率不劣于3840×2160。</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3.整机采用防眩光玻璃，屏幕支持防眩光功能，钢化玻璃表面硬度≥8H。（提供相关证明材料、相应的功能证明材料）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4.整机色域覆盖率（NTSC）≥80%，灰度等级≥256级。</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5.整机接入单根网线可实现Android、Windows双系统有线网络连通。</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7"/>
                <w:rFonts w:hint="eastAsia" w:ascii="宋体" w:hAnsi="宋体" w:eastAsia="宋体" w:cs="宋体"/>
                <w:sz w:val="21"/>
                <w:szCs w:val="21"/>
                <w:highlight w:val="none"/>
                <w:lang w:val="en-US" w:eastAsia="zh-CN" w:bidi="ar"/>
              </w:rPr>
              <w:t>6.整机扬声器总功率不小于</w:t>
            </w:r>
            <w:r>
              <w:rPr>
                <w:rStyle w:val="53"/>
                <w:rFonts w:hint="eastAsia" w:ascii="宋体" w:hAnsi="宋体" w:eastAsia="宋体" w:cs="宋体"/>
                <w:color w:val="auto"/>
                <w:sz w:val="21"/>
                <w:szCs w:val="21"/>
                <w:highlight w:val="none"/>
                <w:lang w:val="en-US" w:eastAsia="zh-CN" w:bidi="ar"/>
              </w:rPr>
              <w:t>30</w:t>
            </w:r>
            <w:r>
              <w:rPr>
                <w:rStyle w:val="57"/>
                <w:rFonts w:hint="eastAsia" w:ascii="宋体" w:hAnsi="宋体" w:eastAsia="宋体" w:cs="宋体"/>
                <w:color w:val="auto"/>
                <w:sz w:val="21"/>
                <w:szCs w:val="21"/>
                <w:highlight w:val="none"/>
                <w:lang w:val="en-US" w:eastAsia="zh-CN" w:bidi="ar"/>
              </w:rPr>
              <w:t>W。（</w:t>
            </w:r>
            <w:r>
              <w:rPr>
                <w:rStyle w:val="57"/>
                <w:rFonts w:hint="eastAsia" w:ascii="宋体" w:hAnsi="宋体" w:eastAsia="宋体" w:cs="宋体"/>
                <w:sz w:val="21"/>
                <w:szCs w:val="21"/>
                <w:highlight w:val="none"/>
                <w:lang w:val="en-US" w:eastAsia="zh-CN" w:bidi="ar"/>
              </w:rPr>
              <w:t>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ascii="宋体" w:hAnsi="宋体" w:eastAsia="宋体" w:cs="宋体"/>
                <w:sz w:val="21"/>
                <w:szCs w:val="21"/>
                <w:lang w:val="en-US" w:eastAsia="zh-CN" w:bidi="ar"/>
              </w:rPr>
              <w:t>7.整机内置非独立外扩展的阵列麦克风，可用于对教室环境音频进行采集，麦克风拾音距离≥12m。</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8.采用电容触控技术，支持Windows系统中进行10点或以上触控，支持在Android系统中进行10点或以上触控。</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ascii="宋体" w:hAnsi="宋体" w:eastAsia="宋体" w:cs="宋体"/>
                <w:sz w:val="21"/>
                <w:szCs w:val="21"/>
                <w:lang w:val="en-US" w:eastAsia="zh-CN" w:bidi="ar"/>
              </w:rPr>
              <w:t>二、接口及按键</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1.同一电源物理按键可实现Android系统和Windows系统的开/关机、熄屏的操作。</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2.整机具备至少6个前置按键。</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rFonts w:hint="eastAsia" w:ascii="宋体" w:hAnsi="宋体" w:eastAsia="宋体" w:cs="宋体"/>
                <w:sz w:val="21"/>
                <w:szCs w:val="21"/>
                <w:highlight w:val="none"/>
                <w:lang w:val="en-US" w:eastAsia="zh-CN" w:bidi="ar"/>
              </w:rPr>
              <w:t>3.</w:t>
            </w:r>
            <w:r>
              <w:rPr>
                <w:rStyle w:val="57"/>
                <w:rFonts w:hint="eastAsia" w:ascii="宋体" w:hAnsi="宋体" w:eastAsia="宋体" w:cs="宋体"/>
                <w:sz w:val="21"/>
                <w:szCs w:val="21"/>
                <w:highlight w:val="none"/>
                <w:lang w:val="en-US" w:eastAsia="zh-CN" w:bidi="ar"/>
              </w:rPr>
              <w:t>在任意信号源通道下，可通过屏幕和遥控器两种方式实现触摸锁定及解锁。</w:t>
            </w:r>
            <w:r>
              <w:rPr>
                <w:rStyle w:val="57"/>
                <w:rFonts w:hint="eastAsia" w:ascii="宋体" w:hAnsi="宋体" w:eastAsia="宋体" w:cs="宋体"/>
                <w:color w:val="auto"/>
                <w:sz w:val="21"/>
                <w:szCs w:val="21"/>
                <w:highlight w:val="none"/>
                <w:lang w:val="en-US" w:eastAsia="zh-CN" w:bidi="ar"/>
              </w:rPr>
              <w:t>（</w:t>
            </w:r>
            <w:r>
              <w:rPr>
                <w:rStyle w:val="57"/>
                <w:rFonts w:hint="eastAsia" w:ascii="宋体" w:hAnsi="宋体" w:eastAsia="宋体" w:cs="宋体"/>
                <w:sz w:val="21"/>
                <w:szCs w:val="21"/>
                <w:highlight w:val="none"/>
                <w:lang w:val="en-US" w:eastAsia="zh-CN" w:bidi="ar"/>
              </w:rPr>
              <w:t>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ascii="宋体" w:hAnsi="宋体" w:eastAsia="宋体" w:cs="宋体"/>
                <w:sz w:val="21"/>
                <w:szCs w:val="21"/>
                <w:lang w:val="en-US" w:eastAsia="zh-CN" w:bidi="ar"/>
              </w:rPr>
              <w:t>三、整机功能</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rFonts w:hint="eastAsia" w:ascii="宋体" w:hAnsi="宋体" w:eastAsia="宋体" w:cs="宋体"/>
                <w:sz w:val="21"/>
                <w:szCs w:val="21"/>
                <w:highlight w:val="none"/>
                <w:lang w:val="en-US" w:eastAsia="zh-CN" w:bidi="ar"/>
              </w:rPr>
              <w:t>1.</w:t>
            </w:r>
            <w:r>
              <w:rPr>
                <w:rStyle w:val="57"/>
                <w:rFonts w:hint="eastAsia" w:ascii="宋体" w:hAnsi="宋体" w:eastAsia="宋体" w:cs="宋体"/>
                <w:sz w:val="21"/>
                <w:szCs w:val="21"/>
                <w:highlight w:val="none"/>
                <w:lang w:val="en-US" w:eastAsia="zh-CN" w:bidi="ar"/>
              </w:rPr>
              <w:t>整机内置摄像头，可拍摄≥800万像素数的照片，摄像头视场角≥120度。（提供相关证明材料、相应的功能证明材料）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2.在HDMI、Android以及Windows信号源模式下，整机屏幕支持手势下移实现半屏显示，点击上方屏幕可返回全屏。</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3.整机两侧副屏可支持多种媒介进行板书书写。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rFonts w:hint="eastAsia" w:ascii="宋体" w:hAnsi="宋体" w:eastAsia="宋体" w:cs="宋体"/>
                <w:sz w:val="21"/>
                <w:szCs w:val="21"/>
                <w:highlight w:val="none"/>
                <w:lang w:val="en-US" w:eastAsia="zh-CN" w:bidi="ar"/>
              </w:rPr>
              <w:t>4.</w:t>
            </w:r>
            <w:r>
              <w:rPr>
                <w:rStyle w:val="57"/>
                <w:rFonts w:hint="eastAsia" w:ascii="宋体" w:hAnsi="宋体" w:eastAsia="宋体" w:cs="宋体"/>
                <w:sz w:val="21"/>
                <w:szCs w:val="21"/>
                <w:highlight w:val="none"/>
                <w:lang w:val="en-US" w:eastAsia="zh-CN" w:bidi="ar"/>
              </w:rPr>
              <w:t>嵌入式系统版本不低于Android 8，内存≥2GB，存储空间≥8GB。</w:t>
            </w:r>
            <w:r>
              <w:rPr>
                <w:rStyle w:val="57"/>
                <w:rFonts w:hint="eastAsia" w:ascii="宋体" w:hAnsi="宋体" w:eastAsia="宋体" w:cs="宋体"/>
                <w:color w:val="auto"/>
                <w:sz w:val="21"/>
                <w:szCs w:val="21"/>
                <w:highlight w:val="none"/>
                <w:lang w:val="en-US" w:eastAsia="zh-CN" w:bidi="ar"/>
              </w:rPr>
              <w:t>（</w:t>
            </w:r>
            <w:r>
              <w:rPr>
                <w:rStyle w:val="57"/>
                <w:rFonts w:hint="eastAsia" w:ascii="宋体" w:hAnsi="宋体" w:eastAsia="宋体" w:cs="宋体"/>
                <w:sz w:val="21"/>
                <w:szCs w:val="21"/>
                <w:highlight w:val="none"/>
                <w:lang w:val="en-US" w:eastAsia="zh-CN" w:bidi="ar"/>
              </w:rPr>
              <w:t>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四、OPS模块</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1.主板采用H410或H510芯片组，搭载Intel  酷睿系列 i5 CPU</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2.内存：</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8GB DDR4笔记本内存或以上配置。</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3.硬盘：</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256GB或以上SSD固态硬盘</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4.具有独立非外扩展的电脑USB接口：≥3路USB。</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5、支持免登录直接使用本地教学工具，支持账号、U 盘和扫码登录；</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6、支持分享者可将教学课件等云资源精准推送至指定人员；接收者可以在网页端通过打开链接地址，即可下载和预览文件；</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7、支持易用的文本编辑功能，在文本输入并可快速设置字体、大小、颜色、粗体、斜体等，方便用户编辑文字；</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8、软件支持PPT的二次编辑功能；</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9、软件具备图形自由创作工具，教师可自由绘制复杂的任意多边图形及曲边图形；</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10、软件内置图片处理功能；</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11、课堂互动工具：能够创建知识连线、互动分类、选词填空、趣味竞赛、判断对错等互动类游戏；</w:t>
            </w:r>
            <w:r>
              <w:rPr>
                <w:rStyle w:val="57"/>
                <w:rFonts w:hint="eastAsia" w:ascii="宋体" w:hAnsi="宋体" w:eastAsia="宋体" w:cs="宋体"/>
                <w:color w:val="auto"/>
                <w:sz w:val="21"/>
                <w:szCs w:val="21"/>
                <w:highlight w:val="none"/>
                <w:lang w:val="en-US" w:eastAsia="zh-CN" w:bidi="ar"/>
              </w:rPr>
              <w:t>（</w:t>
            </w:r>
            <w:r>
              <w:rPr>
                <w:rStyle w:val="57"/>
                <w:rFonts w:hint="eastAsia" w:ascii="宋体" w:hAnsi="宋体" w:eastAsia="宋体" w:cs="宋体"/>
                <w:sz w:val="21"/>
                <w:szCs w:val="21"/>
                <w:highlight w:val="none"/>
                <w:lang w:val="en-US" w:eastAsia="zh-CN" w:bidi="ar"/>
              </w:rPr>
              <w:t>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12、智能填写支持输入文本后一键解析，自动将文本内容结构化填充至题干和正确选项，快速完成课堂活动制作，提高老师制作课堂活动的效率；</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13、数学工具：支持中英文、数学公式的编辑输入，可快速输入方程组、脱式运算；</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多学科题库：提供涵盖小学、初中的总知识点，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15、软件支持投屏功能，并可选择画笔批注、擦除笔记；</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851"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16、以上软件为保证后期升级，</w:t>
            </w:r>
            <w:r>
              <w:rPr>
                <w:rFonts w:hint="eastAsia" w:ascii="宋体" w:hAnsi="宋体" w:eastAsia="宋体" w:cs="宋体"/>
                <w:i w:val="0"/>
                <w:iCs w:val="0"/>
                <w:color w:val="000000"/>
                <w:kern w:val="0"/>
                <w:sz w:val="21"/>
                <w:szCs w:val="21"/>
                <w:highlight w:val="none"/>
                <w:u w:val="none"/>
                <w:lang w:val="en-US" w:eastAsia="zh-CN" w:bidi="ar"/>
              </w:rPr>
              <w:t>要求软件与智慧黑板硬件为同一品牌并提供软件著作权；（提供相关证明材料、相应的功能证明材料）</w:t>
            </w:r>
          </w:p>
        </w:tc>
        <w:tc>
          <w:tcPr>
            <w:tcW w:w="512"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733"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7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有源音箱</w:t>
            </w: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1.音箱内置功率放大器，2.4G无线话筒接收器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2.两单元二分频：不劣于5"全纸盆低音，3”纸盆高音。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3.功率：≥50W/4Ω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4.频率范围：不劣于70Hz-20KHz，信噪比：≥82dB（A计权）。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5.调节形式：具有音量调节功能。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6.≥1路幻象话筒输入、≥1路3.5mm音频输入、≥1组立体声莲花音频输入；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7.≥1组立体声莲花音频输出，1组副机音频输出。</w:t>
            </w:r>
          </w:p>
        </w:tc>
        <w:tc>
          <w:tcPr>
            <w:tcW w:w="512"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733" w:type="dxa"/>
            <w:noWrap w:val="0"/>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trPr>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27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2.4G无线话筒</w:t>
            </w: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1.频率范围 ：2400 - 2483MHz,有效接收半径≥20米。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2.调制方法：GFSK，开机自动进入对频状态,对频成功后自动开启发射。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3.射频稳定度：≥0.005%（at25c）。发射功率：≥10dbm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4.发射器采用内置式麦克风设计（随机配置头戴麦克风）。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5.发射器配置LED液晶显示屏，可显示电池电量、充电状态、信号强弱、音量大小、工作模式等信息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6.发射器配置红外线激光教鞭功能。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7.发射器自带音量调节按键，具有一键静音功能。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8.配置2.4G和红外对频两种模式可切换。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.具有自动休眠功能，发射器无信号输入时，具有自动静音功能，可自动关机。</w:t>
            </w:r>
          </w:p>
        </w:tc>
        <w:tc>
          <w:tcPr>
            <w:tcW w:w="512"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733" w:type="dxa"/>
            <w:noWrap w:val="0"/>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7"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7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教室后黑板</w:t>
            </w: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w:t>
            </w:r>
            <w:r>
              <w:rPr>
                <w:rFonts w:hint="eastAsia" w:ascii="宋体" w:hAnsi="宋体" w:eastAsia="宋体" w:cs="宋体"/>
                <w:i w:val="0"/>
                <w:iCs w:val="0"/>
                <w:color w:val="000000"/>
                <w:kern w:val="0"/>
                <w:sz w:val="21"/>
                <w:szCs w:val="21"/>
                <w:highlight w:val="none"/>
                <w:u w:val="none"/>
                <w:lang w:val="en-US" w:eastAsia="zh-CN" w:bidi="ar"/>
              </w:rPr>
              <w:t>1.2*4m,</w:t>
            </w:r>
            <w:r>
              <w:rPr>
                <w:rFonts w:hint="eastAsia" w:ascii="宋体" w:hAnsi="宋体" w:eastAsia="宋体" w:cs="宋体"/>
                <w:i w:val="0"/>
                <w:iCs w:val="0"/>
                <w:color w:val="000000"/>
                <w:kern w:val="0"/>
                <w:sz w:val="21"/>
                <w:szCs w:val="21"/>
                <w:u w:val="none"/>
                <w:lang w:val="en-US" w:eastAsia="zh-CN" w:bidi="ar"/>
              </w:rPr>
              <w:t>颜色:墨绿色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1).采用烤漆面板，厚度≥0.3mm，双层涂面，表面覆无色保护膜。表面硬度≥6H，粗糙度为 Ra1.6-3.2um。 光泽度在≤11白色粉笔在粉笔板上书</w:t>
            </w:r>
            <w:r>
              <w:rPr>
                <w:rFonts w:hint="eastAsia" w:ascii="宋体" w:hAnsi="宋体" w:eastAsia="宋体" w:cs="宋体"/>
                <w:i w:val="0"/>
                <w:iCs w:val="0"/>
                <w:color w:val="000000"/>
                <w:kern w:val="0"/>
                <w:sz w:val="21"/>
                <w:szCs w:val="21"/>
                <w:highlight w:val="none"/>
                <w:u w:val="none"/>
                <w:lang w:val="en-US" w:eastAsia="zh-CN" w:bidi="ar"/>
              </w:rPr>
              <w:t xml:space="preserve">写，手感流畅，充实，笔道均匀，线条鲜明， 无表皮脱落 （提供第三方专业检测机构证明材料）.板面长期书写不变形。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2).内芯材料：选用聚苯乙烯板，粘合牢固，厚度≥16mm。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3).覆板：采用环保型双组分聚氨酯胶水，自动化流水线覆板作业，确保粘接牢固板面平整。甲醛释放量≤0.08mg/L,符合 GB28231-2011，提供市级以上技术监督局出具的检验报告。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4).边框材质及规格：采用亚光香槟色铝合金，表面经过氧化涂层处理，色泽柔和、不反光，无光污染，表面经过氧化、磨砂涂层处理，无划伤、无色差、抗腐蚀。边框规格 25×22mm，型材壁厚≥1.2mm漆膜硬度：≥3H，耐磨性落砂量：≥3400g（提供第三方专业检测机构证明材料）。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5).包角材料：采用抗老化高强度 ABS 工程</w:t>
            </w:r>
            <w:r>
              <w:rPr>
                <w:rFonts w:hint="eastAsia" w:ascii="宋体" w:hAnsi="宋体" w:eastAsia="宋体" w:cs="宋体"/>
                <w:i w:val="0"/>
                <w:iCs w:val="0"/>
                <w:color w:val="000000"/>
                <w:kern w:val="0"/>
                <w:sz w:val="21"/>
                <w:szCs w:val="21"/>
                <w:u w:val="none"/>
                <w:lang w:val="en-US" w:eastAsia="zh-CN" w:bidi="ar"/>
              </w:rPr>
              <w:t xml:space="preserve">塑料注塑一次性成型，双壁成腔流线型设计，圆角≥R25mm。 </w:t>
            </w:r>
          </w:p>
        </w:tc>
        <w:tc>
          <w:tcPr>
            <w:tcW w:w="51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p>
        </w:tc>
        <w:tc>
          <w:tcPr>
            <w:tcW w:w="7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7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w:t>
            </w: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硬件部分：</w:t>
            </w:r>
          </w:p>
        </w:tc>
        <w:tc>
          <w:tcPr>
            <w:tcW w:w="51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73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7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采用≥800万像素摄像头。</w:t>
            </w:r>
          </w:p>
        </w:tc>
        <w:tc>
          <w:tcPr>
            <w:tcW w:w="51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7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支持展台成像画面实时批注。</w:t>
            </w:r>
          </w:p>
        </w:tc>
        <w:tc>
          <w:tcPr>
            <w:tcW w:w="51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7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整机采用圆弧式设计，无锐角。</w:t>
            </w:r>
          </w:p>
        </w:tc>
        <w:tc>
          <w:tcPr>
            <w:tcW w:w="51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7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展示托板正上方具备LED补光灯。</w:t>
            </w:r>
          </w:p>
        </w:tc>
        <w:tc>
          <w:tcPr>
            <w:tcW w:w="51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7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85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为保证兼容性及稳定性，视频展台需与为智慧黑板同一品牌厂家，提供国家认证认可监督管理委员会认可的证书（例如CCC证书、自声明证书）复印件证明。</w:t>
            </w:r>
          </w:p>
        </w:tc>
        <w:tc>
          <w:tcPr>
            <w:tcW w:w="512"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rPr>
          <w:rFonts w:hint="eastAsia"/>
          <w:lang w:eastAsia="zh-CN"/>
        </w:rPr>
      </w:pPr>
    </w:p>
    <w:p>
      <w:pPr>
        <w:rPr>
          <w:rFonts w:hint="eastAsia"/>
        </w:rPr>
      </w:pPr>
    </w:p>
    <w:tbl>
      <w:tblPr>
        <w:tblStyle w:val="22"/>
        <w:tblW w:w="84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509"/>
        <w:gridCol w:w="1641"/>
        <w:gridCol w:w="4413"/>
        <w:gridCol w:w="51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雷寨小学</w:t>
            </w:r>
          </w:p>
        </w:tc>
        <w:tc>
          <w:tcPr>
            <w:tcW w:w="509"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641"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441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51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846"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41"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智慧黑板</w:t>
            </w: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一、整</w:t>
            </w:r>
            <w:r>
              <w:rPr>
                <w:rFonts w:hint="eastAsia" w:ascii="宋体" w:hAnsi="宋体" w:eastAsia="宋体" w:cs="宋体"/>
                <w:i w:val="0"/>
                <w:iCs w:val="0"/>
                <w:color w:val="000000"/>
                <w:kern w:val="0"/>
                <w:sz w:val="21"/>
                <w:szCs w:val="21"/>
                <w:highlight w:val="none"/>
                <w:u w:val="none"/>
                <w:lang w:val="en-US" w:eastAsia="zh-CN" w:bidi="ar"/>
              </w:rPr>
              <w:t>体设计</w:t>
            </w:r>
          </w:p>
        </w:tc>
        <w:tc>
          <w:tcPr>
            <w:tcW w:w="5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46"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1.整机主副屏过渡平滑并在同一平面，外观参考尺寸：宽≥4000mm，高≥1100mm，厚≤100mm。</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2.整机采用UHD超高清LED液晶屏，显示比例16:9，分辨率不劣于3840×2160。</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3.整机采用防眩光玻璃，屏幕支持防眩光功能，钢化玻璃表面硬度≥8H。（提供相关证明材料、相应的功能证明材料）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4.整机色域覆盖率（NTSC）≥80%，灰度等级≥256级。</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5.整机接入单根网线可实现Android、Windows双系统有线网络连通。</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7"/>
                <w:rFonts w:hint="eastAsia" w:ascii="宋体" w:hAnsi="宋体" w:eastAsia="宋体" w:cs="宋体"/>
                <w:sz w:val="21"/>
                <w:szCs w:val="21"/>
                <w:highlight w:val="none"/>
                <w:lang w:val="en-US" w:eastAsia="zh-CN" w:bidi="ar"/>
              </w:rPr>
              <w:t>6.整机扬声器总功率不小于</w:t>
            </w:r>
            <w:r>
              <w:rPr>
                <w:rStyle w:val="53"/>
                <w:rFonts w:hint="eastAsia" w:ascii="宋体" w:hAnsi="宋体" w:eastAsia="宋体" w:cs="宋体"/>
                <w:color w:val="auto"/>
                <w:sz w:val="21"/>
                <w:szCs w:val="21"/>
                <w:highlight w:val="none"/>
                <w:lang w:val="en-US" w:eastAsia="zh-CN" w:bidi="ar"/>
              </w:rPr>
              <w:t>30</w:t>
            </w:r>
            <w:r>
              <w:rPr>
                <w:rStyle w:val="57"/>
                <w:rFonts w:hint="eastAsia" w:ascii="宋体" w:hAnsi="宋体" w:eastAsia="宋体" w:cs="宋体"/>
                <w:color w:val="auto"/>
                <w:sz w:val="21"/>
                <w:szCs w:val="21"/>
                <w:highlight w:val="none"/>
                <w:lang w:val="en-US" w:eastAsia="zh-CN" w:bidi="ar"/>
              </w:rPr>
              <w:t>W。（</w:t>
            </w:r>
            <w:r>
              <w:rPr>
                <w:rStyle w:val="57"/>
                <w:rFonts w:hint="eastAsia" w:ascii="宋体" w:hAnsi="宋体" w:eastAsia="宋体" w:cs="宋体"/>
                <w:sz w:val="21"/>
                <w:szCs w:val="21"/>
                <w:highlight w:val="none"/>
                <w:lang w:val="en-US" w:eastAsia="zh-CN" w:bidi="ar"/>
              </w:rPr>
              <w:t>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ascii="宋体" w:hAnsi="宋体" w:eastAsia="宋体" w:cs="宋体"/>
                <w:sz w:val="21"/>
                <w:szCs w:val="21"/>
                <w:lang w:val="en-US" w:eastAsia="zh-CN" w:bidi="ar"/>
              </w:rPr>
              <w:t>7.整机内置非独立外扩展的阵列麦克风，可用于对教室环境音频进行采集，麦克风拾音距离≥12m。</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8.采用电容触控技术，支持Windows系统中进行10点或以上触控，支持在Android系统中进行10点或以上触控。</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ascii="宋体" w:hAnsi="宋体" w:eastAsia="宋体" w:cs="宋体"/>
                <w:sz w:val="21"/>
                <w:szCs w:val="21"/>
                <w:lang w:val="en-US" w:eastAsia="zh-CN" w:bidi="ar"/>
              </w:rPr>
              <w:t>二、接口及按键</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1.同一电源物理按键可实现Android系统和Windows系统的开/关机、熄屏的操作。</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2.整机具备至少6个前置按键。</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rFonts w:hint="eastAsia" w:ascii="宋体" w:hAnsi="宋体" w:eastAsia="宋体" w:cs="宋体"/>
                <w:sz w:val="21"/>
                <w:szCs w:val="21"/>
                <w:highlight w:val="none"/>
                <w:lang w:val="en-US" w:eastAsia="zh-CN" w:bidi="ar"/>
              </w:rPr>
              <w:t>3.</w:t>
            </w:r>
            <w:r>
              <w:rPr>
                <w:rStyle w:val="57"/>
                <w:rFonts w:hint="eastAsia" w:ascii="宋体" w:hAnsi="宋体" w:eastAsia="宋体" w:cs="宋体"/>
                <w:sz w:val="21"/>
                <w:szCs w:val="21"/>
                <w:highlight w:val="none"/>
                <w:lang w:val="en-US" w:eastAsia="zh-CN" w:bidi="ar"/>
              </w:rPr>
              <w:t>在任意信号源通道下，可通过屏幕和遥控器两种方式实现触摸锁定及解锁。</w:t>
            </w:r>
            <w:r>
              <w:rPr>
                <w:rStyle w:val="57"/>
                <w:rFonts w:hint="eastAsia" w:ascii="宋体" w:hAnsi="宋体" w:eastAsia="宋体" w:cs="宋体"/>
                <w:color w:val="auto"/>
                <w:sz w:val="21"/>
                <w:szCs w:val="21"/>
                <w:highlight w:val="none"/>
                <w:lang w:val="en-US" w:eastAsia="zh-CN" w:bidi="ar"/>
              </w:rPr>
              <w:t>（</w:t>
            </w:r>
            <w:r>
              <w:rPr>
                <w:rStyle w:val="57"/>
                <w:rFonts w:hint="eastAsia" w:ascii="宋体" w:hAnsi="宋体" w:eastAsia="宋体" w:cs="宋体"/>
                <w:sz w:val="21"/>
                <w:szCs w:val="21"/>
                <w:highlight w:val="none"/>
                <w:lang w:val="en-US" w:eastAsia="zh-CN" w:bidi="ar"/>
              </w:rPr>
              <w:t>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ascii="宋体" w:hAnsi="宋体" w:eastAsia="宋体" w:cs="宋体"/>
                <w:sz w:val="21"/>
                <w:szCs w:val="21"/>
                <w:lang w:val="en-US" w:eastAsia="zh-CN" w:bidi="ar"/>
              </w:rPr>
              <w:t>三、整机功能</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8"/>
                <w:rFonts w:hint="eastAsia" w:ascii="宋体" w:hAnsi="宋体" w:eastAsia="宋体" w:cs="宋体"/>
                <w:sz w:val="21"/>
                <w:szCs w:val="21"/>
                <w:lang w:val="en-US" w:eastAsia="zh-CN" w:bidi="ar"/>
              </w:rPr>
              <w:t>1.</w:t>
            </w:r>
            <w:r>
              <w:rPr>
                <w:rStyle w:val="57"/>
                <w:rFonts w:hint="eastAsia" w:ascii="宋体" w:hAnsi="宋体" w:eastAsia="宋体" w:cs="宋体"/>
                <w:sz w:val="21"/>
                <w:szCs w:val="21"/>
                <w:lang w:val="en-US" w:eastAsia="zh-CN" w:bidi="ar"/>
              </w:rPr>
              <w:t>整机内置摄</w:t>
            </w:r>
            <w:r>
              <w:rPr>
                <w:rStyle w:val="57"/>
                <w:rFonts w:hint="eastAsia" w:ascii="宋体" w:hAnsi="宋体" w:eastAsia="宋体" w:cs="宋体"/>
                <w:sz w:val="21"/>
                <w:szCs w:val="21"/>
                <w:highlight w:val="none"/>
                <w:lang w:val="en-US" w:eastAsia="zh-CN" w:bidi="ar"/>
              </w:rPr>
              <w:t>像头，可拍摄≥800万像素数的照片，摄像头视场角≥120度。（提供相关证明材料、相应的功能证明材料）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2.在HDMI、Android以及Windows信号源模式下，整机屏幕支持手势下移实现半屏显示，点击上方屏幕可返回全屏。</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3.整机两侧副屏可支持多种媒介进行板书书写。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8"/>
                <w:rFonts w:hint="eastAsia" w:ascii="宋体" w:hAnsi="宋体" w:eastAsia="宋体" w:cs="宋体"/>
                <w:sz w:val="21"/>
                <w:szCs w:val="21"/>
                <w:lang w:val="en-US" w:eastAsia="zh-CN" w:bidi="ar"/>
              </w:rPr>
              <w:t>4.</w:t>
            </w:r>
            <w:r>
              <w:rPr>
                <w:rStyle w:val="57"/>
                <w:rFonts w:hint="eastAsia" w:ascii="宋体" w:hAnsi="宋体" w:eastAsia="宋体" w:cs="宋体"/>
                <w:sz w:val="21"/>
                <w:szCs w:val="21"/>
                <w:lang w:val="en-US" w:eastAsia="zh-CN" w:bidi="ar"/>
              </w:rPr>
              <w:t>嵌入式系统版本不低于Android 8，内存≥2GB，存储空间≥</w:t>
            </w:r>
            <w:r>
              <w:rPr>
                <w:rStyle w:val="57"/>
                <w:rFonts w:hint="eastAsia" w:ascii="宋体" w:hAnsi="宋体" w:eastAsia="宋体" w:cs="宋体"/>
                <w:sz w:val="21"/>
                <w:szCs w:val="21"/>
                <w:highlight w:val="none"/>
                <w:lang w:val="en-US" w:eastAsia="zh-CN" w:bidi="ar"/>
              </w:rPr>
              <w:t>8GB。（提供相关证明材料、相应的功能证明材料）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四、OPS模块</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1.主板采用H410或H510芯片组，搭载Intel  酷睿系列 i5 CPU</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2.内存：</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8GB DDR4笔记本内存或以上配置。</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3.硬盘：</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256GB或以上SSD固态硬盘</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4.具有独立非外扩展的电脑USB接口：≥3路USB。</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5、支持免登录直接使用本地教学工具，支持账号、U 盘和扫码登录；</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6、支持分享者可将教学课件等云资源精准推送至指定人员；接收者可以在网页端通过打开链接地址，即可下载和预览文件；</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7、支持易用的文本编辑功能，在文本输入并可快速设置字体、大小、颜色、粗体、斜体等，方便用户编辑文字；</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8、软件支持PPT的二次编辑功能；</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9、软件具备图形自由创作工具，教师可自由绘制复杂的任意多边图形及曲边图形；</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10、软件内置图片处理功能；</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11、课堂互动工具：能够创建知识连线、互动分类、选词填空、趣味竞赛、判断对错等互动类游戏</w:t>
            </w:r>
            <w:r>
              <w:rPr>
                <w:rFonts w:hint="eastAsia" w:ascii="宋体" w:hAnsi="宋体" w:eastAsia="宋体" w:cs="宋体"/>
                <w:i w:val="0"/>
                <w:iCs w:val="0"/>
                <w:color w:val="000000"/>
                <w:kern w:val="0"/>
                <w:sz w:val="21"/>
                <w:szCs w:val="21"/>
                <w:highlight w:val="none"/>
                <w:u w:val="none"/>
                <w:lang w:val="en-US" w:eastAsia="zh-CN" w:bidi="ar"/>
              </w:rPr>
              <w:t>；</w:t>
            </w:r>
            <w:r>
              <w:rPr>
                <w:rStyle w:val="57"/>
                <w:rFonts w:hint="eastAsia" w:ascii="宋体" w:hAnsi="宋体" w:eastAsia="宋体" w:cs="宋体"/>
                <w:color w:val="auto"/>
                <w:sz w:val="21"/>
                <w:szCs w:val="21"/>
                <w:highlight w:val="none"/>
                <w:lang w:val="en-US" w:eastAsia="zh-CN" w:bidi="ar"/>
              </w:rPr>
              <w:t>（</w:t>
            </w:r>
            <w:r>
              <w:rPr>
                <w:rStyle w:val="57"/>
                <w:rFonts w:hint="eastAsia" w:ascii="宋体" w:hAnsi="宋体" w:eastAsia="宋体" w:cs="宋体"/>
                <w:sz w:val="21"/>
                <w:szCs w:val="21"/>
                <w:highlight w:val="none"/>
                <w:lang w:val="en-US" w:eastAsia="zh-CN" w:bidi="ar"/>
              </w:rPr>
              <w:t>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12、智能填写支持输入文本后一键解析，自动将文本内容结构化填充至题干和正确选项，快速完成课堂活动制作，提高老师制作课堂活动的效率；</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13、数学工具：支持中英文、数学公式的编辑输入，可快速输入方程组、脱式运算；</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多学科题库：提供涵盖小学、初中的总知识点，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15、软件支持投屏功能，并可选择画笔批注、擦除笔记；</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413"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16、以上软件为保证后期升级，</w:t>
            </w:r>
            <w:r>
              <w:rPr>
                <w:rFonts w:hint="eastAsia" w:ascii="宋体" w:hAnsi="宋体" w:eastAsia="宋体" w:cs="宋体"/>
                <w:i w:val="0"/>
                <w:iCs w:val="0"/>
                <w:color w:val="000000"/>
                <w:kern w:val="0"/>
                <w:sz w:val="21"/>
                <w:szCs w:val="21"/>
                <w:highlight w:val="none"/>
                <w:u w:val="none"/>
                <w:lang w:val="en-US" w:eastAsia="zh-CN" w:bidi="ar"/>
              </w:rPr>
              <w:t>要求软件与智慧黑板硬件为同一品牌并提供软件著作权；</w:t>
            </w:r>
            <w:r>
              <w:rPr>
                <w:rStyle w:val="57"/>
                <w:rFonts w:hint="eastAsia" w:ascii="宋体" w:hAnsi="宋体" w:eastAsia="宋体" w:cs="宋体"/>
                <w:color w:val="auto"/>
                <w:sz w:val="21"/>
                <w:szCs w:val="21"/>
                <w:highlight w:val="none"/>
                <w:lang w:val="en-US" w:eastAsia="zh-CN" w:bidi="ar"/>
              </w:rPr>
              <w:t>（</w:t>
            </w:r>
            <w:r>
              <w:rPr>
                <w:rStyle w:val="57"/>
                <w:rFonts w:hint="eastAsia" w:ascii="宋体" w:hAnsi="宋体" w:eastAsia="宋体" w:cs="宋体"/>
                <w:sz w:val="21"/>
                <w:szCs w:val="21"/>
                <w:highlight w:val="none"/>
                <w:lang w:val="en-US" w:eastAsia="zh-CN" w:bidi="ar"/>
              </w:rPr>
              <w:t>提供相关证明材料、相应的功能证明材料）</w:t>
            </w:r>
          </w:p>
        </w:tc>
        <w:tc>
          <w:tcPr>
            <w:tcW w:w="51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846" w:type="dxa"/>
            <w:vMerge w:val="continue"/>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64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有源音箱</w:t>
            </w: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1.音箱内置功率放大器，2.4G无线话筒接收器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2.两单元二分频：不劣于5"全纸盆低音，3”纸盆高音。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3.功率：≥50W/4Ω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4.频率范围：不劣于70Hz-20KHz，信噪比：≥82dB（A计权）。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5.调节形式：具有音量调节功能。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6.≥1路幻象话筒输入、≥1路3.5mm音频输入、≥1组立体声莲花音频输入；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7.≥1组立体声莲花音频输出，1组副机音频输出。</w:t>
            </w:r>
          </w:p>
        </w:tc>
        <w:tc>
          <w:tcPr>
            <w:tcW w:w="510"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846" w:type="dxa"/>
            <w:noWrap w:val="0"/>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6"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509"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64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2.4G无线话筒</w:t>
            </w: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1.频率范围 ：2400 - 2483MHz,有效接收半径≥20米。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2.调制方法：GFSK，开机自动进入对频状态,对频成功后自动开启发射。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3.射频稳定度：≥0.005%（at25c）。发射功率：≥10dbm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4.发射器采用内置式麦克风设计（随机配置头戴麦克风）。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5.发射器配置LED液晶显示屏，可显示电池电量、充电状态、信号强弱、音量大小、工作模式等信息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6.发射器配置红外线激光教鞭功能。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7.发射器自带音量调节按键，具有一键静音功能。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8.配置2.4G和红外对频两种模式可切换。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.具有自动休眠功能，发射器无信号输入时，具有自动静音功能，可自动关机。</w:t>
            </w:r>
          </w:p>
        </w:tc>
        <w:tc>
          <w:tcPr>
            <w:tcW w:w="510"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846" w:type="dxa"/>
            <w:noWrap w:val="0"/>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64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教室后黑板</w:t>
            </w: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w:t>
            </w:r>
            <w:r>
              <w:rPr>
                <w:rFonts w:hint="eastAsia" w:ascii="宋体" w:hAnsi="宋体" w:eastAsia="宋体" w:cs="宋体"/>
                <w:i w:val="0"/>
                <w:iCs w:val="0"/>
                <w:color w:val="000000"/>
                <w:kern w:val="0"/>
                <w:sz w:val="21"/>
                <w:szCs w:val="21"/>
                <w:highlight w:val="none"/>
                <w:u w:val="none"/>
                <w:lang w:val="en-US" w:eastAsia="zh-CN" w:bidi="ar"/>
              </w:rPr>
              <w:t>1.2*4m,</w:t>
            </w:r>
            <w:r>
              <w:rPr>
                <w:rFonts w:hint="eastAsia" w:ascii="宋体" w:hAnsi="宋体" w:eastAsia="宋体" w:cs="宋体"/>
                <w:i w:val="0"/>
                <w:iCs w:val="0"/>
                <w:color w:val="000000"/>
                <w:kern w:val="0"/>
                <w:sz w:val="21"/>
                <w:szCs w:val="21"/>
                <w:u w:val="none"/>
                <w:lang w:val="en-US" w:eastAsia="zh-CN" w:bidi="ar"/>
              </w:rPr>
              <w:t>颜色:墨绿色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1).采用烤漆面板，厚度≥0.3mm，双层涂面，表面覆无色保护膜。表面硬度≥6H，粗糙度为 Ra1.6-3.2um。 光泽度在≤11白色粉笔在粉笔板上书写，手感流畅，充实，笔道均匀，线条鲜明， 无表皮脱落 </w:t>
            </w:r>
            <w:r>
              <w:rPr>
                <w:rFonts w:hint="eastAsia" w:ascii="宋体" w:hAnsi="宋体" w:eastAsia="宋体" w:cs="宋体"/>
                <w:i w:val="0"/>
                <w:iCs w:val="0"/>
                <w:color w:val="000000"/>
                <w:kern w:val="0"/>
                <w:sz w:val="21"/>
                <w:szCs w:val="21"/>
                <w:highlight w:val="none"/>
                <w:u w:val="none"/>
                <w:lang w:val="en-US" w:eastAsia="zh-CN" w:bidi="ar"/>
              </w:rPr>
              <w:t>（提供第三方专业检测机构证明材料）</w:t>
            </w:r>
            <w:r>
              <w:rPr>
                <w:rFonts w:hint="eastAsia" w:ascii="宋体" w:hAnsi="宋体" w:eastAsia="宋体" w:cs="宋体"/>
                <w:i w:val="0"/>
                <w:iCs w:val="0"/>
                <w:color w:val="000000"/>
                <w:kern w:val="0"/>
                <w:sz w:val="21"/>
                <w:szCs w:val="21"/>
                <w:u w:val="none"/>
                <w:lang w:val="en-US" w:eastAsia="zh-CN" w:bidi="ar"/>
              </w:rPr>
              <w:t xml:space="preserve">.板面长期书写不变形。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2).内芯材料：选用聚苯乙烯板，粘合牢固，厚度≥16mm。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3).覆板：</w:t>
            </w:r>
            <w:r>
              <w:rPr>
                <w:rFonts w:hint="eastAsia" w:ascii="宋体" w:hAnsi="宋体" w:eastAsia="宋体" w:cs="宋体"/>
                <w:i w:val="0"/>
                <w:iCs w:val="0"/>
                <w:color w:val="000000"/>
                <w:kern w:val="0"/>
                <w:sz w:val="21"/>
                <w:szCs w:val="21"/>
                <w:highlight w:val="none"/>
                <w:u w:val="none"/>
                <w:lang w:val="en-US" w:eastAsia="zh-CN" w:bidi="ar"/>
              </w:rPr>
              <w:t>采用环保型双组分聚氨酯胶水</w:t>
            </w:r>
            <w:r>
              <w:rPr>
                <w:rFonts w:hint="eastAsia" w:ascii="宋体" w:hAnsi="宋体" w:eastAsia="宋体" w:cs="宋体"/>
                <w:i w:val="0"/>
                <w:iCs w:val="0"/>
                <w:color w:val="000000"/>
                <w:kern w:val="0"/>
                <w:sz w:val="21"/>
                <w:szCs w:val="21"/>
                <w:u w:val="none"/>
                <w:lang w:val="en-US" w:eastAsia="zh-CN" w:bidi="ar"/>
              </w:rPr>
              <w:t>，自动化流水线覆板作业，确保粘接牢固板面平整。甲醛释放量≤0.08mg/L,符合 GB28231-2011，</w:t>
            </w:r>
            <w:r>
              <w:rPr>
                <w:rFonts w:hint="eastAsia" w:ascii="宋体" w:hAnsi="宋体" w:eastAsia="宋体" w:cs="宋体"/>
                <w:i w:val="0"/>
                <w:iCs w:val="0"/>
                <w:color w:val="000000"/>
                <w:kern w:val="0"/>
                <w:sz w:val="21"/>
                <w:szCs w:val="21"/>
                <w:highlight w:val="none"/>
                <w:u w:val="none"/>
                <w:lang w:val="en-US" w:eastAsia="zh-CN" w:bidi="ar"/>
              </w:rPr>
              <w:t xml:space="preserve">提供市级以上技术监督局出具的检验报告。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4).边框材质及规格：采用亚光香槟色铝合金，表面经过氧化涂层处理，色泽柔和、不反光，无光污染，表面经过氧化、磨砂涂层处理，无划伤、无色差、抗腐蚀。边框规格 25×22mm，型材壁厚≥1.2mm漆膜硬度：≥3H，耐磨性落砂量：≥340</w:t>
            </w:r>
            <w:r>
              <w:rPr>
                <w:rFonts w:hint="eastAsia" w:ascii="宋体" w:hAnsi="宋体" w:eastAsia="宋体" w:cs="宋体"/>
                <w:i w:val="0"/>
                <w:iCs w:val="0"/>
                <w:color w:val="000000"/>
                <w:kern w:val="0"/>
                <w:sz w:val="21"/>
                <w:szCs w:val="21"/>
                <w:highlight w:val="none"/>
                <w:u w:val="none"/>
                <w:lang w:val="en-US" w:eastAsia="zh-CN" w:bidi="ar"/>
              </w:rPr>
              <w:t xml:space="preserve">0g（提供第三方专业检测机构证明材料）。 </w:t>
            </w:r>
            <w:r>
              <w:rPr>
                <w:rFonts w:hint="eastAsia" w:ascii="宋体" w:hAnsi="宋体" w:eastAsia="宋体" w:cs="宋体"/>
                <w:i w:val="0"/>
                <w:iCs w:val="0"/>
                <w:color w:val="000000"/>
                <w:kern w:val="0"/>
                <w:sz w:val="21"/>
                <w:szCs w:val="21"/>
                <w:highlight w:val="green"/>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5).包角材料：采用抗老化高强度 ABS 工程塑料注塑一次性成型，双壁成腔流线型设计，圆角≥R25mm。 </w:t>
            </w:r>
          </w:p>
        </w:tc>
        <w:tc>
          <w:tcPr>
            <w:tcW w:w="51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41"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展台</w:t>
            </w: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硬件部分：</w:t>
            </w:r>
          </w:p>
        </w:tc>
        <w:tc>
          <w:tcPr>
            <w:tcW w:w="5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846"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4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采用≥800万像素摄像头。</w:t>
            </w: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4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支持展台成像画面实时批注。</w:t>
            </w: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4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整机采用圆弧式设计，无锐角。</w:t>
            </w: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4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展示托板正上方具备LED补光灯。</w:t>
            </w: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50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09"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641"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41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为保证兼容性及稳定性，视频展台需与为智慧黑板同一品牌厂家，</w:t>
            </w:r>
            <w:r>
              <w:rPr>
                <w:rFonts w:hint="eastAsia" w:ascii="宋体" w:hAnsi="宋体" w:eastAsia="宋体" w:cs="宋体"/>
                <w:i w:val="0"/>
                <w:iCs w:val="0"/>
                <w:color w:val="000000"/>
                <w:kern w:val="0"/>
                <w:sz w:val="21"/>
                <w:szCs w:val="21"/>
                <w:highlight w:val="none"/>
                <w:u w:val="none"/>
                <w:lang w:val="en-US" w:eastAsia="zh-CN" w:bidi="ar"/>
              </w:rPr>
              <w:t>提供国家认证认可监督管理委员会认可的证书;复印件证明。</w:t>
            </w:r>
          </w:p>
        </w:tc>
        <w:tc>
          <w:tcPr>
            <w:tcW w:w="5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6"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sectPr>
          <w:footerReference r:id="rId15" w:type="default"/>
          <w:pgSz w:w="11906" w:h="16838"/>
          <w:pgMar w:top="1440" w:right="1800" w:bottom="1440" w:left="1800" w:header="851" w:footer="992" w:gutter="0"/>
          <w:pgNumType w:fmt="decimal"/>
          <w:cols w:space="720" w:num="1"/>
          <w:docGrid w:type="lines" w:linePitch="312" w:charSpace="0"/>
        </w:sectPr>
      </w:pPr>
    </w:p>
    <w:p>
      <w:pPr>
        <w:rPr>
          <w:rFonts w:hint="eastAsia"/>
        </w:rPr>
      </w:pPr>
    </w:p>
    <w:p>
      <w:pPr>
        <w:rPr>
          <w:rFonts w:hint="eastAsia"/>
        </w:rPr>
      </w:pPr>
    </w:p>
    <w:tbl>
      <w:tblPr>
        <w:tblStyle w:val="22"/>
        <w:tblW w:w="8676"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23"/>
        <w:gridCol w:w="1121"/>
        <w:gridCol w:w="4497"/>
        <w:gridCol w:w="80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23" w:type="dxa"/>
            <w:vMerge w:val="restart"/>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雷寨小学</w:t>
            </w:r>
          </w:p>
        </w:tc>
        <w:tc>
          <w:tcPr>
            <w:tcW w:w="723"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121"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4497"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技术参数</w:t>
            </w:r>
          </w:p>
        </w:tc>
        <w:tc>
          <w:tcPr>
            <w:tcW w:w="806"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806"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723"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微机房（云机房）</w:t>
            </w: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云服务器</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单台云终端控制器可以同时支持至少200点云终端的连接、管理和配置，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CPU：配置≥Intel第10代四核处理器（处理器主频≥3.6GHz）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内存：≥16GB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存储：≥512 GB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网口：不少于1个千兆网口</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学生-云终端</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为保证教学软件及考试系统的兼容效果和稳定运行，所有终端均需采用x86架构，且</w:t>
            </w:r>
            <w:r>
              <w:rPr>
                <w:rFonts w:hint="eastAsia" w:ascii="宋体" w:hAnsi="宋体" w:eastAsia="宋体" w:cs="宋体"/>
                <w:i w:val="0"/>
                <w:iCs w:val="0"/>
                <w:color w:val="000000"/>
                <w:kern w:val="0"/>
                <w:sz w:val="20"/>
                <w:szCs w:val="20"/>
                <w:highlight w:val="none"/>
                <w:u w:val="none"/>
                <w:lang w:val="en-US" w:eastAsia="zh-CN" w:bidi="ar"/>
              </w:rPr>
              <w:t>为国内自主品牌。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配置=intel  ≥4核2.0GHz；内存≥4GB DDR4；本地存储≥128 GB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USB接口≥6个（包含2个USB 3.0接口），1个千兆网口，1个VGA接口，1个HDMI接口，1对音频输入输出接口，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投标所选终端需提供3C证书及节能证书。提供证书复印件。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云终端(学生机)具有安全防护能力，能实时对桌面云的使用性能与安全性进行安全运维管理。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要求云服务器、学生云终端</w:t>
            </w:r>
            <w:r>
              <w:rPr>
                <w:rFonts w:hint="eastAsia" w:ascii="宋体" w:hAnsi="宋体" w:eastAsia="宋体" w:cs="宋体"/>
                <w:i w:val="0"/>
                <w:iCs w:val="0"/>
                <w:color w:val="000000"/>
                <w:kern w:val="0"/>
                <w:sz w:val="20"/>
                <w:szCs w:val="20"/>
                <w:highlight w:val="none"/>
                <w:u w:val="none"/>
                <w:lang w:val="en-US" w:eastAsia="zh-CN" w:bidi="ar"/>
              </w:rPr>
              <w:t>为同一品牌。</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教师机终端</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软硬件一体化设备，内置虚拟化系统和软件。</w:t>
            </w:r>
            <w:r>
              <w:rPr>
                <w:rFonts w:hint="eastAsia" w:ascii="宋体" w:hAnsi="宋体" w:eastAsia="宋体" w:cs="宋体"/>
                <w:i w:val="0"/>
                <w:iCs w:val="0"/>
                <w:color w:val="000000"/>
                <w:kern w:val="0"/>
                <w:sz w:val="20"/>
                <w:szCs w:val="20"/>
                <w:highlight w:val="none"/>
                <w:u w:val="none"/>
                <w:lang w:val="en-US" w:eastAsia="zh-CN" w:bidi="ar"/>
              </w:rPr>
              <w:t>提供虚拟化系统软件著作权证书复印件。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配置≥Intel第十代i5六核处理器（处理器主频≥2.9GHz）；内存≥8GB，显卡≥Intel UHD 630；本地存储≥256 GB SSD；802.11ac无线网卡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USB接口≥8个（包含≥4个USB 3.0接口），≥1个千兆网口，≥1个VGA接口，≥1个HDMI接口，≥1对音频输入输出接口。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要求云服务器、学生云终端、教师云终端为同一品牌。</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教学管理软件</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老师可以通过教学管理软件对学生一键切换不同的教学镜像，切换模式时，云终端硬件无需重新启动，要求</w:t>
            </w:r>
            <w:r>
              <w:rPr>
                <w:rFonts w:hint="eastAsia" w:ascii="宋体" w:hAnsi="宋体" w:eastAsia="宋体" w:cs="宋体"/>
                <w:i w:val="0"/>
                <w:iCs w:val="0"/>
                <w:color w:val="000000"/>
                <w:kern w:val="0"/>
                <w:sz w:val="20"/>
                <w:szCs w:val="20"/>
                <w:highlight w:val="none"/>
                <w:u w:val="none"/>
                <w:lang w:val="en-US" w:eastAsia="zh-CN" w:bidi="ar"/>
              </w:rPr>
              <w:t>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通过教学管理软件，一键关闭云终端后，所有终端自动关闭；通过教学管理软件，一键开启所有云终端后，终端自动启动并进入对应的课程镜像桌面；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教学管理软件提供远程终端编号功能，方便上课前的学生点名等，要求提供功能截图。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支持老师对单一、部分、全体学生进行黑屏操作，黑屏状态下，学生的机器被锁定，要求提供学生锁屏界面截图并加盖公章。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在教师机可以实现屏幕广播；在屏幕广播的同时，老师可以选择是否广播声音给学生，提供功能截图。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支持通过教学管理软件实现一键禁止任意学生上网，禁网同时需要支持屏幕广播、屏幕查看等</w:t>
            </w:r>
            <w:r>
              <w:rPr>
                <w:rFonts w:hint="eastAsia" w:ascii="宋体" w:hAnsi="宋体" w:eastAsia="宋体" w:cs="宋体"/>
                <w:i w:val="0"/>
                <w:iCs w:val="0"/>
                <w:color w:val="000000"/>
                <w:kern w:val="0"/>
                <w:sz w:val="20"/>
                <w:szCs w:val="20"/>
                <w:u w:val="none"/>
                <w:lang w:val="en-US" w:eastAsia="zh-CN" w:bidi="ar"/>
              </w:rPr>
              <w:t>正常教学应用，</w:t>
            </w:r>
            <w:r>
              <w:rPr>
                <w:rFonts w:hint="eastAsia" w:ascii="宋体" w:hAnsi="宋体" w:eastAsia="宋体" w:cs="宋体"/>
                <w:i w:val="0"/>
                <w:iCs w:val="0"/>
                <w:color w:val="000000"/>
                <w:kern w:val="0"/>
                <w:sz w:val="20"/>
                <w:szCs w:val="20"/>
                <w:highlight w:val="none"/>
                <w:u w:val="none"/>
                <w:lang w:val="en-US" w:eastAsia="zh-CN" w:bidi="ar"/>
              </w:rPr>
              <w:t>提供功能截图。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教学管理软件默认提供作业布置、批改、管理和成绩统计功能组件，提供学生作业的归档和下载；支持老师在作业空间为多个或单个班级的学生布置作业，老师可以对作业上交截止时间进行设置；</w:t>
            </w:r>
            <w:r>
              <w:rPr>
                <w:rFonts w:hint="eastAsia" w:ascii="宋体" w:hAnsi="宋体" w:eastAsia="宋体" w:cs="宋体"/>
                <w:i w:val="0"/>
                <w:iCs w:val="0"/>
                <w:color w:val="000000"/>
                <w:kern w:val="0"/>
                <w:sz w:val="20"/>
                <w:szCs w:val="20"/>
                <w:highlight w:val="none"/>
                <w:u w:val="none"/>
                <w:lang w:val="en-US" w:eastAsia="zh-CN" w:bidi="ar"/>
              </w:rPr>
              <w:t>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支持老师在线打开学生作业，格式至少包括txt、图片。在线查看学生作业后，可以在个人空间中打分，为保证后续使用效果需提供上述功能截图。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老师将学生作业标记为公开作业，学生可以通过学生端软件查看本年级所有老师标记的公开作业，针对此功能需提供</w:t>
            </w:r>
            <w:r>
              <w:rPr>
                <w:rFonts w:hint="eastAsia" w:ascii="宋体" w:hAnsi="宋体" w:eastAsia="宋体" w:cs="宋体"/>
                <w:i w:val="0"/>
                <w:iCs w:val="0"/>
                <w:color w:val="000000"/>
                <w:kern w:val="0"/>
                <w:sz w:val="20"/>
                <w:szCs w:val="20"/>
                <w:highlight w:val="none"/>
                <w:u w:val="none"/>
                <w:lang w:val="en-US" w:eastAsia="zh-CN" w:bidi="ar"/>
              </w:rPr>
              <w:t>功能截图。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组教学：支持老师对学生进行分组，分组时老师可以在软件界面根据学生姓名手动分组也可以随机分组，组名可以由组长和老师重命名。可记录小组总得分与小组内成员对小组的贡献值，同一组内的学生可以相互传送文件，针对此功能</w:t>
            </w:r>
            <w:r>
              <w:rPr>
                <w:rFonts w:hint="eastAsia" w:ascii="宋体" w:hAnsi="宋体" w:eastAsia="宋体" w:cs="宋体"/>
                <w:i w:val="0"/>
                <w:iCs w:val="0"/>
                <w:color w:val="000000"/>
                <w:kern w:val="0"/>
                <w:sz w:val="20"/>
                <w:szCs w:val="20"/>
                <w:highlight w:val="none"/>
                <w:u w:val="none"/>
                <w:lang w:val="en-US" w:eastAsia="zh-CN" w:bidi="ar"/>
              </w:rPr>
              <w:t>需提供功能截图。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账号灵活管理，老师、学生可以自助注册账号，也可以由管理员导入到班级内。学生、老师需要在登陆个人空间时通过账号密码登录，同时学生账号支持密码登陆和无密码登陆方式，针对此</w:t>
            </w:r>
            <w:r>
              <w:rPr>
                <w:rFonts w:hint="eastAsia" w:ascii="宋体" w:hAnsi="宋体" w:eastAsia="宋体" w:cs="宋体"/>
                <w:i w:val="0"/>
                <w:iCs w:val="0"/>
                <w:color w:val="000000"/>
                <w:kern w:val="0"/>
                <w:sz w:val="20"/>
                <w:szCs w:val="20"/>
                <w:highlight w:val="none"/>
                <w:u w:val="none"/>
                <w:lang w:val="en-US" w:eastAsia="zh-CN" w:bidi="ar"/>
              </w:rPr>
              <w:t>功能需提供功能截图。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个人空间内置网盘功能，学生可通过作业空间账号直接登录，学生没有做完的作业或文件，可以上传到在作业空间中独立的存储空间中，方便下次上课使用，网盘支持上传和下载，</w:t>
            </w:r>
            <w:r>
              <w:rPr>
                <w:rFonts w:hint="eastAsia" w:ascii="宋体" w:hAnsi="宋体" w:eastAsia="宋体" w:cs="宋体"/>
                <w:i w:val="0"/>
                <w:iCs w:val="0"/>
                <w:color w:val="000000"/>
                <w:kern w:val="0"/>
                <w:sz w:val="20"/>
                <w:szCs w:val="20"/>
                <w:highlight w:val="none"/>
                <w:u w:val="none"/>
                <w:lang w:val="en-US" w:eastAsia="zh-CN" w:bidi="ar"/>
              </w:rPr>
              <w:t>针对此功能需提供功能截图。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互动游戏：为促进课堂互动效果，提升课堂活跃度，需提供实用课堂互动小游戏，为保证后续使用效果需提供功能截图。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班级模型自动创建，为简化班级管理维护工作，支持通过标识码邀请方式来创建班级，老师可以通过唯一的标识码邀请学生加入，针对此功能需提供功能截图。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微课中心：支持微课的上传、浏览及删除。针对此功能需提供功能截图。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随堂测试：为方便老师快速出题，支持老师通过教师端导入word、pdf、txt等题库文件，也可以通过截屏方式快速出题。老师可以通过全班答题、抢答、随机答题多种方式发起测试，发起测试时为防止作弊老师可选择全屏答题或窗口答题。针对此功能需提供专业检测机构出具的检验报告复印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随堂测试出题可支持单选、多选、判断、填空、问答等多种课堂测试，对于客观题老师可以设置答题卡录入正确答案并赋分，方便快速评分批改。为保证后续使用效果需提供上</w:t>
            </w:r>
            <w:r>
              <w:rPr>
                <w:rFonts w:hint="eastAsia" w:ascii="宋体" w:hAnsi="宋体" w:eastAsia="宋体" w:cs="宋体"/>
                <w:i w:val="0"/>
                <w:iCs w:val="0"/>
                <w:color w:val="000000"/>
                <w:kern w:val="0"/>
                <w:sz w:val="20"/>
                <w:szCs w:val="20"/>
                <w:highlight w:val="none"/>
                <w:u w:val="none"/>
                <w:lang w:val="en-US" w:eastAsia="zh-CN" w:bidi="ar"/>
              </w:rPr>
              <w:t>述功能截图。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为避免U-Key丢失和兼容性以及安全性问题，授权方式必须为文件授权方式，而非U-Key授权的方式。针对授权方式需要提供服务器文件</w:t>
            </w:r>
            <w:r>
              <w:rPr>
                <w:rFonts w:hint="eastAsia" w:ascii="宋体" w:hAnsi="宋体" w:eastAsia="宋体" w:cs="宋体"/>
                <w:i w:val="0"/>
                <w:iCs w:val="0"/>
                <w:color w:val="000000"/>
                <w:kern w:val="0"/>
                <w:sz w:val="20"/>
                <w:szCs w:val="20"/>
                <w:highlight w:val="none"/>
                <w:u w:val="none"/>
                <w:lang w:val="en-US" w:eastAsia="zh-CN" w:bidi="ar"/>
              </w:rPr>
              <w:t>授权界面截图。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学生奖励机制：学生在教学活动中可以获得虚拟积分，学生和老师端可以查看积分</w:t>
            </w:r>
            <w:r>
              <w:rPr>
                <w:rFonts w:hint="eastAsia" w:ascii="宋体" w:hAnsi="宋体" w:eastAsia="宋体" w:cs="宋体"/>
                <w:i w:val="0"/>
                <w:iCs w:val="0"/>
                <w:color w:val="000000"/>
                <w:kern w:val="0"/>
                <w:sz w:val="20"/>
                <w:szCs w:val="20"/>
                <w:highlight w:val="none"/>
                <w:u w:val="none"/>
                <w:lang w:val="en-US" w:eastAsia="zh-CN" w:bidi="ar"/>
              </w:rPr>
              <w:t>排名；为保证后续使用效果需提供上述功能截图。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教学管理软件必须为自主研发，非OEM 产品，要求提供中华人民共和国国家版权局颁发的软件著作权登记证证书复印件。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为同时支持多学校使用，教学管理软件服务端需支持集中部署，同时应具备分级分权管理能力，在教学管理软件服务端可以配置多机构模式，针对此功能需提供功能截图。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要求云服务器、学生云终端、教师云终端、教学管理软件、网络连通设备同一品牌，保证平台联动时的兼容性和</w:t>
            </w:r>
            <w:r>
              <w:rPr>
                <w:rFonts w:hint="eastAsia" w:ascii="宋体" w:hAnsi="宋体" w:eastAsia="宋体" w:cs="宋体"/>
                <w:i w:val="0"/>
                <w:iCs w:val="0"/>
                <w:color w:val="000000"/>
                <w:kern w:val="0"/>
                <w:sz w:val="20"/>
                <w:szCs w:val="20"/>
                <w:highlight w:val="none"/>
                <w:u w:val="none"/>
                <w:lang w:val="en-US" w:eastAsia="zh-CN" w:bidi="ar"/>
              </w:rPr>
              <w:t>可靠性，提供厂商服务承诺函。</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终端24口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接入交换机</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交换容量≥330G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包转发率≥50Mpps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固化10/100/1000M以太网端口≥24，固化1G SFP光接</w:t>
            </w:r>
            <w:r>
              <w:rPr>
                <w:rFonts w:hint="eastAsia" w:ascii="宋体" w:hAnsi="宋体" w:eastAsia="宋体" w:cs="宋体"/>
                <w:i w:val="0"/>
                <w:iCs w:val="0"/>
                <w:color w:val="000000"/>
                <w:kern w:val="0"/>
                <w:sz w:val="20"/>
                <w:szCs w:val="20"/>
                <w:highlight w:val="none"/>
                <w:u w:val="none"/>
                <w:lang w:val="en-US" w:eastAsia="zh-CN" w:bidi="ar"/>
              </w:rPr>
              <w:t>口≥4个；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支持生成树协议STP(IEEE 802.1d)，RSTP(IEEE 802.1w)和MSTP(IEEE 802.1s)，保证网络的稳定运行和链路的负载均衡。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提供工信部设备进网许可证</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终端48口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接入交换机</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交换容量≥430G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包转发率≥80Mpps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固化10/100/1000M以太网端口≥48，固化1G SFP光接口≥4个；整机最大可用千兆口≥52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支持生成树协议STP(IEEE 802.1d)，RSTP(IEEE 802.1w)和MSTP(IEEE 802.1s)，保证网络的稳定运行和链路的负载均衡。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提供工信部设备进网许可证</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≥21英寸LED电脑显示器、窄边框、HDMI+VGA连接，分辨率≥1920 x 1080</w:t>
            </w:r>
            <w:r>
              <w:rPr>
                <w:rFonts w:hint="eastAsia" w:ascii="宋体" w:hAnsi="宋体" w:eastAsia="宋体" w:cs="宋体"/>
                <w:i w:val="0"/>
                <w:iCs w:val="0"/>
                <w:color w:val="000000"/>
                <w:kern w:val="0"/>
                <w:sz w:val="20"/>
                <w:szCs w:val="20"/>
                <w:highlight w:val="none"/>
                <w:u w:val="none"/>
                <w:lang w:val="en-US" w:eastAsia="zh-CN" w:bidi="ar"/>
              </w:rPr>
              <w:t>（符合国家一级能效及低蓝光认证），具有CCC认证；</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键盘鼠标</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USB有线光电键盘、鼠标</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服务器网络机柜</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≥22U标准机柜</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学生电脑桌椅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（双人）</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双人学生桌：钢木结构</w:t>
            </w:r>
            <w:r>
              <w:rPr>
                <w:rFonts w:hint="eastAsia" w:ascii="宋体" w:hAnsi="宋体" w:eastAsia="宋体" w:cs="宋体"/>
                <w:i w:val="0"/>
                <w:iCs w:val="0"/>
                <w:color w:val="000000"/>
                <w:kern w:val="0"/>
                <w:sz w:val="20"/>
                <w:szCs w:val="20"/>
                <w:highlight w:val="none"/>
                <w:u w:val="none"/>
                <w:lang w:val="en-US" w:eastAsia="zh-CN" w:bidi="ar"/>
              </w:rPr>
              <w:t>，≥1400*600*750mm，</w:t>
            </w:r>
            <w:r>
              <w:rPr>
                <w:rFonts w:hint="eastAsia" w:ascii="宋体" w:hAnsi="宋体" w:eastAsia="宋体" w:cs="宋体"/>
                <w:i w:val="0"/>
                <w:iCs w:val="0"/>
                <w:color w:val="000000"/>
                <w:kern w:val="0"/>
                <w:sz w:val="20"/>
                <w:szCs w:val="20"/>
                <w:u w:val="none"/>
                <w:lang w:val="en-US" w:eastAsia="zh-CN" w:bidi="ar"/>
              </w:rPr>
              <w:t>台面采用≥25mm实木颗粒三胺双贴面板，后背板，主机托均为≥16mm实木颗粒三胺双贴面板，四边≥2.0mmPVC封边；桌架为≥30*30mm*1.2mm方钢管与网片焊接而成，表面磷化喷塑处理，四脚垫防滑耐磨。后背板为翻盖设计，方便理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学生凳：参考规格：左右35mm*前后25mm*上下45mm，钢木结构，凳面为≥25mm实木颗粒双贴面板，四边用≥2mm厚pvc封边，颜色同桌面。凳架为≥30mm*30mm方管焊接，表面磷化喷涂处理，凳脚为防滑耐磨塑料垫。</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教师讲台桌椅</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钢木结构，≥1400*700*750mm，台面采用≥25mm实木颗粒三胺双贴面板，后背板及活动柜、主机托均为≥16mm实木颗粒三胺双贴面板，四边≥2.0mmPVC封边；桌架为≥30*30mm*1.2mm方钢管与网片焊接而成，表面磷化喷塑处理，四脚垫防滑耐磨。后背板为翻盖设计，方便理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教师椅：网布五轮升降转椅。</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静电地板</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产品规格：≥600*600*35mm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产品执行标准：信息产业部标准 SJ/T11236-2001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7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c>
          <w:tcPr>
            <w:tcW w:w="1121"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44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机柜、设备的安装和互联，配套的电源线、网线，接线板或插座的布置等。布线要求：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1、网线须用PVC管防护；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2、网线、电源线、数据线用专用扎带捆扎好；</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bl>
    <w:p>
      <w:pPr>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outlineLvl w:val="9"/>
        <w:rPr>
          <w:rFonts w:hint="eastAsia"/>
        </w:rPr>
      </w:pPr>
    </w:p>
    <w:p>
      <w:pPr>
        <w:rPr>
          <w:rFonts w:hint="eastAsia"/>
        </w:rPr>
      </w:pPr>
    </w:p>
    <w:tbl>
      <w:tblPr>
        <w:tblStyle w:val="22"/>
        <w:tblW w:w="86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2"/>
        <w:gridCol w:w="682"/>
        <w:gridCol w:w="1732"/>
        <w:gridCol w:w="4153"/>
        <w:gridCol w:w="552"/>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雷寨小学</w:t>
            </w:r>
          </w:p>
        </w:tc>
        <w:tc>
          <w:tcPr>
            <w:tcW w:w="767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广播音箱</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15W/100V/6.5"单元/ABS材料产品参考尺</w:t>
            </w:r>
            <w:r>
              <w:rPr>
                <w:rFonts w:hint="eastAsia" w:ascii="宋体" w:hAnsi="宋体" w:eastAsia="宋体" w:cs="宋体"/>
                <w:i w:val="0"/>
                <w:iCs w:val="0"/>
                <w:color w:val="000000"/>
                <w:kern w:val="0"/>
                <w:sz w:val="21"/>
                <w:szCs w:val="21"/>
                <w:highlight w:val="none"/>
                <w:u w:val="none"/>
                <w:lang w:val="en-US" w:eastAsia="zh-CN" w:bidi="ar"/>
              </w:rPr>
              <w:t>寸≥260*180*120mm</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400万像素枪式摄像机</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具有400万像素 CMOS传感器内置2颗白光补光灯。</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摄像机支架</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壁装支架/白/铝合金/尺寸</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400万像素高清球机</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400万6寸网络高清球机</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壁装支架</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壁装支架/白色/铝合金/尺寸</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硬盘录像机</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16录四盘路</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3000G</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22寸</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网线</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超五类</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2.0国标</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交换机</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8口POE千兆交换机</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交换机</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5口POE交换机</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辅材（施工费）</w:t>
            </w:r>
          </w:p>
        </w:tc>
        <w:tc>
          <w:tcPr>
            <w:tcW w:w="4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水晶头扎带胶布防水箱，线管等</w:t>
            </w:r>
          </w:p>
        </w:tc>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bl>
    <w:p>
      <w:pPr>
        <w:rPr>
          <w:rFonts w:hint="eastAsia"/>
        </w:rPr>
      </w:pPr>
    </w:p>
    <w:tbl>
      <w:tblPr>
        <w:tblStyle w:val="22"/>
        <w:tblW w:w="8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4"/>
        <w:gridCol w:w="593"/>
        <w:gridCol w:w="1336"/>
        <w:gridCol w:w="4755"/>
        <w:gridCol w:w="481"/>
        <w:gridCol w:w="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1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雷寨小学</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名称</w:t>
            </w:r>
          </w:p>
        </w:tc>
        <w:tc>
          <w:tcPr>
            <w:tcW w:w="4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参数</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1" w:hRule="atLeast"/>
          <w:jc w:val="center"/>
        </w:trPr>
        <w:tc>
          <w:tcPr>
            <w:tcW w:w="91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教师电脑</w:t>
            </w:r>
          </w:p>
        </w:tc>
        <w:tc>
          <w:tcPr>
            <w:tcW w:w="4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1.CPU：CPU ≥六核,≥2.9GHz主频；CPU：不低于酷睿i5 11代及以上；</w:t>
            </w:r>
          </w:p>
          <w:p>
            <w:pPr>
              <w:keepNext w:val="0"/>
              <w:keepLines w:val="0"/>
              <w:widowControl/>
              <w:numPr>
                <w:ilvl w:val="0"/>
                <w:numId w:val="0"/>
              </w:numPr>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2..主板：≥ B300系列以上芯片组</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3.内存：≥8G DDR4 3200MHz 内存；</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 xml:space="preserve">4.硬盘：≥512GB SSD固态硬盘 </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5.网卡：集成10/100/1000M以太网卡 +802.11AC无线网卡</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6.音频设备：集成数字阵列麦克风，内置音箱</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7.显示屏：≥23.8寸全高清FHD液晶显示屏(1920x1080)</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8.键盘、鼠标：USB 键盘鼠标；</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 xml:space="preserve">9:接口至少包括：4个USB接口（其中至少1个Type-c接口）、1个HDMI-Out、耳麦二合一接口；    </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 xml:space="preserve">10.操作系统：预装Windows 10正版操作系统 </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b w:val="0"/>
                <w:bCs w:val="0"/>
                <w:i w:val="0"/>
                <w:iCs w:val="0"/>
                <w:color w:val="000000"/>
                <w:kern w:val="0"/>
                <w:sz w:val="21"/>
                <w:szCs w:val="21"/>
                <w:highlight w:val="none"/>
                <w:u w:val="none"/>
                <w:lang w:val="en-US" w:eastAsia="zh-CN" w:bidi="ar"/>
              </w:rPr>
              <w:t>1：原厂三年保修售后服务，原厂三年硬盘不返还服务及数据拯救服务</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w:t>
            </w:r>
          </w:p>
        </w:tc>
        <w:tc>
          <w:tcPr>
            <w:tcW w:w="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台</w:t>
            </w:r>
          </w:p>
        </w:tc>
      </w:tr>
    </w:tbl>
    <w:p>
      <w:pPr>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outlineLvl w:val="1"/>
        <w:rPr>
          <w:rFonts w:hint="eastAsia"/>
          <w:b/>
          <w:bCs/>
          <w:lang w:eastAsia="zh-CN"/>
        </w:rPr>
      </w:pPr>
      <w:r>
        <w:rPr>
          <w:rFonts w:hint="eastAsia"/>
          <w:b/>
          <w:bCs/>
          <w:lang w:eastAsia="zh-CN"/>
        </w:rPr>
        <w:t>第三包：</w:t>
      </w:r>
    </w:p>
    <w:p>
      <w:pPr>
        <w:rPr>
          <w:rFonts w:hint="eastAsia"/>
          <w:lang w:eastAsia="zh-CN"/>
        </w:rPr>
      </w:pPr>
    </w:p>
    <w:tbl>
      <w:tblPr>
        <w:tblStyle w:val="22"/>
        <w:tblW w:w="84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7"/>
        <w:gridCol w:w="427"/>
        <w:gridCol w:w="1342"/>
        <w:gridCol w:w="5386"/>
        <w:gridCol w:w="437"/>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2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雷寨小学</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4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1.5P空调</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能效等级：≥3级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冷暖类型：冷暖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额定制冷量（W）：≥3500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额定制热量（W）：≥4500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额定制冷功率（W）：≤990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额定制热功率（W）：≤1400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电辅热（W）：≥1000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内机噪音dB（A）（低档-高档）：20</w:t>
            </w:r>
            <w:r>
              <w:rPr>
                <w:rFonts w:hint="eastAsia" w:ascii="宋体" w:hAnsi="宋体" w:eastAsia="宋体" w:cs="宋体"/>
                <w:i w:val="0"/>
                <w:iCs w:val="0"/>
                <w:color w:val="000000"/>
                <w:kern w:val="0"/>
                <w:sz w:val="21"/>
                <w:szCs w:val="21"/>
                <w:highlight w:val="none"/>
                <w:u w:val="none"/>
                <w:lang w:val="en-US" w:eastAsia="zh-CN" w:bidi="ar"/>
              </w:rPr>
              <w:t>-4</w:t>
            </w:r>
            <w:r>
              <w:rPr>
                <w:rFonts w:hint="eastAsia" w:ascii="宋体" w:hAnsi="宋体" w:cs="宋体"/>
                <w:i w:val="0"/>
                <w:iCs w:val="0"/>
                <w:color w:val="000000"/>
                <w:kern w:val="0"/>
                <w:sz w:val="21"/>
                <w:szCs w:val="21"/>
                <w:highlight w:val="none"/>
                <w:u w:val="none"/>
                <w:lang w:val="en-US" w:eastAsia="zh-CN" w:bidi="ar"/>
              </w:rPr>
              <w:t>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外机噪音dB（A）：≤51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循环风量（m²/h）：≥650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电源规格（PH-V-Hz）：1-220-50</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trPr>
        <w:tc>
          <w:tcPr>
            <w:tcW w:w="42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w:t>
            </w:r>
          </w:p>
        </w:tc>
        <w:tc>
          <w:tcPr>
            <w:tcW w:w="13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3P空调</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能效等级：≥3级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冷暖类型：冷暖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额定制冷量（W）：≥7200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额定制热量（W）：≥9050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额定制冷功率（W）：≤2400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额定制热功率（W）：≤3100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电辅热（W）：≥2100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内机噪音dB（A）（低档-高档）：35-45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外机噪音dB（A）：≤56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循环风量（m²/h）：≥1210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电源规格（PH-V-Hz）：1-220-50</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bl>
    <w:p>
      <w:pPr>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outlineLvl w:val="1"/>
        <w:rPr>
          <w:rFonts w:hint="eastAsia"/>
          <w:b/>
          <w:bCs/>
          <w:lang w:eastAsia="zh-CN"/>
        </w:rPr>
      </w:pPr>
      <w:r>
        <w:rPr>
          <w:rFonts w:hint="eastAsia"/>
          <w:b/>
          <w:bCs/>
          <w:lang w:eastAsia="zh-CN"/>
        </w:rPr>
        <w:t>第四包：</w:t>
      </w:r>
    </w:p>
    <w:p>
      <w:pPr>
        <w:outlineLvl w:val="9"/>
        <w:rPr>
          <w:rFonts w:hint="eastAsia"/>
          <w:b/>
          <w:bCs/>
          <w:lang w:eastAsia="zh-CN"/>
        </w:rPr>
      </w:pPr>
    </w:p>
    <w:tbl>
      <w:tblPr>
        <w:tblStyle w:val="22"/>
        <w:tblW w:w="7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
        <w:gridCol w:w="834"/>
        <w:gridCol w:w="4580"/>
        <w:gridCol w:w="606"/>
        <w:gridCol w:w="549"/>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9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惠育</w:t>
            </w:r>
            <w:r>
              <w:rPr>
                <w:rFonts w:hint="eastAsia" w:ascii="宋体" w:hAnsi="宋体" w:eastAsia="宋体" w:cs="宋体"/>
                <w:b/>
                <w:bCs/>
                <w:i w:val="0"/>
                <w:iCs w:val="0"/>
                <w:color w:val="000000"/>
                <w:kern w:val="0"/>
                <w:sz w:val="21"/>
                <w:szCs w:val="21"/>
                <w:u w:val="none"/>
                <w:lang w:val="en-US" w:eastAsia="zh-CN" w:bidi="ar"/>
              </w:rPr>
              <w:t>小学监控系统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技术规格</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1"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高清红外网络摄像机（枪机）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具有400万像素 CMOS传感器。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2.最低照度彩色≤0.005 lx，黑白≤0.0005 lx。</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3.补光距离≥30米。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4.动态范围≥106dB。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5.信噪比≥62dB。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6.需支持IP≥67防尘防水。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7.需支持DC12V供电，且在≥DC12V±30%范围内变化时可以正常工作。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提供</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用于周界道路、大门口、教学楼内走廊、上下楼梯通道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1"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摄像机支架（枪机）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1.外观 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2.适用范围 适合枪型、筒型、一体型摄像机壁装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3.材料 铝合金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4.调整角度 水平：360°，垂直：-45°~45°</w:t>
            </w:r>
            <w:r>
              <w:rPr>
                <w:rFonts w:hint="eastAsia" w:ascii="宋体" w:hAnsi="宋体" w:eastAsia="宋体" w:cs="宋体"/>
                <w:i w:val="0"/>
                <w:iCs w:val="0"/>
                <w:color w:val="000000"/>
                <w:kern w:val="0"/>
                <w:sz w:val="21"/>
                <w:szCs w:val="21"/>
                <w:u w:val="none"/>
                <w:lang w:val="en-US" w:eastAsia="zh-CN" w:bidi="ar"/>
              </w:rPr>
              <w:br w:type="textWrapping"/>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用于周界道路、大门口、教学楼内走廊、上下楼梯通道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5"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轻智能警戒网络摄像机（围墙枪机）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需具备区域入侵、越界入侵、进入区域、离开区域等功能，报警检测目标可设置为人体、车辆、人体和车辆三种类别。</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2.支持声音报警功能，报警声音类型不小于10种，报警音量及重复次数可设置。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3.需具备智能报警防干扰功能，当在设定的检测范围内出现光线明暗变化、篮球滚动、狗行走、树摇晃时，不触发报警。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4.采用深度学习硬件及算法，支持越界侦测，区域入侵侦测，进入区域侦测和离开区域侦测，支持联动声音报警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5.最低照度≤彩色：0.005 Lux @（F1.2，AGC ON），0 Lux with IR</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6.宽动态≥120 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7.补光灯类型: 智能补光，可切换白光灯、红外灯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8.补光距离: 红外光最远≥50 m，白光最远≥30 m</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主要用于围墙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摄像机支架（围墙枪机）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1.外观 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2.适用范围 适合枪型、筒型。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3.材料 铝合金</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主要用于围墙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高清红外网络摄像机（半球）</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具有400万像素 CMOS传感器。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2.分辨率≥2560x1440。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3.红外（激光）摄像机在≥30米距离下应能探测到目标。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4.在2560x1440@25fps下，清晰度≥1400TVL。最大亮度鉴别等级不小于11级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5.信噪比≥55dB。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6.摄像机能够在≥-30~60摄氏度，湿度≥93%环境下稳定工作。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7.≥IP66防尘防水等级。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8.摄像机应能在DC（12±25%）V范围内正常工作，支持POE供电。</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9.射频电磁场辐射抗扰度限值应符合GB/T 17626.3-2006中试验等级3的规定。</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10.传导骚扰限值应符合GB/T 9254-2008中等级A的规定。</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11.辐射骚扰限值应符合GB/T 9254-2008中等级A的规定。</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用于上课教室、学生活动部室内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摄像机支架（半球）</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1.外观 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2.适用范围 适合半球摄像机壁装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3.材料 铝合金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4.调整角度 水平：360°，垂直：-45°~45°</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用于上课教室、学生活动部室内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摄像机电源</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1.12V/1A圆头、两端带线式，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2.国标，输入线长500mm，输出线长1000mm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3.输入电压：AC100V~240V</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液晶拼接屏</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50"/>
                <w:rFonts w:hint="default" w:ascii="宋体" w:hAnsi="宋体" w:eastAsia="宋体" w:cs="宋体"/>
                <w:sz w:val="21"/>
                <w:szCs w:val="21"/>
                <w:lang w:val="en-US" w:eastAsia="zh-CN" w:bidi="ar"/>
              </w:rPr>
            </w:pPr>
            <w:r>
              <w:rPr>
                <w:rStyle w:val="50"/>
                <w:rFonts w:hint="eastAsia" w:ascii="宋体" w:hAnsi="宋体" w:eastAsia="宋体" w:cs="宋体"/>
                <w:sz w:val="21"/>
                <w:szCs w:val="21"/>
                <w:lang w:val="en-US" w:eastAsia="zh-CN" w:bidi="ar"/>
              </w:rPr>
              <w:t>1.LED背光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0"/>
                <w:rFonts w:hint="eastAsia" w:ascii="宋体" w:hAnsi="宋体" w:eastAsia="宋体" w:cs="宋体"/>
                <w:sz w:val="21"/>
                <w:szCs w:val="21"/>
                <w:lang w:val="en-US" w:eastAsia="zh-CN" w:bidi="ar"/>
              </w:rPr>
              <w:t>2.支持1920*1080；屏幕高宽比16：9；</w:t>
            </w:r>
            <w:r>
              <w:rPr>
                <w:rStyle w:val="50"/>
                <w:rFonts w:hint="eastAsia" w:ascii="宋体" w:hAnsi="宋体" w:eastAsia="宋体" w:cs="宋体"/>
                <w:sz w:val="21"/>
                <w:szCs w:val="21"/>
                <w:lang w:val="en-US" w:eastAsia="zh-CN" w:bidi="ar"/>
              </w:rPr>
              <w:br w:type="textWrapping"/>
            </w:r>
            <w:r>
              <w:rPr>
                <w:rStyle w:val="50"/>
                <w:rFonts w:hint="eastAsia" w:ascii="宋体" w:hAnsi="宋体" w:eastAsia="宋体" w:cs="宋体"/>
                <w:sz w:val="21"/>
                <w:szCs w:val="21"/>
                <w:lang w:val="en-US" w:eastAsia="zh-CN" w:bidi="ar"/>
              </w:rPr>
              <w:t>3.响应时间≥8ms；对比度≥4000：1；</w:t>
            </w:r>
            <w:r>
              <w:rPr>
                <w:rStyle w:val="50"/>
                <w:rFonts w:hint="eastAsia" w:ascii="宋体" w:hAnsi="宋体" w:eastAsia="宋体" w:cs="宋体"/>
                <w:sz w:val="21"/>
                <w:szCs w:val="21"/>
                <w:lang w:val="en-US" w:eastAsia="zh-CN" w:bidi="ar"/>
              </w:rPr>
              <w:br w:type="textWrapping"/>
            </w:r>
            <w:r>
              <w:rPr>
                <w:rStyle w:val="50"/>
                <w:rFonts w:hint="eastAsia" w:ascii="宋体" w:hAnsi="宋体" w:eastAsia="宋体" w:cs="宋体"/>
                <w:sz w:val="21"/>
                <w:szCs w:val="21"/>
                <w:lang w:val="en-US" w:eastAsia="zh-CN" w:bidi="ar"/>
              </w:rPr>
              <w:t>4.亮度</w:t>
            </w:r>
            <w:r>
              <w:rPr>
                <w:rFonts w:hint="eastAsia" w:ascii="宋体" w:hAnsi="宋体" w:eastAsia="宋体" w:cs="宋体"/>
                <w:b/>
                <w:bCs/>
                <w:i w:val="0"/>
                <w:iCs w:val="0"/>
                <w:color w:val="000000"/>
                <w:kern w:val="0"/>
                <w:sz w:val="21"/>
                <w:szCs w:val="21"/>
                <w:u w:val="none"/>
                <w:lang w:val="en-US" w:eastAsia="zh-CN" w:bidi="ar"/>
              </w:rPr>
              <w:t>≥</w:t>
            </w:r>
            <w:r>
              <w:rPr>
                <w:rStyle w:val="50"/>
                <w:rFonts w:hint="eastAsia" w:ascii="宋体" w:hAnsi="宋体" w:eastAsia="宋体" w:cs="宋体"/>
                <w:sz w:val="21"/>
                <w:szCs w:val="21"/>
                <w:lang w:val="en-US" w:eastAsia="zh-CN" w:bidi="ar"/>
              </w:rPr>
              <w:t>500CD 色彩</w:t>
            </w:r>
            <w:r>
              <w:rPr>
                <w:rFonts w:hint="eastAsia" w:ascii="宋体" w:hAnsi="宋体" w:eastAsia="宋体" w:cs="宋体"/>
                <w:b/>
                <w:bCs/>
                <w:i w:val="0"/>
                <w:iCs w:val="0"/>
                <w:color w:val="000000"/>
                <w:kern w:val="0"/>
                <w:sz w:val="21"/>
                <w:szCs w:val="21"/>
                <w:u w:val="none"/>
                <w:lang w:val="en-US" w:eastAsia="zh-CN" w:bidi="ar"/>
              </w:rPr>
              <w:t>≥</w:t>
            </w:r>
            <w:r>
              <w:rPr>
                <w:rStyle w:val="50"/>
                <w:rFonts w:hint="eastAsia" w:ascii="宋体" w:hAnsi="宋体" w:eastAsia="宋体" w:cs="宋体"/>
                <w:sz w:val="21"/>
                <w:szCs w:val="21"/>
                <w:lang w:val="en-US" w:eastAsia="zh-CN" w:bidi="ar"/>
              </w:rPr>
              <w:t>16.7M；单元拼缝为≤3.5mm（物理）；可视角度≤178°；</w:t>
            </w:r>
            <w:r>
              <w:rPr>
                <w:rStyle w:val="50"/>
                <w:rFonts w:hint="eastAsia" w:ascii="宋体" w:hAnsi="宋体" w:eastAsia="宋体" w:cs="宋体"/>
                <w:sz w:val="21"/>
                <w:szCs w:val="21"/>
                <w:lang w:val="en-US" w:eastAsia="zh-CN" w:bidi="ar"/>
              </w:rPr>
              <w:br w:type="textWrapping"/>
            </w:r>
            <w:r>
              <w:rPr>
                <w:rStyle w:val="50"/>
                <w:rFonts w:hint="eastAsia" w:ascii="宋体" w:hAnsi="宋体" w:eastAsia="宋体" w:cs="宋体"/>
                <w:sz w:val="21"/>
                <w:szCs w:val="21"/>
                <w:lang w:val="en-US" w:eastAsia="zh-CN" w:bidi="ar"/>
              </w:rPr>
              <w:t>5.智能化自动调整；色彩自动校正；无限拼接；内置显示板，模拟数字信号任意输入</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学校门房（监控室）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拼接屏支架</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1.支持前维护；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2.支持液压</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9"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8路超高清解码器</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采用嵌入式架构，专用Linux系统，使用DSP解码。不得采用工控机或者PC机的X86架构。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具有8个HDMI输出接口、1个VGA输入接口、1个DVI输入接口、2个USB口、1个语音对讲输入、1个语音对讲输出、8个音频输出、8个报警输入、8个报警输出、1个RS485接口、4个CVBS输出接口（通过转接头实现）、1个RS232接口，2个千兆网口、2个光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3.具有1个电源指示灯、1个VGA信号接入指示灯和1个DVI信号接入指示灯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4.支持对输入的视频画面进行90°、180°、270°旋转显示。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5.设备接入具有智能行为分析功能的摄像机，可解码显示智能行为分析信息，包括移动侦测、越界入侵、区域入侵、起身离开等，并上传报警信息。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6.支持前端接入智能摄像机，直连前端人脸检测设备，可实时展示人脸检测结果，包括年龄、性别、是否戴眼镜等人脸属性信息；属性直接叠加画面显示。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7.支持黑白名单功能，可设置256个黑白名单；当设置白名单时，只允许白名单IP访问设备；当设置黑名单时，黑名单内IP无法访问设备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8.输入信号接入解码器后上墙显示，支持YUV422上墙显示；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9.支持PC 软件客户端、WEB 浏览器客户端、平台客户端、IPAD、可视化触控平台方式访问管理。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10.支持通过IE浏览器进行网络模式设置，包括设置为流畅性优先/实时性优先。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11.可通过设备抓屏软件，将远程电脑桌面实时解码上墙显示，画面帧率可达30fps。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12.可通过客户端软件导入和导出设备配置参数。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13.可通过客户端软件设置HDMI接口输出分辨率为3840*2160(30Hz、1920*1080(50Hz)、1920*1080(60Hz))、1680*1050(60Hz)、1600*1200(60Hz)、1280*1024(60Hz)、1280*720(60Hz)、1280*720(50Hz)、1024*768(60Hz)。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14.支持1、2、4、6、8、9、10、12、16、25、36画面分割显示；支持平均分割；支持分割线开启/关闭设置，支持底色设置功能。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15.支持通过客户端软件将1路输入视频图像发送至多个输出接口拼接显示，支持1x2、1x3、1x4、1x5、1x6、1x7、1x8、2x1、2x2、2x3、2x4、3x1、3x2、4x1、4x2、5x1、6x1、7x1、8x1的拼接显示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16.支持通过DVI-I视频输入接口接入分辨率为1024*768@60Hz/800*600@60Hz, 1280*1024@60Hz,1280*720@60/50Hz,1280*960@60Hz,1600*1200@60Hz,1920*1080@60/50Hz,1280*800@60Hz/1366*768@60Hz,1440*900@60Hz,1680*1050@60Hz的视频图像并显示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17.支持客户端软件设置底色，当无解码画面时，设置输出显示该底色。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18.可通过客户端软件将显示窗口在多个显示屏间进行拖动或跨屏显示，并可调节显示窗口大小。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19.支持视频轮巡功能，并可在客户端软件设置轮巡计划。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20.支持通过客户端软件对接入的云台进行控制；通过RS-485接口连接键盘实现键盘接入的云台进行控制。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21.可通过客户端软件对设备进行恢复出厂设置。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22.支持NTP校时及客户端软件手动校时两种校时方式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23.音频解码格式支持G.722、G.711A、G.726、G711U、MPEG2-L2、AAC。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25.设备通过高温、低温、恒定湿热试验（高温55±2℃，低温-10±3℃，持续时间2H；相对湿度</w:t>
            </w:r>
            <w:r>
              <w:rPr>
                <w:rFonts w:hint="eastAsia" w:ascii="宋体" w:hAnsi="宋体" w:eastAsia="宋体" w:cs="宋体"/>
                <w:i w:val="0"/>
                <w:iCs w:val="0"/>
                <w:color w:val="000000"/>
                <w:kern w:val="0"/>
                <w:sz w:val="21"/>
                <w:szCs w:val="21"/>
                <w:highlight w:val="none"/>
                <w:u w:val="none"/>
                <w:lang w:val="en-US" w:eastAsia="zh-CN" w:bidi="ar"/>
              </w:rPr>
              <w:t>90%~95%、温度40±2℃，持续时间48H）。</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门房上屏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视频线</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1、HDMI电缆,10m,黑色,</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5"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平台服务器</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2U双路标准机架式服务器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1、CPU：1颗intel至强系列处理器，核数≥10核，主频≥2.2GHz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2、内存：32G*2 DDR4，16根内存插槽，最大支持扩展至2TB内存。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3、硬盘：2块1.2T 10K 2.5寸 SAS硬盘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4、阵列卡：SAS_HBA卡, 支持RAID 0/1/10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5、PCIE扩展：最大可支持6个PCIE扩展插槽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6、网口：2个千兆电口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7、其他接口：1个RJ45管理接口，后置2个USB 3.0接口，前置2个USB2.0接口，1个VGA接口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8、电源：标配550W（1+1）高效铂金CRPS冗余电源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9、含视频监控通道100路。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10、含视频报警软件、黑名单、陌生人</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基础包/系统管理</w:t>
            </w:r>
          </w:p>
        </w:tc>
        <w:tc>
          <w:tcPr>
            <w:tcW w:w="45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1. 要求系统支持国标协议上下级平台级联，支持流媒体集群配置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要求支持接入海康SDK、海康EHOME、海康ISUP5.0、ONVIF、GB/T28181等协议的设备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要求支持监控点的批量迁移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要求支持热成像相机接入，预览回放、热成像温度、烟火识别报警联动等功能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要求支持BS客户端、CS客户端、移动客户端（Android、iOS）视频预览，支持多浏览器实时预览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要求支持对当前预览的窗格和监控点画面进行视图保存，用于后续预览该视图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 要求支持图片实时监控及历史查询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要求支持显示鱼眼图像或矫正后图像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9. 要求支持客户端预览记忆功能，包括当前预览的监控点和当前分屏状态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要求客户端支持自动在1/4/6/7/9/16/24画面分隔模式间进行监控点轮巡预览，轮巡时间可设置，支持全屏显示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要求客户端预览画面支持亮度、对比度、色调、饱和度参数调节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12. 要求支持全景摄像机，实现360度的全景监控，可以对全景区域内的多个目标进行穿越警戒面、区域入侵、进入区域、离开区域行为的检测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 要求预览画面支持监控点信息、语音对讲、开关声音、云台与镜头控制、抓图、多图抓拍等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14. 要求支持控制云台的用户信息叠加到视频画面上，支持按用户的等级对云台进行锁定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 要求客户端支持主/子码流切换和预览码流自适应功能，可按4/9/16分屏进行主子码流切换，低于配置的数时主码流预览，高于配置的数时自动切换为子码流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 要求在预览监控点时可支持一键上墙、热键控制云台、设备对讲和广播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 要求支持在实时预览和录像回放时主动抓取图片用于人脸或人体属性搜索人员轨迹及位置信息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 要求支持将录像回放和录像下载权限分离，支持为用户分配是否具有录像下载权限，支持录像批量下载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19</w:t>
            </w:r>
            <w:r>
              <w:rPr>
                <w:rFonts w:hint="eastAsia" w:ascii="宋体" w:hAnsi="宋体" w:eastAsia="宋体" w:cs="宋体"/>
                <w:i w:val="0"/>
                <w:iCs w:val="0"/>
                <w:color w:val="000000"/>
                <w:kern w:val="0"/>
                <w:sz w:val="21"/>
                <w:szCs w:val="21"/>
                <w:u w:val="none"/>
                <w:lang w:val="en-US" w:eastAsia="zh-CN" w:bidi="ar"/>
              </w:rPr>
              <w:t>. 要求支持视频画面叠加水印，包括视频预览、录像回放、即时回放、录像剪辑、紧急录像和录像下载时叠加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 要求支持定时录像、报警录像和移动侦测录像等录像模式，不同类型录像以不同颜色进行区分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 要求支持录像标签功能，支持搜索、修改、删除标签，并可通过标签定位录像并回放；支持通过车牌搜索定位录像并回放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要求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要求支持32、64倍速录像回放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要求支持人员事件查询，并按照性别、年龄、是否戴眼镜进行筛选；车辆事件查询，并按照车牌、车辆特征进行筛选；支持浓缩播放，并可以设置非关注和关注的播放倍速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 xml:space="preserve">. 要求支持通过C/S客户端和WEB浏览器进行录像的下载；支持本地备份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 xml:space="preserve">. 要求支持移动端预览、回放、监控点收藏等功能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 xml:space="preserve">. 要求支持图片方式实时预览，抓拍间隔可配置，最小时间为1s，支持以图片回放方式查询抓拍过的图片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 xml:space="preserve">. 要求支持NVR、CVR、云存储等多种形态的存储方式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29</w:t>
            </w:r>
            <w:r>
              <w:rPr>
                <w:rFonts w:hint="eastAsia" w:ascii="宋体" w:hAnsi="宋体" w:eastAsia="宋体" w:cs="宋体"/>
                <w:i w:val="0"/>
                <w:iCs w:val="0"/>
                <w:color w:val="000000"/>
                <w:kern w:val="0"/>
                <w:sz w:val="21"/>
                <w:szCs w:val="21"/>
                <w:u w:val="none"/>
                <w:lang w:val="en-US" w:eastAsia="zh-CN" w:bidi="ar"/>
              </w:rPr>
              <w:t>. 要求支持设备录像回传至中心存储，可以支持计划回传和手动回传两种模式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30</w:t>
            </w:r>
            <w:r>
              <w:rPr>
                <w:rFonts w:hint="eastAsia" w:ascii="宋体" w:hAnsi="宋体" w:eastAsia="宋体" w:cs="宋体"/>
                <w:i w:val="0"/>
                <w:iCs w:val="0"/>
                <w:color w:val="000000"/>
                <w:kern w:val="0"/>
                <w:sz w:val="21"/>
                <w:szCs w:val="21"/>
                <w:u w:val="none"/>
                <w:lang w:val="en-US" w:eastAsia="zh-CN" w:bidi="ar"/>
              </w:rPr>
              <w:t xml:space="preserve">. 要求支持能按照指定设备，指定通道进行图像的实时点播，支持点播图像的显示、缩放、抓拍和录像，支持多用户对同一图像资源的同时点播。支持基于GIS地图的图像点播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 xml:space="preserve">. 要求支持能按照指定设备、通道、时间、报警信息等要素检索历史图像资料并回放和下载；回放应支持正常播放、快速播放、慢速播放、逐帧进退、画面暂停、图像抓拍等；应能支持回放录像的缩放显示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要求支持手动切换、定时切换、分组切换和报警切换等视频切换方式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要求支持C/S客户端和移动端APP查询录像时，日期控件上标记当天是否有录像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要求支持移动端APP预览界面的区域树显示总点位数量及在线点位数量，同时此功能支持关闭或打开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 要求移动端APP支持中英文语言并可手动切换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二、电视墙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 要求最大支持管理电视墙100个，监控点上墙出图像耗时小于3秒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要求支持解码设备的管理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 要求支持电视墙场景管理和场景切换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 要求支持大屏控制，可对大屏进行1/4/9/16/25分屏、拼接、开窗、窗口漫游的操作，通过客户端支持电视墙开窗后支持分割，并可将大屏分屏配置另保存为场景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要求iPad大屏客户端支持在iPad上操作监控点上墙、拼接、分屏、漫游、预案切换等操作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6. 要求通过客户端支持预览上墙、回放上墙、轮巡上墙、报警联动上墙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 要求通过客户端支持通过配置窗口分屏数（1/4/9/16/25），使预览上墙分割数等于或大于配置的数时上墙子码流，低于配置的分屏数时上墙主码流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要求支持虚拟LED显示日期和时间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三、支持报警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1.支持周界报警系统弹窗功能。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2.支持越界侦测，区域入侵侦测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3.进入区域侦测和离开区域侦测，支持联动声音报警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提供（公安部检验报告证明）</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6"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视频监控通道</w:t>
            </w:r>
          </w:p>
        </w:tc>
        <w:tc>
          <w:tcPr>
            <w:tcW w:w="4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8"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核心交换机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1.交换容量≥336Gbps/3.36Tbps;包转发率≥51Mpps/108Mpps;管理端口≥1个Console口；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2.业务端口≥24*10/100/1000TX+4*SFP；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3.链路聚合：支持GE端口聚合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4.支持静态聚合；支持动态聚合；支持跨设备聚合；流量控制；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5.支持802.3x流控及半双工背压流控；VLAN支持基于端口的VLAN；支持QinQ；支持Voice VLAN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6.支持静态域名解析；支持动态域名解析客户端；支持IPv4和IPv6地址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7.支持IPv4/IPv6静态路由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8.支持RIP/RIPng，OSPFV1/V2/V3</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4"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汇聚交换机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1.≥24个千兆电口，≥2个SFP；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2.交换容量≥59Gbps；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3.包转发率≥39Mpps；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4.包缓存≥4.1Mbits，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5.防雷≥9KV；标清720P≥24路，高清1080P≥24路</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教学楼汇聚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接入交换机8口</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1.以太网交换机主机,支持≥8 个10/100/1000BASE-T 电口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2.支持≥2 个1000BASE-XSFP 端口,交流供电</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周界围墙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光模块</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单模双纤，千兆，单模</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128路硬盘录像机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u w:val="none"/>
                <w:lang w:val="en-US" w:eastAsia="zh-CN" w:bidi="ar"/>
              </w:rPr>
              <w:t>可支持选配拼控板（2块）：各6个HDMI输出接口，各1个HDMI输入接口；内置多核CPU，具有8G内存，可扩展至64GB；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2.样机采用模块化结构，支持双电源、双风扇，可插拔式安装主板、风扇、电源模块、面板，并且风扇、电源模块、面板可热插拔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3.支持1路8160×3616格式、H.265编码、25fps的视频实时预览。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4.支持图片存储服务，可将NVR作为图片存储服务器，接收并存储前端推送的图片，提供图片URL地址供下载图片。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5.存储安全保障功能，当业务变化导致存储压力过高或硬盘出现性能不足时，系统会开启增强模式优先录像业务存储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6.支持按年龄、性别、眼镜、上衣颜色、骑车、背包等属性分组显示人员录像文件。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7.支持RTMP ，支持主码流、子码流推流，支持符音视频复合流推流，推流延迟最低可控制在1秒以内。支持HLS直播推流协议。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IPv4和IPv6网络协议；支持本地和远程进行IPv6配置，IPv6支持多种模式：路由公告、自动获取、手动配置；支持以IPv6方式登录、取流、配置、检索等功能；支持以IPv6方式接入海康IPC进行预览、参数配置、报警接收和展现、语音对讲、IPC列表导入、IP地址冲突检测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接入带有人体测温功能的IPC，支持在预览界面以卡片形式实时展示体温信息，体温正常为绿色，体温异常为红色，支持根据体温状态联动语音输出，语音支持“体温正常”“体温异常”。支持按体温状态、温度范围检索人脸图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10.可同时选择多个带有客流统计功能的IPC，可自动将多个IPC通道的客流统计数据求和，并按日、周、月、年统计生成报表；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支持组合报警模式，可设置将NVR的报警输入口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12.支持XVR/DVR/NVR等IP设备级联管理和运维管理。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13.支持设置3~16台设备组成集群，集群支持设置1024台IPC接入；添加、删除IPC，添加、删除工作机，工作机宕机时集群自动负载均衡，业务迁移；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14.可同时显示输出40路H.265编码、30fps、1920×1080格式的视频图像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可显示8160×3616（25帧/秒）、8208x3072（25帧/秒）、8160×2304（25帧/秒）、6912x2800(25帧/秒)、5760x1696(25帧/秒)、5520×2400（25帧/秒）、4096×2160（25帧/秒）、4000×3000（25帧/秒）、3840×2160（25帧/秒）、3072×2048（25帧/秒）、2560×2048（25帧/秒）、2048×1536（25帧/秒）、1920×1080（25帧/秒）、1280×720（25帧/秒）、704×576（25帧/秒）分辨率码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16.磁盘阵列功能： 可设置为RAID0、RAID1、RAID5、RAID6、RAID10、RAID50、RAID60、JBOD模式；支持一键创建RAID5阵列功能；支持开启RAID后，系统接入带宽、存储带宽、转发带宽、回放带宽不下降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样机可通过HDMI1、HDMI2、VGA接口以及LCD触控屏输出4屏视频图像；样机支持主辅屏，可设置HDMI1、HDMI2、VGA接口2屏异源输出视频图像，可分别控制预览、回放、配置等操作，并且每个接口可设置64/36/32/25/16/9/8/6/4/2/1分屏预览，最大支持192个分屏预览，用户可自定义画面分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18.多级扩展柜存储：样机每个miniSAS接口可级联2台扩展存储柜。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19.接入具有断网续传功能的网络摄像机，当设备与摄像机之间网络中断并恢复后，可自动接收摄像机内存储的视频图像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20.支持接入具有人脸抓拍功能的门禁设备，可预览门禁主机的视频画面，触发人脸抓拍时，通过客户端软件可设定报警提示并联动录像、弹出报警画面、发送语音提示、发送邮件。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21.支持N＋1热备功能，支持设置一台设备为其他多台设备的热备机，最多支持32台主设备，当主设备断网时，备份设备替换主设备进行录像工作；当主设备正常时，备份机可回传录像文件至主设备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22.可对IP通道进行图像虚焦、亮度异常、图像偏色、雪花干扰、条纹干扰等类型视频质量诊断并给出诊断结果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具有2个HDMI接口、1个VGA接口、4个RJ45网络接口、4个光传输接口、1个eSata接口、1个RS232接口、1路音频输入接口、1路音频输出接口、2个miniSAS扩展接口、48路报警输入接口、24路报警输出接口、1个键盘485接口、9个RS485接口、2个USB3.0接口、1个USB2.0接口、16个硬盘接口，可接入16个SATA接口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24.具有电源指示灯、硬盘指示灯、网络指示灯、系统运行状态指示灯、智能模块指示灯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25.企业技术要求：可接入128路分辨率为1920x1080的视频图像，总码率最大为512Mbps；可存储128路分辨率为1920x1080的视频图像，总码率最大为512Mbps；可转发128路分辨率为1920x1080的视频图像，总码率最大为512Mbps；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26.可接入1T、2T、3T、4T、6T、8T、10T、12TB、14TB、16TB容量的SATA接口硬盘；可接入AI硬盘；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27.接入警戒摄像机，支持对IPC的声音和闪光参数进行配置， 支持通过移动侦测、区域入侵、越界侦测、进入区域和离开区域事件联动一个或多个IPC的声光报警，可以对声光联动一键撤防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28.支持设置存储条数，达到存储条数上限支持循环覆盖，日志存储数量可设置为30万、50万或100万条；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29.支持设置日志保存周期，达到存储天数上限支持循环覆盖，存储周期可设置为30天、90天或180天。具有抗丢包（5%）处理能力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支持对实时音频中特殊关键字识别，支持的关键字有抢劫、救命、汇款、评价、诈骗、卡号、请确认、身份证、证件号、密码等，支持根据报警关键字进行报警联动提示，可根据语音关键字检索相关历史录像回放查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31.支持自动维护功能，可根据设置时间点启用系统自动维护流程，包括自检、重启、取流、录像、恢复系统运行。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提供（公安部检验报告证明）</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共计69路摄像机存储30天以上所需的存储设备及硬盘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HDD,ST6000VX001,6TB,5400,3.5'',SATA 3.0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3"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防欺凌报警</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1.报警盒：单按键非可视报警盒（可配合视频监控使用）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2.双麦克风阵列，支持智能噪声抑制和回声消除处理，音质更清晰；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3.支持Ehome/萤石云/GB28181平台接入/HIK_SIP；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4.支持≥256G Micro SD存储卡；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5.支持≥2路I/O输入，2路I/O输出，支持警灯警号独立控制；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6.支持≥2个RJ45 10M/100M自适应以太网口；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7.支持≥IP54防护等级;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8.支持PoE(802.3 af)，标配DC12V@2A电源适配器；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9.支持防拆报警/喧哗报警等功能；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10.支持关键词语音识别、语音报警等功能。</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主要用于卫生间，校园隐蔽角落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工作台</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 1200*900*750，含椅子2把</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4"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UPS电源主机</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1.容量：10KVA，二进二出UPS，机器外观为黑色。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2.UPS电源要求采用LCD液晶显示，中文显示。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3.要求UPS的支持下进线安装。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4.UPS具有经济运行模式，经济模式和逆变模式转换时间＜4ms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5.输入功因＞0.99。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6.输入电流谐波＜3%。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7.整机效率＞94%。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8.输入电压范围：-50%--+20%。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9.105%的负载可以持续工作，过载125%持续10分钟.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10.UPS能够正面在线维护和更换风扇，无需停机和拆装机器外壳。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12.UPS需具备并机功能。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13.电池组直流电压可调，电池数量可变。</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所有前段摄像机供电均是集中供电、主要包含安防网络设备、核心存储设备、前段摄像机、不含拼接屏设备。不少于30min。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1"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蓄电池</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1.环境温度：-150C～450C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2.结构：蓄电池的正、负端子有明显标志4.气密性：蓄电池应能承受50KPa的正压或负压而不破裂、不开胶，压力释放后壳体无残余变形。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.防酸雾性能：电池在正常浮充过程中应无酸雾逸出。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.安全性：在正常使用下无电解液漏出，无电池膨胀及破裂，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.电池间连接电压降≦10mV。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.端电压的均衡性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（1）对于单体蓄电池，其各电池间的开路电压最高与最低差值应满足12V蓄电池≤100mV。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（2）蓄电池进入浮充状态24小时后，各蓄电池之间的端电压差≤90Mv(2V蓄电池)。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.防爆性能：蓄电池在充电过程中，蓄电池外部遇明火时，不应内部爆炸。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.寿命：蓄电池的设计浮充寿命≥10年。</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蓄电池柜</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定制蓄电池柜（可同时置放UPS主机及电源）</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UPS电气配线</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UPS所需的电源线：YJV-3*6m，配件，套管、铜鼻子，2P12A空开</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控制主机（含显示器）</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I5/1T/8G/24寸</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光缆</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12芯单模光缆</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服务器机柜</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42U，参考尺寸：600*1000*2000mm</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防雨箱</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参考尺寸300*400*120mm</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监控箱</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国标6U</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防雨盒</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参考尺寸180*120*90mm</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网线</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六类非屏蔽网线</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主电源线</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 RVV2*1.5</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分电源线</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 RVV2*1.0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Style w:val="50"/>
                <w:rFonts w:hint="eastAsia" w:ascii="宋体" w:hAnsi="宋体" w:eastAsia="宋体" w:cs="宋体"/>
                <w:sz w:val="21"/>
                <w:szCs w:val="21"/>
                <w:lang w:val="en-US" w:eastAsia="zh-CN" w:bidi="ar"/>
              </w:rPr>
              <w:t>25配管及配件/39*18PVC线槽</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9" w:hRule="atLeast"/>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安装调试费</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1.学校既有24台摄像机拆除挪移安装调试；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2.新增69台摄像机安装调试；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3.防欺凌报警10台安装调试；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4.视频监控系统平台设备安装调试；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5.所有点位配管布线人工；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6.光缆配件及熔纤；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7.所安装点位的配件及辅材；</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bl>
    <w:p>
      <w:pPr>
        <w:outlineLvl w:val="9"/>
        <w:rPr>
          <w:rFonts w:hint="eastAsia"/>
          <w:lang w:eastAsia="zh-CN"/>
        </w:rPr>
      </w:pPr>
    </w:p>
    <w:p>
      <w:pPr>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outlineLvl w:val="1"/>
        <w:rPr>
          <w:rFonts w:hint="eastAsia"/>
          <w:b/>
          <w:bCs/>
          <w:lang w:eastAsia="zh-CN"/>
        </w:rPr>
      </w:pPr>
      <w:r>
        <w:rPr>
          <w:rFonts w:hint="eastAsia"/>
          <w:b/>
          <w:bCs/>
          <w:lang w:eastAsia="zh-CN"/>
        </w:rPr>
        <w:t>第五包：</w:t>
      </w:r>
    </w:p>
    <w:p>
      <w:pPr>
        <w:rPr>
          <w:rFonts w:hint="eastAsia"/>
          <w:lang w:eastAsia="zh-CN"/>
        </w:rPr>
      </w:pPr>
    </w:p>
    <w:p>
      <w:pPr>
        <w:rPr>
          <w:rFonts w:hint="eastAsia"/>
          <w:lang w:eastAsia="zh-CN"/>
        </w:rPr>
      </w:pPr>
    </w:p>
    <w:tbl>
      <w:tblPr>
        <w:tblStyle w:val="22"/>
        <w:tblW w:w="81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85"/>
        <w:gridCol w:w="1214"/>
        <w:gridCol w:w="4185"/>
        <w:gridCol w:w="76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5" w:type="dxa"/>
            <w:vMerge w:val="restar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惠育</w:t>
            </w:r>
            <w:r>
              <w:rPr>
                <w:rFonts w:hint="eastAsia" w:ascii="宋体" w:hAnsi="宋体" w:eastAsia="宋体" w:cs="宋体"/>
                <w:i w:val="0"/>
                <w:iCs w:val="0"/>
                <w:color w:val="000000"/>
                <w:kern w:val="0"/>
                <w:sz w:val="24"/>
                <w:szCs w:val="24"/>
                <w:highlight w:val="none"/>
                <w:u w:val="none"/>
                <w:lang w:val="en-US" w:eastAsia="zh-CN" w:bidi="ar"/>
              </w:rPr>
              <w:t>小学</w:t>
            </w:r>
          </w:p>
        </w:tc>
        <w:tc>
          <w:tcPr>
            <w:tcW w:w="585" w:type="dxa"/>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214"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类别</w:t>
            </w:r>
          </w:p>
        </w:tc>
        <w:tc>
          <w:tcPr>
            <w:tcW w:w="4185" w:type="dxa"/>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参数</w:t>
            </w:r>
          </w:p>
        </w:tc>
        <w:tc>
          <w:tcPr>
            <w:tcW w:w="765"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825"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585"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c>
          <w:tcPr>
            <w:tcW w:w="585"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w:t>
            </w:r>
          </w:p>
        </w:tc>
        <w:tc>
          <w:tcPr>
            <w:tcW w:w="1214"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会议桌椅（一桌二椅）</w:t>
            </w:r>
          </w:p>
        </w:tc>
        <w:tc>
          <w:tcPr>
            <w:tcW w:w="418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参考规格：1200Wx400Dx750H   </w:t>
            </w:r>
          </w:p>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环保E1级MFC板材,厚度大于16mm.国标环保水性漆2.五金配件均采用国标产品。间隙合理、均匀。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2.座椅的腿、撑、架采用烘干的硬杂木（青杠、桦、槐、榆等）无虫眼、无腐朽、无死节。海绵坐垫厚不低于35mm、靠背厚不低于15mm、回弹力不低于45%。黑色西皮达到0.6mm厚以上。喷漆部分色泽一致，均匀</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3.甲荃释发量符合GB/T14732---93规定游离甲荃释发量</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58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5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主席台座椅</w:t>
            </w:r>
          </w:p>
        </w:tc>
        <w:tc>
          <w:tcPr>
            <w:tcW w:w="418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规格：软包实木扶手椅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1.座椅的腿、撑、架采用烘干的硬杂木（青杠、桦、槐、榆等）无虫眼、无腐朽、无死节。</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2.海绵坐垫厚不低于35mm、靠背厚不低于15mm、回弹力不低于45%。黑色牛皮纹路细致均称，色泽均匀柔软而有弹性，无异味皮达到0.6mm厚以上。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3.喷漆部分色泽一致，均匀规格。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4.甲荃释发量符合GB/T14732---93规定游离甲荃释发量</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585"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p>
        </w:tc>
        <w:tc>
          <w:tcPr>
            <w:tcW w:w="585"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3</w:t>
            </w:r>
          </w:p>
        </w:tc>
        <w:tc>
          <w:tcPr>
            <w:tcW w:w="12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主席台会议桌</w:t>
            </w:r>
          </w:p>
        </w:tc>
        <w:tc>
          <w:tcPr>
            <w:tcW w:w="418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参考规格：</w:t>
            </w:r>
          </w:p>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1200Wx700Dx750H*2张.2100Wx700Dx750H*1张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1.国标环保E1级MFC板材,厚度大于16mm.优质环保皮写垫。实木封边，封边厚度≥5 毫米；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2.油漆:采用国标环保水性优质面漆、底漆，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3.五金配件均采用国标产品。经过防锈、防腐处理间隙合理、均匀。 </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5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2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会议室演讲台</w:t>
            </w:r>
          </w:p>
        </w:tc>
        <w:tc>
          <w:tcPr>
            <w:tcW w:w="418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参考规格：600Wx400Dx1100H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1.国标环保E1级MFC板材,厚度大于16mm.优质环保皮写垫。实木封边，封边厚度≥5 毫米；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2.油漆:采用国标环保水性优质面漆、底漆，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3.五金配件均采用国标产品。经过防锈、防腐处理间隙合理、均匀。 </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个</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85"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p>
        </w:tc>
        <w:tc>
          <w:tcPr>
            <w:tcW w:w="585"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w:t>
            </w:r>
          </w:p>
        </w:tc>
        <w:tc>
          <w:tcPr>
            <w:tcW w:w="12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操作台</w:t>
            </w:r>
          </w:p>
        </w:tc>
        <w:tc>
          <w:tcPr>
            <w:tcW w:w="418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参考规格：1600Wx800Dx750Hmm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1.国标环保E1级MFC板材,厚度大于16mm.优质环保皮写垫。实木封边，封边厚度≥5 毫米；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2.油漆:采用国标环保水性优质面漆、底漆，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3.五金配件均采用国标产品。经过防锈、防腐处理间隙合理、均匀。 </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85" w:type="dxa"/>
            <w:vMerge w:val="continue"/>
            <w:noWrap/>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000000"/>
                <w:kern w:val="0"/>
                <w:sz w:val="22"/>
                <w:szCs w:val="22"/>
                <w:highlight w:val="none"/>
                <w:u w:val="none"/>
                <w:lang w:val="en-US" w:eastAsia="zh-CN" w:bidi="ar"/>
              </w:rPr>
            </w:pPr>
          </w:p>
        </w:tc>
        <w:tc>
          <w:tcPr>
            <w:tcW w:w="585" w:type="dxa"/>
            <w:noWrap/>
            <w:vAlign w:val="center"/>
          </w:tcPr>
          <w:p>
            <w:pPr>
              <w:keepNext w:val="0"/>
              <w:keepLines w:val="0"/>
              <w:widowControl/>
              <w:suppressLineNumbers w:val="0"/>
              <w:jc w:val="center"/>
              <w:textAlignment w:val="center"/>
              <w:rPr>
                <w:rFonts w:ascii="仿宋_GB2312" w:hAnsi="宋体" w:eastAsia="仿宋_GB2312" w:cs="仿宋_GB2312"/>
                <w:b w:val="0"/>
                <w:bCs w:val="0"/>
                <w:i w:val="0"/>
                <w:iCs w:val="0"/>
                <w:color w:val="000000"/>
                <w:sz w:val="22"/>
                <w:szCs w:val="22"/>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w:t>
            </w:r>
          </w:p>
        </w:tc>
        <w:tc>
          <w:tcPr>
            <w:tcW w:w="1214" w:type="dxa"/>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讲桌</w:t>
            </w:r>
          </w:p>
        </w:tc>
        <w:tc>
          <w:tcPr>
            <w:tcW w:w="4185" w:type="dxa"/>
            <w:noWrap w:val="0"/>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环保E1级MFC板材,厚度大于16mm.国标环保热溶pVc封边。</w:t>
            </w:r>
          </w:p>
          <w:p>
            <w:pPr>
              <w:keepNext w:val="0"/>
              <w:keepLines w:val="0"/>
              <w:widowControl/>
              <w:numPr>
                <w:ilvl w:val="0"/>
                <w:numId w:val="9"/>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20"/>
                <w:szCs w:val="20"/>
                <w:highlight w:val="none"/>
                <w:u w:val="none"/>
                <w:lang w:val="en-US" w:eastAsia="zh-CN" w:bidi="ar"/>
              </w:rPr>
              <w:t>五金配件均采用国标产品，开合次数不少于5万次。门推拉自如、间隙合理、均匀。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3.甲荃释发量符合GB/T14732---93规定游离甲荃释发量</w:t>
            </w: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8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bl>
    <w:p>
      <w:pPr>
        <w:rPr>
          <w:rFonts w:hint="eastAsia"/>
          <w:highlight w:val="yellow"/>
          <w:lang w:eastAsia="zh-CN"/>
        </w:rPr>
      </w:pPr>
    </w:p>
    <w:tbl>
      <w:tblPr>
        <w:tblStyle w:val="22"/>
        <w:tblW w:w="84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3"/>
        <w:gridCol w:w="523"/>
        <w:gridCol w:w="1654"/>
        <w:gridCol w:w="4671"/>
        <w:gridCol w:w="531"/>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23"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雷寨小学</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657"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4676"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2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学生单人桌椅</w:t>
            </w:r>
          </w:p>
        </w:tc>
        <w:tc>
          <w:tcPr>
            <w:tcW w:w="467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1.桌面参考尺寸：400mm×600 mm ×18mm环保型实木多层板、一次注塑封边成型，桌面右上方设有笔槽。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2.主架、支架参考尺寸： 桌腿单侧、单柱升降式外套椭圆管60mm×30mm，内套椭圆管50mm×20mm，双边单柱间横管连接 50mm×25mm，椭圆管。地脚管为55mm×30mm椭圆管.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3.桌屉：课桌设计单层屉斗，桌屉≧0.6mm冷轧钢板，钢板模具冲压一次成型，无焊接，参考尺寸规格为450mm×310mm×150mm，铁质部分为浅灰色，桌斗侧面冲孔。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4.升降装置：升降固定装置外套管管面单侧打孔后，内置管单侧冲压打丝轨后，上入下套结合后8mm盘头内六角螺丝打紧固定。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5.焊接：焊接无灰渣，气孔，焊瘤；无脱焊，虚焊，焊穿；精细打磨，光洁平整，保证产品的强度；所有焊线打磨平整，保证架体美观。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二、课椅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1.靠背参考尺寸：靠背尺寸430mm×230mm，环保型实木多层板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2.坐板参考尺寸规格：座板尺寸385mm×380mm环保型实木多层板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3.主架参考尺寸：椅腿单侧、单柱升降式外套椭圆管60mm×30mm，内套椭圆管50mm×20mm，横管连接≧ 40mm×20mm，椭圆管。地脚管为55mm×30mm椭圆管。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4.脚套：课桌的两条脚管的两端均配专用脚套，脚套采用ABS工程塑料聚烯。经注塑，冲压一次成型，耐磨，凹凸设计具有防滑。</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2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6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教师讲桌</w:t>
            </w:r>
          </w:p>
        </w:tc>
        <w:tc>
          <w:tcPr>
            <w:tcW w:w="467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木制多媒体讲台参考尺寸:700 m m*600mm*950mm ，整体釆用≥18 mm 厚中纤板表面双贴三胺板饰面，四边2.0 mm 厚pvc 封边，三合一扣件连接，预留主机箱，功放等设备空间，装置散热窗，接线孔。</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bl>
    <w:p>
      <w:pPr>
        <w:rPr>
          <w:rFonts w:hint="eastAsia"/>
          <w:lang w:eastAsia="zh-CN"/>
        </w:rPr>
      </w:pPr>
    </w:p>
    <w:tbl>
      <w:tblPr>
        <w:tblStyle w:val="22"/>
        <w:tblW w:w="881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69"/>
        <w:gridCol w:w="723"/>
        <w:gridCol w:w="1309"/>
        <w:gridCol w:w="832"/>
        <w:gridCol w:w="750"/>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楼阁台小学</w:t>
            </w: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406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会议桌</w:t>
            </w:r>
          </w:p>
        </w:tc>
        <w:tc>
          <w:tcPr>
            <w:tcW w:w="130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6000Wx1600Dx750H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尺寸规格约380mm*400mm*400mm优质环保E1级MFC板材,厚度大于16mm.国标环保热溶pVc封边。2.五金国标优质五金配件，开合次数不少于5万次。门推拉自如、间隙合理、均匀。柜体上设计不少于55柜小门。（其中包括卫生清洁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3.甲醛释发量符合GB/T14732---93规定游离甲醛释发量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会议椅</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木制</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椅的腿、撑、架采用烘干的硬杂木（青杠、桦、槐、榆等）无虫眼、无腐朽、无死节。海绵坐垫厚不低于35mm、靠背厚不低于15mm、回弹力不低于45%。黑色西皮达到0.6mm厚以上。喷漆部分色泽一致，均匀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茶水柜</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1200W*400D*800H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基材采用国标环保型不小于16mm厚的中密度板，所有板材，经过烘干、防虫、防腐处理。结构配件均采用国际通用的“32”系列连接件。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2、各棱角为均R型，脚腿带防滑橡胶软垫脚。门、抽屉推拉自如、间隙合理、均匀。选用胡桃色木木皮贴面。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3、采用无毒绝缘的环保聚酯漆配方。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图书架</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1000Wx400Dx1500H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国标铝合金型材定制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三人位沙发</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2000W*860D*880H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靠背和座垫海绵：采用高密度聚氨酯发泡海绵，靠背及座垫海绵密度均为55kg/m3，座板及靠背外板表面采用高档环保聚脂漆油漆面，整体造型根据人体工程学及力学原理设计。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1.2米茶几</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1200W*600D*450H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1、基材采用国标环保型不小于16mm厚的中密度板，所有板材，经过烘干、防虫、防腐处理。结构配件均采用国际通用的“32”系列连接件。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2、各棱角为均R型，脚腿带防滑橡胶、基材采用国标环保型不小于16mm厚的中密度板，所有板材，经过烘干、防虫、防腐处理。结构配件均采用国际通用的“32”系列连接件。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沙发</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靠背和座垫海绵：采用高密度聚氨酯发泡海绵，靠背及座垫海绵密度均为55kg/m3，座板及靠背外板表面采用高档环保聚脂漆油漆面，整体造型根据人体工程学及力学原理设计。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小条几</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480W*680D*550H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1、基材采用国标环保型不小于16mm厚的中密度板，所有板材，经过烘干、防虫、防腐处理。结构配件均采用国际通用的“32”系列连接件。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2、各棱角为均R型，脚腿带防滑橡胶软垫脚。门、抽屉推拉自如、间隙合理、均匀。选用胡桃色木木皮贴面。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3、采用无毒绝缘的环保聚酯漆配方。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教师办公桌</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1400W*700D*750H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1环保E1级环保MFC板材厚度大于16mm.国标环保热溶pVc封边。</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五金国标优质五金配件。三节滑道锁具，开合次数不少于5万次。门、抽屉推拉自如、间隙合理、均匀。</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3.甲醛释发量符合GB/T14732---93规定游离甲醛释发量。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办公椅</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常规</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椅的腿、撑、架采用烘干的硬杂木（青杠、桦、槐、榆等）无虫眼、无腐朽、无死节。海绵坐垫厚不低于35mm、靠背厚不低于15mm、回弹力不低于45%。黑色西皮达到0.6mm厚以上。喷漆部分色泽一致，均匀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四门书柜</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2300W*420D*2000H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06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1、基材采用国标环保型不小于16mm厚的中密度板，所有板材，经过烘干、防虫、防腐处理。结构配件均采用国际通用的“32”系列连接件。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2、各棱角为均R型，脚腿带防滑橡胶、基材采用国标环保型不小于16mm厚的中密度板，所有板材，经过烘干、防虫、防腐处理。结构配件均采用国际通用的“32”系列连接件。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50门储物柜</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65000Wx400Dx1200H</w:t>
            </w: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4066" w:type="dxa"/>
            <w:noWrap w:val="0"/>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规格约380mm*400mm*400mm优质环保E1级MFC板材,厚度大于16mm.国标环保热溶pVc封边。</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五金国标优质五金配件，开合次数不少于5万次。门推拉自如、间隙合理、均匀。柜体上设计不少于55柜小门。（其中包括卫生清洁柜）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3.甲醛释发量符合GB/T14732---93规定游离甲醛释发量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9"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7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教师窗帘</w:t>
            </w:r>
          </w:p>
        </w:tc>
        <w:tc>
          <w:tcPr>
            <w:tcW w:w="1309"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832"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5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406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遮光、耐磨</w:t>
            </w:r>
          </w:p>
        </w:tc>
      </w:tr>
    </w:tbl>
    <w:p>
      <w:pPr>
        <w:pStyle w:val="2"/>
        <w:rPr>
          <w:rFonts w:hint="eastAsia"/>
          <w:lang w:eastAsia="zh-CN"/>
        </w:rPr>
        <w:sectPr>
          <w:pgSz w:w="11906" w:h="16838"/>
          <w:pgMar w:top="1440" w:right="1800" w:bottom="1440" w:left="1800" w:header="851" w:footer="992" w:gutter="0"/>
          <w:pgNumType w:fmt="decimal"/>
          <w:cols w:space="720" w:num="1"/>
          <w:docGrid w:type="lines" w:linePitch="312" w:charSpace="0"/>
        </w:sectPr>
      </w:pPr>
    </w:p>
    <w:p>
      <w:pPr>
        <w:outlineLvl w:val="1"/>
        <w:rPr>
          <w:rFonts w:hint="default"/>
          <w:b/>
          <w:bCs/>
          <w:lang w:val="en-US" w:eastAsia="zh-CN"/>
        </w:rPr>
      </w:pPr>
      <w:r>
        <w:rPr>
          <w:rFonts w:hint="eastAsia"/>
          <w:b/>
          <w:bCs/>
          <w:lang w:eastAsia="zh-CN"/>
        </w:rPr>
        <w:t>第六包：楼阁台小学：智慧黑板、</w:t>
      </w:r>
      <w:r>
        <w:rPr>
          <w:rFonts w:hint="eastAsia"/>
          <w:b/>
          <w:bCs/>
          <w:lang w:val="en-US" w:eastAsia="zh-CN"/>
        </w:rPr>
        <w:t>LED屏幕、计算机教室、监控、无线网络</w:t>
      </w:r>
    </w:p>
    <w:p>
      <w:pPr>
        <w:outlineLvl w:val="9"/>
        <w:rPr>
          <w:rFonts w:hint="eastAsia"/>
          <w:lang w:eastAsia="zh-CN"/>
        </w:rPr>
      </w:pPr>
    </w:p>
    <w:tbl>
      <w:tblPr>
        <w:tblStyle w:val="2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67"/>
        <w:gridCol w:w="4997"/>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845" w:type="dxa"/>
            <w:gridSpan w:val="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计算机教室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4997"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578"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578"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云服务器</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单台云终端控制器可以同时支持至少200点云终端的连接、管理和配置，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CPU：配置≥Intel第10代四核处理器（处理器主频≥3.6GHz）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内存：≥16GB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存储：≥512 GB SSD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网口：不少于1个千兆网口</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学生-云终端</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为保证教学软件及考试系统的兼容效果和稳定运行，所有终端均需采用x86架构，且为国内自主品牌。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配置=intel  ≥4核2.0GHz；内存≥4GB DDR4；本地存储≥128 GB SSD；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USB接口≥6个（包含2个USB 3.0接口），1个千兆网口，1个VGA接口，1个HDMI接口，1对音频输入输出接口，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投标所选终端需提供3C证书及节能证书。提供证书复印件。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云终端(学生机)具有安全防护能力，能实时对桌面云的使用性能与安全性进行安全运维管理。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要求云服务器、学生云终端为同一品牌。</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教师机终端</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软硬件一体化设备，内置虚拟化系统和软件。提供虚拟化系统软件著作权证书复印件。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配置≥Intel第十代i5六核处理器（处理器主频≥2.9GHz）；内存≥8GB，显卡≥Intel UHD 630；本地存储≥256 GB SSD；802.11ac无线网卡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USB接口≥8个（包含≥4个USB 3.0接口），≥1个千兆网口，≥1个VGA接口，≥1个HDMI接口，≥1对音频输入输出接口。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要求云服务器、学生云终端、教师云终端为同一品牌。</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教学管理软件</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老师可以通过教学管理软件对学生一键切换不同的教学镜像，切换模式时，云终端硬件无需重新启动，要求提供功能截图。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通过教学管理软件，一键关闭云终端后，所有终端自动关闭；通过教学管理软件，一键开启所有云终端后，终端自动启动并进入对应的课程镜像桌面；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教学管理软件提供远程终端编号功能，方便上课前的学生点名等，要求提供功能截图。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支持老师对单一、部分、全体学生进行黑屏操作，黑屏状态下，学生的机器被锁定，要求提供学生锁屏界面截图并加盖公章。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在教师机可以实现屏幕广播；在屏幕广播的同时，老师可以选择是否广播声音给学生，提供功能截图。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支持通过教学管理软件实现一键禁止任意学生上网，禁网同时需要支持屏幕广播、屏幕查看等正常教学应用，提供功能截图。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教学管理软件默认提供作业布置、批改、管理和成绩统计功能组件，提供学生作业的归档和下载；支持老师在作业空间为多个或单个班级的学生布置作业，老师可以对作业上交截止时间进行设置；提供功能截图。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支持老师在线打开学生作业，格式至少包括txt、图片。在线查看学生作业后，可以在个人空间中打分，为保证后续使用效果需提供上述功能截图。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老师将学生作业标记为公开作业，学生可以通过学生端软件查看本年级所有老师标记的公开作业，针对此功能需提供功能截图。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分组教学：支持老师对学生进行分组，分组时老师可以在软件界面根据学生姓名手动分组也可以随机分组，组名可以由组长和老师重命名。可记录小组总得分与小组内成员对小组的贡献值，同一组内的学生可以相互传送文件，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账号灵活管理，老师、学生可以自助注册账号，也可以由管理员导入到班级内。学生、老师需要在登陆个人空间时通过账号密码登录，同时学生账号支持密码登陆和无密码登陆方式，针对此功能需提供功能截图。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个人空间内置网盘功能，学生可通过作业空间账号直接登录，学生没有做完的作业或文件，可以上传到在作业空间中独立的存储空间中，方便下次上课使用，网盘支持上传和下载，针对此功能需提供功能截图。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互动游戏：为促进课堂互动效果，提升课堂活跃度，需提供实用课堂互动小游戏，为保证后续使用效果需提供功能截图。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班级模型自动创建，为简化班级管理维护工作，支持通过标识码邀请方式来创建班级，老师可以通过唯一的标识码邀请学生加入，针对此功能需提供功能截图。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微课中心：支持微课的上传、浏览及删除。针对此功能需提供功能截图。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随堂测试：为方便老师快速出题，支持老师通过教师端导入word、pdf、txt等题库文件，也可以通过截屏方式快速出题。老师可以通过全班答题、抢答、随机答题多种方式发起测试，发起测试时为防止作弊老师可选择全屏答题或窗口答题。针对此功能需提供专业检测机构检验报告复印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随堂测试出题可支持单选、多选、判断、填空、问答等多种课堂测试，对于客观题老师可以设置答题卡录入正确答案并赋分，方便快速评分批改。为保证后续使用效果需提供上述功能截图。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为避免U-Key丢失和兼容性以及安全性问题，授权方式必须为文件授权方式，而非U-Key授权的方式。针对授权方式需要提供服务器文件授权界面截图。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学生奖励机制：学生在教学活动中可以获得虚拟积分，学生和老师端可以查看积分排名；为保证后续使用效果需提供上述功能截图。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教学管理软件必须为自主研发，非OEM 产品，要求提供中华人民共和国国家版权局颁发的软件著作权登记证证书复印件。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为同时支持多学校使用，教学管理软件服务端需支持集中部署，同时应具备分级分权管理能力，在教学管理软件服务端可以配置多机构模式，针对此功能需提供功能截图。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要求云服务器、学生云终端、教师云终端、教学管理软件、网络连通设备同一品牌，保证平台联动时的兼容性和可靠性，提供厂商服务承诺函。</w:t>
            </w:r>
            <w:r>
              <w:rPr>
                <w:rFonts w:hint="eastAsia" w:ascii="宋体" w:hAnsi="宋体" w:eastAsia="宋体" w:cs="宋体"/>
                <w:i w:val="0"/>
                <w:iCs w:val="0"/>
                <w:color w:val="000000"/>
                <w:kern w:val="0"/>
                <w:sz w:val="21"/>
                <w:szCs w:val="21"/>
                <w:highlight w:val="none"/>
                <w:u w:val="none"/>
                <w:lang w:val="en-US" w:eastAsia="zh-CN" w:bidi="ar"/>
              </w:rPr>
              <w:br w:type="textWrapping"/>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终端24口</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接入交换机</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交换容量≥330G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包转发率≥50Mpps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固化10/100/1000M以太网端口≥24，固化1G SFP光接口≥4个；</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支持生成树协议STP(IEEE 802.1d)，RSTP(IEEE 802.1w)和MSTP(IEEE 802.1s)，保证网络的稳定运行和链路的负载均衡。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提供工信部设备进网许可证</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终端48口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接入交换机</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交换容量≥430G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包转发率≥80Mpps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固化10/100/1000M以太网端口≥48，固化1G SFP光接口≥4个；整机最大可用千兆口≥52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支持生成树协议STP(IEEE 802.1d)，RSTP(IEEE 802.1w)和MSTP(IEEE 802.1s)，保证网络的稳定运行和链路的负载均衡。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提供工信部设备进网许可证</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≥21英寸LED电脑显示器、窄边框、HDMI+VGA连接，分辨率≥1920 x 1080（符合国家一级能效及低蓝光认证），具有CCC认证；</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键盘鼠标</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USB有线光电键盘、鼠标</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服务器网络机柜</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≥22U标准机柜</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11</w:t>
            </w:r>
          </w:p>
        </w:tc>
        <w:tc>
          <w:tcPr>
            <w:tcW w:w="11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学生电脑桌椅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（双人）</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学生桌：钢木结构，≥1400*600*750mm，台面采用≥25mm实木颗粒三胺双贴面板，后背板，主机托均为≥16mm实木颗粒三胺双贴面板，四边≥2.0mmPVC封边；桌架为≥30*30mm*1.2mm方钢管与网片焊接而成，表面磷化喷塑处理，四脚垫防滑耐磨。后背板为翻盖设计，方便理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学生凳：参考规格：左右35mm*前后25mm*上下45mm，钢木结构，凳面为≥25mm实木颗粒双贴面板，四边用≥2mm厚pvc封边，颜色同桌面。凳架为≥30mm*30mm方管焊接，表面磷化喷涂处理，凳脚为防滑耐磨塑料垫。</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教师讲台桌椅</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钢木结构，≥1400*700*750mm，台面采用≥25mm实木颗粒三胺双贴面板，后背板及活动柜、主机托均为≥16mm实木颗粒三胺双贴面板，四边≥2.0mmPVC封边；桌架为≥30*30mm*1.2mm方钢管与网片焊接而成，表面磷化喷塑处理，四脚垫防滑耐磨。后背板为翻盖设计，方便理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教师椅：网布五轮升降转椅。</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静电地板</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产品规格：≥600*600*35mm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产品执行标准：信息产业部标准 SJ/T11236-2001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25" w:type="dxa"/>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11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系统集成</w:t>
            </w:r>
          </w:p>
        </w:tc>
        <w:tc>
          <w:tcPr>
            <w:tcW w:w="49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机柜、设备的安装和互联，配套的电源线、网线，接线板或插座的布置等。布线要求：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1、网线须用PVC管防护；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2、网线、电源线、数据线用专用扎带捆扎好；</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8"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bl>
    <w:p>
      <w:pPr>
        <w:rPr>
          <w:rFonts w:hint="eastAsia"/>
          <w:lang w:eastAsia="zh-CN"/>
        </w:rPr>
      </w:pPr>
    </w:p>
    <w:tbl>
      <w:tblPr>
        <w:tblStyle w:val="22"/>
        <w:tblW w:w="7995"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40"/>
        <w:gridCol w:w="4987"/>
        <w:gridCol w:w="623"/>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995" w:type="dxa"/>
            <w:gridSpan w:val="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智慧黑板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设备名称</w:t>
            </w:r>
          </w:p>
        </w:tc>
        <w:tc>
          <w:tcPr>
            <w:tcW w:w="4987"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技术参数</w:t>
            </w:r>
          </w:p>
        </w:tc>
        <w:tc>
          <w:tcPr>
            <w:tcW w:w="62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705" w:type="dxa"/>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智慧黑板</w:t>
            </w: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一、整体设计</w:t>
            </w:r>
          </w:p>
        </w:tc>
        <w:tc>
          <w:tcPr>
            <w:tcW w:w="623"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705"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1.整机主副屏过渡平滑并在同一平面，外观参考尺寸：宽≥4000mm，高≥1100mm，厚≤100mm。</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2.整机采用UHD超高清LED液晶屏，显示比例16:9，分辨率不劣于3840×2160。</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3.整机采用防眩光玻璃，屏幕支持防眩光功能，钢化玻璃表面硬度≥8H。（提供相关证明材料、相应的功能证明材料）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4.整机色域覆盖率（NTSC）≥80%，灰度等级≥256级。</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5.整机接入单根网线可实现Android、Windows双系统有线网络连通。</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7"/>
                <w:sz w:val="21"/>
                <w:szCs w:val="21"/>
                <w:highlight w:val="none"/>
                <w:lang w:val="en-US" w:eastAsia="zh-CN" w:bidi="ar"/>
              </w:rPr>
              <w:t>6.整机扬声器总功率不小于</w:t>
            </w:r>
            <w:r>
              <w:rPr>
                <w:rStyle w:val="53"/>
                <w:color w:val="auto"/>
                <w:sz w:val="21"/>
                <w:szCs w:val="21"/>
                <w:highlight w:val="none"/>
                <w:lang w:val="en-US" w:eastAsia="zh-CN" w:bidi="ar"/>
              </w:rPr>
              <w:t>30</w:t>
            </w:r>
            <w:r>
              <w:rPr>
                <w:rStyle w:val="57"/>
                <w:color w:val="auto"/>
                <w:sz w:val="21"/>
                <w:szCs w:val="21"/>
                <w:highlight w:val="none"/>
                <w:lang w:val="en-US" w:eastAsia="zh-CN" w:bidi="ar"/>
              </w:rPr>
              <w:t>W。（</w:t>
            </w:r>
            <w:r>
              <w:rPr>
                <w:rStyle w:val="57"/>
                <w:sz w:val="21"/>
                <w:szCs w:val="21"/>
                <w:highlight w:val="none"/>
                <w:lang w:val="en-US" w:eastAsia="zh-CN" w:bidi="ar"/>
              </w:rPr>
              <w:t>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rFonts w:hint="eastAsia"/>
                <w:sz w:val="21"/>
                <w:szCs w:val="21"/>
                <w:lang w:val="en-US" w:eastAsia="zh-CN" w:bidi="ar"/>
              </w:rPr>
              <w:t>7</w:t>
            </w:r>
            <w:r>
              <w:rPr>
                <w:rStyle w:val="57"/>
                <w:sz w:val="21"/>
                <w:szCs w:val="21"/>
                <w:lang w:val="en-US" w:eastAsia="zh-CN" w:bidi="ar"/>
              </w:rPr>
              <w:t>.整机内置非独立外扩展的阵列麦克风，可用于对教室环境音频进行采集，麦克风拾音距离≥12m。</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8.采用电容触控技术，支持Windows系统中进行10点或以上触控，支持在Android系统中进行10点或以上触控。</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sz w:val="21"/>
                <w:szCs w:val="21"/>
                <w:lang w:val="en-US" w:eastAsia="zh-CN" w:bidi="ar"/>
              </w:rPr>
              <w:t>二、接口及按键</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1.同一电源物理按键可实现Android系统和Windows系统的开/关机、熄屏的操作。</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2.整机具备至少6个前置按键。</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rFonts w:hint="eastAsia"/>
                <w:sz w:val="21"/>
                <w:szCs w:val="21"/>
                <w:highlight w:val="none"/>
                <w:lang w:val="en-US" w:eastAsia="zh-CN" w:bidi="ar"/>
              </w:rPr>
              <w:t>3</w:t>
            </w:r>
            <w:r>
              <w:rPr>
                <w:rStyle w:val="58"/>
                <w:sz w:val="21"/>
                <w:szCs w:val="21"/>
                <w:highlight w:val="none"/>
                <w:lang w:val="en-US" w:eastAsia="zh-CN" w:bidi="ar"/>
              </w:rPr>
              <w:t>.</w:t>
            </w:r>
            <w:r>
              <w:rPr>
                <w:rStyle w:val="57"/>
                <w:sz w:val="21"/>
                <w:szCs w:val="21"/>
                <w:highlight w:val="none"/>
                <w:lang w:val="en-US" w:eastAsia="zh-CN" w:bidi="ar"/>
              </w:rPr>
              <w:t>在任意信号源通道下，可通过屏幕和遥控器两种方式实现触摸锁定及解锁。</w:t>
            </w:r>
            <w:r>
              <w:rPr>
                <w:rStyle w:val="57"/>
                <w:rFonts w:hint="eastAsia"/>
                <w:sz w:val="21"/>
                <w:szCs w:val="21"/>
                <w:highlight w:val="none"/>
                <w:lang w:val="en-US" w:eastAsia="zh-CN" w:bidi="ar"/>
              </w:rPr>
              <w:t>（提供相关证明材料、相应的功能证明材料）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7"/>
                <w:sz w:val="21"/>
                <w:szCs w:val="21"/>
                <w:lang w:val="en-US" w:eastAsia="zh-CN" w:bidi="ar"/>
              </w:rPr>
              <w:t>三、整机功能</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sz w:val="21"/>
                <w:szCs w:val="21"/>
                <w:highlight w:val="none"/>
                <w:lang w:val="en-US" w:eastAsia="zh-CN" w:bidi="ar"/>
              </w:rPr>
              <w:t>1.</w:t>
            </w:r>
            <w:r>
              <w:rPr>
                <w:rStyle w:val="57"/>
                <w:sz w:val="21"/>
                <w:szCs w:val="21"/>
                <w:highlight w:val="none"/>
                <w:lang w:val="en-US" w:eastAsia="zh-CN" w:bidi="ar"/>
              </w:rPr>
              <w:t>整机内置摄像头，可拍摄≥800万像素数的照片，摄像头视场角≥120度。（提供相关证明材料、相应的功能证明材料）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2.在HDMI、Android以及Windows信号源模式下，整机屏幕支持手势下移实现半屏显示，点击上方屏幕可返回全屏。</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3.整机两侧副屏可支持多种媒介进行板书书写。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Style w:val="58"/>
                <w:rFonts w:hint="eastAsia"/>
                <w:sz w:val="21"/>
                <w:szCs w:val="21"/>
                <w:highlight w:val="none"/>
                <w:lang w:val="en-US" w:eastAsia="zh-CN" w:bidi="ar"/>
              </w:rPr>
              <w:t>4</w:t>
            </w:r>
            <w:r>
              <w:rPr>
                <w:rStyle w:val="58"/>
                <w:sz w:val="21"/>
                <w:szCs w:val="21"/>
                <w:highlight w:val="none"/>
                <w:lang w:val="en-US" w:eastAsia="zh-CN" w:bidi="ar"/>
              </w:rPr>
              <w:t>.</w:t>
            </w:r>
            <w:r>
              <w:rPr>
                <w:rStyle w:val="57"/>
                <w:sz w:val="21"/>
                <w:szCs w:val="21"/>
                <w:highlight w:val="none"/>
                <w:lang w:val="en-US" w:eastAsia="zh-CN" w:bidi="ar"/>
              </w:rPr>
              <w:t>嵌入式系统版本不低于Android 8，内存≥2GB，存储空间≥8GB。</w:t>
            </w:r>
            <w:r>
              <w:rPr>
                <w:rStyle w:val="57"/>
                <w:color w:val="auto"/>
                <w:sz w:val="21"/>
                <w:szCs w:val="21"/>
                <w:highlight w:val="none"/>
                <w:lang w:val="en-US" w:eastAsia="zh-CN" w:bidi="ar"/>
              </w:rPr>
              <w:t>（</w:t>
            </w:r>
            <w:r>
              <w:rPr>
                <w:rStyle w:val="57"/>
                <w:sz w:val="21"/>
                <w:szCs w:val="21"/>
                <w:highlight w:val="none"/>
                <w:lang w:val="en-US" w:eastAsia="zh-CN" w:bidi="ar"/>
              </w:rPr>
              <w:t>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四、OPS模块</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1.主板采用H410或H510芯片组，搭载Intel  酷睿系列 i5 CPU。</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2.内存：</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8GB DDR4笔记本内存或以上配置。</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3.硬盘：</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256GB或以上SSD固态硬盘。</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4.具有独立非外扩展的电脑USB接口：≥3路USB。</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5、支持免登录直接使用本地教学工具，支持账号、U 盘和扫码登录。</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6、支持分享者可将教学课件等云资源精准推送至指定人员；接收者可以在网页端通过打开链接地址，即可下载和预览文件。</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7、支持易用的文本编辑功能，在文本输入并可快速设置字体、大小、颜色、粗体、斜体等，方便用户编辑文字。</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8、软件支持PPT的二次编辑功能。</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9、软件具备图形自由创作工具，教师可自由绘制复杂的任意多边图形及曲边图形。</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10、软件内置图片处理功能。</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11、课堂互动工具：能够创建知识连线、互动分类、选词填空、趣味竞赛、判断对错等互动类游戏；</w:t>
            </w:r>
            <w:r>
              <w:rPr>
                <w:rStyle w:val="57"/>
                <w:color w:val="auto"/>
                <w:sz w:val="21"/>
                <w:szCs w:val="21"/>
                <w:highlight w:val="none"/>
                <w:lang w:val="en-US" w:eastAsia="zh-CN" w:bidi="ar"/>
              </w:rPr>
              <w:t>（</w:t>
            </w:r>
            <w:r>
              <w:rPr>
                <w:rStyle w:val="57"/>
                <w:sz w:val="21"/>
                <w:szCs w:val="21"/>
                <w:highlight w:val="none"/>
                <w:lang w:val="en-US" w:eastAsia="zh-CN" w:bidi="ar"/>
              </w:rPr>
              <w:t>提供相关证明材料、相应的功能证明材料）</w:t>
            </w:r>
            <w:r>
              <w:rPr>
                <w:rFonts w:hint="eastAsia" w:ascii="宋体" w:hAnsi="宋体" w:eastAsia="宋体" w:cs="宋体"/>
                <w:i w:val="0"/>
                <w:iCs w:val="0"/>
                <w:color w:val="000000"/>
                <w:kern w:val="0"/>
                <w:sz w:val="21"/>
                <w:szCs w:val="21"/>
                <w:highlight w:val="none"/>
                <w:u w:val="none"/>
                <w:lang w:val="en-US" w:eastAsia="zh-CN" w:bidi="ar"/>
              </w:rPr>
              <w:t>。</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12、智能填写支持输入文本后一键解析，自动将文本内容结构化填充至题干和正确选项，快速完成课堂活动制作，提高老师制作课堂活动的效率；</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13、数学工具：支持中英文、数学公式的编辑输入，可快速输入方程组、脱式运算；</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多学科题库：提供涵盖小学、初中的总知识点，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15、软件支持投屏功能，并可选择画笔批注、擦除笔记；</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16、以上软件为保证后期升级，要求软件与智慧黑板硬件为同一品牌并提供软件著作权；（提供相关证明材料、相应的功能证明材料）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restart"/>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140" w:type="dxa"/>
            <w:vMerge w:val="restart"/>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教学软件</w:t>
            </w: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1、支持免登录直接使用本地教学工具，支持账号、U 盘和扫码登录；</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2、支持分享者可将教学课件等云资源精准推送至指定人员；接收者可以在网页端通过打开链接地址，即可下载和预览文件；</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3、支持易用的文本编辑功能，在文本输入并可快速设置字体、大小、颜色、粗体、斜体等，方便用户编辑文字；</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4、软件支持PPT的二次编辑功能；</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5、软件具备图形自由创作工具，教师可自由绘制复杂的任意多边图形及曲边图形；</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6、软件内置图片处理功能；</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7、课堂互动工具：能够创建知识连线、互动分类、选词填空、趣味竞赛、判断对错等互动类游戏；（提供相关证明材料、相应的功能证明材料）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8、智能填写支持输入文本后一键解析，自动将文本内容结构化填充至题干和正确选项，快速完成课堂活动制作，提高老师制作课堂活动的效率；</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9、数学工具：支持中英文、数学公式的编辑输入，可快速输入方程组、脱式运算；</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多学科题库：提供涵盖小学、初中的总知识点，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11、软件支持投屏功能，并可选择画笔批注、擦除笔记；</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4987"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12、以上软件为保证后期升级，要求软件与智慧黑板硬件为同一品牌并提供软件著作权；（提供相关证明材料、相应的功能证明材料）</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有源音箱</w:t>
            </w: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1.音箱内置功率放大器，2.4G无线话筒接收器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2.两单元二分频：不劣于5"全纸盆低音，3”纸盆高音。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3.功率：≥50W/4Ω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4.频率范围：不劣于70Hz-20KHz，信噪比：≥82dB（A计权）。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5.调节形式：具有音量调节功能。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6.≥1路幻象话筒输入、≥1路3.5mm音频输入、≥1组立体声莲花音频输入；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7.≥1组立体声莲花音频输出，1组副机音频输出。</w:t>
            </w:r>
          </w:p>
        </w:tc>
        <w:tc>
          <w:tcPr>
            <w:tcW w:w="623"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Merge w:val="continue"/>
            <w:noWrap w:val="0"/>
            <w:vAlign w:val="center"/>
          </w:tcPr>
          <w:p>
            <w:pPr>
              <w:jc w:val="center"/>
              <w:rPr>
                <w:rFonts w:hint="eastAsia" w:ascii="宋体" w:hAnsi="宋体" w:eastAsia="宋体" w:cs="宋体"/>
                <w:i w:val="0"/>
                <w:iCs w:val="0"/>
                <w:color w:val="000000"/>
                <w:sz w:val="21"/>
                <w:szCs w:val="21"/>
                <w:u w:val="none"/>
              </w:rPr>
            </w:pPr>
          </w:p>
        </w:tc>
        <w:tc>
          <w:tcPr>
            <w:tcW w:w="114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2.4G无线话筒</w:t>
            </w: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1.频率范围 ：2400 - 2483MHz,有效接收半径≥20米。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2.调制方法：GFSK，开机自动进入对频状态,对频成功后自动开启发射。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3.射频稳定度：≥0.005%（at25c）。发射功率：≥10dbm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4.发射器采用内置式麦克风设计（随机配置头戴麦克风）。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5.发射器配置LED液晶显示屏，可显示电池电量、充电状态、信号强弱、音量大小、工作模式等信息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6.发射器配置红外线激光教鞭功能。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7.发射器自带音量调节按键，具有一键静音功能。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8.配置2.4G和红外对频两种模式可切换。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9.具有自动休眠功能，发射器无信号输入时，具有自动静音功能，可自动关机。</w:t>
            </w:r>
          </w:p>
        </w:tc>
        <w:tc>
          <w:tcPr>
            <w:tcW w:w="623" w:type="dxa"/>
            <w:vMerge w:val="continue"/>
            <w:noWrap w:val="0"/>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讲桌</w:t>
            </w: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钢制讲台</w:t>
            </w:r>
          </w:p>
        </w:tc>
        <w:tc>
          <w:tcPr>
            <w:tcW w:w="62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0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展台</w:t>
            </w: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硬件部分：</w:t>
            </w:r>
          </w:p>
        </w:tc>
        <w:tc>
          <w:tcPr>
            <w:tcW w:w="623"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台</w:t>
            </w:r>
          </w:p>
        </w:tc>
        <w:tc>
          <w:tcPr>
            <w:tcW w:w="705" w:type="dxa"/>
            <w:vMerge w:val="restart"/>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采用≥800万像素摄像头。</w:t>
            </w:r>
          </w:p>
        </w:tc>
        <w:tc>
          <w:tcPr>
            <w:tcW w:w="6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5"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支持展台成像画面实时批注。</w:t>
            </w:r>
          </w:p>
        </w:tc>
        <w:tc>
          <w:tcPr>
            <w:tcW w:w="6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5"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 整机采用圆弧式设计，无锐角。</w:t>
            </w:r>
          </w:p>
        </w:tc>
        <w:tc>
          <w:tcPr>
            <w:tcW w:w="6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5"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 展示托板正上方具备LED补光灯。</w:t>
            </w:r>
          </w:p>
        </w:tc>
        <w:tc>
          <w:tcPr>
            <w:tcW w:w="623"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05"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22"/>
        <w:tblW w:w="8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9"/>
        <w:gridCol w:w="1189"/>
        <w:gridCol w:w="4935"/>
        <w:gridCol w:w="859"/>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1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LED屏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名称</w:t>
            </w:r>
          </w:p>
        </w:tc>
        <w:tc>
          <w:tcPr>
            <w:tcW w:w="4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配置</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50"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室内全彩</w:t>
            </w:r>
          </w:p>
        </w:tc>
        <w:tc>
          <w:tcPr>
            <w:tcW w:w="4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1、像素点间距 2.5±0.05mm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2、结构LED显示屏显示部分结构可采用钢、铝、镀锌方管、塑料等材料，结构安全坚固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3、LED显示屏模组安装应一致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4、工作电压在4.2×(1±10%）VDC范围内能正常工作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5、自动校正数据采集自动共享到网上，客户可自行下载校正数据，进行校正和优化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6、工作环境：-20℃~50℃条件下能正常工作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7、材质：箱体采用镁合金/压铸铝/铁材质 符合，套件采用采用聚碳酸酯和玻璃纤维材质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8、系统调节功能：可通过系统调节参数影响显示效果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9、像素密度：单元大小为320mm×160mm的像素密度为8192点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10、动态扫描 采用行驱动芯片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11、像素组成 1R、1G、1B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12、支持亮度调节功能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13、支持亮度校正、色度校正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14、驱动芯片功能 具有列下消隐功能、倍频刷新率提升、低灰偏色改善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15、支持鬼影消除、暗亮线消除、慢速开启、十字架消除、毛毛虫消除、亮度缓慢变亮功能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16、功能  显示单元均可独立控制，单点故障不影响整屏使用，单元支持带电热插拔；单元板支持前、后维护；系统、电源支持前、后维护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17、防伪功能 具备logo、产品型号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18、支持联网一键下载程序文件和调试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19、支持亮暗线拼缝调节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20、整屏平整度 ≤0.1mm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21、模组平整度 ≤0.04mm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22、拼接缝  ≤0.04mm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23、最大亮度 ≥600cd/㎡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24、最高对比度 ≥6000:1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25、水平视角 ≥160°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26、垂直视角 ≥160°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27、亮度均匀性 ≥97%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28、刷新率  ≥1920Hz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29、最大功耗 ≤350W/m2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30、像素中心距精确度 ≤3%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31、像素失控率 &lt;0.01%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32、灰度级数（信号处理深度） 采用14bit技术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33、色温  3000K~18000K可调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34、色度均匀性 ±0.002Cx、Cy内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35、低亮高灰  亮度为20%时信号处理深度（灰度级数）达到14bit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36、采用恒流设计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37、换帧频率  60Hz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38、宽色域  测试NTSC色域108.5%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39、平均功耗 ≤150W/m2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40、色度均匀性 -0.003＜Cx＜0.003，-0.003＜Cy＜0.003（校正后）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41、反光率  ≤1.5%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42、画面延时 ≤500ns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43、衰减率  ≤10%（工作3年）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44、图像质量 LED显示屏图像质量主观评价优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45、防护性能 具有防静电、防电磁干扰、喷三防漆防潮、防腐蚀、防虫、抗震动、抗雷击等功能；具有电源过压、过流、断电保护、分布上电措施、防护等级达到IP50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46、连续工作时间   连续工作时间：≥7×24hrs，支持连续不间断显示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47、使用寿命 ≥100000h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48、平均无故障时间 MTBF平均无故障时间≥20000h；MTTR平均修复时间≤20分钟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49、屏幕温升 最高亮度（白平衡）持续工作4小时，模组表面温升小于20K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50、高温负荷工作 样品状态：通电工作,试验温度：80℃,试验时间：12h;试验结束后，产品正常工作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51、低温负荷工作 样品状态：通电工作,试验温度：-40℃,试验时间：12h;试验结束后，产品正常工作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52、高温存储  样品放入试验箱中，试验箱内温度80℃，存放48h，无异常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53、低温存储  样品放入试验箱中，试验箱内温度-40℃，存放48h，无异常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54、恒定湿热  样品状态：通电工作,试验温度：85℃,相对湿度：85%,试验时间：168h;试验结束后，产品正常工作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55、湿热负载  LED显示屏最高工作环境温度下，相对湿度87%-93%，通电工作12h;试验结束后，产品正常工作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56、光生物安全检测 无危害类：8h（30000s）曝辐中不造成光化学紫外危害（ES），并在16min（1000s）内不造成近紫外危害（EUVA），并在2.8h（10000s）内不造成对视网膜蓝光危害（LB）并在10s内不造成对视网膜热危害（LR），且在1000s内不造成对眼睛的红外辐射危害（EIR）</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57、盐雾等级 达到盐雾10级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58、阻燃  PCB板、防火保护外壳达到V-0等级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59、振动试验 频率循环范围：（5～55～5）Hz,震动试验，试验结束后，产品正常工作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60、冷热冲击  低温：-40℃，时间：0.5h，高温：100℃，时间：0.5h，转换时间：（3-5分钟）min，试验周期：上述试验为1个循环，试验进行200循环，样品状态：非工作状态；试验结束后，产品正常工作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61、PCB板材  采用玻璃化温度≥150℃的覆铜板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62、失真效果检测 显示画面无几何畸变、扭曲、比例失调情况，无亮度、色温非线性失真。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63、能耗对比  对LED显示屏进行节能对比，达到能效一级标准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64、高低温循环 低温：-40℃，时间：0.5h，高温：80℃，时间：0.5h，转换时间：（3-5分钟）min，试验周期：上述试验为1个循环，试验进行200循环，样品状态：工作状态；试验结束后，产品正常工作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65、电磁兼容/干扰 符合Class B标准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66、抗紫外线UV检测合格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67、噪声  1m范围内，测试4个位置（前后左右）噪音不大于2dB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68、抗电强度  在电源插头与金属外壳之间以施加试验电压1.5kV/50Hz，保持1min，不应出现飞弧和击穿现象。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69、对地漏电流 mA ≤3.5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70、抗干扰  符合IEC801规定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71、安全性  符合GB4793规定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72、一键点屏  支持一键点屏技术，开机后自动识别系统连接，无需重置系统配置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73、防碰撞  具备防碰撞焊盘技术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74、SELV电路  具备SELV电路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75、箱体防护等级 IK10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76、人眼视觉舒适度 VICO指数≤1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77、PCB层数   PCB采用2层、4层、6层、8层、10层设计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78、PCB板材  采用玻璃化温度≥150℃的覆铜板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79、失真效果检测 显示画面无几何畸变、扭曲、比例失调情况，无亮度、色温非线性失真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80、能耗对比  对LED显示屏进行节能对比，达到能效一级标准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81、机械强度  结构设计合理，具有足够的机械强度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82、250N的恒定作用力试验  250N的力施加在外部外壳上，无危险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83、冲击试验  用一个直径50mm、质地500g±25g的光滑的实心钢球，使其从距样品垂直距离（H）为1.3米处自由落到样品上，样品试验后无损伤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84、棱缘和拐角  充分倒圆和磨光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提供专业检测机构出具的检测报告复印件，并加盖公章</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w:t>
            </w:r>
          </w:p>
        </w:tc>
        <w:tc>
          <w:tcPr>
            <w:tcW w:w="4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5V40A</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全彩接收卡</w:t>
            </w:r>
          </w:p>
        </w:tc>
        <w:tc>
          <w:tcPr>
            <w:tcW w:w="4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1.集成16路HUB75接口，无需再配转接板，更方便，成本更低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2.单卡控制面积：常规：128×1024像素，PWM：256×1024像素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3.减少接插连接件，减少故障点，故障率更低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4.支持常规芯片实现高刷新、高灰度、高亮度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5.支持市场主流常规芯片、PWM芯片、士兰芯片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6.全新灰度引擎，低灰度表现更佳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7.可消除单元板设计引起的某行偏暗、低灰偏红、鬼影等细节问题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8.支持高精度的色度、亮度一体化逐点校正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9.支持静态到128扫之间的任意扫描类型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10.支持灵活抽点、抽行抽列、数据组偏移，可轻松实现各种异型屏、创意显示屏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11.卡支持32组RGB信号输出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12.支持箱体标定标序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13.支持超大带载面积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14.支持DC3.8V~5.5V超宽工作电压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15.运输及存储温度为-40℃至125℃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16.工作温度范围为-25℃至75℃</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视频处理器</w:t>
            </w:r>
          </w:p>
        </w:tc>
        <w:tc>
          <w:tcPr>
            <w:tcW w:w="4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1.可通过WiFi/LAN/4G模块（选配）接入网络，进行云集群管理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2.支持同步输入显示或者异步播放显示，支持设置同异步优先级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3.整机最大带载面积为130万像素，最宽带载4096像素，最高带载2560像素，支持同步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4.异步最大可输出1920×1200@60Hz画面，最宽4096像素，最高2560像素。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5.支持音频输出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6.自带8G内存，用户可用4G存储容量，支持USB播放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7.全面兼容常规同步控制系统节目管理及显示屏配置方式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8.系统权限认证，支持数据通道加密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9.多级权限管理，节目审核后发布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10.播放内容实时监测，运行状态及时反馈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11.各种传感器上屏，云检测和智能联动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12.支持U盘即插即播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13.支持多屏同步播放（GPS同步、NTP同步）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14.支持定时排程，支持局域网排程、互联网排程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15.可配置为WiFi热点，支持PC、手机、Pad等智能终端进行管理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16.支持运行环境温度、湿度、亮度等参数监测，自动调节显示屏亮度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17.支持多窗口，可自由设定窗口大小和位置，并支持窗口叠加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18.支持丰富的媒体素材，如图片、视频、文本、表格、时钟、流媒体、网页、天气等</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外框设备</w:t>
            </w:r>
          </w:p>
        </w:tc>
        <w:tc>
          <w:tcPr>
            <w:tcW w:w="4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4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电源线，网线，长排线</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安装调试</w:t>
            </w:r>
          </w:p>
        </w:tc>
        <w:tc>
          <w:tcPr>
            <w:tcW w:w="49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22"/>
        <w:tblW w:w="8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0"/>
        <w:gridCol w:w="1672"/>
        <w:gridCol w:w="3818"/>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010" w:type="dxa"/>
            <w:gridSpan w:val="5"/>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01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设备名称</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设备参数</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监控摄像机</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1、采用深度学习硬件及算法，提供精准的目标侦测，支持越界侦测，区域入侵侦测，进入区域侦测和离开区域侦测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2、最高分辨率可达2560 × 1440 @25 fps，在该分辨率下可输出实时图像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3、支持背光补偿，强光抑制，3D数字降噪，120 dB宽动态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4、支持低码率、低延时、ROI感兴趣区域增强编码，Smart265编码，可根据场景情况自适应调整码率分配，有效节省存储成本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5、支持柔光灯补光，照射距离最远可达30 m，支持1路报警输入，1路报警输出（报警输出最大支持DC24 V，1 A或AC24 V，1 A），1路音频输入，1路音频输出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6、符合IP66防尘防水设计，可靠性高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监控支架</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1、采用全铝合金材质 防止生锈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2、高级工业油性漆 外表光滑 有质感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3、加厚支架 加厚底盘  更坚固耐用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4、多方位调节 满足工程商的不同安装需求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5、高承重 满足各类高端摄像机的安装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硬盘录像机</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1、支持国标28181协议、Ehome协议接入平台；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2、支持萤石云服务，可一键配置上网；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3、支持4K高清网络视频的预览、存储与回放；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4、支持H.265、H.264编码前端自适应接入；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5、支持IPC集中管理，包括IPC参数配置、信息的导入/导出、语音对讲和升级等功能；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6、支持2个HDMI和2个VGA同时输出，支持4K高清分辨率输出；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支持海康SMART IPC越界、进入区域、离开区域、区域入侵、徘徊</w:t>
            </w:r>
            <w:r>
              <w:rPr>
                <w:rFonts w:hint="eastAsia" w:ascii="宋体" w:hAnsi="宋体" w:eastAsia="宋体" w:cs="宋体"/>
                <w:i w:val="0"/>
                <w:iCs w:val="0"/>
                <w:color w:val="000000"/>
                <w:kern w:val="0"/>
                <w:sz w:val="21"/>
                <w:szCs w:val="21"/>
                <w:u w:val="none"/>
                <w:lang w:val="en-US" w:eastAsia="zh-CN" w:bidi="ar"/>
              </w:rPr>
              <w:t>、人员聚焦、快速移动、非法停车、物品遗留、物品拿取、人脸、车牌、音频输入异常、声强突变、虚焦以及场景变更等多种智能侦测接入与联动；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8、支持即时回放功能，在预览画面下对指定通道的当前录像进行回放，并且不影响其他通道预览；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9、支持硬盘配额和硬盘盘组两种存储模式，可对不同通道分配不同的录像保存容量或周期；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10、支持4个SATA接口，1个eSATA盘库，可用于录像和备份；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11、双千兆网卡，支持双网络IP设定等应用；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12、支持网络检测（网络流量监控、网络抓包、网络通畅）功能。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POE交换机</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1、支持EEE802.3、EEE802.3u、EEE802.3z、EEE802.3ab、EEE802.3x、EEE802.3af/at标准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2、提供16个10/100/1000M自适应支持PoE功能的以太网千兆电口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3、传输距离达80米。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4、支持通过5类网线对无线AP和网络监控摄像头供电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5、零配置特性电源是自动供给到自适应设备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六类网线</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1、四对六类阻燃非屏蔽工程专用线，国标无氧铜六类网线。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2、祼铜线的外观识别：裸铜线呈淡红色；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3、绝缘：采用HDPE，表面光滑，延伸率优异；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4、护套：采用阻燃聚氯乙烯料，符合安全要求；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5、标志：采用喷印计米，两个相邻标志之间的距离为1。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监控硬盘</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4T监控专用盘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管材、接头、插板、42寸显示器等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安装调试</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综合布线、设备安装调试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22"/>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4"/>
        <w:gridCol w:w="1661"/>
        <w:gridCol w:w="3920"/>
        <w:gridCol w:w="834"/>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085" w:type="dxa"/>
            <w:gridSpan w:val="5"/>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085"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无线网络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设备名称</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设备参数</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0" w:type="auto"/>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管理AC</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6个千兆电口，2个USB口，可带机350终端，支持400M带宽；集成AC（无线控制器），可管理32个AP或64个WALL AP。</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无线AP</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双频双路支持802.11ax和MU-MIMO，支持二条空间流技术，2.4G提供最高574Mbps的接入速率，5G提供最高1201Mbps的接入速率。整机提供1.775Gbps的接入速率，千兆极速无线让性能不再成为瓶颈。支持WIFI6.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POE交换机</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8个千兆电口+2个千兆上联电口，其中8个口支持PoE/PoE+供电，最大PoE功率110W，非网管型交换机，桌面式。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网络交换机</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二层千兆交换机，支持三层路由协议交换机，支持静态路由、RIP、RIPing、</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OSPFV1/V2/V3；支持链路聚合：支持GE端口聚合、支持端口镜像，支技VLAN，支持IRF2智能弹性架构，多台虚拟一台设备；支持iMC智能管理中心，Web网管，支持基于MAC地址划分VLAN，16个10/100/1000TX千兆电口。</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交换容量:336Gbps/3.36Tbps 包转发率：66Mpps/108Mpps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六类网线</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1、四对六类阻燃非屏蔽工程专用线，国标无氧铜六类网线。</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2、祼铜线的外观识别：裸铜线呈淡红色；</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3、绝缘：采用HDPE，表面光滑，延伸率优异；</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4、护套：采用阻燃聚氯乙烯料，符合安全要求；</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5、标志：采用喷印计米，两个相邻标志之间的距离为1。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面板模块</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明装六类网络面板模块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辅材</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管材、接头、插板等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安装调试</w:t>
            </w:r>
          </w:p>
        </w:tc>
        <w:tc>
          <w:tcPr>
            <w:tcW w:w="3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综合布线、设备安装调试（有线、无线）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38</w:t>
            </w:r>
          </w:p>
        </w:tc>
      </w:tr>
    </w:tbl>
    <w:p>
      <w:pPr>
        <w:rPr>
          <w:rFonts w:hint="eastAsia"/>
          <w:lang w:eastAsia="zh-CN"/>
        </w:rPr>
        <w:sectPr>
          <w:pgSz w:w="11906" w:h="16838"/>
          <w:pgMar w:top="1440" w:right="1800" w:bottom="1440" w:left="1800" w:header="851" w:footer="992" w:gutter="0"/>
          <w:pgNumType w:fmt="decimal"/>
          <w:cols w:space="720" w:num="1"/>
          <w:docGrid w:type="lines" w:linePitch="312" w:charSpace="0"/>
        </w:sectPr>
      </w:pPr>
    </w:p>
    <w:p>
      <w:pPr>
        <w:outlineLvl w:val="1"/>
        <w:rPr>
          <w:rFonts w:hint="eastAsia"/>
        </w:rPr>
      </w:pPr>
      <w:r>
        <w:rPr>
          <w:rFonts w:hint="eastAsia"/>
          <w:b/>
          <w:bCs/>
          <w:lang w:eastAsia="zh-CN"/>
        </w:rPr>
        <w:t>第七包：</w:t>
      </w:r>
    </w:p>
    <w:p>
      <w:pPr>
        <w:rPr>
          <w:rFonts w:hint="eastAsia"/>
        </w:rPr>
      </w:pPr>
    </w:p>
    <w:tbl>
      <w:tblPr>
        <w:tblStyle w:val="22"/>
        <w:tblW w:w="75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
        <w:gridCol w:w="1110"/>
        <w:gridCol w:w="4792"/>
        <w:gridCol w:w="558"/>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56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小学科学探究实验室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货物名称</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参考参数</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6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教师演示台</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参考尺寸：2400*700*850mm±2mm</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台面：采用12.7mm厚实芯理化板，圆周加厚处理，总厚度为25mm，四角圆角，四边磨边，耐酸碱、耐高温、耐腐蚀。</w:t>
            </w:r>
          </w:p>
          <w:p>
            <w:pPr>
              <w:keepNext w:val="0"/>
              <w:keepLines w:val="0"/>
              <w:widowControl/>
              <w:numPr>
                <w:ilvl w:val="0"/>
                <w:numId w:val="11"/>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桌身：新型全钢R字型结构，钢制部件经12道工艺制造：除油保洁、清洗除污、酸洗除锈、清洗除酸、冲淋表调、磷化防锈、清洗或冲洗表面除污，钝化后烘干、流水线静电喷粉、静电粉末涂料自流平、“EPOXY”粉末喷涂渐进式升温高热温度固化。具有耐酸耐碱、耐腐蚀防褪色、承重性能强、表面美观实用等的特点。</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桌身台架模块可根据功能需要自由组合：储存模块、多媒体模块、上下水模块、R型主控制系统模块、通风系统模块，并可根据实际需求开发新的组合模块。操作台所有边角采用圆角处理设计，防止学生刮伤碰伤。外观设计符合人体工程学原理、中间R型设计。可调脚：采用工程塑料模具成型制作而成，具有高度可调、耐磨、 防潮、耐腐蚀等特点。</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教师总控电源</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实验台采用微电脑技术控制；轻触按键操作；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控制学生220V分四组输出，由数字表检测电压电流。教师演示台设有安全宗电源，漏电过载保护功能。交流220V多功能输出。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铸铝六角桌</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参考尺寸：六边桌边长700mm，对角1400*1212.4mm，高780mm</w:t>
            </w:r>
          </w:p>
          <w:p>
            <w:pPr>
              <w:keepNext w:val="0"/>
              <w:keepLines w:val="0"/>
              <w:widowControl/>
              <w:numPr>
                <w:ilvl w:val="0"/>
                <w:numId w:val="12"/>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台面：采用≥12.7mm实验室专用实芯理化板，缘加25.4火、抗强酸强碱（自配）。</w:t>
            </w:r>
          </w:p>
          <w:p>
            <w:pPr>
              <w:keepNext w:val="0"/>
              <w:keepLines w:val="0"/>
              <w:widowControl/>
              <w:numPr>
                <w:ilvl w:val="0"/>
                <w:numId w:val="12"/>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主体采用 采用≧4mm厚的铝压铸一次成型，一侧弧形圆角， 弧度和≧1.5mm厚铝型材立柱的弧度相吻合，固定台面不易脱落，并用高强 度内六角螺丝连接，便于组装及拆卸，表面经过防腐氧化处理和纯环氧树脂塑粉高温固化处理，具有较强的耐蚀性及承重性。</w:t>
            </w:r>
          </w:p>
          <w:p>
            <w:pPr>
              <w:keepNext w:val="0"/>
              <w:keepLines w:val="0"/>
              <w:widowControl/>
              <w:numPr>
                <w:ilvl w:val="0"/>
                <w:numId w:val="12"/>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带3个由ABS塑料工程一次性注塑成型的书包斗。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5、台面固定支撑架：方钢结构，无缝焊接，表面经过防腐氧化处理和纯环氧树脂塑粉高温固化处理。 </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全塑六角高压电源</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六面体ABS整体塑料电源，PVC贴膜，防尘盖装置，三面各装有交流220V输出双五孔国标插座。电流保险，电源指示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面、靠背选用优质网布面料，透气性强、无异味。背垫、座垫采用高密度发泡成型棉，回弹性好、不易变形，不老化，依人体坐姿特别设计，符合人体工学。艺术造型扶手，优质圆五星脚配活动脚轮，气压调节座位高度。</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实验凳</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1.参考规格:320*410-480MM;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2.凳脚材质:4个凳脚采用20*40*1.3MM椭圆形无缝钢管模具一次成型,全圆满焊完成,结构牢固,经高温粉体烤漆处理,长时间使用也不会产生表面烤漆剥落现象.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3.凳脚弧度:上部凳脚弧度66°,下部凳脚弧度24°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4.方形托盘厚度3MM边长160*160MM4.凳面:凳面直径320MM采用环保型PP改性塑料注塑成型;表面细纹咬花,防滑不发光。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5.脚垫:采用PP加耐磨纤维质塑料,实心倒勾式一体射出成型。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6.凳子可螺旋升降,升降到一定高度后要有固定不旋转装置并且升到最高时凳面不可脱落.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.学生凳整体通过合法有效的第三方权威检测机构GB24281-2012《塑料家具中有害物质限量》检测依据，GB/T3325-2017《金属家具通用技术条件》检测依据，金</w:t>
            </w:r>
            <w:r>
              <w:rPr>
                <w:rFonts w:hint="eastAsia" w:ascii="宋体" w:hAnsi="宋体" w:eastAsia="宋体" w:cs="宋体"/>
                <w:i w:val="0"/>
                <w:iCs w:val="0"/>
                <w:color w:val="000000"/>
                <w:kern w:val="0"/>
                <w:sz w:val="21"/>
                <w:szCs w:val="21"/>
                <w:u w:val="none"/>
                <w:lang w:val="en-US" w:eastAsia="zh-CN" w:bidi="ar"/>
              </w:rPr>
              <w:t>属件外观，塑料件外观，产品安全性能要求，金属喷涂涂层，塑料材料理化性能，塑料件阻燃性，椅凳类强度和耐久性，椅凳类稳定性，邻苯二甲酸酯，重金属，多环芬烃，多嗅联苯，多嗅二苯醚等，测试结果合格。</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边台</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1000*500*780mm台面材质：一体化台面，采用12.7mm实芯理化板，耐强酸碱、耐腐蚀、耐有机溶剂，抗菌、抗污染、防水、防火。四周边缘加厚至25mm，并经精密加工、倒角、打磨，呈光滑半圆形。台面颜色：学校自由选择，台身材质：采用模具成型1.2mm厚50mm铝镁合金框架,使整体框架结构更为合理,其承重性及整体稳定性特别强.铝镁合金表面经电泳、静电环氧树脂粉末喷涂处理，具有耐腐蚀、防火、防潮等功能。台身结构：开门橱柜设计，内设一层活动隔板，隔板采用16mm厚E1级环保三聚氰胺防潮贴面板。柜身脚垫：采用25mmABS注塑专用脚垫，高度可调，可有效防潮。电源：多功能插座1个，储物柜加通开锁。桌身带电源插座。</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电气布线（地面以上部分）</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DN25mm阻燃线管；4、2.5平方国标线材，符合国家标准。</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安装、运输费用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运输、搬运、安装、调试</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highlight w:val="none"/>
                <w:u w:val="none"/>
                <w:lang w:val="en-US" w:eastAsia="zh-CN" w:bidi="ar"/>
              </w:rPr>
              <w:t>展台型科普展品</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电影的原理</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主要材料：进口亚克力、频闪灯、优质细木工板、环保油漆等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学科内容：视觉暂留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能源要求：AC220V</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风洞戏球</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主要材料：塑料管、有机玻璃、鼓风机、小球等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学科内容：空气动力学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能源要求：AC220V</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光纤传声</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主要材料：进口亚克力、光纤、功放、优质细木工板、环保油漆等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学科内容：光纤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能源要求：AC220V</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气流飞球</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主要材料：进口亚克力、塑料、鼓风机、优质细木工板、环保油漆等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学科内容：伯努利定理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能源要求：AC220V</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柔和电击</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主要材料：进口亚克力、摇表、触摸电极、优质细木工板、环保油漆等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学科内容：电压与电流的关系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能源要求：无</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时间反应器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主要材料：进口亚克力、二极管、功放、优质细木工板、环保油漆等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学科内容：反应力测试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能源要求：AC220V</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电磁起重机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yellow"/>
                <w:u w:val="none"/>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主要材料：优质细木工板、电磁铁、铁块、环保油漆等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学科内容：电与磁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能源要求：AC220V</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梵天塔</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yellow"/>
                <w:u w:val="none"/>
                <w:lang w:val="en-US"/>
              </w:rPr>
            </w:pPr>
            <w:r>
              <w:rPr>
                <w:rFonts w:hint="eastAsia" w:ascii="宋体" w:hAnsi="宋体" w:eastAsia="宋体" w:cs="宋体"/>
                <w:i w:val="0"/>
                <w:iCs w:val="0"/>
                <w:color w:val="000000"/>
                <w:kern w:val="0"/>
                <w:sz w:val="21"/>
                <w:szCs w:val="21"/>
                <w:u w:val="none"/>
                <w:lang w:val="en-US" w:eastAsia="zh-CN" w:bidi="ar"/>
              </w:rPr>
              <w:t>参考尺寸：600*400mm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主要材料：优质细木工板、进口亚克力、环保油漆等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学科内容：递推法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能源要求：无</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科普智慧墙系列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分形艺术</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采用模块化手摇发电机构和稳压稳流技术供电，采用64K真彩色7寸液晶显示屏，分辨率840*480，背光显示，自带触摸屏。主要内容包括分形介绍、分形特征、分形种类、分形应用、分形分步演示、分形美图欣赏。</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荧光星空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采用模块化手摇发电机构和稳压稳流技术供电，暗盒中布置有带荧光功能的多个“星星”，强光照射下会积蓄能量，无光时会慢慢闪发光亮。</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水循环演示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采用模块化手摇发电机构和稳压稳流技术供电，LED灯依次循环点亮，演示水循环过程。</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猜生肖</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采用模块化手摇发电机构和稳压稳流技术供电，微处理器计算控制显示电路；有四组按钮选择、确认按钮，对应生肖属相有LED指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幻影成像技术</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采用模块化手摇发电机构和稳压稳流技术供电，当面板上的两条不同材质的布与两金属条连接时，蜂鸣器发声、LED发光。</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音乐喷泉</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采用金属固定架座组成储水管的上下移动轨道，并能在上面推入悬挂和下拉往下移动，用来实现希罗喷泉的重复演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血型与遗传</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38mm的工艺螺钉固定于墙体上；背板装有防尘保护罩。采用模块化手摇发电机构和稳压稳流技术供电，驱动蜂鸣器相关电路正常工作。当摇动发电机手柄时，先选择父母血型，确定父母血型后按下确认按钮就会显示出子女可能出现的血型。不使用AC220V电源，确保操作的安全（采用自发电，非干电池供电），可悬挂于墙面操作，拆装方便。参考规格尺寸：400mm*600mm；采用模块化手摇发电机构和稳压稳流技术供电，驱动微处理器、LED相关电路正常工作。</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时光隧道</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400mm*600mm；主要展示器件安装于两块亚克力前后板上；前板为5mm厚透明亚克力板，后板为UV印制的5mm厚白色亚克力板；前后板可用6颗37mm的工艺螺钉固定于墙体上；背板装有防尘保护罩。利用蜗轮蜗杆传动，驱动齿轮机构工作，再通过锥齿轮传动、链条与齿轮、皮带与带轮、摩擦轮等机构，展示器件间动力传递和运动传递的机械传动典例。</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科学探究教具</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3.1、能源、材料、能量转化系列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热能电能转换仪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参考尺寸：28*20.5*23cm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主要技术指标：1、发电装置主要采用合金材质。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2、底盘材质密度板，厚度1.8cm,表面为油漆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3、装水容器不小于：9.9*9.9*9.8cm。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4、风扇不小于φ6cm。</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半导体制冷演示仪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底座、半导体致冷片、散热器、散热风扇、电源开关、电源适配电路、制冷触发按钮、亚克力支架等组成。产品外形参考尺寸：350*260*192mm；底座采用通用的的PVC模具成型，底座规格：350*260*70mm；四脚采用10mm高的专用橡胶垫，防止震动和滑动。供电电源：AC220V50Hz，经安装在底座内部的电源适配电路降压，输出给半导体制冷器件和散热风扇的工作电源为12V。半导体制冷片和散热风扇与散热器整体组合，并用亚克力材料固定在底座面板上；电源开关、指示灯和制冷触发按钮安装在底座面板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水果电池</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参考尺寸：25X10X10CM用途：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水果电子钟是根据新课标中新能源的要求设计的，它能使同学们了解水果也能发电。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结构与原理：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本仪器由电子钟、铜片、锌片、连接线和水果杯座组成。它是根据“两种不同金属在酸、碱、盐溶液中能产生电流”的原理制成的。</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记忆合金发动机演示仪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装置由亚克力支架、2个铝制圆盘、金属记忆合金丝、底座组成。产品外形参考尺寸：350*260*340mm；底座采用通用的的PVC模具成型，底座规格：350*260*70mm；四脚采用10mm高的专用橡胶垫，防止震动和滑动。二只金属圆盘为铝铸件，规格分别为：Φ88mm和Φ32mm，厚度为5mm；记忆合金丝规格为：Φ0.5mm，绕制成皮带状，安装在两个圆盘上；圆盘用亚克力支架固定，并安装在模具成型尼龙通用支架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机械能发电实验仪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本装置由电压表、LED灯、IC蜂鸣器、马达风扇、发电机组、底座等组成。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整体参考尺寸：350*260*168mm；底座采用通用的的PVC模具成型，底座规格：350*260*70mm；四脚采用10mm高的专用橡胶垫，防止震动和滑动。发电机组由摇柄、齿轮组、发电机马达组成，嵌装在底座面板上；电压表、LED灯、IC蜂鸣器、马达风扇分别安装在4个模具成型PVC通用支座上，固定在底座面板上；对应的4个电能输出按钮开关也安装在底座面板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太阳能发电演示仪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产品由射灯、伏特表、蜂鸣器、电机风扇、LED灯、太阳能电池板、开关、延时电路、底座等组成。产品外形参考尺寸：350*260*240mm；底座采用通用的的PVC模具成型，底座规格：350*260*70mm；四脚采用10mm高的专用橡胶垫，防止震动和滑动。亚克力保护罩直径150mm，高度160mm。电源DC12V1A，灯泡规格额定12V10W，固定在底座面板上；太阳能电池板尺寸60*60mm；LED灯、伏特表、蜂鸣器、电动机风扇分别固定在4个模具成型PVC通用支座上；底座面板上装有电源开关，以及分别控制LED灯、伏特表、IC蜂鸣器、电动机风扇的4个按钮开关；装置具有30秒左右的自动延时保护。</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机械能转化演示仪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装置由电压表、LED灯、吊装马达、马达支架、滑轮、金属球、发电机组、底座等组成。产品整体参考尺寸：350*260*385mm；底座采用通用的的PVC模具成型，底座规格：350*260*70mm；四脚采用10mm高的专用橡胶垫，防止震动和滑动。发电机组由摇柄、齿轮组、发电机马达组成，嵌装在底座面板上；电压表、LED灯分别安装在2个模具成型PVC通用支座上，固定在底座面板上；吊装马达固定在亚克力支架上，并通过模具成型尼龙支架固定在底座面板上；对应控制LED灯和吊装马达的按钮安装在底座面板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烛火发电</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参考尺寸：300*230*200mm，通过酒精灯给金属丝加热，电流表会发生偏转。</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水轮机的应用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参考尺寸：300*160*270mm，由水槽、水轮及联动碾米机构组成。通220V电，模拟水轮机的工作过程以及水利的利用，可循环动作。</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激光通讯演示仪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产品由底座、MP3音乐播放器、激光器、激光接收器、IC解码电路、功放电路、喇叭等组成。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外形参考尺寸：350*260*160mm；底座采用通用的的PVC模具成型，底座规格：350*260*70mm；四脚采用10mm高的专用橡胶垫，防止震动和滑动。供电电源：DC12V1000mA。IC解码电路和功放电路安装在底座内；激光发射和接收器用通用尼龙支座安装在面板上。喇叭向上嵌放在面板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电源开关（带指示灯）和音量调节电位器安装在面板上。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能量转换套件B</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摇风力发电机：11.8*11*8cm手摇发电机（二极管）：11.8*11*6cm多功能小车：14.5*6.5*5.5cm太阳能转换（太阳能电池板可拆卸，与小车上太阳能电池板通配）；电池盒；二极管；风鸣器；小风扇：9.7*6.3cm组成。通过此实验，了解能量之间的相互转换。</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光学系列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忽明忽暗</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参考尺寸：280*220*270mm；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偏振片原理，偏振片上有角度刻度。偏振片一片固定，一片可以转动，能形成忽明忽的现象。</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克鲁克斯辐射演示仪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热辐射计、射灯、保护罩、底座、电源适配器等组成。产品参考尺寸：350*260*240mm。底座采用通用的的PVC模具成型，底座规格：350*260*70mm；四脚采用10mm高的专用橡胶垫，防止震动和滑动。热辐射计：球Φ70mm，采用玻璃材料；射灯：额定电压12V，额定功率10W；保护罩：270*150*160mm，上半部是直径为150mm的半圆，材料为透明亚克力；电源为AC/DC12V1A。具有30秒延时断电保护功能。</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多角度镜面反射演示器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本仪器由产品由可转动的镜面、角度盘、成像物体、底座等组成。整体参考规格350*260*300mm（最高点）。底座通用，PVC材料，模具成型，底座规格：350*260*70mm；四脚采用10mm高的专用橡胶垫，防止震动和滑动。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穿墙而过</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参考尺寸：560*160*170mm，外筒壁的偏振膜使圆筒内形成一个灰暗面。从外部看上去，就像是一面“墙”。小球可以自由通过这面“墙”。</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光学转盘</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装置主要由底座、不同颜色图案的转盘、小电机、电源适配器等组成。外形参考尺寸：350*260*190mm。底座采用通用的的PVC模具成型，底座规格：350*260*70mm；四脚采用10mm高的专用橡胶垫，防止震动和滑动。电源适配器：DC12V/1000mA，输出端内正外负；电机：额定DC3V，转速不小1500转/分；转盘：5只Φ100mm，有机玻璃材质，印有多色不同图案，固定在模具成型通用支座上；面板上安装带指示灯的电源开关、调速电位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视觉暂留演示仪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本装置由LED电路阵列、旋转电机、电路开关、调节电位器、底座等组成。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形参考尺寸：350*260*242mm；底座通用，PVC材料，模具成型，底座规格：350*260*70mm；四脚采用10mm高的专用橡胶垫，防止震动和滑动。电源适配器:DC12V，1000mA（专用）。LED阵列安装上电机的转轴上，采用弹簧电刷对其供电；电机固定在专用支座上，并利用透明的亚克力圆筒进行保护性封闭，圆筒直径150mm。面板上安装有电源开关（带指示灯）和调节电机转速的电位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光辐射实验仪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塑料底座、射灯、温度传感器、电子温度显示器等组成。产品外形参考尺寸：350*260*240mm。底座采用通用的的PVC模具成型，底座规格：350*260*70mm；四脚采用10mm高的专用橡胶垫，防止震动和滑动。供电电源DC12V1A；灯泡规格10W12V；电子温度计为3位大液晶数显，固定于模具成型通用支座上；透明亚克力保护罩270*150*160mm，上半部是直径为150mm的半圆；底座面板上安装有电源开关；仪器具有30秒延时断电保护功能。</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平面镜成像实验仪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验器主要由半透膜玻璃、物、像、带刻度的底板、底座等组成。外形参考尺寸：350*260*205mm。底座通用，PVC材料，模具成型，底座规格：350*260*70mm；四脚采用10mm高的专用橡胶垫，防止震动和滑动。半透膜玻璃固定在亚克力框架上，成像镜面大小150*100mm；底座上镜子两侧安装两个可以移动的亚克力物和“像”。</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强力潜望镜</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帮助孩子探究光的反射原理，以及潜望镜在日常生活以及军事领域的应用。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双目镜设计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3×100mm目镜放大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33cm至56cm可伸缩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外观参考尺寸：长21cm(含手柄)，宽7.2cm，高度38CM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ABS镜体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主要材质：镜体：环保新料ABS、镜片：PMMA。</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光的三原色演示器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参考尺寸：25cm×16cm×14cm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外壳优质ABS塑料，光源优质灯泡和投射镜片，通透，清晰。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拥有三原色，分别为红、蓝、绿，操控台可调节颜色的深浅。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投影头可以随意旋转光源进行颜色组合。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投影距离可以达2M在投影幕布上依然颜色清晰纯正，越黑的环境下效果越好。</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机械力学系列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空气大力士</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参考尺寸：260*260*270mm，可坐60公斤重的一人，气球不会压破。</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过山车模型</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参考尺寸：610*100*460mm，铁球φ14，φ19各一个，轨道宽度18，带捕球装置。</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自动上坡的双锥体</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参考尺寸：760*350*180mm；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锥体能“爬”到轨道顶部。轨道夹角可调，配有圆柱，可测量锥体轴与底板的高度。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探究目的：力学奥秘，重心与重力。</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气悬球演示器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参考尺寸：280*250*450mm，工作电压220V。球会悬浮在气流上，附球和漏斗。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会翻跟头的小球</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参考尺寸：700*150*180mm，魔丸内有一钢珠，重心在一端的椭圆球形物体，管盖不可开启。</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竞速赛道</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参考尺寸：590*170*180mm，二个直径相同的球，比较两球从轨道始端到末端的运动时间。</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哈勃瓶</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参考尺寸：φ105*160mm，探究大气压力与空气的存在。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单摆组实验仪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整体参考尺寸：350*260*310mm。底座采用通用的的PVC模具成型，底座规格：350*260*70mm；四脚采用10mm高的专用橡胶垫，防止震动和滑动。13个Φ20mm金属单摆小球，摆长从50mm到165mm逐个增加；摆线采用高强度透明尼龙线，一端固定在门式亚克力单摆支架上；亚克力单摆支架固定在四个通用尼龙支架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4"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多功能单摆实验仪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验器主要由步进电机、转盘、金属单摆球、塑料单摆球、电源开关、底座等组成。产品整体参考尺寸：350*260*337mm。底座通用，PVC材料，模具成型，底座规格：350*260*70mm；四脚采用10mm高的专用橡胶垫，防止震动和滑动。电源适配器:DC12V，1000mA（专用）。1个Φ15mm金属小球，固定于转盘正中央的支架上，另外1个Φ15mm塑料小球和另1个Φ15mm金属小球分别固定于亚克力单摆支架偏离中心的位置上；其中一个金属小球的摆长与塑料小球的摆长一致。单摆支架高250mm；转盘固定在底座内的步进电机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动量倍增演示仪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整体参考尺寸：350*260*270mm；底座采用通用的的PVC模具成型，底座规格：350*260*70mm；四脚采用10mm高的专用橡胶垫，防止震动和滑动。面板上安装亚克力制成的轨道槽，在槽上等间距安装三个高强度钕铁硼磁铁；槽内按照图所示放置2、2、2、1共7个直径为19mm的小钢球，其中6个小钢球为实心，左边最后一个小钢球用细线悬挂。</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离心力实验仪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金属单摆球、底座等组成。产品参考尺寸：350*260*302mm。底座采用通用的的PVC模具成型，底座规格：350*260*70mm；四脚采用10mm高的专用橡胶垫，防止震动和滑动。亚克力圆筒保护罩的直径200mm；可调速电机安装在底座内，通过轴承竖直固定；2个金属小球和1个塑料小球通过连杆固定在转轴上；其中一个金属小球的转臂长度跟塑料球一致。电源采用DC12V1000mA。面板上安装电源开关（带指示灯）和电机调速旋钮。</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电磁学系列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人体是导体吗-人体导电球</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参考尺寸：φ230*240mm，两端有金属触点，使用电子线路，发光二极管显示，通过人体，可以接通整个电路。</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超声雾化演示仪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装置主要由底座、超声波雾化头、亚克力容器等组成。外形参考尺寸：350*260*320mm。底座通用，采用PVC材料，模具成型，底座规格：350*260*70mm；四脚采用10mm高的专用橡胶垫，防止震动和滑动；电源适配器为DC12V/4A（专用）；雾化头固定于直径150mm、高240mm的亚克力容器内；面板上安装电源开关（带指示灯）。</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雅各布天梯</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参考规格尺寸：280*220*270mm；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接通电源，瞬间产生一个高压，电压过高可击穿空气,使电弧过度到一定距离内的导体上,电弧不断上升过程中距离增大,最后当电压的力量不足以击穿空气时,电弧消失</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光电盘演示仪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产品由光电盘及塑料底座组成，产品外形参考尺寸：350*275*88mm。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底座采用通用的的PVC模具成型，底座规格：350*260*70mm；四脚采用10mm高的专用橡胶垫，防止震动和滑动。电源适配器DC12V/1A。光电盘直径200mm，光电区域直径170mm，由许多直径约2mm—3mm的小气泡构成，按照光电盘不同的区域，小气泡内充有不同的低压气体。面板上安装有电源开关（带电源指示灯）。</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静电转盘演示仪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验装置由有机玻璃罩、金属球（含支架）、金属风轮片（含支架）、标准接线插孔、底座等组成。产品参考外形尺寸：350*260*252mm；底座采用通用的的PVC模具成型，底座规格：350*260*70mm；四脚采用10mm高的专用橡胶垫，防止震动和滑动。有机玻璃罩尺寸：Φ150mmx160mm；保护罩上端为亚克力活动盖板，直径160mm（便于调整里面的风叶）；2个标准接线插孔位于底座面板上；需配套静电感应起电机使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静电滚轮演示仪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底座、滚轮模块（模具成型通用尼龙支架、亚克力侧板、放电针固定柱、及塑料筒）、标准接线柱、连接线组成。产品参考外形尺寸：350*260*245mm；底座采用通用的的PVC模具成型，底座规格：350*260*70mm；四脚采用10mm高的专用橡胶垫，防止震动和滑动。保护罩为亚克力材料，其中半圆部分直径147mm，高164mm，长270mm；需配套静电感应起电机使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静电感应起电机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参考尺寸：290*180*200mm，摇动摇柄，当两个可动金属棒的最顶端靠近时，会产生电火花。</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静电跳球演示仪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350*260*200mm；底座采用通用的的PVC模具成型，底座规格：350*260*70mm；四脚采用10mm高的专用橡胶垫，防止震动和滑动。整体用直径200mm、高120mm的亚克力圆筒进行保护设计；圆筒内中心部位固定安装直径50mm的金属球，圆周安装外径190mm的金属圆环；金属环与中心金属球分别与面板上的两个电极插座相连；在中心金属球和金属环之间放置两个直径22mm的小金属球，可以自由滚动。本装置需要外接静电发生器进行工作。</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磁阻尼管演示仪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透明亚克力管、开孔铝管、支架、底座等组成。外形参考尺寸：350*260*585mm；底座通用，PVC材料，模具成型，底座规格：350*260*70mm；四脚采用10mm高的专用橡胶垫，防止震动和滑动。透明亚克力管：长450mm,直径：30mm；开孔铝管:长450mm,直径：30mm,侧面开有直径10mm的排孔，距离均匀分布。运动体：直径20mm,高25mm,材料：铝、塑料、磁铁各一个。亚克力支架：将两根管分别垂直固定在底座上。面板上安装两块海绵，用于缓冲下落物体的撞击。</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静电点亮日光灯演示仪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产品主要由塑料底座、高压静电发生器、三色灯管、亚克力管等组成。产品外形参考尺寸：350*260*371mm；底座采用通用的的PVC模具成型，底座规格：350*260*70mm；四脚采用10mm高的专用橡胶垫，防止震动和滑动。电源适配器：DC12V/1000mA。红、绿、蓝三色灯管用亚克力管外套进行保护，且等间距分布在直径为163mm的亚克力圆形板上。静电发生器隐蔽安装在底座内。</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无形的力</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参考尺寸：280*220*270mm；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接通电源，交流电通过线圈后产生交变磁场，使套在软铁芯上的小金属环中产生涡流，涡流磁场的方向与线圈磁场的方向相反，相互排斥，于是小金属环便被看不见的力托了起来。</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电磁铁</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参考尺寸：15X15X4厘米。透明、直观。用于电磁性质的学习和实践。需要两节电池，带LED指示灯，易于操作。</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磁共振</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参考尺寸：280*220*270mm；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电磁感应现象。当圆盘里外围的线圈通电，会产生较强的电流磁场，而乒乓球里面也密封着一个永久磁棒，电流磁场与永久磁棒的相互作用，就产生了“跳跳球”！</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磁振子实验仪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弹簧、配重块、磁铁、不闭合铝环、闭合铝环、塑料环、底座组成。参考外形尺寸：350*260*370mm；底座采用通用的的PVC模具成型，底座规格：350*260*70mm；四脚采用10mm高的专用橡胶垫，防止震动和滑动。弹簧规格：线径φ0.5±0.1mm，弹簧圈直径φ12mm，弹簧压缩高度70mm；磁铁规格：φ15*5mm；金属套环二个，外径φ61mm，内径φ47.5mm，一个有缺口另一个没有缺口；非金属套圈一个，外径φ64mm，内径φ53mm；三个套圈手把长92mm；外保护管规格：φ30*300mm，透明亚克力管。</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4"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范氏起电机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规格：底座为自行开发研制的一体式铝制底座，内有220V电机驱动皮带产生静电。球体采用独特艺用冷轧板压制而成，连接球体和底座的管子为亚克力PC管。电源线为3C认证的三脚插头电源线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二：主要参数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电源电压：交流220V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整机功耗：70W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蓄电球直径：200mm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放电球直径：60mm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火花距离：≥60mm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外围体积：300×200×600</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金箔验电器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产品参考尺寸：20X14.2CM。外壳为铁壳一体成型，再用蓝色喷涂。顶端固定材料为亚克力。采用本厂独特工艺将金箔粘于五金件上，顶端为金属放电球。当检验物体接触到放电球上，金箔会自动离开五金件，形成一定角度张开并保持一段时间，实现实验目的。</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箔片验电器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产品参考尺寸：20X14.2CM。外壳为铁壳一体成型，再用蓝色喷涂。顶端固定材料为亚克力。采用本厂独特工艺将两片箔片粘于五金件上，顶端为金属放电球。当检验物体接触到放电球上，两片箔片会分开，形成一定角度张开并保持一段时间，实现实验目的。</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声学系列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4"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声音产生演示仪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验器主要由八音盒、琴弦、底座等组成。本装置整体参考规格350*260*145mm；底座通用，PVC材料，模具成型，底座规格：350*260*70mm；四脚采用10mm高的专用橡胶垫，防止震动和滑动。八音盒固定在底座面板上。琴弦用亚克力支架固定在底座面板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声波观察实验仪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验器主要由音叉、背景板、激光器、调速电机、开关等组成。本装置整体参考尺寸350*260*289mm；底座通用，PVC材料，模具成型，底座规格：350*260*70mm；四脚采用10mm高的专用橡胶垫，防止震动和滑动。背景板固定在模具成型通用支座上，且可拆卸；调速电机和激光发射器固定在亚克力支架上；激光头上下角度可调。电源适配器:DC12V，1000mA（专用）。音叉采用256Hz的标准音叉。面板上安装电源开关（带指示灯）和调速电位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声能实验仪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整体参考尺寸：350*260*295mm。底座采用通用的的PVC模具成型，底座规格：350*260*70mm；四脚采用10mm高的专用橡胶垫，防止震动和滑动。电源输入：12VAC/DC1A（通用适配器）；电容式高保真麦克风；标准2.5mm扬声器输入接口；按钮式电源开关，带红色LED电源指示；扬声器固定于亚克力共振腔内，共振腔用直径为150mm的亚克力材料制作，并用模具成型通用尼龙支架固定在底座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声音探测器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产品参考尺寸：44X27X11.5厘米需要两节AA电池，产品不包含电池。1.监听声音改变方向的变化。2.独特的扬声器和麦克风设计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3.重量轻变声器特性与三个不同的声音:孩子,动物和成人。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4.光功能和音量控制功能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5.使用说明书</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震动声波演示器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参考尺寸：280*220*270mm；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黑色圆筒上的一条条白带在转动时，就好像闪光灯一次次闪亮（由于在圆面上分布，所以不是匀速闪亮的）。在人眼视觉暂留的作用下，振动的琴弦在一个个局部被“冻结”，又在视网膜上形成新的状态，好像出现波纹。</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雪浪声波</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参考尺寸：540*310*365mm，电子琴发声，带动泡沫颗粒振动。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空间环境系列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天气预报壶</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参考尺寸：φ90mm*165mm，通过壶嘴的高度记入天气的温度。可观察壶嘴的高度与温度的关系。</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手稳定性测试仪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产品由电源适配器、IC电路、兔型金属架、LED、蜂鸣器、小电扇、底座等组成。产品整体参考规格：350*260*288mm；底座采用通用的的PVC模具成型，底座规格：350*260*70mm；四脚采用10mm高的专用橡胶垫，防止震动和滑动。LED灯、蜂鸣器和小电扇分别安装在模具成型的通用支座上，并固定于面板上；金属块、兔型金属架分别安装在面板的左边和中间位置；开关采用带LED电源指示灯的标准件；电源采用DC12V1A。</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太阳系模型</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参考尺寸：48X30X18CM。1.产品用途：用于太阳系天体的构成及其运转的学习和探究2.产品包括：数字星空CD光盘、发光的太阳、九大行星包括太阳，水星，金星，地球，火星，木星，土星，天王星，海王星和冥王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自动旋转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配英文语音八大行星的介绍。加深孩子对天文和宇宙的兴趣和探索欲。</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星空投影仪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产品参考尺寸：23X22X17厘米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需要4节AA电池（不包括电池)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1.质量光学透镜系统2.可调焦点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3.可调节投影角4.30分钟自动关闭功能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5.最佳投影距离:1.5-1.5米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6.投影仪7.两个带北半球可互换的星空图光盘8.说明书让孩子们充分了解星空及各星座的知识，观察各星空图，积发对天文学的学习兴趣。</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月相仪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参考尺寸：φ220mm*100mm；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能演示满月、凸月、下弦月、眉月、钩月、上弦月等月相。</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探险家投影仪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参考尺寸：26X24X26厘米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包装内配备：投影球一个，底座一个，投影胶卷2个（一个在投影球内），说明书一份。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1、在投影球上装上电池，插上投影胶卷。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2、熄灯并打开开关按钮，这样就能投影了。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3、接着旋转顶部的旋转开关，就能显示不同的景观。</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热学</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金属热传导实验仪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由受热金属棒、传热金属棒、数字温度计、传感器、底座等组成。产品整体参考尺寸：350*260*235mm。底座通用，PVC材料，模具成型，底座规格：350*260*70mm；四脚采用10mm高的专用橡胶垫，防止震动和滑动。直径为20mm、长度195mm的铝质传热金属棒上均匀分布5个数字温度传感器；数字温度传感器用模具成型PVC通用支座固定在面板上。一个直径30mm、长度105mm的铝质受热金属棒与传热金属棒活动连接，可以根据需要用酒精灯加热或热水加热。金属棒相连受热金属棒和传热金属棒用亚克力进行固定，并安装在模具成型的尼龙通用支架上。</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金属热胀冷缩实验仪</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整体参考尺寸：350*260*240mm。底座采用通用的的PVC模具成型，底座参考规格：350*260*70mm；四脚采用10mm高的专用橡胶垫，防止震动和滑动。电源输入：12VAC/DC1000mA（通用适配器）；按钮式电源开关，带红色LED电源指示；红色LED、毫安表、音乐IC蜂鸣器分别固定在三个PVC通用支座上；热胀冷缩的金属铝棒利用两块亚克力板固定在尼龙通用支架上，金属条长250mm，直径3.2mm。</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动手动脑课程套件</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创意电子画课程套件</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由纸电路元件、双面导电铜箔胶带、场景填色模板、案例卡片和上线学习五部分组成。其中，纸电路元件是一种从中小学生的安全需求、心理发展特点、认知发展水平及教师教学过程出发，基于类比思维，设计而成的具有独特外观的电子元件。双面导电铜箔胶带避免了焊接电路过程的安全隐患，也便于学生对于电路的快速调整。场景填色模板是待填色的场景线稿，可由学生对其进行上色，也鼓励学生脱离模板自由创作对应电路适合的应用场景。案例卡片是纸电路元件、双面导电铜箔胶带及场景填色模板的载体，其上绘制有各类电路模板，包含了由电位计、各种类型的开关、各类LED发光元件等元件组成的简单串并联电路案例，以及由电容、光敏电阻、各类三极管、蜂鸣器等元件组成的更为复杂的电路案例，可充分培养学生的电子电路基础和综合运用能力。场景填色模板可由双面胶带叠加至电路区域的上方，达到电路与应用场景融合的目的。创意电子画教学系统共集成了12个创作案例。这些案例一部分是生活场景的再现，一部分则是基于现实问题的创意解决方案。通过电路的搭建及场景层的叠加，美妙的声光场景便跃然纸上了。基于“翻转式课堂”教育理念和开放式项目教学内容，学生可以通过扫描资源二维码获取相应的教学视频，还可以扫描分享二维码分享作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通过创意电子画教学系统的学习，学生能够结合场景，更充分地认识常见的电子元器件、掌握基本的电路原理，培养艺术思维和设计思维，为创意和创造打造良好的基础。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课程目录：1、点亮一盏灯；2、夜幕降临；3、红绿灯；4、交通倒计时；5、一起去看流星雨；6、欢乐之夜；7、夏夜的萤火虫；8、智慧路灯；9、公交门铃；10、火警119；11、触摸警报装置；12、双闪警示灯</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电子立体卡片课程套件</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它主要由在线软件纸电路元件、双面导电胶布、主题卡片、附加材料、五部分组成。其中，纸电路元件是一种从中小学生的安全需求、心理发展特点、认知发展水平及教师教学过程出发，基于类比思维，设计而成的具有独特外观的电子元件。双面导电胶布避免了焊接电路过程的安全隐患，也便于学生对电路进行快速调整。主题卡片是纸电路元件、双面导电胶布及附加材料的载体，其上绘制有各类主题式的电路模板和刀刻模板，涵盖了生物、自然奥秘、传统节日、传统美德、艺术教育、乡土文化、太阳能等主题。附加材料是服务于主题表达的材料，具有丰富场景的作用。通过折叠、镂空、材料附加、上色等形式，主题卡片具备了比单纯二维平面创作更为丰富的创意维度。基于“翻转式课堂”教育理念和开放式项目教学内容，学生可以通过扫描资源二维码获取相应的教学视频，还可以扫描分享二维码分享作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课程目录：1、天然的“小灯笼”；2、深海里的“亮光”；3、勤劳的小蜜蜂；4、打草惊蛇；5、梦幻的水母；6、发光的“绿宝石”；7、辞旧迎新；8、元宵灯会；9、龙舟竞渡；10、鹊桥相会；11、河灯漂流；12、中秋月圆；</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创意机械学套件</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意机械学主要由纸电路元件、双面导电铜箔胶带、场景填色模板、案例卡片和上线学习五部分组成。其中，纸电路元件是一种从中小学生的安全需求、心理发展特点、认知发展水平及教师教学过程出发，基于类比思维，设计而成的具有独特外观的电子元件。双面导电铜箔胶带避免了焊接电路过程的安全隐患，也便于学生对于电路的快速调整。场景填色模板是待填色的场景线稿，可由学生对其进行上色，也鼓励学生脱离模板自由创作对应电路适合的应用场景。案例卡片是纸电路元件、双面导电铜箔胶带及场景填色模板的载体，其上绘制有各类电路模板，包含了由电位计、各种类型的开关、各类LED发光元件等元件组成的简单串并联电路案例，以及由电容、光敏电阻、各类三极管、蜂鸣器等元件组成的更为复杂的电路案例，可充分培养学生的电子电路基础和综合运用能力。场景填色模板可由双面胶带叠加至电路区域的上方，达到电路与应用场景融合的目的。创意电子画教学系统共集成了12个创作案例。这些案例一部分是生活场景的再现，一部分则是基于现实问题的创意解决方案。通过电路的搭建及场景层的叠加，美妙的声光场景便跃然纸上了。基于“翻转式课堂”教育理念和开放式项目教学内容，学生可以通过扫描资源二维码获取相应的教学视频，还可以扫描分享二维码分享作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通过创意电子画教学系统的学习，学生能够结合场景，更充分地认识常见的电子元器件、掌握基本的电路原理，培养艺术思维和设计思维，为创意和创造打造良好的基础。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课程目录：1、肖像盒子；2、VR眼镜；3、万花尺；4、皮筋枪；5、齿轮计算器；6、如意小算盘；7、牛顿摆；8、打鼓机；9、升降台；10、机械虹膜；11、投石机；12、机械爪；13、空气动力小车；14、机械爪；15、密码宝盒；16、带式传输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33D打印套件、无人机、人工智能机器人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桌面3D打印机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FDM型，成型尺寸约≥ 220*150*150mm，采用全金属机身，正面彩色亚克力面板装饰。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喷头数量：单；层厚：0.05-0.30mm；成型精度：正负0.1-0.3mm；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喷嘴直径 0.4mm；支持材料：PLA/HIPS/PETG/PHA；材料直径：1.75mm；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软件 CURA-中文/英文；支持文件格式：stl;Gcode;obj;dae;amf;bmp;jpg；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XY轴定位精度：0.0128mm；Z轴定位精度：0.0025mm；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SD卡脱机打印：支持；液晶屏：有，中文显示；工作电压：24V；输入电压：220V/110V；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平均功率/最大功率 200W/320W。最高挤出温度：260摄氏度（C°）;具有加热平台：最高加热平台温度：115摄氏度（C°）；机器尺寸约不小于495mm*324mm*375mm。</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双混色3D打印机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液晶屏:不小于3.5寸全彩触摸屏，60度斜面设计。打印成型尺寸约≥ 200*200*300mm。支持断电续打，中途换料。必须满足的要求：采用单打印喷头，双进料系统，支持耗材混合渐变打印，可通过两种颜色耗材混合打印出第三种颜色。；层厚 0.05-0.30mm；成型精度 正负0.1-0.3mm；喷嘴直径不大于 0.4mm；支持材料  PLA/ABS/HIPS/PETG/PHA；材料直径 不小于1.75mm；软件支持 CURA-中文/英文/韩文/德文/日文；支持文件格式 stl;Gcode;obj;dae;amf;bmp;jpg；XY轴定位精度 0.0128mm；Z轴定位精度 0.0025mm；脱机打印：支持；工作电压 24V；输入电压 220V/110V；平均功率/最大功率 200W/320W；机器尺寸约≥360*360*540mm。</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三维创意设计软件</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3D设计软件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支持导入2D图片建模、文字建模、自定义绘制图形建模等多种建模方式；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支持操作系统自带全部字体的3D文字建模，并自动支持用户安装在操作系统下的扩展字体；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支持对导入图片的距离测量、对齐、复制、旋转、镜像、缩放等操作功能；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支持照片、图片、文字一键式3D透光浮雕建模技术。独有回转体曲面浮雕生成技术；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支持单张2D照片自动合成3D人像功能，合成时间少于90秒。支持交互式3D人像变形设计，支持五官、表情、年龄、配饰、角色、发型、肤色等多种交互式快速设计功能；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支持积木堆叠式建模，10种以上基础模块形状，自由度更高。支持材质颜色，自带常用材质基础模块；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超过10个大类，逾700件各类高质量3D打印模型，支持实时3D预览；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支持参数化积木建模，可数字化定义积木形状、尺寸约，并进行组合建模；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支持自有定义工作平面，绘制简易草图，支持基于草图的剪切、拉伸、旋转等高级建模功能；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支持导入图片进行建模，支持文字输入建模；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支持3D模型的缩放、旋转、坐标变换、删除、复制、叠加复制、镜像、阵列、对齐、布尔运算以及取消布尔运算；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支持对工作平面的修改以及还原；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支持3D数字雕刻建模，自由塑形，适用于设计3D艺术模型；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支持常用的雕刻功能：笔刷、膨胀、扭曲、平滑、抹平、夹捏、皱褶、拖拉以及涂绘等；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支持内置球体、方块、圆柱、圆环等常用雕刻基础模型，也可从外部导入STL/OBJ模型作为雕刻基础模型；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支持雕刻功能可以设置半径大小，可以添加对称约束；涂绘功能可以自由选择颜色；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内置至少八种以上的常用材质球，可以导入图片自定义材质球；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全参数化编程交互方式的3D模型设计，支持2D图形（内置包含圆、椭圆、矩形、正多边形、2D函数等常用图形）、3D模型（内置包含球体、长方体、圆柱/圆台/圆锥、正棱柱/正棱台/正棱锥、圆环、圆管、齿轮、3D函数等常用模型）、2D/3D文字、2D/3D函数、布尔运算、凸壳处理、平移与缩放、镜像与旋转变换、2D图形的平直与扭曲等多种拉伸造型以及旋转造型、数学运算与函数、逻辑与循环控制、自定义变量和模块等参数化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软件内置各模块使用视频案例，可直接打开播放；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2：3D设计课程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为了满足教学要求，方便老师授课、学生上课学习，须将完善课程体系直接嵌入软件平台，老师、学生只需要在软件平台界面选择相应课程即可开始上课。独立项目制课程系统涵盖美术、自然科学、数学、语文、物理、几何、管理学、人文等多个学科领域，学科知识体系与3D打印结合的创造力培养课件，能够全面覆盖小学或或高中、中职阶段。符合STEAM与创客教育的项目制教学课程，每节课程包含讲义、教案与教材、素材、视频全面材料，小学阶段≥54个项目制课程、阶段≥36个项目制课程、高中中职阶段≥12个项目制课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4：软件可生成.STL标准格式文件，支持所有品牌3D打印机；</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3D打印模型素材库</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STL格式的可打印3D模型素材库，可打印的模型素材电子文件≥300个。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3D打印机专用耗材</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1、PLA或ABS打印材料，强度和韧性高，配合3D打印机可打印出高品质作品，800g/包，直径1.75mm；                                                                                                    2、它基于3d打印，挤出热融的塑料，然后在空气中迅速冷却，最后固化成稳定的状态。</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I7-9700/8G/1T/2G显卡/21.5</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图形化编程无人机</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可编程飞控，开放网络控制协议，支持语音操控，支持脑电操控，支持群控操控，支持红外线打靶，支持FPV操控，重量：92g（含电池、护翼），电机：空心杯，带保护，操控方式：APP，PC，遥控与编程，WIFI频率：2.4GHZ，接口：Micro USB充电接口，电池：1S/800mAh 25C带保护板，最大飞行高度：无人机与遥控手机相对20米，最大飞行距离：80米，尺寸参考：190*190mm*40mm（带护翼），1080P实时拍摄，360旋转拍摄</w:t>
            </w:r>
            <w:r>
              <w:rPr>
                <w:rFonts w:hint="eastAsia" w:ascii="宋体" w:hAnsi="宋体" w:cs="宋体"/>
                <w:i w:val="0"/>
                <w:iCs w:val="0"/>
                <w:color w:val="000000"/>
                <w:kern w:val="0"/>
                <w:sz w:val="21"/>
                <w:szCs w:val="21"/>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图形化编程无人机备用电池</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3.7V  800mah锂聚合物电池</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图形化编程无人机电池充电器</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3.7v  电池充电（一拖二）</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图形化编程无人机配件包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螺旋桨1套，护翼1套</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图形化编程无人机比赛套装（小学）</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无人机赛事匹配的训练套装（尺寸：4*4m），包含赛道图一套，圆环1套，电子靶1套，标记物一个。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《无人机初级编程》教材</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学习当下流行的无人机编程语言。此课程主要包括无人机编程语言的种类、无人机编程语言的发展历程、无人机编程语言可实现功能、无人机编程语言案例精讲等。通过编程能力的不断提升使学生能够设计无人机的飞行动作，从而完成特定的任务。</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人工智能普及赛套装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1、控制器： 32位Cortex-M3处理器；3MB外部程序存储空 间，可存储≥50条程序；128*64LCD背光；4个按键；提供 20路各类输入输出接口 2、结构件：组件数量≥310个，组件种类≥39种。 3、传动件：8直齿齿轮2个、16直齿齿轮2个、24直齿齿轮 2个，20齿半高锥齿轮2个、12半高锥齿2个，12锥直齿2个, 蜗杆1个、齿条2个。 4、传感器：地面灰度传感器5个； 红外测障传感器1个。 5、执行器：闭环电机3套，彩色RGB灯1个。 6、能源：7.4V 1500MAH锂电池 软件系统： AI Module 软件，支持流程图编程、标准C语言编 程、Python编程、Scrach编程、动作编辑器五种编程方式。</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普及赛场地套装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1、该套装包含2022年活动场地任务模型零件（≥ 500个），可搭建8个任务模型：花样滑冰、冰球、冰 壶、越野滑雪、短道速滑、高山滑雪、有舵雪橇、跳台 滑雪。固定场地任务模型专用魔术贴 2、包含2022年活动专用场地纸1张（尺寸1.2米 *2.2米）； 3、包含可移动拼装巡线台一套（5cm斜坡1个，5cm 平台1个）。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梁配件包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结构件共58个，其中：20梁5个，30梁10个，50梁10个，70梁10个，110梁10个，126度梁5个，90度梁5个，方形梁2个，U型梁1个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轴配件包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结构件共46个，其中：20轴5个，30轴5个，40轴5个，50轴5个，60轴5个，80轴5个，20联轴器，90度联轴器，157.5度联轴器，112.5度联轴器</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销配件包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结构件共124个，其中：1倍方销4个，1.5倍销20个，2倍销50个，3倍销30个，0.5高滑轮轴套10个，轴套10个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轮胎配件包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万向轮1个，6018轮胎2个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电机配件包</w:t>
            </w:r>
          </w:p>
        </w:tc>
        <w:tc>
          <w:tcPr>
            <w:tcW w:w="4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130闭环电机2个，6PIN连接线2根，电机转接支架2个</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638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手工制作-航空模型</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橡筋动力扑翼机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参考规格：翼展460mm、机长320mm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性能：制作时间20-30分钟，飞行时间最长可达30秒以上特点：模仿鸟类飞行原理，可调节爬升角度、飞行半径拓展：适合中高年龄段开展各类课外科技课程，通过组装可了解曲轴传动原理及航空知识；可开展橡筋动力留空赛；有效提高学生的动手动脑能力材质：塑胶ABS、碳纤维动力：橡筋2g外观：彩色印刷</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橡筋动力滑翔机(闪电图案)</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参考规格：翼展520mm，机长430mm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超大翼展，机翼可更换，滑翔性能卓越的橡筋动力飞机。制作时间10-15分钟，飞行时间最长可达60秒以上；配高含胶量2克橡筋，机身为内置橡筋的轻量化高强度塑筒；机翼带彩色印刷，有两种图案可供选择；适合全年龄段开展各类课外科技课程，熟悉航空知识；可开展橡筋动力留空赛；有效提高学生的动手动脑能力。</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3D舱身橡筋动力飞机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参考规格：翼展480mm，机长360mm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性能：制作时间15-30分钟，飞行时间最长可达20秒以上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拓展：适合中高年龄段开展各类课外科技课程，熟悉航空知识；可开展橡筋动力留空赛；有效提高学生的动手动脑能力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材质：塑胶ABS、EPS</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控时电动自由飞</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参考规格：翼展535mm，机长400mm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超大翼展的普及型竞技型电动自由飞。在充电器内置入4节5号电池（需另购）并对含镍氢电池的机头进行充电60秒以内，可实现60秒以上的飞行时间。可设定飞行时间，实现“充一次飞多次”以及“根据飞行场地设定飞行时间”的功能组装时间约5分钟，适合全年龄段开展各类科技活动，可开展留空赛。</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水火箭套装</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参考规格：产品长宽高为379*95*95mm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简介：需要自行组装的水火箭，将水注入瓶体，通过产品自配的打气筒，利用液压原理将火箭发射，具有很高科学原理，适合中高年龄段开展各类科技活动，可开展定点降落赛、打靶赛等活动。</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电动线操纵飞机</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参考规格：翼展620mm，机长460mm。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新款“空中战士”线操纵采用动力表现更佳的“锂电池+无刷电机”以及抗撞耐摔性能超群的EPO材质机身，并增加了电子调速器，全新符合人体工程学的多功能手柄等。飞机在性能、耐用、外观等方面达到了业界顶尖水准，特技飞行更可随心所欲展现。适合开展线操纵飞机积分赛。</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遥控双翼机</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参考规格：翼展325mm，机长290mm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简介：“追梦者”2.4G遥控双翼机是一款极易操纵的航空模型产品，采用飞行性能及其稳定的双翼设计，甚至适合在体育馆等室内环境下飞行。二通道2.4G遥控，配置150mA锂电池，适合初学者快速上手。</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控直升机</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参考规格：机长220mm，旋翼长190mm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校园普及型经典遥控4通道直升机。搭载2.4G遥控技术，比例操控，可轻松实现侧飞、旋转摆尾、悬停，运载重物等特技动作。充放电均能在短时间内迅速完成，在户外，由装入4节5号电池的发射器即可对模型进行充电。适合全年龄段开展各类科技活动，可开展障碍飞行赛。有效提高学生的动手动脑意能力。</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2.4G电动遥控飞机</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540mm，机长：380mm，简介：极其适合校园推广的专业级三通道特技遥控滑翔机，室内室外均可飞行。搭载2.4G遥控技术，机身仅重45g，配置150mAH锂电池。充电30分钟可飞行5-8分钟，遥控距离150米。可平地起飞，能做翻筋斗、8字飞行等特技。8字等多项特技动作。适合全年龄段开展各类科技活动，可开展绕标及定点降落赛。有效提高学生的动手动脑意能力。</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2.4G遥控滑翔机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参考规格：翼展：890mm，机长670mm。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简介：超大翼展，超强稳定性，适合室外遥控的滑翔机。搭载2.4G遥控技术，配置7.2V 420mAH锂电池。充电60分钟可飞行10分钟以上，遥控距离200米。可平地起飞，能做翻筋斗、8字飞行等特技。8字等多项特技动作。适合全年龄段开展各类科技活动，可开展绕标及定点降落赛。有效提高学生的动手动脑能力。</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2.4G智能两栖遥控飞机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参考规格：翼展1220mm，2.4G四通道遥控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款适合全年龄段不同水平使用的大型智能上单翼遥控飞机，具备水、陆起降能力。根据使用者的操作水平（初学、进阶、专业）可以选择三种不同的辅助飞行模式。EPO机身防撞，具备油门锁定、一键救机等功能。套材内包含起落架和浮筒，可以自由选择水、陆机模式。</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四轴航拍竞技无人机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规格：机长180mm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介：带FPV等多项功能的航拍无人机。搭载高容量720mAH锂电池及超广角720P高清摄像头，遥控器配4.3吋超大专业FPV（第一视角）液晶屏并具备读取TF卡功能，确保最佳航拍效果；一体成型高强度机身、强劲空心杯马达、高性能六轴陀螺仪、高精度气压计等部件确保稳定飞行表现；成品出厂，适合全年龄段开展各类科技活动，组织航拍及竞速赛。有效提高学生的手脑协调能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配件：可选配一充四快速充电器，</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吊挂战斗机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教室氛围布置，装饰空机，展示使用，机长≥100CM</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吊挂战斗机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教室氛围布置，装饰空机，展示使用，机长≥100CM</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吊挂战斗机</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教室氛围布置，装饰空机，展示使用，机长≥100CM</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《动手做模型》教材</w:t>
            </w:r>
          </w:p>
        </w:tc>
        <w:tc>
          <w:tcPr>
            <w:tcW w:w="479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由多名青少年科技模型教育专家编写，主要介绍了从手掷飞机到遥控飞机等各类适合青少年开展活动的普及类航模知识，包括制作过程、器材原理、试飞技巧和竞赛规则等。必须有国家统一书号。</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科模小创客-遥控直升机障碍赛场地套组</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地设置“定点着陆”、“鱼跃龙门”、“低空侦察”和“时空隧道”4项障碍。内含60*60cm橡胶起飞垫1套，标志杆、标志杆连接件、底座若干，圆环一套。可结合《科模小创客》教材，开展“天戈”直升机竞赛活动。</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D160无人机穿越航拍赛竞赛专用场地</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参考规格：1.2*1.6*2.8米,含190T加厚布、玻纤杆、钢管支角、金属接头、细绳、弹性绳、防滑套、包装袋。拱门规格：1.2*1.6米,含190T加厚布、玻纤杆、钢管支角、金属接头、细绳、弹性绳、防滑套、包装袋。起飞垫规格：1.5米*1.5米,含190T加厚布、玻纤杆、金属接头、弹性绳、包装袋。地标规格：0.2*0.06米，含190T加厚布、玻纤杆、金属接头、弹性绳、包装袋。锥体规格：直径1米*1.2米高，190T加厚布、玻纤杆、金属接头、钢丝、弹性绳、四通接头、包装袋。</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2.4G电动遥控飞机专用锂电池</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锂电池组件（150mAh）</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电动线操纵专用锂电池</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锂电池组件（900mAh）</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2.4G遥控直升机专用锂电池</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锂电池组件（150mAh）</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水陆两栖遥控飞机专用锂电池</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锂电池组件</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超级电池</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Style w:val="65"/>
                <w:b w:val="0"/>
                <w:bCs w:val="0"/>
                <w:color w:val="auto"/>
                <w:sz w:val="21"/>
                <w:szCs w:val="21"/>
                <w:lang w:val="en-US" w:eastAsia="zh-CN" w:bidi="ar"/>
              </w:rPr>
              <w:t>容量2500mAH（AA型），镍氢充电电池，电压1.2V，适合大电流放电。</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超级充电器</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Style w:val="65"/>
                <w:b w:val="0"/>
                <w:bCs w:val="0"/>
                <w:color w:val="auto"/>
                <w:sz w:val="21"/>
                <w:szCs w:val="21"/>
                <w:lang w:val="en-US" w:eastAsia="zh-CN" w:bidi="ar"/>
              </w:rPr>
              <w:t>适用于5号/7号镍氢充电电池，单节/多节均可充电，充电电流150mA</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C-400锂电池充电器</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输入5V 1500mA,输出:4.2Vx306mA,内含1SB转DC头电源线，可以使用充电宝、电脑1SB或手机充电器取电，可以同时为4节锂电池进行充电。双色充电指示灯: 充电中红色，充满绿色。</w:t>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C-410锂电池充电器</w:t>
            </w:r>
          </w:p>
        </w:tc>
        <w:tc>
          <w:tcPr>
            <w:tcW w:w="47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适配器:  输入电压AC: 100~240V,输出电压: 5V,输出电流:5000mA 充电器: 共4口独立充电模组，可同时为4组锂电池同时充电每组双色充电指示灯:充电中红色，充满绿色</w:t>
            </w:r>
            <w:r>
              <w:rPr>
                <w:rFonts w:hint="eastAsia" w:ascii="宋体" w:hAnsi="宋体" w:eastAsia="宋体" w:cs="宋体"/>
                <w:i w:val="0"/>
                <w:iCs w:val="0"/>
                <w:color w:val="000000"/>
                <w:kern w:val="0"/>
                <w:sz w:val="21"/>
                <w:szCs w:val="21"/>
                <w:u w:val="none"/>
                <w:lang w:val="en-US" w:eastAsia="zh-CN" w:bidi="ar"/>
              </w:rPr>
              <w:br w:type="textWrapping"/>
            </w:r>
          </w:p>
        </w:tc>
        <w:tc>
          <w:tcPr>
            <w:tcW w:w="5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lang w:eastAsia="zh-CN"/>
        </w:rPr>
      </w:pPr>
    </w:p>
    <w:p>
      <w:pPr>
        <w:rPr>
          <w:rFonts w:hint="eastAsia"/>
          <w:lang w:eastAsia="zh-CN"/>
        </w:rPr>
      </w:pPr>
    </w:p>
    <w:tbl>
      <w:tblPr>
        <w:tblStyle w:val="22"/>
        <w:tblW w:w="8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4"/>
        <w:gridCol w:w="1854"/>
        <w:gridCol w:w="395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5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校园文化建设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    寸</w:t>
            </w:r>
          </w:p>
        </w:tc>
        <w:tc>
          <w:tcPr>
            <w:tcW w:w="3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    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宣传展板</w:t>
            </w:r>
          </w:p>
        </w:tc>
        <w:tc>
          <w:tcPr>
            <w:tcW w:w="1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2.4*1.2米</w:t>
            </w:r>
          </w:p>
        </w:tc>
        <w:tc>
          <w:tcPr>
            <w:tcW w:w="3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PVC包边户外写真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价值观墙上字</w:t>
            </w:r>
          </w:p>
        </w:tc>
        <w:tc>
          <w:tcPr>
            <w:tcW w:w="1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0.8*0.8米</w:t>
            </w:r>
          </w:p>
        </w:tc>
        <w:tc>
          <w:tcPr>
            <w:tcW w:w="3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PVC+亚克力+安装</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制度牌展板</w:t>
            </w:r>
          </w:p>
        </w:tc>
        <w:tc>
          <w:tcPr>
            <w:tcW w:w="1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1.2*0.8米</w:t>
            </w:r>
          </w:p>
        </w:tc>
        <w:tc>
          <w:tcPr>
            <w:tcW w:w="3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PVC包边户外写真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公示牌</w:t>
            </w:r>
          </w:p>
        </w:tc>
        <w:tc>
          <w:tcPr>
            <w:tcW w:w="1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2.0*1.2米</w:t>
            </w:r>
          </w:p>
        </w:tc>
        <w:tc>
          <w:tcPr>
            <w:tcW w:w="39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PVC型材框带盖</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pPr>
        <w:rPr>
          <w:rFonts w:hint="eastAsia"/>
          <w:lang w:eastAsia="zh-CN"/>
        </w:rPr>
      </w:pPr>
    </w:p>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lang w:eastAsia="zh-CN"/>
        </w:rPr>
      </w:pPr>
    </w:p>
    <w:tbl>
      <w:tblPr>
        <w:tblStyle w:val="22"/>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6"/>
        <w:gridCol w:w="1346"/>
        <w:gridCol w:w="4832"/>
        <w:gridCol w:w="661"/>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8800"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音乐、美术教室配置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序号</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名称</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技术参数说明</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数量</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6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谱示教板</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1、61键电钢琴键盘。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2、一组可书写的大谱表,采用白色书写面板，白板笔书写，清洁、卫生、方便擦涂。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3、采用红外线阻断发声原理，电教板面板设有红外线收发装置                                                                                                                                                                                                                                                                                                                                                                                                                                  4、不使用专用LL教鞭，手触摸五线谱区域即可发声（悬浮阻断红外线即可发声），发声过程顺化流畅，连续滑动五线谱，发声不卡不断。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5、内置128种GM音色加1组鼓组音色，1350种节奏，内置≥522首示范曲，并可通过SD卡或USB接口无限拓展。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6、≥12种五线谱变调。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7、可演示任意和弦，可在控制面板上直接操作“启动、停止和弦”、“增强和弦”、“消除和弦”快捷键。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8、具有录音功能，可录制300</w:t>
            </w:r>
            <w:r>
              <w:rPr>
                <w:rFonts w:hint="eastAsia" w:ascii="宋体" w:hAnsi="宋体" w:eastAsia="宋体" w:cs="宋体"/>
                <w:i w:val="0"/>
                <w:iCs w:val="0"/>
                <w:color w:val="000000"/>
                <w:kern w:val="0"/>
                <w:sz w:val="20"/>
                <w:szCs w:val="20"/>
                <w:highlight w:val="none"/>
                <w:u w:val="none"/>
                <w:lang w:val="en-US" w:eastAsia="zh-CN" w:bidi="ar"/>
              </w:rPr>
              <w:t>0</w:t>
            </w:r>
            <w:r>
              <w:rPr>
                <w:rFonts w:hint="eastAsia" w:ascii="宋体" w:hAnsi="宋体" w:cs="宋体"/>
                <w:i w:val="0"/>
                <w:iCs w:val="0"/>
                <w:color w:val="000000"/>
                <w:kern w:val="0"/>
                <w:sz w:val="20"/>
                <w:szCs w:val="20"/>
                <w:highlight w:val="none"/>
                <w:u w:val="none"/>
                <w:lang w:val="en-US" w:eastAsia="zh-CN" w:bidi="ar"/>
              </w:rPr>
              <w:t>首</w:t>
            </w:r>
            <w:r>
              <w:rPr>
                <w:rFonts w:hint="eastAsia" w:ascii="宋体" w:hAnsi="宋体" w:eastAsia="宋体" w:cs="宋体"/>
                <w:i w:val="0"/>
                <w:iCs w:val="0"/>
                <w:color w:val="000000"/>
                <w:kern w:val="0"/>
                <w:sz w:val="20"/>
                <w:szCs w:val="20"/>
                <w:highlight w:val="none"/>
                <w:u w:val="none"/>
                <w:lang w:val="en-US" w:eastAsia="zh-CN" w:bidi="ar"/>
              </w:rPr>
              <w:t>以上首</w:t>
            </w:r>
            <w:r>
              <w:rPr>
                <w:rFonts w:hint="eastAsia" w:ascii="宋体" w:hAnsi="宋体" w:eastAsia="宋体" w:cs="宋体"/>
                <w:i w:val="0"/>
                <w:iCs w:val="0"/>
                <w:color w:val="000000"/>
                <w:kern w:val="0"/>
                <w:sz w:val="20"/>
                <w:szCs w:val="20"/>
                <w:u w:val="none"/>
                <w:lang w:val="en-US" w:eastAsia="zh-CN" w:bidi="ar"/>
              </w:rPr>
              <w:t>音频，录制完后自动命名该文件，并以列表方式显示。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9、节拍速度在40－280/每分钟范围可调，有“正常拍速”快捷键，方便拍速复位。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10、系统具有嵌入式的中文linux软件控制系统，控制面板上镶嵌彩色液晶触摸屏，音量、音色、调式、曲目、录音等功能调节为触摸操作，可使用鼠标进行操作。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11、电教板配备一块ARM中央处理器。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12、面板设有三组音量调节键，分别可调MP3、节拍、键盘音量。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13、主音量在0－31范围选择。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14、具有USB接口，支持用户U盘，可读取u盘中的MP3文件和MIDI乐曲文件。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15、面</w:t>
            </w:r>
            <w:r>
              <w:rPr>
                <w:rFonts w:hint="eastAsia" w:ascii="宋体" w:hAnsi="宋体" w:eastAsia="宋体" w:cs="宋体"/>
                <w:i w:val="0"/>
                <w:iCs w:val="0"/>
                <w:color w:val="000000"/>
                <w:kern w:val="0"/>
                <w:sz w:val="20"/>
                <w:szCs w:val="20"/>
                <w:highlight w:val="none"/>
                <w:u w:val="none"/>
                <w:lang w:val="en-US" w:eastAsia="zh-CN" w:bidi="ar"/>
              </w:rPr>
              <w:t>板上</w:t>
            </w:r>
            <w:r>
              <w:rPr>
                <w:rFonts w:hint="eastAsia" w:ascii="宋体" w:hAnsi="宋体" w:cs="宋体"/>
                <w:i w:val="0"/>
                <w:iCs w:val="0"/>
                <w:color w:val="000000"/>
                <w:kern w:val="0"/>
                <w:sz w:val="20"/>
                <w:szCs w:val="20"/>
                <w:highlight w:val="none"/>
                <w:u w:val="none"/>
                <w:lang w:val="en-US" w:eastAsia="zh-CN" w:bidi="ar"/>
              </w:rPr>
              <w:t>有</w:t>
            </w:r>
            <w:r>
              <w:rPr>
                <w:rFonts w:hint="eastAsia" w:ascii="宋体" w:hAnsi="宋体" w:eastAsia="宋体" w:cs="宋体"/>
                <w:i w:val="0"/>
                <w:iCs w:val="0"/>
                <w:color w:val="000000"/>
                <w:kern w:val="0"/>
                <w:sz w:val="20"/>
                <w:szCs w:val="20"/>
                <w:highlight w:val="none"/>
                <w:u w:val="none"/>
                <w:lang w:val="en-US" w:eastAsia="zh-CN" w:bidi="ar"/>
              </w:rPr>
              <w:t>调的</w:t>
            </w:r>
            <w:r>
              <w:rPr>
                <w:rFonts w:hint="eastAsia" w:ascii="宋体" w:hAnsi="宋体" w:eastAsia="宋体" w:cs="宋体"/>
                <w:i w:val="0"/>
                <w:iCs w:val="0"/>
                <w:color w:val="000000"/>
                <w:kern w:val="0"/>
                <w:sz w:val="20"/>
                <w:szCs w:val="20"/>
                <w:u w:val="none"/>
                <w:lang w:val="en-US" w:eastAsia="zh-CN" w:bidi="ar"/>
              </w:rPr>
              <w:t>五度循环轮盘，将键盘、谱表、调名、调号关联到一起。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16、具有大屏幕简谱显示窗口，演示五线谱过程中可直接显示相对应的简谱。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w:t>
            </w:r>
            <w:r>
              <w:rPr>
                <w:rFonts w:hint="eastAsia" w:ascii="宋体" w:hAnsi="宋体" w:eastAsia="宋体" w:cs="宋体"/>
                <w:i w:val="0"/>
                <w:iCs w:val="0"/>
                <w:color w:val="000000"/>
                <w:kern w:val="0"/>
                <w:sz w:val="20"/>
                <w:szCs w:val="20"/>
                <w:highlight w:val="none"/>
                <w:u w:val="none"/>
                <w:lang w:val="en-US" w:eastAsia="zh-CN" w:bidi="ar"/>
              </w:rPr>
              <w:t>提供制造厂家授权书、质量服务承诺书，提供专业检测机构产品检测报告。</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9"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全频扬声器</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 : 10" 无源二分频全频音箱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频率范围 (-6 dB): 65 Hz - 18 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 (额定 / 峰值) (AES): 200 W / 800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 (1 W / 1 M ): 95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最大声压级 (1 M ):≥124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阻抗: 8 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指向角度 (水平 × 垂直): 50°-100° × 55°，号角可以旋转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低音单元: 10" 铁氧体单元，2" 音圈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高音单元: 1" 铁氧体压缩单元, 1.3" 音圈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保护: 高音保护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输入接口:2 NL-4、pins+1/-1 input/ THRU、pins+2/-2 空接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箱体材料/喷漆: 15 mm MDF / 聚脲漆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1"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功率放大器</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输出功率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Ω : 2x 300 W；4 Ω : 2x 450 W；8 Ω桥接 : 700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频率范围: 20 Hz - 20 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总谐波失真: ≤ 0.05%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串扰 (20 Hz - 20 kHz) : &gt;75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 : 0.775 / 1.0 / 1.55 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 : ≥103 dB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8"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处理器+前级效果器</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1，具有音箱处理器功能，各部分功能可独立调节。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2，采用2Bit数据总线和32Bit DSP。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3，音乐设有≥7段参量均衡。音乐到主输出高通滤波器：12dB/24dB(0Hz - 303Hz)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4，话筒设有≥15段参量均衡。有麦克风压限功能。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5，主输出设有≥5段参量均衡。 有压缩限幅器。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6，中置输出，后置输出及超低均设有≥3段参量均衡。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最大输入电平：4V(RMS)；最大输出电平：4V(RMS)；音乐通道增益：MAX：12dB；麦克风灵敏度：≥64mV (Out：4V)；信噪比：&gt;80d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输入电压：~220V  50Hz</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双通道无线手持话筒</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1、2通道UHF无线网络，每通道内置≥100个频率可选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2、内置高级扫频功能，可自动跳过正在使用的频率和其他杂波频率以避免串频干扰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3、内置三级功率调节，每级约20米距离递增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4、配备LCD液晶显示屏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5、红外线自动对频，ACT自动选频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6、话筒铝合金外壳，2支话筒可互换使用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7、电源记忆功能可用时序器控制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8、防手机电池波干扰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9、频率范围：520MZH-570MZH、531MZH-590MZH、612MZH-672MZH、634MZH-692MZH、715MZH-762MZH、735MZH-782MZH、795MZH-845MZH、850MZH-890MZH多频段可选每个间隔频率为250HZ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10、同时使用30台以上无串频干扰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13、发射功率：≥10dB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14、工作范围：20-60米，开关轻触式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手持音头：动圈式；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指向性：心型指向性；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主机工作电压：DC--12V-14V2A；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鹅颈话筒</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电容式</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频率响应:60Hz~15KHz;</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灵敏度:≥-47dB/±3dB(1KHz);</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拾音距离:15-50cm;</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低频衰减:125Hz ≤6dB/OCTAVE;</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输出阻抗:200Ω;</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最大承受音压:135dB;</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信噪比:≥66dB.</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电源供应:DC 48V 幻象电源;</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底座材质:锌合金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1.0米，玻璃门带锁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线材及辅材</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电源线、音箱线、信号线、控制线、穿线管、等</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音乐凳</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尺寸30-24-37cm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乐凳是一款SMBNAI纳米细密板六面体结构，采用铝合金边条封饰，增加称重能力内部配钢龙骨支持，配有龄合型软防滑八角，既可以用于学生坐箱又可以利用龄合角组合成合唱阶梯、舞台等等，重量轻，坚固耐用。</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画板</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双面榉木板，边框松木，规格：600mm×450mm×18mm，边框宽8mm，45度割角拼接</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画架</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总高度1460mm，材质：优质实木，特点：梯形，可折叠，角度双重可调，画托高度升降可调，表面光滑、无毛刺、无弯曲，接缝无开裂，整体无疤痕无弯曲，表面环保烤漆处理。适用范围：适用于小学美术教学用。</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写生凳</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凳面30cm、优质实木、卯榫结构、表面清漆处理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000000"/>
                <w:kern w:val="0"/>
                <w:sz w:val="20"/>
                <w:szCs w:val="20"/>
                <w:highlight w:val="none"/>
                <w:u w:val="none"/>
                <w:lang w:val="en-US" w:eastAsia="zh-CN" w:bidi="ar"/>
              </w:rPr>
              <w:t>石膏像</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膏像洁白、无毛刺、无裂纹、棱角分明，轮廓清晰</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yellow"/>
                <w:u w:val="none"/>
              </w:rPr>
            </w:pPr>
            <w:r>
              <w:rPr>
                <w:rFonts w:hint="eastAsia" w:ascii="宋体" w:hAnsi="宋体" w:eastAsia="宋体" w:cs="宋体"/>
                <w:i w:val="0"/>
                <w:iCs w:val="0"/>
                <w:color w:val="auto"/>
                <w:sz w:val="20"/>
                <w:szCs w:val="20"/>
                <w:highlight w:val="none"/>
                <w:u w:val="none"/>
              </w:rPr>
              <w:t>名称、尺寸：伏尔泰500×200mm、大卫680×450mm、马赛630×260mm、大琴女680×400mm、贝多芬胸像560×400mm、高尔基580×180mm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圆球、四棱锥、正方体、圆锥、长方体、圆柱体、六棱柱、方带方、圆锥带圆、方锥带方、多面体、八棱柱、六棱锥、圆切、十二面体各一件共15件</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2"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写生灯</w:t>
            </w:r>
          </w:p>
        </w:tc>
        <w:tc>
          <w:tcPr>
            <w:tcW w:w="4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1.规格：立式三节可升降、最大调节高度2400mm、照射角度0°-120°；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2.材质：球形灯罩直径≥260mm，深度≥190mm：金属材料；灯杆：钢管，表面镀铬，铝节、塑料旋钮，内置弹簧；五角底座，带滚轮，可移动；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3.要求：表面光滑、无锈斑、划痕；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4.带≥3m长的优质电线，开关、插头；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5.美术专用灯泡，灯泡要求：显色指数≥95，R9＞60；光通量≥500lm，波动深度≤5%，支持调光功能10%-100%，支持调色温2700K-5400K。</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bl>
    <w:p>
      <w:pPr>
        <w:rPr>
          <w:rFonts w:hint="eastAsia"/>
          <w:lang w:eastAsia="zh-CN"/>
        </w:rPr>
      </w:pPr>
    </w:p>
    <w:tbl>
      <w:tblPr>
        <w:tblStyle w:val="22"/>
        <w:tblW w:w="8915"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16"/>
        <w:gridCol w:w="5292"/>
        <w:gridCol w:w="954"/>
        <w:gridCol w:w="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15" w:type="dxa"/>
            <w:gridSpan w:val="5"/>
            <w:tcBorders>
              <w:bottom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会议室电子配置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52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主要性能及技术参数</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专业全频扬声器</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频响：53Hz-20KHz（-10dB），65Hz-19KHz（±3.5dB）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连续功率：≥400W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峰值功率：≥1600W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扩散角度:（-6dB Point）：76°H×42°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灵敏度：≥98dB/W/M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最大声压：≥124dB</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77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专业功率放大器</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立体声输出功率8Ω：≥600W×2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立体声输出功率4Ω：≥1000W×2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桥接功率 8Ω：≥1800W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输入灵敏度：≤ 0.775V/1.4V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频率响应：20-20000Hz(±0.3dB)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转换速率：≥10V/µs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阻尼系数：﹥200:1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串音：&gt;70dB@1KHz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信噪比：﹥100dB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总谐波失真：＜0.5%，1KHz</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77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专业调音台</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12路输入通道模拟调音台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内置8路单声道输入通道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2路电子平衡1/4” TRS的立体声输入通道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每个单声道输入通道带3段EQ</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2路AUX辅助发送带推子前/后切换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≥60mm行程推子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3年原厂保修。</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数字媒体音频处理器</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输入：≥4个通道的XLR输入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输出：≥8个通道的XLR输出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频率响应：不劣于17Hz—40KHz(+/-0.5dB)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通道隔离度：108dB@1KHz,+20dBu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采样率：96KHz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DSP 频率：400MHz 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输入通道：≥114dB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输出通道:≥123dB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输入输出增益: -74dB 至 +12dB (0.5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总谐波失真THD+N:≤ 0.005%@1KHz,+4dBu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等效输入噪声 EIN:≤ -120dB（20Hz—20KHz,A计权）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 -10至+40℃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电平表:LCD电平表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输入电压:AC110V—220V,50Hz/60Hz</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无线手持话筒</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频率范围:600-940MHz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可调信道数:≥128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频率稳定性:±10ppm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调制方式:FM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射频功率:≤50mW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音频频响:40~18000Hz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失真度:≤1%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音头规格:动圈式  心型指向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电池规格:2×1.5V AA Size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续用时间:5~10小时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接收机：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频率范围:600-940MHz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可调信道数:128+128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振荡方式:锁相环（PLL）频率合成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频率稳定性:±10ppm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接收方式:超外差二次变频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接收灵敏度:-100dBm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音频频响:40~18000Hz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失真度:≤1%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信噪比:≥100dB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音频输出:(XLR)卡侬座独立平衡输出和Φ6.35插座混合不平衡输出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电源规格:DC12~15V/1000mA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自动搜索空闲信道、红外同步、数字身份验证（ID）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可调静噪（距离）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操作距离≥500米（空旷距离）</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电源时序器</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负载功率：≥3200W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总容量≥10A,每路插座最大输出电流≥10A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输入电压：AC220V/50Hz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输入方式：3*2.5平方交流电源线，不带插头，与空气开关连接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输出方式：8路电源输出，标准通用三芯插座,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功能：打开时由前级到后级逐个顺序启动，关闭时由后级到前级逐个顺序关闭，每路之间动作时间1.5秒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开关/指示：船型开关，面板电源指示灯，每路通电后指示</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无线会议话筒（U段一拖四）</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产品描述：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具备LCD液晶显示面板，显示RF（射频）信号，AF（音频）动态信号显示；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主机采用PLL锁相环路电路设计，纯自动红外选讯接收方式；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主机面板附带本通道音量大小调节；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每个通道支持频点可调，可以16支单元同时使用；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LCD屏可显示AF动态显示、RF射频频率显示、静音模式；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接收机可对某个频点锁频，可防止误操作。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电源 5号电池（两节）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信噪比（S/N） ≥80dB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灵敏度可调范围 00—40dBuV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频率响应不劣于 20～18KHz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平衡输出 0-0.5V/600Ω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音频输出 0-0.5V/5KΩ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频率范围 740MHz—790MHz</w:t>
            </w:r>
          </w:p>
        </w:tc>
        <w:tc>
          <w:tcPr>
            <w:tcW w:w="9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落地音箱支架</w:t>
            </w:r>
          </w:p>
        </w:tc>
        <w:tc>
          <w:tcPr>
            <w:tcW w:w="529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落地音箱支架</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航空机柜</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定制、可以固定调音台、音频处理器、话筒、电源时序器、功放等，带推轮</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线材辅材</w:t>
            </w:r>
          </w:p>
        </w:tc>
        <w:tc>
          <w:tcPr>
            <w:tcW w:w="5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含电源线、音箱线、音频信号线、视频线、穿线管、接插头（卡侬头，莲花，6.35mm,Speaker）、舞台地插等</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778"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w:t>
            </w:r>
          </w:p>
        </w:tc>
        <w:tc>
          <w:tcPr>
            <w:tcW w:w="52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600mm×600mm铝扣板</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bottom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6"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荣誉展示架</w:t>
            </w:r>
          </w:p>
        </w:tc>
        <w:tc>
          <w:tcPr>
            <w:tcW w:w="5292"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根据学校尺寸定制</w:t>
            </w:r>
          </w:p>
        </w:tc>
        <w:tc>
          <w:tcPr>
            <w:tcW w:w="954"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8" w:type="dxa"/>
            <w:tcBorders>
              <w:top w:val="single" w:color="000000" w:sz="4" w:space="0"/>
              <w:lef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outlineLvl w:val="1"/>
        <w:rPr>
          <w:rFonts w:hint="eastAsia"/>
          <w:lang w:eastAsia="zh-CN"/>
        </w:rPr>
      </w:pPr>
      <w:r>
        <w:rPr>
          <w:rFonts w:hint="eastAsia"/>
          <w:b/>
          <w:bCs/>
          <w:sz w:val="22"/>
          <w:szCs w:val="28"/>
          <w:lang w:eastAsia="zh-CN"/>
        </w:rPr>
        <w:t>第八包：三官庙小学</w:t>
      </w:r>
    </w:p>
    <w:tbl>
      <w:tblPr>
        <w:tblStyle w:val="22"/>
        <w:tblW w:w="95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8"/>
        <w:gridCol w:w="1132"/>
        <w:gridCol w:w="641"/>
        <w:gridCol w:w="3578"/>
        <w:gridCol w:w="1487"/>
        <w:gridCol w:w="826"/>
        <w:gridCol w:w="764"/>
        <w:gridCol w:w="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577" w:type="dxa"/>
            <w:gridSpan w:val="8"/>
            <w:tcBorders>
              <w:bottom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多功能厅扩声、舞台灯光方案配置清单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设备名称</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设备参数</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5" w:hRule="atLeast"/>
          <w:jc w:val="center"/>
        </w:trPr>
        <w:tc>
          <w:tcPr>
            <w:tcW w:w="5689" w:type="dxa"/>
            <w:gridSpan w:val="4"/>
            <w:tcBorders>
              <w:top w:val="single" w:color="000000" w:sz="4" w:space="0"/>
              <w:bottom w:val="single" w:color="000000" w:sz="4" w:space="0"/>
              <w:right w:val="nil"/>
            </w:tcBorders>
            <w:noWrap/>
            <w:vAlign w:val="center"/>
          </w:tcPr>
          <w:p>
            <w:pP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A、扩声系统</w:t>
            </w:r>
          </w:p>
        </w:tc>
        <w:tc>
          <w:tcPr>
            <w:tcW w:w="1487" w:type="dxa"/>
            <w:tcBorders>
              <w:top w:val="single" w:color="000000" w:sz="4" w:space="0"/>
              <w:left w:val="nil"/>
              <w:bottom w:val="single" w:color="000000" w:sz="4" w:space="0"/>
              <w:right w:val="nil"/>
            </w:tcBorders>
            <w:noWrap/>
            <w:vAlign w:val="center"/>
          </w:tcPr>
          <w:p>
            <w:pPr>
              <w:rPr>
                <w:rFonts w:hint="eastAsia" w:ascii="宋体" w:hAnsi="宋体" w:eastAsia="宋体" w:cs="宋体"/>
                <w:b/>
                <w:bCs/>
                <w:i w:val="0"/>
                <w:iCs w:val="0"/>
                <w:color w:val="000000"/>
                <w:sz w:val="21"/>
                <w:szCs w:val="21"/>
                <w:u w:val="none"/>
              </w:rPr>
            </w:pPr>
          </w:p>
        </w:tc>
        <w:tc>
          <w:tcPr>
            <w:tcW w:w="826" w:type="dxa"/>
            <w:tcBorders>
              <w:top w:val="single" w:color="000000" w:sz="4" w:space="0"/>
              <w:left w:val="nil"/>
              <w:bottom w:val="single" w:color="000000" w:sz="4" w:space="0"/>
              <w:right w:val="nil"/>
            </w:tcBorders>
            <w:noWrap/>
            <w:vAlign w:val="center"/>
          </w:tcPr>
          <w:p>
            <w:pPr>
              <w:rPr>
                <w:rFonts w:hint="eastAsia" w:ascii="宋体" w:hAnsi="宋体" w:eastAsia="宋体" w:cs="宋体"/>
                <w:b/>
                <w:bCs/>
                <w:i w:val="0"/>
                <w:iCs w:val="0"/>
                <w:color w:val="000000"/>
                <w:sz w:val="21"/>
                <w:szCs w:val="21"/>
                <w:u w:val="none"/>
              </w:rPr>
            </w:pPr>
          </w:p>
        </w:tc>
        <w:tc>
          <w:tcPr>
            <w:tcW w:w="764" w:type="dxa"/>
            <w:tcBorders>
              <w:top w:val="single" w:color="000000" w:sz="4" w:space="0"/>
              <w:left w:val="nil"/>
              <w:bottom w:val="single" w:color="000000" w:sz="4" w:space="0"/>
              <w:right w:val="nil"/>
            </w:tcBorders>
            <w:noWrap/>
            <w:vAlign w:val="center"/>
          </w:tcPr>
          <w:p>
            <w:pPr>
              <w:rPr>
                <w:rFonts w:hint="eastAsia" w:ascii="宋体" w:hAnsi="宋体" w:eastAsia="宋体" w:cs="宋体"/>
                <w:b/>
                <w:bCs/>
                <w:i w:val="0"/>
                <w:iCs w:val="0"/>
                <w:color w:val="000000"/>
                <w:sz w:val="21"/>
                <w:szCs w:val="21"/>
                <w:u w:val="none"/>
              </w:rPr>
            </w:pPr>
          </w:p>
        </w:tc>
        <w:tc>
          <w:tcPr>
            <w:tcW w:w="811" w:type="dxa"/>
            <w:tcBorders>
              <w:top w:val="single" w:color="000000" w:sz="4" w:space="0"/>
              <w:left w:val="nil"/>
              <w:bottom w:val="single" w:color="000000" w:sz="4" w:space="0"/>
            </w:tcBorders>
            <w:noWrap w:val="0"/>
            <w:vAlign w:val="center"/>
          </w:tcPr>
          <w:p>
            <w:pPr>
              <w:rPr>
                <w:rFonts w:hint="eastAsia" w:ascii="宋体" w:hAnsi="宋体" w:eastAsia="宋体" w:cs="宋体"/>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UHF一拖二真分集无线麦克风  （动圈麦）</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频率范围：640-690MHz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调制方式：宽带FM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可调范围：60MHz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信道数目：300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信道间隔：200KHz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频率稳定度：±0.005%以内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动态范围：&gt;105dB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最大频偏：±45KHz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音频响应：不劣于40Hz-18KHz(±3dB)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综合信噪比：&gt;110dB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综合失真：≤0.2%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工作温度：-25℃--+40℃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接收机指标：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接收机方式：二次变频超外差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中频频率：第一中频：110MHz,第二中频10.7MHz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无线接口：BNC/50Ω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灵敏度：≥12 dBμV (80dBS/N)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灵敏度调节范围：10-32dBμV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杂散抑制：≥95dB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最大输出电平：+10 dBV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发射器指标：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天线程式：佩挂发射器采用1/4 波长鞭状天线,手持麦克风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内置天线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输出功率：≥ 20mW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杂散抑制：≥-60dB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供电：两节 AA 电池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使用时间：约8—10小时</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4支手持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338" w:type="dxa"/>
            <w:tcBorders>
              <w:top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UHF一拖二真分集无线麦克风  （动圈麦）</w:t>
            </w:r>
          </w:p>
        </w:tc>
        <w:tc>
          <w:tcPr>
            <w:tcW w:w="64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频率范围：640-690MHz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调制方式：宽带FM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可调范围：60MHz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信道数目：300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信道间隔：200KHz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频率稳定度：±0.005%以内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动态范围：&gt;105dB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最大频偏：±45KHz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音频响应：不劣于40Hz-18KHz(±3dB)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综合信噪比：&gt;110dB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综合失真：≤0.2%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工作温度：-25℃--+40℃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接收机指标：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接收机方式：二次变频超外差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中频频率：第一中频：110MHz,第二中频10.7MHz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无线接口：BNC/50Ω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灵敏度：≥12 dBμV (80dBS/N)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灵敏度调节范围：10-32dBμV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杂散抑制：≥95dB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最大输出电平：+10 dBV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发射器指标：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天线程式：佩挂发射器采用1/4 波长鞭状天线,手持麦克风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内置天线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输出功率：≥20mW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杂散抑制：≥-60dB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供电：两节 AA 电池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使用时间：约8—10小时</w:t>
            </w:r>
          </w:p>
        </w:tc>
        <w:tc>
          <w:tcPr>
            <w:tcW w:w="82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11" w:type="dxa"/>
            <w:tcBorders>
              <w:top w:val="single" w:color="000000" w:sz="4" w:space="0"/>
              <w:left w:val="single" w:color="000000" w:sz="4" w:space="0"/>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4支头戴（演出）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338" w:type="dxa"/>
            <w:tcBorders>
              <w:top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无线会议系统主机</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主控机技术指标：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1.电源输入： DC12V-15V，≧1A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.工作温度  -10℃ --  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.音频信道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.通信方式： UHF无线方式（单向）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.信道数： ≥5路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.频率范围：（频率段在500MHz --- 950MHz 范围内可供选择）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.解调方式：FM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.接收灵敏度：-100dBm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.控制信道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.通信方式：UHF无线方式(双向）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.最大允许信道数：≥16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.频率范围：422.4MHz -- 438.4MHz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.调制方式： FSK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.接收灵敏度：≥-100dBm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.辐射功率：≦+6dBm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.频率偏差：&lt;0.002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17</w:t>
            </w:r>
            <w:r>
              <w:rPr>
                <w:rFonts w:hint="eastAsia" w:ascii="宋体" w:hAnsi="宋体" w:eastAsia="宋体" w:cs="宋体"/>
                <w:i w:val="0"/>
                <w:iCs w:val="0"/>
                <w:color w:val="000000"/>
                <w:kern w:val="0"/>
                <w:sz w:val="21"/>
                <w:szCs w:val="21"/>
                <w:u w:val="none"/>
                <w:lang w:val="en-US" w:eastAsia="zh-CN" w:bidi="ar"/>
              </w:rPr>
              <w:t>.数据速率：100KBPS</w:t>
            </w:r>
          </w:p>
        </w:tc>
        <w:tc>
          <w:tcPr>
            <w:tcW w:w="82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auto" w:sz="4" w:space="0"/>
              <w:left w:val="single" w:color="000000" w:sz="4" w:space="0"/>
              <w:bottom w:val="single" w:color="auto"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338" w:type="dxa"/>
            <w:tcBorders>
              <w:top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主席单元</w:t>
            </w:r>
          </w:p>
        </w:tc>
        <w:tc>
          <w:tcPr>
            <w:tcW w:w="641"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1.工作电源：DC 3.7V -- 4.5V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2.工作温度  -10℃ --  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3.咪杆长：约400mm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4.音频信道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5.通信方式： UHF无线方式（单向）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6.信道数： 5路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7.频率范围：（频率段在500MHz --- 950MHz 范围内可供选择）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8.调制方式：FM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9.最大调制量：60K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10.辐射功率：≦+9dBm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11.频率偏差：&lt;0.002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12.参考讲话距离：10cm--30cm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13.通信方式：无线方式(双向）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14.最大允许信道数：≥16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15.频率范围：422.4MHz -- 438.4MHz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16.调制方式： FSK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17.接收灵敏度：≥-100dBm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18.辐射功率：≦+6dBm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19.频率偏差：&lt;0.002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20.信号覆盖范围：室内半径≥60米（不包括使用天线延长器或天线放大器）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21.音频频率响应：不劣于50Hz --- 15KHz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22.音频总增益：≦20dB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23.信噪比：&gt;85dB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24.音频总谐波失真：≦0.8%</w:t>
            </w:r>
          </w:p>
        </w:tc>
        <w:tc>
          <w:tcPr>
            <w:tcW w:w="82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11" w:type="dxa"/>
            <w:tcBorders>
              <w:top w:val="single" w:color="auto"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代表单元</w:t>
            </w:r>
          </w:p>
        </w:tc>
        <w:tc>
          <w:tcPr>
            <w:tcW w:w="64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1.工作电源：DC 3.7V -- 4.5V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2.消耗功率： 待机≦360mW, 讲话状态≦630mW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3.工作温度  -10℃ --  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4.咪杆长：约400mm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5.音频信道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6.通信方式： UHF无线方式（单向）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7.信道数： 5路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8.频率范围：（频率段在500MHz --- 950MHz 范围内可供选择）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9.调制方式：FM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10.最大调制量：60K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11.辐射功率：≦+9dBm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14.频率偏差：&lt;0.002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15.参考讲话距离：10cm--30cm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16.通信方式：无线方式(双向）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17.频率范围：422.4MHz -- 438.4MHz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18.调制方式： FSK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19.接收灵敏度：-100dBm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20.辐射功率：≦+6dBm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21.频率偏差：&lt;0.002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22.信号覆盖范围：室内半径60米（不包括使用天线延长器或天线放大器）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23.音频频率响应：50Hz --- 15KHz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24.音频总增益：≦20dB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25.信噪比：&gt;85dB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26.音频总谐波失真：≦0.8%</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3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两分频单12"全频箱</w:t>
            </w:r>
          </w:p>
        </w:tc>
        <w:tc>
          <w:tcPr>
            <w:tcW w:w="641"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单元组成：12寸75芯190磁低音单元X1，44芯120磁高音驱动头X1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表面：黑色喷点环保油漆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壳体：  精选18mm+25mm中密度板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面罩：  1mm加强硬度钢网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吊挂件： M8螺丝X12，铝支撑底座X1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连接器： NEUTRIK NL4 X2标称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阻抗：8Ω频率响应：（+-3dB）不劣于48Hz-20kHz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灵敏度：（1W/1m）≥99 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额定功率：≥400W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峰值功率：800W功放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最大声压：123dB</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338" w:type="dxa"/>
            <w:tcBorders>
              <w:top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3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双通道专业功放</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输出功率/8Ω ≥ 650W×2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输出功率/ 4Ω≥ 1000W×2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频率响应/  20Hz-20KHz(±0.5dB)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信噪比≥ 89dB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输入灵敏度/ ≤ 0.7V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总谐波失真/THD  ≤0.05%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输入阻抗/ 20KΩ   </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338" w:type="dxa"/>
            <w:tcBorders>
              <w:top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12寸返听音箱</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1.单元组成：12寸75芯190磁低音单元X1，44芯120磁高音驱动头X1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2.表面：黑色喷点环保油漆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3.壳体：  精选18mm+25mm中密度板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4.面罩：  1mm加强硬度钢网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5.吊挂件： M8螺丝X12，铝支撑底座X1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6.连接器： NEUTRIK NL4 X2标称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7.阻抗：8Ω频率响应：（+-3dB）不劣于48Hz-20kHz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9.灵敏度：（1W/1m）≥99 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10.额定功率：≥400W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11.峰值功率：≥800W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12.最大声压：≥123dB</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338" w:type="dxa"/>
            <w:tcBorders>
              <w:top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双通道专业功放</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输出功率/8Ω ≥ 650W×2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输出功率/ 4Ω ≥1000W×2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频率响应  20Hz-20KHz(±0.5dB)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信噪比≥  89dB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输入灵敏度≤ 0.7V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总谐波失真/THD  ≤0.05%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输入阻抗 20KΩ   </w:t>
            </w:r>
          </w:p>
        </w:tc>
        <w:tc>
          <w:tcPr>
            <w:tcW w:w="826"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338" w:type="dxa"/>
            <w:tcBorders>
              <w:top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20路数字调音台</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≥20路高性能模拟麦克风输入，麦克风输入16个输入（平衡输入），麦克风连接器16个卡侬包含4个COMBO卡侬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包含4个COMBO输入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2.16段高精度主输出电平表，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3.9个100MM行程的优质推子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6个内置的效果器模块，2个调制，2个延时和2个混响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4个单声道AUX总线，4个立体声GROUP总线，主输出L/R和立体声监听耳机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 2个图示均衡器，2个USB支持播放，录音，系统更新，及场景输入输出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7.支持MP3 AAC WAV FLAC APE等格式的音源播放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8.输入阻抗3KΩ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9.频响20HZ-20KHZ（+/—0.5dB)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10.最大输入电平+20dBu(平衡输入）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11.S/N信噪比≥105dB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12.最大增益≥70dB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13.总谐波失真≤0.005%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14.幻象电源48V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15.线路输入4个COMBO卡侬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16.输入阻抗20KΩ  最大输入电平+30dBu （平衡）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17.频响20HZ-20KHZ（+/—0.5dB)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18.总谐波失真≤0.008%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19.最大增益≥70dB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20.S/N信噪比≥105dB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21.XLR输出（平衡式）8个自定义XLR输出，L/R +4个单总线+4个立体声总线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22.USB最大支持内存32GB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23.1/0延迟≤1.8MS</w:t>
            </w:r>
          </w:p>
        </w:tc>
        <w:tc>
          <w:tcPr>
            <w:tcW w:w="826"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338" w:type="dxa"/>
            <w:tcBorders>
              <w:top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多功能反馈抑制器</w:t>
            </w:r>
          </w:p>
        </w:tc>
        <w:tc>
          <w:tcPr>
            <w:tcW w:w="64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频率响应：20Hz~20KHz,+/-1.5dB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DSP采样率：192KHz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AD/DA转换：24比特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总频波失真：&lt;0.01%(+4dBU,1KHz)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最大输出：≥+22dBu(平衡）,≥+16dBu(不平衡）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信噪比：≥95dB </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338" w:type="dxa"/>
            <w:tcBorders>
              <w:top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3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APP智能手机控制电源时序器</w:t>
            </w:r>
          </w:p>
        </w:tc>
        <w:tc>
          <w:tcPr>
            <w:tcW w:w="64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技术参数：</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负载功率：≥3200W</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总容量≥10A,每路插座最大输出电流≥10A</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输入电压：AC220V/50Hz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输入方式：3*2.5平方交流电源线，不带插头，与空气开关连接</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输出方式：8路电源输出，标准通用三芯插座,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功能：打开时由前级到后级逐个顺序启动，关闭时由后级到前级逐个顺序关闭，每路之间动作时间1.5秒</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开关/指示：船型开关，面板电源指示灯，每路通电后指示</w:t>
            </w:r>
            <w:r>
              <w:rPr>
                <w:rFonts w:hint="eastAsia" w:ascii="宋体" w:hAnsi="宋体" w:eastAsia="宋体" w:cs="宋体"/>
                <w:i w:val="0"/>
                <w:iCs w:val="0"/>
                <w:color w:val="000000"/>
                <w:sz w:val="21"/>
                <w:szCs w:val="21"/>
                <w:u w:val="none"/>
                <w:lang w:eastAsia="zh-CN"/>
              </w:rPr>
              <w:t>。</w:t>
            </w:r>
          </w:p>
        </w:tc>
        <w:tc>
          <w:tcPr>
            <w:tcW w:w="82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机柜</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42U</w:t>
            </w:r>
          </w:p>
        </w:tc>
        <w:tc>
          <w:tcPr>
            <w:tcW w:w="5065" w:type="dxa"/>
            <w:gridSpan w:val="2"/>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auto"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auto"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安装支架</w:t>
            </w:r>
          </w:p>
        </w:tc>
        <w:tc>
          <w:tcPr>
            <w:tcW w:w="5706" w:type="dxa"/>
            <w:gridSpan w:val="3"/>
            <w:tcBorders>
              <w:top w:val="single" w:color="auto" w:sz="4" w:space="0"/>
              <w:left w:val="single" w:color="000000" w:sz="4" w:space="0"/>
              <w:bottom w:val="single" w:color="auto" w:sz="4" w:space="0"/>
              <w:right w:val="single" w:color="auto" w:sz="4" w:space="0"/>
            </w:tcBorders>
            <w:noWrap w:val="0"/>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护套音箱线</w:t>
            </w:r>
          </w:p>
        </w:tc>
        <w:tc>
          <w:tcPr>
            <w:tcW w:w="5706" w:type="dxa"/>
            <w:gridSpan w:val="3"/>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EVJV2*1.5</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音频信号线</w:t>
            </w:r>
          </w:p>
        </w:tc>
        <w:tc>
          <w:tcPr>
            <w:tcW w:w="5706"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设备连接辅材</w:t>
            </w:r>
          </w:p>
        </w:tc>
        <w:tc>
          <w:tcPr>
            <w:tcW w:w="5706"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5706"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话筒落地支架</w:t>
            </w:r>
          </w:p>
        </w:tc>
        <w:tc>
          <w:tcPr>
            <w:tcW w:w="5706"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其它附材</w:t>
            </w:r>
          </w:p>
        </w:tc>
        <w:tc>
          <w:tcPr>
            <w:tcW w:w="570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接插件、专用插座等</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3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安装布线</w:t>
            </w:r>
          </w:p>
        </w:tc>
        <w:tc>
          <w:tcPr>
            <w:tcW w:w="570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577" w:type="dxa"/>
            <w:gridSpan w:val="8"/>
            <w:tcBorders>
              <w:top w:val="single" w:color="000000" w:sz="4" w:space="0"/>
              <w:bottom w:val="single" w:color="000000" w:sz="4" w:space="0"/>
            </w:tcBorders>
            <w:noWrap/>
            <w:vAlign w:val="center"/>
          </w:tcPr>
          <w:p>
            <w:pP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B、灯光系统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2"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暖白面光灯</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额定电压:AC90-240V 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光源：1颗100W COB原装灯珠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封装技术：板上芯片封装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功耗:100W 通道:3CH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颜色:暖白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光束角度:约25度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频闪:高速的电子调节频闪可达1-18次/秒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功能:总调光控制通道可同时控制1个主颜色通道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的明暗变化具有自动运行功能，音乐控制功能，连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机同步功能，DMX512控制.</w:t>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742950</wp:posOffset>
                  </wp:positionH>
                  <wp:positionV relativeFrom="paragraph">
                    <wp:posOffset>8255</wp:posOffset>
                  </wp:positionV>
                  <wp:extent cx="10795" cy="21590"/>
                  <wp:effectExtent l="0" t="0" r="8255" b="6985"/>
                  <wp:wrapNone/>
                  <wp:docPr id="8" name="图片_44"/>
                  <wp:cNvGraphicFramePr/>
                  <a:graphic xmlns:a="http://schemas.openxmlformats.org/drawingml/2006/main">
                    <a:graphicData uri="http://schemas.openxmlformats.org/drawingml/2006/picture">
                      <pic:pic xmlns:pic="http://schemas.openxmlformats.org/drawingml/2006/picture">
                        <pic:nvPicPr>
                          <pic:cNvPr id="8" name="图片_44"/>
                          <pic:cNvPicPr/>
                        </pic:nvPicPr>
                        <pic:blipFill>
                          <a:blip r:embed="rId21"/>
                          <a:stretch>
                            <a:fillRect/>
                          </a:stretch>
                        </pic:blipFill>
                        <pic:spPr>
                          <a:xfrm>
                            <a:off x="0" y="0"/>
                            <a:ext cx="10795" cy="21590"/>
                          </a:xfrm>
                          <a:prstGeom prst="rect">
                            <a:avLst/>
                          </a:prstGeom>
                          <a:noFill/>
                          <a:ln>
                            <a:noFill/>
                          </a:ln>
                        </pic:spPr>
                      </pic:pic>
                    </a:graphicData>
                  </a:graphic>
                </wp:anchor>
              </w:drawing>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LED三合一全彩帕灯（恒流）</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额定电压:AC90-240V 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灯泡:LED 54颗3W三合一RGB全彩灯珠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功耗:180W 通道:8CH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颜色:无限的RGB颜色混色系统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光束角</w:t>
            </w:r>
            <w:r>
              <w:rPr>
                <w:rFonts w:hint="eastAsia" w:ascii="宋体" w:hAnsi="宋体" w:eastAsia="宋体" w:cs="宋体"/>
                <w:i w:val="0"/>
                <w:iCs w:val="0"/>
                <w:color w:val="000000"/>
                <w:kern w:val="0"/>
                <w:sz w:val="21"/>
                <w:szCs w:val="21"/>
                <w:highlight w:val="none"/>
                <w:u w:val="none"/>
                <w:lang w:val="en-US" w:eastAsia="zh-CN" w:bidi="ar"/>
              </w:rPr>
              <w:t>度:</w:t>
            </w:r>
            <w:r>
              <w:rPr>
                <w:rFonts w:hint="eastAsia" w:ascii="宋体" w:hAnsi="宋体" w:cs="宋体"/>
                <w:i w:val="0"/>
                <w:iCs w:val="0"/>
                <w:color w:val="000000"/>
                <w:kern w:val="0"/>
                <w:sz w:val="21"/>
                <w:szCs w:val="21"/>
                <w:highlight w:val="none"/>
                <w:u w:val="none"/>
                <w:lang w:val="en-US" w:eastAsia="zh-CN" w:bidi="ar"/>
              </w:rPr>
              <w:t>约</w:t>
            </w:r>
            <w:r>
              <w:rPr>
                <w:rFonts w:hint="eastAsia" w:ascii="宋体" w:hAnsi="宋体" w:eastAsia="宋体" w:cs="宋体"/>
                <w:i w:val="0"/>
                <w:iCs w:val="0"/>
                <w:color w:val="000000"/>
                <w:kern w:val="0"/>
                <w:sz w:val="21"/>
                <w:szCs w:val="21"/>
                <w:highlight w:val="none"/>
                <w:u w:val="none"/>
                <w:lang w:val="en-US" w:eastAsia="zh-CN" w:bidi="ar"/>
              </w:rPr>
              <w:t>15度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频闪:高速的电子调节频闪可达1-18次/秒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功能:总调光控制通道可同时控制3个主颜色通道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的明暗变化具有自动运行功能，音乐控制功能，连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机同步功能，DMX512控制。</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一道顶光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摇头光束灯</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1、电压：90V-240V 50HZ-60HZ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2、总功率：360W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3、通道：16CH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4、控制效果：DMX512、自走内置程序、声控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5、光通量为15000lm，色温可达7500K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6、图案：17图，抖动、流水效果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7、颜色：14色+白光、颜色可调半步、彩虹效果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8、频闪：1-11次/秒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9、棱镜：16棱镜可旋转功能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10、0-100%机械调光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11、调焦：电动对焦，光束角0-4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12、雾化效果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13、水平540°，解析度8Bit/16Bit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14、垂直270°，解析度8Bit/16Bit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15、过热保护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16、IP防护等级：≥IP20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17、电子镇流器和AC/DC开关电源。功率因素高达0.99。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18、显示支持节能模式。</w:t>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9" name="图片_7"/>
                  <wp:cNvGraphicFramePr/>
                  <a:graphic xmlns:a="http://schemas.openxmlformats.org/drawingml/2006/main">
                    <a:graphicData uri="http://schemas.openxmlformats.org/drawingml/2006/picture">
                      <pic:pic xmlns:pic="http://schemas.openxmlformats.org/drawingml/2006/picture">
                        <pic:nvPicPr>
                          <pic:cNvPr id="9" name="图片_7"/>
                          <pic:cNvPicPr/>
                        </pic:nvPicPr>
                        <pic:blipFill>
                          <a:blip r:embed="rId22"/>
                          <a:stretch>
                            <a:fillRect/>
                          </a:stretch>
                        </pic:blipFill>
                        <pic:spPr>
                          <a:xfrm>
                            <a:off x="0" y="0"/>
                            <a:ext cx="10795" cy="6604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0" name="图片_7_SpCnt_1"/>
                  <wp:cNvGraphicFramePr/>
                  <a:graphic xmlns:a="http://schemas.openxmlformats.org/drawingml/2006/main">
                    <a:graphicData uri="http://schemas.openxmlformats.org/drawingml/2006/picture">
                      <pic:pic xmlns:pic="http://schemas.openxmlformats.org/drawingml/2006/picture">
                        <pic:nvPicPr>
                          <pic:cNvPr id="10" name="图片_7_SpCnt_1"/>
                          <pic:cNvPicPr/>
                        </pic:nvPicPr>
                        <pic:blipFill>
                          <a:blip r:embed="rId23"/>
                          <a:stretch>
                            <a:fillRect/>
                          </a:stretch>
                        </pic:blipFill>
                        <pic:spPr>
                          <a:xfrm>
                            <a:off x="0" y="0"/>
                            <a:ext cx="10795" cy="6604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1" name="图片_7_SpCnt_2"/>
                  <wp:cNvGraphicFramePr/>
                  <a:graphic xmlns:a="http://schemas.openxmlformats.org/drawingml/2006/main">
                    <a:graphicData uri="http://schemas.openxmlformats.org/drawingml/2006/picture">
                      <pic:pic xmlns:pic="http://schemas.openxmlformats.org/drawingml/2006/picture">
                        <pic:nvPicPr>
                          <pic:cNvPr id="11" name="图片_7_SpCnt_2"/>
                          <pic:cNvPicPr/>
                        </pic:nvPicPr>
                        <pic:blipFill>
                          <a:blip r:embed="rId24"/>
                          <a:stretch>
                            <a:fillRect/>
                          </a:stretch>
                        </pic:blipFill>
                        <pic:spPr>
                          <a:xfrm>
                            <a:off x="0" y="0"/>
                            <a:ext cx="10795" cy="6604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2" name="图片_7_SpCnt_3"/>
                  <wp:cNvGraphicFramePr/>
                  <a:graphic xmlns:a="http://schemas.openxmlformats.org/drawingml/2006/main">
                    <a:graphicData uri="http://schemas.openxmlformats.org/drawingml/2006/picture">
                      <pic:pic xmlns:pic="http://schemas.openxmlformats.org/drawingml/2006/picture">
                        <pic:nvPicPr>
                          <pic:cNvPr id="12" name="图片_7_SpCnt_3"/>
                          <pic:cNvPicPr/>
                        </pic:nvPicPr>
                        <pic:blipFill>
                          <a:blip r:embed="rId25"/>
                          <a:stretch>
                            <a:fillRect/>
                          </a:stretch>
                        </pic:blipFill>
                        <pic:spPr>
                          <a:xfrm>
                            <a:off x="0" y="0"/>
                            <a:ext cx="10795" cy="66040"/>
                          </a:xfrm>
                          <a:prstGeom prst="rect">
                            <a:avLst/>
                          </a:prstGeom>
                          <a:noFill/>
                          <a:ln>
                            <a:noFill/>
                          </a:ln>
                        </pic:spPr>
                      </pic:pic>
                    </a:graphicData>
                  </a:graphic>
                </wp:anchor>
              </w:drawing>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一道顶光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三基色会议灯</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LED灯珠：235颗高亮度LED贴片灯珠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使用寿命：≥50,000小时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颜色：冷白/暖白/正白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光束角度：60度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调光：0~100%调光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亮度输出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照度：3200K, 330lux@5m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显色指数：R＞90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色温：3200K至6500K可选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控制模式：DMX512控制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DMX通道：2CH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额定电压：AC100~240V，50/60Hz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额定功率：120W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工作环境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环境温度：-25℃～40℃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散热：铝基板+灯体高密度大面积散热铝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防护等级：≥IP20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一道顶光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LED三合一全彩帕灯（恒流）</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额定电压:AC90-240V 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灯泡:LED 54颗3W三合一RGB全彩灯珠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功耗:180W 通道:8CH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颜色:无限的RGB颜色混色系统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光束角度:15度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频闪:高速的电子调节频闪可达1-18次/秒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功能:总调光控制通道可同时控制3个主颜色通道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的明暗变化具有自动运行功能，音乐控制功能，连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机同步功能，DMX512控制。</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二道顶光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摇头光束灯</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1、电压：90V-240V 50HZ-60HZ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2、总功率：360W，同等功率中更轻巧方便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3、通道：16CH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4、控制效果：DMX512、自走内置程序、声控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5、光通量为15000lm，色温可达7500K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6、图案：17图，抖动、流水效果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7、颜色：14色+白光、颜色可调半步、彩虹效果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8、频闪：1-11次/秒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9、棱镜：16棱镜可旋转功能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10、0-100%机械调光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11、调焦：电动对焦，光束角0-4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12、雾化效果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13、水平540°，解析度8Bit/16Bit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14、垂直270°，解析度8Bit/16Bit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15、过热保护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17、IP防护等级：IP20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18、电子镇流器和AC/DC开关电源。功率因素高达0.99。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19、显示支持节能模式</w:t>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3" name="图片_7_SpCnt_4"/>
                  <wp:cNvGraphicFramePr/>
                  <a:graphic xmlns:a="http://schemas.openxmlformats.org/drawingml/2006/main">
                    <a:graphicData uri="http://schemas.openxmlformats.org/drawingml/2006/picture">
                      <pic:pic xmlns:pic="http://schemas.openxmlformats.org/drawingml/2006/picture">
                        <pic:nvPicPr>
                          <pic:cNvPr id="13" name="图片_7_SpCnt_4"/>
                          <pic:cNvPicPr/>
                        </pic:nvPicPr>
                        <pic:blipFill>
                          <a:blip r:embed="rId22"/>
                          <a:stretch>
                            <a:fillRect/>
                          </a:stretch>
                        </pic:blipFill>
                        <pic:spPr>
                          <a:xfrm>
                            <a:off x="0" y="0"/>
                            <a:ext cx="10795" cy="6604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4" name="图片_7_SpCnt_5"/>
                  <wp:cNvGraphicFramePr/>
                  <a:graphic xmlns:a="http://schemas.openxmlformats.org/drawingml/2006/main">
                    <a:graphicData uri="http://schemas.openxmlformats.org/drawingml/2006/picture">
                      <pic:pic xmlns:pic="http://schemas.openxmlformats.org/drawingml/2006/picture">
                        <pic:nvPicPr>
                          <pic:cNvPr id="14" name="图片_7_SpCnt_5"/>
                          <pic:cNvPicPr/>
                        </pic:nvPicPr>
                        <pic:blipFill>
                          <a:blip r:embed="rId22"/>
                          <a:stretch>
                            <a:fillRect/>
                          </a:stretch>
                        </pic:blipFill>
                        <pic:spPr>
                          <a:xfrm>
                            <a:off x="0" y="0"/>
                            <a:ext cx="10795" cy="6604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5" name="图片_7_SpCnt_6"/>
                  <wp:cNvGraphicFramePr/>
                  <a:graphic xmlns:a="http://schemas.openxmlformats.org/drawingml/2006/main">
                    <a:graphicData uri="http://schemas.openxmlformats.org/drawingml/2006/picture">
                      <pic:pic xmlns:pic="http://schemas.openxmlformats.org/drawingml/2006/picture">
                        <pic:nvPicPr>
                          <pic:cNvPr id="15" name="图片_7_SpCnt_6"/>
                          <pic:cNvPicPr/>
                        </pic:nvPicPr>
                        <pic:blipFill>
                          <a:blip r:embed="rId26"/>
                          <a:stretch>
                            <a:fillRect/>
                          </a:stretch>
                        </pic:blipFill>
                        <pic:spPr>
                          <a:xfrm>
                            <a:off x="0" y="0"/>
                            <a:ext cx="10795" cy="6604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742950</wp:posOffset>
                  </wp:positionH>
                  <wp:positionV relativeFrom="paragraph">
                    <wp:posOffset>123825</wp:posOffset>
                  </wp:positionV>
                  <wp:extent cx="10795" cy="66040"/>
                  <wp:effectExtent l="0" t="0" r="8255" b="10160"/>
                  <wp:wrapNone/>
                  <wp:docPr id="16" name="图片_7_SpCnt_7"/>
                  <wp:cNvGraphicFramePr/>
                  <a:graphic xmlns:a="http://schemas.openxmlformats.org/drawingml/2006/main">
                    <a:graphicData uri="http://schemas.openxmlformats.org/drawingml/2006/picture">
                      <pic:pic xmlns:pic="http://schemas.openxmlformats.org/drawingml/2006/picture">
                        <pic:nvPicPr>
                          <pic:cNvPr id="16" name="图片_7_SpCnt_7"/>
                          <pic:cNvPicPr/>
                        </pic:nvPicPr>
                        <pic:blipFill>
                          <a:blip r:embed="rId27"/>
                          <a:stretch>
                            <a:fillRect/>
                          </a:stretch>
                        </pic:blipFill>
                        <pic:spPr>
                          <a:xfrm>
                            <a:off x="0" y="0"/>
                            <a:ext cx="10795" cy="66040"/>
                          </a:xfrm>
                          <a:prstGeom prst="rect">
                            <a:avLst/>
                          </a:prstGeom>
                          <a:noFill/>
                          <a:ln>
                            <a:noFill/>
                          </a:ln>
                        </pic:spPr>
                      </pic:pic>
                    </a:graphicData>
                  </a:graphic>
                </wp:anchor>
              </w:drawing>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二道顶光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三基色会议灯</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LED灯珠：235颗高亮度LED贴片灯珠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使用寿命：≥50,000小时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颜色：冷白/暖白/正白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光束角度：60度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调光：0~100%调光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亮度输出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照度：3200K, 330lux@5m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显色指数：R＞90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色温：3200K至6500K可选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控制模式：DMX512控制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DMX通道：2CH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额定电压：AC100~240V，50/60Hz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额定功率：120W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工作环境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环境温度：-25℃～40℃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散热：铝基板+灯体高密度大面积散热铝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防护等级：≥IP20</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二道顶光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LED三合一全彩帕灯（恒流）</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额定电压:AC90-240V 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灯泡:LED 54颗3W三合一RGB全彩灯珠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功耗:180W 通道:8CH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颜色:无限的RGB颜色混色系统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光束角度:约15度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频闪:高速的电子调节频闪可达1-18次/秒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功能:总调光控制通道可同时控制3个主颜色通道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的明暗变化具有自动运行功能，音乐控制功能，连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机同步功能，DMX512控制。</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左右侧光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灯光控台</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DMX512通道数：≥1024</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电脑灯的配接数量：≥96</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电脑灯重新配接地址码：支持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灯具水平垂直交换：支持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灯具通道反倒输出：支持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灯具通道滑步模式切换：支持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多步场景的总步数：600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场景的时间控制：淡入、淡出、LTP滑步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每个场景可存储图形数量：≥5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推杆启动场景并进行调光：支持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互锁场景：支持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点控场景：支持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图形生成器：可生成Dimmer, P/T, RGB, CMY, Color, Gobo, Iris, Focus图形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可同时运行图形数量：≥5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cs="宋体"/>
                <w:i w:val="0"/>
                <w:iCs w:val="0"/>
                <w:color w:val="000000"/>
                <w:kern w:val="0"/>
                <w:sz w:val="21"/>
                <w:szCs w:val="21"/>
                <w:highlight w:val="none"/>
                <w:u w:val="none"/>
                <w:lang w:val="en-US" w:eastAsia="zh-CN" w:bidi="ar"/>
              </w:rPr>
              <w:t>立即黑场：支持</w:t>
            </w:r>
          </w:p>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推杆调光：支持</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8路512信号放大器</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1路DMX512数码输入，1路DMX512直接输出。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输入/输出光电隔离。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8路独立放大驱动输出。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 AC100V-240V / 50-60Hz</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3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十二路智能数字电柜</w:t>
            </w:r>
          </w:p>
        </w:tc>
        <w:tc>
          <w:tcPr>
            <w:tcW w:w="641" w:type="dxa"/>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性能特点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12路电源输出（每路输出4KW）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配备二级开关，符合供电规范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指示灯显示三相电源状态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电源供电：380Volt±10%AC，50Hz/60Hz</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338" w:type="dxa"/>
            <w:tcBorders>
              <w:top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3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大灯钩</w:t>
            </w:r>
          </w:p>
        </w:tc>
        <w:tc>
          <w:tcPr>
            <w:tcW w:w="641"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641"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音频信号线</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设备连接辅材</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线槽</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灯杆</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3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安装布线</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577" w:type="dxa"/>
            <w:gridSpan w:val="8"/>
            <w:tcBorders>
              <w:top w:val="single" w:color="000000" w:sz="4" w:space="0"/>
              <w:bottom w:val="single" w:color="000000" w:sz="4" w:space="0"/>
            </w:tcBorders>
            <w:noWrap/>
            <w:vAlign w:val="center"/>
          </w:tcPr>
          <w:p>
            <w:pP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C、视频会议系统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5" w:hRule="atLeast"/>
          <w:jc w:val="center"/>
        </w:trPr>
        <w:tc>
          <w:tcPr>
            <w:tcW w:w="338"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图像传传感器：≥ 1/2.9" CMOS；≥10倍光学变焦。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有效像素 ：≥210万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镜头焦距 ：f=4.7-47mm ;10倍光学变焦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视频接口：USB2.0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视频输出格式： 1080P/30fps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水平旋转角度 :≥350°旋转±175°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垂直旋转角度≥ 55°（向上），35°（向下）                                                   通信接口： USB，RS-232C，RS-485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通信协议： VISCA，PELCO-D/P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波特率 ：38400/9600bps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预置位 ≥64个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遥控器：红外无线遥控器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支持：windows、Apple Mac、Android </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主会场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338"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摄像机</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图像传传感器： ≥1/2.9" CMOS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有效像素 ：≥210万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镜头焦距 ：f=3.35-10.05mm ；≥3倍光学变焦.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水平视角： ≥128度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视频接口：USB2.0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视频输出格式：1080P/30fps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水平旋转角度 :≥350°旋转±175°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垂直旋转角度 ≥55°（向上），35°（向下）                           通信接口： USB，RS-232C，RS-485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通信协议： VISCA，PELCO-D/P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波特率 ：38400/9600bps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预置位≥ 64个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图像翻转 支持图像垂直翻转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遥控器：红外无线遥控器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支持：windows、Apple Mac、Android </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分会场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38"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USB延长线</w:t>
            </w:r>
          </w:p>
        </w:tc>
        <w:tc>
          <w:tcPr>
            <w:tcW w:w="6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9577" w:type="dxa"/>
            <w:gridSpan w:val="8"/>
            <w:tcBorders>
              <w:top w:val="single" w:color="000000" w:sz="4" w:space="0"/>
              <w:bottom w:val="single" w:color="000000" w:sz="4" w:space="0"/>
            </w:tcBorders>
            <w:noWrap/>
            <w:vAlign w:val="center"/>
          </w:tcPr>
          <w:p>
            <w:pP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D、录播系统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4K四机位HDMI录播主机</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5"/>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纯嵌入一体式内置存储架构，集视音频编码、录制、存储、导播、直播、点播、切换、管理等功能于一台主机内，不需配合编码盒使用,非服务器或PC架构。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2、视频输入接口不少于4个3G/HD-SDI接口，1个HDMI,1个VGA；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3、支持对5路1080P/25/30/50/60高清视频输入信号进行无缝切换、叠加、拼接等处理功能；其中包括4路高清1080视频和1路计算机信号；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4、至少支持2个HDMI电影画面输出接口；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5、至少支持1个HDMI计算机画面环出接口。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6、1000Base-T千兆网络接口不少于1个,且支持网络管理功能；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7、机箱前面板上具有≥3.0寸液晶屏，可显示录播状态及相关参数。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8、音频编码采用AAC高清编码方式，音频输入接口支持不少于1组3.5mm音频接口，音频输出接口支持不少于2个3.5mm接口；其中一组可用于现场监听；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9、主机自带音频处理模块，提供2路48V幻象MIC输入，支持自动降噪处理；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、支持接入ONVIF、RTSP网络视频流，支持自动搜寻网络中存在的ONVIF设备。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、标准流媒体文件格式，视频MP4，音频AAC</w:t>
            </w:r>
            <w:r>
              <w:rPr>
                <w:rFonts w:hint="eastAsia" w:ascii="宋体" w:hAnsi="宋体" w:cs="宋体"/>
                <w:i w:val="0"/>
                <w:iCs w:val="0"/>
                <w:color w:val="000000"/>
                <w:kern w:val="0"/>
                <w:sz w:val="21"/>
                <w:szCs w:val="21"/>
                <w:u w:val="none"/>
                <w:lang w:val="en-US" w:eastAsia="zh-CN" w:bidi="ar"/>
              </w:rPr>
              <w:t>。</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、主机内置至少2TB硬盘空间；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、主机内置图像识别跟踪模块，可以自动识别目标位置、动态控制摄像机跟踪拍摄，实现教师学生跟踪定位；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、设备高度≤1U标准机架式；</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高清彩色摄像机</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图像传感器≥ 1/2.8” ExmorCMOS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有效像素/Total Pixels ≥320万像素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视频格式/Video format 1080P/60,1080P/50,1080P/30,1080P/25,1080I/60,1080I/50,720P/60,720P,50,720P/30,720P/25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F=4.7mm-94.0mm,F=1.6（W）-3.5(T)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光圈/Iris Auto/Manual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水平视角/Angle field of view 3.0°(T)-50.0°(W)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聚焦模式/Focus Auto/Manual/Push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最低照度/Min. illumination 0.5Lux/0.095lux</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白平衡/ White Balance Auto/Manual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信噪比/ S/N Ratio ≥50dB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电子快门/Electronic shutter 1 to 1/10000s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数字降噪/ Digital Noise Reduction 2D/3D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背光补偿/ Back-light compensation On/Off</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预置位/ Preset 255个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平移/俯仰角Pan/Tilt Rotation Angle 平移/Pan ±170°，俯仰/Tilt -30°~ +90°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平移/俯仰速度/ Pan/Tilt Speed 0.1-180°（平移/Pan），0.1-120°（俯仰/Tilt）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摄像机控制接口/Communication RS-232C/RS-485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控制协议/Control Protocol VISCA、PELCO-P/D</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信号输出/Video output interface 3G-SDI、 HD-VLC、HDMI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工作温度/ Operation Temperature -10℃~ + 50℃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电源要求Power DC12V</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338"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高清线</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065"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30米光纤高清线</w:t>
            </w:r>
          </w:p>
        </w:tc>
        <w:tc>
          <w:tcPr>
            <w:tcW w:w="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11" w:type="dxa"/>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338" w:type="dxa"/>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32" w:type="dxa"/>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录播软件</w:t>
            </w:r>
          </w:p>
        </w:tc>
        <w:tc>
          <w:tcPr>
            <w:tcW w:w="641" w:type="dxa"/>
            <w:tcBorders>
              <w:top w:val="single" w:color="000000" w:sz="4" w:space="0"/>
              <w:left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5065" w:type="dxa"/>
            <w:gridSpan w:val="2"/>
            <w:tcBorders>
              <w:top w:val="single" w:color="auto" w:sz="4" w:space="0"/>
              <w:left w:val="single" w:color="auto" w:sz="4" w:space="0"/>
              <w:right w:val="single" w:color="000000" w:sz="4" w:space="0"/>
            </w:tcBorders>
            <w:noWrap w:val="0"/>
            <w:vAlign w:val="center"/>
          </w:tcPr>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采用嵌入式管理系统，内置于主机中，兼容IE、Chrome等通用浏览器。支持Chrome浏览器采用HTLM5技术，无需安装任何插件，导播画面响应快，延时低。</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B/S架构导播平台，集视频导播监视、切换、音频调整、录制/直播、开始暂停结束等控制，特技效果、特效字幕、LOGO校徽、片头片尾设置，云台控制，跟踪设置，录制观看、直播监视等功能；</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内嵌自动导播算法，可实现全自动、半自动、手动导播，支持摄像头云台控制及预置位的设置与调用；</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手动控制云台，变焦倍数调整等摄像机控制功能，每路摄像机支持8个或以上预置位设置；</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授课电脑画面变化侦测算法，无需在教师授课电脑上安装任何程序就能够探测到教师动鼠标、PPT翻页等动作并将VGA画面切入导播画面。同时支持用户手动对电脑变化检测区域进行设定，最多支持绘制5个变化检测区；</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内置多种直播服务器支持RTMP\ RTSP\ HLS\UDP. 支持直播客户端的拉流，也支持往外部其他直播服务器推流；支持多码流同步直播，方便用户根据不同的场景选择合适的直播码流进行观看；</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内置直播客户端，点击直播观看按钮就能看到录播的直播画面；同时支持移动设备通过扫描直播观看页面上的二维码直接在移动设备上观看直播；</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录播设备内置微媒体发布功能，能够通过网络将录播画面实时推送到所有指定分组的显示接收端。支持对推送对象进行分组，如全校、初一年级、初二年级等，实现强制性定向推送。</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系统内置简单非编功能，能支持音视频内容截取、合并、片头片尾添加、背景音乐添加功能等；</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系统录制的资源文件，支持本地硬盘存储、云资源管理平台分享及支持直接上传到第三方FTP服务器。</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用户可以直接登入web端，查看属于自己的资源，支持在线搜索、播放、下载、删除等操作。</w:t>
            </w:r>
          </w:p>
          <w:p>
            <w:pPr>
              <w:keepNext w:val="0"/>
              <w:keepLines w:val="0"/>
              <w:widowControl/>
              <w:numPr>
                <w:ilvl w:val="0"/>
                <w:numId w:val="16"/>
              </w:numPr>
              <w:suppressLineNumbers w:val="0"/>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支持自动采集视频相关的PPT目录，自动生成PPT索引，点击相关索引，视频自动从该处开始播放。</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软件提供灵活的用户管理权限控制功能，对于不同用户可以划分不同权限范围，细分为系统管理员、普通用户和学生。系统管理员拥有所有权限。普通管理员可添加学生用户。支持用户添加、删除、权限设置、密码修改等，支持在线查看当前登入录播机的用户信息。</w:t>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742950</wp:posOffset>
                  </wp:positionH>
                  <wp:positionV relativeFrom="paragraph">
                    <wp:posOffset>8255</wp:posOffset>
                  </wp:positionV>
                  <wp:extent cx="10795" cy="21590"/>
                  <wp:effectExtent l="0" t="0" r="8255" b="6985"/>
                  <wp:wrapNone/>
                  <wp:docPr id="7" name="图片_44_SpCnt_1"/>
                  <wp:cNvGraphicFramePr/>
                  <a:graphic xmlns:a="http://schemas.openxmlformats.org/drawingml/2006/main">
                    <a:graphicData uri="http://schemas.openxmlformats.org/drawingml/2006/picture">
                      <pic:pic xmlns:pic="http://schemas.openxmlformats.org/drawingml/2006/picture">
                        <pic:nvPicPr>
                          <pic:cNvPr id="7" name="图片_44_SpCnt_1"/>
                          <pic:cNvPicPr/>
                        </pic:nvPicPr>
                        <pic:blipFill>
                          <a:blip r:embed="rId21"/>
                          <a:stretch>
                            <a:fillRect/>
                          </a:stretch>
                        </pic:blipFill>
                        <pic:spPr>
                          <a:xfrm>
                            <a:off x="0" y="0"/>
                            <a:ext cx="10795" cy="2159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742950</wp:posOffset>
                  </wp:positionH>
                  <wp:positionV relativeFrom="paragraph">
                    <wp:posOffset>8255</wp:posOffset>
                  </wp:positionV>
                  <wp:extent cx="10795" cy="21590"/>
                  <wp:effectExtent l="0" t="0" r="8255" b="6985"/>
                  <wp:wrapNone/>
                  <wp:docPr id="17" name="图片_44_SpCnt_2"/>
                  <wp:cNvGraphicFramePr/>
                  <a:graphic xmlns:a="http://schemas.openxmlformats.org/drawingml/2006/main">
                    <a:graphicData uri="http://schemas.openxmlformats.org/drawingml/2006/picture">
                      <pic:pic xmlns:pic="http://schemas.openxmlformats.org/drawingml/2006/picture">
                        <pic:nvPicPr>
                          <pic:cNvPr id="17" name="图片_44_SpCnt_2"/>
                          <pic:cNvPicPr/>
                        </pic:nvPicPr>
                        <pic:blipFill>
                          <a:blip r:embed="rId21"/>
                          <a:stretch>
                            <a:fillRect/>
                          </a:stretch>
                        </pic:blipFill>
                        <pic:spPr>
                          <a:xfrm>
                            <a:off x="0" y="0"/>
                            <a:ext cx="10795" cy="21590"/>
                          </a:xfrm>
                          <a:prstGeom prst="rect">
                            <a:avLst/>
                          </a:prstGeom>
                          <a:noFill/>
                          <a:ln>
                            <a:noFill/>
                          </a:ln>
                        </pic:spPr>
                      </pic:pic>
                    </a:graphicData>
                  </a:graphic>
                </wp:anchor>
              </w:drawing>
            </w:r>
          </w:p>
        </w:tc>
        <w:tc>
          <w:tcPr>
            <w:tcW w:w="82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11" w:type="dxa"/>
            <w:tcBorders>
              <w:top w:val="single" w:color="000000" w:sz="4" w:space="0"/>
              <w:lef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lang w:eastAsia="zh-CN"/>
        </w:rPr>
      </w:pPr>
    </w:p>
    <w:p>
      <w:pPr>
        <w:rPr>
          <w:rFonts w:hint="eastAsia"/>
          <w:lang w:eastAsia="zh-CN"/>
        </w:rPr>
      </w:pPr>
    </w:p>
    <w:tbl>
      <w:tblPr>
        <w:tblStyle w:val="22"/>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99"/>
        <w:gridCol w:w="1069"/>
        <w:gridCol w:w="3475"/>
        <w:gridCol w:w="795"/>
        <w:gridCol w:w="690"/>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429"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LED显示屏设备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75" w:type="dxa"/>
            <w:tcBorders>
              <w:top w:val="single" w:color="auto"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9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货物名称</w:t>
            </w:r>
          </w:p>
        </w:tc>
        <w:tc>
          <w:tcPr>
            <w:tcW w:w="1069"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w:t>
            </w:r>
          </w:p>
        </w:tc>
        <w:tc>
          <w:tcPr>
            <w:tcW w:w="34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79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69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126" w:type="dxa"/>
            <w:tcBorders>
              <w:top w:val="single" w:color="auto"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303" w:type="dxa"/>
            <w:gridSpan w:val="6"/>
            <w:tcBorders>
              <w:top w:val="single" w:color="000000" w:sz="4" w:space="0"/>
              <w:left w:val="single" w:color="000000" w:sz="8"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一、LED屏体部分:  </w:t>
            </w:r>
          </w:p>
        </w:tc>
        <w:tc>
          <w:tcPr>
            <w:tcW w:w="1126" w:type="dxa"/>
            <w:tcBorders>
              <w:top w:val="single" w:color="000000" w:sz="4" w:space="0"/>
              <w:left w:val="single" w:color="000000" w:sz="4" w:space="0"/>
              <w:bottom w:val="nil"/>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LED模组</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3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1、像素点间距 2.5±0.05mm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2、结构LED显示屏显示部分结构可采用钢、铝、镀锌方管、塑料等材料，结构安全坚固</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3、LED显示屏模组安装应一致</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4、工作电压在4.2×(1±10%）VDC范围内能正常工作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5、自动校正数据采集自动共享到网上，客户可自行下载校正数据，进行校正和优化</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6、工作环境：-20℃~50℃条件下能正常工作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7、材质：箱体采用镁合金/压铸铝/铁材质 符合，套件采用采用聚碳酸酯和玻璃纤维材质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8、系统调节功能：可通过系统调节参数影响显示效果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9、像素密度：单元大小为320mm×160mm的像素密度为8192点</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10、动态扫描 采用行驱动芯片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11、像素组成 1R、1G、1B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12、支持亮度调节功能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13、支持亮度校正、色度校正</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14、驱动芯片功能 具有列下消隐功能、倍频刷新率提升、低灰偏色改善</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15、支持鬼影消除、暗亮线消除、慢速开启、十字架消除、毛毛虫消除、亮度缓慢变亮功能</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16、功能  显示单元均可独立控制，单点故障不影响整屏使用，单元支持带电热插拔；单元板支持前、后维护；系统、电源支持前、后维护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17、防伪功能 具备logo、产品型号</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18、支持联网一键下载程序文件和调试</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19、支持亮暗线拼缝调节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20、整屏平整度 ≤0.1mm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21、模组平整度 ≤0.04mm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22、拼接缝  ≤0.04mm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23、最大亮度 ≥600cd/㎡</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24、最高对比度 ≥6000:1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25、水平视角 ≥160°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26、垂直视角 ≥160°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27、亮度均匀性 ≥97%</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28、刷新率  ≥1920Hz</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29、最大功耗 ≤350W/m2</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30、像素中心距精确度 ≤3%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31、像素失控率 &lt;0.01%</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32、灰度级数（信号处理深度） 采用14bit技术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33、色温  3000K~18000K可调</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34、色度均匀性 ±0.002Cx、Cy内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35、低亮高灰  亮度为20%时信号处理深度（灰度级数）达到14bit</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36、采用恒流设计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37、换帧频率  60Hz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38、宽色域  测试NTSC色域108.5%</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39、平均功耗 ≤150W/m2</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40、色度均匀性 -0.003＜Cx＜0.003，-0.003＜Cy＜0.003（校正后）</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41、反光率  ≤1.5%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42、画面延时 ≤500ns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43、衰减率  ≤10%（工作3年）</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44、图像质量 LED显示屏图像质量主观评价优</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45、防护性能 具有防静电、防电磁干扰、喷三防漆防潮、防腐蚀、防虫、抗震动、抗雷击等功能；具有电源过压、过流、断电保护、分布上电措施、防护等级达到IP50</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46、连续工作时间   连续工作时间：≥7×24hrs，支持连续不间断显示</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47、使用寿命 ≥100000h</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48、平均无故障时间 MTBF平均无故障时间≥20000h；MTTR平均修复时间≤20分钟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49、屏幕温升 最高亮度（白平衡）持续工作4小时，模组表面温升小于20K</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50、高温负荷工作 样品状态：通电工作,试验温度：80℃,试验时间：12h;试验结束后，产品正常工作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51、低温负荷工作 样品状态：通电工作,试验温度：-40℃,试验时间：12h;试验结束后，产品正常工作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52、高温存储  样品放入试验箱中，试验箱内温度80℃，存放48h，无异常</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53、低温存储  样品放入试验箱中，试验箱内温度-40℃，存放48h，无异常</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54、恒定湿热  样品状态：通电工作,试验温度：85℃,相对湿度：85%,试验时间：168h;试验结束后，产品正常工作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55、湿热负载  LED显示屏最高工作环境温度下，相对湿度87%-93%，通电工作12h;试验结束后，产品正常工作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56、光生物安全检测 无危害类：8h（30000s）曝辐中不造成光化学紫外危害（ES），并在16min（1000s）内不造成近紫外危害（EUVA），并在2.8h（10000s）内不造成对视网膜蓝光危害（LB）并在10s内不造成对视网膜热危害（LR），且在1000s内不造成对眼睛的红外辐射危害（EIR）</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57、盐雾等级 达到盐雾10级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58、阻燃  PCB板、防火保护外壳达到V-0等级</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59、振动试验 频率循环范围：（5～55～5）Hz,震动试验，试验结束后，产品正常工作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60、冷热冲击  低温：-40℃，时间：0.5h，高温：100℃，时间：0.5h，转换时间：（3-5分钟）min，试验周期：上述试验为1个循环，试验进行200循环，样品状态：非工作状态；试验结束后，产品正常工作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61、PCB板材  采用玻璃化温度≥150℃的覆铜板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62、失真效果检测 显示画面无几何畸变、扭曲、比例失调情况，无亮度、色温非线性失真。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63、能耗对比  对LED显示屏进行节能对比，达到能效一级标准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64、高低温循环 低温：-40℃，时间：0.5h，高温：80℃，时间：0.5h，转换时间：（3-5分钟）min，试验周期：上述试验为1个循环，试验进行200循环，样品状态：工作状态；试验结束后，产品正常工作</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65、电磁兼容/干扰 符合Class B标准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66、抗紫外线UV检测合格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67、噪声  1m范围内，测试4个位置（前后左右）噪音不大于2dB</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68、抗电强度  在电源插头与金属外壳之间以施加试验电压1.5kV/50Hz，保持1min，不应出现飞弧和击穿现象。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69、对地漏电流 mA ≤3.5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70、抗干扰  符合IEC801规定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71、安全性  符合GB4793规定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72、一键点屏  支持一键点屏技术，开机后自动识别系统连接，无需重置系统配置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73、防碰撞  具备防碰撞焊盘技术</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74、SELV电路  具备SELV电路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75、箱体防护等级 IK10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76、人眼视觉舒适度 VICO指数≤1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 xml:space="preserve">77、PCB层数   PCB采用2层、4层、6层、8层、10层设计 </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78、PCB板材  采用玻璃化温度≥150℃的覆铜板</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79、失真效果检测 显示画面无几何畸变、扭曲、比例失调情况，无亮度、色温非线性失真</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80、能耗对比  对LED显示屏进行节能对比，达到能效一级标准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81、机械强度  结构设计合理，具有足够的机械强度</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82、250N的恒定作用力试验  250N的力施加在外部外壳上，无危险</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83、冲击试验  用一个直径50mm、质地500g±25g的光滑的实心钢球，使其从距样品垂直距离（H）为1.3米处自由落到样品上，样品试验后无损伤</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84、棱缘和拐角  充分倒圆和磨光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highlight w:val="none"/>
                <w:u w:val="none"/>
              </w:rPr>
              <w:t>提供专业检测机构出具的检测报告复印件，并加盖公章</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690" w:type="dxa"/>
            <w:tcBorders>
              <w:top w:val="single" w:color="000000" w:sz="8" w:space="0"/>
              <w:left w:val="single" w:color="000000" w:sz="8" w:space="0"/>
              <w:bottom w:val="single" w:color="000000" w:sz="8"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磁铁</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w:t>
            </w:r>
          </w:p>
        </w:tc>
        <w:tc>
          <w:tcPr>
            <w:tcW w:w="34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26" w:type="dxa"/>
            <w:tcBorders>
              <w:top w:val="nil"/>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4"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控制系统接收卡</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3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集成HUB75，无需再配转接板，更方便，成本更低；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减少接插连接件，减少故障点，故障率更低；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支持常规芯片实现高刷新、高灰度、高亮度；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全新灰度引擎，低灰度表现更佳；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可消除单元板设计引起的某行偏暗、低灰偏红、鬼影等细节问题；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支持14bit精度的色度、亮度一体化逐点校正；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支持所有常规芯片、PWM芯片和灯饰芯片；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支持静态屏、1/2~1/64扫之间的任意扫描类型；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支持任意抽点，支持数据偏移，可轻松实现各种异型屏、球形屏、创意显示屏；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单卡支持16组RGB信号输出；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支持超大带载面积，单卡带载128*512，256*256；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优质元器件，全自动高低温老化测试；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支持DC 3.3V~6V超宽工作电压，有效减弱电压波动带来的影响</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44</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4.5V40A</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63 </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长排线</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379 </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模组和接收卡线材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屏体内网线</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44</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接收卡之间线材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屏体内电缆线</w:t>
            </w:r>
          </w:p>
        </w:tc>
        <w:tc>
          <w:tcPr>
            <w:tcW w:w="10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63</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电源之间线材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国标2.5²</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控制软件</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LEDVISION</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303" w:type="dxa"/>
            <w:gridSpan w:val="6"/>
            <w:tcBorders>
              <w:top w:val="single" w:color="000000" w:sz="8" w:space="0"/>
              <w:left w:val="single" w:color="000000" w:sz="8" w:space="0"/>
              <w:bottom w:val="single" w:color="000000" w:sz="8" w:space="0"/>
              <w:right w:val="nil"/>
            </w:tcBorders>
            <w:noWrap/>
            <w:vAlign w:val="center"/>
          </w:tcPr>
          <w:p>
            <w:pP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二、LED显示屏外围设备</w:t>
            </w:r>
          </w:p>
        </w:tc>
        <w:tc>
          <w:tcPr>
            <w:tcW w:w="1126" w:type="dxa"/>
            <w:tcBorders>
              <w:top w:val="single" w:color="000000" w:sz="8" w:space="0"/>
              <w:left w:val="single" w:color="000000" w:sz="8" w:space="0"/>
              <w:bottom w:val="single" w:color="000000" w:sz="8" w:space="0"/>
              <w:right w:val="single" w:color="000000" w:sz="8" w:space="0"/>
            </w:tcBorders>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6"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视频处理器</w:t>
            </w:r>
          </w:p>
        </w:tc>
        <w:tc>
          <w:tcPr>
            <w:tcW w:w="10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3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最大输入分辨率1920X1200@60Hz,支持分辨率任意设置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支持6路千兆网口输出，支持单机或双机冗余备份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支持对视频信号任意切换，裁剪，拼接，缩放</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支持3画面显示，位置、大小可自由调节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支持独立音频输入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支持RS232串口协议控制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支持HDCP高带宽数字内容保护技术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支持亮度和色温调节</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支持低亮高灰，能有效地保持低亮下灰阶的完整显示                                                     输入接口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DVI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2路DVI输入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VESA标准（支持1920*1200@60Hz），支持HDCP</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HDMI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Port1-6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RJ45，6路千兆网口输出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机箱尺寸 标准机箱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输入电压 AC100~240V ，50/60Hz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工作温度 -20~70℃</w:t>
            </w: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二合一处理器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配电柜</w:t>
            </w:r>
          </w:p>
        </w:tc>
        <w:tc>
          <w:tcPr>
            <w:tcW w:w="1069"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eastAsia="宋体" w:cs="宋体"/>
                <w:i w:val="0"/>
                <w:iCs w:val="0"/>
                <w:color w:val="000000"/>
                <w:sz w:val="21"/>
                <w:szCs w:val="21"/>
                <w:u w:val="none"/>
              </w:rPr>
            </w:pP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保证大屏用电安全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控制电脑</w:t>
            </w:r>
          </w:p>
        </w:tc>
        <w:tc>
          <w:tcPr>
            <w:tcW w:w="10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4G独显</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和大屏同步播放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主电缆线</w:t>
            </w:r>
          </w:p>
        </w:tc>
        <w:tc>
          <w:tcPr>
            <w:tcW w:w="10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国标纯铜</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到大屏的主电缆线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主网线</w:t>
            </w:r>
          </w:p>
        </w:tc>
        <w:tc>
          <w:tcPr>
            <w:tcW w:w="10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超六类</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控制电脑到大屏网线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303" w:type="dxa"/>
            <w:gridSpan w:val="6"/>
            <w:tcBorders>
              <w:top w:val="single" w:color="000000" w:sz="8" w:space="0"/>
              <w:left w:val="single" w:color="000000" w:sz="8" w:space="0"/>
              <w:bottom w:val="single" w:color="000000" w:sz="8" w:space="0"/>
              <w:right w:val="nil"/>
            </w:tcBorders>
            <w:noWrap/>
            <w:vAlign w:val="center"/>
          </w:tcPr>
          <w:p>
            <w:pP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三、LED屏体框架或钢构</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框架/钢构</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现场需求</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67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安装布线</w:t>
            </w:r>
          </w:p>
        </w:tc>
        <w:tc>
          <w:tcPr>
            <w:tcW w:w="10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3475"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9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126"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eastAsia="宋体" w:cs="宋体"/>
                <w:i w:val="0"/>
                <w:iCs w:val="0"/>
                <w:color w:val="000000"/>
                <w:sz w:val="21"/>
                <w:szCs w:val="21"/>
                <w:u w:val="none"/>
              </w:rPr>
            </w:pPr>
          </w:p>
        </w:tc>
      </w:tr>
    </w:tbl>
    <w:p>
      <w:pPr>
        <w:rPr>
          <w:rFonts w:hint="eastAsia"/>
          <w:lang w:eastAsia="zh-CN"/>
        </w:rPr>
      </w:pPr>
    </w:p>
    <w:p>
      <w:pPr>
        <w:rPr>
          <w:rFonts w:hint="eastAsia"/>
          <w:lang w:eastAsia="zh-CN"/>
        </w:rPr>
      </w:pPr>
    </w:p>
    <w:tbl>
      <w:tblPr>
        <w:tblStyle w:val="22"/>
        <w:tblW w:w="83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1011"/>
        <w:gridCol w:w="4754"/>
        <w:gridCol w:w="90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8398"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4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设备参数</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57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网络摄像机</w:t>
            </w:r>
          </w:p>
        </w:tc>
        <w:tc>
          <w:tcPr>
            <w:tcW w:w="4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200万像素1/2.8"海螺半球网络摄像机；2.8/4.0/6.0mm定焦；10M/100M自适应网口；内置Mic;0.001ux (F1.6，AGC ON，彩色)，0lux(开启红外)；宽动态范围：120dB；红外补光；30FPS（1920*1080）；支持人脸检测、运动检测、越界检测、区域入侵、进入区域、离开区域、遮挡检测、声音异常；供电方式：DC12V(±25%)、POE（可选）；工作温湿度：-30℃~60℃，≤95%RH；防护等级：IP66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57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w:t>
            </w:r>
          </w:p>
        </w:tc>
        <w:tc>
          <w:tcPr>
            <w:tcW w:w="4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DC12V/2A</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网络摄像机</w:t>
            </w:r>
          </w:p>
        </w:tc>
        <w:tc>
          <w:tcPr>
            <w:tcW w:w="4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200万像素1/2.8"筒型网络摄像机；4.0/6.0/8.0/12.0mm定焦；内置Mic；10M/100M自适应网口；0.001ux (F1.6，AGC ON，彩色)，0lux(开启红外)；宽动态范围：120dB；红外补光；30FPS（1920*1080）；支持人脸检测、运动检测、越界检测、区域入侵、进入区域、离开区域、遮挡检测、声音异常；供电方式：DC12V(±25%)、POE；工作温湿度：-30℃~60℃，≤95%RH；防护等级：IP66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7" w:hRule="atLeast"/>
        </w:trPr>
        <w:tc>
          <w:tcPr>
            <w:tcW w:w="578"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安装支架</w:t>
            </w:r>
          </w:p>
        </w:tc>
        <w:tc>
          <w:tcPr>
            <w:tcW w:w="4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铝合金；白色；最大承重1.0kg；壁装；</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57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交换机</w:t>
            </w:r>
          </w:p>
        </w:tc>
        <w:tc>
          <w:tcPr>
            <w:tcW w:w="4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16个10/100/1000M自适应电口，非网管，桌面级</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网线</w:t>
            </w:r>
          </w:p>
        </w:tc>
        <w:tc>
          <w:tcPr>
            <w:tcW w:w="47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47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安装及布线</w:t>
            </w:r>
          </w:p>
        </w:tc>
        <w:tc>
          <w:tcPr>
            <w:tcW w:w="47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bl>
    <w:p>
      <w:p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lang w:eastAsia="zh-CN"/>
        </w:rPr>
      </w:pPr>
    </w:p>
    <w:tbl>
      <w:tblPr>
        <w:tblStyle w:val="22"/>
        <w:tblW w:w="8969"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9"/>
        <w:gridCol w:w="473"/>
        <w:gridCol w:w="6453"/>
        <w:gridCol w:w="515"/>
        <w:gridCol w:w="379"/>
        <w:gridCol w:w="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209" w:type="dxa"/>
            <w:gridSpan w:val="5"/>
            <w:tcBorders>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智能化集中控制系统设备</w:t>
            </w:r>
          </w:p>
        </w:tc>
        <w:tc>
          <w:tcPr>
            <w:tcW w:w="760" w:type="dxa"/>
            <w:tcBorders>
              <w:left w:val="nil"/>
              <w:bottom w:val="nil"/>
            </w:tcBorders>
            <w:noWrap/>
            <w:vAlign w:val="bottom"/>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序号              </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设备名称</w:t>
            </w:r>
          </w:p>
        </w:tc>
        <w:tc>
          <w:tcPr>
            <w:tcW w:w="645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60" w:type="dxa"/>
            <w:tcBorders>
              <w:top w:val="single" w:color="000000" w:sz="4" w:space="0"/>
              <w:left w:val="single" w:color="000000" w:sz="4" w:space="0"/>
              <w:bottom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69"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软件云控制主机</w:t>
            </w:r>
          </w:p>
        </w:tc>
        <w:tc>
          <w:tcPr>
            <w:tcW w:w="645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4核CPU，采用1.0GHz 主频的32位内嵌式处理器；1G内存，4G Nandflash闪存，最大可扩展2T；支持RS-232、RS-422、RS-485、DMX512、ModBus、CanBus、Zigbee通讯；具备端口复用功能，可自定义协议的串口；4路触点，每路可支持30V/1A DC，125V/0.5A AC负载；可自定义的IO输入输出及红外输出，支持全频段载波的红外调制信号发送；支持2路带供电CAN总线信号管理；支持1路Ethernet接口；支持1路红外仿真接口；支持1路USB红外学习接口；内置全频段载波红外学习器:系统可通过有线进行扩充；系统可通过无线或有线扩充，单系统支持65535台总线设备扩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可添加温度、湿度、光敏、PM2.5等环境采集器和感应器；可按照个人使用习惯和外界实时情况来自动触发指令；</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支持自定义宏、可编辑宏、可导入或导出宏；支持图形化和语句式编程；具备时间轴、多线程事件编辑功能；支持操控屏直接编程，用户可自行编辑按键形式及按键的执行联动操作内容；可多平台控制，支持Android、IOS、Windows三平台同时控制；Windows平台上层控制程序，直接支持客户端应用；在提供安全KEY的前提下，可进行网页端控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机支持一屏多机、多屏一机、多屏多机等对接方式；支持语音控制、语音反馈功能；支持双机备份；支持远程云备份；支持单系统、多系统本地或异地集群管理，支持主账号、子账号实现权限转移、分配；账号控制列表的查看，实现远程互通互控；具备媒体流传输功能，能够同时传输8路720P媒体流信号，实现监控与操作同时进行；可监测受控设备的实时运行状态，故障反馈；支持远程云控制、远程云调试、远程云维护；搭建服务器形式的系统后，所有的主机可联动在一起，实现一个指令，反馈触发的机制；自动时钟定时设置功能，可精准执行用户自定义的时间预约功能，预约动作可精确到年月日时分秒；内存，4核CPU，1G内存，4G Nandflash闪存，最大可扩展2T。主频采用1.0GHz 主频的32位内嵌式处理器；多种通讯，支持RS-232、RS-422、RS-485、DMX512、ModBus、CanBus、Zigbee通讯，可扩展KNX通讯；数字I/O端口，支持8路I/O。</w:t>
            </w:r>
          </w:p>
          <w:p>
            <w:pPr>
              <w:keepNext w:val="0"/>
              <w:keepLines w:val="0"/>
              <w:widowControl/>
              <w:suppressLineNumbers w:val="0"/>
              <w:jc w:val="left"/>
              <w:textAlignment w:val="center"/>
              <w:rPr>
                <w:rFonts w:hint="eastAsia"/>
                <w:sz w:val="21"/>
                <w:szCs w:val="21"/>
              </w:rPr>
            </w:pPr>
            <w:r>
              <w:rPr>
                <w:rFonts w:hint="eastAsia" w:ascii="宋体" w:hAnsi="宋体" w:eastAsia="宋体" w:cs="宋体"/>
                <w:sz w:val="21"/>
                <w:szCs w:val="21"/>
                <w:lang w:val="en-US" w:eastAsia="zh-CN"/>
              </w:rPr>
              <w:t>提供专业检测机构出具的检测报告复印件，并加盖公章</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4"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导轨式8路强电控制器</w:t>
            </w:r>
          </w:p>
        </w:tc>
        <w:tc>
          <w:tcPr>
            <w:tcW w:w="645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1、支持CAN总线/RS485总线控制方式（可选）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2、支持本地按键控制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3、支持IO通讯控制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4、支持开关状态反馈功能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5、8路独立电源控制输出，单路最大电流10A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6、内置抗浪涌继电器，触点最大抗浪涌电流可达120A/20ms（单路瞬态峰值功率26400W）</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根据实际需求增减数量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2"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无线软件触摸系统</w:t>
            </w:r>
          </w:p>
        </w:tc>
        <w:tc>
          <w:tcPr>
            <w:tcW w:w="6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1、尺寸：≥10英寸；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2、内存：4GB+64GB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3、通讯方式：WIFI通讯；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4、分辨率：1920*1200dpi；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5、软件内置用户中心功能，可直接通过DNS服务器连接广域网的中控主机；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6、用户中心具备账户绑定和解绑的权限控制功能；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7、注册账户支持云端下载触屏工程以及工程配置文件，并自动配置匹配中控主机；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8、触屏可同时存储多个工程文件，可在用户使用界面根据需要加载不同的工程；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9、开放用户二次编程模块，可在用户使用界面自主配置自定义按键；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10、可在用户使用界面设置定时预约功能，触屏和主机时间可以自动校准；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11、支持一路多通道网络视频画中画；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12、支持自定义语音控制、语音反馈功能；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13、采用全双向通讯技术，所有设备运行动作均可以反馈在触屏界面上，并且支持多屏联动；</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tcBorders>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6"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人机交互系统管理软件</w:t>
            </w:r>
          </w:p>
        </w:tc>
        <w:tc>
          <w:tcPr>
            <w:tcW w:w="64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支持中/英文的操作界面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支持Windows XP、Windows 7&amp;8、Windows 10操作系统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提供Windows2000、Windows XP、office2003、office2007等多种软件外观可选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支持总线、串口(RS232、RS485、RS422、DMX512)、红外、IO、继电器、网口(TCP)等通讯方式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支持控件类型有按键、拖动条、文本、高级按键组、编辑框、进度条、媒体播放器、日期、天气、页面、子页等多种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支持定时、循环执行某些动作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支持自定义宏操作，自定义宏可导入及导出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支持存储调用组功能，带记忆功能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支持矩阵模式功能，直接拖拽即可使用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支持矩阵拖拽功能，图形化拖动切换信号源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支持监控画面24小时在触屏上显示(与视频编码器配合)</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60" w:type="dxa"/>
            <w:tcBorders>
              <w:top w:val="single" w:color="000000" w:sz="4" w:space="0"/>
              <w:left w:val="single" w:color="000000" w:sz="4" w:space="0"/>
              <w:bottom w:val="single" w:color="000000" w:sz="4" w:space="0"/>
            </w:tcBorders>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协议控制终端</w:t>
            </w:r>
          </w:p>
        </w:tc>
        <w:tc>
          <w:tcPr>
            <w:tcW w:w="645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支持4路可自定义协议的串口，根据需要可配置成RS-232、RS-485、DMX512协议。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对外接口采用凤凰端子连接。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支持热插拔，内部接口和外部接口可抵抗20KV的静电冲击。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可通过TCP/IP与主机通讯，支持有线连接。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ID设置方式：手动设置方式，01-FF可调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接口特性：支持热拔插，抗冲击、抗浪涌、抗静电电压、抗干扰，达到一级工业标准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可通过TCP/IP与主机通讯，支持有线连接。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供电电压12V</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根据实际需求增减数量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3" w:hRule="atLeast"/>
        </w:trPr>
        <w:tc>
          <w:tcPr>
            <w:tcW w:w="389"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接入交换</w:t>
            </w:r>
          </w:p>
        </w:tc>
        <w:tc>
          <w:tcPr>
            <w:tcW w:w="645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二层网管交换机，交换容量336Gbps，包转发率42Mpps，24口10/100/1000Mbps自适应电口交换机，固化4个SFP千兆光口，支持VLAN、ACL、端口镜像、端口聚合等功能，支持睿易APP和MACC云平台统一管理。</w:t>
            </w:r>
          </w:p>
        </w:tc>
        <w:tc>
          <w:tcPr>
            <w:tcW w:w="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60" w:type="dxa"/>
            <w:tcBorders>
              <w:top w:val="single" w:color="000000" w:sz="4" w:space="0"/>
              <w:left w:val="single" w:color="000000" w:sz="4" w:space="0"/>
              <w:bottom w:val="single" w:color="000000" w:sz="4" w:space="0"/>
            </w:tcBorders>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389" w:type="dxa"/>
            <w:tcBorders>
              <w:top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73" w:type="dxa"/>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安装布线</w:t>
            </w:r>
          </w:p>
        </w:tc>
        <w:tc>
          <w:tcPr>
            <w:tcW w:w="6453" w:type="dxa"/>
            <w:tcBorders>
              <w:top w:val="single" w:color="auto" w:sz="4" w:space="0"/>
              <w:left w:val="single" w:color="000000" w:sz="4" w:space="0"/>
              <w:right w:val="single" w:color="000000" w:sz="4" w:space="0"/>
            </w:tcBorders>
            <w:noWrap/>
            <w:vAlign w:val="center"/>
          </w:tcPr>
          <w:p>
            <w:pPr>
              <w:rPr>
                <w:rFonts w:hint="eastAsia" w:ascii="宋体" w:hAnsi="宋体" w:eastAsia="宋体" w:cs="宋体"/>
                <w:i w:val="0"/>
                <w:iCs w:val="0"/>
                <w:color w:val="000000"/>
                <w:sz w:val="21"/>
                <w:szCs w:val="21"/>
                <w:u w:val="none"/>
              </w:rPr>
            </w:pPr>
          </w:p>
        </w:tc>
        <w:tc>
          <w:tcPr>
            <w:tcW w:w="515"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79"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760" w:type="dxa"/>
            <w:tcBorders>
              <w:top w:val="single" w:color="000000" w:sz="4" w:space="0"/>
              <w:left w:val="single" w:color="000000" w:sz="4" w:space="0"/>
            </w:tcBorders>
            <w:noWrap/>
            <w:vAlign w:val="center"/>
          </w:tcPr>
          <w:p>
            <w:pPr>
              <w:rPr>
                <w:rFonts w:hint="eastAsia" w:ascii="宋体" w:hAnsi="宋体" w:eastAsia="宋体" w:cs="宋体"/>
                <w:i w:val="0"/>
                <w:iCs w:val="0"/>
                <w:color w:val="000000"/>
                <w:sz w:val="21"/>
                <w:szCs w:val="21"/>
                <w:u w:val="none"/>
              </w:rPr>
            </w:pPr>
          </w:p>
        </w:tc>
      </w:tr>
    </w:tbl>
    <w:p>
      <w:pPr>
        <w:rPr>
          <w:rFonts w:hint="eastAsia"/>
          <w:lang w:eastAsia="zh-CN"/>
        </w:rPr>
      </w:pPr>
    </w:p>
    <w:p>
      <w:pPr>
        <w:rPr>
          <w:rFonts w:hint="eastAsia"/>
          <w:lang w:eastAsia="zh-CN"/>
        </w:rPr>
      </w:pPr>
    </w:p>
    <w:tbl>
      <w:tblPr>
        <w:tblStyle w:val="22"/>
        <w:tblW w:w="86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7"/>
        <w:gridCol w:w="2454"/>
        <w:gridCol w:w="915"/>
        <w:gridCol w:w="1185"/>
        <w:gridCol w:w="870"/>
        <w:gridCol w:w="1125"/>
        <w:gridCol w:w="1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8661" w:type="dxa"/>
            <w:gridSpan w:val="7"/>
            <w:tcBorders>
              <w:bottom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移动舞台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型号规格</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60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活动舞台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平米</w:t>
            </w:r>
          </w:p>
        </w:tc>
        <w:tc>
          <w:tcPr>
            <w:tcW w:w="1605" w:type="dxa"/>
            <w:tcBorders>
              <w:top w:val="single" w:color="000000" w:sz="4" w:space="0"/>
              <w:left w:val="single" w:color="000000" w:sz="4" w:space="0"/>
              <w:bottom w:val="single" w:color="000000" w:sz="4" w:space="0"/>
            </w:tcBorders>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8661" w:type="dxa"/>
            <w:gridSpan w:val="7"/>
            <w:tcBorders>
              <w:top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舞台电动幕布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型号规格</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60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一道电动幕布</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电机</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安装辅材</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电动幕布安装费</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二道幕布</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安装费</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按实际需求</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605" w:type="dxa"/>
            <w:tcBorders>
              <w:top w:val="single" w:color="000000" w:sz="4" w:space="0"/>
              <w:left w:val="single" w:color="000000" w:sz="4" w:space="0"/>
              <w:bottom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07" w:type="dxa"/>
            <w:tcBorders>
              <w:top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5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安装费</w:t>
            </w:r>
          </w:p>
        </w:tc>
        <w:tc>
          <w:tcPr>
            <w:tcW w:w="915" w:type="dxa"/>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185" w:type="dxa"/>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870"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25"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605" w:type="dxa"/>
            <w:tcBorders>
              <w:top w:val="single" w:color="000000" w:sz="4" w:space="0"/>
              <w:lef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bl>
    <w:p>
      <w:pPr>
        <w:rPr>
          <w:rFonts w:hint="eastAsia"/>
          <w:lang w:eastAsia="zh-CN"/>
        </w:rPr>
      </w:pPr>
    </w:p>
    <w:p>
      <w:pPr>
        <w:rPr>
          <w:rFonts w:hint="eastAsia"/>
          <w:lang w:eastAsia="zh-CN"/>
        </w:rPr>
      </w:pPr>
    </w:p>
    <w:tbl>
      <w:tblPr>
        <w:tblStyle w:val="22"/>
        <w:tblW w:w="91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
        <w:gridCol w:w="1189"/>
        <w:gridCol w:w="5106"/>
        <w:gridCol w:w="638"/>
        <w:gridCol w:w="638"/>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9122"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主席台会议桌椅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510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会议桌</w:t>
            </w:r>
          </w:p>
        </w:tc>
        <w:tc>
          <w:tcPr>
            <w:tcW w:w="5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55"/>
                <w:sz w:val="21"/>
                <w:szCs w:val="21"/>
                <w:lang w:val="en-US" w:eastAsia="zh-CN" w:bidi="ar"/>
              </w:rPr>
              <w:t>1、基材：E0级中纤板，甲醛释放量≤0.05mg/m³，挥发性有机化合物（72h）符合GB/T 35601-2017要求。2、面与封边：天然优质胡桃木皮，厚度≥0.6mm；实木皮封边，颜色均匀平整。3、漆工艺：采用环保水性漆，五底三面工艺；挥发性有机化合物含量≤70g/L，其中苯系物含量（苯、甲苯、乙苯和二甲苯总和）未检出。4、胶粘剂：采用水性胶粘剂，应符合GB 18583-2008的要求。5、成品：各项技术指标符合GB/T 3324-2017《木家具通用技术条件》规定的要求，其中甲醛释放量≤0.5mg/L；漆膜耐湿热不低于2级，抗冲击不低于2级。</w:t>
            </w:r>
          </w:p>
        </w:tc>
        <w:tc>
          <w:tcPr>
            <w:tcW w:w="638" w:type="dxa"/>
            <w:tcBorders>
              <w:top w:val="single" w:color="000000"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103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2" w:hRule="atLeast"/>
          <w:jc w:val="center"/>
        </w:trPr>
        <w:tc>
          <w:tcPr>
            <w:tcW w:w="521" w:type="dxa"/>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89"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5106" w:type="dxa"/>
            <w:tcBorders>
              <w:top w:val="single" w:color="auto" w:sz="4" w:space="0"/>
              <w:left w:val="single" w:color="000000" w:sz="4" w:space="0"/>
              <w:bottom w:val="single" w:color="auto"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采用西皮，厚度≥1.2mm，阻燃、防污、耐磨强，手感柔软、纹理细腻富有弹性符合GB/T16799-2018《家具用皮革》、摩擦色牢度≥4级，撕裂力≥40N。3、框架：采用曲木框架，经过高温烘干处理，无虫蛀，无结疤，含水率符合国家标准；4、漆工艺：采用环保水性漆，五底三面工艺；挥发性有机化合物含量≤70g/L，其中苯系物含量（苯、甲苯、乙苯和二甲苯总和）未检出。5、成品：各项技术指标符合QB/T 2280-2016《办公家具 办公椅》规定的要求。</w:t>
            </w:r>
          </w:p>
        </w:tc>
        <w:tc>
          <w:tcPr>
            <w:tcW w:w="638"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38"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030"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8" w:hRule="atLeast"/>
          <w:jc w:val="center"/>
        </w:trPr>
        <w:tc>
          <w:tcPr>
            <w:tcW w:w="521"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89"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会议椅</w:t>
            </w:r>
          </w:p>
        </w:tc>
        <w:tc>
          <w:tcPr>
            <w:tcW w:w="510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结构功能：座垫可翻转，堆叠,带写字板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2、饰面：椅背采用优质透气网布面料，椅座采用优质网布面料，符合GB 18401-2010国家纺织产品基本安全或GB/T 18885-2009生态纺织品技术要求技术规范B类要求。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3、海棉：高回弹软质聚氨酯泡沫塑料，符合国家规定标准。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4、椅架：壁厚1.8mm,涂层附着力强、耐腐蚀。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5、成品：各项技术指标符合QB/T 2280-2016《办公家具 办公椅》规定的要求。   </w:t>
            </w:r>
          </w:p>
        </w:tc>
        <w:tc>
          <w:tcPr>
            <w:tcW w:w="638"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110</w:t>
            </w:r>
          </w:p>
        </w:tc>
        <w:tc>
          <w:tcPr>
            <w:tcW w:w="638"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03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r>
    </w:tbl>
    <w:p>
      <w:pPr>
        <w:rPr>
          <w:rFonts w:hint="eastAsia"/>
          <w:lang w:eastAsia="zh-CN"/>
        </w:rPr>
      </w:pPr>
    </w:p>
    <w:p>
      <w:pPr>
        <w:pStyle w:val="10"/>
        <w:rPr>
          <w:rFonts w:hint="eastAsia"/>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rPr>
          <w:rFonts w:hint="eastAsia"/>
        </w:rPr>
      </w:pPr>
    </w:p>
    <w:p>
      <w:pPr>
        <w:pStyle w:val="3"/>
        <w:adjustRightInd w:val="0"/>
        <w:snapToGrid w:val="0"/>
        <w:spacing w:line="480" w:lineRule="auto"/>
        <w:jc w:val="center"/>
        <w:rPr>
          <w:rFonts w:hint="eastAsia" w:ascii="宋体" w:hAnsi="宋体" w:eastAsia="宋体" w:cs="宋体"/>
          <w:sz w:val="32"/>
          <w:szCs w:val="32"/>
          <w:lang w:eastAsia="zh-CN"/>
        </w:rPr>
      </w:pPr>
      <w:r>
        <w:rPr>
          <w:rFonts w:hint="eastAsia" w:ascii="宋体" w:hAnsi="宋体" w:eastAsia="宋体" w:cs="宋体"/>
          <w:sz w:val="32"/>
          <w:szCs w:val="32"/>
        </w:rPr>
        <w:t>第五章  合同条款</w:t>
      </w:r>
      <w:bookmarkEnd w:id="40"/>
      <w:bookmarkEnd w:id="41"/>
      <w:bookmarkEnd w:id="42"/>
      <w:r>
        <w:rPr>
          <w:rFonts w:hint="eastAsia" w:ascii="宋体" w:hAnsi="宋体" w:eastAsia="宋体" w:cs="宋体"/>
          <w:sz w:val="32"/>
          <w:szCs w:val="32"/>
          <w:lang w:eastAsia="zh-CN"/>
        </w:rPr>
        <w:t>（参考格式）</w:t>
      </w:r>
      <w:bookmarkEnd w:id="59"/>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采购单位(全称) :</w:t>
      </w:r>
      <w:r>
        <w:rPr>
          <w:rFonts w:hint="eastAsia" w:ascii="宋体" w:hAnsi="宋体" w:eastAsia="宋体" w:cs="宋体"/>
          <w:sz w:val="24"/>
          <w:szCs w:val="24"/>
          <w:u w:val="single"/>
          <w:lang w:val="en-US" w:eastAsia="zh-CN"/>
        </w:rPr>
        <w:t xml:space="preserve"> 西安市</w:t>
      </w:r>
      <w:r>
        <w:rPr>
          <w:rFonts w:hint="eastAsia" w:ascii="宋体" w:hAnsi="宋体" w:cs="宋体"/>
          <w:sz w:val="24"/>
          <w:szCs w:val="24"/>
          <w:u w:val="single"/>
          <w:lang w:val="en-US" w:eastAsia="zh-CN"/>
        </w:rPr>
        <w:t>未央区</w:t>
      </w:r>
      <w:r>
        <w:rPr>
          <w:rFonts w:hint="eastAsia" w:ascii="宋体" w:hAnsi="宋体" w:eastAsia="宋体" w:cs="宋体"/>
          <w:sz w:val="24"/>
          <w:szCs w:val="24"/>
          <w:u w:val="single"/>
          <w:lang w:val="en-US" w:eastAsia="zh-CN"/>
        </w:rPr>
        <w:t xml:space="preserve">教育局 </w:t>
      </w:r>
      <w:r>
        <w:rPr>
          <w:rFonts w:hint="eastAsia" w:ascii="宋体" w:hAnsi="宋体" w:eastAsia="宋体" w:cs="宋体"/>
          <w:sz w:val="24"/>
          <w:szCs w:val="24"/>
        </w:rPr>
        <w:t>(以下简称甲方)</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供货单位(全称) :</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(以下简称乙方)</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依照《中华人民共和国民法典》及其他有关法律、法规，遵循平等、自愿、公平和诚信的原则,双方就下述项目范围与相关服务事项协商一致,订立本合同。</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一、项目概况</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1.项目名称</w:t>
      </w:r>
      <w:r>
        <w:rPr>
          <w:rFonts w:hint="eastAsia" w:ascii="宋体" w:hAnsi="宋体" w:cs="宋体"/>
          <w:sz w:val="24"/>
          <w:szCs w:val="24"/>
          <w:lang w:val="en-US" w:eastAsia="zh-CN"/>
        </w:rPr>
        <w:t>及包号</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未央区教育局下属四所学校教学办公设备及设施采购项目第</w:t>
      </w:r>
      <w:r>
        <w:rPr>
          <w:rFonts w:hint="eastAsia" w:ascii="宋体" w:hAnsi="宋体" w:cs="宋体"/>
          <w:sz w:val="24"/>
          <w:szCs w:val="24"/>
          <w:u w:val="single"/>
          <w:lang w:val="en-US" w:eastAsia="zh-CN"/>
        </w:rPr>
        <w:t xml:space="preserve">   包</w:t>
      </w:r>
      <w:r>
        <w:rPr>
          <w:rFonts w:hint="eastAsia" w:ascii="宋体" w:hAnsi="宋体" w:eastAsia="宋体" w:cs="宋体"/>
          <w:sz w:val="24"/>
          <w:szCs w:val="24"/>
        </w:rPr>
        <w:t>。</w:t>
      </w:r>
    </w:p>
    <w:p>
      <w:pPr>
        <w:pStyle w:val="5"/>
        <w:spacing w:line="360" w:lineRule="auto"/>
        <w:rPr>
          <w:rFonts w:hint="eastAsia" w:ascii="宋体" w:hAnsi="宋体" w:eastAsia="宋体" w:cs="宋体"/>
          <w:sz w:val="24"/>
          <w:szCs w:val="24"/>
          <w:u w:val="single"/>
          <w:lang w:val="en-US"/>
        </w:rPr>
      </w:pPr>
      <w:r>
        <w:rPr>
          <w:rFonts w:hint="eastAsia" w:ascii="宋体" w:hAnsi="宋体" w:eastAsia="宋体" w:cs="宋体"/>
          <w:sz w:val="24"/>
          <w:szCs w:val="24"/>
        </w:rPr>
        <w:t>2.</w:t>
      </w:r>
      <w:r>
        <w:rPr>
          <w:rFonts w:hint="eastAsia" w:ascii="宋体" w:hAnsi="宋体" w:eastAsia="宋体" w:cs="宋体"/>
          <w:sz w:val="24"/>
          <w:szCs w:val="24"/>
          <w:highlight w:val="none"/>
        </w:rPr>
        <w:t>项目地点:</w:t>
      </w:r>
      <w:r>
        <w:rPr>
          <w:rFonts w:hint="eastAsia" w:ascii="宋体" w:hAnsi="宋体" w:cs="宋体"/>
          <w:sz w:val="24"/>
          <w:szCs w:val="24"/>
          <w:u w:val="single"/>
          <w:lang w:eastAsia="zh-CN"/>
        </w:rPr>
        <w:t>采购人指定地点</w:t>
      </w:r>
      <w:r>
        <w:rPr>
          <w:rFonts w:hint="eastAsia" w:ascii="宋体" w:hAnsi="宋体" w:eastAsia="宋体" w:cs="宋体"/>
          <w:sz w:val="24"/>
          <w:szCs w:val="24"/>
          <w:u w:val="single"/>
          <w:lang w:val="en-US" w:eastAsia="zh-CN"/>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3.项目内容:</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未央区教育局下属四所学校教学办公设备及设施采购项目</w:t>
      </w:r>
      <w:r>
        <w:rPr>
          <w:rFonts w:hint="eastAsia" w:ascii="宋体" w:hAnsi="宋体" w:eastAsia="宋体" w:cs="宋体"/>
          <w:sz w:val="24"/>
          <w:szCs w:val="24"/>
          <w:u w:val="single"/>
        </w:rPr>
        <w:t>。（产品名称、规格型号、技术参数、数量及金额，具体详见附件1设备报价清单）。</w:t>
      </w:r>
      <w:r>
        <w:rPr>
          <w:rFonts w:hint="eastAsia" w:ascii="宋体" w:hAnsi="宋体" w:eastAsia="宋体" w:cs="宋体"/>
          <w:sz w:val="24"/>
          <w:szCs w:val="24"/>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二、组成本合同的文件</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1.协议书；</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中标</w:t>
      </w:r>
      <w:r>
        <w:rPr>
          <w:rFonts w:hint="eastAsia" w:ascii="宋体" w:hAnsi="宋体" w:eastAsia="宋体" w:cs="宋体"/>
          <w:sz w:val="24"/>
          <w:szCs w:val="24"/>
        </w:rPr>
        <w:t>通知书、</w:t>
      </w:r>
      <w:r>
        <w:rPr>
          <w:rFonts w:hint="eastAsia" w:ascii="宋体" w:hAnsi="宋体" w:eastAsia="宋体" w:cs="宋体"/>
          <w:sz w:val="24"/>
          <w:szCs w:val="24"/>
          <w:lang w:eastAsia="zh-CN"/>
        </w:rPr>
        <w:t>招标</w:t>
      </w:r>
      <w:r>
        <w:rPr>
          <w:rFonts w:hint="eastAsia" w:ascii="宋体" w:hAnsi="宋体" w:eastAsia="宋体" w:cs="宋体"/>
          <w:sz w:val="24"/>
          <w:szCs w:val="24"/>
        </w:rPr>
        <w:t>文件、</w:t>
      </w:r>
      <w:r>
        <w:rPr>
          <w:rFonts w:hint="eastAsia" w:ascii="宋体" w:hAnsi="宋体" w:eastAsia="宋体" w:cs="宋体"/>
          <w:sz w:val="24"/>
          <w:szCs w:val="24"/>
          <w:lang w:val="en-US" w:eastAsia="zh-CN"/>
        </w:rPr>
        <w:t>投标</w:t>
      </w:r>
      <w:r>
        <w:rPr>
          <w:rFonts w:hint="eastAsia" w:ascii="宋体" w:hAnsi="宋体" w:eastAsia="宋体" w:cs="宋体"/>
          <w:sz w:val="24"/>
          <w:szCs w:val="24"/>
        </w:rPr>
        <w:t>文件、澄清、</w:t>
      </w:r>
      <w:r>
        <w:rPr>
          <w:rFonts w:hint="eastAsia" w:ascii="宋体" w:hAnsi="宋体" w:eastAsia="宋体" w:cs="宋体"/>
          <w:sz w:val="24"/>
          <w:szCs w:val="24"/>
          <w:lang w:eastAsia="zh-CN"/>
        </w:rPr>
        <w:t>招标</w:t>
      </w:r>
      <w:r>
        <w:rPr>
          <w:rFonts w:hint="eastAsia" w:ascii="宋体" w:hAnsi="宋体" w:eastAsia="宋体" w:cs="宋体"/>
          <w:sz w:val="24"/>
          <w:szCs w:val="24"/>
        </w:rPr>
        <w:t>补充文件(或委托书)；</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3.相关服务建议书；</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4.附表内相关货物和服务的范围和内容；</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5.本合同签订后，双方依法签订的补充协议也是本合同文件的组成部分。</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三、合同价款</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1.合同金额(大写):</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2.合同总价即中标价，合同总价一次性包死，不受市场价格变化因素的影响。</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四、服务期、质保期、项目实施地点</w:t>
      </w:r>
    </w:p>
    <w:p>
      <w:pPr>
        <w:pStyle w:val="5"/>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1.交货期：自合同签订之日起</w:t>
      </w:r>
      <w:r>
        <w:rPr>
          <w:rFonts w:hint="eastAsia" w:ascii="宋体" w:hAnsi="宋体" w:cs="宋体"/>
          <w:sz w:val="24"/>
          <w:szCs w:val="24"/>
          <w:highlight w:val="none"/>
          <w:u w:val="single"/>
          <w:lang w:val="en-US" w:eastAsia="zh-CN"/>
        </w:rPr>
        <w:t xml:space="preserve"> 10</w:t>
      </w:r>
      <w:r>
        <w:rPr>
          <w:rFonts w:hint="eastAsia" w:ascii="宋体" w:hAnsi="宋体" w:eastAsia="宋体" w:cs="宋体"/>
          <w:sz w:val="24"/>
          <w:szCs w:val="24"/>
          <w:highlight w:val="none"/>
        </w:rPr>
        <w:t>日历天内</w:t>
      </w:r>
    </w:p>
    <w:p>
      <w:pPr>
        <w:pStyle w:val="5"/>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eastAsia="zh-CN"/>
        </w:rPr>
        <w:t>质保期</w:t>
      </w:r>
      <w:r>
        <w:rPr>
          <w:rFonts w:hint="eastAsia" w:ascii="宋体" w:hAnsi="宋体" w:eastAsia="宋体" w:cs="宋体"/>
          <w:sz w:val="24"/>
          <w:szCs w:val="24"/>
          <w:highlight w:val="none"/>
        </w:rPr>
        <w:t>：质保期</w:t>
      </w:r>
      <w:r>
        <w:rPr>
          <w:rFonts w:hint="eastAsia" w:ascii="宋体" w:hAnsi="宋体" w:cs="宋体"/>
          <w:sz w:val="24"/>
          <w:szCs w:val="24"/>
          <w:highlight w:val="none"/>
          <w:lang w:eastAsia="zh-CN"/>
        </w:rPr>
        <w:t>不少于</w:t>
      </w:r>
      <w:r>
        <w:rPr>
          <w:rFonts w:hint="eastAsia" w:ascii="宋体" w:hAnsi="宋体" w:eastAsia="宋体" w:cs="宋体"/>
          <w:sz w:val="24"/>
          <w:szCs w:val="24"/>
          <w:highlight w:val="none"/>
        </w:rPr>
        <w:t>1年，且不得低于产品生产商对产品保修期标准。供货商提供法人代表签字后盖公章的售后服务承诺函。</w:t>
      </w:r>
    </w:p>
    <w:p>
      <w:pPr>
        <w:pStyle w:val="5"/>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3.交货地点：采购人指定地点。</w:t>
      </w:r>
    </w:p>
    <w:p>
      <w:pPr>
        <w:pStyle w:val="5"/>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五、付款方式:</w:t>
      </w:r>
    </w:p>
    <w:p>
      <w:pPr>
        <w:pStyle w:val="5"/>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1.由甲方负责结算，在付款前,乙方必须向甲方开具全额发票。</w:t>
      </w:r>
    </w:p>
    <w:p>
      <w:pPr>
        <w:pStyle w:val="5"/>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2.付款方式：</w:t>
      </w:r>
    </w:p>
    <w:p>
      <w:pPr>
        <w:pStyle w:val="5"/>
        <w:spacing w:line="360" w:lineRule="auto"/>
        <w:rPr>
          <w:rFonts w:hint="eastAsia" w:ascii="宋体" w:hAnsi="宋体" w:eastAsia="宋体" w:cs="宋体"/>
          <w:sz w:val="24"/>
          <w:szCs w:val="24"/>
          <w:highlight w:val="yellow"/>
        </w:rPr>
      </w:pPr>
      <w:r>
        <w:rPr>
          <w:rFonts w:hint="eastAsia" w:ascii="宋体" w:hAnsi="宋体" w:eastAsia="宋体" w:cs="宋体"/>
          <w:sz w:val="24"/>
          <w:szCs w:val="24"/>
          <w:highlight w:val="none"/>
        </w:rPr>
        <w:t>合同签订</w:t>
      </w:r>
      <w:r>
        <w:rPr>
          <w:rFonts w:hint="eastAsia" w:ascii="宋体" w:hAnsi="宋体" w:cs="宋体"/>
          <w:sz w:val="24"/>
          <w:szCs w:val="24"/>
          <w:highlight w:val="none"/>
          <w:lang w:eastAsia="zh-CN"/>
        </w:rPr>
        <w:t>后，</w:t>
      </w:r>
      <w:r>
        <w:rPr>
          <w:rFonts w:hint="eastAsia" w:ascii="宋体" w:hAnsi="宋体" w:eastAsia="宋体" w:cs="宋体"/>
          <w:sz w:val="24"/>
          <w:szCs w:val="24"/>
          <w:highlight w:val="none"/>
        </w:rPr>
        <w:t>验收合格后，视财政资金情况支付不超过合同总价款95%，剩余合同总价款5％作为设备尾款，根据设备种类双方协商约定时间一次性付清。</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bCs/>
          <w:sz w:val="24"/>
        </w:rPr>
        <w:t>资金</w:t>
      </w:r>
      <w:r>
        <w:rPr>
          <w:rFonts w:hint="eastAsia" w:ascii="宋体" w:hAnsi="宋体" w:eastAsia="宋体" w:cs="宋体"/>
          <w:sz w:val="24"/>
          <w:szCs w:val="24"/>
        </w:rPr>
        <w:t>支付方式:银行转账.</w:t>
      </w:r>
      <w:r>
        <w:rPr>
          <w:rFonts w:hint="eastAsia" w:ascii="宋体" w:hAnsi="宋体" w:cs="宋体"/>
          <w:sz w:val="24"/>
          <w:szCs w:val="24"/>
          <w:lang w:val="en-US" w:eastAsia="zh-CN"/>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4.乙方指定的账户信息如下:</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户名：</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开户行：</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账号：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开户行地址：</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六、质量保证</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1.乙方提供的设备(产品)及材料必须保证质量可靠,为市场最新或主流设备(产品)，进货渠道正常，配置合理齐全，应全面满足</w:t>
      </w:r>
      <w:r>
        <w:rPr>
          <w:rFonts w:hint="eastAsia" w:ascii="宋体" w:hAnsi="宋体" w:eastAsia="宋体" w:cs="宋体"/>
          <w:sz w:val="24"/>
          <w:szCs w:val="24"/>
          <w:lang w:eastAsia="zh-CN"/>
        </w:rPr>
        <w:t>招标</w:t>
      </w:r>
      <w:r>
        <w:rPr>
          <w:rFonts w:hint="eastAsia" w:ascii="宋体" w:hAnsi="宋体" w:eastAsia="宋体" w:cs="宋体"/>
          <w:sz w:val="24"/>
          <w:szCs w:val="24"/>
        </w:rPr>
        <w:t>文件的要求，</w:t>
      </w:r>
      <w:r>
        <w:rPr>
          <w:rFonts w:hint="eastAsia" w:ascii="宋体" w:hAnsi="宋体" w:eastAsia="宋体" w:cs="宋体"/>
          <w:sz w:val="24"/>
          <w:szCs w:val="24"/>
          <w:lang w:eastAsia="zh-CN"/>
        </w:rPr>
        <w:t>招标</w:t>
      </w:r>
      <w:r>
        <w:rPr>
          <w:rFonts w:hint="eastAsia" w:ascii="宋体" w:hAnsi="宋体" w:eastAsia="宋体" w:cs="宋体"/>
          <w:sz w:val="24"/>
          <w:szCs w:val="24"/>
        </w:rPr>
        <w:t>文件未明确要求的内容，乙方须按</w:t>
      </w:r>
      <w:r>
        <w:rPr>
          <w:rFonts w:hint="eastAsia" w:ascii="宋体" w:hAnsi="宋体" w:eastAsia="宋体" w:cs="宋体"/>
          <w:sz w:val="24"/>
          <w:szCs w:val="24"/>
          <w:lang w:eastAsia="zh-CN"/>
        </w:rPr>
        <w:t>招标</w:t>
      </w:r>
      <w:r>
        <w:rPr>
          <w:rFonts w:hint="eastAsia" w:ascii="宋体" w:hAnsi="宋体" w:eastAsia="宋体" w:cs="宋体"/>
          <w:sz w:val="24"/>
          <w:szCs w:val="24"/>
        </w:rPr>
        <w:t>设备(产品)主流标准配置或以采购人的补充要求为准。所供设备(产品)工艺质量应严格按国家最新发布的规范标准执行，如发生质量问题由乙方承担全部责任。</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2.乙方应保证合同项下所供设备是合同规定厂家供货生产的,全新未使用过的，并完全符合合同规定的质量、规格等要求。</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七、安装、调试要求</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1.乙方根据产品特性，自行选择运输及包装方式,承担一切运输费用包括从生产厂商到采购人指定交货地点所需的装卸、运输(含保险费)及其他一切费用。</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2.由乙方</w:t>
      </w:r>
      <w:r>
        <w:rPr>
          <w:rFonts w:hint="eastAsia" w:ascii="宋体" w:hAnsi="宋体" w:eastAsia="宋体" w:cs="宋体"/>
          <w:sz w:val="24"/>
          <w:szCs w:val="24"/>
          <w:lang w:eastAsia="zh-CN"/>
        </w:rPr>
        <w:t>提供</w:t>
      </w:r>
      <w:r>
        <w:rPr>
          <w:rFonts w:hint="eastAsia" w:ascii="宋体" w:hAnsi="宋体" w:eastAsia="宋体" w:cs="宋体"/>
          <w:sz w:val="24"/>
          <w:szCs w:val="24"/>
        </w:rPr>
        <w:t>运输、安装及试运行的进度计划表。</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3.乙方应在合同规定的安装调试期内完成该项工作。如因乙方责任而造成延期，每超过一天按合同总价款</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千分之五</w:t>
      </w:r>
      <w:r>
        <w:rPr>
          <w:rFonts w:hint="eastAsia" w:ascii="宋体" w:hAnsi="宋体" w:eastAsia="宋体" w:cs="宋体"/>
          <w:sz w:val="24"/>
          <w:szCs w:val="24"/>
          <w:highlight w:val="none"/>
        </w:rPr>
        <w:t>支付甲</w:t>
      </w:r>
      <w:r>
        <w:rPr>
          <w:rFonts w:hint="eastAsia" w:ascii="宋体" w:hAnsi="宋体" w:eastAsia="宋体" w:cs="宋体"/>
          <w:sz w:val="24"/>
          <w:szCs w:val="24"/>
        </w:rPr>
        <w:t>方误期赔偿金，直至交货或提供服务结束为止，所有因延期而产生的费用由乙方承担。</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4.安装和调试期间所发生的费用均由乙方负责。</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5.乙方应对安装调试、整改等实施过程的安全负责，如发生人身伤亡财产损失的由乙方负责解决并承担全部责任。</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八、技术支持、技术培训、技术资料</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1.技术支持</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1.1提供保修期内全年7</w:t>
      </w:r>
      <w:r>
        <w:rPr>
          <w:rFonts w:hint="eastAsia" w:ascii="宋体" w:hAnsi="宋体" w:eastAsia="宋体" w:cs="宋体"/>
          <w:sz w:val="24"/>
          <w:szCs w:val="24"/>
          <w:lang w:val="en-US" w:eastAsia="zh-CN"/>
        </w:rPr>
        <w:t>*</w:t>
      </w:r>
      <w:r>
        <w:rPr>
          <w:rFonts w:hint="eastAsia" w:ascii="宋体" w:hAnsi="宋体" w:eastAsia="宋体" w:cs="宋体"/>
          <w:sz w:val="24"/>
          <w:szCs w:val="24"/>
        </w:rPr>
        <w:t>24小时的技术咨询服务。乙方怠于或无法提供技术支持的，甲方有权委托第三方处理，由此产生的费用和后果由乙方负责，费用直接从应付款或质保金中扣除。乙方指定的项目总协调人必须是乙方公司管理层人员。项目建设过程中一旦出现重大问题，项目总协调人应能及时赶到现场。供应商更换项目负责人和主要技术人员，须将变更人及其工作影响、替换人资历等情况以书面材料报告项目甲方审核，经同意后方可更换。因乙方的人员变更原因所造成的任何项目质量、进度滞后的后果，由乙方承担。</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1.2乙方在项目实施过程中，质量保障人员、资源不足或者执行不力，给项目质量带来的风险超出采甲方认定的允许范围时，甲方可终止本项目的合作并进行索赔。</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2.技术培训</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应包括产品使用操作、保养、维修等培训内容。乙方需按采购人要求的时间为甲方免费培训技术人员若干名，培训服务以受培训人员熟练掌握相应技能为原则。</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九、验收</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由甲方和乙方共同对项目进行安装验收和最终整体验收。其内容包括确认产品的产地、规格、和数量等，对其产品性能参数、样式、颜色，以及质量是否达到现行国家有关验收规范“合格”标准、是否按照采购人要求进行安装到位、是否在规定时间内安装完毕、所有产品的配套包装是否完好无损等进行逐项检查。</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1.所验产品的指标、性能参数最终验收达不到磋商文件要求和响应文件承诺的，乙方应在采购人要求的时间内无条件免费更换或退货。</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2.验收标准：按磋商文件、响应文件及澄清函等技术指标进行验收。各项指标均应符合验收标准及要求。</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4.验收合格后，填写验收单，双方签字生效。</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5.验收依据</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5.1合同文本；</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5.2响应文件及澄清函、</w:t>
      </w:r>
      <w:r>
        <w:rPr>
          <w:rFonts w:hint="eastAsia" w:ascii="宋体" w:hAnsi="宋体" w:eastAsia="宋体" w:cs="宋体"/>
          <w:sz w:val="24"/>
          <w:szCs w:val="24"/>
          <w:lang w:eastAsia="zh-CN"/>
        </w:rPr>
        <w:t>招标</w:t>
      </w:r>
      <w:r>
        <w:rPr>
          <w:rFonts w:hint="eastAsia" w:ascii="宋体" w:hAnsi="宋体" w:eastAsia="宋体" w:cs="宋体"/>
          <w:sz w:val="24"/>
          <w:szCs w:val="24"/>
        </w:rPr>
        <w:t>文件；</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5.3国家和行业制定的相应的标准和规范；</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5.4验收清单(注明各部件的品名、数量、规格型号和原产地或生产厂家)。</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十、质保及维保服务(提供售后服务承诺函)</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1.在保修期内，乙方应提供可承担维修职能的公司、全资分公司或办事处，并驻守多名维护技术人员，并提供地点、联系人(常驻工程师)及联系电话(服务热线)，随时解答各种疑问(需提供相关证明材料)。</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2.竣工后的保修期内，由于质量问题，乙方于接到甲方通知后24小时内派人维修，属甲方使用不当及其他非乙方原因造成项目质量问题，乙方可给予维修，但甲方须按不高于市场价格支付维修。</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3.因供乙方责任过失造成的项目质量问题，由乙方负责整改、维修。</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4.保修期内，设备出现故障后(因不正当使用、不可抗力因素除外)，乙方须在接到采购人通知后24小时内到达现场负责对设备进行免费维修。如乙方不尽履行保修义务，甲方有权委托其他单位进行维修，相应费用由乙方承担(从保证金中扣除，不足部分由乙方补交)。</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十一、知识产权</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乙方应对所供产品具有或已取得合法知识产权，乙方应保证所供产品及服务不会出现因第三方提出侵犯其专利权、商标权或其它知识产权而引发法律或经济纠纷，否则由乙方负责解决并承担全部责任;如因此影响到甲方的正常使用，甲方有权单方解除本合同，乙方应无条件向甲方退回已收取的全部合同价款。</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十二、合同争议的解决</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合同执行中发生争议的，当事人双方应协商解决，协商达不成一致时，可向采购人所在地人民法院提请诉讼。</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十三、不可抗力情况下的免责约定</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双方约定不可抗力情况指:双方不可预见、不可避免、不可克服的客观情况，但不包括双方的违约或疏忽。这些事件包括但不限于:战争、严重火灾、洪水、台风、地震等。</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十四、违约责任</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1.按《中华人民共和国政府采购法》、《中华人民共和国民法典》中的相关条款执行。</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2.未按合同或</w:t>
      </w:r>
      <w:r>
        <w:rPr>
          <w:rFonts w:hint="eastAsia" w:ascii="宋体" w:hAnsi="宋体" w:eastAsia="宋体" w:cs="宋体"/>
          <w:sz w:val="24"/>
          <w:szCs w:val="24"/>
          <w:lang w:eastAsia="zh-CN"/>
        </w:rPr>
        <w:t>招标</w:t>
      </w:r>
      <w:r>
        <w:rPr>
          <w:rFonts w:hint="eastAsia" w:ascii="宋体" w:hAnsi="宋体" w:eastAsia="宋体" w:cs="宋体"/>
          <w:sz w:val="24"/>
          <w:szCs w:val="24"/>
        </w:rPr>
        <w:t>文件要求的或者质量不能满足采购人要求的，采购单位有权终止合同，甚至对供应商违约行为进行追究。</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3.供应商的</w:t>
      </w:r>
      <w:r>
        <w:rPr>
          <w:rFonts w:hint="eastAsia" w:ascii="宋体" w:hAnsi="宋体" w:eastAsia="宋体" w:cs="宋体"/>
          <w:sz w:val="24"/>
          <w:szCs w:val="24"/>
          <w:lang w:eastAsia="zh-CN"/>
        </w:rPr>
        <w:t>招标</w:t>
      </w:r>
      <w:r>
        <w:rPr>
          <w:rFonts w:hint="eastAsia" w:ascii="宋体" w:hAnsi="宋体" w:eastAsia="宋体" w:cs="宋体"/>
          <w:sz w:val="24"/>
          <w:szCs w:val="24"/>
        </w:rPr>
        <w:t>响应文件为签订正式书面合同书不可分割的部分,</w:t>
      </w:r>
      <w:r>
        <w:rPr>
          <w:rFonts w:hint="eastAsia" w:ascii="宋体" w:hAnsi="宋体" w:eastAsia="宋体" w:cs="宋体"/>
          <w:sz w:val="24"/>
          <w:szCs w:val="24"/>
          <w:lang w:eastAsia="zh-CN"/>
        </w:rPr>
        <w:t>招标</w:t>
      </w:r>
      <w:r>
        <w:rPr>
          <w:rFonts w:hint="eastAsia" w:ascii="宋体" w:hAnsi="宋体" w:eastAsia="宋体" w:cs="宋体"/>
          <w:sz w:val="24"/>
          <w:szCs w:val="24"/>
        </w:rPr>
        <w:t>响应应履行相应的责任。</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十五、其他：无其他约定。</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十六、合同订立</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份，监管部门备案 </w:t>
      </w:r>
      <w:r>
        <w:rPr>
          <w:rFonts w:hint="eastAsia" w:ascii="宋体" w:hAnsi="宋体" w:eastAsia="宋体" w:cs="宋体"/>
          <w:sz w:val="24"/>
          <w:szCs w:val="24"/>
          <w:u w:val="single"/>
        </w:rPr>
        <w:t xml:space="preserve">   </w:t>
      </w:r>
      <w:r>
        <w:rPr>
          <w:rFonts w:hint="eastAsia" w:ascii="宋体" w:hAnsi="宋体" w:eastAsia="宋体" w:cs="宋体"/>
          <w:sz w:val="24"/>
          <w:szCs w:val="24"/>
        </w:rPr>
        <w:t>份、招标代理机构存档</w:t>
      </w:r>
      <w:r>
        <w:rPr>
          <w:rFonts w:hint="eastAsia" w:ascii="宋体" w:hAnsi="宋体" w:eastAsia="宋体" w:cs="宋体"/>
          <w:sz w:val="24"/>
          <w:szCs w:val="24"/>
          <w:u w:val="single"/>
        </w:rPr>
        <w:t xml:space="preserve">     </w:t>
      </w:r>
      <w:r>
        <w:rPr>
          <w:rFonts w:hint="eastAsia" w:ascii="宋体" w:hAnsi="宋体" w:eastAsia="宋体" w:cs="宋体"/>
          <w:sz w:val="24"/>
          <w:szCs w:val="24"/>
        </w:rPr>
        <w:t>份。各方签字盖章后生效，合同执行完毕自动失效。(合同的服务承诺则长期有效)。</w:t>
      </w:r>
    </w:p>
    <w:p>
      <w:pPr>
        <w:pStyle w:val="5"/>
        <w:spacing w:line="360" w:lineRule="auto"/>
        <w:rPr>
          <w:rFonts w:hint="eastAsia" w:ascii="宋体" w:hAnsi="宋体" w:eastAsia="宋体" w:cs="宋体"/>
          <w:sz w:val="24"/>
          <w:szCs w:val="24"/>
        </w:rPr>
      </w:pP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 xml:space="preserve">合同附件： </w:t>
      </w:r>
    </w:p>
    <w:p>
      <w:pPr>
        <w:pStyle w:val="5"/>
        <w:spacing w:line="360" w:lineRule="auto"/>
        <w:rPr>
          <w:rFonts w:hint="eastAsia" w:ascii="宋体" w:hAnsi="宋体" w:eastAsia="宋体" w:cs="宋体"/>
          <w:sz w:val="24"/>
          <w:szCs w:val="24"/>
        </w:rPr>
      </w:pP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 xml:space="preserve">附件：设备报价清单 </w:t>
      </w:r>
    </w:p>
    <w:p>
      <w:pPr>
        <w:pStyle w:val="5"/>
        <w:spacing w:line="360" w:lineRule="auto"/>
        <w:rPr>
          <w:rFonts w:hint="eastAsia" w:ascii="宋体" w:hAnsi="宋体" w:eastAsia="宋体" w:cs="宋体"/>
          <w:sz w:val="24"/>
          <w:szCs w:val="24"/>
        </w:rPr>
      </w:pPr>
    </w:p>
    <w:p>
      <w:pPr>
        <w:pStyle w:val="5"/>
        <w:spacing w:line="360" w:lineRule="auto"/>
        <w:rPr>
          <w:rFonts w:hint="eastAsia" w:ascii="宋体" w:hAnsi="宋体" w:eastAsia="宋体" w:cs="宋体"/>
          <w:sz w:val="24"/>
          <w:szCs w:val="24"/>
        </w:rPr>
      </w:pPr>
      <w:r>
        <w:rPr>
          <w:rFonts w:hint="eastAsia" w:ascii="宋体" w:hAnsi="宋体" w:eastAsia="宋体" w:cs="宋体"/>
          <w:sz w:val="24"/>
          <w:szCs w:val="24"/>
        </w:rPr>
        <w:t>(以下无正文)</w:t>
      </w:r>
    </w:p>
    <w:p>
      <w:pPr>
        <w:pStyle w:val="5"/>
        <w:rPr>
          <w:rFonts w:hint="eastAsia" w:ascii="宋体" w:hAnsi="宋体" w:eastAsia="宋体" w:cs="宋体"/>
          <w:szCs w:val="21"/>
        </w:rPr>
      </w:pPr>
    </w:p>
    <w:p>
      <w:pPr>
        <w:pStyle w:val="5"/>
        <w:rPr>
          <w:rFonts w:hint="eastAsia" w:ascii="宋体" w:hAnsi="宋体" w:eastAsia="宋体" w:cs="宋体"/>
          <w:szCs w:val="21"/>
        </w:rPr>
      </w:pPr>
    </w:p>
    <w:p>
      <w:pPr>
        <w:pStyle w:val="5"/>
        <w:rPr>
          <w:rFonts w:hint="eastAsia" w:ascii="宋体" w:hAnsi="宋体" w:eastAsia="宋体" w:cs="宋体"/>
          <w:szCs w:val="21"/>
        </w:rPr>
      </w:pPr>
    </w:p>
    <w:p>
      <w:pPr>
        <w:pStyle w:val="5"/>
        <w:ind w:firstLine="0" w:firstLineChars="0"/>
        <w:rPr>
          <w:rFonts w:hint="eastAsia" w:ascii="宋体" w:hAnsi="宋体" w:eastAsia="宋体" w:cs="宋体"/>
          <w:szCs w:val="21"/>
        </w:rPr>
      </w:pPr>
    </w:p>
    <w:tbl>
      <w:tblPr>
        <w:tblStyle w:val="22"/>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956" w:hRule="atLeast"/>
        </w:trPr>
        <w:tc>
          <w:tcPr>
            <w:tcW w:w="4261" w:type="dxa"/>
          </w:tcPr>
          <w:p>
            <w:pPr>
              <w:spacing w:line="480" w:lineRule="auto"/>
              <w:ind w:left="1470" w:hanging="1680" w:hangingChars="700"/>
              <w:rPr>
                <w:rFonts w:hint="eastAsia" w:ascii="宋体" w:hAnsi="宋体" w:eastAsia="宋体" w:cs="宋体"/>
                <w:sz w:val="24"/>
                <w:szCs w:val="24"/>
              </w:rPr>
            </w:pPr>
            <w:r>
              <w:rPr>
                <w:rFonts w:hint="eastAsia" w:ascii="宋体" w:hAnsi="宋体" w:eastAsia="宋体" w:cs="宋体"/>
                <w:sz w:val="24"/>
                <w:szCs w:val="24"/>
              </w:rPr>
              <w:t xml:space="preserve">甲方（盖章）： </w:t>
            </w:r>
          </w:p>
          <w:p>
            <w:pPr>
              <w:spacing w:line="480" w:lineRule="auto"/>
              <w:ind w:left="1470" w:hanging="1680" w:hangingChars="700"/>
              <w:rPr>
                <w:rFonts w:hint="eastAsia" w:ascii="宋体" w:hAnsi="宋体" w:eastAsia="宋体" w:cs="宋体"/>
                <w:sz w:val="24"/>
                <w:szCs w:val="24"/>
              </w:rPr>
            </w:pPr>
          </w:p>
        </w:tc>
        <w:tc>
          <w:tcPr>
            <w:tcW w:w="4261" w:type="dxa"/>
          </w:tcPr>
          <w:p>
            <w:pPr>
              <w:spacing w:line="480" w:lineRule="auto"/>
              <w:rPr>
                <w:rFonts w:hint="eastAsia" w:ascii="宋体" w:hAnsi="宋体" w:eastAsia="宋体" w:cs="宋体"/>
                <w:sz w:val="24"/>
                <w:szCs w:val="24"/>
              </w:rPr>
            </w:pPr>
            <w:r>
              <w:rPr>
                <w:rFonts w:hint="eastAsia" w:ascii="宋体" w:hAnsi="宋体" w:eastAsia="宋体" w:cs="宋体"/>
                <w:sz w:val="24"/>
                <w:szCs w:val="24"/>
              </w:rPr>
              <w:t xml:space="preserve">乙方（盖章）： </w:t>
            </w:r>
          </w:p>
          <w:p>
            <w:pPr>
              <w:spacing w:line="48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1131" w:hRule="atLeast"/>
        </w:trPr>
        <w:tc>
          <w:tcPr>
            <w:tcW w:w="4261" w:type="dxa"/>
          </w:tcPr>
          <w:p>
            <w:pPr>
              <w:spacing w:line="480" w:lineRule="auto"/>
              <w:rPr>
                <w:rFonts w:hint="eastAsia" w:ascii="宋体" w:hAnsi="宋体" w:eastAsia="宋体" w:cs="宋体"/>
                <w:sz w:val="24"/>
                <w:szCs w:val="24"/>
                <w:lang w:eastAsia="zh-CN"/>
              </w:rPr>
            </w:pPr>
            <w:r>
              <w:rPr>
                <w:rFonts w:hint="eastAsia" w:ascii="宋体" w:hAnsi="宋体" w:eastAsia="宋体" w:cs="宋体"/>
                <w:sz w:val="24"/>
                <w:szCs w:val="24"/>
              </w:rPr>
              <w:t>法定代表人或代理人</w:t>
            </w:r>
            <w:r>
              <w:rPr>
                <w:rFonts w:hint="eastAsia" w:ascii="宋体" w:hAnsi="宋体" w:eastAsia="宋体" w:cs="宋体"/>
                <w:sz w:val="24"/>
                <w:szCs w:val="24"/>
                <w:lang w:eastAsia="zh-CN"/>
              </w:rPr>
              <w:t>：</w:t>
            </w:r>
          </w:p>
          <w:p>
            <w:pPr>
              <w:spacing w:line="480" w:lineRule="auto"/>
              <w:rPr>
                <w:rFonts w:hint="eastAsia" w:ascii="宋体" w:hAnsi="宋体" w:eastAsia="宋体" w:cs="宋体"/>
                <w:sz w:val="24"/>
                <w:szCs w:val="24"/>
              </w:rPr>
            </w:pPr>
            <w:r>
              <w:rPr>
                <w:rFonts w:hint="eastAsia" w:ascii="宋体" w:hAnsi="宋体" w:eastAsia="宋体" w:cs="宋体"/>
                <w:sz w:val="24"/>
                <w:szCs w:val="24"/>
                <w:lang w:eastAsia="zh-CN"/>
              </w:rPr>
              <w:t>（签字或盖章）</w:t>
            </w:r>
          </w:p>
        </w:tc>
        <w:tc>
          <w:tcPr>
            <w:tcW w:w="4261" w:type="dxa"/>
          </w:tcPr>
          <w:p>
            <w:pPr>
              <w:spacing w:line="480" w:lineRule="auto"/>
              <w:rPr>
                <w:rFonts w:hint="eastAsia" w:ascii="宋体" w:hAnsi="宋体" w:eastAsia="宋体" w:cs="宋体"/>
                <w:sz w:val="24"/>
                <w:szCs w:val="24"/>
                <w:lang w:eastAsia="zh-CN"/>
              </w:rPr>
            </w:pPr>
            <w:r>
              <w:rPr>
                <w:rFonts w:hint="eastAsia" w:ascii="宋体" w:hAnsi="宋体" w:eastAsia="宋体" w:cs="宋体"/>
                <w:sz w:val="24"/>
                <w:szCs w:val="24"/>
              </w:rPr>
              <w:t>法定代表人或代理人</w:t>
            </w:r>
            <w:r>
              <w:rPr>
                <w:rFonts w:hint="eastAsia" w:ascii="宋体" w:hAnsi="宋体" w:eastAsia="宋体" w:cs="宋体"/>
                <w:sz w:val="24"/>
                <w:szCs w:val="24"/>
                <w:lang w:eastAsia="zh-CN"/>
              </w:rPr>
              <w:t>：</w:t>
            </w:r>
          </w:p>
          <w:p>
            <w:pPr>
              <w:spacing w:line="480" w:lineRule="auto"/>
              <w:rPr>
                <w:rFonts w:hint="eastAsia" w:ascii="宋体" w:hAnsi="宋体" w:eastAsia="宋体" w:cs="宋体"/>
                <w:sz w:val="24"/>
                <w:szCs w:val="24"/>
              </w:rPr>
            </w:pPr>
            <w:r>
              <w:rPr>
                <w:rFonts w:hint="eastAsia" w:ascii="宋体" w:hAnsi="宋体" w:eastAsia="宋体" w:cs="宋体"/>
                <w:sz w:val="24"/>
                <w:szCs w:val="24"/>
                <w:lang w:eastAsia="zh-CN"/>
              </w:rPr>
              <w:t>（签字或盖章）</w:t>
            </w:r>
          </w:p>
        </w:tc>
      </w:tr>
      <w:tr>
        <w:tblPrEx>
          <w:tblCellMar>
            <w:top w:w="0" w:type="dxa"/>
            <w:left w:w="108" w:type="dxa"/>
            <w:bottom w:w="0" w:type="dxa"/>
            <w:right w:w="108" w:type="dxa"/>
          </w:tblCellMar>
        </w:tblPrEx>
        <w:trPr>
          <w:trHeight w:val="768" w:hRule="atLeast"/>
        </w:trPr>
        <w:tc>
          <w:tcPr>
            <w:tcW w:w="4261" w:type="dxa"/>
          </w:tcPr>
          <w:p>
            <w:pPr>
              <w:spacing w:line="480" w:lineRule="auto"/>
              <w:ind w:left="630" w:hanging="720" w:hangingChars="300"/>
              <w:rPr>
                <w:rFonts w:hint="eastAsia" w:ascii="宋体" w:hAnsi="宋体" w:eastAsia="宋体" w:cs="宋体"/>
                <w:sz w:val="24"/>
                <w:szCs w:val="24"/>
              </w:rPr>
            </w:pPr>
            <w:r>
              <w:rPr>
                <w:rFonts w:hint="eastAsia" w:ascii="宋体" w:hAnsi="宋体" w:eastAsia="宋体" w:cs="宋体"/>
                <w:sz w:val="24"/>
                <w:szCs w:val="24"/>
              </w:rPr>
              <w:t>电话：</w:t>
            </w:r>
          </w:p>
          <w:p>
            <w:pPr>
              <w:spacing w:line="480" w:lineRule="auto"/>
              <w:rPr>
                <w:rFonts w:hint="eastAsia" w:ascii="宋体" w:hAnsi="宋体" w:eastAsia="宋体" w:cs="宋体"/>
                <w:sz w:val="24"/>
                <w:szCs w:val="24"/>
              </w:rPr>
            </w:pPr>
          </w:p>
        </w:tc>
        <w:tc>
          <w:tcPr>
            <w:tcW w:w="4261" w:type="dxa"/>
          </w:tcPr>
          <w:p>
            <w:pPr>
              <w:spacing w:line="480" w:lineRule="auto"/>
              <w:rPr>
                <w:rFonts w:hint="eastAsia" w:ascii="宋体" w:hAnsi="宋体" w:eastAsia="宋体" w:cs="宋体"/>
                <w:sz w:val="24"/>
                <w:szCs w:val="24"/>
              </w:rPr>
            </w:pPr>
            <w:r>
              <w:rPr>
                <w:rFonts w:hint="eastAsia" w:ascii="宋体" w:hAnsi="宋体" w:eastAsia="宋体" w:cs="宋体"/>
                <w:sz w:val="24"/>
                <w:szCs w:val="24"/>
              </w:rPr>
              <w:t>电话：</w:t>
            </w:r>
          </w:p>
        </w:tc>
      </w:tr>
      <w:tr>
        <w:tblPrEx>
          <w:tblCellMar>
            <w:top w:w="0" w:type="dxa"/>
            <w:left w:w="108" w:type="dxa"/>
            <w:bottom w:w="0" w:type="dxa"/>
            <w:right w:w="108" w:type="dxa"/>
          </w:tblCellMar>
        </w:tblPrEx>
        <w:trPr>
          <w:trHeight w:val="836" w:hRule="atLeast"/>
        </w:trPr>
        <w:tc>
          <w:tcPr>
            <w:tcW w:w="4261" w:type="dxa"/>
          </w:tcPr>
          <w:p>
            <w:pPr>
              <w:spacing w:line="480" w:lineRule="auto"/>
              <w:rPr>
                <w:rFonts w:hint="eastAsia" w:ascii="宋体" w:hAnsi="宋体" w:eastAsia="宋体" w:cs="宋体"/>
                <w:sz w:val="24"/>
                <w:szCs w:val="24"/>
              </w:rPr>
            </w:pPr>
            <w:r>
              <w:rPr>
                <w:rFonts w:hint="eastAsia" w:ascii="宋体" w:hAnsi="宋体" w:eastAsia="宋体" w:cs="宋体"/>
                <w:sz w:val="24"/>
                <w:szCs w:val="24"/>
                <w:lang w:eastAsia="zh-CN"/>
              </w:rPr>
              <w:t>地址</w:t>
            </w:r>
            <w:r>
              <w:rPr>
                <w:rFonts w:hint="eastAsia" w:ascii="宋体" w:hAnsi="宋体" w:eastAsia="宋体" w:cs="宋体"/>
                <w:sz w:val="24"/>
                <w:szCs w:val="24"/>
              </w:rPr>
              <w:t>：</w:t>
            </w:r>
          </w:p>
          <w:p>
            <w:pPr>
              <w:spacing w:line="480" w:lineRule="auto"/>
              <w:rPr>
                <w:rFonts w:hint="eastAsia" w:ascii="宋体" w:hAnsi="宋体" w:eastAsia="宋体" w:cs="宋体"/>
                <w:sz w:val="24"/>
                <w:szCs w:val="24"/>
              </w:rPr>
            </w:pPr>
          </w:p>
        </w:tc>
        <w:tc>
          <w:tcPr>
            <w:tcW w:w="4261" w:type="dxa"/>
          </w:tcPr>
          <w:p>
            <w:pPr>
              <w:spacing w:line="480" w:lineRule="auto"/>
              <w:rPr>
                <w:rFonts w:hint="eastAsia" w:ascii="宋体" w:hAnsi="宋体" w:eastAsia="宋体" w:cs="宋体"/>
                <w:sz w:val="24"/>
                <w:szCs w:val="24"/>
              </w:rPr>
            </w:pPr>
            <w:r>
              <w:rPr>
                <w:rFonts w:hint="eastAsia" w:ascii="宋体" w:hAnsi="宋体" w:eastAsia="宋体" w:cs="宋体"/>
                <w:sz w:val="24"/>
                <w:szCs w:val="24"/>
                <w:lang w:eastAsia="zh-CN"/>
              </w:rPr>
              <w:t>地址</w:t>
            </w:r>
            <w:r>
              <w:rPr>
                <w:rFonts w:hint="eastAsia" w:ascii="宋体" w:hAnsi="宋体" w:eastAsia="宋体" w:cs="宋体"/>
                <w:sz w:val="24"/>
                <w:szCs w:val="24"/>
              </w:rPr>
              <w:t>：</w:t>
            </w:r>
          </w:p>
          <w:p>
            <w:pPr>
              <w:spacing w:line="480" w:lineRule="auto"/>
              <w:rPr>
                <w:rFonts w:hint="eastAsia" w:ascii="宋体" w:hAnsi="宋体" w:eastAsia="宋体" w:cs="宋体"/>
                <w:sz w:val="24"/>
                <w:szCs w:val="24"/>
              </w:rPr>
            </w:pPr>
          </w:p>
        </w:tc>
      </w:tr>
    </w:tbl>
    <w:p>
      <w:pPr>
        <w:pStyle w:val="5"/>
        <w:spacing w:line="360" w:lineRule="auto"/>
        <w:ind w:firstLine="0" w:firstLineChars="0"/>
        <w:rPr>
          <w:rFonts w:hint="eastAsia" w:ascii="宋体" w:hAnsi="宋体" w:eastAsia="宋体" w:cs="宋体"/>
          <w:szCs w:val="21"/>
        </w:rPr>
      </w:pPr>
    </w:p>
    <w:p>
      <w:pPr>
        <w:pStyle w:val="5"/>
        <w:spacing w:line="360" w:lineRule="auto"/>
        <w:ind w:firstLine="0" w:firstLineChars="0"/>
        <w:rPr>
          <w:rFonts w:hint="eastAsia" w:ascii="宋体" w:hAnsi="宋体" w:eastAsia="宋体" w:cs="宋体"/>
          <w:szCs w:val="21"/>
        </w:rPr>
      </w:pPr>
    </w:p>
    <w:p>
      <w:pPr>
        <w:pStyle w:val="3"/>
        <w:adjustRightInd w:val="0"/>
        <w:snapToGrid w:val="0"/>
        <w:spacing w:line="360" w:lineRule="auto"/>
        <w:jc w:val="center"/>
        <w:rPr>
          <w:rFonts w:hint="eastAsia" w:ascii="宋体" w:hAnsi="宋体" w:eastAsia="宋体" w:cs="宋体"/>
          <w:sz w:val="32"/>
          <w:szCs w:val="32"/>
        </w:rPr>
      </w:pPr>
      <w:r>
        <w:rPr>
          <w:rFonts w:hint="eastAsia" w:ascii="宋体" w:hAnsi="宋体" w:eastAsia="宋体" w:cs="宋体"/>
          <w:sz w:val="24"/>
          <w:szCs w:val="24"/>
        </w:rPr>
        <w:br w:type="page"/>
      </w:r>
      <w:bookmarkStart w:id="60" w:name="_Toc28326"/>
      <w:bookmarkStart w:id="61" w:name="_Toc1295"/>
      <w:bookmarkStart w:id="62" w:name="_Toc17700"/>
      <w:bookmarkStart w:id="63" w:name="_Toc54688992"/>
      <w:r>
        <w:rPr>
          <w:rFonts w:hint="eastAsia" w:ascii="宋体" w:hAnsi="宋体" w:eastAsia="宋体" w:cs="宋体"/>
          <w:sz w:val="32"/>
          <w:szCs w:val="32"/>
        </w:rPr>
        <w:t>第六章  投标文件格式</w:t>
      </w:r>
      <w:bookmarkEnd w:id="43"/>
      <w:bookmarkEnd w:id="60"/>
      <w:bookmarkEnd w:id="61"/>
      <w:bookmarkEnd w:id="62"/>
      <w:bookmarkEnd w:id="63"/>
    </w:p>
    <w:p>
      <w:pPr>
        <w:spacing w:line="700" w:lineRule="exact"/>
        <w:ind w:left="7068" w:hanging="7068" w:hangingChars="2200"/>
        <w:jc w:val="left"/>
        <w:rPr>
          <w:rFonts w:hint="eastAsia" w:ascii="宋体" w:hAnsi="宋体" w:eastAsia="宋体" w:cs="宋体"/>
          <w:b/>
          <w:sz w:val="32"/>
        </w:rPr>
      </w:pPr>
      <w:r>
        <w:rPr>
          <w:rFonts w:hint="eastAsia" w:ascii="宋体" w:hAnsi="宋体" w:eastAsia="宋体" w:cs="宋体"/>
          <w:b/>
          <w:sz w:val="32"/>
        </w:rPr>
        <w:t>项目编号:</w:t>
      </w:r>
      <w:r>
        <w:rPr>
          <w:rFonts w:hint="eastAsia" w:ascii="宋体" w:hAnsi="宋体" w:cs="宋体"/>
          <w:b/>
          <w:sz w:val="32"/>
          <w:lang w:eastAsia="zh-CN"/>
        </w:rPr>
        <w:t>SXJTZB-ZC-GK20220524</w:t>
      </w:r>
      <w:r>
        <w:rPr>
          <w:rFonts w:hint="eastAsia" w:ascii="宋体" w:hAnsi="宋体" w:eastAsia="宋体" w:cs="宋体"/>
          <w:b/>
          <w:sz w:val="32"/>
        </w:rPr>
        <w:t xml:space="preserve">              </w:t>
      </w:r>
    </w:p>
    <w:p>
      <w:pPr>
        <w:spacing w:line="700" w:lineRule="exact"/>
        <w:ind w:left="7046" w:leftChars="3049" w:hanging="643" w:hangingChars="200"/>
        <w:jc w:val="left"/>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30"/>
          <w:szCs w:val="30"/>
        </w:rPr>
        <w:t>正本/副本</w:t>
      </w:r>
      <w:r>
        <w:rPr>
          <w:rFonts w:hint="eastAsia" w:ascii="宋体" w:hAnsi="宋体" w:eastAsia="宋体" w:cs="宋体"/>
          <w:b/>
          <w:bCs/>
          <w:sz w:val="32"/>
          <w:szCs w:val="32"/>
        </w:rPr>
        <w:t>）</w:t>
      </w:r>
    </w:p>
    <w:p>
      <w:pPr>
        <w:spacing w:line="360" w:lineRule="auto"/>
        <w:rPr>
          <w:rFonts w:hint="eastAsia" w:ascii="宋体" w:hAnsi="宋体" w:eastAsia="宋体" w:cs="宋体"/>
          <w:b/>
          <w:sz w:val="32"/>
          <w:highlight w:val="green"/>
        </w:rPr>
      </w:pPr>
    </w:p>
    <w:p>
      <w:pPr>
        <w:spacing w:line="360" w:lineRule="auto"/>
        <w:rPr>
          <w:rFonts w:hint="eastAsia" w:ascii="宋体" w:hAnsi="宋体" w:eastAsia="宋体" w:cs="宋体"/>
          <w:b/>
          <w:sz w:val="32"/>
          <w:highlight w:val="green"/>
        </w:rPr>
      </w:pPr>
    </w:p>
    <w:p>
      <w:pPr>
        <w:spacing w:line="700" w:lineRule="exact"/>
        <w:rPr>
          <w:rFonts w:hint="eastAsia" w:ascii="宋体" w:hAnsi="宋体" w:eastAsia="宋体" w:cs="宋体"/>
          <w:b/>
          <w:bCs/>
          <w:sz w:val="32"/>
          <w:szCs w:val="32"/>
        </w:rPr>
      </w:pPr>
    </w:p>
    <w:p>
      <w:pPr>
        <w:ind w:left="-619" w:leftChars="-295" w:right="-533" w:rightChars="-254" w:firstLine="0" w:firstLineChars="0"/>
        <w:jc w:val="center"/>
        <w:rPr>
          <w:rFonts w:hint="eastAsia" w:ascii="宋体" w:hAnsi="宋体" w:cs="宋体"/>
          <w:b/>
          <w:bCs/>
          <w:kern w:val="2"/>
          <w:sz w:val="44"/>
          <w:szCs w:val="44"/>
          <w:lang w:val="en-US" w:eastAsia="zh-CN" w:bidi="ar-SA"/>
        </w:rPr>
      </w:pPr>
      <w:r>
        <w:rPr>
          <w:rFonts w:hint="eastAsia" w:ascii="宋体" w:hAnsi="宋体" w:cs="宋体"/>
          <w:b/>
          <w:bCs/>
          <w:kern w:val="2"/>
          <w:sz w:val="44"/>
          <w:szCs w:val="44"/>
          <w:lang w:val="en-US" w:eastAsia="zh-CN" w:bidi="ar-SA"/>
        </w:rPr>
        <w:t>未央区教育局下属四所学校教学办公设备</w:t>
      </w:r>
    </w:p>
    <w:p>
      <w:pPr>
        <w:ind w:left="-619" w:leftChars="-295" w:right="-533" w:rightChars="-254" w:firstLine="0" w:firstLineChars="0"/>
        <w:jc w:val="center"/>
        <w:rPr>
          <w:rFonts w:hint="eastAsia" w:ascii="宋体" w:hAnsi="宋体" w:eastAsia="宋体" w:cs="宋体"/>
          <w:b/>
          <w:bCs/>
          <w:kern w:val="2"/>
          <w:sz w:val="44"/>
          <w:szCs w:val="44"/>
          <w:lang w:val="en-US" w:eastAsia="zh-CN" w:bidi="ar-SA"/>
        </w:rPr>
      </w:pPr>
      <w:r>
        <w:rPr>
          <w:rFonts w:hint="eastAsia" w:ascii="宋体" w:hAnsi="宋体" w:cs="宋体"/>
          <w:b/>
          <w:bCs/>
          <w:kern w:val="2"/>
          <w:sz w:val="44"/>
          <w:szCs w:val="44"/>
          <w:lang w:val="en-US" w:eastAsia="zh-CN" w:bidi="ar-SA"/>
        </w:rPr>
        <w:t>及设施采购项目</w:t>
      </w:r>
    </w:p>
    <w:p>
      <w:pPr>
        <w:pStyle w:val="2"/>
        <w:jc w:val="center"/>
        <w:rPr>
          <w:rFonts w:hint="eastAsia" w:ascii="宋体" w:hAnsi="宋体" w:eastAsia="宋体" w:cs="宋体"/>
          <w:sz w:val="44"/>
          <w:szCs w:val="44"/>
        </w:rPr>
      </w:pPr>
      <w:r>
        <w:rPr>
          <w:rFonts w:hint="eastAsia" w:ascii="宋体" w:hAnsi="宋体" w:eastAsia="宋体" w:cs="宋体"/>
          <w:sz w:val="44"/>
          <w:szCs w:val="44"/>
        </w:rPr>
        <w:t>（包号）</w:t>
      </w:r>
    </w:p>
    <w:p>
      <w:pPr>
        <w:jc w:val="center"/>
        <w:rPr>
          <w:rFonts w:hint="eastAsia" w:ascii="宋体" w:hAnsi="宋体" w:eastAsia="宋体" w:cs="宋体"/>
          <w:b/>
          <w:sz w:val="84"/>
          <w:szCs w:val="52"/>
        </w:rPr>
      </w:pPr>
      <w:r>
        <w:rPr>
          <w:rFonts w:hint="eastAsia" w:ascii="宋体" w:hAnsi="宋体" w:eastAsia="宋体" w:cs="宋体"/>
          <w:b/>
          <w:sz w:val="84"/>
          <w:szCs w:val="52"/>
        </w:rPr>
        <w:t>投标文件</w:t>
      </w:r>
    </w:p>
    <w:p>
      <w:pPr>
        <w:rPr>
          <w:rFonts w:hint="eastAsia" w:ascii="宋体" w:hAnsi="宋体" w:eastAsia="宋体" w:cs="宋体"/>
          <w:b/>
          <w:sz w:val="32"/>
        </w:rPr>
      </w:pPr>
    </w:p>
    <w:p>
      <w:pPr>
        <w:jc w:val="cente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rPr>
          <w:rFonts w:hint="eastAsia" w:ascii="宋体" w:hAnsi="宋体" w:eastAsia="宋体" w:cs="宋体"/>
          <w:b/>
          <w:sz w:val="32"/>
        </w:rPr>
      </w:pPr>
    </w:p>
    <w:p>
      <w:pPr>
        <w:spacing w:line="360" w:lineRule="auto"/>
        <w:ind w:firstLine="1265" w:firstLineChars="450"/>
        <w:rPr>
          <w:rFonts w:hint="eastAsia" w:ascii="宋体" w:hAnsi="宋体" w:eastAsia="宋体" w:cs="宋体"/>
          <w:b/>
          <w:sz w:val="28"/>
        </w:rPr>
      </w:pPr>
      <w:r>
        <w:rPr>
          <w:rFonts w:hint="eastAsia" w:ascii="宋体" w:hAnsi="宋体" w:eastAsia="宋体" w:cs="宋体"/>
          <w:b/>
          <w:sz w:val="28"/>
        </w:rPr>
        <w:t>投标人（盖章）：</w:t>
      </w:r>
      <w:r>
        <w:rPr>
          <w:rFonts w:hint="eastAsia" w:ascii="宋体" w:hAnsi="宋体" w:eastAsia="宋体" w:cs="宋体"/>
          <w:b/>
          <w:sz w:val="28"/>
          <w:u w:val="single"/>
        </w:rPr>
        <w:t xml:space="preserve">                     </w:t>
      </w:r>
      <w:r>
        <w:rPr>
          <w:rFonts w:hint="eastAsia" w:ascii="宋体" w:hAnsi="宋体" w:eastAsia="宋体" w:cs="宋体"/>
          <w:b/>
          <w:sz w:val="28"/>
        </w:rPr>
        <w:t xml:space="preserve">             </w:t>
      </w:r>
    </w:p>
    <w:p>
      <w:pPr>
        <w:spacing w:line="360" w:lineRule="auto"/>
        <w:jc w:val="center"/>
        <w:rPr>
          <w:rFonts w:hint="eastAsia" w:ascii="宋体" w:hAnsi="宋体" w:eastAsia="宋体" w:cs="宋体"/>
          <w:b/>
          <w:sz w:val="28"/>
        </w:rPr>
      </w:pPr>
    </w:p>
    <w:p>
      <w:pPr>
        <w:jc w:val="center"/>
        <w:rPr>
          <w:rFonts w:hint="eastAsia" w:ascii="宋体" w:hAnsi="宋体" w:eastAsia="宋体" w:cs="宋体"/>
          <w:b/>
          <w:sz w:val="28"/>
        </w:rPr>
      </w:pPr>
    </w:p>
    <w:p>
      <w:pPr>
        <w:jc w:val="center"/>
        <w:rPr>
          <w:rFonts w:hint="eastAsia" w:ascii="宋体" w:hAnsi="宋体" w:eastAsia="宋体" w:cs="宋体"/>
          <w:b/>
          <w:sz w:val="28"/>
        </w:rPr>
      </w:pPr>
      <w:r>
        <w:rPr>
          <w:rFonts w:hint="eastAsia" w:ascii="宋体" w:hAnsi="宋体" w:eastAsia="宋体" w:cs="宋体"/>
          <w:b/>
          <w:sz w:val="28"/>
          <w:u w:val="single"/>
        </w:rPr>
        <w:t xml:space="preserve">     </w:t>
      </w:r>
      <w:r>
        <w:rPr>
          <w:rFonts w:hint="eastAsia" w:ascii="宋体" w:hAnsi="宋体" w:eastAsia="宋体" w:cs="宋体"/>
          <w:b/>
          <w:sz w:val="28"/>
        </w:rPr>
        <w:t>年</w:t>
      </w:r>
      <w:r>
        <w:rPr>
          <w:rFonts w:hint="eastAsia" w:ascii="宋体" w:hAnsi="宋体" w:eastAsia="宋体" w:cs="宋体"/>
          <w:b/>
          <w:sz w:val="28"/>
          <w:u w:val="single"/>
        </w:rPr>
        <w:t xml:space="preserve">    </w:t>
      </w:r>
      <w:r>
        <w:rPr>
          <w:rFonts w:hint="eastAsia" w:ascii="宋体" w:hAnsi="宋体" w:eastAsia="宋体" w:cs="宋体"/>
          <w:b/>
          <w:sz w:val="28"/>
        </w:rPr>
        <w:t>月</w:t>
      </w:r>
      <w:r>
        <w:rPr>
          <w:rFonts w:hint="eastAsia" w:ascii="宋体" w:hAnsi="宋体" w:eastAsia="宋体" w:cs="宋体"/>
          <w:b/>
          <w:sz w:val="28"/>
          <w:u w:val="single"/>
        </w:rPr>
        <w:t xml:space="preserve">     </w:t>
      </w:r>
      <w:r>
        <w:rPr>
          <w:rFonts w:hint="eastAsia" w:ascii="宋体" w:hAnsi="宋体" w:eastAsia="宋体" w:cs="宋体"/>
          <w:b/>
          <w:sz w:val="28"/>
        </w:rPr>
        <w:t>日</w:t>
      </w:r>
    </w:p>
    <w:p>
      <w:pPr>
        <w:rPr>
          <w:rFonts w:hint="eastAsia" w:ascii="宋体" w:hAnsi="宋体" w:eastAsia="宋体" w:cs="宋体"/>
        </w:rPr>
      </w:pPr>
    </w:p>
    <w:p>
      <w:pPr>
        <w:rPr>
          <w:rFonts w:hint="eastAsia" w:ascii="宋体" w:hAnsi="宋体" w:eastAsia="宋体" w:cs="宋体"/>
        </w:rPr>
      </w:pPr>
    </w:p>
    <w:p>
      <w:pPr>
        <w:pStyle w:val="4"/>
        <w:adjustRightInd w:val="0"/>
        <w:snapToGrid w:val="0"/>
        <w:spacing w:line="360" w:lineRule="auto"/>
        <w:jc w:val="center"/>
        <w:rPr>
          <w:rFonts w:hint="eastAsia" w:ascii="宋体" w:hAnsi="宋体" w:eastAsia="宋体" w:cs="宋体"/>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bookmarkStart w:id="64" w:name="_Toc332874427"/>
      <w:bookmarkStart w:id="65" w:name="_Toc283240495"/>
      <w:bookmarkStart w:id="66" w:name="_Toc283626510"/>
      <w:bookmarkStart w:id="67" w:name="_Toc311415656"/>
    </w:p>
    <w:p>
      <w:pPr>
        <w:pStyle w:val="4"/>
        <w:adjustRightInd w:val="0"/>
        <w:snapToGrid w:val="0"/>
        <w:spacing w:line="360" w:lineRule="auto"/>
        <w:jc w:val="center"/>
        <w:rPr>
          <w:rFonts w:hint="eastAsia" w:ascii="宋体" w:hAnsi="宋体" w:eastAsia="宋体" w:cs="宋体"/>
        </w:rPr>
      </w:pPr>
      <w:bookmarkStart w:id="68" w:name="_Toc54688993"/>
      <w:bookmarkStart w:id="69" w:name="_Toc11774"/>
      <w:bookmarkStart w:id="70" w:name="_Toc27835"/>
      <w:r>
        <w:rPr>
          <w:rFonts w:hint="eastAsia" w:ascii="宋体" w:hAnsi="宋体" w:eastAsia="宋体" w:cs="宋体"/>
        </w:rPr>
        <w:t>目录</w:t>
      </w:r>
      <w:bookmarkEnd w:id="68"/>
      <w:bookmarkEnd w:id="69"/>
      <w:bookmarkEnd w:id="70"/>
    </w:p>
    <w:p>
      <w:pPr>
        <w:rPr>
          <w:rFonts w:hint="eastAsia" w:ascii="宋体" w:hAnsi="宋体" w:eastAsia="宋体" w:cs="宋体"/>
          <w:sz w:val="22"/>
          <w:szCs w:val="28"/>
        </w:rPr>
      </w:pPr>
    </w:p>
    <w:bookmarkEnd w:id="64"/>
    <w:bookmarkEnd w:id="65"/>
    <w:bookmarkEnd w:id="66"/>
    <w:bookmarkEnd w:id="67"/>
    <w:p>
      <w:pPr>
        <w:autoSpaceDE w:val="0"/>
        <w:autoSpaceDN w:val="0"/>
        <w:adjustRightInd w:val="0"/>
        <w:spacing w:line="600" w:lineRule="auto"/>
        <w:ind w:firstLine="440" w:firstLineChars="200"/>
        <w:rPr>
          <w:rFonts w:hint="eastAsia" w:ascii="宋体" w:hAnsi="宋体" w:eastAsia="宋体" w:cs="宋体"/>
          <w:sz w:val="22"/>
          <w:szCs w:val="22"/>
        </w:rPr>
      </w:pPr>
      <w:bookmarkStart w:id="71" w:name="_Hlt520355938"/>
      <w:bookmarkEnd w:id="71"/>
      <w:bookmarkStart w:id="72" w:name="_Hlt520356243"/>
      <w:bookmarkEnd w:id="72"/>
      <w:bookmarkStart w:id="73" w:name="_Toc54688995"/>
      <w:bookmarkStart w:id="74" w:name="_Toc109543220"/>
      <w:bookmarkStart w:id="75" w:name="_Toc31390"/>
      <w:bookmarkStart w:id="76" w:name="_Toc283240508"/>
      <w:bookmarkStart w:id="77" w:name="_Toc311415669"/>
      <w:bookmarkStart w:id="78" w:name="_Toc109542400"/>
      <w:bookmarkStart w:id="79" w:name="_Toc332874440"/>
      <w:bookmarkStart w:id="80" w:name="_Toc30920"/>
      <w:r>
        <w:rPr>
          <w:rFonts w:hint="eastAsia" w:ascii="宋体" w:hAnsi="宋体" w:eastAsia="宋体" w:cs="宋体"/>
          <w:sz w:val="22"/>
          <w:szCs w:val="22"/>
          <w:lang w:val="zh-CN"/>
        </w:rPr>
        <w:t>一、投标函</w:t>
      </w:r>
      <w:r>
        <w:rPr>
          <w:rFonts w:hint="eastAsia" w:ascii="宋体" w:hAnsi="宋体" w:eastAsia="宋体" w:cs="宋体"/>
          <w:sz w:val="22"/>
          <w:szCs w:val="22"/>
        </w:rPr>
        <w:t>............................................................页码</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二、</w:t>
      </w:r>
      <w:r>
        <w:rPr>
          <w:rFonts w:hint="eastAsia" w:ascii="宋体" w:hAnsi="宋体" w:cs="宋体"/>
          <w:sz w:val="22"/>
          <w:szCs w:val="22"/>
          <w:lang w:val="zh-CN"/>
        </w:rPr>
        <w:t>报价</w:t>
      </w:r>
      <w:r>
        <w:rPr>
          <w:rFonts w:hint="eastAsia" w:ascii="宋体" w:hAnsi="宋体" w:eastAsia="宋体" w:cs="宋体"/>
          <w:sz w:val="22"/>
          <w:szCs w:val="22"/>
          <w:lang w:val="zh-CN"/>
        </w:rPr>
        <w:t>一览表............................................................</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三、法定代表人（单位负责人/自然人）身份证明...............................</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四、授权委托书............................................................</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五、资格审查资料..........................................................</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六、商务响应表........................................... ... .............</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七、商务和技术响应........................................................</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八、承诺书................................................................</w:t>
      </w:r>
    </w:p>
    <w:p>
      <w:pPr>
        <w:autoSpaceDE w:val="0"/>
        <w:autoSpaceDN w:val="0"/>
        <w:adjustRightInd w:val="0"/>
        <w:spacing w:line="600" w:lineRule="auto"/>
        <w:ind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九、其他资料..............................................................</w:t>
      </w: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bookmarkEnd w:id="73"/>
    <w:bookmarkEnd w:id="74"/>
    <w:bookmarkEnd w:id="75"/>
    <w:bookmarkEnd w:id="76"/>
    <w:bookmarkEnd w:id="77"/>
    <w:bookmarkEnd w:id="78"/>
    <w:bookmarkEnd w:id="79"/>
    <w:bookmarkEnd w:id="80"/>
    <w:p>
      <w:pPr>
        <w:spacing w:line="360" w:lineRule="auto"/>
        <w:ind w:firstLine="420" w:firstLineChars="200"/>
        <w:jc w:val="center"/>
        <w:outlineLvl w:val="1"/>
        <w:rPr>
          <w:rFonts w:hint="eastAsia" w:ascii="宋体" w:hAnsi="宋体" w:eastAsia="宋体" w:cs="宋体"/>
          <w:szCs w:val="21"/>
          <w:u w:val="single"/>
          <w:lang w:val="zh-CN"/>
        </w:rPr>
      </w:pPr>
      <w:bookmarkStart w:id="81" w:name="_Toc3145"/>
      <w:bookmarkStart w:id="82" w:name="_Toc16889"/>
      <w:bookmarkStart w:id="83" w:name="_Toc3616"/>
      <w:bookmarkStart w:id="84" w:name="_Toc54689003"/>
      <w:r>
        <w:rPr>
          <w:rFonts w:hint="eastAsia" w:ascii="宋体" w:hAnsi="宋体" w:eastAsia="宋体" w:cs="宋体"/>
          <w:szCs w:val="21"/>
          <w:lang w:val="zh-CN"/>
        </w:rPr>
        <w:t>一、</w:t>
      </w:r>
      <w:r>
        <w:rPr>
          <w:rFonts w:hint="eastAsia" w:ascii="宋体" w:hAnsi="宋体" w:eastAsia="宋体" w:cs="宋体"/>
          <w:b/>
          <w:color w:val="000000"/>
          <w:sz w:val="28"/>
          <w:szCs w:val="28"/>
        </w:rPr>
        <w:t>投标函</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u w:val="single"/>
        </w:rPr>
        <w:t>采购人/</w:t>
      </w:r>
      <w:r>
        <w:rPr>
          <w:rFonts w:hint="eastAsia" w:ascii="宋体" w:hAnsi="宋体" w:eastAsia="宋体" w:cs="宋体"/>
          <w:b/>
          <w:color w:val="000000"/>
          <w:sz w:val="24"/>
          <w:u w:val="single"/>
          <w:lang w:eastAsia="zh-CN"/>
        </w:rPr>
        <w:t>陕西嘉唐建设项目管理有限公司</w:t>
      </w:r>
      <w:r>
        <w:rPr>
          <w:rFonts w:hint="eastAsia" w:ascii="宋体" w:hAnsi="宋体" w:eastAsia="宋体" w:cs="宋体"/>
          <w:b/>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我单位收到贵单位项目</w:t>
      </w:r>
      <w:r>
        <w:rPr>
          <w:rFonts w:hint="eastAsia" w:ascii="宋体" w:hAnsi="宋体" w:eastAsia="宋体" w:cs="宋体"/>
          <w:color w:val="000000"/>
          <w:sz w:val="24"/>
          <w:u w:val="single"/>
        </w:rPr>
        <w:t>（项目名称）（</w:t>
      </w:r>
      <w:r>
        <w:rPr>
          <w:rFonts w:hint="eastAsia" w:ascii="宋体" w:hAnsi="宋体" w:eastAsia="宋体" w:cs="宋体"/>
          <w:sz w:val="22"/>
          <w:szCs w:val="22"/>
          <w:u w:val="single"/>
        </w:rPr>
        <w:t>项目编号</w:t>
      </w:r>
      <w:r>
        <w:rPr>
          <w:rFonts w:hint="eastAsia" w:ascii="宋体" w:hAnsi="宋体" w:eastAsia="宋体" w:cs="宋体"/>
          <w:color w:val="000000"/>
          <w:sz w:val="24"/>
          <w:u w:val="single"/>
        </w:rPr>
        <w:t>）</w:t>
      </w:r>
      <w:r>
        <w:rPr>
          <w:rFonts w:hint="eastAsia" w:ascii="宋体" w:hAnsi="宋体" w:eastAsia="宋体" w:cs="宋体"/>
          <w:color w:val="000000"/>
          <w:sz w:val="24"/>
          <w:u w:val="single"/>
          <w:lang w:eastAsia="zh-CN"/>
        </w:rPr>
        <w:t>（</w:t>
      </w:r>
      <w:r>
        <w:rPr>
          <w:rFonts w:hint="eastAsia" w:ascii="宋体" w:hAnsi="宋体" w:eastAsia="宋体" w:cs="宋体"/>
          <w:color w:val="000000"/>
          <w:sz w:val="24"/>
          <w:u w:val="single"/>
          <w:lang w:val="en-US" w:eastAsia="zh-CN"/>
        </w:rPr>
        <w:t>包号</w:t>
      </w:r>
      <w:r>
        <w:rPr>
          <w:rFonts w:hint="eastAsia" w:ascii="宋体" w:hAnsi="宋体" w:eastAsia="宋体" w:cs="宋体"/>
          <w:color w:val="000000"/>
          <w:sz w:val="24"/>
          <w:u w:val="single"/>
          <w:lang w:eastAsia="zh-CN"/>
        </w:rPr>
        <w:t>）</w:t>
      </w:r>
      <w:r>
        <w:rPr>
          <w:rFonts w:hint="eastAsia" w:ascii="宋体" w:hAnsi="宋体" w:eastAsia="宋体" w:cs="宋体"/>
          <w:color w:val="000000"/>
          <w:sz w:val="24"/>
        </w:rPr>
        <w:t>招标文件，我们决定参加该项目招标活动，并参与招标会议。为此，我方郑重声明以下诸点，并负法律责任。</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1.愿意按照文件中的一切要求，总报价为：</w:t>
      </w:r>
    </w:p>
    <w:p>
      <w:pPr>
        <w:spacing w:line="360" w:lineRule="auto"/>
        <w:ind w:firstLine="720" w:firstLineChars="300"/>
        <w:rPr>
          <w:rFonts w:hint="eastAsia" w:ascii="宋体" w:hAnsi="宋体" w:eastAsia="宋体" w:cs="宋体"/>
          <w:color w:val="000000"/>
          <w:sz w:val="24"/>
        </w:rPr>
      </w:pPr>
      <w:r>
        <w:rPr>
          <w:rFonts w:hint="eastAsia" w:ascii="宋体" w:hAnsi="宋体" w:eastAsia="宋体" w:cs="宋体"/>
          <w:color w:val="000000"/>
          <w:sz w:val="24"/>
        </w:rPr>
        <w:t>人民币（大写）：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元。         </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2.我方提交的投标文件，正本</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份，副本</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份，开标一览表</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份，电子版文件</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份。</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3.如果我们投标文件被接受，我们将履行招标文件中规定的每一项要求，按期、按质、按量完成任务。</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4.我们理解，最低报价不是成交的唯一条件，你们有选择投标供应商的权力。</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5.我们愿按《中华人民共和国民法典》履行自己的全部责任。</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6.我们同意按招标文件规定，遵守贵公司有关规定和收费标准。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7.我方的投标文件有效期为投标文件递交截止之日起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日历日。</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8.所有关于本投标文件的函电，请按下列地址联系。</w:t>
      </w:r>
    </w:p>
    <w:p>
      <w:pPr>
        <w:spacing w:line="360" w:lineRule="auto"/>
        <w:ind w:firstLine="211"/>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ind w:firstLine="840"/>
        <w:rPr>
          <w:rFonts w:hint="eastAsia" w:ascii="宋体" w:hAnsi="宋体" w:eastAsia="宋体" w:cs="宋体"/>
          <w:color w:val="000000"/>
          <w:sz w:val="24"/>
          <w:u w:val="single"/>
        </w:rPr>
      </w:pPr>
      <w:r>
        <w:rPr>
          <w:rFonts w:hint="eastAsia" w:ascii="宋体" w:hAnsi="宋体" w:eastAsia="宋体" w:cs="宋体"/>
          <w:color w:val="000000"/>
          <w:sz w:val="24"/>
        </w:rPr>
        <w:t>单位全称（盖章）：</w:t>
      </w:r>
      <w:r>
        <w:rPr>
          <w:rFonts w:hint="eastAsia" w:ascii="宋体" w:hAnsi="宋体" w:eastAsia="宋体" w:cs="宋体"/>
          <w:color w:val="000000"/>
          <w:sz w:val="24"/>
          <w:u w:val="single"/>
        </w:rPr>
        <w:t xml:space="preserve">                            </w:t>
      </w:r>
    </w:p>
    <w:p>
      <w:pPr>
        <w:spacing w:line="360" w:lineRule="auto"/>
        <w:ind w:firstLine="840"/>
        <w:rPr>
          <w:rFonts w:hint="eastAsia" w:ascii="宋体" w:hAnsi="宋体" w:eastAsia="宋体" w:cs="宋体"/>
          <w:color w:val="000000"/>
          <w:sz w:val="24"/>
          <w:u w:val="single"/>
        </w:rPr>
      </w:pPr>
      <w:r>
        <w:rPr>
          <w:rFonts w:hint="eastAsia" w:ascii="宋体" w:hAnsi="宋体" w:eastAsia="宋体" w:cs="宋体"/>
          <w:color w:val="000000"/>
          <w:sz w:val="24"/>
        </w:rPr>
        <w:t>地    址：</w:t>
      </w:r>
      <w:r>
        <w:rPr>
          <w:rFonts w:hint="eastAsia" w:ascii="宋体" w:hAnsi="宋体" w:eastAsia="宋体" w:cs="宋体"/>
          <w:color w:val="000000"/>
          <w:sz w:val="24"/>
          <w:u w:val="single"/>
        </w:rPr>
        <w:t xml:space="preserve">                                     </w:t>
      </w:r>
    </w:p>
    <w:p>
      <w:pPr>
        <w:spacing w:line="360" w:lineRule="auto"/>
        <w:ind w:firstLine="840"/>
        <w:rPr>
          <w:rFonts w:hint="eastAsia" w:ascii="宋体" w:hAnsi="宋体" w:eastAsia="宋体" w:cs="宋体"/>
          <w:color w:val="000000"/>
          <w:sz w:val="24"/>
          <w:u w:val="single"/>
        </w:rPr>
      </w:pPr>
      <w:r>
        <w:rPr>
          <w:rFonts w:hint="eastAsia" w:ascii="宋体" w:hAnsi="宋体" w:eastAsia="宋体" w:cs="宋体"/>
          <w:color w:val="000000"/>
          <w:sz w:val="24"/>
        </w:rPr>
        <w:t>开 户 行：</w:t>
      </w:r>
      <w:r>
        <w:rPr>
          <w:rFonts w:hint="eastAsia" w:ascii="宋体" w:hAnsi="宋体" w:eastAsia="宋体" w:cs="宋体"/>
          <w:color w:val="000000"/>
          <w:sz w:val="24"/>
          <w:u w:val="single"/>
        </w:rPr>
        <w:t xml:space="preserve">                                     </w:t>
      </w:r>
    </w:p>
    <w:p>
      <w:pPr>
        <w:spacing w:line="360" w:lineRule="auto"/>
        <w:ind w:firstLine="840"/>
        <w:rPr>
          <w:rFonts w:hint="eastAsia" w:ascii="宋体" w:hAnsi="宋体" w:eastAsia="宋体" w:cs="宋体"/>
          <w:color w:val="000000"/>
          <w:sz w:val="24"/>
        </w:rPr>
      </w:pPr>
      <w:r>
        <w:rPr>
          <w:rFonts w:hint="eastAsia" w:ascii="宋体" w:hAnsi="宋体" w:eastAsia="宋体" w:cs="宋体"/>
          <w:color w:val="000000"/>
          <w:sz w:val="24"/>
        </w:rPr>
        <w:t>帐    号：</w:t>
      </w:r>
      <w:r>
        <w:rPr>
          <w:rFonts w:hint="eastAsia" w:ascii="宋体" w:hAnsi="宋体" w:eastAsia="宋体" w:cs="宋体"/>
          <w:color w:val="000000"/>
          <w:sz w:val="24"/>
          <w:u w:val="single"/>
        </w:rPr>
        <w:t xml:space="preserve">                                     </w:t>
      </w:r>
    </w:p>
    <w:p>
      <w:pPr>
        <w:spacing w:line="360" w:lineRule="auto"/>
        <w:ind w:firstLine="840"/>
        <w:rPr>
          <w:rFonts w:hint="eastAsia" w:ascii="宋体" w:hAnsi="宋体" w:eastAsia="宋体" w:cs="宋体"/>
          <w:color w:val="000000"/>
          <w:sz w:val="24"/>
        </w:rPr>
      </w:pPr>
      <w:r>
        <w:rPr>
          <w:rFonts w:hint="eastAsia" w:ascii="宋体" w:hAnsi="宋体" w:eastAsia="宋体" w:cs="宋体"/>
          <w:color w:val="000000"/>
          <w:sz w:val="24"/>
        </w:rPr>
        <w:t>电    话：</w:t>
      </w:r>
      <w:r>
        <w:rPr>
          <w:rFonts w:hint="eastAsia" w:ascii="宋体" w:hAnsi="宋体" w:eastAsia="宋体" w:cs="宋体"/>
          <w:color w:val="000000"/>
          <w:sz w:val="24"/>
          <w:u w:val="single"/>
        </w:rPr>
        <w:t xml:space="preserve">                                     </w:t>
      </w:r>
    </w:p>
    <w:p>
      <w:pPr>
        <w:spacing w:line="360" w:lineRule="auto"/>
        <w:ind w:firstLine="840"/>
        <w:rPr>
          <w:rFonts w:hint="eastAsia" w:ascii="宋体" w:hAnsi="宋体" w:eastAsia="宋体" w:cs="宋体"/>
          <w:color w:val="000000"/>
          <w:sz w:val="24"/>
        </w:rPr>
      </w:pPr>
      <w:r>
        <w:rPr>
          <w:rFonts w:hint="eastAsia" w:ascii="宋体" w:hAnsi="宋体" w:eastAsia="宋体" w:cs="宋体"/>
          <w:color w:val="000000"/>
          <w:sz w:val="24"/>
        </w:rPr>
        <w:t>传    真：</w:t>
      </w:r>
      <w:r>
        <w:rPr>
          <w:rFonts w:hint="eastAsia" w:ascii="宋体" w:hAnsi="宋体" w:eastAsia="宋体" w:cs="宋体"/>
          <w:color w:val="000000"/>
          <w:sz w:val="24"/>
          <w:u w:val="single"/>
        </w:rPr>
        <w:t xml:space="preserve">                                     </w:t>
      </w:r>
    </w:p>
    <w:p>
      <w:pPr>
        <w:spacing w:line="360" w:lineRule="auto"/>
        <w:ind w:firstLine="840"/>
        <w:rPr>
          <w:rFonts w:hint="eastAsia" w:ascii="宋体" w:hAnsi="宋体" w:eastAsia="宋体" w:cs="宋体"/>
          <w:color w:val="000000"/>
          <w:sz w:val="24"/>
          <w:u w:val="single"/>
        </w:rPr>
      </w:pPr>
      <w:r>
        <w:rPr>
          <w:rFonts w:hint="eastAsia" w:ascii="宋体" w:hAnsi="宋体" w:eastAsia="宋体" w:cs="宋体"/>
          <w:color w:val="000000"/>
          <w:sz w:val="24"/>
        </w:rPr>
        <w:t xml:space="preserve">邮    编： </w:t>
      </w:r>
      <w:r>
        <w:rPr>
          <w:rFonts w:hint="eastAsia" w:ascii="宋体" w:hAnsi="宋体" w:eastAsia="宋体" w:cs="宋体"/>
          <w:color w:val="000000"/>
          <w:sz w:val="24"/>
          <w:u w:val="single"/>
        </w:rPr>
        <w:t xml:space="preserve">                                    </w:t>
      </w:r>
    </w:p>
    <w:p>
      <w:pPr>
        <w:spacing w:line="360" w:lineRule="auto"/>
        <w:ind w:firstLine="840"/>
        <w:jc w:val="left"/>
        <w:rPr>
          <w:rFonts w:hint="eastAsia" w:ascii="宋体" w:hAnsi="宋体" w:eastAsia="宋体" w:cs="宋体"/>
          <w:color w:val="000000"/>
          <w:sz w:val="24"/>
        </w:rPr>
      </w:pPr>
      <w:r>
        <w:rPr>
          <w:rFonts w:hint="eastAsia" w:ascii="宋体" w:hAnsi="宋体" w:eastAsia="宋体" w:cs="宋体"/>
          <w:color w:val="000000"/>
          <w:sz w:val="24"/>
        </w:rPr>
        <w:t>法定代表人或</w:t>
      </w:r>
    </w:p>
    <w:p>
      <w:pPr>
        <w:spacing w:line="360" w:lineRule="auto"/>
        <w:ind w:firstLine="840"/>
        <w:jc w:val="left"/>
        <w:rPr>
          <w:rFonts w:hint="eastAsia" w:ascii="宋体" w:hAnsi="宋体" w:eastAsia="宋体" w:cs="宋体"/>
          <w:color w:val="000000"/>
          <w:sz w:val="24"/>
        </w:rPr>
      </w:pPr>
      <w:r>
        <w:rPr>
          <w:rFonts w:hint="eastAsia" w:ascii="宋体" w:hAnsi="宋体" w:eastAsia="宋体" w:cs="宋体"/>
          <w:color w:val="000000"/>
          <w:sz w:val="24"/>
        </w:rPr>
        <w:t>委托代理人:（签字或盖章）</w:t>
      </w:r>
      <w:r>
        <w:rPr>
          <w:rFonts w:hint="eastAsia" w:ascii="宋体" w:hAnsi="宋体" w:eastAsia="宋体" w:cs="宋体"/>
          <w:color w:val="000000"/>
          <w:sz w:val="24"/>
          <w:u w:val="single"/>
        </w:rPr>
        <w:t xml:space="preserve">                      </w:t>
      </w:r>
    </w:p>
    <w:p>
      <w:pPr>
        <w:spacing w:line="360" w:lineRule="auto"/>
        <w:ind w:firstLine="210"/>
        <w:rPr>
          <w:rFonts w:hint="eastAsia" w:ascii="宋体" w:hAnsi="宋体" w:eastAsia="宋体" w:cs="宋体"/>
          <w:b/>
          <w:bCs/>
          <w:sz w:val="36"/>
          <w:szCs w:val="21"/>
        </w:rPr>
      </w:pPr>
      <w:r>
        <w:rPr>
          <w:rFonts w:hint="eastAsia" w:ascii="宋体" w:hAnsi="宋体" w:eastAsia="宋体" w:cs="宋体"/>
          <w:color w:val="000000"/>
          <w:sz w:val="24"/>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spacing w:line="360" w:lineRule="auto"/>
        <w:ind w:firstLine="420" w:firstLineChars="200"/>
        <w:jc w:val="center"/>
        <w:outlineLvl w:val="9"/>
        <w:rPr>
          <w:rFonts w:hint="eastAsia" w:ascii="宋体" w:hAnsi="宋体" w:eastAsia="宋体" w:cs="宋体"/>
          <w:szCs w:val="21"/>
          <w:lang w:val="zh-CN"/>
        </w:rPr>
      </w:pPr>
    </w:p>
    <w:p>
      <w:pPr>
        <w:numPr>
          <w:ilvl w:val="0"/>
          <w:numId w:val="17"/>
        </w:numPr>
        <w:spacing w:line="360" w:lineRule="auto"/>
        <w:ind w:firstLine="482" w:firstLineChars="200"/>
        <w:jc w:val="center"/>
        <w:outlineLvl w:val="1"/>
        <w:rPr>
          <w:rStyle w:val="42"/>
          <w:rFonts w:hint="eastAsia" w:ascii="宋体" w:hAnsi="宋体" w:eastAsia="宋体" w:cs="宋体"/>
          <w:sz w:val="24"/>
          <w:szCs w:val="24"/>
        </w:rPr>
      </w:pPr>
      <w:r>
        <w:rPr>
          <w:rStyle w:val="42"/>
          <w:rFonts w:hint="eastAsia" w:ascii="宋体" w:hAnsi="宋体" w:eastAsia="宋体" w:cs="宋体"/>
          <w:sz w:val="24"/>
          <w:szCs w:val="24"/>
          <w:lang w:eastAsia="zh-CN"/>
        </w:rPr>
        <w:t>报价</w:t>
      </w:r>
      <w:r>
        <w:rPr>
          <w:rStyle w:val="42"/>
          <w:rFonts w:hint="eastAsia" w:ascii="宋体" w:hAnsi="宋体" w:eastAsia="宋体" w:cs="宋体"/>
          <w:sz w:val="24"/>
          <w:szCs w:val="24"/>
        </w:rPr>
        <w:t>一览表</w:t>
      </w:r>
    </w:p>
    <w:p>
      <w:pPr>
        <w:numPr>
          <w:ilvl w:val="0"/>
          <w:numId w:val="0"/>
        </w:numPr>
        <w:spacing w:line="360" w:lineRule="auto"/>
        <w:jc w:val="center"/>
        <w:outlineLvl w:val="1"/>
        <w:rPr>
          <w:rStyle w:val="42"/>
          <w:rFonts w:hint="eastAsia" w:ascii="宋体" w:hAnsi="宋体" w:eastAsia="宋体" w:cs="宋体"/>
          <w:sz w:val="24"/>
          <w:szCs w:val="24"/>
        </w:rPr>
      </w:pPr>
      <w:r>
        <w:rPr>
          <w:rStyle w:val="42"/>
          <w:rFonts w:hint="eastAsia" w:ascii="宋体" w:hAnsi="宋体" w:cs="宋体"/>
          <w:sz w:val="24"/>
          <w:szCs w:val="24"/>
          <w:lang w:val="en-US" w:eastAsia="zh-CN"/>
        </w:rPr>
        <w:t>2.1</w:t>
      </w:r>
      <w:r>
        <w:rPr>
          <w:rStyle w:val="42"/>
          <w:rFonts w:hint="eastAsia" w:ascii="宋体" w:hAnsi="宋体" w:eastAsia="宋体" w:cs="宋体"/>
          <w:sz w:val="24"/>
          <w:szCs w:val="24"/>
        </w:rPr>
        <w:t>开标一览表</w:t>
      </w:r>
      <w:bookmarkEnd w:id="81"/>
    </w:p>
    <w:p>
      <w:pPr>
        <w:pStyle w:val="15"/>
        <w:rPr>
          <w:rFonts w:hint="eastAsia" w:ascii="宋体" w:hAnsi="宋体" w:eastAsia="宋体" w:cs="宋体"/>
          <w:lang w:val="zh-C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项目名称</w:t>
            </w:r>
          </w:p>
        </w:tc>
        <w:tc>
          <w:tcPr>
            <w:tcW w:w="6068" w:type="dxa"/>
            <w:vAlign w:val="center"/>
          </w:tcPr>
          <w:p>
            <w:pPr>
              <w:pStyle w:val="12"/>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项目编号</w:t>
            </w:r>
          </w:p>
        </w:tc>
        <w:tc>
          <w:tcPr>
            <w:tcW w:w="6068" w:type="dxa"/>
            <w:vAlign w:val="center"/>
          </w:tcPr>
          <w:p>
            <w:pPr>
              <w:pStyle w:val="12"/>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包号</w:t>
            </w:r>
          </w:p>
        </w:tc>
        <w:tc>
          <w:tcPr>
            <w:tcW w:w="6068" w:type="dxa"/>
            <w:vAlign w:val="center"/>
          </w:tcPr>
          <w:p>
            <w:pPr>
              <w:pStyle w:val="12"/>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投标总报价（元）</w:t>
            </w:r>
          </w:p>
        </w:tc>
        <w:tc>
          <w:tcPr>
            <w:tcW w:w="6068" w:type="dxa"/>
            <w:vAlign w:val="center"/>
          </w:tcPr>
          <w:p>
            <w:pPr>
              <w:pStyle w:val="12"/>
              <w:spacing w:line="360" w:lineRule="auto"/>
              <w:ind w:firstLine="602" w:firstLineChars="250"/>
              <w:rPr>
                <w:rFonts w:hint="eastAsia" w:ascii="宋体" w:hAnsi="宋体" w:eastAsia="宋体" w:cs="宋体"/>
                <w:b/>
                <w:sz w:val="24"/>
                <w:szCs w:val="24"/>
                <w:u w:val="single"/>
              </w:rPr>
            </w:pPr>
            <w:r>
              <w:rPr>
                <w:rFonts w:hint="eastAsia" w:ascii="宋体" w:hAnsi="宋体" w:eastAsia="宋体" w:cs="宋体"/>
                <w:b/>
                <w:sz w:val="24"/>
                <w:szCs w:val="24"/>
              </w:rPr>
              <w:t>大写：</w:t>
            </w:r>
            <w:r>
              <w:rPr>
                <w:rFonts w:hint="eastAsia" w:ascii="宋体" w:hAnsi="宋体" w:eastAsia="宋体" w:cs="宋体"/>
                <w:b/>
                <w:sz w:val="24"/>
                <w:szCs w:val="24"/>
                <w:u w:val="single"/>
              </w:rPr>
              <w:t xml:space="preserve">                      </w:t>
            </w:r>
          </w:p>
          <w:p>
            <w:pPr>
              <w:pStyle w:val="12"/>
              <w:spacing w:line="360" w:lineRule="auto"/>
              <w:ind w:firstLine="602" w:firstLineChars="250"/>
              <w:rPr>
                <w:rFonts w:hint="eastAsia" w:ascii="宋体" w:hAnsi="宋体" w:eastAsia="宋体" w:cs="宋体"/>
                <w:sz w:val="24"/>
                <w:szCs w:val="24"/>
                <w:u w:val="single"/>
              </w:rPr>
            </w:pPr>
            <w:r>
              <w:rPr>
                <w:rFonts w:hint="eastAsia" w:ascii="宋体" w:hAnsi="宋体" w:eastAsia="宋体" w:cs="宋体"/>
                <w:b/>
                <w:sz w:val="24"/>
                <w:szCs w:val="24"/>
              </w:rPr>
              <w:t>¥：</w:t>
            </w:r>
            <w:r>
              <w:rPr>
                <w:rFonts w:hint="eastAsia" w:ascii="宋体" w:hAnsi="宋体" w:eastAsia="宋体" w:cs="宋体"/>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交货期</w:t>
            </w:r>
          </w:p>
        </w:tc>
        <w:tc>
          <w:tcPr>
            <w:tcW w:w="6068" w:type="dxa"/>
          </w:tcPr>
          <w:p>
            <w:pPr>
              <w:pStyle w:val="12"/>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质保期</w:t>
            </w:r>
          </w:p>
        </w:tc>
        <w:tc>
          <w:tcPr>
            <w:tcW w:w="6068" w:type="dxa"/>
          </w:tcPr>
          <w:p>
            <w:pPr>
              <w:pStyle w:val="12"/>
              <w:spacing w:line="360" w:lineRule="auto"/>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459" w:type="dxa"/>
            <w:vAlign w:val="center"/>
          </w:tcPr>
          <w:p>
            <w:pPr>
              <w:pStyle w:val="12"/>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c>
          <w:tcPr>
            <w:tcW w:w="6068" w:type="dxa"/>
            <w:vAlign w:val="center"/>
          </w:tcPr>
          <w:p>
            <w:pPr>
              <w:pStyle w:val="12"/>
              <w:spacing w:line="360" w:lineRule="auto"/>
              <w:rPr>
                <w:rFonts w:hint="eastAsia" w:ascii="宋体" w:hAnsi="宋体" w:eastAsia="宋体" w:cs="宋体"/>
                <w:sz w:val="24"/>
                <w:szCs w:val="24"/>
                <w:u w:val="single"/>
              </w:rPr>
            </w:pPr>
          </w:p>
        </w:tc>
      </w:tr>
    </w:tbl>
    <w:p>
      <w:pPr>
        <w:pStyle w:val="10"/>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sz w:val="22"/>
          <w:szCs w:val="22"/>
          <w:lang w:val="zh-CN"/>
        </w:rPr>
      </w:pPr>
      <w:r>
        <w:rPr>
          <w:rFonts w:hint="eastAsia" w:ascii="宋体" w:hAnsi="宋体" w:cs="宋体"/>
          <w:sz w:val="22"/>
          <w:szCs w:val="20"/>
          <w:lang w:val="zh-CN"/>
        </w:rPr>
        <w:t>注：</w:t>
      </w:r>
      <w:r>
        <w:rPr>
          <w:rFonts w:hint="eastAsia" w:ascii="宋体" w:hAnsi="宋体" w:cs="宋体"/>
          <w:sz w:val="22"/>
          <w:szCs w:val="22"/>
        </w:rPr>
        <w:t>投标总价包括：货物（设施）、运输、安装、调试、技术培训及相应保险、验收费用、安装及放置场所室内空气质量检测费用</w:t>
      </w: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w:t>
      </w:r>
      <w:r>
        <w:rPr>
          <w:rFonts w:hint="eastAsia" w:ascii="宋体" w:hAnsi="宋体" w:eastAsia="宋体" w:cs="宋体"/>
          <w:sz w:val="24"/>
          <w:u w:val="single"/>
          <w:lang w:val="zh-CN"/>
        </w:rPr>
        <w:t xml:space="preserve">                                        </w:t>
      </w:r>
      <w:r>
        <w:rPr>
          <w:rFonts w:hint="eastAsia" w:ascii="宋体" w:hAnsi="宋体" w:eastAsia="宋体" w:cs="宋体"/>
          <w:sz w:val="24"/>
          <w:lang w:val="zh-CN"/>
        </w:rPr>
        <w:t>（盖单位公章）</w:t>
      </w:r>
    </w:p>
    <w:p>
      <w:pPr>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法定代表人（单位负责人）或其委托代理人：</w:t>
      </w:r>
      <w:r>
        <w:rPr>
          <w:rFonts w:hint="eastAsia" w:ascii="宋体" w:hAnsi="宋体" w:eastAsia="宋体" w:cs="宋体"/>
          <w:sz w:val="24"/>
          <w:u w:val="single"/>
          <w:lang w:val="zh-CN"/>
        </w:rPr>
        <w:t xml:space="preserve">        </w:t>
      </w:r>
      <w:r>
        <w:rPr>
          <w:rFonts w:hint="eastAsia" w:ascii="宋体" w:hAnsi="宋体" w:eastAsia="宋体" w:cs="宋体"/>
          <w:sz w:val="24"/>
          <w:lang w:val="zh-CN"/>
        </w:rPr>
        <w:t>（签字或盖章）</w:t>
      </w:r>
    </w:p>
    <w:p>
      <w:pPr>
        <w:autoSpaceDE w:val="0"/>
        <w:autoSpaceDN w:val="0"/>
        <w:adjustRightInd w:val="0"/>
        <w:spacing w:line="360" w:lineRule="auto"/>
        <w:ind w:firstLine="6000" w:firstLineChars="2500"/>
        <w:jc w:val="right"/>
        <w:outlineLvl w:val="9"/>
        <w:rPr>
          <w:rFonts w:hint="eastAsia" w:ascii="宋体" w:hAnsi="宋体" w:eastAsia="宋体" w:cs="宋体"/>
          <w:sz w:val="24"/>
          <w:lang w:val="zh-CN"/>
        </w:rPr>
      </w:pPr>
      <w:r>
        <w:rPr>
          <w:rFonts w:hint="eastAsia" w:ascii="宋体" w:hAnsi="宋体" w:eastAsia="宋体" w:cs="宋体"/>
          <w:sz w:val="24"/>
          <w:lang w:val="zh-CN"/>
        </w:rPr>
        <w:t>年    月    日</w:t>
      </w:r>
    </w:p>
    <w:p>
      <w:pPr>
        <w:tabs>
          <w:tab w:val="left" w:pos="2775"/>
          <w:tab w:val="center" w:pos="4482"/>
        </w:tabs>
        <w:spacing w:line="360" w:lineRule="auto"/>
        <w:jc w:val="left"/>
        <w:outlineLvl w:val="9"/>
        <w:rPr>
          <w:rStyle w:val="42"/>
          <w:rFonts w:hint="eastAsia" w:ascii="宋体" w:hAnsi="宋体" w:eastAsia="宋体" w:cs="宋体"/>
          <w:sz w:val="28"/>
          <w:szCs w:val="28"/>
        </w:rPr>
      </w:pPr>
      <w:r>
        <w:rPr>
          <w:rStyle w:val="42"/>
          <w:rFonts w:hint="eastAsia" w:ascii="宋体" w:hAnsi="宋体" w:eastAsia="宋体" w:cs="宋体"/>
          <w:sz w:val="28"/>
          <w:szCs w:val="28"/>
        </w:rPr>
        <w:tab/>
      </w:r>
    </w:p>
    <w:p>
      <w:pPr>
        <w:tabs>
          <w:tab w:val="left" w:pos="2775"/>
          <w:tab w:val="center" w:pos="4482"/>
        </w:tabs>
        <w:spacing w:line="360" w:lineRule="auto"/>
        <w:jc w:val="left"/>
        <w:outlineLvl w:val="9"/>
        <w:rPr>
          <w:rStyle w:val="42"/>
          <w:rFonts w:hint="eastAsia" w:ascii="宋体" w:hAnsi="宋体" w:eastAsia="宋体" w:cs="宋体"/>
          <w:sz w:val="28"/>
          <w:szCs w:val="28"/>
        </w:rPr>
      </w:pPr>
      <w:r>
        <w:rPr>
          <w:rStyle w:val="42"/>
          <w:rFonts w:hint="eastAsia" w:ascii="宋体" w:hAnsi="宋体" w:eastAsia="宋体" w:cs="宋体"/>
          <w:sz w:val="28"/>
          <w:szCs w:val="28"/>
        </w:rPr>
        <w:tab/>
      </w:r>
    </w:p>
    <w:p>
      <w:pPr>
        <w:tabs>
          <w:tab w:val="left" w:pos="2775"/>
          <w:tab w:val="center" w:pos="4482"/>
        </w:tabs>
        <w:spacing w:line="360" w:lineRule="auto"/>
        <w:jc w:val="center"/>
        <w:outlineLvl w:val="1"/>
        <w:rPr>
          <w:rFonts w:hint="default" w:eastAsia="宋体"/>
          <w:lang w:val="en-US" w:eastAsia="zh-CN"/>
        </w:rPr>
      </w:pPr>
      <w:r>
        <w:rPr>
          <w:rStyle w:val="42"/>
          <w:rFonts w:hint="eastAsia" w:ascii="宋体" w:hAnsi="宋体" w:eastAsia="宋体" w:cs="宋体"/>
          <w:sz w:val="28"/>
          <w:szCs w:val="28"/>
        </w:rPr>
        <w:br w:type="page"/>
      </w:r>
      <w:r>
        <w:rPr>
          <w:rStyle w:val="42"/>
          <w:rFonts w:hint="eastAsia" w:ascii="宋体" w:hAnsi="宋体" w:eastAsia="宋体" w:cs="宋体"/>
          <w:sz w:val="28"/>
          <w:szCs w:val="28"/>
        </w:rPr>
        <w:t>2.</w:t>
      </w:r>
      <w:r>
        <w:rPr>
          <w:rStyle w:val="42"/>
          <w:rFonts w:hint="eastAsia" w:ascii="宋体" w:hAnsi="宋体" w:cs="宋体"/>
          <w:sz w:val="28"/>
          <w:szCs w:val="28"/>
          <w:lang w:val="en-US" w:eastAsia="zh-CN"/>
        </w:rPr>
        <w:t>2</w:t>
      </w:r>
      <w:r>
        <w:rPr>
          <w:rStyle w:val="42"/>
          <w:rFonts w:hint="eastAsia" w:ascii="宋体" w:hAnsi="宋体" w:eastAsia="宋体" w:cs="宋体"/>
          <w:sz w:val="28"/>
          <w:szCs w:val="28"/>
        </w:rPr>
        <w:t>分项报价表</w:t>
      </w:r>
    </w:p>
    <w:p>
      <w:pPr>
        <w:pStyle w:val="10"/>
        <w:rPr>
          <w:rFonts w:hint="eastAsia"/>
        </w:rPr>
      </w:pPr>
    </w:p>
    <w:p>
      <w:pPr>
        <w:autoSpaceDE w:val="0"/>
        <w:autoSpaceDN w:val="0"/>
        <w:adjustRightInd w:val="0"/>
        <w:spacing w:line="360" w:lineRule="auto"/>
        <w:rPr>
          <w:rFonts w:hint="eastAsia" w:ascii="宋体" w:hAnsi="宋体" w:eastAsia="宋体" w:cs="宋体"/>
          <w:sz w:val="24"/>
          <w:lang w:val="zh-CN"/>
        </w:rPr>
      </w:pPr>
      <w:r>
        <w:rPr>
          <w:rFonts w:hint="eastAsia" w:ascii="宋体" w:hAnsi="宋体" w:eastAsia="宋体" w:cs="宋体"/>
          <w:sz w:val="24"/>
          <w:lang w:val="zh-CN"/>
        </w:rPr>
        <w:t>项目名称：</w:t>
      </w:r>
    </w:p>
    <w:p>
      <w:pPr>
        <w:autoSpaceDE w:val="0"/>
        <w:autoSpaceDN w:val="0"/>
        <w:adjustRightInd w:val="0"/>
        <w:spacing w:line="360" w:lineRule="auto"/>
        <w:rPr>
          <w:rFonts w:hint="eastAsia" w:ascii="宋体" w:hAnsi="宋体" w:eastAsia="宋体" w:cs="宋体"/>
          <w:sz w:val="24"/>
          <w:lang w:val="zh-CN"/>
        </w:rPr>
      </w:pPr>
      <w:r>
        <w:rPr>
          <w:rFonts w:hint="eastAsia" w:ascii="宋体" w:hAnsi="宋体" w:eastAsia="宋体" w:cs="宋体"/>
          <w:sz w:val="24"/>
          <w:lang w:val="zh-CN"/>
        </w:rPr>
        <w:t>项目编号：</w:t>
      </w:r>
      <w:r>
        <w:rPr>
          <w:rFonts w:hint="eastAsia" w:ascii="宋体" w:hAnsi="宋体" w:eastAsia="宋体" w:cs="宋体"/>
          <w:sz w:val="24"/>
        </w:rPr>
        <w:t xml:space="preserve">                                              </w:t>
      </w:r>
    </w:p>
    <w:p>
      <w:pPr>
        <w:autoSpaceDE w:val="0"/>
        <w:autoSpaceDN w:val="0"/>
        <w:adjustRightInd w:val="0"/>
        <w:spacing w:line="360" w:lineRule="auto"/>
        <w:rPr>
          <w:rFonts w:hint="default" w:ascii="宋体" w:hAnsi="宋体" w:eastAsia="宋体" w:cs="宋体"/>
          <w:lang w:val="en-US" w:eastAsia="zh-CN"/>
        </w:rPr>
      </w:pPr>
      <w:r>
        <w:rPr>
          <w:rFonts w:hint="eastAsia" w:ascii="宋体" w:hAnsi="宋体" w:eastAsia="宋体" w:cs="宋体"/>
          <w:sz w:val="24"/>
          <w:lang w:val="en-US" w:eastAsia="zh-CN"/>
        </w:rPr>
        <w:t>包号</w:t>
      </w:r>
      <w:r>
        <w:rPr>
          <w:rFonts w:hint="eastAsia" w:ascii="宋体" w:hAnsi="宋体" w:eastAsia="宋体" w:cs="宋体"/>
          <w:sz w:val="24"/>
          <w:lang w:val="zh-CN"/>
        </w:rPr>
        <w:t>：</w:t>
      </w:r>
      <w:r>
        <w:rPr>
          <w:rFonts w:hint="eastAsia" w:ascii="宋体" w:hAnsi="宋体" w:cs="宋体"/>
          <w:sz w:val="24"/>
          <w:lang w:val="en-US" w:eastAsia="zh-CN"/>
        </w:rPr>
        <w:t xml:space="preserve">                                                 </w:t>
      </w:r>
      <w:r>
        <w:rPr>
          <w:rFonts w:hint="eastAsia" w:ascii="宋体" w:hAnsi="宋体" w:eastAsia="宋体" w:cs="宋体"/>
          <w:sz w:val="24"/>
          <w:lang w:val="zh-CN"/>
        </w:rPr>
        <w:t>单位：人民币（元）</w:t>
      </w:r>
    </w:p>
    <w:tbl>
      <w:tblPr>
        <w:tblStyle w:val="22"/>
        <w:tblW w:w="8583"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05"/>
        <w:gridCol w:w="885"/>
        <w:gridCol w:w="750"/>
        <w:gridCol w:w="611"/>
        <w:gridCol w:w="787"/>
        <w:gridCol w:w="795"/>
        <w:gridCol w:w="795"/>
        <w:gridCol w:w="840"/>
        <w:gridCol w:w="79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00"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1005" w:type="dxa"/>
            <w:vAlign w:val="center"/>
          </w:tcPr>
          <w:p>
            <w:pPr>
              <w:jc w:val="center"/>
              <w:rPr>
                <w:rFonts w:hint="eastAsia" w:ascii="宋体" w:hAnsi="宋体" w:eastAsia="宋体" w:cs="宋体"/>
                <w:szCs w:val="21"/>
              </w:rPr>
            </w:pPr>
            <w:r>
              <w:rPr>
                <w:rFonts w:hint="eastAsia" w:ascii="宋体" w:hAnsi="宋体" w:eastAsia="宋体" w:cs="宋体"/>
                <w:szCs w:val="21"/>
              </w:rPr>
              <w:t>产品</w:t>
            </w:r>
          </w:p>
          <w:p>
            <w:pPr>
              <w:jc w:val="center"/>
              <w:rPr>
                <w:rFonts w:hint="eastAsia" w:ascii="宋体" w:hAnsi="宋体" w:eastAsia="宋体" w:cs="宋体"/>
                <w:szCs w:val="21"/>
              </w:rPr>
            </w:pPr>
            <w:r>
              <w:rPr>
                <w:rFonts w:hint="eastAsia" w:ascii="宋体" w:hAnsi="宋体" w:eastAsia="宋体" w:cs="宋体"/>
                <w:szCs w:val="21"/>
              </w:rPr>
              <w:t>名称</w:t>
            </w:r>
          </w:p>
        </w:tc>
        <w:tc>
          <w:tcPr>
            <w:tcW w:w="885" w:type="dxa"/>
            <w:vAlign w:val="center"/>
          </w:tcPr>
          <w:p>
            <w:pPr>
              <w:jc w:val="center"/>
              <w:rPr>
                <w:rFonts w:hint="eastAsia" w:ascii="宋体" w:hAnsi="宋体" w:eastAsia="宋体" w:cs="宋体"/>
                <w:szCs w:val="21"/>
              </w:rPr>
            </w:pPr>
            <w:r>
              <w:rPr>
                <w:rFonts w:hint="eastAsia" w:ascii="宋体" w:hAnsi="宋体" w:eastAsia="宋体" w:cs="宋体"/>
                <w:szCs w:val="21"/>
              </w:rPr>
              <w:t>规格/</w:t>
            </w:r>
          </w:p>
          <w:p>
            <w:pPr>
              <w:jc w:val="center"/>
              <w:rPr>
                <w:rFonts w:hint="eastAsia" w:ascii="宋体" w:hAnsi="宋体" w:eastAsia="宋体" w:cs="宋体"/>
                <w:szCs w:val="21"/>
              </w:rPr>
            </w:pPr>
            <w:r>
              <w:rPr>
                <w:rFonts w:hint="eastAsia" w:ascii="宋体" w:hAnsi="宋体" w:eastAsia="宋体" w:cs="宋体"/>
                <w:szCs w:val="21"/>
              </w:rPr>
              <w:t>型号</w:t>
            </w:r>
          </w:p>
        </w:tc>
        <w:tc>
          <w:tcPr>
            <w:tcW w:w="750" w:type="dxa"/>
            <w:vAlign w:val="center"/>
          </w:tcPr>
          <w:p>
            <w:pPr>
              <w:jc w:val="center"/>
              <w:rPr>
                <w:rFonts w:hint="eastAsia" w:ascii="宋体" w:hAnsi="宋体" w:eastAsia="宋体" w:cs="宋体"/>
                <w:szCs w:val="21"/>
              </w:rPr>
            </w:pPr>
            <w:r>
              <w:rPr>
                <w:rFonts w:hint="eastAsia" w:ascii="宋体" w:hAnsi="宋体" w:eastAsia="宋体" w:cs="宋体"/>
                <w:szCs w:val="21"/>
              </w:rPr>
              <w:t>品牌</w:t>
            </w:r>
          </w:p>
        </w:tc>
        <w:tc>
          <w:tcPr>
            <w:tcW w:w="611"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产地</w:t>
            </w:r>
          </w:p>
        </w:tc>
        <w:tc>
          <w:tcPr>
            <w:tcW w:w="787" w:type="dxa"/>
            <w:vAlign w:val="center"/>
          </w:tcPr>
          <w:p>
            <w:pPr>
              <w:jc w:val="center"/>
              <w:rPr>
                <w:rFonts w:hint="eastAsia" w:ascii="宋体" w:hAnsi="宋体" w:eastAsia="宋体" w:cs="宋体"/>
                <w:szCs w:val="21"/>
              </w:rPr>
            </w:pPr>
            <w:r>
              <w:rPr>
                <w:rFonts w:hint="eastAsia" w:ascii="宋体" w:hAnsi="宋体" w:eastAsia="宋体" w:cs="宋体"/>
                <w:szCs w:val="21"/>
              </w:rPr>
              <w:t>生产商</w:t>
            </w:r>
          </w:p>
        </w:tc>
        <w:tc>
          <w:tcPr>
            <w:tcW w:w="795" w:type="dxa"/>
            <w:vAlign w:val="center"/>
          </w:tcPr>
          <w:p>
            <w:pPr>
              <w:jc w:val="center"/>
              <w:rPr>
                <w:rFonts w:hint="eastAsia" w:ascii="宋体" w:hAnsi="宋体" w:eastAsia="宋体" w:cs="宋体"/>
                <w:szCs w:val="21"/>
              </w:rPr>
            </w:pPr>
            <w:r>
              <w:rPr>
                <w:rFonts w:hint="eastAsia" w:ascii="宋体" w:hAnsi="宋体" w:eastAsia="宋体" w:cs="宋体"/>
                <w:szCs w:val="21"/>
              </w:rPr>
              <w:t>单位</w:t>
            </w:r>
          </w:p>
        </w:tc>
        <w:tc>
          <w:tcPr>
            <w:tcW w:w="795" w:type="dxa"/>
            <w:vAlign w:val="center"/>
          </w:tcPr>
          <w:p>
            <w:pPr>
              <w:jc w:val="center"/>
              <w:rPr>
                <w:rFonts w:hint="eastAsia" w:ascii="宋体" w:hAnsi="宋体" w:eastAsia="宋体" w:cs="宋体"/>
                <w:szCs w:val="21"/>
              </w:rPr>
            </w:pPr>
            <w:r>
              <w:rPr>
                <w:rFonts w:hint="eastAsia" w:ascii="宋体" w:hAnsi="宋体" w:eastAsia="宋体" w:cs="宋体"/>
                <w:szCs w:val="21"/>
              </w:rPr>
              <w:t>数量</w:t>
            </w:r>
          </w:p>
        </w:tc>
        <w:tc>
          <w:tcPr>
            <w:tcW w:w="840" w:type="dxa"/>
            <w:vAlign w:val="center"/>
          </w:tcPr>
          <w:p>
            <w:pPr>
              <w:jc w:val="center"/>
              <w:rPr>
                <w:rFonts w:hint="eastAsia" w:ascii="宋体" w:hAnsi="宋体" w:eastAsia="宋体" w:cs="宋体"/>
                <w:szCs w:val="21"/>
              </w:rPr>
            </w:pPr>
            <w:r>
              <w:rPr>
                <w:rFonts w:hint="eastAsia" w:ascii="宋体" w:hAnsi="宋体" w:eastAsia="宋体" w:cs="宋体"/>
                <w:szCs w:val="21"/>
              </w:rPr>
              <w:t>单价</w:t>
            </w:r>
          </w:p>
        </w:tc>
        <w:tc>
          <w:tcPr>
            <w:tcW w:w="795" w:type="dxa"/>
            <w:vAlign w:val="center"/>
          </w:tcPr>
          <w:p>
            <w:pPr>
              <w:jc w:val="center"/>
              <w:rPr>
                <w:rFonts w:hint="eastAsia" w:ascii="宋体" w:hAnsi="宋体" w:eastAsia="宋体" w:cs="宋体"/>
                <w:szCs w:val="21"/>
              </w:rPr>
            </w:pPr>
            <w:r>
              <w:rPr>
                <w:rFonts w:hint="eastAsia" w:ascii="宋体" w:hAnsi="宋体" w:eastAsia="宋体" w:cs="宋体"/>
                <w:szCs w:val="21"/>
              </w:rPr>
              <w:t>总 价</w:t>
            </w:r>
          </w:p>
        </w:tc>
        <w:tc>
          <w:tcPr>
            <w:tcW w:w="720" w:type="dxa"/>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005" w:type="dxa"/>
            <w:vAlign w:val="center"/>
          </w:tcPr>
          <w:p>
            <w:pPr>
              <w:jc w:val="both"/>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005" w:type="dxa"/>
            <w:vAlign w:val="center"/>
          </w:tcPr>
          <w:p>
            <w:pPr>
              <w:jc w:val="both"/>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005" w:type="dxa"/>
            <w:vAlign w:val="center"/>
          </w:tcPr>
          <w:p>
            <w:pPr>
              <w:jc w:val="center"/>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005" w:type="dxa"/>
            <w:vAlign w:val="center"/>
          </w:tcPr>
          <w:p>
            <w:pPr>
              <w:ind w:firstLine="211"/>
              <w:jc w:val="center"/>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005" w:type="dxa"/>
            <w:vAlign w:val="center"/>
          </w:tcPr>
          <w:p>
            <w:pPr>
              <w:ind w:firstLine="211"/>
              <w:jc w:val="center"/>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005" w:type="dxa"/>
            <w:vAlign w:val="center"/>
          </w:tcPr>
          <w:p>
            <w:pPr>
              <w:ind w:firstLine="211"/>
              <w:jc w:val="center"/>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1005" w:type="dxa"/>
            <w:vAlign w:val="center"/>
          </w:tcPr>
          <w:p>
            <w:pPr>
              <w:ind w:firstLine="211"/>
              <w:jc w:val="center"/>
              <w:rPr>
                <w:rFonts w:hint="eastAsia" w:ascii="宋体" w:hAnsi="宋体" w:eastAsia="宋体" w:cs="宋体"/>
                <w:szCs w:val="21"/>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default" w:ascii="宋体" w:hAnsi="宋体" w:cs="宋体"/>
                <w:szCs w:val="21"/>
                <w:lang w:val="en-US" w:eastAsia="zh-CN"/>
              </w:rPr>
            </w:pPr>
            <w:r>
              <w:rPr>
                <w:rFonts w:hint="eastAsia" w:ascii="宋体" w:hAnsi="宋体" w:cs="宋体"/>
                <w:szCs w:val="21"/>
                <w:lang w:val="en-US" w:eastAsia="zh-CN"/>
              </w:rPr>
              <w:t>8</w:t>
            </w:r>
          </w:p>
        </w:tc>
        <w:tc>
          <w:tcPr>
            <w:tcW w:w="1005" w:type="dxa"/>
            <w:vAlign w:val="center"/>
          </w:tcPr>
          <w:p>
            <w:pPr>
              <w:ind w:firstLine="211"/>
              <w:jc w:val="center"/>
              <w:rPr>
                <w:rFonts w:hint="eastAsia" w:ascii="宋体" w:hAnsi="宋体" w:cs="宋体"/>
                <w:color w:val="000000"/>
                <w:kern w:val="0"/>
                <w:szCs w:val="21"/>
                <w:lang w:bidi="ar"/>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default" w:ascii="宋体" w:hAnsi="宋体" w:cs="宋体"/>
                <w:szCs w:val="21"/>
                <w:lang w:val="en-US" w:eastAsia="zh-CN"/>
              </w:rPr>
            </w:pPr>
            <w:r>
              <w:rPr>
                <w:rFonts w:hint="eastAsia" w:ascii="宋体" w:hAnsi="宋体" w:cs="宋体"/>
                <w:szCs w:val="21"/>
                <w:lang w:val="en-US" w:eastAsia="zh-CN"/>
              </w:rPr>
              <w:t>9</w:t>
            </w:r>
          </w:p>
        </w:tc>
        <w:tc>
          <w:tcPr>
            <w:tcW w:w="1005" w:type="dxa"/>
            <w:vAlign w:val="center"/>
          </w:tcPr>
          <w:p>
            <w:pPr>
              <w:ind w:firstLine="211"/>
              <w:jc w:val="center"/>
              <w:rPr>
                <w:rFonts w:hint="eastAsia" w:ascii="宋体" w:hAnsi="宋体" w:cs="宋体"/>
                <w:color w:val="000000"/>
                <w:kern w:val="0"/>
                <w:szCs w:val="21"/>
                <w:lang w:bidi="ar"/>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default" w:ascii="宋体" w:hAnsi="宋体" w:cs="宋体"/>
                <w:szCs w:val="21"/>
                <w:lang w:val="en-US" w:eastAsia="zh-CN"/>
              </w:rPr>
            </w:pPr>
            <w:r>
              <w:rPr>
                <w:rFonts w:hint="eastAsia" w:ascii="宋体" w:hAnsi="宋体" w:cs="宋体"/>
                <w:szCs w:val="21"/>
                <w:lang w:val="en-US" w:eastAsia="zh-CN"/>
              </w:rPr>
              <w:t>10</w:t>
            </w:r>
          </w:p>
        </w:tc>
        <w:tc>
          <w:tcPr>
            <w:tcW w:w="1005" w:type="dxa"/>
            <w:vAlign w:val="center"/>
          </w:tcPr>
          <w:p>
            <w:pPr>
              <w:widowControl/>
              <w:jc w:val="center"/>
              <w:textAlignment w:val="center"/>
              <w:rPr>
                <w:rFonts w:hint="eastAsia" w:ascii="宋体" w:hAnsi="宋体" w:cs="宋体"/>
                <w:color w:val="000000"/>
                <w:kern w:val="0"/>
                <w:szCs w:val="21"/>
                <w:lang w:bidi="ar"/>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0" w:type="dxa"/>
            <w:vAlign w:val="center"/>
          </w:tcPr>
          <w:p>
            <w:pPr>
              <w:jc w:val="center"/>
              <w:rPr>
                <w:rFonts w:hint="default" w:ascii="宋体" w:hAnsi="宋体" w:cs="宋体"/>
                <w:szCs w:val="21"/>
                <w:lang w:val="en-US" w:eastAsia="zh-CN"/>
              </w:rPr>
            </w:pPr>
            <w:r>
              <w:rPr>
                <w:rFonts w:hint="eastAsia" w:ascii="宋体" w:hAnsi="宋体" w:cs="宋体"/>
                <w:szCs w:val="21"/>
                <w:lang w:val="en-US" w:eastAsia="zh-CN"/>
              </w:rPr>
              <w:t>...</w:t>
            </w:r>
          </w:p>
        </w:tc>
        <w:tc>
          <w:tcPr>
            <w:tcW w:w="1005" w:type="dxa"/>
            <w:vAlign w:val="center"/>
          </w:tcPr>
          <w:p>
            <w:pPr>
              <w:widowControl/>
              <w:jc w:val="center"/>
              <w:textAlignment w:val="center"/>
              <w:rPr>
                <w:rFonts w:hint="eastAsia" w:ascii="宋体" w:hAnsi="宋体" w:cs="宋体"/>
                <w:color w:val="000000"/>
                <w:kern w:val="0"/>
                <w:szCs w:val="21"/>
                <w:lang w:bidi="ar"/>
              </w:rPr>
            </w:pPr>
          </w:p>
        </w:tc>
        <w:tc>
          <w:tcPr>
            <w:tcW w:w="885" w:type="dxa"/>
            <w:vAlign w:val="center"/>
          </w:tcPr>
          <w:p>
            <w:pPr>
              <w:ind w:firstLine="211"/>
              <w:jc w:val="center"/>
              <w:rPr>
                <w:rFonts w:hint="eastAsia" w:ascii="宋体" w:hAnsi="宋体" w:eastAsia="宋体" w:cs="宋体"/>
                <w:szCs w:val="21"/>
              </w:rPr>
            </w:pPr>
          </w:p>
        </w:tc>
        <w:tc>
          <w:tcPr>
            <w:tcW w:w="750" w:type="dxa"/>
            <w:vAlign w:val="center"/>
          </w:tcPr>
          <w:p>
            <w:pPr>
              <w:ind w:firstLine="211"/>
              <w:jc w:val="center"/>
              <w:rPr>
                <w:rFonts w:hint="eastAsia" w:ascii="宋体" w:hAnsi="宋体" w:eastAsia="宋体" w:cs="宋体"/>
                <w:szCs w:val="21"/>
              </w:rPr>
            </w:pPr>
          </w:p>
        </w:tc>
        <w:tc>
          <w:tcPr>
            <w:tcW w:w="611" w:type="dxa"/>
            <w:vAlign w:val="center"/>
          </w:tcPr>
          <w:p>
            <w:pPr>
              <w:ind w:firstLine="211"/>
              <w:jc w:val="center"/>
              <w:rPr>
                <w:rFonts w:hint="eastAsia" w:ascii="宋体" w:hAnsi="宋体" w:eastAsia="宋体" w:cs="宋体"/>
                <w:szCs w:val="21"/>
              </w:rPr>
            </w:pPr>
          </w:p>
        </w:tc>
        <w:tc>
          <w:tcPr>
            <w:tcW w:w="787"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840" w:type="dxa"/>
            <w:vAlign w:val="center"/>
          </w:tcPr>
          <w:p>
            <w:pPr>
              <w:ind w:firstLine="211"/>
              <w:jc w:val="center"/>
              <w:rPr>
                <w:rFonts w:hint="eastAsia" w:ascii="宋体" w:hAnsi="宋体" w:eastAsia="宋体" w:cs="宋体"/>
                <w:szCs w:val="21"/>
              </w:rPr>
            </w:pPr>
          </w:p>
        </w:tc>
        <w:tc>
          <w:tcPr>
            <w:tcW w:w="795" w:type="dxa"/>
            <w:vAlign w:val="center"/>
          </w:tcPr>
          <w:p>
            <w:pPr>
              <w:ind w:firstLine="211"/>
              <w:jc w:val="center"/>
              <w:rPr>
                <w:rFonts w:hint="eastAsia" w:ascii="宋体" w:hAnsi="宋体" w:eastAsia="宋体" w:cs="宋体"/>
                <w:szCs w:val="21"/>
              </w:rPr>
            </w:pPr>
          </w:p>
        </w:tc>
        <w:tc>
          <w:tcPr>
            <w:tcW w:w="720" w:type="dxa"/>
            <w:vAlign w:val="center"/>
          </w:tcPr>
          <w:p>
            <w:pPr>
              <w:ind w:firstLine="21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90" w:type="dxa"/>
            <w:gridSpan w:val="3"/>
            <w:vAlign w:val="center"/>
          </w:tcPr>
          <w:p>
            <w:pPr>
              <w:jc w:val="center"/>
              <w:rPr>
                <w:rFonts w:hint="eastAsia" w:ascii="宋体" w:hAnsi="宋体" w:eastAsia="宋体" w:cs="宋体"/>
                <w:szCs w:val="21"/>
              </w:rPr>
            </w:pPr>
            <w:r>
              <w:rPr>
                <w:rFonts w:hint="eastAsia" w:ascii="宋体" w:hAnsi="宋体" w:eastAsia="宋体" w:cs="宋体"/>
                <w:szCs w:val="21"/>
              </w:rPr>
              <w:t>合计（元）：</w:t>
            </w:r>
          </w:p>
        </w:tc>
        <w:tc>
          <w:tcPr>
            <w:tcW w:w="5373" w:type="dxa"/>
            <w:gridSpan w:val="7"/>
            <w:vAlign w:val="center"/>
          </w:tcPr>
          <w:p>
            <w:pPr>
              <w:ind w:firstLine="211"/>
              <w:rPr>
                <w:rFonts w:hint="eastAsia" w:ascii="宋体" w:hAnsi="宋体" w:eastAsia="宋体" w:cs="宋体"/>
                <w:szCs w:val="21"/>
              </w:rPr>
            </w:pPr>
            <w:r>
              <w:rPr>
                <w:rFonts w:hint="eastAsia" w:ascii="宋体" w:hAnsi="宋体" w:eastAsia="宋体" w:cs="宋体"/>
                <w:szCs w:val="21"/>
              </w:rPr>
              <w:t>大写：</w:t>
            </w:r>
          </w:p>
          <w:p>
            <w:pPr>
              <w:ind w:firstLine="211"/>
              <w:rPr>
                <w:rFonts w:hint="eastAsia" w:ascii="宋体" w:hAnsi="宋体" w:eastAsia="宋体" w:cs="宋体"/>
                <w:szCs w:val="21"/>
              </w:rPr>
            </w:pPr>
            <w:r>
              <w:rPr>
                <w:rFonts w:hint="eastAsia" w:ascii="宋体" w:hAnsi="宋体" w:eastAsia="宋体" w:cs="宋体"/>
                <w:szCs w:val="21"/>
              </w:rPr>
              <w:t>小写：</w:t>
            </w:r>
          </w:p>
        </w:tc>
        <w:tc>
          <w:tcPr>
            <w:tcW w:w="720" w:type="dxa"/>
            <w:vAlign w:val="center"/>
          </w:tcPr>
          <w:p>
            <w:pPr>
              <w:ind w:firstLine="211"/>
              <w:rPr>
                <w:rFonts w:hint="eastAsia" w:ascii="宋体" w:hAnsi="宋体" w:eastAsia="宋体" w:cs="宋体"/>
                <w:szCs w:val="21"/>
              </w:rPr>
            </w:pPr>
          </w:p>
        </w:tc>
      </w:tr>
    </w:tbl>
    <w:p>
      <w:pPr>
        <w:outlineLvl w:val="9"/>
        <w:rPr>
          <w:rFonts w:hint="eastAsia" w:ascii="宋体" w:hAnsi="宋体" w:eastAsia="宋体" w:cs="宋体"/>
          <w:lang w:val="zh-CN"/>
        </w:rPr>
      </w:pP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注：</w:t>
      </w: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1. 所报货币为人民币。</w:t>
      </w:r>
    </w:p>
    <w:p>
      <w:pPr>
        <w:autoSpaceDE w:val="0"/>
        <w:autoSpaceDN w:val="0"/>
        <w:adjustRightInd w:val="0"/>
        <w:spacing w:line="360" w:lineRule="auto"/>
        <w:jc w:val="left"/>
        <w:rPr>
          <w:rFonts w:hint="eastAsia" w:ascii="宋体" w:hAnsi="宋体" w:eastAsia="宋体" w:cs="宋体"/>
          <w:sz w:val="24"/>
          <w:lang w:val="zh-CN" w:eastAsia="zh-CN"/>
        </w:rPr>
      </w:pPr>
      <w:r>
        <w:rPr>
          <w:rFonts w:hint="eastAsia" w:ascii="宋体" w:hAnsi="宋体" w:eastAsia="宋体" w:cs="宋体"/>
          <w:sz w:val="24"/>
          <w:lang w:val="zh-CN"/>
        </w:rPr>
        <w:t>2. 本表中的“金额总计”应与“开标一览表”中的投标报价一致</w:t>
      </w:r>
      <w:r>
        <w:rPr>
          <w:rFonts w:hint="eastAsia" w:ascii="宋体" w:hAnsi="宋体"/>
          <w:sz w:val="24"/>
          <w:highlight w:val="none"/>
          <w:lang w:eastAsia="zh-CN"/>
        </w:rPr>
        <w:t>，根据第四章内容，</w:t>
      </w:r>
      <w:r>
        <w:rPr>
          <w:rFonts w:hint="eastAsia" w:ascii="宋体" w:hAnsi="宋体"/>
          <w:sz w:val="24"/>
          <w:highlight w:val="none"/>
        </w:rPr>
        <w:t>各子项分别报价</w:t>
      </w:r>
      <w:r>
        <w:rPr>
          <w:rFonts w:hint="eastAsia" w:ascii="宋体" w:hAnsi="宋体"/>
          <w:sz w:val="24"/>
          <w:highlight w:val="none"/>
          <w:lang w:eastAsia="zh-CN"/>
        </w:rPr>
        <w:t>，不能缺项漏项。</w:t>
      </w:r>
    </w:p>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lang w:val="zh-CN"/>
        </w:rPr>
        <w:t>3. 供应商可适当调整该表格式，但不得减少内容。</w:t>
      </w:r>
    </w:p>
    <w:p>
      <w:pPr>
        <w:autoSpaceDE w:val="0"/>
        <w:autoSpaceDN w:val="0"/>
        <w:adjustRightInd w:val="0"/>
        <w:spacing w:line="360" w:lineRule="auto"/>
        <w:jc w:val="left"/>
        <w:rPr>
          <w:rFonts w:hint="eastAsia" w:ascii="宋体" w:hAnsi="宋体" w:eastAsia="宋体" w:cs="宋体"/>
          <w:sz w:val="24"/>
        </w:rPr>
      </w:pP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p>
    <w:p>
      <w:pPr>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w:t>
      </w:r>
      <w:r>
        <w:rPr>
          <w:rFonts w:hint="eastAsia" w:ascii="宋体" w:hAnsi="宋体" w:eastAsia="宋体" w:cs="宋体"/>
          <w:sz w:val="24"/>
          <w:u w:val="single"/>
          <w:lang w:val="zh-CN"/>
        </w:rPr>
        <w:t xml:space="preserve">                                        </w:t>
      </w:r>
      <w:r>
        <w:rPr>
          <w:rFonts w:hint="eastAsia" w:ascii="宋体" w:hAnsi="宋体" w:eastAsia="宋体" w:cs="宋体"/>
          <w:sz w:val="24"/>
          <w:lang w:val="zh-CN"/>
        </w:rPr>
        <w:t>（盖单位公章）</w:t>
      </w:r>
    </w:p>
    <w:p>
      <w:pPr>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法定代表人（单位负责人）或其委托代理人：</w:t>
      </w:r>
      <w:r>
        <w:rPr>
          <w:rFonts w:hint="eastAsia" w:ascii="宋体" w:hAnsi="宋体" w:eastAsia="宋体" w:cs="宋体"/>
          <w:sz w:val="24"/>
          <w:u w:val="single"/>
          <w:lang w:val="zh-CN"/>
        </w:rPr>
        <w:t xml:space="preserve">        </w:t>
      </w:r>
      <w:r>
        <w:rPr>
          <w:rFonts w:hint="eastAsia" w:ascii="宋体" w:hAnsi="宋体" w:eastAsia="宋体" w:cs="宋体"/>
          <w:sz w:val="24"/>
          <w:lang w:val="zh-CN"/>
        </w:rPr>
        <w:t>（签字或盖章）</w:t>
      </w:r>
    </w:p>
    <w:p>
      <w:pPr>
        <w:autoSpaceDE w:val="0"/>
        <w:autoSpaceDN w:val="0"/>
        <w:adjustRightInd w:val="0"/>
        <w:spacing w:line="360" w:lineRule="auto"/>
        <w:ind w:firstLine="6000" w:firstLineChars="2500"/>
        <w:jc w:val="right"/>
        <w:rPr>
          <w:rFonts w:hint="eastAsia" w:ascii="宋体" w:hAnsi="宋体" w:eastAsia="宋体" w:cs="宋体"/>
          <w:sz w:val="24"/>
          <w:lang w:val="zh-CN"/>
        </w:rPr>
      </w:pPr>
      <w:r>
        <w:rPr>
          <w:rFonts w:hint="eastAsia" w:ascii="宋体" w:hAnsi="宋体" w:eastAsia="宋体" w:cs="宋体"/>
          <w:sz w:val="24"/>
          <w:lang w:val="zh-CN"/>
        </w:rPr>
        <w:t>年    月    日</w:t>
      </w:r>
    </w:p>
    <w:p>
      <w:pPr>
        <w:rPr>
          <w:rFonts w:hint="eastAsia" w:ascii="宋体" w:hAnsi="宋体" w:eastAsia="宋体" w:cs="宋体"/>
          <w:szCs w:val="21"/>
          <w:lang w:val="zh-CN"/>
        </w:rPr>
      </w:pPr>
      <w:r>
        <w:rPr>
          <w:rFonts w:hint="eastAsia" w:ascii="宋体" w:hAnsi="宋体" w:eastAsia="宋体" w:cs="宋体"/>
          <w:szCs w:val="21"/>
          <w:lang w:val="zh-CN"/>
        </w:rPr>
        <w:br w:type="page"/>
      </w:r>
    </w:p>
    <w:p>
      <w:pPr>
        <w:spacing w:line="360" w:lineRule="auto"/>
        <w:jc w:val="center"/>
        <w:outlineLvl w:val="1"/>
        <w:rPr>
          <w:rStyle w:val="42"/>
          <w:rFonts w:hint="eastAsia" w:ascii="宋体" w:hAnsi="宋体" w:eastAsia="宋体" w:cs="宋体"/>
          <w:sz w:val="28"/>
          <w:szCs w:val="28"/>
        </w:rPr>
      </w:pPr>
      <w:bookmarkStart w:id="85" w:name="_Toc14039"/>
      <w:r>
        <w:rPr>
          <w:rStyle w:val="42"/>
          <w:rFonts w:hint="eastAsia" w:ascii="宋体" w:hAnsi="宋体" w:eastAsia="宋体" w:cs="宋体"/>
          <w:sz w:val="28"/>
          <w:szCs w:val="28"/>
        </w:rPr>
        <w:t>三、法定代表人（单位负责人/自然人）身份证明</w:t>
      </w:r>
      <w:bookmarkEnd w:id="85"/>
    </w:p>
    <w:p>
      <w:pPr>
        <w:autoSpaceDE w:val="0"/>
        <w:autoSpaceDN w:val="0"/>
        <w:adjustRightInd w:val="0"/>
        <w:spacing w:line="360" w:lineRule="auto"/>
        <w:jc w:val="right"/>
        <w:rPr>
          <w:rFonts w:hint="eastAsia" w:ascii="宋体" w:hAnsi="宋体" w:eastAsia="宋体" w:cs="宋体"/>
          <w:szCs w:val="21"/>
          <w:lang w:val="zh-CN"/>
        </w:rPr>
      </w:pPr>
    </w:p>
    <w:p>
      <w:pPr>
        <w:autoSpaceDE w:val="0"/>
        <w:autoSpaceDN w:val="0"/>
        <w:adjustRightInd w:val="0"/>
        <w:spacing w:line="360" w:lineRule="auto"/>
        <w:ind w:right="105" w:firstLine="480" w:firstLineChars="200"/>
        <w:jc w:val="left"/>
        <w:rPr>
          <w:rFonts w:hint="eastAsia" w:ascii="宋体" w:hAnsi="宋体" w:eastAsia="宋体" w:cs="宋体"/>
          <w:sz w:val="24"/>
          <w:lang w:val="zh-CN"/>
        </w:rPr>
      </w:pPr>
      <w:r>
        <w:rPr>
          <w:rFonts w:hint="eastAsia" w:ascii="宋体" w:hAnsi="宋体" w:eastAsia="宋体" w:cs="宋体"/>
          <w:sz w:val="24"/>
          <w:lang w:val="zh-CN"/>
        </w:rPr>
        <w:t>投标人名称：</w:t>
      </w:r>
      <w:r>
        <w:rPr>
          <w:rFonts w:hint="eastAsia" w:ascii="宋体" w:hAnsi="宋体" w:eastAsia="宋体" w:cs="宋体"/>
          <w:sz w:val="24"/>
          <w:u w:val="single"/>
          <w:lang w:val="zh-CN"/>
        </w:rPr>
        <w:t xml:space="preserve">                                    </w:t>
      </w:r>
    </w:p>
    <w:p>
      <w:pPr>
        <w:autoSpaceDE w:val="0"/>
        <w:autoSpaceDN w:val="0"/>
        <w:adjustRightInd w:val="0"/>
        <w:spacing w:line="360" w:lineRule="auto"/>
        <w:ind w:right="105" w:firstLine="480" w:firstLineChars="200"/>
        <w:jc w:val="left"/>
        <w:rPr>
          <w:rFonts w:hint="eastAsia" w:ascii="宋体" w:hAnsi="宋体" w:eastAsia="宋体" w:cs="宋体"/>
          <w:sz w:val="24"/>
          <w:lang w:val="zh-CN"/>
        </w:rPr>
      </w:pPr>
      <w:r>
        <w:rPr>
          <w:rFonts w:hint="eastAsia" w:ascii="宋体" w:hAnsi="宋体" w:eastAsia="宋体" w:cs="宋体"/>
          <w:sz w:val="24"/>
          <w:lang w:val="zh-CN"/>
        </w:rPr>
        <w:t>姓名：</w:t>
      </w:r>
      <w:r>
        <w:rPr>
          <w:rFonts w:hint="eastAsia" w:ascii="宋体" w:hAnsi="宋体" w:eastAsia="宋体" w:cs="宋体"/>
          <w:sz w:val="24"/>
          <w:u w:val="single"/>
          <w:lang w:val="zh-CN"/>
        </w:rPr>
        <w:t xml:space="preserve">      </w:t>
      </w:r>
      <w:r>
        <w:rPr>
          <w:rFonts w:hint="eastAsia" w:ascii="宋体" w:hAnsi="宋体" w:eastAsia="宋体" w:cs="宋体"/>
          <w:sz w:val="24"/>
          <w:lang w:val="zh-CN"/>
        </w:rPr>
        <w:t>性别：</w:t>
      </w:r>
      <w:r>
        <w:rPr>
          <w:rFonts w:hint="eastAsia" w:ascii="宋体" w:hAnsi="宋体" w:eastAsia="宋体" w:cs="宋体"/>
          <w:sz w:val="24"/>
          <w:u w:val="single"/>
          <w:lang w:val="zh-CN"/>
        </w:rPr>
        <w:t xml:space="preserve">      </w:t>
      </w:r>
      <w:r>
        <w:rPr>
          <w:rFonts w:hint="eastAsia" w:ascii="宋体" w:hAnsi="宋体" w:eastAsia="宋体" w:cs="宋体"/>
          <w:sz w:val="24"/>
          <w:lang w:val="zh-CN"/>
        </w:rPr>
        <w:t>年龄：</w:t>
      </w:r>
      <w:r>
        <w:rPr>
          <w:rFonts w:hint="eastAsia" w:ascii="宋体" w:hAnsi="宋体" w:eastAsia="宋体" w:cs="宋体"/>
          <w:sz w:val="24"/>
          <w:u w:val="single"/>
          <w:lang w:val="zh-CN"/>
        </w:rPr>
        <w:t xml:space="preserve">      </w:t>
      </w:r>
      <w:r>
        <w:rPr>
          <w:rFonts w:hint="eastAsia" w:ascii="宋体" w:hAnsi="宋体" w:eastAsia="宋体" w:cs="宋体"/>
          <w:sz w:val="24"/>
          <w:lang w:val="zh-CN"/>
        </w:rPr>
        <w:t>职务：</w:t>
      </w:r>
      <w:r>
        <w:rPr>
          <w:rFonts w:hint="eastAsia" w:ascii="宋体" w:hAnsi="宋体" w:eastAsia="宋体" w:cs="宋体"/>
          <w:sz w:val="24"/>
          <w:u w:val="single"/>
          <w:lang w:val="zh-CN"/>
        </w:rPr>
        <w:t xml:space="preserve">      </w:t>
      </w:r>
    </w:p>
    <w:p>
      <w:pPr>
        <w:autoSpaceDE w:val="0"/>
        <w:autoSpaceDN w:val="0"/>
        <w:adjustRightInd w:val="0"/>
        <w:spacing w:line="360" w:lineRule="auto"/>
        <w:ind w:right="105" w:firstLine="480" w:firstLineChars="200"/>
        <w:jc w:val="left"/>
        <w:rPr>
          <w:rFonts w:hint="eastAsia" w:ascii="宋体" w:hAnsi="宋体" w:eastAsia="宋体" w:cs="宋体"/>
          <w:sz w:val="24"/>
          <w:lang w:val="zh-CN"/>
        </w:rPr>
      </w:pPr>
      <w:r>
        <w:rPr>
          <w:rFonts w:hint="eastAsia" w:ascii="宋体" w:hAnsi="宋体" w:eastAsia="宋体" w:cs="宋体"/>
          <w:sz w:val="24"/>
          <w:lang w:val="zh-CN"/>
        </w:rPr>
        <w:t>系</w:t>
      </w:r>
      <w:r>
        <w:rPr>
          <w:rFonts w:hint="eastAsia" w:ascii="宋体" w:hAnsi="宋体" w:eastAsia="宋体" w:cs="宋体"/>
          <w:sz w:val="24"/>
          <w:u w:val="single"/>
          <w:lang w:val="zh-CN"/>
        </w:rPr>
        <w:t xml:space="preserve">                                </w:t>
      </w:r>
      <w:r>
        <w:rPr>
          <w:rFonts w:hint="eastAsia" w:ascii="宋体" w:hAnsi="宋体" w:eastAsia="宋体" w:cs="宋体"/>
          <w:sz w:val="24"/>
          <w:lang w:val="zh-CN"/>
        </w:rPr>
        <w:t>（投标人名称）的法定代表人（单位负责人）。</w:t>
      </w:r>
    </w:p>
    <w:p>
      <w:pPr>
        <w:autoSpaceDE w:val="0"/>
        <w:autoSpaceDN w:val="0"/>
        <w:adjustRightInd w:val="0"/>
        <w:spacing w:line="360" w:lineRule="auto"/>
        <w:ind w:right="105" w:firstLine="480" w:firstLineChars="200"/>
        <w:jc w:val="left"/>
        <w:rPr>
          <w:rFonts w:hint="eastAsia" w:ascii="宋体" w:hAnsi="宋体" w:eastAsia="宋体" w:cs="宋体"/>
          <w:sz w:val="24"/>
          <w:lang w:val="zh-CN"/>
        </w:rPr>
      </w:pPr>
      <w:r>
        <w:rPr>
          <w:rFonts w:hint="eastAsia" w:ascii="宋体" w:hAnsi="宋体" w:eastAsia="宋体" w:cs="宋体"/>
          <w:sz w:val="24"/>
          <w:lang w:val="zh-CN"/>
        </w:rPr>
        <w:t>特此证明。</w:t>
      </w:r>
    </w:p>
    <w:p>
      <w:pPr>
        <w:autoSpaceDE w:val="0"/>
        <w:autoSpaceDN w:val="0"/>
        <w:adjustRightInd w:val="0"/>
        <w:spacing w:line="360" w:lineRule="auto"/>
        <w:ind w:right="105"/>
        <w:jc w:val="left"/>
        <w:rPr>
          <w:rFonts w:hint="eastAsia" w:ascii="宋体" w:hAnsi="宋体" w:eastAsia="宋体" w:cs="宋体"/>
          <w:sz w:val="24"/>
          <w:lang w:val="zh-CN"/>
        </w:rPr>
      </w:pPr>
    </w:p>
    <w:p>
      <w:pPr>
        <w:autoSpaceDE w:val="0"/>
        <w:autoSpaceDN w:val="0"/>
        <w:adjustRightInd w:val="0"/>
        <w:spacing w:line="360" w:lineRule="auto"/>
        <w:ind w:right="105"/>
        <w:jc w:val="left"/>
        <w:rPr>
          <w:rFonts w:hint="eastAsia" w:ascii="宋体" w:hAnsi="宋体" w:eastAsia="宋体" w:cs="宋体"/>
          <w:sz w:val="24"/>
          <w:lang w:val="zh-CN"/>
        </w:rPr>
      </w:pPr>
      <w:r>
        <w:rPr>
          <w:rFonts w:hint="eastAsia" w:ascii="宋体" w:hAnsi="宋体" w:eastAsia="宋体" w:cs="宋体"/>
          <w:sz w:val="24"/>
          <w:lang w:val="zh-CN"/>
        </w:rPr>
        <w:t>附：法定代表人（单位负责人）身份证复印件。</w:t>
      </w:r>
    </w:p>
    <w:tbl>
      <w:tblPr>
        <w:tblStyle w:val="22"/>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7" w:hRule="atLeast"/>
        </w:trPr>
        <w:tc>
          <w:tcPr>
            <w:tcW w:w="9080" w:type="dxa"/>
          </w:tcPr>
          <w:p>
            <w:pPr>
              <w:pStyle w:val="43"/>
              <w:rPr>
                <w:rFonts w:hint="eastAsia" w:ascii="宋体" w:hAnsi="宋体" w:eastAsia="宋体" w:cs="宋体"/>
                <w:sz w:val="24"/>
                <w:lang w:val="zh-CN"/>
              </w:rPr>
            </w:pPr>
          </w:p>
        </w:tc>
      </w:tr>
    </w:tbl>
    <w:p>
      <w:pPr>
        <w:pStyle w:val="43"/>
        <w:rPr>
          <w:rFonts w:hint="eastAsia" w:ascii="宋体" w:hAnsi="宋体" w:eastAsia="宋体" w:cs="宋体"/>
          <w:sz w:val="24"/>
          <w:lang w:val="zh-CN"/>
        </w:rPr>
      </w:pPr>
    </w:p>
    <w:p>
      <w:pPr>
        <w:autoSpaceDE w:val="0"/>
        <w:autoSpaceDN w:val="0"/>
        <w:adjustRightInd w:val="0"/>
        <w:spacing w:line="360" w:lineRule="auto"/>
        <w:ind w:right="105"/>
        <w:jc w:val="left"/>
        <w:rPr>
          <w:rFonts w:hint="eastAsia" w:ascii="宋体" w:hAnsi="宋体" w:eastAsia="宋体" w:cs="宋体"/>
          <w:sz w:val="24"/>
          <w:lang w:val="zh-CN"/>
        </w:rPr>
      </w:pPr>
    </w:p>
    <w:p>
      <w:pPr>
        <w:autoSpaceDE w:val="0"/>
        <w:autoSpaceDN w:val="0"/>
        <w:adjustRightInd w:val="0"/>
        <w:spacing w:line="360" w:lineRule="auto"/>
        <w:ind w:right="105"/>
        <w:jc w:val="left"/>
        <w:rPr>
          <w:rFonts w:hint="eastAsia" w:ascii="宋体" w:hAnsi="宋体" w:eastAsia="宋体" w:cs="宋体"/>
          <w:sz w:val="24"/>
          <w:lang w:val="zh-CN"/>
        </w:rPr>
      </w:pPr>
      <w:r>
        <w:rPr>
          <w:rFonts w:hint="eastAsia" w:ascii="宋体" w:hAnsi="宋体" w:eastAsia="宋体" w:cs="宋体"/>
          <w:sz w:val="24"/>
          <w:lang w:val="zh-CN"/>
        </w:rPr>
        <w:t>注：自然人投标的此处只附身份证复印件。</w:t>
      </w:r>
    </w:p>
    <w:p>
      <w:pPr>
        <w:autoSpaceDE w:val="0"/>
        <w:autoSpaceDN w:val="0"/>
        <w:adjustRightInd w:val="0"/>
        <w:spacing w:line="360" w:lineRule="auto"/>
        <w:ind w:right="105"/>
        <w:jc w:val="left"/>
        <w:rPr>
          <w:rFonts w:hint="eastAsia" w:ascii="宋体" w:hAnsi="宋体" w:eastAsia="宋体" w:cs="宋体"/>
          <w:sz w:val="24"/>
          <w:lang w:val="zh-CN"/>
        </w:rPr>
      </w:pPr>
    </w:p>
    <w:p>
      <w:pPr>
        <w:autoSpaceDE w:val="0"/>
        <w:autoSpaceDN w:val="0"/>
        <w:adjustRightInd w:val="0"/>
        <w:spacing w:line="360" w:lineRule="auto"/>
        <w:ind w:right="105"/>
        <w:jc w:val="left"/>
        <w:rPr>
          <w:rFonts w:hint="eastAsia" w:ascii="宋体" w:hAnsi="宋体" w:eastAsia="宋体" w:cs="宋体"/>
          <w:sz w:val="24"/>
          <w:lang w:val="zh-CN"/>
        </w:rPr>
      </w:pPr>
    </w:p>
    <w:p>
      <w:pPr>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w:t>
      </w:r>
      <w:r>
        <w:rPr>
          <w:rFonts w:hint="eastAsia" w:ascii="宋体" w:hAnsi="宋体" w:eastAsia="宋体" w:cs="宋体"/>
          <w:sz w:val="24"/>
          <w:u w:val="single"/>
          <w:lang w:val="zh-CN"/>
        </w:rPr>
        <w:t xml:space="preserve">                                      </w:t>
      </w:r>
      <w:r>
        <w:rPr>
          <w:rFonts w:hint="eastAsia" w:ascii="宋体" w:hAnsi="宋体" w:eastAsia="宋体" w:cs="宋体"/>
          <w:sz w:val="24"/>
          <w:lang w:val="zh-CN"/>
        </w:rPr>
        <w:t>（盖单位公章）</w:t>
      </w:r>
    </w:p>
    <w:p>
      <w:pPr>
        <w:autoSpaceDE w:val="0"/>
        <w:autoSpaceDN w:val="0"/>
        <w:adjustRightInd w:val="0"/>
        <w:spacing w:line="360" w:lineRule="auto"/>
        <w:jc w:val="right"/>
        <w:rPr>
          <w:rFonts w:hint="eastAsia" w:ascii="宋体" w:hAnsi="宋体" w:eastAsia="宋体" w:cs="宋体"/>
          <w:sz w:val="24"/>
          <w:lang w:val="zh-CN"/>
        </w:rPr>
      </w:pPr>
      <w:r>
        <w:rPr>
          <w:rFonts w:hint="eastAsia" w:ascii="宋体" w:hAnsi="宋体" w:eastAsia="宋体" w:cs="宋体"/>
          <w:sz w:val="24"/>
          <w:lang w:val="zh-CN"/>
        </w:rPr>
        <w:t>年    月    日</w:t>
      </w:r>
    </w:p>
    <w:p>
      <w:pPr>
        <w:autoSpaceDE w:val="0"/>
        <w:autoSpaceDN w:val="0"/>
        <w:adjustRightInd w:val="0"/>
        <w:spacing w:line="360" w:lineRule="auto"/>
        <w:jc w:val="left"/>
        <w:rPr>
          <w:rFonts w:hint="eastAsia" w:ascii="宋体" w:hAnsi="宋体" w:eastAsia="宋体" w:cs="宋体"/>
          <w:sz w:val="24"/>
          <w:lang w:val="zh-CN"/>
        </w:rPr>
      </w:pPr>
    </w:p>
    <w:p>
      <w:pPr>
        <w:spacing w:line="360" w:lineRule="auto"/>
        <w:ind w:firstLine="420" w:firstLineChars="200"/>
        <w:jc w:val="center"/>
        <w:outlineLvl w:val="1"/>
        <w:rPr>
          <w:rStyle w:val="42"/>
          <w:rFonts w:hint="eastAsia" w:ascii="宋体" w:hAnsi="宋体" w:eastAsia="宋体" w:cs="宋体"/>
          <w:sz w:val="28"/>
          <w:szCs w:val="28"/>
        </w:rPr>
      </w:pPr>
      <w:r>
        <w:rPr>
          <w:rFonts w:hint="eastAsia" w:ascii="宋体" w:hAnsi="宋体" w:eastAsia="宋体" w:cs="宋体"/>
          <w:szCs w:val="21"/>
          <w:lang w:val="zh-CN"/>
        </w:rPr>
        <w:br w:type="page"/>
      </w:r>
      <w:bookmarkStart w:id="86" w:name="_Toc19615"/>
      <w:r>
        <w:rPr>
          <w:rStyle w:val="42"/>
          <w:rFonts w:hint="eastAsia" w:ascii="宋体" w:hAnsi="宋体" w:eastAsia="宋体" w:cs="宋体"/>
          <w:sz w:val="28"/>
          <w:szCs w:val="28"/>
        </w:rPr>
        <w:t>四、授权委托书</w:t>
      </w:r>
      <w:bookmarkEnd w:id="86"/>
    </w:p>
    <w:p>
      <w:pPr>
        <w:autoSpaceDE w:val="0"/>
        <w:autoSpaceDN w:val="0"/>
        <w:adjustRightInd w:val="0"/>
        <w:spacing w:line="360" w:lineRule="auto"/>
        <w:jc w:val="right"/>
        <w:rPr>
          <w:rFonts w:hint="eastAsia" w:ascii="宋体" w:hAnsi="宋体" w:eastAsia="宋体" w:cs="宋体"/>
          <w:szCs w:val="21"/>
          <w:lang w:val="zh-CN"/>
        </w:rPr>
      </w:pP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本人</w:t>
      </w:r>
      <w:r>
        <w:rPr>
          <w:rFonts w:hint="eastAsia" w:ascii="宋体" w:hAnsi="宋体" w:eastAsia="宋体" w:cs="宋体"/>
          <w:sz w:val="24"/>
          <w:u w:val="single"/>
          <w:lang w:val="zh-CN"/>
        </w:rPr>
        <w:t xml:space="preserve">      </w:t>
      </w:r>
      <w:r>
        <w:rPr>
          <w:rFonts w:hint="eastAsia" w:ascii="宋体" w:hAnsi="宋体" w:eastAsia="宋体" w:cs="宋体"/>
          <w:sz w:val="24"/>
          <w:lang w:val="zh-CN"/>
        </w:rPr>
        <w:t>（姓名）系</w:t>
      </w:r>
      <w:r>
        <w:rPr>
          <w:rFonts w:hint="eastAsia" w:ascii="宋体" w:hAnsi="宋体" w:eastAsia="宋体" w:cs="宋体"/>
          <w:sz w:val="24"/>
          <w:u w:val="single"/>
          <w:lang w:val="zh-CN"/>
        </w:rPr>
        <w:t xml:space="preserve">                    </w:t>
      </w:r>
      <w:r>
        <w:rPr>
          <w:rFonts w:hint="eastAsia" w:ascii="宋体" w:hAnsi="宋体" w:eastAsia="宋体" w:cs="宋体"/>
          <w:sz w:val="24"/>
          <w:lang w:val="zh-CN"/>
        </w:rPr>
        <w:t>（投标人名称）的法定代表人（单位负责人），现委托</w:t>
      </w:r>
      <w:r>
        <w:rPr>
          <w:rFonts w:hint="eastAsia" w:ascii="宋体" w:hAnsi="宋体" w:eastAsia="宋体" w:cs="宋体"/>
          <w:sz w:val="24"/>
          <w:u w:val="single"/>
          <w:lang w:val="zh-CN"/>
        </w:rPr>
        <w:t xml:space="preserve">      </w:t>
      </w:r>
      <w:r>
        <w:rPr>
          <w:rFonts w:hint="eastAsia" w:ascii="宋体" w:hAnsi="宋体" w:eastAsia="宋体" w:cs="宋体"/>
          <w:sz w:val="24"/>
          <w:lang w:val="zh-CN"/>
        </w:rPr>
        <w:t>（姓名）为我方代理人。代理人根据授权，以我方名义签署、澄清确认、递交、撤回、修改</w:t>
      </w:r>
      <w:r>
        <w:rPr>
          <w:rFonts w:hint="eastAsia" w:ascii="宋体" w:hAnsi="宋体" w:eastAsia="宋体" w:cs="宋体"/>
          <w:sz w:val="24"/>
          <w:u w:val="single"/>
        </w:rPr>
        <w:t xml:space="preserve"> 项目名称 </w:t>
      </w:r>
      <w:r>
        <w:rPr>
          <w:rFonts w:hint="eastAsia" w:ascii="宋体" w:hAnsi="宋体" w:eastAsia="宋体" w:cs="宋体"/>
          <w:sz w:val="24"/>
        </w:rPr>
        <w:t>（</w:t>
      </w:r>
      <w:r>
        <w:rPr>
          <w:rFonts w:hint="eastAsia" w:ascii="宋体" w:hAnsi="宋体" w:eastAsia="宋体" w:cs="宋体"/>
          <w:sz w:val="24"/>
          <w:u w:val="single"/>
          <w:lang w:val="en-US" w:eastAsia="zh-CN"/>
        </w:rPr>
        <w:t xml:space="preserve"> 包号 </w:t>
      </w:r>
      <w:r>
        <w:rPr>
          <w:rFonts w:hint="eastAsia" w:ascii="宋体" w:hAnsi="宋体" w:eastAsia="宋体" w:cs="宋体"/>
          <w:sz w:val="24"/>
        </w:rPr>
        <w:t>）</w:t>
      </w:r>
      <w:r>
        <w:rPr>
          <w:rFonts w:hint="eastAsia" w:ascii="宋体" w:hAnsi="宋体" w:eastAsia="宋体" w:cs="宋体"/>
          <w:sz w:val="24"/>
          <w:lang w:val="zh-CN"/>
        </w:rPr>
        <w:t>投标文件、签订合同和处理有关事宜，其法律后果由我方承担。</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委托期限：同投标有效期。</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代理人无转委托权。</w:t>
      </w:r>
    </w:p>
    <w:p>
      <w:pPr>
        <w:autoSpaceDE w:val="0"/>
        <w:autoSpaceDN w:val="0"/>
        <w:adjustRightInd w:val="0"/>
        <w:spacing w:line="360" w:lineRule="auto"/>
        <w:jc w:val="left"/>
        <w:rPr>
          <w:rFonts w:hint="eastAsia" w:ascii="宋体" w:hAnsi="宋体" w:eastAsia="宋体" w:cs="宋体"/>
          <w:sz w:val="24"/>
          <w:lang w:val="zh-CN"/>
        </w:rPr>
      </w:pP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附：法定代表人（单位负责人）身份证复印件及委托代理人身份证复印件</w:t>
      </w:r>
    </w:p>
    <w:tbl>
      <w:tblPr>
        <w:tblStyle w:val="22"/>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0"/>
        <w:gridCol w:w="4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4540" w:type="dxa"/>
          </w:tcPr>
          <w:p>
            <w:pPr>
              <w:pStyle w:val="43"/>
              <w:rPr>
                <w:rFonts w:hint="eastAsia" w:ascii="宋体" w:hAnsi="宋体" w:eastAsia="宋体" w:cs="宋体"/>
                <w:szCs w:val="21"/>
                <w:lang w:val="zh-CN"/>
              </w:rPr>
            </w:pPr>
          </w:p>
        </w:tc>
        <w:tc>
          <w:tcPr>
            <w:tcW w:w="4540" w:type="dxa"/>
          </w:tcPr>
          <w:p>
            <w:pPr>
              <w:pStyle w:val="43"/>
              <w:rPr>
                <w:rFonts w:hint="eastAsia" w:ascii="宋体" w:hAns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trPr>
        <w:tc>
          <w:tcPr>
            <w:tcW w:w="4540" w:type="dxa"/>
          </w:tcPr>
          <w:p>
            <w:pPr>
              <w:pStyle w:val="43"/>
              <w:rPr>
                <w:rFonts w:hint="eastAsia" w:ascii="宋体" w:hAnsi="宋体" w:eastAsia="宋体" w:cs="宋体"/>
                <w:szCs w:val="21"/>
                <w:lang w:val="zh-CN"/>
              </w:rPr>
            </w:pPr>
          </w:p>
        </w:tc>
        <w:tc>
          <w:tcPr>
            <w:tcW w:w="4540" w:type="dxa"/>
          </w:tcPr>
          <w:p>
            <w:pPr>
              <w:pStyle w:val="43"/>
              <w:rPr>
                <w:rFonts w:hint="eastAsia" w:ascii="宋体" w:hAnsi="宋体" w:eastAsia="宋体" w:cs="宋体"/>
                <w:szCs w:val="21"/>
                <w:lang w:val="zh-CN"/>
              </w:rPr>
            </w:pPr>
          </w:p>
        </w:tc>
      </w:tr>
    </w:tbl>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注：法定代表人（单位负责人/自然人）本人直接投标的不填写本部分内容。</w:t>
      </w: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w:t>
      </w:r>
      <w:r>
        <w:rPr>
          <w:rFonts w:hint="eastAsia" w:ascii="宋体" w:hAnsi="宋体" w:eastAsia="宋体" w:cs="宋体"/>
          <w:sz w:val="24"/>
          <w:u w:val="single"/>
          <w:lang w:val="zh-CN"/>
        </w:rPr>
        <w:t xml:space="preserve">                          </w:t>
      </w:r>
      <w:r>
        <w:rPr>
          <w:rFonts w:hint="eastAsia" w:ascii="宋体" w:hAnsi="宋体" w:eastAsia="宋体" w:cs="宋体"/>
          <w:sz w:val="24"/>
          <w:lang w:val="zh-CN"/>
        </w:rPr>
        <w:t>（盖单位公章）</w:t>
      </w: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法定代表人（单位负责人）：</w:t>
      </w:r>
      <w:r>
        <w:rPr>
          <w:rFonts w:hint="eastAsia" w:ascii="宋体" w:hAnsi="宋体" w:eastAsia="宋体" w:cs="宋体"/>
          <w:sz w:val="24"/>
          <w:u w:val="single"/>
          <w:lang w:val="zh-CN"/>
        </w:rPr>
        <w:t xml:space="preserve">        </w:t>
      </w:r>
      <w:r>
        <w:rPr>
          <w:rFonts w:hint="eastAsia" w:ascii="宋体" w:hAnsi="宋体" w:eastAsia="宋体" w:cs="宋体"/>
          <w:sz w:val="24"/>
          <w:lang w:val="zh-CN"/>
        </w:rPr>
        <w:t>（签字或盖章）</w:t>
      </w:r>
    </w:p>
    <w:p>
      <w:pPr>
        <w:wordWrap w:val="0"/>
        <w:autoSpaceDE w:val="0"/>
        <w:autoSpaceDN w:val="0"/>
        <w:adjustRightInd w:val="0"/>
        <w:spacing w:line="360" w:lineRule="auto"/>
        <w:ind w:firstLine="480" w:firstLineChars="200"/>
        <w:jc w:val="right"/>
        <w:rPr>
          <w:rFonts w:hint="eastAsia" w:ascii="宋体" w:hAnsi="宋体" w:eastAsia="宋体" w:cs="宋体"/>
          <w:sz w:val="24"/>
          <w:u w:val="single"/>
          <w:lang w:val="zh-CN"/>
        </w:rPr>
      </w:pPr>
      <w:r>
        <w:rPr>
          <w:rFonts w:hint="eastAsia" w:ascii="宋体" w:hAnsi="宋体" w:eastAsia="宋体" w:cs="宋体"/>
          <w:sz w:val="24"/>
          <w:lang w:val="zh-CN"/>
        </w:rPr>
        <w:t>身份证号码：</w:t>
      </w:r>
      <w:r>
        <w:rPr>
          <w:rFonts w:hint="eastAsia" w:ascii="宋体" w:hAnsi="宋体" w:eastAsia="宋体" w:cs="宋体"/>
          <w:sz w:val="24"/>
          <w:u w:val="single"/>
          <w:lang w:val="zh-CN"/>
        </w:rPr>
        <w:t xml:space="preserve">                                    </w:t>
      </w: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委托代理人：</w:t>
      </w:r>
      <w:r>
        <w:rPr>
          <w:rFonts w:hint="eastAsia" w:ascii="宋体" w:hAnsi="宋体" w:eastAsia="宋体" w:cs="宋体"/>
          <w:sz w:val="24"/>
          <w:u w:val="single"/>
          <w:lang w:val="zh-CN"/>
        </w:rPr>
        <w:t xml:space="preserve">                      </w:t>
      </w:r>
      <w:r>
        <w:rPr>
          <w:rFonts w:hint="eastAsia" w:ascii="宋体" w:hAnsi="宋体" w:eastAsia="宋体" w:cs="宋体"/>
          <w:sz w:val="24"/>
          <w:lang w:val="zh-CN"/>
        </w:rPr>
        <w:t>（签字或盖章）</w:t>
      </w:r>
    </w:p>
    <w:p>
      <w:pPr>
        <w:wordWrap w:val="0"/>
        <w:autoSpaceDE w:val="0"/>
        <w:autoSpaceDN w:val="0"/>
        <w:adjustRightInd w:val="0"/>
        <w:spacing w:line="360" w:lineRule="auto"/>
        <w:ind w:firstLine="480" w:firstLineChars="200"/>
        <w:jc w:val="right"/>
        <w:rPr>
          <w:rFonts w:hint="eastAsia" w:ascii="宋体" w:hAnsi="宋体" w:eastAsia="宋体" w:cs="宋体"/>
          <w:sz w:val="24"/>
          <w:u w:val="single"/>
          <w:lang w:val="zh-CN"/>
        </w:rPr>
      </w:pPr>
      <w:r>
        <w:rPr>
          <w:rFonts w:hint="eastAsia" w:ascii="宋体" w:hAnsi="宋体" w:eastAsia="宋体" w:cs="宋体"/>
          <w:sz w:val="24"/>
          <w:lang w:val="zh-CN"/>
        </w:rPr>
        <w:t>身份证号码：</w:t>
      </w:r>
      <w:r>
        <w:rPr>
          <w:rFonts w:hint="eastAsia" w:ascii="宋体" w:hAnsi="宋体" w:eastAsia="宋体" w:cs="宋体"/>
          <w:sz w:val="24"/>
          <w:u w:val="single"/>
          <w:lang w:val="zh-CN"/>
        </w:rPr>
        <w:t xml:space="preserve">                                    </w:t>
      </w:r>
    </w:p>
    <w:p>
      <w:pPr>
        <w:autoSpaceDE w:val="0"/>
        <w:autoSpaceDN w:val="0"/>
        <w:adjustRightInd w:val="0"/>
        <w:spacing w:line="360" w:lineRule="auto"/>
        <w:ind w:firstLine="6000" w:firstLineChars="2500"/>
        <w:jc w:val="right"/>
        <w:rPr>
          <w:rFonts w:hint="eastAsia" w:ascii="宋体" w:hAnsi="宋体" w:eastAsia="宋体" w:cs="宋体"/>
          <w:sz w:val="24"/>
          <w:lang w:val="zh-CN"/>
        </w:rPr>
      </w:pPr>
      <w:r>
        <w:rPr>
          <w:rFonts w:hint="eastAsia" w:ascii="宋体" w:hAnsi="宋体" w:eastAsia="宋体" w:cs="宋体"/>
          <w:sz w:val="24"/>
          <w:lang w:val="zh-CN"/>
        </w:rPr>
        <w:t>年    月    日</w:t>
      </w:r>
    </w:p>
    <w:p>
      <w:pPr>
        <w:spacing w:line="360" w:lineRule="auto"/>
        <w:ind w:firstLine="420" w:firstLineChars="200"/>
        <w:jc w:val="center"/>
        <w:outlineLvl w:val="1"/>
        <w:rPr>
          <w:rFonts w:hint="eastAsia" w:ascii="宋体" w:hAnsi="宋体" w:eastAsia="宋体" w:cs="宋体"/>
          <w:b/>
          <w:sz w:val="28"/>
          <w:szCs w:val="28"/>
        </w:rPr>
      </w:pPr>
      <w:r>
        <w:rPr>
          <w:rFonts w:hint="eastAsia" w:ascii="宋体" w:hAnsi="宋体" w:eastAsia="宋体" w:cs="宋体"/>
          <w:szCs w:val="21"/>
          <w:lang w:val="zh-CN"/>
        </w:rPr>
        <w:br w:type="page"/>
      </w:r>
      <w:bookmarkStart w:id="87" w:name="_Toc24665"/>
      <w:r>
        <w:rPr>
          <w:rFonts w:hint="eastAsia" w:ascii="宋体" w:hAnsi="宋体" w:eastAsia="宋体" w:cs="宋体"/>
          <w:b/>
          <w:sz w:val="28"/>
          <w:szCs w:val="28"/>
          <w:lang w:val="zh-CN"/>
        </w:rPr>
        <w:t>五</w:t>
      </w:r>
      <w:r>
        <w:rPr>
          <w:rFonts w:hint="eastAsia" w:ascii="宋体" w:hAnsi="宋体" w:eastAsia="宋体" w:cs="宋体"/>
          <w:b/>
          <w:sz w:val="28"/>
          <w:szCs w:val="28"/>
        </w:rPr>
        <w:t>、资格审查资料</w:t>
      </w:r>
      <w:bookmarkEnd w:id="87"/>
    </w:p>
    <w:p>
      <w:pPr>
        <w:autoSpaceDE w:val="0"/>
        <w:autoSpaceDN w:val="0"/>
        <w:adjustRightInd w:val="0"/>
        <w:spacing w:line="360" w:lineRule="auto"/>
        <w:jc w:val="left"/>
        <w:rPr>
          <w:rFonts w:hint="eastAsia" w:ascii="宋体" w:hAnsi="宋体" w:eastAsia="宋体" w:cs="宋体"/>
          <w:szCs w:val="21"/>
          <w:lang w:val="zh-CN"/>
        </w:rPr>
      </w:pP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1、具有独立承担民事责任能力的法人或其他组织，提供有效存续的营业执照或事业单位法人证书或非企业专业服务机构执业许可证或民办非企业单位登记证书或自然人的身份证明；</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2、</w:t>
      </w:r>
      <w:r>
        <w:rPr>
          <w:rFonts w:hint="eastAsia" w:ascii="宋体" w:hAnsi="宋体" w:eastAsia="宋体" w:cs="宋体"/>
          <w:sz w:val="24"/>
          <w:lang w:val="en-US" w:eastAsia="zh-CN"/>
        </w:rPr>
        <w:t>财务状况报告：提供经审计的2020年或2021年财务报告，包括“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后附开户许可证或基本账户</w:t>
      </w:r>
      <w:r>
        <w:rPr>
          <w:rFonts w:hint="eastAsia" w:ascii="宋体" w:hAnsi="宋体" w:eastAsia="宋体" w:cs="宋体"/>
          <w:sz w:val="24"/>
          <w:lang w:eastAsia="zh-CN"/>
        </w:rPr>
        <w:t>信息</w:t>
      </w:r>
      <w:r>
        <w:rPr>
          <w:rFonts w:hint="eastAsia" w:ascii="宋体" w:hAnsi="宋体" w:eastAsia="宋体" w:cs="宋体"/>
          <w:sz w:val="24"/>
          <w:lang w:val="en-US" w:eastAsia="zh-CN"/>
        </w:rPr>
        <w:t>），以上两种形式的资料提供任何一种即可（分支机构如无法提供财务审计报告，须出具包含分支机构的财务数据的总公司财务审计报告）；事业单位零余额账户提供相应证明；</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3、</w:t>
      </w:r>
      <w:r>
        <w:rPr>
          <w:rFonts w:hint="eastAsia" w:ascii="宋体" w:hAnsi="宋体" w:eastAsia="宋体" w:cs="宋体"/>
          <w:sz w:val="24"/>
          <w:lang w:val="en-US" w:eastAsia="zh-CN"/>
        </w:rPr>
        <w:t>税收缴纳证明：提供已缴纳的2021年度6月份至今任意一个月的纳税证明或完税证明，纳税证明或完税证明上应有代收机构或税务机关的公章。依法免税的供应商应提供相关文件证明；</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4、</w:t>
      </w:r>
      <w:r>
        <w:rPr>
          <w:rFonts w:hint="eastAsia" w:ascii="宋体" w:hAnsi="宋体" w:eastAsia="宋体" w:cs="宋体"/>
          <w:sz w:val="24"/>
          <w:lang w:val="en-US" w:eastAsia="zh-CN"/>
        </w:rPr>
        <w:t>供应商须提供具有履行合同所必需的设备和专业技术能力的承诺；</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5、</w:t>
      </w:r>
      <w:r>
        <w:rPr>
          <w:rFonts w:hint="eastAsia" w:ascii="宋体" w:hAnsi="宋体" w:eastAsia="宋体" w:cs="宋体"/>
          <w:sz w:val="24"/>
        </w:rPr>
        <w:t>社会保障资金缴纳证明：提供已缴存的2021年度</w:t>
      </w:r>
      <w:r>
        <w:rPr>
          <w:rFonts w:hint="eastAsia" w:ascii="宋体" w:hAnsi="宋体" w:eastAsia="宋体" w:cs="宋体"/>
          <w:sz w:val="24"/>
          <w:lang w:val="en-US" w:eastAsia="zh-CN"/>
        </w:rPr>
        <w:t>6月份</w:t>
      </w:r>
      <w:r>
        <w:rPr>
          <w:rFonts w:hint="eastAsia" w:ascii="宋体" w:hAnsi="宋体" w:eastAsia="宋体" w:cs="宋体"/>
          <w:sz w:val="24"/>
        </w:rPr>
        <w:t>至今任意一个月的社会保障资金缴存单据或社保机构开具的社会保险参保缴费情况证明，单据或证明上应有社保机构或代收机构的公章。依法不需要缴纳社会保障资金的供应商应提供相关文件证明；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lang w:val="zh-CN"/>
        </w:rPr>
        <w:t>6、</w:t>
      </w:r>
      <w:r>
        <w:rPr>
          <w:rFonts w:hint="eastAsia" w:ascii="宋体" w:hAnsi="宋体" w:eastAsia="宋体" w:cs="宋体"/>
          <w:sz w:val="24"/>
        </w:rPr>
        <w:t>出具参加本次政府采购活动前三年内在经营活动中没有重大违法记录的书面声</w:t>
      </w:r>
      <w:r>
        <w:rPr>
          <w:rFonts w:hint="eastAsia" w:ascii="宋体" w:hAnsi="宋体" w:eastAsia="宋体" w:cs="宋体"/>
          <w:sz w:val="24"/>
          <w:highlight w:val="none"/>
        </w:rPr>
        <w:t>明；</w:t>
      </w:r>
    </w:p>
    <w:p>
      <w:pPr>
        <w:spacing w:line="360" w:lineRule="auto"/>
        <w:ind w:firstLine="480" w:firstLineChars="200"/>
        <w:rPr>
          <w:rFonts w:hint="eastAsia" w:ascii="宋体" w:hAnsi="宋体" w:cs="宋体"/>
          <w:sz w:val="24"/>
          <w:highlight w:val="none"/>
          <w:lang w:val="zh-CN"/>
        </w:rPr>
      </w:pPr>
      <w:r>
        <w:rPr>
          <w:rFonts w:hint="eastAsia" w:ascii="宋体" w:hAnsi="宋体" w:eastAsia="宋体" w:cs="宋体"/>
          <w:sz w:val="24"/>
          <w:highlight w:val="none"/>
          <w:lang w:val="zh-CN"/>
        </w:rPr>
        <w:t>7、第</w:t>
      </w:r>
      <w:r>
        <w:rPr>
          <w:rFonts w:hint="eastAsia" w:ascii="宋体" w:hAnsi="宋体" w:cs="宋体"/>
          <w:sz w:val="24"/>
          <w:highlight w:val="none"/>
          <w:lang w:val="zh-CN"/>
        </w:rPr>
        <w:t>一</w:t>
      </w:r>
      <w:r>
        <w:rPr>
          <w:rFonts w:hint="eastAsia" w:ascii="宋体" w:hAnsi="宋体" w:eastAsia="宋体" w:cs="宋体"/>
          <w:sz w:val="24"/>
          <w:highlight w:val="none"/>
          <w:lang w:val="zh-CN"/>
        </w:rPr>
        <w:t>包、第五包、第</w:t>
      </w:r>
      <w:r>
        <w:rPr>
          <w:rFonts w:hint="eastAsia" w:ascii="宋体" w:hAnsi="宋体" w:cs="宋体"/>
          <w:sz w:val="24"/>
          <w:highlight w:val="none"/>
          <w:lang w:val="zh-CN"/>
        </w:rPr>
        <w:t>七</w:t>
      </w:r>
      <w:r>
        <w:rPr>
          <w:rFonts w:hint="eastAsia" w:ascii="宋体" w:hAnsi="宋体" w:eastAsia="宋体" w:cs="宋体"/>
          <w:sz w:val="24"/>
          <w:highlight w:val="none"/>
          <w:lang w:val="zh-CN"/>
        </w:rPr>
        <w:t>包</w:t>
      </w:r>
      <w:r>
        <w:rPr>
          <w:rFonts w:hint="eastAsia" w:ascii="宋体" w:hAnsi="宋体" w:cs="宋体"/>
          <w:sz w:val="24"/>
          <w:highlight w:val="none"/>
          <w:lang w:val="zh-CN"/>
        </w:rPr>
        <w:t>、第八包</w:t>
      </w:r>
      <w:r>
        <w:rPr>
          <w:rFonts w:hint="eastAsia" w:ascii="宋体" w:hAnsi="宋体" w:eastAsia="宋体" w:cs="宋体"/>
          <w:sz w:val="24"/>
          <w:highlight w:val="none"/>
          <w:lang w:val="zh-CN"/>
        </w:rPr>
        <w:t>提供：本项目专门面向中小企业采购（残疾人福利性单位及监狱企业视同小型、微型企业）（提供声明函）</w:t>
      </w:r>
      <w:r>
        <w:rPr>
          <w:rFonts w:hint="eastAsia" w:ascii="宋体" w:hAnsi="宋体" w:cs="宋体"/>
          <w:sz w:val="24"/>
          <w:highlight w:val="none"/>
          <w:lang w:val="zh-CN"/>
        </w:rPr>
        <w:t>；</w:t>
      </w:r>
    </w:p>
    <w:p>
      <w:pPr>
        <w:spacing w:line="360" w:lineRule="auto"/>
        <w:ind w:firstLine="480" w:firstLineChars="200"/>
        <w:rPr>
          <w:rFonts w:hint="eastAsia" w:ascii="宋体" w:hAnsi="宋体" w:eastAsia="宋体" w:cs="宋体"/>
          <w:sz w:val="24"/>
          <w:lang w:val="zh-CN"/>
        </w:rPr>
      </w:pPr>
      <w:r>
        <w:rPr>
          <w:rFonts w:hint="eastAsia" w:ascii="宋体" w:hAnsi="宋体" w:cs="宋体"/>
          <w:sz w:val="24"/>
          <w:lang w:val="en-US" w:eastAsia="zh-CN"/>
        </w:rPr>
        <w:t>8、</w:t>
      </w:r>
      <w:r>
        <w:rPr>
          <w:rFonts w:hint="eastAsia" w:ascii="宋体" w:hAnsi="宋体" w:eastAsia="宋体" w:cs="宋体"/>
          <w:sz w:val="24"/>
        </w:rPr>
        <w:t>法定代表人授权书（附法定代表人、被授权人身份证复印件）及被授权人身份证（法定代表人直接参加招标，须提供法定代表人身份证明及身份证原件）；</w:t>
      </w:r>
    </w:p>
    <w:p>
      <w:pPr>
        <w:spacing w:line="440" w:lineRule="exact"/>
        <w:ind w:firstLine="480" w:firstLineChars="200"/>
        <w:jc w:val="both"/>
        <w:outlineLvl w:val="9"/>
        <w:rPr>
          <w:rFonts w:hint="eastAsia" w:ascii="宋体" w:hAnsi="宋体" w:eastAsia="宋体" w:cs="宋体"/>
          <w:sz w:val="24"/>
          <w:lang w:val="zh-CN"/>
        </w:rPr>
        <w:sectPr>
          <w:headerReference r:id="rId17" w:type="first"/>
          <w:footerReference r:id="rId19" w:type="first"/>
          <w:headerReference r:id="rId16" w:type="default"/>
          <w:footerReference r:id="rId18" w:type="default"/>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r>
        <w:rPr>
          <w:rFonts w:hint="eastAsia" w:ascii="宋体" w:hAnsi="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zh-CN"/>
        </w:rPr>
        <w:t>本项目不接受联合体投标（提供书面说明）。</w:t>
      </w:r>
    </w:p>
    <w:p>
      <w:pPr>
        <w:spacing w:line="440" w:lineRule="exact"/>
        <w:jc w:val="center"/>
        <w:outlineLvl w:val="1"/>
        <w:rPr>
          <w:rFonts w:hint="eastAsia" w:ascii="宋体" w:hAnsi="宋体" w:eastAsia="宋体" w:cs="宋体"/>
          <w:b/>
          <w:sz w:val="32"/>
          <w:szCs w:val="32"/>
        </w:rPr>
      </w:pPr>
      <w:bookmarkStart w:id="88" w:name="_Toc13564"/>
      <w:r>
        <w:rPr>
          <w:rFonts w:hint="eastAsia" w:ascii="宋体" w:hAnsi="宋体" w:eastAsia="宋体" w:cs="宋体"/>
          <w:b/>
          <w:sz w:val="32"/>
          <w:szCs w:val="32"/>
          <w:lang w:val="zh-CN"/>
        </w:rPr>
        <w:t>六</w:t>
      </w:r>
      <w:r>
        <w:rPr>
          <w:rFonts w:hint="eastAsia" w:ascii="宋体" w:hAnsi="宋体" w:eastAsia="宋体" w:cs="宋体"/>
          <w:b/>
          <w:sz w:val="32"/>
          <w:szCs w:val="32"/>
        </w:rPr>
        <w:t>、</w:t>
      </w:r>
      <w:bookmarkEnd w:id="88"/>
      <w:r>
        <w:rPr>
          <w:rFonts w:hint="eastAsia" w:ascii="宋体" w:hAnsi="宋体" w:eastAsia="宋体" w:cs="宋体"/>
          <w:b/>
          <w:sz w:val="32"/>
          <w:szCs w:val="32"/>
        </w:rPr>
        <w:t>商务响应表</w:t>
      </w:r>
    </w:p>
    <w:p>
      <w:pPr>
        <w:ind w:firstLine="211"/>
        <w:jc w:val="center"/>
        <w:rPr>
          <w:rFonts w:hint="eastAsia" w:ascii="宋体" w:hAnsi="宋体" w:eastAsia="宋体" w:cs="宋体"/>
          <w:b/>
          <w:bCs/>
          <w:sz w:val="28"/>
          <w:szCs w:val="28"/>
          <w:lang w:val="zh-CN"/>
        </w:rPr>
      </w:pPr>
    </w:p>
    <w:tbl>
      <w:tblPr>
        <w:tblStyle w:val="22"/>
        <w:tblW w:w="88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2290"/>
        <w:gridCol w:w="2135"/>
        <w:gridCol w:w="1685"/>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81"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2290" w:type="dxa"/>
            <w:vAlign w:val="center"/>
          </w:tcPr>
          <w:p>
            <w:pPr>
              <w:jc w:val="center"/>
              <w:rPr>
                <w:rFonts w:hint="eastAsia" w:ascii="宋体" w:hAnsi="宋体" w:eastAsia="宋体" w:cs="宋体"/>
                <w:szCs w:val="21"/>
              </w:rPr>
            </w:pPr>
            <w:r>
              <w:rPr>
                <w:rFonts w:hint="eastAsia" w:ascii="宋体" w:hAnsi="宋体" w:eastAsia="宋体" w:cs="宋体"/>
                <w:szCs w:val="21"/>
              </w:rPr>
              <w:t>招标文件</w:t>
            </w:r>
          </w:p>
          <w:p>
            <w:pPr>
              <w:jc w:val="center"/>
              <w:rPr>
                <w:rFonts w:hint="eastAsia" w:ascii="宋体" w:hAnsi="宋体" w:eastAsia="宋体" w:cs="宋体"/>
                <w:szCs w:val="21"/>
              </w:rPr>
            </w:pPr>
            <w:r>
              <w:rPr>
                <w:rFonts w:hint="eastAsia" w:ascii="宋体" w:hAnsi="宋体" w:eastAsia="宋体" w:cs="宋体"/>
                <w:szCs w:val="21"/>
              </w:rPr>
              <w:t>主要合同条款</w:t>
            </w:r>
          </w:p>
        </w:tc>
        <w:tc>
          <w:tcPr>
            <w:tcW w:w="2135" w:type="dxa"/>
            <w:vAlign w:val="center"/>
          </w:tcPr>
          <w:p>
            <w:pPr>
              <w:jc w:val="center"/>
              <w:rPr>
                <w:rFonts w:hint="eastAsia" w:ascii="宋体" w:hAnsi="宋体" w:eastAsia="宋体" w:cs="宋体"/>
                <w:szCs w:val="21"/>
              </w:rPr>
            </w:pPr>
            <w:r>
              <w:rPr>
                <w:rFonts w:hint="eastAsia" w:ascii="宋体" w:hAnsi="宋体" w:eastAsia="宋体" w:cs="宋体"/>
                <w:szCs w:val="21"/>
              </w:rPr>
              <w:t>投标文件</w:t>
            </w:r>
          </w:p>
          <w:p>
            <w:pPr>
              <w:jc w:val="center"/>
              <w:rPr>
                <w:rFonts w:hint="eastAsia" w:ascii="宋体" w:hAnsi="宋体" w:eastAsia="宋体" w:cs="宋体"/>
                <w:szCs w:val="21"/>
              </w:rPr>
            </w:pPr>
            <w:r>
              <w:rPr>
                <w:rFonts w:hint="eastAsia" w:ascii="宋体" w:hAnsi="宋体" w:eastAsia="宋体" w:cs="宋体"/>
                <w:szCs w:val="21"/>
              </w:rPr>
              <w:t>响应条款</w:t>
            </w:r>
          </w:p>
        </w:tc>
        <w:tc>
          <w:tcPr>
            <w:tcW w:w="1685" w:type="dxa"/>
            <w:vAlign w:val="center"/>
          </w:tcPr>
          <w:p>
            <w:pPr>
              <w:jc w:val="center"/>
              <w:rPr>
                <w:rFonts w:hint="eastAsia" w:ascii="宋体" w:hAnsi="宋体" w:eastAsia="宋体" w:cs="宋体"/>
                <w:szCs w:val="21"/>
              </w:rPr>
            </w:pPr>
            <w:r>
              <w:rPr>
                <w:rFonts w:hint="eastAsia" w:ascii="宋体" w:hAnsi="宋体" w:eastAsia="宋体" w:cs="宋体"/>
                <w:szCs w:val="21"/>
              </w:rPr>
              <w:t>响应说明</w:t>
            </w:r>
          </w:p>
        </w:tc>
        <w:tc>
          <w:tcPr>
            <w:tcW w:w="1685" w:type="dxa"/>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81" w:type="dxa"/>
            <w:vAlign w:val="center"/>
          </w:tcPr>
          <w:p>
            <w:pPr>
              <w:jc w:val="center"/>
              <w:rPr>
                <w:rFonts w:hint="eastAsia" w:ascii="宋体" w:hAnsi="宋体" w:eastAsia="宋体" w:cs="宋体"/>
                <w:szCs w:val="21"/>
              </w:rPr>
            </w:pPr>
          </w:p>
        </w:tc>
        <w:tc>
          <w:tcPr>
            <w:tcW w:w="2290" w:type="dxa"/>
          </w:tcPr>
          <w:p>
            <w:pPr>
              <w:rPr>
                <w:rFonts w:hint="eastAsia" w:ascii="宋体" w:hAnsi="宋体" w:eastAsia="宋体" w:cs="宋体"/>
                <w:szCs w:val="21"/>
              </w:rPr>
            </w:pPr>
          </w:p>
        </w:tc>
        <w:tc>
          <w:tcPr>
            <w:tcW w:w="213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81" w:type="dxa"/>
            <w:vAlign w:val="center"/>
          </w:tcPr>
          <w:p>
            <w:pPr>
              <w:jc w:val="center"/>
              <w:rPr>
                <w:rFonts w:hint="eastAsia" w:ascii="宋体" w:hAnsi="宋体" w:eastAsia="宋体" w:cs="宋体"/>
                <w:szCs w:val="21"/>
              </w:rPr>
            </w:pPr>
          </w:p>
        </w:tc>
        <w:tc>
          <w:tcPr>
            <w:tcW w:w="2290" w:type="dxa"/>
          </w:tcPr>
          <w:p>
            <w:pPr>
              <w:rPr>
                <w:rFonts w:hint="eastAsia" w:ascii="宋体" w:hAnsi="宋体" w:eastAsia="宋体" w:cs="宋体"/>
                <w:szCs w:val="21"/>
              </w:rPr>
            </w:pPr>
          </w:p>
        </w:tc>
        <w:tc>
          <w:tcPr>
            <w:tcW w:w="213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81" w:type="dxa"/>
            <w:vAlign w:val="center"/>
          </w:tcPr>
          <w:p>
            <w:pPr>
              <w:jc w:val="center"/>
              <w:rPr>
                <w:rFonts w:hint="eastAsia" w:ascii="宋体" w:hAnsi="宋体" w:eastAsia="宋体" w:cs="宋体"/>
                <w:szCs w:val="21"/>
              </w:rPr>
            </w:pPr>
          </w:p>
        </w:tc>
        <w:tc>
          <w:tcPr>
            <w:tcW w:w="2290" w:type="dxa"/>
          </w:tcPr>
          <w:p>
            <w:pPr>
              <w:rPr>
                <w:rFonts w:hint="eastAsia" w:ascii="宋体" w:hAnsi="宋体" w:eastAsia="宋体" w:cs="宋体"/>
                <w:szCs w:val="21"/>
              </w:rPr>
            </w:pPr>
          </w:p>
        </w:tc>
        <w:tc>
          <w:tcPr>
            <w:tcW w:w="213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trPr>
        <w:tc>
          <w:tcPr>
            <w:tcW w:w="1081" w:type="dxa"/>
            <w:vAlign w:val="center"/>
          </w:tcPr>
          <w:p>
            <w:pPr>
              <w:jc w:val="center"/>
              <w:rPr>
                <w:rFonts w:hint="eastAsia" w:ascii="宋体" w:hAnsi="宋体" w:eastAsia="宋体" w:cs="宋体"/>
                <w:szCs w:val="21"/>
              </w:rPr>
            </w:pPr>
          </w:p>
        </w:tc>
        <w:tc>
          <w:tcPr>
            <w:tcW w:w="2290" w:type="dxa"/>
          </w:tcPr>
          <w:p>
            <w:pPr>
              <w:rPr>
                <w:rFonts w:hint="eastAsia" w:ascii="宋体" w:hAnsi="宋体" w:eastAsia="宋体" w:cs="宋体"/>
                <w:szCs w:val="21"/>
              </w:rPr>
            </w:pPr>
          </w:p>
        </w:tc>
        <w:tc>
          <w:tcPr>
            <w:tcW w:w="213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81" w:type="dxa"/>
            <w:vAlign w:val="center"/>
          </w:tcPr>
          <w:p>
            <w:pPr>
              <w:jc w:val="center"/>
              <w:rPr>
                <w:rFonts w:hint="eastAsia" w:ascii="宋体" w:hAnsi="宋体" w:eastAsia="宋体" w:cs="宋体"/>
                <w:szCs w:val="21"/>
              </w:rPr>
            </w:pPr>
          </w:p>
        </w:tc>
        <w:tc>
          <w:tcPr>
            <w:tcW w:w="2290" w:type="dxa"/>
          </w:tcPr>
          <w:p>
            <w:pPr>
              <w:rPr>
                <w:rFonts w:hint="eastAsia" w:ascii="宋体" w:hAnsi="宋体" w:eastAsia="宋体" w:cs="宋体"/>
                <w:szCs w:val="21"/>
              </w:rPr>
            </w:pPr>
          </w:p>
        </w:tc>
        <w:tc>
          <w:tcPr>
            <w:tcW w:w="213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atLeast"/>
        </w:trPr>
        <w:tc>
          <w:tcPr>
            <w:tcW w:w="1081" w:type="dxa"/>
            <w:vAlign w:val="center"/>
          </w:tcPr>
          <w:p>
            <w:pPr>
              <w:jc w:val="center"/>
              <w:rPr>
                <w:rFonts w:hint="eastAsia" w:ascii="宋体" w:hAnsi="宋体" w:eastAsia="宋体" w:cs="宋体"/>
                <w:szCs w:val="21"/>
              </w:rPr>
            </w:pPr>
          </w:p>
        </w:tc>
        <w:tc>
          <w:tcPr>
            <w:tcW w:w="2290" w:type="dxa"/>
          </w:tcPr>
          <w:p>
            <w:pPr>
              <w:rPr>
                <w:rFonts w:hint="eastAsia" w:ascii="宋体" w:hAnsi="宋体" w:eastAsia="宋体" w:cs="宋体"/>
                <w:szCs w:val="21"/>
              </w:rPr>
            </w:pPr>
          </w:p>
        </w:tc>
        <w:tc>
          <w:tcPr>
            <w:tcW w:w="213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c>
          <w:tcPr>
            <w:tcW w:w="1685" w:type="dxa"/>
          </w:tcPr>
          <w:p>
            <w:pPr>
              <w:rPr>
                <w:rFonts w:hint="eastAsia" w:ascii="宋体" w:hAnsi="宋体" w:eastAsia="宋体" w:cs="宋体"/>
                <w:szCs w:val="21"/>
              </w:rPr>
            </w:pPr>
          </w:p>
        </w:tc>
      </w:tr>
    </w:tbl>
    <w:p>
      <w:pPr>
        <w:tabs>
          <w:tab w:val="left" w:pos="5220"/>
        </w:tabs>
        <w:spacing w:line="360" w:lineRule="auto"/>
        <w:rPr>
          <w:rFonts w:hint="eastAsia" w:ascii="宋体" w:hAnsi="宋体" w:eastAsia="宋体" w:cs="宋体"/>
          <w:sz w:val="24"/>
        </w:rPr>
      </w:pPr>
    </w:p>
    <w:p>
      <w:pPr>
        <w:tabs>
          <w:tab w:val="left" w:pos="5220"/>
        </w:tabs>
        <w:spacing w:line="360" w:lineRule="auto"/>
        <w:ind w:firstLine="105" w:firstLineChars="50"/>
        <w:rPr>
          <w:rFonts w:hint="eastAsia" w:ascii="宋体" w:hAnsi="宋体" w:eastAsia="宋体" w:cs="宋体"/>
          <w:szCs w:val="21"/>
        </w:rPr>
      </w:pPr>
      <w:r>
        <w:rPr>
          <w:rFonts w:hint="eastAsia" w:ascii="宋体" w:hAnsi="宋体" w:eastAsia="宋体" w:cs="宋体"/>
          <w:szCs w:val="21"/>
        </w:rPr>
        <w:t>说明：</w:t>
      </w:r>
    </w:p>
    <w:p>
      <w:pPr>
        <w:tabs>
          <w:tab w:val="left" w:pos="5220"/>
        </w:tabs>
        <w:spacing w:line="360" w:lineRule="auto"/>
        <w:ind w:firstLine="105" w:firstLineChars="50"/>
        <w:rPr>
          <w:rFonts w:hint="eastAsia" w:ascii="宋体" w:hAnsi="宋体" w:eastAsia="宋体" w:cs="宋体"/>
          <w:szCs w:val="21"/>
        </w:rPr>
      </w:pPr>
      <w:r>
        <w:rPr>
          <w:rFonts w:hint="eastAsia" w:ascii="宋体" w:hAnsi="宋体" w:eastAsia="宋体" w:cs="宋体"/>
          <w:szCs w:val="21"/>
        </w:rPr>
        <w:t xml:space="preserve">    1、按照“</w:t>
      </w:r>
      <w:r>
        <w:rPr>
          <w:rFonts w:hint="eastAsia" w:ascii="宋体" w:hAnsi="宋体" w:eastAsia="宋体" w:cs="宋体"/>
          <w:bCs/>
          <w:szCs w:val="21"/>
        </w:rPr>
        <w:t>第</w:t>
      </w:r>
      <w:r>
        <w:rPr>
          <w:rFonts w:hint="eastAsia" w:ascii="宋体" w:hAnsi="宋体" w:cs="宋体"/>
          <w:bCs/>
          <w:szCs w:val="21"/>
          <w:lang w:eastAsia="zh-CN"/>
        </w:rPr>
        <w:t>五</w:t>
      </w:r>
      <w:r>
        <w:rPr>
          <w:rFonts w:hint="eastAsia" w:ascii="宋体" w:hAnsi="宋体" w:eastAsia="宋体" w:cs="宋体"/>
          <w:bCs/>
          <w:szCs w:val="21"/>
        </w:rPr>
        <w:t xml:space="preserve">章 </w:t>
      </w:r>
      <w:r>
        <w:rPr>
          <w:rFonts w:hint="eastAsia" w:ascii="宋体" w:hAnsi="宋体" w:eastAsia="宋体" w:cs="宋体"/>
          <w:szCs w:val="21"/>
        </w:rPr>
        <w:t>合同条款”逐条进行响应。</w:t>
      </w:r>
    </w:p>
    <w:p>
      <w:pPr>
        <w:tabs>
          <w:tab w:val="left" w:pos="5220"/>
        </w:tabs>
        <w:spacing w:line="360" w:lineRule="auto"/>
        <w:ind w:firstLine="105" w:firstLineChars="50"/>
        <w:rPr>
          <w:rFonts w:hint="eastAsia" w:ascii="宋体" w:hAnsi="宋体" w:eastAsia="宋体" w:cs="宋体"/>
          <w:szCs w:val="21"/>
        </w:rPr>
      </w:pPr>
      <w:r>
        <w:rPr>
          <w:rFonts w:hint="eastAsia" w:ascii="宋体" w:hAnsi="宋体" w:eastAsia="宋体" w:cs="宋体"/>
          <w:szCs w:val="21"/>
        </w:rPr>
        <w:t xml:space="preserve">    2、响应说明填写优于、满足、低于（如优于请说明原因）。</w:t>
      </w:r>
    </w:p>
    <w:p>
      <w:pPr>
        <w:tabs>
          <w:tab w:val="left" w:pos="5220"/>
        </w:tabs>
        <w:spacing w:line="360" w:lineRule="auto"/>
        <w:ind w:firstLine="105" w:firstLineChars="50"/>
        <w:rPr>
          <w:rFonts w:hint="eastAsia" w:ascii="宋体" w:hAnsi="宋体" w:eastAsia="宋体" w:cs="宋体"/>
          <w:szCs w:val="21"/>
        </w:rPr>
      </w:pPr>
    </w:p>
    <w:p>
      <w:pPr>
        <w:tabs>
          <w:tab w:val="left" w:pos="5220"/>
        </w:tabs>
        <w:spacing w:line="360" w:lineRule="auto"/>
        <w:ind w:firstLine="105" w:firstLineChars="50"/>
        <w:rPr>
          <w:rFonts w:hint="eastAsia" w:ascii="宋体" w:hAnsi="宋体" w:eastAsia="宋体" w:cs="宋体"/>
          <w:szCs w:val="21"/>
        </w:rPr>
      </w:pPr>
    </w:p>
    <w:p>
      <w:pPr>
        <w:autoSpaceDE w:val="0"/>
        <w:autoSpaceDN w:val="0"/>
        <w:adjustRightInd w:val="0"/>
        <w:spacing w:line="360" w:lineRule="auto"/>
        <w:ind w:firstLine="420" w:firstLineChars="200"/>
        <w:jc w:val="right"/>
        <w:rPr>
          <w:rFonts w:hint="eastAsia" w:ascii="宋体" w:hAnsi="宋体" w:eastAsia="宋体" w:cs="宋体"/>
          <w:szCs w:val="21"/>
          <w:lang w:val="zh-CN"/>
        </w:rPr>
      </w:pPr>
      <w:r>
        <w:rPr>
          <w:rFonts w:hint="eastAsia" w:ascii="宋体" w:hAnsi="宋体" w:eastAsia="宋体" w:cs="宋体"/>
          <w:szCs w:val="21"/>
          <w:lang w:val="zh-CN"/>
        </w:rPr>
        <w:t>投标人：</w:t>
      </w:r>
      <w:r>
        <w:rPr>
          <w:rFonts w:hint="eastAsia" w:ascii="宋体" w:hAnsi="宋体" w:eastAsia="宋体" w:cs="宋体"/>
          <w:szCs w:val="21"/>
          <w:u w:val="single"/>
          <w:lang w:val="zh-CN"/>
        </w:rPr>
        <w:t xml:space="preserve">                                        </w:t>
      </w:r>
      <w:r>
        <w:rPr>
          <w:rFonts w:hint="eastAsia" w:ascii="宋体" w:hAnsi="宋体" w:eastAsia="宋体" w:cs="宋体"/>
          <w:szCs w:val="21"/>
          <w:lang w:val="zh-CN"/>
        </w:rPr>
        <w:t>（盖单位公章）</w:t>
      </w:r>
    </w:p>
    <w:p>
      <w:pPr>
        <w:autoSpaceDE w:val="0"/>
        <w:autoSpaceDN w:val="0"/>
        <w:adjustRightInd w:val="0"/>
        <w:spacing w:line="360" w:lineRule="auto"/>
        <w:ind w:firstLine="420" w:firstLineChars="200"/>
        <w:jc w:val="right"/>
        <w:rPr>
          <w:rFonts w:hint="eastAsia" w:ascii="宋体" w:hAnsi="宋体" w:eastAsia="宋体" w:cs="宋体"/>
          <w:szCs w:val="21"/>
          <w:lang w:val="zh-CN"/>
        </w:rPr>
      </w:pPr>
      <w:r>
        <w:rPr>
          <w:rFonts w:hint="eastAsia" w:ascii="宋体" w:hAnsi="宋体" w:eastAsia="宋体" w:cs="宋体"/>
          <w:szCs w:val="21"/>
          <w:lang w:val="zh-CN"/>
        </w:rPr>
        <w:t>法定代表人（单位负责人）或其委托代理人：</w:t>
      </w:r>
      <w:r>
        <w:rPr>
          <w:rFonts w:hint="eastAsia" w:ascii="宋体" w:hAnsi="宋体" w:eastAsia="宋体" w:cs="宋体"/>
          <w:szCs w:val="21"/>
          <w:u w:val="single"/>
          <w:lang w:val="zh-CN"/>
        </w:rPr>
        <w:t xml:space="preserve">        </w:t>
      </w:r>
      <w:r>
        <w:rPr>
          <w:rFonts w:hint="eastAsia" w:ascii="宋体" w:hAnsi="宋体" w:eastAsia="宋体" w:cs="宋体"/>
          <w:szCs w:val="21"/>
          <w:lang w:val="zh-CN"/>
        </w:rPr>
        <w:t>（签字或盖章）</w:t>
      </w:r>
    </w:p>
    <w:p>
      <w:pPr>
        <w:autoSpaceDE w:val="0"/>
        <w:autoSpaceDN w:val="0"/>
        <w:adjustRightInd w:val="0"/>
        <w:spacing w:line="360" w:lineRule="auto"/>
        <w:ind w:firstLine="5250" w:firstLineChars="2500"/>
        <w:jc w:val="right"/>
        <w:rPr>
          <w:rFonts w:hint="eastAsia" w:ascii="宋体" w:hAnsi="宋体" w:eastAsia="宋体" w:cs="宋体"/>
          <w:szCs w:val="21"/>
          <w:lang w:val="zh-CN"/>
        </w:rPr>
      </w:pPr>
      <w:r>
        <w:rPr>
          <w:rFonts w:hint="eastAsia" w:ascii="宋体" w:hAnsi="宋体" w:eastAsia="宋体" w:cs="宋体"/>
          <w:szCs w:val="21"/>
          <w:lang w:val="zh-CN"/>
        </w:rPr>
        <w:t>年    月    日</w:t>
      </w:r>
    </w:p>
    <w:p>
      <w:pPr>
        <w:autoSpaceDE w:val="0"/>
        <w:autoSpaceDN w:val="0"/>
        <w:adjustRightInd w:val="0"/>
        <w:spacing w:line="360" w:lineRule="auto"/>
        <w:jc w:val="left"/>
        <w:rPr>
          <w:rFonts w:hint="eastAsia" w:ascii="宋体" w:hAnsi="宋体" w:eastAsia="宋体" w:cs="宋体"/>
          <w:szCs w:val="21"/>
        </w:rPr>
      </w:pPr>
    </w:p>
    <w:p>
      <w:pPr>
        <w:spacing w:line="360" w:lineRule="auto"/>
        <w:ind w:firstLine="420" w:firstLineChars="200"/>
        <w:jc w:val="center"/>
        <w:outlineLvl w:val="1"/>
        <w:rPr>
          <w:rFonts w:hint="eastAsia" w:ascii="宋体" w:hAnsi="宋体" w:eastAsia="宋体" w:cs="宋体"/>
          <w:b/>
          <w:sz w:val="32"/>
          <w:szCs w:val="32"/>
        </w:rPr>
      </w:pPr>
      <w:r>
        <w:rPr>
          <w:rFonts w:hint="eastAsia" w:ascii="宋体" w:hAnsi="宋体" w:eastAsia="宋体" w:cs="宋体"/>
          <w:szCs w:val="21"/>
          <w:lang w:val="zh-CN"/>
        </w:rPr>
        <w:br w:type="page"/>
      </w:r>
      <w:bookmarkStart w:id="89" w:name="_Toc26285"/>
      <w:r>
        <w:rPr>
          <w:rFonts w:hint="eastAsia" w:ascii="宋体" w:hAnsi="宋体" w:eastAsia="宋体" w:cs="宋体"/>
          <w:b/>
          <w:sz w:val="32"/>
          <w:szCs w:val="32"/>
          <w:lang w:val="zh-CN"/>
        </w:rPr>
        <w:t>七</w:t>
      </w:r>
      <w:r>
        <w:rPr>
          <w:rFonts w:hint="eastAsia" w:ascii="宋体" w:hAnsi="宋体" w:eastAsia="宋体" w:cs="宋体"/>
          <w:b/>
          <w:sz w:val="32"/>
          <w:szCs w:val="32"/>
        </w:rPr>
        <w:t>、</w:t>
      </w:r>
      <w:bookmarkEnd w:id="89"/>
      <w:r>
        <w:rPr>
          <w:rFonts w:hint="eastAsia" w:ascii="宋体" w:hAnsi="宋体" w:eastAsia="宋体" w:cs="宋体"/>
          <w:b/>
          <w:sz w:val="32"/>
          <w:szCs w:val="32"/>
        </w:rPr>
        <w:t>商务和技术响应</w:t>
      </w: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autoSpaceDE w:val="0"/>
        <w:autoSpaceDN w:val="0"/>
        <w:adjustRightInd w:val="0"/>
        <w:spacing w:line="360" w:lineRule="auto"/>
        <w:ind w:firstLine="482" w:firstLineChars="200"/>
        <w:jc w:val="left"/>
        <w:rPr>
          <w:rFonts w:hint="eastAsia" w:ascii="宋体" w:hAnsi="宋体" w:eastAsia="宋体" w:cs="宋体"/>
          <w:b/>
          <w:bCs/>
          <w:sz w:val="24"/>
          <w:lang w:val="zh-CN"/>
        </w:rPr>
      </w:pPr>
      <w:r>
        <w:rPr>
          <w:rFonts w:hint="eastAsia" w:ascii="宋体" w:hAnsi="宋体" w:eastAsia="宋体" w:cs="宋体"/>
          <w:b/>
          <w:bCs/>
          <w:sz w:val="24"/>
          <w:lang w:val="zh-CN"/>
        </w:rPr>
        <w:t>商务和技术响应包括但不限于：</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1.商务部分：</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（1）业绩合同</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（2）培训及售后服务方案</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（3）其他资料</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2.技术部分：</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（1）技术响应偏离表（格式见本章附件一）</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（2）货物详细配置及方案</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（3）供货及实施方案</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（4）项目管理方案</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（5）运输、配送、补（换）货措施、应急方案</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（6）交货时间和安装调试时间方案</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（7）其他资料</w:t>
      </w: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tabs>
          <w:tab w:val="left" w:pos="735"/>
        </w:tabs>
        <w:autoSpaceDE w:val="0"/>
        <w:autoSpaceDN w:val="0"/>
        <w:adjustRightInd w:val="0"/>
        <w:spacing w:line="360" w:lineRule="auto"/>
        <w:jc w:val="left"/>
        <w:rPr>
          <w:rFonts w:hint="eastAsia" w:ascii="宋体" w:hAnsi="宋体" w:eastAsia="宋体" w:cs="宋体"/>
          <w:szCs w:val="21"/>
          <w:lang w:val="zh-CN"/>
        </w:rPr>
      </w:pPr>
      <w:r>
        <w:rPr>
          <w:rFonts w:hint="eastAsia" w:ascii="宋体" w:hAnsi="宋体" w:eastAsia="宋体" w:cs="宋体"/>
          <w:szCs w:val="21"/>
          <w:lang w:val="zh-CN"/>
        </w:rPr>
        <w:tab/>
      </w:r>
    </w:p>
    <w:p>
      <w:pPr>
        <w:spacing w:line="360" w:lineRule="auto"/>
        <w:jc w:val="left"/>
        <w:rPr>
          <w:rFonts w:hint="eastAsia" w:ascii="宋体" w:hAnsi="宋体" w:eastAsia="宋体" w:cs="宋体"/>
          <w:b/>
          <w:szCs w:val="21"/>
        </w:rPr>
      </w:pPr>
      <w:r>
        <w:rPr>
          <w:rFonts w:hint="eastAsia" w:ascii="宋体" w:hAnsi="宋体" w:eastAsia="宋体" w:cs="宋体"/>
          <w:szCs w:val="21"/>
          <w:lang w:val="zh-CN"/>
        </w:rPr>
        <w:br w:type="page"/>
      </w:r>
      <w:r>
        <w:rPr>
          <w:rFonts w:hint="eastAsia" w:ascii="宋体" w:hAnsi="宋体" w:eastAsia="宋体" w:cs="宋体"/>
          <w:b/>
          <w:sz w:val="24"/>
        </w:rPr>
        <w:t>附件一：</w:t>
      </w:r>
    </w:p>
    <w:p>
      <w:pPr>
        <w:spacing w:line="360" w:lineRule="auto"/>
        <w:jc w:val="center"/>
        <w:rPr>
          <w:rFonts w:hint="eastAsia" w:ascii="宋体" w:hAnsi="宋体" w:eastAsia="宋体" w:cs="宋体"/>
          <w:b/>
          <w:sz w:val="24"/>
        </w:rPr>
      </w:pPr>
      <w:r>
        <w:rPr>
          <w:rFonts w:hint="eastAsia" w:ascii="宋体" w:hAnsi="宋体" w:eastAsia="宋体" w:cs="宋体"/>
          <w:b/>
          <w:sz w:val="24"/>
        </w:rPr>
        <w:t>技术响应偏离表</w:t>
      </w:r>
    </w:p>
    <w:p>
      <w:pPr>
        <w:spacing w:line="360" w:lineRule="auto"/>
        <w:jc w:val="center"/>
        <w:rPr>
          <w:rFonts w:hint="eastAsia" w:ascii="宋体" w:hAnsi="宋体" w:eastAsia="宋体" w:cs="宋体"/>
          <w:b/>
          <w:sz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1470"/>
        <w:gridCol w:w="189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40" w:type="dxa"/>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890" w:type="dxa"/>
            <w:vAlign w:val="center"/>
          </w:tcPr>
          <w:p>
            <w:pPr>
              <w:jc w:val="center"/>
              <w:rPr>
                <w:rFonts w:hint="eastAsia" w:ascii="宋体" w:hAnsi="宋体" w:eastAsia="宋体" w:cs="宋体"/>
                <w:sz w:val="24"/>
              </w:rPr>
            </w:pPr>
            <w:r>
              <w:rPr>
                <w:rFonts w:hint="eastAsia" w:ascii="宋体" w:hAnsi="宋体" w:eastAsia="宋体" w:cs="宋体"/>
                <w:sz w:val="24"/>
              </w:rPr>
              <w:t>货物名称</w:t>
            </w:r>
          </w:p>
        </w:tc>
        <w:tc>
          <w:tcPr>
            <w:tcW w:w="1470" w:type="dxa"/>
            <w:vAlign w:val="center"/>
          </w:tcPr>
          <w:p>
            <w:pPr>
              <w:jc w:val="center"/>
              <w:rPr>
                <w:rFonts w:hint="eastAsia" w:ascii="宋体" w:hAnsi="宋体" w:eastAsia="宋体" w:cs="宋体"/>
                <w:sz w:val="24"/>
              </w:rPr>
            </w:pPr>
            <w:r>
              <w:rPr>
                <w:rFonts w:hint="eastAsia" w:ascii="宋体" w:hAnsi="宋体" w:eastAsia="宋体" w:cs="宋体"/>
                <w:sz w:val="24"/>
              </w:rPr>
              <w:t>规格/型号</w:t>
            </w:r>
          </w:p>
        </w:tc>
        <w:tc>
          <w:tcPr>
            <w:tcW w:w="1896" w:type="dxa"/>
            <w:vAlign w:val="center"/>
          </w:tcPr>
          <w:p>
            <w:pPr>
              <w:ind w:firstLine="4"/>
              <w:jc w:val="center"/>
              <w:rPr>
                <w:rFonts w:hint="eastAsia" w:ascii="宋体" w:hAnsi="宋体" w:eastAsia="宋体" w:cs="宋体"/>
                <w:sz w:val="24"/>
              </w:rPr>
            </w:pPr>
            <w:r>
              <w:rPr>
                <w:rFonts w:hint="eastAsia" w:ascii="宋体" w:hAnsi="宋体" w:eastAsia="宋体" w:cs="宋体"/>
                <w:sz w:val="24"/>
              </w:rPr>
              <w:t>招标文件要求</w:t>
            </w:r>
          </w:p>
          <w:p>
            <w:pPr>
              <w:ind w:firstLine="4"/>
              <w:jc w:val="center"/>
              <w:rPr>
                <w:rFonts w:hint="eastAsia" w:ascii="宋体" w:hAnsi="宋体" w:eastAsia="宋体" w:cs="宋体"/>
                <w:sz w:val="24"/>
              </w:rPr>
            </w:pPr>
            <w:r>
              <w:rPr>
                <w:rFonts w:hint="eastAsia" w:ascii="宋体" w:hAnsi="宋体" w:eastAsia="宋体" w:cs="宋体"/>
                <w:sz w:val="24"/>
              </w:rPr>
              <w:t>数据/材质</w:t>
            </w:r>
          </w:p>
        </w:tc>
        <w:tc>
          <w:tcPr>
            <w:tcW w:w="1701" w:type="dxa"/>
            <w:vAlign w:val="center"/>
          </w:tcPr>
          <w:p>
            <w:pPr>
              <w:jc w:val="center"/>
              <w:rPr>
                <w:rFonts w:hint="eastAsia" w:ascii="宋体" w:hAnsi="宋体" w:eastAsia="宋体" w:cs="宋体"/>
                <w:sz w:val="24"/>
              </w:rPr>
            </w:pPr>
            <w:r>
              <w:rPr>
                <w:rFonts w:hint="eastAsia" w:ascii="宋体" w:hAnsi="宋体" w:eastAsia="宋体" w:cs="宋体"/>
                <w:sz w:val="24"/>
              </w:rPr>
              <w:t>投标文件响应</w:t>
            </w:r>
          </w:p>
          <w:p>
            <w:pPr>
              <w:jc w:val="center"/>
              <w:rPr>
                <w:rFonts w:hint="eastAsia" w:ascii="宋体" w:hAnsi="宋体" w:eastAsia="宋体" w:cs="宋体"/>
                <w:sz w:val="24"/>
              </w:rPr>
            </w:pPr>
            <w:r>
              <w:rPr>
                <w:rFonts w:hint="eastAsia" w:ascii="宋体" w:hAnsi="宋体" w:eastAsia="宋体" w:cs="宋体"/>
                <w:sz w:val="24"/>
              </w:rPr>
              <w:t>数据/材质</w:t>
            </w:r>
          </w:p>
        </w:tc>
        <w:tc>
          <w:tcPr>
            <w:tcW w:w="1701" w:type="dxa"/>
            <w:vAlign w:val="center"/>
          </w:tcPr>
          <w:p>
            <w:pPr>
              <w:jc w:val="center"/>
              <w:rPr>
                <w:rFonts w:hint="eastAsia" w:ascii="宋体" w:hAnsi="宋体" w:eastAsia="宋体" w:cs="宋体"/>
                <w:sz w:val="24"/>
              </w:rPr>
            </w:pPr>
            <w:r>
              <w:rPr>
                <w:rFonts w:hint="eastAsia" w:ascii="宋体" w:hAnsi="宋体" w:eastAsia="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840" w:type="dxa"/>
          </w:tcPr>
          <w:p>
            <w:pPr>
              <w:spacing w:line="360" w:lineRule="auto"/>
              <w:ind w:firstLine="211"/>
              <w:rPr>
                <w:rFonts w:hint="eastAsia" w:ascii="宋体" w:hAnsi="宋体" w:eastAsia="宋体" w:cs="宋体"/>
                <w:sz w:val="24"/>
              </w:rPr>
            </w:pPr>
          </w:p>
        </w:tc>
        <w:tc>
          <w:tcPr>
            <w:tcW w:w="1890" w:type="dxa"/>
          </w:tcPr>
          <w:p>
            <w:pPr>
              <w:spacing w:line="360" w:lineRule="auto"/>
              <w:ind w:firstLine="211"/>
              <w:rPr>
                <w:rFonts w:hint="eastAsia" w:ascii="宋体" w:hAnsi="宋体" w:eastAsia="宋体" w:cs="宋体"/>
                <w:sz w:val="24"/>
              </w:rPr>
            </w:pPr>
          </w:p>
        </w:tc>
        <w:tc>
          <w:tcPr>
            <w:tcW w:w="1470" w:type="dxa"/>
          </w:tcPr>
          <w:p>
            <w:pPr>
              <w:spacing w:line="360" w:lineRule="auto"/>
              <w:ind w:firstLine="211"/>
              <w:rPr>
                <w:rFonts w:hint="eastAsia" w:ascii="宋体" w:hAnsi="宋体" w:eastAsia="宋体" w:cs="宋体"/>
                <w:sz w:val="24"/>
              </w:rPr>
            </w:pPr>
          </w:p>
        </w:tc>
        <w:tc>
          <w:tcPr>
            <w:tcW w:w="1896"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c>
          <w:tcPr>
            <w:tcW w:w="1701" w:type="dxa"/>
          </w:tcPr>
          <w:p>
            <w:pPr>
              <w:spacing w:line="360" w:lineRule="auto"/>
              <w:ind w:firstLine="211"/>
              <w:rPr>
                <w:rFonts w:hint="eastAsia" w:ascii="宋体" w:hAnsi="宋体" w:eastAsia="宋体" w:cs="宋体"/>
                <w:sz w:val="24"/>
              </w:rPr>
            </w:pPr>
          </w:p>
        </w:tc>
      </w:tr>
    </w:tbl>
    <w:p>
      <w:pPr>
        <w:spacing w:line="360" w:lineRule="auto"/>
        <w:jc w:val="center"/>
        <w:rPr>
          <w:rFonts w:hint="eastAsia" w:ascii="宋体" w:hAnsi="宋体" w:eastAsia="宋体" w:cs="宋体"/>
          <w:b/>
          <w:szCs w:val="21"/>
        </w:rPr>
      </w:pPr>
    </w:p>
    <w:p>
      <w:pPr>
        <w:spacing w:line="360" w:lineRule="auto"/>
        <w:ind w:firstLine="420" w:firstLineChars="200"/>
        <w:rPr>
          <w:rFonts w:hint="eastAsia" w:ascii="宋体" w:hAnsi="宋体" w:eastAsia="宋体" w:cs="宋体"/>
          <w:szCs w:val="21"/>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1、偏离说明填写：“</w:t>
      </w:r>
      <w:r>
        <w:rPr>
          <w:rFonts w:hint="eastAsia" w:ascii="宋体" w:hAnsi="宋体" w:eastAsia="宋体" w:cs="宋体"/>
          <w:b/>
          <w:sz w:val="24"/>
        </w:rPr>
        <w:t>正偏离</w:t>
      </w:r>
      <w:r>
        <w:rPr>
          <w:rFonts w:hint="eastAsia" w:ascii="宋体" w:hAnsi="宋体" w:eastAsia="宋体" w:cs="宋体"/>
          <w:sz w:val="24"/>
        </w:rPr>
        <w:t>”</w:t>
      </w:r>
      <w:r>
        <w:rPr>
          <w:rFonts w:hint="eastAsia" w:ascii="宋体" w:hAnsi="宋体" w:cs="宋体"/>
          <w:sz w:val="24"/>
          <w:lang w:eastAsia="zh-CN"/>
        </w:rPr>
        <w:t>“</w:t>
      </w:r>
      <w:r>
        <w:rPr>
          <w:rFonts w:hint="eastAsia" w:ascii="宋体" w:hAnsi="宋体" w:eastAsia="宋体" w:cs="宋体"/>
          <w:b/>
          <w:sz w:val="24"/>
          <w:lang w:eastAsia="zh-CN"/>
        </w:rPr>
        <w:t>无偏离</w:t>
      </w:r>
      <w:r>
        <w:rPr>
          <w:rFonts w:hint="eastAsia" w:ascii="宋体" w:hAnsi="宋体" w:cs="宋体"/>
          <w:sz w:val="24"/>
          <w:lang w:eastAsia="zh-CN"/>
        </w:rPr>
        <w:t>”</w:t>
      </w:r>
      <w:r>
        <w:rPr>
          <w:rFonts w:hint="eastAsia" w:ascii="宋体" w:hAnsi="宋体" w:eastAsia="宋体" w:cs="宋体"/>
          <w:sz w:val="24"/>
        </w:rPr>
        <w:t>或“</w:t>
      </w:r>
      <w:r>
        <w:rPr>
          <w:rFonts w:hint="eastAsia" w:ascii="宋体" w:hAnsi="宋体" w:eastAsia="宋体" w:cs="宋体"/>
          <w:b/>
          <w:sz w:val="24"/>
        </w:rPr>
        <w:t>负偏离</w:t>
      </w:r>
      <w:r>
        <w:rPr>
          <w:rFonts w:hint="eastAsia" w:ascii="宋体" w:hAnsi="宋体" w:eastAsia="宋体" w:cs="宋体"/>
          <w:sz w:val="24"/>
        </w:rPr>
        <w:t>”</w:t>
      </w:r>
      <w:r>
        <w:rPr>
          <w:rFonts w:hint="eastAsia" w:ascii="宋体" w:hAnsi="宋体" w:eastAsia="宋体" w:cs="宋体"/>
          <w:b/>
          <w:sz w:val="24"/>
        </w:rPr>
        <w:t>，</w:t>
      </w:r>
      <w:r>
        <w:rPr>
          <w:rFonts w:hint="eastAsia" w:ascii="宋体" w:hAnsi="宋体" w:eastAsia="宋体" w:cs="宋体"/>
          <w:sz w:val="24"/>
        </w:rPr>
        <w:t>并</w:t>
      </w:r>
      <w:r>
        <w:rPr>
          <w:rFonts w:hint="eastAsia" w:ascii="宋体" w:hAnsi="宋体" w:eastAsia="宋体" w:cs="宋体"/>
          <w:b/>
          <w:sz w:val="24"/>
        </w:rPr>
        <w:t>注明技术支撑材料所在页码或位置（说明不清楚将导致评标委员会做出对投标人不利判定）</w:t>
      </w:r>
    </w:p>
    <w:p>
      <w:pPr>
        <w:autoSpaceDE w:val="0"/>
        <w:autoSpaceDN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2、表格不够用，投标人可按此表复制。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3、投标单位须如实填写该表，如有隐瞒，后果由投标人自负。</w:t>
      </w:r>
    </w:p>
    <w:p>
      <w:pPr>
        <w:spacing w:line="360" w:lineRule="auto"/>
        <w:ind w:firstLine="420" w:firstLineChars="200"/>
        <w:rPr>
          <w:rFonts w:hint="eastAsia" w:ascii="宋体" w:hAnsi="宋体" w:eastAsia="宋体" w:cs="宋体"/>
          <w:szCs w:val="21"/>
        </w:rPr>
      </w:pPr>
    </w:p>
    <w:p>
      <w:pPr>
        <w:spacing w:line="360" w:lineRule="auto"/>
        <w:ind w:firstLine="420" w:firstLineChars="200"/>
        <w:jc w:val="center"/>
        <w:outlineLvl w:val="1"/>
        <w:rPr>
          <w:rStyle w:val="42"/>
          <w:rFonts w:hint="eastAsia" w:ascii="宋体" w:hAnsi="宋体" w:eastAsia="宋体" w:cs="宋体"/>
          <w:sz w:val="28"/>
          <w:szCs w:val="28"/>
        </w:rPr>
      </w:pPr>
      <w:r>
        <w:rPr>
          <w:rFonts w:hint="eastAsia" w:ascii="宋体" w:hAnsi="宋体" w:eastAsia="宋体" w:cs="宋体"/>
          <w:szCs w:val="21"/>
        </w:rPr>
        <w:br w:type="page"/>
      </w:r>
      <w:bookmarkStart w:id="90" w:name="_Toc19002"/>
      <w:r>
        <w:rPr>
          <w:rStyle w:val="42"/>
          <w:rFonts w:hint="eastAsia" w:ascii="宋体" w:hAnsi="宋体" w:eastAsia="宋体" w:cs="宋体"/>
          <w:sz w:val="28"/>
          <w:szCs w:val="28"/>
          <w:lang w:val="zh-CN"/>
        </w:rPr>
        <w:t>八</w:t>
      </w:r>
      <w:r>
        <w:rPr>
          <w:rStyle w:val="42"/>
          <w:rFonts w:hint="eastAsia" w:ascii="宋体" w:hAnsi="宋体" w:eastAsia="宋体" w:cs="宋体"/>
          <w:sz w:val="28"/>
          <w:szCs w:val="28"/>
        </w:rPr>
        <w:t>、承诺书</w:t>
      </w:r>
      <w:bookmarkEnd w:id="90"/>
    </w:p>
    <w:p>
      <w:pPr>
        <w:autoSpaceDE w:val="0"/>
        <w:autoSpaceDN w:val="0"/>
        <w:adjustRightInd w:val="0"/>
        <w:spacing w:line="360" w:lineRule="auto"/>
        <w:jc w:val="left"/>
        <w:rPr>
          <w:rFonts w:hint="eastAsia" w:ascii="宋体" w:hAnsi="宋体" w:eastAsia="宋体" w:cs="宋体"/>
          <w:szCs w:val="21"/>
          <w:lang w:val="zh-CN"/>
        </w:rPr>
      </w:pP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1.政府采购供应商拒绝政府采购领域商业贿赂承诺书（见本章附件一）</w:t>
      </w: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2.投标人投标资格承诺书（见本章附件二）</w:t>
      </w:r>
    </w:p>
    <w:p>
      <w:pPr>
        <w:autoSpaceDE w:val="0"/>
        <w:autoSpaceDN w:val="0"/>
        <w:adjustRightInd w:val="0"/>
        <w:spacing w:line="360" w:lineRule="auto"/>
        <w:jc w:val="left"/>
        <w:rPr>
          <w:rFonts w:hint="eastAsia" w:ascii="宋体" w:hAnsi="宋体" w:eastAsia="宋体" w:cs="宋体"/>
          <w:szCs w:val="21"/>
          <w:lang w:val="zh-CN"/>
        </w:rPr>
      </w:pPr>
    </w:p>
    <w:p>
      <w:pPr>
        <w:autoSpaceDE w:val="0"/>
        <w:autoSpaceDN w:val="0"/>
        <w:adjustRightInd w:val="0"/>
        <w:spacing w:line="360" w:lineRule="auto"/>
        <w:jc w:val="left"/>
        <w:rPr>
          <w:rFonts w:hint="eastAsia" w:ascii="宋体" w:hAnsi="宋体" w:eastAsia="宋体" w:cs="宋体"/>
          <w:b/>
          <w:szCs w:val="21"/>
          <w:lang w:val="zh-CN"/>
        </w:rPr>
      </w:pPr>
      <w:r>
        <w:rPr>
          <w:rFonts w:hint="eastAsia" w:ascii="宋体" w:hAnsi="宋体" w:eastAsia="宋体" w:cs="宋体"/>
          <w:szCs w:val="21"/>
          <w:lang w:val="zh-CN"/>
        </w:rPr>
        <w:br w:type="page"/>
      </w:r>
      <w:r>
        <w:rPr>
          <w:rFonts w:hint="eastAsia" w:ascii="宋体" w:hAnsi="宋体" w:eastAsia="宋体" w:cs="宋体"/>
          <w:b/>
          <w:szCs w:val="21"/>
          <w:lang w:val="zh-CN"/>
        </w:rPr>
        <w:t>附件一</w:t>
      </w:r>
    </w:p>
    <w:p>
      <w:pPr>
        <w:autoSpaceDE w:val="0"/>
        <w:autoSpaceDN w:val="0"/>
        <w:adjustRightInd w:val="0"/>
        <w:spacing w:line="360" w:lineRule="auto"/>
        <w:jc w:val="center"/>
        <w:rPr>
          <w:rFonts w:hint="eastAsia" w:ascii="宋体" w:hAnsi="宋体" w:eastAsia="宋体" w:cs="宋体"/>
          <w:b/>
          <w:sz w:val="28"/>
          <w:szCs w:val="28"/>
          <w:lang w:val="zh-CN"/>
        </w:rPr>
      </w:pPr>
      <w:r>
        <w:rPr>
          <w:rFonts w:hint="eastAsia" w:ascii="宋体" w:hAnsi="宋体" w:eastAsia="宋体" w:cs="宋体"/>
          <w:b/>
          <w:sz w:val="28"/>
          <w:szCs w:val="28"/>
          <w:lang w:val="zh-CN"/>
        </w:rPr>
        <w:t>政府采购供应商拒绝政府采购领域商业贿赂承诺书（一）</w:t>
      </w:r>
    </w:p>
    <w:p>
      <w:pPr>
        <w:autoSpaceDE w:val="0"/>
        <w:autoSpaceDN w:val="0"/>
        <w:adjustRightInd w:val="0"/>
        <w:spacing w:line="360" w:lineRule="auto"/>
        <w:ind w:firstLine="480" w:firstLineChars="200"/>
        <w:jc w:val="left"/>
        <w:rPr>
          <w:rFonts w:hint="eastAsia" w:ascii="宋体" w:hAnsi="宋体" w:eastAsia="宋体" w:cs="宋体"/>
          <w:sz w:val="24"/>
          <w:lang w:val="zh-CN"/>
        </w:rPr>
      </w:pP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为响应党中央、国务院关于治理采购领域商业贿赂行为的号召，我公司再次承诺：</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1.在参与采购活动中遵纪守法、诚信经营、公平竞标。</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2.不向采购人、采购代理机构和采购评审专家进行任何形式的商业贿赂以谋取交易机会。</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3.不向采购代理机构和采购人提供虚假资质文件或采用虚假应标方式参与采购市场竞争并谋取中标、成交。</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4.不采取“围标、陪标”等商业欺诈手段获取采购订单。</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5.不采取不正当手段诋毁、排挤其他供应商。</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6.不在提供商品和服务时“偷梁换柱、以次充好”损害采购人的合法权益。</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7.不与采购人、采购代理机构、采购评审专家或其他供应商恶意串通，进行质疑和投诉，维护采购市场秩序。</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8.尊重和接受采购监督管理部门的监督和采购代理机构招标采购要求，承担因违约行为给采购人造成的损失。</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9.不发生其他有悖于政府采购公开、公平、公正和诚信原则的行为。</w:t>
      </w:r>
    </w:p>
    <w:p>
      <w:pPr>
        <w:autoSpaceDE w:val="0"/>
        <w:autoSpaceDN w:val="0"/>
        <w:adjustRightInd w:val="0"/>
        <w:spacing w:line="360" w:lineRule="auto"/>
        <w:ind w:firstLine="480" w:firstLineChars="200"/>
        <w:jc w:val="left"/>
        <w:rPr>
          <w:rFonts w:hint="eastAsia" w:ascii="宋体" w:hAnsi="宋体" w:eastAsia="宋体" w:cs="宋体"/>
          <w:sz w:val="24"/>
          <w:lang w:val="zh-CN"/>
        </w:rPr>
      </w:pP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 xml:space="preserve">投标人：（盖单位公章）              </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地址：</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邮编：</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 xml:space="preserve">电话：       </w:t>
      </w:r>
    </w:p>
    <w:p>
      <w:pPr>
        <w:autoSpaceDE w:val="0"/>
        <w:autoSpaceDN w:val="0"/>
        <w:adjustRightInd w:val="0"/>
        <w:spacing w:line="360" w:lineRule="auto"/>
        <w:ind w:firstLine="420" w:firstLineChars="200"/>
        <w:jc w:val="right"/>
        <w:rPr>
          <w:rFonts w:hint="eastAsia" w:ascii="宋体" w:hAnsi="宋体" w:eastAsia="宋体" w:cs="宋体"/>
          <w:szCs w:val="21"/>
          <w:lang w:val="zh-CN"/>
        </w:rPr>
      </w:pPr>
      <w:r>
        <w:rPr>
          <w:rFonts w:hint="eastAsia" w:ascii="宋体" w:hAnsi="宋体" w:eastAsia="宋体" w:cs="宋体"/>
          <w:szCs w:val="21"/>
          <w:lang w:val="zh-CN"/>
        </w:rPr>
        <w:t xml:space="preserve">                      年    月    日</w:t>
      </w:r>
    </w:p>
    <w:p>
      <w:pPr>
        <w:spacing w:line="360" w:lineRule="atLeast"/>
        <w:jc w:val="center"/>
        <w:rPr>
          <w:rFonts w:hint="eastAsia" w:ascii="宋体" w:hAnsi="宋体" w:eastAsia="宋体" w:cs="宋体"/>
          <w:kern w:val="1"/>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承诺书（二）</w:t>
      </w:r>
    </w:p>
    <w:p>
      <w:pPr>
        <w:spacing w:line="360" w:lineRule="atLeast"/>
        <w:jc w:val="center"/>
        <w:rPr>
          <w:rFonts w:hint="eastAsia" w:ascii="宋体" w:hAnsi="宋体" w:eastAsia="宋体" w:cs="宋体"/>
          <w:b/>
          <w:sz w:val="32"/>
          <w:szCs w:val="32"/>
        </w:rPr>
      </w:pPr>
    </w:p>
    <w:p>
      <w:pPr>
        <w:spacing w:line="360" w:lineRule="auto"/>
        <w:rPr>
          <w:rFonts w:hint="eastAsia" w:ascii="宋体" w:hAnsi="宋体" w:eastAsia="宋体" w:cs="宋体"/>
          <w:sz w:val="24"/>
        </w:rPr>
      </w:pPr>
      <w:r>
        <w:rPr>
          <w:rFonts w:hint="eastAsia" w:ascii="宋体" w:hAnsi="宋体" w:eastAsia="宋体" w:cs="宋体"/>
          <w:sz w:val="24"/>
          <w:lang w:eastAsia="zh-CN"/>
        </w:rPr>
        <w:t>陕西嘉唐建设项目管理有限公司</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w:t>
      </w:r>
      <w:r>
        <w:rPr>
          <w:rFonts w:hint="eastAsia" w:ascii="宋体" w:hAnsi="宋体" w:cs="宋体"/>
          <w:sz w:val="24"/>
          <w:u w:val="single"/>
          <w:lang w:eastAsia="zh-CN"/>
        </w:rPr>
        <w:t>未央区教育局下属四所学校教学办公设备及设施采购项目</w:t>
      </w:r>
      <w:r>
        <w:rPr>
          <w:rFonts w:hint="eastAsia" w:ascii="宋体" w:hAnsi="宋体" w:eastAsia="宋体" w:cs="宋体"/>
          <w:sz w:val="24"/>
        </w:rPr>
        <w:t>的供应商，本公司承诺：在参加本项目招标之前不存在被依法禁止经营行为、财产被接管或冻结的情况，如有隐瞒实情，愿承担一切责任及后果。</w:t>
      </w:r>
    </w:p>
    <w:p>
      <w:pPr>
        <w:spacing w:line="360" w:lineRule="atLeast"/>
        <w:rPr>
          <w:rFonts w:hint="eastAsia" w:ascii="宋体" w:hAnsi="宋体" w:eastAsia="宋体" w:cs="宋体"/>
        </w:rPr>
      </w:pP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承诺单位：（盖章）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全权代表：（签字）</w:t>
      </w:r>
    </w:p>
    <w:p>
      <w:pPr>
        <w:spacing w:line="360" w:lineRule="auto"/>
        <w:ind w:left="483" w:leftChars="230" w:firstLine="2280" w:firstLineChars="950"/>
        <w:rPr>
          <w:rFonts w:hint="eastAsia" w:ascii="宋体" w:hAnsi="宋体" w:eastAsia="宋体" w:cs="宋体"/>
          <w:kern w:val="1"/>
          <w:sz w:val="24"/>
        </w:rPr>
      </w:pP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日期：</w:t>
      </w:r>
    </w:p>
    <w:p>
      <w:pPr>
        <w:spacing w:line="360" w:lineRule="atLeast"/>
        <w:rPr>
          <w:rFonts w:hint="eastAsia" w:ascii="宋体" w:hAnsi="宋体" w:eastAsia="宋体" w:cs="宋体"/>
          <w:b/>
          <w:sz w:val="42"/>
          <w:szCs w:val="4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承诺书（三）</w:t>
      </w:r>
    </w:p>
    <w:p>
      <w:pPr>
        <w:spacing w:line="360" w:lineRule="atLeast"/>
        <w:jc w:val="center"/>
        <w:rPr>
          <w:rFonts w:hint="eastAsia" w:ascii="宋体" w:hAnsi="宋体" w:eastAsia="宋体" w:cs="宋体"/>
          <w:b/>
          <w:sz w:val="32"/>
          <w:szCs w:val="32"/>
        </w:rPr>
      </w:pPr>
    </w:p>
    <w:p>
      <w:pPr>
        <w:spacing w:line="360" w:lineRule="auto"/>
        <w:rPr>
          <w:rFonts w:hint="eastAsia" w:ascii="宋体" w:hAnsi="宋体" w:eastAsia="宋体" w:cs="宋体"/>
          <w:sz w:val="24"/>
        </w:rPr>
      </w:pPr>
      <w:r>
        <w:rPr>
          <w:rFonts w:hint="eastAsia" w:ascii="宋体" w:hAnsi="宋体" w:eastAsia="宋体" w:cs="宋体"/>
          <w:sz w:val="24"/>
          <w:lang w:eastAsia="zh-CN"/>
        </w:rPr>
        <w:t>陕西嘉唐建设项目管理有限公司</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w:t>
      </w:r>
      <w:r>
        <w:rPr>
          <w:rFonts w:hint="eastAsia" w:ascii="宋体" w:hAnsi="宋体" w:cs="宋体"/>
          <w:sz w:val="24"/>
          <w:u w:val="single"/>
          <w:lang w:eastAsia="zh-CN"/>
        </w:rPr>
        <w:t>未央区教育局下属四所学校教学办公设备及设施采购项目</w:t>
      </w:r>
      <w:r>
        <w:rPr>
          <w:rFonts w:hint="eastAsia" w:ascii="宋体" w:hAnsi="宋体" w:eastAsia="宋体" w:cs="宋体"/>
          <w:sz w:val="24"/>
        </w:rPr>
        <w:t>的供应商，本公司郑重申告并承诺：参加政府采购活动前3年内在经营活动中没有重大违法记录，并且参与本项目的所有人员无从业不良记录，如有隐瞒实情，愿承担一切责任及后果。</w:t>
      </w:r>
    </w:p>
    <w:p>
      <w:pPr>
        <w:spacing w:line="360" w:lineRule="auto"/>
        <w:ind w:firstLine="480" w:firstLineChars="200"/>
        <w:rPr>
          <w:rFonts w:hint="eastAsia" w:ascii="宋体" w:hAnsi="宋体" w:eastAsia="宋体" w:cs="宋体"/>
          <w:sz w:val="24"/>
        </w:rPr>
      </w:pP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承诺单位：（盖章）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全权代表：（签字）</w:t>
      </w:r>
    </w:p>
    <w:p>
      <w:pPr>
        <w:spacing w:line="360" w:lineRule="auto"/>
        <w:ind w:left="483" w:leftChars="230" w:firstLine="2280" w:firstLineChars="950"/>
        <w:rPr>
          <w:rFonts w:hint="eastAsia" w:ascii="宋体" w:hAnsi="宋体" w:eastAsia="宋体" w:cs="宋体"/>
          <w:kern w:val="1"/>
          <w:sz w:val="24"/>
        </w:rPr>
      </w:pPr>
    </w:p>
    <w:p>
      <w:pPr>
        <w:spacing w:line="360" w:lineRule="auto"/>
        <w:ind w:left="483" w:leftChars="230" w:firstLine="2280" w:firstLineChars="950"/>
        <w:rPr>
          <w:rFonts w:hint="eastAsia" w:ascii="宋体" w:hAnsi="宋体" w:eastAsia="宋体" w:cs="宋体"/>
          <w:b/>
          <w:sz w:val="24"/>
        </w:rPr>
      </w:pPr>
      <w:r>
        <w:rPr>
          <w:rFonts w:hint="eastAsia" w:ascii="宋体" w:hAnsi="宋体" w:eastAsia="宋体" w:cs="宋体"/>
          <w:kern w:val="1"/>
          <w:sz w:val="24"/>
        </w:rPr>
        <w:t>日期：</w:t>
      </w:r>
    </w:p>
    <w:p>
      <w:pPr>
        <w:spacing w:line="360" w:lineRule="atLeast"/>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承诺书（四）</w:t>
      </w:r>
    </w:p>
    <w:p>
      <w:pPr>
        <w:spacing w:line="360" w:lineRule="auto"/>
        <w:rPr>
          <w:rFonts w:hint="eastAsia" w:ascii="宋体" w:hAnsi="宋体" w:eastAsia="宋体" w:cs="宋体"/>
          <w:sz w:val="24"/>
        </w:rPr>
      </w:pPr>
      <w:r>
        <w:rPr>
          <w:rFonts w:hint="eastAsia" w:ascii="宋体" w:hAnsi="宋体" w:eastAsia="宋体" w:cs="宋体"/>
          <w:sz w:val="24"/>
          <w:lang w:eastAsia="zh-CN"/>
        </w:rPr>
        <w:t>陕西嘉唐建设项目管理有限公司</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w:t>
      </w:r>
      <w:r>
        <w:rPr>
          <w:rFonts w:hint="eastAsia" w:ascii="宋体" w:hAnsi="宋体" w:cs="宋体"/>
          <w:sz w:val="24"/>
          <w:u w:val="single"/>
          <w:lang w:eastAsia="zh-CN"/>
        </w:rPr>
        <w:t>未央区教育局下属四所学校教学办公设备及设施采购项目</w:t>
      </w:r>
      <w:r>
        <w:rPr>
          <w:rFonts w:hint="eastAsia" w:ascii="宋体" w:hAnsi="宋体" w:eastAsia="宋体" w:cs="宋体"/>
          <w:sz w:val="24"/>
        </w:rPr>
        <w:t>的供应商，本公司郑重申告：近三年因产品供货问题（水货、替代品、次品、翻新品等）的不法行为记录为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本公司承诺：本次投标产品为正品行货。</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2760" w:firstLineChars="1150"/>
        <w:rPr>
          <w:rFonts w:hint="eastAsia" w:ascii="宋体" w:hAnsi="宋体" w:eastAsia="宋体" w:cs="宋体"/>
          <w:kern w:val="1"/>
          <w:sz w:val="24"/>
        </w:rPr>
      </w:pPr>
      <w:r>
        <w:rPr>
          <w:rFonts w:hint="eastAsia" w:ascii="宋体" w:hAnsi="宋体" w:eastAsia="宋体" w:cs="宋体"/>
          <w:kern w:val="1"/>
          <w:sz w:val="24"/>
        </w:rPr>
        <w:t xml:space="preserve">承诺单位：（盖章）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全权代表：（签字）</w:t>
      </w:r>
    </w:p>
    <w:p>
      <w:pPr>
        <w:spacing w:line="360" w:lineRule="auto"/>
        <w:ind w:left="483" w:leftChars="230" w:firstLine="2280" w:firstLineChars="950"/>
        <w:rPr>
          <w:rFonts w:hint="eastAsia" w:ascii="宋体" w:hAnsi="宋体" w:eastAsia="宋体" w:cs="宋体"/>
          <w:kern w:val="1"/>
          <w:sz w:val="24"/>
        </w:rPr>
      </w:pP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日期：</w:t>
      </w:r>
    </w:p>
    <w:p>
      <w:pPr>
        <w:spacing w:line="360" w:lineRule="atLeast"/>
        <w:jc w:val="center"/>
        <w:rPr>
          <w:rFonts w:hint="eastAsia" w:ascii="宋体" w:hAnsi="宋体" w:eastAsia="宋体" w:cs="宋体"/>
          <w:b/>
          <w:sz w:val="32"/>
          <w:szCs w:val="32"/>
        </w:rPr>
      </w:pPr>
    </w:p>
    <w:p>
      <w:pPr>
        <w:spacing w:line="360" w:lineRule="auto"/>
        <w:ind w:right="480"/>
        <w:rPr>
          <w:rFonts w:hint="eastAsia" w:ascii="宋体" w:hAnsi="宋体" w:eastAsia="宋体" w:cs="宋体"/>
          <w:sz w:val="24"/>
          <w:szCs w:val="28"/>
        </w:rPr>
      </w:pPr>
    </w:p>
    <w:p>
      <w:pPr>
        <w:spacing w:line="360" w:lineRule="atLeast"/>
        <w:jc w:val="center"/>
        <w:rPr>
          <w:rFonts w:hint="eastAsia" w:ascii="宋体" w:hAnsi="宋体" w:eastAsia="宋体" w:cs="宋体"/>
          <w:b/>
          <w:sz w:val="36"/>
          <w:szCs w:val="36"/>
        </w:rPr>
      </w:pPr>
      <w:r>
        <w:rPr>
          <w:rFonts w:hint="eastAsia" w:ascii="宋体" w:hAnsi="宋体" w:eastAsia="宋体" w:cs="宋体"/>
          <w:b/>
          <w:sz w:val="32"/>
          <w:szCs w:val="32"/>
        </w:rPr>
        <w:t>承诺书</w:t>
      </w:r>
      <w:r>
        <w:rPr>
          <w:rFonts w:hint="eastAsia" w:ascii="宋体" w:hAnsi="宋体" w:eastAsia="宋体" w:cs="宋体"/>
          <w:b/>
          <w:sz w:val="36"/>
          <w:szCs w:val="36"/>
        </w:rPr>
        <w:t>（五）</w:t>
      </w:r>
    </w:p>
    <w:p>
      <w:pPr>
        <w:spacing w:line="360" w:lineRule="auto"/>
        <w:rPr>
          <w:rFonts w:hint="eastAsia" w:ascii="宋体" w:hAnsi="宋体" w:eastAsia="宋体" w:cs="宋体"/>
          <w:sz w:val="24"/>
        </w:rPr>
      </w:pPr>
      <w:r>
        <w:rPr>
          <w:rFonts w:hint="eastAsia" w:ascii="宋体" w:hAnsi="宋体" w:eastAsia="宋体" w:cs="宋体"/>
          <w:sz w:val="24"/>
          <w:lang w:eastAsia="zh-CN"/>
        </w:rPr>
        <w:t>陕西嘉唐建设项目管理有限公司</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作为参加贵公司组织的</w:t>
      </w:r>
      <w:r>
        <w:rPr>
          <w:rFonts w:hint="eastAsia" w:ascii="宋体" w:hAnsi="宋体" w:cs="宋体"/>
          <w:sz w:val="24"/>
          <w:u w:val="single"/>
          <w:lang w:eastAsia="zh-CN"/>
        </w:rPr>
        <w:t>未央区教育局下属四所学校教学办公设备及设施采购项目</w:t>
      </w:r>
      <w:r>
        <w:rPr>
          <w:rFonts w:hint="eastAsia" w:ascii="宋体" w:hAnsi="宋体" w:eastAsia="宋体" w:cs="宋体"/>
          <w:sz w:val="24"/>
        </w:rPr>
        <w:t>的供应商，本公司承诺：参加本次投标提交的所有资格证明文件等相关证明是真实的、有效的，如有隐瞒实情，愿承担一切责任及后果。</w:t>
      </w:r>
    </w:p>
    <w:p>
      <w:pPr>
        <w:spacing w:line="360" w:lineRule="auto"/>
        <w:rPr>
          <w:rFonts w:hint="eastAsia" w:ascii="宋体" w:hAnsi="宋体" w:eastAsia="宋体" w:cs="宋体"/>
          <w:sz w:val="24"/>
        </w:rPr>
      </w:pPr>
    </w:p>
    <w:p>
      <w:pPr>
        <w:spacing w:line="360" w:lineRule="auto"/>
        <w:ind w:firstLine="2760" w:firstLineChars="1150"/>
        <w:rPr>
          <w:rFonts w:hint="eastAsia" w:ascii="宋体" w:hAnsi="宋体" w:eastAsia="宋体" w:cs="宋体"/>
          <w:kern w:val="1"/>
          <w:sz w:val="24"/>
        </w:rPr>
      </w:pPr>
      <w:r>
        <w:rPr>
          <w:rFonts w:hint="eastAsia" w:ascii="宋体" w:hAnsi="宋体" w:eastAsia="宋体" w:cs="宋体"/>
          <w:kern w:val="1"/>
          <w:sz w:val="24"/>
        </w:rPr>
        <w:t xml:space="preserve">承诺单位：（盖章）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全权代表：（签字）</w:t>
      </w:r>
    </w:p>
    <w:p>
      <w:pPr>
        <w:spacing w:line="360" w:lineRule="auto"/>
        <w:ind w:left="483" w:leftChars="230" w:firstLine="2280" w:firstLineChars="950"/>
        <w:rPr>
          <w:rFonts w:hint="eastAsia" w:ascii="宋体" w:hAnsi="宋体" w:eastAsia="宋体" w:cs="宋体"/>
          <w:kern w:val="1"/>
          <w:sz w:val="24"/>
        </w:rPr>
      </w:pP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日期：</w:t>
      </w: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spacing w:line="360" w:lineRule="atLeast"/>
        <w:jc w:val="center"/>
        <w:rPr>
          <w:rFonts w:hint="eastAsia" w:ascii="宋体" w:hAnsi="宋体" w:eastAsia="宋体" w:cs="宋体"/>
          <w:szCs w:val="21"/>
          <w:lang w:val="zh-CN"/>
        </w:rPr>
      </w:pPr>
      <w:r>
        <w:rPr>
          <w:rFonts w:hint="eastAsia" w:ascii="宋体" w:hAnsi="宋体" w:eastAsia="宋体" w:cs="宋体"/>
          <w:szCs w:val="21"/>
          <w:lang w:val="zh-CN"/>
        </w:rPr>
        <w:br w:type="page"/>
      </w:r>
    </w:p>
    <w:p>
      <w:pPr>
        <w:spacing w:line="360" w:lineRule="atLeast"/>
        <w:jc w:val="center"/>
        <w:rPr>
          <w:rFonts w:hint="eastAsia" w:ascii="宋体" w:hAnsi="宋体" w:eastAsia="宋体" w:cs="宋体"/>
          <w:b/>
          <w:sz w:val="36"/>
          <w:szCs w:val="36"/>
        </w:rPr>
      </w:pPr>
      <w:r>
        <w:rPr>
          <w:rFonts w:hint="eastAsia" w:ascii="宋体" w:hAnsi="宋体" w:eastAsia="宋体" w:cs="宋体"/>
          <w:b/>
          <w:sz w:val="32"/>
          <w:szCs w:val="32"/>
        </w:rPr>
        <w:t>承诺书</w:t>
      </w:r>
      <w:r>
        <w:rPr>
          <w:rFonts w:hint="eastAsia" w:ascii="宋体" w:hAnsi="宋体" w:eastAsia="宋体" w:cs="宋体"/>
          <w:b/>
          <w:sz w:val="36"/>
          <w:szCs w:val="36"/>
        </w:rPr>
        <w:t>（六）</w:t>
      </w:r>
    </w:p>
    <w:p>
      <w:pPr>
        <w:spacing w:line="360" w:lineRule="auto"/>
        <w:jc w:val="left"/>
        <w:rPr>
          <w:rFonts w:hint="eastAsia" w:ascii="宋体" w:hAnsi="宋体" w:eastAsia="宋体" w:cs="宋体"/>
          <w:sz w:val="24"/>
          <w:lang w:val="zh-CN"/>
        </w:rPr>
      </w:pPr>
      <w:r>
        <w:rPr>
          <w:rFonts w:hint="eastAsia" w:ascii="宋体" w:hAnsi="宋体" w:eastAsia="宋体" w:cs="宋体"/>
          <w:sz w:val="24"/>
          <w:lang w:val="zh-CN"/>
        </w:rPr>
        <w:t>我单位承诺如下：</w:t>
      </w:r>
    </w:p>
    <w:p>
      <w:pPr>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1、我单位具有履行合同所必需的设备和专业技术能力。</w:t>
      </w:r>
    </w:p>
    <w:p>
      <w:pPr>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2、我单位参加政府采购活动前3年内在经营活动中没有重大违法记录。</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如有隐瞒实情，愿承担一切责任及后果。</w:t>
      </w: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2760" w:firstLineChars="1150"/>
        <w:rPr>
          <w:rFonts w:hint="eastAsia" w:ascii="宋体" w:hAnsi="宋体" w:eastAsia="宋体" w:cs="宋体"/>
          <w:kern w:val="1"/>
          <w:sz w:val="24"/>
        </w:rPr>
      </w:pPr>
      <w:r>
        <w:rPr>
          <w:rFonts w:hint="eastAsia" w:ascii="宋体" w:hAnsi="宋体" w:eastAsia="宋体" w:cs="宋体"/>
          <w:kern w:val="1"/>
          <w:sz w:val="24"/>
        </w:rPr>
        <w:t xml:space="preserve">承诺单位：（盖章）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 xml:space="preserve">             </w:t>
      </w: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全权代表：（签字）</w:t>
      </w:r>
    </w:p>
    <w:p>
      <w:pPr>
        <w:spacing w:line="360" w:lineRule="auto"/>
        <w:ind w:left="483" w:leftChars="230" w:firstLine="2280" w:firstLineChars="950"/>
        <w:rPr>
          <w:rFonts w:hint="eastAsia" w:ascii="宋体" w:hAnsi="宋体" w:eastAsia="宋体" w:cs="宋体"/>
          <w:kern w:val="1"/>
          <w:sz w:val="24"/>
        </w:rPr>
      </w:pPr>
    </w:p>
    <w:p>
      <w:pPr>
        <w:spacing w:line="360" w:lineRule="auto"/>
        <w:ind w:left="483" w:leftChars="230" w:firstLine="2280" w:firstLineChars="950"/>
        <w:rPr>
          <w:rFonts w:hint="eastAsia" w:ascii="宋体" w:hAnsi="宋体" w:eastAsia="宋体" w:cs="宋体"/>
          <w:kern w:val="1"/>
          <w:sz w:val="24"/>
        </w:rPr>
      </w:pPr>
      <w:r>
        <w:rPr>
          <w:rFonts w:hint="eastAsia" w:ascii="宋体" w:hAnsi="宋体" w:eastAsia="宋体" w:cs="宋体"/>
          <w:kern w:val="1"/>
          <w:sz w:val="24"/>
        </w:rPr>
        <w:t>日期：</w:t>
      </w:r>
    </w:p>
    <w:p>
      <w:pPr>
        <w:autoSpaceDE w:val="0"/>
        <w:autoSpaceDN w:val="0"/>
        <w:adjustRightInd w:val="0"/>
        <w:spacing w:line="360" w:lineRule="auto"/>
        <w:jc w:val="left"/>
        <w:rPr>
          <w:rFonts w:hint="eastAsia" w:ascii="宋体" w:hAnsi="宋体" w:eastAsia="宋体" w:cs="宋体"/>
          <w:szCs w:val="21"/>
          <w:lang w:val="zh-CN"/>
        </w:rPr>
      </w:pPr>
      <w:r>
        <w:rPr>
          <w:rFonts w:hint="eastAsia" w:ascii="宋体" w:hAnsi="宋体" w:eastAsia="宋体" w:cs="宋体"/>
          <w:szCs w:val="21"/>
          <w:lang w:val="zh-CN"/>
        </w:rPr>
        <w:br w:type="page"/>
      </w:r>
      <w:r>
        <w:rPr>
          <w:rFonts w:hint="eastAsia" w:ascii="宋体" w:hAnsi="宋体" w:eastAsia="宋体" w:cs="宋体"/>
          <w:b/>
          <w:szCs w:val="21"/>
          <w:lang w:val="zh-CN"/>
        </w:rPr>
        <w:t>附件二</w:t>
      </w:r>
    </w:p>
    <w:p>
      <w:pPr>
        <w:autoSpaceDE w:val="0"/>
        <w:autoSpaceDN w:val="0"/>
        <w:adjustRightInd w:val="0"/>
        <w:spacing w:line="360" w:lineRule="auto"/>
        <w:ind w:firstLine="2249" w:firstLineChars="700"/>
        <w:rPr>
          <w:rFonts w:hint="eastAsia" w:ascii="宋体" w:hAnsi="宋体" w:eastAsia="宋体" w:cs="宋体"/>
          <w:b/>
          <w:sz w:val="32"/>
          <w:szCs w:val="32"/>
          <w:lang w:val="zh-CN"/>
        </w:rPr>
      </w:pPr>
      <w:r>
        <w:rPr>
          <w:rFonts w:hint="eastAsia" w:ascii="宋体" w:hAnsi="宋体" w:eastAsia="宋体" w:cs="宋体"/>
          <w:b/>
          <w:sz w:val="32"/>
          <w:szCs w:val="32"/>
          <w:lang w:val="zh-CN"/>
        </w:rPr>
        <w:t>投标人投标资格承诺书</w:t>
      </w:r>
    </w:p>
    <w:p>
      <w:pPr>
        <w:autoSpaceDE w:val="0"/>
        <w:autoSpaceDN w:val="0"/>
        <w:adjustRightInd w:val="0"/>
        <w:spacing w:line="360" w:lineRule="auto"/>
        <w:ind w:firstLine="440" w:firstLineChars="200"/>
        <w:jc w:val="left"/>
        <w:rPr>
          <w:rFonts w:hint="eastAsia" w:ascii="宋体" w:hAnsi="宋体" w:eastAsia="宋体" w:cs="宋体"/>
          <w:sz w:val="22"/>
          <w:szCs w:val="22"/>
          <w:lang w:val="zh-CN"/>
        </w:rPr>
      </w:pP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我方承诺，不存在相关法律法规规定的禁止投标的情形。我单位的股权关系、与其他单位的管理关系和其他与本项目有关的利害关系等，作如下说明和承诺：</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1.我方在本项目投标中，不存在与其他投标人单位负责人为同一人或者存在直接控股、管理关系。</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1.1 股权关系说明</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1.1.1 我单位法定代表人（单位负责人）姓名：</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u w:val="single"/>
          <w:lang w:val="zh-CN"/>
        </w:rPr>
      </w:pPr>
      <w:r>
        <w:rPr>
          <w:rFonts w:hint="eastAsia" w:ascii="宋体" w:hAnsi="宋体" w:eastAsia="宋体" w:cs="宋体"/>
          <w:sz w:val="24"/>
          <w:lang w:val="zh-CN"/>
        </w:rPr>
        <w:t>1.1.2 我单位控股的单位有</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1.1.3 我单位被</w:t>
      </w:r>
      <w:r>
        <w:rPr>
          <w:rFonts w:hint="eastAsia" w:ascii="宋体" w:hAnsi="宋体" w:eastAsia="宋体" w:cs="宋体"/>
          <w:sz w:val="24"/>
          <w:u w:val="single"/>
          <w:lang w:val="zh-CN"/>
        </w:rPr>
        <w:t xml:space="preserve">                  （单位或自然人）                     </w:t>
      </w:r>
      <w:r>
        <w:rPr>
          <w:rFonts w:hint="eastAsia" w:ascii="宋体" w:hAnsi="宋体" w:eastAsia="宋体" w:cs="宋体"/>
          <w:sz w:val="24"/>
          <w:lang w:val="zh-CN"/>
        </w:rPr>
        <w:t>控股。</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1.2.管理关系说明</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1.2.1 我单位管理的下属单位有</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1.2.2 我单位的上级管理单位有</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2.我方与采购人不存在利害关系及其他可能影响招标公正性的情形。</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3.我方没有为采购项目提供整体设计、规范编制或者项目管理、监理、检测等服务；</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4.其他与本项目有关的利害关系说明：</w:t>
      </w:r>
      <w:r>
        <w:rPr>
          <w:rFonts w:hint="eastAsia" w:ascii="宋体" w:hAnsi="宋体" w:eastAsia="宋体" w:cs="宋体"/>
          <w:sz w:val="24"/>
          <w:u w:val="single"/>
          <w:lang w:val="zh-CN"/>
        </w:rPr>
        <w:t xml:space="preserve">                                        </w:t>
      </w:r>
      <w:r>
        <w:rPr>
          <w:rFonts w:hint="eastAsia" w:ascii="宋体" w:hAnsi="宋体" w:eastAsia="宋体" w:cs="宋体"/>
          <w:sz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lang w:val="zh-CN"/>
        </w:rPr>
        <w:t>我方承诺以上说明真实有效，无虚假内容或隐瞒。</w:t>
      </w:r>
    </w:p>
    <w:p>
      <w:pPr>
        <w:autoSpaceDE w:val="0"/>
        <w:autoSpaceDN w:val="0"/>
        <w:adjustRightInd w:val="0"/>
        <w:spacing w:line="360" w:lineRule="auto"/>
        <w:rPr>
          <w:rFonts w:hint="eastAsia" w:ascii="宋体" w:hAnsi="宋体" w:eastAsia="宋体" w:cs="宋体"/>
          <w:sz w:val="24"/>
        </w:rPr>
      </w:pPr>
    </w:p>
    <w:p>
      <w:pPr>
        <w:wordWrap w:val="0"/>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w:t>
      </w:r>
      <w:r>
        <w:rPr>
          <w:rFonts w:hint="eastAsia" w:ascii="宋体" w:hAnsi="宋体" w:eastAsia="宋体" w:cs="宋体"/>
          <w:sz w:val="24"/>
          <w:u w:val="single"/>
          <w:lang w:val="zh-CN"/>
        </w:rPr>
        <w:t xml:space="preserve">                                        </w:t>
      </w:r>
      <w:r>
        <w:rPr>
          <w:rFonts w:hint="eastAsia" w:ascii="宋体" w:hAnsi="宋体" w:eastAsia="宋体" w:cs="宋体"/>
          <w:sz w:val="24"/>
          <w:lang w:val="zh-CN"/>
        </w:rPr>
        <w:t>（盖单位公章）</w:t>
      </w:r>
    </w:p>
    <w:p>
      <w:pPr>
        <w:autoSpaceDE w:val="0"/>
        <w:autoSpaceDN w:val="0"/>
        <w:adjustRightIn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法定代表人（单位负责人）或其委托代理人：</w:t>
      </w:r>
      <w:r>
        <w:rPr>
          <w:rFonts w:hint="eastAsia" w:ascii="宋体" w:hAnsi="宋体" w:eastAsia="宋体" w:cs="宋体"/>
          <w:sz w:val="24"/>
          <w:u w:val="single"/>
          <w:lang w:val="zh-CN"/>
        </w:rPr>
        <w:t xml:space="preserve">        </w:t>
      </w:r>
      <w:r>
        <w:rPr>
          <w:rFonts w:hint="eastAsia" w:ascii="宋体" w:hAnsi="宋体" w:eastAsia="宋体" w:cs="宋体"/>
          <w:sz w:val="24"/>
          <w:lang w:val="zh-CN"/>
        </w:rPr>
        <w:t>（签字或盖章）</w:t>
      </w:r>
    </w:p>
    <w:p>
      <w:pPr>
        <w:autoSpaceDE w:val="0"/>
        <w:autoSpaceDN w:val="0"/>
        <w:adjustRightInd w:val="0"/>
        <w:spacing w:line="360" w:lineRule="auto"/>
        <w:ind w:firstLine="6000" w:firstLineChars="2500"/>
        <w:jc w:val="right"/>
        <w:rPr>
          <w:rFonts w:hint="eastAsia" w:ascii="宋体" w:hAnsi="宋体" w:eastAsia="宋体" w:cs="宋体"/>
          <w:sz w:val="22"/>
          <w:szCs w:val="22"/>
          <w:lang w:val="zh-CN"/>
        </w:rPr>
      </w:pPr>
      <w:r>
        <w:rPr>
          <w:rFonts w:hint="eastAsia" w:ascii="宋体" w:hAnsi="宋体" w:eastAsia="宋体" w:cs="宋体"/>
          <w:sz w:val="24"/>
          <w:lang w:val="zh-CN"/>
        </w:rPr>
        <w:t>年    月    日</w:t>
      </w: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spacing w:line="360" w:lineRule="auto"/>
        <w:ind w:firstLine="420" w:firstLineChars="200"/>
        <w:jc w:val="center"/>
        <w:outlineLvl w:val="1"/>
        <w:rPr>
          <w:rFonts w:hint="eastAsia" w:ascii="宋体" w:hAnsi="宋体" w:eastAsia="宋体" w:cs="宋体"/>
          <w:b/>
          <w:sz w:val="28"/>
          <w:szCs w:val="28"/>
        </w:rPr>
      </w:pPr>
      <w:r>
        <w:rPr>
          <w:rFonts w:hint="eastAsia" w:ascii="宋体" w:hAnsi="宋体" w:eastAsia="宋体" w:cs="宋体"/>
          <w:szCs w:val="21"/>
          <w:lang w:val="zh-CN"/>
        </w:rPr>
        <w:br w:type="page"/>
      </w:r>
      <w:bookmarkStart w:id="91" w:name="_Toc24422"/>
      <w:r>
        <w:rPr>
          <w:rFonts w:hint="eastAsia" w:ascii="宋体" w:hAnsi="宋体" w:eastAsia="宋体" w:cs="宋体"/>
          <w:b/>
          <w:sz w:val="28"/>
          <w:szCs w:val="28"/>
          <w:lang w:val="zh-CN"/>
        </w:rPr>
        <w:t>九</w:t>
      </w:r>
      <w:r>
        <w:rPr>
          <w:rFonts w:hint="eastAsia" w:ascii="宋体" w:hAnsi="宋体" w:eastAsia="宋体" w:cs="宋体"/>
          <w:b/>
          <w:sz w:val="28"/>
          <w:szCs w:val="28"/>
        </w:rPr>
        <w:t>、其他资料</w:t>
      </w:r>
      <w:bookmarkEnd w:id="91"/>
    </w:p>
    <w:p>
      <w:pPr>
        <w:autoSpaceDE w:val="0"/>
        <w:autoSpaceDN w:val="0"/>
        <w:adjustRightInd w:val="0"/>
        <w:spacing w:line="360" w:lineRule="auto"/>
        <w:jc w:val="left"/>
        <w:rPr>
          <w:rFonts w:hint="eastAsia" w:ascii="宋体" w:hAnsi="宋体" w:eastAsia="宋体" w:cs="宋体"/>
          <w:szCs w:val="21"/>
          <w:lang w:val="zh-CN"/>
        </w:rPr>
      </w:pP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1.中小企业声明函（见本章附件一）；</w:t>
      </w: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2.残疾人福利性单位声明函（见本章附件二）；</w:t>
      </w: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3.监狱企业证明文件；</w:t>
      </w: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4.节能产品和环境标志产品证明材料（</w:t>
      </w:r>
      <w:r>
        <w:rPr>
          <w:rFonts w:hint="eastAsia" w:ascii="宋体" w:hAnsi="宋体" w:eastAsia="宋体" w:cs="宋体"/>
          <w:sz w:val="24"/>
        </w:rPr>
        <w:t>如有</w:t>
      </w:r>
      <w:r>
        <w:rPr>
          <w:rFonts w:hint="eastAsia" w:ascii="宋体" w:hAnsi="宋体" w:eastAsia="宋体" w:cs="宋体"/>
          <w:sz w:val="24"/>
          <w:lang w:val="zh-CN"/>
        </w:rPr>
        <w:t>）；</w:t>
      </w:r>
    </w:p>
    <w:p>
      <w:pPr>
        <w:autoSpaceDE w:val="0"/>
        <w:autoSpaceDN w:val="0"/>
        <w:adjustRightInd w:val="0"/>
        <w:spacing w:line="360" w:lineRule="auto"/>
        <w:jc w:val="left"/>
        <w:rPr>
          <w:rFonts w:hint="eastAsia" w:ascii="宋体" w:hAnsi="宋体" w:eastAsia="宋体" w:cs="宋体"/>
          <w:sz w:val="24"/>
          <w:lang w:val="zh-CN"/>
        </w:rPr>
      </w:pPr>
      <w:r>
        <w:rPr>
          <w:rFonts w:hint="eastAsia" w:ascii="宋体" w:hAnsi="宋体" w:eastAsia="宋体" w:cs="宋体"/>
          <w:sz w:val="24"/>
          <w:lang w:val="zh-CN"/>
        </w:rPr>
        <w:t>5.其他资料。</w:t>
      </w:r>
    </w:p>
    <w:p>
      <w:pPr>
        <w:autoSpaceDE w:val="0"/>
        <w:autoSpaceDN w:val="0"/>
        <w:adjustRightInd w:val="0"/>
        <w:spacing w:line="360" w:lineRule="auto"/>
        <w:jc w:val="left"/>
        <w:rPr>
          <w:rFonts w:hint="eastAsia" w:ascii="宋体" w:hAnsi="宋体" w:eastAsia="宋体" w:cs="宋体"/>
          <w:b/>
          <w:szCs w:val="21"/>
          <w:lang w:val="zh-CN"/>
        </w:rPr>
      </w:pPr>
    </w:p>
    <w:p>
      <w:pPr>
        <w:autoSpaceDE w:val="0"/>
        <w:autoSpaceDN w:val="0"/>
        <w:adjustRightInd w:val="0"/>
        <w:spacing w:line="360" w:lineRule="auto"/>
        <w:jc w:val="left"/>
        <w:rPr>
          <w:rFonts w:hint="eastAsia" w:ascii="宋体" w:hAnsi="宋体" w:eastAsia="宋体" w:cs="宋体"/>
          <w:b/>
          <w:szCs w:val="21"/>
          <w:lang w:val="zh-CN"/>
        </w:rPr>
      </w:pPr>
      <w:r>
        <w:rPr>
          <w:rFonts w:hint="eastAsia" w:ascii="宋体" w:hAnsi="宋体" w:eastAsia="宋体" w:cs="宋体"/>
          <w:b/>
          <w:szCs w:val="21"/>
          <w:lang w:val="zh-CN"/>
        </w:rPr>
        <w:br w:type="page"/>
      </w:r>
    </w:p>
    <w:p>
      <w:pPr>
        <w:autoSpaceDE w:val="0"/>
        <w:autoSpaceDN w:val="0"/>
        <w:adjustRightInd w:val="0"/>
        <w:spacing w:line="360" w:lineRule="auto"/>
        <w:rPr>
          <w:rFonts w:hint="eastAsia" w:ascii="宋体" w:hAnsi="宋体" w:eastAsia="宋体" w:cs="宋体"/>
          <w:b/>
          <w:sz w:val="28"/>
          <w:szCs w:val="28"/>
          <w:lang w:val="zh-CN"/>
        </w:rPr>
      </w:pPr>
      <w:r>
        <w:rPr>
          <w:rFonts w:hint="eastAsia" w:ascii="宋体" w:hAnsi="宋体" w:eastAsia="宋体" w:cs="宋体"/>
          <w:b/>
          <w:szCs w:val="21"/>
          <w:lang w:val="zh-CN"/>
        </w:rPr>
        <w:t>附件一</w:t>
      </w:r>
    </w:p>
    <w:p>
      <w:pPr>
        <w:autoSpaceDE w:val="0"/>
        <w:autoSpaceDN w:val="0"/>
        <w:adjustRightInd w:val="0"/>
        <w:spacing w:line="360" w:lineRule="auto"/>
        <w:jc w:val="center"/>
        <w:rPr>
          <w:rFonts w:hint="eastAsia" w:ascii="宋体" w:hAnsi="宋体" w:eastAsia="宋体" w:cs="宋体"/>
          <w:b/>
          <w:sz w:val="28"/>
          <w:szCs w:val="28"/>
          <w:lang w:val="zh-CN"/>
        </w:rPr>
      </w:pPr>
      <w:r>
        <w:rPr>
          <w:rFonts w:hint="eastAsia" w:ascii="宋体" w:hAnsi="宋体" w:eastAsia="宋体" w:cs="宋体"/>
          <w:b/>
          <w:sz w:val="28"/>
          <w:szCs w:val="28"/>
          <w:lang w:val="zh-CN"/>
        </w:rPr>
        <w:t>中小企业声明函（货物）</w:t>
      </w:r>
    </w:p>
    <w:p>
      <w:pPr>
        <w:autoSpaceDE w:val="0"/>
        <w:autoSpaceDN w:val="0"/>
        <w:adjustRightInd w:val="0"/>
        <w:spacing w:line="360" w:lineRule="auto"/>
        <w:ind w:firstLine="420" w:firstLineChars="200"/>
        <w:jc w:val="left"/>
        <w:rPr>
          <w:rFonts w:hint="eastAsia" w:ascii="宋体" w:hAnsi="宋体" w:eastAsia="宋体" w:cs="宋体"/>
          <w:szCs w:val="21"/>
          <w:lang w:val="zh-CN"/>
        </w:rPr>
      </w:pP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本公司（联合体）郑重声明，根据《政府采购促进中小企业发展管理办法》（财库﹝2020﹞46号）的规定，本公司（联合体）参加</w:t>
      </w:r>
      <w:r>
        <w:rPr>
          <w:rFonts w:hint="eastAsia" w:ascii="宋体" w:hAnsi="宋体" w:eastAsia="宋体" w:cs="宋体"/>
          <w:sz w:val="24"/>
          <w:u w:val="single"/>
          <w:lang w:val="zh-CN"/>
        </w:rPr>
        <w:t>（单位名称）</w:t>
      </w:r>
      <w:r>
        <w:rPr>
          <w:rFonts w:hint="eastAsia" w:ascii="宋体" w:hAnsi="宋体" w:eastAsia="宋体" w:cs="宋体"/>
          <w:sz w:val="24"/>
          <w:lang w:val="zh-CN"/>
        </w:rPr>
        <w:t>的</w:t>
      </w:r>
      <w:r>
        <w:rPr>
          <w:rFonts w:hint="eastAsia" w:ascii="宋体" w:hAnsi="宋体" w:eastAsia="宋体" w:cs="宋体"/>
          <w:sz w:val="24"/>
          <w:u w:val="single"/>
          <w:lang w:val="zh-CN"/>
        </w:rPr>
        <w:t>（项目名称）</w:t>
      </w:r>
      <w:r>
        <w:rPr>
          <w:rFonts w:hint="eastAsia" w:ascii="宋体" w:hAnsi="宋体" w:eastAsia="宋体" w:cs="宋体"/>
          <w:sz w:val="24"/>
          <w:lang w:val="zh-CN"/>
        </w:rPr>
        <w:t>采购活动，提 供的货物全部由符合政策要求的中小企业制造。相关企业 （含联合体中的中小企业、签订分包意向协议的中小企业） 的具体情况如下：</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rPr>
        <w:t>1.</w:t>
      </w:r>
      <w:r>
        <w:rPr>
          <w:rFonts w:hint="eastAsia" w:ascii="宋体" w:hAnsi="宋体" w:eastAsia="宋体" w:cs="宋体"/>
          <w:sz w:val="24"/>
          <w:u w:val="single"/>
          <w:lang w:val="zh-CN"/>
        </w:rPr>
        <w:t xml:space="preserve">（标的名称） </w:t>
      </w:r>
      <w:r>
        <w:rPr>
          <w:rFonts w:hint="eastAsia" w:ascii="宋体" w:hAnsi="宋体" w:eastAsia="宋体" w:cs="宋体"/>
          <w:sz w:val="24"/>
          <w:lang w:val="zh-CN"/>
        </w:rPr>
        <w:t>，属于</w:t>
      </w:r>
      <w:r>
        <w:rPr>
          <w:rFonts w:hint="eastAsia" w:ascii="宋体" w:hAnsi="宋体" w:eastAsia="宋体" w:cs="宋体"/>
          <w:sz w:val="24"/>
          <w:u w:val="single"/>
          <w:lang w:val="zh-CN"/>
        </w:rPr>
        <w:t>（采购文件中明确的所属行业）行业</w:t>
      </w:r>
      <w:r>
        <w:rPr>
          <w:rFonts w:hint="eastAsia" w:ascii="宋体" w:hAnsi="宋体" w:eastAsia="宋体" w:cs="宋体"/>
          <w:sz w:val="24"/>
          <w:lang w:val="zh-CN"/>
        </w:rPr>
        <w:t>；制造商为</w:t>
      </w:r>
      <w:r>
        <w:rPr>
          <w:rFonts w:hint="eastAsia" w:ascii="宋体" w:hAnsi="宋体" w:eastAsia="宋体" w:cs="宋体"/>
          <w:sz w:val="24"/>
          <w:u w:val="single"/>
          <w:lang w:val="zh-CN"/>
        </w:rPr>
        <w:t>（企业名称）</w:t>
      </w:r>
      <w:r>
        <w:rPr>
          <w:rFonts w:hint="eastAsia" w:ascii="宋体" w:hAnsi="宋体" w:eastAsia="宋体" w:cs="宋体"/>
          <w:sz w:val="24"/>
          <w:lang w:val="zh-CN"/>
        </w:rPr>
        <w:t>，从业人员</w:t>
      </w:r>
      <w:r>
        <w:rPr>
          <w:rFonts w:hint="eastAsia" w:ascii="宋体" w:hAnsi="宋体" w:eastAsia="宋体" w:cs="宋体"/>
          <w:sz w:val="24"/>
          <w:u w:val="single"/>
        </w:rPr>
        <w:t xml:space="preserve">    </w:t>
      </w:r>
      <w:r>
        <w:rPr>
          <w:rFonts w:hint="eastAsia" w:ascii="宋体" w:hAnsi="宋体" w:eastAsia="宋体" w:cs="宋体"/>
          <w:sz w:val="24"/>
          <w:lang w:val="zh-CN"/>
        </w:rPr>
        <w:t>人，营业收入为</w:t>
      </w:r>
      <w:r>
        <w:rPr>
          <w:rFonts w:hint="eastAsia" w:ascii="宋体" w:hAnsi="宋体" w:eastAsia="宋体" w:cs="宋体"/>
          <w:sz w:val="24"/>
          <w:u w:val="single"/>
        </w:rPr>
        <w:t xml:space="preserve">       </w:t>
      </w:r>
      <w:r>
        <w:rPr>
          <w:rFonts w:hint="eastAsia" w:ascii="宋体" w:hAnsi="宋体" w:eastAsia="宋体" w:cs="宋体"/>
          <w:sz w:val="24"/>
          <w:lang w:val="zh-CN"/>
        </w:rPr>
        <w:t>万元，资产总额为</w:t>
      </w:r>
      <w:r>
        <w:rPr>
          <w:rFonts w:hint="eastAsia" w:ascii="宋体" w:hAnsi="宋体" w:eastAsia="宋体" w:cs="宋体"/>
          <w:sz w:val="24"/>
          <w:u w:val="single"/>
        </w:rPr>
        <w:t xml:space="preserve">       </w:t>
      </w:r>
      <w:r>
        <w:rPr>
          <w:rFonts w:hint="eastAsia" w:ascii="宋体" w:hAnsi="宋体" w:eastAsia="宋体" w:cs="宋体"/>
          <w:sz w:val="24"/>
          <w:lang w:val="zh-CN"/>
        </w:rPr>
        <w:t>万元</w:t>
      </w:r>
      <w:r>
        <w:rPr>
          <w:rFonts w:hint="eastAsia" w:ascii="宋体" w:hAnsi="宋体" w:eastAsia="宋体" w:cs="宋体"/>
          <w:sz w:val="30"/>
          <w:szCs w:val="30"/>
          <w:vertAlign w:val="superscript"/>
        </w:rPr>
        <w:t>1</w:t>
      </w:r>
      <w:r>
        <w:rPr>
          <w:rFonts w:hint="eastAsia" w:ascii="宋体" w:hAnsi="宋体" w:eastAsia="宋体" w:cs="宋体"/>
          <w:sz w:val="24"/>
          <w:lang w:val="zh-CN"/>
        </w:rPr>
        <w:t>，属于（</w:t>
      </w:r>
      <w:r>
        <w:rPr>
          <w:rFonts w:hint="eastAsia" w:ascii="宋体" w:hAnsi="宋体" w:eastAsia="宋体" w:cs="宋体"/>
          <w:sz w:val="24"/>
          <w:u w:val="single"/>
          <w:lang w:val="zh-CN"/>
        </w:rPr>
        <w:t>中型企业、小型企业、微型企业）</w:t>
      </w:r>
      <w:r>
        <w:rPr>
          <w:rFonts w:hint="eastAsia" w:ascii="宋体" w:hAnsi="宋体" w:eastAsia="宋体" w:cs="宋体"/>
          <w:sz w:val="24"/>
          <w:lang w:val="zh-CN"/>
        </w:rPr>
        <w:t xml:space="preserve">； </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 xml:space="preserve">2. </w:t>
      </w:r>
      <w:r>
        <w:rPr>
          <w:rFonts w:hint="eastAsia" w:ascii="宋体" w:hAnsi="宋体" w:eastAsia="宋体" w:cs="宋体"/>
          <w:sz w:val="24"/>
          <w:u w:val="single"/>
          <w:lang w:val="zh-CN"/>
        </w:rPr>
        <w:t xml:space="preserve">（标的名称） </w:t>
      </w:r>
      <w:r>
        <w:rPr>
          <w:rFonts w:hint="eastAsia" w:ascii="宋体" w:hAnsi="宋体" w:eastAsia="宋体" w:cs="宋体"/>
          <w:sz w:val="24"/>
          <w:lang w:val="zh-CN"/>
        </w:rPr>
        <w:t>，属于</w:t>
      </w:r>
      <w:r>
        <w:rPr>
          <w:rFonts w:hint="eastAsia" w:ascii="宋体" w:hAnsi="宋体" w:eastAsia="宋体" w:cs="宋体"/>
          <w:sz w:val="24"/>
          <w:u w:val="single"/>
          <w:lang w:val="zh-CN"/>
        </w:rPr>
        <w:t>（采购文件中明确的所属行业）行业</w:t>
      </w:r>
      <w:r>
        <w:rPr>
          <w:rFonts w:hint="eastAsia" w:ascii="宋体" w:hAnsi="宋体" w:eastAsia="宋体" w:cs="宋体"/>
          <w:sz w:val="24"/>
          <w:lang w:val="zh-CN"/>
        </w:rPr>
        <w:t>；制造商为</w:t>
      </w:r>
      <w:r>
        <w:rPr>
          <w:rFonts w:hint="eastAsia" w:ascii="宋体" w:hAnsi="宋体" w:eastAsia="宋体" w:cs="宋体"/>
          <w:sz w:val="24"/>
          <w:u w:val="single"/>
          <w:lang w:val="zh-CN"/>
        </w:rPr>
        <w:t>（企业名称）</w:t>
      </w:r>
      <w:r>
        <w:rPr>
          <w:rFonts w:hint="eastAsia" w:ascii="宋体" w:hAnsi="宋体" w:eastAsia="宋体" w:cs="宋体"/>
          <w:sz w:val="24"/>
          <w:lang w:val="zh-CN"/>
        </w:rPr>
        <w:t>，从业人员</w:t>
      </w:r>
      <w:r>
        <w:rPr>
          <w:rFonts w:hint="eastAsia" w:ascii="宋体" w:hAnsi="宋体" w:eastAsia="宋体" w:cs="宋体"/>
          <w:sz w:val="24"/>
          <w:u w:val="single"/>
        </w:rPr>
        <w:t xml:space="preserve">    </w:t>
      </w:r>
      <w:r>
        <w:rPr>
          <w:rFonts w:hint="eastAsia" w:ascii="宋体" w:hAnsi="宋体" w:eastAsia="宋体" w:cs="宋体"/>
          <w:sz w:val="24"/>
          <w:lang w:val="zh-CN"/>
        </w:rPr>
        <w:t>人，营业收入为</w:t>
      </w:r>
      <w:r>
        <w:rPr>
          <w:rFonts w:hint="eastAsia" w:ascii="宋体" w:hAnsi="宋体" w:eastAsia="宋体" w:cs="宋体"/>
          <w:sz w:val="24"/>
          <w:u w:val="single"/>
        </w:rPr>
        <w:t xml:space="preserve">       </w:t>
      </w:r>
      <w:r>
        <w:rPr>
          <w:rFonts w:hint="eastAsia" w:ascii="宋体" w:hAnsi="宋体" w:eastAsia="宋体" w:cs="宋体"/>
          <w:sz w:val="24"/>
          <w:lang w:val="zh-CN"/>
        </w:rPr>
        <w:t>万元，资产总额为</w:t>
      </w:r>
      <w:r>
        <w:rPr>
          <w:rFonts w:hint="eastAsia" w:ascii="宋体" w:hAnsi="宋体" w:eastAsia="宋体" w:cs="宋体"/>
          <w:sz w:val="24"/>
          <w:u w:val="single"/>
        </w:rPr>
        <w:t xml:space="preserve">       </w:t>
      </w:r>
      <w:r>
        <w:rPr>
          <w:rFonts w:hint="eastAsia" w:ascii="宋体" w:hAnsi="宋体" w:eastAsia="宋体" w:cs="宋体"/>
          <w:sz w:val="24"/>
          <w:lang w:val="zh-CN"/>
        </w:rPr>
        <w:t>万元，属于</w:t>
      </w:r>
      <w:r>
        <w:rPr>
          <w:rFonts w:hint="eastAsia" w:ascii="宋体" w:hAnsi="宋体" w:eastAsia="宋体" w:cs="宋体"/>
          <w:sz w:val="24"/>
          <w:u w:val="single"/>
          <w:lang w:val="zh-CN"/>
        </w:rPr>
        <w:t>（中型企业、小型 企业、微型企业）</w:t>
      </w:r>
      <w:r>
        <w:rPr>
          <w:rFonts w:hint="eastAsia" w:ascii="宋体" w:hAnsi="宋体" w:eastAsia="宋体" w:cs="宋体"/>
          <w:sz w:val="24"/>
          <w:lang w:val="zh-CN"/>
        </w:rPr>
        <w:t xml:space="preserve">； </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 xml:space="preserve">本企业对上述声明内容的真实性负责。如有虚假，将依法承担相应责任。 </w:t>
      </w:r>
    </w:p>
    <w:p>
      <w:pPr>
        <w:outlineLvl w:val="9"/>
        <w:rPr>
          <w:rFonts w:hint="eastAsia" w:ascii="宋体" w:hAnsi="宋体" w:eastAsia="宋体" w:cs="宋体"/>
          <w:lang w:val="zh-CN"/>
        </w:rPr>
      </w:pPr>
    </w:p>
    <w:p>
      <w:pPr>
        <w:autoSpaceDE w:val="0"/>
        <w:autoSpaceDN w:val="0"/>
        <w:adjustRightInd w:val="0"/>
        <w:spacing w:line="360" w:lineRule="auto"/>
        <w:ind w:firstLine="4320" w:firstLineChars="1800"/>
        <w:jc w:val="left"/>
        <w:rPr>
          <w:rFonts w:hint="eastAsia" w:ascii="宋体" w:hAnsi="宋体" w:eastAsia="宋体" w:cs="宋体"/>
          <w:sz w:val="24"/>
          <w:lang w:val="zh-CN"/>
        </w:rPr>
      </w:pPr>
      <w:r>
        <w:rPr>
          <w:rFonts w:hint="eastAsia" w:ascii="宋体" w:hAnsi="宋体" w:eastAsia="宋体" w:cs="宋体"/>
          <w:sz w:val="24"/>
          <w:lang w:val="zh-CN"/>
        </w:rPr>
        <w:t>企业名称（盖章）：</w:t>
      </w:r>
    </w:p>
    <w:p>
      <w:pPr>
        <w:autoSpaceDE w:val="0"/>
        <w:autoSpaceDN w:val="0"/>
        <w:adjustRightInd w:val="0"/>
        <w:spacing w:line="360" w:lineRule="auto"/>
        <w:ind w:firstLine="4320" w:firstLineChars="1800"/>
        <w:jc w:val="left"/>
        <w:rPr>
          <w:rFonts w:hint="eastAsia" w:ascii="宋体" w:hAnsi="宋体" w:eastAsia="宋体" w:cs="宋体"/>
          <w:sz w:val="24"/>
          <w:lang w:val="zh-CN"/>
        </w:rPr>
      </w:pPr>
      <w:r>
        <w:rPr>
          <w:rFonts w:hint="eastAsia" w:ascii="宋体" w:hAnsi="宋体" w:eastAsia="宋体" w:cs="宋体"/>
          <w:sz w:val="24"/>
          <w:lang w:val="zh-CN"/>
        </w:rPr>
        <w:t>日 期：</w:t>
      </w:r>
    </w:p>
    <w:p>
      <w:pPr>
        <w:autoSpaceDE w:val="0"/>
        <w:autoSpaceDN w:val="0"/>
        <w:adjustRightIn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w:t>
      </w:r>
    </w:p>
    <w:p>
      <w:pPr>
        <w:widowControl/>
        <w:jc w:val="left"/>
        <w:rPr>
          <w:rFonts w:hint="eastAsia" w:ascii="宋体" w:hAnsi="宋体" w:eastAsia="宋体" w:cs="宋体"/>
        </w:rPr>
      </w:pPr>
      <w:r>
        <w:rPr>
          <w:rFonts w:hint="eastAsia" w:ascii="宋体" w:hAnsi="宋体" w:eastAsia="宋体" w:cs="宋体"/>
          <w:sz w:val="30"/>
          <w:szCs w:val="30"/>
          <w:vertAlign w:val="superscript"/>
        </w:rPr>
        <w:t>1</w:t>
      </w:r>
      <w:r>
        <w:rPr>
          <w:rFonts w:hint="eastAsia" w:ascii="宋体" w:hAnsi="宋体" w:eastAsia="宋体" w:cs="宋体"/>
          <w:color w:val="000000"/>
          <w:kern w:val="0"/>
          <w:sz w:val="18"/>
          <w:szCs w:val="18"/>
        </w:rPr>
        <w:t>从业人员、营业收入、资产总额填报上一年度数据，无上一年度数据的新成立企业可不填报。</w:t>
      </w:r>
    </w:p>
    <w:p>
      <w:pPr>
        <w:outlineLvl w:val="9"/>
        <w:rPr>
          <w:rFonts w:hint="eastAsia" w:ascii="宋体" w:hAnsi="宋体" w:eastAsia="宋体" w:cs="宋体"/>
        </w:rPr>
      </w:pPr>
    </w:p>
    <w:p>
      <w:pPr>
        <w:autoSpaceDE w:val="0"/>
        <w:autoSpaceDN w:val="0"/>
        <w:adjustRightInd w:val="0"/>
        <w:spacing w:line="360" w:lineRule="auto"/>
        <w:jc w:val="left"/>
        <w:rPr>
          <w:rFonts w:hint="eastAsia" w:ascii="宋体" w:hAnsi="宋体" w:eastAsia="宋体" w:cs="宋体"/>
          <w:b/>
          <w:szCs w:val="21"/>
        </w:rPr>
      </w:pPr>
      <w:r>
        <w:rPr>
          <w:rFonts w:hint="eastAsia" w:ascii="宋体" w:hAnsi="宋体" w:eastAsia="宋体" w:cs="宋体"/>
          <w:sz w:val="24"/>
          <w:u w:val="single"/>
          <w:lang w:val="zh-CN"/>
        </w:rPr>
        <w:br w:type="page"/>
      </w:r>
      <w:r>
        <w:rPr>
          <w:rFonts w:hint="eastAsia" w:ascii="宋体" w:hAnsi="宋体" w:eastAsia="宋体" w:cs="宋体"/>
          <w:b/>
          <w:szCs w:val="21"/>
          <w:lang w:val="zh-CN"/>
        </w:rPr>
        <w:t>附件</w:t>
      </w:r>
      <w:r>
        <w:rPr>
          <w:rFonts w:hint="eastAsia" w:ascii="宋体" w:hAnsi="宋体" w:eastAsia="宋体" w:cs="宋体"/>
          <w:b/>
          <w:szCs w:val="21"/>
        </w:rPr>
        <w:t>二</w:t>
      </w:r>
    </w:p>
    <w:p>
      <w:pPr>
        <w:spacing w:line="360" w:lineRule="auto"/>
        <w:jc w:val="center"/>
        <w:rPr>
          <w:rFonts w:hint="eastAsia" w:ascii="宋体" w:hAnsi="宋体" w:eastAsia="宋体" w:cs="宋体"/>
          <w:szCs w:val="21"/>
          <w:lang w:val="zh-CN"/>
        </w:rPr>
      </w:pPr>
      <w:bookmarkStart w:id="92" w:name="OLE_LINK14"/>
      <w:bookmarkStart w:id="93" w:name="OLE_LINK13"/>
    </w:p>
    <w:p>
      <w:pPr>
        <w:spacing w:line="360" w:lineRule="auto"/>
        <w:jc w:val="center"/>
        <w:rPr>
          <w:rFonts w:hint="eastAsia" w:ascii="宋体" w:hAnsi="宋体" w:eastAsia="宋体" w:cs="宋体"/>
          <w:b/>
          <w:sz w:val="28"/>
          <w:szCs w:val="28"/>
          <w:lang w:val="zh-CN"/>
        </w:rPr>
      </w:pPr>
      <w:r>
        <w:rPr>
          <w:rFonts w:hint="eastAsia" w:ascii="宋体" w:hAnsi="宋体" w:eastAsia="宋体" w:cs="宋体"/>
          <w:b/>
          <w:sz w:val="28"/>
          <w:szCs w:val="28"/>
          <w:lang w:val="zh-CN"/>
        </w:rPr>
        <w:t>残疾人福利性单位声明函</w:t>
      </w:r>
    </w:p>
    <w:bookmarkEnd w:id="92"/>
    <w:bookmarkEnd w:id="93"/>
    <w:p>
      <w:pPr>
        <w:spacing w:line="360" w:lineRule="auto"/>
        <w:rPr>
          <w:rFonts w:hint="eastAsia" w:ascii="宋体" w:hAnsi="宋体" w:eastAsia="宋体" w:cs="宋体"/>
          <w:szCs w:val="21"/>
          <w:lang w:val="zh-CN"/>
        </w:rPr>
      </w:pP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本单位郑重声明，根据《财政部 民政部 中国残疾人联合会关于促进残疾人就业政府采购政策的通知》（财库〔2017〕 141号）的规定，本单位</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lang w:val="zh-CN"/>
        </w:rPr>
        <w:t>是</w:t>
      </w:r>
      <w:r>
        <w:rPr>
          <w:rFonts w:hint="eastAsia" w:ascii="宋体" w:hAnsi="宋体" w:eastAsia="宋体" w:cs="宋体"/>
          <w:sz w:val="24"/>
          <w:u w:val="single"/>
          <w:lang w:val="en-US" w:eastAsia="zh-CN"/>
        </w:rPr>
        <w:t xml:space="preserve">/否 </w:t>
      </w:r>
      <w:r>
        <w:rPr>
          <w:rFonts w:hint="eastAsia" w:ascii="宋体" w:hAnsi="宋体" w:eastAsia="宋体" w:cs="宋体"/>
          <w:sz w:val="24"/>
          <w:lang w:val="zh-CN"/>
        </w:rPr>
        <w:t>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本单位对上述声明的真实性负责。如有虚假，将依法承担相应责任。</w:t>
      </w:r>
    </w:p>
    <w:p>
      <w:pPr>
        <w:spacing w:line="360" w:lineRule="auto"/>
        <w:ind w:firstLine="480" w:firstLineChars="200"/>
        <w:rPr>
          <w:rFonts w:hint="eastAsia" w:ascii="宋体" w:hAnsi="宋体" w:eastAsia="宋体" w:cs="宋体"/>
          <w:sz w:val="24"/>
          <w:lang w:val="zh-CN"/>
        </w:rPr>
      </w:pPr>
    </w:p>
    <w:p>
      <w:pPr>
        <w:spacing w:line="360" w:lineRule="auto"/>
        <w:ind w:firstLine="480" w:firstLineChars="200"/>
        <w:rPr>
          <w:rFonts w:hint="eastAsia" w:ascii="宋体" w:hAnsi="宋体" w:eastAsia="宋体" w:cs="宋体"/>
          <w:sz w:val="24"/>
          <w:lang w:val="zh-CN"/>
        </w:rPr>
      </w:pPr>
    </w:p>
    <w:p>
      <w:pPr>
        <w:tabs>
          <w:tab w:val="left" w:pos="4860"/>
        </w:tabs>
        <w:spacing w:line="360" w:lineRule="auto"/>
        <w:ind w:right="1560" w:firstLine="5040" w:firstLineChars="2100"/>
        <w:rPr>
          <w:rFonts w:hint="eastAsia" w:ascii="宋体" w:hAnsi="宋体" w:eastAsia="宋体" w:cs="宋体"/>
          <w:sz w:val="24"/>
          <w:lang w:val="zh-CN"/>
        </w:rPr>
      </w:pPr>
      <w:r>
        <w:rPr>
          <w:rFonts w:hint="eastAsia" w:ascii="宋体" w:hAnsi="宋体" w:eastAsia="宋体" w:cs="宋体"/>
          <w:sz w:val="24"/>
          <w:lang w:val="zh-CN"/>
        </w:rPr>
        <w:t>单位名称（盖章）：</w:t>
      </w:r>
    </w:p>
    <w:p>
      <w:pPr>
        <w:tabs>
          <w:tab w:val="left" w:pos="4860"/>
        </w:tabs>
        <w:spacing w:line="360" w:lineRule="auto"/>
        <w:ind w:right="1560" w:firstLine="5400" w:firstLineChars="2250"/>
        <w:rPr>
          <w:rFonts w:hint="eastAsia" w:ascii="宋体" w:hAnsi="宋体" w:eastAsia="宋体" w:cs="宋体"/>
          <w:sz w:val="24"/>
          <w:lang w:val="zh-CN"/>
        </w:rPr>
      </w:pPr>
      <w:r>
        <w:rPr>
          <w:rFonts w:hint="eastAsia" w:ascii="宋体" w:hAnsi="宋体" w:eastAsia="宋体" w:cs="宋体"/>
          <w:sz w:val="24"/>
          <w:lang w:val="zh-CN"/>
        </w:rPr>
        <w:t>日  期：</w:t>
      </w:r>
    </w:p>
    <w:p>
      <w:pPr>
        <w:autoSpaceDE w:val="0"/>
        <w:autoSpaceDN w:val="0"/>
        <w:adjustRightInd w:val="0"/>
        <w:spacing w:line="360" w:lineRule="auto"/>
        <w:jc w:val="left"/>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szCs w:val="21"/>
          <w:lang w:val="zh-CN"/>
        </w:rPr>
      </w:pPr>
    </w:p>
    <w:p>
      <w:pPr>
        <w:outlineLvl w:val="9"/>
        <w:rPr>
          <w:rFonts w:hint="eastAsia" w:ascii="宋体" w:hAnsi="宋体" w:eastAsia="宋体" w:cs="宋体"/>
          <w:lang w:val="zh-CN"/>
        </w:rPr>
      </w:pPr>
    </w:p>
    <w:bookmarkEnd w:id="82"/>
    <w:bookmarkEnd w:id="83"/>
    <w:bookmarkEnd w:id="84"/>
    <w:p>
      <w:pPr>
        <w:rPr>
          <w:rFonts w:hint="eastAsia" w:ascii="宋体" w:hAnsi="宋体" w:eastAsia="宋体" w:cs="宋体"/>
          <w:lang w:val="zh-CN"/>
        </w:rPr>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r>
        <w:rPr>
          <w:rFonts w:hint="eastAsia" w:ascii="宋体" w:hAnsi="宋体" w:eastAsia="宋体" w:cs="宋体"/>
          <w:b/>
          <w:sz w:val="32"/>
          <w:szCs w:val="32"/>
        </w:rPr>
        <w:t>监狱企业声明函</w:t>
      </w:r>
    </w:p>
    <w:p>
      <w:pPr>
        <w:jc w:val="center"/>
        <w:rPr>
          <w:rFonts w:hint="eastAsia" w:ascii="宋体" w:hAnsi="宋体" w:eastAsia="宋体" w:cs="宋体"/>
          <w:b/>
          <w:sz w:val="32"/>
          <w:szCs w:val="32"/>
        </w:rPr>
      </w:pP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本单位郑重声明，根据《财政部、司法部关于政府采购支持监狱企业发展有关问题的通知》（财库〔2014〕68号）的规定。因本单位</w:t>
      </w:r>
      <w:r>
        <w:rPr>
          <w:rFonts w:hint="eastAsia" w:ascii="宋体" w:hAnsi="宋体" w:eastAsia="宋体" w:cs="宋体"/>
          <w:b w:val="0"/>
          <w:bCs w:val="0"/>
          <w:sz w:val="24"/>
          <w:u w:val="single"/>
        </w:rPr>
        <w:t>（符合/不符合）</w:t>
      </w:r>
      <w:r>
        <w:rPr>
          <w:rFonts w:hint="eastAsia" w:ascii="宋体" w:hAnsi="宋体" w:eastAsia="宋体" w:cs="宋体"/>
          <w:b w:val="0"/>
          <w:bCs w:val="0"/>
          <w:sz w:val="24"/>
        </w:rPr>
        <w:t>条件，故本单位为</w:t>
      </w:r>
      <w:r>
        <w:rPr>
          <w:rFonts w:hint="eastAsia" w:ascii="宋体" w:hAnsi="宋体" w:eastAsia="宋体" w:cs="宋体"/>
          <w:b w:val="0"/>
          <w:bCs w:val="0"/>
          <w:sz w:val="24"/>
          <w:u w:val="single"/>
        </w:rPr>
        <w:t>（监狱/非监狱）</w:t>
      </w:r>
      <w:r>
        <w:rPr>
          <w:rFonts w:hint="eastAsia" w:ascii="宋体" w:hAnsi="宋体" w:eastAsia="宋体" w:cs="宋体"/>
          <w:b w:val="0"/>
          <w:bCs w:val="0"/>
          <w:sz w:val="24"/>
        </w:rPr>
        <w:t xml:space="preserve">企业。 </w:t>
      </w:r>
    </w:p>
    <w:p>
      <w:pPr>
        <w:spacing w:line="360" w:lineRule="auto"/>
        <w:ind w:firstLine="600" w:firstLineChars="250"/>
        <w:rPr>
          <w:rFonts w:hint="eastAsia" w:ascii="宋体" w:hAnsi="宋体" w:eastAsia="宋体" w:cs="宋体"/>
          <w:b w:val="0"/>
          <w:bCs w:val="0"/>
          <w:sz w:val="24"/>
        </w:rPr>
      </w:pPr>
      <w:r>
        <w:rPr>
          <w:rFonts w:hint="eastAsia" w:ascii="宋体" w:hAnsi="宋体" w:eastAsia="宋体" w:cs="宋体"/>
          <w:b w:val="0"/>
          <w:bCs w:val="0"/>
          <w:sz w:val="24"/>
        </w:rPr>
        <w:t>本单位对上述声明的真实性负责。如有虚假，将依法承担相应责任。</w:t>
      </w:r>
    </w:p>
    <w:p>
      <w:pPr>
        <w:spacing w:line="360" w:lineRule="auto"/>
        <w:ind w:firstLine="600" w:firstLineChars="250"/>
        <w:rPr>
          <w:rFonts w:hint="eastAsia" w:ascii="宋体" w:hAnsi="宋体" w:eastAsia="宋体" w:cs="宋体"/>
          <w:b w:val="0"/>
          <w:bCs w:val="0"/>
          <w:sz w:val="24"/>
        </w:rPr>
      </w:pPr>
      <w:r>
        <w:rPr>
          <w:rFonts w:hint="eastAsia" w:ascii="宋体" w:hAnsi="宋体" w:eastAsia="宋体" w:cs="宋体"/>
          <w:b w:val="0"/>
          <w:bCs w:val="0"/>
          <w:sz w:val="24"/>
        </w:rPr>
        <w:t>注：监狱企业参加政府采购活动时，应当提供由省级以上监狱管理局、戒毒管理局（含新疆生产建设兵团）出具的属于监狱企业的证明文件。</w:t>
      </w:r>
    </w:p>
    <w:p>
      <w:pPr>
        <w:spacing w:line="440" w:lineRule="exact"/>
        <w:jc w:val="center"/>
        <w:rPr>
          <w:rFonts w:hint="eastAsia" w:ascii="宋体" w:hAnsi="宋体" w:eastAsia="宋体" w:cs="宋体"/>
          <w:szCs w:val="21"/>
        </w:rPr>
      </w:pPr>
    </w:p>
    <w:p>
      <w:pPr>
        <w:spacing w:line="440" w:lineRule="exact"/>
        <w:jc w:val="center"/>
        <w:rPr>
          <w:rFonts w:hint="eastAsia" w:ascii="宋体" w:hAnsi="宋体" w:eastAsia="宋体" w:cs="宋体"/>
          <w:sz w:val="24"/>
        </w:rPr>
      </w:pPr>
      <w:r>
        <w:rPr>
          <w:rFonts w:hint="eastAsia" w:ascii="宋体" w:hAnsi="宋体" w:eastAsia="宋体" w:cs="宋体"/>
          <w:szCs w:val="21"/>
        </w:rPr>
        <w:t xml:space="preserve">                             </w:t>
      </w:r>
      <w:r>
        <w:rPr>
          <w:rFonts w:hint="eastAsia" w:ascii="宋体" w:hAnsi="宋体" w:eastAsia="宋体" w:cs="宋体"/>
          <w:sz w:val="24"/>
        </w:rPr>
        <w:t>单位名称（盖章）：</w:t>
      </w:r>
    </w:p>
    <w:p>
      <w:pPr>
        <w:spacing w:line="440" w:lineRule="exact"/>
        <w:jc w:val="center"/>
        <w:rPr>
          <w:rFonts w:hint="eastAsia" w:ascii="宋体" w:hAnsi="宋体" w:eastAsia="宋体" w:cs="宋体"/>
          <w:sz w:val="24"/>
        </w:rPr>
      </w:pPr>
      <w:r>
        <w:rPr>
          <w:rFonts w:hint="eastAsia" w:ascii="宋体" w:hAnsi="宋体" w:eastAsia="宋体" w:cs="宋体"/>
          <w:sz w:val="24"/>
        </w:rPr>
        <w:t xml:space="preserve">                         日  期：</w:t>
      </w:r>
    </w:p>
    <w:p>
      <w:pPr>
        <w:pStyle w:val="10"/>
        <w:rPr>
          <w:rFonts w:hint="eastAsia" w:ascii="宋体" w:hAnsi="宋体" w:eastAsia="宋体" w:cs="宋体"/>
          <w:lang w:val="zh-CN"/>
        </w:rPr>
      </w:pPr>
    </w:p>
    <w:sectPr>
      <w:pgSz w:w="11906" w:h="16838"/>
      <w:pgMar w:top="1417" w:right="1644" w:bottom="1417" w:left="1757" w:header="850" w:footer="850" w:gutter="0"/>
      <w:pgBorders>
        <w:top w:val="none" w:sz="0" w:space="0"/>
        <w:left w:val="none" w:sz="0" w:space="0"/>
        <w:bottom w:val="none" w:sz="0" w:space="0"/>
        <w:right w:val="none" w:sz="0" w:space="0"/>
      </w:pgBorders>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GYXIQ+Frutiger-Cn">
    <w:altName w:val="宋体"/>
    <w:panose1 w:val="00000000000000000000"/>
    <w:charset w:val="86"/>
    <w:family w:val="decorative"/>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9000"/>
        <w:tab w:val="left" w:pos="9050"/>
        <w:tab w:val="clear" w:pos="8306"/>
      </w:tabs>
      <w:ind w:right="-693" w:rightChars="-330" w:firstLine="90" w:firstLineChars="50"/>
      <w:rPr>
        <w:rFonts w:ascii="宋体" w:hAnsi="宋体"/>
      </w:rPr>
    </w:pPr>
  </w:p>
  <w:p>
    <w:pPr>
      <w:pStyle w:val="15"/>
      <w:rPr>
        <w:rFonts w:ascii="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163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rPr>
        <w:rFonts w:ascii="宋体" w:hAnsi="宋体" w:cs="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rPr>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17</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rPr>
        <w:rFonts w:ascii="宋体" w:hAns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rPr>
        <w:rFonts w:ascii="宋体" w:hAnsi="宋体" w:cs="宋体"/>
        <w:kern w:val="0"/>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164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164</w:t>
                    </w:r>
                    <w:r>
                      <w:fldChar w:fldCharType="end"/>
                    </w:r>
                    <w:r>
                      <w:t xml:space="preserve"> 页</w:t>
                    </w:r>
                  </w:p>
                </w:txbxContent>
              </v:textbox>
            </v:shape>
          </w:pict>
        </mc:Fallback>
      </mc:AlternateContent>
    </w:r>
  </w:p>
  <w:p>
    <w:pPr>
      <w:pStyle w:val="15"/>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left="720" w:right="6" w:hanging="720" w:hangingChars="400"/>
      <w:jc w:val="left"/>
      <w:rPr>
        <w:rFonts w:ascii="宋体" w:hAnsi="宋体"/>
        <w:szCs w:val="21"/>
      </w:rPr>
    </w:pPr>
    <w:r>
      <w:rPr>
        <w:rFonts w:hint="eastAsia" w:ascii="宋体" w:hAnsi="宋体"/>
        <w:szCs w:val="21"/>
      </w:rPr>
      <w:t>西安市未央区国家教育考试综合管理平台建设项目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2592"/>
      </w:tabs>
      <w:ind w:left="6660" w:hanging="6660" w:hangingChars="370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r>
      <w:rPr>
        <w:rFonts w:hint="eastAsia" w:ascii="宋体" w:hAnsi="宋体" w:cs="宋体"/>
        <w:b w:val="0"/>
        <w:color w:val="333333"/>
        <w:sz w:val="18"/>
        <w:szCs w:val="18"/>
        <w:u w:val="single"/>
        <w:lang w:eastAsia="zh-CN"/>
      </w:rPr>
      <w:t>未央区教育局下属四所学校教学办公设备及设施采购项目</w:t>
    </w:r>
    <w:r>
      <w:rPr>
        <w:rFonts w:hint="eastAsia" w:ascii="宋体" w:hAnsi="宋体" w:eastAsia="宋体" w:cs="宋体"/>
        <w:b w:val="0"/>
        <w:color w:val="333333"/>
        <w:sz w:val="18"/>
        <w:szCs w:val="18"/>
        <w:u w:val="single"/>
        <w:lang w:val="en-US" w:eastAsia="zh-CN"/>
      </w:rPr>
      <w:t xml:space="preserve">                 </w:t>
    </w:r>
    <w:r>
      <w:rPr>
        <w:rFonts w:hint="eastAsia" w:ascii="宋体" w:hAnsi="宋体" w:cs="宋体"/>
        <w:b w:val="0"/>
        <w:color w:val="333333"/>
        <w:sz w:val="18"/>
        <w:szCs w:val="18"/>
        <w:u w:val="single"/>
        <w:lang w:val="en-US" w:eastAsia="zh-CN"/>
      </w:rPr>
      <w:t xml:space="preserve">   </w:t>
    </w:r>
    <w:r>
      <w:rPr>
        <w:rFonts w:hint="eastAsia" w:ascii="宋体" w:hAnsi="宋体" w:eastAsia="宋体" w:cs="宋体"/>
        <w:b w:val="0"/>
        <w:color w:val="333333"/>
        <w:sz w:val="18"/>
        <w:szCs w:val="18"/>
        <w:u w:val="single"/>
        <w:lang w:val="en-US" w:eastAsia="zh-CN"/>
      </w:rPr>
      <w:t xml:space="preserve">  </w:t>
    </w:r>
    <w:r>
      <w:rPr>
        <w:rFonts w:hint="eastAsia" w:ascii="宋体" w:hAnsi="宋体" w:cs="宋体"/>
        <w:b w:val="0"/>
        <w:color w:val="333333"/>
        <w:sz w:val="18"/>
        <w:szCs w:val="18"/>
        <w:u w:val="single"/>
        <w:lang w:val="en-US" w:eastAsia="zh-CN"/>
      </w:rPr>
      <w:t xml:space="preserve">  </w:t>
    </w:r>
    <w:r>
      <w:rPr>
        <w:rFonts w:hint="eastAsia" w:ascii="宋体" w:hAnsi="宋体" w:eastAsia="宋体" w:cs="宋体"/>
        <w:b w:val="0"/>
        <w:color w:val="333333"/>
        <w:sz w:val="18"/>
        <w:szCs w:val="18"/>
        <w:u w:val="single"/>
        <w:lang w:val="en-US" w:eastAsia="zh-CN"/>
      </w:rPr>
      <w:t xml:space="preserve">  </w:t>
    </w:r>
    <w:r>
      <w:rPr>
        <w:rFonts w:hint="eastAsia" w:ascii="宋体" w:hAnsi="宋体" w:cs="宋体"/>
        <w:b w:val="0"/>
        <w:color w:val="333333"/>
        <w:sz w:val="18"/>
        <w:szCs w:val="18"/>
        <w:u w:val="single"/>
        <w:lang w:val="en-US" w:eastAsia="zh-CN"/>
      </w:rPr>
      <w:t xml:space="preserve">  </w:t>
    </w:r>
    <w:r>
      <w:rPr>
        <w:rFonts w:hint="eastAsia" w:ascii="宋体" w:hAnsi="宋体" w:eastAsia="宋体" w:cs="宋体"/>
        <w:b w:val="0"/>
        <w:color w:val="333333"/>
        <w:sz w:val="18"/>
        <w:szCs w:val="18"/>
        <w:u w:val="single"/>
        <w:lang w:val="en-US" w:eastAsia="zh-CN"/>
      </w:rPr>
      <w:t xml:space="preserve">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default" w:ascii="宋体" w:hAnsi="宋体" w:eastAsia="宋体" w:cs="宋体"/>
        <w:sz w:val="18"/>
        <w:szCs w:val="18"/>
        <w:u w:val="single"/>
        <w:lang w:val="en-US" w:eastAsia="zh-CN"/>
      </w:rPr>
    </w:pPr>
    <w:r>
      <w:rPr>
        <w:rFonts w:hint="eastAsia" w:ascii="宋体" w:hAnsi="宋体" w:cs="宋体"/>
        <w:b w:val="0"/>
        <w:color w:val="333333"/>
        <w:sz w:val="18"/>
        <w:szCs w:val="18"/>
        <w:u w:val="single"/>
        <w:lang w:eastAsia="zh-CN"/>
      </w:rPr>
      <w:t>未央区教育局下属四所学校教学办公设备及设施采购项目</w:t>
    </w:r>
    <w:r>
      <w:rPr>
        <w:rFonts w:hint="eastAsia" w:ascii="宋体" w:hAnsi="宋体" w:eastAsia="宋体" w:cs="宋体"/>
        <w:b w:val="0"/>
        <w:color w:val="333333"/>
        <w:sz w:val="18"/>
        <w:szCs w:val="18"/>
        <w:u w:val="single"/>
        <w:lang w:val="en-US" w:eastAsia="zh-CN"/>
      </w:rPr>
      <w:t xml:space="preserve">                      </w:t>
    </w:r>
    <w:r>
      <w:rPr>
        <w:rFonts w:hint="eastAsia" w:ascii="宋体" w:hAnsi="宋体" w:cs="宋体"/>
        <w:b w:val="0"/>
        <w:color w:val="333333"/>
        <w:sz w:val="18"/>
        <w:szCs w:val="18"/>
        <w:u w:val="single"/>
        <w:lang w:val="en-US" w:eastAsia="zh-CN"/>
      </w:rPr>
      <w:t xml:space="preserve">    </w:t>
    </w:r>
    <w:r>
      <w:rPr>
        <w:rFonts w:hint="eastAsia" w:ascii="宋体" w:hAnsi="宋体" w:eastAsia="宋体" w:cs="宋体"/>
        <w:b w:val="0"/>
        <w:color w:val="333333"/>
        <w:sz w:val="18"/>
        <w:szCs w:val="18"/>
        <w:u w:val="single"/>
        <w:lang w:val="en-US" w:eastAsia="zh-CN"/>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default" w:ascii="宋体" w:hAnsi="宋体" w:eastAsia="宋体" w:cs="宋体"/>
        <w:sz w:val="18"/>
        <w:szCs w:val="18"/>
        <w:u w:val="single"/>
        <w:lang w:val="en-US" w:eastAsia="zh-CN"/>
      </w:rPr>
    </w:pPr>
    <w:r>
      <w:rPr>
        <w:rFonts w:hint="eastAsia" w:ascii="宋体" w:hAnsi="宋体" w:cs="宋体"/>
        <w:b w:val="0"/>
        <w:color w:val="333333"/>
        <w:sz w:val="18"/>
        <w:szCs w:val="18"/>
        <w:u w:val="single"/>
        <w:lang w:eastAsia="zh-CN"/>
      </w:rPr>
      <w:t>未央区教育局下属四所学校教学办公设备及设施采购项目</w:t>
    </w:r>
    <w:r>
      <w:rPr>
        <w:rFonts w:hint="eastAsia" w:ascii="宋体" w:hAnsi="宋体" w:eastAsia="宋体" w:cs="宋体"/>
        <w:b w:val="0"/>
        <w:color w:val="333333"/>
        <w:sz w:val="18"/>
        <w:szCs w:val="18"/>
        <w:u w:val="single"/>
        <w:lang w:val="en-US" w:eastAsia="zh-CN"/>
      </w:rPr>
      <w:t xml:space="preserve">                                </w:t>
    </w:r>
    <w:r>
      <w:rPr>
        <w:rFonts w:hint="eastAsia" w:ascii="宋体" w:hAnsi="宋体" w:cs="宋体"/>
        <w:b w:val="0"/>
        <w:color w:val="333333"/>
        <w:sz w:val="18"/>
        <w:szCs w:val="18"/>
        <w:u w:val="single"/>
        <w:lang w:val="en-US" w:eastAsia="zh-CN"/>
      </w:rPr>
      <w:t xml:space="preserve">   </w:t>
    </w:r>
    <w:r>
      <w:rPr>
        <w:rFonts w:hint="eastAsia" w:ascii="宋体" w:hAnsi="宋体" w:eastAsia="宋体" w:cs="宋体"/>
        <w:b w:val="0"/>
        <w:color w:val="333333"/>
        <w:sz w:val="18"/>
        <w:szCs w:val="18"/>
        <w:u w:val="single"/>
        <w:lang w:val="en-US" w:eastAsia="zh-CN"/>
      </w:rPr>
      <w:t xml:space="preserve"> 招标文件</w:t>
    </w:r>
  </w:p>
  <w:p>
    <w:pPr>
      <w:pStyle w:val="1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default" w:ascii="宋体" w:hAnsi="宋体" w:eastAsia="宋体" w:cs="宋体"/>
        <w:sz w:val="18"/>
        <w:szCs w:val="18"/>
        <w:u w:val="single"/>
        <w:lang w:val="en-US" w:eastAsia="zh-CN"/>
      </w:rPr>
    </w:pPr>
    <w:r>
      <w:rPr>
        <w:rFonts w:hint="eastAsia" w:ascii="宋体" w:hAnsi="宋体" w:cs="宋体"/>
        <w:b w:val="0"/>
        <w:color w:val="333333"/>
        <w:sz w:val="18"/>
        <w:szCs w:val="18"/>
        <w:u w:val="single"/>
        <w:lang w:eastAsia="zh-CN"/>
      </w:rPr>
      <w:t>未央区教育局下属四所学校教学办公设备及设施采购项目</w:t>
    </w:r>
    <w:r>
      <w:rPr>
        <w:rFonts w:hint="eastAsia" w:ascii="宋体" w:hAnsi="宋体" w:eastAsia="宋体" w:cs="宋体"/>
        <w:b w:val="0"/>
        <w:color w:val="333333"/>
        <w:sz w:val="18"/>
        <w:szCs w:val="18"/>
        <w:u w:val="single"/>
        <w:lang w:val="en-US" w:eastAsia="zh-CN"/>
      </w:rPr>
      <w:t xml:space="preserve">                           </w:t>
    </w:r>
    <w:r>
      <w:rPr>
        <w:rFonts w:hint="eastAsia" w:ascii="宋体" w:hAnsi="宋体" w:cs="宋体"/>
        <w:b w:val="0"/>
        <w:color w:val="333333"/>
        <w:sz w:val="18"/>
        <w:szCs w:val="18"/>
        <w:u w:val="single"/>
        <w:lang w:val="en-US" w:eastAsia="zh-CN"/>
      </w:rPr>
      <w:t xml:space="preserve">   </w:t>
    </w:r>
    <w:r>
      <w:rPr>
        <w:rFonts w:hint="eastAsia" w:ascii="宋体" w:hAnsi="宋体" w:eastAsia="宋体" w:cs="宋体"/>
        <w:b w:val="0"/>
        <w:color w:val="333333"/>
        <w:sz w:val="18"/>
        <w:szCs w:val="18"/>
        <w:u w:val="single"/>
        <w:lang w:val="en-US" w:eastAsia="zh-CN"/>
      </w:rPr>
      <w:t xml:space="preserve">          招标文件</w:t>
    </w:r>
  </w:p>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82962"/>
    <w:multiLevelType w:val="singleLevel"/>
    <w:tmpl w:val="92282962"/>
    <w:lvl w:ilvl="0" w:tentative="0">
      <w:start w:val="1"/>
      <w:numFmt w:val="decimal"/>
      <w:suff w:val="nothing"/>
      <w:lvlText w:val="%1、"/>
      <w:lvlJc w:val="left"/>
    </w:lvl>
  </w:abstractNum>
  <w:abstractNum w:abstractNumId="1">
    <w:nsid w:val="B755EEDA"/>
    <w:multiLevelType w:val="singleLevel"/>
    <w:tmpl w:val="B755EEDA"/>
    <w:lvl w:ilvl="0" w:tentative="0">
      <w:start w:val="2"/>
      <w:numFmt w:val="chineseCounting"/>
      <w:suff w:val="nothing"/>
      <w:lvlText w:val="%1、"/>
      <w:lvlJc w:val="left"/>
      <w:rPr>
        <w:rFonts w:hint="eastAsia"/>
      </w:rPr>
    </w:lvl>
  </w:abstractNum>
  <w:abstractNum w:abstractNumId="2">
    <w:nsid w:val="B9AEBA6F"/>
    <w:multiLevelType w:val="singleLevel"/>
    <w:tmpl w:val="B9AEBA6F"/>
    <w:lvl w:ilvl="0" w:tentative="0">
      <w:start w:val="6"/>
      <w:numFmt w:val="chineseCounting"/>
      <w:suff w:val="nothing"/>
      <w:lvlText w:val="%1、"/>
      <w:lvlJc w:val="left"/>
      <w:rPr>
        <w:rFonts w:hint="eastAsia"/>
      </w:rPr>
    </w:lvl>
  </w:abstractNum>
  <w:abstractNum w:abstractNumId="3">
    <w:nsid w:val="E27FF154"/>
    <w:multiLevelType w:val="singleLevel"/>
    <w:tmpl w:val="E27FF154"/>
    <w:lvl w:ilvl="0" w:tentative="0">
      <w:start w:val="1"/>
      <w:numFmt w:val="decimal"/>
      <w:lvlText w:val="%1."/>
      <w:lvlJc w:val="left"/>
      <w:pPr>
        <w:tabs>
          <w:tab w:val="left" w:pos="312"/>
        </w:tabs>
      </w:pPr>
    </w:lvl>
  </w:abstractNum>
  <w:abstractNum w:abstractNumId="4">
    <w:nsid w:val="E6393CEC"/>
    <w:multiLevelType w:val="singleLevel"/>
    <w:tmpl w:val="E6393CEC"/>
    <w:lvl w:ilvl="0" w:tentative="0">
      <w:start w:val="1"/>
      <w:numFmt w:val="decimal"/>
      <w:suff w:val="nothing"/>
      <w:lvlText w:val="%1、"/>
      <w:lvlJc w:val="left"/>
    </w:lvl>
  </w:abstractNum>
  <w:abstractNum w:abstractNumId="5">
    <w:nsid w:val="E77D8EC3"/>
    <w:multiLevelType w:val="singleLevel"/>
    <w:tmpl w:val="E77D8EC3"/>
    <w:lvl w:ilvl="0" w:tentative="0">
      <w:start w:val="1"/>
      <w:numFmt w:val="decimal"/>
      <w:lvlText w:val="%1."/>
      <w:lvlJc w:val="left"/>
      <w:pPr>
        <w:tabs>
          <w:tab w:val="left" w:pos="312"/>
        </w:tabs>
      </w:pPr>
    </w:lvl>
  </w:abstractNum>
  <w:abstractNum w:abstractNumId="6">
    <w:nsid w:val="F36D800C"/>
    <w:multiLevelType w:val="singleLevel"/>
    <w:tmpl w:val="F36D800C"/>
    <w:lvl w:ilvl="0" w:tentative="0">
      <w:start w:val="1"/>
      <w:numFmt w:val="decimal"/>
      <w:lvlText w:val="%1."/>
      <w:lvlJc w:val="left"/>
      <w:pPr>
        <w:tabs>
          <w:tab w:val="left" w:pos="312"/>
        </w:tabs>
      </w:pPr>
    </w:lvl>
  </w:abstractNum>
  <w:abstractNum w:abstractNumId="7">
    <w:nsid w:val="FBA99BFC"/>
    <w:multiLevelType w:val="singleLevel"/>
    <w:tmpl w:val="FBA99BFC"/>
    <w:lvl w:ilvl="0" w:tentative="0">
      <w:start w:val="1"/>
      <w:numFmt w:val="decimal"/>
      <w:lvlText w:val="%1."/>
      <w:lvlJc w:val="left"/>
      <w:pPr>
        <w:tabs>
          <w:tab w:val="left" w:pos="312"/>
        </w:tabs>
      </w:pPr>
    </w:lvl>
  </w:abstractNum>
  <w:abstractNum w:abstractNumId="8">
    <w:nsid w:val="0000001F"/>
    <w:multiLevelType w:val="singleLevel"/>
    <w:tmpl w:val="0000001F"/>
    <w:lvl w:ilvl="0" w:tentative="0">
      <w:start w:val="1"/>
      <w:numFmt w:val="decimal"/>
      <w:pStyle w:val="31"/>
      <w:lvlText w:val="%1．"/>
      <w:lvlJc w:val="left"/>
      <w:pPr>
        <w:tabs>
          <w:tab w:val="left" w:pos="720"/>
        </w:tabs>
        <w:ind w:left="720" w:hanging="720"/>
      </w:pPr>
    </w:lvl>
  </w:abstractNum>
  <w:abstractNum w:abstractNumId="9">
    <w:nsid w:val="0543F40A"/>
    <w:multiLevelType w:val="singleLevel"/>
    <w:tmpl w:val="0543F40A"/>
    <w:lvl w:ilvl="0" w:tentative="0">
      <w:start w:val="1"/>
      <w:numFmt w:val="decimal"/>
      <w:lvlText w:val="%1."/>
      <w:lvlJc w:val="left"/>
      <w:pPr>
        <w:tabs>
          <w:tab w:val="left" w:pos="312"/>
        </w:tabs>
      </w:pPr>
    </w:lvl>
  </w:abstractNum>
  <w:abstractNum w:abstractNumId="10">
    <w:nsid w:val="0CAAAAF9"/>
    <w:multiLevelType w:val="singleLevel"/>
    <w:tmpl w:val="0CAAAAF9"/>
    <w:lvl w:ilvl="0" w:tentative="0">
      <w:start w:val="1"/>
      <w:numFmt w:val="decimal"/>
      <w:suff w:val="nothing"/>
      <w:lvlText w:val="%1、"/>
      <w:lvlJc w:val="left"/>
    </w:lvl>
  </w:abstractNum>
  <w:abstractNum w:abstractNumId="11">
    <w:nsid w:val="2AC582E8"/>
    <w:multiLevelType w:val="singleLevel"/>
    <w:tmpl w:val="2AC582E8"/>
    <w:lvl w:ilvl="0" w:tentative="0">
      <w:start w:val="1"/>
      <w:numFmt w:val="decimal"/>
      <w:lvlText w:val="%1."/>
      <w:lvlJc w:val="left"/>
      <w:pPr>
        <w:tabs>
          <w:tab w:val="left" w:pos="312"/>
        </w:tabs>
      </w:pPr>
    </w:lvl>
  </w:abstractNum>
  <w:abstractNum w:abstractNumId="12">
    <w:nsid w:val="3D1CDF6A"/>
    <w:multiLevelType w:val="singleLevel"/>
    <w:tmpl w:val="3D1CDF6A"/>
    <w:lvl w:ilvl="0" w:tentative="0">
      <w:start w:val="1"/>
      <w:numFmt w:val="decimal"/>
      <w:lvlText w:val="%1."/>
      <w:lvlJc w:val="left"/>
      <w:pPr>
        <w:tabs>
          <w:tab w:val="left" w:pos="312"/>
        </w:tabs>
      </w:pPr>
    </w:lvl>
  </w:abstractNum>
  <w:abstractNum w:abstractNumId="13">
    <w:nsid w:val="4901D6FF"/>
    <w:multiLevelType w:val="singleLevel"/>
    <w:tmpl w:val="4901D6FF"/>
    <w:lvl w:ilvl="0" w:tentative="0">
      <w:start w:val="1"/>
      <w:numFmt w:val="decimal"/>
      <w:lvlText w:val="%1."/>
      <w:lvlJc w:val="left"/>
      <w:pPr>
        <w:tabs>
          <w:tab w:val="left" w:pos="312"/>
        </w:tabs>
      </w:pPr>
    </w:lvl>
  </w:abstractNum>
  <w:abstractNum w:abstractNumId="14">
    <w:nsid w:val="6A50E68F"/>
    <w:multiLevelType w:val="singleLevel"/>
    <w:tmpl w:val="6A50E68F"/>
    <w:lvl w:ilvl="0" w:tentative="0">
      <w:start w:val="1"/>
      <w:numFmt w:val="decimal"/>
      <w:lvlText w:val="%1."/>
      <w:lvlJc w:val="left"/>
      <w:pPr>
        <w:tabs>
          <w:tab w:val="left" w:pos="312"/>
        </w:tabs>
      </w:pPr>
    </w:lvl>
  </w:abstractNum>
  <w:abstractNum w:abstractNumId="15">
    <w:nsid w:val="76F995A2"/>
    <w:multiLevelType w:val="singleLevel"/>
    <w:tmpl w:val="76F995A2"/>
    <w:lvl w:ilvl="0" w:tentative="0">
      <w:start w:val="1"/>
      <w:numFmt w:val="decimal"/>
      <w:suff w:val="nothing"/>
      <w:lvlText w:val="%1、"/>
      <w:lvlJc w:val="left"/>
    </w:lvl>
  </w:abstractNum>
  <w:abstractNum w:abstractNumId="16">
    <w:nsid w:val="7CA91824"/>
    <w:multiLevelType w:val="singleLevel"/>
    <w:tmpl w:val="7CA91824"/>
    <w:lvl w:ilvl="0" w:tentative="0">
      <w:start w:val="1"/>
      <w:numFmt w:val="decimal"/>
      <w:lvlText w:val="%1."/>
      <w:lvlJc w:val="left"/>
      <w:pPr>
        <w:tabs>
          <w:tab w:val="left" w:pos="312"/>
        </w:tabs>
      </w:pPr>
    </w:lvl>
  </w:abstractNum>
  <w:num w:numId="1">
    <w:abstractNumId w:val="8"/>
  </w:num>
  <w:num w:numId="2">
    <w:abstractNumId w:val="2"/>
  </w:num>
  <w:num w:numId="3">
    <w:abstractNumId w:val="5"/>
  </w:num>
  <w:num w:numId="4">
    <w:abstractNumId w:val="16"/>
  </w:num>
  <w:num w:numId="5">
    <w:abstractNumId w:val="7"/>
  </w:num>
  <w:num w:numId="6">
    <w:abstractNumId w:val="12"/>
  </w:num>
  <w:num w:numId="7">
    <w:abstractNumId w:val="6"/>
  </w:num>
  <w:num w:numId="8">
    <w:abstractNumId w:val="14"/>
  </w:num>
  <w:num w:numId="9">
    <w:abstractNumId w:val="3"/>
  </w:num>
  <w:num w:numId="10">
    <w:abstractNumId w:val="11"/>
  </w:num>
  <w:num w:numId="11">
    <w:abstractNumId w:val="15"/>
  </w:num>
  <w:num w:numId="12">
    <w:abstractNumId w:val="0"/>
  </w:num>
  <w:num w:numId="13">
    <w:abstractNumId w:val="13"/>
  </w:num>
  <w:num w:numId="14">
    <w:abstractNumId w:val="9"/>
  </w:num>
  <w:num w:numId="15">
    <w:abstractNumId w:val="1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Mjg4NzZhNzc2MTY5MTQ4MzAzZWRmZGMxYTdkYzQifQ=="/>
  </w:docVars>
  <w:rsids>
    <w:rsidRoot w:val="657019E9"/>
    <w:rsid w:val="00007041"/>
    <w:rsid w:val="000443AB"/>
    <w:rsid w:val="0005329C"/>
    <w:rsid w:val="00064E32"/>
    <w:rsid w:val="000A17DB"/>
    <w:rsid w:val="000A1D07"/>
    <w:rsid w:val="000A441A"/>
    <w:rsid w:val="000B4376"/>
    <w:rsid w:val="000C36BB"/>
    <w:rsid w:val="000C5C55"/>
    <w:rsid w:val="000C6F09"/>
    <w:rsid w:val="000D4BDE"/>
    <w:rsid w:val="000F2E0F"/>
    <w:rsid w:val="0010111F"/>
    <w:rsid w:val="001066C5"/>
    <w:rsid w:val="00124912"/>
    <w:rsid w:val="001462CB"/>
    <w:rsid w:val="00153C45"/>
    <w:rsid w:val="00160440"/>
    <w:rsid w:val="001605C5"/>
    <w:rsid w:val="00171EAC"/>
    <w:rsid w:val="001803DB"/>
    <w:rsid w:val="001A3CDE"/>
    <w:rsid w:val="001B6930"/>
    <w:rsid w:val="001C0767"/>
    <w:rsid w:val="001C2D72"/>
    <w:rsid w:val="001F36B8"/>
    <w:rsid w:val="001F3843"/>
    <w:rsid w:val="001F4802"/>
    <w:rsid w:val="001F595A"/>
    <w:rsid w:val="001F6CA7"/>
    <w:rsid w:val="00212F8F"/>
    <w:rsid w:val="00224806"/>
    <w:rsid w:val="002328BB"/>
    <w:rsid w:val="00236A53"/>
    <w:rsid w:val="00244575"/>
    <w:rsid w:val="002558BE"/>
    <w:rsid w:val="0026364C"/>
    <w:rsid w:val="002643E1"/>
    <w:rsid w:val="00277F79"/>
    <w:rsid w:val="002A1771"/>
    <w:rsid w:val="002A3A43"/>
    <w:rsid w:val="002B1010"/>
    <w:rsid w:val="002B1496"/>
    <w:rsid w:val="002B2614"/>
    <w:rsid w:val="002B4BBD"/>
    <w:rsid w:val="002B6044"/>
    <w:rsid w:val="002C2E03"/>
    <w:rsid w:val="002D54F0"/>
    <w:rsid w:val="002F1A8B"/>
    <w:rsid w:val="002F56EA"/>
    <w:rsid w:val="002F6452"/>
    <w:rsid w:val="00312DBD"/>
    <w:rsid w:val="00325BAD"/>
    <w:rsid w:val="00332D44"/>
    <w:rsid w:val="003370DD"/>
    <w:rsid w:val="003433AC"/>
    <w:rsid w:val="00344221"/>
    <w:rsid w:val="0034460D"/>
    <w:rsid w:val="00350682"/>
    <w:rsid w:val="003625FB"/>
    <w:rsid w:val="0036629D"/>
    <w:rsid w:val="003818F9"/>
    <w:rsid w:val="0038260B"/>
    <w:rsid w:val="003826D2"/>
    <w:rsid w:val="00384ACB"/>
    <w:rsid w:val="00385C73"/>
    <w:rsid w:val="00392DE6"/>
    <w:rsid w:val="003B78AF"/>
    <w:rsid w:val="003C6731"/>
    <w:rsid w:val="003E680B"/>
    <w:rsid w:val="003F2080"/>
    <w:rsid w:val="003F389C"/>
    <w:rsid w:val="003F635B"/>
    <w:rsid w:val="003F79B7"/>
    <w:rsid w:val="0040283B"/>
    <w:rsid w:val="00404E13"/>
    <w:rsid w:val="00406FFF"/>
    <w:rsid w:val="00422869"/>
    <w:rsid w:val="004258BF"/>
    <w:rsid w:val="00441D00"/>
    <w:rsid w:val="00452BA3"/>
    <w:rsid w:val="004532DA"/>
    <w:rsid w:val="00463FFF"/>
    <w:rsid w:val="004761B1"/>
    <w:rsid w:val="00477852"/>
    <w:rsid w:val="004A0088"/>
    <w:rsid w:val="004A3698"/>
    <w:rsid w:val="004A3934"/>
    <w:rsid w:val="004B51A2"/>
    <w:rsid w:val="004C0156"/>
    <w:rsid w:val="004C0A5C"/>
    <w:rsid w:val="004E0AC9"/>
    <w:rsid w:val="004E1089"/>
    <w:rsid w:val="004E2814"/>
    <w:rsid w:val="004E30B9"/>
    <w:rsid w:val="00512371"/>
    <w:rsid w:val="00514241"/>
    <w:rsid w:val="00514BFB"/>
    <w:rsid w:val="00523B96"/>
    <w:rsid w:val="0054553C"/>
    <w:rsid w:val="00574646"/>
    <w:rsid w:val="005747B4"/>
    <w:rsid w:val="0057499E"/>
    <w:rsid w:val="00582DE1"/>
    <w:rsid w:val="00590EA2"/>
    <w:rsid w:val="00597456"/>
    <w:rsid w:val="005A152D"/>
    <w:rsid w:val="005B1C97"/>
    <w:rsid w:val="005B77E7"/>
    <w:rsid w:val="005D5A40"/>
    <w:rsid w:val="005D74B6"/>
    <w:rsid w:val="005D74FE"/>
    <w:rsid w:val="005E768D"/>
    <w:rsid w:val="006110C3"/>
    <w:rsid w:val="006149F3"/>
    <w:rsid w:val="006174C3"/>
    <w:rsid w:val="00622F7F"/>
    <w:rsid w:val="00644A52"/>
    <w:rsid w:val="0065067A"/>
    <w:rsid w:val="00651792"/>
    <w:rsid w:val="006620CB"/>
    <w:rsid w:val="00674E18"/>
    <w:rsid w:val="00675B9C"/>
    <w:rsid w:val="00685326"/>
    <w:rsid w:val="006B270A"/>
    <w:rsid w:val="006C0249"/>
    <w:rsid w:val="006E6ACC"/>
    <w:rsid w:val="00700BEB"/>
    <w:rsid w:val="00703CC9"/>
    <w:rsid w:val="007117AD"/>
    <w:rsid w:val="007329AD"/>
    <w:rsid w:val="00733CD2"/>
    <w:rsid w:val="00740B90"/>
    <w:rsid w:val="0075245D"/>
    <w:rsid w:val="00763472"/>
    <w:rsid w:val="007743F6"/>
    <w:rsid w:val="00776F8B"/>
    <w:rsid w:val="00796A7A"/>
    <w:rsid w:val="0079788A"/>
    <w:rsid w:val="007A0522"/>
    <w:rsid w:val="007B57EF"/>
    <w:rsid w:val="007C5074"/>
    <w:rsid w:val="007D4119"/>
    <w:rsid w:val="007F22AB"/>
    <w:rsid w:val="007F2AE0"/>
    <w:rsid w:val="008277EF"/>
    <w:rsid w:val="0083032D"/>
    <w:rsid w:val="00852F67"/>
    <w:rsid w:val="0085389A"/>
    <w:rsid w:val="00857021"/>
    <w:rsid w:val="0086330E"/>
    <w:rsid w:val="008806F9"/>
    <w:rsid w:val="00885D3E"/>
    <w:rsid w:val="00892350"/>
    <w:rsid w:val="008A4F49"/>
    <w:rsid w:val="008B0AA2"/>
    <w:rsid w:val="008B5CF1"/>
    <w:rsid w:val="008B6B37"/>
    <w:rsid w:val="008B6BD7"/>
    <w:rsid w:val="008C1866"/>
    <w:rsid w:val="008E39C2"/>
    <w:rsid w:val="008F0FA0"/>
    <w:rsid w:val="008F3E13"/>
    <w:rsid w:val="009010CC"/>
    <w:rsid w:val="00920C0C"/>
    <w:rsid w:val="0092572D"/>
    <w:rsid w:val="009322CF"/>
    <w:rsid w:val="00934205"/>
    <w:rsid w:val="0093625F"/>
    <w:rsid w:val="009423C6"/>
    <w:rsid w:val="009546A7"/>
    <w:rsid w:val="009653F3"/>
    <w:rsid w:val="00980C34"/>
    <w:rsid w:val="009916A3"/>
    <w:rsid w:val="00993982"/>
    <w:rsid w:val="009A0DB9"/>
    <w:rsid w:val="009B7D7C"/>
    <w:rsid w:val="009C3A6F"/>
    <w:rsid w:val="009E1F10"/>
    <w:rsid w:val="009E7076"/>
    <w:rsid w:val="009F5948"/>
    <w:rsid w:val="00A056D2"/>
    <w:rsid w:val="00A413CE"/>
    <w:rsid w:val="00A4281B"/>
    <w:rsid w:val="00A53F42"/>
    <w:rsid w:val="00A55361"/>
    <w:rsid w:val="00A61010"/>
    <w:rsid w:val="00A65D25"/>
    <w:rsid w:val="00A82B7B"/>
    <w:rsid w:val="00A9372A"/>
    <w:rsid w:val="00AB01F7"/>
    <w:rsid w:val="00AB0DBF"/>
    <w:rsid w:val="00AB16CE"/>
    <w:rsid w:val="00AB2723"/>
    <w:rsid w:val="00AB7996"/>
    <w:rsid w:val="00AC0F1A"/>
    <w:rsid w:val="00B0083F"/>
    <w:rsid w:val="00B03D41"/>
    <w:rsid w:val="00B22F4C"/>
    <w:rsid w:val="00B23A49"/>
    <w:rsid w:val="00B552EB"/>
    <w:rsid w:val="00B5582B"/>
    <w:rsid w:val="00B975AA"/>
    <w:rsid w:val="00BB00C0"/>
    <w:rsid w:val="00BD1AF0"/>
    <w:rsid w:val="00BF1ACB"/>
    <w:rsid w:val="00BF3842"/>
    <w:rsid w:val="00C2083D"/>
    <w:rsid w:val="00C2476D"/>
    <w:rsid w:val="00C25C68"/>
    <w:rsid w:val="00C35B36"/>
    <w:rsid w:val="00C43AFD"/>
    <w:rsid w:val="00C53D54"/>
    <w:rsid w:val="00C56A24"/>
    <w:rsid w:val="00C56DC3"/>
    <w:rsid w:val="00C62F5A"/>
    <w:rsid w:val="00C70CD7"/>
    <w:rsid w:val="00C71619"/>
    <w:rsid w:val="00C73D60"/>
    <w:rsid w:val="00C76E34"/>
    <w:rsid w:val="00CA5725"/>
    <w:rsid w:val="00CB0600"/>
    <w:rsid w:val="00CB508C"/>
    <w:rsid w:val="00CC31F6"/>
    <w:rsid w:val="00CC7AE4"/>
    <w:rsid w:val="00CE1264"/>
    <w:rsid w:val="00D0508B"/>
    <w:rsid w:val="00D060B2"/>
    <w:rsid w:val="00D537A4"/>
    <w:rsid w:val="00D60248"/>
    <w:rsid w:val="00D73E96"/>
    <w:rsid w:val="00D80AE2"/>
    <w:rsid w:val="00D8114B"/>
    <w:rsid w:val="00D8478E"/>
    <w:rsid w:val="00D909BB"/>
    <w:rsid w:val="00D9377A"/>
    <w:rsid w:val="00D93DAF"/>
    <w:rsid w:val="00DA5D58"/>
    <w:rsid w:val="00DB5336"/>
    <w:rsid w:val="00DD4273"/>
    <w:rsid w:val="00DE0D85"/>
    <w:rsid w:val="00E0542A"/>
    <w:rsid w:val="00E122B5"/>
    <w:rsid w:val="00E14135"/>
    <w:rsid w:val="00E3057A"/>
    <w:rsid w:val="00E507A5"/>
    <w:rsid w:val="00E51B06"/>
    <w:rsid w:val="00E52197"/>
    <w:rsid w:val="00E569D0"/>
    <w:rsid w:val="00E67364"/>
    <w:rsid w:val="00E9255F"/>
    <w:rsid w:val="00EA6183"/>
    <w:rsid w:val="00EB755E"/>
    <w:rsid w:val="00EC391C"/>
    <w:rsid w:val="00EC4677"/>
    <w:rsid w:val="00ED093A"/>
    <w:rsid w:val="00ED5D53"/>
    <w:rsid w:val="00ED6478"/>
    <w:rsid w:val="00ED65FC"/>
    <w:rsid w:val="00EE4516"/>
    <w:rsid w:val="00EE5B12"/>
    <w:rsid w:val="00F326A8"/>
    <w:rsid w:val="00F47050"/>
    <w:rsid w:val="00F51B4D"/>
    <w:rsid w:val="00F5647E"/>
    <w:rsid w:val="00F65C59"/>
    <w:rsid w:val="00F74C9D"/>
    <w:rsid w:val="00F77575"/>
    <w:rsid w:val="00F97303"/>
    <w:rsid w:val="00FA3A89"/>
    <w:rsid w:val="00FA452E"/>
    <w:rsid w:val="00FC0634"/>
    <w:rsid w:val="00FC7A45"/>
    <w:rsid w:val="00FD5456"/>
    <w:rsid w:val="00FE559E"/>
    <w:rsid w:val="00FF09CA"/>
    <w:rsid w:val="00FF69C6"/>
    <w:rsid w:val="012E3E4E"/>
    <w:rsid w:val="015B6702"/>
    <w:rsid w:val="01DB56EC"/>
    <w:rsid w:val="02A12935"/>
    <w:rsid w:val="02ED01BD"/>
    <w:rsid w:val="02F96864"/>
    <w:rsid w:val="030126BD"/>
    <w:rsid w:val="030F5465"/>
    <w:rsid w:val="035238D6"/>
    <w:rsid w:val="03587DEA"/>
    <w:rsid w:val="03624702"/>
    <w:rsid w:val="04080EBA"/>
    <w:rsid w:val="041E7BB8"/>
    <w:rsid w:val="04610989"/>
    <w:rsid w:val="047447C7"/>
    <w:rsid w:val="049C37AD"/>
    <w:rsid w:val="04D90BE5"/>
    <w:rsid w:val="04E80E37"/>
    <w:rsid w:val="053C7AC7"/>
    <w:rsid w:val="053E4A03"/>
    <w:rsid w:val="05451994"/>
    <w:rsid w:val="058C5636"/>
    <w:rsid w:val="05BD3232"/>
    <w:rsid w:val="05C20C90"/>
    <w:rsid w:val="05DD1605"/>
    <w:rsid w:val="05DD160C"/>
    <w:rsid w:val="0678750E"/>
    <w:rsid w:val="06C03DDB"/>
    <w:rsid w:val="0759050D"/>
    <w:rsid w:val="075B4CEC"/>
    <w:rsid w:val="079020F5"/>
    <w:rsid w:val="07B127CD"/>
    <w:rsid w:val="07D91E68"/>
    <w:rsid w:val="08B57358"/>
    <w:rsid w:val="08B71C31"/>
    <w:rsid w:val="09095327"/>
    <w:rsid w:val="095A6EFA"/>
    <w:rsid w:val="09717942"/>
    <w:rsid w:val="09722ECD"/>
    <w:rsid w:val="09757F3B"/>
    <w:rsid w:val="09C33ECC"/>
    <w:rsid w:val="09FB05E5"/>
    <w:rsid w:val="0A356C0F"/>
    <w:rsid w:val="0AF17623"/>
    <w:rsid w:val="0D2854C1"/>
    <w:rsid w:val="0E1E005C"/>
    <w:rsid w:val="0E741495"/>
    <w:rsid w:val="0E865102"/>
    <w:rsid w:val="0E8D4A1F"/>
    <w:rsid w:val="0EB60381"/>
    <w:rsid w:val="0EB9334C"/>
    <w:rsid w:val="0ED71A24"/>
    <w:rsid w:val="0EF179A9"/>
    <w:rsid w:val="0F234C69"/>
    <w:rsid w:val="0F7B0810"/>
    <w:rsid w:val="0F8A1422"/>
    <w:rsid w:val="0FE03E39"/>
    <w:rsid w:val="0FFC71FF"/>
    <w:rsid w:val="103063E1"/>
    <w:rsid w:val="10755FB8"/>
    <w:rsid w:val="10811089"/>
    <w:rsid w:val="10CA47BC"/>
    <w:rsid w:val="10EB6A4A"/>
    <w:rsid w:val="111B209C"/>
    <w:rsid w:val="11422C85"/>
    <w:rsid w:val="114A6277"/>
    <w:rsid w:val="11CC6D8B"/>
    <w:rsid w:val="11D20483"/>
    <w:rsid w:val="12160125"/>
    <w:rsid w:val="12553C1D"/>
    <w:rsid w:val="1278033C"/>
    <w:rsid w:val="12C2557C"/>
    <w:rsid w:val="12C355A2"/>
    <w:rsid w:val="12D52326"/>
    <w:rsid w:val="12E36935"/>
    <w:rsid w:val="12EF6C7B"/>
    <w:rsid w:val="13D44B1A"/>
    <w:rsid w:val="141A27F2"/>
    <w:rsid w:val="1433055D"/>
    <w:rsid w:val="143B2560"/>
    <w:rsid w:val="147F5231"/>
    <w:rsid w:val="148611F9"/>
    <w:rsid w:val="149D2852"/>
    <w:rsid w:val="14C266EC"/>
    <w:rsid w:val="14F61E84"/>
    <w:rsid w:val="14F62B2A"/>
    <w:rsid w:val="159B7E31"/>
    <w:rsid w:val="159E4ED3"/>
    <w:rsid w:val="15FA4F17"/>
    <w:rsid w:val="165D3496"/>
    <w:rsid w:val="16803A7D"/>
    <w:rsid w:val="168A1D7B"/>
    <w:rsid w:val="16B67EFB"/>
    <w:rsid w:val="16CA67F6"/>
    <w:rsid w:val="16DF0DD3"/>
    <w:rsid w:val="16E60907"/>
    <w:rsid w:val="17B2122B"/>
    <w:rsid w:val="18067FE8"/>
    <w:rsid w:val="18957F48"/>
    <w:rsid w:val="18EA5796"/>
    <w:rsid w:val="18FA5890"/>
    <w:rsid w:val="190967A9"/>
    <w:rsid w:val="192320E5"/>
    <w:rsid w:val="193F0329"/>
    <w:rsid w:val="195A5FE0"/>
    <w:rsid w:val="195C306E"/>
    <w:rsid w:val="19763604"/>
    <w:rsid w:val="199B70BE"/>
    <w:rsid w:val="19C139C2"/>
    <w:rsid w:val="19E56DC1"/>
    <w:rsid w:val="1A6A464B"/>
    <w:rsid w:val="1AC435FE"/>
    <w:rsid w:val="1ACE4623"/>
    <w:rsid w:val="1B596727"/>
    <w:rsid w:val="1BBB48E7"/>
    <w:rsid w:val="1BEE67CE"/>
    <w:rsid w:val="1BF72D9A"/>
    <w:rsid w:val="1C1D722F"/>
    <w:rsid w:val="1C463B8A"/>
    <w:rsid w:val="1C6004DF"/>
    <w:rsid w:val="1CB21D3E"/>
    <w:rsid w:val="1CCE6982"/>
    <w:rsid w:val="1CD10345"/>
    <w:rsid w:val="1CD5300B"/>
    <w:rsid w:val="1D4842DB"/>
    <w:rsid w:val="1E0476AC"/>
    <w:rsid w:val="1E33093D"/>
    <w:rsid w:val="1E82780C"/>
    <w:rsid w:val="1EB25806"/>
    <w:rsid w:val="1EF61E5E"/>
    <w:rsid w:val="1F1331E8"/>
    <w:rsid w:val="1F5A7908"/>
    <w:rsid w:val="1FBA7FB4"/>
    <w:rsid w:val="206C43DB"/>
    <w:rsid w:val="20AA278D"/>
    <w:rsid w:val="20DE40F5"/>
    <w:rsid w:val="20F545A0"/>
    <w:rsid w:val="20FA43AA"/>
    <w:rsid w:val="211044F2"/>
    <w:rsid w:val="216416C5"/>
    <w:rsid w:val="21E169EA"/>
    <w:rsid w:val="21E708A7"/>
    <w:rsid w:val="22F10502"/>
    <w:rsid w:val="235A6298"/>
    <w:rsid w:val="23823983"/>
    <w:rsid w:val="238B4E5F"/>
    <w:rsid w:val="23997015"/>
    <w:rsid w:val="23F46C22"/>
    <w:rsid w:val="24160CCD"/>
    <w:rsid w:val="24C56544"/>
    <w:rsid w:val="253C61DD"/>
    <w:rsid w:val="254E10E1"/>
    <w:rsid w:val="2566688C"/>
    <w:rsid w:val="256E2A09"/>
    <w:rsid w:val="259049AF"/>
    <w:rsid w:val="26057698"/>
    <w:rsid w:val="260E43BE"/>
    <w:rsid w:val="26273D14"/>
    <w:rsid w:val="265A26DB"/>
    <w:rsid w:val="26A535AD"/>
    <w:rsid w:val="26CC748C"/>
    <w:rsid w:val="26D134E5"/>
    <w:rsid w:val="26D7577A"/>
    <w:rsid w:val="270C6A5F"/>
    <w:rsid w:val="276D4CDF"/>
    <w:rsid w:val="28925AEF"/>
    <w:rsid w:val="28C744B0"/>
    <w:rsid w:val="29BA649E"/>
    <w:rsid w:val="2B436BB3"/>
    <w:rsid w:val="2B555680"/>
    <w:rsid w:val="2B5C0362"/>
    <w:rsid w:val="2B621D03"/>
    <w:rsid w:val="2B77013C"/>
    <w:rsid w:val="2B984CCA"/>
    <w:rsid w:val="2BA4654A"/>
    <w:rsid w:val="2BA977DB"/>
    <w:rsid w:val="2BB605D3"/>
    <w:rsid w:val="2BCD681F"/>
    <w:rsid w:val="2C4E12F0"/>
    <w:rsid w:val="2C506FE3"/>
    <w:rsid w:val="2C5D0BAB"/>
    <w:rsid w:val="2C6553E1"/>
    <w:rsid w:val="2CA02524"/>
    <w:rsid w:val="2CB4503B"/>
    <w:rsid w:val="2DF47AB8"/>
    <w:rsid w:val="2E09452F"/>
    <w:rsid w:val="2E48441D"/>
    <w:rsid w:val="2E7D2C28"/>
    <w:rsid w:val="2EB969E1"/>
    <w:rsid w:val="2F0E06F2"/>
    <w:rsid w:val="2FB07BB9"/>
    <w:rsid w:val="2FC253D5"/>
    <w:rsid w:val="307B742A"/>
    <w:rsid w:val="30F80CD6"/>
    <w:rsid w:val="319467AC"/>
    <w:rsid w:val="31970E97"/>
    <w:rsid w:val="31C17C6B"/>
    <w:rsid w:val="32907D64"/>
    <w:rsid w:val="3295408B"/>
    <w:rsid w:val="32C4253F"/>
    <w:rsid w:val="33395894"/>
    <w:rsid w:val="3365394B"/>
    <w:rsid w:val="33757214"/>
    <w:rsid w:val="342C1128"/>
    <w:rsid w:val="3442455E"/>
    <w:rsid w:val="347B4A7C"/>
    <w:rsid w:val="34980E99"/>
    <w:rsid w:val="35354C07"/>
    <w:rsid w:val="35713A77"/>
    <w:rsid w:val="3586175D"/>
    <w:rsid w:val="35F50046"/>
    <w:rsid w:val="35FA2A13"/>
    <w:rsid w:val="362539E5"/>
    <w:rsid w:val="36A063F4"/>
    <w:rsid w:val="375B23A6"/>
    <w:rsid w:val="37943B8D"/>
    <w:rsid w:val="38373A3E"/>
    <w:rsid w:val="38BE7DB9"/>
    <w:rsid w:val="38D41A30"/>
    <w:rsid w:val="398577F0"/>
    <w:rsid w:val="398763EE"/>
    <w:rsid w:val="39AA3059"/>
    <w:rsid w:val="39C47B65"/>
    <w:rsid w:val="39D43834"/>
    <w:rsid w:val="3A3738CC"/>
    <w:rsid w:val="3A4035FF"/>
    <w:rsid w:val="3AB33C34"/>
    <w:rsid w:val="3AB605BC"/>
    <w:rsid w:val="3AF92BD5"/>
    <w:rsid w:val="3AFC5AE4"/>
    <w:rsid w:val="3B3E1631"/>
    <w:rsid w:val="3B620C05"/>
    <w:rsid w:val="3BA83582"/>
    <w:rsid w:val="3C263299"/>
    <w:rsid w:val="3C823957"/>
    <w:rsid w:val="3CB9737B"/>
    <w:rsid w:val="3CF17371"/>
    <w:rsid w:val="3D3A1978"/>
    <w:rsid w:val="3D3E1535"/>
    <w:rsid w:val="3D8B1C41"/>
    <w:rsid w:val="3F1316E4"/>
    <w:rsid w:val="3F9F185B"/>
    <w:rsid w:val="3FB448AD"/>
    <w:rsid w:val="40041DC9"/>
    <w:rsid w:val="400A2146"/>
    <w:rsid w:val="400B7D40"/>
    <w:rsid w:val="40227542"/>
    <w:rsid w:val="40D735AB"/>
    <w:rsid w:val="40EE58AA"/>
    <w:rsid w:val="40FE4B17"/>
    <w:rsid w:val="411E6C02"/>
    <w:rsid w:val="412B4280"/>
    <w:rsid w:val="413F73DE"/>
    <w:rsid w:val="41527C53"/>
    <w:rsid w:val="41E046C9"/>
    <w:rsid w:val="42835668"/>
    <w:rsid w:val="42CD4340"/>
    <w:rsid w:val="43044F3F"/>
    <w:rsid w:val="432260E1"/>
    <w:rsid w:val="43635242"/>
    <w:rsid w:val="43A96E1E"/>
    <w:rsid w:val="44930858"/>
    <w:rsid w:val="459057A7"/>
    <w:rsid w:val="45A755DD"/>
    <w:rsid w:val="46340F2E"/>
    <w:rsid w:val="46445946"/>
    <w:rsid w:val="471818B4"/>
    <w:rsid w:val="47226D44"/>
    <w:rsid w:val="474C0CF3"/>
    <w:rsid w:val="47560387"/>
    <w:rsid w:val="47A32CC6"/>
    <w:rsid w:val="482D15CD"/>
    <w:rsid w:val="48422D54"/>
    <w:rsid w:val="484B789D"/>
    <w:rsid w:val="48504F10"/>
    <w:rsid w:val="48BC6A55"/>
    <w:rsid w:val="48C66587"/>
    <w:rsid w:val="49153299"/>
    <w:rsid w:val="493D2761"/>
    <w:rsid w:val="49CF4B01"/>
    <w:rsid w:val="4A1E51EF"/>
    <w:rsid w:val="4A5353C9"/>
    <w:rsid w:val="4B700517"/>
    <w:rsid w:val="4B9762E9"/>
    <w:rsid w:val="4BCA7FFC"/>
    <w:rsid w:val="4BF72BCA"/>
    <w:rsid w:val="4C650047"/>
    <w:rsid w:val="4C9946C1"/>
    <w:rsid w:val="4CD97751"/>
    <w:rsid w:val="4D377324"/>
    <w:rsid w:val="4D464319"/>
    <w:rsid w:val="4E5D5933"/>
    <w:rsid w:val="4E791A64"/>
    <w:rsid w:val="4EB14BEB"/>
    <w:rsid w:val="4EE00862"/>
    <w:rsid w:val="4F665ECA"/>
    <w:rsid w:val="4FA516F2"/>
    <w:rsid w:val="4FB75650"/>
    <w:rsid w:val="4FF92508"/>
    <w:rsid w:val="50461F8A"/>
    <w:rsid w:val="505F3895"/>
    <w:rsid w:val="50686521"/>
    <w:rsid w:val="508759CD"/>
    <w:rsid w:val="50E64D26"/>
    <w:rsid w:val="51DC5990"/>
    <w:rsid w:val="525800B4"/>
    <w:rsid w:val="527F2FD0"/>
    <w:rsid w:val="529A65BD"/>
    <w:rsid w:val="52D03035"/>
    <w:rsid w:val="53A22CC3"/>
    <w:rsid w:val="53BB03DB"/>
    <w:rsid w:val="53F121A5"/>
    <w:rsid w:val="54345CD1"/>
    <w:rsid w:val="54FD5BFA"/>
    <w:rsid w:val="552F7A7B"/>
    <w:rsid w:val="553E74F5"/>
    <w:rsid w:val="55DF7E28"/>
    <w:rsid w:val="560A5358"/>
    <w:rsid w:val="561A7CE6"/>
    <w:rsid w:val="56303776"/>
    <w:rsid w:val="566C5D8B"/>
    <w:rsid w:val="56C66DF5"/>
    <w:rsid w:val="57141AC9"/>
    <w:rsid w:val="57574F83"/>
    <w:rsid w:val="57EC3417"/>
    <w:rsid w:val="59077A34"/>
    <w:rsid w:val="590E0239"/>
    <w:rsid w:val="59506A14"/>
    <w:rsid w:val="59697A2E"/>
    <w:rsid w:val="598941A7"/>
    <w:rsid w:val="59EA1649"/>
    <w:rsid w:val="59FD1F9D"/>
    <w:rsid w:val="5A335152"/>
    <w:rsid w:val="5A570C55"/>
    <w:rsid w:val="5A61633E"/>
    <w:rsid w:val="5B0B0058"/>
    <w:rsid w:val="5B2E4B45"/>
    <w:rsid w:val="5B4D074A"/>
    <w:rsid w:val="5BB13316"/>
    <w:rsid w:val="5C052CF9"/>
    <w:rsid w:val="5C1D6052"/>
    <w:rsid w:val="5CD252D1"/>
    <w:rsid w:val="5CDE024E"/>
    <w:rsid w:val="5CFF72DC"/>
    <w:rsid w:val="5D0F4CF3"/>
    <w:rsid w:val="5D3647C7"/>
    <w:rsid w:val="5D6D431A"/>
    <w:rsid w:val="5D944C4B"/>
    <w:rsid w:val="5E912CCB"/>
    <w:rsid w:val="5EF31427"/>
    <w:rsid w:val="5F153A31"/>
    <w:rsid w:val="5F2802EB"/>
    <w:rsid w:val="600334F5"/>
    <w:rsid w:val="604F264A"/>
    <w:rsid w:val="608E0051"/>
    <w:rsid w:val="60DF618D"/>
    <w:rsid w:val="60EB29FD"/>
    <w:rsid w:val="61FA5571"/>
    <w:rsid w:val="620E2CA7"/>
    <w:rsid w:val="625A1A50"/>
    <w:rsid w:val="628423B9"/>
    <w:rsid w:val="62AD19DC"/>
    <w:rsid w:val="62B44341"/>
    <w:rsid w:val="62F3415D"/>
    <w:rsid w:val="632858D2"/>
    <w:rsid w:val="633C3A0C"/>
    <w:rsid w:val="63B13001"/>
    <w:rsid w:val="63E56B85"/>
    <w:rsid w:val="63F90F38"/>
    <w:rsid w:val="643F5317"/>
    <w:rsid w:val="647B7C6A"/>
    <w:rsid w:val="64813F86"/>
    <w:rsid w:val="649E627E"/>
    <w:rsid w:val="64E52A73"/>
    <w:rsid w:val="652241D8"/>
    <w:rsid w:val="657019E9"/>
    <w:rsid w:val="658E68B7"/>
    <w:rsid w:val="65A766C8"/>
    <w:rsid w:val="65B33745"/>
    <w:rsid w:val="661A55F3"/>
    <w:rsid w:val="662B1144"/>
    <w:rsid w:val="662C7447"/>
    <w:rsid w:val="6654357C"/>
    <w:rsid w:val="669F6C29"/>
    <w:rsid w:val="66B2017E"/>
    <w:rsid w:val="66C0245B"/>
    <w:rsid w:val="66C35C8B"/>
    <w:rsid w:val="66CF17CB"/>
    <w:rsid w:val="67C1666E"/>
    <w:rsid w:val="67DA3DCA"/>
    <w:rsid w:val="67E25904"/>
    <w:rsid w:val="67EA0850"/>
    <w:rsid w:val="686B4D79"/>
    <w:rsid w:val="68A70319"/>
    <w:rsid w:val="69C721D2"/>
    <w:rsid w:val="6A6446DD"/>
    <w:rsid w:val="6A6E5F0E"/>
    <w:rsid w:val="6A7C5828"/>
    <w:rsid w:val="6A8354D6"/>
    <w:rsid w:val="6A974AE9"/>
    <w:rsid w:val="6AD916CA"/>
    <w:rsid w:val="6B045FBD"/>
    <w:rsid w:val="6B65330E"/>
    <w:rsid w:val="6B7372FC"/>
    <w:rsid w:val="6C08017A"/>
    <w:rsid w:val="6CC918F3"/>
    <w:rsid w:val="6D3F27C2"/>
    <w:rsid w:val="6D7C20C2"/>
    <w:rsid w:val="6D8367E4"/>
    <w:rsid w:val="6DC1371E"/>
    <w:rsid w:val="6E2B7270"/>
    <w:rsid w:val="6E902763"/>
    <w:rsid w:val="6EAB4FDD"/>
    <w:rsid w:val="6EE553EE"/>
    <w:rsid w:val="6EF409AF"/>
    <w:rsid w:val="6F15537D"/>
    <w:rsid w:val="6F173530"/>
    <w:rsid w:val="6F4F63B6"/>
    <w:rsid w:val="6F9B597D"/>
    <w:rsid w:val="70407D0A"/>
    <w:rsid w:val="7074217F"/>
    <w:rsid w:val="70FF27FA"/>
    <w:rsid w:val="71743A73"/>
    <w:rsid w:val="71AA1F21"/>
    <w:rsid w:val="72492153"/>
    <w:rsid w:val="728A3367"/>
    <w:rsid w:val="72DE245E"/>
    <w:rsid w:val="730202DB"/>
    <w:rsid w:val="732C3EAC"/>
    <w:rsid w:val="7345743D"/>
    <w:rsid w:val="73B15FA4"/>
    <w:rsid w:val="73D90FFB"/>
    <w:rsid w:val="73E47AA3"/>
    <w:rsid w:val="7447635C"/>
    <w:rsid w:val="74664A1A"/>
    <w:rsid w:val="74986264"/>
    <w:rsid w:val="74E627C3"/>
    <w:rsid w:val="754243E6"/>
    <w:rsid w:val="75AA1DFB"/>
    <w:rsid w:val="75E8463D"/>
    <w:rsid w:val="767F3DE5"/>
    <w:rsid w:val="76AC6F57"/>
    <w:rsid w:val="76C120EA"/>
    <w:rsid w:val="76CC3F78"/>
    <w:rsid w:val="76CF5F86"/>
    <w:rsid w:val="76EF34E6"/>
    <w:rsid w:val="770E7EE6"/>
    <w:rsid w:val="774E1CF3"/>
    <w:rsid w:val="77963702"/>
    <w:rsid w:val="77D22771"/>
    <w:rsid w:val="79A968F9"/>
    <w:rsid w:val="79B01FD5"/>
    <w:rsid w:val="7A4D744B"/>
    <w:rsid w:val="7A533154"/>
    <w:rsid w:val="7A6A3A02"/>
    <w:rsid w:val="7B117E27"/>
    <w:rsid w:val="7B66620B"/>
    <w:rsid w:val="7B987FAE"/>
    <w:rsid w:val="7B9E46C9"/>
    <w:rsid w:val="7BA925ED"/>
    <w:rsid w:val="7BEB0FA9"/>
    <w:rsid w:val="7BFC757D"/>
    <w:rsid w:val="7C230AF9"/>
    <w:rsid w:val="7C450FB4"/>
    <w:rsid w:val="7CCA01EB"/>
    <w:rsid w:val="7CD33028"/>
    <w:rsid w:val="7D287163"/>
    <w:rsid w:val="7E5743AE"/>
    <w:rsid w:val="7EAF2FC1"/>
    <w:rsid w:val="7F2E6B09"/>
    <w:rsid w:val="7F3A02C9"/>
    <w:rsid w:val="7FFC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0"/>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4"/>
    <w:qFormat/>
    <w:uiPriority w:val="0"/>
    <w:pPr>
      <w:keepNext/>
      <w:keepLines/>
      <w:spacing w:line="578" w:lineRule="auto"/>
      <w:outlineLvl w:val="0"/>
    </w:pPr>
    <w:rPr>
      <w:b/>
      <w:bCs/>
      <w:kern w:val="44"/>
      <w:sz w:val="44"/>
      <w:szCs w:val="44"/>
    </w:rPr>
  </w:style>
  <w:style w:type="paragraph" w:styleId="4">
    <w:name w:val="heading 2"/>
    <w:basedOn w:val="1"/>
    <w:next w:val="5"/>
    <w:link w:val="42"/>
    <w:unhideWhenUsed/>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link w:val="41"/>
    <w:semiHidden/>
    <w:unhideWhenUsed/>
    <w:qFormat/>
    <w:uiPriority w:val="0"/>
    <w:pPr>
      <w:keepNext/>
      <w:keepLines/>
      <w:spacing w:before="260" w:after="260" w:line="416" w:lineRule="auto"/>
      <w:outlineLvl w:val="2"/>
    </w:pPr>
    <w:rPr>
      <w:b/>
      <w:bCs/>
      <w:sz w:val="32"/>
      <w:szCs w:val="32"/>
    </w:rPr>
  </w:style>
  <w:style w:type="paragraph" w:styleId="2">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7">
    <w:name w:val="Document Map"/>
    <w:basedOn w:val="1"/>
    <w:qFormat/>
    <w:uiPriority w:val="0"/>
    <w:pPr>
      <w:shd w:val="clear" w:color="auto" w:fill="000080"/>
    </w:pPr>
    <w:rPr>
      <w:rFonts w:ascii="Times New Roman"/>
      <w:kern w:val="2"/>
      <w:sz w:val="21"/>
    </w:rPr>
  </w:style>
  <w:style w:type="paragraph" w:styleId="8">
    <w:name w:val="toa heading"/>
    <w:basedOn w:val="1"/>
    <w:next w:val="1"/>
    <w:qFormat/>
    <w:uiPriority w:val="0"/>
    <w:pPr>
      <w:spacing w:before="120"/>
    </w:pPr>
    <w:rPr>
      <w:rFonts w:ascii="Cambria" w:hAnsi="Cambria" w:eastAsia="宋体" w:cs="Times New Roman"/>
      <w:sz w:val="24"/>
    </w:rPr>
  </w:style>
  <w:style w:type="paragraph" w:styleId="9">
    <w:name w:val="annotation text"/>
    <w:basedOn w:val="1"/>
    <w:qFormat/>
    <w:uiPriority w:val="0"/>
    <w:pPr>
      <w:widowControl/>
      <w:jc w:val="left"/>
    </w:pPr>
    <w:rPr>
      <w:kern w:val="0"/>
      <w:sz w:val="24"/>
      <w:lang w:eastAsia="en-US" w:bidi="en-US"/>
    </w:rPr>
  </w:style>
  <w:style w:type="paragraph" w:styleId="10">
    <w:name w:val="Body Text"/>
    <w:basedOn w:val="1"/>
    <w:next w:val="1"/>
    <w:qFormat/>
    <w:uiPriority w:val="0"/>
    <w:rPr>
      <w:sz w:val="24"/>
    </w:rPr>
  </w:style>
  <w:style w:type="paragraph" w:styleId="11">
    <w:name w:val="Body Text Indent"/>
    <w:basedOn w:val="1"/>
    <w:qFormat/>
    <w:uiPriority w:val="0"/>
    <w:pPr>
      <w:ind w:left="420" w:leftChars="200"/>
    </w:pPr>
  </w:style>
  <w:style w:type="paragraph" w:styleId="12">
    <w:name w:val="Plain Text"/>
    <w:basedOn w:val="1"/>
    <w:link w:val="39"/>
    <w:qFormat/>
    <w:uiPriority w:val="0"/>
    <w:rPr>
      <w:rFonts w:ascii="宋体" w:hAnsi="Courier New"/>
      <w:szCs w:val="20"/>
    </w:rPr>
  </w:style>
  <w:style w:type="paragraph" w:styleId="13">
    <w:name w:val="Date"/>
    <w:basedOn w:val="1"/>
    <w:next w:val="1"/>
    <w:qFormat/>
    <w:uiPriority w:val="0"/>
    <w:rPr>
      <w:rFonts w:ascii="Times New Roman"/>
      <w:kern w:val="2"/>
      <w:sz w:val="28"/>
    </w:rPr>
  </w:style>
  <w:style w:type="paragraph" w:styleId="14">
    <w:name w:val="Balloon Text"/>
    <w:basedOn w:val="1"/>
    <w:link w:val="37"/>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jc w:val="left"/>
    </w:pPr>
    <w:rPr>
      <w:b/>
      <w:bCs/>
      <w:caps/>
      <w:sz w:val="20"/>
      <w:szCs w:val="20"/>
    </w:rPr>
  </w:style>
  <w:style w:type="paragraph" w:styleId="18">
    <w:name w:val="toc 2"/>
    <w:basedOn w:val="4"/>
    <w:next w:val="1"/>
    <w:qFormat/>
    <w:uiPriority w:val="39"/>
    <w:pPr>
      <w:keepNext w:val="0"/>
      <w:keepLines w:val="0"/>
      <w:spacing w:line="240" w:lineRule="auto"/>
      <w:ind w:left="210"/>
      <w:jc w:val="left"/>
      <w:outlineLvl w:val="9"/>
    </w:pPr>
    <w:rPr>
      <w:rFonts w:ascii="Times New Roman" w:hAnsi="Times New Roman" w:eastAsia="宋体"/>
      <w:b w:val="0"/>
      <w:bCs w:val="0"/>
      <w:smallCaps/>
      <w:sz w:val="20"/>
      <w:szCs w:val="20"/>
    </w:rPr>
  </w:style>
  <w:style w:type="paragraph" w:styleId="19">
    <w:name w:val="Body Text 2"/>
    <w:basedOn w:val="1"/>
    <w:qFormat/>
    <w:uiPriority w:val="0"/>
    <w:pPr>
      <w:spacing w:line="360" w:lineRule="auto"/>
    </w:pPr>
    <w:rPr>
      <w:rFonts w:ascii="幼圆" w:eastAsia="幼圆"/>
      <w:sz w:val="24"/>
      <w:u w:val="single"/>
    </w:rPr>
  </w:style>
  <w:style w:type="paragraph" w:styleId="20">
    <w:name w:val="Normal (Web)"/>
    <w:basedOn w:val="1"/>
    <w:qFormat/>
    <w:uiPriority w:val="0"/>
    <w:pPr>
      <w:spacing w:beforeAutospacing="1" w:afterAutospacing="1"/>
      <w:jc w:val="left"/>
    </w:pPr>
    <w:rPr>
      <w:kern w:val="0"/>
      <w:sz w:val="24"/>
    </w:rPr>
  </w:style>
  <w:style w:type="paragraph" w:styleId="21">
    <w:name w:val="Body Text First Indent"/>
    <w:basedOn w:val="10"/>
    <w:qFormat/>
    <w:uiPriority w:val="0"/>
    <w:pPr>
      <w:spacing w:line="360" w:lineRule="auto"/>
      <w:ind w:firstLine="420"/>
    </w:pPr>
    <w:rPr>
      <w:rFonts w:ascii="宋体" w:hAnsi="宋体"/>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771CAA"/>
      <w:u w:val="none"/>
    </w:rPr>
  </w:style>
  <w:style w:type="character" w:styleId="28">
    <w:name w:val="Emphasis"/>
    <w:basedOn w:val="24"/>
    <w:qFormat/>
    <w:uiPriority w:val="0"/>
    <w:rPr>
      <w:color w:val="F73131"/>
    </w:rPr>
  </w:style>
  <w:style w:type="character" w:styleId="29">
    <w:name w:val="Hyperlink"/>
    <w:basedOn w:val="24"/>
    <w:qFormat/>
    <w:uiPriority w:val="99"/>
    <w:rPr>
      <w:color w:val="3D3D3D"/>
      <w:u w:val="none"/>
    </w:rPr>
  </w:style>
  <w:style w:type="character" w:styleId="30">
    <w:name w:val="HTML Cite"/>
    <w:basedOn w:val="24"/>
    <w:qFormat/>
    <w:uiPriority w:val="0"/>
    <w:rPr>
      <w:color w:val="008000"/>
    </w:rPr>
  </w:style>
  <w:style w:type="paragraph" w:customStyle="1" w:styleId="31">
    <w:name w:val="Char"/>
    <w:basedOn w:val="7"/>
    <w:next w:val="6"/>
    <w:qFormat/>
    <w:uiPriority w:val="0"/>
    <w:pPr>
      <w:numPr>
        <w:ilvl w:val="0"/>
        <w:numId w:val="1"/>
      </w:numPr>
      <w:tabs>
        <w:tab w:val="left" w:pos="1200"/>
        <w:tab w:val="clear" w:pos="720"/>
      </w:tabs>
      <w:ind w:left="1200" w:hanging="360"/>
    </w:pPr>
    <w:rPr>
      <w:sz w:val="24"/>
      <w:szCs w:val="24"/>
    </w:rPr>
  </w:style>
  <w:style w:type="paragraph" w:customStyle="1" w:styleId="32">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3">
    <w:name w:val="title1"/>
    <w:basedOn w:val="1"/>
    <w:qFormat/>
    <w:uiPriority w:val="0"/>
    <w:pPr>
      <w:spacing w:before="150"/>
      <w:jc w:val="left"/>
    </w:pPr>
    <w:rPr>
      <w:b/>
      <w:kern w:val="0"/>
      <w:sz w:val="22"/>
      <w:szCs w:val="22"/>
    </w:rPr>
  </w:style>
  <w:style w:type="paragraph" w:customStyle="1" w:styleId="34">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35">
    <w:name w:val="15"/>
    <w:basedOn w:val="24"/>
    <w:qFormat/>
    <w:uiPriority w:val="0"/>
    <w:rPr>
      <w:rFonts w:hint="default" w:ascii="Times New Roman" w:hAnsi="Times New Roman" w:cs="Times New Roman"/>
    </w:rPr>
  </w:style>
  <w:style w:type="character" w:customStyle="1" w:styleId="36">
    <w:name w:val="button"/>
    <w:basedOn w:val="24"/>
    <w:qFormat/>
    <w:uiPriority w:val="0"/>
  </w:style>
  <w:style w:type="character" w:customStyle="1" w:styleId="37">
    <w:name w:val="批注框文本 Char"/>
    <w:basedOn w:val="24"/>
    <w:link w:val="14"/>
    <w:qFormat/>
    <w:uiPriority w:val="0"/>
    <w:rPr>
      <w:rFonts w:ascii="Calibri" w:hAnsi="Calibri" w:eastAsia="宋体" w:cs="Times New Roman"/>
      <w:kern w:val="2"/>
      <w:sz w:val="18"/>
      <w:szCs w:val="18"/>
    </w:rPr>
  </w:style>
  <w:style w:type="paragraph" w:customStyle="1" w:styleId="38">
    <w:name w:val="title12"/>
    <w:basedOn w:val="1"/>
    <w:semiHidden/>
    <w:qFormat/>
    <w:uiPriority w:val="99"/>
    <w:pPr>
      <w:widowControl/>
      <w:spacing w:before="150" w:line="510" w:lineRule="atLeast"/>
      <w:jc w:val="left"/>
    </w:pPr>
    <w:rPr>
      <w:rFonts w:ascii="宋体" w:hAnsi="宋体" w:cs="宋体"/>
      <w:b/>
      <w:bCs/>
      <w:kern w:val="0"/>
      <w:sz w:val="23"/>
      <w:szCs w:val="23"/>
    </w:rPr>
  </w:style>
  <w:style w:type="character" w:customStyle="1" w:styleId="39">
    <w:name w:val="纯文本 Char"/>
    <w:link w:val="12"/>
    <w:qFormat/>
    <w:locked/>
    <w:uiPriority w:val="0"/>
    <w:rPr>
      <w:rFonts w:ascii="宋体" w:hAnsi="Courier New" w:eastAsia="宋体" w:cs="Times New Roman"/>
      <w:kern w:val="2"/>
      <w:sz w:val="21"/>
    </w:rPr>
  </w:style>
  <w:style w:type="paragraph" w:styleId="40">
    <w:name w:val="List Paragraph"/>
    <w:basedOn w:val="1"/>
    <w:unhideWhenUsed/>
    <w:qFormat/>
    <w:uiPriority w:val="34"/>
    <w:pPr>
      <w:ind w:firstLine="420" w:firstLineChars="200"/>
    </w:pPr>
  </w:style>
  <w:style w:type="character" w:customStyle="1" w:styleId="41">
    <w:name w:val="标题 3 Char"/>
    <w:basedOn w:val="24"/>
    <w:link w:val="6"/>
    <w:semiHidden/>
    <w:qFormat/>
    <w:uiPriority w:val="0"/>
    <w:rPr>
      <w:rFonts w:ascii="Calibri" w:hAnsi="Calibri" w:eastAsia="宋体" w:cs="Times New Roman"/>
      <w:b/>
      <w:bCs/>
      <w:kern w:val="2"/>
      <w:sz w:val="32"/>
      <w:szCs w:val="32"/>
    </w:rPr>
  </w:style>
  <w:style w:type="character" w:customStyle="1" w:styleId="42">
    <w:name w:val="标题 2 Char"/>
    <w:link w:val="4"/>
    <w:qFormat/>
    <w:uiPriority w:val="0"/>
    <w:rPr>
      <w:rFonts w:ascii="Arial" w:hAnsi="Arial" w:eastAsia="黑体"/>
      <w:b/>
      <w:bCs/>
      <w:sz w:val="32"/>
      <w:szCs w:val="32"/>
    </w:rPr>
  </w:style>
  <w:style w:type="paragraph" w:customStyle="1" w:styleId="43">
    <w:name w:val="无间隔1"/>
    <w:basedOn w:val="1"/>
    <w:qFormat/>
    <w:uiPriority w:val="1"/>
    <w:pPr>
      <w:spacing w:line="360" w:lineRule="auto"/>
    </w:pPr>
    <w:rPr>
      <w:rFonts w:ascii="Times New Roman" w:hAnsi="Times New Roman"/>
    </w:rPr>
  </w:style>
  <w:style w:type="character" w:customStyle="1" w:styleId="44">
    <w:name w:val="标题 1 Char"/>
    <w:link w:val="3"/>
    <w:qFormat/>
    <w:uiPriority w:val="0"/>
    <w:rPr>
      <w:b/>
      <w:bCs/>
      <w:kern w:val="44"/>
      <w:sz w:val="44"/>
      <w:szCs w:val="44"/>
    </w:rPr>
  </w:style>
  <w:style w:type="character" w:customStyle="1" w:styleId="45">
    <w:name w:val="c-icon"/>
    <w:basedOn w:val="24"/>
    <w:qFormat/>
    <w:uiPriority w:val="0"/>
  </w:style>
  <w:style w:type="character" w:customStyle="1" w:styleId="46">
    <w:name w:val="hover25"/>
    <w:basedOn w:val="24"/>
    <w:qFormat/>
    <w:uiPriority w:val="0"/>
  </w:style>
  <w:style w:type="character" w:customStyle="1" w:styleId="47">
    <w:name w:val="hover26"/>
    <w:basedOn w:val="24"/>
    <w:qFormat/>
    <w:uiPriority w:val="0"/>
    <w:rPr>
      <w:color w:val="315EFB"/>
    </w:rPr>
  </w:style>
  <w:style w:type="character" w:customStyle="1" w:styleId="48">
    <w:name w:val="c-icon28"/>
    <w:basedOn w:val="24"/>
    <w:qFormat/>
    <w:uiPriority w:val="0"/>
  </w:style>
  <w:style w:type="character" w:customStyle="1" w:styleId="49">
    <w:name w:val="hover24"/>
    <w:basedOn w:val="24"/>
    <w:qFormat/>
    <w:uiPriority w:val="0"/>
  </w:style>
  <w:style w:type="character" w:customStyle="1" w:styleId="50">
    <w:name w:val="font21"/>
    <w:basedOn w:val="24"/>
    <w:qFormat/>
    <w:uiPriority w:val="0"/>
    <w:rPr>
      <w:rFonts w:hint="eastAsia" w:ascii="宋体" w:hAnsi="宋体" w:eastAsia="宋体" w:cs="宋体"/>
      <w:color w:val="000000"/>
      <w:sz w:val="20"/>
      <w:szCs w:val="20"/>
      <w:u w:val="none"/>
    </w:rPr>
  </w:style>
  <w:style w:type="character" w:customStyle="1" w:styleId="51">
    <w:name w:val="font71"/>
    <w:basedOn w:val="24"/>
    <w:qFormat/>
    <w:uiPriority w:val="0"/>
    <w:rPr>
      <w:rFonts w:hint="eastAsia" w:ascii="宋体" w:hAnsi="宋体" w:eastAsia="宋体" w:cs="宋体"/>
      <w:color w:val="000000"/>
      <w:sz w:val="18"/>
      <w:szCs w:val="18"/>
      <w:u w:val="none"/>
    </w:rPr>
  </w:style>
  <w:style w:type="character" w:customStyle="1" w:styleId="52">
    <w:name w:val="font61"/>
    <w:basedOn w:val="24"/>
    <w:qFormat/>
    <w:uiPriority w:val="0"/>
    <w:rPr>
      <w:rFonts w:hint="eastAsia" w:ascii="宋体" w:hAnsi="宋体" w:eastAsia="宋体" w:cs="宋体"/>
      <w:color w:val="000000"/>
      <w:sz w:val="20"/>
      <w:szCs w:val="20"/>
      <w:u w:val="none"/>
    </w:rPr>
  </w:style>
  <w:style w:type="character" w:customStyle="1" w:styleId="53">
    <w:name w:val="font81"/>
    <w:basedOn w:val="24"/>
    <w:qFormat/>
    <w:uiPriority w:val="0"/>
    <w:rPr>
      <w:rFonts w:hint="eastAsia" w:ascii="宋体" w:hAnsi="宋体" w:eastAsia="宋体" w:cs="宋体"/>
      <w:color w:val="000000"/>
      <w:sz w:val="20"/>
      <w:szCs w:val="20"/>
      <w:u w:val="none"/>
    </w:rPr>
  </w:style>
  <w:style w:type="character" w:customStyle="1" w:styleId="54">
    <w:name w:val="font101"/>
    <w:basedOn w:val="24"/>
    <w:qFormat/>
    <w:uiPriority w:val="0"/>
    <w:rPr>
      <w:rFonts w:hint="eastAsia" w:ascii="宋体" w:hAnsi="宋体" w:eastAsia="宋体" w:cs="宋体"/>
      <w:color w:val="000000"/>
      <w:sz w:val="20"/>
      <w:szCs w:val="20"/>
      <w:u w:val="none"/>
      <w:vertAlign w:val="superscript"/>
    </w:rPr>
  </w:style>
  <w:style w:type="character" w:customStyle="1" w:styleId="55">
    <w:name w:val="font31"/>
    <w:basedOn w:val="24"/>
    <w:qFormat/>
    <w:uiPriority w:val="0"/>
    <w:rPr>
      <w:rFonts w:hint="eastAsia" w:ascii="宋体" w:hAnsi="宋体" w:eastAsia="宋体" w:cs="宋体"/>
      <w:color w:val="000000"/>
      <w:sz w:val="24"/>
      <w:szCs w:val="24"/>
      <w:u w:val="none"/>
    </w:rPr>
  </w:style>
  <w:style w:type="character" w:customStyle="1" w:styleId="56">
    <w:name w:val="font41"/>
    <w:basedOn w:val="24"/>
    <w:qFormat/>
    <w:uiPriority w:val="0"/>
    <w:rPr>
      <w:rFonts w:hint="eastAsia" w:ascii="宋体" w:hAnsi="宋体" w:eastAsia="宋体" w:cs="宋体"/>
      <w:color w:val="000000"/>
      <w:sz w:val="28"/>
      <w:szCs w:val="28"/>
      <w:u w:val="none"/>
    </w:rPr>
  </w:style>
  <w:style w:type="character" w:customStyle="1" w:styleId="57">
    <w:name w:val="font11"/>
    <w:basedOn w:val="24"/>
    <w:qFormat/>
    <w:uiPriority w:val="0"/>
    <w:rPr>
      <w:rFonts w:hint="eastAsia" w:ascii="宋体" w:hAnsi="宋体" w:eastAsia="宋体" w:cs="宋体"/>
      <w:color w:val="000000"/>
      <w:sz w:val="32"/>
      <w:szCs w:val="32"/>
      <w:u w:val="none"/>
    </w:rPr>
  </w:style>
  <w:style w:type="character" w:customStyle="1" w:styleId="58">
    <w:name w:val="font51"/>
    <w:basedOn w:val="24"/>
    <w:qFormat/>
    <w:uiPriority w:val="0"/>
    <w:rPr>
      <w:rFonts w:ascii="Calibri" w:hAnsi="Calibri" w:cs="Calibri"/>
      <w:color w:val="000000"/>
      <w:sz w:val="20"/>
      <w:szCs w:val="20"/>
      <w:u w:val="none"/>
    </w:rPr>
  </w:style>
  <w:style w:type="character" w:customStyle="1" w:styleId="59">
    <w:name w:val="font91"/>
    <w:basedOn w:val="24"/>
    <w:qFormat/>
    <w:uiPriority w:val="0"/>
    <w:rPr>
      <w:rFonts w:hint="eastAsia" w:ascii="宋体" w:hAnsi="宋体" w:eastAsia="宋体" w:cs="宋体"/>
      <w:color w:val="FF0000"/>
      <w:sz w:val="22"/>
      <w:szCs w:val="22"/>
      <w:u w:val="none"/>
    </w:rPr>
  </w:style>
  <w:style w:type="character" w:customStyle="1" w:styleId="60">
    <w:name w:val="font111"/>
    <w:basedOn w:val="24"/>
    <w:qFormat/>
    <w:uiPriority w:val="0"/>
    <w:rPr>
      <w:rFonts w:hint="eastAsia" w:ascii="宋体" w:hAnsi="宋体" w:eastAsia="宋体" w:cs="宋体"/>
      <w:color w:val="000000"/>
      <w:sz w:val="28"/>
      <w:szCs w:val="28"/>
      <w:u w:val="none"/>
    </w:rPr>
  </w:style>
  <w:style w:type="character" w:customStyle="1" w:styleId="61">
    <w:name w:val="font122"/>
    <w:basedOn w:val="24"/>
    <w:qFormat/>
    <w:uiPriority w:val="0"/>
    <w:rPr>
      <w:rFonts w:hint="default" w:ascii="Calibri" w:hAnsi="Calibri" w:cs="Calibri"/>
      <w:color w:val="000000"/>
      <w:sz w:val="28"/>
      <w:szCs w:val="28"/>
      <w:u w:val="none"/>
    </w:rPr>
  </w:style>
  <w:style w:type="character" w:customStyle="1" w:styleId="62">
    <w:name w:val="font121"/>
    <w:basedOn w:val="24"/>
    <w:qFormat/>
    <w:uiPriority w:val="0"/>
    <w:rPr>
      <w:rFonts w:hint="eastAsia" w:ascii="宋体" w:hAnsi="宋体" w:eastAsia="宋体" w:cs="宋体"/>
      <w:color w:val="000000"/>
      <w:sz w:val="18"/>
      <w:szCs w:val="18"/>
      <w:u w:val="none"/>
    </w:rPr>
  </w:style>
  <w:style w:type="character" w:customStyle="1" w:styleId="63">
    <w:name w:val="font131"/>
    <w:basedOn w:val="24"/>
    <w:qFormat/>
    <w:uiPriority w:val="0"/>
    <w:rPr>
      <w:rFonts w:hint="eastAsia" w:ascii="宋体" w:hAnsi="宋体" w:eastAsia="宋体" w:cs="宋体"/>
      <w:color w:val="000000"/>
      <w:sz w:val="20"/>
      <w:szCs w:val="20"/>
      <w:u w:val="none"/>
    </w:rPr>
  </w:style>
  <w:style w:type="character" w:customStyle="1" w:styleId="64">
    <w:name w:val="font141"/>
    <w:basedOn w:val="24"/>
    <w:qFormat/>
    <w:uiPriority w:val="0"/>
    <w:rPr>
      <w:rFonts w:hint="eastAsia" w:ascii="宋体" w:hAnsi="宋体" w:eastAsia="宋体" w:cs="宋体"/>
      <w:b/>
      <w:bCs/>
      <w:color w:val="FF0000"/>
      <w:sz w:val="22"/>
      <w:szCs w:val="22"/>
      <w:u w:val="none"/>
    </w:rPr>
  </w:style>
  <w:style w:type="character" w:customStyle="1" w:styleId="65">
    <w:name w:val="font151"/>
    <w:basedOn w:val="24"/>
    <w:qFormat/>
    <w:uiPriority w:val="0"/>
    <w:rPr>
      <w:rFonts w:hint="eastAsia" w:ascii="宋体" w:hAnsi="宋体" w:eastAsia="宋体" w:cs="宋体"/>
      <w:b/>
      <w:bCs/>
      <w:color w:val="FF0000"/>
      <w:sz w:val="20"/>
      <w:szCs w:val="20"/>
      <w:u w:val="none"/>
    </w:rPr>
  </w:style>
  <w:style w:type="character" w:customStyle="1" w:styleId="66">
    <w:name w:val="font161"/>
    <w:basedOn w:val="24"/>
    <w:qFormat/>
    <w:uiPriority w:val="0"/>
    <w:rPr>
      <w:rFonts w:hint="default" w:ascii="仿宋_GB2312" w:eastAsia="仿宋_GB2312" w:cs="仿宋_GB2312"/>
      <w:color w:val="000000"/>
      <w:sz w:val="20"/>
      <w:szCs w:val="20"/>
      <w:u w:val="none"/>
    </w:rPr>
  </w:style>
  <w:style w:type="character" w:customStyle="1" w:styleId="67">
    <w:name w:val="font112"/>
    <w:basedOn w:val="24"/>
    <w:qFormat/>
    <w:uiPriority w:val="0"/>
    <w:rPr>
      <w:rFonts w:hint="eastAsia" w:ascii="宋体" w:hAnsi="宋体" w:eastAsia="宋体" w:cs="宋体"/>
      <w:b/>
      <w:bCs/>
      <w:color w:val="000000"/>
      <w:sz w:val="16"/>
      <w:szCs w:val="16"/>
      <w:u w:val="none"/>
    </w:rPr>
  </w:style>
  <w:style w:type="character" w:customStyle="1" w:styleId="68">
    <w:name w:val="font01"/>
    <w:basedOn w:val="24"/>
    <w:qFormat/>
    <w:uiPriority w:val="0"/>
    <w:rPr>
      <w:rFonts w:hint="eastAsia" w:ascii="宋体" w:hAnsi="宋体" w:eastAsia="宋体" w:cs="宋体"/>
      <w:color w:val="000000"/>
      <w:sz w:val="18"/>
      <w:szCs w:val="18"/>
      <w:u w:val="none"/>
    </w:rPr>
  </w:style>
  <w:style w:type="paragraph" w:styleId="6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0">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7.png"/><Relationship Id="rId26" Type="http://schemas.openxmlformats.org/officeDocument/2006/relationships/image" Target="media/image6.png"/><Relationship Id="rId25" Type="http://schemas.openxmlformats.org/officeDocument/2006/relationships/image" Target="media/image5.png"/><Relationship Id="rId24" Type="http://schemas.openxmlformats.org/officeDocument/2006/relationships/image" Target="media/image4.png"/><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5C20E-7ED1-4907-9667-0DB0480692E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184</Pages>
  <Words>100345</Words>
  <Characters>118920</Characters>
  <Lines>244</Lines>
  <Paragraphs>68</Paragraphs>
  <TotalTime>387</TotalTime>
  <ScaleCrop>false</ScaleCrop>
  <LinksUpToDate>false</LinksUpToDate>
  <CharactersWithSpaces>125180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2018-11-01T01:59:00Z</dcterms:created>
  <dc:creator>Administrator</dc:creator>
  <cp:lastModifiedBy>过客1393932593</cp:lastModifiedBy>
  <cp:lastPrinted>2022-07-07T08:24:00Z</cp:lastPrinted>
  <dcterms:modified xsi:type="dcterms:W3CDTF">2022-08-05T03:16:55Z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C367BA747342452387095A20756C058A</vt:lpwstr>
  </property>
</Properties>
</file>