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12" w:beforeLines="100" w:after="312" w:afterLines="100"/>
        <w:rPr>
          <w:rFonts w:hint="eastAsia" w:ascii="Cambria" w:hAnsi="Cambria" w:eastAsia="宋体" w:cs="Times New Roman"/>
          <w:b/>
          <w:bCs/>
          <w:color w:val="000000"/>
          <w:kern w:val="2"/>
          <w:sz w:val="44"/>
          <w:szCs w:val="44"/>
          <w:lang w:val="en-US" w:eastAsia="zh-CN" w:bidi="ar-SA"/>
        </w:rPr>
      </w:pPr>
      <w:r>
        <w:rPr>
          <w:rFonts w:hint="eastAsia" w:ascii="Cambria" w:hAnsi="Cambria" w:eastAsia="宋体" w:cs="Times New Roman"/>
          <w:b/>
          <w:bCs/>
          <w:color w:val="000000"/>
          <w:kern w:val="2"/>
          <w:sz w:val="44"/>
          <w:szCs w:val="44"/>
          <w:lang w:val="en-US" w:eastAsia="zh-CN" w:bidi="ar-SA"/>
        </w:rPr>
        <w:t>西安市雁塔区城市管理和综合执法局大件垃圾清运车辆（厢式货车）采购</w:t>
      </w:r>
    </w:p>
    <w:p>
      <w:pPr>
        <w:pStyle w:val="3"/>
        <w:spacing w:before="312" w:beforeLines="100" w:after="312" w:afterLines="100"/>
        <w:rPr>
          <w:rFonts w:hint="eastAsia" w:ascii="Cambria" w:hAnsi="Cambria" w:eastAsia="宋体" w:cs="Times New Roman"/>
          <w:b/>
          <w:bCs/>
          <w:color w:val="000000"/>
          <w:kern w:val="2"/>
          <w:sz w:val="44"/>
          <w:szCs w:val="44"/>
          <w:lang w:val="en-US" w:eastAsia="zh-CN" w:bidi="ar-SA"/>
        </w:rPr>
      </w:pPr>
      <w:bookmarkStart w:id="31" w:name="_GoBack"/>
      <w:bookmarkEnd w:id="31"/>
      <w:r>
        <w:rPr>
          <w:rFonts w:hint="eastAsia" w:ascii="Cambria" w:hAnsi="Cambria" w:eastAsia="宋体" w:cs="Times New Roman"/>
          <w:b/>
          <w:bCs/>
          <w:color w:val="000000"/>
          <w:kern w:val="2"/>
          <w:sz w:val="44"/>
          <w:szCs w:val="44"/>
          <w:lang w:val="en-US" w:eastAsia="zh-CN" w:bidi="ar-SA"/>
        </w:rPr>
        <w:t>招标公告</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highlight w:val="none"/>
        </w:rPr>
      </w:pPr>
      <w:r>
        <w:rPr>
          <w:rFonts w:hint="eastAsia" w:ascii="宋体" w:hAnsi="宋体" w:cs="宋体"/>
          <w:sz w:val="24"/>
          <w:u w:val="single"/>
        </w:rPr>
        <w:t xml:space="preserve"> 西安市雁塔区城市管理和综合执法局大件垃圾清运车辆（厢式货车）采购 </w:t>
      </w:r>
      <w:r>
        <w:rPr>
          <w:rFonts w:hint="eastAsia" w:ascii="宋体" w:hAnsi="宋体" w:cs="宋体"/>
          <w:sz w:val="24"/>
        </w:rPr>
        <w:t xml:space="preserve"> 招标项目的潜在投标人应在</w:t>
      </w:r>
      <w:r>
        <w:rPr>
          <w:rFonts w:hint="eastAsia" w:ascii="宋体" w:hAnsi="宋体" w:cs="宋体"/>
          <w:sz w:val="24"/>
          <w:u w:val="single"/>
        </w:rPr>
        <w:t>陕西省西安市莲湖区南二环西段财富中心I期A座802室</w:t>
      </w:r>
      <w:r>
        <w:rPr>
          <w:rFonts w:hint="eastAsia" w:ascii="宋体" w:hAnsi="宋体" w:cs="宋体"/>
          <w:sz w:val="24"/>
        </w:rPr>
        <w:t>获取招标文件，并于</w:t>
      </w:r>
      <w:r>
        <w:rPr>
          <w:rFonts w:hint="eastAsia" w:ascii="宋体" w:hAnsi="宋体" w:cs="宋体"/>
          <w:sz w:val="24"/>
          <w:highlight w:val="none"/>
          <w:u w:val="single"/>
          <w:lang w:val="en-US" w:eastAsia="zh-CN"/>
        </w:rPr>
        <w:t>2022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15</w:t>
      </w:r>
      <w:r>
        <w:rPr>
          <w:rFonts w:hint="eastAsia" w:ascii="宋体" w:hAnsi="宋体" w:cs="宋体"/>
          <w:sz w:val="24"/>
          <w:highlight w:val="none"/>
          <w:u w:val="single"/>
          <w:lang w:eastAsia="zh-CN"/>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:30</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pPr>
        <w:pStyle w:val="4"/>
        <w:jc w:val="left"/>
        <w:rPr>
          <w:rFonts w:ascii="宋体" w:hAnsi="宋体" w:cs="宋体"/>
          <w:bCs w:val="0"/>
          <w:sz w:val="24"/>
          <w:szCs w:val="24"/>
        </w:rPr>
      </w:pPr>
      <w:bookmarkStart w:id="0" w:name="_Toc35393621"/>
      <w:bookmarkStart w:id="1" w:name="_Toc28359079"/>
      <w:bookmarkStart w:id="2" w:name="_Toc28359002"/>
      <w:bookmarkStart w:id="3" w:name="_Toc35393790"/>
      <w:bookmarkStart w:id="4" w:name="_Hlk24379207"/>
      <w:r>
        <w:rPr>
          <w:rFonts w:hint="eastAsia" w:ascii="宋体" w:hAnsi="宋体" w:cs="宋体"/>
          <w:bCs w:val="0"/>
          <w:sz w:val="24"/>
          <w:szCs w:val="24"/>
        </w:rPr>
        <w:t>一、项目基本情况</w:t>
      </w:r>
      <w:bookmarkEnd w:id="0"/>
      <w:bookmarkEnd w:id="1"/>
      <w:bookmarkEnd w:id="2"/>
      <w:bookmarkEnd w:id="3"/>
    </w:p>
    <w:p>
      <w:pPr>
        <w:ind w:firstLine="480" w:firstLineChars="200"/>
        <w:rPr>
          <w:rFonts w:hint="default" w:ascii="宋体" w:hAnsi="宋体" w:eastAsia="宋体" w:cs="宋体"/>
          <w:color w:val="FF0000"/>
          <w:sz w:val="24"/>
          <w:highlight w:val="none"/>
          <w:lang w:val="en-US" w:eastAsia="zh-CN"/>
        </w:rPr>
      </w:pPr>
      <w:r>
        <w:rPr>
          <w:rFonts w:hint="eastAsia" w:ascii="宋体" w:hAnsi="宋体" w:cs="宋体"/>
          <w:sz w:val="24"/>
          <w:highlight w:val="none"/>
        </w:rPr>
        <w:t>项目编号：</w:t>
      </w:r>
      <w:r>
        <w:rPr>
          <w:rFonts w:hint="eastAsia" w:ascii="宋体" w:hAnsi="宋体" w:cs="宋体"/>
          <w:sz w:val="24"/>
          <w:highlight w:val="none"/>
          <w:lang w:eastAsia="zh-CN"/>
        </w:rPr>
        <w:t>SXSJHT2022-2</w:t>
      </w:r>
      <w:r>
        <w:rPr>
          <w:rFonts w:hint="eastAsia" w:ascii="宋体" w:hAnsi="宋体" w:cs="宋体"/>
          <w:sz w:val="24"/>
          <w:highlight w:val="none"/>
          <w:lang w:val="en-US" w:eastAsia="zh-CN"/>
        </w:rPr>
        <w:t>45</w:t>
      </w:r>
    </w:p>
    <w:p>
      <w:pPr>
        <w:ind w:left="1679" w:leftChars="228" w:hanging="1200" w:hangingChars="500"/>
        <w:rPr>
          <w:rFonts w:hint="eastAsia" w:ascii="宋体" w:hAnsi="宋体" w:eastAsia="宋体" w:cs="宋体"/>
          <w:sz w:val="24"/>
          <w:lang w:eastAsia="zh-CN"/>
        </w:rPr>
      </w:pPr>
      <w:r>
        <w:rPr>
          <w:rFonts w:hint="eastAsia" w:ascii="宋体" w:hAnsi="宋体" w:cs="宋体"/>
          <w:sz w:val="24"/>
        </w:rPr>
        <w:t>项目名称：西安市雁塔区城市管理和综合执法局大件垃圾清运车辆（厢式货车）采购</w:t>
      </w:r>
    </w:p>
    <w:bookmarkEnd w:id="4"/>
    <w:p>
      <w:pPr>
        <w:pStyle w:val="10"/>
        <w:spacing w:before="0" w:beforeAutospacing="0" w:after="0" w:afterAutospacing="0" w:line="360" w:lineRule="auto"/>
        <w:ind w:firstLine="48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采购预算：</w:t>
      </w:r>
      <w:r>
        <w:rPr>
          <w:rFonts w:hint="eastAsia" w:ascii="宋体" w:hAnsi="宋体" w:eastAsia="宋体" w:cs="宋体"/>
          <w:color w:val="000000"/>
          <w:sz w:val="24"/>
          <w:szCs w:val="32"/>
          <w:highlight w:val="none"/>
          <w:vertAlign w:val="baseline"/>
          <w:lang w:val="en-US" w:eastAsia="zh-CN"/>
        </w:rPr>
        <w:t>600000.00</w:t>
      </w:r>
      <w:r>
        <w:rPr>
          <w:rFonts w:hint="eastAsia" w:ascii="宋体" w:hAnsi="宋体" w:eastAsia="宋体" w:cs="宋体"/>
          <w:color w:val="000000"/>
          <w:highlight w:val="none"/>
          <w:lang w:val="en-US" w:eastAsia="zh-CN"/>
        </w:rPr>
        <w:t>元</w:t>
      </w:r>
    </w:p>
    <w:p>
      <w:pPr>
        <w:pStyle w:val="10"/>
        <w:spacing w:before="0" w:beforeAutospacing="0" w:after="0" w:afterAutospacing="0" w:line="360" w:lineRule="auto"/>
        <w:ind w:firstLine="48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采购需求：大件物品清运车辆采购，具体内容详见招标文件技术参数及要求。</w:t>
      </w:r>
    </w:p>
    <w:p>
      <w:pPr>
        <w:pStyle w:val="10"/>
        <w:spacing w:before="0" w:beforeAutospacing="0" w:after="0" w:afterAutospacing="0" w:line="360" w:lineRule="auto"/>
        <w:ind w:firstLine="48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最高限价：</w:t>
      </w:r>
      <w:r>
        <w:rPr>
          <w:rFonts w:hint="eastAsia" w:ascii="宋体" w:hAnsi="宋体" w:eastAsia="宋体" w:cs="宋体"/>
          <w:color w:val="000000"/>
          <w:sz w:val="24"/>
          <w:szCs w:val="32"/>
          <w:highlight w:val="none"/>
          <w:vertAlign w:val="baseline"/>
          <w:lang w:val="en-US" w:eastAsia="zh-CN"/>
        </w:rPr>
        <w:t>600000.00</w:t>
      </w:r>
      <w:r>
        <w:rPr>
          <w:rFonts w:hint="eastAsia" w:ascii="宋体" w:hAnsi="宋体" w:eastAsia="宋体" w:cs="宋体"/>
          <w:color w:val="000000"/>
          <w:highlight w:val="none"/>
          <w:lang w:val="en-US" w:eastAsia="zh-CN"/>
        </w:rPr>
        <w:t>元</w:t>
      </w:r>
    </w:p>
    <w:tbl>
      <w:tblPr>
        <w:tblStyle w:val="1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622"/>
        <w:gridCol w:w="1611"/>
        <w:gridCol w:w="933"/>
        <w:gridCol w:w="1580"/>
        <w:gridCol w:w="156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48" w:type="dxa"/>
            <w:noWrap w:val="0"/>
            <w:vAlign w:val="center"/>
          </w:tcPr>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品</w:t>
            </w:r>
          </w:p>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目</w:t>
            </w:r>
          </w:p>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号</w:t>
            </w:r>
          </w:p>
        </w:tc>
        <w:tc>
          <w:tcPr>
            <w:tcW w:w="1622" w:type="dxa"/>
            <w:noWrap w:val="0"/>
            <w:vAlign w:val="center"/>
          </w:tcPr>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品目名称</w:t>
            </w:r>
          </w:p>
        </w:tc>
        <w:tc>
          <w:tcPr>
            <w:tcW w:w="1611" w:type="dxa"/>
            <w:noWrap w:val="0"/>
            <w:vAlign w:val="center"/>
          </w:tcPr>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采购标的</w:t>
            </w:r>
          </w:p>
        </w:tc>
        <w:tc>
          <w:tcPr>
            <w:tcW w:w="933" w:type="dxa"/>
            <w:noWrap w:val="0"/>
            <w:vAlign w:val="center"/>
          </w:tcPr>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数量</w:t>
            </w:r>
          </w:p>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(单位)</w:t>
            </w:r>
          </w:p>
        </w:tc>
        <w:tc>
          <w:tcPr>
            <w:tcW w:w="1580" w:type="dxa"/>
            <w:noWrap w:val="0"/>
            <w:vAlign w:val="center"/>
          </w:tcPr>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技术规格、参数及要求</w:t>
            </w:r>
          </w:p>
        </w:tc>
        <w:tc>
          <w:tcPr>
            <w:tcW w:w="1564" w:type="dxa"/>
            <w:noWrap w:val="0"/>
            <w:vAlign w:val="center"/>
          </w:tcPr>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品目预算</w:t>
            </w:r>
          </w:p>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（元）</w:t>
            </w:r>
          </w:p>
        </w:tc>
        <w:tc>
          <w:tcPr>
            <w:tcW w:w="1421" w:type="dxa"/>
            <w:noWrap w:val="0"/>
            <w:vAlign w:val="center"/>
          </w:tcPr>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最高</w:t>
            </w:r>
          </w:p>
          <w:p>
            <w:pPr>
              <w:pStyle w:val="10"/>
              <w:spacing w:before="0" w:beforeAutospacing="0" w:after="0" w:afterAutospacing="0" w:line="360" w:lineRule="auto"/>
              <w:jc w:val="center"/>
              <w:rPr>
                <w:rFonts w:hint="eastAsia" w:ascii="宋体" w:hAnsi="宋体" w:eastAsia="宋体" w:cs="宋体"/>
                <w:b/>
                <w:bCs/>
                <w:color w:val="000000"/>
                <w:highlight w:val="none"/>
                <w:vertAlign w:val="baseline"/>
                <w:lang w:val="en-US" w:eastAsia="zh-CN"/>
              </w:rPr>
            </w:pPr>
            <w:r>
              <w:rPr>
                <w:rFonts w:hint="eastAsia" w:ascii="宋体" w:hAnsi="宋体" w:eastAsia="宋体" w:cs="宋体"/>
                <w:b/>
                <w:bCs/>
                <w:color w:val="000000"/>
                <w:highlight w:val="none"/>
                <w:vertAlign w:val="baseline"/>
                <w:lang w:val="en-US" w:eastAsia="zh-CN"/>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48" w:type="dxa"/>
            <w:noWrap w:val="0"/>
            <w:vAlign w:val="center"/>
          </w:tcPr>
          <w:p>
            <w:pPr>
              <w:pStyle w:val="10"/>
              <w:spacing w:before="0" w:beforeAutospacing="0" w:after="0" w:afterAutospacing="0" w:line="360" w:lineRule="auto"/>
              <w:jc w:val="center"/>
              <w:rPr>
                <w:rFonts w:hint="eastAsia" w:ascii="宋体" w:hAnsi="宋体" w:eastAsia="宋体" w:cs="宋体"/>
                <w:color w:val="000000"/>
                <w:highlight w:val="none"/>
                <w:vertAlign w:val="baseline"/>
                <w:lang w:val="en-US" w:eastAsia="zh-CN"/>
              </w:rPr>
            </w:pPr>
            <w:r>
              <w:rPr>
                <w:rFonts w:hint="eastAsia" w:ascii="宋体" w:hAnsi="宋体" w:eastAsia="宋体" w:cs="宋体"/>
                <w:color w:val="000000"/>
                <w:highlight w:val="none"/>
                <w:vertAlign w:val="baseline"/>
                <w:lang w:val="en-US" w:eastAsia="zh-CN"/>
              </w:rPr>
              <w:t>1</w:t>
            </w:r>
          </w:p>
        </w:tc>
        <w:tc>
          <w:tcPr>
            <w:tcW w:w="1622" w:type="dxa"/>
            <w:noWrap w:val="0"/>
            <w:vAlign w:val="center"/>
          </w:tcPr>
          <w:p>
            <w:pPr>
              <w:spacing w:before="0" w:beforeAutospacing="0" w:after="0" w:afterAutospacing="0" w:line="360" w:lineRule="auto"/>
              <w:jc w:val="center"/>
              <w:rPr>
                <w:rFonts w:hint="eastAsia" w:ascii="宋体" w:hAnsi="宋体" w:eastAsia="宋体" w:cs="宋体"/>
                <w:color w:val="000000"/>
                <w:sz w:val="24"/>
                <w:szCs w:val="32"/>
                <w:highlight w:val="none"/>
                <w:vertAlign w:val="baseline"/>
                <w:lang w:val="en-US" w:eastAsia="zh-CN"/>
              </w:rPr>
            </w:pPr>
            <w:r>
              <w:rPr>
                <w:rFonts w:hint="eastAsia" w:ascii="宋体" w:hAnsi="宋体" w:eastAsia="宋体" w:cs="宋体"/>
                <w:color w:val="000000"/>
                <w:sz w:val="24"/>
                <w:szCs w:val="32"/>
                <w:highlight w:val="none"/>
                <w:vertAlign w:val="baseline"/>
                <w:lang w:val="en-US" w:eastAsia="zh-CN"/>
              </w:rPr>
              <w:t>垃圾车</w:t>
            </w:r>
          </w:p>
        </w:tc>
        <w:tc>
          <w:tcPr>
            <w:tcW w:w="1611" w:type="dxa"/>
            <w:noWrap w:val="0"/>
            <w:vAlign w:val="center"/>
          </w:tcPr>
          <w:p>
            <w:pPr>
              <w:spacing w:before="0" w:beforeAutospacing="0" w:after="0" w:afterAutospacing="0" w:line="360" w:lineRule="auto"/>
              <w:jc w:val="center"/>
              <w:rPr>
                <w:rFonts w:hint="default" w:ascii="宋体" w:hAnsi="宋体" w:eastAsia="宋体" w:cs="宋体"/>
                <w:color w:val="000000"/>
                <w:sz w:val="24"/>
                <w:szCs w:val="32"/>
                <w:highlight w:val="none"/>
                <w:vertAlign w:val="baseline"/>
                <w:lang w:val="en-US" w:eastAsia="zh-CN"/>
              </w:rPr>
            </w:pPr>
            <w:r>
              <w:rPr>
                <w:rFonts w:hint="default" w:ascii="宋体" w:hAnsi="宋体" w:eastAsia="宋体" w:cs="宋体"/>
                <w:color w:val="000000"/>
                <w:sz w:val="24"/>
                <w:szCs w:val="32"/>
                <w:highlight w:val="none"/>
                <w:vertAlign w:val="baseline"/>
                <w:lang w:val="en-US" w:eastAsia="zh-CN"/>
              </w:rPr>
              <w:t>大件物品清运车辆</w:t>
            </w:r>
          </w:p>
        </w:tc>
        <w:tc>
          <w:tcPr>
            <w:tcW w:w="933" w:type="dxa"/>
            <w:noWrap w:val="0"/>
            <w:vAlign w:val="center"/>
          </w:tcPr>
          <w:p>
            <w:pPr>
              <w:pStyle w:val="10"/>
              <w:spacing w:before="0" w:beforeAutospacing="0" w:after="0" w:afterAutospacing="0" w:line="360" w:lineRule="auto"/>
              <w:jc w:val="center"/>
              <w:rPr>
                <w:rFonts w:hint="eastAsia" w:ascii="宋体" w:hAnsi="宋体" w:eastAsia="宋体" w:cs="宋体"/>
                <w:color w:val="000000"/>
                <w:highlight w:val="none"/>
                <w:vertAlign w:val="baseline"/>
                <w:lang w:val="en-US" w:eastAsia="zh-CN"/>
              </w:rPr>
            </w:pPr>
            <w:r>
              <w:rPr>
                <w:rFonts w:hint="eastAsia" w:ascii="宋体" w:hAnsi="宋体" w:eastAsia="宋体" w:cs="宋体"/>
                <w:color w:val="000000"/>
                <w:highlight w:val="none"/>
                <w:vertAlign w:val="baseline"/>
                <w:lang w:val="en-US" w:eastAsia="zh-CN"/>
              </w:rPr>
              <w:t>1(批)</w:t>
            </w:r>
          </w:p>
        </w:tc>
        <w:tc>
          <w:tcPr>
            <w:tcW w:w="1580" w:type="dxa"/>
            <w:noWrap w:val="0"/>
            <w:vAlign w:val="center"/>
          </w:tcPr>
          <w:p>
            <w:pPr>
              <w:pStyle w:val="10"/>
              <w:spacing w:before="0" w:beforeAutospacing="0" w:after="0" w:afterAutospacing="0" w:line="360" w:lineRule="auto"/>
              <w:jc w:val="center"/>
              <w:rPr>
                <w:rFonts w:hint="eastAsia" w:ascii="宋体" w:hAnsi="宋体" w:eastAsia="宋体" w:cs="宋体"/>
                <w:color w:val="000000"/>
                <w:highlight w:val="none"/>
                <w:vertAlign w:val="baseline"/>
                <w:lang w:val="en-US" w:eastAsia="zh-CN"/>
              </w:rPr>
            </w:pPr>
            <w:r>
              <w:rPr>
                <w:rFonts w:hint="eastAsia" w:ascii="宋体" w:hAnsi="宋体" w:eastAsia="宋体" w:cs="宋体"/>
                <w:color w:val="000000"/>
                <w:highlight w:val="none"/>
                <w:vertAlign w:val="baseline"/>
                <w:lang w:val="en-US" w:eastAsia="zh-CN"/>
              </w:rPr>
              <w:t>详见采购文件</w:t>
            </w:r>
          </w:p>
        </w:tc>
        <w:tc>
          <w:tcPr>
            <w:tcW w:w="1564" w:type="dxa"/>
            <w:noWrap w:val="0"/>
            <w:vAlign w:val="center"/>
          </w:tcPr>
          <w:p>
            <w:pPr>
              <w:pStyle w:val="10"/>
              <w:spacing w:before="0" w:beforeAutospacing="0" w:after="0" w:afterAutospacing="0" w:line="360" w:lineRule="auto"/>
              <w:jc w:val="center"/>
              <w:rPr>
                <w:rFonts w:hint="default" w:ascii="宋体" w:hAnsi="宋体" w:eastAsia="宋体" w:cs="宋体"/>
                <w:color w:val="000000"/>
                <w:highlight w:val="none"/>
                <w:vertAlign w:val="baseline"/>
                <w:lang w:val="en-US" w:eastAsia="zh-CN"/>
              </w:rPr>
            </w:pPr>
            <w:r>
              <w:rPr>
                <w:rFonts w:hint="eastAsia" w:ascii="宋体" w:hAnsi="宋体" w:eastAsia="宋体" w:cs="宋体"/>
                <w:color w:val="000000"/>
                <w:sz w:val="24"/>
                <w:szCs w:val="32"/>
                <w:highlight w:val="none"/>
                <w:vertAlign w:val="baseline"/>
                <w:lang w:val="en-US" w:eastAsia="zh-CN"/>
              </w:rPr>
              <w:t>600000.00</w:t>
            </w:r>
          </w:p>
        </w:tc>
        <w:tc>
          <w:tcPr>
            <w:tcW w:w="1421" w:type="dxa"/>
            <w:noWrap w:val="0"/>
            <w:vAlign w:val="center"/>
          </w:tcPr>
          <w:p>
            <w:pPr>
              <w:pStyle w:val="10"/>
              <w:spacing w:before="0" w:beforeAutospacing="0" w:after="0" w:afterAutospacing="0" w:line="360" w:lineRule="auto"/>
              <w:jc w:val="center"/>
              <w:rPr>
                <w:rFonts w:hint="eastAsia" w:ascii="宋体" w:hAnsi="宋体" w:eastAsia="宋体" w:cs="宋体"/>
                <w:color w:val="000000"/>
                <w:highlight w:val="none"/>
                <w:vertAlign w:val="baseline"/>
                <w:lang w:val="en-US" w:eastAsia="zh-CN"/>
              </w:rPr>
            </w:pPr>
            <w:r>
              <w:rPr>
                <w:rFonts w:hint="eastAsia" w:ascii="宋体" w:hAnsi="宋体" w:eastAsia="宋体" w:cs="宋体"/>
                <w:color w:val="000000"/>
                <w:sz w:val="24"/>
                <w:szCs w:val="32"/>
                <w:highlight w:val="none"/>
                <w:vertAlign w:val="baseline"/>
                <w:lang w:val="en-US" w:eastAsia="zh-CN"/>
              </w:rPr>
              <w:t>600000.00</w:t>
            </w:r>
          </w:p>
        </w:tc>
      </w:tr>
    </w:tbl>
    <w:p>
      <w:pPr>
        <w:pStyle w:val="10"/>
        <w:shd w:val="clear" w:color="auto" w:fill="FFFFFF"/>
        <w:spacing w:before="0" w:beforeAutospacing="0" w:after="0" w:afterAutospacing="0" w:line="360" w:lineRule="auto"/>
        <w:ind w:firstLine="420"/>
        <w:rPr>
          <w:rFonts w:hint="eastAsia" w:ascii="宋体" w:hAnsi="宋体" w:eastAsia="宋体" w:cs="宋体"/>
          <w:color w:val="000000"/>
          <w:highlight w:val="none"/>
          <w:lang w:eastAsia="zh-CN"/>
        </w:rPr>
      </w:pPr>
      <w:r>
        <w:rPr>
          <w:rFonts w:hint="eastAsia" w:ascii="宋体" w:hAnsi="宋体" w:eastAsia="宋体" w:cs="宋体"/>
          <w:b/>
          <w:bCs/>
          <w:color w:val="333333"/>
          <w:kern w:val="0"/>
          <w:sz w:val="24"/>
          <w:highlight w:val="none"/>
          <w:lang w:val="en-US" w:eastAsia="zh-CN" w:bidi="ar"/>
        </w:rPr>
        <w:t>不专门面向中小企业采购。</w:t>
      </w:r>
    </w:p>
    <w:p>
      <w:pPr>
        <w:pStyle w:val="10"/>
        <w:shd w:val="clear" w:color="auto" w:fill="FFFFFF"/>
        <w:spacing w:before="0" w:beforeAutospacing="0" w:after="0" w:afterAutospacing="0" w:line="360" w:lineRule="auto"/>
        <w:ind w:firstLine="420"/>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本项目不接受联合体投标</w:t>
      </w:r>
    </w:p>
    <w:p>
      <w:pPr>
        <w:pStyle w:val="10"/>
        <w:shd w:val="clear" w:color="auto" w:fill="FFFFFF"/>
        <w:spacing w:before="0" w:beforeAutospacing="0" w:after="0" w:afterAutospacing="0" w:line="360" w:lineRule="auto"/>
        <w:ind w:firstLine="420"/>
        <w:rPr>
          <w:rFonts w:hint="default" w:ascii="宋体" w:hAnsi="宋体" w:eastAsia="宋体" w:cs="宋体"/>
          <w:color w:val="000000"/>
          <w:highlight w:val="none"/>
          <w:lang w:val="en-US" w:eastAsia="zh-CN"/>
        </w:rPr>
      </w:pPr>
      <w:r>
        <w:rPr>
          <w:rFonts w:hint="eastAsia" w:ascii="宋体" w:hAnsi="宋体" w:eastAsia="宋体" w:cs="宋体"/>
          <w:color w:val="000000"/>
          <w:highlight w:val="none"/>
        </w:rPr>
        <w:t>合同履行期限：</w:t>
      </w:r>
      <w:r>
        <w:rPr>
          <w:rFonts w:hint="eastAsia" w:ascii="宋体" w:hAnsi="宋体" w:cs="宋体"/>
          <w:color w:val="000000"/>
          <w:highlight w:val="none"/>
          <w:lang w:eastAsia="zh-CN"/>
        </w:rPr>
        <w:t>自合同签订之日起</w:t>
      </w:r>
      <w:r>
        <w:rPr>
          <w:rFonts w:hint="eastAsia" w:ascii="宋体" w:hAnsi="宋体" w:cs="宋体"/>
          <w:color w:val="000000"/>
          <w:highlight w:val="none"/>
          <w:u w:val="single"/>
          <w:lang w:val="en-US" w:eastAsia="zh-CN"/>
        </w:rPr>
        <w:t xml:space="preserve">20 </w:t>
      </w:r>
      <w:r>
        <w:rPr>
          <w:rFonts w:hint="eastAsia" w:ascii="宋体" w:hAnsi="宋体" w:cs="宋体"/>
          <w:color w:val="000000"/>
          <w:highlight w:val="none"/>
          <w:lang w:val="en-US" w:eastAsia="zh-CN"/>
        </w:rPr>
        <w:t>日历天内</w:t>
      </w:r>
    </w:p>
    <w:p>
      <w:pPr>
        <w:pStyle w:val="4"/>
        <w:jc w:val="left"/>
        <w:rPr>
          <w:rFonts w:ascii="宋体" w:hAnsi="宋体" w:cs="宋体"/>
          <w:bCs w:val="0"/>
          <w:sz w:val="24"/>
          <w:szCs w:val="24"/>
        </w:rPr>
      </w:pPr>
      <w:bookmarkStart w:id="5" w:name="_Toc28359080"/>
      <w:bookmarkStart w:id="6" w:name="_Toc35393622"/>
      <w:bookmarkStart w:id="7" w:name="_Toc35393791"/>
      <w:bookmarkStart w:id="8" w:name="_Toc28359003"/>
      <w:r>
        <w:rPr>
          <w:rFonts w:hint="eastAsia" w:ascii="宋体" w:hAnsi="宋体" w:cs="宋体"/>
          <w:bCs w:val="0"/>
          <w:sz w:val="24"/>
          <w:szCs w:val="24"/>
        </w:rPr>
        <w:t>二、申请人的资格要求：</w:t>
      </w:r>
      <w:bookmarkEnd w:id="5"/>
      <w:bookmarkEnd w:id="6"/>
      <w:bookmarkEnd w:id="7"/>
      <w:bookmarkEnd w:id="8"/>
    </w:p>
    <w:p>
      <w:pPr>
        <w:ind w:firstLine="480" w:firstLineChars="200"/>
        <w:rPr>
          <w:rFonts w:ascii="宋体" w:hAnsi="宋体" w:cs="宋体"/>
          <w:sz w:val="24"/>
        </w:rPr>
      </w:pPr>
      <w:r>
        <w:rPr>
          <w:rFonts w:hint="eastAsia" w:ascii="宋体" w:hAnsi="宋体" w:cs="宋体"/>
          <w:sz w:val="24"/>
        </w:rPr>
        <w:t>1.满足《中华人民共和国政府采购法》第二十二条规定；</w:t>
      </w:r>
    </w:p>
    <w:p>
      <w:pPr>
        <w:ind w:firstLine="480" w:firstLineChars="200"/>
        <w:rPr>
          <w:rFonts w:hint="eastAsia" w:ascii="宋体" w:hAnsi="宋体" w:cs="宋体"/>
          <w:sz w:val="24"/>
        </w:rPr>
      </w:pPr>
      <w:bookmarkStart w:id="9" w:name="_Toc28359004"/>
      <w:bookmarkStart w:id="10" w:name="_Toc28359081"/>
      <w:r>
        <w:rPr>
          <w:rFonts w:hint="eastAsia" w:ascii="宋体" w:hAnsi="宋体" w:cs="宋体"/>
          <w:sz w:val="24"/>
        </w:rPr>
        <w:t>2.落实政府采购政策需满足的资格要求：</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1）《政府采购促进中小企业发展管理办法》（财库〔2020〕46 号）； </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2）《财政部司法部关于政府采购支持监狱企业发展有关问题的通知》（财库〔2014〕68号）；</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3）《国务院办公厅关于建立政府强制采购节能产品制度的通知》（国办发〔2007〕51号）； </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4）《关于调整优化节能产品、环境标志产品政府采购执行机制的通知》（财库〔2019〕9号）；</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5）《关于印发环境标志产品政府采购品目清单的通知》（财库〔2019〕18号）； </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6）《关于印发节能产品政府采购品目清单的通知》（财库〔2019〕19号）；</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7）《三部门联合发布关于促进残疾人就业政府采购政策的通知》（财库〔2017〕141号）；</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8）《财政部发展改革委生态环境部市场监管总局关于调整优化节能产品、环境标志产品政府采购执行机制的通知》（财库〔2019〕9号）；</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9）《财政部农业农村部国家乡村振兴局关于运用政府采购政策支持乡村产业振兴的通知》（财库〔2021〕19号）；</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10）《陕西省财政厅关于加快推进我省中小企业政府采购信用融资工作的通知》（陕财办采〔2020〕15号）；</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11）《西安市财政局关于促进政府采购公平竞争优化营商环境的通知》（市财函〔2021〕431号）；</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12)《关于深入开展政府采购脱贫地区农副产品工作推进乡村产业振兴的实施意见》的通知（财库〔2021〕20号）；</w:t>
      </w:r>
    </w:p>
    <w:p>
      <w:pPr>
        <w:pStyle w:val="11"/>
        <w:spacing w:line="420" w:lineRule="exact"/>
        <w:ind w:firstLine="480" w:firstLineChars="200"/>
        <w:rPr>
          <w:rFonts w:hint="eastAsia" w:ascii="宋体" w:hAnsi="宋体" w:cs="宋体"/>
          <w:color w:val="auto"/>
        </w:rPr>
      </w:pPr>
      <w:r>
        <w:rPr>
          <w:rFonts w:hint="eastAsia" w:ascii="宋体" w:hAnsi="宋体" w:cs="宋体"/>
          <w:color w:val="auto"/>
        </w:rPr>
        <w:t>13）《陕西省财政厅关于进一步加大政府采购支持中小企业力度的通知》陕财办采〔2022〕5号；</w:t>
      </w:r>
    </w:p>
    <w:p>
      <w:pPr>
        <w:pStyle w:val="11"/>
        <w:spacing w:line="420" w:lineRule="exact"/>
        <w:ind w:firstLine="480" w:firstLineChars="200"/>
        <w:rPr>
          <w:rFonts w:hint="eastAsia" w:ascii="宋体" w:hAnsi="宋体" w:cs="宋体"/>
          <w:color w:val="auto"/>
        </w:rPr>
      </w:pPr>
      <w:r>
        <w:rPr>
          <w:rFonts w:hint="eastAsia" w:ascii="宋体" w:hAnsi="宋体" w:cs="宋体"/>
          <w:color w:val="auto"/>
        </w:rPr>
        <w:t>14）其他需要落实的政府采购政策。</w:t>
      </w:r>
    </w:p>
    <w:p>
      <w:pPr>
        <w:ind w:firstLine="480" w:firstLineChars="200"/>
        <w:rPr>
          <w:rFonts w:hint="eastAsia" w:ascii="宋体" w:hAnsi="宋体" w:cs="宋体"/>
          <w:sz w:val="24"/>
        </w:rPr>
      </w:pPr>
      <w:r>
        <w:rPr>
          <w:rFonts w:hint="eastAsia" w:ascii="宋体" w:hAnsi="宋体" w:cs="宋体"/>
          <w:sz w:val="24"/>
        </w:rPr>
        <w:t>3.本项目的特定资格要求：</w:t>
      </w:r>
    </w:p>
    <w:p>
      <w:pPr>
        <w:ind w:firstLine="480" w:firstLineChars="200"/>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 w:val="24"/>
        </w:rPr>
        <w:br w:type="textWrapping"/>
      </w:r>
      <w:r>
        <w:rPr>
          <w:rFonts w:hint="eastAsia" w:ascii="宋体" w:hAnsi="宋体" w:eastAsia="宋体" w:cs="宋体"/>
          <w:sz w:val="24"/>
          <w:lang w:val="en-US" w:eastAsia="zh-CN"/>
        </w:rPr>
        <w:t xml:space="preserve">    </w:t>
      </w: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财务状况报告：提供2020年度至今任一年度的财务审计报告或开标前三个月其基本存款账户开户银行出具的资信证明及基本存款账户开户许可证；</w:t>
      </w:r>
      <w:r>
        <w:rPr>
          <w:rFonts w:hint="eastAsia" w:ascii="宋体" w:hAnsi="宋体" w:eastAsia="宋体" w:cs="宋体"/>
          <w:sz w:val="24"/>
        </w:rPr>
        <w:br w:type="textWrapping"/>
      </w:r>
      <w:r>
        <w:rPr>
          <w:rFonts w:hint="eastAsia" w:ascii="宋体" w:hAnsi="宋体" w:eastAsia="宋体" w:cs="宋体"/>
          <w:sz w:val="24"/>
          <w:lang w:val="en-US" w:eastAsia="zh-CN"/>
        </w:rPr>
        <w:t xml:space="preserve">    </w:t>
      </w: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缴纳税收：提供开标截止日前一年内已缴纳的至少一个月的纳税证明或完税证明，依法免税的单位应提供相关证明材料； </w:t>
      </w:r>
      <w:r>
        <w:rPr>
          <w:rFonts w:hint="eastAsia" w:ascii="宋体" w:hAnsi="宋体" w:eastAsia="宋体" w:cs="宋体"/>
          <w:sz w:val="24"/>
        </w:rPr>
        <w:br w:type="textWrapping"/>
      </w:r>
      <w:r>
        <w:rPr>
          <w:rFonts w:hint="eastAsia" w:ascii="宋体" w:hAnsi="宋体" w:eastAsia="宋体" w:cs="宋体"/>
          <w:sz w:val="24"/>
          <w:lang w:val="en-US" w:eastAsia="zh-CN"/>
        </w:rPr>
        <w:t xml:space="preserve">    </w:t>
      </w: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社会保障资金缴纳证明：提供开标截止日前一年内已缴存的至少一个月的社会保障资金缴存单据或社保机构开具的社会保险参保缴费情况证明，依法不需要缴纳社会保障资金的单位应提供相关证明材料；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rPr>
        <w:br w:type="textWrapping"/>
      </w:r>
      <w:r>
        <w:rPr>
          <w:rFonts w:hint="eastAsia" w:ascii="宋体" w:hAnsi="宋体" w:eastAsia="宋体" w:cs="宋体"/>
          <w:sz w:val="24"/>
          <w:lang w:val="en-US" w:eastAsia="zh-CN"/>
        </w:rPr>
        <w:t xml:space="preserve">    </w:t>
      </w: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出具参加本次政府采购活动前三年内在经营活动中没有重大违法记录的书面声明；</w:t>
      </w:r>
      <w:r>
        <w:rPr>
          <w:rFonts w:hint="eastAsia" w:ascii="宋体" w:hAnsi="宋体" w:eastAsia="宋体" w:cs="宋体"/>
          <w:sz w:val="24"/>
        </w:rPr>
        <w:br w:type="textWrapping"/>
      </w:r>
      <w:r>
        <w:rPr>
          <w:rFonts w:hint="eastAsia" w:ascii="宋体" w:hAnsi="宋体" w:eastAsia="宋体" w:cs="宋体"/>
          <w:sz w:val="24"/>
          <w:lang w:val="en-US" w:eastAsia="zh-CN"/>
        </w:rPr>
        <w:t xml:space="preserve">    </w:t>
      </w: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具备履行合同所必需的设备和专业技术能力的证明材料(由投标人根据项目需求提供说明材料或者承诺)；</w:t>
      </w:r>
      <w:r>
        <w:rPr>
          <w:rFonts w:hint="eastAsia" w:ascii="宋体" w:hAnsi="宋体" w:eastAsia="宋体" w:cs="宋体"/>
          <w:sz w:val="24"/>
        </w:rPr>
        <w:br w:type="textWrapping"/>
      </w:r>
      <w:r>
        <w:rPr>
          <w:rFonts w:hint="eastAsia" w:ascii="宋体" w:hAnsi="宋体" w:eastAsia="宋体" w:cs="宋体"/>
          <w:sz w:val="24"/>
          <w:lang w:val="en-US" w:eastAsia="zh-CN"/>
        </w:rPr>
        <w:t xml:space="preserve">    </w:t>
      </w: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法定代表人授权书（附法定代表人、被授权人身份证复印件）及被授权人身份证（法定代表人直接参加招标，须提供法定代表人身份证明及身份证）； </w:t>
      </w:r>
      <w:r>
        <w:rPr>
          <w:rFonts w:hint="eastAsia" w:ascii="宋体" w:hAnsi="宋体" w:eastAsia="宋体" w:cs="宋体"/>
          <w:sz w:val="24"/>
        </w:rPr>
        <w:br w:type="textWrapping"/>
      </w:r>
      <w:r>
        <w:rPr>
          <w:rFonts w:hint="eastAsia" w:ascii="宋体" w:hAnsi="宋体" w:eastAsia="宋体" w:cs="宋体"/>
          <w:sz w:val="24"/>
          <w:lang w:val="en-US" w:eastAsia="zh-CN"/>
        </w:rPr>
        <w:t xml:space="preserve">    </w:t>
      </w:r>
      <w:r>
        <w:rPr>
          <w:rFonts w:hint="eastAsia" w:ascii="宋体" w:hAnsi="宋体" w:eastAsia="宋体" w:cs="宋体"/>
          <w:sz w:val="24"/>
        </w:rPr>
        <w:t>8</w:t>
      </w:r>
      <w:r>
        <w:rPr>
          <w:rFonts w:hint="eastAsia" w:ascii="宋体" w:hAnsi="宋体" w:eastAsia="宋体" w:cs="宋体"/>
          <w:sz w:val="24"/>
          <w:lang w:eastAsia="zh-CN"/>
        </w:rPr>
        <w:t>）</w:t>
      </w:r>
      <w:r>
        <w:rPr>
          <w:rFonts w:hint="eastAsia" w:ascii="宋体" w:hAnsi="宋体" w:eastAsia="宋体" w:cs="宋体"/>
          <w:sz w:val="24"/>
        </w:rPr>
        <w:t>投标人不得为“信用中国”网站（www.creditchina.gov.cn ）中列入失信被执行人和重</w:t>
      </w:r>
      <w:r>
        <w:rPr>
          <w:rFonts w:hint="eastAsia" w:ascii="宋体" w:hAnsi="宋体" w:eastAsia="宋体" w:cs="宋体"/>
          <w:sz w:val="24"/>
          <w:highlight w:val="none"/>
        </w:rPr>
        <w:t>大税收违法案件当事人名单的供应商，不得为中国政府采购网（www.ccgp.gov.cn ）政府采购严重违法失信行为记录名单中被财政部门禁止参加政府采购活动的供应商；</w:t>
      </w:r>
    </w:p>
    <w:p>
      <w:pPr>
        <w:pStyle w:val="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提供所投车辆及生产厂家在国家发改委或工业和信息化产业部发布的《车辆生产企业及产品》或《道路机动车辆生产企业及产品公告》目录内的证明（提供截图或复印所在页，注明公告批次及页码并加盖供应商公章）并提供车辆3C认证；</w:t>
      </w:r>
    </w:p>
    <w:p>
      <w:pPr>
        <w:pStyle w:val="5"/>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10）投标人为代理商的须提供制造商针对本项目的唯一产品授权书（一个品牌只允许授权一个代理商）；</w:t>
      </w:r>
    </w:p>
    <w:p>
      <w:pPr>
        <w:ind w:firstLine="480" w:firstLineChars="200"/>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单位负责人为同一人或者存在直接控股、管理关系的不同投标人，不得参加同一合同项下的政府采购活动；</w:t>
      </w:r>
      <w:r>
        <w:rPr>
          <w:rFonts w:hint="eastAsia" w:ascii="宋体" w:hAnsi="宋体" w:eastAsia="宋体" w:cs="宋体"/>
          <w:sz w:val="24"/>
        </w:rPr>
        <w:br w:type="textWrapping"/>
      </w:r>
      <w:r>
        <w:rPr>
          <w:rFonts w:hint="eastAsia" w:ascii="宋体" w:hAnsi="宋体" w:eastAsia="宋体" w:cs="宋体"/>
          <w:sz w:val="24"/>
          <w:lang w:val="en-US" w:eastAsia="zh-CN"/>
        </w:rPr>
        <w:t xml:space="preserve">    12</w:t>
      </w:r>
      <w:r>
        <w:rPr>
          <w:rFonts w:hint="eastAsia" w:ascii="宋体" w:hAnsi="宋体" w:eastAsia="宋体" w:cs="宋体"/>
          <w:sz w:val="24"/>
          <w:lang w:eastAsia="zh-CN"/>
        </w:rPr>
        <w:t>）</w:t>
      </w:r>
      <w:r>
        <w:rPr>
          <w:rFonts w:hint="eastAsia" w:ascii="宋体" w:hAnsi="宋体" w:eastAsia="宋体" w:cs="宋体"/>
          <w:sz w:val="24"/>
        </w:rPr>
        <w:t>本项目不接受联合体投标。</w:t>
      </w:r>
    </w:p>
    <w:p>
      <w:pPr>
        <w:pStyle w:val="4"/>
        <w:jc w:val="left"/>
        <w:rPr>
          <w:rFonts w:ascii="宋体" w:hAnsi="宋体" w:cs="宋体"/>
          <w:bCs w:val="0"/>
          <w:sz w:val="24"/>
          <w:szCs w:val="24"/>
        </w:rPr>
      </w:pPr>
      <w:bookmarkStart w:id="11" w:name="_Toc35393792"/>
      <w:bookmarkStart w:id="12" w:name="_Toc35393623"/>
      <w:r>
        <w:rPr>
          <w:rFonts w:hint="eastAsia" w:ascii="宋体" w:hAnsi="宋体" w:cs="宋体"/>
          <w:bCs w:val="0"/>
          <w:sz w:val="24"/>
          <w:szCs w:val="24"/>
        </w:rPr>
        <w:t>三、获取招标文件</w:t>
      </w:r>
      <w:bookmarkEnd w:id="9"/>
      <w:bookmarkEnd w:id="10"/>
      <w:bookmarkEnd w:id="11"/>
      <w:bookmarkEnd w:id="12"/>
    </w:p>
    <w:p>
      <w:pPr>
        <w:spacing w:line="360" w:lineRule="auto"/>
        <w:ind w:firstLine="540"/>
        <w:rPr>
          <w:rFonts w:ascii="宋体" w:hAnsi="宋体" w:cs="宋体"/>
          <w:sz w:val="24"/>
          <w:highlight w:val="none"/>
        </w:rPr>
      </w:pPr>
      <w:r>
        <w:rPr>
          <w:rFonts w:hint="eastAsia" w:ascii="宋体" w:hAnsi="宋体" w:cs="宋体"/>
          <w:sz w:val="24"/>
          <w:highlight w:val="none"/>
        </w:rPr>
        <w:t>时间：</w:t>
      </w:r>
      <w:r>
        <w:rPr>
          <w:rFonts w:ascii="宋体" w:hAnsi="宋体" w:cs="宋体"/>
          <w:sz w:val="24"/>
          <w:highlight w:val="none"/>
          <w:u w:val="single"/>
        </w:rPr>
        <w:t>2</w:t>
      </w:r>
      <w:r>
        <w:rPr>
          <w:rFonts w:hint="eastAsia" w:ascii="宋体" w:hAnsi="宋体" w:cs="宋体"/>
          <w:sz w:val="24"/>
          <w:highlight w:val="none"/>
          <w:u w:val="single"/>
          <w:lang w:val="en-US" w:eastAsia="zh-CN"/>
        </w:rPr>
        <w:t>022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 xml:space="preserve">25 </w:t>
      </w:r>
      <w:r>
        <w:rPr>
          <w:rFonts w:hint="eastAsia" w:ascii="宋体" w:hAnsi="宋体" w:cs="宋体"/>
          <w:sz w:val="24"/>
          <w:highlight w:val="none"/>
          <w:u w:val="single"/>
          <w:lang w:eastAsia="zh-CN"/>
        </w:rPr>
        <w:t>日</w:t>
      </w:r>
      <w:r>
        <w:rPr>
          <w:rFonts w:hint="eastAsia" w:ascii="宋体" w:hAnsi="宋体" w:cs="宋体"/>
          <w:sz w:val="24"/>
          <w:highlight w:val="none"/>
        </w:rPr>
        <w:t>至</w:t>
      </w:r>
      <w:r>
        <w:rPr>
          <w:rFonts w:ascii="宋体" w:hAnsi="宋体" w:cs="宋体"/>
          <w:sz w:val="24"/>
          <w:highlight w:val="none"/>
          <w:u w:val="single"/>
        </w:rPr>
        <w:t>2</w:t>
      </w:r>
      <w:r>
        <w:rPr>
          <w:rFonts w:hint="eastAsia" w:ascii="宋体" w:hAnsi="宋体" w:cs="宋体"/>
          <w:sz w:val="24"/>
          <w:highlight w:val="none"/>
          <w:u w:val="single"/>
          <w:lang w:val="en-US" w:eastAsia="zh-CN"/>
        </w:rPr>
        <w:t>022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 xml:space="preserve"> 1</w:t>
      </w:r>
      <w:r>
        <w:rPr>
          <w:rFonts w:hint="eastAsia" w:ascii="宋体" w:hAnsi="宋体" w:cs="宋体"/>
          <w:sz w:val="24"/>
          <w:highlight w:val="none"/>
          <w:u w:val="single"/>
          <w:lang w:eastAsia="zh-CN"/>
        </w:rPr>
        <w:t>日</w:t>
      </w:r>
      <w:r>
        <w:rPr>
          <w:rFonts w:hint="eastAsia" w:ascii="宋体" w:hAnsi="宋体" w:cs="宋体"/>
          <w:sz w:val="24"/>
          <w:highlight w:val="none"/>
        </w:rPr>
        <w:t>，每天上午</w:t>
      </w:r>
      <w:r>
        <w:rPr>
          <w:rFonts w:hint="eastAsia" w:ascii="宋体" w:hAnsi="宋体" w:cs="宋体"/>
          <w:sz w:val="24"/>
          <w:highlight w:val="none"/>
          <w:u w:val="single"/>
          <w:lang w:val="en-US" w:eastAsia="zh-CN"/>
        </w:rPr>
        <w:t>9:00</w:t>
      </w:r>
      <w:r>
        <w:rPr>
          <w:rFonts w:hint="eastAsia" w:ascii="宋体" w:hAnsi="宋体" w:cs="宋体"/>
          <w:sz w:val="24"/>
          <w:highlight w:val="none"/>
        </w:rPr>
        <w:t>至</w:t>
      </w:r>
      <w:r>
        <w:rPr>
          <w:rFonts w:hint="eastAsia" w:ascii="宋体" w:hAnsi="宋体" w:cs="宋体"/>
          <w:sz w:val="24"/>
          <w:highlight w:val="none"/>
          <w:u w:val="single"/>
        </w:rPr>
        <w:t>12</w:t>
      </w:r>
      <w:r>
        <w:rPr>
          <w:rFonts w:hint="eastAsia" w:ascii="宋体" w:hAnsi="宋体" w:cs="宋体"/>
          <w:sz w:val="24"/>
          <w:highlight w:val="none"/>
          <w:u w:val="single"/>
          <w:lang w:val="en-US" w:eastAsia="zh-CN"/>
        </w:rPr>
        <w:t>:00</w:t>
      </w:r>
      <w:r>
        <w:rPr>
          <w:rFonts w:hint="eastAsia" w:ascii="宋体" w:hAnsi="宋体" w:cs="宋体"/>
          <w:sz w:val="24"/>
          <w:highlight w:val="none"/>
        </w:rPr>
        <w:t>，下午</w:t>
      </w:r>
      <w:r>
        <w:rPr>
          <w:rFonts w:hint="eastAsia" w:ascii="宋体" w:hAnsi="宋体" w:cs="宋体"/>
          <w:sz w:val="24"/>
          <w:highlight w:val="none"/>
          <w:u w:val="single"/>
        </w:rPr>
        <w:t>14</w:t>
      </w:r>
      <w:r>
        <w:rPr>
          <w:rFonts w:hint="eastAsia" w:ascii="宋体" w:hAnsi="宋体" w:cs="宋体"/>
          <w:sz w:val="24"/>
          <w:highlight w:val="none"/>
          <w:u w:val="single"/>
          <w:lang w:val="en-US" w:eastAsia="zh-CN"/>
        </w:rPr>
        <w:t>:00</w:t>
      </w:r>
      <w:r>
        <w:rPr>
          <w:rFonts w:hint="eastAsia" w:ascii="宋体" w:hAnsi="宋体" w:cs="宋体"/>
          <w:sz w:val="24"/>
          <w:highlight w:val="none"/>
        </w:rPr>
        <w:t>至</w:t>
      </w:r>
      <w:r>
        <w:rPr>
          <w:rFonts w:hint="eastAsia" w:ascii="宋体" w:hAnsi="宋体" w:cs="宋体"/>
          <w:sz w:val="24"/>
          <w:highlight w:val="none"/>
          <w:u w:val="single"/>
        </w:rPr>
        <w:t>1</w:t>
      </w:r>
      <w:r>
        <w:rPr>
          <w:rFonts w:hint="eastAsia" w:ascii="宋体" w:hAnsi="宋体" w:cs="宋体"/>
          <w:sz w:val="24"/>
          <w:highlight w:val="none"/>
          <w:u w:val="single"/>
          <w:lang w:val="en-US" w:eastAsia="zh-CN"/>
        </w:rPr>
        <w:t>7:00</w:t>
      </w:r>
      <w:r>
        <w:rPr>
          <w:rFonts w:hint="eastAsia" w:ascii="宋体" w:hAnsi="宋体" w:cs="宋体"/>
          <w:sz w:val="24"/>
          <w:highlight w:val="none"/>
        </w:rPr>
        <w:t>（北京时间，法定节假日除外）</w:t>
      </w:r>
    </w:p>
    <w:p>
      <w:pPr>
        <w:spacing w:line="360" w:lineRule="auto"/>
        <w:ind w:firstLine="540"/>
        <w:rPr>
          <w:rFonts w:ascii="宋体" w:hAnsi="宋体" w:cs="宋体"/>
          <w:sz w:val="24"/>
          <w:highlight w:val="none"/>
          <w:u w:val="single"/>
        </w:rPr>
      </w:pPr>
      <w:r>
        <w:rPr>
          <w:rFonts w:hint="eastAsia" w:ascii="宋体" w:hAnsi="宋体" w:cs="宋体"/>
          <w:sz w:val="24"/>
          <w:highlight w:val="none"/>
        </w:rPr>
        <w:t>地点：陕西省西安市莲湖区南二环西段财富中心I期A座802室</w:t>
      </w:r>
    </w:p>
    <w:p>
      <w:pPr>
        <w:spacing w:line="360" w:lineRule="auto"/>
        <w:ind w:firstLine="540"/>
        <w:rPr>
          <w:rFonts w:hint="eastAsia" w:ascii="宋体" w:hAnsi="宋体" w:cs="宋体"/>
          <w:sz w:val="24"/>
          <w:highlight w:val="none"/>
        </w:rPr>
      </w:pPr>
      <w:r>
        <w:rPr>
          <w:rFonts w:hint="eastAsia" w:ascii="宋体" w:hAnsi="宋体" w:cs="宋体"/>
          <w:sz w:val="24"/>
          <w:highlight w:val="none"/>
        </w:rPr>
        <w:t>售价：免费赠送</w:t>
      </w:r>
    </w:p>
    <w:p>
      <w:pPr>
        <w:pStyle w:val="4"/>
        <w:ind w:firstLine="482" w:firstLineChars="200"/>
        <w:jc w:val="left"/>
        <w:rPr>
          <w:rFonts w:hint="eastAsia" w:ascii="宋体" w:hAnsi="宋体" w:cs="宋体"/>
          <w:bCs w:val="0"/>
          <w:sz w:val="24"/>
          <w:szCs w:val="24"/>
          <w:highlight w:val="none"/>
        </w:rPr>
      </w:pPr>
      <w:bookmarkStart w:id="13" w:name="_Toc28359082"/>
      <w:bookmarkStart w:id="14" w:name="_Toc28359005"/>
      <w:bookmarkStart w:id="15" w:name="_Toc35393793"/>
      <w:bookmarkStart w:id="16" w:name="_Toc35393624"/>
      <w:r>
        <w:rPr>
          <w:rFonts w:hint="eastAsia" w:ascii="宋体" w:hAnsi="宋体" w:cs="宋体"/>
          <w:bCs w:val="0"/>
          <w:sz w:val="24"/>
          <w:szCs w:val="24"/>
          <w:highlight w:val="none"/>
        </w:rPr>
        <w:t>注：供应商领取采购文件时应携带有效期内的单位介绍信、经办人身份证原件及加盖公章的复印件，谢绝邮寄</w:t>
      </w:r>
    </w:p>
    <w:p>
      <w:pPr>
        <w:pStyle w:val="4"/>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四、提交投标文件</w:t>
      </w:r>
      <w:bookmarkEnd w:id="13"/>
      <w:bookmarkEnd w:id="14"/>
      <w:r>
        <w:rPr>
          <w:rFonts w:hint="eastAsia" w:ascii="宋体" w:hAnsi="宋体" w:eastAsia="宋体" w:cs="宋体"/>
          <w:bCs/>
          <w:sz w:val="24"/>
          <w:szCs w:val="24"/>
          <w:highlight w:val="none"/>
        </w:rPr>
        <w:t>截止时间、开标时间和地点</w:t>
      </w:r>
      <w:bookmarkEnd w:id="15"/>
      <w:bookmarkEnd w:id="16"/>
    </w:p>
    <w:p>
      <w:pPr>
        <w:ind w:firstLine="480" w:firstLineChars="200"/>
        <w:rPr>
          <w:rFonts w:hint="eastAsia" w:ascii="宋体" w:hAnsi="宋体" w:cs="宋体"/>
          <w:bCs/>
          <w:sz w:val="24"/>
          <w:highlight w:val="none"/>
        </w:rPr>
      </w:pPr>
      <w:r>
        <w:rPr>
          <w:rFonts w:ascii="宋体" w:hAnsi="宋体" w:cs="宋体"/>
          <w:bCs/>
          <w:sz w:val="24"/>
          <w:highlight w:val="none"/>
          <w:u w:val="single"/>
        </w:rPr>
        <w:t>2</w:t>
      </w:r>
      <w:r>
        <w:rPr>
          <w:rFonts w:hint="eastAsia" w:ascii="宋体" w:hAnsi="宋体" w:cs="宋体"/>
          <w:bCs/>
          <w:sz w:val="24"/>
          <w:highlight w:val="none"/>
          <w:u w:val="single"/>
          <w:lang w:val="en-US" w:eastAsia="zh-CN"/>
        </w:rPr>
        <w:t>022</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12</w:t>
      </w:r>
      <w:r>
        <w:rPr>
          <w:rFonts w:hint="eastAsia" w:ascii="宋体" w:hAnsi="宋体" w:cs="宋体"/>
          <w:bCs/>
          <w:sz w:val="24"/>
          <w:highlight w:val="none"/>
          <w:u w:val="single"/>
          <w:lang w:eastAsia="zh-CN"/>
        </w:rPr>
        <w:t>月</w:t>
      </w:r>
      <w:r>
        <w:rPr>
          <w:rFonts w:hint="eastAsia" w:ascii="宋体" w:hAnsi="宋体" w:cs="宋体"/>
          <w:bCs/>
          <w:sz w:val="24"/>
          <w:highlight w:val="none"/>
          <w:u w:val="single"/>
          <w:lang w:val="en-US" w:eastAsia="zh-CN"/>
        </w:rPr>
        <w:t xml:space="preserve">15 </w:t>
      </w:r>
      <w:r>
        <w:rPr>
          <w:rFonts w:hint="eastAsia" w:ascii="宋体" w:hAnsi="宋体" w:cs="宋体"/>
          <w:bCs/>
          <w:sz w:val="24"/>
          <w:highlight w:val="none"/>
          <w:u w:val="single"/>
          <w:lang w:eastAsia="zh-CN"/>
        </w:rPr>
        <w:t>日</w:t>
      </w:r>
      <w:r>
        <w:rPr>
          <w:rFonts w:hint="eastAsia" w:ascii="宋体" w:hAnsi="宋体" w:cs="宋体"/>
          <w:bCs/>
          <w:sz w:val="24"/>
          <w:highlight w:val="none"/>
          <w:u w:val="single"/>
          <w:lang w:val="en-US" w:eastAsia="zh-CN"/>
        </w:rPr>
        <w:t>09</w:t>
      </w:r>
      <w:r>
        <w:rPr>
          <w:rFonts w:hint="eastAsia" w:ascii="宋体" w:hAnsi="宋体" w:cs="宋体"/>
          <w:bCs/>
          <w:sz w:val="24"/>
          <w:highlight w:val="none"/>
          <w:u w:val="single"/>
        </w:rPr>
        <w:t>:30</w:t>
      </w:r>
      <w:r>
        <w:rPr>
          <w:rFonts w:hint="eastAsia" w:ascii="宋体" w:hAnsi="宋体" w:cs="宋体"/>
          <w:bCs/>
          <w:sz w:val="24"/>
          <w:highlight w:val="none"/>
        </w:rPr>
        <w:t>（北京时间）</w:t>
      </w:r>
    </w:p>
    <w:p>
      <w:pPr>
        <w:ind w:firstLine="480" w:firstLineChars="200"/>
        <w:rPr>
          <w:rFonts w:ascii="宋体" w:hAnsi="宋体" w:cs="宋体"/>
          <w:bCs/>
          <w:sz w:val="24"/>
          <w:u w:val="single"/>
        </w:rPr>
      </w:pPr>
      <w:r>
        <w:rPr>
          <w:rFonts w:hint="eastAsia" w:ascii="宋体" w:hAnsi="宋体" w:cs="宋体"/>
          <w:sz w:val="24"/>
        </w:rPr>
        <w:t>地点：陕西省西安市莲湖区南二环西段财富中心I期A座802室</w:t>
      </w:r>
    </w:p>
    <w:p>
      <w:pPr>
        <w:pStyle w:val="4"/>
        <w:jc w:val="left"/>
        <w:rPr>
          <w:rFonts w:ascii="宋体" w:hAnsi="宋体" w:cs="宋体"/>
          <w:bCs w:val="0"/>
          <w:sz w:val="24"/>
          <w:szCs w:val="24"/>
        </w:rPr>
      </w:pPr>
      <w:bookmarkStart w:id="17" w:name="_Toc35393794"/>
      <w:bookmarkStart w:id="18" w:name="_Toc28359084"/>
      <w:bookmarkStart w:id="19" w:name="_Toc35393625"/>
      <w:bookmarkStart w:id="20" w:name="_Toc28359007"/>
      <w:r>
        <w:rPr>
          <w:rFonts w:hint="eastAsia" w:ascii="宋体" w:hAnsi="宋体" w:cs="宋体"/>
          <w:bCs w:val="0"/>
          <w:sz w:val="24"/>
          <w:szCs w:val="24"/>
        </w:rPr>
        <w:t>五、公告期限</w:t>
      </w:r>
      <w:bookmarkEnd w:id="17"/>
      <w:bookmarkEnd w:id="18"/>
      <w:bookmarkEnd w:id="19"/>
      <w:bookmarkEnd w:id="20"/>
    </w:p>
    <w:p>
      <w:pPr>
        <w:ind w:firstLine="480" w:firstLineChars="200"/>
        <w:rPr>
          <w:rFonts w:ascii="宋体" w:hAnsi="宋体" w:cs="宋体"/>
          <w:kern w:val="0"/>
          <w:sz w:val="24"/>
        </w:rPr>
      </w:pPr>
      <w:r>
        <w:rPr>
          <w:rFonts w:hint="eastAsia" w:ascii="宋体" w:hAnsi="宋体" w:cs="宋体"/>
          <w:kern w:val="0"/>
          <w:sz w:val="24"/>
        </w:rPr>
        <w:t>自本公告发布之日起5个工作日。</w:t>
      </w:r>
    </w:p>
    <w:p>
      <w:pPr>
        <w:pStyle w:val="4"/>
        <w:jc w:val="left"/>
        <w:rPr>
          <w:rFonts w:ascii="宋体" w:hAnsi="宋体" w:cs="宋体"/>
          <w:bCs w:val="0"/>
          <w:sz w:val="24"/>
          <w:szCs w:val="24"/>
        </w:rPr>
      </w:pPr>
      <w:bookmarkStart w:id="21" w:name="_Toc35393626"/>
      <w:bookmarkStart w:id="22" w:name="_Toc35393795"/>
      <w:r>
        <w:rPr>
          <w:rFonts w:hint="eastAsia" w:ascii="宋体" w:hAnsi="宋体" w:cs="宋体"/>
          <w:bCs w:val="0"/>
          <w:sz w:val="24"/>
          <w:szCs w:val="24"/>
        </w:rPr>
        <w:t>六、其他补充事宜</w:t>
      </w:r>
      <w:bookmarkEnd w:id="21"/>
      <w:bookmarkEnd w:id="22"/>
    </w:p>
    <w:p>
      <w:pPr>
        <w:pStyle w:val="4"/>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b w:val="0"/>
          <w:bCs w:val="0"/>
          <w:kern w:val="0"/>
          <w:sz w:val="24"/>
          <w:szCs w:val="24"/>
        </w:rPr>
      </w:pPr>
      <w:bookmarkStart w:id="23" w:name="_Toc28359008"/>
      <w:bookmarkStart w:id="24" w:name="_Toc35393796"/>
      <w:bookmarkStart w:id="25" w:name="_Toc35393627"/>
      <w:bookmarkStart w:id="26" w:name="_Toc28359085"/>
      <w:r>
        <w:rPr>
          <w:rFonts w:hint="eastAsia" w:ascii="宋体" w:hAnsi="宋体" w:cs="宋体"/>
          <w:b w:val="0"/>
          <w:bCs w:val="0"/>
          <w:kern w:val="0"/>
          <w:sz w:val="24"/>
          <w:szCs w:val="24"/>
        </w:rPr>
        <w:t>无</w:t>
      </w:r>
    </w:p>
    <w:p>
      <w:pPr>
        <w:pStyle w:val="4"/>
        <w:jc w:val="left"/>
        <w:rPr>
          <w:rFonts w:ascii="宋体" w:hAnsi="宋体" w:cs="宋体"/>
          <w:bCs w:val="0"/>
          <w:sz w:val="24"/>
          <w:szCs w:val="24"/>
        </w:rPr>
      </w:pPr>
      <w:r>
        <w:rPr>
          <w:rFonts w:hint="eastAsia" w:ascii="宋体" w:hAnsi="宋体" w:cs="宋体"/>
          <w:bCs w:val="0"/>
          <w:sz w:val="24"/>
          <w:szCs w:val="24"/>
        </w:rPr>
        <w:t>七、对本次招标提出询问，请按以下方式联系。</w:t>
      </w:r>
      <w:bookmarkEnd w:id="23"/>
      <w:bookmarkEnd w:id="24"/>
      <w:bookmarkEnd w:id="25"/>
      <w:bookmarkEnd w:id="26"/>
    </w:p>
    <w:p>
      <w:pPr>
        <w:widowControl/>
        <w:jc w:val="left"/>
        <w:rPr>
          <w:rFonts w:ascii="宋体" w:hAnsi="宋体" w:cs="宋体"/>
          <w:sz w:val="24"/>
        </w:rPr>
      </w:pPr>
      <w:r>
        <w:rPr>
          <w:rFonts w:hint="eastAsia" w:ascii="宋体" w:hAnsi="宋体" w:cs="宋体"/>
          <w:sz w:val="24"/>
        </w:rPr>
        <w:t>　　　1.</w:t>
      </w:r>
      <w:r>
        <w:rPr>
          <w:rFonts w:hint="eastAsia" w:ascii="宋体" w:hAnsi="宋体" w:cs="宋体"/>
          <w:sz w:val="24"/>
          <w:lang w:eastAsia="zh-CN"/>
        </w:rPr>
        <w:t>招标人</w:t>
      </w:r>
      <w:r>
        <w:rPr>
          <w:rFonts w:hint="eastAsia" w:ascii="宋体" w:hAnsi="宋体" w:cs="宋体"/>
          <w:sz w:val="24"/>
        </w:rPr>
        <w:t>信息</w:t>
      </w:r>
    </w:p>
    <w:p>
      <w:pPr>
        <w:spacing w:line="360" w:lineRule="auto"/>
        <w:ind w:left="1079" w:leftChars="371" w:hanging="300" w:hangingChars="125"/>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u w:val="single"/>
        </w:rPr>
        <w:t>西安市雁塔区城市管理和综合执法局</w:t>
      </w:r>
    </w:p>
    <w:p>
      <w:pPr>
        <w:spacing w:line="360" w:lineRule="auto"/>
        <w:ind w:left="1079" w:leftChars="371" w:hanging="300" w:hangingChars="125"/>
        <w:jc w:val="lef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西安市雁塔区丈八东路 </w:t>
      </w:r>
    </w:p>
    <w:p>
      <w:pPr>
        <w:spacing w:line="360" w:lineRule="auto"/>
        <w:ind w:left="1079" w:leftChars="371" w:hanging="300" w:hangingChars="125"/>
        <w:jc w:val="left"/>
        <w:rPr>
          <w:rFonts w:hint="default" w:ascii="宋体" w:hAnsi="宋体" w:eastAsia="宋体" w:cs="宋体"/>
          <w:sz w:val="24"/>
          <w:highlight w:val="none"/>
          <w:u w:val="single"/>
          <w:lang w:val="en-US" w:eastAsia="zh-CN"/>
        </w:rPr>
      </w:pPr>
      <w:r>
        <w:rPr>
          <w:rFonts w:hint="eastAsia" w:ascii="宋体" w:hAnsi="宋体" w:cs="宋体"/>
          <w:sz w:val="24"/>
          <w:highlight w:val="none"/>
        </w:rPr>
        <w:t>联系方式：</w:t>
      </w:r>
      <w:bookmarkStart w:id="27" w:name="_Toc28359009"/>
      <w:bookmarkStart w:id="28" w:name="_Toc28359086"/>
      <w:r>
        <w:rPr>
          <w:rFonts w:hint="eastAsia" w:ascii="宋体" w:hAnsi="宋体" w:cs="宋体"/>
          <w:sz w:val="24"/>
          <w:highlight w:val="none"/>
          <w:u w:val="single"/>
          <w:lang w:val="en-US" w:eastAsia="zh-CN"/>
        </w:rPr>
        <w:t>029-85239230</w:t>
      </w:r>
    </w:p>
    <w:p>
      <w:pPr>
        <w:spacing w:line="360" w:lineRule="auto"/>
        <w:ind w:left="1079" w:leftChars="371" w:hanging="300" w:hangingChars="125"/>
        <w:jc w:val="left"/>
        <w:rPr>
          <w:rFonts w:ascii="宋体" w:hAnsi="宋体" w:cs="宋体"/>
          <w:sz w:val="24"/>
        </w:rPr>
      </w:pPr>
      <w:r>
        <w:rPr>
          <w:rFonts w:hint="eastAsia" w:ascii="宋体" w:hAnsi="宋体" w:cs="宋体"/>
          <w:sz w:val="24"/>
        </w:rPr>
        <w:t>2.采购代理机构信息</w:t>
      </w:r>
      <w:bookmarkEnd w:id="27"/>
      <w:bookmarkEnd w:id="28"/>
    </w:p>
    <w:p>
      <w:pPr>
        <w:spacing w:line="360" w:lineRule="auto"/>
        <w:ind w:firstLine="720" w:firstLineChars="300"/>
        <w:rPr>
          <w:rFonts w:ascii="宋体" w:hAnsi="宋体" w:cs="宋体"/>
          <w:sz w:val="24"/>
        </w:rPr>
      </w:pPr>
      <w:r>
        <w:rPr>
          <w:rFonts w:hint="eastAsia" w:ascii="宋体" w:hAnsi="宋体" w:cs="宋体"/>
          <w:sz w:val="24"/>
        </w:rPr>
        <w:t>名 称：</w:t>
      </w:r>
      <w:r>
        <w:rPr>
          <w:rFonts w:hint="eastAsia" w:ascii="宋体" w:hAnsi="宋体" w:cs="宋体"/>
          <w:sz w:val="24"/>
          <w:u w:val="single"/>
        </w:rPr>
        <w:t>陕西盛世嘉和招标有限公司</w:t>
      </w:r>
    </w:p>
    <w:p>
      <w:pPr>
        <w:spacing w:line="360" w:lineRule="auto"/>
        <w:ind w:firstLine="720" w:firstLineChars="300"/>
        <w:rPr>
          <w:rFonts w:ascii="宋体" w:hAnsi="宋体" w:cs="宋体"/>
          <w:sz w:val="24"/>
        </w:rPr>
      </w:pPr>
      <w:r>
        <w:rPr>
          <w:rFonts w:hint="eastAsia" w:ascii="宋体" w:hAnsi="宋体" w:cs="宋体"/>
          <w:sz w:val="24"/>
        </w:rPr>
        <w:t>地　址：</w:t>
      </w:r>
      <w:r>
        <w:rPr>
          <w:rFonts w:hint="eastAsia" w:ascii="宋体" w:hAnsi="宋体" w:cs="宋体"/>
          <w:sz w:val="24"/>
          <w:u w:val="single"/>
        </w:rPr>
        <w:t>陕西省西安市莲湖区南二环西段财富中心I期A座802室</w:t>
      </w:r>
    </w:p>
    <w:p>
      <w:pPr>
        <w:spacing w:line="360" w:lineRule="auto"/>
        <w:ind w:firstLine="720" w:firstLineChars="300"/>
        <w:rPr>
          <w:rFonts w:ascii="宋体" w:hAnsi="宋体" w:cs="宋体"/>
          <w:sz w:val="24"/>
        </w:rPr>
      </w:pPr>
      <w:r>
        <w:rPr>
          <w:rFonts w:hint="eastAsia" w:ascii="宋体" w:hAnsi="宋体" w:cs="宋体"/>
          <w:sz w:val="24"/>
        </w:rPr>
        <w:t>联系方式：</w:t>
      </w:r>
      <w:bookmarkStart w:id="29" w:name="_Toc28359087"/>
      <w:bookmarkStart w:id="30" w:name="_Toc28359010"/>
      <w:r>
        <w:rPr>
          <w:rFonts w:hint="eastAsia" w:ascii="宋体" w:hAnsi="宋体" w:cs="宋体"/>
          <w:sz w:val="24"/>
          <w:u w:val="single"/>
        </w:rPr>
        <w:t>029-88601068</w:t>
      </w:r>
    </w:p>
    <w:p>
      <w:pPr>
        <w:spacing w:line="360" w:lineRule="auto"/>
        <w:ind w:firstLine="720" w:firstLineChars="300"/>
        <w:rPr>
          <w:rFonts w:ascii="宋体" w:hAnsi="宋体" w:cs="宋体"/>
          <w:sz w:val="24"/>
          <w:u w:val="single"/>
        </w:rPr>
      </w:pPr>
      <w:r>
        <w:rPr>
          <w:rFonts w:hint="eastAsia" w:ascii="宋体" w:hAnsi="宋体" w:cs="宋体"/>
          <w:sz w:val="24"/>
        </w:rPr>
        <w:t>3.项目联系方式</w:t>
      </w:r>
      <w:bookmarkEnd w:id="29"/>
      <w:bookmarkEnd w:id="30"/>
    </w:p>
    <w:p>
      <w:pPr>
        <w:pStyle w:val="7"/>
        <w:spacing w:line="360" w:lineRule="auto"/>
        <w:ind w:firstLine="720" w:firstLineChars="300"/>
        <w:rPr>
          <w:rFonts w:hint="eastAsia" w:hAnsi="宋体" w:cs="宋体"/>
          <w:sz w:val="24"/>
          <w:szCs w:val="24"/>
          <w:u w:val="single"/>
        </w:rPr>
      </w:pPr>
      <w:r>
        <w:rPr>
          <w:rFonts w:hint="eastAsia" w:hAnsi="宋体" w:cs="宋体"/>
          <w:sz w:val="24"/>
          <w:szCs w:val="24"/>
        </w:rPr>
        <w:t>项目联系人：</w:t>
      </w:r>
      <w:r>
        <w:rPr>
          <w:rFonts w:hint="eastAsia" w:hAnsi="宋体" w:cs="宋体"/>
          <w:sz w:val="24"/>
          <w:szCs w:val="24"/>
          <w:u w:val="single"/>
          <w:lang w:val="en-US" w:eastAsia="zh-CN"/>
        </w:rPr>
        <w:t xml:space="preserve">贺培文  </w:t>
      </w:r>
      <w:r>
        <w:rPr>
          <w:rFonts w:hint="eastAsia" w:hAnsi="宋体" w:cs="宋体"/>
          <w:sz w:val="24"/>
          <w:szCs w:val="24"/>
          <w:u w:val="single"/>
        </w:rPr>
        <w:t xml:space="preserve">熊浩森  </w:t>
      </w:r>
      <w:r>
        <w:rPr>
          <w:rFonts w:hint="eastAsia" w:hAnsi="宋体" w:cs="宋体"/>
          <w:sz w:val="24"/>
          <w:szCs w:val="24"/>
          <w:u w:val="single"/>
          <w:lang w:eastAsia="zh-CN"/>
        </w:rPr>
        <w:t>韩挺</w:t>
      </w:r>
      <w:r>
        <w:rPr>
          <w:rFonts w:hint="eastAsia" w:hAnsi="宋体" w:cs="宋体"/>
          <w:sz w:val="24"/>
          <w:szCs w:val="24"/>
          <w:u w:val="single"/>
        </w:rPr>
        <w:t xml:space="preserve">  </w:t>
      </w:r>
    </w:p>
    <w:p>
      <w:pPr>
        <w:spacing w:line="360" w:lineRule="auto"/>
        <w:ind w:firstLine="720" w:firstLineChars="300"/>
        <w:rPr>
          <w:rFonts w:ascii="仿宋" w:hAnsi="仿宋" w:eastAsia="仿宋"/>
          <w:sz w:val="28"/>
          <w:szCs w:val="28"/>
        </w:rPr>
      </w:pPr>
      <w:r>
        <w:rPr>
          <w:rFonts w:hint="eastAsia" w:ascii="宋体" w:hAnsi="宋体" w:cs="宋体"/>
          <w:sz w:val="24"/>
        </w:rPr>
        <w:t>电　话：</w:t>
      </w:r>
      <w:r>
        <w:rPr>
          <w:rFonts w:hint="eastAsia" w:ascii="宋体" w:hAnsi="宋体" w:cs="宋体"/>
          <w:sz w:val="24"/>
          <w:u w:val="single"/>
        </w:rPr>
        <w:t>029-88601068</w:t>
      </w:r>
    </w:p>
    <w:p/>
    <w:sectPr>
      <w:footerReference r:id="rId5" w:type="default"/>
      <w:pgSz w:w="11906" w:h="16838"/>
      <w:pgMar w:top="1440" w:right="1083" w:bottom="1440" w:left="1083"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YWI4YTBmMzJlNWI0MWY2MjZmNzg1N2ViZDE5MWUifQ=="/>
  </w:docVars>
  <w:rsids>
    <w:rsidRoot w:val="64B22573"/>
    <w:rsid w:val="64B2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120" w:after="120" w:line="360" w:lineRule="auto"/>
      <w:ind w:left="0" w:right="0"/>
      <w:jc w:val="center"/>
      <w:outlineLvl w:val="0"/>
    </w:pPr>
    <w:rPr>
      <w:rFonts w:ascii="Times New Roman" w:hAnsi="Times New Roman" w:eastAsia="宋体"/>
      <w:b/>
      <w:bCs/>
      <w:kern w:val="44"/>
      <w:sz w:val="30"/>
      <w:szCs w:val="44"/>
      <w:lang w:val="en-US" w:eastAsia="zh-CN" w:bidi="ar-SA"/>
    </w:rPr>
  </w:style>
  <w:style w:type="paragraph" w:styleId="4">
    <w:name w:val="heading 2"/>
    <w:basedOn w:val="1"/>
    <w:next w:val="1"/>
    <w:qFormat/>
    <w:uiPriority w:val="0"/>
    <w:pPr>
      <w:keepNext/>
      <w:keepLines/>
      <w:widowControl w:val="0"/>
      <w:spacing w:before="120" w:after="120" w:line="360" w:lineRule="auto"/>
      <w:ind w:left="0" w:right="0"/>
      <w:jc w:val="center"/>
      <w:outlineLvl w:val="1"/>
    </w:pPr>
    <w:rPr>
      <w:rFonts w:ascii="Arial" w:hAnsi="Arial" w:eastAsia="宋体"/>
      <w:b/>
      <w:bCs/>
      <w:kern w:val="2"/>
      <w:sz w:val="28"/>
      <w:szCs w:val="32"/>
      <w:lang w:val="en-US" w:eastAsia="zh-CN" w:bidi="ar-SA"/>
    </w:rPr>
  </w:style>
  <w:style w:type="paragraph" w:styleId="2">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uiPriority w:val="0"/>
    <w:pPr>
      <w:widowControl w:val="0"/>
      <w:spacing w:after="0" w:line="324" w:lineRule="auto"/>
      <w:ind w:firstLine="420"/>
      <w:jc w:val="both"/>
    </w:pPr>
    <w:rPr>
      <w:rFonts w:ascii="Times New Roman" w:hAnsi="Times New Roman" w:eastAsia="宋体" w:cs="Times New Roman"/>
      <w:kern w:val="2"/>
      <w:sz w:val="21"/>
      <w:szCs w:val="20"/>
      <w:lang w:val="en-US" w:eastAsia="zh-CN" w:bidi="ar-SA"/>
    </w:rPr>
  </w:style>
  <w:style w:type="paragraph" w:styleId="6">
    <w:name w:val="Body Text"/>
    <w:basedOn w:val="1"/>
    <w:next w:val="1"/>
    <w:uiPriority w:val="0"/>
    <w:pPr>
      <w:widowControl w:val="0"/>
      <w:spacing w:after="0" w:line="324" w:lineRule="auto"/>
      <w:jc w:val="both"/>
    </w:pPr>
    <w:rPr>
      <w:rFonts w:ascii="Times New Roman" w:hAnsi="Times New Roman" w:eastAsia="宋体" w:cs="Times New Roman"/>
      <w:color w:val="993300"/>
      <w:kern w:val="2"/>
      <w:sz w:val="24"/>
      <w:szCs w:val="24"/>
      <w:lang w:val="en-US" w:eastAsia="zh-CN" w:bidi="ar-SA"/>
    </w:rPr>
  </w:style>
  <w:style w:type="paragraph" w:styleId="7">
    <w:name w:val="Plain Text"/>
    <w:basedOn w:val="1"/>
    <w:uiPriority w:val="0"/>
    <w:pPr>
      <w:widowControl w:val="0"/>
      <w:spacing w:after="0" w:line="324" w:lineRule="auto"/>
      <w:jc w:val="both"/>
    </w:pPr>
    <w:rPr>
      <w:rFonts w:ascii="宋体" w:hAnsi="Courier New" w:eastAsia="宋体" w:cs="Courier New"/>
      <w:kern w:val="2"/>
      <w:sz w:val="21"/>
      <w:szCs w:val="21"/>
      <w:lang w:val="en-US" w:eastAsia="zh-CN" w:bidi="ar-SA"/>
    </w:rPr>
  </w:style>
  <w:style w:type="paragraph" w:styleId="8">
    <w:name w:val="footer"/>
    <w:basedOn w:val="1"/>
    <w:uiPriority w:val="0"/>
    <w:pPr>
      <w:widowControl w:val="0"/>
      <w:tabs>
        <w:tab w:val="center" w:pos="4140"/>
        <w:tab w:val="right" w:pos="8300"/>
      </w:tabs>
      <w:snapToGrid w:val="0"/>
      <w:spacing w:after="0" w:line="324" w:lineRule="auto"/>
      <w:jc w:val="left"/>
    </w:pPr>
    <w:rPr>
      <w:rFonts w:ascii="Times New Roman" w:hAnsi="Times New Roman" w:eastAsia="宋体" w:cs="Times New Roman"/>
      <w:kern w:val="2"/>
      <w:sz w:val="18"/>
      <w:szCs w:val="18"/>
      <w:lang w:val="en-US" w:eastAsia="zh-CN" w:bidi="ar-SA"/>
    </w:rPr>
  </w:style>
  <w:style w:type="paragraph" w:styleId="9">
    <w:name w:val="header"/>
    <w:basedOn w:val="1"/>
    <w:uiPriority w:val="0"/>
    <w:pPr>
      <w:widowControl w:val="0"/>
      <w:tabs>
        <w:tab w:val="center" w:pos="4140"/>
        <w:tab w:val="right" w:pos="8300"/>
      </w:tabs>
      <w:snapToGrid w:val="0"/>
      <w:spacing w:after="0" w:line="240" w:lineRule="auto"/>
      <w:jc w:val="center"/>
    </w:pPr>
    <w:rPr>
      <w:rFonts w:ascii="Times New Roman" w:hAnsi="Times New Roman" w:eastAsia="宋体" w:cs="Times New Roman"/>
      <w:kern w:val="2"/>
      <w:sz w:val="18"/>
      <w:szCs w:val="18"/>
      <w:lang w:val="en-US" w:eastAsia="zh-CN" w:bidi="ar-SA"/>
    </w:rPr>
  </w:style>
  <w:style w:type="paragraph" w:styleId="10">
    <w:name w:val="Normal (Web)"/>
    <w:basedOn w:val="1"/>
    <w:uiPriority w:val="0"/>
    <w:pPr>
      <w:widowControl/>
      <w:spacing w:before="100" w:beforeAutospacing="1" w:after="100" w:afterAutospacing="1" w:line="240" w:lineRule="auto"/>
      <w:ind w:left="0" w:right="0"/>
      <w:jc w:val="left"/>
    </w:pPr>
    <w:rPr>
      <w:rFonts w:ascii="宋体" w:hAnsi="宋体" w:eastAsia="宋体" w:cs="宋体"/>
      <w:kern w:val="0"/>
      <w:sz w:val="24"/>
      <w:szCs w:val="24"/>
      <w:lang w:val="en-US" w:eastAsia="zh-CN" w:bidi="ar-SA"/>
    </w:rPr>
  </w:style>
  <w:style w:type="paragraph" w:styleId="11">
    <w:name w:val="Body Text First Indent"/>
    <w:basedOn w:val="6"/>
    <w:uiPriority w:val="0"/>
    <w:pPr>
      <w:widowControl w:val="0"/>
      <w:spacing w:after="0" w:line="324" w:lineRule="auto"/>
      <w:ind w:firstLine="420" w:firstLineChars="100"/>
      <w:jc w:val="both"/>
    </w:pPr>
    <w:rPr>
      <w:rFonts w:ascii="Times New Roman" w:hAnsi="Times New Roman" w:eastAsia="宋体" w:cs="Times New Roman"/>
      <w:color w:val="993300"/>
      <w:kern w:val="2"/>
      <w:sz w:val="24"/>
      <w:szCs w:val="24"/>
      <w:lang w:val="en-US" w:eastAsia="zh-CN" w:bidi="ar-SA"/>
    </w:rPr>
  </w:style>
  <w:style w:type="table" w:styleId="13">
    <w:name w:val="Table Grid"/>
    <w:basedOn w:val="12"/>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2022-11-24T07:24:00Z</dcterms:created>
  <dc:creator>Administrator</dc:creator>
  <cp:lastModifiedBy>Administrator</cp:lastModifiedBy>
  <dcterms:modified xsi:type="dcterms:W3CDTF">2022-11-24T07:25:57Z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4AE7620B62874C01B2671D4C94B5728C</vt:lpwstr>
  </property>
</Properties>
</file>