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spacing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一、项目</w:t>
      </w:r>
      <w:r>
        <w:rPr>
          <w:rFonts w:hint="eastAsia" w:ascii="仿宋" w:hAnsi="仿宋" w:eastAsia="仿宋"/>
          <w:b/>
          <w:sz w:val="28"/>
          <w:szCs w:val="28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楷体" w:hAnsi="楷体" w:eastAsia="楷体"/>
          <w:color w:val="FF0000"/>
          <w:sz w:val="24"/>
          <w:szCs w:val="28"/>
        </w:rPr>
      </w:pPr>
      <w:r>
        <w:rPr>
          <w:rFonts w:hint="eastAsia" w:ascii="宋体" w:hAnsi="宋体"/>
          <w:sz w:val="24"/>
          <w:szCs w:val="24"/>
        </w:rPr>
        <w:t>根据市财发【2014】115号文 《西安市财政局关于财政惠民补贴资金“一卡通”兑付方式改革代理银行的通知》的有关精神，为了充分体现公平、公正、公开的原则，选取阎良区财政惠民补贴资金“一卡通”业务委托代理银行。</w:t>
      </w:r>
    </w:p>
    <w:p>
      <w:pPr>
        <w:pBdr>
          <w:bottom w:val="single" w:color="auto" w:sz="4" w:space="1"/>
        </w:pBdr>
        <w:spacing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二、服务内容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sz w:val="24"/>
          <w:szCs w:val="24"/>
        </w:rPr>
        <w:t>各村设立“一卡通服务站”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银行应在我区各村设立“一卡通服务站”，每村至少一处，覆盖全区所有行政村。设立各村的一卡通服务站需要对群众提供方便服务，保证农民不出村就能享受基本金融服务，可以就近办理小额取款、补贴资金明细查询、消费等多项金融业务。同时，各村“一卡通服务站”由代理银行管理、培训、支出相关运维费用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sz w:val="24"/>
          <w:szCs w:val="24"/>
        </w:rPr>
        <w:t>对代发业务可提供的软硬件支持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代理银行需要出资成立 “一卡通”发放兑付办公室。由代理银行成立“一卡通”发放兑付办公室，安排专人负责“一卡通”发放业务，设立一卡通兑付专柜，有效保证财政惠民补贴资金的发放，同时负责电子设备、系统网络等相关设施配置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代理银行负责开展形式多样的政策宣传、公示活动。通过电视合、传媒网络、各类户外广告、银行LED屏、流动宣传车、一卡通服务站、印制手册指南等开展持续的宣传活动，让财政惠民补贴资金“一卡通”业务家喻户晓，同时负责通知“一卡通”持卡人相关注意事项，妥善保管银行卡，开展好补贴发放业务的宣传、咨询、公示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代理银行应随时接受政府、社会监督。代理银行制定相关制度措施，明确银行在服务群众过程中的各项措施及责任，设定监督机制和办法，随时接受政府、社会各界对代理银行服务群众的监督工作。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做好与财政惠民“一卡通”兑付系统的数据对接工作，及时反馈主管部门发放情况。阎良区惠民补贴发放，依托“陕西省惠民补贴资金‘一卡通’兑付系统”(以下简称“一卡通”系统)管理平台发放。代理银行必须保证系统能与省市财政惠民补贴资金“一卡通”兑付系统管理平台无缝对接，保障财政惠民补贴资金的有序发放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阎良区财政惠民补贴发放流程为：代理银行提供待发账户账号，惠民补贴发放时，由各项目主管部门将补贴资金划转至待发账户。同时，主管单位用“一卡通”兑付系统将补贴数据包发放到代理银行后，代理银行用开发的系统接收数据，将补贴资金在24小时内划入应享受补贴卡，并将补贴数据发放成功、失败信息详细反馈回财政惠民“一卡通”系统（反馈信息包含失败原因、人员明细、失败金额、家庭住址等信息），对于惠民补贴资金失败户再次发放数据也要及时反馈主管部门。同时代理银行将发放补贴情况（包括失败户再次发放情况）通过纸质并电话告知各补贴主管部门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</w:rPr>
        <w:t>代理银行对财政惠民“一卡通”补贴卡的制作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代理银行应具备短期大批量制卡、发卡能力，同时确保财政惠民 “一卡通”同一个农户只能有一个银行卡号，一张银行卡，即“一人一卡一号”，目前我区涉及需要办卡农户13万左右（无上限），代理银行应保障我区惠民卡的制作要求，对于群众遗失需要补办银行卡的，热情接待，并及时办理且要保证补卡不换卡号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代理银行服务内容须满足对省市财政关于惠民补贴“一卡通”业务的服务承诺。</w:t>
      </w:r>
    </w:p>
    <w:p>
      <w:pPr>
        <w:pBdr>
          <w:bottom w:val="single" w:color="auto" w:sz="4" w:space="1"/>
        </w:pBdr>
        <w:spacing w:beforeLines="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代理银行对财政惠民补贴资金安全保障能力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代理银行应制定严格的规章制度和完善的管理体系，为财政惠民补贴资金“一卡通”支付业务的顺利、安全运行提供制度上的保障。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代理银行应确保资金实时到账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保障惠民资金在主管单位提出发放申请，资金实时到账，及时兑付，建成资金汇划的“高速公路网”。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代理银行应制定完善的应急预案体系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完善重大突发事件应急预案；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严密的业务系统、网络应急预案；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严谨的汇划系统手工应急预案。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代理银行应具备实时动态监控功能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提供系统对设备日常运行及交易状况实时监控功能，设定预警标准，对可疑交易和突发事件实时预警。严格操作，确保代理资金的安全，有效防范风险。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完善的风险防控体系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代理银行应将风险控制贯穿在业务的每个环节，确保财政惠民资金安全：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代理银行应有安全的数据通道，实现业务数据高效、安全传输，保障财政惠民“一卡通”兑付系统传送的数据安全，群众账户信息、个人账户的信息安全；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代理银行应有严格的数据比对、制卡、发卡、支取环节，有效杜绝财政惠民资金被冒领、虚列等风险。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代理银行应将主管部门提供的农户(个人)身份信息进行比对，从源头上防止数据差错；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发卡环节，代理银行负责将制作好的惠民补贴联名卡发到每个人手中，并做好用卡和保管银行卡的宣传培训。此环节是风险控制的关键，可以有效防范冒领、虚列等风险隐患。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完善的资金管控体系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代理银行应有详细的资金管控体系，通过合理的业务分工和制度安排，确保资金的专款专用，保障资金的安全，防止资金的挪用、多发漏发等情况出现。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人员组织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代理银行应有专门的服务团队保障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银行应加强管理协调，成立专业团队，提供专业服务，成立相应的领导小组，成立专门机构。同时配备专业人员，全面负责“一卡通”的管理与协调工作，包括对“一卡通”补贴项目的日常报表统计、工作协调、票据传送等，为不能到代理银行点办理开卡等相关手续的群众，提供上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代理银行应有专门的账务管理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对财政惠民“一卡通”系统进行专人专账，即安排专人记好相关账务，随时方便政府、社会各界查询、统计相关数据。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B09F9"/>
    <w:multiLevelType w:val="singleLevel"/>
    <w:tmpl w:val="962B09F9"/>
    <w:lvl w:ilvl="0" w:tentative="0">
      <w:start w:val="1"/>
      <w:numFmt w:val="decimalEnclosedCircleChinese"/>
      <w:suff w:val="nothing"/>
      <w:lvlText w:val="%1"/>
      <w:lvlJc w:val="left"/>
      <w:pPr>
        <w:ind w:left="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TA0ZTVlNzg5MWU0YmZkY2M4YmQwZmVmNDI5NWEifQ=="/>
  </w:docVars>
  <w:rsids>
    <w:rsidRoot w:val="00000000"/>
    <w:rsid w:val="05F66CD3"/>
    <w:rsid w:val="0AD96897"/>
    <w:rsid w:val="0B084F9C"/>
    <w:rsid w:val="170171D4"/>
    <w:rsid w:val="1AD81854"/>
    <w:rsid w:val="1B3466EB"/>
    <w:rsid w:val="1E6F5BB8"/>
    <w:rsid w:val="24461CF2"/>
    <w:rsid w:val="361349A7"/>
    <w:rsid w:val="3BCC1C8A"/>
    <w:rsid w:val="431F4BF2"/>
    <w:rsid w:val="493A6613"/>
    <w:rsid w:val="4B206C58"/>
    <w:rsid w:val="4F5330C3"/>
    <w:rsid w:val="549105A4"/>
    <w:rsid w:val="65B63A62"/>
    <w:rsid w:val="664D145E"/>
    <w:rsid w:val="66567E56"/>
    <w:rsid w:val="67290160"/>
    <w:rsid w:val="72067D02"/>
    <w:rsid w:val="74335E05"/>
    <w:rsid w:val="7A0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adjustRightInd w:val="0"/>
      <w:snapToGrid w:val="0"/>
      <w:spacing w:beforeLines="0" w:beforeAutospacing="0" w:afterLines="0" w:afterAutospacing="0" w:line="572" w:lineRule="exact"/>
      <w:ind w:firstLine="0" w:firstLineChars="0"/>
      <w:jc w:val="center"/>
      <w:outlineLvl w:val="0"/>
    </w:pPr>
    <w:rPr>
      <w:rFonts w:ascii="黑体" w:hAnsi="黑体" w:eastAsia="黑体" w:cs="黑体"/>
      <w:b/>
      <w:kern w:val="44"/>
      <w:sz w:val="32"/>
      <w:szCs w:val="32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2" w:lineRule="exact"/>
      <w:ind w:firstLine="0" w:firstLineChars="0"/>
      <w:jc w:val="left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3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character" w:customStyle="1" w:styleId="9">
    <w:name w:val="标题 2 Char"/>
    <w:link w:val="3"/>
    <w:uiPriority w:val="0"/>
    <w:rPr>
      <w:rFonts w:ascii="宋体" w:hAnsi="宋体" w:eastAsia="宋体" w:cs="宋体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HP</dc:creator>
  <cp:lastModifiedBy>娟</cp:lastModifiedBy>
  <dcterms:modified xsi:type="dcterms:W3CDTF">2023-12-29T02:37:17Z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49FE386CA3E44D86B95A969D268BD0DC_12</vt:lpwstr>
  </property>
</Properties>
</file>