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ascii="Times New Roman" w:hAnsi="Times New Roman"/>
          <w:b/>
          <w:sz w:val="32"/>
          <w:szCs w:val="32"/>
        </w:rPr>
      </w:pPr>
    </w:p>
    <w:p>
      <w:pPr>
        <w:spacing w:line="720" w:lineRule="auto"/>
        <w:jc w:val="center"/>
        <w:rPr>
          <w:rFonts w:ascii="Times New Roman" w:hAnsi="Times New Roman"/>
          <w:b/>
          <w:sz w:val="180"/>
          <w:szCs w:val="220"/>
        </w:rPr>
      </w:pPr>
      <w:r>
        <w:rPr>
          <w:rFonts w:hint="eastAsia" w:ascii="Times New Roman" w:hAnsi="宋体"/>
          <w:b/>
          <w:sz w:val="32"/>
          <w:szCs w:val="32"/>
        </w:rPr>
        <w:t xml:space="preserve">招标编号：SCIT-ZG-SX2022090005/02包 </w:t>
      </w:r>
    </w:p>
    <w:p>
      <w:pPr>
        <w:jc w:val="center"/>
        <w:rPr>
          <w:rFonts w:asciiTheme="minorEastAsia" w:hAnsiTheme="minorEastAsia" w:eastAsiaTheme="minorEastAsia"/>
          <w:b/>
          <w:sz w:val="40"/>
          <w:szCs w:val="36"/>
        </w:rPr>
      </w:pPr>
    </w:p>
    <w:p>
      <w:pPr>
        <w:jc w:val="center"/>
        <w:rPr>
          <w:rFonts w:ascii="Times New Roman" w:hAnsi="宋体"/>
          <w:b/>
          <w:sz w:val="52"/>
          <w:szCs w:val="52"/>
        </w:rPr>
      </w:pPr>
      <w:r>
        <w:rPr>
          <w:rFonts w:hint="eastAsia" w:hAnsi="宋体" w:cs="宋体"/>
          <w:b/>
          <w:sz w:val="52"/>
          <w:szCs w:val="52"/>
        </w:rPr>
        <w:t>西安市临潼区国有资产管理所国有资产清查核实项目/02包</w:t>
      </w:r>
    </w:p>
    <w:p>
      <w:pPr>
        <w:jc w:val="center"/>
        <w:rPr>
          <w:rFonts w:ascii="Times New Roman" w:hAnsi="宋体"/>
          <w:b/>
          <w:sz w:val="52"/>
          <w:szCs w:val="52"/>
        </w:rPr>
      </w:pPr>
    </w:p>
    <w:p>
      <w:pPr>
        <w:jc w:val="center"/>
        <w:rPr>
          <w:rFonts w:ascii="Times New Roman" w:hAnsi="Times New Roman"/>
          <w:b/>
          <w:sz w:val="52"/>
          <w:szCs w:val="52"/>
        </w:rPr>
      </w:pPr>
      <w:r>
        <w:rPr>
          <w:rFonts w:hint="eastAsia" w:ascii="Times New Roman" w:hAnsi="宋体"/>
          <w:b/>
          <w:sz w:val="52"/>
          <w:szCs w:val="52"/>
        </w:rPr>
        <w:t>招</w:t>
      </w:r>
    </w:p>
    <w:p>
      <w:pPr>
        <w:jc w:val="center"/>
        <w:rPr>
          <w:rFonts w:ascii="Times New Roman" w:hAnsi="Times New Roman"/>
          <w:b/>
          <w:sz w:val="52"/>
          <w:szCs w:val="52"/>
        </w:rPr>
      </w:pPr>
      <w:r>
        <w:rPr>
          <w:rFonts w:hint="eastAsia" w:ascii="Times New Roman" w:hAnsi="Times New Roman"/>
          <w:b/>
          <w:sz w:val="52"/>
          <w:szCs w:val="52"/>
        </w:rPr>
        <w:t>标</w:t>
      </w:r>
    </w:p>
    <w:p>
      <w:pPr>
        <w:jc w:val="center"/>
        <w:rPr>
          <w:rFonts w:ascii="Times New Roman" w:hAnsi="Times New Roman"/>
          <w:b/>
          <w:sz w:val="52"/>
          <w:szCs w:val="52"/>
        </w:rPr>
      </w:pPr>
      <w:r>
        <w:rPr>
          <w:rFonts w:hint="eastAsia" w:ascii="Times New Roman" w:hAnsi="Times New Roman"/>
          <w:b/>
          <w:sz w:val="52"/>
          <w:szCs w:val="52"/>
        </w:rPr>
        <w:t>文</w:t>
      </w:r>
    </w:p>
    <w:p>
      <w:pPr>
        <w:jc w:val="center"/>
        <w:rPr>
          <w:rFonts w:ascii="Times New Roman" w:hAnsi="Times New Roman"/>
          <w:b/>
          <w:sz w:val="72"/>
          <w:szCs w:val="72"/>
        </w:rPr>
      </w:pPr>
      <w:r>
        <w:rPr>
          <w:rFonts w:hint="eastAsia" w:ascii="Times New Roman" w:hAnsi="Times New Roman"/>
          <w:b/>
          <w:sz w:val="52"/>
          <w:szCs w:val="52"/>
        </w:rPr>
        <w:t>件</w:t>
      </w:r>
    </w:p>
    <w:p>
      <w:pPr>
        <w:spacing w:line="360" w:lineRule="auto"/>
        <w:rPr>
          <w:rFonts w:ascii="Times New Roman" w:hAnsi="Times New Roman"/>
          <w:b/>
          <w:sz w:val="32"/>
          <w:szCs w:val="32"/>
        </w:rPr>
      </w:pPr>
    </w:p>
    <w:p>
      <w:pPr>
        <w:spacing w:line="360" w:lineRule="auto"/>
        <w:rPr>
          <w:rFonts w:ascii="Times New Roman" w:hAnsi="Times New Roman"/>
          <w:b/>
          <w:sz w:val="32"/>
          <w:szCs w:val="32"/>
        </w:rPr>
      </w:pPr>
    </w:p>
    <w:p>
      <w:pPr>
        <w:pStyle w:val="2"/>
        <w:rPr>
          <w:rFonts w:ascii="Times New Roman" w:hAnsi="Times New Roman"/>
          <w:b/>
          <w:sz w:val="32"/>
          <w:szCs w:val="32"/>
        </w:rPr>
      </w:pPr>
    </w:p>
    <w:p>
      <w:pPr>
        <w:pStyle w:val="2"/>
        <w:rPr>
          <w:rFonts w:ascii="Times New Roman" w:hAnsi="Times New Roman"/>
          <w:b/>
          <w:sz w:val="32"/>
          <w:szCs w:val="32"/>
        </w:rPr>
      </w:pPr>
    </w:p>
    <w:p>
      <w:pPr>
        <w:spacing w:line="360" w:lineRule="auto"/>
        <w:jc w:val="center"/>
        <w:rPr>
          <w:rFonts w:ascii="Times New Roman" w:hAnsi="Times New Roman"/>
          <w:b/>
          <w:sz w:val="32"/>
          <w:szCs w:val="32"/>
        </w:rPr>
      </w:pPr>
      <w:bookmarkStart w:id="0" w:name="_Toc3944"/>
      <w:r>
        <w:rPr>
          <w:rFonts w:hint="eastAsia" w:ascii="Times New Roman" w:hAnsi="Times New Roman"/>
          <w:b/>
          <w:sz w:val="32"/>
          <w:szCs w:val="32"/>
        </w:rPr>
        <w:t>中国</w:t>
      </w:r>
      <w:r>
        <w:rPr>
          <w:rFonts w:ascii="Times New Roman" w:hAnsi="Times New Roman"/>
          <w:b/>
          <w:sz w:val="32"/>
          <w:szCs w:val="32"/>
        </w:rPr>
        <w:t>·</w:t>
      </w:r>
      <w:r>
        <w:rPr>
          <w:rFonts w:hint="eastAsia" w:ascii="Times New Roman" w:hAnsi="Times New Roman"/>
          <w:b/>
          <w:sz w:val="32"/>
          <w:szCs w:val="32"/>
        </w:rPr>
        <w:t>陕西</w:t>
      </w:r>
    </w:p>
    <w:p>
      <w:pPr>
        <w:spacing w:line="360" w:lineRule="auto"/>
        <w:jc w:val="center"/>
        <w:rPr>
          <w:rFonts w:ascii="Times New Roman" w:hAnsi="Times New Roman"/>
          <w:b/>
          <w:sz w:val="32"/>
          <w:szCs w:val="32"/>
        </w:rPr>
      </w:pPr>
      <w:r>
        <w:rPr>
          <w:rFonts w:hint="eastAsia" w:ascii="Times New Roman" w:hAnsi="Times New Roman"/>
          <w:b/>
          <w:sz w:val="32"/>
          <w:szCs w:val="32"/>
        </w:rPr>
        <w:t>四川国际招标有限责任公司</w:t>
      </w:r>
    </w:p>
    <w:p>
      <w:pPr>
        <w:spacing w:line="360" w:lineRule="auto"/>
        <w:jc w:val="center"/>
        <w:rPr>
          <w:rFonts w:ascii="Times New Roman" w:hAnsi="Times New Roman"/>
          <w:b/>
          <w:sz w:val="32"/>
          <w:szCs w:val="32"/>
        </w:rPr>
      </w:pPr>
      <w:r>
        <w:rPr>
          <w:rFonts w:ascii="Times New Roman" w:hAnsi="Times New Roman"/>
          <w:b/>
          <w:sz w:val="32"/>
          <w:szCs w:val="32"/>
        </w:rPr>
        <w:t>202</w:t>
      </w:r>
      <w:r>
        <w:rPr>
          <w:rFonts w:hint="eastAsia" w:ascii="Times New Roman" w:hAnsi="Times New Roman"/>
          <w:b/>
          <w:sz w:val="32"/>
          <w:szCs w:val="32"/>
        </w:rPr>
        <w:t>2</w:t>
      </w:r>
      <w:r>
        <w:rPr>
          <w:rFonts w:hint="eastAsia" w:ascii="Times New Roman" w:hAnsi="Times New Roman"/>
          <w:b/>
          <w:sz w:val="32"/>
          <w:szCs w:val="32"/>
          <w:lang w:val="zh-CN"/>
        </w:rPr>
        <w:t>年</w:t>
      </w:r>
      <w:r>
        <w:rPr>
          <w:rFonts w:hint="eastAsia" w:ascii="Times New Roman" w:hAnsi="Times New Roman"/>
          <w:b/>
          <w:sz w:val="32"/>
          <w:szCs w:val="32"/>
        </w:rPr>
        <w:t>09</w:t>
      </w:r>
      <w:r>
        <w:rPr>
          <w:rFonts w:hint="eastAsia" w:ascii="Times New Roman" w:hAnsi="Times New Roman"/>
          <w:b/>
          <w:sz w:val="32"/>
          <w:szCs w:val="32"/>
          <w:lang w:val="zh-CN"/>
        </w:rPr>
        <w:t>月</w:t>
      </w:r>
    </w:p>
    <w:p>
      <w:pPr>
        <w:spacing w:line="720" w:lineRule="auto"/>
        <w:jc w:val="center"/>
        <w:rPr>
          <w:rFonts w:ascii="Times New Roman" w:hAnsi="Times New Roman"/>
          <w:sz w:val="40"/>
        </w:rPr>
      </w:pPr>
      <w:r>
        <w:rPr>
          <w:rFonts w:ascii="Times New Roman" w:hAnsi="Times New Roman"/>
          <w:sz w:val="40"/>
        </w:rPr>
        <w:br w:type="page"/>
      </w:r>
      <w:r>
        <w:rPr>
          <w:rFonts w:hint="eastAsia" w:ascii="Times New Roman" w:hAnsi="Times New Roman"/>
          <w:sz w:val="40"/>
        </w:rPr>
        <w:t>目</w:t>
      </w:r>
      <w:r>
        <w:rPr>
          <w:rFonts w:ascii="Times New Roman" w:hAnsi="Times New Roman"/>
          <w:sz w:val="40"/>
        </w:rPr>
        <w:t xml:space="preserve">   </w:t>
      </w:r>
      <w:r>
        <w:rPr>
          <w:rFonts w:hint="eastAsia" w:ascii="Times New Roman" w:hAnsi="Times New Roman"/>
          <w:sz w:val="40"/>
        </w:rPr>
        <w:t>录</w:t>
      </w:r>
    </w:p>
    <w:p>
      <w:pPr>
        <w:pStyle w:val="17"/>
        <w:tabs>
          <w:tab w:val="right" w:leader="dot" w:pos="8306"/>
        </w:tabs>
      </w:pPr>
      <w:r>
        <w:rPr>
          <w:rFonts w:ascii="Times New Roman" w:hAnsi="Times New Roman"/>
          <w:kern w:val="2"/>
          <w:szCs w:val="24"/>
        </w:rPr>
        <w:fldChar w:fldCharType="begin"/>
      </w:r>
      <w:r>
        <w:rPr>
          <w:rFonts w:ascii="Times New Roman" w:hAnsi="Times New Roman"/>
          <w:kern w:val="2"/>
          <w:szCs w:val="24"/>
        </w:rPr>
        <w:instrText xml:space="preserve">TOC \o "1-1" \h \u </w:instrText>
      </w:r>
      <w:r>
        <w:rPr>
          <w:rFonts w:ascii="Times New Roman" w:hAnsi="Times New Roman"/>
          <w:kern w:val="2"/>
          <w:szCs w:val="24"/>
        </w:rPr>
        <w:fldChar w:fldCharType="separate"/>
      </w:r>
      <w:r>
        <w:fldChar w:fldCharType="begin"/>
      </w:r>
      <w:r>
        <w:instrText xml:space="preserve"> HYPERLINK \l "_Toc19631" </w:instrText>
      </w:r>
      <w:r>
        <w:fldChar w:fldCharType="separate"/>
      </w:r>
      <w:r>
        <w:rPr>
          <w:rFonts w:hint="eastAsia" w:ascii="Times New Roman" w:hAnsi="Times New Roman"/>
        </w:rPr>
        <w:t>第一章</w:t>
      </w:r>
      <w:r>
        <w:rPr>
          <w:rFonts w:ascii="Times New Roman" w:hAnsi="Times New Roman"/>
        </w:rPr>
        <w:t xml:space="preserve">  </w:t>
      </w:r>
      <w:r>
        <w:rPr>
          <w:rFonts w:hint="eastAsia" w:ascii="Times New Roman" w:hAnsi="Times New Roman"/>
        </w:rPr>
        <w:t>投标邀请</w:t>
      </w:r>
      <w:r>
        <w:tab/>
      </w:r>
      <w:r>
        <w:fldChar w:fldCharType="begin"/>
      </w:r>
      <w:r>
        <w:instrText xml:space="preserve"> PAGEREF _Toc19631 \h </w:instrText>
      </w:r>
      <w:r>
        <w:fldChar w:fldCharType="separate"/>
      </w:r>
      <w:r>
        <w:t>3</w:t>
      </w:r>
      <w:r>
        <w:fldChar w:fldCharType="end"/>
      </w:r>
      <w:r>
        <w:fldChar w:fldCharType="end"/>
      </w:r>
    </w:p>
    <w:p>
      <w:pPr>
        <w:pStyle w:val="17"/>
        <w:tabs>
          <w:tab w:val="right" w:leader="dot" w:pos="8306"/>
        </w:tabs>
      </w:pPr>
      <w:r>
        <w:fldChar w:fldCharType="begin"/>
      </w:r>
      <w:r>
        <w:instrText xml:space="preserve"> HYPERLINK \l "_Toc3909" </w:instrText>
      </w:r>
      <w:r>
        <w:fldChar w:fldCharType="separate"/>
      </w:r>
      <w:r>
        <w:rPr>
          <w:rFonts w:hint="eastAsia" w:ascii="Times New Roman" w:hAnsi="Times New Roman"/>
          <w:kern w:val="44"/>
          <w:szCs w:val="20"/>
        </w:rPr>
        <w:t>第二章</w:t>
      </w:r>
      <w:r>
        <w:rPr>
          <w:rFonts w:ascii="Times New Roman" w:hAnsi="Times New Roman"/>
          <w:kern w:val="44"/>
          <w:szCs w:val="20"/>
        </w:rPr>
        <w:t xml:space="preserve">  </w:t>
      </w:r>
      <w:r>
        <w:rPr>
          <w:rFonts w:hint="eastAsia" w:ascii="Times New Roman" w:hAnsi="Times New Roman"/>
          <w:kern w:val="44"/>
          <w:szCs w:val="20"/>
        </w:rPr>
        <w:t>投标人须知</w:t>
      </w:r>
      <w:r>
        <w:tab/>
      </w:r>
      <w:r>
        <w:fldChar w:fldCharType="begin"/>
      </w:r>
      <w:r>
        <w:instrText xml:space="preserve"> PAGEREF _Toc3909 \h </w:instrText>
      </w:r>
      <w:r>
        <w:fldChar w:fldCharType="separate"/>
      </w:r>
      <w:r>
        <w:t>6</w:t>
      </w:r>
      <w:r>
        <w:fldChar w:fldCharType="end"/>
      </w:r>
      <w:r>
        <w:fldChar w:fldCharType="end"/>
      </w:r>
    </w:p>
    <w:p>
      <w:pPr>
        <w:pStyle w:val="17"/>
        <w:tabs>
          <w:tab w:val="right" w:leader="dot" w:pos="8306"/>
        </w:tabs>
      </w:pPr>
      <w:r>
        <w:fldChar w:fldCharType="begin"/>
      </w:r>
      <w:r>
        <w:instrText xml:space="preserve"> HYPERLINK \l "_Toc26796" </w:instrText>
      </w:r>
      <w:r>
        <w:fldChar w:fldCharType="separate"/>
      </w:r>
      <w:r>
        <w:rPr>
          <w:rFonts w:hint="eastAsia" w:ascii="Times New Roman" w:hAnsi="Times New Roman"/>
          <w:szCs w:val="32"/>
        </w:rPr>
        <w:t>第三章</w:t>
      </w:r>
      <w:r>
        <w:rPr>
          <w:rFonts w:ascii="Times New Roman" w:hAnsi="Times New Roman"/>
          <w:szCs w:val="32"/>
        </w:rPr>
        <w:t xml:space="preserve">  </w:t>
      </w:r>
      <w:r>
        <w:rPr>
          <w:rFonts w:hint="eastAsia" w:ascii="Times New Roman" w:hAnsi="Times New Roman"/>
          <w:szCs w:val="32"/>
        </w:rPr>
        <w:t>投标文件格式</w:t>
      </w:r>
      <w:r>
        <w:tab/>
      </w:r>
      <w:r>
        <w:fldChar w:fldCharType="begin"/>
      </w:r>
      <w:r>
        <w:instrText xml:space="preserve"> PAGEREF _Toc26796 \h </w:instrText>
      </w:r>
      <w:r>
        <w:fldChar w:fldCharType="separate"/>
      </w:r>
      <w:r>
        <w:t>20</w:t>
      </w:r>
      <w:r>
        <w:fldChar w:fldCharType="end"/>
      </w:r>
      <w:r>
        <w:fldChar w:fldCharType="end"/>
      </w:r>
    </w:p>
    <w:p>
      <w:pPr>
        <w:pStyle w:val="17"/>
        <w:tabs>
          <w:tab w:val="right" w:leader="dot" w:pos="8306"/>
        </w:tabs>
      </w:pPr>
      <w:r>
        <w:fldChar w:fldCharType="begin"/>
      </w:r>
      <w:r>
        <w:instrText xml:space="preserve"> HYPERLINK \l "_Toc17776" </w:instrText>
      </w:r>
      <w:r>
        <w:fldChar w:fldCharType="separate"/>
      </w:r>
      <w:r>
        <w:rPr>
          <w:rFonts w:hint="eastAsia" w:ascii="Times New Roman" w:hAnsi="Times New Roman"/>
          <w:szCs w:val="21"/>
        </w:rPr>
        <w:t>第四章 投标人和投标产品的资格、资质性及其他类似效力要求</w:t>
      </w:r>
      <w:r>
        <w:tab/>
      </w:r>
      <w:r>
        <w:fldChar w:fldCharType="begin"/>
      </w:r>
      <w:r>
        <w:instrText xml:space="preserve"> PAGEREF _Toc17776 \h </w:instrText>
      </w:r>
      <w:r>
        <w:fldChar w:fldCharType="separate"/>
      </w:r>
      <w:r>
        <w:t>37</w:t>
      </w:r>
      <w:r>
        <w:fldChar w:fldCharType="end"/>
      </w:r>
      <w:r>
        <w:fldChar w:fldCharType="end"/>
      </w:r>
    </w:p>
    <w:p>
      <w:pPr>
        <w:pStyle w:val="17"/>
        <w:tabs>
          <w:tab w:val="right" w:leader="dot" w:pos="8306"/>
        </w:tabs>
      </w:pPr>
      <w:r>
        <w:fldChar w:fldCharType="begin"/>
      </w:r>
      <w:r>
        <w:instrText xml:space="preserve"> HYPERLINK \l "_Toc20206" </w:instrText>
      </w:r>
      <w:r>
        <w:fldChar w:fldCharType="separate"/>
      </w:r>
      <w:r>
        <w:rPr>
          <w:rFonts w:hint="eastAsia" w:ascii="Times New Roman" w:hAnsi="Times New Roman"/>
          <w:szCs w:val="21"/>
        </w:rPr>
        <w:t>第五章</w:t>
      </w:r>
      <w:r>
        <w:rPr>
          <w:rFonts w:ascii="Times New Roman" w:hAnsi="Times New Roman"/>
          <w:szCs w:val="21"/>
        </w:rPr>
        <w:t xml:space="preserve">  </w:t>
      </w:r>
      <w:r>
        <w:rPr>
          <w:rFonts w:hint="eastAsia" w:ascii="Times New Roman" w:hAnsi="Times New Roman"/>
          <w:szCs w:val="21"/>
        </w:rPr>
        <w:t>招标项目要求</w:t>
      </w:r>
      <w:r>
        <w:tab/>
      </w:r>
      <w:r>
        <w:fldChar w:fldCharType="begin"/>
      </w:r>
      <w:r>
        <w:instrText xml:space="preserve"> PAGEREF _Toc20206 \h </w:instrText>
      </w:r>
      <w:r>
        <w:fldChar w:fldCharType="separate"/>
      </w:r>
      <w:r>
        <w:t>42</w:t>
      </w:r>
      <w:r>
        <w:fldChar w:fldCharType="end"/>
      </w:r>
      <w:r>
        <w:fldChar w:fldCharType="end"/>
      </w:r>
    </w:p>
    <w:p>
      <w:pPr>
        <w:pStyle w:val="17"/>
        <w:tabs>
          <w:tab w:val="right" w:leader="dot" w:pos="8306"/>
        </w:tabs>
      </w:pPr>
      <w:r>
        <w:fldChar w:fldCharType="begin"/>
      </w:r>
      <w:r>
        <w:instrText xml:space="preserve"> HYPERLINK \l "_Toc772" </w:instrText>
      </w:r>
      <w:r>
        <w:fldChar w:fldCharType="separate"/>
      </w:r>
      <w:r>
        <w:rPr>
          <w:rFonts w:hint="eastAsia"/>
        </w:rPr>
        <w:t>第六章</w:t>
      </w:r>
      <w:r>
        <w:t xml:space="preserve">  </w:t>
      </w:r>
      <w:r>
        <w:rPr>
          <w:rFonts w:hint="eastAsia"/>
        </w:rPr>
        <w:t>评标办法</w:t>
      </w:r>
      <w:r>
        <w:tab/>
      </w:r>
      <w:r>
        <w:fldChar w:fldCharType="begin"/>
      </w:r>
      <w:r>
        <w:instrText xml:space="preserve"> PAGEREF _Toc772 \h </w:instrText>
      </w:r>
      <w:r>
        <w:fldChar w:fldCharType="separate"/>
      </w:r>
      <w:r>
        <w:t>43</w:t>
      </w:r>
      <w:r>
        <w:fldChar w:fldCharType="end"/>
      </w:r>
      <w:r>
        <w:fldChar w:fldCharType="end"/>
      </w:r>
    </w:p>
    <w:p>
      <w:pPr>
        <w:pStyle w:val="17"/>
        <w:tabs>
          <w:tab w:val="right" w:leader="dot" w:pos="8306"/>
        </w:tabs>
      </w:pPr>
      <w:r>
        <w:fldChar w:fldCharType="begin"/>
      </w:r>
      <w:r>
        <w:instrText xml:space="preserve"> HYPERLINK \l "_Toc9542" </w:instrText>
      </w:r>
      <w:r>
        <w:fldChar w:fldCharType="separate"/>
      </w:r>
      <w:r>
        <w:rPr>
          <w:rFonts w:hint="eastAsia" w:ascii="Times New Roman" w:hAnsi="Times New Roman"/>
          <w:szCs w:val="21"/>
        </w:rPr>
        <w:t>第七章</w:t>
      </w:r>
      <w:r>
        <w:rPr>
          <w:rFonts w:ascii="Times New Roman" w:hAnsi="Times New Roman"/>
          <w:szCs w:val="21"/>
        </w:rPr>
        <w:t xml:space="preserve">  </w:t>
      </w:r>
      <w:r>
        <w:rPr>
          <w:rFonts w:hint="eastAsia" w:ascii="Times New Roman" w:hAnsi="Times New Roman"/>
          <w:szCs w:val="21"/>
        </w:rPr>
        <w:t>合同条款（仅供参考）</w:t>
      </w:r>
      <w:r>
        <w:tab/>
      </w:r>
      <w:r>
        <w:fldChar w:fldCharType="begin"/>
      </w:r>
      <w:r>
        <w:instrText xml:space="preserve"> PAGEREF _Toc9542 \h </w:instrText>
      </w:r>
      <w:r>
        <w:fldChar w:fldCharType="separate"/>
      </w:r>
      <w:r>
        <w:t>50</w:t>
      </w:r>
      <w:r>
        <w:fldChar w:fldCharType="end"/>
      </w:r>
      <w:r>
        <w:fldChar w:fldCharType="end"/>
      </w:r>
    </w:p>
    <w:p>
      <w:pPr>
        <w:pStyle w:val="3"/>
        <w:spacing w:line="480" w:lineRule="auto"/>
        <w:jc w:val="center"/>
        <w:rPr>
          <w:rFonts w:ascii="Times New Roman" w:hAnsi="Times New Roman"/>
          <w:kern w:val="2"/>
          <w:szCs w:val="24"/>
        </w:rPr>
      </w:pPr>
      <w:r>
        <w:rPr>
          <w:rFonts w:ascii="Times New Roman" w:hAnsi="Times New Roman"/>
          <w:kern w:val="2"/>
          <w:szCs w:val="24"/>
        </w:rPr>
        <w:fldChar w:fldCharType="end"/>
      </w:r>
    </w:p>
    <w:p>
      <w:pPr>
        <w:pStyle w:val="3"/>
        <w:jc w:val="center"/>
        <w:rPr>
          <w:rFonts w:ascii="Times New Roman" w:hAnsi="Times New Roman"/>
          <w:kern w:val="2"/>
          <w:szCs w:val="24"/>
        </w:rPr>
      </w:pPr>
    </w:p>
    <w:p>
      <w:pPr>
        <w:pStyle w:val="3"/>
        <w:jc w:val="center"/>
        <w:rPr>
          <w:rFonts w:ascii="Times New Roman" w:hAnsi="Times New Roman"/>
          <w:kern w:val="2"/>
          <w:szCs w:val="24"/>
        </w:rPr>
      </w:pPr>
    </w:p>
    <w:bookmarkEnd w:id="0"/>
    <w:p>
      <w:pPr>
        <w:spacing w:line="360" w:lineRule="auto"/>
        <w:ind w:right="51" w:rightChars="15"/>
        <w:rPr>
          <w:rFonts w:ascii="Times New Roman" w:hAnsi="Times New Roman"/>
          <w:sz w:val="24"/>
          <w:szCs w:val="24"/>
        </w:rPr>
      </w:pPr>
    </w:p>
    <w:p>
      <w:pPr>
        <w:pStyle w:val="3"/>
        <w:jc w:val="center"/>
        <w:rPr>
          <w:rFonts w:ascii="Times New Roman" w:hAnsi="Times New Roman"/>
        </w:rPr>
      </w:pPr>
      <w:bookmarkStart w:id="1" w:name="_Toc5602"/>
      <w:bookmarkStart w:id="2" w:name="_Toc2889"/>
      <w:bookmarkStart w:id="3" w:name="_Toc22329"/>
      <w:r>
        <w:rPr>
          <w:rFonts w:ascii="Times New Roman" w:hAnsi="Times New Roman"/>
        </w:rPr>
        <w:br w:type="page"/>
      </w:r>
      <w:bookmarkStart w:id="4" w:name="_Toc19631"/>
      <w:bookmarkStart w:id="5" w:name="_Toc11063"/>
      <w:bookmarkStart w:id="6" w:name="_Toc31835"/>
      <w:r>
        <w:rPr>
          <w:rFonts w:hint="eastAsia" w:ascii="Times New Roman" w:hAnsi="Times New Roman"/>
        </w:rPr>
        <w:t>第一章</w:t>
      </w:r>
      <w:r>
        <w:rPr>
          <w:rFonts w:ascii="Times New Roman" w:hAnsi="Times New Roman"/>
        </w:rPr>
        <w:t xml:space="preserve">  </w:t>
      </w:r>
      <w:r>
        <w:rPr>
          <w:rFonts w:hint="eastAsia" w:ascii="Times New Roman" w:hAnsi="Times New Roman"/>
        </w:rPr>
        <w:t>投标邀请</w:t>
      </w:r>
      <w:bookmarkEnd w:id="1"/>
      <w:bookmarkEnd w:id="2"/>
      <w:bookmarkEnd w:id="3"/>
      <w:bookmarkEnd w:id="4"/>
      <w:bookmarkEnd w:id="5"/>
      <w:bookmarkEnd w:id="6"/>
    </w:p>
    <w:p>
      <w:pPr>
        <w:pStyle w:val="7"/>
        <w:spacing w:before="150" w:after="150" w:line="420" w:lineRule="atLeast"/>
        <w:rPr>
          <w:rFonts w:hint="default" w:asciiTheme="minorEastAsia" w:hAnsiTheme="minorEastAsia" w:eastAsiaTheme="minorEastAsia" w:cstheme="minorEastAsia"/>
        </w:rPr>
      </w:pPr>
      <w:bookmarkStart w:id="7" w:name="_Toc15854"/>
      <w:bookmarkStart w:id="8" w:name="_Toc213397009"/>
      <w:bookmarkStart w:id="9" w:name="_Toc13578"/>
      <w:bookmarkStart w:id="10" w:name="_Toc23046"/>
      <w:bookmarkStart w:id="11" w:name="_Toc213396759"/>
      <w:bookmarkStart w:id="12" w:name="_Toc213396945"/>
      <w:bookmarkStart w:id="13" w:name="_Toc217446031"/>
      <w:bookmarkStart w:id="14" w:name="_Toc213496267"/>
      <w:bookmarkStart w:id="15" w:name="_Toc16540"/>
      <w:bookmarkStart w:id="16" w:name="_Toc24237"/>
      <w:bookmarkStart w:id="17" w:name="_Toc20173"/>
      <w:r>
        <w:rPr>
          <w:rStyle w:val="25"/>
          <w:rFonts w:asciiTheme="minorEastAsia" w:hAnsiTheme="minorEastAsia" w:eastAsiaTheme="minorEastAsia" w:cstheme="minorEastAsia"/>
          <w:b/>
          <w:color w:val="333333"/>
        </w:rPr>
        <w:t xml:space="preserve">项目概况 </w:t>
      </w:r>
    </w:p>
    <w:p>
      <w:pPr>
        <w:pStyle w:val="19"/>
        <w:spacing w:before="150" w:beforeAutospacing="0" w:after="150" w:afterAutospacing="0" w:line="42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国有资产清查核实项目招标项目的潜在投标人应在西安市高新区唐延路35号旺座现代城G座2301室获取招标文件，并于 2022年10月14日 10时00分 （北京时间）前递交投标文件。 </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一、项目基本情况</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项目编号：SCIT-ZG-SX2022090005/02包</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项目名称：国有资产清查核实项目</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采购方式：公开招标</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预算金额：2,750,000.00元</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采购需求：</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合同包2(律师事务所服务):</w:t>
      </w:r>
    </w:p>
    <w:p>
      <w:pPr>
        <w:pStyle w:val="19"/>
        <w:spacing w:beforeAutospacing="0" w:afterAutospacing="0" w:line="360" w:lineRule="atLeast"/>
        <w:ind w:firstLine="63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合同包预算金额：770,000.00元</w:t>
      </w:r>
    </w:p>
    <w:p>
      <w:pPr>
        <w:pStyle w:val="19"/>
        <w:spacing w:beforeAutospacing="0" w:afterAutospacing="0" w:line="360" w:lineRule="atLeast"/>
        <w:ind w:firstLine="63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合同包最高限价：770,000.00元 </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07"/>
        <w:gridCol w:w="1446"/>
        <w:gridCol w:w="1446"/>
        <w:gridCol w:w="864"/>
        <w:gridCol w:w="1198"/>
        <w:gridCol w:w="1380"/>
        <w:gridCol w:w="13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rPr>
        <w:tc>
          <w:tcPr>
            <w:tcW w:w="12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品目号</w:t>
            </w:r>
          </w:p>
        </w:tc>
        <w:tc>
          <w:tcPr>
            <w:tcW w:w="45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品目名称</w:t>
            </w:r>
          </w:p>
        </w:tc>
        <w:tc>
          <w:tcPr>
            <w:tcW w:w="45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采购标的</w:t>
            </w:r>
          </w:p>
        </w:tc>
        <w:tc>
          <w:tcPr>
            <w:tcW w:w="15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数量（单位）</w:t>
            </w:r>
          </w:p>
        </w:tc>
        <w:tc>
          <w:tcPr>
            <w:tcW w:w="30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技术规格、参数及要求</w:t>
            </w:r>
          </w:p>
        </w:tc>
        <w:tc>
          <w:tcPr>
            <w:tcW w:w="18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品目预算(元)</w:t>
            </w:r>
          </w:p>
        </w:tc>
        <w:tc>
          <w:tcPr>
            <w:tcW w:w="1800" w:type="dxa"/>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2-1</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公共服务</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聘请律师事务所</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1(个)</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详见采购文件</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 xml:space="preserve">770,000.00 </w:t>
            </w:r>
          </w:p>
        </w:tc>
        <w:tc>
          <w:tcPr>
            <w:tcW w:w="0" w:type="auto"/>
            <w:shd w:val="clear" w:color="auto" w:fill="auto"/>
            <w:tcMar>
              <w:top w:w="0" w:type="dxa"/>
              <w:left w:w="0" w:type="dxa"/>
              <w:bottom w:w="0" w:type="dxa"/>
              <w:right w:w="0" w:type="dxa"/>
            </w:tcMar>
            <w:vAlign w:val="center"/>
          </w:tcPr>
          <w:p>
            <w:pPr>
              <w:spacing w:line="360" w:lineRule="atLeast"/>
              <w:jc w:val="left"/>
              <w:textAlignment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 xml:space="preserve">770,000.00 </w:t>
            </w:r>
          </w:p>
        </w:tc>
      </w:tr>
    </w:tbl>
    <w:p>
      <w:pPr>
        <w:pStyle w:val="19"/>
        <w:spacing w:beforeAutospacing="0" w:afterAutospacing="0" w:line="360" w:lineRule="atLeast"/>
        <w:ind w:firstLine="63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本合同包不接受联合体投标 </w:t>
      </w:r>
    </w:p>
    <w:p>
      <w:pPr>
        <w:pStyle w:val="19"/>
        <w:spacing w:beforeAutospacing="0" w:afterAutospacing="0" w:line="360" w:lineRule="atLeast"/>
        <w:ind w:firstLine="63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合同履行期限：详见招标文件 </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二、申请人的资格要求：</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1.满足《中华人民共和国政府采购法》第二十二条规定;</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2.落实政府采购政策需满足的资格要求： </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合同包2(律师事务所服务)落实政府采购政策需满足的资格要求如下:</w:t>
      </w:r>
    </w:p>
    <w:p>
      <w:pPr>
        <w:pStyle w:val="19"/>
        <w:spacing w:beforeAutospacing="0" w:afterAutospacing="0" w:line="360" w:lineRule="atLeast"/>
        <w:ind w:left="48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本项目专门面向中小企业采购，监狱企业、残疾人福利性单位视同小型、微型企业</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3.本项目的特定资格要求：</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合同包2(律师事务所服务)特定资格要求如下:</w:t>
      </w:r>
    </w:p>
    <w:p>
      <w:pPr>
        <w:pStyle w:val="19"/>
        <w:spacing w:beforeAutospacing="0" w:afterAutospacing="0" w:line="360" w:lineRule="atLeast"/>
        <w:ind w:left="480"/>
        <w:rPr>
          <w:rFonts w:asciiTheme="minorEastAsia" w:hAnsiTheme="minorEastAsia" w:eastAsiaTheme="minorEastAsia" w:cstheme="minorEastAsia"/>
          <w:color w:val="333333"/>
          <w:szCs w:val="24"/>
        </w:rPr>
      </w:pPr>
      <w:r>
        <w:rPr>
          <w:rFonts w:hint="eastAsia" w:asciiTheme="minorEastAsia" w:hAnsiTheme="minorEastAsia" w:eastAsiaTheme="minorEastAsia" w:cstheme="minorEastAsia"/>
          <w:color w:val="333333"/>
          <w:szCs w:val="24"/>
        </w:rPr>
        <w:t>（1）供应商为中国境内合法注册的律师事务所（不含在港澳台注册的律师事务所），具有律师事务所执业许可证并经年检合格；</w:t>
      </w:r>
    </w:p>
    <w:p>
      <w:pPr>
        <w:pStyle w:val="19"/>
        <w:spacing w:beforeAutospacing="0" w:afterAutospacing="0" w:line="360" w:lineRule="atLeast"/>
        <w:ind w:left="480"/>
        <w:rPr>
          <w:rFonts w:asciiTheme="minorEastAsia" w:hAnsiTheme="minorEastAsia" w:eastAsiaTheme="minorEastAsia" w:cstheme="minorEastAsia"/>
          <w:color w:val="333333"/>
          <w:szCs w:val="24"/>
        </w:rPr>
      </w:pPr>
      <w:r>
        <w:rPr>
          <w:rFonts w:hint="eastAsia" w:asciiTheme="minorEastAsia" w:hAnsiTheme="minorEastAsia" w:eastAsiaTheme="minorEastAsia" w:cstheme="minorEastAsia"/>
          <w:color w:val="333333"/>
          <w:szCs w:val="24"/>
        </w:rPr>
        <w:t>（2）法定代表人授权书及被授权人身份证（法定代表人直接参与投标只须提交其身份证）；</w:t>
      </w:r>
    </w:p>
    <w:p>
      <w:pPr>
        <w:pStyle w:val="19"/>
        <w:spacing w:beforeAutospacing="0" w:afterAutospacing="0" w:line="360" w:lineRule="atLeast"/>
        <w:ind w:left="480"/>
        <w:rPr>
          <w:rFonts w:asciiTheme="minorEastAsia" w:hAnsiTheme="minorEastAsia" w:eastAsiaTheme="minorEastAsia" w:cstheme="minorEastAsia"/>
          <w:color w:val="333333"/>
          <w:szCs w:val="24"/>
        </w:rPr>
      </w:pPr>
      <w:r>
        <w:rPr>
          <w:rFonts w:hint="eastAsia" w:asciiTheme="minorEastAsia" w:hAnsiTheme="minorEastAsia" w:eastAsiaTheme="minorEastAsia" w:cstheme="minorEastAsia"/>
          <w:color w:val="333333"/>
          <w:szCs w:val="24"/>
        </w:rPr>
        <w:t>（3）供应商未被列入失信被执行人、重大税收违法案件当事人名单、政府采购严重违法失信行为记录；</w:t>
      </w:r>
    </w:p>
    <w:p>
      <w:pPr>
        <w:pStyle w:val="19"/>
        <w:spacing w:beforeAutospacing="0" w:afterAutospacing="0" w:line="360" w:lineRule="atLeast"/>
        <w:ind w:left="480"/>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（4）本项目不接受联合体。</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三、获取招标文件</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时间： 2022年09月22日 至 2022年09月29日 ，每天上午 09:00:00 至 11:30:00 ，下午 13:00:00 至 16:30:00 （北京时间,法定节假日除外）</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地点：西安市高新区唐延路35号旺座现代城G座2301室</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方式：现场获取</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售价： 免费获取 </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四、提交投标文件截止时间、开标时间和地点</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时间： 2022年10月14日 10时00分00秒 （北京时间）</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 xml:space="preserve">提交投标文件地点：西安市高新区唐延路35号旺座现代城G座2301室 </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开标地点：西安市高新区唐延路35号旺座现代城G座2301室</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五、公告期限</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自本公告发布之日起5个工作日。</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六、其他补充事宜</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1.发售时间：2022年09月22日至2022年09月29日上午9:00-11:30，下午13:00-16:30 （北京时间，法定节假日除外）。</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2.发售地点：西安市高新区唐延路35号旺座现代城G座2301室。</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3.发售联系人：刘女士，电话：029-88854272转8001。</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4.文件售价：免费获取，招标文件谢绝邮寄，售后不退，投标资格不能转让。</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5.供应商获取招标文件时请携带单位介绍信、本人身份证复印件加盖公章，请自带U盘拷取招标文件电子文档。</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6.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否则由此造成的后果，供应商自行承担。</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7.落实政府采购政策</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（1）《政府采购促进中小企业发展管理办法》（财库〔2020〕46号）；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（2）《财政部司法部关于政府采购支持监狱企业发展有关问题通知》（财库〔2014〕68号）；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（3）《国务院办公厅关于建立政府强制采购节能产品制度的通知》（国办发〔2007〕51号）；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（4）《环境标志产品政府采购实施的意见》（财库〔2006〕90号）；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（5）《关于促进残疾人就业政府采购政策的通知》（财库〔2017〕141号）；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（6）《陕西省中小企业政府采购信用融资办法》（陕财办采〔2018〕23号）；</w:t>
      </w:r>
    </w:p>
    <w:p>
      <w:pPr>
        <w:pStyle w:val="19"/>
        <w:spacing w:beforeAutospacing="0" w:afterAutospacing="0" w:line="360" w:lineRule="atLeas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shd w:val="clear" w:color="auto" w:fill="FFFFFF"/>
        </w:rPr>
        <w:t>（7）其他需要落实的政府采购政策。</w:t>
      </w:r>
    </w:p>
    <w:p>
      <w:pPr>
        <w:pStyle w:val="6"/>
        <w:keepNext w:val="0"/>
        <w:keepLines w:val="0"/>
        <w:spacing w:line="360" w:lineRule="atLeast"/>
        <w:rPr>
          <w:rFonts w:hint="default" w:asciiTheme="minorEastAsia" w:hAnsiTheme="minorEastAsia" w:eastAsiaTheme="minorEastAsia" w:cstheme="minorEastAsia"/>
          <w:sz w:val="24"/>
          <w:szCs w:val="24"/>
        </w:rPr>
      </w:pPr>
      <w:r>
        <w:rPr>
          <w:rStyle w:val="25"/>
          <w:rFonts w:asciiTheme="minorEastAsia" w:hAnsiTheme="minorEastAsia" w:eastAsiaTheme="minorEastAsia" w:cstheme="minorEastAsia"/>
          <w:b/>
          <w:color w:val="333333"/>
          <w:sz w:val="24"/>
          <w:szCs w:val="24"/>
        </w:rPr>
        <w:t>七、对本次招标提出询问，请按以下方式联系。</w:t>
      </w:r>
    </w:p>
    <w:p>
      <w:pPr>
        <w:pStyle w:val="7"/>
        <w:spacing w:line="360" w:lineRule="atLeast"/>
        <w:rPr>
          <w:rFonts w:hint="default" w:asciiTheme="minorEastAsia" w:hAnsiTheme="minorEastAsia" w:eastAsiaTheme="minorEastAsia" w:cstheme="minorEastAsia"/>
        </w:rPr>
      </w:pPr>
      <w:r>
        <w:rPr>
          <w:rFonts w:asciiTheme="minorEastAsia" w:hAnsiTheme="minorEastAsia" w:eastAsiaTheme="minorEastAsia" w:cstheme="minorEastAsia"/>
          <w:color w:val="333333"/>
        </w:rPr>
        <w:t>1.采购人信息</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名称：西安市临潼区国有资产管理所</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地址：西安市临潼区东大街60号</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联系方式：吕老师 029-83812253</w:t>
      </w:r>
    </w:p>
    <w:p>
      <w:pPr>
        <w:pStyle w:val="7"/>
        <w:spacing w:line="360" w:lineRule="atLeast"/>
        <w:rPr>
          <w:rFonts w:hint="default" w:asciiTheme="minorEastAsia" w:hAnsiTheme="minorEastAsia" w:eastAsiaTheme="minorEastAsia" w:cstheme="minorEastAsia"/>
        </w:rPr>
      </w:pPr>
      <w:r>
        <w:rPr>
          <w:rFonts w:asciiTheme="minorEastAsia" w:hAnsiTheme="minorEastAsia" w:eastAsiaTheme="minorEastAsia" w:cstheme="minorEastAsia"/>
          <w:color w:val="333333"/>
        </w:rPr>
        <w:t>2.采购代理机构信息</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名称：四川国际招标有限责任公司</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地址：西安市高新区唐延路35号旺座现代城G座2301室</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联系方式：029-88854271-8009</w:t>
      </w:r>
    </w:p>
    <w:p>
      <w:pPr>
        <w:pStyle w:val="7"/>
        <w:spacing w:line="360" w:lineRule="atLeast"/>
        <w:rPr>
          <w:rFonts w:hint="default" w:asciiTheme="minorEastAsia" w:hAnsiTheme="minorEastAsia" w:eastAsiaTheme="minorEastAsia" w:cstheme="minorEastAsia"/>
        </w:rPr>
      </w:pPr>
      <w:r>
        <w:rPr>
          <w:rFonts w:asciiTheme="minorEastAsia" w:hAnsiTheme="minorEastAsia" w:eastAsiaTheme="minorEastAsia" w:cstheme="minorEastAsia"/>
          <w:color w:val="333333"/>
        </w:rPr>
        <w:t xml:space="preserve">3.项目联系方式 </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项目联系人：连娟、张祎多</w:t>
      </w:r>
    </w:p>
    <w:p>
      <w:pPr>
        <w:pStyle w:val="19"/>
        <w:spacing w:beforeAutospacing="0" w:afterAutospacing="0" w:line="36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电话：029-88854271-8009</w:t>
      </w:r>
    </w:p>
    <w:p>
      <w:pPr>
        <w:pStyle w:val="19"/>
        <w:spacing w:beforeAutospacing="0" w:afterAutospacing="0" w:line="360" w:lineRule="atLeast"/>
        <w:jc w:val="right"/>
        <w:rPr>
          <w:rFonts w:asciiTheme="minorEastAsia" w:hAnsiTheme="minorEastAsia" w:eastAsiaTheme="minorEastAsia" w:cstheme="minorEastAsia"/>
          <w:szCs w:val="24"/>
        </w:rPr>
      </w:pPr>
      <w:r>
        <w:rPr>
          <w:rFonts w:hint="eastAsia" w:asciiTheme="minorEastAsia" w:hAnsiTheme="minorEastAsia" w:eastAsiaTheme="minorEastAsia" w:cstheme="minorEastAsia"/>
          <w:color w:val="333333"/>
          <w:szCs w:val="24"/>
        </w:rPr>
        <w:t>四川国际招标有限责任公司</w:t>
      </w:r>
    </w:p>
    <w:p>
      <w:pPr>
        <w:pStyle w:val="19"/>
        <w:spacing w:beforeAutospacing="0" w:afterAutospacing="0" w:line="360" w:lineRule="atLeast"/>
        <w:jc w:val="right"/>
      </w:pPr>
      <w:r>
        <w:rPr>
          <w:rFonts w:hint="eastAsia" w:asciiTheme="minorEastAsia" w:hAnsiTheme="minorEastAsia" w:eastAsiaTheme="minorEastAsia" w:cstheme="minorEastAsia"/>
          <w:color w:val="333333"/>
          <w:szCs w:val="24"/>
        </w:rPr>
        <w:t>2022年09月22日</w:t>
      </w:r>
    </w:p>
    <w:p>
      <w:pPr>
        <w:pStyle w:val="45"/>
        <w:spacing w:line="360" w:lineRule="exact"/>
        <w:ind w:firstLine="0" w:firstLineChars="0"/>
        <w:jc w:val="center"/>
        <w:outlineLvl w:val="0"/>
        <w:rPr>
          <w:rFonts w:ascii="Times New Roman" w:hAnsi="Times New Roman"/>
          <w:sz w:val="24"/>
        </w:rPr>
      </w:pPr>
      <w:r>
        <w:rPr>
          <w:rFonts w:ascii="Times New Roman" w:hAnsi="Times New Roman"/>
        </w:rPr>
        <w:br w:type="page"/>
      </w:r>
      <w:bookmarkStart w:id="18" w:name="_Toc3909"/>
      <w:r>
        <w:rPr>
          <w:rFonts w:hint="eastAsia" w:ascii="Times New Roman" w:hAnsi="Times New Roman"/>
          <w:b/>
          <w:kern w:val="44"/>
          <w:sz w:val="36"/>
          <w:szCs w:val="20"/>
        </w:rPr>
        <w:t>第二章</w:t>
      </w:r>
      <w:r>
        <w:rPr>
          <w:rFonts w:ascii="Times New Roman" w:hAnsi="Times New Roman"/>
          <w:b/>
          <w:kern w:val="44"/>
          <w:sz w:val="36"/>
          <w:szCs w:val="20"/>
        </w:rPr>
        <w:t xml:space="preserve">  </w:t>
      </w:r>
      <w:r>
        <w:rPr>
          <w:rFonts w:hint="eastAsia" w:ascii="Times New Roman" w:hAnsi="Times New Roman"/>
          <w:b/>
          <w:kern w:val="44"/>
          <w:sz w:val="36"/>
          <w:szCs w:val="20"/>
        </w:rPr>
        <w:t>投标人须知</w:t>
      </w:r>
      <w:bookmarkEnd w:id="7"/>
      <w:bookmarkEnd w:id="8"/>
      <w:bookmarkEnd w:id="9"/>
      <w:bookmarkEnd w:id="10"/>
      <w:bookmarkEnd w:id="11"/>
      <w:bookmarkEnd w:id="12"/>
      <w:bookmarkEnd w:id="13"/>
      <w:bookmarkEnd w:id="14"/>
      <w:bookmarkEnd w:id="15"/>
      <w:bookmarkEnd w:id="16"/>
      <w:bookmarkEnd w:id="17"/>
      <w:bookmarkEnd w:id="18"/>
      <w:bookmarkStart w:id="19" w:name="_Toc5181"/>
      <w:bookmarkStart w:id="20" w:name="_Toc213397010"/>
      <w:bookmarkStart w:id="21" w:name="_Toc189727030"/>
      <w:bookmarkStart w:id="22" w:name="_Toc12315"/>
      <w:bookmarkStart w:id="23" w:name="_Toc217446032"/>
      <w:bookmarkStart w:id="24" w:name="_Toc213396946"/>
      <w:bookmarkStart w:id="25" w:name="_Toc8615"/>
      <w:bookmarkStart w:id="26" w:name="_Toc22279"/>
      <w:bookmarkStart w:id="27" w:name="_Toc213496268"/>
      <w:bookmarkStart w:id="28" w:name="_Toc20817"/>
      <w:bookmarkStart w:id="29" w:name="_Toc213396760"/>
      <w:bookmarkStart w:id="30" w:name="_Toc4373"/>
    </w:p>
    <w:p>
      <w:pPr>
        <w:keepNext/>
        <w:keepLines/>
        <w:rPr>
          <w:rFonts w:ascii="Times New Roman" w:hAnsi="Times New Roman"/>
          <w:sz w:val="24"/>
          <w:szCs w:val="24"/>
        </w:rPr>
      </w:pPr>
      <w:r>
        <w:rPr>
          <w:rFonts w:hint="eastAsia" w:ascii="Times New Roman" w:hAnsi="Times New Roman"/>
          <w:sz w:val="24"/>
          <w:szCs w:val="24"/>
        </w:rPr>
        <w:t>一、投标人须知前附表</w:t>
      </w:r>
      <w:bookmarkEnd w:id="19"/>
      <w:bookmarkEnd w:id="20"/>
      <w:bookmarkEnd w:id="21"/>
      <w:bookmarkEnd w:id="22"/>
      <w:bookmarkEnd w:id="23"/>
      <w:bookmarkEnd w:id="24"/>
      <w:bookmarkEnd w:id="25"/>
      <w:bookmarkEnd w:id="26"/>
      <w:bookmarkEnd w:id="27"/>
      <w:bookmarkEnd w:id="28"/>
      <w:bookmarkEnd w:id="29"/>
      <w:bookmarkEnd w:id="30"/>
    </w:p>
    <w:tbl>
      <w:tblPr>
        <w:tblStyle w:val="22"/>
        <w:tblW w:w="86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32"/>
        <w:gridCol w:w="2026"/>
        <w:gridCol w:w="612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532" w:type="dxa"/>
            <w:tcBorders>
              <w:top w:val="single" w:color="auto" w:sz="8" w:space="0"/>
            </w:tcBorders>
            <w:vAlign w:val="center"/>
          </w:tcPr>
          <w:p>
            <w:pPr>
              <w:pStyle w:val="46"/>
              <w:ind w:left="9"/>
              <w:jc w:val="center"/>
              <w:rPr>
                <w:rFonts w:ascii="Times New Roman" w:hAnsi="Times New Roman" w:cs="Times New Roman"/>
                <w:kern w:val="2"/>
                <w:sz w:val="21"/>
                <w:szCs w:val="21"/>
              </w:rPr>
            </w:pPr>
            <w:r>
              <w:rPr>
                <w:rFonts w:hint="eastAsia" w:ascii="Times New Roman" w:hAnsi="Times New Roman" w:cs="Times New Roman"/>
                <w:kern w:val="2"/>
                <w:sz w:val="21"/>
                <w:szCs w:val="21"/>
              </w:rPr>
              <w:t>序号</w:t>
            </w:r>
          </w:p>
        </w:tc>
        <w:tc>
          <w:tcPr>
            <w:tcW w:w="2026" w:type="dxa"/>
            <w:tcBorders>
              <w:top w:val="single" w:color="auto" w:sz="8" w:space="0"/>
            </w:tcBorders>
            <w:vAlign w:val="center"/>
          </w:tcPr>
          <w:p>
            <w:pPr>
              <w:pStyle w:val="46"/>
              <w:ind w:left="38"/>
              <w:jc w:val="center"/>
              <w:rPr>
                <w:rFonts w:ascii="Times New Roman" w:hAnsi="Times New Roman" w:cs="Times New Roman"/>
                <w:kern w:val="2"/>
                <w:sz w:val="21"/>
                <w:szCs w:val="21"/>
              </w:rPr>
            </w:pPr>
            <w:r>
              <w:rPr>
                <w:rFonts w:hint="eastAsia" w:ascii="Times New Roman" w:hAnsi="Times New Roman" w:cs="Times New Roman"/>
                <w:kern w:val="2"/>
                <w:sz w:val="21"/>
                <w:szCs w:val="21"/>
              </w:rPr>
              <w:t>应知事项</w:t>
            </w:r>
            <w:r>
              <w:rPr>
                <w:rFonts w:ascii="Times New Roman" w:hAnsi="Times New Roman" w:cs="Times New Roman"/>
                <w:kern w:val="2"/>
                <w:sz w:val="21"/>
                <w:szCs w:val="21"/>
              </w:rPr>
              <w:t xml:space="preserve"> </w:t>
            </w:r>
          </w:p>
        </w:tc>
        <w:tc>
          <w:tcPr>
            <w:tcW w:w="6128" w:type="dxa"/>
            <w:tcBorders>
              <w:top w:val="single" w:color="auto" w:sz="8" w:space="0"/>
            </w:tcBorders>
            <w:vAlign w:val="center"/>
          </w:tcPr>
          <w:p>
            <w:pPr>
              <w:pStyle w:val="46"/>
              <w:jc w:val="center"/>
              <w:rPr>
                <w:rFonts w:ascii="Times New Roman" w:hAnsi="Times New Roman" w:cs="Times New Roman"/>
                <w:kern w:val="2"/>
                <w:sz w:val="21"/>
                <w:szCs w:val="21"/>
              </w:rPr>
            </w:pPr>
            <w:r>
              <w:rPr>
                <w:rFonts w:hint="eastAsia" w:ascii="Times New Roman" w:hAnsi="Times New Roman" w:cs="Times New Roman"/>
                <w:kern w:val="2"/>
                <w:sz w:val="21"/>
                <w:szCs w:val="21"/>
              </w:rPr>
              <w:t>说明和要求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610" w:hRule="exact"/>
          <w:jc w:val="center"/>
        </w:trPr>
        <w:tc>
          <w:tcPr>
            <w:tcW w:w="532" w:type="dxa"/>
            <w:vAlign w:val="center"/>
          </w:tcPr>
          <w:p>
            <w:pPr>
              <w:pStyle w:val="46"/>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2026" w:type="dxa"/>
            <w:vAlign w:val="center"/>
          </w:tcPr>
          <w:p>
            <w:pPr>
              <w:pStyle w:val="46"/>
              <w:spacing w:line="276" w:lineRule="auto"/>
              <w:rPr>
                <w:rFonts w:ascii="Times New Roman" w:hAnsi="Times New Roman" w:cs="Times New Roman"/>
                <w:kern w:val="2"/>
                <w:sz w:val="21"/>
                <w:szCs w:val="21"/>
              </w:rPr>
            </w:pPr>
            <w:r>
              <w:rPr>
                <w:rFonts w:hint="eastAsia" w:ascii="Times New Roman" w:hAnsi="Times New Roman" w:cs="Times New Roman"/>
                <w:kern w:val="2"/>
                <w:sz w:val="21"/>
                <w:szCs w:val="21"/>
              </w:rPr>
              <w:t>采购预算（最高限价）</w:t>
            </w:r>
          </w:p>
        </w:tc>
        <w:tc>
          <w:tcPr>
            <w:tcW w:w="6128" w:type="dxa"/>
            <w:vAlign w:val="center"/>
          </w:tcPr>
          <w:p>
            <w:pPr>
              <w:pStyle w:val="46"/>
              <w:spacing w:line="276" w:lineRule="auto"/>
              <w:ind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本项目投标报价不得超过采购预算（最高限价）：</w:t>
            </w:r>
          </w:p>
          <w:p>
            <w:pPr>
              <w:pStyle w:val="46"/>
              <w:spacing w:line="276" w:lineRule="auto"/>
              <w:ind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采购预算：02包770000元</w:t>
            </w:r>
          </w:p>
          <w:p>
            <w:pPr>
              <w:pStyle w:val="46"/>
              <w:spacing w:line="276" w:lineRule="auto"/>
              <w:ind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投标报价超过采购预算（最高限价）的投标文件，将被视为无效投标文件。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40" w:hRule="exact"/>
          <w:jc w:val="center"/>
        </w:trPr>
        <w:tc>
          <w:tcPr>
            <w:tcW w:w="532" w:type="dxa"/>
            <w:vAlign w:val="center"/>
          </w:tcPr>
          <w:p>
            <w:pPr>
              <w:pStyle w:val="46"/>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2026" w:type="dxa"/>
            <w:vAlign w:val="center"/>
          </w:tcPr>
          <w:p>
            <w:pPr>
              <w:pStyle w:val="46"/>
              <w:spacing w:line="276" w:lineRule="auto"/>
              <w:ind w:left="38"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采购方式</w:t>
            </w:r>
          </w:p>
        </w:tc>
        <w:tc>
          <w:tcPr>
            <w:tcW w:w="6128" w:type="dxa"/>
            <w:vAlign w:val="center"/>
          </w:tcPr>
          <w:p>
            <w:pPr>
              <w:pStyle w:val="46"/>
              <w:spacing w:line="276" w:lineRule="auto"/>
              <w:ind w:firstLine="105" w:firstLineChars="50"/>
              <w:rPr>
                <w:rFonts w:ascii="Times New Roman" w:hAnsi="Times New Roman" w:cs="Times New Roman"/>
                <w:kern w:val="2"/>
                <w:sz w:val="21"/>
                <w:szCs w:val="21"/>
              </w:rPr>
            </w:pPr>
            <w:r>
              <w:rPr>
                <w:rFonts w:hint="eastAsia" w:ascii="Times New Roman" w:hAnsi="Times New Roman" w:cs="Times New Roman"/>
                <w:kern w:val="2"/>
                <w:sz w:val="21"/>
                <w:szCs w:val="21"/>
              </w:rPr>
              <w:t>公开招标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532" w:type="dxa"/>
            <w:vAlign w:val="center"/>
          </w:tcPr>
          <w:p>
            <w:pPr>
              <w:pStyle w:val="46"/>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2026" w:type="dxa"/>
            <w:vAlign w:val="center"/>
          </w:tcPr>
          <w:p>
            <w:pPr>
              <w:pStyle w:val="46"/>
              <w:spacing w:line="276" w:lineRule="auto"/>
              <w:ind w:left="96" w:firstLine="210" w:firstLineChars="100"/>
              <w:rPr>
                <w:rFonts w:ascii="Times New Roman" w:hAnsi="Times New Roman" w:cs="Times New Roman"/>
                <w:kern w:val="2"/>
                <w:sz w:val="21"/>
                <w:szCs w:val="21"/>
              </w:rPr>
            </w:pPr>
            <w:r>
              <w:rPr>
                <w:rFonts w:hint="eastAsia" w:ascii="Times New Roman" w:hAnsi="Times New Roman" w:cs="Times New Roman"/>
                <w:kern w:val="2"/>
                <w:sz w:val="21"/>
                <w:szCs w:val="21"/>
              </w:rPr>
              <w:t>评标方法</w:t>
            </w:r>
          </w:p>
        </w:tc>
        <w:tc>
          <w:tcPr>
            <w:tcW w:w="6128" w:type="dxa"/>
            <w:vAlign w:val="center"/>
          </w:tcPr>
          <w:p>
            <w:pPr>
              <w:pStyle w:val="46"/>
              <w:spacing w:line="276" w:lineRule="auto"/>
              <w:ind w:firstLine="105" w:firstLineChars="50"/>
              <w:rPr>
                <w:rFonts w:ascii="Times New Roman" w:hAnsi="Times New Roman" w:cs="Times New Roman"/>
                <w:kern w:val="2"/>
                <w:sz w:val="21"/>
                <w:szCs w:val="21"/>
              </w:rPr>
            </w:pPr>
            <w:r>
              <w:rPr>
                <w:rFonts w:hint="eastAsia" w:ascii="Times New Roman" w:hAnsi="Times New Roman" w:cs="Times New Roman"/>
                <w:kern w:val="2"/>
                <w:sz w:val="21"/>
                <w:szCs w:val="21"/>
              </w:rPr>
              <w:t>综合评分法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86" w:hRule="atLeast"/>
          <w:jc w:val="center"/>
        </w:trPr>
        <w:tc>
          <w:tcPr>
            <w:tcW w:w="532" w:type="dxa"/>
            <w:vAlign w:val="center"/>
          </w:tcPr>
          <w:p>
            <w:pPr>
              <w:pStyle w:val="46"/>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2026" w:type="dxa"/>
            <w:vAlign w:val="center"/>
          </w:tcPr>
          <w:p>
            <w:pPr>
              <w:pStyle w:val="46"/>
              <w:spacing w:line="276" w:lineRule="auto"/>
              <w:ind w:left="96"/>
              <w:rPr>
                <w:rFonts w:ascii="Times New Roman" w:hAnsi="Times New Roman" w:cs="Times New Roman"/>
                <w:kern w:val="2"/>
                <w:sz w:val="21"/>
                <w:szCs w:val="21"/>
              </w:rPr>
            </w:pPr>
            <w:r>
              <w:rPr>
                <w:rFonts w:hint="eastAsia" w:ascii="Times New Roman" w:hAnsi="Times New Roman" w:cs="Times New Roman"/>
                <w:kern w:val="2"/>
                <w:sz w:val="21"/>
                <w:szCs w:val="21"/>
              </w:rPr>
              <w:t>投标保证金</w:t>
            </w:r>
          </w:p>
        </w:tc>
        <w:tc>
          <w:tcPr>
            <w:tcW w:w="6128" w:type="dxa"/>
            <w:vAlign w:val="center"/>
          </w:tcPr>
          <w:p>
            <w:pPr>
              <w:pStyle w:val="46"/>
              <w:ind w:firstLine="210" w:firstLineChars="100"/>
              <w:rPr>
                <w:rFonts w:ascii="Times New Roman" w:hAnsi="Times New Roman" w:cs="Times New Roman"/>
                <w:b/>
                <w:sz w:val="21"/>
                <w:szCs w:val="21"/>
              </w:rPr>
            </w:pPr>
            <w:r>
              <w:rPr>
                <w:rFonts w:hint="eastAsia" w:ascii="Times New Roman" w:hAnsi="Times New Roman" w:cs="Times New Roman"/>
                <w:sz w:val="21"/>
                <w:szCs w:val="21"/>
              </w:rPr>
              <w:t>不适用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532" w:type="dxa"/>
            <w:vAlign w:val="center"/>
          </w:tcPr>
          <w:p>
            <w:pPr>
              <w:pStyle w:val="46"/>
              <w:ind w:firstLine="105" w:firstLineChars="50"/>
              <w:jc w:val="center"/>
              <w:rPr>
                <w:rFonts w:ascii="Times New Roman" w:hAnsi="Times New Roman" w:cs="Times New Roman"/>
                <w:kern w:val="2"/>
                <w:sz w:val="21"/>
                <w:szCs w:val="21"/>
              </w:rPr>
            </w:pPr>
            <w:bookmarkStart w:id="31" w:name="_Toc183582205"/>
            <w:bookmarkStart w:id="32" w:name="_Toc183682342"/>
            <w:bookmarkStart w:id="33" w:name="_Toc217446034"/>
            <w:r>
              <w:rPr>
                <w:rFonts w:hint="eastAsia" w:ascii="Times New Roman" w:hAnsi="Times New Roman" w:cs="Times New Roman"/>
                <w:sz w:val="21"/>
                <w:szCs w:val="21"/>
              </w:rPr>
              <w:t>5</w:t>
            </w:r>
          </w:p>
        </w:tc>
        <w:tc>
          <w:tcPr>
            <w:tcW w:w="2026" w:type="dxa"/>
            <w:vAlign w:val="center"/>
          </w:tcPr>
          <w:p>
            <w:pPr>
              <w:pStyle w:val="46"/>
              <w:spacing w:line="370" w:lineRule="exact"/>
              <w:rPr>
                <w:rFonts w:ascii="Times New Roman" w:hAnsi="Times New Roman" w:cs="Times New Roman"/>
                <w:sz w:val="21"/>
                <w:szCs w:val="21"/>
                <w:lang w:val="zh-CN"/>
              </w:rPr>
            </w:pPr>
            <w:r>
              <w:rPr>
                <w:rFonts w:hint="eastAsia"/>
                <w:sz w:val="21"/>
                <w:szCs w:val="21"/>
              </w:rPr>
              <w:t>节能、环保产品政府采购政策（本项目不适用）</w:t>
            </w:r>
          </w:p>
        </w:tc>
        <w:tc>
          <w:tcPr>
            <w:tcW w:w="6128" w:type="dxa"/>
            <w:vAlign w:val="center"/>
          </w:tcPr>
          <w:p>
            <w:pPr>
              <w:pStyle w:val="46"/>
              <w:spacing w:line="370" w:lineRule="exact"/>
              <w:ind w:firstLine="105" w:firstLineChars="50"/>
              <w:rPr>
                <w:sz w:val="21"/>
                <w:szCs w:val="21"/>
                <w:lang w:val="zh-CN"/>
              </w:rPr>
            </w:pPr>
            <w:r>
              <w:rPr>
                <w:rFonts w:hint="eastAsia"/>
                <w:sz w:val="21"/>
                <w:szCs w:val="21"/>
                <w:lang w:val="zh-CN"/>
              </w:rPr>
              <w:t>节能、环保产品政府采购政策：</w:t>
            </w:r>
          </w:p>
          <w:p>
            <w:pPr>
              <w:pStyle w:val="46"/>
              <w:spacing w:line="370" w:lineRule="exact"/>
              <w:ind w:firstLine="105" w:firstLineChars="50"/>
              <w:rPr>
                <w:sz w:val="21"/>
                <w:szCs w:val="21"/>
                <w:lang w:val="zh-CN"/>
              </w:rPr>
            </w:pPr>
            <w:r>
              <w:rPr>
                <w:rFonts w:hint="eastAsia"/>
                <w:sz w:val="21"/>
                <w:szCs w:val="21"/>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46"/>
              <w:spacing w:line="370" w:lineRule="exact"/>
              <w:ind w:firstLine="105" w:firstLineChars="50"/>
              <w:rPr>
                <w:sz w:val="21"/>
                <w:szCs w:val="21"/>
                <w:lang w:val="zh-CN"/>
              </w:rPr>
            </w:pPr>
            <w:r>
              <w:rPr>
                <w:rFonts w:hint="eastAsia"/>
                <w:sz w:val="21"/>
                <w:szCs w:val="21"/>
                <w:lang w:val="zh-CN"/>
              </w:rPr>
              <w:t>本项目采购的产品属于品目清单范围内优先采购的，按照第六章《综合评分明细表》的规则进行加分。</w:t>
            </w:r>
          </w:p>
          <w:p>
            <w:pPr>
              <w:pStyle w:val="46"/>
              <w:spacing w:line="370" w:lineRule="exact"/>
              <w:ind w:firstLine="105" w:firstLineChars="50"/>
              <w:rPr>
                <w:rFonts w:ascii="Times New Roman" w:hAnsi="Times New Roman" w:cs="Times New Roman"/>
                <w:sz w:val="21"/>
                <w:szCs w:val="21"/>
                <w:lang w:val="zh-CN"/>
              </w:rPr>
            </w:pPr>
            <w:r>
              <w:rPr>
                <w:rFonts w:hint="eastAsia"/>
                <w:sz w:val="21"/>
                <w:szCs w:val="21"/>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47" w:hRule="atLeast"/>
          <w:jc w:val="center"/>
        </w:trPr>
        <w:tc>
          <w:tcPr>
            <w:tcW w:w="532" w:type="dxa"/>
            <w:vAlign w:val="center"/>
          </w:tcPr>
          <w:p>
            <w:pPr>
              <w:pStyle w:val="46"/>
              <w:ind w:firstLine="105" w:firstLineChars="50"/>
              <w:rPr>
                <w:rFonts w:ascii="Times New Roman" w:hAnsi="Times New Roman" w:cs="Times New Roman"/>
                <w:sz w:val="21"/>
                <w:szCs w:val="21"/>
              </w:rPr>
            </w:pPr>
            <w:r>
              <w:rPr>
                <w:rFonts w:hint="eastAsia" w:ascii="Times New Roman" w:hAnsi="Times New Roman" w:cs="Times New Roman"/>
                <w:sz w:val="21"/>
                <w:szCs w:val="21"/>
              </w:rPr>
              <w:t>6</w:t>
            </w:r>
          </w:p>
        </w:tc>
        <w:tc>
          <w:tcPr>
            <w:tcW w:w="2026" w:type="dxa"/>
            <w:vAlign w:val="center"/>
          </w:tcPr>
          <w:p>
            <w:pPr>
              <w:pStyle w:val="46"/>
              <w:spacing w:line="370" w:lineRule="exact"/>
              <w:rPr>
                <w:rFonts w:ascii="Times New Roman" w:hAnsi="Times New Roman" w:cs="Times New Roman"/>
                <w:sz w:val="21"/>
                <w:szCs w:val="21"/>
                <w:lang w:val="zh-CN"/>
              </w:rPr>
            </w:pPr>
            <w:r>
              <w:rPr>
                <w:rFonts w:hint="eastAsia"/>
                <w:sz w:val="21"/>
                <w:szCs w:val="21"/>
              </w:rPr>
              <w:t>小微企业（监狱企业、残疾人福利性单位视同小微企业）价格扣除</w:t>
            </w:r>
          </w:p>
        </w:tc>
        <w:tc>
          <w:tcPr>
            <w:tcW w:w="6128" w:type="dxa"/>
            <w:vAlign w:val="center"/>
          </w:tcPr>
          <w:p>
            <w:pPr>
              <w:pStyle w:val="46"/>
              <w:spacing w:line="370" w:lineRule="exact"/>
              <w:rPr>
                <w:sz w:val="21"/>
                <w:szCs w:val="21"/>
              </w:rPr>
            </w:pPr>
            <w:r>
              <w:rPr>
                <w:rFonts w:hint="eastAsia"/>
                <w:sz w:val="21"/>
                <w:szCs w:val="21"/>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pPr>
              <w:pStyle w:val="46"/>
              <w:spacing w:line="370" w:lineRule="exact"/>
              <w:rPr>
                <w:sz w:val="21"/>
                <w:szCs w:val="21"/>
              </w:rPr>
            </w:pPr>
            <w:r>
              <w:rPr>
                <w:rFonts w:hint="eastAsia"/>
                <w:sz w:val="21"/>
                <w:szCs w:val="21"/>
              </w:rPr>
              <w:t>2、参加政府采购活动的中小企业（监狱企业）提供《中小企业（监狱企业）声明函》原件，未提供的，视为放弃享受小微企业价格扣除优惠政策。</w:t>
            </w:r>
          </w:p>
          <w:p>
            <w:pPr>
              <w:pStyle w:val="46"/>
              <w:spacing w:line="370" w:lineRule="exact"/>
              <w:rPr>
                <w:sz w:val="21"/>
                <w:szCs w:val="21"/>
              </w:rPr>
            </w:pPr>
            <w:r>
              <w:rPr>
                <w:rFonts w:hint="eastAsia"/>
                <w:sz w:val="21"/>
                <w:szCs w:val="21"/>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30%以上的，采购人、采购代理机构应当对联合体或者大中型企业的报价给予4%的扣除，用扣除后的价格参加评审（不适用）。</w:t>
            </w:r>
          </w:p>
          <w:p>
            <w:pPr>
              <w:pStyle w:val="46"/>
              <w:spacing w:line="370" w:lineRule="exact"/>
              <w:rPr>
                <w:sz w:val="21"/>
                <w:szCs w:val="21"/>
              </w:rPr>
            </w:pPr>
            <w:r>
              <w:rPr>
                <w:rFonts w:hint="eastAsia"/>
                <w:sz w:val="21"/>
                <w:szCs w:val="21"/>
              </w:rPr>
              <w:t>联合体各方均为小型、微型企业的，联合体视同为小型、微型企业享受规定的扶持政策。组成联合体的大中型企业和其他自然人、法人或者其他组织，与小型、微型企业之间不得存在投资关系。</w:t>
            </w:r>
          </w:p>
          <w:p>
            <w:pPr>
              <w:pStyle w:val="46"/>
              <w:spacing w:line="370" w:lineRule="exact"/>
              <w:rPr>
                <w:sz w:val="21"/>
                <w:szCs w:val="21"/>
              </w:rPr>
            </w:pPr>
            <w:r>
              <w:rPr>
                <w:rFonts w:hint="eastAsia"/>
                <w:sz w:val="21"/>
                <w:szCs w:val="21"/>
              </w:rPr>
              <w:t>4、参加政府采购活动的残疾人福利性单位应当提供《残疾人福利性单位声明函》原件，未提供的，视为放弃享受小微企业价格扣除优惠政策。</w:t>
            </w:r>
          </w:p>
          <w:p>
            <w:pPr>
              <w:pStyle w:val="46"/>
              <w:spacing w:line="370" w:lineRule="exact"/>
              <w:rPr>
                <w:sz w:val="21"/>
                <w:szCs w:val="21"/>
              </w:rPr>
            </w:pPr>
            <w:r>
              <w:rPr>
                <w:rFonts w:hint="eastAsia"/>
                <w:sz w:val="21"/>
                <w:szCs w:val="21"/>
              </w:rPr>
              <w:t>5. 符合中小企业划分标准的个体工商户，在政府采购活动中视同中小企业。</w:t>
            </w:r>
          </w:p>
          <w:p>
            <w:pPr>
              <w:pStyle w:val="46"/>
              <w:spacing w:line="370" w:lineRule="exact"/>
              <w:rPr>
                <w:sz w:val="21"/>
                <w:szCs w:val="21"/>
              </w:rPr>
            </w:pPr>
            <w:r>
              <w:rPr>
                <w:rFonts w:hint="eastAsia" w:asciiTheme="minorEastAsia" w:hAnsiTheme="minorEastAsia" w:eastAsiaTheme="minorEastAsia" w:cstheme="minorEastAsia"/>
                <w:b/>
                <w:bCs/>
                <w:kern w:val="2"/>
                <w:sz w:val="22"/>
                <w:szCs w:val="22"/>
                <w:lang w:val="zh-CN"/>
              </w:rPr>
              <w:t>注：因本项目专门面向中小企业，故本项目0</w:t>
            </w:r>
            <w:r>
              <w:rPr>
                <w:rFonts w:hint="eastAsia" w:asciiTheme="minorEastAsia" w:hAnsiTheme="minorEastAsia" w:eastAsiaTheme="minorEastAsia" w:cstheme="minorEastAsia"/>
                <w:b/>
                <w:bCs/>
                <w:kern w:val="2"/>
                <w:sz w:val="22"/>
                <w:szCs w:val="22"/>
              </w:rPr>
              <w:t>1</w:t>
            </w:r>
            <w:r>
              <w:rPr>
                <w:rFonts w:hint="eastAsia" w:asciiTheme="minorEastAsia" w:hAnsiTheme="minorEastAsia" w:eastAsiaTheme="minorEastAsia" w:cstheme="minorEastAsia"/>
                <w:b/>
                <w:bCs/>
                <w:kern w:val="2"/>
                <w:sz w:val="22"/>
                <w:szCs w:val="22"/>
                <w:lang w:val="zh-CN"/>
              </w:rPr>
              <w:t>包</w:t>
            </w:r>
            <w:r>
              <w:rPr>
                <w:rFonts w:hint="eastAsia" w:asciiTheme="minorEastAsia" w:hAnsiTheme="minorEastAsia" w:eastAsiaTheme="minorEastAsia" w:cstheme="minorEastAsia"/>
                <w:b/>
                <w:bCs/>
                <w:kern w:val="2"/>
                <w:sz w:val="22"/>
                <w:szCs w:val="22"/>
              </w:rPr>
              <w:t>、</w:t>
            </w:r>
            <w:r>
              <w:rPr>
                <w:rFonts w:hint="eastAsia" w:asciiTheme="minorEastAsia" w:hAnsiTheme="minorEastAsia" w:eastAsiaTheme="minorEastAsia" w:cstheme="minorEastAsia"/>
                <w:b/>
                <w:bCs/>
                <w:kern w:val="2"/>
                <w:sz w:val="22"/>
                <w:szCs w:val="22"/>
                <w:lang w:val="zh-CN"/>
              </w:rPr>
              <w:t>0</w:t>
            </w:r>
            <w:r>
              <w:rPr>
                <w:rFonts w:hint="eastAsia" w:asciiTheme="minorEastAsia" w:hAnsiTheme="minorEastAsia" w:eastAsiaTheme="minorEastAsia" w:cstheme="minorEastAsia"/>
                <w:b/>
                <w:bCs/>
                <w:kern w:val="2"/>
                <w:sz w:val="22"/>
                <w:szCs w:val="22"/>
              </w:rPr>
              <w:t>2</w:t>
            </w:r>
            <w:r>
              <w:rPr>
                <w:rFonts w:hint="eastAsia" w:asciiTheme="minorEastAsia" w:hAnsiTheme="minorEastAsia" w:eastAsiaTheme="minorEastAsia" w:cstheme="minorEastAsia"/>
                <w:b/>
                <w:bCs/>
                <w:kern w:val="2"/>
                <w:sz w:val="22"/>
                <w:szCs w:val="22"/>
                <w:lang w:val="zh-CN"/>
              </w:rPr>
              <w:t>包不再针对中小企业进行报价扣除。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32" w:type="dxa"/>
            <w:vAlign w:val="center"/>
          </w:tcPr>
          <w:p>
            <w:pPr>
              <w:pStyle w:val="46"/>
              <w:jc w:val="center"/>
              <w:rPr>
                <w:rFonts w:ascii="Times New Roman" w:hAnsi="Times New Roman" w:cs="Times New Roman"/>
                <w:kern w:val="2"/>
                <w:sz w:val="21"/>
                <w:szCs w:val="21"/>
              </w:rPr>
            </w:pPr>
            <w:r>
              <w:rPr>
                <w:rFonts w:hint="eastAsia" w:ascii="Times New Roman" w:hAnsi="Times New Roman" w:cs="Times New Roman"/>
                <w:kern w:val="2"/>
                <w:sz w:val="21"/>
                <w:szCs w:val="21"/>
              </w:rPr>
              <w:t>7</w:t>
            </w:r>
          </w:p>
        </w:tc>
        <w:tc>
          <w:tcPr>
            <w:tcW w:w="2026" w:type="dxa"/>
            <w:vAlign w:val="center"/>
          </w:tcPr>
          <w:p>
            <w:pPr>
              <w:pStyle w:val="46"/>
              <w:spacing w:line="276" w:lineRule="auto"/>
              <w:ind w:left="96"/>
              <w:rPr>
                <w:rFonts w:ascii="Times New Roman" w:hAnsi="Times New Roman" w:cs="Times New Roman"/>
                <w:kern w:val="2"/>
                <w:sz w:val="21"/>
                <w:szCs w:val="21"/>
              </w:rPr>
            </w:pPr>
            <w:r>
              <w:rPr>
                <w:rFonts w:hint="eastAsia" w:ascii="Times New Roman" w:cs="Times New Roman"/>
                <w:sz w:val="21"/>
                <w:szCs w:val="21"/>
                <w:lang w:val="zh-CN"/>
              </w:rPr>
              <w:t>招标服务费</w:t>
            </w:r>
          </w:p>
        </w:tc>
        <w:tc>
          <w:tcPr>
            <w:tcW w:w="6128" w:type="dxa"/>
            <w:vAlign w:val="center"/>
          </w:tcPr>
          <w:p>
            <w:pPr>
              <w:pStyle w:val="46"/>
              <w:ind w:firstLine="315" w:firstLineChars="150"/>
              <w:rPr>
                <w:sz w:val="21"/>
                <w:szCs w:val="21"/>
              </w:rPr>
            </w:pPr>
            <w:r>
              <w:rPr>
                <w:rFonts w:ascii="Times New Roman"/>
                <w:sz w:val="21"/>
                <w:szCs w:val="21"/>
              </w:rPr>
              <w:t>代理服务费以</w:t>
            </w:r>
            <w:r>
              <w:rPr>
                <w:rFonts w:hint="eastAsia" w:ascii="Times New Roman"/>
                <w:sz w:val="21"/>
                <w:szCs w:val="21"/>
              </w:rPr>
              <w:t>中标金额</w:t>
            </w:r>
            <w:r>
              <w:rPr>
                <w:rFonts w:ascii="Times New Roman"/>
                <w:sz w:val="21"/>
                <w:szCs w:val="21"/>
              </w:rPr>
              <w:t>作为计算基数,</w:t>
            </w:r>
            <w:r>
              <w:rPr>
                <w:rFonts w:hint="eastAsia" w:ascii="Times New Roman"/>
                <w:sz w:val="21"/>
                <w:szCs w:val="21"/>
              </w:rPr>
              <w:t>参照</w:t>
            </w:r>
            <w:r>
              <w:rPr>
                <w:rFonts w:hint="eastAsia"/>
                <w:sz w:val="21"/>
                <w:szCs w:val="21"/>
              </w:rPr>
              <w:t>国家计委计价格[2002]1980号及发改办价格[2003]857号通知规定计取，由中标供应商在领取中标通知书前向采购代理机构交纳。</w:t>
            </w:r>
          </w:p>
          <w:p>
            <w:pPr>
              <w:pStyle w:val="46"/>
              <w:ind w:firstLine="315" w:firstLineChars="150"/>
              <w:rPr>
                <w:sz w:val="21"/>
                <w:szCs w:val="21"/>
                <w:lang w:val="zh-CN"/>
              </w:rPr>
            </w:pPr>
            <w:r>
              <w:rPr>
                <w:rFonts w:hint="eastAsia"/>
                <w:sz w:val="21"/>
                <w:szCs w:val="21"/>
                <w:lang w:val="zh-CN"/>
              </w:rPr>
              <w:t>招标代理服务费支付方式：银行转账或现金方式</w:t>
            </w:r>
          </w:p>
          <w:p>
            <w:pPr>
              <w:pStyle w:val="46"/>
              <w:ind w:firstLine="315" w:firstLineChars="150"/>
              <w:rPr>
                <w:sz w:val="21"/>
                <w:szCs w:val="21"/>
              </w:rPr>
            </w:pPr>
            <w:r>
              <w:rPr>
                <w:rFonts w:hint="eastAsia"/>
                <w:sz w:val="21"/>
                <w:szCs w:val="21"/>
              </w:rPr>
              <w:t>收款单位：四川国际招标有限责任公司陕西分公司</w:t>
            </w:r>
          </w:p>
          <w:p>
            <w:pPr>
              <w:pStyle w:val="46"/>
              <w:ind w:firstLine="315" w:firstLineChars="150"/>
              <w:rPr>
                <w:sz w:val="21"/>
                <w:szCs w:val="21"/>
              </w:rPr>
            </w:pPr>
            <w:r>
              <w:rPr>
                <w:rFonts w:hint="eastAsia"/>
                <w:sz w:val="21"/>
                <w:szCs w:val="21"/>
              </w:rPr>
              <w:t>开户行：中国民生银行股份有限公司西安高新开发区支行</w:t>
            </w:r>
          </w:p>
          <w:p>
            <w:pPr>
              <w:pStyle w:val="46"/>
              <w:ind w:firstLine="315" w:firstLineChars="150"/>
              <w:rPr>
                <w:sz w:val="21"/>
                <w:szCs w:val="21"/>
              </w:rPr>
            </w:pPr>
            <w:r>
              <w:rPr>
                <w:rFonts w:hint="eastAsia"/>
                <w:sz w:val="21"/>
                <w:szCs w:val="21"/>
              </w:rPr>
              <w:t xml:space="preserve">银行账号：600582071 </w:t>
            </w:r>
          </w:p>
          <w:tbl>
            <w:tblPr>
              <w:tblStyle w:val="22"/>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78"/>
              <w:gridCol w:w="1477"/>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27" w:type="dxa"/>
                  <w:tcBorders>
                    <w:top w:val="single" w:color="auto" w:sz="4" w:space="0"/>
                    <w:left w:val="single" w:color="auto" w:sz="4" w:space="0"/>
                    <w:bottom w:val="single" w:color="auto" w:sz="4" w:space="0"/>
                    <w:right w:val="single" w:color="auto" w:sz="4" w:space="0"/>
                  </w:tcBorders>
                </w:tcPr>
                <w:p>
                  <w:pPr>
                    <w:rPr>
                      <w:rFonts w:ascii="Times New Roman" w:hAnsi="宋体" w:cs="宋体"/>
                      <w:sz w:val="21"/>
                      <w:szCs w:val="21"/>
                    </w:rPr>
                  </w:pPr>
                  <w:r>
                    <w:rPr>
                      <w:rFonts w:hint="eastAsia" w:ascii="Times New Roman" w:hAnsi="宋体" w:cs="宋体"/>
                      <w:sz w:val="21"/>
                      <w:szCs w:val="21"/>
                    </w:rPr>
                    <w:t>服务类型</w:t>
                  </w:r>
                  <w:r>
                    <w:rPr>
                      <w:rFonts w:ascii="Times New Roman" w:hAnsi="宋体" w:cs="宋体"/>
                      <w:sz w:val="21"/>
                      <w:szCs w:val="21"/>
                    </w:rPr>
                    <w:t>/</w:t>
                  </w:r>
                  <w:r>
                    <w:rPr>
                      <w:rFonts w:hint="eastAsia" w:ascii="Times New Roman" w:hAnsi="宋体" w:cs="宋体"/>
                      <w:sz w:val="21"/>
                      <w:szCs w:val="21"/>
                    </w:rPr>
                    <w:t>费率</w:t>
                  </w:r>
                  <w:r>
                    <w:rPr>
                      <w:rFonts w:ascii="Times New Roman" w:hAnsi="宋体" w:cs="宋体"/>
                      <w:sz w:val="21"/>
                      <w:szCs w:val="21"/>
                    </w:rPr>
                    <w:t>/</w:t>
                  </w:r>
                  <w:r>
                    <w:rPr>
                      <w:rFonts w:hint="eastAsia" w:ascii="Times New Roman" w:hAnsi="宋体" w:cs="宋体"/>
                      <w:sz w:val="21"/>
                      <w:szCs w:val="21"/>
                    </w:rPr>
                    <w:t>中标金额（万元）</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宋体"/>
                      <w:sz w:val="21"/>
                      <w:szCs w:val="21"/>
                    </w:rPr>
                  </w:pPr>
                  <w:r>
                    <w:rPr>
                      <w:rFonts w:hint="eastAsia" w:ascii="Times New Roman" w:hAnsi="宋体" w:cs="宋体"/>
                      <w:sz w:val="21"/>
                      <w:szCs w:val="21"/>
                    </w:rPr>
                    <w:t>货物招标</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宋体"/>
                      <w:sz w:val="21"/>
                      <w:szCs w:val="21"/>
                    </w:rPr>
                  </w:pPr>
                  <w:r>
                    <w:rPr>
                      <w:rFonts w:hint="eastAsia" w:ascii="Times New Roman" w:hAnsi="宋体" w:cs="宋体"/>
                      <w:sz w:val="21"/>
                      <w:szCs w:val="21"/>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宋体"/>
                      <w:sz w:val="21"/>
                      <w:szCs w:val="21"/>
                    </w:rPr>
                  </w:pPr>
                  <w:r>
                    <w:rPr>
                      <w:rFonts w:hint="eastAsia" w:ascii="Times New Roman" w:hAnsi="宋体" w:cs="宋体"/>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w:t>
                  </w:r>
                  <w:r>
                    <w:rPr>
                      <w:rFonts w:hint="eastAsia" w:ascii="Times New Roman" w:hAnsi="宋体"/>
                      <w:sz w:val="21"/>
                      <w:szCs w:val="11"/>
                    </w:rPr>
                    <w:t>以下</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100-500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1.1%</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0.8%</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500-1000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0.8%</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0.45%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1000-5000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0.25%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5000-10000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0.25%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0.1%</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10000-100000</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0.05%</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0.05%</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2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1000000</w:t>
                  </w:r>
                  <w:r>
                    <w:rPr>
                      <w:rFonts w:hint="eastAsia" w:ascii="Times New Roman" w:hAnsi="宋体"/>
                      <w:sz w:val="21"/>
                      <w:szCs w:val="11"/>
                    </w:rPr>
                    <w:t>以上</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0.01%</w:t>
                  </w:r>
                </w:p>
              </w:tc>
              <w:tc>
                <w:tcPr>
                  <w:tcW w:w="147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0.01%</w:t>
                  </w:r>
                </w:p>
              </w:tc>
              <w:tc>
                <w:tcPr>
                  <w:tcW w:w="147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1"/>
                      <w:szCs w:val="11"/>
                    </w:rPr>
                  </w:pPr>
                  <w:r>
                    <w:rPr>
                      <w:rFonts w:ascii="Times New Roman" w:hAnsi="Times New Roman"/>
                      <w:sz w:val="21"/>
                      <w:szCs w:val="11"/>
                    </w:rPr>
                    <w:t>0.01%</w:t>
                  </w:r>
                </w:p>
              </w:tc>
            </w:tr>
          </w:tbl>
          <w:p>
            <w:pPr>
              <w:pStyle w:val="46"/>
              <w:rPr>
                <w:rFonts w:ascii="Times New Roman" w:hAnsi="Times New Roman" w:cs="Times New Roman"/>
                <w:b/>
                <w:bCs/>
                <w:kern w:val="2"/>
                <w:sz w:val="21"/>
                <w:szCs w:val="21"/>
              </w:rPr>
            </w:pPr>
          </w:p>
          <w:p>
            <w:pPr>
              <w:pStyle w:val="46"/>
              <w:ind w:firstLine="105" w:firstLineChars="50"/>
              <w:rPr>
                <w:rFonts w:ascii="Times New Roman" w:hAnsi="Times New Roman" w:cs="Times New Roman"/>
                <w:sz w:val="21"/>
                <w:szCs w:val="21"/>
                <w:lang w:val="zh-CN"/>
              </w:rPr>
            </w:pPr>
            <w:r>
              <w:rPr>
                <w:rFonts w:hint="eastAsia" w:ascii="Times New Roman" w:cs="Times New Roman"/>
                <w:sz w:val="21"/>
                <w:szCs w:val="21"/>
                <w:lang w:val="zh-CN"/>
              </w:rPr>
              <w:t>注</w:t>
            </w:r>
            <w:r>
              <w:rPr>
                <w:rFonts w:ascii="Times New Roman" w:hAnsi="Times New Roman" w:cs="Times New Roman"/>
                <w:sz w:val="21"/>
                <w:szCs w:val="21"/>
                <w:lang w:val="zh-CN"/>
              </w:rPr>
              <w:t>:1</w:t>
            </w:r>
            <w:r>
              <w:rPr>
                <w:rFonts w:hint="eastAsia" w:ascii="Times New Roman" w:cs="Times New Roman"/>
                <w:sz w:val="21"/>
                <w:szCs w:val="21"/>
                <w:lang w:val="zh-CN"/>
              </w:rPr>
              <w:t>、按本表费率计算的收费为招标代理服务全过程的收费基准价格。</w:t>
            </w:r>
            <w:r>
              <w:rPr>
                <w:rFonts w:ascii="Times New Roman" w:hAnsi="Times New Roman" w:cs="Times New Roman"/>
                <w:sz w:val="21"/>
                <w:szCs w:val="21"/>
                <w:lang w:val="zh-CN"/>
              </w:rPr>
              <w:t xml:space="preserve">  2</w:t>
            </w:r>
            <w:r>
              <w:rPr>
                <w:rFonts w:hint="eastAsia" w:ascii="Times New Roman" w:cs="Times New Roman"/>
                <w:sz w:val="21"/>
                <w:szCs w:val="21"/>
                <w:lang w:val="zh-CN"/>
              </w:rPr>
              <w:t>、招标代理服务收费按差额定率累进法计算。例如：某工程招标代理业务中标金额为</w:t>
            </w:r>
            <w:r>
              <w:rPr>
                <w:rFonts w:ascii="Times New Roman" w:hAnsi="Times New Roman" w:cs="Times New Roman"/>
                <w:sz w:val="21"/>
                <w:szCs w:val="21"/>
                <w:lang w:val="zh-CN"/>
              </w:rPr>
              <w:t>6000</w:t>
            </w:r>
            <w:r>
              <w:rPr>
                <w:rFonts w:hint="eastAsia" w:ascii="Times New Roman" w:cs="Times New Roman"/>
                <w:sz w:val="21"/>
                <w:szCs w:val="21"/>
                <w:lang w:val="zh-CN"/>
              </w:rPr>
              <w:t>万元，计算招标代理服务收费额如下：</w:t>
            </w:r>
            <w:r>
              <w:rPr>
                <w:rFonts w:ascii="Times New Roman" w:hAnsi="Times New Roman" w:cs="Times New Roman"/>
                <w:sz w:val="21"/>
                <w:szCs w:val="21"/>
                <w:lang w:val="zh-CN"/>
              </w:rPr>
              <w:t xml:space="preserve">  100</w:t>
            </w:r>
            <w:r>
              <w:rPr>
                <w:rFonts w:hint="eastAsia" w:ascii="Times New Roman" w:cs="Times New Roman"/>
                <w:sz w:val="21"/>
                <w:szCs w:val="21"/>
                <w:lang w:val="zh-CN"/>
              </w:rPr>
              <w:t>万元</w:t>
            </w:r>
            <w:r>
              <w:rPr>
                <w:rFonts w:ascii="Times New Roman" w:hAnsi="Times New Roman" w:cs="Times New Roman"/>
                <w:sz w:val="21"/>
                <w:szCs w:val="21"/>
                <w:lang w:val="zh-CN"/>
              </w:rPr>
              <w:t>×1.0%=1</w:t>
            </w:r>
            <w:r>
              <w:rPr>
                <w:rFonts w:hint="eastAsia" w:ascii="Times New Roman" w:cs="Times New Roman"/>
                <w:sz w:val="21"/>
                <w:szCs w:val="21"/>
                <w:lang w:val="zh-CN"/>
              </w:rPr>
              <w:t>万元</w:t>
            </w:r>
            <w:r>
              <w:rPr>
                <w:rFonts w:ascii="Times New Roman" w:hAnsi="Times New Roman" w:cs="Times New Roman"/>
                <w:sz w:val="21"/>
                <w:szCs w:val="21"/>
                <w:lang w:val="zh-CN"/>
              </w:rPr>
              <w:t xml:space="preserve">  (500-100)</w:t>
            </w:r>
            <w:r>
              <w:rPr>
                <w:rFonts w:hint="eastAsia" w:ascii="Times New Roman" w:cs="Times New Roman"/>
                <w:sz w:val="21"/>
                <w:szCs w:val="21"/>
                <w:lang w:val="zh-CN"/>
              </w:rPr>
              <w:t>万元</w:t>
            </w:r>
            <w:r>
              <w:rPr>
                <w:rFonts w:ascii="Times New Roman" w:hAnsi="Times New Roman" w:cs="Times New Roman"/>
                <w:sz w:val="21"/>
                <w:szCs w:val="21"/>
                <w:lang w:val="zh-CN"/>
              </w:rPr>
              <w:t>×0.7%=2.8</w:t>
            </w:r>
            <w:r>
              <w:rPr>
                <w:rFonts w:hint="eastAsia" w:ascii="Times New Roman" w:cs="Times New Roman"/>
                <w:sz w:val="21"/>
                <w:szCs w:val="21"/>
                <w:lang w:val="zh-CN"/>
              </w:rPr>
              <w:t>万元</w:t>
            </w:r>
            <w:r>
              <w:rPr>
                <w:rFonts w:ascii="Times New Roman" w:hAnsi="Times New Roman" w:cs="Times New Roman"/>
                <w:sz w:val="21"/>
                <w:szCs w:val="21"/>
                <w:lang w:val="zh-CN"/>
              </w:rPr>
              <w:t xml:space="preserve"> (1000-500)</w:t>
            </w:r>
            <w:r>
              <w:rPr>
                <w:rFonts w:hint="eastAsia" w:ascii="Times New Roman" w:cs="Times New Roman"/>
                <w:sz w:val="21"/>
                <w:szCs w:val="21"/>
                <w:lang w:val="zh-CN"/>
              </w:rPr>
              <w:t>万元</w:t>
            </w:r>
            <w:r>
              <w:rPr>
                <w:rFonts w:ascii="Times New Roman" w:hAnsi="Times New Roman" w:cs="Times New Roman"/>
                <w:sz w:val="21"/>
                <w:szCs w:val="21"/>
                <w:lang w:val="zh-CN"/>
              </w:rPr>
              <w:t>×0.55%=2.75</w:t>
            </w:r>
            <w:r>
              <w:rPr>
                <w:rFonts w:hint="eastAsia" w:ascii="Times New Roman" w:cs="Times New Roman"/>
                <w:sz w:val="21"/>
                <w:szCs w:val="21"/>
                <w:lang w:val="zh-CN"/>
              </w:rPr>
              <w:t>万元</w:t>
            </w:r>
            <w:r>
              <w:rPr>
                <w:rFonts w:ascii="Times New Roman" w:hAnsi="Times New Roman" w:cs="Times New Roman"/>
                <w:sz w:val="21"/>
                <w:szCs w:val="21"/>
                <w:lang w:val="zh-CN"/>
              </w:rPr>
              <w:t xml:space="preserve"> (5000-1000)</w:t>
            </w:r>
            <w:r>
              <w:rPr>
                <w:rFonts w:hint="eastAsia" w:ascii="Times New Roman" w:cs="Times New Roman"/>
                <w:sz w:val="21"/>
                <w:szCs w:val="21"/>
                <w:lang w:val="zh-CN"/>
              </w:rPr>
              <w:t>万元</w:t>
            </w:r>
            <w:r>
              <w:rPr>
                <w:rFonts w:ascii="Times New Roman" w:hAnsi="Times New Roman" w:cs="Times New Roman"/>
                <w:sz w:val="21"/>
                <w:szCs w:val="21"/>
                <w:lang w:val="zh-CN"/>
              </w:rPr>
              <w:t>×0.35%=14</w:t>
            </w:r>
            <w:r>
              <w:rPr>
                <w:rFonts w:hint="eastAsia" w:ascii="Times New Roman" w:cs="Times New Roman"/>
                <w:sz w:val="21"/>
                <w:szCs w:val="21"/>
                <w:lang w:val="zh-CN"/>
              </w:rPr>
              <w:t>万元</w:t>
            </w:r>
            <w:r>
              <w:rPr>
                <w:rFonts w:ascii="Times New Roman" w:hAnsi="Times New Roman" w:cs="Times New Roman"/>
                <w:sz w:val="21"/>
                <w:szCs w:val="21"/>
                <w:lang w:val="zh-CN"/>
              </w:rPr>
              <w:t xml:space="preserve"> (6000-5000)</w:t>
            </w:r>
            <w:r>
              <w:rPr>
                <w:rFonts w:hint="eastAsia" w:ascii="Times New Roman" w:cs="Times New Roman"/>
                <w:sz w:val="21"/>
                <w:szCs w:val="21"/>
                <w:lang w:val="zh-CN"/>
              </w:rPr>
              <w:t>万元</w:t>
            </w:r>
            <w:r>
              <w:rPr>
                <w:rFonts w:ascii="Times New Roman" w:hAnsi="Times New Roman" w:cs="Times New Roman"/>
                <w:sz w:val="21"/>
                <w:szCs w:val="21"/>
                <w:lang w:val="zh-CN"/>
              </w:rPr>
              <w:t>×0.2%=2</w:t>
            </w:r>
            <w:r>
              <w:rPr>
                <w:rFonts w:hint="eastAsia" w:ascii="Times New Roman" w:cs="Times New Roman"/>
                <w:sz w:val="21"/>
                <w:szCs w:val="21"/>
                <w:lang w:val="zh-CN"/>
              </w:rPr>
              <w:t>万元</w:t>
            </w:r>
            <w:r>
              <w:rPr>
                <w:rFonts w:ascii="Times New Roman" w:hAnsi="Times New Roman" w:cs="Times New Roman"/>
                <w:sz w:val="21"/>
                <w:szCs w:val="21"/>
                <w:lang w:val="zh-CN"/>
              </w:rPr>
              <w:t xml:space="preserve">  </w:t>
            </w:r>
            <w:r>
              <w:rPr>
                <w:rFonts w:hint="eastAsia" w:ascii="Times New Roman" w:cs="Times New Roman"/>
                <w:sz w:val="21"/>
                <w:szCs w:val="21"/>
                <w:lang w:val="zh-CN"/>
              </w:rPr>
              <w:t>合计收费</w:t>
            </w:r>
            <w:r>
              <w:rPr>
                <w:rFonts w:ascii="Times New Roman" w:hAnsi="Times New Roman" w:cs="Times New Roman"/>
                <w:sz w:val="21"/>
                <w:szCs w:val="21"/>
                <w:lang w:val="zh-CN"/>
              </w:rPr>
              <w:t>=1</w:t>
            </w:r>
            <w:r>
              <w:rPr>
                <w:rFonts w:hint="eastAsia" w:ascii="Times New Roman" w:cs="Times New Roman"/>
                <w:sz w:val="21"/>
                <w:szCs w:val="21"/>
                <w:lang w:val="zh-CN"/>
              </w:rPr>
              <w:t>＋</w:t>
            </w:r>
            <w:r>
              <w:rPr>
                <w:rFonts w:ascii="Times New Roman" w:hAnsi="Times New Roman" w:cs="Times New Roman"/>
                <w:sz w:val="21"/>
                <w:szCs w:val="21"/>
                <w:lang w:val="zh-CN"/>
              </w:rPr>
              <w:t>2.8</w:t>
            </w:r>
            <w:r>
              <w:rPr>
                <w:rFonts w:hint="eastAsia" w:ascii="Times New Roman" w:cs="Times New Roman"/>
                <w:sz w:val="21"/>
                <w:szCs w:val="21"/>
                <w:lang w:val="zh-CN"/>
              </w:rPr>
              <w:t>＋</w:t>
            </w:r>
            <w:r>
              <w:rPr>
                <w:rFonts w:ascii="Times New Roman" w:hAnsi="Times New Roman" w:cs="Times New Roman"/>
                <w:sz w:val="21"/>
                <w:szCs w:val="21"/>
                <w:lang w:val="zh-CN"/>
              </w:rPr>
              <w:t>2.75</w:t>
            </w:r>
            <w:r>
              <w:rPr>
                <w:rFonts w:hint="eastAsia" w:ascii="Times New Roman" w:cs="Times New Roman"/>
                <w:sz w:val="21"/>
                <w:szCs w:val="21"/>
                <w:lang w:val="zh-CN"/>
              </w:rPr>
              <w:t>＋</w:t>
            </w:r>
            <w:r>
              <w:rPr>
                <w:rFonts w:ascii="Times New Roman" w:hAnsi="Times New Roman" w:cs="Times New Roman"/>
                <w:sz w:val="21"/>
                <w:szCs w:val="21"/>
                <w:lang w:val="zh-CN"/>
              </w:rPr>
              <w:t>14</w:t>
            </w:r>
            <w:r>
              <w:rPr>
                <w:rFonts w:hint="eastAsia" w:ascii="Times New Roman" w:cs="Times New Roman"/>
                <w:sz w:val="21"/>
                <w:szCs w:val="21"/>
                <w:lang w:val="zh-CN"/>
              </w:rPr>
              <w:t>＋</w:t>
            </w:r>
            <w:r>
              <w:rPr>
                <w:rFonts w:ascii="Times New Roman" w:hAnsi="Times New Roman" w:cs="Times New Roman"/>
                <w:sz w:val="21"/>
                <w:szCs w:val="21"/>
                <w:lang w:val="zh-CN"/>
              </w:rPr>
              <w:t>2=22.55(</w:t>
            </w:r>
            <w:r>
              <w:rPr>
                <w:rFonts w:hint="eastAsia" w:ascii="Times New Roman" w:cs="Times New Roman"/>
                <w:sz w:val="21"/>
                <w:szCs w:val="21"/>
                <w:lang w:val="zh-CN"/>
              </w:rPr>
              <w:t>万元</w:t>
            </w:r>
            <w:r>
              <w:rPr>
                <w:rFonts w:ascii="Times New Roman" w:hAnsi="Times New Roman" w:cs="Times New Roman"/>
                <w:sz w:val="21"/>
                <w:szCs w:val="21"/>
                <w:lang w:val="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32" w:type="dxa"/>
            <w:vAlign w:val="center"/>
          </w:tcPr>
          <w:p>
            <w:pPr>
              <w:pStyle w:val="46"/>
              <w:ind w:firstLine="105" w:firstLineChars="50"/>
              <w:rPr>
                <w:rFonts w:ascii="Times New Roman" w:cs="Times New Roman"/>
                <w:sz w:val="21"/>
                <w:szCs w:val="21"/>
              </w:rPr>
            </w:pPr>
            <w:bookmarkStart w:id="34" w:name="_Toc23324"/>
            <w:bookmarkStart w:id="35" w:name="_Toc22823"/>
            <w:bookmarkStart w:id="36" w:name="_Toc7492"/>
            <w:bookmarkStart w:id="37" w:name="_Toc1793"/>
            <w:r>
              <w:rPr>
                <w:rFonts w:hint="eastAsia" w:ascii="Times New Roman" w:cs="Times New Roman"/>
                <w:sz w:val="21"/>
                <w:szCs w:val="21"/>
              </w:rPr>
              <w:t>8</w:t>
            </w:r>
          </w:p>
        </w:tc>
        <w:tc>
          <w:tcPr>
            <w:tcW w:w="2026" w:type="dxa"/>
            <w:vAlign w:val="center"/>
          </w:tcPr>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政府采购信用担保及信用融资政策</w:t>
            </w:r>
          </w:p>
          <w:p>
            <w:pPr>
              <w:pStyle w:val="46"/>
              <w:ind w:firstLine="105" w:firstLineChars="50"/>
              <w:rPr>
                <w:rFonts w:ascii="Times New Roman" w:cs="Times New Roman"/>
                <w:sz w:val="21"/>
                <w:szCs w:val="21"/>
                <w:lang w:val="zh-CN"/>
              </w:rPr>
            </w:pPr>
          </w:p>
        </w:tc>
        <w:tc>
          <w:tcPr>
            <w:tcW w:w="6128" w:type="dxa"/>
            <w:vAlign w:val="center"/>
          </w:tcPr>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陕西省政府采购支持中小企业信用融资合作银行名单详见（陕西省政府采购网-采购动态-重要通知http://www.ccgp-shaanxi.gov.cn/）</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901" w:hRule="atLeast"/>
          <w:jc w:val="center"/>
        </w:trPr>
        <w:tc>
          <w:tcPr>
            <w:tcW w:w="532" w:type="dxa"/>
            <w:vAlign w:val="center"/>
          </w:tcPr>
          <w:p>
            <w:pPr>
              <w:pStyle w:val="46"/>
              <w:ind w:firstLine="105" w:firstLineChars="50"/>
              <w:rPr>
                <w:rFonts w:ascii="Times New Roman" w:cs="Times New Roman"/>
                <w:sz w:val="21"/>
                <w:szCs w:val="21"/>
              </w:rPr>
            </w:pPr>
            <w:r>
              <w:rPr>
                <w:rFonts w:hint="eastAsia" w:ascii="Times New Roman" w:cs="Times New Roman"/>
                <w:sz w:val="21"/>
                <w:szCs w:val="21"/>
              </w:rPr>
              <w:t>9</w:t>
            </w:r>
          </w:p>
        </w:tc>
        <w:tc>
          <w:tcPr>
            <w:tcW w:w="2026" w:type="dxa"/>
            <w:vAlign w:val="center"/>
          </w:tcPr>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弃标说明</w:t>
            </w:r>
          </w:p>
        </w:tc>
        <w:tc>
          <w:tcPr>
            <w:tcW w:w="6128" w:type="dxa"/>
            <w:vAlign w:val="center"/>
          </w:tcPr>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46"/>
              <w:ind w:firstLine="105" w:firstLineChars="50"/>
              <w:rPr>
                <w:rFonts w:ascii="Times New Roman" w:cs="Times New Roman"/>
                <w:sz w:val="21"/>
                <w:szCs w:val="21"/>
                <w:lang w:val="zh-CN"/>
              </w:rPr>
            </w:pPr>
            <w:r>
              <w:rPr>
                <w:rFonts w:hint="eastAsia" w:ascii="Times New Roman" w:cs="Times New Roman"/>
                <w:sz w:val="21"/>
                <w:szCs w:val="21"/>
                <w:lang w:val="zh-CN"/>
              </w:rPr>
              <w:t>注：领取本项目采购文件的供应商，如不参与投标，请在规定时间前将书面告知函回执至邮箱：</w:t>
            </w:r>
            <w:r>
              <w:rPr>
                <w:rFonts w:hint="eastAsia" w:ascii="Times New Roman" w:cs="Times New Roman"/>
                <w:sz w:val="21"/>
                <w:szCs w:val="21"/>
              </w:rPr>
              <w:t>496862782</w:t>
            </w:r>
            <w:r>
              <w:rPr>
                <w:rFonts w:hint="eastAsia" w:ascii="Times New Roman" w:cs="Times New Roman"/>
                <w:sz w:val="21"/>
                <w:szCs w:val="21"/>
                <w:lang w:val="zh-CN"/>
              </w:rPr>
              <w:t>@qq.com</w:t>
            </w:r>
          </w:p>
        </w:tc>
      </w:tr>
    </w:tbl>
    <w:p>
      <w:pPr>
        <w:jc w:val="left"/>
        <w:rPr>
          <w:rFonts w:ascii="Times New Roman" w:hAnsi="Times New Roman" w:eastAsia="仿宋"/>
          <w:b/>
          <w:sz w:val="28"/>
          <w:szCs w:val="28"/>
        </w:rPr>
      </w:pPr>
    </w:p>
    <w:p>
      <w:pPr>
        <w:spacing w:line="460" w:lineRule="exact"/>
        <w:ind w:right="170" w:rightChars="50"/>
        <w:rPr>
          <w:rFonts w:ascii="Times New Roman" w:hAnsi="Times New Roman"/>
          <w:sz w:val="22"/>
          <w:szCs w:val="21"/>
        </w:rPr>
      </w:pPr>
      <w:bookmarkStart w:id="38" w:name="_Toc24931"/>
      <w:bookmarkStart w:id="39" w:name="_Toc5874"/>
      <w:r>
        <w:rPr>
          <w:rFonts w:ascii="Times New Roman" w:hAnsi="Times New Roman"/>
          <w:sz w:val="36"/>
          <w:szCs w:val="36"/>
        </w:rPr>
        <w:br w:type="page"/>
      </w:r>
      <w:r>
        <w:rPr>
          <w:rFonts w:ascii="Times New Roman" w:hAnsi="Times New Roman"/>
          <w:sz w:val="36"/>
          <w:szCs w:val="36"/>
        </w:rPr>
        <w:t xml:space="preserve">                </w:t>
      </w:r>
      <w:r>
        <w:rPr>
          <w:rFonts w:hint="eastAsia" w:ascii="Times New Roman" w:hAnsi="Times New Roman"/>
          <w:sz w:val="32"/>
          <w:szCs w:val="32"/>
        </w:rPr>
        <w:t>二、总则</w:t>
      </w:r>
      <w:bookmarkEnd w:id="34"/>
      <w:bookmarkEnd w:id="35"/>
      <w:bookmarkEnd w:id="36"/>
      <w:bookmarkEnd w:id="37"/>
      <w:bookmarkEnd w:id="38"/>
      <w:bookmarkEnd w:id="39"/>
    </w:p>
    <w:p>
      <w:pPr>
        <w:pStyle w:val="5"/>
        <w:spacing w:line="276" w:lineRule="auto"/>
        <w:rPr>
          <w:rFonts w:hAnsi="Times New Roman"/>
          <w:sz w:val="22"/>
          <w:szCs w:val="21"/>
        </w:rPr>
      </w:pPr>
      <w:bookmarkStart w:id="40" w:name="_Toc21879"/>
      <w:r>
        <w:rPr>
          <w:rFonts w:hAnsi="Times New Roman"/>
          <w:sz w:val="22"/>
          <w:szCs w:val="21"/>
        </w:rPr>
        <w:t>1.</w:t>
      </w:r>
      <w:bookmarkEnd w:id="31"/>
      <w:bookmarkEnd w:id="32"/>
      <w:r>
        <w:rPr>
          <w:rFonts w:hAnsi="Times New Roman"/>
          <w:sz w:val="28"/>
          <w:szCs w:val="21"/>
        </w:rPr>
        <w:t xml:space="preserve"> </w:t>
      </w:r>
      <w:r>
        <w:rPr>
          <w:rFonts w:hint="eastAsia" w:hAnsi="Times New Roman"/>
          <w:sz w:val="22"/>
        </w:rPr>
        <w:t>适用范围</w:t>
      </w:r>
      <w:bookmarkEnd w:id="33"/>
      <w:bookmarkEnd w:id="40"/>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本招标文件仅适用于本次公开招标采购项目。</w:t>
      </w:r>
    </w:p>
    <w:p>
      <w:pPr>
        <w:pStyle w:val="5"/>
        <w:spacing w:line="276" w:lineRule="auto"/>
        <w:rPr>
          <w:rFonts w:hAnsi="Times New Roman"/>
          <w:sz w:val="22"/>
          <w:szCs w:val="21"/>
        </w:rPr>
      </w:pPr>
      <w:bookmarkStart w:id="41" w:name="_Toc183582206"/>
      <w:bookmarkStart w:id="42" w:name="_Toc183682343"/>
      <w:bookmarkStart w:id="43" w:name="_Toc458"/>
      <w:bookmarkStart w:id="44" w:name="_Toc217446035"/>
      <w:r>
        <w:rPr>
          <w:rFonts w:hAnsi="Times New Roman"/>
          <w:sz w:val="22"/>
          <w:szCs w:val="21"/>
        </w:rPr>
        <w:t xml:space="preserve">2. </w:t>
      </w:r>
      <w:bookmarkEnd w:id="41"/>
      <w:bookmarkEnd w:id="42"/>
      <w:r>
        <w:rPr>
          <w:rFonts w:hint="eastAsia" w:hAnsi="Times New Roman"/>
          <w:sz w:val="22"/>
          <w:szCs w:val="21"/>
        </w:rPr>
        <w:t>有关</w:t>
      </w:r>
      <w:r>
        <w:rPr>
          <w:rFonts w:hint="eastAsia" w:hAnsi="Times New Roman"/>
          <w:sz w:val="22"/>
        </w:rPr>
        <w:t>定义</w:t>
      </w:r>
      <w:bookmarkEnd w:id="43"/>
      <w:bookmarkEnd w:id="44"/>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2.1 “</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系指依法进行政府采购的国家机关、事业单位、团体组织。本次招标的采购人是</w:t>
      </w:r>
      <w:r>
        <w:rPr>
          <w:rFonts w:hint="eastAsia" w:ascii="Times New Roman" w:hAnsi="Times New Roman"/>
          <w:sz w:val="22"/>
          <w:szCs w:val="21"/>
          <w:u w:val="single"/>
        </w:rPr>
        <w:t xml:space="preserve"> 西安市临潼区国有资产管理所 </w:t>
      </w:r>
      <w:r>
        <w:rPr>
          <w:rFonts w:hint="eastAsia" w:ascii="Times New Roman" w:hAnsi="Times New Roman"/>
          <w:sz w:val="22"/>
          <w:szCs w:val="21"/>
        </w:rPr>
        <w:t>。</w:t>
      </w:r>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2.2 “</w:t>
      </w:r>
      <w:r>
        <w:rPr>
          <w:rFonts w:hint="eastAsia" w:ascii="Times New Roman" w:hAnsi="宋体"/>
          <w:sz w:val="22"/>
          <w:szCs w:val="21"/>
        </w:rPr>
        <w:t>采购代理机构</w:t>
      </w:r>
      <w:r>
        <w:rPr>
          <w:rFonts w:ascii="Times New Roman" w:hAnsi="Times New Roman"/>
          <w:sz w:val="22"/>
          <w:szCs w:val="21"/>
        </w:rPr>
        <w:t xml:space="preserve">” </w:t>
      </w:r>
      <w:r>
        <w:rPr>
          <w:rFonts w:hint="eastAsia" w:ascii="Times New Roman" w:hAnsi="宋体"/>
          <w:sz w:val="22"/>
          <w:szCs w:val="21"/>
        </w:rPr>
        <w:t>系指根据采购人的委托依法办理招标事宜的采购机构。本次招标的采购代理机构是</w:t>
      </w:r>
      <w:r>
        <w:rPr>
          <w:rFonts w:hint="eastAsia" w:ascii="Times New Roman" w:hAnsi="宋体"/>
          <w:sz w:val="22"/>
          <w:szCs w:val="21"/>
          <w:u w:val="single"/>
        </w:rPr>
        <w:t>四川国际招标有限责任公司</w:t>
      </w:r>
      <w:r>
        <w:rPr>
          <w:rFonts w:hint="eastAsia" w:ascii="Times New Roman" w:hAnsi="宋体"/>
          <w:sz w:val="22"/>
          <w:szCs w:val="21"/>
        </w:rPr>
        <w:t>。</w:t>
      </w:r>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2.3 “</w:t>
      </w:r>
      <w:r>
        <w:rPr>
          <w:rFonts w:hint="eastAsia" w:ascii="Times New Roman" w:hAnsi="Times New Roman"/>
          <w:sz w:val="22"/>
          <w:szCs w:val="21"/>
        </w:rPr>
        <w:t>招标采购单位</w:t>
      </w:r>
      <w:r>
        <w:rPr>
          <w:rFonts w:ascii="Times New Roman" w:hAnsi="Times New Roman"/>
          <w:sz w:val="22"/>
          <w:szCs w:val="21"/>
        </w:rPr>
        <w:t>”</w:t>
      </w:r>
      <w:r>
        <w:rPr>
          <w:rFonts w:hint="eastAsia" w:ascii="Times New Roman" w:hAnsi="Times New Roman"/>
          <w:sz w:val="22"/>
          <w:szCs w:val="21"/>
        </w:rPr>
        <w:t>系指</w:t>
      </w:r>
      <w:r>
        <w:rPr>
          <w:rFonts w:ascii="Times New Roman" w:hAnsi="Times New Roman"/>
          <w:sz w:val="22"/>
          <w:szCs w:val="21"/>
        </w:rPr>
        <w:t>“</w:t>
      </w:r>
      <w:r>
        <w:rPr>
          <w:rFonts w:hint="eastAsia" w:ascii="Times New Roman" w:hAnsi="Times New Roman"/>
          <w:sz w:val="22"/>
          <w:szCs w:val="21"/>
        </w:rPr>
        <w:t>采购人</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采购代理机构</w:t>
      </w:r>
      <w:r>
        <w:rPr>
          <w:rFonts w:ascii="Times New Roman" w:hAnsi="Times New Roman"/>
          <w:sz w:val="22"/>
          <w:szCs w:val="21"/>
        </w:rPr>
        <w:t>”</w:t>
      </w:r>
      <w:r>
        <w:rPr>
          <w:rFonts w:hint="eastAsia" w:ascii="Times New Roman" w:hAnsi="Times New Roman"/>
          <w:sz w:val="22"/>
          <w:szCs w:val="21"/>
        </w:rPr>
        <w:t>的统称。</w:t>
      </w:r>
    </w:p>
    <w:p>
      <w:pPr>
        <w:tabs>
          <w:tab w:val="left" w:pos="7665"/>
        </w:tabs>
        <w:spacing w:line="460" w:lineRule="exact"/>
        <w:ind w:firstLine="440" w:firstLineChars="200"/>
        <w:rPr>
          <w:rFonts w:ascii="Times New Roman" w:hAnsi="Times New Roman"/>
          <w:sz w:val="22"/>
          <w:szCs w:val="21"/>
        </w:rPr>
      </w:pPr>
      <w:r>
        <w:rPr>
          <w:rFonts w:ascii="Times New Roman" w:hAnsi="Times New Roman"/>
          <w:sz w:val="22"/>
          <w:szCs w:val="21"/>
        </w:rPr>
        <w:t>2.4 “</w:t>
      </w:r>
      <w:r>
        <w:rPr>
          <w:rFonts w:hint="eastAsia" w:ascii="Times New Roman" w:hAnsi="Times New Roman"/>
          <w:sz w:val="22"/>
          <w:szCs w:val="21"/>
        </w:rPr>
        <w:t>投标人</w:t>
      </w:r>
      <w:r>
        <w:rPr>
          <w:rFonts w:ascii="Times New Roman" w:hAnsi="Times New Roman"/>
          <w:sz w:val="22"/>
          <w:szCs w:val="21"/>
        </w:rPr>
        <w:t>”</w:t>
      </w:r>
      <w:r>
        <w:rPr>
          <w:rFonts w:hint="eastAsia" w:ascii="Times New Roman" w:hAnsi="Times New Roman"/>
          <w:sz w:val="22"/>
          <w:szCs w:val="21"/>
        </w:rPr>
        <w:t>系指购买了招标文件拟参加投标和向采购人提供服务的供应商。</w:t>
      </w:r>
    </w:p>
    <w:p>
      <w:pPr>
        <w:pStyle w:val="5"/>
        <w:spacing w:line="400" w:lineRule="exact"/>
        <w:rPr>
          <w:rFonts w:hAnsi="Times New Roman"/>
          <w:sz w:val="22"/>
          <w:szCs w:val="21"/>
        </w:rPr>
      </w:pPr>
      <w:bookmarkStart w:id="45" w:name="_Toc217446036"/>
      <w:bookmarkStart w:id="46" w:name="_Toc217390843"/>
      <w:bookmarkStart w:id="47" w:name="_Toc183682344"/>
      <w:bookmarkStart w:id="48" w:name="_Toc183582207"/>
      <w:bookmarkStart w:id="49" w:name="_Toc13323"/>
      <w:bookmarkStart w:id="50" w:name="_Toc18993"/>
      <w:bookmarkStart w:id="51" w:name="_Toc24610"/>
      <w:bookmarkStart w:id="52" w:name="_Toc13653"/>
      <w:bookmarkStart w:id="53" w:name="_Toc183582209"/>
      <w:bookmarkStart w:id="54" w:name="_Toc89075875"/>
      <w:bookmarkStart w:id="55" w:name="_Toc22869"/>
      <w:bookmarkStart w:id="56" w:name="_Toc6652"/>
      <w:bookmarkStart w:id="57" w:name="_Toc77400779"/>
      <w:bookmarkStart w:id="58" w:name="_Toc183682346"/>
      <w:bookmarkStart w:id="59" w:name="_Toc217446038"/>
      <w:r>
        <w:rPr>
          <w:rFonts w:hAnsi="Times New Roman"/>
          <w:sz w:val="22"/>
          <w:szCs w:val="21"/>
        </w:rPr>
        <w:t xml:space="preserve">3. </w:t>
      </w:r>
      <w:r>
        <w:rPr>
          <w:rFonts w:hint="eastAsia" w:hAnsi="Times New Roman"/>
          <w:sz w:val="22"/>
          <w:szCs w:val="21"/>
        </w:rPr>
        <w:t>合格的投标人</w:t>
      </w:r>
      <w:bookmarkEnd w:id="45"/>
      <w:bookmarkEnd w:id="46"/>
      <w:bookmarkEnd w:id="47"/>
      <w:bookmarkEnd w:id="48"/>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合格的投标人应具备以下条件：</w:t>
      </w:r>
    </w:p>
    <w:p>
      <w:pPr>
        <w:tabs>
          <w:tab w:val="left" w:pos="7665"/>
        </w:tabs>
        <w:spacing w:line="400" w:lineRule="exact"/>
        <w:ind w:firstLine="440" w:firstLineChars="200"/>
        <w:rPr>
          <w:rFonts w:ascii="Times New Roman" w:hAnsi="Times New Roman"/>
          <w:spacing w:val="-4"/>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）本招标文件规定的供应商资格条件</w:t>
      </w:r>
      <w:r>
        <w:rPr>
          <w:rFonts w:hint="eastAsia" w:ascii="Times New Roman" w:hAnsi="Times New Roman"/>
          <w:spacing w:val="-4"/>
          <w:sz w:val="22"/>
          <w:szCs w:val="21"/>
        </w:rPr>
        <w:t>；</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）遵守国家有关的法律、法规、规章和其他政策制度；</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）向采购代理机构购买了招标文件。</w:t>
      </w:r>
    </w:p>
    <w:p>
      <w:pPr>
        <w:pStyle w:val="5"/>
        <w:spacing w:line="400" w:lineRule="exact"/>
        <w:rPr>
          <w:rFonts w:hAnsi="Times New Roman"/>
          <w:sz w:val="22"/>
          <w:szCs w:val="21"/>
        </w:rPr>
      </w:pPr>
      <w:bookmarkStart w:id="60" w:name="_Toc183682345"/>
      <w:bookmarkStart w:id="61" w:name="_Toc183582208"/>
      <w:bookmarkStart w:id="62" w:name="_Toc217446037"/>
      <w:r>
        <w:rPr>
          <w:rFonts w:hAnsi="Times New Roman"/>
          <w:sz w:val="22"/>
          <w:szCs w:val="21"/>
        </w:rPr>
        <w:t xml:space="preserve">4. </w:t>
      </w:r>
      <w:r>
        <w:rPr>
          <w:rFonts w:hint="eastAsia" w:hAnsi="Times New Roman"/>
          <w:sz w:val="22"/>
          <w:szCs w:val="21"/>
        </w:rPr>
        <w:t>投标费用</w:t>
      </w:r>
      <w:bookmarkEnd w:id="60"/>
      <w:bookmarkEnd w:id="61"/>
      <w:bookmarkEnd w:id="62"/>
    </w:p>
    <w:p>
      <w:pPr>
        <w:tabs>
          <w:tab w:val="left" w:pos="7665"/>
        </w:tabs>
        <w:spacing w:line="400" w:lineRule="exact"/>
        <w:ind w:firstLine="480"/>
        <w:rPr>
          <w:rFonts w:ascii="Times New Roman" w:hAnsi="Times New Roman"/>
          <w:sz w:val="22"/>
          <w:szCs w:val="21"/>
        </w:rPr>
      </w:pPr>
      <w:r>
        <w:rPr>
          <w:rFonts w:hint="eastAsia" w:ascii="Times New Roman" w:hAnsi="Times New Roman"/>
          <w:sz w:val="22"/>
          <w:szCs w:val="21"/>
        </w:rPr>
        <w:t>投标人参加投标的有关费用由投标人自行承担。</w:t>
      </w:r>
    </w:p>
    <w:p>
      <w:pPr>
        <w:keepNext/>
        <w:keepLines/>
        <w:spacing w:line="276" w:lineRule="auto"/>
        <w:rPr>
          <w:b/>
          <w:sz w:val="24"/>
        </w:rPr>
      </w:pPr>
      <w:bookmarkStart w:id="63" w:name="_Toc29192"/>
      <w:bookmarkStart w:id="64" w:name="_Toc29827"/>
      <w:bookmarkStart w:id="65" w:name="_Toc22309"/>
      <w:r>
        <w:rPr>
          <w:rFonts w:hint="eastAsia"/>
          <w:b/>
          <w:sz w:val="24"/>
        </w:rPr>
        <w:t>5.充分、公平竞争保障措施</w:t>
      </w:r>
      <w:bookmarkEnd w:id="63"/>
      <w:bookmarkEnd w:id="64"/>
      <w:bookmarkEnd w:id="65"/>
    </w:p>
    <w:p>
      <w:pPr>
        <w:pStyle w:val="152"/>
        <w:spacing w:line="460" w:lineRule="exact"/>
        <w:ind w:left="1" w:firstLine="480" w:firstLineChars="200"/>
        <w:rPr>
          <w:rFonts w:hAnsi="宋体"/>
        </w:rPr>
      </w:pPr>
      <w:r>
        <w:rPr>
          <w:rFonts w:hint="eastAsia" w:hAnsi="宋体"/>
          <w:bCs/>
          <w:sz w:val="24"/>
          <w:szCs w:val="24"/>
        </w:rPr>
        <w:t>总公司、分公司不能以不同的供应商身份同时参加投标。参与采购项目前期咨询论证的供应商不能参加投标，参加投标的也不能作为有效投标人。</w:t>
      </w:r>
    </w:p>
    <w:p>
      <w:pPr>
        <w:pStyle w:val="152"/>
        <w:spacing w:line="460" w:lineRule="exact"/>
        <w:ind w:left="1" w:firstLine="482" w:firstLineChars="200"/>
        <w:rPr>
          <w:rFonts w:hAnsi="宋体"/>
          <w:sz w:val="24"/>
        </w:rPr>
      </w:pPr>
      <w:r>
        <w:rPr>
          <w:rFonts w:hint="eastAsia" w:hAnsi="宋体"/>
          <w:b/>
          <w:sz w:val="24"/>
        </w:rPr>
        <w:t>5.1 利害关系供应商处理。</w:t>
      </w:r>
      <w:r>
        <w:rPr>
          <w:rFonts w:hint="eastAsia" w:hAnsi="宋体"/>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152"/>
        <w:spacing w:line="460" w:lineRule="exact"/>
        <w:ind w:left="1" w:firstLine="482" w:firstLineChars="200"/>
        <w:rPr>
          <w:rFonts w:hAnsi="宋体"/>
          <w:sz w:val="24"/>
        </w:rPr>
      </w:pPr>
      <w:r>
        <w:rPr>
          <w:rFonts w:hint="eastAsia" w:hAnsi="宋体"/>
          <w:b/>
          <w:sz w:val="24"/>
        </w:rPr>
        <w:t>5.2 前期参与供应商处理。</w:t>
      </w:r>
      <w:r>
        <w:rPr>
          <w:rFonts w:hint="eastAsia" w:hAnsi="宋体"/>
          <w:sz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152"/>
        <w:spacing w:line="460" w:lineRule="exact"/>
        <w:ind w:left="1" w:firstLine="482" w:firstLineChars="200"/>
        <w:rPr>
          <w:rFonts w:hAnsi="宋体"/>
          <w:sz w:val="24"/>
        </w:rPr>
      </w:pPr>
      <w:r>
        <w:rPr>
          <w:rFonts w:hint="eastAsia" w:hAnsi="宋体"/>
          <w:b/>
          <w:sz w:val="24"/>
        </w:rPr>
        <w:t>5.3 利害关系代理人处理。</w:t>
      </w:r>
      <w:r>
        <w:rPr>
          <w:rFonts w:hint="eastAsia" w:hAnsi="宋体"/>
          <w:sz w:val="24"/>
        </w:rPr>
        <w:t>2家以上的供应商不得在同一合同项下的采购项目中，同时委托同一个自然人、同一家庭的人员、同一单位的人员作为其代理人，否则，其投标文件作为无效处理。</w:t>
      </w:r>
    </w:p>
    <w:p>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三、招标文件</w:t>
      </w:r>
      <w:bookmarkEnd w:id="49"/>
      <w:bookmarkEnd w:id="50"/>
      <w:bookmarkEnd w:id="51"/>
      <w:bookmarkEnd w:id="52"/>
      <w:bookmarkEnd w:id="53"/>
      <w:bookmarkEnd w:id="54"/>
      <w:bookmarkEnd w:id="55"/>
      <w:bookmarkEnd w:id="56"/>
      <w:bookmarkEnd w:id="57"/>
      <w:bookmarkEnd w:id="58"/>
      <w:bookmarkEnd w:id="59"/>
    </w:p>
    <w:p>
      <w:pPr>
        <w:pStyle w:val="5"/>
        <w:spacing w:line="400" w:lineRule="exact"/>
        <w:rPr>
          <w:rFonts w:hAnsi="Times New Roman"/>
          <w:sz w:val="22"/>
          <w:szCs w:val="21"/>
        </w:rPr>
      </w:pPr>
      <w:bookmarkStart w:id="66" w:name="_Toc183682347"/>
      <w:bookmarkStart w:id="67" w:name="_Toc183582210"/>
      <w:bookmarkStart w:id="68" w:name="_Toc217446039"/>
      <w:bookmarkStart w:id="69" w:name="_Toc3193"/>
      <w:r>
        <w:rPr>
          <w:rFonts w:hAnsi="Times New Roman"/>
          <w:sz w:val="22"/>
          <w:szCs w:val="21"/>
        </w:rPr>
        <w:t>6</w:t>
      </w:r>
      <w:r>
        <w:rPr>
          <w:rFonts w:hint="eastAsia" w:hAnsi="Times New Roman"/>
          <w:sz w:val="22"/>
          <w:szCs w:val="21"/>
        </w:rPr>
        <w:t>．招标文件的构成</w:t>
      </w:r>
      <w:bookmarkEnd w:id="66"/>
      <w:bookmarkEnd w:id="67"/>
      <w:bookmarkEnd w:id="68"/>
      <w:bookmarkEnd w:id="69"/>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（一）投标邀请；</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（二）投标人须知；</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（三）投标文件格式；</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（四）投标人和投标产品（如涉及）的资格、资质性及其他类似效力要求；</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（五）投标人应当提供的资格、资质性及其他类似效力要求的相关证明材料；</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（六）招标项目要求；</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（七）评标办法；</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（八）合同主要条款。</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6.2 </w:t>
      </w:r>
      <w:r>
        <w:rPr>
          <w:rFonts w:hint="eastAsia" w:ascii="Times New Roman" w:hAnsi="Times New Roman"/>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pacing w:line="400" w:lineRule="exact"/>
        <w:rPr>
          <w:rFonts w:hAnsi="Times New Roman"/>
          <w:sz w:val="22"/>
          <w:szCs w:val="21"/>
        </w:rPr>
      </w:pPr>
      <w:bookmarkStart w:id="70" w:name="_Toc183682348"/>
      <w:bookmarkStart w:id="71" w:name="_Toc183582211"/>
      <w:bookmarkStart w:id="72" w:name="_Toc12704"/>
      <w:bookmarkStart w:id="73" w:name="_Toc217446040"/>
      <w:r>
        <w:rPr>
          <w:rFonts w:hAnsi="Times New Roman"/>
          <w:sz w:val="22"/>
          <w:szCs w:val="21"/>
        </w:rPr>
        <w:t xml:space="preserve">7. </w:t>
      </w:r>
      <w:r>
        <w:rPr>
          <w:rFonts w:hint="eastAsia" w:hAnsi="Times New Roman"/>
          <w:sz w:val="22"/>
          <w:szCs w:val="21"/>
        </w:rPr>
        <w:t>招标文件的澄清</w:t>
      </w:r>
      <w:bookmarkEnd w:id="70"/>
      <w:bookmarkEnd w:id="71"/>
      <w:r>
        <w:rPr>
          <w:rFonts w:hint="eastAsia" w:hAnsi="Times New Roman"/>
          <w:sz w:val="22"/>
          <w:szCs w:val="21"/>
        </w:rPr>
        <w:t>和修改</w:t>
      </w:r>
      <w:bookmarkEnd w:id="72"/>
      <w:bookmarkEnd w:id="73"/>
    </w:p>
    <w:p>
      <w:pPr>
        <w:tabs>
          <w:tab w:val="left" w:pos="7665"/>
        </w:tabs>
        <w:spacing w:line="400" w:lineRule="exact"/>
        <w:ind w:firstLine="440" w:firstLineChars="200"/>
        <w:rPr>
          <w:rFonts w:ascii="Times New Roman" w:hAnsi="Times New Roman"/>
          <w:sz w:val="22"/>
          <w:szCs w:val="21"/>
        </w:rPr>
      </w:pPr>
      <w:bookmarkStart w:id="74" w:name="_Toc183682351"/>
      <w:bookmarkStart w:id="75" w:name="_Toc24268"/>
      <w:bookmarkStart w:id="76" w:name="_Toc18406"/>
      <w:bookmarkStart w:id="77" w:name="_Toc14522"/>
      <w:bookmarkStart w:id="78" w:name="_Toc89075876"/>
      <w:bookmarkStart w:id="79" w:name="_Toc13906"/>
      <w:bookmarkStart w:id="80" w:name="_Toc3696"/>
      <w:bookmarkStart w:id="81" w:name="_Toc21900"/>
      <w:bookmarkStart w:id="82" w:name="_Toc183582214"/>
      <w:bookmarkStart w:id="83" w:name="_Toc217446042"/>
      <w:bookmarkStart w:id="84" w:name="_Toc77400780"/>
      <w:r>
        <w:rPr>
          <w:rFonts w:ascii="Times New Roman" w:hAnsi="Times New Roman"/>
          <w:sz w:val="22"/>
          <w:szCs w:val="21"/>
        </w:rPr>
        <w:t xml:space="preserve">7.1 </w:t>
      </w:r>
      <w:r>
        <w:rPr>
          <w:rFonts w:hint="eastAsia" w:ascii="Times New Roman" w:hAnsi="Times New Roman"/>
          <w:sz w:val="22"/>
          <w:szCs w:val="21"/>
        </w:rPr>
        <w:t>招标采购单位可以依法对招标文件进行澄清或者修改。</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7.2 </w:t>
      </w:r>
      <w:r>
        <w:rPr>
          <w:rFonts w:hint="eastAsia" w:ascii="Times New Roman" w:hAnsi="Times New Roman"/>
          <w:sz w:val="22"/>
          <w:szCs w:val="21"/>
        </w:rPr>
        <w:t>招标采购单位对已发出的招标文件进行澄清或者修改，应当以书面形式将澄清或者修改的内容通知所有购买了招标文件的供应商，同时在</w:t>
      </w:r>
      <w:r>
        <w:rPr>
          <w:rFonts w:hint="eastAsia" w:ascii="Times New Roman" w:hAnsi="Times New Roman"/>
          <w:sz w:val="22"/>
          <w:szCs w:val="21"/>
          <w:u w:val="single"/>
        </w:rPr>
        <w:t>陕西省政府采购网</w:t>
      </w:r>
      <w:r>
        <w:rPr>
          <w:rFonts w:hint="eastAsia" w:ascii="Times New Roman" w:hAnsi="Times New Roman"/>
          <w:sz w:val="22"/>
          <w:szCs w:val="21"/>
        </w:rPr>
        <w:t>上发布</w:t>
      </w:r>
      <w:r>
        <w:rPr>
          <w:rFonts w:hint="eastAsia" w:ascii="Times New Roman" w:hAnsi="Times New Roman"/>
          <w:b/>
          <w:bCs/>
          <w:sz w:val="22"/>
          <w:szCs w:val="21"/>
        </w:rPr>
        <w:t>更正公告</w:t>
      </w:r>
      <w:r>
        <w:rPr>
          <w:rFonts w:hint="eastAsia" w:ascii="Times New Roman" w:hAnsi="Times New Roman"/>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7.3 </w:t>
      </w:r>
      <w:r>
        <w:rPr>
          <w:rFonts w:hint="eastAsia" w:ascii="Times New Roman" w:hAnsi="Times New Roman"/>
          <w:sz w:val="22"/>
          <w:szCs w:val="21"/>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pPr>
        <w:tabs>
          <w:tab w:val="left" w:pos="7665"/>
        </w:tabs>
        <w:spacing w:line="400" w:lineRule="exact"/>
        <w:ind w:firstLine="440" w:firstLineChars="200"/>
        <w:rPr>
          <w:rFonts w:ascii="Times New Roman" w:hAnsi="Times New Roman"/>
          <w:sz w:val="22"/>
          <w:szCs w:val="21"/>
        </w:rPr>
      </w:pPr>
      <w:r>
        <w:rPr>
          <w:rFonts w:hint="eastAsia" w:ascii="Times New Roman" w:hAnsi="Times New Roman"/>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7.4 </w:t>
      </w:r>
      <w:r>
        <w:rPr>
          <w:rFonts w:hint="eastAsia" w:ascii="Times New Roman" w:hAnsi="Times New Roman"/>
          <w:sz w:val="22"/>
          <w:szCs w:val="21"/>
        </w:rPr>
        <w:t>投标人认为需要对招标文件进行澄清或者修改的，可以以书面形式向招标采购单位构提出申请，但招标采购单位可以决定是否采纳投标人的申请事项。</w:t>
      </w:r>
    </w:p>
    <w:p>
      <w:pPr>
        <w:pStyle w:val="5"/>
        <w:spacing w:line="400" w:lineRule="exact"/>
        <w:rPr>
          <w:rFonts w:hAnsi="Times New Roman"/>
          <w:sz w:val="22"/>
          <w:szCs w:val="21"/>
        </w:rPr>
      </w:pPr>
      <w:bookmarkStart w:id="85" w:name="_Toc217446041"/>
      <w:bookmarkStart w:id="86" w:name="_Toc208848971"/>
      <w:r>
        <w:rPr>
          <w:rFonts w:hAnsi="Times New Roman"/>
          <w:sz w:val="22"/>
          <w:szCs w:val="21"/>
        </w:rPr>
        <w:t xml:space="preserve">8. </w:t>
      </w:r>
      <w:r>
        <w:rPr>
          <w:rFonts w:hint="eastAsia" w:hAnsi="Times New Roman"/>
          <w:sz w:val="22"/>
          <w:szCs w:val="21"/>
        </w:rPr>
        <w:t>现场</w:t>
      </w:r>
      <w:bookmarkEnd w:id="85"/>
      <w:bookmarkEnd w:id="86"/>
      <w:r>
        <w:rPr>
          <w:rFonts w:hint="eastAsia" w:hAnsi="Times New Roman"/>
          <w:sz w:val="22"/>
          <w:szCs w:val="21"/>
        </w:rPr>
        <w:t>踏勘（本项目不适用）</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8.1</w:t>
      </w:r>
      <w:r>
        <w:rPr>
          <w:rFonts w:hint="eastAsia" w:ascii="Times New Roman" w:hAnsi="Times New Roman"/>
          <w:sz w:val="22"/>
          <w:szCs w:val="21"/>
        </w:rPr>
        <w:t>招标采购单位认为有必要将在招标文件提供期限截止后，组织已获取招标文件的潜在投标人现场踏勘，过时不再单独组织踏勘。</w:t>
      </w:r>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 xml:space="preserve">8.2 </w:t>
      </w:r>
      <w:r>
        <w:rPr>
          <w:rFonts w:hint="eastAsia" w:ascii="Times New Roman" w:hAnsi="Times New Roman"/>
          <w:sz w:val="22"/>
          <w:szCs w:val="21"/>
        </w:rPr>
        <w:t>供应商踏勘现场所发生的一切费用由供应商自己承担。</w:t>
      </w:r>
    </w:p>
    <w:p>
      <w:pPr>
        <w:keepNext/>
        <w:keepLines/>
        <w:spacing w:before="340" w:after="330" w:line="276" w:lineRule="auto"/>
        <w:jc w:val="center"/>
        <w:rPr>
          <w:rFonts w:ascii="Times New Roman" w:hAnsi="Times New Roman"/>
          <w:sz w:val="32"/>
          <w:szCs w:val="32"/>
        </w:rPr>
      </w:pPr>
      <w:r>
        <w:rPr>
          <w:rFonts w:hint="eastAsia" w:ascii="Times New Roman" w:hAnsi="Times New Roman"/>
          <w:sz w:val="32"/>
          <w:szCs w:val="32"/>
        </w:rPr>
        <w:t>四、投标文件</w:t>
      </w:r>
      <w:bookmarkEnd w:id="74"/>
      <w:bookmarkEnd w:id="75"/>
      <w:bookmarkEnd w:id="76"/>
      <w:bookmarkEnd w:id="77"/>
      <w:bookmarkEnd w:id="78"/>
      <w:bookmarkEnd w:id="79"/>
      <w:bookmarkEnd w:id="80"/>
      <w:bookmarkEnd w:id="81"/>
      <w:bookmarkEnd w:id="82"/>
      <w:bookmarkEnd w:id="83"/>
      <w:bookmarkEnd w:id="84"/>
    </w:p>
    <w:p>
      <w:pPr>
        <w:pStyle w:val="5"/>
        <w:spacing w:line="400" w:lineRule="exact"/>
        <w:rPr>
          <w:rFonts w:hAnsi="Times New Roman"/>
          <w:sz w:val="22"/>
          <w:szCs w:val="21"/>
        </w:rPr>
      </w:pPr>
      <w:bookmarkStart w:id="87" w:name="_Toc217446043"/>
      <w:bookmarkStart w:id="88" w:name="_Toc183582215"/>
      <w:bookmarkStart w:id="89" w:name="_Toc183682352"/>
      <w:bookmarkStart w:id="90" w:name="_Toc23329"/>
      <w:bookmarkStart w:id="91" w:name="_Toc183682361"/>
      <w:bookmarkStart w:id="92" w:name="_Toc183582224"/>
      <w:bookmarkStart w:id="93" w:name="_Toc217446051"/>
      <w:r>
        <w:rPr>
          <w:rFonts w:hAnsi="Times New Roman"/>
          <w:sz w:val="22"/>
          <w:szCs w:val="21"/>
        </w:rPr>
        <w:t>9</w:t>
      </w:r>
      <w:r>
        <w:rPr>
          <w:rFonts w:hint="eastAsia" w:hAnsi="Times New Roman"/>
          <w:sz w:val="22"/>
          <w:szCs w:val="21"/>
        </w:rPr>
        <w:t>．投标文件的语言</w:t>
      </w:r>
      <w:bookmarkEnd w:id="87"/>
      <w:bookmarkEnd w:id="88"/>
      <w:bookmarkEnd w:id="89"/>
    </w:p>
    <w:p>
      <w:pPr>
        <w:tabs>
          <w:tab w:val="left" w:pos="1134"/>
        </w:tabs>
        <w:spacing w:line="360" w:lineRule="auto"/>
        <w:ind w:firstLine="440" w:firstLineChars="200"/>
        <w:jc w:val="left"/>
        <w:rPr>
          <w:rFonts w:ascii="Times New Roman" w:hAnsi="Times New Roman"/>
          <w:sz w:val="22"/>
          <w:szCs w:val="21"/>
        </w:rPr>
      </w:pPr>
      <w:bookmarkStart w:id="94" w:name="_Toc217446044"/>
      <w:bookmarkStart w:id="95" w:name="_Toc183582216"/>
      <w:bookmarkStart w:id="96" w:name="_Toc183682353"/>
      <w:r>
        <w:rPr>
          <w:rFonts w:ascii="Times New Roman" w:hAnsi="Times New Roman"/>
          <w:sz w:val="22"/>
          <w:szCs w:val="21"/>
        </w:rPr>
        <w:t xml:space="preserve">9.1 </w:t>
      </w:r>
      <w:r>
        <w:rPr>
          <w:rFonts w:hint="eastAsia" w:ascii="Times New Roman" w:hAnsi="Times New Roman"/>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pPr>
        <w:tabs>
          <w:tab w:val="left" w:pos="1134"/>
        </w:tabs>
        <w:spacing w:line="360" w:lineRule="auto"/>
        <w:ind w:firstLine="440" w:firstLineChars="200"/>
        <w:jc w:val="left"/>
        <w:rPr>
          <w:rFonts w:ascii="Times New Roman" w:hAnsi="Times New Roman"/>
          <w:sz w:val="22"/>
          <w:szCs w:val="21"/>
        </w:rPr>
      </w:pPr>
      <w:r>
        <w:rPr>
          <w:rFonts w:ascii="Times New Roman" w:hAnsi="Times New Roman"/>
          <w:sz w:val="22"/>
          <w:szCs w:val="21"/>
        </w:rPr>
        <w:t xml:space="preserve">9.2 </w:t>
      </w:r>
      <w:r>
        <w:rPr>
          <w:rFonts w:hint="eastAsia" w:ascii="Times New Roman" w:hAnsi="Times New Roman"/>
          <w:sz w:val="22"/>
          <w:szCs w:val="21"/>
        </w:rPr>
        <w:t>翻译的中文资料与外文资料如果出现差异和矛盾时，以中文为准。涉嫌虚假响应的按照相关法律法规处理。</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9.3 </w:t>
      </w:r>
      <w:r>
        <w:rPr>
          <w:rFonts w:hint="eastAsia" w:ascii="Times New Roman" w:hAnsi="宋体"/>
          <w:sz w:val="22"/>
          <w:szCs w:val="21"/>
        </w:rPr>
        <w:t>如因未翻译而造成的废标，由投标人承担。</w:t>
      </w:r>
    </w:p>
    <w:p>
      <w:pPr>
        <w:pStyle w:val="5"/>
        <w:spacing w:line="400" w:lineRule="exact"/>
        <w:rPr>
          <w:rFonts w:hAnsi="Times New Roman"/>
          <w:sz w:val="22"/>
          <w:szCs w:val="21"/>
        </w:rPr>
      </w:pPr>
      <w:r>
        <w:rPr>
          <w:rFonts w:hAnsi="Times New Roman"/>
          <w:sz w:val="22"/>
          <w:szCs w:val="21"/>
        </w:rPr>
        <w:t>10</w:t>
      </w:r>
      <w:r>
        <w:rPr>
          <w:rFonts w:hint="eastAsia" w:hAnsi="Times New Roman"/>
          <w:sz w:val="22"/>
          <w:szCs w:val="21"/>
        </w:rPr>
        <w:t>．计量单位</w:t>
      </w:r>
      <w:bookmarkEnd w:id="94"/>
      <w:bookmarkEnd w:id="95"/>
      <w:bookmarkEnd w:id="96"/>
    </w:p>
    <w:p>
      <w:pPr>
        <w:spacing w:line="400" w:lineRule="exact"/>
        <w:ind w:firstLine="431" w:firstLineChars="196"/>
        <w:rPr>
          <w:rFonts w:ascii="Times New Roman" w:hAnsi="Times New Roman"/>
          <w:sz w:val="22"/>
          <w:szCs w:val="21"/>
        </w:rPr>
      </w:pPr>
      <w:r>
        <w:rPr>
          <w:rFonts w:hint="eastAsia" w:ascii="Times New Roman" w:hAnsi="Times New Roman"/>
          <w:sz w:val="22"/>
          <w:szCs w:val="21"/>
        </w:rPr>
        <w:t>除招标文件中另有规定外，本次采购项目所有合同项下的投标均采用国家法定的计量单位。</w:t>
      </w:r>
    </w:p>
    <w:p>
      <w:pPr>
        <w:pStyle w:val="5"/>
        <w:spacing w:line="400" w:lineRule="exact"/>
        <w:rPr>
          <w:rFonts w:hAnsi="Times New Roman"/>
          <w:sz w:val="22"/>
          <w:szCs w:val="21"/>
        </w:rPr>
      </w:pPr>
      <w:bookmarkStart w:id="97" w:name="_Toc217446045"/>
      <w:r>
        <w:rPr>
          <w:rFonts w:hAnsi="Times New Roman"/>
          <w:sz w:val="22"/>
          <w:szCs w:val="21"/>
        </w:rPr>
        <w:t xml:space="preserve">11. </w:t>
      </w:r>
      <w:r>
        <w:rPr>
          <w:rFonts w:hint="eastAsia" w:hAnsi="Times New Roman"/>
          <w:sz w:val="22"/>
          <w:szCs w:val="21"/>
        </w:rPr>
        <w:t>投标货币</w:t>
      </w:r>
      <w:bookmarkEnd w:id="97"/>
    </w:p>
    <w:p>
      <w:pPr>
        <w:spacing w:line="400" w:lineRule="exact"/>
        <w:ind w:firstLine="431" w:firstLineChars="196"/>
        <w:rPr>
          <w:rFonts w:ascii="Times New Roman" w:hAnsi="Times New Roman"/>
          <w:sz w:val="22"/>
          <w:szCs w:val="21"/>
        </w:rPr>
      </w:pPr>
      <w:r>
        <w:rPr>
          <w:rFonts w:hint="eastAsia" w:ascii="Times New Roman" w:hAnsi="Times New Roman"/>
          <w:sz w:val="22"/>
          <w:szCs w:val="21"/>
        </w:rPr>
        <w:t>本次招标项目的投标均以人民币报价。</w:t>
      </w:r>
    </w:p>
    <w:p>
      <w:pPr>
        <w:pStyle w:val="5"/>
        <w:spacing w:line="400" w:lineRule="exact"/>
        <w:rPr>
          <w:rFonts w:hAnsi="Times New Roman"/>
          <w:sz w:val="22"/>
          <w:szCs w:val="21"/>
        </w:rPr>
      </w:pPr>
      <w:bookmarkStart w:id="98" w:name="_Toc217446046"/>
      <w:r>
        <w:rPr>
          <w:rFonts w:hAnsi="Times New Roman"/>
          <w:sz w:val="22"/>
          <w:szCs w:val="21"/>
        </w:rPr>
        <w:t xml:space="preserve">12. </w:t>
      </w:r>
      <w:r>
        <w:rPr>
          <w:rFonts w:hint="eastAsia" w:hAnsi="Times New Roman"/>
          <w:sz w:val="22"/>
          <w:szCs w:val="21"/>
        </w:rPr>
        <w:t>联合体投标</w:t>
      </w:r>
      <w:bookmarkEnd w:id="98"/>
      <w:r>
        <w:rPr>
          <w:rFonts w:hint="eastAsia" w:hAnsi="Times New Roman"/>
          <w:sz w:val="22"/>
          <w:szCs w:val="21"/>
        </w:rPr>
        <w:t>（本项目不适用）</w:t>
      </w:r>
    </w:p>
    <w:p>
      <w:pPr>
        <w:pStyle w:val="5"/>
        <w:spacing w:line="400" w:lineRule="exact"/>
        <w:rPr>
          <w:rFonts w:hAnsi="Times New Roman"/>
          <w:sz w:val="22"/>
          <w:szCs w:val="21"/>
        </w:rPr>
      </w:pPr>
      <w:bookmarkStart w:id="99" w:name="_Toc308164797"/>
      <w:bookmarkStart w:id="100" w:name="_Toc217446047"/>
      <w:r>
        <w:rPr>
          <w:rFonts w:hAnsi="Times New Roman"/>
          <w:sz w:val="22"/>
          <w:szCs w:val="21"/>
        </w:rPr>
        <w:t xml:space="preserve">13. </w:t>
      </w:r>
      <w:r>
        <w:rPr>
          <w:rFonts w:hint="eastAsia" w:hAnsi="Times New Roman"/>
          <w:sz w:val="22"/>
          <w:szCs w:val="21"/>
        </w:rPr>
        <w:t>知识产权</w:t>
      </w:r>
      <w:bookmarkEnd w:id="99"/>
      <w:bookmarkEnd w:id="100"/>
    </w:p>
    <w:p>
      <w:pPr>
        <w:pStyle w:val="10"/>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13.1 </w:t>
      </w:r>
      <w:r>
        <w:rPr>
          <w:rFonts w:hint="eastAsia" w:ascii="Times New Roman" w:hAnsi="Times New Roman"/>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pacing w:line="400" w:lineRule="exact"/>
        <w:ind w:left="0" w:leftChars="0" w:firstLine="440" w:firstLineChars="200"/>
        <w:rPr>
          <w:rFonts w:ascii="Times New Roman" w:hAnsi="Times New Roman"/>
          <w:sz w:val="22"/>
          <w:szCs w:val="22"/>
        </w:rPr>
      </w:pPr>
      <w:r>
        <w:rPr>
          <w:rFonts w:ascii="Times New Roman" w:hAnsi="Times New Roman"/>
          <w:sz w:val="22"/>
          <w:szCs w:val="22"/>
        </w:rPr>
        <w:t xml:space="preserve">13.2 </w:t>
      </w:r>
      <w:r>
        <w:rPr>
          <w:rFonts w:hint="eastAsia" w:ascii="Times New Roman" w:hAnsi="Times New Roman"/>
          <w:sz w:val="22"/>
          <w:szCs w:val="22"/>
        </w:rPr>
        <w:t>采购人享有本项目实施过程中产生的知识成果及知识产权。</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13.3 </w:t>
      </w:r>
      <w:r>
        <w:rPr>
          <w:rFonts w:hint="eastAsia" w:ascii="Times New Roman" w:hAnsi="Times New Roman"/>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400" w:lineRule="exact"/>
        <w:ind w:firstLine="422" w:firstLineChars="192"/>
        <w:rPr>
          <w:rFonts w:ascii="Times New Roman" w:hAnsi="Times New Roman"/>
          <w:sz w:val="22"/>
          <w:szCs w:val="21"/>
        </w:rPr>
      </w:pPr>
      <w:r>
        <w:rPr>
          <w:rFonts w:ascii="Times New Roman" w:hAnsi="Times New Roman"/>
          <w:sz w:val="22"/>
          <w:szCs w:val="21"/>
        </w:rPr>
        <w:t xml:space="preserve">13.4 </w:t>
      </w:r>
      <w:r>
        <w:rPr>
          <w:rFonts w:hint="eastAsia" w:ascii="Times New Roman" w:hAnsi="Times New Roman"/>
          <w:sz w:val="22"/>
          <w:szCs w:val="21"/>
        </w:rPr>
        <w:t>如采用投标人所不拥有的知识产权，则在投标报价中必须包括合法获取该知识产权的相关费用。</w:t>
      </w:r>
      <w:r>
        <w:rPr>
          <w:rFonts w:ascii="Times New Roman" w:hAnsi="Times New Roman"/>
          <w:sz w:val="22"/>
          <w:szCs w:val="21"/>
        </w:rPr>
        <w:t xml:space="preserve"> </w:t>
      </w:r>
    </w:p>
    <w:p>
      <w:pPr>
        <w:pStyle w:val="5"/>
        <w:spacing w:line="300" w:lineRule="auto"/>
        <w:ind w:right="143" w:rightChars="42"/>
        <w:rPr>
          <w:rFonts w:ascii="宋体"/>
          <w:sz w:val="24"/>
        </w:rPr>
      </w:pPr>
      <w:bookmarkStart w:id="101" w:name="_Toc217446048"/>
      <w:bookmarkStart w:id="102" w:name="_Toc308164798"/>
      <w:bookmarkStart w:id="103" w:name="_Toc183582217"/>
      <w:bookmarkStart w:id="104" w:name="_Toc183682354"/>
      <w:r>
        <w:rPr>
          <w:rFonts w:hint="eastAsia" w:ascii="宋体"/>
          <w:sz w:val="24"/>
        </w:rPr>
        <w:t>14．投标文件的组成</w:t>
      </w:r>
      <w:bookmarkEnd w:id="101"/>
      <w:bookmarkEnd w:id="102"/>
      <w:bookmarkEnd w:id="103"/>
      <w:bookmarkEnd w:id="104"/>
    </w:p>
    <w:p>
      <w:pPr>
        <w:spacing w:line="300" w:lineRule="auto"/>
        <w:ind w:right="143" w:rightChars="42" w:firstLine="480" w:firstLineChars="200"/>
        <w:rPr>
          <w:sz w:val="24"/>
        </w:rPr>
      </w:pPr>
      <w:r>
        <w:rPr>
          <w:rFonts w:hint="eastAsia"/>
          <w:sz w:val="24"/>
        </w:rPr>
        <w:t>投标人应按照招标文件的规定和要求编制投标文件。投标人编写的投标文件应至少包括下列两部分文件：</w:t>
      </w:r>
    </w:p>
    <w:p>
      <w:pPr>
        <w:spacing w:line="300" w:lineRule="auto"/>
        <w:ind w:right="143" w:rightChars="42" w:firstLine="482" w:firstLineChars="200"/>
        <w:rPr>
          <w:b/>
          <w:sz w:val="24"/>
        </w:rPr>
      </w:pPr>
      <w:r>
        <w:rPr>
          <w:rFonts w:hint="eastAsia"/>
          <w:b/>
          <w:sz w:val="24"/>
        </w:rPr>
        <w:t>文件一：资格性投标文件（用于资格审查）</w:t>
      </w:r>
    </w:p>
    <w:p>
      <w:pPr>
        <w:spacing w:line="300" w:lineRule="auto"/>
        <w:ind w:right="143" w:rightChars="42" w:firstLine="480" w:firstLineChars="200"/>
        <w:rPr>
          <w:sz w:val="24"/>
        </w:rPr>
      </w:pPr>
      <w:r>
        <w:rPr>
          <w:rFonts w:hint="eastAsia"/>
          <w:sz w:val="24"/>
        </w:rPr>
        <w:t>严格按照第四章要求提供相关资格、资质性及其他类似效力要求的相关证明材料。</w:t>
      </w:r>
    </w:p>
    <w:p>
      <w:pPr>
        <w:spacing w:line="300" w:lineRule="auto"/>
        <w:ind w:right="143" w:rightChars="42" w:firstLine="482" w:firstLineChars="200"/>
        <w:rPr>
          <w:b/>
          <w:sz w:val="24"/>
        </w:rPr>
      </w:pPr>
      <w:r>
        <w:rPr>
          <w:rFonts w:hint="eastAsia"/>
          <w:b/>
          <w:sz w:val="24"/>
        </w:rPr>
        <w:t>文件二：其它响应性投标文件（用于资格审查以外的评标）</w:t>
      </w:r>
    </w:p>
    <w:p>
      <w:pPr>
        <w:spacing w:line="300" w:lineRule="auto"/>
        <w:ind w:right="143" w:rightChars="42" w:firstLine="480" w:firstLineChars="200"/>
        <w:rPr>
          <w:sz w:val="24"/>
        </w:rPr>
      </w:pPr>
      <w:r>
        <w:rPr>
          <w:rFonts w:hint="eastAsia"/>
          <w:sz w:val="24"/>
        </w:rPr>
        <w:t>严格按照招标文件要求提供以下五个方面的相关材料：</w:t>
      </w:r>
    </w:p>
    <w:p>
      <w:pPr>
        <w:spacing w:line="300" w:lineRule="auto"/>
        <w:ind w:right="143" w:rightChars="42" w:firstLine="482" w:firstLineChars="200"/>
        <w:rPr>
          <w:sz w:val="24"/>
        </w:rPr>
      </w:pPr>
      <w:r>
        <w:rPr>
          <w:rFonts w:hint="eastAsia"/>
          <w:b/>
          <w:sz w:val="24"/>
        </w:rPr>
        <w:t>（一）报价部分。</w:t>
      </w:r>
      <w:r>
        <w:rPr>
          <w:rFonts w:hint="eastAsia"/>
          <w:bCs/>
          <w:sz w:val="24"/>
        </w:rPr>
        <w:t>投标人</w:t>
      </w:r>
      <w:r>
        <w:rPr>
          <w:rFonts w:hint="eastAsia"/>
          <w:sz w:val="24"/>
        </w:rPr>
        <w:t>按照招标文件要求填写的“开标一览表”及“报价明细表”。 本次招标报价要求：</w:t>
      </w:r>
    </w:p>
    <w:p>
      <w:pPr>
        <w:spacing w:line="300" w:lineRule="auto"/>
        <w:ind w:right="143" w:rightChars="42" w:firstLine="480" w:firstLineChars="200"/>
        <w:rPr>
          <w:sz w:val="24"/>
        </w:rPr>
      </w:pPr>
      <w:r>
        <w:rPr>
          <w:rFonts w:hint="eastAsia"/>
          <w:sz w:val="24"/>
        </w:rPr>
        <w:t>（1）投标人的报价是投标人响应招标项目要求的全部工作内容的价格体现，包括投标人完成本项目所需的一切费用。</w:t>
      </w:r>
    </w:p>
    <w:p>
      <w:pPr>
        <w:spacing w:line="300" w:lineRule="auto"/>
        <w:ind w:right="143" w:rightChars="42" w:firstLine="480" w:firstLineChars="200"/>
        <w:rPr>
          <w:sz w:val="24"/>
        </w:rPr>
      </w:pPr>
      <w:r>
        <w:rPr>
          <w:rFonts w:hint="eastAsia"/>
          <w:sz w:val="24"/>
        </w:rPr>
        <w:t xml:space="preserve"> （2）投标人每项服务及在服务过程中涉及使用的货物只能允许有一个报价，并且在合同履行过程中是固定不变的，任何有选择或可调整的报价将不予接受，并按无效投标处理。</w:t>
      </w:r>
    </w:p>
    <w:p>
      <w:pPr>
        <w:spacing w:line="300" w:lineRule="auto"/>
        <w:ind w:right="143" w:rightChars="42" w:firstLine="482" w:firstLineChars="200"/>
        <w:rPr>
          <w:b/>
          <w:bCs/>
          <w:sz w:val="24"/>
        </w:rPr>
      </w:pPr>
      <w:r>
        <w:rPr>
          <w:rFonts w:hint="eastAsia"/>
          <w:b/>
          <w:sz w:val="24"/>
        </w:rPr>
        <w:t>（二）技术服务部分。</w:t>
      </w:r>
      <w:r>
        <w:rPr>
          <w:rFonts w:hint="eastAsia"/>
          <w:sz w:val="24"/>
        </w:rPr>
        <w:t>投标人按照招标文件要求做出的技术应答，主要是针对招标项目的技术服务指标、参数和技术服务要求做出的实质性响应和满足。投标人的技术应答包括下列内容（如涉及）：</w:t>
      </w:r>
    </w:p>
    <w:p>
      <w:pPr>
        <w:spacing w:line="400" w:lineRule="exact"/>
        <w:ind w:firstLine="480" w:firstLineChars="200"/>
        <w:rPr>
          <w:rFonts w:hAnsi="宋体" w:cs="宋体"/>
          <w:sz w:val="24"/>
          <w:szCs w:val="24"/>
        </w:rPr>
      </w:pPr>
      <w:r>
        <w:rPr>
          <w:rFonts w:hint="eastAsia" w:hAnsi="宋体" w:cs="宋体"/>
          <w:sz w:val="24"/>
          <w:szCs w:val="24"/>
        </w:rPr>
        <w:t>（1）技术服务方案、项目实施方案；</w:t>
      </w:r>
    </w:p>
    <w:p>
      <w:pPr>
        <w:spacing w:line="400" w:lineRule="exact"/>
        <w:ind w:firstLine="480" w:firstLineChars="200"/>
        <w:rPr>
          <w:rFonts w:hAnsi="宋体" w:cs="宋体"/>
          <w:sz w:val="24"/>
          <w:szCs w:val="24"/>
        </w:rPr>
      </w:pPr>
      <w:r>
        <w:rPr>
          <w:rFonts w:hint="eastAsia" w:hAnsi="宋体" w:cs="宋体"/>
          <w:sz w:val="24"/>
          <w:szCs w:val="24"/>
        </w:rPr>
        <w:t>（2）技术服务应答表；</w:t>
      </w:r>
    </w:p>
    <w:p>
      <w:pPr>
        <w:spacing w:line="400" w:lineRule="exact"/>
        <w:ind w:firstLine="480" w:firstLineChars="200"/>
        <w:rPr>
          <w:rFonts w:hAnsi="宋体" w:cs="宋体"/>
          <w:sz w:val="24"/>
          <w:szCs w:val="24"/>
        </w:rPr>
      </w:pPr>
      <w:r>
        <w:rPr>
          <w:rFonts w:hint="eastAsia" w:hAnsi="宋体" w:cs="宋体"/>
          <w:sz w:val="24"/>
          <w:szCs w:val="24"/>
        </w:rPr>
        <w:t>（3）投标人认为需要提供的文件和资料。</w:t>
      </w:r>
    </w:p>
    <w:p>
      <w:pPr>
        <w:spacing w:line="400" w:lineRule="exact"/>
        <w:ind w:firstLine="442" w:firstLineChars="200"/>
        <w:rPr>
          <w:rFonts w:ascii="Times New Roman" w:hAnsi="Times New Roman"/>
          <w:sz w:val="22"/>
          <w:szCs w:val="21"/>
        </w:rPr>
      </w:pPr>
      <w:r>
        <w:rPr>
          <w:rFonts w:hint="eastAsia" w:ascii="Times New Roman" w:hAnsi="Times New Roman"/>
          <w:b/>
          <w:sz w:val="22"/>
          <w:szCs w:val="21"/>
        </w:rPr>
        <w:t>（三）商务部分。</w:t>
      </w:r>
      <w:r>
        <w:rPr>
          <w:rFonts w:hint="eastAsia" w:ascii="Times New Roman" w:hAnsi="Times New Roman"/>
          <w:sz w:val="22"/>
          <w:szCs w:val="21"/>
        </w:rPr>
        <w:t>投标人按照招标文件要求提供的有关文件及优惠承诺。包括以下内容：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）投标函；</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）投标人承诺给予招标采购单位的各种优惠条件（优惠条件事项不能包括采购项目本身所包括涉及的采购事项。投标人不能以</w:t>
      </w:r>
      <w:r>
        <w:rPr>
          <w:rFonts w:ascii="Times New Roman" w:hAnsi="Times New Roman"/>
          <w:sz w:val="22"/>
          <w:szCs w:val="21"/>
        </w:rPr>
        <w:t>“</w:t>
      </w:r>
      <w:r>
        <w:rPr>
          <w:rFonts w:hint="eastAsia" w:ascii="Times New Roman" w:hAnsi="Times New Roman"/>
          <w:sz w:val="22"/>
          <w:szCs w:val="21"/>
        </w:rPr>
        <w:t>赠送、赠予</w:t>
      </w:r>
      <w:r>
        <w:rPr>
          <w:rFonts w:ascii="Times New Roman" w:hAnsi="Times New Roman"/>
          <w:sz w:val="22"/>
          <w:szCs w:val="21"/>
        </w:rPr>
        <w:t>”</w:t>
      </w:r>
      <w:r>
        <w:rPr>
          <w:rFonts w:hint="eastAsia" w:ascii="Times New Roman" w:hAnsi="Times New Roman"/>
          <w:sz w:val="22"/>
          <w:szCs w:val="21"/>
        </w:rPr>
        <w:t>等任何名义提供货物和服务以规避招标文件的约束。否则，投标人提供的投标文件将作为无效投标处理，即使中标也将取消中标资格）；</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）证明投标人业绩和荣誉的有关材料复印件；</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）商务应答表；</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）其他投标人认为需要提供的文件和资料。</w:t>
      </w:r>
    </w:p>
    <w:p>
      <w:pPr>
        <w:spacing w:line="400" w:lineRule="exact"/>
        <w:ind w:firstLine="442" w:firstLineChars="200"/>
        <w:rPr>
          <w:rFonts w:ascii="Times New Roman" w:hAnsi="Times New Roman"/>
          <w:sz w:val="22"/>
          <w:szCs w:val="21"/>
        </w:rPr>
      </w:pPr>
      <w:r>
        <w:rPr>
          <w:rFonts w:hint="eastAsia" w:ascii="Times New Roman" w:hAnsi="Times New Roman"/>
          <w:b/>
          <w:bCs/>
          <w:sz w:val="22"/>
          <w:szCs w:val="21"/>
        </w:rPr>
        <w:t>（四）其他部分。</w:t>
      </w:r>
      <w:r>
        <w:rPr>
          <w:rFonts w:hint="eastAsia" w:ascii="Times New Roman" w:hAnsi="Times New Roman"/>
          <w:sz w:val="22"/>
          <w:szCs w:val="21"/>
        </w:rPr>
        <w:t>投标人按照招标文件要求作出的其他应答和承诺。</w:t>
      </w:r>
    </w:p>
    <w:p>
      <w:pPr>
        <w:pStyle w:val="5"/>
        <w:spacing w:line="400" w:lineRule="exact"/>
        <w:rPr>
          <w:rFonts w:hAnsi="Times New Roman"/>
          <w:sz w:val="22"/>
          <w:szCs w:val="21"/>
        </w:rPr>
      </w:pPr>
      <w:bookmarkStart w:id="105" w:name="_Toc183682355"/>
      <w:bookmarkStart w:id="106" w:name="_Toc217446049"/>
      <w:bookmarkStart w:id="107" w:name="_Toc183582218"/>
      <w:bookmarkStart w:id="108" w:name="_Toc308164799"/>
      <w:r>
        <w:rPr>
          <w:rFonts w:hAnsi="Times New Roman"/>
          <w:sz w:val="22"/>
          <w:szCs w:val="21"/>
        </w:rPr>
        <w:t>15</w:t>
      </w:r>
      <w:r>
        <w:rPr>
          <w:rFonts w:hint="eastAsia" w:hAnsi="Times New Roman"/>
          <w:sz w:val="22"/>
          <w:szCs w:val="21"/>
        </w:rPr>
        <w:t>．投标文件格式</w:t>
      </w:r>
      <w:bookmarkEnd w:id="105"/>
      <w:bookmarkEnd w:id="106"/>
      <w:bookmarkEnd w:id="107"/>
      <w:bookmarkEnd w:id="108"/>
    </w:p>
    <w:p>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15.1 </w:t>
      </w:r>
      <w:r>
        <w:rPr>
          <w:rFonts w:hint="eastAsia" w:ascii="Times New Roman" w:hAnsi="Times New Roman"/>
          <w:sz w:val="22"/>
          <w:szCs w:val="21"/>
        </w:rPr>
        <w:t>投标人应执行招标文件第三章的规定要求。第三章格式中</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的内容，投标人可自行决定是否保留在投标文件中，未保留的视为投标人默认接受</w:t>
      </w:r>
      <w:r>
        <w:rPr>
          <w:rFonts w:ascii="Times New Roman" w:hAnsi="Times New Roman"/>
          <w:sz w:val="22"/>
          <w:szCs w:val="21"/>
        </w:rPr>
        <w:t>“</w:t>
      </w:r>
      <w:r>
        <w:rPr>
          <w:rFonts w:hint="eastAsia" w:ascii="Times New Roman" w:hAnsi="Times New Roman"/>
          <w:sz w:val="22"/>
          <w:szCs w:val="21"/>
        </w:rPr>
        <w:t>注</w:t>
      </w:r>
      <w:r>
        <w:rPr>
          <w:rFonts w:ascii="Times New Roman" w:hAnsi="Times New Roman"/>
          <w:sz w:val="22"/>
          <w:szCs w:val="21"/>
        </w:rPr>
        <w:t>”</w:t>
      </w:r>
      <w:r>
        <w:rPr>
          <w:rFonts w:hint="eastAsia" w:ascii="Times New Roman" w:hAnsi="Times New Roman"/>
          <w:sz w:val="22"/>
          <w:szCs w:val="21"/>
        </w:rPr>
        <w:t>的内容。</w:t>
      </w:r>
    </w:p>
    <w:p>
      <w:pPr>
        <w:tabs>
          <w:tab w:val="left" w:pos="7665"/>
        </w:tabs>
        <w:spacing w:line="400" w:lineRule="exact"/>
        <w:ind w:left="20" w:leftChars="6" w:firstLine="440" w:firstLineChars="200"/>
        <w:rPr>
          <w:rFonts w:ascii="Times New Roman" w:hAnsi="Times New Roman"/>
          <w:sz w:val="22"/>
          <w:szCs w:val="21"/>
        </w:rPr>
      </w:pPr>
      <w:r>
        <w:rPr>
          <w:rFonts w:ascii="Times New Roman" w:hAnsi="Times New Roman"/>
          <w:sz w:val="22"/>
          <w:szCs w:val="21"/>
        </w:rPr>
        <w:t xml:space="preserve">15.2 </w:t>
      </w:r>
      <w:r>
        <w:rPr>
          <w:rFonts w:hint="eastAsia" w:ascii="Times New Roman" w:hAnsi="Times New Roman"/>
          <w:sz w:val="22"/>
          <w:szCs w:val="21"/>
        </w:rPr>
        <w:t>对于没有格式要求的投标文件由投标人自行编写。</w:t>
      </w:r>
    </w:p>
    <w:p>
      <w:pPr>
        <w:pStyle w:val="5"/>
        <w:spacing w:line="400" w:lineRule="exact"/>
        <w:rPr>
          <w:rFonts w:hAnsi="Times New Roman"/>
          <w:sz w:val="22"/>
          <w:szCs w:val="21"/>
        </w:rPr>
      </w:pPr>
      <w:bookmarkStart w:id="109" w:name="_Toc217446050"/>
      <w:bookmarkStart w:id="110" w:name="_Toc183582223"/>
      <w:bookmarkStart w:id="111" w:name="_Toc183682360"/>
      <w:bookmarkStart w:id="112" w:name="_Toc308164800"/>
      <w:r>
        <w:rPr>
          <w:rFonts w:hAnsi="Times New Roman"/>
          <w:sz w:val="22"/>
          <w:szCs w:val="21"/>
        </w:rPr>
        <w:t>16</w:t>
      </w:r>
      <w:r>
        <w:rPr>
          <w:rFonts w:hint="eastAsia" w:hAnsi="Times New Roman"/>
          <w:sz w:val="22"/>
          <w:szCs w:val="21"/>
        </w:rPr>
        <w:t>．投标保证金</w:t>
      </w:r>
      <w:bookmarkEnd w:id="109"/>
      <w:bookmarkEnd w:id="110"/>
      <w:bookmarkEnd w:id="111"/>
      <w:bookmarkEnd w:id="112"/>
      <w:r>
        <w:rPr>
          <w:rFonts w:hint="eastAsia" w:hAnsi="Times New Roman"/>
          <w:sz w:val="22"/>
          <w:szCs w:val="21"/>
        </w:rPr>
        <w:t>（本项目不适用）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16.1 </w:t>
      </w:r>
      <w:r>
        <w:rPr>
          <w:rFonts w:hint="eastAsia" w:ascii="Times New Roman" w:hAnsi="Times New Roman"/>
          <w:sz w:val="22"/>
          <w:szCs w:val="21"/>
        </w:rPr>
        <w:t>投标人投标时，必须以人民币提交招标文件规定数额的投标保证金，并作为其投标的一部分。</w:t>
      </w:r>
    </w:p>
    <w:p>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16.2</w:t>
      </w:r>
      <w:r>
        <w:rPr>
          <w:rFonts w:hint="eastAsia" w:ascii="Times New Roman" w:hAnsi="Times New Roman"/>
          <w:sz w:val="22"/>
          <w:szCs w:val="21"/>
        </w:rPr>
        <w:t>投标保证金交款方式：详见投标人须知前附表。</w:t>
      </w:r>
    </w:p>
    <w:p>
      <w:pPr>
        <w:tabs>
          <w:tab w:val="left" w:pos="1134"/>
        </w:tabs>
        <w:spacing w:line="400" w:lineRule="exact"/>
        <w:ind w:firstLine="389" w:firstLineChars="177"/>
        <w:rPr>
          <w:rFonts w:ascii="Times New Roman" w:hAnsi="Times New Roman"/>
          <w:sz w:val="22"/>
          <w:szCs w:val="21"/>
        </w:rPr>
      </w:pPr>
      <w:r>
        <w:rPr>
          <w:rFonts w:ascii="Times New Roman" w:hAnsi="Times New Roman"/>
          <w:sz w:val="22"/>
          <w:szCs w:val="21"/>
        </w:rPr>
        <w:t>16.3</w:t>
      </w:r>
      <w:r>
        <w:rPr>
          <w:rFonts w:hint="eastAsia" w:ascii="Times New Roman" w:hAnsi="宋体"/>
          <w:sz w:val="22"/>
          <w:szCs w:val="21"/>
        </w:rPr>
        <w:t>未中标人的投标保证金，将在中标通知书发出后五个工作日内全额退还（非现金方式），中标人的投标保证金在中标人与采购人签订采购合同并按规定递交相关资料后</w:t>
      </w:r>
      <w:r>
        <w:rPr>
          <w:rFonts w:ascii="Times New Roman" w:hAnsi="Times New Roman"/>
          <w:sz w:val="22"/>
          <w:szCs w:val="21"/>
        </w:rPr>
        <w:t>5</w:t>
      </w:r>
      <w:r>
        <w:rPr>
          <w:rFonts w:hint="eastAsia" w:ascii="Times New Roman" w:hAnsi="宋体"/>
          <w:sz w:val="22"/>
          <w:szCs w:val="21"/>
        </w:rPr>
        <w:t>个工作日内退还（非现金方式），退还保证金需要的相关资料请参见第二章保证金退还注意事项</w:t>
      </w:r>
      <w:r>
        <w:rPr>
          <w:rFonts w:hint="eastAsia" w:ascii="Times New Roman" w:hAnsi="Times New Roman"/>
          <w:bCs/>
          <w:sz w:val="22"/>
          <w:szCs w:val="21"/>
        </w:rPr>
        <w:t>（注：</w:t>
      </w:r>
      <w:r>
        <w:rPr>
          <w:rFonts w:ascii="Times New Roman" w:hAnsi="Times New Roman"/>
          <w:bCs/>
          <w:sz w:val="22"/>
          <w:szCs w:val="21"/>
        </w:rPr>
        <w:fldChar w:fldCharType="begin"/>
      </w:r>
      <w:r>
        <w:rPr>
          <w:rFonts w:ascii="Times New Roman" w:hAnsi="Times New Roman"/>
          <w:bCs/>
          <w:sz w:val="22"/>
          <w:szCs w:val="21"/>
        </w:rPr>
        <w:instrText xml:space="preserve"> = 1 \* GB3 \* MERGEFORMAT </w:instrText>
      </w:r>
      <w:r>
        <w:rPr>
          <w:rFonts w:ascii="Times New Roman" w:hAnsi="Times New Roman"/>
          <w:bCs/>
          <w:sz w:val="22"/>
          <w:szCs w:val="21"/>
        </w:rPr>
        <w:fldChar w:fldCharType="separate"/>
      </w:r>
      <w:r>
        <w:rPr>
          <w:rFonts w:hint="eastAsia" w:hAnsi="宋体" w:cs="宋体"/>
          <w:bCs/>
          <w:sz w:val="22"/>
          <w:szCs w:val="21"/>
        </w:rPr>
        <w:t>①</w:t>
      </w:r>
      <w:r>
        <w:rPr>
          <w:rFonts w:ascii="Times New Roman" w:hAnsi="Times New Roman"/>
          <w:bCs/>
          <w:sz w:val="22"/>
          <w:szCs w:val="21"/>
        </w:rPr>
        <w:fldChar w:fldCharType="end"/>
      </w:r>
      <w:r>
        <w:rPr>
          <w:rFonts w:hint="eastAsia" w:ascii="Times New Roman" w:hAnsi="Times New Roman"/>
          <w:bCs/>
          <w:sz w:val="22"/>
          <w:szCs w:val="21"/>
        </w:rPr>
        <w:t>因投标人自身原因造成的保证金延迟退还或者投标人和采购代理机构书面协商可以延迟退还的，采购代理机构不承担相应责任；</w:t>
      </w:r>
      <w:r>
        <w:rPr>
          <w:rFonts w:ascii="Times New Roman" w:hAnsi="Times New Roman"/>
          <w:bCs/>
          <w:sz w:val="22"/>
          <w:szCs w:val="21"/>
        </w:rPr>
        <w:fldChar w:fldCharType="begin"/>
      </w:r>
      <w:r>
        <w:rPr>
          <w:rFonts w:ascii="Times New Roman" w:hAnsi="Times New Roman"/>
          <w:bCs/>
          <w:sz w:val="22"/>
          <w:szCs w:val="21"/>
        </w:rPr>
        <w:instrText xml:space="preserve"> = 2 \* GB3 \* MERGEFORMAT </w:instrText>
      </w:r>
      <w:r>
        <w:rPr>
          <w:rFonts w:ascii="Times New Roman" w:hAnsi="Times New Roman"/>
          <w:bCs/>
          <w:sz w:val="22"/>
          <w:szCs w:val="21"/>
        </w:rPr>
        <w:fldChar w:fldCharType="separate"/>
      </w:r>
      <w:r>
        <w:rPr>
          <w:rFonts w:hint="eastAsia" w:hAnsi="宋体" w:cs="宋体"/>
          <w:bCs/>
          <w:sz w:val="22"/>
          <w:szCs w:val="21"/>
        </w:rPr>
        <w:t>②</w:t>
      </w:r>
      <w:r>
        <w:rPr>
          <w:rFonts w:ascii="Times New Roman" w:hAnsi="Times New Roman"/>
          <w:bCs/>
          <w:sz w:val="22"/>
          <w:szCs w:val="21"/>
        </w:rPr>
        <w:fldChar w:fldCharType="end"/>
      </w:r>
      <w:r>
        <w:rPr>
          <w:rFonts w:hint="eastAsia" w:ascii="Times New Roman" w:hAnsi="Times New Roman"/>
          <w:bCs/>
          <w:sz w:val="22"/>
          <w:szCs w:val="21"/>
        </w:rPr>
        <w:t>供应商因涉嫌违法违规，按照规定应当不予退还保证金的，有关部门处理认定违法违规行为期间不计入退还保证金时限之内。）</w:t>
      </w:r>
      <w:r>
        <w:rPr>
          <w:rFonts w:hint="eastAsia" w:ascii="Times New Roman" w:hAnsi="Times New Roman"/>
          <w:sz w:val="22"/>
          <w:szCs w:val="21"/>
        </w:rPr>
        <w:t>；</w:t>
      </w:r>
    </w:p>
    <w:p>
      <w:pPr>
        <w:spacing w:line="400" w:lineRule="exact"/>
        <w:ind w:firstLine="440" w:firstLineChars="200"/>
        <w:rPr>
          <w:rFonts w:ascii="Times New Roman" w:hAnsi="Times New Roman"/>
          <w:sz w:val="22"/>
          <w:szCs w:val="21"/>
        </w:rPr>
      </w:pPr>
      <w:r>
        <w:rPr>
          <w:rFonts w:ascii="Times New Roman" w:hAnsi="Times New Roman"/>
          <w:sz w:val="22"/>
          <w:szCs w:val="21"/>
        </w:rPr>
        <w:t>16.4</w:t>
      </w:r>
      <w:r>
        <w:rPr>
          <w:rFonts w:hint="eastAsia" w:ascii="Times New Roman" w:hAnsi="Times New Roman"/>
          <w:sz w:val="22"/>
          <w:szCs w:val="21"/>
        </w:rPr>
        <w:t>发生下列情形之一的，采购代理机构可以不予退还投标保证金：</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）在招标文件规定的投标截止时间后撤回投标的；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）在采购人确定中标人以前放弃中标候选资格的；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）中标后放弃中标、不领取或者不接收中标通知书的；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）由于中标人的原因未能按照招标文件的规定与采购人签订合同的；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）由于中标人的原因未能按照招标文件的规定交纳履约保证金的；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）投标人提供虚假资料的；</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）投标有效期内，投标人在政府采购活动中有违法、违规、违纪行为。</w:t>
      </w:r>
    </w:p>
    <w:p>
      <w:pPr>
        <w:spacing w:line="400" w:lineRule="exact"/>
        <w:ind w:firstLine="431" w:firstLineChars="196"/>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）投标有效期内，投标人撤销投标文件的。</w:t>
      </w:r>
    </w:p>
    <w:p>
      <w:pPr>
        <w:pStyle w:val="5"/>
        <w:spacing w:line="400" w:lineRule="exact"/>
        <w:rPr>
          <w:rFonts w:hAnsi="Times New Roman"/>
          <w:sz w:val="22"/>
          <w:szCs w:val="21"/>
        </w:rPr>
      </w:pPr>
      <w:r>
        <w:rPr>
          <w:rFonts w:hAnsi="Times New Roman"/>
          <w:sz w:val="22"/>
          <w:szCs w:val="21"/>
        </w:rPr>
        <w:t>17</w:t>
      </w:r>
      <w:r>
        <w:rPr>
          <w:rFonts w:hint="eastAsia" w:hAnsi="Times New Roman"/>
          <w:sz w:val="22"/>
          <w:szCs w:val="21"/>
        </w:rPr>
        <w:t>．投标有效期</w:t>
      </w:r>
      <w:bookmarkEnd w:id="90"/>
      <w:bookmarkEnd w:id="91"/>
      <w:bookmarkEnd w:id="92"/>
      <w:bookmarkEnd w:id="93"/>
    </w:p>
    <w:p>
      <w:pPr>
        <w:tabs>
          <w:tab w:val="left" w:pos="7665"/>
        </w:tabs>
        <w:spacing w:line="400" w:lineRule="exact"/>
        <w:ind w:left="20" w:leftChars="6" w:firstLine="440" w:firstLineChars="200"/>
        <w:rPr>
          <w:rFonts w:ascii="Times New Roman" w:hAnsi="Times New Roman"/>
          <w:sz w:val="22"/>
          <w:szCs w:val="21"/>
        </w:rPr>
      </w:pPr>
      <w:bookmarkStart w:id="113" w:name="_Toc183682362"/>
      <w:bookmarkStart w:id="114" w:name="_Toc183582225"/>
      <w:bookmarkStart w:id="115" w:name="_Toc23833"/>
      <w:bookmarkStart w:id="116" w:name="_Toc217446052"/>
      <w:r>
        <w:rPr>
          <w:rFonts w:ascii="Times New Roman" w:hAnsi="Times New Roman"/>
          <w:sz w:val="22"/>
          <w:szCs w:val="21"/>
        </w:rPr>
        <w:t xml:space="preserve">17.1 </w:t>
      </w:r>
      <w:r>
        <w:rPr>
          <w:rFonts w:hint="eastAsia" w:ascii="Times New Roman" w:hAnsi="Times New Roman"/>
          <w:sz w:val="22"/>
          <w:szCs w:val="21"/>
        </w:rPr>
        <w:t>本项目投标有效期为投标截止时间届满后</w:t>
      </w:r>
      <w:r>
        <w:rPr>
          <w:rFonts w:hint="eastAsia" w:ascii="Times New Roman" w:hAnsi="Times New Roman"/>
          <w:b/>
          <w:bCs/>
          <w:sz w:val="22"/>
          <w:szCs w:val="21"/>
        </w:rPr>
        <w:t>90</w:t>
      </w:r>
      <w:r>
        <w:rPr>
          <w:rFonts w:hint="eastAsia" w:ascii="Times New Roman" w:hAnsi="Times New Roman"/>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17.2 </w:t>
      </w:r>
      <w:r>
        <w:rPr>
          <w:rFonts w:hint="eastAsia" w:ascii="Times New Roman" w:hAnsi="Times New Roman"/>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r>
        <w:rPr>
          <w:rFonts w:ascii="Times New Roman" w:hAnsi="Times New Roman"/>
          <w:sz w:val="22"/>
          <w:szCs w:val="21"/>
        </w:rPr>
        <w:t xml:space="preserve"> </w:t>
      </w:r>
    </w:p>
    <w:p>
      <w:pPr>
        <w:tabs>
          <w:tab w:val="left" w:pos="7665"/>
        </w:tabs>
        <w:spacing w:line="400" w:lineRule="exact"/>
        <w:ind w:left="20" w:leftChars="6" w:firstLine="330" w:firstLineChars="150"/>
        <w:rPr>
          <w:rFonts w:ascii="Times New Roman" w:hAnsi="Times New Roman"/>
          <w:sz w:val="22"/>
          <w:szCs w:val="21"/>
        </w:rPr>
      </w:pPr>
      <w:r>
        <w:rPr>
          <w:rFonts w:ascii="Times New Roman" w:hAnsi="Times New Roman"/>
          <w:sz w:val="22"/>
          <w:szCs w:val="21"/>
        </w:rPr>
        <w:t xml:space="preserve">17.3 </w:t>
      </w:r>
      <w:r>
        <w:rPr>
          <w:rFonts w:hint="eastAsia" w:ascii="Times New Roman" w:hAnsi="Times New Roman"/>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5"/>
        <w:spacing w:line="400" w:lineRule="exact"/>
        <w:rPr>
          <w:rFonts w:hAnsi="Times New Roman"/>
          <w:sz w:val="22"/>
          <w:szCs w:val="21"/>
        </w:rPr>
      </w:pPr>
      <w:r>
        <w:rPr>
          <w:rFonts w:hAnsi="Times New Roman"/>
          <w:sz w:val="22"/>
          <w:szCs w:val="21"/>
        </w:rPr>
        <w:t>18</w:t>
      </w:r>
      <w:r>
        <w:rPr>
          <w:rFonts w:hint="eastAsia" w:hAnsi="Times New Roman"/>
          <w:sz w:val="22"/>
          <w:szCs w:val="21"/>
        </w:rPr>
        <w:t>．投标文件的印制和签署</w:t>
      </w:r>
      <w:bookmarkEnd w:id="113"/>
      <w:bookmarkEnd w:id="114"/>
      <w:bookmarkEnd w:id="115"/>
      <w:bookmarkEnd w:id="116"/>
    </w:p>
    <w:p>
      <w:pPr>
        <w:tabs>
          <w:tab w:val="left" w:pos="7665"/>
        </w:tabs>
        <w:spacing w:line="400" w:lineRule="exact"/>
        <w:ind w:left="20" w:leftChars="6" w:firstLine="330" w:firstLineChars="150"/>
        <w:rPr>
          <w:rFonts w:ascii="Times New Roman" w:hAnsi="Times New Roman"/>
          <w:sz w:val="22"/>
          <w:szCs w:val="21"/>
        </w:rPr>
      </w:pPr>
      <w:bookmarkStart w:id="117" w:name="_Toc183582226"/>
      <w:bookmarkStart w:id="118" w:name="_Toc89075877"/>
      <w:bookmarkStart w:id="119" w:name="_Toc77400781"/>
      <w:bookmarkStart w:id="120" w:name="_Toc183682363"/>
      <w:bookmarkStart w:id="121" w:name="_Toc217446053"/>
      <w:bookmarkStart w:id="122" w:name="_Toc20628"/>
      <w:r>
        <w:rPr>
          <w:rFonts w:ascii="Times New Roman" w:hAnsi="Times New Roman"/>
          <w:sz w:val="22"/>
          <w:szCs w:val="21"/>
        </w:rPr>
        <w:t xml:space="preserve">18.1 </w:t>
      </w:r>
      <w:r>
        <w:rPr>
          <w:rFonts w:hint="eastAsia" w:ascii="Times New Roman" w:hAnsi="Times New Roman"/>
          <w:sz w:val="22"/>
          <w:szCs w:val="21"/>
        </w:rPr>
        <w:t>投标文件分为</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和</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18.2 </w:t>
      </w:r>
      <w:r>
        <w:rPr>
          <w:rFonts w:hint="eastAsia" w:ascii="Times New Roman" w:hAnsi="Times New Roman"/>
          <w:sz w:val="22"/>
          <w:szCs w:val="21"/>
        </w:rPr>
        <w:t>投标人应按</w:t>
      </w:r>
      <w:r>
        <w:rPr>
          <w:rFonts w:ascii="Times New Roman" w:hAnsi="Times New Roman"/>
          <w:sz w:val="22"/>
          <w:szCs w:val="21"/>
        </w:rPr>
        <w:t>18.1</w:t>
      </w:r>
      <w:r>
        <w:rPr>
          <w:rFonts w:hint="eastAsia" w:ascii="Times New Roman" w:hAnsi="Times New Roman"/>
          <w:sz w:val="22"/>
          <w:szCs w:val="21"/>
        </w:rPr>
        <w:t>准备两部分投标文件，每部分包含正本壹份、副本四份和相应的电子文档</w:t>
      </w:r>
      <w:r>
        <w:rPr>
          <w:rFonts w:ascii="Times New Roman" w:hAnsi="Times New Roman"/>
          <w:sz w:val="22"/>
          <w:szCs w:val="21"/>
        </w:rPr>
        <w:t>“U</w:t>
      </w:r>
      <w:r>
        <w:rPr>
          <w:rFonts w:hint="eastAsia" w:ascii="Times New Roman" w:hAnsi="Times New Roman"/>
          <w:sz w:val="22"/>
          <w:szCs w:val="21"/>
        </w:rPr>
        <w:t>盘</w:t>
      </w:r>
      <w:r>
        <w:rPr>
          <w:rFonts w:ascii="Times New Roman" w:hAnsi="Times New Roman"/>
          <w:sz w:val="22"/>
          <w:szCs w:val="21"/>
        </w:rPr>
        <w:t>”</w:t>
      </w:r>
      <w:r>
        <w:rPr>
          <w:rFonts w:hint="eastAsia" w:ascii="Times New Roman" w:hAnsi="Times New Roman"/>
          <w:sz w:val="22"/>
          <w:szCs w:val="21"/>
        </w:rPr>
        <w:t>壹份，以及用于开标唱标单独密封提交的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（壹份）。投标文件的正本和副本应在其封面右上角清楚地标明</w:t>
      </w:r>
      <w:r>
        <w:rPr>
          <w:rFonts w:ascii="Times New Roman" w:hAnsi="Times New Roman"/>
          <w:sz w:val="22"/>
          <w:szCs w:val="21"/>
        </w:rPr>
        <w:t>“</w:t>
      </w:r>
      <w:r>
        <w:rPr>
          <w:rFonts w:hint="eastAsia" w:ascii="Times New Roman" w:hAnsi="Times New Roman"/>
          <w:sz w:val="22"/>
          <w:szCs w:val="21"/>
        </w:rPr>
        <w:t>正本</w:t>
      </w:r>
      <w:r>
        <w:rPr>
          <w:rFonts w:ascii="Times New Roman" w:hAnsi="Times New Roman"/>
          <w:sz w:val="22"/>
          <w:szCs w:val="21"/>
        </w:rPr>
        <w:t>”</w:t>
      </w:r>
      <w:r>
        <w:rPr>
          <w:rFonts w:hint="eastAsia" w:ascii="Times New Roman" w:hAnsi="Times New Roman"/>
          <w:sz w:val="22"/>
          <w:szCs w:val="21"/>
        </w:rPr>
        <w:t>或</w:t>
      </w:r>
      <w:r>
        <w:rPr>
          <w:rFonts w:ascii="Times New Roman" w:hAnsi="Times New Roman"/>
          <w:sz w:val="22"/>
          <w:szCs w:val="21"/>
        </w:rPr>
        <w:t>“</w:t>
      </w:r>
      <w:r>
        <w:rPr>
          <w:rFonts w:hint="eastAsia" w:ascii="Times New Roman" w:hAnsi="Times New Roman"/>
          <w:sz w:val="22"/>
          <w:szCs w:val="21"/>
        </w:rPr>
        <w:t>副本</w:t>
      </w:r>
      <w:r>
        <w:rPr>
          <w:rFonts w:ascii="Times New Roman" w:hAnsi="Times New Roman"/>
          <w:sz w:val="22"/>
          <w:szCs w:val="21"/>
        </w:rPr>
        <w:t>”</w:t>
      </w:r>
      <w:r>
        <w:rPr>
          <w:rFonts w:hint="eastAsia" w:ascii="Times New Roman" w:hAnsi="Times New Roman"/>
          <w:sz w:val="22"/>
          <w:szCs w:val="21"/>
        </w:rPr>
        <w:t>字样。若正本和副本有不一致的内容，以正本书面投标文件为准。</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18.3 </w:t>
      </w:r>
      <w:r>
        <w:rPr>
          <w:rFonts w:hint="eastAsia" w:ascii="Times New Roman" w:hAnsi="宋体"/>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18.4 </w:t>
      </w:r>
      <w:r>
        <w:rPr>
          <w:rFonts w:hint="eastAsia" w:ascii="Times New Roman" w:hAnsi="宋体"/>
          <w:sz w:val="22"/>
          <w:szCs w:val="21"/>
        </w:rPr>
        <w:t>投标文件正本和副本须装订成册并编码（左侧胶装）。</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18.5 </w:t>
      </w:r>
      <w:r>
        <w:rPr>
          <w:rFonts w:hint="eastAsia" w:ascii="Times New Roman" w:hAnsi="宋体"/>
          <w:sz w:val="22"/>
          <w:szCs w:val="21"/>
        </w:rPr>
        <w:t>投标文件统一用</w:t>
      </w:r>
      <w:r>
        <w:rPr>
          <w:rFonts w:ascii="Times New Roman" w:hAnsi="Times New Roman"/>
          <w:sz w:val="22"/>
          <w:szCs w:val="21"/>
        </w:rPr>
        <w:t>A4</w:t>
      </w:r>
      <w:r>
        <w:rPr>
          <w:rFonts w:hint="eastAsia" w:ascii="Times New Roman" w:hAnsi="宋体"/>
          <w:sz w:val="22"/>
          <w:szCs w:val="21"/>
        </w:rPr>
        <w:t>幅面纸印制。</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 xml:space="preserve">18.6  </w:t>
      </w:r>
      <w:r>
        <w:rPr>
          <w:rFonts w:hint="eastAsia" w:ascii="Times New Roman" w:hAnsi="宋体"/>
          <w:sz w:val="22"/>
          <w:szCs w:val="21"/>
        </w:rPr>
        <w:t>投标文件须连续、逐页编制页码便于评标小组进行评审。</w:t>
      </w:r>
    </w:p>
    <w:p>
      <w:pPr>
        <w:tabs>
          <w:tab w:val="left" w:pos="7665"/>
        </w:tabs>
        <w:spacing w:line="276" w:lineRule="auto"/>
        <w:ind w:firstLine="440" w:firstLineChars="200"/>
        <w:rPr>
          <w:rFonts w:ascii="Times New Roman" w:hAnsi="Times New Roman"/>
          <w:sz w:val="22"/>
          <w:szCs w:val="21"/>
        </w:rPr>
      </w:pPr>
      <w:r>
        <w:rPr>
          <w:rFonts w:ascii="Times New Roman" w:hAnsi="Times New Roman"/>
          <w:sz w:val="22"/>
          <w:szCs w:val="21"/>
        </w:rPr>
        <w:t>18.7</w:t>
      </w:r>
      <w:r>
        <w:rPr>
          <w:rFonts w:hint="eastAsia" w:ascii="Times New Roman" w:hAnsi="宋体"/>
          <w:sz w:val="22"/>
          <w:szCs w:val="21"/>
        </w:rPr>
        <w:t>投标文件应根据招标文件的要求制作，签署、盖章和内容应完整，如有遗漏，投标人将自行承担其投标文件被视为无效投标文件的风险。</w:t>
      </w:r>
    </w:p>
    <w:p>
      <w:pPr>
        <w:pStyle w:val="5"/>
        <w:spacing w:line="400" w:lineRule="exact"/>
        <w:rPr>
          <w:rFonts w:hAnsi="Times New Roman"/>
          <w:sz w:val="22"/>
          <w:szCs w:val="21"/>
        </w:rPr>
      </w:pPr>
      <w:r>
        <w:rPr>
          <w:rFonts w:hAnsi="Times New Roman"/>
          <w:sz w:val="22"/>
          <w:szCs w:val="21"/>
        </w:rPr>
        <w:t xml:space="preserve">19. </w:t>
      </w:r>
      <w:r>
        <w:rPr>
          <w:rFonts w:hint="eastAsia" w:hAnsi="Times New Roman"/>
          <w:sz w:val="22"/>
          <w:szCs w:val="21"/>
        </w:rPr>
        <w:t>投标文件的密封和标</w:t>
      </w:r>
      <w:bookmarkEnd w:id="117"/>
      <w:bookmarkEnd w:id="118"/>
      <w:bookmarkEnd w:id="119"/>
      <w:bookmarkEnd w:id="120"/>
      <w:r>
        <w:rPr>
          <w:rFonts w:hint="eastAsia" w:hAnsi="Times New Roman"/>
          <w:sz w:val="22"/>
          <w:szCs w:val="21"/>
        </w:rPr>
        <w:t>注</w:t>
      </w:r>
      <w:bookmarkEnd w:id="121"/>
      <w:bookmarkEnd w:id="122"/>
    </w:p>
    <w:p>
      <w:pPr>
        <w:tabs>
          <w:tab w:val="left" w:pos="1080"/>
        </w:tabs>
        <w:spacing w:line="400" w:lineRule="exact"/>
        <w:ind w:firstLine="440" w:firstLineChars="200"/>
        <w:rPr>
          <w:rFonts w:ascii="Times New Roman" w:hAnsi="Times New Roman"/>
          <w:sz w:val="22"/>
          <w:szCs w:val="21"/>
        </w:rPr>
      </w:pPr>
      <w:r>
        <w:rPr>
          <w:rFonts w:ascii="Times New Roman" w:hAnsi="Times New Roman"/>
          <w:sz w:val="22"/>
          <w:szCs w:val="21"/>
        </w:rPr>
        <w:t xml:space="preserve">19.1 </w:t>
      </w:r>
      <w:r>
        <w:rPr>
          <w:rFonts w:hint="eastAsia" w:ascii="Times New Roman" w:hAnsi="Times New Roman"/>
          <w:sz w:val="22"/>
          <w:szCs w:val="21"/>
        </w:rPr>
        <w:t>投标人应在投标文件正本和所有副本的封面上注明</w:t>
      </w:r>
      <w:r>
        <w:rPr>
          <w:rFonts w:ascii="Times New Roman" w:hAnsi="Times New Roman"/>
          <w:sz w:val="22"/>
          <w:szCs w:val="21"/>
        </w:rPr>
        <w:t>“</w:t>
      </w:r>
      <w:r>
        <w:rPr>
          <w:rFonts w:hint="eastAsia" w:ascii="Times New Roman" w:hAnsi="Times New Roman"/>
          <w:sz w:val="22"/>
          <w:szCs w:val="21"/>
        </w:rPr>
        <w:t>资格性投标文件</w:t>
      </w:r>
      <w:r>
        <w:rPr>
          <w:rFonts w:ascii="Times New Roman" w:hAnsi="Times New Roman"/>
          <w:sz w:val="22"/>
          <w:szCs w:val="21"/>
        </w:rPr>
        <w:t>/</w:t>
      </w:r>
      <w:r>
        <w:rPr>
          <w:rFonts w:hint="eastAsia" w:ascii="Times New Roman" w:hAnsi="Times New Roman"/>
          <w:sz w:val="22"/>
          <w:szCs w:val="21"/>
        </w:rPr>
        <w:t>其他响应性投标文件、正本</w:t>
      </w:r>
      <w:r>
        <w:rPr>
          <w:rFonts w:ascii="Times New Roman" w:hAnsi="Times New Roman"/>
          <w:sz w:val="22"/>
          <w:szCs w:val="21"/>
        </w:rPr>
        <w:t>/</w:t>
      </w:r>
      <w:r>
        <w:rPr>
          <w:rFonts w:hint="eastAsia" w:ascii="Times New Roman" w:hAnsi="Times New Roman"/>
          <w:sz w:val="22"/>
          <w:szCs w:val="21"/>
        </w:rPr>
        <w:t>副本、投标人名称、招标编号、项目名称及分包号（如有分包）</w:t>
      </w:r>
      <w:r>
        <w:rPr>
          <w:rFonts w:ascii="Times New Roman" w:hAnsi="Times New Roman"/>
          <w:sz w:val="22"/>
          <w:szCs w:val="21"/>
        </w:rPr>
        <w:t>”</w:t>
      </w:r>
      <w:r>
        <w:rPr>
          <w:rFonts w:hint="eastAsia" w:ascii="Times New Roman" w:hAnsi="Times New Roman"/>
          <w:sz w:val="22"/>
          <w:szCs w:val="21"/>
        </w:rPr>
        <w:t>。</w:t>
      </w:r>
    </w:p>
    <w:p>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19.2 </w:t>
      </w:r>
      <w:r>
        <w:rPr>
          <w:rFonts w:hint="eastAsia" w:ascii="Times New Roman" w:hAnsi="Times New Roman"/>
          <w:sz w:val="22"/>
          <w:szCs w:val="21"/>
        </w:rPr>
        <w:t>投标文件包括资格性投标文件正本及副本、其他响应性投标文件正本及副本</w:t>
      </w:r>
      <w:r>
        <w:rPr>
          <w:rFonts w:hint="eastAsia" w:ascii="Times New Roman" w:hAnsi="宋体"/>
          <w:sz w:val="22"/>
          <w:szCs w:val="21"/>
        </w:rPr>
        <w:t>、电子文档</w:t>
      </w:r>
      <w:r>
        <w:rPr>
          <w:rFonts w:hint="eastAsia" w:ascii="Times New Roman" w:hAnsi="Times New Roman"/>
          <w:sz w:val="22"/>
          <w:szCs w:val="21"/>
        </w:rPr>
        <w:t>和用于开标唱标单独提交的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。投标文件应当密封，其中，</w:t>
      </w:r>
      <w:r>
        <w:rPr>
          <w:rFonts w:ascii="Times New Roman" w:hAnsi="Times New Roman"/>
          <w:sz w:val="22"/>
          <w:szCs w:val="21"/>
        </w:rPr>
        <w:t>“</w:t>
      </w:r>
      <w:r>
        <w:rPr>
          <w:rFonts w:hint="eastAsia" w:ascii="Times New Roman" w:hAnsi="Times New Roman"/>
          <w:sz w:val="22"/>
          <w:szCs w:val="21"/>
        </w:rPr>
        <w:t>电子文档</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单独密封。</w:t>
      </w:r>
    </w:p>
    <w:p>
      <w:pPr>
        <w:tabs>
          <w:tab w:val="left" w:pos="1080"/>
        </w:tabs>
        <w:spacing w:line="400" w:lineRule="exact"/>
        <w:ind w:firstLine="422" w:firstLineChars="192"/>
        <w:rPr>
          <w:rFonts w:ascii="Times New Roman" w:hAnsi="Times New Roman"/>
          <w:sz w:val="22"/>
          <w:szCs w:val="21"/>
        </w:rPr>
      </w:pPr>
      <w:r>
        <w:rPr>
          <w:rFonts w:ascii="Times New Roman" w:hAnsi="Times New Roman"/>
          <w:sz w:val="22"/>
          <w:szCs w:val="21"/>
        </w:rPr>
        <w:t xml:space="preserve">19.3 </w:t>
      </w:r>
      <w:r>
        <w:rPr>
          <w:rFonts w:hint="eastAsia" w:ascii="Times New Roman" w:hAnsi="Times New Roman"/>
          <w:sz w:val="22"/>
          <w:szCs w:val="21"/>
        </w:rPr>
        <w:t>投标文件的密封袋上应当注明资格性投标文件</w:t>
      </w:r>
      <w:r>
        <w:rPr>
          <w:rFonts w:ascii="Times New Roman" w:hAnsi="Times New Roman"/>
          <w:sz w:val="22"/>
          <w:szCs w:val="21"/>
        </w:rPr>
        <w:t>/</w:t>
      </w:r>
      <w:r>
        <w:rPr>
          <w:rFonts w:hint="eastAsia" w:ascii="Times New Roman" w:hAnsi="Times New Roman"/>
          <w:sz w:val="22"/>
          <w:szCs w:val="21"/>
        </w:rPr>
        <w:t>其他响应性投标文件</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电子文档、投标人名称、招标编号、项目名称及分包号（如有分包）。</w:t>
      </w:r>
    </w:p>
    <w:p>
      <w:pPr>
        <w:tabs>
          <w:tab w:val="left" w:pos="7665"/>
        </w:tabs>
        <w:spacing w:line="276" w:lineRule="auto"/>
        <w:ind w:firstLine="440" w:firstLineChars="200"/>
        <w:rPr>
          <w:rFonts w:ascii="Times New Roman" w:hAnsi="Times New Roman"/>
          <w:sz w:val="32"/>
          <w:szCs w:val="21"/>
        </w:rPr>
      </w:pPr>
      <w:r>
        <w:rPr>
          <w:rFonts w:ascii="Times New Roman" w:hAnsi="Times New Roman"/>
          <w:sz w:val="22"/>
          <w:szCs w:val="21"/>
        </w:rPr>
        <w:t xml:space="preserve">19.4 </w:t>
      </w:r>
      <w:r>
        <w:rPr>
          <w:rFonts w:hint="eastAsia" w:ascii="Times New Roman" w:hAnsi="宋体"/>
          <w:sz w:val="22"/>
          <w:szCs w:val="21"/>
        </w:rPr>
        <w:t>所有外层密封袋的封口处应粘贴牢固，并加盖密封章（投标人公章）。</w:t>
      </w:r>
    </w:p>
    <w:p>
      <w:pPr>
        <w:pStyle w:val="5"/>
        <w:spacing w:line="400" w:lineRule="exact"/>
        <w:rPr>
          <w:rFonts w:hAnsi="Times New Roman"/>
          <w:sz w:val="22"/>
          <w:szCs w:val="21"/>
        </w:rPr>
      </w:pPr>
      <w:bookmarkStart w:id="123" w:name="_Toc183682364"/>
      <w:bookmarkStart w:id="124" w:name="_Toc183582227"/>
      <w:bookmarkStart w:id="125" w:name="_Toc308164804"/>
      <w:bookmarkStart w:id="126" w:name="_Toc217446054"/>
      <w:bookmarkStart w:id="127" w:name="_Toc25807"/>
      <w:bookmarkStart w:id="128" w:name="_Toc12048"/>
      <w:bookmarkStart w:id="129" w:name="_Toc20112"/>
      <w:bookmarkStart w:id="130" w:name="_Toc4869"/>
      <w:bookmarkStart w:id="131" w:name="_Toc21680"/>
      <w:bookmarkStart w:id="132" w:name="_Toc21425"/>
      <w:bookmarkStart w:id="133" w:name="_Toc217446082"/>
      <w:r>
        <w:rPr>
          <w:rFonts w:hAnsi="Times New Roman"/>
          <w:sz w:val="22"/>
          <w:szCs w:val="21"/>
        </w:rPr>
        <w:t>20</w:t>
      </w:r>
      <w:r>
        <w:rPr>
          <w:rFonts w:hint="eastAsia" w:hAnsi="Times New Roman"/>
          <w:sz w:val="22"/>
          <w:szCs w:val="21"/>
        </w:rPr>
        <w:t>．投标文件的</w:t>
      </w:r>
      <w:bookmarkEnd w:id="123"/>
      <w:bookmarkEnd w:id="124"/>
      <w:r>
        <w:rPr>
          <w:rFonts w:hint="eastAsia" w:hAnsi="Times New Roman"/>
          <w:sz w:val="22"/>
          <w:szCs w:val="21"/>
        </w:rPr>
        <w:t>递交</w:t>
      </w:r>
      <w:bookmarkEnd w:id="125"/>
      <w:bookmarkEnd w:id="126"/>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20.1 </w:t>
      </w:r>
      <w:r>
        <w:rPr>
          <w:rFonts w:hint="eastAsia" w:ascii="Times New Roman" w:hAnsi="Times New Roman"/>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20.2</w:t>
      </w:r>
      <w:r>
        <w:rPr>
          <w:rFonts w:hint="eastAsia" w:ascii="Times New Roman" w:hAnsi="Times New Roman"/>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20.3</w:t>
      </w:r>
      <w:r>
        <w:rPr>
          <w:rFonts w:hint="eastAsia" w:ascii="Times New Roman" w:hAnsi="Times New Roman"/>
          <w:sz w:val="22"/>
          <w:szCs w:val="21"/>
        </w:rPr>
        <w:t>本次招标不接收邮寄的投标文件。</w:t>
      </w:r>
    </w:p>
    <w:p>
      <w:pPr>
        <w:pStyle w:val="5"/>
        <w:spacing w:line="400" w:lineRule="exact"/>
        <w:rPr>
          <w:rFonts w:hAnsi="Times New Roman"/>
          <w:sz w:val="22"/>
        </w:rPr>
      </w:pPr>
      <w:bookmarkStart w:id="134" w:name="_Toc183682365"/>
      <w:bookmarkStart w:id="135" w:name="_Toc183582228"/>
      <w:bookmarkStart w:id="136" w:name="_Toc217446055"/>
      <w:bookmarkStart w:id="137" w:name="_Toc217446056"/>
      <w:bookmarkStart w:id="138" w:name="_Toc183682368"/>
      <w:bookmarkStart w:id="139" w:name="_Toc77400782"/>
      <w:bookmarkStart w:id="140" w:name="_Toc183582231"/>
      <w:bookmarkStart w:id="141" w:name="_Toc308164805"/>
      <w:bookmarkStart w:id="142" w:name="_Toc89075878"/>
      <w:r>
        <w:rPr>
          <w:rFonts w:hAnsi="Times New Roman"/>
          <w:sz w:val="22"/>
          <w:szCs w:val="21"/>
        </w:rPr>
        <w:t>21</w:t>
      </w:r>
      <w:r>
        <w:rPr>
          <w:rFonts w:hint="eastAsia" w:hAnsi="Times New Roman"/>
          <w:sz w:val="22"/>
          <w:szCs w:val="21"/>
        </w:rPr>
        <w:t>．投标文件的修改和撤</w:t>
      </w:r>
      <w:bookmarkEnd w:id="134"/>
      <w:bookmarkEnd w:id="135"/>
      <w:r>
        <w:rPr>
          <w:rFonts w:hint="eastAsia" w:hAnsi="Times New Roman"/>
          <w:sz w:val="22"/>
          <w:szCs w:val="21"/>
        </w:rPr>
        <w:t>回</w:t>
      </w:r>
      <w:bookmarkEnd w:id="136"/>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21.1 </w:t>
      </w:r>
      <w:r>
        <w:rPr>
          <w:rFonts w:hint="eastAsia" w:ascii="Times New Roman" w:hAnsi="Times New Roman"/>
          <w:sz w:val="22"/>
          <w:szCs w:val="21"/>
        </w:rPr>
        <w:t>投标人在递交了投标文件后，可以修改或撤回其投标文件，但必须在规定的投标截止时间前，以书面形式通知采购代理机构。</w:t>
      </w:r>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21.2 </w:t>
      </w:r>
      <w:r>
        <w:rPr>
          <w:rFonts w:hint="eastAsia" w:ascii="Times New Roman" w:hAnsi="Times New Roman"/>
          <w:sz w:val="22"/>
          <w:szCs w:val="21"/>
        </w:rPr>
        <w:t>投标人的修改书或撤回通知书，应由其法定代表人或委托代理人签署并盖单位印章。修改书应按投标须知第</w:t>
      </w:r>
      <w:r>
        <w:rPr>
          <w:rFonts w:ascii="Times New Roman" w:hAnsi="Times New Roman"/>
          <w:sz w:val="22"/>
          <w:szCs w:val="21"/>
        </w:rPr>
        <w:t>19</w:t>
      </w:r>
      <w:r>
        <w:rPr>
          <w:rFonts w:hint="eastAsia" w:ascii="Times New Roman" w:hAnsi="Times New Roman"/>
          <w:sz w:val="22"/>
          <w:szCs w:val="21"/>
        </w:rPr>
        <w:t>条规定进行密封和标注，并在密封袋上标注</w:t>
      </w:r>
      <w:r>
        <w:rPr>
          <w:rFonts w:ascii="Times New Roman" w:hAnsi="Times New Roman"/>
          <w:sz w:val="22"/>
          <w:szCs w:val="21"/>
        </w:rPr>
        <w:t>“</w:t>
      </w:r>
      <w:r>
        <w:rPr>
          <w:rFonts w:hint="eastAsia" w:ascii="Times New Roman" w:hAnsi="Times New Roman"/>
          <w:sz w:val="22"/>
          <w:szCs w:val="21"/>
        </w:rPr>
        <w:t>修改</w:t>
      </w:r>
      <w:r>
        <w:rPr>
          <w:rFonts w:ascii="Times New Roman" w:hAnsi="Times New Roman"/>
          <w:sz w:val="22"/>
          <w:szCs w:val="21"/>
        </w:rPr>
        <w:t>”</w:t>
      </w:r>
      <w:r>
        <w:rPr>
          <w:rFonts w:hint="eastAsia" w:ascii="Times New Roman" w:hAnsi="Times New Roman"/>
          <w:sz w:val="22"/>
          <w:szCs w:val="21"/>
        </w:rPr>
        <w:t>字样。</w:t>
      </w:r>
    </w:p>
    <w:p>
      <w:pPr>
        <w:tabs>
          <w:tab w:val="left" w:pos="1095"/>
        </w:tabs>
        <w:spacing w:line="400" w:lineRule="exact"/>
        <w:ind w:firstLine="422" w:firstLineChars="192"/>
        <w:rPr>
          <w:rFonts w:ascii="Times New Roman" w:hAnsi="Times New Roman"/>
          <w:sz w:val="22"/>
          <w:szCs w:val="21"/>
        </w:rPr>
      </w:pPr>
      <w:r>
        <w:rPr>
          <w:rFonts w:ascii="Times New Roman" w:hAnsi="Times New Roman"/>
          <w:sz w:val="22"/>
          <w:szCs w:val="21"/>
        </w:rPr>
        <w:t xml:space="preserve">21.3 </w:t>
      </w:r>
      <w:r>
        <w:rPr>
          <w:rFonts w:hint="eastAsia" w:ascii="Times New Roman" w:hAnsi="Times New Roman"/>
          <w:sz w:val="22"/>
          <w:szCs w:val="21"/>
        </w:rPr>
        <w:t>在投标截止时间之后，投标人不得对其递交的投标文件做任何修改或撤销投标。</w:t>
      </w:r>
    </w:p>
    <w:p>
      <w:pPr>
        <w:pStyle w:val="4"/>
        <w:spacing w:line="400" w:lineRule="exact"/>
        <w:jc w:val="center"/>
        <w:rPr>
          <w:rFonts w:ascii="Times New Roman" w:hAnsi="Times New Roman"/>
          <w:sz w:val="28"/>
          <w:szCs w:val="22"/>
        </w:rPr>
      </w:pPr>
      <w:r>
        <w:rPr>
          <w:rFonts w:hint="eastAsia" w:ascii="Times New Roman"/>
          <w:sz w:val="28"/>
          <w:szCs w:val="22"/>
        </w:rPr>
        <w:t>五、开标和中标</w:t>
      </w:r>
      <w:bookmarkEnd w:id="137"/>
      <w:bookmarkEnd w:id="138"/>
      <w:bookmarkEnd w:id="139"/>
      <w:bookmarkEnd w:id="140"/>
      <w:bookmarkEnd w:id="141"/>
      <w:bookmarkEnd w:id="142"/>
    </w:p>
    <w:p>
      <w:pPr>
        <w:pStyle w:val="5"/>
        <w:spacing w:line="400" w:lineRule="exact"/>
        <w:rPr>
          <w:rFonts w:hAnsi="Times New Roman"/>
          <w:sz w:val="22"/>
          <w:szCs w:val="21"/>
        </w:rPr>
      </w:pPr>
      <w:bookmarkStart w:id="143" w:name="_Toc217446057"/>
      <w:bookmarkStart w:id="144" w:name="_Toc183582232"/>
      <w:bookmarkStart w:id="145" w:name="_Toc183682369"/>
      <w:bookmarkStart w:id="146" w:name="_Toc308164806"/>
      <w:r>
        <w:rPr>
          <w:rFonts w:hAnsi="Times New Roman"/>
          <w:sz w:val="22"/>
          <w:szCs w:val="21"/>
        </w:rPr>
        <w:t>22</w:t>
      </w:r>
      <w:r>
        <w:rPr>
          <w:rFonts w:hint="eastAsia" w:hAnsi="Times New Roman"/>
          <w:sz w:val="22"/>
          <w:szCs w:val="21"/>
        </w:rPr>
        <w:t>．开标</w:t>
      </w:r>
      <w:bookmarkEnd w:id="143"/>
      <w:bookmarkEnd w:id="144"/>
      <w:bookmarkEnd w:id="145"/>
      <w:bookmarkEnd w:id="146"/>
    </w:p>
    <w:p>
      <w:pPr>
        <w:spacing w:before="120" w:line="400" w:lineRule="exact"/>
        <w:ind w:firstLine="440" w:firstLineChars="200"/>
        <w:rPr>
          <w:rFonts w:ascii="Times New Roman" w:hAnsi="Times New Roman"/>
          <w:sz w:val="22"/>
          <w:szCs w:val="21"/>
        </w:rPr>
      </w:pPr>
      <w:r>
        <w:rPr>
          <w:rFonts w:ascii="Times New Roman" w:hAnsi="Times New Roman"/>
          <w:sz w:val="22"/>
          <w:szCs w:val="21"/>
        </w:rPr>
        <w:t xml:space="preserve">22.1 </w:t>
      </w:r>
      <w:r>
        <w:rPr>
          <w:rFonts w:hint="eastAsia" w:ascii="Times New Roman" w:hAnsi="Times New Roman"/>
          <w:sz w:val="22"/>
          <w:szCs w:val="21"/>
        </w:rPr>
        <w:t>开标在招标文件规定的时间和地点公开进行，采购人、投标人应派代表参加并签到以证明其出席。开标由采购代理机构主持，邀请投标人参加。评标委员会成员不参加开标活动。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22.2 </w:t>
      </w:r>
      <w:r>
        <w:rPr>
          <w:rFonts w:hint="eastAsia" w:ascii="Times New Roman" w:hAnsi="Times New Roman"/>
          <w:sz w:val="22"/>
          <w:szCs w:val="21"/>
        </w:rPr>
        <w:t>开标时，可根据具体情况邀请有关监督管理部门对开标活动进行现场监督。</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22.3 </w:t>
      </w:r>
      <w:r>
        <w:rPr>
          <w:rFonts w:hint="eastAsia" w:ascii="Times New Roman" w:hAnsi="Times New Roman"/>
          <w:sz w:val="22"/>
          <w:szCs w:val="21"/>
        </w:rPr>
        <w:t>开标时，由投标人或者其推选的代表检查其自己递交的投标文件的密封情况，经确认无误后，由招标工作人员将投标人单独递交的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当众拆封，并由唱标人员按照招标文件规定的内容进行宣读。</w:t>
      </w:r>
    </w:p>
    <w:p>
      <w:pPr>
        <w:spacing w:line="400" w:lineRule="exact"/>
        <w:ind w:firstLine="440" w:firstLineChars="200"/>
        <w:rPr>
          <w:rFonts w:ascii="Times New Roman" w:hAnsi="Times New Roman"/>
          <w:sz w:val="22"/>
          <w:szCs w:val="21"/>
        </w:rPr>
      </w:pPr>
      <w:r>
        <w:rPr>
          <w:rFonts w:ascii="Times New Roman" w:hAnsi="Times New Roman"/>
          <w:sz w:val="22"/>
          <w:szCs w:val="21"/>
        </w:rPr>
        <w:t>22.4</w:t>
      </w:r>
      <w:r>
        <w:rPr>
          <w:rFonts w:hint="eastAsia" w:ascii="Times New Roman" w:hAnsi="Times New Roman"/>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ascii="Times New Roman" w:hAnsi="Times New Roman"/>
          <w:sz w:val="22"/>
          <w:szCs w:val="21"/>
        </w:rPr>
        <w:t>.</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22.5 </w:t>
      </w:r>
      <w:r>
        <w:rPr>
          <w:rFonts w:hint="eastAsia" w:ascii="Times New Roman" w:hAnsi="Times New Roman"/>
          <w:sz w:val="22"/>
          <w:szCs w:val="21"/>
        </w:rPr>
        <w:t>投标文件中相关内容与</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不一致的，以</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为准。对不同文字文本投标文件的解释发生异议的，以中文文本为准。</w:t>
      </w:r>
    </w:p>
    <w:p>
      <w:pPr>
        <w:spacing w:line="400" w:lineRule="exact"/>
        <w:ind w:firstLine="440" w:firstLineChars="200"/>
        <w:rPr>
          <w:rFonts w:ascii="Times New Roman" w:hAnsi="Times New Roman"/>
          <w:sz w:val="22"/>
          <w:szCs w:val="21"/>
        </w:rPr>
      </w:pPr>
      <w:r>
        <w:rPr>
          <w:rFonts w:ascii="Times New Roman" w:hAnsi="Times New Roman"/>
          <w:sz w:val="22"/>
          <w:szCs w:val="21"/>
        </w:rPr>
        <w:t>22.6</w:t>
      </w:r>
      <w:r>
        <w:rPr>
          <w:rFonts w:hint="eastAsia" w:ascii="Times New Roman" w:hAnsi="Times New Roman"/>
          <w:sz w:val="22"/>
          <w:szCs w:val="21"/>
        </w:rPr>
        <w:t>所有投标唱标完毕，如投标人代表对宣读的</w:t>
      </w:r>
      <w:r>
        <w:rPr>
          <w:rFonts w:ascii="Times New Roman" w:hAnsi="Times New Roman"/>
          <w:sz w:val="22"/>
          <w:szCs w:val="21"/>
        </w:rPr>
        <w:t>“</w:t>
      </w:r>
      <w:r>
        <w:rPr>
          <w:rFonts w:hint="eastAsia" w:ascii="Times New Roman" w:hAnsi="Times New Roman"/>
          <w:sz w:val="22"/>
          <w:szCs w:val="21"/>
        </w:rPr>
        <w:t>开标一览表</w:t>
      </w:r>
      <w:r>
        <w:rPr>
          <w:rFonts w:ascii="Times New Roman" w:hAnsi="Times New Roman"/>
          <w:sz w:val="22"/>
          <w:szCs w:val="21"/>
        </w:rPr>
        <w:t>”</w:t>
      </w:r>
      <w:r>
        <w:rPr>
          <w:rFonts w:hint="eastAsia" w:ascii="Times New Roman" w:hAnsi="Times New Roman"/>
          <w:sz w:val="22"/>
          <w:szCs w:val="21"/>
        </w:rPr>
        <w:t>上的内容有异议的，应在获得开标会主持人同意后当场提出。</w:t>
      </w:r>
    </w:p>
    <w:p>
      <w:pPr>
        <w:spacing w:line="400" w:lineRule="exact"/>
        <w:ind w:firstLine="440" w:firstLineChars="200"/>
        <w:rPr>
          <w:rFonts w:ascii="Times New Roman" w:hAnsi="Times New Roman"/>
          <w:sz w:val="22"/>
          <w:szCs w:val="21"/>
        </w:rPr>
      </w:pPr>
      <w:r>
        <w:rPr>
          <w:rFonts w:ascii="Times New Roman" w:hAnsi="Times New Roman"/>
          <w:sz w:val="22"/>
          <w:szCs w:val="21"/>
        </w:rPr>
        <w:t>22.7</w:t>
      </w:r>
      <w:r>
        <w:rPr>
          <w:rFonts w:hint="eastAsia" w:ascii="Times New Roman" w:hAnsi="Times New Roman"/>
          <w:sz w:val="22"/>
          <w:szCs w:val="21"/>
        </w:rPr>
        <w:t>投标人未参加开标的，视同认可开标结果。</w:t>
      </w:r>
    </w:p>
    <w:p>
      <w:pPr>
        <w:pStyle w:val="5"/>
        <w:spacing w:line="400" w:lineRule="exact"/>
        <w:rPr>
          <w:rFonts w:hAnsi="Times New Roman"/>
          <w:sz w:val="22"/>
          <w:szCs w:val="21"/>
        </w:rPr>
      </w:pPr>
      <w:bookmarkStart w:id="147" w:name="_Toc308164807"/>
      <w:bookmarkStart w:id="148" w:name="_Toc217446058"/>
      <w:r>
        <w:rPr>
          <w:rFonts w:hAnsi="Times New Roman"/>
          <w:sz w:val="22"/>
          <w:szCs w:val="21"/>
        </w:rPr>
        <w:t xml:space="preserve">23. </w:t>
      </w:r>
      <w:r>
        <w:rPr>
          <w:rFonts w:hint="eastAsia" w:hAnsi="Times New Roman"/>
          <w:sz w:val="22"/>
          <w:szCs w:val="21"/>
        </w:rPr>
        <w:t>开标程序</w:t>
      </w:r>
      <w:bookmarkEnd w:id="147"/>
      <w:bookmarkEnd w:id="148"/>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23.1 </w:t>
      </w:r>
      <w:r>
        <w:rPr>
          <w:rFonts w:hint="eastAsia" w:ascii="Times New Roman" w:hAnsi="Times New Roman"/>
          <w:sz w:val="22"/>
          <w:szCs w:val="21"/>
        </w:rPr>
        <w:t>开标会主持人按照招标文件规定的开标时间宣布开标，按照规定要求主持开标会。开标将按以下程序进行：</w:t>
      </w:r>
    </w:p>
    <w:p>
      <w:pPr>
        <w:numPr>
          <w:ilvl w:val="0"/>
          <w:numId w:val="1"/>
        </w:numPr>
        <w:spacing w:line="400" w:lineRule="exact"/>
        <w:ind w:firstLine="440" w:firstLineChars="200"/>
        <w:rPr>
          <w:rFonts w:ascii="Times New Roman" w:hAnsi="Times New Roman"/>
          <w:sz w:val="22"/>
          <w:szCs w:val="21"/>
        </w:rPr>
      </w:pPr>
      <w:r>
        <w:rPr>
          <w:rFonts w:hint="eastAsia" w:ascii="Times New Roman" w:hAnsi="Times New Roman"/>
          <w:sz w:val="22"/>
          <w:szCs w:val="21"/>
        </w:rPr>
        <w:t>宣布开标会开始。当众宣布参加开标会主持人、唱标人、会议记录人以及根据情况邀请的现场监督人等工作人员</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）根据投标人或者其推选的代表对投标文件密封的检查结果，当众宣布投标文件的密封情况。</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pPr>
        <w:pStyle w:val="5"/>
        <w:spacing w:line="400" w:lineRule="exact"/>
        <w:rPr>
          <w:rFonts w:hAnsi="Times New Roman"/>
          <w:sz w:val="22"/>
          <w:szCs w:val="21"/>
        </w:rPr>
      </w:pPr>
      <w:bookmarkStart w:id="149" w:name="_Toc183582238"/>
      <w:bookmarkStart w:id="150" w:name="_Toc183682375"/>
      <w:bookmarkStart w:id="151" w:name="_Toc217446063"/>
      <w:bookmarkStart w:id="152" w:name="_Toc308164809"/>
      <w:r>
        <w:rPr>
          <w:rFonts w:hAnsi="Times New Roman"/>
          <w:sz w:val="22"/>
          <w:szCs w:val="21"/>
        </w:rPr>
        <w:t>24</w:t>
      </w:r>
      <w:r>
        <w:rPr>
          <w:rFonts w:hint="eastAsia" w:hAnsi="Times New Roman"/>
          <w:sz w:val="22"/>
          <w:szCs w:val="21"/>
        </w:rPr>
        <w:t>．开评标过程存档</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开标和评标过程进行全过程电子监控，并将电子监控资料存储介质留存归档。</w:t>
      </w:r>
    </w:p>
    <w:p>
      <w:pPr>
        <w:pStyle w:val="5"/>
        <w:spacing w:line="400" w:lineRule="exact"/>
        <w:rPr>
          <w:rFonts w:hAnsi="Times New Roman"/>
          <w:sz w:val="22"/>
          <w:szCs w:val="21"/>
        </w:rPr>
      </w:pPr>
      <w:r>
        <w:rPr>
          <w:rFonts w:hAnsi="Times New Roman"/>
          <w:sz w:val="22"/>
          <w:szCs w:val="21"/>
        </w:rPr>
        <w:t>25.</w:t>
      </w:r>
      <w:r>
        <w:rPr>
          <w:rFonts w:hint="eastAsia" w:hAnsi="Times New Roman"/>
          <w:sz w:val="22"/>
          <w:szCs w:val="21"/>
        </w:rPr>
        <w:t>中标通知</w:t>
      </w:r>
      <w:bookmarkEnd w:id="149"/>
      <w:bookmarkEnd w:id="150"/>
      <w:r>
        <w:rPr>
          <w:rFonts w:hint="eastAsia" w:hAnsi="Times New Roman"/>
          <w:sz w:val="22"/>
          <w:szCs w:val="21"/>
        </w:rPr>
        <w:t>书</w:t>
      </w:r>
      <w:bookmarkEnd w:id="151"/>
      <w:bookmarkEnd w:id="152"/>
    </w:p>
    <w:p>
      <w:pPr>
        <w:tabs>
          <w:tab w:val="left" w:pos="7665"/>
        </w:tabs>
        <w:spacing w:line="400" w:lineRule="exact"/>
        <w:ind w:firstLine="440" w:firstLineChars="200"/>
        <w:rPr>
          <w:rFonts w:ascii="Times New Roman" w:hAnsi="Times New Roman"/>
          <w:sz w:val="22"/>
          <w:szCs w:val="21"/>
        </w:rPr>
      </w:pPr>
      <w:r>
        <w:rPr>
          <w:rFonts w:ascii="Times New Roman" w:hAnsi="Times New Roman"/>
          <w:sz w:val="22"/>
          <w:szCs w:val="21"/>
        </w:rPr>
        <w:t>25</w:t>
      </w:r>
      <w:r>
        <w:rPr>
          <w:rFonts w:ascii="Times New Roman" w:hAnsi="Times New Roman"/>
          <w:bCs/>
          <w:sz w:val="22"/>
          <w:szCs w:val="21"/>
        </w:rPr>
        <w:t>.</w:t>
      </w:r>
      <w:r>
        <w:rPr>
          <w:rFonts w:ascii="Times New Roman" w:hAnsi="Times New Roman"/>
          <w:sz w:val="22"/>
          <w:szCs w:val="21"/>
        </w:rPr>
        <w:t xml:space="preserve">1 </w:t>
      </w:r>
      <w:r>
        <w:rPr>
          <w:rFonts w:hint="eastAsia" w:ascii="Times New Roman" w:hAnsi="Times New Roman"/>
          <w:sz w:val="22"/>
          <w:szCs w:val="21"/>
        </w:rPr>
        <w:t>中标通知书为签订政府采购合同的依据之一，是合同的有效组成部分。</w:t>
      </w:r>
    </w:p>
    <w:p>
      <w:pPr>
        <w:tabs>
          <w:tab w:val="left" w:pos="7665"/>
        </w:tabs>
        <w:spacing w:line="400" w:lineRule="exact"/>
        <w:ind w:firstLine="480"/>
        <w:rPr>
          <w:rFonts w:ascii="Times New Roman" w:hAnsi="Times New Roman"/>
          <w:sz w:val="22"/>
          <w:szCs w:val="21"/>
        </w:rPr>
      </w:pPr>
      <w:r>
        <w:rPr>
          <w:rFonts w:ascii="Times New Roman" w:hAnsi="Times New Roman"/>
          <w:sz w:val="22"/>
          <w:szCs w:val="21"/>
        </w:rPr>
        <w:t xml:space="preserve">25.2 </w:t>
      </w:r>
      <w:r>
        <w:rPr>
          <w:rFonts w:hint="eastAsia" w:ascii="Times New Roman" w:hAnsi="Times New Roman"/>
          <w:sz w:val="22"/>
          <w:szCs w:val="21"/>
        </w:rPr>
        <w:t>中标通知书对采购人和中标人均具有法律效力。中标通知书发出后，采购人改变中标结果，或者中标人无正当理由放弃中标的，应当承担相应的法律责任。</w:t>
      </w:r>
    </w:p>
    <w:p>
      <w:pPr>
        <w:tabs>
          <w:tab w:val="left" w:pos="7665"/>
        </w:tabs>
        <w:spacing w:line="400" w:lineRule="exact"/>
        <w:ind w:firstLine="480"/>
        <w:rPr>
          <w:rFonts w:ascii="Times New Roman" w:hAnsi="Times New Roman"/>
          <w:sz w:val="22"/>
          <w:szCs w:val="21"/>
        </w:rPr>
      </w:pPr>
      <w:r>
        <w:rPr>
          <w:rFonts w:ascii="Times New Roman" w:hAnsi="Times New Roman"/>
          <w:sz w:val="22"/>
          <w:szCs w:val="21"/>
        </w:rPr>
        <w:t>25</w:t>
      </w: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tabs>
          <w:tab w:val="left" w:pos="7665"/>
        </w:tabs>
        <w:spacing w:line="400" w:lineRule="exact"/>
        <w:ind w:firstLine="480"/>
        <w:rPr>
          <w:rFonts w:ascii="Times New Roman" w:hAnsi="Times New Roman"/>
          <w:sz w:val="22"/>
          <w:szCs w:val="21"/>
        </w:rPr>
      </w:pPr>
      <w:r>
        <w:rPr>
          <w:rFonts w:ascii="Times New Roman" w:hAnsi="Times New Roman"/>
          <w:sz w:val="22"/>
          <w:szCs w:val="21"/>
        </w:rPr>
        <w:t>25.4</w:t>
      </w:r>
      <w:r>
        <w:rPr>
          <w:rFonts w:hint="eastAsia" w:ascii="Times New Roman" w:hAnsi="Times New Roman"/>
          <w:sz w:val="22"/>
          <w:szCs w:val="21"/>
        </w:rPr>
        <w:t>中标公告发出后，中标供应商自行领取中标通知书的，可凭有效身份证明证件到采购代理机构办理。</w:t>
      </w:r>
    </w:p>
    <w:p>
      <w:pPr>
        <w:pStyle w:val="4"/>
        <w:spacing w:line="400" w:lineRule="exact"/>
        <w:jc w:val="center"/>
        <w:rPr>
          <w:rFonts w:ascii="Times New Roman" w:hAnsi="Times New Roman"/>
          <w:sz w:val="28"/>
        </w:rPr>
      </w:pPr>
      <w:bookmarkStart w:id="153" w:name="_Toc217446064"/>
      <w:bookmarkStart w:id="154" w:name="_Toc308164810"/>
      <w:bookmarkStart w:id="155" w:name="_Toc183682377"/>
      <w:bookmarkStart w:id="156" w:name="_Toc183582240"/>
      <w:r>
        <w:rPr>
          <w:rFonts w:hint="eastAsia" w:ascii="Times New Roman" w:hAnsi="Times New Roman"/>
          <w:sz w:val="28"/>
        </w:rPr>
        <w:t>六、签订及履行合同和验收</w:t>
      </w:r>
      <w:bookmarkEnd w:id="153"/>
      <w:bookmarkEnd w:id="154"/>
    </w:p>
    <w:p>
      <w:pPr>
        <w:pStyle w:val="5"/>
        <w:spacing w:line="400" w:lineRule="exact"/>
        <w:rPr>
          <w:rFonts w:hAnsi="Times New Roman"/>
          <w:sz w:val="22"/>
          <w:szCs w:val="21"/>
        </w:rPr>
      </w:pPr>
      <w:bookmarkStart w:id="157" w:name="_Toc308164811"/>
      <w:bookmarkStart w:id="158" w:name="_Toc217446065"/>
      <w:r>
        <w:rPr>
          <w:rFonts w:hAnsi="Times New Roman"/>
          <w:sz w:val="22"/>
          <w:szCs w:val="21"/>
        </w:rPr>
        <w:t xml:space="preserve">26. </w:t>
      </w:r>
      <w:r>
        <w:rPr>
          <w:rFonts w:hint="eastAsia" w:hAnsi="Times New Roman"/>
          <w:sz w:val="22"/>
          <w:szCs w:val="21"/>
        </w:rPr>
        <w:t>签订合同</w:t>
      </w:r>
      <w:bookmarkEnd w:id="157"/>
      <w:bookmarkEnd w:id="158"/>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26.1 </w:t>
      </w:r>
      <w:r>
        <w:rPr>
          <w:rFonts w:hint="eastAsia" w:ascii="Times New Roman" w:hAnsi="Times New Roman"/>
          <w:sz w:val="22"/>
          <w:szCs w:val="21"/>
        </w:rPr>
        <w:t>中标人应在中标通知书发出之日起三十日内与采购人签订采购合同。由于中标人的原因逾期未与采购人签订采购合同的，将视为放弃中标，取消其中标资格并将按相关规定进行处理。</w:t>
      </w:r>
    </w:p>
    <w:p>
      <w:pPr>
        <w:spacing w:line="400" w:lineRule="exact"/>
        <w:ind w:firstLine="385" w:firstLineChars="175"/>
        <w:rPr>
          <w:rFonts w:ascii="Times New Roman" w:hAnsi="Times New Roman"/>
          <w:sz w:val="22"/>
          <w:szCs w:val="21"/>
        </w:rPr>
      </w:pPr>
      <w:r>
        <w:rPr>
          <w:rFonts w:ascii="Times New Roman" w:hAnsi="Times New Roman"/>
          <w:sz w:val="22"/>
          <w:szCs w:val="21"/>
        </w:rPr>
        <w:t xml:space="preserve">26.2 </w:t>
      </w:r>
      <w:r>
        <w:rPr>
          <w:rFonts w:hint="eastAsia" w:ascii="Times New Roman" w:hAnsi="Times New Roman"/>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spacing w:line="400" w:lineRule="exact"/>
        <w:ind w:firstLine="385" w:firstLineChars="175"/>
        <w:rPr>
          <w:rFonts w:ascii="Times New Roman" w:hAnsi="Times New Roman"/>
          <w:sz w:val="22"/>
          <w:szCs w:val="21"/>
        </w:rPr>
      </w:pPr>
      <w:r>
        <w:rPr>
          <w:rFonts w:ascii="Times New Roman" w:hAnsi="Times New Roman"/>
          <w:sz w:val="22"/>
          <w:szCs w:val="21"/>
        </w:rPr>
        <w:t xml:space="preserve">26.3 </w:t>
      </w:r>
      <w:r>
        <w:rPr>
          <w:rFonts w:hint="eastAsia" w:ascii="Times New Roman" w:hAnsi="Times New Roman"/>
          <w:sz w:val="22"/>
          <w:szCs w:val="21"/>
        </w:rPr>
        <w:t>中标人拒绝与采购人签订合同的，采购人可以按照评审报告推荐的中标候选人名单排序，确定下一候选人为中标供应商，也可以重新开展政府采购活动。</w:t>
      </w:r>
    </w:p>
    <w:p>
      <w:pPr>
        <w:spacing w:line="400" w:lineRule="exact"/>
        <w:ind w:firstLine="385" w:firstLineChars="175"/>
        <w:rPr>
          <w:rFonts w:ascii="Times New Roman" w:hAnsi="Times New Roman"/>
          <w:sz w:val="22"/>
          <w:szCs w:val="21"/>
        </w:rPr>
      </w:pPr>
      <w:r>
        <w:rPr>
          <w:rFonts w:ascii="Times New Roman" w:hAnsi="Times New Roman"/>
          <w:sz w:val="22"/>
          <w:szCs w:val="21"/>
        </w:rPr>
        <w:t xml:space="preserve">26.4 </w:t>
      </w:r>
      <w:r>
        <w:rPr>
          <w:rFonts w:hint="eastAsia" w:ascii="Times New Roman" w:hAnsi="Times New Roman"/>
          <w:sz w:val="22"/>
          <w:szCs w:val="21"/>
        </w:rPr>
        <w:t>中标人在合同签订之后三个工作日内，将签订的合同（一式壹份）送采购代理机构。中标人应及时到采购代理机构办理。</w:t>
      </w:r>
    </w:p>
    <w:p>
      <w:pPr>
        <w:pStyle w:val="5"/>
        <w:spacing w:line="400" w:lineRule="exact"/>
        <w:rPr>
          <w:rFonts w:hAnsi="Times New Roman"/>
          <w:sz w:val="22"/>
          <w:szCs w:val="21"/>
        </w:rPr>
      </w:pPr>
      <w:r>
        <w:rPr>
          <w:rFonts w:hAnsi="Times New Roman"/>
          <w:sz w:val="22"/>
          <w:szCs w:val="21"/>
        </w:rPr>
        <w:t xml:space="preserve">27. </w:t>
      </w:r>
      <w:r>
        <w:rPr>
          <w:rFonts w:hint="eastAsia" w:hAnsi="Times New Roman"/>
          <w:sz w:val="22"/>
          <w:szCs w:val="21"/>
        </w:rPr>
        <w:t>合同分包（本项目不适用）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27.1 </w:t>
      </w:r>
      <w:r>
        <w:rPr>
          <w:rFonts w:hint="eastAsia" w:ascii="Times New Roman" w:hAnsi="Times New Roman"/>
          <w:sz w:val="22"/>
          <w:szCs w:val="21"/>
        </w:rPr>
        <w:t>经采购人同意，中标人可以依法采取分包方式履行合同。这种要求应当在合同签订之前征得采购人同意，并且分包供应商履行的分包项目的品牌、规格型号及技术要求等，必须与中标的一致。</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27.2 </w:t>
      </w:r>
      <w:r>
        <w:rPr>
          <w:rFonts w:hint="eastAsia" w:ascii="Times New Roman" w:hAnsi="Times New Roman"/>
          <w:sz w:val="22"/>
          <w:szCs w:val="21"/>
        </w:rPr>
        <w:t>采购合同实行分包履行的，中标人就采购项目和分包项目向采购人负责，分包供应商就分包项目承担责任。</w:t>
      </w:r>
    </w:p>
    <w:p>
      <w:pPr>
        <w:spacing w:line="400" w:lineRule="exact"/>
        <w:ind w:firstLine="495" w:firstLineChars="225"/>
        <w:rPr>
          <w:rFonts w:ascii="Times New Roman" w:hAnsi="Times New Roman"/>
          <w:sz w:val="22"/>
          <w:szCs w:val="21"/>
        </w:rPr>
      </w:pPr>
      <w:r>
        <w:rPr>
          <w:rFonts w:ascii="Times New Roman" w:hAnsi="Times New Roman"/>
          <w:sz w:val="22"/>
          <w:szCs w:val="21"/>
        </w:rPr>
        <w:t xml:space="preserve">27.3 </w:t>
      </w:r>
      <w:r>
        <w:rPr>
          <w:rFonts w:hint="eastAsia" w:ascii="Times New Roman" w:hAnsi="Times New Roman"/>
          <w:sz w:val="22"/>
          <w:szCs w:val="21"/>
        </w:rPr>
        <w:t>中小企业依据《政府采购促进中小企业发展管理办法》（财库〔2020〕46号）规定的政策获取政府采购合同后，小型、微型企业不得分包或转包给大型、中型企业，中型企业不得分包或转包给大型企业。</w:t>
      </w:r>
    </w:p>
    <w:p>
      <w:pPr>
        <w:pStyle w:val="5"/>
        <w:spacing w:line="400" w:lineRule="exact"/>
        <w:rPr>
          <w:rFonts w:hAnsi="Times New Roman"/>
          <w:sz w:val="22"/>
          <w:szCs w:val="21"/>
        </w:rPr>
      </w:pPr>
      <w:r>
        <w:rPr>
          <w:rFonts w:hAnsi="Times New Roman"/>
          <w:sz w:val="22"/>
          <w:szCs w:val="21"/>
        </w:rPr>
        <w:t>28.</w:t>
      </w:r>
      <w:r>
        <w:rPr>
          <w:rFonts w:hint="eastAsia" w:hAnsi="Times New Roman"/>
          <w:sz w:val="22"/>
          <w:szCs w:val="21"/>
        </w:rPr>
        <w:t>合同转包（本项目不适用）</w:t>
      </w:r>
    </w:p>
    <w:p>
      <w:pPr>
        <w:spacing w:line="400" w:lineRule="exact"/>
        <w:ind w:firstLine="495" w:firstLineChars="225"/>
        <w:rPr>
          <w:rFonts w:ascii="Times New Roman" w:hAnsi="Times New Roman"/>
          <w:sz w:val="22"/>
          <w:szCs w:val="21"/>
        </w:rPr>
      </w:pPr>
      <w:r>
        <w:rPr>
          <w:rFonts w:hint="eastAsia" w:ascii="Times New Roman" w:hAnsi="Times New Roman"/>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line="400" w:lineRule="exact"/>
        <w:ind w:firstLine="495" w:firstLineChars="225"/>
        <w:rPr>
          <w:rFonts w:ascii="Times New Roman" w:hAnsi="Times New Roman"/>
          <w:sz w:val="22"/>
          <w:szCs w:val="21"/>
        </w:rPr>
      </w:pPr>
      <w:r>
        <w:rPr>
          <w:rFonts w:hint="eastAsia" w:ascii="Times New Roman" w:hAnsi="Times New Roman"/>
          <w:sz w:val="22"/>
          <w:szCs w:val="21"/>
        </w:rPr>
        <w:t>中标人转包的，视同拒绝履行政府采购合同义务，将依法追究法律责任。</w:t>
      </w:r>
    </w:p>
    <w:p>
      <w:pPr>
        <w:pStyle w:val="5"/>
        <w:spacing w:line="400" w:lineRule="exact"/>
        <w:rPr>
          <w:rFonts w:hAnsi="Times New Roman"/>
          <w:sz w:val="22"/>
          <w:szCs w:val="21"/>
        </w:rPr>
      </w:pPr>
      <w:bookmarkStart w:id="159" w:name="_Toc217446066"/>
      <w:r>
        <w:rPr>
          <w:rFonts w:hAnsi="Times New Roman"/>
          <w:sz w:val="22"/>
          <w:szCs w:val="21"/>
        </w:rPr>
        <w:t>29.</w:t>
      </w:r>
      <w:bookmarkEnd w:id="159"/>
      <w:r>
        <w:rPr>
          <w:rFonts w:hAnsi="Times New Roman"/>
          <w:sz w:val="22"/>
          <w:szCs w:val="21"/>
        </w:rPr>
        <w:t xml:space="preserve"> </w:t>
      </w:r>
      <w:r>
        <w:rPr>
          <w:rFonts w:hint="eastAsia" w:hAnsi="Times New Roman"/>
          <w:sz w:val="22"/>
          <w:szCs w:val="21"/>
        </w:rPr>
        <w:t>补充合同</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Pr>
          <w:rFonts w:ascii="Times New Roman" w:hAnsi="Times New Roman"/>
          <w:sz w:val="22"/>
          <w:szCs w:val="21"/>
        </w:rPr>
        <w:t xml:space="preserve"> </w:t>
      </w:r>
    </w:p>
    <w:p>
      <w:pPr>
        <w:pStyle w:val="5"/>
        <w:spacing w:line="400" w:lineRule="exact"/>
        <w:rPr>
          <w:rFonts w:hAnsi="Times New Roman"/>
          <w:sz w:val="22"/>
          <w:szCs w:val="21"/>
        </w:rPr>
      </w:pPr>
      <w:bookmarkStart w:id="160" w:name="_Toc308164812"/>
      <w:bookmarkStart w:id="161" w:name="_Toc217446068"/>
      <w:r>
        <w:rPr>
          <w:rFonts w:hAnsi="Times New Roman"/>
          <w:sz w:val="22"/>
          <w:szCs w:val="21"/>
        </w:rPr>
        <w:t xml:space="preserve">30. </w:t>
      </w:r>
      <w:r>
        <w:rPr>
          <w:rFonts w:hint="eastAsia" w:hAnsi="Times New Roman"/>
          <w:sz w:val="22"/>
          <w:szCs w:val="21"/>
        </w:rPr>
        <w:t>履约保证金</w:t>
      </w:r>
      <w:bookmarkEnd w:id="160"/>
      <w:bookmarkEnd w:id="161"/>
      <w:r>
        <w:rPr>
          <w:rFonts w:hint="eastAsia" w:hAnsi="Times New Roman"/>
          <w:sz w:val="22"/>
          <w:szCs w:val="21"/>
        </w:rPr>
        <w:t>（本项目不适用）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30.1 </w:t>
      </w:r>
      <w:r>
        <w:rPr>
          <w:rFonts w:hint="eastAsia" w:ascii="Times New Roman" w:hAnsi="Times New Roman"/>
          <w:sz w:val="22"/>
          <w:szCs w:val="21"/>
        </w:rPr>
        <w:t>中标人应在合同签订之前交纳招标文件规定数额的履约保证金。</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30.2 </w:t>
      </w:r>
      <w:r>
        <w:rPr>
          <w:rFonts w:hint="eastAsia" w:ascii="Times New Roman" w:hAnsi="Times New Roman"/>
          <w:sz w:val="22"/>
          <w:szCs w:val="21"/>
        </w:rPr>
        <w:t>如果中标人在规定的合同签订时间内，没有按照招标文件的规定交纳履约保证金，且又无正当理由的，将视为放弃中标。</w:t>
      </w:r>
    </w:p>
    <w:p>
      <w:pPr>
        <w:pStyle w:val="5"/>
        <w:spacing w:line="400" w:lineRule="exact"/>
        <w:rPr>
          <w:rFonts w:hAnsi="Times New Roman"/>
          <w:sz w:val="22"/>
        </w:rPr>
      </w:pPr>
      <w:bookmarkStart w:id="162" w:name="_Toc308164818"/>
      <w:bookmarkStart w:id="163" w:name="_Toc217446077"/>
      <w:bookmarkStart w:id="164" w:name="_Toc217446071"/>
      <w:r>
        <w:rPr>
          <w:rFonts w:hAnsi="Times New Roman"/>
          <w:sz w:val="22"/>
          <w:szCs w:val="21"/>
        </w:rPr>
        <w:t>31.</w:t>
      </w:r>
      <w:r>
        <w:rPr>
          <w:rFonts w:hint="eastAsia" w:hAnsi="Times New Roman"/>
          <w:sz w:val="22"/>
          <w:szCs w:val="21"/>
        </w:rPr>
        <w:t>资金支付</w:t>
      </w:r>
      <w:bookmarkEnd w:id="162"/>
      <w:bookmarkEnd w:id="163"/>
    </w:p>
    <w:p>
      <w:pPr>
        <w:spacing w:line="400" w:lineRule="exact"/>
        <w:ind w:firstLine="440" w:firstLineChars="200"/>
        <w:rPr>
          <w:rFonts w:ascii="Times New Roman" w:hAnsi="Times New Roman"/>
          <w:sz w:val="22"/>
          <w:szCs w:val="21"/>
        </w:rPr>
      </w:pPr>
      <w:r>
        <w:rPr>
          <w:rFonts w:hint="eastAsia" w:ascii="Times New Roman" w:hAnsi="Times New Roman"/>
          <w:sz w:val="22"/>
          <w:szCs w:val="21"/>
        </w:rPr>
        <w:t>采购人将按照政府采购合同规定，及时向中标供应商支付采购资金。本项目采购资金付款详见第五章商务要求中付款方式。</w:t>
      </w:r>
    </w:p>
    <w:bookmarkEnd w:id="155"/>
    <w:bookmarkEnd w:id="156"/>
    <w:bookmarkEnd w:id="164"/>
    <w:p>
      <w:pPr>
        <w:pStyle w:val="4"/>
        <w:spacing w:line="400" w:lineRule="exact"/>
        <w:jc w:val="center"/>
        <w:rPr>
          <w:rFonts w:ascii="Times New Roman" w:hAnsi="Times New Roman"/>
          <w:sz w:val="28"/>
        </w:rPr>
      </w:pPr>
      <w:bookmarkStart w:id="165" w:name="_Toc308164815"/>
      <w:bookmarkStart w:id="166" w:name="_Toc217446074"/>
      <w:bookmarkStart w:id="167" w:name="_Toc183682380"/>
      <w:bookmarkStart w:id="168" w:name="_Toc183582243"/>
      <w:r>
        <w:rPr>
          <w:rFonts w:hint="eastAsia" w:ascii="Times New Roman"/>
          <w:sz w:val="28"/>
        </w:rPr>
        <w:t>七、投标纪律要求</w:t>
      </w:r>
      <w:bookmarkEnd w:id="165"/>
      <w:bookmarkEnd w:id="166"/>
    </w:p>
    <w:p>
      <w:pPr>
        <w:pStyle w:val="5"/>
        <w:spacing w:line="400" w:lineRule="exact"/>
        <w:rPr>
          <w:rFonts w:hAnsi="Times New Roman"/>
          <w:sz w:val="22"/>
          <w:szCs w:val="21"/>
        </w:rPr>
      </w:pPr>
      <w:bookmarkStart w:id="169" w:name="_Toc217446075"/>
      <w:bookmarkStart w:id="170" w:name="_Toc308164816"/>
      <w:r>
        <w:rPr>
          <w:rFonts w:hAnsi="Times New Roman"/>
          <w:sz w:val="22"/>
          <w:szCs w:val="21"/>
        </w:rPr>
        <w:t xml:space="preserve">32. </w:t>
      </w:r>
      <w:r>
        <w:rPr>
          <w:rFonts w:hint="eastAsia" w:hAnsi="Times New Roman"/>
          <w:sz w:val="22"/>
          <w:szCs w:val="21"/>
        </w:rPr>
        <w:t>投标人</w:t>
      </w:r>
      <w:bookmarkEnd w:id="169"/>
      <w:bookmarkEnd w:id="170"/>
      <w:r>
        <w:rPr>
          <w:rFonts w:hint="eastAsia" w:hAnsi="Times New Roman"/>
          <w:sz w:val="22"/>
          <w:szCs w:val="21"/>
        </w:rPr>
        <w:t>纪律要求</w:t>
      </w:r>
    </w:p>
    <w:p>
      <w:pPr>
        <w:pStyle w:val="8"/>
        <w:spacing w:line="400" w:lineRule="exact"/>
        <w:ind w:firstLine="440"/>
        <w:rPr>
          <w:rFonts w:ascii="Times New Roman" w:hAnsi="Times New Roman"/>
          <w:sz w:val="22"/>
          <w:szCs w:val="21"/>
        </w:rPr>
      </w:pPr>
      <w:r>
        <w:rPr>
          <w:rFonts w:hint="eastAsia" w:ascii="Times New Roman" w:hAnsi="Times New Roman"/>
          <w:sz w:val="22"/>
          <w:szCs w:val="21"/>
        </w:rPr>
        <w:t>投标人应当遵循公平竞争的原则，不得恶意串通，不得妨碍其他投标人的竞争行为，不得损害采购人或者其他投标人的合法权益。</w:t>
      </w:r>
    </w:p>
    <w:p>
      <w:pPr>
        <w:pStyle w:val="8"/>
        <w:spacing w:line="400" w:lineRule="exact"/>
        <w:ind w:firstLine="440"/>
        <w:rPr>
          <w:rFonts w:ascii="Times New Roman" w:hAnsi="Times New Roman"/>
          <w:sz w:val="22"/>
          <w:szCs w:val="21"/>
        </w:rPr>
      </w:pPr>
      <w:r>
        <w:rPr>
          <w:rFonts w:hint="eastAsia" w:ascii="Times New Roman" w:hAnsi="Times New Roman"/>
          <w:sz w:val="22"/>
          <w:szCs w:val="21"/>
        </w:rPr>
        <w:t>在评标过程中发现投标人有上述情形的，评标委员会应当认定其投标无效，并书面报告本级财政部门。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32.1 </w:t>
      </w:r>
      <w:r>
        <w:rPr>
          <w:rFonts w:hint="eastAsia" w:ascii="Times New Roman" w:hAnsi="Times New Roman"/>
          <w:sz w:val="22"/>
          <w:szCs w:val="21"/>
        </w:rPr>
        <w:t>投标人参加本项目投标不得有下列情形：</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）提供虚假材料谋取中标；</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）采取不正当手段诋毁、排挤其他投标人；</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）与招标采购单位、其他投标人恶意串通；</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）向招标采购单位、评标委员会成员行贿或者提供其他不正当利益；</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）在招标过程中与招标采购单位进行协商谈判；</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）中标或者成交后无正当理由拒不与采购人签订政府采购合同；</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7</w:t>
      </w:r>
      <w:r>
        <w:rPr>
          <w:rFonts w:hint="eastAsia" w:ascii="Times New Roman" w:hAnsi="Times New Roman"/>
          <w:sz w:val="22"/>
          <w:szCs w:val="21"/>
        </w:rPr>
        <w:t>）未按照采购文件确定的事项签订政府采购合同；</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8</w:t>
      </w:r>
      <w:r>
        <w:rPr>
          <w:rFonts w:hint="eastAsia" w:ascii="Times New Roman" w:hAnsi="Times New Roman"/>
          <w:sz w:val="22"/>
          <w:szCs w:val="21"/>
        </w:rPr>
        <w:t>）将政府采购合同转包或者违规分包；</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9</w:t>
      </w:r>
      <w:r>
        <w:rPr>
          <w:rFonts w:hint="eastAsia" w:ascii="Times New Roman" w:hAnsi="Times New Roman"/>
          <w:sz w:val="22"/>
          <w:szCs w:val="21"/>
        </w:rPr>
        <w:t>）提供假冒伪劣产品；</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）擅自变更、中止或者终止政府采购合同；</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11</w:t>
      </w:r>
      <w:r>
        <w:rPr>
          <w:rFonts w:hint="eastAsia" w:ascii="Times New Roman" w:hAnsi="Times New Roman"/>
          <w:sz w:val="22"/>
          <w:szCs w:val="21"/>
        </w:rPr>
        <w:t>）拒绝有关部门的监督检查或者向监督检查部门提供虚假情况；</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12</w:t>
      </w:r>
      <w:r>
        <w:rPr>
          <w:rFonts w:hint="eastAsia" w:ascii="Times New Roman" w:hAnsi="Times New Roman"/>
          <w:sz w:val="22"/>
          <w:szCs w:val="21"/>
        </w:rPr>
        <w:t>）法律法规规定的其他情形。</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投标人有上述情形的，按照规定追究法律责任，具备（</w:t>
      </w:r>
      <w:r>
        <w:rPr>
          <w:rFonts w:ascii="Times New Roman" w:hAnsi="Times New Roman"/>
          <w:sz w:val="22"/>
          <w:szCs w:val="21"/>
        </w:rPr>
        <w:t>1</w:t>
      </w:r>
      <w:r>
        <w:rPr>
          <w:rFonts w:hint="eastAsia" w:ascii="Times New Roman" w:hAnsi="Times New Roman"/>
          <w:sz w:val="22"/>
          <w:szCs w:val="21"/>
        </w:rPr>
        <w:t>）</w:t>
      </w:r>
      <w:r>
        <w:rPr>
          <w:rFonts w:ascii="Times New Roman" w:hAnsi="Times New Roman"/>
          <w:sz w:val="22"/>
          <w:szCs w:val="21"/>
        </w:rPr>
        <w:t>-</w:t>
      </w:r>
      <w:r>
        <w:rPr>
          <w:rFonts w:hint="eastAsia" w:ascii="Times New Roman" w:hAnsi="Times New Roman"/>
          <w:sz w:val="22"/>
          <w:szCs w:val="21"/>
        </w:rPr>
        <w:t>（</w:t>
      </w:r>
      <w:r>
        <w:rPr>
          <w:rFonts w:ascii="Times New Roman" w:hAnsi="Times New Roman"/>
          <w:sz w:val="22"/>
          <w:szCs w:val="21"/>
        </w:rPr>
        <w:t>10</w:t>
      </w:r>
      <w:r>
        <w:rPr>
          <w:rFonts w:hint="eastAsia" w:ascii="Times New Roman" w:hAnsi="Times New Roman"/>
          <w:sz w:val="22"/>
          <w:szCs w:val="21"/>
        </w:rPr>
        <w:t>）条情形之一的，同时将取消中标资格或者认定中标无效。</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32.2 </w:t>
      </w:r>
      <w:r>
        <w:rPr>
          <w:rFonts w:hint="eastAsia" w:ascii="Times New Roman" w:hAnsi="Times New Roman"/>
          <w:sz w:val="22"/>
          <w:szCs w:val="21"/>
        </w:rPr>
        <w:t>投标人有下列情形之一的，视为投标人串通投标，其投标无效：</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）不同投标人的投标文件由同一单位或者个人编制；</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）不同投标人委托同一单位或者个人办理投标事宜；</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）不同投标人的投标文件载明的项目管理成员或者联系人员为同一人；</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）不同投标人的投标文件异常一致或者投标报价呈规律性差异；</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）不同投标人的投标文件相互混装；</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）不同投标人的投标保证金从同一单位或者个人的账户转出。</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32.3 </w:t>
      </w:r>
      <w:r>
        <w:rPr>
          <w:rFonts w:hint="eastAsia" w:ascii="Times New Roman" w:hAnsi="Times New Roman"/>
          <w:sz w:val="22"/>
          <w:szCs w:val="21"/>
        </w:rPr>
        <w:t>投标人存在下列情况之一的，投标无效</w:t>
      </w:r>
      <w:r>
        <w:rPr>
          <w:rFonts w:ascii="Times New Roman" w:hAnsi="Times New Roman"/>
          <w:sz w:val="22"/>
          <w:szCs w:val="21"/>
        </w:rPr>
        <w:t>:</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）未按照招标文件的规定提交投标保证金的；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）投标文件未按招标文件要求签署、盖章的；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）不具备招标文件中规定的资格要求的；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）报价超过招标文件中规定的预算金额或者最高限价的；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5</w:t>
      </w:r>
      <w:r>
        <w:rPr>
          <w:rFonts w:hint="eastAsia" w:ascii="Times New Roman" w:hAnsi="Times New Roman"/>
          <w:sz w:val="22"/>
          <w:szCs w:val="21"/>
        </w:rPr>
        <w:t>）投标文件含有采购人不能接受的附加条件的；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6</w:t>
      </w:r>
      <w:r>
        <w:rPr>
          <w:rFonts w:hint="eastAsia" w:ascii="Times New Roman" w:hAnsi="Times New Roman"/>
          <w:sz w:val="22"/>
          <w:szCs w:val="21"/>
        </w:rPr>
        <w:t>）法律、法规和招标文件规定的其他无效情形。</w:t>
      </w:r>
    </w:p>
    <w:p>
      <w:pPr>
        <w:pStyle w:val="4"/>
        <w:spacing w:line="400" w:lineRule="exact"/>
        <w:jc w:val="center"/>
        <w:rPr>
          <w:rFonts w:ascii="Times New Roman" w:hAnsi="Times New Roman"/>
          <w:sz w:val="28"/>
        </w:rPr>
      </w:pPr>
      <w:bookmarkStart w:id="171" w:name="_Toc308164819"/>
      <w:bookmarkStart w:id="172" w:name="_Toc217446078"/>
      <w:r>
        <w:rPr>
          <w:rFonts w:hint="eastAsia" w:ascii="Times New Roman" w:hAnsi="Times New Roman"/>
          <w:sz w:val="28"/>
        </w:rPr>
        <w:t>八、询问、质疑和投诉</w:t>
      </w:r>
      <w:bookmarkEnd w:id="171"/>
      <w:bookmarkEnd w:id="172"/>
      <w:bookmarkStart w:id="173" w:name="_Toc217446079"/>
    </w:p>
    <w:bookmarkEnd w:id="173"/>
    <w:p>
      <w:pPr>
        <w:pStyle w:val="8"/>
        <w:spacing w:line="400" w:lineRule="exact"/>
        <w:ind w:firstLine="442"/>
        <w:rPr>
          <w:rFonts w:ascii="Times New Roman" w:hAnsi="Times New Roman"/>
          <w:sz w:val="22"/>
          <w:szCs w:val="21"/>
        </w:rPr>
      </w:pPr>
      <w:r>
        <w:rPr>
          <w:rFonts w:ascii="Times New Roman" w:hAnsi="Times New Roman"/>
          <w:b/>
          <w:sz w:val="22"/>
          <w:szCs w:val="21"/>
        </w:rPr>
        <w:t>33</w:t>
      </w:r>
      <w:r>
        <w:rPr>
          <w:rFonts w:hint="eastAsia" w:ascii="Times New Roman" w:hAnsi="Times New Roman"/>
          <w:b/>
          <w:sz w:val="22"/>
          <w:szCs w:val="21"/>
        </w:rPr>
        <w:t>．</w:t>
      </w:r>
      <w:r>
        <w:rPr>
          <w:rFonts w:hint="eastAsia" w:ascii="Times New Roman" w:hAnsi="Times New Roman"/>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ascii="Times New Roman" w:hAnsi="Times New Roman"/>
          <w:sz w:val="22"/>
          <w:szCs w:val="21"/>
        </w:rPr>
        <w:t>94</w:t>
      </w:r>
      <w:r>
        <w:rPr>
          <w:rFonts w:hint="eastAsia" w:ascii="Times New Roman" w:hAnsi="Times New Roman"/>
          <w:sz w:val="22"/>
          <w:szCs w:val="21"/>
        </w:rPr>
        <w:t>号</w:t>
      </w:r>
      <w:r>
        <w:rPr>
          <w:rFonts w:ascii="Times New Roman" w:hAnsi="Times New Roman"/>
          <w:sz w:val="22"/>
          <w:szCs w:val="21"/>
        </w:rPr>
        <w:t>--</w:t>
      </w:r>
      <w:r>
        <w:rPr>
          <w:rFonts w:hint="eastAsia" w:ascii="Times New Roman" w:hAnsi="Times New Roman"/>
          <w:sz w:val="22"/>
          <w:szCs w:val="21"/>
        </w:rPr>
        <w:t>政府采购质疑和投诉办法》等的相关规定办理</w:t>
      </w:r>
      <w:r>
        <w:rPr>
          <w:rFonts w:ascii="Times New Roman" w:hAnsi="Times New Roman"/>
          <w:sz w:val="22"/>
          <w:szCs w:val="21"/>
        </w:rPr>
        <w:t>.</w:t>
      </w:r>
    </w:p>
    <w:p>
      <w:pPr>
        <w:pStyle w:val="8"/>
        <w:spacing w:line="400" w:lineRule="exact"/>
        <w:ind w:firstLine="440"/>
        <w:rPr>
          <w:rFonts w:ascii="Times New Roman" w:hAnsi="Times New Roman"/>
          <w:sz w:val="22"/>
          <w:szCs w:val="21"/>
        </w:rPr>
      </w:pPr>
      <w:r>
        <w:rPr>
          <w:rFonts w:hint="eastAsia" w:ascii="Times New Roman" w:hAnsi="Times New Roman"/>
          <w:sz w:val="22"/>
          <w:szCs w:val="21"/>
        </w:rPr>
        <w:t>注：根据《中华人民共和国政府采购法》等规定，供应商质疑不得超出采购文件、采购过程、采购结果的范围，供应商质疑不得超出采购文件、采购过程、采购结果的范围</w:t>
      </w:r>
      <w:r>
        <w:rPr>
          <w:rFonts w:ascii="Times New Roman" w:hAnsi="Times New Roman"/>
          <w:sz w:val="22"/>
          <w:szCs w:val="21"/>
        </w:rPr>
        <w:t xml:space="preserve">, </w:t>
      </w:r>
      <w:r>
        <w:rPr>
          <w:rFonts w:hint="eastAsia" w:ascii="Times New Roman" w:hAnsi="Times New Roman"/>
          <w:sz w:val="22"/>
          <w:szCs w:val="21"/>
        </w:rPr>
        <w:t>供应商针对同一采购程序环节的质疑应在法定质疑期内一次性提出。</w:t>
      </w:r>
    </w:p>
    <w:p>
      <w:pPr>
        <w:pStyle w:val="2"/>
        <w:ind w:firstLine="660" w:firstLineChars="300"/>
        <w:rPr>
          <w:rFonts w:ascii="Times New Roman" w:hAnsi="Times New Roman"/>
          <w:sz w:val="22"/>
          <w:szCs w:val="18"/>
        </w:rPr>
      </w:pPr>
    </w:p>
    <w:p>
      <w:pPr>
        <w:pStyle w:val="8"/>
        <w:spacing w:line="400" w:lineRule="exact"/>
        <w:ind w:firstLine="440"/>
        <w:rPr>
          <w:rFonts w:ascii="Times New Roman" w:hAnsi="Times New Roman"/>
          <w:sz w:val="22"/>
          <w:szCs w:val="21"/>
        </w:rPr>
      </w:pPr>
      <w:r>
        <w:rPr>
          <w:rFonts w:hint="eastAsia" w:ascii="Times New Roman" w:hAnsi="Times New Roman"/>
          <w:sz w:val="22"/>
          <w:szCs w:val="21"/>
        </w:rPr>
        <w:t>接收质疑函的方式：书面形式</w:t>
      </w:r>
    </w:p>
    <w:p>
      <w:pPr>
        <w:pStyle w:val="8"/>
        <w:spacing w:line="400" w:lineRule="exact"/>
        <w:ind w:firstLine="440"/>
        <w:rPr>
          <w:rFonts w:ascii="Times New Roman" w:hAnsi="Times New Roman"/>
          <w:sz w:val="22"/>
          <w:szCs w:val="21"/>
        </w:rPr>
      </w:pPr>
      <w:r>
        <w:rPr>
          <w:rFonts w:hint="eastAsia" w:ascii="Times New Roman" w:hAnsi="Times New Roman"/>
          <w:sz w:val="22"/>
          <w:szCs w:val="21"/>
        </w:rPr>
        <w:t>联系部门：招标部</w:t>
      </w:r>
      <w:r>
        <w:rPr>
          <w:rFonts w:ascii="Times New Roman" w:hAnsi="Times New Roman"/>
          <w:sz w:val="22"/>
          <w:szCs w:val="21"/>
        </w:rPr>
        <w:t xml:space="preserve">    </w:t>
      </w:r>
      <w:r>
        <w:rPr>
          <w:rFonts w:hint="eastAsia" w:ascii="Times New Roman" w:hAnsi="Times New Roman"/>
          <w:sz w:val="22"/>
          <w:szCs w:val="21"/>
        </w:rPr>
        <w:t>项目负责人：连女士</w:t>
      </w:r>
    </w:p>
    <w:p>
      <w:pPr>
        <w:pStyle w:val="8"/>
        <w:spacing w:line="400" w:lineRule="exact"/>
        <w:ind w:firstLine="440"/>
        <w:rPr>
          <w:rFonts w:ascii="Times New Roman" w:hAnsi="Times New Roman"/>
          <w:sz w:val="22"/>
          <w:szCs w:val="21"/>
        </w:rPr>
      </w:pPr>
      <w:r>
        <w:rPr>
          <w:rFonts w:hint="eastAsia" w:ascii="Times New Roman" w:hAnsi="Times New Roman"/>
          <w:sz w:val="22"/>
          <w:szCs w:val="21"/>
        </w:rPr>
        <w:t>联系电话：</w:t>
      </w:r>
      <w:r>
        <w:rPr>
          <w:rFonts w:ascii="Times New Roman" w:hAnsi="Times New Roman"/>
          <w:sz w:val="22"/>
          <w:szCs w:val="21"/>
        </w:rPr>
        <w:t>029-88854271</w:t>
      </w:r>
      <w:r>
        <w:rPr>
          <w:rFonts w:hint="eastAsia" w:ascii="Times New Roman" w:hAnsi="Times New Roman"/>
          <w:sz w:val="22"/>
          <w:szCs w:val="21"/>
        </w:rPr>
        <w:t>转8009</w:t>
      </w:r>
    </w:p>
    <w:p>
      <w:pPr>
        <w:pStyle w:val="8"/>
        <w:spacing w:line="400" w:lineRule="exact"/>
        <w:ind w:firstLine="440"/>
        <w:rPr>
          <w:rFonts w:ascii="Times New Roman" w:hAnsi="Times New Roman"/>
          <w:sz w:val="22"/>
          <w:szCs w:val="21"/>
        </w:rPr>
      </w:pPr>
      <w:r>
        <w:rPr>
          <w:rFonts w:hint="eastAsia" w:ascii="Times New Roman" w:hAnsi="Times New Roman"/>
          <w:sz w:val="22"/>
          <w:szCs w:val="21"/>
        </w:rPr>
        <w:t>通讯地址：陕西省西安市高新区唐延路</w:t>
      </w:r>
      <w:r>
        <w:rPr>
          <w:rFonts w:ascii="Times New Roman" w:hAnsi="Times New Roman"/>
          <w:sz w:val="22"/>
          <w:szCs w:val="21"/>
        </w:rPr>
        <w:t>35</w:t>
      </w:r>
      <w:r>
        <w:rPr>
          <w:rFonts w:hint="eastAsia" w:ascii="Times New Roman" w:hAnsi="Times New Roman"/>
          <w:sz w:val="22"/>
          <w:szCs w:val="21"/>
        </w:rPr>
        <w:t>号旺座现代城</w:t>
      </w:r>
      <w:r>
        <w:rPr>
          <w:rFonts w:ascii="Times New Roman" w:hAnsi="Times New Roman"/>
          <w:sz w:val="22"/>
          <w:szCs w:val="21"/>
        </w:rPr>
        <w:t>G</w:t>
      </w:r>
      <w:r>
        <w:rPr>
          <w:rFonts w:hint="eastAsia" w:ascii="Times New Roman" w:hAnsi="Times New Roman"/>
          <w:sz w:val="22"/>
          <w:szCs w:val="21"/>
        </w:rPr>
        <w:t>座</w:t>
      </w:r>
      <w:r>
        <w:rPr>
          <w:rFonts w:ascii="Times New Roman" w:hAnsi="Times New Roman"/>
          <w:sz w:val="22"/>
          <w:szCs w:val="21"/>
        </w:rPr>
        <w:t>2301</w:t>
      </w:r>
      <w:r>
        <w:rPr>
          <w:rFonts w:hint="eastAsia" w:ascii="Times New Roman" w:hAnsi="Times New Roman"/>
          <w:sz w:val="22"/>
          <w:szCs w:val="21"/>
        </w:rPr>
        <w:t>室</w:t>
      </w:r>
    </w:p>
    <w:bookmarkEnd w:id="167"/>
    <w:bookmarkEnd w:id="168"/>
    <w:p>
      <w:pPr>
        <w:pStyle w:val="4"/>
        <w:spacing w:line="400" w:lineRule="exact"/>
        <w:jc w:val="center"/>
        <w:rPr>
          <w:rFonts w:ascii="Times New Roman" w:hAnsi="Times New Roman"/>
          <w:sz w:val="28"/>
        </w:rPr>
      </w:pPr>
      <w:r>
        <w:rPr>
          <w:rFonts w:hint="eastAsia" w:ascii="Times New Roman" w:hAnsi="Times New Roman"/>
          <w:sz w:val="28"/>
        </w:rPr>
        <w:t>九、其他</w:t>
      </w:r>
    </w:p>
    <w:p>
      <w:pPr>
        <w:pStyle w:val="8"/>
        <w:spacing w:line="400" w:lineRule="exact"/>
        <w:ind w:firstLine="442"/>
        <w:rPr>
          <w:rFonts w:ascii="Times New Roman" w:hAnsi="Times New Roman"/>
          <w:sz w:val="22"/>
          <w:szCs w:val="21"/>
        </w:rPr>
      </w:pPr>
      <w:r>
        <w:rPr>
          <w:rFonts w:ascii="Times New Roman" w:hAnsi="Times New Roman"/>
          <w:b/>
          <w:sz w:val="22"/>
          <w:szCs w:val="21"/>
        </w:rPr>
        <w:t>34.</w:t>
      </w:r>
      <w:r>
        <w:rPr>
          <w:rFonts w:hint="eastAsia" w:ascii="Times New Roman" w:hAnsi="Times New Roman"/>
          <w:sz w:val="22"/>
          <w:szCs w:val="21"/>
        </w:rPr>
        <w:t>本招标文件中所引相关法律制度规定，在政府采购中有变化的，按照变化后的相关法律制度规定执行。本章和第六章中</w:t>
      </w:r>
      <w:r>
        <w:rPr>
          <w:rFonts w:ascii="Times New Roman" w:hAnsi="Times New Roman"/>
          <w:sz w:val="22"/>
          <w:szCs w:val="21"/>
        </w:rPr>
        <w:t>“1.</w:t>
      </w:r>
      <w:r>
        <w:rPr>
          <w:rFonts w:hint="eastAsia" w:ascii="Times New Roman" w:hAnsi="Times New Roman"/>
          <w:sz w:val="22"/>
          <w:szCs w:val="21"/>
        </w:rPr>
        <w:t>总则、</w:t>
      </w:r>
      <w:r>
        <w:rPr>
          <w:rFonts w:ascii="Times New Roman" w:hAnsi="Times New Roman"/>
          <w:sz w:val="22"/>
          <w:szCs w:val="21"/>
        </w:rPr>
        <w:t>2.</w:t>
      </w:r>
      <w:r>
        <w:rPr>
          <w:rFonts w:hint="eastAsia" w:ascii="Times New Roman" w:hAnsi="Times New Roman"/>
          <w:sz w:val="22"/>
          <w:szCs w:val="21"/>
        </w:rPr>
        <w:t>评标方法、</w:t>
      </w:r>
      <w:r>
        <w:rPr>
          <w:rFonts w:ascii="Times New Roman" w:hAnsi="Times New Roman"/>
          <w:sz w:val="22"/>
          <w:szCs w:val="21"/>
        </w:rPr>
        <w:t>3.</w:t>
      </w:r>
      <w:r>
        <w:rPr>
          <w:rFonts w:hint="eastAsia" w:ascii="Times New Roman" w:hAnsi="Times New Roman"/>
          <w:sz w:val="22"/>
          <w:szCs w:val="21"/>
        </w:rPr>
        <w:t>评标程序</w:t>
      </w:r>
      <w:r>
        <w:rPr>
          <w:rFonts w:ascii="Times New Roman" w:hAnsi="Times New Roman"/>
          <w:sz w:val="22"/>
          <w:szCs w:val="21"/>
        </w:rPr>
        <w:t>”</w:t>
      </w:r>
      <w:r>
        <w:rPr>
          <w:rFonts w:hint="eastAsia" w:ascii="Times New Roman" w:hAnsi="Times New Roman"/>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27"/>
    <w:bookmarkEnd w:id="128"/>
    <w:bookmarkEnd w:id="129"/>
    <w:bookmarkEnd w:id="130"/>
    <w:bookmarkEnd w:id="131"/>
    <w:bookmarkEnd w:id="132"/>
    <w:p>
      <w:pPr>
        <w:jc w:val="left"/>
        <w:rPr>
          <w:rFonts w:ascii="Times New Roman" w:hAnsi="Times New Roman"/>
          <w:b/>
          <w:kern w:val="44"/>
          <w:sz w:val="32"/>
          <w:szCs w:val="32"/>
        </w:rPr>
      </w:pPr>
      <w:bookmarkStart w:id="174" w:name="_Toc14559"/>
      <w:bookmarkStart w:id="175" w:name="_Toc18945"/>
      <w:bookmarkStart w:id="176" w:name="_Toc12725"/>
      <w:bookmarkStart w:id="177" w:name="_Toc28837"/>
      <w:bookmarkStart w:id="178" w:name="_Toc1164"/>
      <w:bookmarkStart w:id="179" w:name="_Toc3360"/>
      <w:r>
        <w:rPr>
          <w:rFonts w:ascii="Times New Roman" w:hAnsi="Times New Roman"/>
          <w:sz w:val="32"/>
          <w:szCs w:val="32"/>
        </w:rPr>
        <w:br w:type="page"/>
      </w:r>
    </w:p>
    <w:p>
      <w:pPr>
        <w:pStyle w:val="3"/>
        <w:jc w:val="center"/>
        <w:rPr>
          <w:rFonts w:ascii="Times New Roman" w:hAnsi="Times New Roman"/>
          <w:sz w:val="32"/>
          <w:szCs w:val="32"/>
        </w:rPr>
      </w:pPr>
      <w:bookmarkStart w:id="180" w:name="_Toc26796"/>
      <w:r>
        <w:rPr>
          <w:rFonts w:hint="eastAsia" w:ascii="Times New Roman" w:hAnsi="Times New Roman"/>
          <w:sz w:val="32"/>
          <w:szCs w:val="32"/>
        </w:rPr>
        <w:t>第三章</w:t>
      </w:r>
      <w:r>
        <w:rPr>
          <w:rFonts w:ascii="Times New Roman" w:hAnsi="Times New Roman"/>
          <w:sz w:val="32"/>
          <w:szCs w:val="32"/>
        </w:rPr>
        <w:t xml:space="preserve">  </w:t>
      </w:r>
      <w:r>
        <w:rPr>
          <w:rFonts w:hint="eastAsia" w:ascii="Times New Roman" w:hAnsi="Times New Roman"/>
          <w:sz w:val="32"/>
          <w:szCs w:val="32"/>
        </w:rPr>
        <w:t>投标文件格式</w:t>
      </w:r>
      <w:bookmarkEnd w:id="180"/>
    </w:p>
    <w:p>
      <w:pPr>
        <w:keepNext/>
        <w:keepLines/>
        <w:jc w:val="center"/>
        <w:rPr>
          <w:rFonts w:ascii="Times New Roman" w:hAnsi="Times New Roman"/>
          <w:sz w:val="28"/>
          <w:szCs w:val="21"/>
        </w:rPr>
      </w:pPr>
      <w:r>
        <w:rPr>
          <w:rFonts w:hint="eastAsia" w:ascii="Times New Roman" w:hAnsi="宋体"/>
          <w:sz w:val="28"/>
          <w:szCs w:val="21"/>
        </w:rPr>
        <w:t>第一部分</w:t>
      </w:r>
      <w:r>
        <w:rPr>
          <w:rFonts w:ascii="Times New Roman" w:hAnsi="Times New Roman"/>
          <w:sz w:val="28"/>
          <w:szCs w:val="21"/>
        </w:rPr>
        <w:t xml:space="preserve">     “</w:t>
      </w:r>
      <w:r>
        <w:rPr>
          <w:rFonts w:hint="eastAsia" w:ascii="Times New Roman" w:hAnsi="宋体"/>
          <w:sz w:val="28"/>
          <w:szCs w:val="21"/>
        </w:rPr>
        <w:t>资格性投标文件</w:t>
      </w:r>
      <w:r>
        <w:rPr>
          <w:rFonts w:ascii="Times New Roman" w:hAnsi="Times New Roman"/>
          <w:sz w:val="28"/>
          <w:szCs w:val="21"/>
        </w:rPr>
        <w:t>”</w:t>
      </w:r>
      <w:r>
        <w:rPr>
          <w:rFonts w:hint="eastAsia" w:ascii="Times New Roman" w:hAnsi="宋体"/>
          <w:sz w:val="28"/>
          <w:szCs w:val="21"/>
        </w:rPr>
        <w:t>格式</w:t>
      </w:r>
    </w:p>
    <w:p>
      <w:pPr>
        <w:spacing w:line="360" w:lineRule="auto"/>
        <w:jc w:val="center"/>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1-1 </w:t>
      </w:r>
      <w:r>
        <w:rPr>
          <w:rFonts w:hint="eastAsia" w:ascii="Times New Roman" w:hAnsi="宋体"/>
          <w:b/>
          <w:sz w:val="28"/>
          <w:szCs w:val="28"/>
        </w:rPr>
        <w:t>封面：</w:t>
      </w:r>
    </w:p>
    <w:p>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pPr>
        <w:spacing w:line="360" w:lineRule="auto"/>
        <w:rPr>
          <w:rFonts w:ascii="Times New Roman" w:hAnsi="Times New Roman"/>
          <w:b/>
          <w:sz w:val="28"/>
          <w:szCs w:val="28"/>
        </w:rPr>
      </w:pPr>
    </w:p>
    <w:p>
      <w:pPr>
        <w:spacing w:line="360" w:lineRule="auto"/>
        <w:rPr>
          <w:rFonts w:ascii="Times New Roman" w:hAnsi="Times New Roman"/>
          <w:b/>
          <w:sz w:val="28"/>
          <w:szCs w:val="28"/>
        </w:rPr>
      </w:pPr>
    </w:p>
    <w:p>
      <w:pPr>
        <w:spacing w:line="360" w:lineRule="auto"/>
        <w:jc w:val="center"/>
        <w:rPr>
          <w:rFonts w:ascii="Times New Roman" w:hAnsi="Times New Roman"/>
          <w:b/>
          <w:sz w:val="56"/>
          <w:szCs w:val="21"/>
        </w:rPr>
      </w:pPr>
      <w:r>
        <w:rPr>
          <w:rFonts w:ascii="Times New Roman" w:hAnsi="Times New Roman"/>
          <w:b/>
          <w:sz w:val="36"/>
          <w:szCs w:val="44"/>
          <w:u w:val="single"/>
        </w:rPr>
        <w:t xml:space="preserve">                      </w:t>
      </w:r>
      <w:r>
        <w:rPr>
          <w:rFonts w:hint="eastAsia" w:ascii="Times New Roman" w:hAnsi="宋体"/>
          <w:b/>
          <w:sz w:val="36"/>
          <w:szCs w:val="44"/>
        </w:rPr>
        <w:t>项目</w:t>
      </w:r>
    </w:p>
    <w:p>
      <w:pPr>
        <w:spacing w:line="360" w:lineRule="auto"/>
        <w:rPr>
          <w:rFonts w:ascii="Times New Roman" w:hAnsi="Times New Roman"/>
          <w:b/>
          <w:sz w:val="48"/>
          <w:szCs w:val="48"/>
        </w:rPr>
      </w:pPr>
    </w:p>
    <w:p>
      <w:pPr>
        <w:spacing w:line="360" w:lineRule="auto"/>
        <w:jc w:val="center"/>
        <w:rPr>
          <w:rFonts w:ascii="Times New Roman" w:hAnsi="Times New Roman"/>
          <w:b/>
          <w:sz w:val="32"/>
          <w:szCs w:val="21"/>
        </w:rPr>
      </w:pPr>
      <w:r>
        <w:rPr>
          <w:rFonts w:hint="eastAsia" w:ascii="Times New Roman" w:hAnsi="宋体"/>
          <w:b/>
          <w:sz w:val="48"/>
          <w:szCs w:val="48"/>
        </w:rPr>
        <w:t>资格性投标文件</w:t>
      </w:r>
    </w:p>
    <w:p>
      <w:pPr>
        <w:spacing w:line="360" w:lineRule="auto"/>
        <w:rPr>
          <w:rFonts w:ascii="Times New Roman" w:hAnsi="Times New Roman"/>
          <w:b/>
          <w:sz w:val="32"/>
          <w:szCs w:val="21"/>
        </w:rPr>
      </w:pPr>
    </w:p>
    <w:p>
      <w:pPr>
        <w:spacing w:line="360" w:lineRule="auto"/>
        <w:jc w:val="left"/>
        <w:rPr>
          <w:rFonts w:ascii="Times New Roman" w:hAnsi="Times New Roman"/>
          <w:b/>
          <w:sz w:val="28"/>
          <w:szCs w:val="21"/>
          <w:u w:val="single"/>
        </w:rPr>
      </w:pPr>
      <w:r>
        <w:rPr>
          <w:rFonts w:hint="eastAsia" w:ascii="Times New Roman" w:hAnsi="宋体"/>
          <w:b/>
          <w:sz w:val="28"/>
          <w:szCs w:val="21"/>
        </w:rPr>
        <w:t>投</w:t>
      </w:r>
      <w:r>
        <w:rPr>
          <w:rFonts w:ascii="Times New Roman" w:hAnsi="Times New Roman"/>
          <w:b/>
          <w:sz w:val="28"/>
          <w:szCs w:val="21"/>
        </w:rPr>
        <w:t xml:space="preserve"> </w:t>
      </w:r>
      <w:r>
        <w:rPr>
          <w:rFonts w:hint="eastAsia" w:ascii="Times New Roman" w:hAnsi="宋体"/>
          <w:b/>
          <w:sz w:val="28"/>
          <w:szCs w:val="21"/>
        </w:rPr>
        <w:t>标</w:t>
      </w:r>
      <w:r>
        <w:rPr>
          <w:rFonts w:ascii="Times New Roman" w:hAnsi="Times New Roman"/>
          <w:b/>
          <w:sz w:val="28"/>
          <w:szCs w:val="21"/>
        </w:rPr>
        <w:t xml:space="preserve"> </w:t>
      </w:r>
      <w:r>
        <w:rPr>
          <w:rFonts w:hint="eastAsia" w:ascii="Times New Roman" w:hAnsi="宋体"/>
          <w:b/>
          <w:sz w:val="28"/>
          <w:szCs w:val="21"/>
        </w:rPr>
        <w:t>人名称：</w:t>
      </w:r>
    </w:p>
    <w:p>
      <w:pPr>
        <w:spacing w:line="360" w:lineRule="auto"/>
        <w:jc w:val="left"/>
        <w:rPr>
          <w:rFonts w:ascii="Times New Roman" w:hAnsi="Times New Roman"/>
          <w:b/>
          <w:sz w:val="28"/>
          <w:szCs w:val="21"/>
          <w:u w:val="single"/>
        </w:rPr>
      </w:pPr>
      <w:r>
        <w:rPr>
          <w:rFonts w:hint="eastAsia" w:ascii="Times New Roman" w:hAnsi="宋体"/>
          <w:b/>
          <w:sz w:val="28"/>
          <w:szCs w:val="21"/>
        </w:rPr>
        <w:t>采购项目编号：</w:t>
      </w:r>
    </w:p>
    <w:p>
      <w:pPr>
        <w:spacing w:line="360" w:lineRule="auto"/>
        <w:jc w:val="left"/>
        <w:rPr>
          <w:rFonts w:ascii="Times New Roman" w:hAnsi="Times New Roman"/>
          <w:sz w:val="32"/>
          <w:szCs w:val="21"/>
        </w:rPr>
      </w:pPr>
      <w:r>
        <w:rPr>
          <w:rFonts w:hint="eastAsia" w:ascii="Times New Roman" w:hAnsi="宋体"/>
          <w:b/>
          <w:sz w:val="28"/>
          <w:szCs w:val="21"/>
        </w:rPr>
        <w:t>地</w:t>
      </w:r>
      <w:r>
        <w:rPr>
          <w:rFonts w:ascii="Times New Roman" w:hAnsi="Times New Roman"/>
          <w:b/>
          <w:sz w:val="28"/>
          <w:szCs w:val="21"/>
        </w:rPr>
        <w:t xml:space="preserve">         </w:t>
      </w:r>
      <w:r>
        <w:rPr>
          <w:rFonts w:hint="eastAsia" w:ascii="Times New Roman" w:hAnsi="宋体"/>
          <w:b/>
          <w:sz w:val="28"/>
          <w:szCs w:val="21"/>
        </w:rPr>
        <w:t>址：</w:t>
      </w:r>
    </w:p>
    <w:p>
      <w:pPr>
        <w:spacing w:line="360" w:lineRule="auto"/>
        <w:jc w:val="left"/>
        <w:rPr>
          <w:rFonts w:ascii="Times New Roman" w:hAnsi="Times New Roman"/>
          <w:b/>
          <w:sz w:val="28"/>
          <w:szCs w:val="21"/>
          <w:u w:val="single"/>
        </w:rPr>
      </w:pPr>
      <w:r>
        <w:rPr>
          <w:rFonts w:hint="eastAsia" w:ascii="Times New Roman" w:hAnsi="宋体"/>
          <w:b/>
          <w:sz w:val="28"/>
          <w:szCs w:val="21"/>
        </w:rPr>
        <w:t>包</w:t>
      </w:r>
      <w:r>
        <w:rPr>
          <w:rFonts w:ascii="Times New Roman" w:hAnsi="Times New Roman"/>
          <w:b/>
          <w:sz w:val="28"/>
          <w:szCs w:val="21"/>
        </w:rPr>
        <w:t xml:space="preserve">         </w:t>
      </w:r>
      <w:r>
        <w:rPr>
          <w:rFonts w:hint="eastAsia" w:ascii="Times New Roman" w:hAnsi="宋体"/>
          <w:b/>
          <w:sz w:val="28"/>
          <w:szCs w:val="21"/>
        </w:rPr>
        <w:t>号：</w:t>
      </w:r>
    </w:p>
    <w:p>
      <w:pPr>
        <w:spacing w:line="360" w:lineRule="auto"/>
        <w:ind w:firstLine="691" w:firstLineChars="246"/>
        <w:jc w:val="center"/>
        <w:rPr>
          <w:rFonts w:ascii="Times New Roman" w:hAnsi="Times New Roman"/>
          <w:b/>
          <w:sz w:val="28"/>
          <w:szCs w:val="21"/>
        </w:rPr>
      </w:pPr>
    </w:p>
    <w:p>
      <w:pPr>
        <w:spacing w:line="360" w:lineRule="auto"/>
        <w:rPr>
          <w:rFonts w:ascii="Times New Roman" w:hAnsi="Times New Roman"/>
          <w:b/>
          <w:sz w:val="28"/>
          <w:szCs w:val="21"/>
        </w:rPr>
      </w:pPr>
      <w:r>
        <w:rPr>
          <w:rFonts w:hint="eastAsia" w:ascii="Times New Roman" w:hAnsi="宋体"/>
          <w:b/>
          <w:sz w:val="28"/>
          <w:szCs w:val="21"/>
        </w:rPr>
        <w:t>时    间：</w:t>
      </w:r>
      <w:r>
        <w:rPr>
          <w:rFonts w:ascii="Times New Roman" w:hAnsi="Times New Roman"/>
          <w:b/>
          <w:sz w:val="28"/>
          <w:szCs w:val="21"/>
        </w:rPr>
        <w:t xml:space="preserve">    </w:t>
      </w:r>
      <w:r>
        <w:rPr>
          <w:rFonts w:hint="eastAsia" w:ascii="Times New Roman" w:hAnsi="宋体"/>
          <w:b/>
          <w:sz w:val="28"/>
          <w:szCs w:val="21"/>
        </w:rPr>
        <w:t>年</w:t>
      </w:r>
      <w:r>
        <w:rPr>
          <w:rFonts w:ascii="Times New Roman" w:hAnsi="Times New Roman"/>
          <w:b/>
          <w:sz w:val="28"/>
          <w:szCs w:val="21"/>
        </w:rPr>
        <w:t xml:space="preserve">    </w:t>
      </w:r>
      <w:r>
        <w:rPr>
          <w:rFonts w:hint="eastAsia" w:ascii="Times New Roman" w:hAnsi="宋体"/>
          <w:b/>
          <w:sz w:val="28"/>
          <w:szCs w:val="21"/>
        </w:rPr>
        <w:t>月</w:t>
      </w:r>
      <w:r>
        <w:rPr>
          <w:rFonts w:ascii="Times New Roman" w:hAnsi="Times New Roman"/>
          <w:b/>
          <w:sz w:val="28"/>
          <w:szCs w:val="21"/>
        </w:rPr>
        <w:t xml:space="preserve">     </w:t>
      </w:r>
      <w:r>
        <w:rPr>
          <w:rFonts w:hint="eastAsia" w:ascii="Times New Roman" w:hAnsi="宋体"/>
          <w:b/>
          <w:sz w:val="28"/>
          <w:szCs w:val="21"/>
        </w:rPr>
        <w:t>日</w:t>
      </w:r>
    </w:p>
    <w:bookmarkEnd w:id="133"/>
    <w:bookmarkEnd w:id="174"/>
    <w:bookmarkEnd w:id="175"/>
    <w:bookmarkEnd w:id="176"/>
    <w:bookmarkEnd w:id="177"/>
    <w:bookmarkEnd w:id="178"/>
    <w:bookmarkEnd w:id="179"/>
    <w:p>
      <w:pPr>
        <w:spacing w:line="360" w:lineRule="auto"/>
        <w:jc w:val="lef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 xml:space="preserve">1-2 </w:t>
      </w:r>
    </w:p>
    <w:p>
      <w:pPr>
        <w:spacing w:line="360" w:lineRule="auto"/>
        <w:jc w:val="center"/>
        <w:rPr>
          <w:rFonts w:ascii="Times New Roman" w:hAnsi="Times New Roman" w:eastAsia="黑体"/>
          <w:b/>
          <w:sz w:val="28"/>
          <w:szCs w:val="28"/>
        </w:rPr>
      </w:pPr>
      <w:r>
        <w:rPr>
          <w:rFonts w:hint="eastAsia" w:ascii="Times New Roman" w:hAnsi="华文中宋" w:eastAsia="华文中宋"/>
          <w:b/>
          <w:sz w:val="28"/>
          <w:szCs w:val="28"/>
        </w:rPr>
        <w:t>一、</w:t>
      </w:r>
      <w:r>
        <w:rPr>
          <w:rFonts w:hint="eastAsia" w:ascii="Times New Roman" w:hAnsi="Times New Roman" w:eastAsia="黑体"/>
          <w:b/>
          <w:sz w:val="28"/>
          <w:szCs w:val="28"/>
        </w:rPr>
        <w:t>法定代表人授权书</w:t>
      </w:r>
    </w:p>
    <w:p>
      <w:pPr>
        <w:spacing w:line="360" w:lineRule="atLeast"/>
        <w:ind w:firstLine="433" w:firstLineChars="196"/>
        <w:jc w:val="left"/>
        <w:outlineLvl w:val="1"/>
        <w:rPr>
          <w:rFonts w:ascii="Times New Roman" w:hAnsi="Times New Roman"/>
          <w:b/>
          <w:sz w:val="22"/>
          <w:szCs w:val="21"/>
        </w:rPr>
      </w:pPr>
    </w:p>
    <w:p>
      <w:pPr>
        <w:spacing w:line="360" w:lineRule="atLeast"/>
        <w:ind w:firstLine="433" w:firstLineChars="196"/>
        <w:jc w:val="left"/>
        <w:outlineLvl w:val="1"/>
        <w:rPr>
          <w:rFonts w:ascii="Times New Roman" w:hAnsi="Times New Roman"/>
          <w:b/>
          <w:sz w:val="22"/>
          <w:szCs w:val="21"/>
        </w:rPr>
      </w:pPr>
    </w:p>
    <w:p>
      <w:pPr>
        <w:spacing w:line="360" w:lineRule="atLeast"/>
        <w:jc w:val="left"/>
        <w:outlineLvl w:val="1"/>
        <w:rPr>
          <w:rFonts w:ascii="Times New Roman" w:hAnsi="Times New Roman"/>
          <w:sz w:val="22"/>
          <w:szCs w:val="21"/>
        </w:rPr>
      </w:pPr>
      <w:r>
        <w:rPr>
          <w:rFonts w:ascii="Times New Roman" w:hAnsi="Times New Roman"/>
          <w:sz w:val="22"/>
          <w:szCs w:val="21"/>
          <w:u w:val="single"/>
        </w:rPr>
        <w:t xml:space="preserve">                 </w:t>
      </w:r>
      <w:r>
        <w:rPr>
          <w:rFonts w:hint="eastAsia" w:ascii="Times New Roman" w:hAnsi="Times New Roman"/>
          <w:sz w:val="22"/>
          <w:szCs w:val="21"/>
        </w:rPr>
        <w:t>（采购代理机构名称）：</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本授权声明：</w:t>
      </w:r>
      <w:r>
        <w:rPr>
          <w:rFonts w:ascii="Times New Roman" w:hAnsi="Times New Roman"/>
          <w:sz w:val="22"/>
          <w:szCs w:val="21"/>
          <w:u w:val="single"/>
        </w:rPr>
        <w:t xml:space="preserve">    </w:t>
      </w:r>
      <w:r>
        <w:rPr>
          <w:rFonts w:hint="eastAsia" w:ascii="Times New Roman" w:hAnsi="Times New Roman"/>
          <w:sz w:val="22"/>
          <w:szCs w:val="21"/>
          <w:u w:val="single"/>
        </w:rPr>
        <w:t>（投标人名称）</w:t>
      </w:r>
      <w:r>
        <w:rPr>
          <w:rFonts w:ascii="Times New Roman" w:hAnsi="Times New Roman"/>
          <w:sz w:val="22"/>
          <w:szCs w:val="21"/>
          <w:u w:val="single"/>
        </w:rPr>
        <w:t xml:space="preserve">     </w:t>
      </w:r>
      <w:r>
        <w:rPr>
          <w:rFonts w:hint="eastAsia" w:ascii="Times New Roman" w:hAnsi="Times New Roman"/>
          <w:sz w:val="22"/>
          <w:szCs w:val="21"/>
        </w:rPr>
        <w:t>的</w:t>
      </w:r>
      <w:r>
        <w:rPr>
          <w:rFonts w:ascii="Times New Roman" w:hAnsi="Times New Roman"/>
          <w:sz w:val="22"/>
          <w:szCs w:val="21"/>
          <w:u w:val="single"/>
        </w:rPr>
        <w:t xml:space="preserve">   </w:t>
      </w:r>
      <w:r>
        <w:rPr>
          <w:rFonts w:hint="eastAsia" w:ascii="Times New Roman" w:hAnsi="Times New Roman"/>
          <w:sz w:val="22"/>
          <w:szCs w:val="21"/>
          <w:u w:val="single"/>
        </w:rPr>
        <w:t xml:space="preserve">（法定代表人姓名、职务）  </w:t>
      </w:r>
      <w:r>
        <w:rPr>
          <w:rFonts w:hint="eastAsia" w:ascii="Times New Roman" w:hAnsi="Times New Roman"/>
          <w:sz w:val="22"/>
          <w:szCs w:val="21"/>
        </w:rPr>
        <w:t>授权</w:t>
      </w:r>
      <w:r>
        <w:rPr>
          <w:rFonts w:ascii="Times New Roman" w:hAnsi="Times New Roman"/>
          <w:sz w:val="22"/>
          <w:szCs w:val="21"/>
          <w:u w:val="single"/>
        </w:rPr>
        <w:t xml:space="preserve">     </w:t>
      </w:r>
      <w:r>
        <w:rPr>
          <w:rFonts w:hint="eastAsia" w:ascii="Times New Roman" w:hAnsi="Times New Roman"/>
          <w:sz w:val="22"/>
          <w:szCs w:val="21"/>
          <w:u w:val="single"/>
        </w:rPr>
        <w:t xml:space="preserve">（被授权人姓名、职务）   </w:t>
      </w:r>
      <w:r>
        <w:rPr>
          <w:rFonts w:hint="eastAsia" w:ascii="Times New Roman" w:hAnsi="Times New Roman"/>
          <w:sz w:val="22"/>
          <w:szCs w:val="21"/>
        </w:rPr>
        <w:t>为我方</w:t>
      </w:r>
      <w:r>
        <w:rPr>
          <w:rFonts w:ascii="Times New Roman" w:hAnsi="Times New Roman"/>
          <w:sz w:val="22"/>
          <w:szCs w:val="21"/>
        </w:rPr>
        <w:t xml:space="preserve"> “</w:t>
      </w:r>
      <w:r>
        <w:rPr>
          <w:rFonts w:ascii="Times New Roman" w:hAnsi="Times New Roman"/>
          <w:sz w:val="22"/>
          <w:szCs w:val="21"/>
          <w:u w:val="single"/>
        </w:rPr>
        <w:t xml:space="preserve">   </w:t>
      </w:r>
      <w:r>
        <w:rPr>
          <w:rFonts w:hint="eastAsia" w:ascii="Times New Roman" w:hAnsi="Times New Roman"/>
          <w:sz w:val="22"/>
          <w:szCs w:val="21"/>
          <w:u w:val="single"/>
        </w:rPr>
        <w:t>（项目名称）</w:t>
      </w:r>
      <w:r>
        <w:rPr>
          <w:rFonts w:ascii="Times New Roman" w:hAnsi="Times New Roman"/>
          <w:sz w:val="22"/>
          <w:szCs w:val="21"/>
          <w:u w:val="single"/>
        </w:rPr>
        <w:t xml:space="preserve">     </w:t>
      </w:r>
      <w:r>
        <w:rPr>
          <w:rFonts w:ascii="Times New Roman" w:hAnsi="Times New Roman"/>
          <w:sz w:val="22"/>
          <w:szCs w:val="21"/>
        </w:rPr>
        <w:t xml:space="preserve">” </w:t>
      </w:r>
      <w:r>
        <w:rPr>
          <w:rFonts w:hint="eastAsia" w:ascii="Times New Roman" w:hAnsi="Times New Roman"/>
          <w:sz w:val="22"/>
          <w:szCs w:val="21"/>
        </w:rPr>
        <w:t>项目（招标编号：</w:t>
      </w:r>
      <w:r>
        <w:rPr>
          <w:rFonts w:ascii="Times New Roman" w:hAnsi="Times New Roman"/>
          <w:sz w:val="22"/>
          <w:szCs w:val="21"/>
          <w:u w:val="single"/>
        </w:rPr>
        <w:t xml:space="preserve">             </w:t>
      </w:r>
      <w:r>
        <w:rPr>
          <w:rFonts w:hint="eastAsia" w:ascii="Times New Roman" w:hAnsi="Times New Roman"/>
          <w:sz w:val="22"/>
          <w:szCs w:val="21"/>
        </w:rPr>
        <w:t>）投标活动的合法代表，以我方名义全权处理该项目有关投标、签订合同以及执行合同等一切事宜。</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特此声明。</w:t>
      </w:r>
    </w:p>
    <w:p>
      <w:pPr>
        <w:spacing w:line="360" w:lineRule="atLeast"/>
        <w:ind w:firstLine="431" w:firstLineChars="196"/>
        <w:jc w:val="left"/>
        <w:outlineLvl w:val="1"/>
        <w:rPr>
          <w:rFonts w:ascii="Times New Roman" w:hAnsi="Times New Roman"/>
          <w:sz w:val="22"/>
          <w:szCs w:val="21"/>
        </w:rPr>
      </w:pPr>
    </w:p>
    <w:p>
      <w:pPr>
        <w:pStyle w:val="2"/>
        <w:rPr>
          <w:rFonts w:ascii="Times New Roman" w:hAnsi="Times New Roman"/>
          <w:sz w:val="22"/>
          <w:szCs w:val="22"/>
        </w:rPr>
      </w:pPr>
    </w:p>
    <w:p>
      <w:pPr>
        <w:pStyle w:val="2"/>
        <w:rPr>
          <w:rFonts w:ascii="Times New Roman" w:hAnsi="Times New Roman"/>
          <w:sz w:val="22"/>
          <w:szCs w:val="22"/>
        </w:rPr>
      </w:pPr>
    </w:p>
    <w:p>
      <w:pPr>
        <w:pStyle w:val="2"/>
        <w:rPr>
          <w:rFonts w:ascii="Times New Roman" w:hAnsi="Times New Roman"/>
          <w:sz w:val="22"/>
          <w:szCs w:val="22"/>
        </w:rPr>
      </w:pPr>
    </w:p>
    <w:p>
      <w:pPr>
        <w:pStyle w:val="2"/>
        <w:rPr>
          <w:rFonts w:ascii="Times New Roman" w:hAnsi="Times New Roman"/>
          <w:sz w:val="22"/>
          <w:szCs w:val="22"/>
        </w:rPr>
      </w:pPr>
    </w:p>
    <w:p>
      <w:pPr>
        <w:pStyle w:val="2"/>
        <w:rPr>
          <w:rFonts w:ascii="Times New Roman" w:hAnsi="Times New Roman"/>
          <w:sz w:val="22"/>
          <w:szCs w:val="22"/>
        </w:rPr>
      </w:pPr>
    </w:p>
    <w:p>
      <w:pPr>
        <w:pStyle w:val="2"/>
        <w:rPr>
          <w:rFonts w:ascii="Times New Roman" w:hAnsi="Times New Roman"/>
          <w:sz w:val="22"/>
          <w:szCs w:val="22"/>
        </w:rPr>
      </w:pPr>
    </w:p>
    <w:p>
      <w:pPr>
        <w:pStyle w:val="2"/>
        <w:rPr>
          <w:rFonts w:ascii="Times New Roman" w:hAnsi="Times New Roman"/>
          <w:sz w:val="22"/>
          <w:szCs w:val="22"/>
        </w:rPr>
      </w:pPr>
    </w:p>
    <w:p>
      <w:pPr>
        <w:spacing w:line="360" w:lineRule="atLeast"/>
        <w:ind w:firstLine="431" w:firstLineChars="196"/>
        <w:jc w:val="left"/>
        <w:outlineLvl w:val="1"/>
        <w:rPr>
          <w:rFonts w:ascii="Times New Roman" w:hAnsi="Times New Roman"/>
          <w:sz w:val="32"/>
          <w:szCs w:val="21"/>
        </w:rPr>
      </w:pPr>
      <w:r>
        <w:rPr>
          <w:rFonts w:hint="eastAsia" w:ascii="Times New Roman" w:hAnsi="Times New Roman"/>
          <w:sz w:val="22"/>
          <w:szCs w:val="21"/>
        </w:rPr>
        <w:t>法定代表人（签字或盖章）：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p>
    <w:p>
      <w:pPr>
        <w:spacing w:line="360" w:lineRule="atLeast"/>
        <w:jc w:val="left"/>
        <w:outlineLvl w:val="1"/>
        <w:rPr>
          <w:rFonts w:ascii="Times New Roman" w:hAnsi="Times New Roman"/>
          <w:b/>
          <w:sz w:val="22"/>
          <w:szCs w:val="21"/>
        </w:rPr>
      </w:pPr>
      <w:bookmarkStart w:id="181" w:name="_Toc217446084"/>
    </w:p>
    <w:p>
      <w:pPr>
        <w:spacing w:line="360" w:lineRule="atLeast"/>
        <w:jc w:val="left"/>
        <w:outlineLvl w:val="1"/>
        <w:rPr>
          <w:rFonts w:ascii="Times New Roman" w:hAnsi="Times New Roman"/>
          <w:b/>
          <w:sz w:val="22"/>
          <w:szCs w:val="21"/>
        </w:rPr>
      </w:pPr>
    </w:p>
    <w:p>
      <w:pPr>
        <w:spacing w:line="400" w:lineRule="exact"/>
        <w:rPr>
          <w:rFonts w:ascii="Times New Roman" w:hAnsi="Times New Roman"/>
          <w:b/>
          <w:sz w:val="22"/>
        </w:rPr>
      </w:pPr>
      <w:r>
        <w:rPr>
          <w:rFonts w:hint="eastAsia" w:ascii="Times New Roman" w:hAnsi="宋体"/>
          <w:b/>
          <w:sz w:val="22"/>
        </w:rPr>
        <w:t>附：</w:t>
      </w:r>
      <w:r>
        <w:rPr>
          <w:rFonts w:ascii="Times New Roman" w:hAnsi="Times New Roman"/>
          <w:b/>
          <w:sz w:val="22"/>
        </w:rPr>
        <w:t xml:space="preserve">1. </w:t>
      </w:r>
      <w:r>
        <w:rPr>
          <w:rFonts w:hint="eastAsia" w:ascii="Times New Roman" w:hAnsi="宋体"/>
          <w:b/>
          <w:sz w:val="22"/>
        </w:rPr>
        <w:t>法定代表人身份证正反面复印件（加盖公章）</w:t>
      </w:r>
    </w:p>
    <w:p>
      <w:pPr>
        <w:spacing w:line="400" w:lineRule="exact"/>
        <w:rPr>
          <w:rFonts w:ascii="Times New Roman" w:hAnsi="Times New Roman"/>
          <w:b/>
          <w:sz w:val="22"/>
        </w:rPr>
      </w:pPr>
      <w:r>
        <w:rPr>
          <w:rFonts w:ascii="Times New Roman" w:hAnsi="Times New Roman"/>
          <w:b/>
          <w:sz w:val="22"/>
        </w:rPr>
        <w:t xml:space="preserve">2. </w:t>
      </w:r>
      <w:r>
        <w:rPr>
          <w:rFonts w:hint="eastAsia" w:ascii="Times New Roman" w:hAnsi="宋体"/>
          <w:b/>
          <w:sz w:val="22"/>
        </w:rPr>
        <w:t>委托代理人身份证正反面复印件（加盖公章）</w:t>
      </w:r>
    </w:p>
    <w:p>
      <w:pPr>
        <w:spacing w:line="400" w:lineRule="exact"/>
        <w:rPr>
          <w:rFonts w:ascii="Times New Roman" w:hAnsi="Times New Roman"/>
          <w:b/>
          <w:sz w:val="22"/>
        </w:rPr>
      </w:pPr>
    </w:p>
    <w:p>
      <w:pPr>
        <w:spacing w:line="360" w:lineRule="atLeast"/>
        <w:jc w:val="left"/>
        <w:outlineLvl w:val="1"/>
        <w:rPr>
          <w:rFonts w:ascii="Times New Roman" w:hAnsi="Times New Roman"/>
          <w:b/>
          <w:sz w:val="22"/>
          <w:szCs w:val="21"/>
        </w:rPr>
      </w:pPr>
    </w:p>
    <w:bookmarkEnd w:id="181"/>
    <w:p>
      <w:pPr>
        <w:spacing w:line="360" w:lineRule="auto"/>
        <w:ind w:firstLine="689" w:firstLineChars="246"/>
        <w:jc w:val="center"/>
        <w:rPr>
          <w:rFonts w:ascii="Times New Roman" w:hAnsi="Times New Roman" w:eastAsia="华文中宋"/>
          <w:b/>
          <w:sz w:val="28"/>
          <w:szCs w:val="21"/>
        </w:rPr>
      </w:pPr>
    </w:p>
    <w:p>
      <w:pPr>
        <w:spacing w:line="360" w:lineRule="auto"/>
        <w:jc w:val="left"/>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 xml:space="preserve">1-3               </w:t>
      </w:r>
    </w:p>
    <w:p>
      <w:pPr>
        <w:spacing w:line="360" w:lineRule="auto"/>
        <w:jc w:val="left"/>
        <w:rPr>
          <w:rFonts w:ascii="Times New Roman" w:hAnsi="Times New Roman"/>
          <w:b/>
          <w:sz w:val="28"/>
          <w:szCs w:val="28"/>
        </w:rPr>
      </w:pPr>
      <w:r>
        <w:rPr>
          <w:rFonts w:ascii="Times New Roman" w:hAnsi="Times New Roman"/>
          <w:b/>
          <w:sz w:val="28"/>
          <w:szCs w:val="28"/>
        </w:rPr>
        <w:t xml:space="preserve"> </w:t>
      </w:r>
      <w:r>
        <w:rPr>
          <w:rFonts w:hint="eastAsia" w:ascii="Times New Roman" w:hAnsi="宋体"/>
          <w:b/>
          <w:sz w:val="28"/>
          <w:szCs w:val="28"/>
        </w:rPr>
        <w:t>二、《中华人民共和国政府采购法》第二十二条承诺函</w:t>
      </w:r>
    </w:p>
    <w:p>
      <w:pPr>
        <w:spacing w:line="360" w:lineRule="atLeast"/>
        <w:jc w:val="center"/>
        <w:outlineLvl w:val="1"/>
        <w:rPr>
          <w:rFonts w:ascii="Times New Roman" w:hAnsi="Times New Roman"/>
          <w:b/>
          <w:sz w:val="22"/>
          <w:szCs w:val="21"/>
        </w:rPr>
      </w:pPr>
    </w:p>
    <w:p>
      <w:pPr>
        <w:spacing w:line="360" w:lineRule="atLeast"/>
        <w:jc w:val="left"/>
        <w:outlineLvl w:val="1"/>
        <w:rPr>
          <w:rFonts w:ascii="Times New Roman" w:hAnsi="Times New Roman"/>
          <w:sz w:val="22"/>
          <w:szCs w:val="21"/>
        </w:rPr>
      </w:pPr>
      <w:r>
        <w:rPr>
          <w:rFonts w:ascii="Times New Roman" w:hAnsi="Times New Roman"/>
          <w:sz w:val="22"/>
          <w:szCs w:val="21"/>
          <w:u w:val="single"/>
        </w:rPr>
        <w:t xml:space="preserve">                 </w:t>
      </w:r>
      <w:r>
        <w:rPr>
          <w:rFonts w:hint="eastAsia" w:ascii="Times New Roman" w:hAnsi="Times New Roman"/>
          <w:sz w:val="22"/>
          <w:szCs w:val="21"/>
        </w:rPr>
        <w:t>（采购代理机构名称）：</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具备《中华人民共和国政府采购法》第二十二条第一款和本项目规定的条件：</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（一）具有独立承担民事责任的能力；</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（二）具有良好的商业信誉和健全的财务会计制度；</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（三）具有履行合同所必需的设备和专业技术能力；</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（四）有依法缴纳税收和社会保障资金的良好记录；</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（五）参加政府采购活动前三年内，在经营活动中没有重大违法记录；</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（六）法律、行政法规规定的其他条件；</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（七）根据采购项目提出的特殊条件。</w:t>
      </w:r>
    </w:p>
    <w:p>
      <w:pPr>
        <w:pStyle w:val="2"/>
        <w:rPr>
          <w:rFonts w:ascii="Times New Roman" w:hAnsi="Times New Roman"/>
          <w:sz w:val="22"/>
          <w:szCs w:val="22"/>
        </w:rPr>
      </w:pPr>
    </w:p>
    <w:p>
      <w:pPr>
        <w:pStyle w:val="2"/>
        <w:rPr>
          <w:rFonts w:ascii="Times New Roman" w:hAnsi="Times New Roman"/>
          <w:sz w:val="22"/>
          <w:szCs w:val="22"/>
        </w:rPr>
      </w:pPr>
    </w:p>
    <w:p>
      <w:pPr>
        <w:pStyle w:val="2"/>
        <w:rPr>
          <w:rFonts w:ascii="Times New Roman" w:hAnsi="Times New Roman"/>
          <w:sz w:val="22"/>
          <w:szCs w:val="22"/>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p>
    <w:p>
      <w:pPr>
        <w:spacing w:line="360" w:lineRule="atLeast"/>
        <w:outlineLvl w:val="1"/>
        <w:rPr>
          <w:rFonts w:ascii="Times New Roman" w:hAnsi="Times New Roman"/>
          <w:b/>
          <w:sz w:val="28"/>
          <w:szCs w:val="28"/>
        </w:rPr>
      </w:pPr>
      <w:r>
        <w:rPr>
          <w:rFonts w:ascii="Times New Roman" w:hAnsi="Times New Roman"/>
          <w:sz w:val="22"/>
          <w:szCs w:val="21"/>
          <w:highlight w:val="yellow"/>
        </w:rPr>
        <w:br w:type="page"/>
      </w:r>
      <w:r>
        <w:rPr>
          <w:rFonts w:hint="eastAsia" w:ascii="Times New Roman" w:hAnsi="宋体"/>
          <w:b/>
          <w:sz w:val="28"/>
          <w:szCs w:val="28"/>
        </w:rPr>
        <w:t>格式</w:t>
      </w:r>
      <w:r>
        <w:rPr>
          <w:rFonts w:ascii="Times New Roman" w:hAnsi="Times New Roman"/>
          <w:b/>
          <w:sz w:val="28"/>
          <w:szCs w:val="28"/>
        </w:rPr>
        <w:t xml:space="preserve">1-4  </w:t>
      </w:r>
    </w:p>
    <w:p>
      <w:pPr>
        <w:numPr>
          <w:ilvl w:val="0"/>
          <w:numId w:val="2"/>
        </w:numPr>
        <w:spacing w:line="360" w:lineRule="atLeast"/>
        <w:ind w:firstLine="562" w:firstLineChars="200"/>
        <w:jc w:val="center"/>
        <w:outlineLvl w:val="1"/>
        <w:rPr>
          <w:rFonts w:ascii="Times New Roman" w:hAnsi="Times New Roman"/>
          <w:b/>
          <w:sz w:val="28"/>
          <w:szCs w:val="28"/>
        </w:rPr>
      </w:pPr>
      <w:r>
        <w:rPr>
          <w:rFonts w:hint="eastAsia" w:ascii="Times New Roman" w:hAnsi="宋体"/>
          <w:b/>
          <w:sz w:val="28"/>
          <w:szCs w:val="28"/>
        </w:rPr>
        <w:t>承诺函</w:t>
      </w:r>
    </w:p>
    <w:p>
      <w:pPr>
        <w:pStyle w:val="2"/>
        <w:rPr>
          <w:rFonts w:ascii="Times New Roman" w:hAnsi="Times New Roman"/>
          <w:sz w:val="22"/>
          <w:szCs w:val="22"/>
          <w:u w:val="single"/>
        </w:rPr>
      </w:pPr>
    </w:p>
    <w:p>
      <w:pPr>
        <w:pStyle w:val="2"/>
        <w:rPr>
          <w:rFonts w:ascii="Times New Roman" w:hAnsi="Times New Roman"/>
          <w:sz w:val="32"/>
          <w:szCs w:val="22"/>
        </w:rPr>
      </w:pPr>
      <w:r>
        <w:rPr>
          <w:rFonts w:ascii="Times New Roman" w:hAnsi="Times New Roman"/>
          <w:sz w:val="22"/>
          <w:szCs w:val="22"/>
          <w:u w:val="single"/>
        </w:rPr>
        <w:t xml:space="preserve">                 </w:t>
      </w:r>
      <w:r>
        <w:rPr>
          <w:rFonts w:hint="eastAsia" w:ascii="Times New Roman" w:hAnsi="Times New Roman"/>
          <w:sz w:val="22"/>
          <w:szCs w:val="22"/>
        </w:rPr>
        <w:t>（采购代理机构名称）</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作为本次采购项目的投标人，根据招标文件要求，现郑重承诺如下：</w:t>
      </w:r>
    </w:p>
    <w:p>
      <w:pPr>
        <w:spacing w:line="360" w:lineRule="atLeast"/>
        <w:ind w:firstLine="440" w:firstLineChars="200"/>
        <w:jc w:val="left"/>
        <w:outlineLvl w:val="1"/>
        <w:rPr>
          <w:rFonts w:ascii="Times New Roman" w:hAnsi="Times New Roman"/>
          <w:color w:val="000000"/>
          <w:sz w:val="22"/>
          <w:szCs w:val="21"/>
        </w:rPr>
      </w:pPr>
      <w:r>
        <w:rPr>
          <w:rFonts w:hint="eastAsia" w:ascii="Times New Roman" w:hAnsi="Times New Roman"/>
          <w:sz w:val="22"/>
          <w:szCs w:val="21"/>
        </w:rPr>
        <w:t>本单位未被列入失信被执行人、重大税收违法案件当事人名单、政府采购严重违法失信行为记录名单。</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本单位对上述承诺的内容事项真实性负责。如经查实上述承诺的内容事项存在虚假情形，本单位愿意承担因此产生的后果及法律责任。</w:t>
      </w:r>
    </w:p>
    <w:p>
      <w:pPr>
        <w:spacing w:line="360" w:lineRule="auto"/>
        <w:ind w:firstLine="440" w:firstLineChars="200"/>
        <w:rPr>
          <w:rFonts w:ascii="Times New Roman" w:hAnsi="Times New Roman"/>
          <w:color w:val="000000"/>
          <w:sz w:val="22"/>
          <w:szCs w:val="21"/>
        </w:rPr>
      </w:pPr>
    </w:p>
    <w:p>
      <w:pPr>
        <w:pStyle w:val="2"/>
        <w:rPr>
          <w:rFonts w:ascii="Times New Roman" w:hAnsi="Times New Roman"/>
          <w:sz w:val="32"/>
          <w:szCs w:val="22"/>
        </w:rPr>
      </w:pPr>
    </w:p>
    <w:p>
      <w:pPr>
        <w:spacing w:line="360" w:lineRule="auto"/>
        <w:rPr>
          <w:rFonts w:ascii="Times New Roman" w:hAnsi="Times New Roman"/>
          <w:bCs/>
          <w:color w:val="000000"/>
          <w:sz w:val="22"/>
          <w:szCs w:val="21"/>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p>
    <w:p>
      <w:pPr>
        <w:rPr>
          <w:rFonts w:ascii="Times New Roman" w:hAnsi="Times New Roman"/>
          <w:sz w:val="32"/>
        </w:rPr>
      </w:pPr>
      <w:r>
        <w:rPr>
          <w:rFonts w:ascii="Times New Roman" w:hAnsi="Times New Roman"/>
          <w:sz w:val="32"/>
        </w:rPr>
        <w:br w:type="page"/>
      </w:r>
    </w:p>
    <w:p>
      <w:pPr>
        <w:spacing w:line="360" w:lineRule="atLeast"/>
        <w:ind w:right="143" w:rightChars="42"/>
        <w:rPr>
          <w:rFonts w:ascii="仿宋" w:hAnsi="仿宋" w:eastAsia="仿宋"/>
          <w:b/>
          <w:sz w:val="32"/>
          <w:szCs w:val="32"/>
        </w:rPr>
      </w:pPr>
      <w:r>
        <w:rPr>
          <w:rFonts w:hint="eastAsia" w:ascii="仿宋" w:hAnsi="仿宋" w:eastAsia="仿宋"/>
          <w:b/>
          <w:sz w:val="32"/>
          <w:szCs w:val="32"/>
        </w:rPr>
        <w:t>格式1-5</w:t>
      </w:r>
    </w:p>
    <w:p>
      <w:pPr>
        <w:spacing w:line="360" w:lineRule="atLeast"/>
        <w:ind w:right="143" w:rightChars="42"/>
        <w:jc w:val="center"/>
        <w:outlineLvl w:val="1"/>
        <w:rPr>
          <w:rFonts w:ascii="仿宋" w:hAnsi="仿宋" w:eastAsia="仿宋"/>
          <w:b/>
          <w:sz w:val="32"/>
          <w:szCs w:val="32"/>
        </w:rPr>
      </w:pPr>
      <w:r>
        <w:rPr>
          <w:rFonts w:hint="eastAsia" w:ascii="仿宋" w:hAnsi="仿宋" w:eastAsia="仿宋"/>
          <w:b/>
          <w:sz w:val="32"/>
          <w:szCs w:val="32"/>
        </w:rPr>
        <w:t>四、中小企业声明函</w:t>
      </w:r>
    </w:p>
    <w:p>
      <w:pPr>
        <w:spacing w:line="300" w:lineRule="auto"/>
        <w:ind w:right="143" w:rightChars="42"/>
        <w:jc w:val="center"/>
        <w:outlineLvl w:val="1"/>
        <w:rPr>
          <w:rFonts w:ascii="仿宋" w:hAnsi="仿宋" w:eastAsia="仿宋"/>
          <w:b/>
          <w:sz w:val="24"/>
          <w:szCs w:val="24"/>
        </w:rPr>
      </w:pPr>
    </w:p>
    <w:p>
      <w:pPr>
        <w:spacing w:line="360" w:lineRule="auto"/>
        <w:ind w:firstLine="480" w:firstLineChars="200"/>
        <w:jc w:val="left"/>
        <w:rPr>
          <w:rFonts w:hAnsi="宋体" w:cs="宋体"/>
          <w:sz w:val="24"/>
        </w:rPr>
      </w:pPr>
      <w:r>
        <w:rPr>
          <w:rFonts w:hint="eastAsia" w:hAnsi="宋体" w:cs="宋体"/>
          <w:sz w:val="24"/>
        </w:rPr>
        <w:t xml:space="preserve">本公司郑重声明，根据《政府采购促进中小企业发展管理办法》（财库〔2020〕46 号）或《政府采购支持监狱企业发展有关问题的通知》（财库〔2014〕68号）的规定，本公司（联合体）参加 </w:t>
      </w:r>
      <w:r>
        <w:rPr>
          <w:rFonts w:hint="eastAsia" w:hAnsi="宋体" w:cs="宋体"/>
          <w:sz w:val="24"/>
          <w:u w:val="single"/>
        </w:rPr>
        <w:t xml:space="preserve">（单位名称） </w:t>
      </w:r>
      <w:r>
        <w:rPr>
          <w:rFonts w:hint="eastAsia" w:hAnsi="宋体" w:cs="宋体"/>
          <w:sz w:val="24"/>
        </w:rPr>
        <w:t xml:space="preserve">的 </w:t>
      </w:r>
      <w:r>
        <w:rPr>
          <w:rFonts w:hint="eastAsia" w:hAnsi="宋体" w:cs="宋体"/>
          <w:sz w:val="24"/>
          <w:u w:val="single"/>
        </w:rPr>
        <w:t xml:space="preserve">（项目名称） </w:t>
      </w:r>
      <w:r>
        <w:rPr>
          <w:rFonts w:hint="eastAsia" w:hAnsi="宋体" w:cs="宋体"/>
          <w:sz w:val="24"/>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hAnsi="宋体" w:cs="宋体"/>
          <w:sz w:val="24"/>
        </w:rPr>
      </w:pPr>
      <w:r>
        <w:rPr>
          <w:rFonts w:hint="eastAsia" w:hAnsi="宋体" w:cs="宋体"/>
          <w:sz w:val="24"/>
        </w:rPr>
        <w:t xml:space="preserve">　　1. </w:t>
      </w:r>
      <w:r>
        <w:rPr>
          <w:rFonts w:hint="eastAsia" w:hAnsi="宋体" w:cs="宋体"/>
          <w:sz w:val="24"/>
          <w:u w:val="single"/>
        </w:rPr>
        <w:t xml:space="preserve">（标的名称） </w:t>
      </w:r>
      <w:r>
        <w:rPr>
          <w:rFonts w:hint="eastAsia" w:hAnsi="宋体" w:cs="宋体"/>
          <w:sz w:val="24"/>
        </w:rPr>
        <w:t>，属于</w:t>
      </w:r>
      <w:r>
        <w:rPr>
          <w:rFonts w:hint="eastAsia" w:hAnsi="宋体" w:cs="宋体"/>
          <w:sz w:val="24"/>
          <w:u w:val="single"/>
        </w:rPr>
        <w:t xml:space="preserve"> （采购文件中明确的所属行业） </w:t>
      </w:r>
      <w:r>
        <w:rPr>
          <w:rFonts w:hint="eastAsia" w:hAnsi="宋体" w:cs="宋体"/>
          <w:sz w:val="24"/>
        </w:rPr>
        <w:t>；承接企业为</w:t>
      </w:r>
      <w:r>
        <w:rPr>
          <w:rFonts w:hint="eastAsia" w:hAnsi="宋体" w:cs="宋体"/>
          <w:sz w:val="24"/>
          <w:u w:val="single"/>
        </w:rPr>
        <w:t xml:space="preserve"> （企业名称） </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 xml:space="preserve"> （中型企业、小型企业、微型企业、监狱企业） </w:t>
      </w: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2.</w:t>
      </w:r>
      <w:r>
        <w:rPr>
          <w:rFonts w:hint="eastAsia" w:hAnsi="宋体" w:cs="宋体"/>
          <w:sz w:val="24"/>
          <w:u w:val="single"/>
        </w:rPr>
        <w:t xml:space="preserve"> （标的名称） </w:t>
      </w:r>
      <w:r>
        <w:rPr>
          <w:rFonts w:hint="eastAsia" w:hAnsi="宋体" w:cs="宋体"/>
          <w:sz w:val="24"/>
        </w:rPr>
        <w:t>，属于</w:t>
      </w:r>
      <w:r>
        <w:rPr>
          <w:rFonts w:hint="eastAsia" w:hAnsi="宋体" w:cs="宋体"/>
          <w:sz w:val="24"/>
          <w:u w:val="single"/>
        </w:rPr>
        <w:t xml:space="preserve"> （采购文件中明确的所属行业） </w:t>
      </w:r>
      <w:r>
        <w:rPr>
          <w:rFonts w:hint="eastAsia" w:hAnsi="宋体" w:cs="宋体"/>
          <w:sz w:val="24"/>
        </w:rPr>
        <w:t>；承接企业为</w:t>
      </w:r>
      <w:r>
        <w:rPr>
          <w:rFonts w:hint="eastAsia" w:hAnsi="宋体" w:cs="宋体"/>
          <w:sz w:val="24"/>
          <w:u w:val="single"/>
        </w:rPr>
        <w:t xml:space="preserve"> （企业名称） </w:t>
      </w:r>
      <w:r>
        <w:rPr>
          <w:rFonts w:hint="eastAsia" w:hAnsi="宋体" w:cs="宋体"/>
          <w:sz w:val="24"/>
        </w:rPr>
        <w:t>，从业人员</w:t>
      </w:r>
      <w:r>
        <w:rPr>
          <w:rFonts w:hint="eastAsia" w:hAnsi="宋体" w:cs="宋体"/>
          <w:sz w:val="24"/>
          <w:u w:val="single"/>
        </w:rPr>
        <w:t xml:space="preserve">   </w:t>
      </w:r>
      <w:r>
        <w:rPr>
          <w:rFonts w:hint="eastAsia" w:hAnsi="宋体" w:cs="宋体"/>
          <w:sz w:val="24"/>
        </w:rPr>
        <w:t>人，营业收入为</w:t>
      </w:r>
      <w:r>
        <w:rPr>
          <w:rFonts w:hint="eastAsia" w:hAnsi="宋体" w:cs="宋体"/>
          <w:sz w:val="24"/>
          <w:u w:val="single"/>
        </w:rPr>
        <w:t xml:space="preserve">    </w:t>
      </w:r>
      <w:r>
        <w:rPr>
          <w:rFonts w:hint="eastAsia" w:hAnsi="宋体" w:cs="宋体"/>
          <w:sz w:val="24"/>
        </w:rPr>
        <w:t>万元，资产总额为</w:t>
      </w:r>
      <w:r>
        <w:rPr>
          <w:rFonts w:hint="eastAsia" w:hAnsi="宋体" w:cs="宋体"/>
          <w:sz w:val="24"/>
          <w:u w:val="single"/>
        </w:rPr>
        <w:t xml:space="preserve">   </w:t>
      </w:r>
      <w:r>
        <w:rPr>
          <w:rFonts w:hint="eastAsia" w:hAnsi="宋体" w:cs="宋体"/>
          <w:sz w:val="24"/>
        </w:rPr>
        <w:t>万元，属于</w:t>
      </w:r>
      <w:r>
        <w:rPr>
          <w:rFonts w:hint="eastAsia" w:hAnsi="宋体" w:cs="宋体"/>
          <w:sz w:val="24"/>
          <w:u w:val="single"/>
        </w:rPr>
        <w:t xml:space="preserve"> （中型企业、小型企业、微型企业、监狱企业） </w:t>
      </w: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w:t>
      </w:r>
    </w:p>
    <w:p>
      <w:pPr>
        <w:spacing w:line="360" w:lineRule="auto"/>
        <w:ind w:firstLine="600" w:firstLineChars="250"/>
        <w:jc w:val="left"/>
        <w:rPr>
          <w:rFonts w:hAnsi="宋体" w:cs="宋体"/>
          <w:sz w:val="24"/>
        </w:rPr>
      </w:pPr>
      <w:r>
        <w:rPr>
          <w:rFonts w:hint="eastAsia" w:hAnsi="宋体" w:cs="宋体"/>
          <w:sz w:val="24"/>
        </w:rPr>
        <w:t>以上企业，不属于大企业的分支机构，不存在控股股东为大企业的情形，也不存在与大企业的负责人为同一人的情形。</w:t>
      </w:r>
    </w:p>
    <w:p>
      <w:pPr>
        <w:spacing w:line="360" w:lineRule="auto"/>
        <w:ind w:firstLine="600" w:firstLineChars="250"/>
        <w:jc w:val="left"/>
        <w:rPr>
          <w:rFonts w:hAnsi="宋体" w:cs="宋体"/>
          <w:sz w:val="24"/>
        </w:rPr>
      </w:pPr>
      <w:r>
        <w:rPr>
          <w:rFonts w:hint="eastAsia" w:hAnsi="宋体" w:cs="宋体"/>
          <w:sz w:val="24"/>
        </w:rPr>
        <w:t>本企业对上述声明内容的真实性负责。如有虚假，将依法承担相应责任。</w:t>
      </w:r>
    </w:p>
    <w:p>
      <w:pPr>
        <w:spacing w:line="360" w:lineRule="auto"/>
        <w:jc w:val="center"/>
        <w:rPr>
          <w:rFonts w:hAnsi="宋体" w:cs="宋体"/>
          <w:sz w:val="24"/>
        </w:rPr>
      </w:pPr>
      <w:r>
        <w:rPr>
          <w:rFonts w:hint="eastAsia" w:hAnsi="宋体" w:cs="宋体"/>
          <w:sz w:val="24"/>
        </w:rPr>
        <w:t xml:space="preserve">                                 企业名称（盖章）：</w:t>
      </w:r>
    </w:p>
    <w:p>
      <w:pPr>
        <w:spacing w:line="360" w:lineRule="auto"/>
        <w:jc w:val="center"/>
        <w:rPr>
          <w:rFonts w:hAnsi="宋体" w:cs="宋体"/>
          <w:sz w:val="24"/>
        </w:rPr>
      </w:pPr>
      <w:r>
        <w:rPr>
          <w:rFonts w:hint="eastAsia" w:hAnsi="宋体" w:cs="宋体"/>
          <w:sz w:val="24"/>
        </w:rPr>
        <w:t xml:space="preserve">                        日 期：</w:t>
      </w:r>
    </w:p>
    <w:p>
      <w:pPr>
        <w:spacing w:line="360" w:lineRule="auto"/>
        <w:jc w:val="left"/>
        <w:rPr>
          <w:rFonts w:hAnsi="宋体" w:cs="宋体"/>
          <w:sz w:val="24"/>
        </w:rPr>
      </w:pPr>
      <w:r>
        <w:rPr>
          <w:rFonts w:hint="eastAsia" w:hAnsi="宋体" w:cs="宋体"/>
          <w:sz w:val="24"/>
        </w:rPr>
        <w:t>注：</w:t>
      </w:r>
    </w:p>
    <w:p>
      <w:pPr>
        <w:spacing w:line="300" w:lineRule="exact"/>
        <w:rPr>
          <w:rFonts w:hAnsi="宋体" w:cs="宋体"/>
          <w:sz w:val="24"/>
        </w:rPr>
      </w:pPr>
      <w:r>
        <w:rPr>
          <w:rFonts w:hint="eastAsia" w:hAnsi="宋体" w:cs="宋体"/>
          <w:sz w:val="24"/>
        </w:rPr>
        <w:t>1、从业人员、营业收入、资产总额填报上一年度数据，无上一年度数据的新成立企业及监狱企业可不填报。</w:t>
      </w:r>
    </w:p>
    <w:p>
      <w:pPr>
        <w:spacing w:line="360" w:lineRule="auto"/>
        <w:ind w:right="143" w:rightChars="42"/>
        <w:rPr>
          <w:rFonts w:ascii="仿宋" w:hAnsi="仿宋" w:eastAsia="仿宋" w:cs="宋体"/>
        </w:rPr>
      </w:pPr>
      <w:r>
        <w:rPr>
          <w:rFonts w:hint="eastAsia" w:ascii="仿宋" w:hAnsi="仿宋" w:eastAsia="仿宋" w:cs="宋体"/>
        </w:rPr>
        <w:br w:type="page"/>
      </w:r>
    </w:p>
    <w:p>
      <w:pPr>
        <w:spacing w:line="300" w:lineRule="auto"/>
        <w:ind w:right="143" w:rightChars="42"/>
        <w:rPr>
          <w:rFonts w:ascii="华文中宋" w:hAnsi="华文中宋" w:eastAsia="华文中宋"/>
          <w:b/>
          <w:sz w:val="32"/>
          <w:szCs w:val="32"/>
        </w:rPr>
      </w:pPr>
      <w:r>
        <w:rPr>
          <w:rFonts w:hint="eastAsia" w:ascii="华文中宋" w:hAnsi="华文中宋" w:eastAsia="华文中宋"/>
          <w:b/>
          <w:sz w:val="32"/>
          <w:szCs w:val="32"/>
        </w:rPr>
        <w:t>格式1-5</w:t>
      </w:r>
    </w:p>
    <w:p>
      <w:pPr>
        <w:spacing w:line="300" w:lineRule="auto"/>
        <w:ind w:right="143" w:rightChars="42"/>
        <w:jc w:val="center"/>
        <w:rPr>
          <w:rFonts w:ascii="黑体" w:eastAsia="黑体"/>
          <w:b/>
          <w:sz w:val="32"/>
          <w:szCs w:val="32"/>
        </w:rPr>
      </w:pPr>
      <w:r>
        <w:rPr>
          <w:rFonts w:hint="eastAsia" w:ascii="黑体" w:eastAsia="黑体"/>
          <w:b/>
          <w:sz w:val="32"/>
          <w:szCs w:val="32"/>
        </w:rPr>
        <w:t>五、</w:t>
      </w:r>
      <w:bookmarkStart w:id="182" w:name="OLE_LINK14"/>
      <w:r>
        <w:rPr>
          <w:rFonts w:hint="eastAsia" w:ascii="黑体" w:eastAsia="黑体"/>
          <w:b/>
          <w:sz w:val="32"/>
          <w:szCs w:val="32"/>
        </w:rPr>
        <w:t>残疾人福利性单位声明函</w:t>
      </w:r>
    </w:p>
    <w:bookmarkEnd w:id="182"/>
    <w:p>
      <w:pPr>
        <w:spacing w:line="300" w:lineRule="auto"/>
        <w:ind w:right="143" w:rightChars="42"/>
        <w:rPr>
          <w:rFonts w:hAnsi="宋体" w:cs="宋体"/>
          <w:b/>
          <w:spacing w:val="6"/>
          <w:sz w:val="24"/>
        </w:rPr>
      </w:pPr>
    </w:p>
    <w:p>
      <w:pPr>
        <w:spacing w:line="360" w:lineRule="auto"/>
        <w:ind w:right="143" w:rightChars="42"/>
        <w:rPr>
          <w:rFonts w:hAnsi="宋体" w:cs="宋体"/>
          <w:b/>
          <w:spacing w:val="6"/>
        </w:rPr>
      </w:pP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本单位郑重声明，根据《财政部 民政部 中国残疾人联合会关于促进残疾人就业政府采购政策的通知》（财库</w:t>
      </w:r>
      <w:r>
        <w:rPr>
          <w:rFonts w:hint="eastAsia" w:hAnsi="宋体" w:cs="宋体"/>
          <w:sz w:val="24"/>
          <w:szCs w:val="24"/>
        </w:rPr>
        <w:t>〔2017〕 141</w:t>
      </w:r>
      <w:r>
        <w:rPr>
          <w:rFonts w:hint="eastAsia" w:hAnsi="宋体" w:cs="宋体"/>
          <w:spacing w:val="6"/>
          <w:sz w:val="24"/>
          <w:szCs w:val="24"/>
        </w:rPr>
        <w:t>号）的规定，本单位为符合条件的残疾人福利性单位，且本单位参加</w:t>
      </w:r>
      <w:r>
        <w:rPr>
          <w:rFonts w:hint="eastAsia" w:hAnsi="宋体" w:cs="宋体"/>
          <w:sz w:val="24"/>
          <w:szCs w:val="24"/>
          <w:u w:val="single"/>
        </w:rPr>
        <w:t>XXXX</w:t>
      </w:r>
      <w:r>
        <w:rPr>
          <w:rFonts w:hint="eastAsia" w:hAnsi="宋体" w:cs="宋体"/>
          <w:spacing w:val="6"/>
          <w:sz w:val="24"/>
          <w:szCs w:val="24"/>
        </w:rPr>
        <w:t>单位的</w:t>
      </w:r>
      <w:r>
        <w:rPr>
          <w:rFonts w:hint="eastAsia" w:hAnsi="宋体" w:cs="宋体"/>
          <w:sz w:val="24"/>
          <w:szCs w:val="24"/>
          <w:u w:val="single"/>
        </w:rPr>
        <w:t>XXXX</w:t>
      </w:r>
      <w:r>
        <w:rPr>
          <w:rFonts w:hint="eastAsia"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本单位对上述声明的真实性负责。如有虚假，将依法承担相应责任。</w:t>
      </w:r>
    </w:p>
    <w:p>
      <w:pPr>
        <w:spacing w:line="588" w:lineRule="exact"/>
        <w:ind w:right="143" w:rightChars="42"/>
        <w:rPr>
          <w:rFonts w:hAnsi="宋体" w:cs="宋体"/>
          <w:spacing w:val="6"/>
          <w:sz w:val="24"/>
          <w:szCs w:val="24"/>
        </w:rPr>
      </w:pPr>
    </w:p>
    <w:p>
      <w:pPr>
        <w:tabs>
          <w:tab w:val="left" w:pos="4860"/>
        </w:tabs>
        <w:spacing w:line="588" w:lineRule="exact"/>
        <w:ind w:right="143" w:rightChars="42"/>
        <w:rPr>
          <w:rFonts w:hAnsi="宋体" w:cs="宋体"/>
          <w:spacing w:val="6"/>
          <w:sz w:val="24"/>
          <w:szCs w:val="24"/>
        </w:rPr>
      </w:pPr>
      <w:r>
        <w:rPr>
          <w:rFonts w:hint="eastAsia" w:hAnsi="宋体" w:cs="宋体"/>
          <w:spacing w:val="6"/>
          <w:sz w:val="24"/>
          <w:szCs w:val="24"/>
        </w:rPr>
        <w:t>单位名称（盖章）：</w:t>
      </w:r>
    </w:p>
    <w:p>
      <w:pPr>
        <w:ind w:right="143" w:rightChars="42"/>
        <w:rPr>
          <w:rFonts w:hAnsi="宋体" w:cs="宋体"/>
          <w:spacing w:val="6"/>
          <w:sz w:val="24"/>
          <w:szCs w:val="24"/>
        </w:rPr>
      </w:pPr>
      <w:r>
        <w:rPr>
          <w:rFonts w:hint="eastAsia" w:hAnsi="宋体" w:cs="宋体"/>
          <w:spacing w:val="6"/>
          <w:sz w:val="24"/>
          <w:szCs w:val="24"/>
        </w:rPr>
        <w:t>日  期：</w:t>
      </w:r>
    </w:p>
    <w:p>
      <w:pPr>
        <w:spacing w:line="360" w:lineRule="auto"/>
        <w:ind w:right="143" w:rightChars="42"/>
        <w:rPr>
          <w:rFonts w:hAnsi="宋体" w:cs="宋体"/>
          <w:sz w:val="24"/>
          <w:szCs w:val="24"/>
        </w:rPr>
      </w:pPr>
    </w:p>
    <w:p>
      <w:pPr>
        <w:spacing w:line="360" w:lineRule="auto"/>
        <w:ind w:right="143" w:rightChars="42"/>
        <w:rPr>
          <w:rFonts w:hAnsi="宋体" w:cs="宋体"/>
          <w:sz w:val="24"/>
          <w:szCs w:val="24"/>
        </w:rPr>
      </w:pPr>
      <w:r>
        <w:rPr>
          <w:rFonts w:hint="eastAsia" w:hAnsi="宋体" w:cs="宋体"/>
          <w:sz w:val="24"/>
          <w:szCs w:val="24"/>
        </w:rPr>
        <w:t>注：</w:t>
      </w:r>
    </w:p>
    <w:p>
      <w:pPr>
        <w:numPr>
          <w:ilvl w:val="0"/>
          <w:numId w:val="3"/>
        </w:numPr>
        <w:spacing w:line="360" w:lineRule="auto"/>
        <w:ind w:right="143" w:rightChars="42"/>
        <w:rPr>
          <w:rFonts w:hAnsi="宋体" w:cs="宋体"/>
          <w:sz w:val="24"/>
          <w:szCs w:val="24"/>
        </w:rPr>
      </w:pPr>
      <w:r>
        <w:rPr>
          <w:rFonts w:hint="eastAsia" w:hAnsi="宋体" w:cs="宋体"/>
          <w:sz w:val="24"/>
          <w:szCs w:val="24"/>
        </w:rPr>
        <w:t>残疾人福利性单位视同小型、微型企业，享受预留份额、评审中价格扣除等促进中小企业发展的政府采购政策。残疾人福利性单位属于小型、微型企业的，不重复享受政策。</w:t>
      </w:r>
    </w:p>
    <w:p>
      <w:pPr>
        <w:numPr>
          <w:ilvl w:val="0"/>
          <w:numId w:val="3"/>
        </w:numPr>
        <w:spacing w:line="300" w:lineRule="auto"/>
        <w:ind w:right="143" w:rightChars="42"/>
        <w:rPr>
          <w:rFonts w:hAnsi="宋体" w:cs="宋体"/>
          <w:sz w:val="24"/>
          <w:szCs w:val="24"/>
        </w:rPr>
        <w:sectPr>
          <w:footerReference r:id="rId3" w:type="default"/>
          <w:pgSz w:w="11906" w:h="16838"/>
          <w:pgMar w:top="1440" w:right="1800" w:bottom="1440" w:left="1800" w:header="851" w:footer="992" w:gutter="0"/>
          <w:cols w:space="720" w:num="1"/>
          <w:docGrid w:type="lines" w:linePitch="312" w:charSpace="0"/>
        </w:sectPr>
      </w:pPr>
      <w:r>
        <w:rPr>
          <w:rFonts w:hint="eastAsia" w:hAnsi="宋体" w:cs="宋体"/>
          <w:sz w:val="24"/>
          <w:szCs w:val="24"/>
        </w:rPr>
        <w:t>投标人为非残疾人福利性单位的，可不提供此声明。</w:t>
      </w:r>
    </w:p>
    <w:p>
      <w:pPr>
        <w:spacing w:line="300" w:lineRule="auto"/>
        <w:ind w:right="143" w:rightChars="42"/>
        <w:rPr>
          <w:rFonts w:ascii="华文中宋" w:hAnsi="华文中宋" w:eastAsia="华文中宋"/>
          <w:b/>
          <w:sz w:val="32"/>
          <w:szCs w:val="32"/>
        </w:rPr>
      </w:pPr>
      <w:r>
        <w:rPr>
          <w:rFonts w:hint="eastAsia" w:ascii="华文中宋" w:hAnsi="华文中宋" w:eastAsia="华文中宋"/>
          <w:b/>
          <w:sz w:val="32"/>
          <w:szCs w:val="32"/>
        </w:rPr>
        <w:t>格式1-6</w:t>
      </w:r>
    </w:p>
    <w:p>
      <w:pPr>
        <w:ind w:right="143" w:rightChars="42"/>
        <w:jc w:val="center"/>
        <w:rPr>
          <w:rFonts w:hAnsi="宋体" w:cs="宋体"/>
          <w:b/>
          <w:sz w:val="32"/>
          <w:szCs w:val="32"/>
        </w:rPr>
      </w:pPr>
      <w:r>
        <w:rPr>
          <w:rFonts w:hint="eastAsia" w:hAnsi="宋体" w:cs="宋体"/>
          <w:b/>
          <w:sz w:val="32"/>
          <w:szCs w:val="32"/>
        </w:rPr>
        <w:t>六、监狱企业</w:t>
      </w:r>
    </w:p>
    <w:p>
      <w:pPr>
        <w:spacing w:line="588" w:lineRule="exact"/>
        <w:ind w:right="143" w:rightChars="42"/>
        <w:rPr>
          <w:rFonts w:hAnsi="宋体" w:cs="宋体"/>
          <w:b/>
          <w:spacing w:val="6"/>
        </w:rPr>
      </w:pP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注：</w:t>
      </w:r>
    </w:p>
    <w:p>
      <w:pPr>
        <w:spacing w:line="588" w:lineRule="exact"/>
        <w:ind w:right="143" w:rightChars="42" w:firstLine="504" w:firstLineChars="200"/>
        <w:rPr>
          <w:rFonts w:hAnsi="宋体" w:cs="宋体"/>
          <w:spacing w:val="6"/>
          <w:sz w:val="24"/>
          <w:szCs w:val="24"/>
        </w:rPr>
      </w:pPr>
      <w:r>
        <w:rPr>
          <w:rFonts w:hint="eastAsia" w:hAnsi="宋体" w:cs="宋体"/>
          <w:spacing w:val="6"/>
          <w:sz w:val="24"/>
          <w:szCs w:val="24"/>
        </w:rPr>
        <w:t>1.投标人符合《政府采购支持监狱企业发展有关问题的通知》（财库〔2014〕68号）规定的划分标准为监狱企业适用。</w:t>
      </w:r>
    </w:p>
    <w:p>
      <w:pPr>
        <w:spacing w:line="588" w:lineRule="exact"/>
        <w:ind w:right="143" w:rightChars="42" w:firstLine="504" w:firstLineChars="200"/>
        <w:rPr>
          <w:rFonts w:hAnsi="宋体" w:cs="宋体"/>
          <w:spacing w:val="6"/>
          <w:sz w:val="24"/>
          <w:szCs w:val="24"/>
        </w:rPr>
        <w:sectPr>
          <w:pgSz w:w="11906" w:h="16838"/>
          <w:pgMar w:top="1440" w:right="1800" w:bottom="1440" w:left="1800" w:header="851" w:footer="992" w:gutter="0"/>
          <w:cols w:space="720" w:num="1"/>
          <w:docGrid w:type="lines" w:linePitch="312" w:charSpace="0"/>
        </w:sectPr>
      </w:pPr>
      <w:r>
        <w:rPr>
          <w:rFonts w:hint="eastAsia" w:hAnsi="宋体" w:cs="宋体"/>
          <w:spacing w:val="6"/>
          <w:sz w:val="24"/>
          <w:szCs w:val="24"/>
        </w:rPr>
        <w:t>2.在政府采购活动中，监狱企业视同小型、微型企业，享受预留份额、评审中价格扣除等政府采购促进中小企业发展的政府采购政策。</w:t>
      </w:r>
    </w:p>
    <w:p>
      <w:pPr>
        <w:spacing w:line="360" w:lineRule="auto"/>
        <w:ind w:firstLine="691" w:firstLineChars="246"/>
        <w:jc w:val="center"/>
        <w:rPr>
          <w:rFonts w:ascii="Times New Roman" w:hAnsi="Times New Roman" w:eastAsia="黑体"/>
          <w:b/>
          <w:sz w:val="28"/>
          <w:szCs w:val="28"/>
        </w:rPr>
      </w:pPr>
    </w:p>
    <w:p>
      <w:pPr>
        <w:spacing w:line="360" w:lineRule="auto"/>
        <w:ind w:firstLine="691" w:firstLineChars="246"/>
        <w:jc w:val="center"/>
        <w:rPr>
          <w:rFonts w:ascii="Times New Roman" w:hAnsi="Times New Roman" w:eastAsia="黑体"/>
          <w:b/>
          <w:sz w:val="28"/>
          <w:szCs w:val="28"/>
        </w:rPr>
      </w:pPr>
      <w:r>
        <w:rPr>
          <w:rFonts w:hint="eastAsia" w:ascii="Times New Roman" w:hAnsi="Times New Roman" w:eastAsia="黑体"/>
          <w:b/>
          <w:sz w:val="28"/>
          <w:szCs w:val="28"/>
        </w:rPr>
        <w:t>四、投标人和投标产品其他资格、资质性及其他类似效力要求的相关证明材料</w:t>
      </w:r>
    </w:p>
    <w:p>
      <w:pPr>
        <w:spacing w:line="360" w:lineRule="auto"/>
        <w:rPr>
          <w:rFonts w:ascii="Times New Roman" w:hAnsi="Times New Roman"/>
          <w:bCs/>
          <w:sz w:val="22"/>
          <w:szCs w:val="21"/>
        </w:rPr>
      </w:pPr>
      <w:r>
        <w:rPr>
          <w:rFonts w:hint="eastAsia" w:ascii="Times New Roman" w:hAnsi="宋体"/>
          <w:bCs/>
          <w:sz w:val="22"/>
          <w:szCs w:val="21"/>
        </w:rPr>
        <w:t>注：投标人应按招标文件第四章相关要求提供佐证材料，有格式要求的从其要求，无格式要求的格式自拟。</w:t>
      </w:r>
    </w:p>
    <w:p>
      <w:pPr>
        <w:tabs>
          <w:tab w:val="left" w:pos="900"/>
        </w:tabs>
        <w:spacing w:line="360" w:lineRule="auto"/>
        <w:jc w:val="center"/>
        <w:rPr>
          <w:rFonts w:ascii="Times New Roman" w:hAnsi="Times New Roman"/>
          <w:b/>
          <w:sz w:val="28"/>
          <w:szCs w:val="21"/>
        </w:rPr>
      </w:pPr>
      <w:r>
        <w:rPr>
          <w:rFonts w:ascii="Times New Roman" w:hAnsi="Times New Roman"/>
          <w:b/>
          <w:sz w:val="28"/>
          <w:szCs w:val="21"/>
        </w:rPr>
        <w:br w:type="page"/>
      </w:r>
      <w:r>
        <w:rPr>
          <w:rFonts w:hint="eastAsia" w:ascii="Times New Roman" w:hAnsi="宋体"/>
          <w:b/>
          <w:sz w:val="28"/>
          <w:szCs w:val="21"/>
        </w:rPr>
        <w:t>第二部分</w:t>
      </w:r>
      <w:r>
        <w:rPr>
          <w:rFonts w:ascii="Times New Roman" w:hAnsi="Times New Roman"/>
          <w:b/>
          <w:sz w:val="28"/>
          <w:szCs w:val="21"/>
        </w:rPr>
        <w:t xml:space="preserve">     “</w:t>
      </w:r>
      <w:r>
        <w:rPr>
          <w:rFonts w:hint="eastAsia" w:ascii="Times New Roman" w:hAnsi="宋体"/>
          <w:b/>
          <w:sz w:val="28"/>
          <w:szCs w:val="21"/>
        </w:rPr>
        <w:t>其他响应性投标文件</w:t>
      </w:r>
      <w:r>
        <w:rPr>
          <w:rFonts w:ascii="Times New Roman" w:hAnsi="Times New Roman"/>
          <w:b/>
          <w:sz w:val="28"/>
          <w:szCs w:val="21"/>
        </w:rPr>
        <w:t>”</w:t>
      </w:r>
      <w:r>
        <w:rPr>
          <w:rFonts w:hint="eastAsia" w:ascii="Times New Roman" w:hAnsi="宋体"/>
          <w:b/>
          <w:sz w:val="28"/>
          <w:szCs w:val="21"/>
        </w:rPr>
        <w:t>格式</w:t>
      </w:r>
    </w:p>
    <w:p>
      <w:pPr>
        <w:spacing w:line="360" w:lineRule="auto"/>
        <w:rPr>
          <w:rFonts w:ascii="Times New Roman" w:hAnsi="Times New Roman" w:eastAsia="华文中宋"/>
          <w:b/>
          <w:sz w:val="28"/>
          <w:szCs w:val="28"/>
        </w:rPr>
      </w:pPr>
    </w:p>
    <w:p>
      <w:pPr>
        <w:spacing w:line="360" w:lineRule="auto"/>
        <w:rPr>
          <w:rFonts w:ascii="Times New Roman" w:hAnsi="Times New Roman"/>
          <w:b/>
          <w:sz w:val="28"/>
          <w:szCs w:val="28"/>
        </w:rPr>
      </w:pPr>
      <w:r>
        <w:rPr>
          <w:rFonts w:hint="eastAsia" w:ascii="Times New Roman" w:hAnsi="宋体"/>
          <w:b/>
          <w:sz w:val="28"/>
          <w:szCs w:val="28"/>
        </w:rPr>
        <w:t>格式</w:t>
      </w:r>
      <w:r>
        <w:rPr>
          <w:rFonts w:ascii="Times New Roman" w:hAnsi="Times New Roman"/>
          <w:b/>
          <w:sz w:val="28"/>
          <w:szCs w:val="28"/>
        </w:rPr>
        <w:t xml:space="preserve">2-1             </w:t>
      </w:r>
      <w:r>
        <w:rPr>
          <w:rFonts w:hint="eastAsia" w:ascii="Times New Roman" w:hAnsi="宋体"/>
          <w:b/>
          <w:sz w:val="28"/>
          <w:szCs w:val="28"/>
        </w:rPr>
        <w:t>封面：</w:t>
      </w:r>
    </w:p>
    <w:p>
      <w:pPr>
        <w:spacing w:line="360" w:lineRule="auto"/>
        <w:jc w:val="right"/>
        <w:rPr>
          <w:rFonts w:ascii="Times New Roman" w:hAnsi="Times New Roman"/>
          <w:b/>
          <w:sz w:val="32"/>
          <w:szCs w:val="21"/>
        </w:rPr>
      </w:pPr>
      <w:r>
        <w:rPr>
          <w:rFonts w:hint="eastAsia" w:ascii="Times New Roman" w:hAnsi="宋体"/>
          <w:b/>
          <w:sz w:val="32"/>
          <w:szCs w:val="21"/>
        </w:rPr>
        <w:t>（正本</w:t>
      </w:r>
      <w:r>
        <w:rPr>
          <w:rFonts w:ascii="Times New Roman" w:hAnsi="Times New Roman"/>
          <w:b/>
          <w:sz w:val="32"/>
          <w:szCs w:val="21"/>
        </w:rPr>
        <w:t>/</w:t>
      </w:r>
      <w:r>
        <w:rPr>
          <w:rFonts w:hint="eastAsia" w:ascii="Times New Roman" w:hAnsi="宋体"/>
          <w:b/>
          <w:sz w:val="32"/>
          <w:szCs w:val="21"/>
        </w:rPr>
        <w:t>副本）</w:t>
      </w:r>
    </w:p>
    <w:p>
      <w:pPr>
        <w:spacing w:line="360" w:lineRule="auto"/>
        <w:rPr>
          <w:rFonts w:ascii="Times New Roman" w:hAnsi="Times New Roman"/>
          <w:b/>
          <w:sz w:val="28"/>
          <w:szCs w:val="28"/>
        </w:rPr>
      </w:pPr>
    </w:p>
    <w:p>
      <w:pPr>
        <w:spacing w:line="360" w:lineRule="auto"/>
        <w:jc w:val="center"/>
        <w:rPr>
          <w:rFonts w:ascii="Times New Roman" w:hAnsi="Times New Roman"/>
          <w:b/>
          <w:sz w:val="56"/>
          <w:szCs w:val="21"/>
        </w:rPr>
      </w:pPr>
      <w:r>
        <w:rPr>
          <w:rFonts w:ascii="Times New Roman" w:hAnsi="Times New Roman"/>
          <w:b/>
          <w:sz w:val="36"/>
          <w:szCs w:val="44"/>
          <w:u w:val="single"/>
        </w:rPr>
        <w:t xml:space="preserve">                      </w:t>
      </w:r>
      <w:r>
        <w:rPr>
          <w:rFonts w:hint="eastAsia" w:ascii="Times New Roman" w:hAnsi="宋体"/>
          <w:b/>
          <w:sz w:val="36"/>
          <w:szCs w:val="44"/>
        </w:rPr>
        <w:t>项目</w:t>
      </w:r>
    </w:p>
    <w:p>
      <w:pPr>
        <w:spacing w:line="360" w:lineRule="auto"/>
        <w:rPr>
          <w:rFonts w:ascii="Times New Roman" w:hAnsi="Times New Roman"/>
          <w:b/>
          <w:sz w:val="48"/>
          <w:szCs w:val="48"/>
        </w:rPr>
      </w:pPr>
    </w:p>
    <w:p>
      <w:pPr>
        <w:spacing w:line="360" w:lineRule="auto"/>
        <w:jc w:val="center"/>
        <w:rPr>
          <w:rFonts w:ascii="Times New Roman" w:hAnsi="Times New Roman"/>
          <w:b/>
          <w:sz w:val="32"/>
          <w:szCs w:val="21"/>
        </w:rPr>
      </w:pPr>
      <w:r>
        <w:rPr>
          <w:rFonts w:hint="eastAsia" w:ascii="Times New Roman" w:hAnsi="宋体"/>
          <w:b/>
          <w:sz w:val="48"/>
          <w:szCs w:val="48"/>
        </w:rPr>
        <w:t>其他响应性投标文件</w:t>
      </w:r>
    </w:p>
    <w:p>
      <w:pPr>
        <w:spacing w:line="360" w:lineRule="auto"/>
        <w:rPr>
          <w:rFonts w:ascii="Times New Roman" w:hAnsi="Times New Roman"/>
          <w:b/>
          <w:sz w:val="32"/>
          <w:szCs w:val="21"/>
        </w:rPr>
      </w:pPr>
    </w:p>
    <w:p>
      <w:pPr>
        <w:spacing w:line="360" w:lineRule="auto"/>
        <w:jc w:val="left"/>
        <w:rPr>
          <w:rFonts w:ascii="Times New Roman" w:hAnsi="Times New Roman"/>
          <w:b/>
          <w:sz w:val="28"/>
          <w:szCs w:val="21"/>
          <w:u w:val="single"/>
        </w:rPr>
      </w:pPr>
      <w:r>
        <w:rPr>
          <w:rFonts w:hint="eastAsia" w:ascii="Times New Roman" w:hAnsi="宋体"/>
          <w:b/>
          <w:sz w:val="28"/>
          <w:szCs w:val="21"/>
        </w:rPr>
        <w:t>投</w:t>
      </w:r>
      <w:r>
        <w:rPr>
          <w:rFonts w:ascii="Times New Roman" w:hAnsi="Times New Roman"/>
          <w:b/>
          <w:sz w:val="28"/>
          <w:szCs w:val="21"/>
        </w:rPr>
        <w:t xml:space="preserve"> </w:t>
      </w:r>
      <w:r>
        <w:rPr>
          <w:rFonts w:hint="eastAsia" w:ascii="Times New Roman" w:hAnsi="宋体"/>
          <w:b/>
          <w:sz w:val="28"/>
          <w:szCs w:val="21"/>
        </w:rPr>
        <w:t>标</w:t>
      </w:r>
      <w:r>
        <w:rPr>
          <w:rFonts w:ascii="Times New Roman" w:hAnsi="Times New Roman"/>
          <w:b/>
          <w:sz w:val="28"/>
          <w:szCs w:val="21"/>
        </w:rPr>
        <w:t xml:space="preserve"> </w:t>
      </w:r>
      <w:r>
        <w:rPr>
          <w:rFonts w:hint="eastAsia" w:ascii="Times New Roman" w:hAnsi="宋体"/>
          <w:b/>
          <w:sz w:val="28"/>
          <w:szCs w:val="21"/>
        </w:rPr>
        <w:t>人名称：</w:t>
      </w:r>
    </w:p>
    <w:p>
      <w:pPr>
        <w:spacing w:line="360" w:lineRule="auto"/>
        <w:jc w:val="left"/>
        <w:rPr>
          <w:rFonts w:ascii="Times New Roman" w:hAnsi="Times New Roman"/>
          <w:b/>
          <w:sz w:val="28"/>
          <w:szCs w:val="21"/>
          <w:u w:val="single"/>
        </w:rPr>
      </w:pPr>
      <w:r>
        <w:rPr>
          <w:rFonts w:hint="eastAsia" w:ascii="Times New Roman" w:hAnsi="宋体"/>
          <w:b/>
          <w:sz w:val="28"/>
          <w:szCs w:val="21"/>
        </w:rPr>
        <w:t>采购项目编号：</w:t>
      </w:r>
    </w:p>
    <w:p>
      <w:pPr>
        <w:spacing w:line="360" w:lineRule="auto"/>
        <w:jc w:val="left"/>
        <w:rPr>
          <w:rFonts w:ascii="Times New Roman" w:hAnsi="Times New Roman"/>
          <w:sz w:val="32"/>
          <w:szCs w:val="21"/>
        </w:rPr>
      </w:pPr>
      <w:r>
        <w:rPr>
          <w:rFonts w:hint="eastAsia" w:ascii="Times New Roman" w:hAnsi="宋体"/>
          <w:b/>
          <w:sz w:val="28"/>
          <w:szCs w:val="21"/>
        </w:rPr>
        <w:t>地</w:t>
      </w:r>
      <w:r>
        <w:rPr>
          <w:rFonts w:ascii="Times New Roman" w:hAnsi="Times New Roman"/>
          <w:b/>
          <w:sz w:val="28"/>
          <w:szCs w:val="21"/>
        </w:rPr>
        <w:t xml:space="preserve">         </w:t>
      </w:r>
      <w:r>
        <w:rPr>
          <w:rFonts w:hint="eastAsia" w:ascii="Times New Roman" w:hAnsi="宋体"/>
          <w:b/>
          <w:sz w:val="28"/>
          <w:szCs w:val="21"/>
        </w:rPr>
        <w:t>址：</w:t>
      </w:r>
    </w:p>
    <w:p>
      <w:pPr>
        <w:spacing w:line="360" w:lineRule="auto"/>
        <w:jc w:val="left"/>
        <w:rPr>
          <w:rFonts w:ascii="Times New Roman" w:hAnsi="Times New Roman"/>
          <w:b/>
          <w:sz w:val="28"/>
          <w:szCs w:val="21"/>
        </w:rPr>
      </w:pPr>
      <w:r>
        <w:rPr>
          <w:rFonts w:hint="eastAsia" w:ascii="Times New Roman" w:hAnsi="宋体"/>
          <w:b/>
          <w:sz w:val="28"/>
          <w:szCs w:val="21"/>
        </w:rPr>
        <w:t>包</w:t>
      </w:r>
      <w:r>
        <w:rPr>
          <w:rFonts w:ascii="Times New Roman" w:hAnsi="Times New Roman"/>
          <w:b/>
          <w:sz w:val="28"/>
          <w:szCs w:val="21"/>
        </w:rPr>
        <w:t xml:space="preserve">         </w:t>
      </w:r>
      <w:r>
        <w:rPr>
          <w:rFonts w:hint="eastAsia" w:ascii="Times New Roman" w:hAnsi="宋体"/>
          <w:b/>
          <w:sz w:val="28"/>
          <w:szCs w:val="21"/>
        </w:rPr>
        <w:t>号：</w:t>
      </w:r>
    </w:p>
    <w:p>
      <w:pPr>
        <w:spacing w:line="360" w:lineRule="auto"/>
        <w:rPr>
          <w:rFonts w:ascii="Times New Roman" w:hAnsi="Times New Roman"/>
          <w:b/>
          <w:sz w:val="28"/>
          <w:szCs w:val="21"/>
        </w:rPr>
      </w:pPr>
      <w:r>
        <w:rPr>
          <w:rFonts w:hint="eastAsia" w:ascii="Times New Roman" w:hAnsi="宋体"/>
          <w:b/>
          <w:sz w:val="28"/>
          <w:szCs w:val="21"/>
        </w:rPr>
        <w:t xml:space="preserve">时 </w:t>
      </w:r>
      <w:r>
        <w:rPr>
          <w:rFonts w:ascii="Times New Roman" w:hAnsi="Times New Roman"/>
          <w:b/>
          <w:sz w:val="28"/>
          <w:szCs w:val="21"/>
        </w:rPr>
        <w:t xml:space="preserve"> </w:t>
      </w:r>
      <w:r>
        <w:rPr>
          <w:rFonts w:hint="eastAsia" w:ascii="Times New Roman" w:hAnsi="宋体"/>
          <w:b/>
          <w:sz w:val="28"/>
          <w:szCs w:val="21"/>
        </w:rPr>
        <w:t>间：</w:t>
      </w:r>
      <w:r>
        <w:rPr>
          <w:rFonts w:ascii="Times New Roman" w:hAnsi="Times New Roman"/>
          <w:b/>
          <w:sz w:val="28"/>
          <w:szCs w:val="21"/>
        </w:rPr>
        <w:t xml:space="preserve">   </w:t>
      </w:r>
      <w:r>
        <w:rPr>
          <w:rFonts w:hint="eastAsia" w:ascii="Times New Roman" w:hAnsi="宋体"/>
          <w:b/>
          <w:sz w:val="28"/>
          <w:szCs w:val="21"/>
        </w:rPr>
        <w:t>年</w:t>
      </w:r>
      <w:r>
        <w:rPr>
          <w:rFonts w:ascii="Times New Roman" w:hAnsi="Times New Roman"/>
          <w:b/>
          <w:sz w:val="28"/>
          <w:szCs w:val="21"/>
        </w:rPr>
        <w:t xml:space="preserve">    </w:t>
      </w:r>
      <w:r>
        <w:rPr>
          <w:rFonts w:hint="eastAsia" w:ascii="Times New Roman" w:hAnsi="宋体"/>
          <w:b/>
          <w:sz w:val="28"/>
          <w:szCs w:val="21"/>
        </w:rPr>
        <w:t>月</w:t>
      </w:r>
      <w:r>
        <w:rPr>
          <w:rFonts w:ascii="Times New Roman" w:hAnsi="Times New Roman"/>
          <w:b/>
          <w:sz w:val="28"/>
          <w:szCs w:val="21"/>
        </w:rPr>
        <w:t xml:space="preserve">     </w:t>
      </w:r>
      <w:r>
        <w:rPr>
          <w:rFonts w:hint="eastAsia" w:ascii="Times New Roman" w:hAnsi="宋体"/>
          <w:b/>
          <w:sz w:val="28"/>
          <w:szCs w:val="21"/>
        </w:rPr>
        <w:t>日</w:t>
      </w:r>
    </w:p>
    <w:p>
      <w:pPr>
        <w:spacing w:line="400" w:lineRule="exact"/>
        <w:rPr>
          <w:rFonts w:ascii="Times New Roman" w:hAnsi="Times New Roman"/>
          <w:b/>
          <w:sz w:val="28"/>
          <w:szCs w:val="28"/>
        </w:rPr>
      </w:pPr>
      <w:r>
        <w:rPr>
          <w:rFonts w:ascii="Times New Roman" w:hAnsi="Times New Roman"/>
          <w:b/>
          <w:sz w:val="28"/>
          <w:szCs w:val="28"/>
        </w:rPr>
        <w:br w:type="page"/>
      </w:r>
      <w:r>
        <w:rPr>
          <w:rFonts w:hint="eastAsia" w:ascii="Times New Roman" w:hAnsi="宋体"/>
          <w:b/>
          <w:sz w:val="28"/>
          <w:szCs w:val="28"/>
        </w:rPr>
        <w:t>格式</w:t>
      </w:r>
      <w:r>
        <w:rPr>
          <w:rFonts w:ascii="Times New Roman" w:hAnsi="Times New Roman"/>
          <w:b/>
          <w:sz w:val="28"/>
          <w:szCs w:val="28"/>
        </w:rPr>
        <w:t>2-2</w:t>
      </w:r>
    </w:p>
    <w:p>
      <w:pPr>
        <w:spacing w:line="360" w:lineRule="atLeast"/>
        <w:jc w:val="center"/>
        <w:outlineLvl w:val="1"/>
        <w:rPr>
          <w:rFonts w:ascii="Times New Roman" w:hAnsi="Times New Roman" w:eastAsia="黑体"/>
          <w:b/>
          <w:sz w:val="28"/>
          <w:szCs w:val="28"/>
        </w:rPr>
      </w:pPr>
      <w:bookmarkStart w:id="183" w:name="_Toc20015"/>
      <w:bookmarkStart w:id="184" w:name="_Toc32711"/>
    </w:p>
    <w:p>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一、投</w:t>
      </w:r>
      <w:r>
        <w:rPr>
          <w:rFonts w:ascii="Times New Roman" w:hAnsi="Times New Roman" w:eastAsia="黑体"/>
          <w:b/>
          <w:sz w:val="28"/>
          <w:szCs w:val="28"/>
        </w:rPr>
        <w:t xml:space="preserve"> </w:t>
      </w:r>
      <w:r>
        <w:rPr>
          <w:rFonts w:hint="eastAsia" w:ascii="Times New Roman" w:hAnsi="Times New Roman" w:eastAsia="黑体"/>
          <w:b/>
          <w:sz w:val="28"/>
          <w:szCs w:val="28"/>
        </w:rPr>
        <w:t>标</w:t>
      </w:r>
      <w:r>
        <w:rPr>
          <w:rFonts w:ascii="Times New Roman" w:hAnsi="Times New Roman" w:eastAsia="黑体"/>
          <w:b/>
          <w:sz w:val="28"/>
          <w:szCs w:val="28"/>
        </w:rPr>
        <w:t xml:space="preserve"> </w:t>
      </w:r>
      <w:r>
        <w:rPr>
          <w:rFonts w:hint="eastAsia" w:ascii="Times New Roman" w:hAnsi="Times New Roman" w:eastAsia="黑体"/>
          <w:b/>
          <w:sz w:val="28"/>
          <w:szCs w:val="28"/>
        </w:rPr>
        <w:t>函</w:t>
      </w:r>
    </w:p>
    <w:p>
      <w:pPr>
        <w:spacing w:line="360" w:lineRule="atLeast"/>
        <w:jc w:val="center"/>
        <w:outlineLvl w:val="1"/>
        <w:rPr>
          <w:rFonts w:ascii="Times New Roman" w:hAnsi="Times New Roman"/>
          <w:b/>
          <w:sz w:val="22"/>
          <w:szCs w:val="21"/>
        </w:rPr>
      </w:pPr>
    </w:p>
    <w:p>
      <w:pPr>
        <w:pStyle w:val="13"/>
        <w:spacing w:line="360" w:lineRule="auto"/>
        <w:ind w:left="680"/>
        <w:rPr>
          <w:rFonts w:ascii="Times New Roman" w:hAnsi="Times New Roman"/>
          <w:bCs/>
          <w:sz w:val="22"/>
          <w:szCs w:val="21"/>
        </w:rPr>
      </w:pPr>
      <w:bookmarkStart w:id="185" w:name="_Toc308164824"/>
      <w:r>
        <w:rPr>
          <w:rFonts w:ascii="Times New Roman" w:hAnsi="Times New Roman"/>
          <w:bCs/>
          <w:sz w:val="22"/>
          <w:szCs w:val="21"/>
        </w:rPr>
        <w:t>__________________</w:t>
      </w:r>
      <w:r>
        <w:rPr>
          <w:rFonts w:hint="eastAsia" w:ascii="Times New Roman" w:hAnsi="Times New Roman"/>
          <w:bCs/>
          <w:sz w:val="22"/>
          <w:szCs w:val="21"/>
        </w:rPr>
        <w:t>（采购代理机构名称）：</w:t>
      </w:r>
    </w:p>
    <w:p>
      <w:pPr>
        <w:pStyle w:val="13"/>
        <w:numPr>
          <w:ilvl w:val="0"/>
          <w:numId w:val="4"/>
        </w:numPr>
        <w:spacing w:line="360" w:lineRule="auto"/>
        <w:ind w:leftChars="0" w:right="143" w:rightChars="42" w:firstLine="480" w:firstLineChars="200"/>
        <w:rPr>
          <w:bCs/>
          <w:sz w:val="24"/>
        </w:rPr>
      </w:pPr>
      <w:r>
        <w:rPr>
          <w:rFonts w:hint="eastAsia"/>
          <w:bCs/>
          <w:sz w:val="24"/>
        </w:rPr>
        <w:t>我方全面研究了“（</w:t>
      </w:r>
      <w:r>
        <w:rPr>
          <w:rFonts w:hint="eastAsia"/>
          <w:bCs/>
          <w:sz w:val="24"/>
          <w:u w:val="single"/>
        </w:rPr>
        <w:t>项目名称</w:t>
      </w:r>
      <w:r>
        <w:rPr>
          <w:rFonts w:hint="eastAsia"/>
          <w:bCs/>
          <w:sz w:val="24"/>
        </w:rPr>
        <w:t>）”项目招标文件（招标编号</w:t>
      </w:r>
      <w:r>
        <w:rPr>
          <w:rFonts w:hint="eastAsia" w:hAnsi="宋体"/>
          <w:sz w:val="24"/>
        </w:rPr>
        <w:t xml:space="preserve">/包号 </w:t>
      </w:r>
      <w:r>
        <w:rPr>
          <w:rFonts w:hint="eastAsia"/>
          <w:bCs/>
          <w:sz w:val="24"/>
        </w:rPr>
        <w:t>：_________），决定参加贵单位组织的本项目投标。我方授权</w:t>
      </w:r>
      <w:r>
        <w:rPr>
          <w:rFonts w:hint="eastAsia"/>
          <w:bCs/>
          <w:sz w:val="24"/>
          <w:u w:val="single"/>
        </w:rPr>
        <w:t xml:space="preserve">（姓名、职务）      </w:t>
      </w:r>
      <w:r>
        <w:rPr>
          <w:rFonts w:hint="eastAsia"/>
          <w:bCs/>
          <w:sz w:val="24"/>
        </w:rPr>
        <w:t>代表我方（</w:t>
      </w:r>
      <w:r>
        <w:rPr>
          <w:rFonts w:hint="eastAsia"/>
          <w:bCs/>
          <w:sz w:val="24"/>
          <w:u w:val="single"/>
        </w:rPr>
        <w:t>投标单位的名称</w:t>
      </w:r>
      <w:r>
        <w:rPr>
          <w:rFonts w:hint="eastAsia"/>
          <w:bCs/>
          <w:sz w:val="24"/>
        </w:rPr>
        <w:t>）全权处理本项目投标的有关事宜。</w:t>
      </w:r>
    </w:p>
    <w:p>
      <w:pPr>
        <w:pStyle w:val="13"/>
        <w:numPr>
          <w:ilvl w:val="0"/>
          <w:numId w:val="4"/>
        </w:numPr>
        <w:spacing w:line="360" w:lineRule="auto"/>
        <w:ind w:leftChars="0" w:right="143" w:rightChars="42" w:firstLine="480" w:firstLineChars="200"/>
        <w:rPr>
          <w:bCs/>
          <w:sz w:val="24"/>
        </w:rPr>
      </w:pPr>
      <w:r>
        <w:rPr>
          <w:rFonts w:hint="eastAsia"/>
          <w:bCs/>
          <w:sz w:val="24"/>
        </w:rPr>
        <w:t>我方自愿按照招标文件规定的各项要求向采购人提供所需货物/服务，总投标价为人民币</w:t>
      </w:r>
      <w:r>
        <w:rPr>
          <w:rFonts w:hint="eastAsia"/>
          <w:bCs/>
          <w:sz w:val="24"/>
          <w:u w:val="single"/>
        </w:rPr>
        <w:t xml:space="preserve">          （大写：       </w:t>
      </w:r>
      <w:r>
        <w:rPr>
          <w:rFonts w:hint="eastAsia"/>
          <w:bCs/>
          <w:sz w:val="24"/>
        </w:rPr>
        <w:t>）。</w:t>
      </w:r>
    </w:p>
    <w:p>
      <w:pPr>
        <w:pStyle w:val="13"/>
        <w:numPr>
          <w:ilvl w:val="0"/>
          <w:numId w:val="4"/>
        </w:numPr>
        <w:spacing w:line="360" w:lineRule="auto"/>
        <w:ind w:leftChars="0" w:right="143" w:rightChars="42" w:firstLine="480" w:firstLineChars="200"/>
        <w:rPr>
          <w:bCs/>
          <w:sz w:val="24"/>
        </w:rPr>
      </w:pPr>
      <w:r>
        <w:rPr>
          <w:rFonts w:hint="eastAsia"/>
          <w:bCs/>
          <w:sz w:val="24"/>
        </w:rPr>
        <w:t>一旦我方中标，我方将严格履行合同规定的责任和义务。</w:t>
      </w:r>
    </w:p>
    <w:p>
      <w:pPr>
        <w:pStyle w:val="13"/>
        <w:numPr>
          <w:ilvl w:val="0"/>
          <w:numId w:val="4"/>
        </w:numPr>
        <w:spacing w:line="360" w:lineRule="auto"/>
        <w:ind w:leftChars="0" w:right="143" w:rightChars="42" w:firstLine="480" w:firstLineChars="200"/>
        <w:rPr>
          <w:bCs/>
          <w:sz w:val="24"/>
        </w:rPr>
      </w:pPr>
      <w:r>
        <w:rPr>
          <w:rFonts w:hint="eastAsia"/>
          <w:bCs/>
          <w:sz w:val="24"/>
        </w:rPr>
        <w:t>我方为本项目提交的投标文件正本1份，副本4份，电子文档（U盘）1份，用于开标唱标的“开标一览表”1份。</w:t>
      </w:r>
    </w:p>
    <w:p>
      <w:pPr>
        <w:pStyle w:val="13"/>
        <w:numPr>
          <w:ilvl w:val="0"/>
          <w:numId w:val="4"/>
        </w:numPr>
        <w:spacing w:line="360" w:lineRule="auto"/>
        <w:ind w:leftChars="0" w:right="143" w:rightChars="42" w:firstLine="480" w:firstLineChars="200"/>
        <w:rPr>
          <w:bCs/>
          <w:sz w:val="24"/>
        </w:rPr>
      </w:pPr>
      <w:r>
        <w:rPr>
          <w:rFonts w:hint="eastAsia"/>
          <w:bCs/>
          <w:sz w:val="24"/>
        </w:rPr>
        <w:t>我方承诺投标有效期为开标后</w:t>
      </w:r>
      <w:r>
        <w:rPr>
          <w:rFonts w:hint="eastAsia"/>
          <w:bCs/>
          <w:sz w:val="24"/>
          <w:u w:val="single"/>
        </w:rPr>
        <w:t xml:space="preserve"> 90  </w:t>
      </w:r>
      <w:r>
        <w:rPr>
          <w:rFonts w:hint="eastAsia"/>
          <w:bCs/>
          <w:sz w:val="24"/>
        </w:rPr>
        <w:t>天（日历日）。</w:t>
      </w:r>
    </w:p>
    <w:p>
      <w:pPr>
        <w:pStyle w:val="13"/>
        <w:numPr>
          <w:ilvl w:val="0"/>
          <w:numId w:val="4"/>
        </w:numPr>
        <w:spacing w:line="360" w:lineRule="auto"/>
        <w:ind w:leftChars="0" w:right="143" w:rightChars="42" w:firstLine="480" w:firstLineChars="200"/>
        <w:rPr>
          <w:bCs/>
          <w:sz w:val="24"/>
        </w:rPr>
      </w:pPr>
      <w:r>
        <w:rPr>
          <w:rFonts w:hint="eastAsia"/>
          <w:bCs/>
          <w:sz w:val="24"/>
        </w:rPr>
        <w:t>我方愿意提供贵公司可能另外要求的，与投标有关的文件资料，并保证我方已提供和将要提供的文件资料是真实、准确的。</w:t>
      </w:r>
    </w:p>
    <w:p>
      <w:pPr>
        <w:pStyle w:val="13"/>
        <w:numPr>
          <w:ilvl w:val="0"/>
          <w:numId w:val="4"/>
        </w:numPr>
        <w:spacing w:line="360" w:lineRule="auto"/>
        <w:ind w:leftChars="0" w:right="143" w:rightChars="42" w:firstLine="480" w:firstLineChars="200"/>
        <w:rPr>
          <w:bCs/>
          <w:sz w:val="24"/>
        </w:rPr>
      </w:pPr>
      <w:r>
        <w:rPr>
          <w:rFonts w:hint="eastAsia"/>
          <w:bCs/>
          <w:sz w:val="24"/>
        </w:rPr>
        <w:t>我方完全理解采购人不一定将合同授予最低报价的投标人的行为。</w:t>
      </w:r>
    </w:p>
    <w:p>
      <w:pPr>
        <w:pStyle w:val="13"/>
        <w:spacing w:line="360" w:lineRule="auto"/>
        <w:ind w:left="680" w:right="143" w:rightChars="42" w:firstLine="480" w:firstLineChars="200"/>
        <w:rPr>
          <w:bCs/>
          <w:sz w:val="24"/>
        </w:rPr>
      </w:pPr>
    </w:p>
    <w:p>
      <w:pPr>
        <w:pStyle w:val="13"/>
        <w:spacing w:line="360" w:lineRule="auto"/>
        <w:ind w:left="680" w:right="143" w:rightChars="42" w:firstLine="480" w:firstLineChars="200"/>
        <w:rPr>
          <w:bCs/>
          <w:sz w:val="24"/>
        </w:rPr>
      </w:pPr>
      <w:r>
        <w:rPr>
          <w:rFonts w:hint="eastAsia"/>
          <w:bCs/>
          <w:sz w:val="24"/>
        </w:rPr>
        <w:t>投标人名称：        （盖公章）</w:t>
      </w:r>
    </w:p>
    <w:p>
      <w:pPr>
        <w:pStyle w:val="13"/>
        <w:spacing w:line="360" w:lineRule="auto"/>
        <w:ind w:left="680" w:right="143" w:rightChars="42" w:firstLine="480" w:firstLineChars="200"/>
        <w:rPr>
          <w:bCs/>
          <w:sz w:val="24"/>
        </w:rPr>
      </w:pPr>
      <w:r>
        <w:rPr>
          <w:rFonts w:hint="eastAsia"/>
          <w:bCs/>
          <w:sz w:val="24"/>
        </w:rPr>
        <w:t>法定代表人或委托代理人（签字或盖章）：</w:t>
      </w:r>
    </w:p>
    <w:p>
      <w:pPr>
        <w:pStyle w:val="13"/>
        <w:spacing w:line="360" w:lineRule="auto"/>
        <w:ind w:left="680" w:right="143" w:rightChars="42" w:firstLine="480" w:firstLineChars="200"/>
        <w:rPr>
          <w:bCs/>
          <w:sz w:val="24"/>
        </w:rPr>
      </w:pPr>
      <w:r>
        <w:rPr>
          <w:rFonts w:hint="eastAsia"/>
          <w:bCs/>
          <w:sz w:val="24"/>
        </w:rPr>
        <w:t>通讯地址：</w:t>
      </w:r>
    </w:p>
    <w:p>
      <w:pPr>
        <w:pStyle w:val="13"/>
        <w:spacing w:line="360" w:lineRule="auto"/>
        <w:ind w:left="680" w:right="143" w:rightChars="42" w:firstLine="480" w:firstLineChars="200"/>
        <w:rPr>
          <w:bCs/>
          <w:sz w:val="24"/>
        </w:rPr>
      </w:pPr>
      <w:r>
        <w:rPr>
          <w:rFonts w:hint="eastAsia"/>
          <w:bCs/>
          <w:sz w:val="24"/>
        </w:rPr>
        <w:t>邮政编码：</w:t>
      </w:r>
    </w:p>
    <w:p>
      <w:pPr>
        <w:pStyle w:val="13"/>
        <w:spacing w:line="360" w:lineRule="auto"/>
        <w:ind w:left="680" w:right="143" w:rightChars="42" w:firstLine="480" w:firstLineChars="200"/>
        <w:rPr>
          <w:bCs/>
          <w:sz w:val="24"/>
        </w:rPr>
      </w:pPr>
      <w:r>
        <w:rPr>
          <w:rFonts w:hint="eastAsia"/>
          <w:bCs/>
          <w:sz w:val="24"/>
        </w:rPr>
        <w:t>联系电话：</w:t>
      </w:r>
    </w:p>
    <w:p>
      <w:pPr>
        <w:pStyle w:val="13"/>
        <w:spacing w:line="360" w:lineRule="auto"/>
        <w:ind w:left="680" w:right="143" w:rightChars="42" w:firstLine="480" w:firstLineChars="200"/>
        <w:rPr>
          <w:bCs/>
          <w:sz w:val="24"/>
        </w:rPr>
      </w:pPr>
      <w:r>
        <w:rPr>
          <w:rFonts w:hint="eastAsia"/>
          <w:bCs/>
          <w:sz w:val="24"/>
        </w:rPr>
        <w:t>日    期：</w:t>
      </w:r>
    </w:p>
    <w:p>
      <w:pPr>
        <w:pStyle w:val="13"/>
        <w:spacing w:line="360" w:lineRule="auto"/>
        <w:ind w:left="197" w:leftChars="58" w:right="143" w:rightChars="42"/>
        <w:rPr>
          <w:bCs/>
          <w:sz w:val="24"/>
        </w:rPr>
        <w:sectPr>
          <w:headerReference r:id="rId4" w:type="default"/>
          <w:footerReference r:id="rId5" w:type="default"/>
          <w:pgSz w:w="11907" w:h="16840"/>
          <w:pgMar w:top="1440" w:right="1474" w:bottom="1440" w:left="1474" w:header="851" w:footer="992" w:gutter="0"/>
          <w:cols w:space="720" w:num="1"/>
          <w:docGrid w:linePitch="312" w:charSpace="0"/>
        </w:sectPr>
      </w:pPr>
    </w:p>
    <w:p>
      <w:pPr>
        <w:spacing w:line="360" w:lineRule="auto"/>
        <w:rPr>
          <w:rFonts w:ascii="Times New Roman" w:hAnsi="Times New Roman" w:eastAsia="华文中宋"/>
          <w:b/>
          <w:sz w:val="28"/>
          <w:szCs w:val="28"/>
        </w:rPr>
      </w:pPr>
      <w:r>
        <w:rPr>
          <w:rFonts w:hint="eastAsia" w:ascii="Times New Roman" w:hAnsi="宋体"/>
          <w:b/>
          <w:sz w:val="28"/>
          <w:szCs w:val="28"/>
        </w:rPr>
        <w:t>格式</w:t>
      </w:r>
      <w:r>
        <w:rPr>
          <w:rFonts w:ascii="Times New Roman" w:hAnsi="Times New Roman"/>
          <w:b/>
          <w:sz w:val="28"/>
          <w:szCs w:val="28"/>
        </w:rPr>
        <w:t>2-3</w:t>
      </w:r>
    </w:p>
    <w:p>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二、承诺函</w:t>
      </w:r>
    </w:p>
    <w:p>
      <w:pPr>
        <w:spacing w:line="360" w:lineRule="atLeast"/>
        <w:jc w:val="center"/>
        <w:outlineLvl w:val="1"/>
        <w:rPr>
          <w:rFonts w:ascii="Times New Roman" w:hAnsi="Times New Roman"/>
          <w:b/>
          <w:sz w:val="22"/>
          <w:szCs w:val="21"/>
        </w:rPr>
      </w:pPr>
    </w:p>
    <w:p>
      <w:pPr>
        <w:spacing w:line="360" w:lineRule="atLeast"/>
        <w:jc w:val="left"/>
        <w:outlineLvl w:val="1"/>
        <w:rPr>
          <w:rFonts w:ascii="Times New Roman" w:hAnsi="Times New Roman"/>
          <w:sz w:val="22"/>
          <w:szCs w:val="21"/>
        </w:rPr>
      </w:pPr>
      <w:r>
        <w:rPr>
          <w:rFonts w:ascii="Times New Roman" w:hAnsi="Times New Roman"/>
          <w:sz w:val="22"/>
          <w:szCs w:val="21"/>
          <w:u w:val="single"/>
        </w:rPr>
        <w:t xml:space="preserve">                   </w:t>
      </w:r>
      <w:r>
        <w:rPr>
          <w:rFonts w:hint="eastAsia" w:ascii="Times New Roman" w:hAnsi="Times New Roman"/>
          <w:sz w:val="22"/>
          <w:szCs w:val="21"/>
        </w:rPr>
        <w:t>（采购代理机构名称）：</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我单位作为本次采购项目的投标人，根据招标文件要求，现郑重承诺如下：</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三、参加本次招标采购活动，不存在和其他供应商在同一合同项下的采购项目中，同时委托同一个自然人、同一家庭的人员、同一单位的人员作为代理人的行为。</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四、投标文件中提供的能够给予我单位带来优惠、好处的任何材料资料和技术、服务、商务、响应产品等响应承诺情况都是真实的、有效的、合法的。</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pPr>
        <w:spacing w:line="360" w:lineRule="atLeast"/>
        <w:ind w:firstLine="440" w:firstLineChars="200"/>
        <w:jc w:val="left"/>
        <w:outlineLvl w:val="1"/>
        <w:rPr>
          <w:rFonts w:ascii="Times New Roman" w:hAnsi="Times New Roman"/>
          <w:sz w:val="22"/>
          <w:szCs w:val="21"/>
        </w:rPr>
      </w:pPr>
      <w:r>
        <w:rPr>
          <w:rFonts w:hint="eastAsia" w:ascii="Times New Roman" w:hAnsi="Times New Roman"/>
          <w:sz w:val="22"/>
          <w:szCs w:val="21"/>
        </w:rPr>
        <w:t>本单位对上述承诺的内容事项真实性负责。如经查实上述承诺的内容事项存在虚假，我单位愿意接受以提供虚假材料谋取中标追究法律责任。</w:t>
      </w:r>
    </w:p>
    <w:p>
      <w:pPr>
        <w:spacing w:line="360" w:lineRule="atLeast"/>
        <w:ind w:firstLine="431" w:firstLineChars="196"/>
        <w:jc w:val="left"/>
        <w:outlineLvl w:val="1"/>
        <w:rPr>
          <w:rFonts w:ascii="Times New Roman" w:hAnsi="Times New Roman"/>
          <w:sz w:val="22"/>
          <w:szCs w:val="21"/>
        </w:rPr>
      </w:pPr>
    </w:p>
    <w:p>
      <w:pPr>
        <w:pStyle w:val="2"/>
        <w:rPr>
          <w:rFonts w:ascii="Times New Roman" w:hAnsi="Times New Roman"/>
          <w:sz w:val="22"/>
          <w:szCs w:val="22"/>
        </w:rPr>
      </w:pPr>
    </w:p>
    <w:p>
      <w:pPr>
        <w:pStyle w:val="2"/>
        <w:rPr>
          <w:rFonts w:ascii="Times New Roman" w:hAnsi="Times New Roman"/>
          <w:sz w:val="22"/>
          <w:szCs w:val="22"/>
        </w:rPr>
      </w:pPr>
    </w:p>
    <w:p>
      <w:pPr>
        <w:pStyle w:val="2"/>
        <w:rPr>
          <w:rFonts w:ascii="Times New Roman" w:hAnsi="Times New Roman"/>
          <w:sz w:val="22"/>
          <w:szCs w:val="22"/>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（单位公章）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p>
    <w:p>
      <w:pPr>
        <w:spacing w:line="360" w:lineRule="auto"/>
        <w:rPr>
          <w:rFonts w:ascii="Times New Roman" w:hAnsi="Times New Roman" w:eastAsia="华文中宋"/>
          <w:b/>
          <w:sz w:val="28"/>
          <w:szCs w:val="28"/>
        </w:rPr>
      </w:pPr>
      <w:r>
        <w:rPr>
          <w:rFonts w:ascii="Times New Roman" w:hAnsi="Times New Roman" w:eastAsia="华文中宋"/>
          <w:b/>
          <w:sz w:val="28"/>
          <w:szCs w:val="28"/>
        </w:rPr>
        <w:br w:type="page"/>
      </w:r>
      <w:r>
        <w:rPr>
          <w:rFonts w:hint="eastAsia" w:ascii="Times New Roman" w:hAnsi="宋体"/>
          <w:b/>
          <w:sz w:val="28"/>
          <w:szCs w:val="28"/>
        </w:rPr>
        <w:t>格式</w:t>
      </w:r>
      <w:r>
        <w:rPr>
          <w:rFonts w:ascii="Times New Roman" w:hAnsi="Times New Roman"/>
          <w:b/>
          <w:sz w:val="28"/>
          <w:szCs w:val="28"/>
        </w:rPr>
        <w:t>2-4</w:t>
      </w:r>
    </w:p>
    <w:bookmarkEnd w:id="185"/>
    <w:p>
      <w:pPr>
        <w:numPr>
          <w:ilvl w:val="0"/>
          <w:numId w:val="5"/>
        </w:numPr>
        <w:spacing w:line="400" w:lineRule="exact"/>
        <w:ind w:firstLine="562" w:firstLineChars="200"/>
        <w:jc w:val="center"/>
        <w:rPr>
          <w:rFonts w:ascii="Times New Roman" w:hAnsi="Times New Roman" w:eastAsia="黑体"/>
          <w:b/>
          <w:sz w:val="28"/>
          <w:szCs w:val="28"/>
        </w:rPr>
      </w:pPr>
      <w:bookmarkStart w:id="186" w:name="_Toc217446085"/>
      <w:r>
        <w:rPr>
          <w:rFonts w:hint="eastAsia" w:ascii="Times New Roman" w:hAnsi="Times New Roman" w:eastAsia="黑体"/>
          <w:b/>
          <w:sz w:val="28"/>
          <w:szCs w:val="28"/>
        </w:rPr>
        <w:t>开标一览表</w:t>
      </w:r>
      <w:bookmarkEnd w:id="186"/>
    </w:p>
    <w:p>
      <w:pPr>
        <w:spacing w:line="360" w:lineRule="atLeast"/>
        <w:jc w:val="left"/>
        <w:outlineLvl w:val="1"/>
        <w:rPr>
          <w:rFonts w:ascii="Times New Roman" w:hAnsi="Times New Roman"/>
          <w:sz w:val="22"/>
          <w:szCs w:val="21"/>
        </w:rPr>
      </w:pPr>
    </w:p>
    <w:p>
      <w:pPr>
        <w:kinsoku w:val="0"/>
        <w:spacing w:line="300" w:lineRule="auto"/>
        <w:ind w:right="143" w:rightChars="42" w:firstLine="480" w:firstLineChars="200"/>
        <w:rPr>
          <w:rFonts w:hAnsi="宋体"/>
          <w:sz w:val="24"/>
        </w:rPr>
      </w:pPr>
      <w:r>
        <w:rPr>
          <w:rFonts w:hint="eastAsia" w:hAnsi="宋体"/>
          <w:sz w:val="24"/>
        </w:rPr>
        <w:t xml:space="preserve">项目名称/项目编号/包号                                         </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601" w:type="dxa"/>
            <w:vAlign w:val="center"/>
          </w:tcPr>
          <w:p>
            <w:pPr>
              <w:adjustRightInd w:val="0"/>
              <w:snapToGrid w:val="0"/>
              <w:ind w:right="240"/>
              <w:jc w:val="center"/>
              <w:rPr>
                <w:sz w:val="24"/>
                <w:lang w:val="zh-CN"/>
              </w:rPr>
            </w:pPr>
            <w:bookmarkStart w:id="187" w:name="_Toc10696"/>
            <w:r>
              <w:rPr>
                <w:rFonts w:hint="eastAsia"/>
                <w:sz w:val="24"/>
                <w:lang w:val="zh-CN"/>
              </w:rPr>
              <w:t>项目名称</w:t>
            </w:r>
            <w:bookmarkEnd w:id="187"/>
          </w:p>
        </w:tc>
        <w:tc>
          <w:tcPr>
            <w:tcW w:w="5798" w:type="dxa"/>
            <w:vAlign w:val="center"/>
          </w:tcPr>
          <w:p>
            <w:pPr>
              <w:spacing w:line="360" w:lineRule="auto"/>
              <w:ind w:firstLine="710" w:firstLineChars="296"/>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601" w:type="dxa"/>
            <w:vAlign w:val="center"/>
          </w:tcPr>
          <w:p>
            <w:pPr>
              <w:adjustRightInd w:val="0"/>
              <w:snapToGrid w:val="0"/>
              <w:ind w:right="240"/>
              <w:jc w:val="center"/>
              <w:rPr>
                <w:sz w:val="24"/>
                <w:lang w:val="zh-CN"/>
              </w:rPr>
            </w:pPr>
            <w:bookmarkStart w:id="188" w:name="_Toc11865"/>
            <w:r>
              <w:rPr>
                <w:rFonts w:hint="eastAsia"/>
                <w:sz w:val="24"/>
                <w:lang w:val="zh-CN"/>
              </w:rPr>
              <w:t>项目编号</w:t>
            </w:r>
            <w:bookmarkEnd w:id="188"/>
          </w:p>
        </w:tc>
        <w:tc>
          <w:tcPr>
            <w:tcW w:w="5798" w:type="dxa"/>
            <w:vAlign w:val="center"/>
          </w:tcPr>
          <w:p>
            <w:pPr>
              <w:spacing w:line="360" w:lineRule="auto"/>
              <w:ind w:firstLine="710" w:firstLineChars="296"/>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601" w:type="dxa"/>
            <w:vAlign w:val="center"/>
          </w:tcPr>
          <w:p>
            <w:pPr>
              <w:adjustRightInd w:val="0"/>
              <w:snapToGrid w:val="0"/>
              <w:ind w:right="240"/>
              <w:jc w:val="center"/>
              <w:rPr>
                <w:sz w:val="24"/>
                <w:lang w:val="zh-CN"/>
              </w:rPr>
            </w:pPr>
            <w:r>
              <w:rPr>
                <w:rFonts w:hint="eastAsia"/>
                <w:sz w:val="24"/>
                <w:lang w:val="zh-CN"/>
              </w:rPr>
              <w:t>服务内容</w:t>
            </w:r>
          </w:p>
        </w:tc>
        <w:tc>
          <w:tcPr>
            <w:tcW w:w="5798" w:type="dxa"/>
            <w:vAlign w:val="center"/>
          </w:tcPr>
          <w:p>
            <w:pPr>
              <w:spacing w:line="360" w:lineRule="auto"/>
              <w:ind w:firstLine="470" w:firstLineChars="196"/>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601" w:type="dxa"/>
            <w:vAlign w:val="center"/>
          </w:tcPr>
          <w:p>
            <w:pPr>
              <w:adjustRightInd w:val="0"/>
              <w:snapToGrid w:val="0"/>
              <w:ind w:right="240"/>
              <w:jc w:val="center"/>
              <w:rPr>
                <w:sz w:val="24"/>
                <w:lang w:val="zh-CN"/>
              </w:rPr>
            </w:pPr>
            <w:r>
              <w:rPr>
                <w:rFonts w:hint="eastAsia"/>
                <w:sz w:val="24"/>
                <w:lang w:val="zh-CN"/>
              </w:rPr>
              <w:t>成果交付期限</w:t>
            </w:r>
          </w:p>
        </w:tc>
        <w:tc>
          <w:tcPr>
            <w:tcW w:w="5798" w:type="dxa"/>
            <w:vAlign w:val="center"/>
          </w:tcPr>
          <w:p>
            <w:pPr>
              <w:adjustRightInd w:val="0"/>
              <w:snapToGrid w:val="0"/>
              <w:ind w:right="24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trPr>
        <w:tc>
          <w:tcPr>
            <w:tcW w:w="2601" w:type="dxa"/>
            <w:vAlign w:val="center"/>
          </w:tcPr>
          <w:p>
            <w:pPr>
              <w:spacing w:line="360" w:lineRule="auto"/>
              <w:jc w:val="center"/>
              <w:rPr>
                <w:sz w:val="24"/>
              </w:rPr>
            </w:pPr>
            <w:r>
              <w:rPr>
                <w:rFonts w:hint="eastAsia"/>
                <w:sz w:val="24"/>
              </w:rPr>
              <w:t>报价（人民币）</w:t>
            </w:r>
          </w:p>
        </w:tc>
        <w:tc>
          <w:tcPr>
            <w:tcW w:w="5798" w:type="dxa"/>
            <w:vAlign w:val="center"/>
          </w:tcPr>
          <w:p>
            <w:pPr>
              <w:spacing w:line="360" w:lineRule="auto"/>
              <w:ind w:firstLine="240" w:firstLineChars="100"/>
              <w:jc w:val="left"/>
              <w:rPr>
                <w:bCs/>
                <w:sz w:val="24"/>
                <w:szCs w:val="24"/>
              </w:rPr>
            </w:pPr>
            <w:r>
              <w:rPr>
                <w:rFonts w:hint="eastAsia"/>
                <w:sz w:val="24"/>
              </w:rPr>
              <w:t>大写：</w:t>
            </w:r>
            <w:r>
              <w:rPr>
                <w:rFonts w:hint="eastAsia"/>
                <w:sz w:val="24"/>
                <w:u w:val="single"/>
              </w:rPr>
              <w:t xml:space="preserve">    </w:t>
            </w:r>
          </w:p>
          <w:p>
            <w:pPr>
              <w:spacing w:line="360" w:lineRule="auto"/>
              <w:ind w:firstLine="240" w:firstLineChars="100"/>
              <w:jc w:val="left"/>
              <w:rPr>
                <w:sz w:val="24"/>
              </w:rPr>
            </w:pPr>
            <w:r>
              <w:rPr>
                <w:rFonts w:hint="eastAsia"/>
                <w:bCs/>
                <w:sz w:val="24"/>
                <w:szCs w:val="24"/>
              </w:rPr>
              <w:t>小写：</w:t>
            </w:r>
            <w:r>
              <w:rPr>
                <w:rFonts w:hint="eastAsia"/>
                <w:bCs/>
                <w:sz w:val="24"/>
                <w:szCs w:val="24"/>
                <w:u w:val="single"/>
              </w:rPr>
              <w:t xml:space="preserve">    </w:t>
            </w:r>
          </w:p>
        </w:tc>
      </w:tr>
    </w:tbl>
    <w:p>
      <w:pPr>
        <w:pStyle w:val="2"/>
        <w:spacing w:line="300" w:lineRule="auto"/>
        <w:ind w:right="143" w:rightChars="42"/>
        <w:rPr>
          <w:highlight w:val="yellow"/>
        </w:rPr>
      </w:pPr>
    </w:p>
    <w:p>
      <w:pPr>
        <w:pStyle w:val="2"/>
        <w:spacing w:line="300" w:lineRule="auto"/>
        <w:ind w:right="143" w:rightChars="42"/>
        <w:rPr>
          <w:highlight w:val="yellow"/>
        </w:rPr>
      </w:pPr>
    </w:p>
    <w:p>
      <w:pPr>
        <w:spacing w:line="300" w:lineRule="auto"/>
        <w:ind w:right="143" w:rightChars="42" w:firstLine="470" w:firstLineChars="196"/>
        <w:jc w:val="left"/>
        <w:outlineLvl w:val="1"/>
        <w:rPr>
          <w:sz w:val="24"/>
        </w:rPr>
      </w:pPr>
      <w:r>
        <w:rPr>
          <w:rFonts w:hint="eastAsia"/>
          <w:sz w:val="24"/>
        </w:rPr>
        <w:t>注：</w:t>
      </w:r>
    </w:p>
    <w:p>
      <w:pPr>
        <w:spacing w:line="300" w:lineRule="auto"/>
        <w:ind w:right="143" w:rightChars="42" w:firstLine="470" w:firstLineChars="196"/>
        <w:jc w:val="left"/>
        <w:outlineLvl w:val="1"/>
        <w:rPr>
          <w:sz w:val="24"/>
        </w:rPr>
      </w:pPr>
      <w:r>
        <w:rPr>
          <w:rFonts w:hint="eastAsia"/>
          <w:sz w:val="24"/>
        </w:rPr>
        <w:t xml:space="preserve">1. 报价应是提供完整个服务的总价，包括保险、税费和招标文件规定的其它费用。 </w:t>
      </w:r>
    </w:p>
    <w:p>
      <w:pPr>
        <w:spacing w:line="300" w:lineRule="auto"/>
        <w:ind w:right="143" w:rightChars="42" w:firstLine="480" w:firstLineChars="200"/>
        <w:rPr>
          <w:rFonts w:hAnsi="宋体"/>
          <w:sz w:val="24"/>
        </w:rPr>
      </w:pPr>
      <w:r>
        <w:rPr>
          <w:rFonts w:hint="eastAsia" w:hAnsi="宋体"/>
          <w:sz w:val="24"/>
        </w:rPr>
        <w:t>2.“开标一览表”除了单独密封递交外，投标文件（正副本）也应当提供。</w:t>
      </w:r>
    </w:p>
    <w:p>
      <w:pPr>
        <w:spacing w:line="360" w:lineRule="auto"/>
        <w:ind w:firstLine="431" w:firstLineChars="196"/>
        <w:jc w:val="center"/>
        <w:outlineLvl w:val="1"/>
        <w:rPr>
          <w:rFonts w:ascii="Times New Roman" w:hAnsi="Times New Roman"/>
          <w:bCs/>
          <w:sz w:val="22"/>
          <w:szCs w:val="24"/>
        </w:rPr>
      </w:pPr>
    </w:p>
    <w:p>
      <w:pPr>
        <w:adjustRightInd w:val="0"/>
        <w:spacing w:line="400" w:lineRule="exact"/>
        <w:ind w:firstLine="420" w:firstLineChars="175"/>
        <w:jc w:val="left"/>
        <w:rPr>
          <w:rFonts w:hAnsi="宋体"/>
          <w:bCs/>
          <w:sz w:val="24"/>
        </w:rPr>
      </w:pPr>
    </w:p>
    <w:p>
      <w:pPr>
        <w:spacing w:line="360" w:lineRule="auto"/>
        <w:ind w:firstLine="431" w:firstLineChars="196"/>
        <w:jc w:val="left"/>
        <w:outlineLvl w:val="1"/>
        <w:rPr>
          <w:rFonts w:ascii="Times New Roman" w:hAnsi="Times New Roman"/>
          <w:bCs/>
          <w:sz w:val="22"/>
          <w:szCs w:val="24"/>
        </w:rPr>
      </w:pPr>
      <w:r>
        <w:rPr>
          <w:rFonts w:hint="eastAsia" w:ascii="Times New Roman" w:hAnsi="Times New Roman"/>
          <w:bCs/>
          <w:sz w:val="22"/>
          <w:szCs w:val="24"/>
        </w:rPr>
        <w:t>投标人名称：              （盖公章）</w:t>
      </w:r>
    </w:p>
    <w:p>
      <w:pPr>
        <w:spacing w:line="360" w:lineRule="auto"/>
        <w:ind w:firstLine="431" w:firstLineChars="196"/>
        <w:jc w:val="left"/>
        <w:outlineLvl w:val="1"/>
        <w:rPr>
          <w:rFonts w:ascii="Times New Roman" w:hAnsi="Times New Roman"/>
          <w:bCs/>
          <w:sz w:val="22"/>
          <w:szCs w:val="24"/>
        </w:rPr>
      </w:pPr>
      <w:r>
        <w:rPr>
          <w:rFonts w:hint="eastAsia" w:ascii="Times New Roman" w:hAnsi="Times New Roman"/>
          <w:bCs/>
          <w:sz w:val="22"/>
          <w:szCs w:val="24"/>
        </w:rPr>
        <w:t>法定代表人或委托代理人（签字或盖章）：</w:t>
      </w:r>
    </w:p>
    <w:p>
      <w:pPr>
        <w:spacing w:line="360" w:lineRule="auto"/>
        <w:ind w:firstLine="431" w:firstLineChars="196"/>
        <w:jc w:val="left"/>
        <w:outlineLvl w:val="1"/>
        <w:rPr>
          <w:rFonts w:ascii="Times New Roman" w:hAnsi="宋体"/>
          <w:b/>
          <w:sz w:val="28"/>
          <w:szCs w:val="28"/>
        </w:rPr>
      </w:pPr>
      <w:r>
        <w:rPr>
          <w:rFonts w:hint="eastAsia" w:ascii="Times New Roman" w:hAnsi="Times New Roman"/>
          <w:bCs/>
          <w:sz w:val="22"/>
          <w:szCs w:val="24"/>
        </w:rPr>
        <w:t>日    期：</w:t>
      </w:r>
      <w:r>
        <w:rPr>
          <w:rFonts w:hAnsi="宋体"/>
          <w:sz w:val="36"/>
          <w:szCs w:val="36"/>
        </w:rPr>
        <w:br w:type="page"/>
      </w:r>
      <w:bookmarkStart w:id="189" w:name="_Toc217446086"/>
    </w:p>
    <w:p>
      <w:pPr>
        <w:spacing w:line="360" w:lineRule="atLeast"/>
        <w:outlineLvl w:val="1"/>
        <w:rPr>
          <w:rFonts w:ascii="Times New Roman" w:hAnsi="宋体"/>
          <w:b/>
          <w:sz w:val="28"/>
          <w:szCs w:val="28"/>
        </w:rPr>
      </w:pP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5</w:t>
      </w:r>
    </w:p>
    <w:p>
      <w:pPr>
        <w:spacing w:line="300" w:lineRule="auto"/>
        <w:ind w:right="143" w:rightChars="42"/>
        <w:jc w:val="center"/>
        <w:outlineLvl w:val="1"/>
        <w:rPr>
          <w:rFonts w:ascii="黑体" w:eastAsia="黑体"/>
          <w:b/>
          <w:sz w:val="32"/>
          <w:szCs w:val="32"/>
        </w:rPr>
      </w:pPr>
      <w:bookmarkStart w:id="190" w:name="_Toc217446087"/>
      <w:r>
        <w:rPr>
          <w:rFonts w:hint="eastAsia" w:ascii="黑体" w:eastAsia="黑体"/>
          <w:b/>
          <w:sz w:val="32"/>
          <w:szCs w:val="32"/>
        </w:rPr>
        <w:t>四、商务应答表</w:t>
      </w:r>
      <w:bookmarkEnd w:id="190"/>
    </w:p>
    <w:p>
      <w:pPr>
        <w:spacing w:line="300" w:lineRule="auto"/>
        <w:ind w:right="143" w:rightChars="42" w:firstLine="472" w:firstLineChars="196"/>
        <w:jc w:val="left"/>
        <w:outlineLvl w:val="1"/>
        <w:rPr>
          <w:b/>
          <w:sz w:val="24"/>
        </w:rPr>
      </w:pPr>
    </w:p>
    <w:p>
      <w:pPr>
        <w:pStyle w:val="16"/>
        <w:pBdr>
          <w:bottom w:val="none" w:color="auto" w:sz="0" w:space="0"/>
        </w:pBdr>
        <w:tabs>
          <w:tab w:val="clear" w:pos="4153"/>
          <w:tab w:val="clear" w:pos="8306"/>
        </w:tabs>
        <w:snapToGrid/>
        <w:spacing w:line="300" w:lineRule="auto"/>
        <w:ind w:right="143" w:rightChars="42"/>
        <w:jc w:val="left"/>
        <w:rPr>
          <w:rFonts w:hAnsi="宋体"/>
          <w:sz w:val="24"/>
          <w:szCs w:val="24"/>
        </w:rPr>
      </w:pPr>
      <w:r>
        <w:rPr>
          <w:rFonts w:hint="eastAsia" w:hAnsi="宋体"/>
          <w:sz w:val="24"/>
          <w:szCs w:val="24"/>
        </w:rPr>
        <w:t xml:space="preserve">项目名称/项目编号/包号：                                       </w:t>
      </w:r>
    </w:p>
    <w:tbl>
      <w:tblPr>
        <w:tblStyle w:val="22"/>
        <w:tblW w:w="882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04"/>
        <w:gridCol w:w="1466"/>
        <w:gridCol w:w="3103"/>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60" w:type="dxa"/>
            <w:vAlign w:val="center"/>
          </w:tcPr>
          <w:p>
            <w:pPr>
              <w:spacing w:line="300" w:lineRule="auto"/>
              <w:ind w:right="143" w:rightChars="42"/>
              <w:jc w:val="center"/>
              <w:rPr>
                <w:rFonts w:hAnsi="宋体"/>
                <w:sz w:val="21"/>
                <w:szCs w:val="21"/>
              </w:rPr>
            </w:pPr>
            <w:r>
              <w:rPr>
                <w:rFonts w:hint="eastAsia" w:hAnsi="宋体"/>
                <w:sz w:val="21"/>
                <w:szCs w:val="21"/>
              </w:rPr>
              <w:t>序号</w:t>
            </w:r>
          </w:p>
        </w:tc>
        <w:tc>
          <w:tcPr>
            <w:tcW w:w="1704" w:type="dxa"/>
            <w:vAlign w:val="center"/>
          </w:tcPr>
          <w:p>
            <w:pPr>
              <w:spacing w:line="300" w:lineRule="auto"/>
              <w:ind w:right="143" w:rightChars="42"/>
              <w:jc w:val="center"/>
              <w:rPr>
                <w:rFonts w:hAnsi="宋体"/>
                <w:sz w:val="21"/>
                <w:szCs w:val="21"/>
              </w:rPr>
            </w:pPr>
            <w:r>
              <w:rPr>
                <w:rFonts w:hint="eastAsia" w:hAnsi="宋体"/>
                <w:sz w:val="21"/>
                <w:szCs w:val="21"/>
              </w:rPr>
              <w:t>招标文件条目号</w:t>
            </w:r>
          </w:p>
        </w:tc>
        <w:tc>
          <w:tcPr>
            <w:tcW w:w="1466" w:type="dxa"/>
            <w:vAlign w:val="center"/>
          </w:tcPr>
          <w:p>
            <w:pPr>
              <w:spacing w:line="300" w:lineRule="auto"/>
              <w:ind w:right="143" w:rightChars="42"/>
              <w:jc w:val="center"/>
              <w:rPr>
                <w:rFonts w:hAnsi="宋体"/>
                <w:sz w:val="21"/>
                <w:szCs w:val="21"/>
              </w:rPr>
            </w:pPr>
            <w:r>
              <w:rPr>
                <w:rFonts w:hint="eastAsia" w:hAnsi="宋体"/>
                <w:sz w:val="21"/>
                <w:szCs w:val="21"/>
              </w:rPr>
              <w:t>招标要求</w:t>
            </w:r>
          </w:p>
        </w:tc>
        <w:tc>
          <w:tcPr>
            <w:tcW w:w="3103" w:type="dxa"/>
            <w:vAlign w:val="center"/>
          </w:tcPr>
          <w:p>
            <w:pPr>
              <w:spacing w:line="300" w:lineRule="auto"/>
              <w:ind w:right="143" w:rightChars="42"/>
              <w:jc w:val="center"/>
              <w:rPr>
                <w:rFonts w:hAnsi="宋体"/>
                <w:sz w:val="21"/>
                <w:szCs w:val="21"/>
              </w:rPr>
            </w:pPr>
            <w:r>
              <w:rPr>
                <w:rFonts w:hint="eastAsia" w:hAnsi="宋体"/>
                <w:sz w:val="21"/>
                <w:szCs w:val="21"/>
              </w:rPr>
              <w:t>投标应答</w:t>
            </w:r>
          </w:p>
        </w:tc>
        <w:tc>
          <w:tcPr>
            <w:tcW w:w="1587" w:type="dxa"/>
            <w:vAlign w:val="center"/>
          </w:tcPr>
          <w:p>
            <w:pPr>
              <w:spacing w:line="300" w:lineRule="auto"/>
              <w:ind w:right="143" w:rightChars="42"/>
              <w:jc w:val="center"/>
              <w:rPr>
                <w:rFonts w:hAnsi="宋体"/>
                <w:sz w:val="21"/>
                <w:szCs w:val="21"/>
              </w:rPr>
            </w:pPr>
            <w:r>
              <w:rPr>
                <w:rFonts w:hint="eastAsia" w:hAnsi="宋体"/>
                <w:sz w:val="21"/>
                <w:szCs w:val="21"/>
              </w:rPr>
              <w:t>响应/正偏离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00" w:lineRule="auto"/>
              <w:ind w:right="143" w:rightChars="42"/>
              <w:jc w:val="center"/>
              <w:rPr>
                <w:rFonts w:hAnsi="宋体"/>
                <w:sz w:val="32"/>
              </w:rPr>
            </w:pPr>
          </w:p>
        </w:tc>
        <w:tc>
          <w:tcPr>
            <w:tcW w:w="1704" w:type="dxa"/>
          </w:tcPr>
          <w:p>
            <w:pPr>
              <w:spacing w:line="300" w:lineRule="auto"/>
              <w:ind w:right="143" w:rightChars="42"/>
              <w:jc w:val="center"/>
              <w:rPr>
                <w:rFonts w:hAnsi="宋体"/>
                <w:sz w:val="32"/>
              </w:rPr>
            </w:pPr>
          </w:p>
        </w:tc>
        <w:tc>
          <w:tcPr>
            <w:tcW w:w="1466" w:type="dxa"/>
          </w:tcPr>
          <w:p>
            <w:pPr>
              <w:spacing w:line="300" w:lineRule="auto"/>
              <w:ind w:right="143" w:rightChars="42"/>
              <w:jc w:val="center"/>
              <w:rPr>
                <w:rFonts w:hAnsi="宋体"/>
                <w:sz w:val="32"/>
              </w:rPr>
            </w:pPr>
          </w:p>
        </w:tc>
        <w:tc>
          <w:tcPr>
            <w:tcW w:w="3103" w:type="dxa"/>
          </w:tcPr>
          <w:p>
            <w:pPr>
              <w:spacing w:line="300" w:lineRule="auto"/>
              <w:ind w:left="422" w:right="143" w:rightChars="42" w:hanging="422" w:hangingChars="132"/>
              <w:jc w:val="center"/>
              <w:rPr>
                <w:rFonts w:hAnsi="宋体"/>
                <w:sz w:val="32"/>
              </w:rPr>
            </w:pPr>
          </w:p>
        </w:tc>
        <w:tc>
          <w:tcPr>
            <w:tcW w:w="1587" w:type="dxa"/>
          </w:tcPr>
          <w:p>
            <w:pPr>
              <w:spacing w:line="300" w:lineRule="auto"/>
              <w:ind w:left="422" w:right="143" w:rightChars="42" w:hanging="422" w:hangingChars="132"/>
              <w:jc w:val="center"/>
              <w:rPr>
                <w:rFonts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00" w:lineRule="auto"/>
              <w:ind w:right="143" w:rightChars="42"/>
              <w:jc w:val="center"/>
              <w:rPr>
                <w:rFonts w:hAnsi="宋体"/>
                <w:sz w:val="32"/>
              </w:rPr>
            </w:pPr>
          </w:p>
        </w:tc>
        <w:tc>
          <w:tcPr>
            <w:tcW w:w="1704" w:type="dxa"/>
          </w:tcPr>
          <w:p>
            <w:pPr>
              <w:spacing w:line="300" w:lineRule="auto"/>
              <w:ind w:right="143" w:rightChars="42"/>
              <w:jc w:val="center"/>
              <w:rPr>
                <w:rFonts w:hAnsi="宋体"/>
                <w:sz w:val="32"/>
              </w:rPr>
            </w:pPr>
          </w:p>
        </w:tc>
        <w:tc>
          <w:tcPr>
            <w:tcW w:w="1466" w:type="dxa"/>
          </w:tcPr>
          <w:p>
            <w:pPr>
              <w:spacing w:line="300" w:lineRule="auto"/>
              <w:ind w:right="143" w:rightChars="42"/>
              <w:jc w:val="center"/>
              <w:rPr>
                <w:rFonts w:hAnsi="宋体"/>
                <w:sz w:val="32"/>
              </w:rPr>
            </w:pPr>
          </w:p>
        </w:tc>
        <w:tc>
          <w:tcPr>
            <w:tcW w:w="3103" w:type="dxa"/>
          </w:tcPr>
          <w:p>
            <w:pPr>
              <w:spacing w:line="300" w:lineRule="auto"/>
              <w:ind w:right="143" w:rightChars="42"/>
              <w:jc w:val="center"/>
              <w:rPr>
                <w:rFonts w:hAnsi="宋体"/>
                <w:sz w:val="32"/>
              </w:rPr>
            </w:pPr>
          </w:p>
        </w:tc>
        <w:tc>
          <w:tcPr>
            <w:tcW w:w="1587" w:type="dxa"/>
          </w:tcPr>
          <w:p>
            <w:pPr>
              <w:spacing w:line="300" w:lineRule="auto"/>
              <w:ind w:right="143" w:rightChars="42"/>
              <w:jc w:val="center"/>
              <w:rPr>
                <w:rFonts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60" w:type="dxa"/>
          </w:tcPr>
          <w:p>
            <w:pPr>
              <w:spacing w:line="300" w:lineRule="auto"/>
              <w:ind w:right="143" w:rightChars="42"/>
              <w:jc w:val="center"/>
              <w:rPr>
                <w:rFonts w:hAnsi="宋体"/>
                <w:sz w:val="32"/>
              </w:rPr>
            </w:pPr>
          </w:p>
        </w:tc>
        <w:tc>
          <w:tcPr>
            <w:tcW w:w="1704" w:type="dxa"/>
          </w:tcPr>
          <w:p>
            <w:pPr>
              <w:spacing w:line="300" w:lineRule="auto"/>
              <w:ind w:right="143" w:rightChars="42"/>
              <w:jc w:val="center"/>
              <w:rPr>
                <w:rFonts w:hAnsi="宋体"/>
                <w:sz w:val="32"/>
              </w:rPr>
            </w:pPr>
          </w:p>
        </w:tc>
        <w:tc>
          <w:tcPr>
            <w:tcW w:w="1466" w:type="dxa"/>
          </w:tcPr>
          <w:p>
            <w:pPr>
              <w:spacing w:line="300" w:lineRule="auto"/>
              <w:ind w:right="143" w:rightChars="42"/>
              <w:jc w:val="center"/>
              <w:rPr>
                <w:rFonts w:hAnsi="宋体"/>
                <w:sz w:val="32"/>
              </w:rPr>
            </w:pPr>
          </w:p>
        </w:tc>
        <w:tc>
          <w:tcPr>
            <w:tcW w:w="3103" w:type="dxa"/>
          </w:tcPr>
          <w:p>
            <w:pPr>
              <w:spacing w:line="300" w:lineRule="auto"/>
              <w:ind w:right="143" w:rightChars="42"/>
              <w:jc w:val="center"/>
              <w:rPr>
                <w:rFonts w:hAnsi="宋体"/>
                <w:sz w:val="32"/>
              </w:rPr>
            </w:pPr>
          </w:p>
        </w:tc>
        <w:tc>
          <w:tcPr>
            <w:tcW w:w="1587" w:type="dxa"/>
          </w:tcPr>
          <w:p>
            <w:pPr>
              <w:spacing w:line="300" w:lineRule="auto"/>
              <w:ind w:right="143" w:rightChars="42"/>
              <w:jc w:val="center"/>
              <w:rPr>
                <w:rFonts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60" w:type="dxa"/>
          </w:tcPr>
          <w:p>
            <w:pPr>
              <w:spacing w:line="300" w:lineRule="auto"/>
              <w:ind w:right="143" w:rightChars="42"/>
              <w:jc w:val="center"/>
              <w:rPr>
                <w:rFonts w:hAnsi="宋体"/>
                <w:sz w:val="32"/>
              </w:rPr>
            </w:pPr>
          </w:p>
        </w:tc>
        <w:tc>
          <w:tcPr>
            <w:tcW w:w="1704" w:type="dxa"/>
          </w:tcPr>
          <w:p>
            <w:pPr>
              <w:spacing w:line="300" w:lineRule="auto"/>
              <w:ind w:right="143" w:rightChars="42"/>
              <w:jc w:val="center"/>
              <w:rPr>
                <w:rFonts w:hAnsi="宋体"/>
                <w:sz w:val="32"/>
              </w:rPr>
            </w:pPr>
          </w:p>
        </w:tc>
        <w:tc>
          <w:tcPr>
            <w:tcW w:w="1466" w:type="dxa"/>
          </w:tcPr>
          <w:p>
            <w:pPr>
              <w:spacing w:line="300" w:lineRule="auto"/>
              <w:ind w:right="143" w:rightChars="42"/>
              <w:jc w:val="center"/>
              <w:rPr>
                <w:rFonts w:hAnsi="宋体"/>
                <w:sz w:val="32"/>
              </w:rPr>
            </w:pPr>
          </w:p>
        </w:tc>
        <w:tc>
          <w:tcPr>
            <w:tcW w:w="3103" w:type="dxa"/>
          </w:tcPr>
          <w:p>
            <w:pPr>
              <w:spacing w:line="300" w:lineRule="auto"/>
              <w:ind w:right="143" w:rightChars="42"/>
              <w:jc w:val="center"/>
              <w:rPr>
                <w:rFonts w:hAnsi="宋体"/>
                <w:sz w:val="32"/>
              </w:rPr>
            </w:pPr>
          </w:p>
        </w:tc>
        <w:tc>
          <w:tcPr>
            <w:tcW w:w="1587" w:type="dxa"/>
          </w:tcPr>
          <w:p>
            <w:pPr>
              <w:spacing w:line="300" w:lineRule="auto"/>
              <w:ind w:right="143" w:rightChars="42"/>
              <w:jc w:val="center"/>
              <w:rPr>
                <w:rFonts w:hAnsi="宋体"/>
                <w:sz w:val="32"/>
              </w:rPr>
            </w:pPr>
          </w:p>
        </w:tc>
      </w:tr>
    </w:tbl>
    <w:p>
      <w:pPr>
        <w:spacing w:line="300" w:lineRule="auto"/>
        <w:ind w:right="143" w:rightChars="42"/>
        <w:rPr>
          <w:rFonts w:hAnsi="宋体"/>
          <w:sz w:val="24"/>
        </w:rPr>
      </w:pPr>
      <w:r>
        <w:rPr>
          <w:rFonts w:hint="eastAsia" w:hAnsi="宋体"/>
          <w:sz w:val="24"/>
        </w:rPr>
        <w:t>注：1.投标人须对商务条款逐条响应，并保证响应的真实性。</w:t>
      </w:r>
    </w:p>
    <w:p>
      <w:pPr>
        <w:spacing w:line="300" w:lineRule="auto"/>
        <w:ind w:right="143" w:rightChars="42" w:firstLine="480"/>
        <w:rPr>
          <w:rFonts w:hAnsi="宋体"/>
          <w:sz w:val="24"/>
        </w:rPr>
      </w:pPr>
      <w:r>
        <w:rPr>
          <w:rFonts w:hint="eastAsia" w:hAnsi="宋体"/>
          <w:sz w:val="24"/>
        </w:rPr>
        <w:t>2.投标人未按要求响应的，漏项的，自行承担被视为无效投标文件的风险。</w:t>
      </w:r>
    </w:p>
    <w:p>
      <w:pPr>
        <w:spacing w:line="300" w:lineRule="auto"/>
        <w:ind w:right="143" w:rightChars="42" w:firstLine="480"/>
        <w:rPr>
          <w:rFonts w:hAnsi="宋体"/>
          <w:sz w:val="24"/>
        </w:rPr>
      </w:pPr>
      <w:r>
        <w:rPr>
          <w:rFonts w:hint="eastAsia" w:hAnsi="宋体"/>
          <w:sz w:val="24"/>
        </w:rPr>
        <w:t>3.商务条款不允许负偏离。</w:t>
      </w:r>
    </w:p>
    <w:p>
      <w:pPr>
        <w:spacing w:line="300" w:lineRule="auto"/>
        <w:ind w:left="674" w:leftChars="57" w:right="143" w:rightChars="42" w:hanging="480" w:hangingChars="200"/>
        <w:rPr>
          <w:rFonts w:hAnsi="宋体"/>
          <w:sz w:val="24"/>
        </w:rPr>
      </w:pPr>
    </w:p>
    <w:p>
      <w:pPr>
        <w:adjustRightInd w:val="0"/>
        <w:spacing w:line="300" w:lineRule="auto"/>
        <w:ind w:right="143" w:rightChars="42" w:firstLine="490" w:firstLineChars="175"/>
        <w:jc w:val="left"/>
        <w:rPr>
          <w:rFonts w:hAnsi="宋体"/>
          <w:bCs/>
          <w:sz w:val="28"/>
          <w:szCs w:val="28"/>
        </w:rPr>
      </w:pPr>
    </w:p>
    <w:p>
      <w:pPr>
        <w:adjustRightInd w:val="0"/>
        <w:spacing w:line="300" w:lineRule="auto"/>
        <w:ind w:right="143" w:rightChars="42" w:firstLine="420" w:firstLineChars="175"/>
        <w:jc w:val="left"/>
        <w:rPr>
          <w:rFonts w:hAnsi="宋体"/>
          <w:bCs/>
          <w:sz w:val="24"/>
        </w:rPr>
      </w:pPr>
      <w:r>
        <w:rPr>
          <w:rFonts w:hint="eastAsia" w:hAnsi="宋体"/>
          <w:bCs/>
          <w:sz w:val="24"/>
        </w:rPr>
        <w:t>投标人名称：      （盖公章）</w:t>
      </w:r>
    </w:p>
    <w:p>
      <w:pPr>
        <w:spacing w:line="300" w:lineRule="auto"/>
        <w:ind w:right="143" w:rightChars="42" w:firstLine="470" w:firstLineChars="196"/>
        <w:jc w:val="left"/>
        <w:outlineLvl w:val="1"/>
        <w:rPr>
          <w:sz w:val="24"/>
        </w:rPr>
      </w:pPr>
      <w:r>
        <w:rPr>
          <w:rFonts w:hint="eastAsia"/>
          <w:sz w:val="24"/>
        </w:rPr>
        <w:t>法定代表人或委托代理人（签字或盖章）：</w:t>
      </w:r>
    </w:p>
    <w:p>
      <w:pPr>
        <w:adjustRightInd w:val="0"/>
        <w:spacing w:line="300" w:lineRule="auto"/>
        <w:ind w:right="143" w:rightChars="42" w:firstLine="420" w:firstLineChars="175"/>
        <w:jc w:val="left"/>
        <w:rPr>
          <w:rFonts w:hAnsi="宋体"/>
          <w:bCs/>
          <w:sz w:val="24"/>
        </w:rPr>
      </w:pPr>
      <w:r>
        <w:rPr>
          <w:rFonts w:hint="eastAsia" w:hAnsi="宋体"/>
          <w:bCs/>
          <w:sz w:val="24"/>
        </w:rPr>
        <w:t>日期</w:t>
      </w:r>
      <w:r>
        <w:rPr>
          <w:rFonts w:hAnsi="宋体"/>
          <w:bCs/>
          <w:sz w:val="24"/>
        </w:rPr>
        <w:t>:</w:t>
      </w:r>
    </w:p>
    <w:p>
      <w:pPr>
        <w:spacing w:line="400" w:lineRule="exact"/>
        <w:rPr>
          <w:rFonts w:ascii="Times New Roman" w:hAnsi="Times New Roman"/>
          <w:bCs/>
          <w:sz w:val="21"/>
          <w:szCs w:val="21"/>
        </w:rPr>
      </w:pPr>
    </w:p>
    <w:p>
      <w:pPr>
        <w:spacing w:line="400" w:lineRule="exact"/>
        <w:rPr>
          <w:rFonts w:ascii="Times New Roman" w:hAnsi="Times New Roman"/>
          <w:bCs/>
          <w:sz w:val="24"/>
          <w:szCs w:val="24"/>
        </w:rPr>
      </w:pPr>
    </w:p>
    <w:p>
      <w:pPr>
        <w:spacing w:line="400" w:lineRule="exact"/>
        <w:rPr>
          <w:rFonts w:ascii="Times New Roman" w:hAnsi="Times New Roman"/>
          <w:bCs/>
          <w:sz w:val="24"/>
          <w:szCs w:val="24"/>
        </w:rPr>
      </w:pPr>
    </w:p>
    <w:p>
      <w:pPr>
        <w:spacing w:line="360" w:lineRule="auto"/>
        <w:rPr>
          <w:rFonts w:ascii="Times New Roman" w:hAnsi="Times New Roman"/>
          <w:b/>
          <w:sz w:val="28"/>
          <w:szCs w:val="28"/>
        </w:rPr>
      </w:pPr>
      <w:r>
        <w:rPr>
          <w:rFonts w:ascii="Times New Roman" w:hAnsi="Times New Roman"/>
          <w:sz w:val="22"/>
          <w:szCs w:val="21"/>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6</w:t>
      </w:r>
    </w:p>
    <w:p>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五、投标人基本情况表</w:t>
      </w:r>
    </w:p>
    <w:tbl>
      <w:tblPr>
        <w:tblStyle w:val="22"/>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投标人名称</w:t>
            </w:r>
          </w:p>
        </w:tc>
        <w:tc>
          <w:tcPr>
            <w:tcW w:w="6693" w:type="dxa"/>
            <w:gridSpan w:val="7"/>
            <w:tcBorders>
              <w:top w:val="single" w:color="auto" w:sz="18"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注册地址</w:t>
            </w:r>
          </w:p>
        </w:tc>
        <w:tc>
          <w:tcPr>
            <w:tcW w:w="3443" w:type="dxa"/>
            <w:gridSpan w:val="3"/>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邮政编码</w:t>
            </w:r>
          </w:p>
        </w:tc>
        <w:tc>
          <w:tcPr>
            <w:tcW w:w="1930" w:type="dxa"/>
            <w:gridSpan w:val="3"/>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联系方式</w:t>
            </w:r>
          </w:p>
        </w:tc>
        <w:tc>
          <w:tcPr>
            <w:tcW w:w="95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联系人</w:t>
            </w:r>
          </w:p>
        </w:tc>
        <w:tc>
          <w:tcPr>
            <w:tcW w:w="248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电话</w:t>
            </w:r>
          </w:p>
        </w:tc>
        <w:tc>
          <w:tcPr>
            <w:tcW w:w="1930" w:type="dxa"/>
            <w:gridSpan w:val="3"/>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pPr>
              <w:rPr>
                <w:rFonts w:ascii="Times New Roman" w:hAnsi="Times New Roman"/>
                <w:sz w:val="32"/>
                <w:szCs w:val="21"/>
              </w:rPr>
            </w:pPr>
          </w:p>
        </w:tc>
        <w:tc>
          <w:tcPr>
            <w:tcW w:w="95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传真</w:t>
            </w:r>
          </w:p>
        </w:tc>
        <w:tc>
          <w:tcPr>
            <w:tcW w:w="248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网址</w:t>
            </w:r>
          </w:p>
        </w:tc>
        <w:tc>
          <w:tcPr>
            <w:tcW w:w="1930" w:type="dxa"/>
            <w:gridSpan w:val="3"/>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组织结构</w:t>
            </w:r>
          </w:p>
        </w:tc>
        <w:tc>
          <w:tcPr>
            <w:tcW w:w="6693" w:type="dxa"/>
            <w:gridSpan w:val="7"/>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法定代表人</w:t>
            </w:r>
          </w:p>
        </w:tc>
        <w:tc>
          <w:tcPr>
            <w:tcW w:w="95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pPr>
              <w:spacing w:line="360" w:lineRule="atLeast"/>
              <w:ind w:firstLine="431" w:firstLineChars="196"/>
              <w:jc w:val="left"/>
              <w:outlineLvl w:val="1"/>
              <w:rPr>
                <w:rFonts w:ascii="Times New Roman" w:hAnsi="Times New Roman"/>
                <w:sz w:val="22"/>
                <w:szCs w:val="21"/>
              </w:rPr>
            </w:pPr>
          </w:p>
        </w:tc>
        <w:tc>
          <w:tcPr>
            <w:tcW w:w="124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技术负责人</w:t>
            </w:r>
          </w:p>
        </w:tc>
        <w:tc>
          <w:tcPr>
            <w:tcW w:w="95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姓名</w:t>
            </w:r>
          </w:p>
        </w:tc>
        <w:tc>
          <w:tcPr>
            <w:tcW w:w="1239" w:type="dxa"/>
            <w:vAlign w:val="center"/>
          </w:tcPr>
          <w:p>
            <w:pPr>
              <w:spacing w:line="360" w:lineRule="atLeast"/>
              <w:ind w:firstLine="431" w:firstLineChars="196"/>
              <w:jc w:val="left"/>
              <w:outlineLvl w:val="1"/>
              <w:rPr>
                <w:rFonts w:ascii="Times New Roman" w:hAnsi="Times New Roman"/>
                <w:sz w:val="22"/>
                <w:szCs w:val="21"/>
              </w:rPr>
            </w:pPr>
          </w:p>
        </w:tc>
        <w:tc>
          <w:tcPr>
            <w:tcW w:w="1247"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技术职称</w:t>
            </w: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850"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电话</w:t>
            </w:r>
          </w:p>
        </w:tc>
        <w:tc>
          <w:tcPr>
            <w:tcW w:w="1080" w:type="dxa"/>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成立时间</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4497" w:type="dxa"/>
            <w:gridSpan w:val="5"/>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企业资质等级</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restart"/>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其中</w:t>
            </w:r>
          </w:p>
        </w:tc>
        <w:tc>
          <w:tcPr>
            <w:tcW w:w="1478"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项目经理</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营业执照号</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pPr>
              <w:rPr>
                <w:rFonts w:ascii="Times New Roman" w:hAnsi="Times New Roman"/>
                <w:sz w:val="32"/>
                <w:szCs w:val="21"/>
              </w:rPr>
            </w:pPr>
          </w:p>
        </w:tc>
        <w:tc>
          <w:tcPr>
            <w:tcW w:w="1478"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高级职称人员</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注册资金</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pPr>
              <w:rPr>
                <w:rFonts w:ascii="Times New Roman" w:hAnsi="Times New Roman"/>
                <w:sz w:val="32"/>
                <w:szCs w:val="21"/>
              </w:rPr>
            </w:pPr>
          </w:p>
        </w:tc>
        <w:tc>
          <w:tcPr>
            <w:tcW w:w="1478"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中级职称人员</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开户银行</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pPr>
              <w:rPr>
                <w:rFonts w:ascii="Times New Roman" w:hAnsi="Times New Roman"/>
                <w:sz w:val="32"/>
                <w:szCs w:val="21"/>
              </w:rPr>
            </w:pPr>
          </w:p>
        </w:tc>
        <w:tc>
          <w:tcPr>
            <w:tcW w:w="1478" w:type="dxa"/>
            <w:gridSpan w:val="2"/>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初级职称人员</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账号</w:t>
            </w:r>
          </w:p>
        </w:tc>
        <w:tc>
          <w:tcPr>
            <w:tcW w:w="2196" w:type="dxa"/>
            <w:gridSpan w:val="2"/>
            <w:vAlign w:val="center"/>
          </w:tcPr>
          <w:p>
            <w:pPr>
              <w:spacing w:line="360" w:lineRule="atLeast"/>
              <w:ind w:firstLine="431" w:firstLineChars="196"/>
              <w:jc w:val="left"/>
              <w:outlineLvl w:val="1"/>
              <w:rPr>
                <w:rFonts w:ascii="Times New Roman" w:hAnsi="Times New Roman"/>
                <w:sz w:val="22"/>
                <w:szCs w:val="21"/>
              </w:rPr>
            </w:pPr>
          </w:p>
        </w:tc>
        <w:tc>
          <w:tcPr>
            <w:tcW w:w="1247" w:type="dxa"/>
            <w:vMerge w:val="continue"/>
            <w:vAlign w:val="center"/>
          </w:tcPr>
          <w:p>
            <w:pPr>
              <w:rPr>
                <w:rFonts w:ascii="Times New Roman" w:hAnsi="Times New Roman"/>
                <w:sz w:val="32"/>
                <w:szCs w:val="21"/>
              </w:rPr>
            </w:pPr>
          </w:p>
        </w:tc>
        <w:tc>
          <w:tcPr>
            <w:tcW w:w="1478" w:type="dxa"/>
            <w:gridSpan w:val="2"/>
            <w:vAlign w:val="center"/>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技工</w:t>
            </w:r>
          </w:p>
        </w:tc>
        <w:tc>
          <w:tcPr>
            <w:tcW w:w="1772" w:type="dxa"/>
            <w:gridSpan w:val="2"/>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经营范围</w:t>
            </w:r>
          </w:p>
        </w:tc>
        <w:tc>
          <w:tcPr>
            <w:tcW w:w="6693" w:type="dxa"/>
            <w:gridSpan w:val="7"/>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Borders>
              <w:bottom w:val="single" w:color="auto" w:sz="18" w:space="0"/>
            </w:tcBorders>
          </w:tcPr>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备注</w:t>
            </w:r>
          </w:p>
        </w:tc>
        <w:tc>
          <w:tcPr>
            <w:tcW w:w="6693" w:type="dxa"/>
            <w:gridSpan w:val="7"/>
            <w:tcBorders>
              <w:bottom w:val="single" w:color="auto" w:sz="18" w:space="0"/>
            </w:tcBorders>
          </w:tcPr>
          <w:p>
            <w:pPr>
              <w:spacing w:line="360" w:lineRule="atLeast"/>
              <w:ind w:firstLine="431" w:firstLineChars="196"/>
              <w:jc w:val="left"/>
              <w:outlineLvl w:val="1"/>
              <w:rPr>
                <w:rFonts w:ascii="Times New Roman" w:hAnsi="Times New Roman"/>
                <w:sz w:val="22"/>
                <w:szCs w:val="21"/>
              </w:rPr>
            </w:pPr>
          </w:p>
        </w:tc>
      </w:tr>
    </w:tbl>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（单位盖章）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r>
        <w:rPr>
          <w:rFonts w:ascii="Times New Roman" w:hAnsi="Times New Roman"/>
          <w:sz w:val="22"/>
          <w:szCs w:val="21"/>
        </w:rPr>
        <w:t xml:space="preserve">   </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 xml:space="preserve">: </w:t>
      </w:r>
    </w:p>
    <w:p>
      <w:pPr>
        <w:spacing w:line="360" w:lineRule="auto"/>
        <w:rPr>
          <w:rFonts w:ascii="Times New Roman" w:hAnsi="Times New Roman"/>
          <w:b/>
          <w:sz w:val="28"/>
          <w:szCs w:val="28"/>
        </w:rPr>
      </w:pPr>
      <w:r>
        <w:rPr>
          <w:rFonts w:ascii="Times New Roman" w:hAnsi="Times New Roman" w:eastAsia="黑体"/>
          <w:b/>
          <w:sz w:val="32"/>
          <w:szCs w:val="32"/>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7</w:t>
      </w:r>
    </w:p>
    <w:p>
      <w:pPr>
        <w:spacing w:line="360" w:lineRule="atLeast"/>
        <w:jc w:val="center"/>
        <w:outlineLvl w:val="1"/>
        <w:rPr>
          <w:rFonts w:ascii="Times New Roman" w:hAnsi="Times New Roman" w:eastAsia="黑体"/>
          <w:b/>
          <w:sz w:val="32"/>
          <w:szCs w:val="32"/>
        </w:rPr>
      </w:pPr>
      <w:r>
        <w:rPr>
          <w:rFonts w:hint="eastAsia" w:ascii="Times New Roman" w:hAnsi="Times New Roman" w:eastAsia="黑体"/>
          <w:b/>
          <w:sz w:val="32"/>
          <w:szCs w:val="32"/>
        </w:rPr>
        <w:t>六、类似项目业绩一览表</w:t>
      </w:r>
    </w:p>
    <w:p>
      <w:pPr>
        <w:spacing w:line="360" w:lineRule="atLeast"/>
        <w:ind w:firstLine="433" w:firstLineChars="196"/>
        <w:jc w:val="left"/>
        <w:outlineLvl w:val="1"/>
        <w:rPr>
          <w:rFonts w:ascii="Times New Roman" w:hAnsi="Times New Roman"/>
          <w:b/>
          <w:sz w:val="22"/>
          <w:szCs w:val="21"/>
        </w:rPr>
      </w:pPr>
    </w:p>
    <w:tbl>
      <w:tblPr>
        <w:tblStyle w:val="22"/>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年份</w:t>
            </w:r>
          </w:p>
        </w:tc>
        <w:tc>
          <w:tcPr>
            <w:tcW w:w="1440"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用户名称</w:t>
            </w:r>
          </w:p>
        </w:tc>
        <w:tc>
          <w:tcPr>
            <w:tcW w:w="1320"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项目名称</w:t>
            </w:r>
          </w:p>
        </w:tc>
        <w:tc>
          <w:tcPr>
            <w:tcW w:w="1161"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完成时间</w:t>
            </w:r>
          </w:p>
        </w:tc>
        <w:tc>
          <w:tcPr>
            <w:tcW w:w="1260" w:type="dxa"/>
            <w:tcBorders>
              <w:top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合同金额</w:t>
            </w:r>
          </w:p>
        </w:tc>
        <w:tc>
          <w:tcPr>
            <w:tcW w:w="1630" w:type="dxa"/>
            <w:gridSpan w:val="2"/>
            <w:tcBorders>
              <w:top w:val="single" w:color="auto" w:sz="4" w:space="0"/>
              <w:right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是否通过验收</w:t>
            </w:r>
          </w:p>
        </w:tc>
        <w:tc>
          <w:tcPr>
            <w:tcW w:w="992" w:type="dxa"/>
            <w:tcBorders>
              <w:top w:val="single" w:color="auto" w:sz="4" w:space="0"/>
              <w:left w:val="single" w:color="auto" w:sz="4" w:space="0"/>
            </w:tcBorders>
            <w:vAlign w:val="center"/>
          </w:tcPr>
          <w:p>
            <w:pPr>
              <w:spacing w:line="360" w:lineRule="atLeast"/>
              <w:jc w:val="left"/>
              <w:outlineLvl w:val="1"/>
              <w:rPr>
                <w:rFonts w:ascii="Times New Roman" w:hAnsi="Times New Roman"/>
                <w:sz w:val="22"/>
                <w:szCs w:val="21"/>
              </w:rPr>
            </w:pPr>
            <w:r>
              <w:rPr>
                <w:rFonts w:hint="eastAsia" w:ascii="Times New Roman" w:hAnsi="Times New Roman"/>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0" w:type="dxa"/>
            <w:vAlign w:val="center"/>
          </w:tcPr>
          <w:p>
            <w:pPr>
              <w:spacing w:line="360" w:lineRule="atLeast"/>
              <w:ind w:firstLine="431" w:firstLineChars="196"/>
              <w:jc w:val="left"/>
              <w:outlineLvl w:val="1"/>
              <w:rPr>
                <w:rFonts w:ascii="Times New Roman" w:hAnsi="Times New Roman"/>
                <w:sz w:val="22"/>
                <w:szCs w:val="21"/>
              </w:rPr>
            </w:pPr>
          </w:p>
        </w:tc>
        <w:tc>
          <w:tcPr>
            <w:tcW w:w="1630"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0" w:type="dxa"/>
            <w:vAlign w:val="center"/>
          </w:tcPr>
          <w:p>
            <w:pPr>
              <w:spacing w:line="360" w:lineRule="atLeast"/>
              <w:ind w:firstLine="431" w:firstLineChars="196"/>
              <w:jc w:val="left"/>
              <w:outlineLvl w:val="1"/>
              <w:rPr>
                <w:rFonts w:ascii="Times New Roman" w:hAnsi="Times New Roman"/>
                <w:sz w:val="22"/>
                <w:szCs w:val="21"/>
              </w:rPr>
            </w:pPr>
          </w:p>
        </w:tc>
        <w:tc>
          <w:tcPr>
            <w:tcW w:w="1630"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0" w:type="dxa"/>
            <w:vAlign w:val="center"/>
          </w:tcPr>
          <w:p>
            <w:pPr>
              <w:spacing w:line="360" w:lineRule="atLeast"/>
              <w:ind w:firstLine="431" w:firstLineChars="196"/>
              <w:jc w:val="left"/>
              <w:outlineLvl w:val="1"/>
              <w:rPr>
                <w:rFonts w:ascii="Times New Roman" w:hAnsi="Times New Roman"/>
                <w:sz w:val="22"/>
                <w:szCs w:val="21"/>
              </w:rPr>
            </w:pPr>
          </w:p>
        </w:tc>
        <w:tc>
          <w:tcPr>
            <w:tcW w:w="1630"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0" w:type="dxa"/>
            <w:vAlign w:val="center"/>
          </w:tcPr>
          <w:p>
            <w:pPr>
              <w:spacing w:line="360" w:lineRule="atLeast"/>
              <w:ind w:firstLine="431" w:firstLineChars="196"/>
              <w:jc w:val="left"/>
              <w:outlineLvl w:val="1"/>
              <w:rPr>
                <w:rFonts w:ascii="Times New Roman" w:hAnsi="Times New Roman"/>
                <w:sz w:val="22"/>
                <w:szCs w:val="21"/>
              </w:rPr>
            </w:pPr>
          </w:p>
        </w:tc>
        <w:tc>
          <w:tcPr>
            <w:tcW w:w="1630"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440"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320"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16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spacing w:line="360" w:lineRule="atLeast"/>
              <w:ind w:firstLine="431" w:firstLineChars="196"/>
              <w:jc w:val="left"/>
              <w:outlineLvl w:val="1"/>
              <w:rPr>
                <w:rFonts w:ascii="Times New Roman" w:hAnsi="Times New Roman"/>
                <w:sz w:val="22"/>
                <w:szCs w:val="21"/>
              </w:rPr>
            </w:pPr>
          </w:p>
        </w:tc>
        <w:tc>
          <w:tcPr>
            <w:tcW w:w="1440" w:type="dxa"/>
            <w:vAlign w:val="center"/>
          </w:tcPr>
          <w:p>
            <w:pPr>
              <w:spacing w:line="360" w:lineRule="atLeast"/>
              <w:ind w:firstLine="431" w:firstLineChars="196"/>
              <w:jc w:val="left"/>
              <w:outlineLvl w:val="1"/>
              <w:rPr>
                <w:rFonts w:ascii="Times New Roman" w:hAnsi="Times New Roman"/>
                <w:sz w:val="22"/>
                <w:szCs w:val="21"/>
              </w:rPr>
            </w:pPr>
          </w:p>
        </w:tc>
        <w:tc>
          <w:tcPr>
            <w:tcW w:w="1320" w:type="dxa"/>
            <w:vAlign w:val="center"/>
          </w:tcPr>
          <w:p>
            <w:pPr>
              <w:spacing w:line="360" w:lineRule="atLeast"/>
              <w:ind w:firstLine="431" w:firstLineChars="196"/>
              <w:jc w:val="left"/>
              <w:outlineLvl w:val="1"/>
              <w:rPr>
                <w:rFonts w:ascii="Times New Roman" w:hAnsi="Times New Roman"/>
                <w:sz w:val="22"/>
                <w:szCs w:val="21"/>
              </w:rPr>
            </w:pPr>
          </w:p>
        </w:tc>
        <w:tc>
          <w:tcPr>
            <w:tcW w:w="1161" w:type="dxa"/>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440" w:type="dxa"/>
            <w:tcBorders>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320" w:type="dxa"/>
            <w:tcBorders>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161" w:type="dxa"/>
            <w:tcBorders>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bottom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left w:val="single" w:color="auto" w:sz="4" w:space="0"/>
              <w:bottom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left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440" w:type="dxa"/>
            <w:tcBorders>
              <w:top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320" w:type="dxa"/>
            <w:tcBorders>
              <w:top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161" w:type="dxa"/>
            <w:tcBorders>
              <w:top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269" w:type="dxa"/>
            <w:gridSpan w:val="2"/>
            <w:tcBorders>
              <w:top w:val="single" w:color="auto" w:sz="4" w:space="0"/>
              <w:bottom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c>
          <w:tcPr>
            <w:tcW w:w="992" w:type="dxa"/>
            <w:tcBorders>
              <w:top w:val="single" w:color="auto" w:sz="4" w:space="0"/>
              <w:left w:val="single" w:color="auto" w:sz="4" w:space="0"/>
              <w:bottom w:val="single" w:color="auto" w:sz="4" w:space="0"/>
            </w:tcBorders>
            <w:vAlign w:val="center"/>
          </w:tcPr>
          <w:p>
            <w:pPr>
              <w:spacing w:line="360" w:lineRule="atLeast"/>
              <w:ind w:firstLine="431" w:firstLineChars="196"/>
              <w:jc w:val="left"/>
              <w:outlineLvl w:val="1"/>
              <w:rPr>
                <w:rFonts w:ascii="Times New Roman" w:hAnsi="Times New Roman"/>
                <w:sz w:val="22"/>
                <w:szCs w:val="21"/>
              </w:rPr>
            </w:pPr>
          </w:p>
        </w:tc>
      </w:tr>
    </w:tbl>
    <w:p>
      <w:pPr>
        <w:spacing w:line="360" w:lineRule="atLeast"/>
        <w:ind w:firstLine="431" w:firstLineChars="196"/>
        <w:jc w:val="left"/>
        <w:outlineLvl w:val="1"/>
        <w:rPr>
          <w:rFonts w:ascii="Times New Roman" w:hAnsi="Times New Roman"/>
          <w:sz w:val="22"/>
          <w:szCs w:val="21"/>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left="581" w:leftChars="171" w:firstLine="330" w:firstLineChars="150"/>
        <w:rPr>
          <w:rFonts w:ascii="Times New Roman" w:hAnsi="Times New Roman"/>
          <w:sz w:val="22"/>
          <w:szCs w:val="21"/>
        </w:rPr>
      </w:pPr>
      <w:r>
        <w:rPr>
          <w:rFonts w:hint="eastAsia" w:ascii="Times New Roman" w:hAnsi="宋体"/>
          <w:sz w:val="22"/>
          <w:szCs w:val="21"/>
        </w:rPr>
        <w:t>注：以上业绩须提供有关书面证明材料。</w:t>
      </w: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pStyle w:val="2"/>
        <w:rPr>
          <w:rFonts w:ascii="Times New Roman" w:hAnsi="Times New Roman"/>
          <w:sz w:val="32"/>
          <w:szCs w:val="22"/>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日期</w:t>
      </w:r>
      <w:r>
        <w:rPr>
          <w:rFonts w:ascii="Times New Roman" w:hAnsi="Times New Roman"/>
          <w:sz w:val="22"/>
          <w:szCs w:val="21"/>
        </w:rPr>
        <w:t>:</w:t>
      </w:r>
    </w:p>
    <w:p>
      <w:pPr>
        <w:spacing w:line="360" w:lineRule="atLeast"/>
        <w:jc w:val="left"/>
        <w:outlineLvl w:val="1"/>
        <w:rPr>
          <w:rFonts w:ascii="Times New Roman" w:hAnsi="Times New Roman"/>
          <w:b/>
          <w:sz w:val="22"/>
          <w:szCs w:val="21"/>
        </w:rPr>
      </w:pPr>
    </w:p>
    <w:p>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8</w:t>
      </w:r>
    </w:p>
    <w:p>
      <w:pPr>
        <w:spacing w:line="360" w:lineRule="atLeast"/>
        <w:jc w:val="center"/>
        <w:outlineLvl w:val="1"/>
        <w:rPr>
          <w:rFonts w:ascii="Times New Roman" w:hAnsi="Times New Roman" w:eastAsia="黑体"/>
          <w:b/>
          <w:sz w:val="28"/>
          <w:szCs w:val="28"/>
        </w:rPr>
      </w:pPr>
      <w:r>
        <w:rPr>
          <w:rFonts w:hint="eastAsia" w:ascii="Times New Roman" w:hAnsi="Times New Roman" w:eastAsia="黑体"/>
          <w:b/>
          <w:sz w:val="28"/>
          <w:szCs w:val="28"/>
        </w:rPr>
        <w:t>七、技术服务应答表</w:t>
      </w:r>
    </w:p>
    <w:p>
      <w:pPr>
        <w:spacing w:line="360" w:lineRule="atLeast"/>
        <w:ind w:firstLine="433" w:firstLineChars="196"/>
        <w:jc w:val="left"/>
        <w:outlineLvl w:val="1"/>
        <w:rPr>
          <w:rFonts w:ascii="Times New Roman" w:hAnsi="Times New Roman"/>
          <w:b/>
          <w:sz w:val="22"/>
          <w:szCs w:val="21"/>
        </w:rPr>
      </w:pPr>
    </w:p>
    <w:p>
      <w:pPr>
        <w:spacing w:line="360" w:lineRule="atLeast"/>
        <w:ind w:firstLine="470" w:firstLineChars="196"/>
        <w:jc w:val="left"/>
        <w:outlineLvl w:val="1"/>
        <w:rPr>
          <w:rFonts w:ascii="Times New Roman" w:hAnsi="Times New Roman"/>
          <w:sz w:val="22"/>
          <w:szCs w:val="21"/>
        </w:rPr>
      </w:pPr>
      <w:r>
        <w:rPr>
          <w:rFonts w:hint="eastAsia" w:hAnsi="宋体"/>
          <w:sz w:val="24"/>
          <w:szCs w:val="24"/>
        </w:rPr>
        <w:t>项目名称/项目编号/包号：</w:t>
      </w:r>
    </w:p>
    <w:tbl>
      <w:tblPr>
        <w:tblStyle w:val="22"/>
        <w:tblW w:w="7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856"/>
        <w:gridCol w:w="2294"/>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vAlign w:val="center"/>
          </w:tcPr>
          <w:p>
            <w:pPr>
              <w:spacing w:line="360" w:lineRule="atLeast"/>
              <w:jc w:val="center"/>
              <w:outlineLvl w:val="1"/>
              <w:rPr>
                <w:rFonts w:ascii="Times New Roman" w:hAnsi="Times New Roman"/>
                <w:sz w:val="22"/>
                <w:szCs w:val="21"/>
              </w:rPr>
            </w:pPr>
            <w:r>
              <w:rPr>
                <w:rFonts w:hint="eastAsia" w:ascii="Times New Roman" w:hAnsi="Times New Roman"/>
                <w:sz w:val="22"/>
                <w:szCs w:val="21"/>
              </w:rPr>
              <w:t>序号</w:t>
            </w:r>
          </w:p>
        </w:tc>
        <w:tc>
          <w:tcPr>
            <w:tcW w:w="1856" w:type="dxa"/>
            <w:vAlign w:val="center"/>
          </w:tcPr>
          <w:p>
            <w:pPr>
              <w:spacing w:line="360" w:lineRule="atLeast"/>
              <w:jc w:val="center"/>
              <w:outlineLvl w:val="1"/>
              <w:rPr>
                <w:rFonts w:ascii="Times New Roman" w:hAnsi="Times New Roman"/>
                <w:sz w:val="22"/>
                <w:szCs w:val="21"/>
              </w:rPr>
            </w:pPr>
            <w:r>
              <w:rPr>
                <w:rFonts w:hint="eastAsia" w:ascii="Times New Roman" w:hAnsi="Times New Roman"/>
                <w:sz w:val="22"/>
                <w:szCs w:val="21"/>
              </w:rPr>
              <w:t>招标文件要求</w:t>
            </w:r>
          </w:p>
        </w:tc>
        <w:tc>
          <w:tcPr>
            <w:tcW w:w="2294" w:type="dxa"/>
            <w:vAlign w:val="center"/>
          </w:tcPr>
          <w:p>
            <w:pPr>
              <w:spacing w:line="360" w:lineRule="atLeast"/>
              <w:jc w:val="center"/>
              <w:outlineLvl w:val="1"/>
              <w:rPr>
                <w:rFonts w:ascii="Times New Roman" w:hAnsi="Times New Roman"/>
                <w:sz w:val="22"/>
                <w:szCs w:val="21"/>
              </w:rPr>
            </w:pPr>
            <w:r>
              <w:rPr>
                <w:rFonts w:hint="eastAsia" w:ascii="Times New Roman" w:hAnsi="Times New Roman"/>
                <w:sz w:val="22"/>
                <w:szCs w:val="21"/>
              </w:rPr>
              <w:t>技术服务应答</w:t>
            </w:r>
          </w:p>
        </w:tc>
        <w:tc>
          <w:tcPr>
            <w:tcW w:w="2282" w:type="dxa"/>
            <w:vAlign w:val="center"/>
          </w:tcPr>
          <w:p>
            <w:pPr>
              <w:spacing w:line="360" w:lineRule="atLeast"/>
              <w:jc w:val="center"/>
              <w:outlineLvl w:val="1"/>
              <w:rPr>
                <w:rFonts w:ascii="Times New Roman" w:hAnsi="Times New Roman"/>
                <w:sz w:val="22"/>
                <w:szCs w:val="21"/>
              </w:rPr>
            </w:pPr>
            <w:r>
              <w:rPr>
                <w:rFonts w:hint="eastAsia" w:ascii="Times New Roman" w:hAnsi="Times New Roman"/>
                <w:sz w:val="22"/>
                <w:szCs w:val="21"/>
              </w:rPr>
              <w:t>响应</w:t>
            </w:r>
            <w:r>
              <w:rPr>
                <w:rFonts w:ascii="Times New Roman" w:hAnsi="Times New Roman"/>
                <w:sz w:val="22"/>
                <w:szCs w:val="21"/>
              </w:rPr>
              <w:t>/</w:t>
            </w:r>
            <w:r>
              <w:rPr>
                <w:rFonts w:hint="eastAsia" w:ascii="Times New Roman" w:hAnsi="Times New Roman"/>
                <w:sz w:val="22"/>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4" w:type="dxa"/>
          </w:tcPr>
          <w:p>
            <w:pPr>
              <w:spacing w:line="360" w:lineRule="atLeast"/>
              <w:ind w:firstLine="431" w:firstLineChars="196"/>
              <w:jc w:val="left"/>
              <w:outlineLvl w:val="1"/>
              <w:rPr>
                <w:rFonts w:ascii="Times New Roman" w:hAnsi="Times New Roman"/>
                <w:sz w:val="22"/>
                <w:szCs w:val="21"/>
              </w:rPr>
            </w:pPr>
          </w:p>
        </w:tc>
        <w:tc>
          <w:tcPr>
            <w:tcW w:w="1856" w:type="dxa"/>
          </w:tcPr>
          <w:p>
            <w:pPr>
              <w:spacing w:line="360" w:lineRule="atLeast"/>
              <w:ind w:firstLine="431" w:firstLineChars="196"/>
              <w:jc w:val="left"/>
              <w:outlineLvl w:val="1"/>
              <w:rPr>
                <w:rFonts w:ascii="Times New Roman" w:hAnsi="Times New Roman"/>
                <w:sz w:val="22"/>
                <w:szCs w:val="21"/>
              </w:rPr>
            </w:pPr>
          </w:p>
        </w:tc>
        <w:tc>
          <w:tcPr>
            <w:tcW w:w="2294" w:type="dxa"/>
          </w:tcPr>
          <w:p>
            <w:pPr>
              <w:spacing w:line="360" w:lineRule="atLeast"/>
              <w:ind w:firstLine="431" w:firstLineChars="196"/>
              <w:jc w:val="left"/>
              <w:outlineLvl w:val="1"/>
              <w:rPr>
                <w:rFonts w:ascii="Times New Roman" w:hAnsi="Times New Roman"/>
                <w:sz w:val="22"/>
                <w:szCs w:val="21"/>
              </w:rPr>
            </w:pPr>
          </w:p>
        </w:tc>
        <w:tc>
          <w:tcPr>
            <w:tcW w:w="2282" w:type="dxa"/>
          </w:tcPr>
          <w:p>
            <w:pPr>
              <w:spacing w:line="360" w:lineRule="atLeast"/>
              <w:ind w:firstLine="431" w:firstLineChars="196"/>
              <w:jc w:val="left"/>
              <w:outlineLvl w:val="1"/>
              <w:rPr>
                <w:rFonts w:ascii="Times New Roman" w:hAnsi="Times New Roman"/>
                <w:sz w:val="22"/>
                <w:szCs w:val="21"/>
              </w:rPr>
            </w:pPr>
          </w:p>
        </w:tc>
      </w:tr>
    </w:tbl>
    <w:p>
      <w:pPr>
        <w:spacing w:line="360" w:lineRule="atLeast"/>
        <w:ind w:firstLine="431" w:firstLineChars="196"/>
        <w:jc w:val="left"/>
        <w:outlineLvl w:val="1"/>
        <w:rPr>
          <w:rFonts w:ascii="Times New Roman" w:hAnsi="Times New Roman"/>
          <w:sz w:val="22"/>
          <w:szCs w:val="21"/>
        </w:rPr>
      </w:pPr>
    </w:p>
    <w:p>
      <w:pPr>
        <w:adjustRightInd w:val="0"/>
        <w:spacing w:line="400" w:lineRule="exact"/>
        <w:ind w:firstLine="385" w:firstLineChars="175"/>
        <w:jc w:val="left"/>
        <w:rPr>
          <w:rFonts w:ascii="Times New Roman" w:hAnsi="Times New Roman"/>
          <w:sz w:val="22"/>
          <w:szCs w:val="21"/>
        </w:rPr>
      </w:pPr>
      <w:r>
        <w:rPr>
          <w:rFonts w:hint="eastAsia" w:ascii="Times New Roman" w:hAnsi="宋体"/>
          <w:sz w:val="22"/>
          <w:szCs w:val="21"/>
        </w:rPr>
        <w:t>注：</w:t>
      </w:r>
      <w:r>
        <w:rPr>
          <w:rFonts w:ascii="Times New Roman" w:hAnsi="Times New Roman"/>
          <w:sz w:val="22"/>
          <w:szCs w:val="21"/>
        </w:rPr>
        <w:t xml:space="preserve">1. </w:t>
      </w:r>
      <w:r>
        <w:rPr>
          <w:rFonts w:hint="eastAsia" w:ascii="Times New Roman" w:hAnsi="宋体"/>
          <w:sz w:val="22"/>
          <w:szCs w:val="21"/>
        </w:rPr>
        <w:t>供应商必须把招标项目的所有产品的主要技术参数列入此表。</w:t>
      </w:r>
    </w:p>
    <w:p>
      <w:pPr>
        <w:spacing w:line="400" w:lineRule="exact"/>
        <w:ind w:firstLine="660" w:firstLineChars="300"/>
        <w:rPr>
          <w:rFonts w:ascii="Times New Roman" w:hAnsi="Times New Roman"/>
          <w:sz w:val="22"/>
          <w:szCs w:val="21"/>
        </w:rPr>
      </w:pPr>
      <w:r>
        <w:rPr>
          <w:rFonts w:ascii="Times New Roman" w:hAnsi="Times New Roman"/>
          <w:sz w:val="22"/>
          <w:szCs w:val="21"/>
        </w:rPr>
        <w:t>2</w:t>
      </w:r>
      <w:r>
        <w:rPr>
          <w:rFonts w:hint="eastAsia" w:ascii="Times New Roman" w:hAnsi="宋体"/>
          <w:sz w:val="22"/>
          <w:szCs w:val="21"/>
        </w:rPr>
        <w:t>．按照招标项目技术要求的顺序对应填写。</w:t>
      </w:r>
    </w:p>
    <w:p>
      <w:pPr>
        <w:adjustRightInd w:val="0"/>
        <w:spacing w:line="400" w:lineRule="exact"/>
        <w:ind w:firstLine="420" w:firstLineChars="175"/>
        <w:jc w:val="left"/>
        <w:rPr>
          <w:rFonts w:ascii="Times New Roman" w:hAnsi="Times New Roman"/>
          <w:sz w:val="22"/>
          <w:szCs w:val="21"/>
        </w:rPr>
      </w:pPr>
      <w:r>
        <w:rPr>
          <w:rFonts w:ascii="Times New Roman" w:hAnsi="Times New Roman"/>
          <w:bCs/>
          <w:sz w:val="24"/>
          <w:szCs w:val="24"/>
        </w:rPr>
        <w:t xml:space="preserve">  </w:t>
      </w:r>
      <w:r>
        <w:rPr>
          <w:rFonts w:ascii="Times New Roman" w:hAnsi="Times New Roman"/>
          <w:sz w:val="22"/>
          <w:szCs w:val="21"/>
        </w:rPr>
        <w:t>3.</w:t>
      </w:r>
      <w:r>
        <w:rPr>
          <w:rFonts w:hint="eastAsia" w:ascii="Times New Roman" w:hAnsi="宋体"/>
          <w:sz w:val="22"/>
          <w:szCs w:val="21"/>
        </w:rPr>
        <w:t>按照响应的技术参数尽可能的提供证明材料复印件予以作证。</w:t>
      </w: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r>
        <w:rPr>
          <w:rFonts w:ascii="Times New Roman" w:hAnsi="Times New Roman"/>
          <w:sz w:val="22"/>
          <w:szCs w:val="21"/>
        </w:rPr>
        <w:t xml:space="preserve">   </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 xml:space="preserve"> 期</w:t>
      </w:r>
      <w:r>
        <w:rPr>
          <w:rFonts w:ascii="Times New Roman" w:hAnsi="Times New Roman"/>
          <w:sz w:val="22"/>
          <w:szCs w:val="21"/>
        </w:rPr>
        <w:t xml:space="preserve">:    </w:t>
      </w:r>
    </w:p>
    <w:p>
      <w:pPr>
        <w:spacing w:line="360" w:lineRule="atLeast"/>
        <w:ind w:firstLine="431" w:firstLineChars="196"/>
        <w:jc w:val="left"/>
        <w:outlineLvl w:val="1"/>
        <w:rPr>
          <w:rFonts w:ascii="Times New Roman" w:hAnsi="Times New Roman"/>
          <w:sz w:val="22"/>
          <w:szCs w:val="21"/>
        </w:rPr>
      </w:pPr>
    </w:p>
    <w:p>
      <w:pPr>
        <w:spacing w:line="360" w:lineRule="auto"/>
        <w:rPr>
          <w:rFonts w:ascii="Times New Roman" w:hAnsi="Times New Roman"/>
          <w:b/>
          <w:sz w:val="28"/>
          <w:szCs w:val="28"/>
        </w:rPr>
      </w:pPr>
      <w:r>
        <w:rPr>
          <w:rFonts w:ascii="Times New Roman" w:hAnsi="Times New Roman" w:eastAsia="黑体"/>
          <w:b/>
          <w:sz w:val="28"/>
          <w:szCs w:val="28"/>
        </w:rPr>
        <w:br w:type="page"/>
      </w:r>
      <w:r>
        <w:rPr>
          <w:rFonts w:hint="eastAsia" w:ascii="Times New Roman" w:hAnsi="宋体"/>
          <w:b/>
          <w:sz w:val="28"/>
          <w:szCs w:val="28"/>
        </w:rPr>
        <w:t>格式</w:t>
      </w:r>
      <w:r>
        <w:rPr>
          <w:rFonts w:ascii="Times New Roman" w:hAnsi="Times New Roman"/>
          <w:b/>
          <w:sz w:val="28"/>
          <w:szCs w:val="28"/>
        </w:rPr>
        <w:t>2-</w:t>
      </w:r>
      <w:r>
        <w:rPr>
          <w:rFonts w:hint="eastAsia" w:ascii="Times New Roman" w:hAnsi="Times New Roman"/>
          <w:b/>
          <w:sz w:val="28"/>
          <w:szCs w:val="28"/>
        </w:rPr>
        <w:t>9</w:t>
      </w:r>
    </w:p>
    <w:p>
      <w:pPr>
        <w:spacing w:line="360" w:lineRule="atLeast"/>
        <w:jc w:val="center"/>
        <w:outlineLvl w:val="1"/>
        <w:rPr>
          <w:rFonts w:ascii="Times New Roman" w:hAnsi="Times New Roman" w:eastAsia="黑体"/>
          <w:b/>
          <w:sz w:val="28"/>
          <w:szCs w:val="28"/>
        </w:rPr>
      </w:pPr>
      <w:r>
        <w:rPr>
          <w:rFonts w:hint="eastAsia" w:ascii="黑体" w:eastAsia="黑体"/>
          <w:b/>
          <w:sz w:val="32"/>
          <w:szCs w:val="32"/>
        </w:rPr>
        <w:t>八、</w:t>
      </w:r>
      <w:r>
        <w:rPr>
          <w:rFonts w:hint="eastAsia" w:ascii="Times New Roman" w:hAnsi="Times New Roman" w:eastAsia="黑体"/>
          <w:b/>
          <w:sz w:val="28"/>
          <w:szCs w:val="28"/>
        </w:rPr>
        <w:t>投标人本项目管理、服务人员情况表</w:t>
      </w:r>
    </w:p>
    <w:p>
      <w:pPr>
        <w:spacing w:line="360" w:lineRule="atLeast"/>
        <w:ind w:firstLine="433" w:firstLineChars="196"/>
        <w:jc w:val="left"/>
        <w:outlineLvl w:val="1"/>
        <w:rPr>
          <w:rFonts w:ascii="Times New Roman" w:hAnsi="Times New Roman"/>
          <w:b/>
          <w:sz w:val="22"/>
          <w:szCs w:val="21"/>
        </w:rPr>
      </w:pPr>
    </w:p>
    <w:p>
      <w:pPr>
        <w:spacing w:line="360" w:lineRule="atLeast"/>
        <w:ind w:firstLine="433" w:firstLineChars="196"/>
        <w:jc w:val="left"/>
        <w:outlineLvl w:val="1"/>
        <w:rPr>
          <w:rFonts w:ascii="Times New Roman" w:hAnsi="Times New Roman"/>
          <w:sz w:val="22"/>
          <w:szCs w:val="21"/>
        </w:rPr>
      </w:pPr>
      <w:r>
        <w:rPr>
          <w:rFonts w:ascii="Times New Roman" w:hAnsi="Times New Roman"/>
          <w:b/>
          <w:sz w:val="22"/>
          <w:szCs w:val="21"/>
        </w:rPr>
        <w:t xml:space="preserve"> </w:t>
      </w:r>
      <w:r>
        <w:rPr>
          <w:rFonts w:ascii="Times New Roman" w:hAnsi="Times New Roman"/>
          <w:b/>
          <w:bCs/>
          <w:sz w:val="24"/>
          <w:szCs w:val="21"/>
        </w:rPr>
        <w:t xml:space="preserve"> </w:t>
      </w:r>
      <w:r>
        <w:rPr>
          <w:rFonts w:hint="eastAsia" w:hAnsi="宋体"/>
          <w:sz w:val="24"/>
          <w:szCs w:val="24"/>
        </w:rPr>
        <w:t>项目名称/项目编号/包号：</w:t>
      </w:r>
    </w:p>
    <w:tbl>
      <w:tblPr>
        <w:tblStyle w:val="22"/>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1521"/>
        <w:gridCol w:w="1276"/>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Align w:val="center"/>
          </w:tcPr>
          <w:p>
            <w:pPr>
              <w:spacing w:line="300" w:lineRule="auto"/>
              <w:ind w:right="143" w:rightChars="42"/>
              <w:rPr>
                <w:rFonts w:hAnsi="宋体" w:cs="Arial"/>
                <w:sz w:val="21"/>
                <w:szCs w:val="21"/>
              </w:rPr>
            </w:pPr>
            <w:r>
              <w:rPr>
                <w:rFonts w:hint="eastAsia" w:hAnsi="宋体" w:cs="Arial"/>
                <w:sz w:val="21"/>
                <w:szCs w:val="21"/>
              </w:rPr>
              <w:t>类别</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职务</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姓名</w:t>
            </w:r>
          </w:p>
        </w:tc>
        <w:tc>
          <w:tcPr>
            <w:tcW w:w="1521" w:type="dxa"/>
            <w:vAlign w:val="center"/>
          </w:tcPr>
          <w:p>
            <w:pPr>
              <w:spacing w:line="300" w:lineRule="auto"/>
              <w:ind w:right="143" w:rightChars="42"/>
              <w:rPr>
                <w:rFonts w:hAnsi="宋体" w:cs="Arial"/>
                <w:sz w:val="21"/>
                <w:szCs w:val="21"/>
              </w:rPr>
            </w:pPr>
            <w:r>
              <w:rPr>
                <w:rFonts w:hint="eastAsia" w:hAnsi="宋体" w:cs="Arial"/>
                <w:sz w:val="21"/>
                <w:szCs w:val="21"/>
              </w:rPr>
              <w:t>身份证号码</w:t>
            </w:r>
          </w:p>
        </w:tc>
        <w:tc>
          <w:tcPr>
            <w:tcW w:w="1276" w:type="dxa"/>
            <w:vAlign w:val="center"/>
          </w:tcPr>
          <w:p>
            <w:pPr>
              <w:spacing w:line="300" w:lineRule="auto"/>
              <w:ind w:right="143" w:rightChars="42"/>
              <w:rPr>
                <w:rFonts w:hAnsi="宋体" w:cs="Arial"/>
                <w:sz w:val="21"/>
                <w:szCs w:val="21"/>
              </w:rPr>
            </w:pPr>
            <w:r>
              <w:rPr>
                <w:rFonts w:hint="eastAsia" w:hAnsi="宋体" w:cs="Arial"/>
                <w:sz w:val="21"/>
                <w:szCs w:val="21"/>
              </w:rPr>
              <w:t>联系方式</w:t>
            </w:r>
          </w:p>
        </w:tc>
        <w:tc>
          <w:tcPr>
            <w:tcW w:w="2928" w:type="dxa"/>
            <w:vAlign w:val="center"/>
          </w:tcPr>
          <w:p>
            <w:pPr>
              <w:spacing w:line="300" w:lineRule="auto"/>
              <w:ind w:right="143" w:rightChars="42" w:firstLine="735" w:firstLineChars="350"/>
              <w:rPr>
                <w:rFonts w:hAnsi="宋体" w:cs="Arial"/>
                <w:sz w:val="21"/>
                <w:szCs w:val="21"/>
              </w:rPr>
            </w:pPr>
            <w:bookmarkStart w:id="191" w:name="OLE_LINK11"/>
            <w:r>
              <w:rPr>
                <w:rFonts w:hint="eastAsia" w:hAnsi="宋体" w:cs="Arial"/>
                <w:sz w:val="21"/>
                <w:szCs w:val="21"/>
              </w:rPr>
              <w:t>技术职称</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vAlign w:val="center"/>
          </w:tcPr>
          <w:p>
            <w:pPr>
              <w:spacing w:line="300" w:lineRule="auto"/>
              <w:ind w:right="143" w:rightChars="42"/>
              <w:jc w:val="center"/>
              <w:rPr>
                <w:rFonts w:hAnsi="宋体" w:cs="Arial"/>
                <w:sz w:val="21"/>
                <w:szCs w:val="21"/>
              </w:rPr>
            </w:pPr>
            <w:r>
              <w:rPr>
                <w:rFonts w:hint="eastAsia" w:hAnsi="宋体" w:cs="Arial"/>
                <w:sz w:val="21"/>
                <w:szCs w:val="21"/>
              </w:rPr>
              <w:t>管</w:t>
            </w:r>
          </w:p>
          <w:p>
            <w:pPr>
              <w:spacing w:line="300" w:lineRule="auto"/>
              <w:ind w:right="143" w:rightChars="42"/>
              <w:jc w:val="center"/>
              <w:rPr>
                <w:rFonts w:hAnsi="宋体" w:cs="Arial"/>
                <w:sz w:val="21"/>
                <w:szCs w:val="21"/>
              </w:rPr>
            </w:pPr>
            <w:r>
              <w:rPr>
                <w:rFonts w:hint="eastAsia" w:hAnsi="宋体" w:cs="Arial"/>
                <w:sz w:val="21"/>
                <w:szCs w:val="21"/>
              </w:rPr>
              <w:t>理</w:t>
            </w:r>
          </w:p>
          <w:p>
            <w:pPr>
              <w:spacing w:line="300" w:lineRule="auto"/>
              <w:ind w:right="143" w:rightChars="42"/>
              <w:jc w:val="center"/>
              <w:rPr>
                <w:rFonts w:hAnsi="宋体" w:cs="Arial"/>
                <w:sz w:val="21"/>
                <w:szCs w:val="21"/>
              </w:rPr>
            </w:pPr>
            <w:r>
              <w:rPr>
                <w:rFonts w:hint="eastAsia" w:hAnsi="宋体" w:cs="Arial"/>
                <w:sz w:val="21"/>
                <w:szCs w:val="21"/>
              </w:rPr>
              <w:t>人</w:t>
            </w:r>
          </w:p>
          <w:p>
            <w:pPr>
              <w:spacing w:line="300" w:lineRule="auto"/>
              <w:ind w:right="143" w:rightChars="42"/>
              <w:jc w:val="center"/>
              <w:rPr>
                <w:rFonts w:hAnsi="宋体" w:cs="Arial"/>
                <w:sz w:val="21"/>
                <w:szCs w:val="21"/>
              </w:rPr>
            </w:pPr>
            <w:r>
              <w:rPr>
                <w:rFonts w:hint="eastAsia" w:hAnsi="宋体" w:cs="Arial"/>
                <w:sz w:val="21"/>
                <w:szCs w:val="21"/>
              </w:rPr>
              <w:t>员</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w:t>
            </w: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vAlign w:val="center"/>
          </w:tcPr>
          <w:p>
            <w:pPr>
              <w:spacing w:line="300" w:lineRule="auto"/>
              <w:ind w:right="143" w:rightChars="42"/>
              <w:jc w:val="center"/>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58" w:type="dxa"/>
            <w:vMerge w:val="continue"/>
            <w:vAlign w:val="center"/>
          </w:tcPr>
          <w:p>
            <w:pPr>
              <w:spacing w:line="300" w:lineRule="auto"/>
              <w:ind w:right="143" w:rightChars="42"/>
              <w:jc w:val="center"/>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vAlign w:val="center"/>
          </w:tcPr>
          <w:p>
            <w:pPr>
              <w:spacing w:line="300" w:lineRule="auto"/>
              <w:ind w:right="143" w:rightChars="42"/>
              <w:jc w:val="center"/>
              <w:rPr>
                <w:rFonts w:hAnsi="宋体" w:cs="Arial"/>
                <w:sz w:val="21"/>
                <w:szCs w:val="21"/>
              </w:rPr>
            </w:pPr>
            <w:r>
              <w:rPr>
                <w:rFonts w:hint="eastAsia" w:hAnsi="宋体" w:cs="Arial"/>
                <w:sz w:val="21"/>
                <w:szCs w:val="21"/>
              </w:rPr>
              <w:t>技</w:t>
            </w:r>
          </w:p>
          <w:p>
            <w:pPr>
              <w:spacing w:line="300" w:lineRule="auto"/>
              <w:ind w:right="143" w:rightChars="42"/>
              <w:jc w:val="center"/>
              <w:rPr>
                <w:rFonts w:hAnsi="宋体" w:cs="Arial"/>
                <w:sz w:val="21"/>
                <w:szCs w:val="21"/>
              </w:rPr>
            </w:pPr>
            <w:r>
              <w:rPr>
                <w:rFonts w:hint="eastAsia" w:hAnsi="宋体" w:cs="Arial"/>
                <w:sz w:val="21"/>
                <w:szCs w:val="21"/>
              </w:rPr>
              <w:t>术</w:t>
            </w:r>
          </w:p>
          <w:p>
            <w:pPr>
              <w:spacing w:line="300" w:lineRule="auto"/>
              <w:ind w:right="143" w:rightChars="42"/>
              <w:jc w:val="center"/>
              <w:rPr>
                <w:rFonts w:hAnsi="宋体" w:cs="Arial"/>
                <w:sz w:val="21"/>
                <w:szCs w:val="21"/>
              </w:rPr>
            </w:pPr>
            <w:r>
              <w:rPr>
                <w:rFonts w:hint="eastAsia" w:hAnsi="宋体" w:cs="Arial"/>
                <w:sz w:val="21"/>
                <w:szCs w:val="21"/>
              </w:rPr>
              <w:t>人</w:t>
            </w:r>
          </w:p>
          <w:p>
            <w:pPr>
              <w:spacing w:line="300" w:lineRule="auto"/>
              <w:ind w:right="143" w:rightChars="42"/>
              <w:jc w:val="center"/>
              <w:rPr>
                <w:rFonts w:hAnsi="宋体" w:cs="Arial"/>
                <w:sz w:val="21"/>
                <w:szCs w:val="21"/>
              </w:rPr>
            </w:pPr>
            <w:r>
              <w:rPr>
                <w:rFonts w:hint="eastAsia" w:hAnsi="宋体" w:cs="Arial"/>
                <w:sz w:val="21"/>
                <w:szCs w:val="21"/>
              </w:rPr>
              <w:t>员</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w:t>
            </w: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vAlign w:val="center"/>
          </w:tcPr>
          <w:p>
            <w:pPr>
              <w:spacing w:line="300" w:lineRule="auto"/>
              <w:ind w:right="143" w:rightChars="42"/>
              <w:jc w:val="center"/>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58" w:type="dxa"/>
            <w:vMerge w:val="continue"/>
            <w:vAlign w:val="center"/>
          </w:tcPr>
          <w:p>
            <w:pPr>
              <w:spacing w:line="300" w:lineRule="auto"/>
              <w:ind w:right="143" w:rightChars="42"/>
              <w:jc w:val="center"/>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vAlign w:val="center"/>
          </w:tcPr>
          <w:p>
            <w:pPr>
              <w:spacing w:line="300" w:lineRule="auto"/>
              <w:ind w:right="143" w:rightChars="42"/>
              <w:jc w:val="center"/>
              <w:rPr>
                <w:rFonts w:hAnsi="宋体" w:cs="Arial"/>
                <w:sz w:val="21"/>
                <w:szCs w:val="21"/>
              </w:rPr>
            </w:pPr>
            <w:r>
              <w:rPr>
                <w:rFonts w:hint="eastAsia" w:hAnsi="宋体" w:cs="Arial"/>
                <w:sz w:val="21"/>
                <w:szCs w:val="21"/>
              </w:rPr>
              <w:t>其他服务</w:t>
            </w:r>
          </w:p>
          <w:p>
            <w:pPr>
              <w:spacing w:line="300" w:lineRule="auto"/>
              <w:ind w:right="143" w:rightChars="42"/>
              <w:jc w:val="center"/>
              <w:rPr>
                <w:rFonts w:hAnsi="宋体" w:cs="Arial"/>
                <w:sz w:val="21"/>
                <w:szCs w:val="21"/>
              </w:rPr>
            </w:pPr>
            <w:r>
              <w:rPr>
                <w:rFonts w:hint="eastAsia" w:hAnsi="宋体" w:cs="Arial"/>
                <w:sz w:val="21"/>
                <w:szCs w:val="21"/>
              </w:rPr>
              <w:t>人员</w:t>
            </w:r>
          </w:p>
        </w:tc>
        <w:tc>
          <w:tcPr>
            <w:tcW w:w="821" w:type="dxa"/>
            <w:vAlign w:val="center"/>
          </w:tcPr>
          <w:p>
            <w:pPr>
              <w:spacing w:line="300" w:lineRule="auto"/>
              <w:ind w:right="143" w:rightChars="42"/>
              <w:rPr>
                <w:rFonts w:hAnsi="宋体" w:cs="Arial"/>
                <w:sz w:val="21"/>
                <w:szCs w:val="21"/>
              </w:rPr>
            </w:pPr>
            <w:r>
              <w:rPr>
                <w:rFonts w:hint="eastAsia" w:hAnsi="宋体" w:cs="Arial"/>
                <w:sz w:val="21"/>
                <w:szCs w:val="21"/>
              </w:rPr>
              <w:t>.....</w:t>
            </w:r>
          </w:p>
        </w:tc>
        <w:tc>
          <w:tcPr>
            <w:tcW w:w="821" w:type="dxa"/>
            <w:vAlign w:val="center"/>
          </w:tcPr>
          <w:p>
            <w:pPr>
              <w:spacing w:line="300" w:lineRule="auto"/>
              <w:ind w:right="143" w:rightChars="42"/>
              <w:rPr>
                <w:rFonts w:hAnsi="宋体" w:cs="Arial"/>
                <w:sz w:val="21"/>
                <w:szCs w:val="21"/>
              </w:rPr>
            </w:pPr>
          </w:p>
        </w:tc>
        <w:tc>
          <w:tcPr>
            <w:tcW w:w="1521" w:type="dxa"/>
            <w:vAlign w:val="center"/>
          </w:tcPr>
          <w:p>
            <w:pPr>
              <w:spacing w:line="300" w:lineRule="auto"/>
              <w:ind w:right="143" w:rightChars="42"/>
              <w:rPr>
                <w:rFonts w:hAnsi="宋体" w:cs="Arial"/>
                <w:sz w:val="21"/>
                <w:szCs w:val="21"/>
              </w:rPr>
            </w:pPr>
          </w:p>
        </w:tc>
        <w:tc>
          <w:tcPr>
            <w:tcW w:w="1276" w:type="dxa"/>
            <w:vAlign w:val="center"/>
          </w:tcPr>
          <w:p>
            <w:pPr>
              <w:spacing w:line="300" w:lineRule="auto"/>
              <w:ind w:right="143" w:rightChars="42"/>
              <w:rPr>
                <w:rFonts w:hAnsi="宋体" w:cs="Arial"/>
                <w:sz w:val="21"/>
                <w:szCs w:val="21"/>
              </w:rPr>
            </w:pPr>
          </w:p>
        </w:tc>
        <w:tc>
          <w:tcPr>
            <w:tcW w:w="2928" w:type="dxa"/>
            <w:vAlign w:val="center"/>
          </w:tcPr>
          <w:p>
            <w:pPr>
              <w:spacing w:line="300" w:lineRule="auto"/>
              <w:ind w:right="143" w:rightChars="42"/>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958" w:type="dxa"/>
            <w:vMerge w:val="continue"/>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b/>
                <w:bCs/>
                <w:sz w:val="21"/>
                <w:szCs w:val="21"/>
              </w:rPr>
            </w:pPr>
          </w:p>
        </w:tc>
        <w:tc>
          <w:tcPr>
            <w:tcW w:w="1521" w:type="dxa"/>
            <w:vAlign w:val="center"/>
          </w:tcPr>
          <w:p>
            <w:pPr>
              <w:spacing w:line="300" w:lineRule="auto"/>
              <w:ind w:right="143" w:rightChars="42"/>
              <w:rPr>
                <w:rFonts w:hAnsi="宋体" w:cs="Arial"/>
                <w:b/>
                <w:bCs/>
                <w:sz w:val="21"/>
                <w:szCs w:val="21"/>
              </w:rPr>
            </w:pPr>
          </w:p>
        </w:tc>
        <w:tc>
          <w:tcPr>
            <w:tcW w:w="1276" w:type="dxa"/>
            <w:vAlign w:val="center"/>
          </w:tcPr>
          <w:p>
            <w:pPr>
              <w:spacing w:line="300" w:lineRule="auto"/>
              <w:ind w:right="143" w:rightChars="42"/>
              <w:rPr>
                <w:rFonts w:hAnsi="宋体" w:cs="Arial"/>
                <w:b/>
                <w:bCs/>
                <w:sz w:val="21"/>
                <w:szCs w:val="21"/>
              </w:rPr>
            </w:pPr>
          </w:p>
        </w:tc>
        <w:tc>
          <w:tcPr>
            <w:tcW w:w="2928" w:type="dxa"/>
            <w:vAlign w:val="center"/>
          </w:tcPr>
          <w:p>
            <w:pPr>
              <w:spacing w:line="300" w:lineRule="auto"/>
              <w:ind w:right="143" w:rightChars="42"/>
              <w:rPr>
                <w:rFonts w:hAnsi="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sz w:val="21"/>
                <w:szCs w:val="21"/>
              </w:rPr>
            </w:pPr>
          </w:p>
        </w:tc>
        <w:tc>
          <w:tcPr>
            <w:tcW w:w="821" w:type="dxa"/>
            <w:vAlign w:val="center"/>
          </w:tcPr>
          <w:p>
            <w:pPr>
              <w:spacing w:line="300" w:lineRule="auto"/>
              <w:ind w:right="143" w:rightChars="42"/>
              <w:rPr>
                <w:rFonts w:hAnsi="宋体" w:cs="Arial"/>
                <w:b/>
                <w:bCs/>
                <w:sz w:val="21"/>
                <w:szCs w:val="21"/>
              </w:rPr>
            </w:pPr>
          </w:p>
        </w:tc>
        <w:tc>
          <w:tcPr>
            <w:tcW w:w="1521" w:type="dxa"/>
            <w:vAlign w:val="center"/>
          </w:tcPr>
          <w:p>
            <w:pPr>
              <w:spacing w:line="300" w:lineRule="auto"/>
              <w:ind w:right="143" w:rightChars="42"/>
              <w:rPr>
                <w:rFonts w:hAnsi="宋体" w:cs="Arial"/>
                <w:b/>
                <w:bCs/>
                <w:sz w:val="21"/>
                <w:szCs w:val="21"/>
              </w:rPr>
            </w:pPr>
          </w:p>
        </w:tc>
        <w:tc>
          <w:tcPr>
            <w:tcW w:w="1276" w:type="dxa"/>
            <w:vAlign w:val="center"/>
          </w:tcPr>
          <w:p>
            <w:pPr>
              <w:spacing w:line="300" w:lineRule="auto"/>
              <w:ind w:right="143" w:rightChars="42"/>
              <w:rPr>
                <w:rFonts w:hAnsi="宋体" w:cs="Arial"/>
                <w:b/>
                <w:bCs/>
                <w:sz w:val="21"/>
                <w:szCs w:val="21"/>
              </w:rPr>
            </w:pPr>
          </w:p>
        </w:tc>
        <w:tc>
          <w:tcPr>
            <w:tcW w:w="2928" w:type="dxa"/>
            <w:vAlign w:val="center"/>
          </w:tcPr>
          <w:p>
            <w:pPr>
              <w:spacing w:line="300" w:lineRule="auto"/>
              <w:ind w:right="143" w:rightChars="42"/>
              <w:rPr>
                <w:rFonts w:hAnsi="宋体" w:cs="Arial"/>
                <w:b/>
                <w:bCs/>
                <w:sz w:val="21"/>
                <w:szCs w:val="21"/>
              </w:rPr>
            </w:pPr>
          </w:p>
        </w:tc>
      </w:tr>
    </w:tbl>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注：</w:t>
      </w:r>
      <w:r>
        <w:rPr>
          <w:rFonts w:ascii="Times New Roman" w:hAnsi="Times New Roman"/>
          <w:sz w:val="22"/>
          <w:szCs w:val="21"/>
        </w:rPr>
        <w:t>1.</w:t>
      </w:r>
      <w:r>
        <w:rPr>
          <w:rFonts w:hint="eastAsia" w:ascii="Times New Roman" w:hAnsi="Times New Roman"/>
          <w:sz w:val="22"/>
          <w:szCs w:val="21"/>
        </w:rPr>
        <w:t>投标人应按招标文件要求提供为本项目服务工作人员相关证明材料，便于评标委员会予以综合评定。</w:t>
      </w:r>
    </w:p>
    <w:p>
      <w:pPr>
        <w:spacing w:line="360" w:lineRule="atLeast"/>
        <w:ind w:firstLine="431" w:firstLineChars="196"/>
        <w:jc w:val="left"/>
        <w:outlineLvl w:val="1"/>
        <w:rPr>
          <w:rFonts w:ascii="Times New Roman" w:hAnsi="Times New Roman"/>
          <w:sz w:val="22"/>
          <w:szCs w:val="21"/>
        </w:rPr>
      </w:pPr>
      <w:r>
        <w:rPr>
          <w:rFonts w:ascii="Times New Roman" w:hAnsi="Times New Roman"/>
          <w:sz w:val="22"/>
          <w:szCs w:val="21"/>
        </w:rPr>
        <w:t>2</w:t>
      </w:r>
      <w:r>
        <w:rPr>
          <w:rFonts w:hint="eastAsia" w:ascii="Times New Roman" w:hAnsi="Times New Roman"/>
          <w:sz w:val="22"/>
          <w:szCs w:val="21"/>
        </w:rPr>
        <w:t>．投标供应商自行承担因资料不齐而导致在评分时被扣分的风险。</w:t>
      </w: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投标人名称：</w:t>
      </w:r>
      <w:r>
        <w:rPr>
          <w:rFonts w:ascii="Times New Roman" w:hAnsi="Times New Roman"/>
          <w:sz w:val="22"/>
          <w:szCs w:val="21"/>
        </w:rPr>
        <w:t xml:space="preserve">       </w:t>
      </w:r>
      <w:r>
        <w:rPr>
          <w:rFonts w:hint="eastAsia" w:ascii="Times New Roman" w:hAnsi="Times New Roman"/>
          <w:sz w:val="22"/>
          <w:szCs w:val="21"/>
        </w:rPr>
        <w:t>（盖公章）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法定代表人或委托代理人（签字或盖章）：</w:t>
      </w:r>
    </w:p>
    <w:p>
      <w:pPr>
        <w:spacing w:line="360" w:lineRule="atLeast"/>
        <w:ind w:firstLine="431" w:firstLineChars="196"/>
        <w:jc w:val="left"/>
        <w:outlineLvl w:val="1"/>
        <w:rPr>
          <w:rFonts w:ascii="Times New Roman" w:hAnsi="Times New Roman"/>
          <w:sz w:val="22"/>
          <w:szCs w:val="21"/>
        </w:rPr>
      </w:pPr>
      <w:r>
        <w:rPr>
          <w:rFonts w:hint="eastAsia" w:ascii="Times New Roman" w:hAnsi="Times New Roman"/>
          <w:sz w:val="22"/>
          <w:szCs w:val="21"/>
        </w:rPr>
        <w:t>日</w:t>
      </w:r>
      <w:r>
        <w:rPr>
          <w:rFonts w:ascii="Times New Roman" w:hAnsi="Times New Roman"/>
          <w:sz w:val="22"/>
          <w:szCs w:val="21"/>
        </w:rPr>
        <w:t xml:space="preserve"> </w:t>
      </w:r>
      <w:r>
        <w:rPr>
          <w:rFonts w:hint="eastAsia" w:ascii="Times New Roman" w:hAnsi="Times New Roman"/>
          <w:sz w:val="22"/>
          <w:szCs w:val="21"/>
        </w:rPr>
        <w:t>期</w:t>
      </w:r>
      <w:r>
        <w:rPr>
          <w:rFonts w:ascii="Times New Roman" w:hAnsi="Times New Roman"/>
          <w:sz w:val="22"/>
          <w:szCs w:val="21"/>
        </w:rPr>
        <w:t xml:space="preserve">:  </w:t>
      </w:r>
    </w:p>
    <w:p>
      <w:pPr>
        <w:spacing w:line="360" w:lineRule="atLeast"/>
        <w:ind w:firstLine="433" w:firstLineChars="196"/>
        <w:jc w:val="left"/>
        <w:outlineLvl w:val="1"/>
        <w:rPr>
          <w:rFonts w:ascii="Times New Roman" w:hAnsi="Times New Roman"/>
          <w:b/>
          <w:sz w:val="22"/>
          <w:szCs w:val="21"/>
        </w:rPr>
      </w:pPr>
    </w:p>
    <w:p>
      <w:pPr>
        <w:rPr>
          <w:rFonts w:ascii="Times New Roman" w:hAnsi="Times New Roman"/>
          <w:b/>
          <w:sz w:val="22"/>
          <w:szCs w:val="21"/>
        </w:rPr>
      </w:pPr>
      <w:r>
        <w:rPr>
          <w:rFonts w:ascii="Times New Roman" w:hAnsi="Times New Roman"/>
          <w:b/>
          <w:sz w:val="22"/>
          <w:szCs w:val="21"/>
        </w:rPr>
        <w:br w:type="page"/>
      </w:r>
    </w:p>
    <w:p>
      <w:pPr>
        <w:pStyle w:val="21"/>
      </w:pPr>
    </w:p>
    <w:bookmarkEnd w:id="189"/>
    <w:p>
      <w:pPr>
        <w:ind w:firstLine="803" w:firstLineChars="200"/>
        <w:outlineLvl w:val="0"/>
        <w:rPr>
          <w:rFonts w:ascii="Times New Roman" w:hAnsi="Times New Roman"/>
          <w:b/>
          <w:sz w:val="40"/>
          <w:szCs w:val="21"/>
        </w:rPr>
      </w:pPr>
      <w:bookmarkStart w:id="192" w:name="_Toc17776"/>
      <w:r>
        <w:rPr>
          <w:rFonts w:hint="eastAsia" w:ascii="Times New Roman" w:hAnsi="Times New Roman"/>
          <w:b/>
          <w:sz w:val="40"/>
          <w:szCs w:val="21"/>
        </w:rPr>
        <w:t>第四章 投标人和投标产品的资格、资</w:t>
      </w:r>
      <w:bookmarkEnd w:id="183"/>
      <w:bookmarkStart w:id="193" w:name="_Toc20574"/>
      <w:r>
        <w:rPr>
          <w:rFonts w:hint="eastAsia" w:ascii="Times New Roman" w:hAnsi="Times New Roman"/>
          <w:b/>
          <w:sz w:val="40"/>
          <w:szCs w:val="21"/>
        </w:rPr>
        <w:t>质性及其他类似效力要求</w:t>
      </w:r>
      <w:bookmarkEnd w:id="184"/>
      <w:bookmarkEnd w:id="192"/>
      <w:bookmarkEnd w:id="193"/>
      <w:bookmarkStart w:id="194" w:name="_Toc18837"/>
      <w:bookmarkStart w:id="195" w:name="_Toc28648"/>
    </w:p>
    <w:bookmarkEnd w:id="194"/>
    <w:bookmarkEnd w:id="195"/>
    <w:p>
      <w:pPr>
        <w:pStyle w:val="19"/>
        <w:spacing w:beforeAutospacing="0" w:afterAutospacing="0" w:line="360" w:lineRule="atLeast"/>
        <w:rPr>
          <w:rFonts w:hAnsi="宋体" w:cs="宋体"/>
          <w:b/>
          <w:bCs/>
          <w:color w:val="333333"/>
        </w:rPr>
      </w:pPr>
      <w:bookmarkStart w:id="196" w:name="_Toc536"/>
      <w:bookmarkStart w:id="197" w:name="_Toc32593"/>
      <w:bookmarkStart w:id="198" w:name="_Toc22296"/>
      <w:r>
        <w:rPr>
          <w:rFonts w:hint="eastAsia" w:hAnsi="宋体" w:cs="宋体"/>
          <w:b/>
          <w:bCs/>
          <w:color w:val="333333"/>
        </w:rPr>
        <w:t>02包(律师事务所服务)资格要求:</w:t>
      </w:r>
    </w:p>
    <w:tbl>
      <w:tblPr>
        <w:tblStyle w:val="22"/>
        <w:tblpPr w:leftFromText="180" w:rightFromText="180" w:vertAnchor="text" w:horzAnchor="page" w:tblpX="1094" w:tblpY="636"/>
        <w:tblOverlap w:val="never"/>
        <w:tblW w:w="8897"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417"/>
        <w:gridCol w:w="466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1" w:type="dxa"/>
            <w:tcBorders>
              <w:top w:val="single" w:color="auto" w:sz="18" w:space="0"/>
            </w:tcBorders>
            <w:vAlign w:val="center"/>
          </w:tcPr>
          <w:p>
            <w:pPr>
              <w:snapToGrid w:val="0"/>
              <w:spacing w:line="260" w:lineRule="atLeast"/>
              <w:jc w:val="center"/>
              <w:rPr>
                <w:rFonts w:ascii="Times New Roman" w:hAnsi="Times New Roman"/>
                <w:b/>
                <w:sz w:val="22"/>
              </w:rPr>
            </w:pPr>
            <w:r>
              <w:rPr>
                <w:rFonts w:hint="eastAsia" w:ascii="Times New Roman" w:hAnsi="Times New Roman"/>
                <w:b/>
                <w:sz w:val="22"/>
              </w:rPr>
              <w:t>序号</w:t>
            </w:r>
          </w:p>
        </w:tc>
        <w:tc>
          <w:tcPr>
            <w:tcW w:w="3417" w:type="dxa"/>
            <w:tcBorders>
              <w:top w:val="single" w:color="auto" w:sz="18" w:space="0"/>
            </w:tcBorders>
            <w:vAlign w:val="center"/>
          </w:tcPr>
          <w:p>
            <w:pPr>
              <w:snapToGrid w:val="0"/>
              <w:spacing w:line="260" w:lineRule="atLeast"/>
              <w:jc w:val="center"/>
              <w:rPr>
                <w:rFonts w:ascii="Times New Roman" w:hAnsi="Times New Roman"/>
                <w:b/>
                <w:sz w:val="22"/>
              </w:rPr>
            </w:pPr>
            <w:r>
              <w:rPr>
                <w:rFonts w:hint="eastAsia" w:ascii="Times New Roman" w:hAnsi="Times New Roman"/>
                <w:b/>
                <w:sz w:val="22"/>
              </w:rPr>
              <w:t>项</w:t>
            </w:r>
            <w:r>
              <w:rPr>
                <w:rFonts w:ascii="Times New Roman" w:hAnsi="Times New Roman"/>
                <w:b/>
                <w:sz w:val="22"/>
              </w:rPr>
              <w:t xml:space="preserve">     </w:t>
            </w:r>
            <w:r>
              <w:rPr>
                <w:rFonts w:hint="eastAsia" w:ascii="Times New Roman" w:hAnsi="Times New Roman"/>
                <w:b/>
                <w:sz w:val="22"/>
              </w:rPr>
              <w:t>目</w:t>
            </w:r>
          </w:p>
        </w:tc>
        <w:tc>
          <w:tcPr>
            <w:tcW w:w="4669" w:type="dxa"/>
            <w:tcBorders>
              <w:top w:val="single" w:color="auto" w:sz="18" w:space="0"/>
            </w:tcBorders>
            <w:vAlign w:val="center"/>
          </w:tcPr>
          <w:p>
            <w:pPr>
              <w:snapToGrid w:val="0"/>
              <w:spacing w:line="260" w:lineRule="atLeast"/>
              <w:jc w:val="center"/>
              <w:rPr>
                <w:rFonts w:ascii="Times New Roman" w:hAnsi="Times New Roman"/>
                <w:b/>
                <w:sz w:val="22"/>
              </w:rPr>
            </w:pPr>
            <w:r>
              <w:rPr>
                <w:rFonts w:hint="eastAsia" w:ascii="Times New Roman" w:hAnsi="Times New Roman"/>
                <w:b/>
                <w:sz w:val="22"/>
              </w:rPr>
              <w:t>合格条件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11" w:type="dxa"/>
            <w:vAlign w:val="center"/>
          </w:tcPr>
          <w:p>
            <w:pPr>
              <w:snapToGrid w:val="0"/>
              <w:spacing w:line="276" w:lineRule="auto"/>
              <w:jc w:val="center"/>
              <w:rPr>
                <w:rFonts w:ascii="Times New Roman" w:hAnsi="Times New Roman"/>
                <w:sz w:val="22"/>
              </w:rPr>
            </w:pPr>
            <w:r>
              <w:rPr>
                <w:rFonts w:ascii="Times New Roman" w:hAnsi="Times New Roman"/>
                <w:sz w:val="22"/>
              </w:rPr>
              <w:t>1</w:t>
            </w:r>
          </w:p>
        </w:tc>
        <w:tc>
          <w:tcPr>
            <w:tcW w:w="3417" w:type="dxa"/>
            <w:vAlign w:val="center"/>
          </w:tcPr>
          <w:p>
            <w:pPr>
              <w:rPr>
                <w:rFonts w:ascii="Times New Roman" w:hAnsi="Times New Roman"/>
                <w:sz w:val="22"/>
              </w:rPr>
            </w:pPr>
            <w:r>
              <w:rPr>
                <w:rFonts w:hint="eastAsia" w:ascii="Times New Roman" w:hAnsi="宋体"/>
                <w:sz w:val="22"/>
              </w:rPr>
              <w:t>具备《中华人民共和国政府采购法》第二十二条规定的条件。</w:t>
            </w:r>
          </w:p>
          <w:p>
            <w:pPr>
              <w:ind w:firstLine="480"/>
              <w:rPr>
                <w:rFonts w:ascii="Times New Roman" w:hAnsi="Times New Roman"/>
                <w:sz w:val="22"/>
              </w:rPr>
            </w:pPr>
            <w:r>
              <w:rPr>
                <w:rFonts w:ascii="Times New Roman" w:hAnsi="Times New Roman"/>
                <w:sz w:val="22"/>
              </w:rPr>
              <w:t xml:space="preserve">   </w:t>
            </w:r>
          </w:p>
        </w:tc>
        <w:tc>
          <w:tcPr>
            <w:tcW w:w="4669" w:type="dxa"/>
            <w:vAlign w:val="center"/>
          </w:tcPr>
          <w:p>
            <w:pPr>
              <w:rPr>
                <w:rFonts w:ascii="Times New Roman" w:hAnsi="宋体"/>
                <w:sz w:val="22"/>
              </w:rPr>
            </w:pPr>
            <w:r>
              <w:rPr>
                <w:rFonts w:hint="eastAsia" w:ascii="Times New Roman" w:hAnsi="宋体"/>
                <w:sz w:val="22"/>
              </w:rPr>
              <w:t>1、按采购文件规定格式提供原件（放入资格性响应文件正本中）；</w:t>
            </w:r>
          </w:p>
          <w:p>
            <w:pPr>
              <w:rPr>
                <w:rFonts w:ascii="Times New Roman" w:hAnsi="宋体"/>
                <w:sz w:val="22"/>
              </w:rPr>
            </w:pPr>
            <w:r>
              <w:rPr>
                <w:rFonts w:hint="eastAsia" w:ascii="Times New Roman" w:hAnsi="宋体"/>
                <w:sz w:val="22"/>
              </w:rPr>
              <w:t>2、具备健全的财务会计制度的证明材料；｛注：①可提供2020或2021年度经审计的财务报告复印件，②也可提供截至投标文件递交截止日六个月内银行出具的资信证明（复印件），③也可提供财政部门认可的政府采购专业担保机构出具的投标担保函，④供应商注册时间截至投标文件递交截止日不足一年的，也可提供在工商备案主管部门备案的公司章程复印件。｝</w:t>
            </w:r>
          </w:p>
          <w:p>
            <w:pPr>
              <w:rPr>
                <w:rFonts w:ascii="Times New Roman" w:hAnsi="宋体"/>
                <w:sz w:val="22"/>
              </w:rPr>
            </w:pPr>
            <w:r>
              <w:rPr>
                <w:rFonts w:hint="eastAsia" w:ascii="Times New Roman" w:hAnsi="宋体"/>
                <w:sz w:val="22"/>
              </w:rPr>
              <w:t>3、社会保障资金缴纳证明：提供2022年01月01日至今已缴存的任一月份的社会保障资金缴存单据或社保机构开具的社会保险参保缴费情况证明，依法不需要缴纳社会保障资金的供应商应提供相关文件证明；</w:t>
            </w:r>
          </w:p>
          <w:p>
            <w:pPr>
              <w:rPr>
                <w:rFonts w:ascii="Times New Roman" w:hAnsi="宋体"/>
                <w:sz w:val="22"/>
              </w:rPr>
            </w:pPr>
            <w:r>
              <w:rPr>
                <w:rFonts w:hint="eastAsia" w:ascii="Times New Roman" w:hAnsi="宋体"/>
                <w:sz w:val="22"/>
              </w:rPr>
              <w:t xml:space="preserve">4、税收缴纳证明：提供2022年01月01日至今已缴纳的至少一个月的纳税证明或完税证明，依法免税的单位应提供相关证明材料； </w:t>
            </w:r>
          </w:p>
          <w:p>
            <w:pPr>
              <w:rPr>
                <w:rFonts w:ascii="Times New Roman" w:hAnsi="Times New Roman"/>
                <w:sz w:val="22"/>
              </w:rPr>
            </w:pPr>
            <w:r>
              <w:rPr>
                <w:rFonts w:hint="eastAsia" w:ascii="Times New Roman" w:hAnsi="宋体"/>
                <w:sz w:val="22"/>
              </w:rPr>
              <w:t>注：以上2--4项提供相关材料复印件加盖公章（放入资格性响应文件正本中）；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11" w:type="dxa"/>
            <w:vAlign w:val="center"/>
          </w:tcPr>
          <w:p>
            <w:pPr>
              <w:snapToGrid w:val="0"/>
              <w:spacing w:line="276" w:lineRule="auto"/>
              <w:jc w:val="center"/>
              <w:rPr>
                <w:rFonts w:ascii="Times New Roman" w:hAnsi="Times New Roman"/>
                <w:sz w:val="22"/>
              </w:rPr>
            </w:pPr>
            <w:r>
              <w:rPr>
                <w:rFonts w:ascii="Times New Roman" w:hAnsi="Times New Roman"/>
                <w:sz w:val="22"/>
              </w:rPr>
              <w:t>2</w:t>
            </w:r>
          </w:p>
        </w:tc>
        <w:tc>
          <w:tcPr>
            <w:tcW w:w="3417" w:type="dxa"/>
            <w:vAlign w:val="center"/>
          </w:tcPr>
          <w:p>
            <w:pPr>
              <w:pStyle w:val="45"/>
              <w:spacing w:line="360" w:lineRule="exact"/>
              <w:ind w:firstLine="440"/>
              <w:rPr>
                <w:rFonts w:ascii="Times New Roman" w:hAnsi="Times New Roman"/>
                <w:bCs/>
                <w:sz w:val="22"/>
                <w:szCs w:val="22"/>
              </w:rPr>
            </w:pPr>
            <w:r>
              <w:rPr>
                <w:rFonts w:ascii="Times New Roman" w:hAnsi="Times New Roman"/>
                <w:bCs/>
                <w:sz w:val="22"/>
                <w:szCs w:val="22"/>
              </w:rPr>
              <w:t>供应商为中国境内合法注册的律师事务所（不含在港澳台注册的律师事务所），具有律师事务所执业许可证并经年检合格；</w:t>
            </w:r>
          </w:p>
        </w:tc>
        <w:tc>
          <w:tcPr>
            <w:tcW w:w="4669" w:type="dxa"/>
            <w:vAlign w:val="center"/>
          </w:tcPr>
          <w:p>
            <w:pPr>
              <w:snapToGrid w:val="0"/>
              <w:spacing w:line="276" w:lineRule="auto"/>
              <w:jc w:val="left"/>
              <w:rPr>
                <w:rFonts w:ascii="Times New Roman" w:hAnsi="Times New Roman"/>
                <w:sz w:val="22"/>
              </w:rPr>
            </w:pPr>
            <w:r>
              <w:rPr>
                <w:rFonts w:hint="eastAsia" w:ascii="Times New Roman" w:hAnsi="宋体"/>
                <w:sz w:val="22"/>
              </w:rPr>
              <w:t>证件复印件加盖公章（放入资格投标文件正本中）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811" w:type="dxa"/>
            <w:vAlign w:val="center"/>
          </w:tcPr>
          <w:p>
            <w:pPr>
              <w:snapToGrid w:val="0"/>
              <w:spacing w:line="276" w:lineRule="auto"/>
              <w:jc w:val="center"/>
              <w:rPr>
                <w:rFonts w:ascii="Times New Roman" w:hAnsi="Times New Roman"/>
                <w:sz w:val="22"/>
              </w:rPr>
            </w:pPr>
            <w:r>
              <w:rPr>
                <w:rFonts w:ascii="Times New Roman" w:hAnsi="Times New Roman"/>
                <w:sz w:val="22"/>
              </w:rPr>
              <w:t>3</w:t>
            </w:r>
          </w:p>
        </w:tc>
        <w:tc>
          <w:tcPr>
            <w:tcW w:w="3417" w:type="dxa"/>
            <w:vAlign w:val="center"/>
          </w:tcPr>
          <w:p>
            <w:pPr>
              <w:snapToGrid w:val="0"/>
              <w:spacing w:line="276" w:lineRule="auto"/>
              <w:jc w:val="left"/>
              <w:rPr>
                <w:rFonts w:ascii="Times New Roman" w:hAnsi="Times New Roman"/>
                <w:bCs/>
                <w:sz w:val="22"/>
              </w:rPr>
            </w:pPr>
            <w:r>
              <w:rPr>
                <w:rFonts w:hint="eastAsia" w:ascii="Times New Roman" w:hAnsi="Times New Roman"/>
                <w:sz w:val="22"/>
              </w:rPr>
              <w:t>投标人未被列入失信被执行人、重大税收违法案件当事人名单、政府采购严重违法失信行为记录；</w:t>
            </w:r>
          </w:p>
        </w:tc>
        <w:tc>
          <w:tcPr>
            <w:tcW w:w="4669" w:type="dxa"/>
            <w:vAlign w:val="center"/>
          </w:tcPr>
          <w:p>
            <w:pPr>
              <w:snapToGrid w:val="0"/>
              <w:spacing w:line="276" w:lineRule="auto"/>
              <w:ind w:firstLine="440" w:firstLineChars="200"/>
              <w:jc w:val="left"/>
              <w:rPr>
                <w:rFonts w:hAnsi="宋体"/>
                <w:sz w:val="22"/>
              </w:rPr>
            </w:pPr>
            <w:r>
              <w:rPr>
                <w:rFonts w:hint="eastAsia" w:hAnsi="宋体"/>
                <w:sz w:val="22"/>
              </w:rPr>
              <w:t>供应商须根据资格性文件规定的承诺函格式（</w:t>
            </w:r>
            <w:r>
              <w:rPr>
                <w:rFonts w:hAnsi="宋体"/>
                <w:sz w:val="22"/>
              </w:rPr>
              <w:t>1-4</w:t>
            </w:r>
            <w:r>
              <w:rPr>
                <w:rFonts w:hint="eastAsia" w:hAnsi="宋体"/>
                <w:sz w:val="22"/>
              </w:rPr>
              <w:t>）提供“未被列入失信被执行人、重大税收违法案件当事人名单、政府采购严重违法失信行为记录名单的承诺函”原件（放入资格投标文件正本中）</w:t>
            </w:r>
          </w:p>
          <w:p>
            <w:pPr>
              <w:snapToGrid w:val="0"/>
              <w:spacing w:line="276" w:lineRule="auto"/>
              <w:jc w:val="left"/>
              <w:rPr>
                <w:rFonts w:ascii="Times New Roman" w:hAnsi="Times New Roman"/>
                <w:sz w:val="22"/>
              </w:rPr>
            </w:pPr>
            <w:r>
              <w:rPr>
                <w:rFonts w:hint="eastAsia" w:hAnsi="宋体"/>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11" w:type="dxa"/>
            <w:vAlign w:val="center"/>
          </w:tcPr>
          <w:p>
            <w:pPr>
              <w:snapToGrid w:val="0"/>
              <w:spacing w:line="276" w:lineRule="auto"/>
              <w:jc w:val="center"/>
              <w:rPr>
                <w:rFonts w:hint="eastAsia" w:ascii="Times New Roman" w:hAnsi="宋体" w:eastAsia="宋体"/>
                <w:sz w:val="22"/>
                <w:lang w:eastAsia="zh-CN"/>
              </w:rPr>
            </w:pPr>
            <w:r>
              <w:rPr>
                <w:rFonts w:hint="eastAsia" w:ascii="Times New Roman" w:hAnsi="宋体"/>
                <w:sz w:val="22"/>
                <w:lang w:val="en-US" w:eastAsia="zh-CN"/>
              </w:rPr>
              <w:t>4</w:t>
            </w:r>
          </w:p>
        </w:tc>
        <w:tc>
          <w:tcPr>
            <w:tcW w:w="3417" w:type="dxa"/>
            <w:vAlign w:val="center"/>
          </w:tcPr>
          <w:p>
            <w:pPr>
              <w:snapToGrid w:val="0"/>
              <w:spacing w:line="276" w:lineRule="auto"/>
              <w:rPr>
                <w:rFonts w:ascii="Times New Roman" w:hAnsi="Times New Roman"/>
                <w:sz w:val="22"/>
              </w:rPr>
            </w:pPr>
            <w:r>
              <w:rPr>
                <w:rFonts w:hint="eastAsia" w:ascii="Times New Roman" w:hAnsi="宋体"/>
                <w:sz w:val="22"/>
              </w:rPr>
              <w:t>法定代表人授权书</w:t>
            </w:r>
          </w:p>
        </w:tc>
        <w:tc>
          <w:tcPr>
            <w:tcW w:w="4669" w:type="dxa"/>
            <w:vAlign w:val="center"/>
          </w:tcPr>
          <w:p>
            <w:pPr>
              <w:snapToGrid w:val="0"/>
              <w:spacing w:line="276" w:lineRule="auto"/>
              <w:rPr>
                <w:rFonts w:ascii="Times New Roman" w:hAnsi="宋体"/>
                <w:sz w:val="22"/>
              </w:rPr>
            </w:pPr>
            <w:r>
              <w:rPr>
                <w:rFonts w:hint="eastAsia" w:ascii="Times New Roman" w:hAnsi="宋体"/>
                <w:sz w:val="22"/>
              </w:rPr>
              <w:t>供应商须根据资格性文件规定的格式（1-2）提供原件并放入资格投标文件正本中，法定代表人直接参加的只须提供身份证复印件加盖公章</w:t>
            </w:r>
          </w:p>
          <w:p>
            <w:pPr>
              <w:snapToGrid w:val="0"/>
              <w:spacing w:line="276" w:lineRule="auto"/>
              <w:rPr>
                <w:rFonts w:ascii="Times New Roman" w:hAnsi="宋体"/>
                <w:sz w:val="22"/>
              </w:rPr>
            </w:pPr>
            <w:r>
              <w:rPr>
                <w:rFonts w:hint="eastAsia" w:ascii="Times New Roman" w:hAnsi="宋体"/>
                <w:sz w:val="22"/>
              </w:rPr>
              <w:t>提供证件副本复印件加盖公章（放入资格性响应文件正本中）；</w:t>
            </w:r>
          </w:p>
          <w:p>
            <w:pPr>
              <w:snapToGrid w:val="0"/>
              <w:spacing w:line="276" w:lineRule="auto"/>
              <w:rPr>
                <w:rFonts w:ascii="Times New Roman" w:hAnsi="宋体"/>
                <w:sz w:val="22"/>
              </w:rPr>
            </w:pPr>
          </w:p>
          <w:p>
            <w:pPr>
              <w:snapToGrid w:val="0"/>
              <w:spacing w:line="276" w:lineRule="auto"/>
              <w:rPr>
                <w:rFonts w:ascii="Times New Roman" w:hAnsi="宋体"/>
                <w:sz w:val="22"/>
              </w:rPr>
            </w:pPr>
            <w:r>
              <w:rPr>
                <w:rFonts w:hint="eastAsia" w:ascii="Times New Roman" w:hAnsi="宋体"/>
                <w:sz w:val="22"/>
              </w:rPr>
              <w:t xml:space="preserve"> </w:t>
            </w:r>
            <w:r>
              <w:rPr>
                <w:rFonts w:hint="eastAsia" w:ascii="Times New Roman" w:hAnsi="宋体"/>
                <w:b/>
                <w:bCs/>
                <w:sz w:val="22"/>
              </w:rPr>
              <w:t xml:space="preserve"> 注：</w:t>
            </w:r>
            <w:r>
              <w:rPr>
                <w:rFonts w:ascii="微软雅黑" w:hAnsi="微软雅黑" w:eastAsia="微软雅黑" w:cs="微软雅黑"/>
                <w:b/>
                <w:bCs/>
                <w:color w:val="171A1D"/>
                <w:sz w:val="22"/>
                <w:shd w:val="clear" w:color="auto" w:fill="FFFFFF"/>
              </w:rPr>
              <w:t>投标文件中凡是需要法定代表人签字或盖章之处，非法人单位的负责人均参照执行。</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1" w:type="dxa"/>
            <w:vAlign w:val="center"/>
          </w:tcPr>
          <w:p>
            <w:pPr>
              <w:snapToGrid w:val="0"/>
              <w:spacing w:line="276" w:lineRule="auto"/>
              <w:jc w:val="center"/>
              <w:rPr>
                <w:rFonts w:hint="eastAsia" w:ascii="Times New Roman" w:hAnsi="宋体" w:eastAsia="宋体"/>
                <w:sz w:val="22"/>
                <w:lang w:eastAsia="zh-CN"/>
              </w:rPr>
            </w:pPr>
            <w:r>
              <w:rPr>
                <w:rFonts w:hint="eastAsia" w:ascii="Times New Roman" w:hAnsi="宋体"/>
                <w:sz w:val="22"/>
                <w:lang w:val="en-US" w:eastAsia="zh-CN"/>
              </w:rPr>
              <w:t>5</w:t>
            </w:r>
          </w:p>
        </w:tc>
        <w:tc>
          <w:tcPr>
            <w:tcW w:w="3417" w:type="dxa"/>
            <w:vAlign w:val="center"/>
          </w:tcPr>
          <w:p>
            <w:pPr>
              <w:snapToGrid w:val="0"/>
              <w:spacing w:line="276" w:lineRule="auto"/>
              <w:rPr>
                <w:rFonts w:ascii="Times New Roman" w:hAnsi="宋体"/>
                <w:sz w:val="22"/>
              </w:rPr>
            </w:pPr>
            <w:r>
              <w:rPr>
                <w:rFonts w:hint="eastAsia" w:ascii="Times New Roman" w:hAnsi="宋体"/>
                <w:sz w:val="22"/>
              </w:rPr>
              <w:t>法定代表人和被授权人身份证件</w:t>
            </w:r>
          </w:p>
        </w:tc>
        <w:tc>
          <w:tcPr>
            <w:tcW w:w="4669" w:type="dxa"/>
            <w:vAlign w:val="center"/>
          </w:tcPr>
          <w:p>
            <w:pPr>
              <w:snapToGrid w:val="0"/>
              <w:spacing w:line="276" w:lineRule="auto"/>
              <w:rPr>
                <w:rFonts w:ascii="Times New Roman" w:hAnsi="宋体"/>
                <w:sz w:val="22"/>
              </w:rPr>
            </w:pPr>
            <w:r>
              <w:rPr>
                <w:rFonts w:hint="eastAsia" w:ascii="Times New Roman" w:hAnsi="宋体"/>
                <w:sz w:val="22"/>
              </w:rPr>
              <w:t>复印件加盖公章（放入资格投标文件正本中）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1" w:type="dxa"/>
            <w:vAlign w:val="center"/>
          </w:tcPr>
          <w:p>
            <w:pPr>
              <w:tabs>
                <w:tab w:val="left" w:pos="394"/>
                <w:tab w:val="left" w:pos="846"/>
              </w:tabs>
              <w:ind w:left="110"/>
              <w:jc w:val="center"/>
              <w:rPr>
                <w:rFonts w:hint="eastAsia" w:ascii="Times New Roman" w:hAnsi="宋体" w:eastAsia="宋体"/>
                <w:sz w:val="22"/>
                <w:lang w:eastAsia="zh-CN"/>
              </w:rPr>
            </w:pPr>
            <w:r>
              <w:rPr>
                <w:rFonts w:hint="eastAsia" w:hAnsi="宋体" w:cs="宋体"/>
                <w:sz w:val="22"/>
                <w:lang w:val="en-US" w:eastAsia="zh-CN"/>
              </w:rPr>
              <w:t>6</w:t>
            </w:r>
            <w:bookmarkStart w:id="229" w:name="_GoBack"/>
            <w:bookmarkEnd w:id="229"/>
          </w:p>
        </w:tc>
        <w:tc>
          <w:tcPr>
            <w:tcW w:w="3417" w:type="dxa"/>
            <w:vAlign w:val="center"/>
          </w:tcPr>
          <w:p>
            <w:pPr>
              <w:snapToGrid w:val="0"/>
              <w:spacing w:line="276" w:lineRule="auto"/>
              <w:rPr>
                <w:rFonts w:ascii="Times New Roman" w:hAnsi="宋体"/>
                <w:sz w:val="22"/>
              </w:rPr>
            </w:pPr>
            <w:r>
              <w:rPr>
                <w:rFonts w:hint="eastAsia" w:ascii="Times New Roman" w:hAnsi="宋体"/>
                <w:sz w:val="22"/>
              </w:rPr>
              <w:t>本项目专门面向中小企业采购，监狱企业、残疾人福利性单位视同小型、微型企业</w:t>
            </w:r>
          </w:p>
          <w:p>
            <w:pPr>
              <w:snapToGrid w:val="0"/>
              <w:spacing w:line="276" w:lineRule="auto"/>
              <w:rPr>
                <w:rFonts w:ascii="Times New Roman" w:hAnsi="宋体"/>
                <w:sz w:val="22"/>
              </w:rPr>
            </w:pPr>
          </w:p>
        </w:tc>
        <w:tc>
          <w:tcPr>
            <w:tcW w:w="4669" w:type="dxa"/>
            <w:vAlign w:val="center"/>
          </w:tcPr>
          <w:p>
            <w:pPr>
              <w:ind w:firstLine="440" w:firstLineChars="200"/>
              <w:rPr>
                <w:rFonts w:hAnsi="宋体" w:cs="宋体"/>
                <w:bCs/>
                <w:sz w:val="22"/>
              </w:rPr>
            </w:pPr>
            <w:r>
              <w:rPr>
                <w:rFonts w:hint="eastAsia" w:hAnsi="宋体" w:cs="宋体"/>
                <w:bCs/>
                <w:sz w:val="22"/>
              </w:rPr>
              <w:t>按文件格式提供声明函原件（放入资格响应文件正本中）</w:t>
            </w:r>
          </w:p>
          <w:p>
            <w:pPr>
              <w:ind w:firstLine="440" w:firstLineChars="200"/>
              <w:rPr>
                <w:rFonts w:ascii="Times New Roman" w:hAnsi="宋体"/>
                <w:sz w:val="22"/>
              </w:rPr>
            </w:pPr>
            <w:r>
              <w:rPr>
                <w:rFonts w:hint="eastAsia" w:hAnsi="宋体" w:cs="宋体"/>
                <w:bCs/>
                <w:sz w:val="22"/>
              </w:rPr>
              <w:t>注：本项目专门面向中小企业采购（监狱企业、残疾人福利性单位均视同小微企业，符合中小企业划分标准的个体工商户视同中小企业)，非中小企业参与的将视为无效响应。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8897" w:type="dxa"/>
            <w:gridSpan w:val="3"/>
            <w:tcBorders>
              <w:bottom w:val="single" w:color="auto" w:sz="18" w:space="0"/>
            </w:tcBorders>
            <w:vAlign w:val="center"/>
          </w:tcPr>
          <w:p>
            <w:pPr>
              <w:snapToGrid w:val="0"/>
              <w:spacing w:line="276" w:lineRule="auto"/>
              <w:rPr>
                <w:rFonts w:ascii="Times New Roman" w:hAnsi="Times New Roman"/>
                <w:b/>
                <w:sz w:val="22"/>
              </w:rPr>
            </w:pPr>
            <w:r>
              <w:rPr>
                <w:rFonts w:hint="eastAsia" w:ascii="Times New Roman" w:hAnsi="Times New Roman"/>
                <w:b/>
                <w:sz w:val="22"/>
              </w:rPr>
              <w:t>注：</w:t>
            </w:r>
            <w:r>
              <w:rPr>
                <w:rFonts w:ascii="Times New Roman" w:hAnsi="Times New Roman"/>
                <w:b/>
                <w:sz w:val="22"/>
              </w:rPr>
              <w:t>1.</w:t>
            </w:r>
            <w:r>
              <w:rPr>
                <w:rFonts w:hint="eastAsia" w:ascii="Times New Roman" w:hAnsi="Times New Roman"/>
                <w:b/>
                <w:sz w:val="22"/>
              </w:rPr>
              <w:t>请投标供应商认真核对投标文件中是否按上述要求提供资格证明材料，未按上述要求提供的，自行承担无法通过资格审核的风险。</w:t>
            </w:r>
          </w:p>
          <w:p>
            <w:pPr>
              <w:snapToGrid w:val="0"/>
              <w:spacing w:line="276" w:lineRule="auto"/>
              <w:ind w:firstLine="442" w:firstLineChars="200"/>
              <w:rPr>
                <w:rFonts w:ascii="Times New Roman" w:hAnsi="Times New Roman"/>
                <w:b/>
                <w:sz w:val="22"/>
              </w:rPr>
            </w:pPr>
            <w:r>
              <w:rPr>
                <w:rFonts w:hint="eastAsia" w:ascii="Times New Roman" w:hAnsi="Times New Roman"/>
                <w:b/>
                <w:sz w:val="22"/>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276" w:lineRule="auto"/>
              <w:ind w:firstLine="221" w:firstLineChars="100"/>
              <w:rPr>
                <w:rFonts w:ascii="Times New Roman" w:hAnsi="Times New Roman"/>
                <w:b/>
                <w:sz w:val="22"/>
              </w:rPr>
            </w:pPr>
            <w:r>
              <w:rPr>
                <w:rFonts w:hint="eastAsia" w:ascii="Times New Roman" w:hAnsi="Times New Roman"/>
                <w:b/>
                <w:sz w:val="22"/>
              </w:rPr>
              <w:t>3.以上要求的资料复印件均须加盖投标单位的公章（鲜章）。</w:t>
            </w:r>
          </w:p>
          <w:p>
            <w:pPr>
              <w:snapToGrid w:val="0"/>
              <w:spacing w:line="276" w:lineRule="auto"/>
              <w:ind w:firstLine="221" w:firstLineChars="100"/>
              <w:rPr>
                <w:rFonts w:ascii="Times New Roman" w:hAnsi="Times New Roman"/>
                <w:b/>
                <w:sz w:val="22"/>
              </w:rPr>
            </w:pPr>
            <w:r>
              <w:rPr>
                <w:rFonts w:hint="eastAsia" w:ascii="Times New Roman" w:hAnsi="Times New Roman"/>
                <w:b/>
                <w:bCs/>
                <w:sz w:val="22"/>
              </w:rPr>
              <w:t>4.本项目不接受联合体投标。</w:t>
            </w:r>
          </w:p>
        </w:tc>
      </w:tr>
    </w:tbl>
    <w:p>
      <w:pPr>
        <w:rPr>
          <w:rFonts w:ascii="Times New Roman" w:hAnsi="Times New Roman"/>
          <w:sz w:val="40"/>
          <w:szCs w:val="21"/>
        </w:rPr>
      </w:pPr>
      <w:r>
        <w:rPr>
          <w:rFonts w:hint="eastAsia" w:ascii="Times New Roman" w:hAnsi="Times New Roman"/>
          <w:sz w:val="40"/>
          <w:szCs w:val="21"/>
        </w:rPr>
        <w:br w:type="page"/>
      </w:r>
    </w:p>
    <w:p>
      <w:pPr>
        <w:pStyle w:val="3"/>
        <w:jc w:val="center"/>
        <w:rPr>
          <w:rFonts w:ascii="Times New Roman" w:hAnsi="Times New Roman"/>
          <w:sz w:val="40"/>
          <w:szCs w:val="21"/>
        </w:rPr>
      </w:pPr>
      <w:bookmarkStart w:id="199" w:name="_Toc20206"/>
      <w:r>
        <w:rPr>
          <w:rFonts w:hint="eastAsia" w:ascii="Times New Roman" w:hAnsi="Times New Roman"/>
          <w:sz w:val="40"/>
          <w:szCs w:val="21"/>
        </w:rPr>
        <w:t>第五章</w:t>
      </w:r>
      <w:r>
        <w:rPr>
          <w:rFonts w:ascii="Times New Roman" w:hAnsi="Times New Roman"/>
          <w:sz w:val="40"/>
          <w:szCs w:val="21"/>
        </w:rPr>
        <w:t xml:space="preserve">  </w:t>
      </w:r>
      <w:bookmarkStart w:id="200" w:name="_Toc217446093"/>
      <w:r>
        <w:rPr>
          <w:rFonts w:hint="eastAsia" w:ascii="Times New Roman" w:hAnsi="Times New Roman"/>
          <w:sz w:val="40"/>
          <w:szCs w:val="21"/>
        </w:rPr>
        <w:t>招标项目要求</w:t>
      </w:r>
      <w:bookmarkEnd w:id="196"/>
      <w:bookmarkEnd w:id="197"/>
      <w:bookmarkEnd w:id="198"/>
      <w:bookmarkEnd w:id="199"/>
      <w:bookmarkEnd w:id="200"/>
      <w:bookmarkStart w:id="201" w:name="_Toc217446094"/>
      <w:r>
        <w:rPr>
          <w:rFonts w:hint="eastAsia" w:ascii="Times New Roman" w:hAnsi="Times New Roman"/>
          <w:sz w:val="40"/>
          <w:szCs w:val="21"/>
        </w:rPr>
        <w:t>（02包）</w:t>
      </w:r>
    </w:p>
    <w:p>
      <w:pPr>
        <w:pStyle w:val="2"/>
        <w:spacing w:line="440" w:lineRule="exact"/>
        <w:rPr>
          <w:rFonts w:ascii="Times New Roman" w:hAnsi="Times New Roman"/>
          <w:b/>
          <w:sz w:val="22"/>
          <w:szCs w:val="22"/>
        </w:rPr>
      </w:pPr>
      <w:r>
        <w:rPr>
          <w:rFonts w:hint="eastAsia" w:ascii="Times New Roman" w:hAnsi="宋体"/>
          <w:b/>
          <w:sz w:val="22"/>
          <w:szCs w:val="22"/>
        </w:rPr>
        <w:t>一、项目概述：</w:t>
      </w:r>
      <w:bookmarkEnd w:id="201"/>
    </w:p>
    <w:p>
      <w:pPr>
        <w:pStyle w:val="19"/>
        <w:spacing w:beforeAutospacing="0" w:afterAutospacing="0" w:line="360" w:lineRule="atLeast"/>
        <w:ind w:firstLine="440" w:firstLineChars="200"/>
        <w:rPr>
          <w:rFonts w:ascii="Times New Roman" w:hAnsi="Times New Roman"/>
          <w:sz w:val="22"/>
          <w:szCs w:val="24"/>
        </w:rPr>
      </w:pPr>
      <w:r>
        <w:rPr>
          <w:rFonts w:hint="eastAsia" w:ascii="Times New Roman" w:hAnsi="Times New Roman"/>
          <w:sz w:val="22"/>
          <w:szCs w:val="24"/>
        </w:rPr>
        <w:t>02包拟选择律师事务所服务单位一名，具体详见招标文件。</w:t>
      </w:r>
    </w:p>
    <w:p>
      <w:pPr>
        <w:pStyle w:val="8"/>
        <w:spacing w:line="400" w:lineRule="exact"/>
        <w:ind w:firstLine="440"/>
        <w:rPr>
          <w:rFonts w:ascii="Times New Roman" w:hAnsi="Times New Roman"/>
          <w:sz w:val="22"/>
          <w:szCs w:val="24"/>
        </w:rPr>
      </w:pPr>
      <w:r>
        <w:rPr>
          <w:rFonts w:hint="eastAsia" w:ascii="Times New Roman" w:hAnsi="Times New Roman"/>
          <w:sz w:val="22"/>
          <w:szCs w:val="24"/>
        </w:rPr>
        <w:t>标的名称及所属行业：</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496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Pr>
          <w:p>
            <w:pPr>
              <w:pStyle w:val="8"/>
              <w:spacing w:line="400" w:lineRule="exact"/>
              <w:ind w:firstLine="0" w:firstLineChars="0"/>
              <w:jc w:val="center"/>
              <w:rPr>
                <w:rFonts w:ascii="Times New Roman" w:hAnsi="Times New Roman"/>
                <w:sz w:val="22"/>
                <w:szCs w:val="24"/>
              </w:rPr>
            </w:pPr>
            <w:r>
              <w:rPr>
                <w:rFonts w:hint="eastAsia" w:ascii="Times New Roman" w:hAnsi="Times New Roman"/>
                <w:sz w:val="22"/>
                <w:szCs w:val="24"/>
              </w:rPr>
              <w:t>包号</w:t>
            </w:r>
          </w:p>
        </w:tc>
        <w:tc>
          <w:tcPr>
            <w:tcW w:w="4966" w:type="dxa"/>
          </w:tcPr>
          <w:p>
            <w:pPr>
              <w:pStyle w:val="8"/>
              <w:spacing w:line="400" w:lineRule="exact"/>
              <w:ind w:firstLine="440"/>
              <w:jc w:val="center"/>
              <w:rPr>
                <w:rFonts w:ascii="Times New Roman" w:hAnsi="Times New Roman"/>
                <w:sz w:val="22"/>
                <w:szCs w:val="24"/>
              </w:rPr>
            </w:pPr>
            <w:r>
              <w:rPr>
                <w:rFonts w:hint="eastAsia" w:ascii="Times New Roman" w:hAnsi="Times New Roman"/>
                <w:sz w:val="22"/>
                <w:szCs w:val="24"/>
              </w:rPr>
              <w:t>标的名称</w:t>
            </w:r>
          </w:p>
        </w:tc>
        <w:tc>
          <w:tcPr>
            <w:tcW w:w="2125" w:type="dxa"/>
          </w:tcPr>
          <w:p>
            <w:pPr>
              <w:pStyle w:val="8"/>
              <w:spacing w:line="400" w:lineRule="exact"/>
              <w:ind w:firstLine="440"/>
              <w:jc w:val="center"/>
              <w:rPr>
                <w:rFonts w:ascii="Times New Roman" w:hAnsi="Times New Roman"/>
                <w:sz w:val="22"/>
                <w:szCs w:val="24"/>
              </w:rPr>
            </w:pPr>
            <w:r>
              <w:rPr>
                <w:rFonts w:hint="eastAsia" w:ascii="Times New Roman" w:hAnsi="Times New Roman"/>
                <w:sz w:val="22"/>
                <w:szCs w:val="24"/>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06" w:type="dxa"/>
          </w:tcPr>
          <w:p>
            <w:pPr>
              <w:pStyle w:val="8"/>
              <w:spacing w:line="400" w:lineRule="exact"/>
              <w:ind w:firstLine="0" w:firstLineChars="0"/>
              <w:jc w:val="center"/>
              <w:rPr>
                <w:rFonts w:ascii="Times New Roman" w:hAnsi="Times New Roman"/>
                <w:sz w:val="22"/>
                <w:szCs w:val="24"/>
              </w:rPr>
            </w:pPr>
            <w:r>
              <w:rPr>
                <w:rFonts w:hint="eastAsia" w:ascii="Times New Roman" w:hAnsi="Times New Roman"/>
                <w:sz w:val="22"/>
                <w:szCs w:val="24"/>
              </w:rPr>
              <w:t>1</w:t>
            </w:r>
          </w:p>
        </w:tc>
        <w:tc>
          <w:tcPr>
            <w:tcW w:w="4966" w:type="dxa"/>
          </w:tcPr>
          <w:p>
            <w:pPr>
              <w:pStyle w:val="19"/>
              <w:spacing w:beforeAutospacing="0" w:afterAutospacing="0" w:line="360" w:lineRule="atLeast"/>
              <w:jc w:val="center"/>
              <w:rPr>
                <w:rFonts w:ascii="Times New Roman" w:hAnsi="Times New Roman"/>
                <w:sz w:val="22"/>
                <w:szCs w:val="24"/>
              </w:rPr>
            </w:pPr>
            <w:r>
              <w:rPr>
                <w:rFonts w:hint="eastAsia" w:ascii="Times New Roman" w:hAnsi="Times New Roman"/>
                <w:sz w:val="22"/>
                <w:szCs w:val="24"/>
              </w:rPr>
              <w:t>律师事务所服务</w:t>
            </w:r>
          </w:p>
        </w:tc>
        <w:tc>
          <w:tcPr>
            <w:tcW w:w="2125" w:type="dxa"/>
          </w:tcPr>
          <w:p>
            <w:pPr>
              <w:spacing w:line="400" w:lineRule="exact"/>
              <w:jc w:val="center"/>
              <w:rPr>
                <w:rFonts w:ascii="Times New Roman" w:hAnsi="Times New Roman"/>
                <w:sz w:val="22"/>
                <w:szCs w:val="24"/>
              </w:rPr>
            </w:pPr>
            <w:r>
              <w:rPr>
                <w:rFonts w:hint="eastAsia" w:ascii="Times New Roman" w:hAnsi="Times New Roman"/>
                <w:sz w:val="22"/>
                <w:szCs w:val="24"/>
              </w:rPr>
              <w:t>租赁和商务服务业</w:t>
            </w:r>
          </w:p>
        </w:tc>
      </w:tr>
    </w:tbl>
    <w:p>
      <w:pPr>
        <w:spacing w:beforeLines="50" w:line="360" w:lineRule="auto"/>
        <w:outlineLvl w:val="1"/>
        <w:rPr>
          <w:rFonts w:ascii="Times New Roman" w:hAnsi="宋体"/>
          <w:b/>
          <w:sz w:val="22"/>
        </w:rPr>
      </w:pPr>
      <w:bookmarkStart w:id="202" w:name="_Toc6605"/>
      <w:bookmarkStart w:id="203" w:name="_Toc30645"/>
      <w:bookmarkStart w:id="204" w:name="_Toc16231"/>
      <w:bookmarkStart w:id="205" w:name="_Toc24140"/>
      <w:bookmarkStart w:id="206" w:name="_Toc4916"/>
      <w:bookmarkStart w:id="207" w:name="_Toc24257"/>
      <w:bookmarkStart w:id="208" w:name="OLE_LINK15"/>
      <w:r>
        <w:rPr>
          <w:rFonts w:hint="eastAsia" w:ascii="Times New Roman" w:hAnsi="宋体"/>
          <w:b/>
          <w:sz w:val="22"/>
        </w:rPr>
        <w:t>二、商务要求</w:t>
      </w:r>
    </w:p>
    <w:p>
      <w:pPr>
        <w:spacing w:line="400" w:lineRule="exact"/>
        <w:ind w:firstLine="440" w:firstLineChars="200"/>
        <w:jc w:val="left"/>
        <w:rPr>
          <w:rFonts w:hAnsi="宋体" w:cs="宋体"/>
          <w:color w:val="262626"/>
          <w:sz w:val="22"/>
        </w:rPr>
      </w:pPr>
      <w:r>
        <w:rPr>
          <w:rFonts w:hint="eastAsia" w:hAnsi="宋体" w:cs="宋体"/>
          <w:color w:val="262626"/>
          <w:sz w:val="22"/>
        </w:rPr>
        <w:t>1.服务成果：</w:t>
      </w:r>
    </w:p>
    <w:p>
      <w:pPr>
        <w:spacing w:line="400" w:lineRule="exact"/>
        <w:ind w:firstLine="440" w:firstLineChars="200"/>
        <w:jc w:val="left"/>
        <w:rPr>
          <w:rFonts w:hAnsi="宋体" w:cs="宋体"/>
          <w:color w:val="262626"/>
          <w:sz w:val="22"/>
        </w:rPr>
      </w:pPr>
      <w:r>
        <w:rPr>
          <w:rFonts w:hint="eastAsia" w:hAnsi="宋体" w:cs="宋体"/>
          <w:color w:val="262626"/>
          <w:sz w:val="22"/>
        </w:rPr>
        <w:t>（1）</w:t>
      </w:r>
      <w:r>
        <w:rPr>
          <w:rFonts w:hint="eastAsia" w:hAnsi="宋体" w:cs="宋体"/>
          <w:sz w:val="22"/>
        </w:rPr>
        <w:t>《临潼区资产清查律师工作报告》</w:t>
      </w:r>
      <w:r>
        <w:rPr>
          <w:rFonts w:hint="eastAsia" w:hAnsi="宋体" w:cs="宋体"/>
          <w:color w:val="262626"/>
          <w:sz w:val="22"/>
        </w:rPr>
        <w:t>；</w:t>
      </w:r>
    </w:p>
    <w:p>
      <w:pPr>
        <w:spacing w:line="400" w:lineRule="exact"/>
        <w:ind w:firstLine="440" w:firstLineChars="200"/>
        <w:jc w:val="left"/>
        <w:rPr>
          <w:rFonts w:hAnsi="宋体" w:cs="宋体"/>
          <w:color w:val="262626"/>
          <w:sz w:val="22"/>
        </w:rPr>
      </w:pPr>
      <w:r>
        <w:rPr>
          <w:rFonts w:hint="eastAsia" w:hAnsi="宋体" w:cs="宋体"/>
          <w:color w:val="262626"/>
          <w:sz w:val="22"/>
        </w:rPr>
        <w:t>（2）</w:t>
      </w:r>
      <w:r>
        <w:rPr>
          <w:rFonts w:hint="eastAsia" w:hAnsi="宋体" w:cs="宋体"/>
          <w:sz w:val="22"/>
        </w:rPr>
        <w:t>《临潼区资产整合专项法律意见书》</w:t>
      </w:r>
      <w:r>
        <w:rPr>
          <w:rFonts w:hint="eastAsia" w:hAnsi="宋体" w:cs="宋体"/>
          <w:color w:val="262626"/>
          <w:sz w:val="22"/>
        </w:rPr>
        <w:t>；</w:t>
      </w:r>
    </w:p>
    <w:p>
      <w:pPr>
        <w:spacing w:line="400" w:lineRule="exact"/>
        <w:ind w:firstLine="440" w:firstLineChars="200"/>
        <w:jc w:val="left"/>
        <w:rPr>
          <w:rFonts w:hAnsi="宋体" w:cs="宋体"/>
          <w:color w:val="262626"/>
          <w:sz w:val="22"/>
        </w:rPr>
      </w:pPr>
      <w:r>
        <w:rPr>
          <w:rFonts w:hint="eastAsia" w:hAnsi="宋体" w:cs="宋体"/>
          <w:color w:val="262626"/>
          <w:sz w:val="22"/>
        </w:rPr>
        <w:t>（3）其他与项目相关的各项法律文书。</w:t>
      </w:r>
    </w:p>
    <w:p>
      <w:pPr>
        <w:spacing w:line="400" w:lineRule="exact"/>
        <w:ind w:firstLine="440" w:firstLineChars="200"/>
        <w:jc w:val="left"/>
        <w:rPr>
          <w:rFonts w:hAnsi="宋体" w:cs="宋体"/>
          <w:sz w:val="22"/>
        </w:rPr>
      </w:pPr>
      <w:r>
        <w:rPr>
          <w:rFonts w:hint="eastAsia" w:hAnsi="宋体" w:cs="宋体"/>
          <w:color w:val="262626"/>
          <w:sz w:val="22"/>
        </w:rPr>
        <w:t>2.成果交付期限：</w:t>
      </w:r>
      <w:r>
        <w:rPr>
          <w:rFonts w:hint="eastAsia" w:hAnsi="宋体" w:cs="宋体"/>
          <w:sz w:val="22"/>
        </w:rPr>
        <w:t>自合同签订之日起截止2022年12月31日前完成。</w:t>
      </w:r>
    </w:p>
    <w:p>
      <w:pPr>
        <w:spacing w:line="400" w:lineRule="exact"/>
        <w:ind w:firstLine="440" w:firstLineChars="200"/>
        <w:jc w:val="left"/>
        <w:rPr>
          <w:rFonts w:hAnsi="宋体" w:cs="宋体"/>
          <w:color w:val="262626"/>
          <w:sz w:val="22"/>
        </w:rPr>
      </w:pPr>
      <w:r>
        <w:rPr>
          <w:rFonts w:hint="eastAsia" w:hAnsi="宋体" w:cs="宋体"/>
          <w:color w:val="262626"/>
          <w:sz w:val="22"/>
        </w:rPr>
        <w:t>3.服务地点：采购人指定地点。</w:t>
      </w:r>
    </w:p>
    <w:p>
      <w:pPr>
        <w:spacing w:line="400" w:lineRule="exact"/>
        <w:ind w:firstLine="440" w:firstLineChars="200"/>
        <w:jc w:val="left"/>
        <w:rPr>
          <w:rFonts w:hAnsi="宋体" w:cs="宋体"/>
          <w:sz w:val="22"/>
        </w:rPr>
      </w:pPr>
      <w:r>
        <w:rPr>
          <w:rFonts w:hint="eastAsia" w:hAnsi="宋体" w:cs="宋体"/>
          <w:color w:val="262626"/>
          <w:sz w:val="22"/>
        </w:rPr>
        <w:t>4.付款方式：</w:t>
      </w:r>
      <w:r>
        <w:rPr>
          <w:rFonts w:hint="eastAsia" w:hAnsi="宋体" w:cs="宋体"/>
          <w:sz w:val="22"/>
        </w:rPr>
        <w:t>按项目进度支付</w:t>
      </w:r>
    </w:p>
    <w:p>
      <w:pPr>
        <w:pStyle w:val="10"/>
        <w:snapToGrid w:val="0"/>
        <w:spacing w:line="480" w:lineRule="auto"/>
        <w:ind w:left="680" w:firstLine="442" w:firstLineChars="200"/>
        <w:rPr>
          <w:rFonts w:hAnsi="宋体" w:cs="宋体"/>
          <w:b/>
          <w:sz w:val="22"/>
          <w:szCs w:val="22"/>
        </w:rPr>
      </w:pPr>
    </w:p>
    <w:p>
      <w:pPr>
        <w:pStyle w:val="10"/>
        <w:snapToGrid w:val="0"/>
        <w:spacing w:line="480" w:lineRule="auto"/>
        <w:ind w:left="680" w:firstLine="442" w:firstLineChars="200"/>
        <w:rPr>
          <w:rFonts w:hAnsi="宋体" w:cs="宋体"/>
          <w:b/>
          <w:bCs/>
          <w:sz w:val="22"/>
          <w:szCs w:val="22"/>
        </w:rPr>
      </w:pPr>
      <w:r>
        <w:rPr>
          <w:rFonts w:hint="eastAsia" w:hAnsi="宋体" w:cs="宋体"/>
          <w:b/>
          <w:sz w:val="22"/>
          <w:szCs w:val="22"/>
        </w:rPr>
        <w:t>注：商务要求为实质性要求，</w:t>
      </w:r>
      <w:r>
        <w:rPr>
          <w:rFonts w:hint="eastAsia" w:hAnsi="宋体" w:cs="宋体"/>
          <w:b/>
          <w:bCs/>
          <w:sz w:val="22"/>
          <w:szCs w:val="22"/>
        </w:rPr>
        <w:t>供应商需满足或优于以上内容。</w:t>
      </w:r>
    </w:p>
    <w:p>
      <w:pPr>
        <w:pStyle w:val="11"/>
        <w:ind w:left="680"/>
      </w:pPr>
      <w:r>
        <w:br w:type="page"/>
      </w:r>
    </w:p>
    <w:p>
      <w:pPr>
        <w:pStyle w:val="2"/>
      </w:pPr>
      <w:r>
        <w:rPr>
          <w:rFonts w:hint="eastAsia" w:hAnsi="宋体" w:cs="宋体"/>
          <w:b/>
          <w:bCs/>
          <w:sz w:val="22"/>
          <w:szCs w:val="22"/>
        </w:rPr>
        <w:t>三、服务内容及要求</w:t>
      </w:r>
    </w:p>
    <w:p>
      <w:pPr>
        <w:spacing w:beforeLines="50" w:line="360" w:lineRule="auto"/>
        <w:outlineLvl w:val="1"/>
        <w:rPr>
          <w:rFonts w:hAnsi="宋体" w:cs="宋体"/>
          <w:b/>
          <w:bCs/>
          <w:sz w:val="22"/>
        </w:rPr>
      </w:pPr>
      <w:r>
        <w:rPr>
          <w:rFonts w:hint="eastAsia" w:hAnsi="宋体" w:cs="宋体"/>
          <w:b/>
          <w:bCs/>
          <w:sz w:val="22"/>
        </w:rPr>
        <w:t>（一）工作目标</w:t>
      </w:r>
    </w:p>
    <w:p>
      <w:pPr>
        <w:spacing w:beforeLines="50" w:line="360" w:lineRule="auto"/>
        <w:ind w:firstLine="440" w:firstLineChars="200"/>
        <w:outlineLvl w:val="1"/>
        <w:rPr>
          <w:rFonts w:hAnsi="宋体" w:cs="宋体"/>
          <w:color w:val="262626"/>
          <w:sz w:val="22"/>
        </w:rPr>
      </w:pPr>
      <w:r>
        <w:rPr>
          <w:rFonts w:hint="eastAsia" w:hAnsi="宋体" w:cs="宋体"/>
          <w:color w:val="262626"/>
          <w:sz w:val="22"/>
        </w:rPr>
        <w:t>进一步强化提升区属国有企业在资产合规管理、法律风险防范等领域相关工作，充分发挥区属国有企业国有资本投资运营能力、保值增值、法律风险防范等工作能力。</w:t>
      </w:r>
    </w:p>
    <w:p>
      <w:pPr>
        <w:spacing w:beforeLines="50" w:line="360" w:lineRule="auto"/>
        <w:outlineLvl w:val="1"/>
        <w:rPr>
          <w:rFonts w:hAnsi="宋体" w:cs="宋体"/>
          <w:b/>
          <w:bCs/>
          <w:sz w:val="22"/>
        </w:rPr>
      </w:pPr>
      <w:r>
        <w:rPr>
          <w:rFonts w:hint="eastAsia" w:hAnsi="宋体" w:cs="宋体"/>
          <w:b/>
          <w:bCs/>
          <w:sz w:val="22"/>
        </w:rPr>
        <w:t>（二）服务内容及要求</w:t>
      </w:r>
    </w:p>
    <w:p>
      <w:pPr>
        <w:spacing w:line="360" w:lineRule="auto"/>
        <w:ind w:firstLine="442" w:firstLineChars="200"/>
        <w:contextualSpacing/>
        <w:rPr>
          <w:rFonts w:hAnsi="宋体" w:cs="宋体"/>
          <w:b/>
          <w:sz w:val="22"/>
        </w:rPr>
      </w:pPr>
      <w:r>
        <w:rPr>
          <w:rFonts w:hint="eastAsia" w:hAnsi="宋体" w:cs="宋体"/>
          <w:b/>
          <w:sz w:val="22"/>
        </w:rPr>
        <w:t>1、资产梳理、清查，出具工作报告</w:t>
      </w:r>
    </w:p>
    <w:p>
      <w:pPr>
        <w:spacing w:line="360" w:lineRule="auto"/>
        <w:ind w:firstLine="440" w:firstLineChars="200"/>
        <w:contextualSpacing/>
        <w:rPr>
          <w:rFonts w:hAnsi="宋体" w:cs="宋体"/>
          <w:sz w:val="22"/>
        </w:rPr>
      </w:pPr>
      <w:r>
        <w:rPr>
          <w:rFonts w:hint="eastAsia" w:hAnsi="宋体" w:cs="宋体"/>
          <w:sz w:val="22"/>
        </w:rPr>
        <w:t>（1）梳理清查临潼区国有全资、控股企业的资产合规、经营合规等情况；</w:t>
      </w:r>
    </w:p>
    <w:p>
      <w:pPr>
        <w:spacing w:line="360" w:lineRule="auto"/>
        <w:ind w:firstLine="440" w:firstLineChars="200"/>
        <w:contextualSpacing/>
        <w:rPr>
          <w:rFonts w:hAnsi="宋体" w:cs="宋体"/>
          <w:sz w:val="22"/>
        </w:rPr>
      </w:pPr>
      <w:r>
        <w:rPr>
          <w:rFonts w:hint="eastAsia" w:hAnsi="宋体" w:cs="宋体"/>
          <w:sz w:val="22"/>
        </w:rPr>
        <w:t>（2）梳理各单位、各国有控股、参股企业闲置、经营性资产、资源的权属状况；</w:t>
      </w:r>
    </w:p>
    <w:p>
      <w:pPr>
        <w:spacing w:line="360" w:lineRule="auto"/>
        <w:ind w:firstLine="440" w:firstLineChars="200"/>
        <w:contextualSpacing/>
        <w:rPr>
          <w:rFonts w:hAnsi="宋体" w:cs="宋体"/>
          <w:sz w:val="22"/>
        </w:rPr>
      </w:pPr>
      <w:r>
        <w:rPr>
          <w:rFonts w:hint="eastAsia" w:hAnsi="宋体" w:cs="宋体"/>
          <w:sz w:val="22"/>
        </w:rPr>
        <w:t>（3）在梳理清查的基础上，出具《临潼区资产清查律师工作报告》。</w:t>
      </w:r>
    </w:p>
    <w:p>
      <w:pPr>
        <w:spacing w:line="360" w:lineRule="auto"/>
        <w:ind w:firstLine="442" w:firstLineChars="200"/>
        <w:contextualSpacing/>
        <w:rPr>
          <w:rFonts w:hAnsi="宋体" w:cs="宋体"/>
          <w:b/>
          <w:sz w:val="22"/>
        </w:rPr>
      </w:pPr>
      <w:r>
        <w:rPr>
          <w:rFonts w:hint="eastAsia" w:hAnsi="宋体" w:cs="宋体"/>
          <w:b/>
          <w:sz w:val="22"/>
        </w:rPr>
        <w:t>2、出具国有资产整合专项法律意见书</w:t>
      </w:r>
    </w:p>
    <w:p>
      <w:pPr>
        <w:spacing w:line="360" w:lineRule="auto"/>
        <w:ind w:firstLine="440" w:firstLineChars="200"/>
        <w:contextualSpacing/>
        <w:rPr>
          <w:rFonts w:hAnsi="宋体" w:cs="宋体"/>
          <w:sz w:val="22"/>
        </w:rPr>
      </w:pPr>
      <w:r>
        <w:rPr>
          <w:rFonts w:hint="eastAsia" w:hAnsi="宋体" w:cs="宋体"/>
          <w:sz w:val="22"/>
        </w:rPr>
        <w:t>根据前期尽职调查获得的各单位、各国有控股、参股企业闲置、经营性资产、资源等国有资产信息及《临潼区资产整合实施方案》出具《临潼区资产整合专项法律意见书》。</w:t>
      </w:r>
    </w:p>
    <w:p>
      <w:pPr>
        <w:spacing w:line="360" w:lineRule="auto"/>
        <w:ind w:firstLine="442" w:firstLineChars="200"/>
        <w:contextualSpacing/>
        <w:rPr>
          <w:rFonts w:hAnsi="宋体" w:cs="宋体"/>
          <w:b/>
          <w:sz w:val="22"/>
        </w:rPr>
      </w:pPr>
      <w:r>
        <w:rPr>
          <w:rFonts w:hint="eastAsia" w:hAnsi="宋体" w:cs="宋体"/>
          <w:b/>
          <w:sz w:val="22"/>
        </w:rPr>
        <w:t>3、增值服务</w:t>
      </w:r>
    </w:p>
    <w:p>
      <w:pPr>
        <w:spacing w:line="360" w:lineRule="auto"/>
        <w:ind w:firstLine="440" w:firstLineChars="200"/>
        <w:contextualSpacing/>
        <w:rPr>
          <w:rFonts w:hAnsi="宋体" w:cs="宋体"/>
          <w:sz w:val="22"/>
        </w:rPr>
      </w:pPr>
      <w:r>
        <w:rPr>
          <w:rFonts w:hint="eastAsia" w:hAnsi="宋体" w:cs="宋体"/>
          <w:sz w:val="22"/>
        </w:rPr>
        <w:t>（1）根据资产清查工作进度，及时对企业内部结构调整提出法律意见或建议，对潜在风险出具合规解决办法、意见等；</w:t>
      </w:r>
    </w:p>
    <w:p>
      <w:pPr>
        <w:spacing w:line="360" w:lineRule="auto"/>
        <w:ind w:firstLine="440" w:firstLineChars="200"/>
        <w:contextualSpacing/>
        <w:rPr>
          <w:rFonts w:hAnsi="宋体" w:cs="宋体"/>
          <w:sz w:val="22"/>
        </w:rPr>
      </w:pPr>
      <w:r>
        <w:rPr>
          <w:rFonts w:hint="eastAsia" w:hAnsi="宋体" w:cs="宋体"/>
          <w:sz w:val="22"/>
        </w:rPr>
        <w:t>（2）协助草拟、审查及修改注入资产的划转和国有公司的股权划转所涉及的合同及其他法律文书；</w:t>
      </w:r>
    </w:p>
    <w:p>
      <w:pPr>
        <w:spacing w:line="360" w:lineRule="auto"/>
        <w:ind w:firstLine="440" w:firstLineChars="200"/>
        <w:contextualSpacing/>
        <w:rPr>
          <w:rFonts w:hAnsi="宋体" w:cs="宋体"/>
          <w:sz w:val="22"/>
        </w:rPr>
      </w:pPr>
      <w:r>
        <w:rPr>
          <w:rFonts w:hint="eastAsia" w:hAnsi="宋体" w:cs="宋体"/>
          <w:sz w:val="22"/>
        </w:rPr>
        <w:t>（3）协助进行企业合规、公司架构搭建、法治体系搭建工作。</w:t>
      </w:r>
    </w:p>
    <w:p>
      <w:pPr>
        <w:rPr>
          <w:rStyle w:val="35"/>
        </w:rPr>
      </w:pPr>
      <w:r>
        <w:rPr>
          <w:rFonts w:hint="eastAsia" w:hAnsi="宋体" w:cs="宋体"/>
          <w:b/>
          <w:sz w:val="22"/>
        </w:rPr>
        <w:t>注：服务内容及要求为实质性要求，</w:t>
      </w:r>
      <w:r>
        <w:rPr>
          <w:rFonts w:hint="eastAsia" w:hAnsi="宋体" w:cs="宋体"/>
          <w:b/>
          <w:bCs/>
          <w:sz w:val="22"/>
        </w:rPr>
        <w:t>供应商需满足或优于以上内容。</w:t>
      </w:r>
      <w:r>
        <w:rPr>
          <w:rStyle w:val="35"/>
          <w:rFonts w:hint="eastAsia"/>
        </w:rPr>
        <w:br w:type="page"/>
      </w:r>
    </w:p>
    <w:p>
      <w:pPr>
        <w:pStyle w:val="2"/>
        <w:spacing w:line="360" w:lineRule="auto"/>
        <w:jc w:val="center"/>
        <w:rPr>
          <w:rStyle w:val="35"/>
        </w:rPr>
      </w:pPr>
      <w:bookmarkStart w:id="209" w:name="_Toc772"/>
      <w:r>
        <w:rPr>
          <w:rStyle w:val="35"/>
          <w:rFonts w:hint="eastAsia"/>
        </w:rPr>
        <w:t>第六章</w:t>
      </w:r>
      <w:r>
        <w:rPr>
          <w:rStyle w:val="35"/>
        </w:rPr>
        <w:t xml:space="preserve">  </w:t>
      </w:r>
      <w:r>
        <w:rPr>
          <w:rStyle w:val="35"/>
          <w:rFonts w:hint="eastAsia"/>
        </w:rPr>
        <w:t>评标办法</w:t>
      </w:r>
      <w:bookmarkEnd w:id="202"/>
      <w:bookmarkEnd w:id="203"/>
      <w:bookmarkEnd w:id="204"/>
      <w:bookmarkEnd w:id="205"/>
      <w:bookmarkEnd w:id="206"/>
      <w:bookmarkEnd w:id="207"/>
      <w:bookmarkStart w:id="210" w:name="_Toc217446097"/>
      <w:bookmarkStart w:id="211" w:name="_Toc183582280"/>
      <w:bookmarkStart w:id="212" w:name="_Toc183682415"/>
      <w:bookmarkStart w:id="213" w:name="_Toc208849007"/>
    </w:p>
    <w:bookmarkEnd w:id="208"/>
    <w:bookmarkEnd w:id="209"/>
    <w:bookmarkEnd w:id="210"/>
    <w:bookmarkEnd w:id="211"/>
    <w:bookmarkEnd w:id="212"/>
    <w:bookmarkEnd w:id="213"/>
    <w:p>
      <w:pPr>
        <w:pStyle w:val="4"/>
        <w:rPr>
          <w:rFonts w:ascii="Times New Roman" w:hAnsi="Times New Roman"/>
          <w:sz w:val="22"/>
          <w:szCs w:val="22"/>
        </w:rPr>
      </w:pPr>
      <w:bookmarkStart w:id="214" w:name="_Toc9695"/>
      <w:bookmarkStart w:id="215" w:name="_Toc10747"/>
      <w:r>
        <w:rPr>
          <w:rFonts w:ascii="Times New Roman" w:hAnsi="Times New Roman"/>
          <w:sz w:val="22"/>
          <w:szCs w:val="22"/>
        </w:rPr>
        <w:t xml:space="preserve">1. </w:t>
      </w:r>
      <w:r>
        <w:rPr>
          <w:rFonts w:hint="eastAsia" w:ascii="Times New Roman"/>
          <w:sz w:val="22"/>
          <w:szCs w:val="22"/>
        </w:rPr>
        <w:t>总则</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1.1 </w:t>
      </w:r>
      <w:r>
        <w:rPr>
          <w:rFonts w:hint="eastAsia" w:ascii="Times New Roman" w:hAnsi="Times New Roman"/>
          <w:sz w:val="22"/>
          <w:szCs w:val="21"/>
        </w:rPr>
        <w:t>根据《中华人民共和国政府采购法》、《中华人民共和国政府采购法实施条例》、《政府采购货物和服务招标投标管理办法》等法律制度，结合采购项目特点制定本评标办法。</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1.2 </w:t>
      </w:r>
      <w:r>
        <w:rPr>
          <w:rFonts w:hint="eastAsia" w:ascii="Times New Roman" w:hAnsi="Times New Roman"/>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合格投标人不足三家的，不得评标。</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评标工作由采购代理机构负责组织，具体评标事务由采购代理机构依法组建的评标委员会负责。评标委员会由采购人代表和评审专家组成，成员人数为</w:t>
      </w:r>
      <w:r>
        <w:rPr>
          <w:rFonts w:ascii="Times New Roman" w:hAnsi="Times New Roman"/>
          <w:sz w:val="22"/>
          <w:szCs w:val="21"/>
        </w:rPr>
        <w:t>5</w:t>
      </w:r>
      <w:r>
        <w:rPr>
          <w:rFonts w:hint="eastAsia" w:ascii="Times New Roman" w:hAnsi="Times New Roman"/>
          <w:sz w:val="22"/>
          <w:szCs w:val="21"/>
        </w:rPr>
        <w:t>人及以上单数，其中评审专家不少于成员总数的三分之二。</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1.3 </w:t>
      </w:r>
      <w:r>
        <w:rPr>
          <w:rFonts w:hint="eastAsia" w:ascii="Times New Roman" w:hAnsi="Times New Roman"/>
          <w:sz w:val="22"/>
          <w:szCs w:val="21"/>
        </w:rPr>
        <w:t>评标工作应遵循公平、公正、科学及择优的原则，并以相同的评标程序和标准对待所有的投标人。</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1.4 </w:t>
      </w:r>
      <w:r>
        <w:rPr>
          <w:rFonts w:hint="eastAsia" w:ascii="Times New Roman" w:hAnsi="Times New Roman"/>
          <w:sz w:val="22"/>
          <w:szCs w:val="21"/>
        </w:rPr>
        <w:t>评标委员会按照招标文件规定的评标方法和标准进行评标，并独立履行下列职责：</w:t>
      </w:r>
    </w:p>
    <w:p>
      <w:pPr>
        <w:spacing w:line="400" w:lineRule="exact"/>
        <w:ind w:firstLine="440" w:firstLineChars="200"/>
        <w:rPr>
          <w:rFonts w:ascii="Times New Roman" w:hAnsi="Times New Roman"/>
          <w:sz w:val="22"/>
          <w:szCs w:val="21"/>
        </w:rPr>
      </w:pPr>
      <w:bookmarkStart w:id="216" w:name="_Toc217446098"/>
      <w:r>
        <w:rPr>
          <w:rFonts w:hint="eastAsia" w:ascii="Times New Roman" w:hAnsi="Times New Roman"/>
          <w:sz w:val="22"/>
          <w:szCs w:val="21"/>
        </w:rPr>
        <w:t>（一）熟悉和理解招标文件；</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（二）审查供应商（已通过资格审查）的投标文件是否满足招标文件要求，并作出评价；</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（三）根据需要要求招标采购单位对招标文件作出解释；根据需要要求供应商对投标文件有关事项作出澄清、说明或者更正；</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（四）推荐中标候选供应商，或者受采购人委托确定中标供应商；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（五）起草评标报告并进行签署；</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（六）向招标采购单位、财政部门或者其他监督部门报告非法干预评标工作的行为；</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（七）法律、法规和规章规定的其他职责。</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1.5 </w:t>
      </w:r>
      <w:r>
        <w:rPr>
          <w:rFonts w:hint="eastAsia" w:ascii="Times New Roman" w:hAnsi="Times New Roman"/>
          <w:sz w:val="22"/>
          <w:szCs w:val="21"/>
        </w:rPr>
        <w:t>评标过程独立、保密。投标人非法干预评标过程的行为将导致其投标文件作为无效处理。</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1.6 </w:t>
      </w:r>
      <w:r>
        <w:rPr>
          <w:rFonts w:hint="eastAsia" w:ascii="Times New Roman" w:hAnsi="Times New Roman"/>
          <w:sz w:val="22"/>
          <w:szCs w:val="21"/>
        </w:rPr>
        <w:t>评标委员会评价投标文件的响应性，对于投标人而言，除评标委员会要求其澄清、说明或者更正而提供的资料外，仅依据投标文件本身的内容，不寻求其他外部证据。</w:t>
      </w:r>
    </w:p>
    <w:p>
      <w:pPr>
        <w:pStyle w:val="4"/>
        <w:rPr>
          <w:rFonts w:ascii="Times New Roman" w:hAnsi="Times New Roman"/>
          <w:sz w:val="22"/>
          <w:szCs w:val="22"/>
        </w:rPr>
      </w:pPr>
      <w:r>
        <w:rPr>
          <w:rFonts w:ascii="Times New Roman" w:hAnsi="Times New Roman"/>
          <w:sz w:val="22"/>
          <w:szCs w:val="22"/>
        </w:rPr>
        <w:t>2</w:t>
      </w:r>
      <w:r>
        <w:rPr>
          <w:rFonts w:ascii="Times New Roman"/>
          <w:sz w:val="22"/>
          <w:szCs w:val="22"/>
        </w:rPr>
        <w:t>.</w:t>
      </w:r>
      <w:r>
        <w:rPr>
          <w:rFonts w:ascii="Times New Roman" w:hAnsi="Times New Roman"/>
          <w:sz w:val="22"/>
          <w:szCs w:val="22"/>
        </w:rPr>
        <w:t xml:space="preserve"> </w:t>
      </w:r>
      <w:r>
        <w:rPr>
          <w:rFonts w:hint="eastAsia" w:ascii="Times New Roman"/>
          <w:sz w:val="22"/>
          <w:szCs w:val="22"/>
        </w:rPr>
        <w:t>评标</w:t>
      </w:r>
      <w:bookmarkEnd w:id="216"/>
      <w:r>
        <w:rPr>
          <w:rFonts w:hint="eastAsia" w:ascii="Times New Roman"/>
          <w:sz w:val="22"/>
          <w:szCs w:val="22"/>
        </w:rPr>
        <w:t>方法</w:t>
      </w:r>
    </w:p>
    <w:p>
      <w:pPr>
        <w:spacing w:line="360" w:lineRule="auto"/>
        <w:ind w:firstLine="440" w:firstLineChars="200"/>
        <w:rPr>
          <w:rFonts w:ascii="Times New Roman" w:hAnsi="Times New Roman"/>
          <w:sz w:val="22"/>
          <w:szCs w:val="21"/>
        </w:rPr>
      </w:pPr>
      <w:bookmarkStart w:id="217" w:name="_Toc217446103"/>
      <w:bookmarkStart w:id="218" w:name="_Toc217446099"/>
      <w:r>
        <w:rPr>
          <w:rFonts w:ascii="Times New Roman" w:hAnsi="Times New Roman"/>
          <w:sz w:val="22"/>
          <w:szCs w:val="21"/>
        </w:rPr>
        <w:t>2.1</w:t>
      </w:r>
      <w:r>
        <w:rPr>
          <w:rFonts w:hint="eastAsia" w:ascii="Times New Roman" w:hAnsi="宋体"/>
          <w:sz w:val="22"/>
          <w:szCs w:val="21"/>
        </w:rPr>
        <w:t>本项目评标方法为：</w:t>
      </w:r>
      <w:r>
        <w:rPr>
          <w:rFonts w:hint="eastAsia" w:ascii="Times New Roman" w:hAnsi="宋体"/>
          <w:b/>
          <w:bCs/>
          <w:sz w:val="22"/>
          <w:szCs w:val="21"/>
        </w:rPr>
        <w:t>综合评分法</w:t>
      </w:r>
      <w:r>
        <w:rPr>
          <w:rFonts w:hint="eastAsia" w:ascii="Times New Roman" w:hAnsi="宋体"/>
          <w:sz w:val="22"/>
          <w:szCs w:val="21"/>
        </w:rPr>
        <w:t>。</w:t>
      </w:r>
    </w:p>
    <w:p>
      <w:pPr>
        <w:pStyle w:val="4"/>
        <w:rPr>
          <w:rFonts w:ascii="Times New Roman" w:hAnsi="Times New Roman"/>
          <w:sz w:val="22"/>
          <w:szCs w:val="22"/>
        </w:rPr>
      </w:pPr>
      <w:r>
        <w:rPr>
          <w:rFonts w:ascii="Times New Roman" w:hAnsi="Times New Roman"/>
          <w:sz w:val="22"/>
          <w:szCs w:val="22"/>
        </w:rPr>
        <w:t>3</w:t>
      </w:r>
      <w:r>
        <w:rPr>
          <w:rFonts w:ascii="Times New Roman"/>
          <w:sz w:val="22"/>
          <w:szCs w:val="22"/>
        </w:rPr>
        <w:t xml:space="preserve">. </w:t>
      </w:r>
      <w:r>
        <w:rPr>
          <w:rFonts w:hint="eastAsia" w:ascii="Times New Roman"/>
          <w:sz w:val="22"/>
          <w:szCs w:val="22"/>
        </w:rPr>
        <w:t>评标程序</w:t>
      </w:r>
    </w:p>
    <w:p>
      <w:pPr>
        <w:spacing w:line="400" w:lineRule="exact"/>
        <w:ind w:firstLine="440" w:firstLineChars="200"/>
        <w:rPr>
          <w:rFonts w:ascii="Times New Roman" w:hAnsi="Times New Roman"/>
          <w:sz w:val="22"/>
          <w:szCs w:val="21"/>
        </w:rPr>
      </w:pPr>
      <w:r>
        <w:rPr>
          <w:rFonts w:ascii="Times New Roman" w:hAnsi="Times New Roman"/>
          <w:sz w:val="22"/>
          <w:szCs w:val="21"/>
        </w:rPr>
        <w:t>3.1</w:t>
      </w:r>
      <w:r>
        <w:rPr>
          <w:rFonts w:hint="eastAsia" w:ascii="Times New Roman" w:hAnsi="Times New Roman"/>
          <w:sz w:val="22"/>
          <w:szCs w:val="21"/>
        </w:rPr>
        <w:t>熟悉和理解招标文件和停止评标。</w:t>
      </w:r>
    </w:p>
    <w:p>
      <w:pPr>
        <w:spacing w:line="400" w:lineRule="exact"/>
        <w:ind w:firstLine="440" w:firstLineChars="200"/>
        <w:rPr>
          <w:rFonts w:ascii="Times New Roman" w:hAnsi="Times New Roman"/>
          <w:sz w:val="22"/>
          <w:szCs w:val="21"/>
        </w:rPr>
      </w:pPr>
      <w:r>
        <w:rPr>
          <w:rFonts w:ascii="Times New Roman" w:hAnsi="Times New Roman"/>
          <w:sz w:val="22"/>
          <w:szCs w:val="21"/>
        </w:rPr>
        <w:t>3.1.1</w:t>
      </w:r>
      <w:r>
        <w:rPr>
          <w:rFonts w:hint="eastAsia" w:ascii="Times New Roman" w:hAnsi="Times New Roman"/>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pPr>
        <w:spacing w:line="400" w:lineRule="exact"/>
        <w:ind w:firstLine="440" w:firstLineChars="200"/>
        <w:rPr>
          <w:rFonts w:ascii="Times New Roman" w:hAnsi="Times New Roman"/>
          <w:sz w:val="22"/>
          <w:szCs w:val="21"/>
        </w:rPr>
      </w:pPr>
      <w:r>
        <w:rPr>
          <w:rFonts w:ascii="Times New Roman" w:hAnsi="Times New Roman"/>
          <w:sz w:val="22"/>
          <w:szCs w:val="21"/>
        </w:rPr>
        <w:t>3.1.2</w:t>
      </w:r>
      <w:r>
        <w:rPr>
          <w:rFonts w:hint="eastAsia" w:ascii="Times New Roman" w:hAnsi="Times New Roman"/>
          <w:sz w:val="22"/>
          <w:szCs w:val="21"/>
        </w:rPr>
        <w:t>评标委员会熟悉和理解招标文件以及评标过程中，发现本招标文件有下列情形之一的，评标委员会应当停止评标：</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）招标文件的规定存在歧义、重大缺陷的；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）招标文件有违反国家其他有关强制性规定的情形。</w:t>
      </w:r>
    </w:p>
    <w:p>
      <w:pPr>
        <w:spacing w:line="400" w:lineRule="exact"/>
        <w:ind w:firstLine="440" w:firstLineChars="200"/>
        <w:rPr>
          <w:rFonts w:ascii="Times New Roman" w:hAnsi="Times New Roman"/>
          <w:sz w:val="22"/>
          <w:szCs w:val="21"/>
        </w:rPr>
      </w:pPr>
      <w:r>
        <w:rPr>
          <w:rFonts w:ascii="Times New Roman" w:hAnsi="Times New Roman"/>
          <w:sz w:val="22"/>
          <w:szCs w:val="21"/>
        </w:rPr>
        <w:t>3.1.3</w:t>
      </w:r>
      <w:r>
        <w:rPr>
          <w:rFonts w:hint="eastAsia" w:ascii="Times New Roman" w:hAnsi="Times New Roman"/>
          <w:sz w:val="22"/>
          <w:szCs w:val="21"/>
        </w:rPr>
        <w:t>出现本条</w:t>
      </w:r>
      <w:r>
        <w:rPr>
          <w:rFonts w:ascii="Times New Roman" w:hAnsi="Times New Roman"/>
          <w:sz w:val="22"/>
          <w:szCs w:val="21"/>
        </w:rPr>
        <w:t>3.1.2</w:t>
      </w:r>
      <w:r>
        <w:rPr>
          <w:rFonts w:hint="eastAsia" w:ascii="Times New Roman" w:hAnsi="Times New Roman"/>
          <w:sz w:val="22"/>
          <w:szCs w:val="21"/>
        </w:rPr>
        <w:t>规定应当停止评标情形的，评标委员会成员应当向招标采购单位书面说明情况。除本条规定和评标委员会无法依法组建的情形外，评标委员会成员不得以任何方式和理由停止评标。</w:t>
      </w:r>
    </w:p>
    <w:p>
      <w:pPr>
        <w:spacing w:line="400" w:lineRule="exact"/>
        <w:ind w:firstLine="440" w:firstLineChars="200"/>
        <w:rPr>
          <w:rFonts w:ascii="Times New Roman" w:hAnsi="Times New Roman"/>
          <w:sz w:val="22"/>
          <w:szCs w:val="21"/>
        </w:rPr>
      </w:pPr>
      <w:r>
        <w:rPr>
          <w:rFonts w:ascii="Times New Roman" w:hAnsi="Times New Roman"/>
          <w:sz w:val="22"/>
          <w:szCs w:val="21"/>
        </w:rPr>
        <w:t>3.2</w:t>
      </w:r>
      <w:r>
        <w:rPr>
          <w:rFonts w:hint="eastAsia" w:ascii="Times New Roman" w:hAnsi="Times New Roman"/>
          <w:sz w:val="22"/>
          <w:szCs w:val="21"/>
        </w:rPr>
        <w:t>符合性检查。</w:t>
      </w:r>
    </w:p>
    <w:p>
      <w:pPr>
        <w:spacing w:line="400" w:lineRule="exact"/>
        <w:ind w:firstLine="440" w:firstLineChars="200"/>
        <w:rPr>
          <w:rFonts w:ascii="Times New Roman" w:hAnsi="Times New Roman"/>
          <w:sz w:val="22"/>
          <w:szCs w:val="21"/>
        </w:rPr>
      </w:pPr>
      <w:r>
        <w:rPr>
          <w:rFonts w:ascii="Times New Roman" w:hAnsi="Times New Roman"/>
          <w:sz w:val="22"/>
          <w:szCs w:val="21"/>
        </w:rPr>
        <w:t>3.2.1</w:t>
      </w:r>
      <w:r>
        <w:rPr>
          <w:rFonts w:hint="eastAsia" w:ascii="Times New Roman" w:hAnsi="Times New Roman"/>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40" w:firstLineChars="200"/>
        <w:rPr>
          <w:rFonts w:ascii="Times New Roman" w:hAnsi="Times New Roman"/>
          <w:sz w:val="22"/>
          <w:szCs w:val="21"/>
        </w:rPr>
      </w:pPr>
      <w:r>
        <w:rPr>
          <w:rFonts w:ascii="Times New Roman" w:hAnsi="Times New Roman"/>
          <w:sz w:val="22"/>
          <w:szCs w:val="21"/>
        </w:rPr>
        <w:t>3.2.2</w:t>
      </w:r>
      <w:r>
        <w:rPr>
          <w:rFonts w:hint="eastAsia" w:ascii="Times New Roman" w:hAnsi="Times New Roman"/>
          <w:sz w:val="22"/>
          <w:szCs w:val="21"/>
        </w:rPr>
        <w:t>投标文件（包括单独递交的开标一览表）有下列情形的，本项目不作为实质性要求进行规定，即不作为符合性审查事项，不得作为无效投标处理：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（一）除招标文件明确要求加盖单位</w:t>
      </w:r>
      <w:r>
        <w:rPr>
          <w:rFonts w:ascii="Times New Roman" w:hAnsi="Times New Roman"/>
          <w:sz w:val="22"/>
          <w:szCs w:val="21"/>
        </w:rPr>
        <w:t>(</w:t>
      </w:r>
      <w:r>
        <w:rPr>
          <w:rFonts w:hint="eastAsia" w:ascii="Times New Roman" w:hAnsi="Times New Roman"/>
          <w:sz w:val="22"/>
          <w:szCs w:val="21"/>
        </w:rPr>
        <w:t>法人</w:t>
      </w:r>
      <w:r>
        <w:rPr>
          <w:rFonts w:ascii="Times New Roman" w:hAnsi="Times New Roman"/>
          <w:sz w:val="22"/>
          <w:szCs w:val="21"/>
        </w:rPr>
        <w:t>)</w:t>
      </w:r>
      <w:r>
        <w:rPr>
          <w:rFonts w:hint="eastAsia" w:ascii="Times New Roman" w:hAnsi="Times New Roman"/>
          <w:sz w:val="22"/>
          <w:szCs w:val="21"/>
        </w:rPr>
        <w:t>公章的以外，其他地方以相关专用章加盖的；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（二）以骑缝章的形式代替投标文件内容逐页盖章的（但是骑缝章模糊不清，印章名称无法辨认的除外）；</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（三）其他不影响采购项目实质性要求的情形。</w:t>
      </w:r>
    </w:p>
    <w:p>
      <w:pPr>
        <w:spacing w:line="400" w:lineRule="exact"/>
        <w:ind w:firstLine="440" w:firstLineChars="200"/>
        <w:rPr>
          <w:rFonts w:ascii="Times New Roman" w:hAnsi="Times New Roman"/>
          <w:sz w:val="22"/>
          <w:szCs w:val="21"/>
        </w:rPr>
      </w:pPr>
      <w:r>
        <w:rPr>
          <w:rFonts w:ascii="Times New Roman" w:hAnsi="Times New Roman"/>
          <w:sz w:val="22"/>
          <w:szCs w:val="21"/>
        </w:rPr>
        <w:t>3.2.3</w:t>
      </w:r>
      <w:r>
        <w:rPr>
          <w:rFonts w:hint="eastAsia" w:ascii="Times New Roman" w:hAnsi="Times New Roman"/>
          <w:sz w:val="22"/>
          <w:szCs w:val="21"/>
        </w:rPr>
        <w:t>除政府采购法律制度规定的情形外，本项目投标人或者其投标文件有下列情形之一的，作为无效投标处理：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（一）投标文件正副本数量不足的；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（二）投标文件组成明显不符合招标文件的规定要求，影响评标委员会评判的；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（三）投标文件的格式、语言、计量单位、报价货币、知识产权、投标有效期等不符合招标文件的规定，影响评标委员会评判的；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（四）投标报价不符合招标文件规定的采购预算或限价或其他报价规定的；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（五）商务、技术、服务应答内容没有完全响应招标文件的实质性要求的；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（六）未载明或者载明的招标项目履约时间、方式、数量及其他政府采购合同实质性内容与招标文件要求不一致，且招标采购单位无法接受的。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（七）没有完全响应招标文件的其他实质性要求或属于招标文件中投标无效情形的。</w:t>
      </w:r>
    </w:p>
    <w:p>
      <w:pPr>
        <w:spacing w:line="400" w:lineRule="exact"/>
        <w:ind w:firstLine="440" w:firstLineChars="200"/>
        <w:rPr>
          <w:rFonts w:ascii="Times New Roman" w:hAnsi="Times New Roman"/>
          <w:sz w:val="22"/>
          <w:szCs w:val="21"/>
        </w:rPr>
      </w:pPr>
      <w:r>
        <w:rPr>
          <w:rFonts w:ascii="Times New Roman" w:hAnsi="Times New Roman"/>
          <w:sz w:val="22"/>
          <w:szCs w:val="21"/>
        </w:rPr>
        <w:t>3.3</w:t>
      </w:r>
      <w:r>
        <w:rPr>
          <w:rFonts w:hint="eastAsia" w:ascii="Times New Roman" w:hAnsi="Times New Roman"/>
          <w:sz w:val="22"/>
          <w:szCs w:val="21"/>
        </w:rPr>
        <w:t>比较与评价。按招标文件中规定的评标方法和标准，对未作无效投标处理的投标文件进行技术、服务、商务等方面评估，综合比较与评价。</w:t>
      </w:r>
    </w:p>
    <w:p>
      <w:pPr>
        <w:spacing w:line="400" w:lineRule="exact"/>
        <w:ind w:firstLine="440" w:firstLineChars="200"/>
        <w:rPr>
          <w:rFonts w:ascii="Times New Roman" w:hAnsi="Times New Roman"/>
          <w:sz w:val="22"/>
          <w:szCs w:val="21"/>
        </w:rPr>
      </w:pPr>
      <w:r>
        <w:rPr>
          <w:rFonts w:ascii="Times New Roman" w:hAnsi="Times New Roman"/>
          <w:sz w:val="22"/>
          <w:szCs w:val="21"/>
        </w:rPr>
        <w:t>3.4</w:t>
      </w:r>
      <w:r>
        <w:rPr>
          <w:rFonts w:hint="eastAsia" w:ascii="Times New Roman" w:hAnsi="Times New Roman"/>
          <w:sz w:val="22"/>
          <w:szCs w:val="21"/>
        </w:rPr>
        <w:t>复核。评分汇总结束后，评标委员会应当进行复核，特别要对拟推荐为中标候选供应商的、报价最低的、投标文件被认定为无效的进行重点复核。</w:t>
      </w:r>
    </w:p>
    <w:p>
      <w:pPr>
        <w:spacing w:line="400" w:lineRule="exact"/>
        <w:ind w:firstLine="440" w:firstLineChars="200"/>
        <w:rPr>
          <w:rFonts w:ascii="Times New Roman" w:hAnsi="Times New Roman"/>
          <w:sz w:val="22"/>
          <w:szCs w:val="21"/>
        </w:rPr>
      </w:pPr>
      <w:r>
        <w:rPr>
          <w:rFonts w:ascii="Times New Roman" w:hAnsi="Times New Roman"/>
          <w:sz w:val="22"/>
          <w:szCs w:val="21"/>
        </w:rPr>
        <w:t>3.5</w:t>
      </w:r>
      <w:r>
        <w:rPr>
          <w:rFonts w:hint="eastAsia" w:ascii="Times New Roman" w:hAnsi="Times New Roman"/>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评标委员会可推荐的中标候选供应商数量不能满足招标文件规定的数量的，只有在获得采购人书面同意后，可以根据实际情况推荐中标候选供应商。未获得采购人的书面同意</w:t>
      </w:r>
      <w:r>
        <w:rPr>
          <w:rFonts w:ascii="Times New Roman" w:hAnsi="Times New Roman"/>
          <w:sz w:val="22"/>
          <w:szCs w:val="21"/>
        </w:rPr>
        <w:t>,</w:t>
      </w:r>
      <w:r>
        <w:rPr>
          <w:rFonts w:hint="eastAsia" w:ascii="Times New Roman" w:hAnsi="Times New Roman"/>
          <w:sz w:val="22"/>
          <w:szCs w:val="21"/>
        </w:rPr>
        <w:t>评标委员会不得在招标文件规定之外推荐中标候选供应商，否则，采购人可以不予认可。</w:t>
      </w:r>
    </w:p>
    <w:p>
      <w:pPr>
        <w:spacing w:line="400" w:lineRule="exact"/>
        <w:ind w:firstLine="440" w:firstLineChars="200"/>
        <w:rPr>
          <w:rFonts w:ascii="Times New Roman" w:hAnsi="Times New Roman"/>
          <w:sz w:val="22"/>
          <w:szCs w:val="21"/>
        </w:rPr>
      </w:pPr>
      <w:r>
        <w:rPr>
          <w:rFonts w:ascii="Times New Roman" w:hAnsi="Times New Roman"/>
          <w:sz w:val="22"/>
          <w:szCs w:val="21"/>
        </w:rPr>
        <w:t>3.6</w:t>
      </w:r>
      <w:r>
        <w:rPr>
          <w:rFonts w:hint="eastAsia" w:ascii="Times New Roman" w:hAnsi="Times New Roman"/>
          <w:sz w:val="22"/>
          <w:szCs w:val="21"/>
        </w:rPr>
        <w:t>出具评标报告。评标委员会推荐中标候选供应商后，应当向招标采购单位出具评标报告。评标报告应当包括下列内容：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（一）招标公告刊登的媒体名称、开标日期和地点；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（二）获取招标文件的投标人名单和评标委员会成员名单；</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（三）评标方法和标准；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（四）开标记录和评标情况及说明，包括无效投标人名单及原因；</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（五）评标结果和中标候选供应商排序表；</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（六）评标委员会授标建议；</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（七）报价最高的投标人为中标候选人的，评标委员会应当对其报价的合理性予以特别说明。</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400" w:lineRule="exact"/>
        <w:ind w:firstLine="440" w:firstLineChars="200"/>
        <w:rPr>
          <w:rFonts w:ascii="Times New Roman" w:hAnsi="Times New Roman"/>
          <w:sz w:val="22"/>
          <w:szCs w:val="21"/>
        </w:rPr>
      </w:pPr>
      <w:r>
        <w:rPr>
          <w:rFonts w:ascii="Times New Roman" w:hAnsi="Times New Roman"/>
          <w:sz w:val="22"/>
          <w:szCs w:val="21"/>
        </w:rPr>
        <w:t>3.7</w:t>
      </w:r>
      <w:r>
        <w:rPr>
          <w:rFonts w:hint="eastAsia" w:ascii="Times New Roman" w:hAnsi="Times New Roman"/>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400" w:lineRule="exact"/>
        <w:ind w:firstLine="440" w:firstLineChars="200"/>
        <w:rPr>
          <w:rFonts w:ascii="Times New Roman" w:hAnsi="Times New Roman"/>
          <w:sz w:val="22"/>
          <w:szCs w:val="21"/>
        </w:rPr>
      </w:pPr>
      <w:r>
        <w:rPr>
          <w:rFonts w:ascii="Times New Roman" w:hAnsi="Times New Roman"/>
          <w:sz w:val="22"/>
          <w:szCs w:val="21"/>
        </w:rPr>
        <w:t>3.8</w:t>
      </w:r>
      <w:r>
        <w:rPr>
          <w:rFonts w:hint="eastAsia" w:ascii="Times New Roman" w:hAnsi="Times New Roman"/>
          <w:sz w:val="22"/>
          <w:szCs w:val="21"/>
        </w:rPr>
        <w:t>供应商应当书面澄清、说明或者更正。</w:t>
      </w:r>
    </w:p>
    <w:p>
      <w:pPr>
        <w:spacing w:line="400" w:lineRule="exact"/>
        <w:ind w:firstLine="440" w:firstLineChars="200"/>
        <w:rPr>
          <w:rFonts w:ascii="Times New Roman" w:hAnsi="Times New Roman"/>
          <w:sz w:val="22"/>
          <w:szCs w:val="21"/>
        </w:rPr>
      </w:pPr>
      <w:r>
        <w:rPr>
          <w:rFonts w:ascii="Times New Roman" w:hAnsi="Times New Roman"/>
          <w:sz w:val="22"/>
          <w:szCs w:val="21"/>
        </w:rPr>
        <w:t>3.8.1</w:t>
      </w:r>
      <w:r>
        <w:rPr>
          <w:rFonts w:hint="eastAsia" w:ascii="Times New Roman" w:hAnsi="Times New Roman"/>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spacing w:line="400" w:lineRule="exact"/>
        <w:ind w:firstLine="440" w:firstLineChars="200"/>
        <w:rPr>
          <w:rFonts w:ascii="Times New Roman" w:hAnsi="Times New Roman"/>
          <w:sz w:val="22"/>
          <w:szCs w:val="21"/>
        </w:rPr>
      </w:pPr>
      <w:r>
        <w:rPr>
          <w:rFonts w:ascii="Times New Roman" w:hAnsi="Times New Roman"/>
          <w:sz w:val="22"/>
          <w:szCs w:val="21"/>
        </w:rPr>
        <w:t>3.8.2</w:t>
      </w:r>
      <w:r>
        <w:rPr>
          <w:rFonts w:hint="eastAsia" w:ascii="Times New Roman" w:hAnsi="Times New Roman"/>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spacing w:line="400" w:lineRule="exact"/>
        <w:ind w:firstLine="440" w:firstLineChars="200"/>
        <w:rPr>
          <w:rFonts w:ascii="Times New Roman" w:hAnsi="Times New Roman"/>
          <w:sz w:val="22"/>
          <w:szCs w:val="21"/>
        </w:rPr>
      </w:pPr>
      <w:r>
        <w:rPr>
          <w:rFonts w:ascii="Times New Roman" w:hAnsi="Times New Roman"/>
          <w:sz w:val="22"/>
          <w:szCs w:val="21"/>
        </w:rPr>
        <w:t>3.8.3</w:t>
      </w:r>
      <w:r>
        <w:rPr>
          <w:rFonts w:hint="eastAsia" w:ascii="Times New Roman" w:hAnsi="Times New Roman"/>
          <w:sz w:val="22"/>
          <w:szCs w:val="21"/>
        </w:rPr>
        <w:t>评标委员会要求供应商澄清、说明或者更正，不得超出招标文件的范围，不得以此让供应商实质改变投标文件的内容，不得影响供应商公平竞争。本项目下列内容不得澄清：</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（一）按财政部规定应当在评标时不予承认的投标文件内容事项；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（二）投标文件中已经明确的内容事项；</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3.8.4 </w:t>
      </w:r>
      <w:r>
        <w:rPr>
          <w:rFonts w:hint="eastAsia" w:ascii="Times New Roman" w:hAnsi="Times New Roman"/>
          <w:sz w:val="22"/>
          <w:szCs w:val="21"/>
        </w:rPr>
        <w:t>本项目采购过程中，投标文件报价出现前后不一致的，按照下列规定修正：</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（一）投标文件中开标一览表（报价表）内容与投标文件中相应内容不一致的，以开标一览表（报价表）为准；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（二）大写金额和小写金额不一致的，以大写金额为准；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（三）单价金额小数点或者百分比有明显错位的，以开标一览表的总价为准，并修改单价；</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（四）总价金额与按单价汇总金额不一致的，以单价金额计算结果为准。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同时出现两种以上不一致的，按照前款规定的顺序修正。修正后的报价按照本章</w:t>
      </w:r>
      <w:r>
        <w:rPr>
          <w:rFonts w:ascii="Times New Roman" w:hAnsi="Times New Roman"/>
          <w:sz w:val="22"/>
          <w:szCs w:val="21"/>
        </w:rPr>
        <w:t>3.8.1-3.8.3</w:t>
      </w:r>
      <w:r>
        <w:rPr>
          <w:rFonts w:hint="eastAsia" w:ascii="Times New Roman" w:hAnsi="Times New Roman"/>
          <w:sz w:val="22"/>
          <w:szCs w:val="21"/>
        </w:rPr>
        <w:t>的规定经投标人确认后产生约束力，投标人不确认的，其投标无效。</w:t>
      </w:r>
    </w:p>
    <w:p>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注：评标委员会当积极履行澄清、说明或者更正的职责，不得滥用权力。供应商的投标文件应当要求澄清、说明或者更正的，不得未经澄清、说明或者更正而直接作无效投标处理。</w:t>
      </w:r>
    </w:p>
    <w:p>
      <w:pPr>
        <w:spacing w:line="400" w:lineRule="exact"/>
        <w:ind w:firstLine="442" w:firstLineChars="200"/>
        <w:rPr>
          <w:rFonts w:ascii="Times New Roman" w:hAnsi="Times New Roman"/>
          <w:b/>
          <w:sz w:val="22"/>
          <w:szCs w:val="21"/>
        </w:rPr>
      </w:pPr>
      <w:r>
        <w:rPr>
          <w:rFonts w:hint="eastAsia" w:ascii="Times New Roman" w:hAnsi="Times New Roman"/>
          <w:b/>
          <w:sz w:val="22"/>
          <w:szCs w:val="21"/>
        </w:rPr>
        <w:t>3.9</w:t>
      </w:r>
      <w:bookmarkStart w:id="219" w:name="PO_默认文件内容_111"/>
      <w:r>
        <w:rPr>
          <w:rFonts w:hint="eastAsia" w:ascii="Times New Roman" w:hAnsi="Times New Roman"/>
          <w:b/>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19"/>
      <w:r>
        <w:rPr>
          <w:rFonts w:hint="eastAsia" w:ascii="Times New Roman" w:hAnsi="Times New Roman"/>
          <w:b/>
          <w:sz w:val="22"/>
          <w:szCs w:val="21"/>
        </w:rPr>
        <w:t>。</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3.10</w:t>
      </w:r>
      <w:r>
        <w:rPr>
          <w:rFonts w:hint="eastAsia" w:ascii="Times New Roman" w:cs="Times New Roman"/>
          <w:sz w:val="22"/>
          <w:szCs w:val="22"/>
        </w:rPr>
        <w:t>招标采购单位现场复核评标结果。</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3.10.1</w:t>
      </w:r>
      <w:r>
        <w:rPr>
          <w:rFonts w:hint="eastAsia" w:ascii="Times New Roman" w:cs="Times New Roman"/>
          <w:sz w:val="22"/>
          <w:szCs w:val="22"/>
        </w:rPr>
        <w:t>评标结果汇总完成后，评标委员会拟出具评标报告前，招标采购单位应当组织</w:t>
      </w:r>
      <w:r>
        <w:rPr>
          <w:rFonts w:ascii="Times New Roman" w:hAnsi="Times New Roman" w:cs="Times New Roman"/>
          <w:sz w:val="22"/>
          <w:szCs w:val="22"/>
        </w:rPr>
        <w:t>2</w:t>
      </w:r>
      <w:r>
        <w:rPr>
          <w:rFonts w:hint="eastAsia" w:ascii="Times New Roman" w:cs="Times New Roman"/>
          <w:sz w:val="22"/>
          <w:szCs w:val="22"/>
        </w:rPr>
        <w:t>名以上的本单位工作人员，在采购现场监督人员的监督之下，依据有关的法律制度和采购文件对评标结果进行复核，出具复核报告。除下列情形外，任何人不得修改评标结果：</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（一）分值汇总计算错误的；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（二）分项评分超出评分标准范围的；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（三）客观评分不一致的；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（四）经评标委员会认定评分畸高畸低的。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3.10.2</w:t>
      </w:r>
      <w:r>
        <w:rPr>
          <w:rFonts w:hint="eastAsia" w:ascii="Times New Roman" w:cs="Times New Roman"/>
          <w:sz w:val="22"/>
          <w:szCs w:val="22"/>
        </w:rPr>
        <w:t>有下列情形之一的，不得修改评标结果或者重新评审：</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（一）招标采购单位现场复核时，复核工作人员数量不足的；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（二）招标采购单位现场复核时，没有采购监督人员现场监督的；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（三）招标采购单位现场复核内容超出规定范围的；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（四）招标采购单位未提供书面建议的。</w:t>
      </w:r>
    </w:p>
    <w:p>
      <w:pPr>
        <w:pStyle w:val="4"/>
        <w:rPr>
          <w:rFonts w:ascii="Times New Roman" w:hAnsi="Times New Roman"/>
          <w:sz w:val="22"/>
          <w:szCs w:val="22"/>
        </w:rPr>
      </w:pPr>
      <w:r>
        <w:rPr>
          <w:rFonts w:ascii="Times New Roman" w:hAnsi="Times New Roman"/>
          <w:sz w:val="22"/>
          <w:szCs w:val="22"/>
        </w:rPr>
        <w:t xml:space="preserve">4. </w:t>
      </w:r>
      <w:r>
        <w:rPr>
          <w:rFonts w:hint="eastAsia" w:ascii="Times New Roman"/>
          <w:sz w:val="22"/>
          <w:szCs w:val="22"/>
        </w:rPr>
        <w:t>评标细则及标准</w:t>
      </w:r>
      <w:bookmarkEnd w:id="217"/>
    </w:p>
    <w:p>
      <w:pPr>
        <w:pStyle w:val="46"/>
        <w:ind w:firstLine="440" w:firstLineChars="200"/>
        <w:jc w:val="both"/>
        <w:rPr>
          <w:rFonts w:ascii="Times New Roman" w:hAnsi="Times New Roman" w:cs="Times New Roman"/>
          <w:sz w:val="22"/>
          <w:szCs w:val="22"/>
        </w:rPr>
      </w:pPr>
      <w:bookmarkStart w:id="220" w:name="_Toc217446059"/>
      <w:r>
        <w:rPr>
          <w:rFonts w:ascii="Times New Roman" w:hAnsi="Times New Roman" w:cs="Times New Roman"/>
          <w:sz w:val="22"/>
          <w:szCs w:val="22"/>
        </w:rPr>
        <w:t xml:space="preserve">4.1 </w:t>
      </w:r>
      <w:r>
        <w:rPr>
          <w:rFonts w:hint="eastAsia" w:ascii="Times New Roman" w:cs="Times New Roman"/>
          <w:sz w:val="22"/>
          <w:szCs w:val="22"/>
        </w:rPr>
        <w:t>评委会只对通过初审的投标文件，根据招标文件的要求采用相同的评标程序、评分办法及标准进行评价和比较。</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4.2 </w:t>
      </w:r>
      <w:r>
        <w:rPr>
          <w:rFonts w:hint="eastAsia" w:ascii="Times New Roman" w:cs="Times New Roman"/>
          <w:sz w:val="22"/>
          <w:szCs w:val="22"/>
        </w:rPr>
        <w:t>本次综合评分的因素是：价格、技术、质量保证、项目实施方案、综合实力业绩、售后服务方案、对招标文件的响应程度及投标文件规范性等。</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4.3 </w:t>
      </w:r>
      <w:r>
        <w:rPr>
          <w:rFonts w:hint="eastAsia" w:ascii="Times New Roman" w:cs="Times New Roman"/>
          <w:sz w:val="22"/>
          <w:szCs w:val="22"/>
        </w:rPr>
        <w:t>除价格因素外，评委会成员应依据投标文件规定的评分标准和方法独立对其他因素进行比较打分。</w:t>
      </w:r>
    </w:p>
    <w:p>
      <w:pPr>
        <w:pStyle w:val="46"/>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4.4 </w:t>
      </w:r>
      <w:r>
        <w:rPr>
          <w:rFonts w:hint="eastAsia" w:ascii="Times New Roman" w:cs="Times New Roman"/>
          <w:sz w:val="22"/>
          <w:szCs w:val="22"/>
        </w:rPr>
        <w:t>在评标过程中，投标文件有下列情况之一，评标委员会成员应当按照招标文件规定的非实质性偏离进行扣分：</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1</w:t>
      </w:r>
      <w:r>
        <w:rPr>
          <w:rFonts w:hint="eastAsia" w:ascii="Times New Roman" w:cs="Times New Roman"/>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2</w:t>
      </w:r>
      <w:r>
        <w:rPr>
          <w:rFonts w:hint="eastAsia" w:ascii="Times New Roman" w:cs="Times New Roman"/>
          <w:sz w:val="22"/>
          <w:szCs w:val="22"/>
        </w:rPr>
        <w:t>）投标文件未按招标文件要求进行装订或未编制目录、页码；</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3</w:t>
      </w:r>
      <w:r>
        <w:rPr>
          <w:rFonts w:hint="eastAsia" w:ascii="Times New Roman" w:cs="Times New Roman"/>
          <w:sz w:val="22"/>
          <w:szCs w:val="22"/>
        </w:rPr>
        <w:t>）认定的与招标文件第五章规定的技术、商务和其他规定要求不符的非实质性偏离。</w:t>
      </w:r>
    </w:p>
    <w:p>
      <w:pPr>
        <w:pStyle w:val="46"/>
        <w:ind w:firstLine="440" w:firstLineChars="200"/>
        <w:jc w:val="both"/>
        <w:rPr>
          <w:rFonts w:ascii="Times New Roman" w:hAnsi="Times New Roman" w:cs="Times New Roman"/>
          <w:sz w:val="22"/>
          <w:szCs w:val="22"/>
        </w:rPr>
      </w:pPr>
      <w:r>
        <w:rPr>
          <w:rFonts w:hint="eastAsia" w:ascii="Times New Roman" w:cs="Times New Roman"/>
          <w:sz w:val="22"/>
          <w:szCs w:val="22"/>
        </w:rPr>
        <w:t>（</w:t>
      </w:r>
      <w:r>
        <w:rPr>
          <w:rFonts w:ascii="Times New Roman" w:hAnsi="Times New Roman" w:cs="Times New Roman"/>
          <w:sz w:val="22"/>
          <w:szCs w:val="22"/>
        </w:rPr>
        <w:t>4</w:t>
      </w:r>
      <w:r>
        <w:rPr>
          <w:rFonts w:hint="eastAsia" w:ascii="Times New Roman" w:cs="Times New Roman"/>
          <w:sz w:val="22"/>
          <w:szCs w:val="22"/>
        </w:rPr>
        <w:t>）认定的其他非实质性偏离。</w:t>
      </w:r>
    </w:p>
    <w:p>
      <w:pPr>
        <w:pStyle w:val="10"/>
        <w:tabs>
          <w:tab w:val="left" w:pos="600"/>
        </w:tabs>
        <w:spacing w:line="400" w:lineRule="exact"/>
        <w:ind w:left="0" w:leftChars="0" w:firstLine="440" w:firstLineChars="200"/>
        <w:rPr>
          <w:rFonts w:ascii="Times New Roman" w:hAnsi="Times New Roman"/>
          <w:sz w:val="22"/>
          <w:szCs w:val="22"/>
        </w:rPr>
      </w:pPr>
      <w:r>
        <w:rPr>
          <w:rFonts w:ascii="Times New Roman" w:hAnsi="Times New Roman"/>
          <w:sz w:val="22"/>
          <w:szCs w:val="22"/>
        </w:rPr>
        <w:t>4.5</w:t>
      </w:r>
      <w:r>
        <w:rPr>
          <w:rFonts w:hint="eastAsia" w:ascii="Times New Roman" w:hAnsi="Times New Roman"/>
          <w:sz w:val="22"/>
          <w:szCs w:val="22"/>
        </w:rPr>
        <w:t>综合评分明细表</w:t>
      </w:r>
    </w:p>
    <w:p>
      <w:pPr>
        <w:pStyle w:val="10"/>
        <w:tabs>
          <w:tab w:val="left" w:pos="600"/>
        </w:tabs>
        <w:spacing w:line="400" w:lineRule="exact"/>
        <w:ind w:left="0" w:leftChars="0" w:firstLine="440" w:firstLineChars="200"/>
        <w:rPr>
          <w:rFonts w:ascii="Times New Roman" w:hAnsi="Times New Roman"/>
          <w:sz w:val="22"/>
          <w:szCs w:val="22"/>
        </w:rPr>
      </w:pPr>
      <w:r>
        <w:rPr>
          <w:rFonts w:ascii="Times New Roman" w:hAnsi="Times New Roman"/>
          <w:sz w:val="22"/>
          <w:szCs w:val="22"/>
        </w:rPr>
        <w:t>4.5.1</w:t>
      </w:r>
      <w:r>
        <w:rPr>
          <w:rFonts w:hint="eastAsia" w:ascii="Times New Roman" w:hAnsi="Times New Roman"/>
          <w:sz w:val="22"/>
          <w:szCs w:val="22"/>
        </w:rPr>
        <w:t>综合评分明细表的制定以科学合理、降低评委会自由裁量权为原则。</w:t>
      </w:r>
    </w:p>
    <w:p>
      <w:pPr>
        <w:ind w:firstLine="440" w:firstLineChars="200"/>
        <w:jc w:val="left"/>
        <w:rPr>
          <w:rFonts w:ascii="Times New Roman" w:hAnsi="Times New Roman"/>
          <w:sz w:val="22"/>
          <w:szCs w:val="21"/>
        </w:rPr>
      </w:pPr>
      <w:r>
        <w:rPr>
          <w:rFonts w:ascii="Times New Roman" w:hAnsi="Times New Roman"/>
          <w:sz w:val="22"/>
          <w:szCs w:val="21"/>
        </w:rPr>
        <w:t xml:space="preserve">4.5.2 </w:t>
      </w:r>
      <w:r>
        <w:rPr>
          <w:rFonts w:hint="eastAsia" w:ascii="Times New Roman" w:hAnsi="Times New Roman"/>
          <w:sz w:val="22"/>
          <w:szCs w:val="21"/>
        </w:rPr>
        <w:t>综合评分明细表按须知表中的相关要求进行价格调整，再参与价格分评审。</w:t>
      </w:r>
    </w:p>
    <w:p>
      <w:pPr>
        <w:pStyle w:val="10"/>
        <w:tabs>
          <w:tab w:val="left" w:pos="600"/>
        </w:tabs>
        <w:spacing w:line="400" w:lineRule="exact"/>
        <w:ind w:left="0" w:leftChars="0" w:firstLine="440" w:firstLineChars="200"/>
        <w:rPr>
          <w:rFonts w:ascii="Times New Roman" w:hAnsi="Times New Roman"/>
          <w:sz w:val="22"/>
          <w:szCs w:val="21"/>
        </w:rPr>
      </w:pPr>
      <w:r>
        <w:rPr>
          <w:rFonts w:ascii="Times New Roman" w:hAnsi="Times New Roman"/>
          <w:sz w:val="22"/>
          <w:szCs w:val="21"/>
        </w:rPr>
        <w:t>4.5.3</w:t>
      </w:r>
      <w:r>
        <w:rPr>
          <w:rFonts w:hint="eastAsia" w:ascii="Times New Roman" w:hAnsi="Times New Roman"/>
          <w:sz w:val="22"/>
          <w:szCs w:val="21"/>
        </w:rPr>
        <w:t>综合评分明细表</w:t>
      </w:r>
      <w:bookmarkEnd w:id="220"/>
      <w:bookmarkStart w:id="221" w:name="_Toc217446060"/>
    </w:p>
    <w:p>
      <w:pPr>
        <w:pStyle w:val="11"/>
        <w:ind w:left="680"/>
      </w:pPr>
      <w:r>
        <w:rPr>
          <w:rFonts w:hint="eastAsia"/>
        </w:rPr>
        <w:t>02包</w:t>
      </w:r>
      <w:r>
        <w:rPr>
          <w:rFonts w:hint="eastAsia" w:hAnsi="Times New Roman"/>
          <w:sz w:val="22"/>
          <w:szCs w:val="21"/>
        </w:rPr>
        <w:t>综合评分明细表</w:t>
      </w:r>
    </w:p>
    <w:tbl>
      <w:tblPr>
        <w:tblStyle w:val="2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7"/>
        <w:gridCol w:w="693"/>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87" w:type="dxa"/>
            <w:vAlign w:val="center"/>
          </w:tcPr>
          <w:p>
            <w:pPr>
              <w:jc w:val="center"/>
              <w:rPr>
                <w:rFonts w:hAnsi="宋体" w:cs="宋体"/>
                <w:sz w:val="20"/>
                <w:szCs w:val="20"/>
              </w:rPr>
            </w:pPr>
            <w:r>
              <w:rPr>
                <w:rFonts w:hint="eastAsia" w:hAnsi="宋体" w:cs="宋体"/>
                <w:sz w:val="20"/>
                <w:szCs w:val="20"/>
              </w:rPr>
              <w:t>序号</w:t>
            </w:r>
          </w:p>
        </w:tc>
        <w:tc>
          <w:tcPr>
            <w:tcW w:w="1237" w:type="dxa"/>
            <w:vAlign w:val="center"/>
          </w:tcPr>
          <w:p>
            <w:pPr>
              <w:jc w:val="center"/>
              <w:rPr>
                <w:rFonts w:hAnsi="宋体" w:cs="宋体"/>
                <w:sz w:val="20"/>
                <w:szCs w:val="20"/>
              </w:rPr>
            </w:pPr>
            <w:r>
              <w:rPr>
                <w:rFonts w:hint="eastAsia" w:hAnsi="宋体" w:cs="宋体"/>
                <w:sz w:val="20"/>
                <w:szCs w:val="20"/>
              </w:rPr>
              <w:t>评分因素及权重</w:t>
            </w:r>
          </w:p>
        </w:tc>
        <w:tc>
          <w:tcPr>
            <w:tcW w:w="693" w:type="dxa"/>
            <w:vAlign w:val="center"/>
          </w:tcPr>
          <w:p>
            <w:pPr>
              <w:jc w:val="center"/>
              <w:rPr>
                <w:rFonts w:hAnsi="宋体" w:cs="宋体"/>
                <w:sz w:val="20"/>
                <w:szCs w:val="20"/>
              </w:rPr>
            </w:pPr>
            <w:r>
              <w:rPr>
                <w:rFonts w:hint="eastAsia" w:hAnsi="宋体" w:cs="宋体"/>
                <w:sz w:val="20"/>
                <w:szCs w:val="20"/>
              </w:rPr>
              <w:t>分值</w:t>
            </w:r>
          </w:p>
        </w:tc>
        <w:tc>
          <w:tcPr>
            <w:tcW w:w="6481" w:type="dxa"/>
            <w:vAlign w:val="center"/>
          </w:tcPr>
          <w:p>
            <w:pPr>
              <w:jc w:val="center"/>
              <w:rPr>
                <w:rFonts w:hAnsi="宋体" w:cs="宋体"/>
                <w:sz w:val="20"/>
                <w:szCs w:val="20"/>
              </w:rPr>
            </w:pPr>
            <w:r>
              <w:rPr>
                <w:rFonts w:hint="eastAsia" w:hAnsi="宋体" w:cs="宋体"/>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87" w:type="dxa"/>
            <w:vAlign w:val="center"/>
          </w:tcPr>
          <w:p>
            <w:pPr>
              <w:jc w:val="center"/>
              <w:rPr>
                <w:rFonts w:hAnsi="宋体" w:cs="宋体"/>
                <w:sz w:val="20"/>
                <w:szCs w:val="20"/>
              </w:rPr>
            </w:pPr>
            <w:r>
              <w:rPr>
                <w:rFonts w:hint="eastAsia" w:hAnsi="宋体" w:cs="宋体"/>
                <w:sz w:val="20"/>
                <w:szCs w:val="20"/>
              </w:rPr>
              <w:t>1</w:t>
            </w:r>
          </w:p>
        </w:tc>
        <w:tc>
          <w:tcPr>
            <w:tcW w:w="1237" w:type="dxa"/>
            <w:vAlign w:val="center"/>
          </w:tcPr>
          <w:p>
            <w:pPr>
              <w:jc w:val="center"/>
              <w:rPr>
                <w:rFonts w:hAnsi="宋体" w:cs="宋体"/>
                <w:sz w:val="20"/>
                <w:szCs w:val="20"/>
              </w:rPr>
            </w:pPr>
            <w:r>
              <w:rPr>
                <w:rFonts w:hint="eastAsia" w:hAnsi="宋体" w:cs="宋体"/>
                <w:sz w:val="20"/>
                <w:szCs w:val="20"/>
              </w:rPr>
              <w:t>价格10%</w:t>
            </w:r>
          </w:p>
        </w:tc>
        <w:tc>
          <w:tcPr>
            <w:tcW w:w="693" w:type="dxa"/>
            <w:vAlign w:val="center"/>
          </w:tcPr>
          <w:p>
            <w:pPr>
              <w:jc w:val="center"/>
              <w:rPr>
                <w:rFonts w:hAnsi="宋体" w:cs="宋体"/>
                <w:sz w:val="20"/>
                <w:szCs w:val="20"/>
              </w:rPr>
            </w:pPr>
            <w:r>
              <w:rPr>
                <w:rFonts w:hint="eastAsia" w:hAnsi="宋体" w:cs="宋体"/>
                <w:sz w:val="20"/>
                <w:szCs w:val="20"/>
              </w:rPr>
              <w:t>10</w:t>
            </w:r>
          </w:p>
        </w:tc>
        <w:tc>
          <w:tcPr>
            <w:tcW w:w="6481" w:type="dxa"/>
            <w:vAlign w:val="center"/>
          </w:tcPr>
          <w:p>
            <w:pPr>
              <w:ind w:firstLine="480"/>
              <w:rPr>
                <w:rFonts w:hAnsi="宋体" w:cs="宋体"/>
                <w:sz w:val="20"/>
                <w:szCs w:val="20"/>
              </w:rPr>
            </w:pPr>
            <w:r>
              <w:rPr>
                <w:rFonts w:hint="eastAsia" w:hAnsi="宋体" w:cs="宋体"/>
                <w:sz w:val="20"/>
                <w:szCs w:val="20"/>
              </w:rPr>
              <w:t>最低有效报价得10分。以本次最低有效投标报价为基准价，投标报价得分=(基准价÷投标报价)×权值×100。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87" w:type="dxa"/>
            <w:vAlign w:val="center"/>
          </w:tcPr>
          <w:p>
            <w:pPr>
              <w:jc w:val="center"/>
              <w:rPr>
                <w:rFonts w:hAnsi="宋体" w:cs="宋体"/>
                <w:sz w:val="20"/>
                <w:szCs w:val="20"/>
              </w:rPr>
            </w:pPr>
            <w:r>
              <w:rPr>
                <w:rFonts w:hint="eastAsia" w:hAnsi="宋体" w:cs="宋体"/>
                <w:sz w:val="20"/>
                <w:szCs w:val="20"/>
              </w:rPr>
              <w:t>2</w:t>
            </w:r>
          </w:p>
        </w:tc>
        <w:tc>
          <w:tcPr>
            <w:tcW w:w="1237" w:type="dxa"/>
            <w:vAlign w:val="center"/>
          </w:tcPr>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服务</w:t>
            </w:r>
          </w:p>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方案</w:t>
            </w:r>
            <w:r>
              <w:rPr>
                <w:rFonts w:hint="eastAsia" w:asciiTheme="minorEastAsia" w:hAnsiTheme="minorEastAsia" w:cstheme="minorEastAsia"/>
                <w:sz w:val="22"/>
              </w:rPr>
              <w:t>48%</w:t>
            </w:r>
          </w:p>
          <w:p>
            <w:pPr>
              <w:tabs>
                <w:tab w:val="left" w:pos="547"/>
              </w:tabs>
              <w:overflowPunct w:val="0"/>
              <w:topLinePunct/>
              <w:jc w:val="center"/>
              <w:rPr>
                <w:rFonts w:asciiTheme="minorEastAsia" w:hAnsiTheme="minorEastAsia" w:eastAsiaTheme="minorEastAsia" w:cstheme="minorEastAsia"/>
                <w:sz w:val="22"/>
              </w:rPr>
            </w:pPr>
          </w:p>
        </w:tc>
        <w:tc>
          <w:tcPr>
            <w:tcW w:w="693" w:type="dxa"/>
            <w:vAlign w:val="center"/>
          </w:tcPr>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cstheme="minorEastAsia"/>
                <w:sz w:val="22"/>
              </w:rPr>
              <w:t>48</w:t>
            </w:r>
          </w:p>
        </w:tc>
        <w:tc>
          <w:tcPr>
            <w:tcW w:w="6481" w:type="dxa"/>
            <w:vAlign w:val="center"/>
          </w:tcPr>
          <w:p>
            <w:pPr>
              <w:ind w:firstLine="480"/>
            </w:pPr>
            <w:r>
              <w:rPr>
                <w:rFonts w:hint="eastAsia" w:hAnsi="宋体" w:cs="宋体"/>
                <w:sz w:val="20"/>
                <w:szCs w:val="20"/>
              </w:rPr>
              <w:t>本项目部署实施方案，内容包含①实施管控措施；②实施人员分工；③实施计划；④资产梳理、清查方案；⑤项目增值服务；⑥项目整体部署；⑦项目进度保障；⑧项目验收管理；⑨质量保证措施；⑩项目风险控制。⑪管理制度，内部工作监督机制⑫保密措施</w:t>
            </w:r>
          </w:p>
          <w:p>
            <w:pPr>
              <w:rPr>
                <w:rFonts w:hint="eastAsia" w:hAnsi="宋体" w:eastAsia="宋体" w:cs="宋体"/>
                <w:sz w:val="20"/>
                <w:szCs w:val="20"/>
                <w:lang w:eastAsia="zh-CN"/>
              </w:rPr>
            </w:pPr>
            <w:r>
              <w:rPr>
                <w:rFonts w:hint="eastAsia" w:hAnsi="宋体" w:cs="宋体"/>
                <w:sz w:val="20"/>
                <w:szCs w:val="20"/>
              </w:rPr>
              <w:t>完全满足文件要求的得48分 ；方案中每有一项内容要素存在缺失或遗漏或描述不完整或仅有大纲标题无正文内容的扣4分，方案内容要素中每存在一处内容不足或缺陷的扣2分，单项内容要素扣减分值不超过4分。扣完为止。</w:t>
            </w:r>
          </w:p>
          <w:p>
            <w:pPr>
              <w:rPr>
                <w:rFonts w:hAnsi="宋体" w:cs="宋体"/>
                <w:sz w:val="20"/>
                <w:szCs w:val="20"/>
              </w:rPr>
            </w:pPr>
            <w:r>
              <w:rPr>
                <w:rFonts w:hint="eastAsia" w:hAnsi="宋体" w:cs="宋体"/>
                <w:sz w:val="20"/>
                <w:szCs w:val="20"/>
              </w:rPr>
              <w:t>注：内容不足或缺陷是指：存在不适用项目实际情况的情形、凭空编造、方案中内容前后不一致、前后逻辑错误、引用国家规范、标准失效、错误、地点区域错误、项目采购内容缺失、与项目实际情况及技术、服务要求无关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87" w:type="dxa"/>
            <w:vAlign w:val="center"/>
          </w:tcPr>
          <w:p>
            <w:pPr>
              <w:jc w:val="center"/>
              <w:rPr>
                <w:rFonts w:hAnsi="宋体" w:cs="宋体"/>
                <w:sz w:val="20"/>
                <w:szCs w:val="20"/>
              </w:rPr>
            </w:pPr>
            <w:r>
              <w:rPr>
                <w:rFonts w:hint="eastAsia" w:hAnsi="宋体" w:cs="宋体"/>
                <w:sz w:val="20"/>
                <w:szCs w:val="20"/>
              </w:rPr>
              <w:t>3</w:t>
            </w:r>
          </w:p>
        </w:tc>
        <w:tc>
          <w:tcPr>
            <w:tcW w:w="1237" w:type="dxa"/>
            <w:vAlign w:val="center"/>
          </w:tcPr>
          <w:p>
            <w:pPr>
              <w:tabs>
                <w:tab w:val="left" w:pos="547"/>
              </w:tabs>
              <w:overflowPunct w:val="0"/>
              <w:topLinePunct/>
              <w:jc w:val="center"/>
              <w:rPr>
                <w:rFonts w:hAnsi="宋体" w:cs="宋体"/>
                <w:sz w:val="20"/>
                <w:szCs w:val="20"/>
              </w:rPr>
            </w:pPr>
            <w:r>
              <w:rPr>
                <w:rFonts w:hint="eastAsia" w:hAnsi="宋体" w:cs="宋体"/>
                <w:sz w:val="20"/>
                <w:szCs w:val="20"/>
              </w:rPr>
              <w:t>人员</w:t>
            </w:r>
          </w:p>
          <w:p>
            <w:pPr>
              <w:tabs>
                <w:tab w:val="left" w:pos="547"/>
              </w:tabs>
              <w:overflowPunct w:val="0"/>
              <w:topLinePunct/>
              <w:jc w:val="center"/>
              <w:rPr>
                <w:rFonts w:hAnsi="宋体" w:cs="宋体"/>
                <w:sz w:val="20"/>
                <w:szCs w:val="20"/>
              </w:rPr>
            </w:pPr>
            <w:r>
              <w:rPr>
                <w:rFonts w:hint="eastAsia" w:hAnsi="宋体" w:cs="宋体"/>
                <w:sz w:val="20"/>
                <w:szCs w:val="20"/>
              </w:rPr>
              <w:t>配备</w:t>
            </w:r>
          </w:p>
          <w:p>
            <w:pPr>
              <w:jc w:val="center"/>
              <w:rPr>
                <w:rFonts w:hAnsi="宋体" w:cs="宋体"/>
                <w:sz w:val="20"/>
                <w:szCs w:val="20"/>
              </w:rPr>
            </w:pPr>
            <w:r>
              <w:rPr>
                <w:rFonts w:hint="eastAsia" w:hAnsi="宋体" w:cs="宋体"/>
                <w:sz w:val="20"/>
                <w:szCs w:val="20"/>
              </w:rPr>
              <w:t>15%</w:t>
            </w:r>
          </w:p>
        </w:tc>
        <w:tc>
          <w:tcPr>
            <w:tcW w:w="693" w:type="dxa"/>
            <w:vAlign w:val="center"/>
          </w:tcPr>
          <w:p>
            <w:pPr>
              <w:jc w:val="center"/>
              <w:rPr>
                <w:rFonts w:hAnsi="宋体" w:cs="宋体"/>
                <w:sz w:val="20"/>
                <w:szCs w:val="20"/>
              </w:rPr>
            </w:pPr>
            <w:r>
              <w:rPr>
                <w:rFonts w:hint="eastAsia" w:hAnsi="宋体" w:cs="宋体"/>
                <w:sz w:val="20"/>
                <w:szCs w:val="20"/>
              </w:rPr>
              <w:t>15</w:t>
            </w:r>
          </w:p>
        </w:tc>
        <w:tc>
          <w:tcPr>
            <w:tcW w:w="6481" w:type="dxa"/>
            <w:vAlign w:val="center"/>
          </w:tcPr>
          <w:p>
            <w:pPr>
              <w:ind w:firstLine="480"/>
              <w:rPr>
                <w:rFonts w:hAnsi="宋体" w:cs="宋体"/>
                <w:sz w:val="20"/>
                <w:szCs w:val="20"/>
              </w:rPr>
            </w:pPr>
            <w:r>
              <w:rPr>
                <w:rFonts w:hint="eastAsia" w:hAnsi="宋体" w:cs="宋体"/>
                <w:sz w:val="20"/>
                <w:szCs w:val="20"/>
              </w:rPr>
              <w:t>1.主办律师具备一年以上类似业务工作经验得3分，三年以上类似业务工作经验得4分，五年以上类似业务工作经验得5分。</w:t>
            </w:r>
          </w:p>
          <w:p>
            <w:pPr>
              <w:ind w:firstLine="480"/>
              <w:rPr>
                <w:rFonts w:hAnsi="宋体" w:cs="宋体"/>
                <w:sz w:val="20"/>
                <w:szCs w:val="20"/>
              </w:rPr>
            </w:pPr>
            <w:r>
              <w:rPr>
                <w:rFonts w:hint="eastAsia" w:hAnsi="宋体" w:cs="宋体"/>
                <w:sz w:val="20"/>
                <w:szCs w:val="20"/>
              </w:rPr>
              <w:t>2.除主办律师外项目协办人员具备执业律师资格得1分，最高得5分。</w:t>
            </w:r>
          </w:p>
          <w:p>
            <w:pPr>
              <w:ind w:firstLine="480"/>
              <w:rPr>
                <w:rFonts w:hAnsi="宋体" w:cs="宋体"/>
                <w:sz w:val="20"/>
                <w:szCs w:val="20"/>
              </w:rPr>
            </w:pPr>
            <w:r>
              <w:rPr>
                <w:rFonts w:hint="eastAsia" w:hAnsi="宋体" w:cs="宋体"/>
                <w:sz w:val="20"/>
                <w:szCs w:val="20"/>
              </w:rPr>
              <w:t>3.项目负责人需为执业5年以上合伙人律师，得5分，否则不得分。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887" w:type="dxa"/>
            <w:vAlign w:val="center"/>
          </w:tcPr>
          <w:p>
            <w:pPr>
              <w:jc w:val="center"/>
              <w:rPr>
                <w:rFonts w:hAnsi="宋体" w:cs="宋体"/>
                <w:sz w:val="20"/>
                <w:szCs w:val="20"/>
              </w:rPr>
            </w:pPr>
            <w:r>
              <w:rPr>
                <w:rFonts w:hint="eastAsia" w:hAnsi="宋体" w:cs="宋体"/>
                <w:sz w:val="20"/>
                <w:szCs w:val="20"/>
              </w:rPr>
              <w:t>4</w:t>
            </w:r>
          </w:p>
        </w:tc>
        <w:tc>
          <w:tcPr>
            <w:tcW w:w="1237"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eastAsiaTheme="minorEastAsia" w:cstheme="minorEastAsia"/>
                <w:color w:val="000000"/>
                <w:spacing w:val="15"/>
                <w:sz w:val="22"/>
                <w:szCs w:val="22"/>
                <w:shd w:val="clear" w:color="auto" w:fill="FFFFFF"/>
              </w:rPr>
              <w:t>服务</w:t>
            </w:r>
          </w:p>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eastAsiaTheme="minorEastAsia" w:cstheme="minorEastAsia"/>
                <w:color w:val="000000"/>
                <w:spacing w:val="15"/>
                <w:sz w:val="22"/>
                <w:szCs w:val="22"/>
                <w:shd w:val="clear" w:color="auto" w:fill="FFFFFF"/>
              </w:rPr>
              <w:t>承诺</w:t>
            </w:r>
          </w:p>
          <w:p>
            <w:pPr>
              <w:jc w:val="center"/>
              <w:rPr>
                <w:rFonts w:hAnsi="宋体" w:cs="宋体"/>
                <w:sz w:val="20"/>
                <w:szCs w:val="20"/>
              </w:rPr>
            </w:pPr>
            <w:r>
              <w:rPr>
                <w:rFonts w:hint="eastAsia" w:hAnsi="宋体" w:cs="宋体"/>
                <w:sz w:val="20"/>
                <w:szCs w:val="20"/>
              </w:rPr>
              <w:t>5%</w:t>
            </w:r>
          </w:p>
        </w:tc>
        <w:tc>
          <w:tcPr>
            <w:tcW w:w="693" w:type="dxa"/>
            <w:vAlign w:val="center"/>
          </w:tcPr>
          <w:p>
            <w:pPr>
              <w:jc w:val="center"/>
              <w:rPr>
                <w:rFonts w:hAnsi="宋体" w:cs="宋体"/>
                <w:sz w:val="20"/>
                <w:szCs w:val="20"/>
              </w:rPr>
            </w:pPr>
            <w:r>
              <w:rPr>
                <w:rFonts w:hint="eastAsia" w:hAnsi="宋体" w:cs="宋体"/>
                <w:sz w:val="20"/>
                <w:szCs w:val="20"/>
              </w:rPr>
              <w:t>5</w:t>
            </w:r>
          </w:p>
        </w:tc>
        <w:tc>
          <w:tcPr>
            <w:tcW w:w="6481" w:type="dxa"/>
          </w:tcPr>
          <w:p>
            <w:pPr>
              <w:ind w:firstLine="480"/>
              <w:rPr>
                <w:rFonts w:hAnsi="宋体" w:cs="宋体"/>
                <w:sz w:val="20"/>
                <w:szCs w:val="20"/>
              </w:rPr>
            </w:pPr>
            <w:r>
              <w:rPr>
                <w:rFonts w:hint="eastAsia" w:hAnsi="宋体" w:cs="宋体"/>
                <w:sz w:val="20"/>
                <w:szCs w:val="20"/>
              </w:rPr>
              <w:t>提供优质、高效的服务。供应商承诺对于一般技术问题能当时解决、对于重要技术问题和关键性技术问题能及时给与解决，能提供现场技术咨询服务等内容，根据方案内容综合评审。</w:t>
            </w:r>
          </w:p>
          <w:p>
            <w:pPr>
              <w:ind w:firstLine="480"/>
              <w:rPr>
                <w:rFonts w:hAnsi="宋体" w:cs="宋体"/>
                <w:sz w:val="20"/>
                <w:szCs w:val="20"/>
              </w:rPr>
            </w:pPr>
            <w:r>
              <w:rPr>
                <w:rFonts w:hint="eastAsia" w:hAnsi="宋体" w:cs="宋体"/>
                <w:sz w:val="20"/>
                <w:szCs w:val="20"/>
              </w:rPr>
              <w:t>根据供应商服务承诺内容，科学、合理、可行性较强，赋4-5分；</w:t>
            </w:r>
          </w:p>
          <w:p>
            <w:pPr>
              <w:ind w:firstLine="480"/>
              <w:rPr>
                <w:rFonts w:hAnsi="宋体" w:cs="宋体"/>
                <w:sz w:val="20"/>
                <w:szCs w:val="20"/>
              </w:rPr>
            </w:pPr>
            <w:r>
              <w:rPr>
                <w:rFonts w:hint="eastAsia" w:hAnsi="宋体" w:cs="宋体"/>
                <w:sz w:val="20"/>
                <w:szCs w:val="20"/>
              </w:rPr>
              <w:t>根据供应商服务承诺内容，科学、合理、可行性一般，赋2-4分；</w:t>
            </w:r>
          </w:p>
          <w:p>
            <w:pPr>
              <w:ind w:firstLine="480"/>
              <w:rPr>
                <w:rFonts w:hAnsi="宋体" w:cs="宋体"/>
                <w:sz w:val="20"/>
                <w:szCs w:val="20"/>
              </w:rPr>
            </w:pPr>
            <w:r>
              <w:rPr>
                <w:rFonts w:hint="eastAsia" w:hAnsi="宋体" w:cs="宋体"/>
                <w:sz w:val="20"/>
                <w:szCs w:val="20"/>
              </w:rPr>
              <w:t>根据供应商服务承诺内容，科学、合理、可行性较差，赋0-2分；</w:t>
            </w:r>
          </w:p>
          <w:p>
            <w:pPr>
              <w:ind w:firstLine="480"/>
              <w:rPr>
                <w:rFonts w:hAnsi="宋体" w:cs="宋体"/>
                <w:sz w:val="20"/>
                <w:szCs w:val="20"/>
              </w:rPr>
            </w:pPr>
            <w:r>
              <w:rPr>
                <w:rFonts w:hint="eastAsia" w:hAnsi="宋体" w:cs="宋体"/>
                <w:sz w:val="20"/>
                <w:szCs w:val="20"/>
              </w:rPr>
              <w:t>未提供描述的本项不得分。未提供的不得分；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5</w:t>
            </w:r>
          </w:p>
        </w:tc>
        <w:tc>
          <w:tcPr>
            <w:tcW w:w="1237"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eastAsiaTheme="minorEastAsia" w:cstheme="minorEastAsia"/>
                <w:color w:val="000000"/>
                <w:spacing w:val="15"/>
                <w:sz w:val="22"/>
                <w:szCs w:val="22"/>
                <w:shd w:val="clear" w:color="auto" w:fill="FFFFFF"/>
              </w:rPr>
              <w:t>针对本项目的合理化建议</w:t>
            </w:r>
          </w:p>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5</w:t>
            </w:r>
            <w:r>
              <w:rPr>
                <w:rFonts w:hint="eastAsia" w:asciiTheme="minorEastAsia" w:hAnsiTheme="minorEastAsia" w:eastAsiaTheme="minorEastAsia" w:cstheme="minorEastAsia"/>
                <w:color w:val="000000"/>
                <w:spacing w:val="15"/>
                <w:sz w:val="22"/>
                <w:szCs w:val="22"/>
                <w:shd w:val="clear" w:color="auto" w:fill="FFFFFF"/>
              </w:rPr>
              <w:t>%</w:t>
            </w:r>
          </w:p>
        </w:tc>
        <w:tc>
          <w:tcPr>
            <w:tcW w:w="693"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5</w:t>
            </w:r>
          </w:p>
        </w:tc>
        <w:tc>
          <w:tcPr>
            <w:tcW w:w="6481" w:type="dxa"/>
          </w:tcPr>
          <w:p>
            <w:pPr>
              <w:ind w:firstLine="480"/>
              <w:rPr>
                <w:rFonts w:hAnsi="宋体" w:cs="宋体"/>
                <w:sz w:val="20"/>
                <w:szCs w:val="20"/>
              </w:rPr>
            </w:pPr>
            <w:r>
              <w:rPr>
                <w:rFonts w:hint="eastAsia" w:hAnsi="宋体" w:cs="宋体"/>
                <w:sz w:val="20"/>
                <w:szCs w:val="20"/>
              </w:rPr>
              <w:t>根据方案内容进行综合评审，难点论述准确，建议合理可行、经济适用、针对性强，措施切实可行，赋4-5分；</w:t>
            </w:r>
          </w:p>
          <w:p>
            <w:pPr>
              <w:ind w:firstLine="480"/>
              <w:rPr>
                <w:rFonts w:hAnsi="宋体" w:cs="宋体"/>
                <w:sz w:val="20"/>
                <w:szCs w:val="20"/>
              </w:rPr>
            </w:pPr>
            <w:r>
              <w:rPr>
                <w:rFonts w:hint="eastAsia" w:hAnsi="宋体" w:cs="宋体"/>
                <w:sz w:val="20"/>
                <w:szCs w:val="20"/>
              </w:rPr>
              <w:t>难点论述较准确，建议较合理较可行、经济适用、针对性较强，措施切实可行，赋2-4分；</w:t>
            </w:r>
          </w:p>
          <w:p>
            <w:pPr>
              <w:ind w:firstLine="480"/>
              <w:rPr>
                <w:rFonts w:hAnsi="宋体" w:cs="宋体"/>
                <w:sz w:val="20"/>
                <w:szCs w:val="20"/>
              </w:rPr>
            </w:pPr>
            <w:r>
              <w:rPr>
                <w:rFonts w:hint="eastAsia" w:hAnsi="宋体" w:cs="宋体"/>
                <w:sz w:val="20"/>
                <w:szCs w:val="20"/>
              </w:rPr>
              <w:t>难点论述准确性较差，建议合理可行较差、经济适用性较差、针对性较差，措施可行性较差，赋0-2分；</w:t>
            </w:r>
          </w:p>
          <w:p>
            <w:pPr>
              <w:ind w:firstLine="480"/>
              <w:rPr>
                <w:rFonts w:hAnsi="宋体" w:cs="宋体"/>
                <w:sz w:val="20"/>
                <w:szCs w:val="20"/>
              </w:rPr>
            </w:pPr>
            <w:r>
              <w:rPr>
                <w:rFonts w:hint="eastAsia" w:hAnsi="宋体" w:cs="宋体"/>
                <w:sz w:val="20"/>
                <w:szCs w:val="20"/>
              </w:rPr>
              <w:t>未提供相关描述的不得分。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7" w:type="dxa"/>
            <w:vAlign w:val="center"/>
          </w:tcPr>
          <w:p>
            <w:pPr>
              <w:pStyle w:val="15"/>
              <w:jc w:val="center"/>
              <w:rPr>
                <w:rFonts w:asciiTheme="minorEastAsia" w:hAnsi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6</w:t>
            </w:r>
          </w:p>
        </w:tc>
        <w:tc>
          <w:tcPr>
            <w:tcW w:w="1237" w:type="dxa"/>
            <w:vAlign w:val="center"/>
          </w:tcPr>
          <w:p>
            <w:pPr>
              <w:jc w:val="center"/>
              <w:rPr>
                <w:rFonts w:hAnsi="宋体" w:cs="宋体"/>
                <w:sz w:val="20"/>
                <w:szCs w:val="20"/>
              </w:rPr>
            </w:pPr>
            <w:r>
              <w:rPr>
                <w:rFonts w:hint="eastAsia" w:hAnsi="宋体" w:cs="宋体"/>
                <w:sz w:val="20"/>
                <w:szCs w:val="20"/>
              </w:rPr>
              <w:t>项目</w:t>
            </w:r>
          </w:p>
          <w:p>
            <w:pPr>
              <w:jc w:val="center"/>
              <w:rPr>
                <w:rFonts w:hAnsi="宋体" w:cs="宋体"/>
                <w:sz w:val="20"/>
                <w:szCs w:val="20"/>
              </w:rPr>
            </w:pPr>
            <w:r>
              <w:rPr>
                <w:rFonts w:hint="eastAsia" w:hAnsi="宋体" w:cs="宋体"/>
                <w:sz w:val="20"/>
                <w:szCs w:val="20"/>
              </w:rPr>
              <w:t>解读</w:t>
            </w:r>
          </w:p>
          <w:p>
            <w:pPr>
              <w:jc w:val="center"/>
              <w:rPr>
                <w:rFonts w:hAnsi="宋体" w:cs="宋体"/>
                <w:sz w:val="20"/>
                <w:szCs w:val="20"/>
              </w:rPr>
            </w:pPr>
            <w:r>
              <w:rPr>
                <w:rFonts w:hint="eastAsia" w:hAnsi="宋体" w:cs="宋体"/>
                <w:sz w:val="20"/>
                <w:szCs w:val="20"/>
              </w:rPr>
              <w:t>5%</w:t>
            </w:r>
          </w:p>
        </w:tc>
        <w:tc>
          <w:tcPr>
            <w:tcW w:w="693" w:type="dxa"/>
            <w:vAlign w:val="center"/>
          </w:tcPr>
          <w:p>
            <w:pPr>
              <w:pStyle w:val="15"/>
              <w:jc w:val="center"/>
              <w:rPr>
                <w:rFonts w:asciiTheme="minorEastAsia" w:hAnsiTheme="minorEastAsia" w:eastAsia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5</w:t>
            </w:r>
          </w:p>
        </w:tc>
        <w:tc>
          <w:tcPr>
            <w:tcW w:w="6481" w:type="dxa"/>
          </w:tcPr>
          <w:p>
            <w:pPr>
              <w:ind w:firstLine="480"/>
              <w:rPr>
                <w:rFonts w:hAnsi="宋体" w:cs="宋体"/>
                <w:sz w:val="20"/>
                <w:szCs w:val="20"/>
              </w:rPr>
            </w:pPr>
            <w:r>
              <w:rPr>
                <w:rFonts w:hint="eastAsia" w:hAnsi="宋体" w:cs="宋体"/>
                <w:sz w:val="20"/>
                <w:szCs w:val="20"/>
              </w:rPr>
              <w:t>对本项目近期需解决的重点、难点问题的认识与分析，以及对本项目的目标及定位。</w:t>
            </w:r>
          </w:p>
          <w:p>
            <w:pPr>
              <w:ind w:firstLine="480"/>
              <w:rPr>
                <w:rFonts w:hAnsi="宋体" w:cs="宋体"/>
                <w:sz w:val="20"/>
                <w:szCs w:val="20"/>
              </w:rPr>
            </w:pPr>
            <w:r>
              <w:rPr>
                <w:rFonts w:hint="eastAsia" w:hAnsi="宋体" w:cs="宋体"/>
                <w:sz w:val="20"/>
                <w:szCs w:val="20"/>
              </w:rPr>
              <w:t>能够充分掌握并解决本项目需解决的重点、难点问题，服务方案目标与定位认识较为准确，赋4-5分；</w:t>
            </w:r>
          </w:p>
          <w:p>
            <w:pPr>
              <w:ind w:firstLine="480"/>
              <w:rPr>
                <w:rFonts w:hAnsi="宋体" w:cs="宋体"/>
                <w:sz w:val="20"/>
                <w:szCs w:val="20"/>
              </w:rPr>
            </w:pPr>
            <w:r>
              <w:rPr>
                <w:rFonts w:hint="eastAsia" w:hAnsi="宋体" w:cs="宋体"/>
                <w:sz w:val="20"/>
                <w:szCs w:val="20"/>
              </w:rPr>
              <w:t>能够较为准确的掌握并解决本项目的重点、难点问题，服务方案目标与定位认识较为，赋2-4分；</w:t>
            </w:r>
          </w:p>
          <w:p>
            <w:pPr>
              <w:ind w:firstLine="480"/>
              <w:rPr>
                <w:rFonts w:hAnsi="宋体" w:cs="宋体"/>
                <w:sz w:val="20"/>
                <w:szCs w:val="20"/>
              </w:rPr>
            </w:pPr>
            <w:r>
              <w:rPr>
                <w:rFonts w:hint="eastAsia" w:hAnsi="宋体" w:cs="宋体"/>
                <w:sz w:val="20"/>
                <w:szCs w:val="20"/>
              </w:rPr>
              <w:t>对本项目的重点、难点问题掌握不够充分，未能提供合理有效的解决思路或方案，服务方案目标与定位认识较为准确，赋0-2分。</w:t>
            </w:r>
          </w:p>
          <w:p>
            <w:pPr>
              <w:ind w:firstLine="480"/>
              <w:rPr>
                <w:rFonts w:hAnsi="宋体" w:cs="宋体"/>
                <w:sz w:val="20"/>
                <w:szCs w:val="20"/>
              </w:rPr>
            </w:pPr>
            <w:r>
              <w:rPr>
                <w:rFonts w:hint="eastAsia" w:hAnsi="宋体" w:cs="宋体"/>
                <w:sz w:val="20"/>
                <w:szCs w:val="20"/>
              </w:rPr>
              <w:t>未提供相关描述的不得分。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7" w:type="dxa"/>
            <w:vAlign w:val="center"/>
          </w:tcPr>
          <w:p>
            <w:pPr>
              <w:pStyle w:val="15"/>
              <w:jc w:val="center"/>
              <w:rPr>
                <w:rFonts w:asciiTheme="minorEastAsia" w:hAnsi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7</w:t>
            </w:r>
          </w:p>
        </w:tc>
        <w:tc>
          <w:tcPr>
            <w:tcW w:w="1237" w:type="dxa"/>
            <w:vAlign w:val="center"/>
          </w:tcPr>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履约能</w:t>
            </w:r>
          </w:p>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力</w:t>
            </w:r>
            <w:r>
              <w:rPr>
                <w:rFonts w:asciiTheme="minorEastAsia" w:hAnsiTheme="minorEastAsia" w:eastAsiaTheme="minorEastAsia" w:cstheme="minorEastAsia"/>
                <w:sz w:val="22"/>
              </w:rPr>
              <w:t>2%</w:t>
            </w:r>
          </w:p>
        </w:tc>
        <w:tc>
          <w:tcPr>
            <w:tcW w:w="693" w:type="dxa"/>
            <w:vAlign w:val="center"/>
          </w:tcPr>
          <w:p>
            <w:pPr>
              <w:pStyle w:val="15"/>
              <w:jc w:val="center"/>
              <w:rPr>
                <w:rFonts w:asciiTheme="minorEastAsia" w:hAnsiTheme="minorEastAsia" w:cstheme="minorEastAsia"/>
                <w:color w:val="000000"/>
                <w:spacing w:val="15"/>
                <w:sz w:val="22"/>
                <w:szCs w:val="22"/>
                <w:shd w:val="clear" w:color="auto" w:fill="FFFFFF"/>
              </w:rPr>
            </w:pPr>
            <w:r>
              <w:rPr>
                <w:rFonts w:hint="eastAsia" w:asciiTheme="minorEastAsia" w:hAnsiTheme="minorEastAsia" w:cstheme="minorEastAsia"/>
                <w:color w:val="000000"/>
                <w:spacing w:val="15"/>
                <w:sz w:val="22"/>
                <w:szCs w:val="22"/>
                <w:shd w:val="clear" w:color="auto" w:fill="FFFFFF"/>
              </w:rPr>
              <w:t>2</w:t>
            </w:r>
          </w:p>
        </w:tc>
        <w:tc>
          <w:tcPr>
            <w:tcW w:w="6481" w:type="dxa"/>
          </w:tcPr>
          <w:p>
            <w:pPr>
              <w:ind w:firstLine="480"/>
              <w:rPr>
                <w:rFonts w:hAnsi="宋体" w:cs="宋体"/>
                <w:sz w:val="20"/>
                <w:szCs w:val="20"/>
              </w:rPr>
            </w:pPr>
            <w:r>
              <w:rPr>
                <w:rFonts w:hint="eastAsia" w:hAnsi="宋体" w:cs="宋体"/>
                <w:sz w:val="20"/>
                <w:szCs w:val="20"/>
              </w:rPr>
              <w:t>投标人提供固定机构场所证明文件（营业执照或购房合同或租赁合同等），计2分。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87" w:type="dxa"/>
            <w:vAlign w:val="center"/>
          </w:tcPr>
          <w:p>
            <w:pPr>
              <w:jc w:val="center"/>
              <w:rPr>
                <w:rFonts w:hAnsi="宋体" w:cs="宋体"/>
                <w:sz w:val="20"/>
                <w:szCs w:val="20"/>
              </w:rPr>
            </w:pPr>
            <w:r>
              <w:rPr>
                <w:rFonts w:hint="eastAsia" w:hAnsi="宋体" w:cs="宋体"/>
                <w:sz w:val="20"/>
                <w:szCs w:val="20"/>
              </w:rPr>
              <w:t>8</w:t>
            </w:r>
          </w:p>
        </w:tc>
        <w:tc>
          <w:tcPr>
            <w:tcW w:w="1237" w:type="dxa"/>
            <w:vAlign w:val="center"/>
          </w:tcPr>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业绩</w:t>
            </w:r>
          </w:p>
          <w:p>
            <w:pPr>
              <w:tabs>
                <w:tab w:val="left" w:pos="547"/>
              </w:tabs>
              <w:overflowPunct w:val="0"/>
              <w:topLinePunct/>
              <w:jc w:val="center"/>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10%</w:t>
            </w:r>
          </w:p>
        </w:tc>
        <w:tc>
          <w:tcPr>
            <w:tcW w:w="693" w:type="dxa"/>
            <w:vAlign w:val="center"/>
          </w:tcPr>
          <w:p>
            <w:pPr>
              <w:jc w:val="center"/>
              <w:rPr>
                <w:rFonts w:hAnsi="宋体" w:cs="宋体"/>
                <w:sz w:val="20"/>
                <w:szCs w:val="20"/>
              </w:rPr>
            </w:pPr>
            <w:r>
              <w:rPr>
                <w:rFonts w:hint="eastAsia" w:hAnsi="宋体" w:cs="宋体"/>
                <w:sz w:val="20"/>
                <w:szCs w:val="20"/>
              </w:rPr>
              <w:t>10</w:t>
            </w:r>
          </w:p>
        </w:tc>
        <w:tc>
          <w:tcPr>
            <w:tcW w:w="6481" w:type="dxa"/>
            <w:vAlign w:val="center"/>
          </w:tcPr>
          <w:p>
            <w:pPr>
              <w:ind w:firstLine="480"/>
              <w:rPr>
                <w:rFonts w:hAnsi="宋体" w:cs="宋体"/>
                <w:sz w:val="20"/>
                <w:szCs w:val="20"/>
              </w:rPr>
            </w:pPr>
            <w:r>
              <w:rPr>
                <w:rFonts w:hint="eastAsia" w:hAnsi="宋体" w:cs="宋体"/>
                <w:sz w:val="20"/>
                <w:szCs w:val="20"/>
              </w:rPr>
              <w:t>投标人提供的2019年1月1日至投标文件递交截止日所投类似业绩（以合同签订日期为准，仅限投标人本身每份计2分，最高计10分；</w:t>
            </w:r>
          </w:p>
          <w:p>
            <w:pPr>
              <w:ind w:firstLine="480"/>
              <w:rPr>
                <w:rFonts w:hAnsi="宋体" w:cs="宋体"/>
                <w:sz w:val="20"/>
                <w:szCs w:val="20"/>
              </w:rPr>
            </w:pPr>
            <w:r>
              <w:rPr>
                <w:rFonts w:hint="eastAsia" w:hAnsi="宋体" w:cs="宋体"/>
                <w:sz w:val="20"/>
                <w:szCs w:val="20"/>
              </w:rPr>
              <w:t>注：1.以合同或中标通知书或验收意见复印件为准，复印件应清晰可辨，并加盖公章。如模糊不清，视为无效业绩，不予得分。弄虚作假者取消其投标、成交资格。</w:t>
            </w:r>
          </w:p>
          <w:p>
            <w:pPr>
              <w:ind w:firstLine="480"/>
              <w:rPr>
                <w:rFonts w:hAnsi="宋体" w:cs="宋体"/>
                <w:sz w:val="20"/>
                <w:szCs w:val="20"/>
              </w:rPr>
            </w:pPr>
            <w:r>
              <w:rPr>
                <w:rFonts w:hint="eastAsia" w:hAnsi="宋体" w:cs="宋体"/>
                <w:sz w:val="20"/>
                <w:szCs w:val="20"/>
              </w:rPr>
              <w:t xml:space="preserve">    2.时间以中标通知书或合同协议书或验收意见签订时间为准。</w:t>
            </w:r>
          </w:p>
        </w:tc>
      </w:tr>
    </w:tbl>
    <w:p>
      <w:pPr>
        <w:pStyle w:val="4"/>
        <w:spacing w:line="400" w:lineRule="exact"/>
        <w:rPr>
          <w:rFonts w:ascii="Times New Roman" w:hAnsi="Times New Roman"/>
          <w:sz w:val="22"/>
          <w:szCs w:val="22"/>
        </w:rPr>
      </w:pPr>
    </w:p>
    <w:p>
      <w:pPr>
        <w:pStyle w:val="4"/>
        <w:spacing w:line="400" w:lineRule="exact"/>
        <w:ind w:firstLine="433" w:firstLineChars="196"/>
        <w:rPr>
          <w:rFonts w:ascii="Times New Roman" w:hAnsi="Times New Roman"/>
          <w:sz w:val="22"/>
          <w:szCs w:val="22"/>
        </w:rPr>
      </w:pPr>
      <w:r>
        <w:rPr>
          <w:rFonts w:ascii="Times New Roman" w:hAnsi="Times New Roman"/>
          <w:sz w:val="22"/>
          <w:szCs w:val="22"/>
        </w:rPr>
        <w:t xml:space="preserve">5. </w:t>
      </w:r>
      <w:r>
        <w:rPr>
          <w:rFonts w:hint="eastAsia" w:ascii="Times New Roman" w:hAnsi="Times New Roman"/>
          <w:sz w:val="22"/>
          <w:szCs w:val="22"/>
        </w:rPr>
        <w:t>废</w:t>
      </w:r>
      <w:r>
        <w:rPr>
          <w:rFonts w:ascii="Times New Roman" w:hAnsi="Times New Roman"/>
          <w:sz w:val="22"/>
          <w:szCs w:val="22"/>
        </w:rPr>
        <w:t xml:space="preserve"> </w:t>
      </w:r>
      <w:r>
        <w:rPr>
          <w:rFonts w:hint="eastAsia" w:ascii="Times New Roman" w:hAnsi="Times New Roman"/>
          <w:sz w:val="22"/>
          <w:szCs w:val="22"/>
        </w:rPr>
        <w:t>标</w:t>
      </w:r>
    </w:p>
    <w:p>
      <w:pPr>
        <w:spacing w:line="400" w:lineRule="exact"/>
        <w:ind w:firstLine="440" w:firstLineChars="200"/>
        <w:rPr>
          <w:rFonts w:ascii="Times New Roman" w:hAnsi="Times New Roman"/>
          <w:sz w:val="22"/>
          <w:szCs w:val="21"/>
        </w:rPr>
      </w:pPr>
      <w:r>
        <w:rPr>
          <w:rFonts w:ascii="Times New Roman" w:hAnsi="Times New Roman"/>
          <w:sz w:val="22"/>
          <w:szCs w:val="21"/>
        </w:rPr>
        <w:t>5.1</w:t>
      </w:r>
      <w:r>
        <w:rPr>
          <w:rFonts w:hint="eastAsia" w:ascii="Times New Roman" w:hAnsi="Times New Roman"/>
          <w:sz w:val="22"/>
          <w:szCs w:val="21"/>
        </w:rPr>
        <w:t>本次政府采购活动中，出现下列情形之一的，予以废标：</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1</w:t>
      </w:r>
      <w:r>
        <w:rPr>
          <w:rFonts w:hint="eastAsia" w:ascii="Times New Roman" w:hAnsi="Times New Roman"/>
          <w:sz w:val="22"/>
          <w:szCs w:val="21"/>
        </w:rPr>
        <w:t>）符合专业条件的供应商或者对招标文件作实质响应的供应商不足三家的；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2</w:t>
      </w:r>
      <w:r>
        <w:rPr>
          <w:rFonts w:hint="eastAsia" w:ascii="Times New Roman" w:hAnsi="Times New Roman"/>
          <w:sz w:val="22"/>
          <w:szCs w:val="21"/>
        </w:rPr>
        <w:t>）出现影响采购公正的违法、违规行为的；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3</w:t>
      </w:r>
      <w:r>
        <w:rPr>
          <w:rFonts w:hint="eastAsia" w:ascii="Times New Roman" w:hAnsi="Times New Roman"/>
          <w:sz w:val="22"/>
          <w:szCs w:val="21"/>
        </w:rPr>
        <w:t>）投标人的报价均超过了采购预算，采购人不能支付的；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w:t>
      </w:r>
      <w:r>
        <w:rPr>
          <w:rFonts w:ascii="Times New Roman" w:hAnsi="Times New Roman"/>
          <w:sz w:val="22"/>
          <w:szCs w:val="21"/>
        </w:rPr>
        <w:t>4</w:t>
      </w:r>
      <w:r>
        <w:rPr>
          <w:rFonts w:hint="eastAsia" w:ascii="Times New Roman" w:hAnsi="Times New Roman"/>
          <w:sz w:val="22"/>
          <w:szCs w:val="21"/>
        </w:rPr>
        <w:t>）因重大变故，采购任务取消的。</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废标后，采购代理机构应在陕西省政府采购网上公告，并公告废标的情形。投标人需要知晓导致废标情形的具体原因和理由的，可以通过书面形式询问招标采购单位。</w:t>
      </w:r>
    </w:p>
    <w:p>
      <w:pPr>
        <w:spacing w:line="400" w:lineRule="exact"/>
        <w:ind w:firstLine="440" w:firstLineChars="200"/>
        <w:rPr>
          <w:rFonts w:ascii="Times New Roman" w:hAnsi="Times New Roman"/>
          <w:sz w:val="22"/>
          <w:szCs w:val="21"/>
        </w:rPr>
      </w:pPr>
      <w:r>
        <w:rPr>
          <w:rFonts w:ascii="Times New Roman" w:hAnsi="Times New Roman"/>
          <w:sz w:val="22"/>
          <w:szCs w:val="21"/>
        </w:rPr>
        <w:t>5.2</w:t>
      </w:r>
      <w:r>
        <w:rPr>
          <w:rFonts w:hint="eastAsia" w:ascii="Times New Roman" w:hAnsi="Times New Roman"/>
          <w:sz w:val="22"/>
          <w:szCs w:val="21"/>
        </w:rPr>
        <w:t>对于评标过程中废标的采购项目，评标委员会应当对招标文件是否存在倾向性和歧视性、是否存在不合理条款进行论证，并出具书面论证意见。</w:t>
      </w:r>
    </w:p>
    <w:p>
      <w:pPr>
        <w:spacing w:line="400" w:lineRule="exact"/>
        <w:ind w:firstLine="440" w:firstLineChars="200"/>
        <w:rPr>
          <w:rFonts w:ascii="Times New Roman" w:hAnsi="Times New Roman"/>
          <w:sz w:val="22"/>
          <w:szCs w:val="21"/>
        </w:rPr>
      </w:pPr>
    </w:p>
    <w:p>
      <w:pPr>
        <w:pStyle w:val="4"/>
        <w:spacing w:line="400" w:lineRule="exact"/>
        <w:ind w:firstLine="433" w:firstLineChars="196"/>
        <w:rPr>
          <w:rFonts w:ascii="Times New Roman" w:hAnsi="Times New Roman"/>
          <w:sz w:val="22"/>
          <w:szCs w:val="22"/>
        </w:rPr>
      </w:pPr>
      <w:r>
        <w:rPr>
          <w:rFonts w:ascii="Times New Roman" w:hAnsi="Times New Roman"/>
          <w:sz w:val="22"/>
          <w:szCs w:val="22"/>
        </w:rPr>
        <w:t xml:space="preserve">6. </w:t>
      </w:r>
      <w:r>
        <w:rPr>
          <w:rFonts w:hint="eastAsia" w:ascii="Times New Roman" w:hAnsi="Times New Roman"/>
          <w:sz w:val="22"/>
          <w:szCs w:val="22"/>
        </w:rPr>
        <w:t>定标</w:t>
      </w:r>
      <w:bookmarkEnd w:id="221"/>
      <w:bookmarkStart w:id="222" w:name="_Toc217446061"/>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6.1. </w:t>
      </w:r>
      <w:r>
        <w:rPr>
          <w:rFonts w:hint="eastAsia" w:ascii="Times New Roman" w:hAnsi="Times New Roman"/>
          <w:sz w:val="22"/>
          <w:szCs w:val="21"/>
        </w:rPr>
        <w:t>定标原则</w:t>
      </w:r>
      <w:bookmarkEnd w:id="222"/>
      <w:r>
        <w:rPr>
          <w:rFonts w:hint="eastAsia" w:ascii="Times New Roman" w:hAnsi="Times New Roman"/>
          <w:sz w:val="22"/>
          <w:szCs w:val="21"/>
        </w:rPr>
        <w:t>：本项目根据评标委员会推荐的中标候选供应商名单，按顺序确定中标供应商。</w:t>
      </w:r>
    </w:p>
    <w:p>
      <w:pPr>
        <w:spacing w:line="400" w:lineRule="exact"/>
        <w:ind w:firstLine="440" w:firstLineChars="200"/>
        <w:rPr>
          <w:rFonts w:ascii="Times New Roman" w:hAnsi="Times New Roman"/>
          <w:sz w:val="22"/>
          <w:szCs w:val="21"/>
        </w:rPr>
      </w:pPr>
      <w:bookmarkStart w:id="223" w:name="_Toc217446062"/>
      <w:r>
        <w:rPr>
          <w:rFonts w:ascii="Times New Roman" w:hAnsi="Times New Roman"/>
          <w:sz w:val="22"/>
          <w:szCs w:val="21"/>
        </w:rPr>
        <w:t xml:space="preserve">6.2. </w:t>
      </w:r>
      <w:r>
        <w:rPr>
          <w:rFonts w:hint="eastAsia" w:ascii="Times New Roman" w:hAnsi="Times New Roman"/>
          <w:sz w:val="22"/>
          <w:szCs w:val="21"/>
        </w:rPr>
        <w:t>定标程序</w:t>
      </w:r>
      <w:bookmarkEnd w:id="223"/>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6.2.1 </w:t>
      </w:r>
      <w:r>
        <w:rPr>
          <w:rFonts w:hint="eastAsia" w:ascii="Times New Roman" w:hAnsi="Times New Roman"/>
          <w:sz w:val="22"/>
          <w:szCs w:val="21"/>
        </w:rPr>
        <w:t>评标委员会将评标情况写出书面报告，推荐中标候选供应商。</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6.2.2 </w:t>
      </w:r>
      <w:r>
        <w:rPr>
          <w:rFonts w:hint="eastAsia" w:ascii="Times New Roman" w:hAnsi="Times New Roman"/>
          <w:sz w:val="22"/>
          <w:szCs w:val="21"/>
        </w:rPr>
        <w:t>采购代理机构在评标结束后1个工作日内将评标报告送采购人。</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6.2.3 </w:t>
      </w:r>
      <w:r>
        <w:rPr>
          <w:rFonts w:hint="eastAsia" w:ascii="Times New Roman" w:hAnsi="Times New Roman"/>
          <w:sz w:val="22"/>
          <w:szCs w:val="21"/>
        </w:rPr>
        <w:t>采购人在收到评标报告后4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400" w:lineRule="exact"/>
        <w:ind w:firstLine="442" w:firstLineChars="200"/>
        <w:rPr>
          <w:rFonts w:ascii="Times New Roman" w:hAnsi="Times New Roman"/>
          <w:b/>
          <w:sz w:val="22"/>
          <w:szCs w:val="21"/>
        </w:rPr>
      </w:pPr>
      <w:r>
        <w:rPr>
          <w:rFonts w:hint="eastAsia" w:ascii="Times New Roman" w:hAnsi="Times New Roman"/>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6.2.4 </w:t>
      </w:r>
      <w:r>
        <w:rPr>
          <w:rFonts w:hint="eastAsia" w:ascii="Times New Roman" w:hAnsi="Times New Roman"/>
          <w:sz w:val="22"/>
          <w:szCs w:val="21"/>
        </w:rPr>
        <w:t>根据采购人确定的中标供应商，采购代理机构在陕西省政府采购网上发布中标公告，并自采购人确定中标之日起1个工作日内向中标供应商发出中标通知书。</w:t>
      </w:r>
    </w:p>
    <w:p>
      <w:pPr>
        <w:spacing w:line="400" w:lineRule="exact"/>
        <w:ind w:firstLine="440" w:firstLineChars="200"/>
        <w:rPr>
          <w:rFonts w:ascii="Times New Roman" w:hAnsi="Times New Roman"/>
          <w:sz w:val="22"/>
          <w:szCs w:val="21"/>
        </w:rPr>
      </w:pPr>
      <w:r>
        <w:rPr>
          <w:rFonts w:ascii="Times New Roman" w:hAnsi="Times New Roman"/>
          <w:sz w:val="22"/>
          <w:szCs w:val="21"/>
        </w:rPr>
        <w:t xml:space="preserve">6.2.5 </w:t>
      </w:r>
      <w:r>
        <w:rPr>
          <w:rFonts w:hint="eastAsia" w:ascii="Times New Roman" w:hAnsi="Times New Roman"/>
          <w:sz w:val="22"/>
          <w:szCs w:val="21"/>
        </w:rPr>
        <w:t>招标采购单位不退回投标人投标文件和其他投标资料。</w:t>
      </w:r>
    </w:p>
    <w:bookmarkEnd w:id="218"/>
    <w:p>
      <w:pPr>
        <w:pStyle w:val="4"/>
        <w:spacing w:line="400" w:lineRule="exact"/>
        <w:ind w:firstLine="442" w:firstLineChars="200"/>
        <w:rPr>
          <w:rFonts w:ascii="Times New Roman" w:hAnsi="Times New Roman"/>
          <w:sz w:val="22"/>
          <w:szCs w:val="22"/>
        </w:rPr>
      </w:pPr>
      <w:bookmarkStart w:id="224" w:name="_Toc183582297"/>
      <w:bookmarkStart w:id="225" w:name="_Toc217446105"/>
      <w:bookmarkStart w:id="226" w:name="_Toc208849022"/>
      <w:bookmarkStart w:id="227" w:name="_Toc183682432"/>
      <w:r>
        <w:rPr>
          <w:rFonts w:ascii="Times New Roman" w:hAnsi="Times New Roman"/>
          <w:sz w:val="22"/>
          <w:szCs w:val="22"/>
        </w:rPr>
        <w:t xml:space="preserve">7. </w:t>
      </w:r>
      <w:bookmarkEnd w:id="224"/>
      <w:bookmarkEnd w:id="225"/>
      <w:bookmarkEnd w:id="226"/>
      <w:bookmarkEnd w:id="227"/>
      <w:r>
        <w:rPr>
          <w:rFonts w:hint="eastAsia" w:ascii="Times New Roman" w:hAnsi="Times New Roman"/>
          <w:sz w:val="22"/>
          <w:szCs w:val="22"/>
        </w:rPr>
        <w:t>评标专家在政府采购活动中承担以下义务：</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（一）遵守评审工作纪律；</w:t>
      </w:r>
      <w:r>
        <w:rPr>
          <w:rFonts w:ascii="Times New Roman" w:hAnsi="Times New Roman"/>
          <w:sz w:val="22"/>
          <w:szCs w:val="21"/>
        </w:rPr>
        <w:t xml:space="preserve"> </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（二）按照客观、公正、审慎的原则，根据采购文件规定的评审程序、评审方法和评审标准进行独立评审；</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（三）不得泄露评审文件、评审情况和在评审过程中获悉的商业秘密；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（四）及时向监督部门报告评审过程中采购组织单位向评审专家做倾向性、误导性的解释或者说明，供应商行贿、提供虚假材料或者串通、受到的非法干预情况等违法违规行为；</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（五）发现采购文件内容违反国家有关强制性规定或者存在歧义、重大缺陷导致评审工作无法进行时，停止评审并向采购组织单位书面说明情况；</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（六）配合答复处理供应商的询问、质疑和投诉等事项；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（七）法律、法规和规章规定的其他义务。</w:t>
      </w:r>
    </w:p>
    <w:p>
      <w:pPr>
        <w:pStyle w:val="4"/>
        <w:spacing w:line="400" w:lineRule="exact"/>
        <w:ind w:firstLine="442" w:firstLineChars="200"/>
        <w:rPr>
          <w:rFonts w:ascii="Times New Roman" w:hAnsi="Times New Roman"/>
          <w:sz w:val="22"/>
          <w:szCs w:val="22"/>
        </w:rPr>
      </w:pPr>
      <w:r>
        <w:rPr>
          <w:rFonts w:ascii="Times New Roman" w:hAnsi="Times New Roman"/>
          <w:sz w:val="22"/>
          <w:szCs w:val="22"/>
        </w:rPr>
        <w:t>8.</w:t>
      </w:r>
      <w:r>
        <w:rPr>
          <w:rFonts w:hint="eastAsia" w:ascii="Times New Roman" w:hAnsi="Times New Roman"/>
          <w:sz w:val="22"/>
          <w:szCs w:val="22"/>
        </w:rPr>
        <w:t>评标专家在政府采购活动中应当遵守以下工作纪律：</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（一）遵守《政府采购法》第十二条和《政府采购法实施条例》第九条及财政部关于回避的规定。</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（二）评标前，应当将通讯工具或者相关电子设备交由招标采购单位统一保管。</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（三）评标过程中，不得与外界联系，因发生不可预见情况，确实需要与外界联系的，应当在监督人员监督之下办理。</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（五）在评标过程中和评标结束后，不得记录、复制或带走任何评标资料，除因规定的义务外，不得向外界透露评标内容。</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（六）服从评标现场招标采购单位的现场秩序管理，接受评标现场监督人员的合法监督。</w:t>
      </w:r>
    </w:p>
    <w:p>
      <w:pPr>
        <w:spacing w:line="400" w:lineRule="exact"/>
        <w:ind w:firstLine="440" w:firstLineChars="200"/>
        <w:rPr>
          <w:rFonts w:ascii="Times New Roman" w:hAnsi="Times New Roman"/>
          <w:sz w:val="22"/>
          <w:szCs w:val="21"/>
        </w:rPr>
      </w:pPr>
      <w:r>
        <w:rPr>
          <w:rFonts w:hint="eastAsia" w:ascii="Times New Roman" w:hAnsi="Times New Roman"/>
          <w:sz w:val="22"/>
          <w:szCs w:val="21"/>
        </w:rPr>
        <w:t>（七）遵守有关廉洁自律规定，不得私下接触供应商，不得收受供应商及有关业务单位和个人的财物或好处，不得接受采购组织单位的请托。</w:t>
      </w:r>
    </w:p>
    <w:p>
      <w:pPr>
        <w:pStyle w:val="3"/>
        <w:jc w:val="center"/>
        <w:rPr>
          <w:rFonts w:ascii="Times New Roman" w:hAnsi="Times New Roman"/>
          <w:sz w:val="40"/>
          <w:szCs w:val="20"/>
        </w:rPr>
      </w:pPr>
      <w:r>
        <w:rPr>
          <w:rFonts w:ascii="Times New Roman" w:hAnsi="Times New Roman"/>
          <w:sz w:val="40"/>
          <w:szCs w:val="21"/>
        </w:rPr>
        <w:br w:type="page"/>
      </w:r>
      <w:bookmarkStart w:id="228" w:name="_Toc9542"/>
      <w:r>
        <w:rPr>
          <w:rFonts w:hint="eastAsia" w:ascii="Times New Roman" w:hAnsi="Times New Roman"/>
          <w:sz w:val="40"/>
          <w:szCs w:val="21"/>
        </w:rPr>
        <w:t>第七章</w:t>
      </w:r>
      <w:r>
        <w:rPr>
          <w:rFonts w:ascii="Times New Roman" w:hAnsi="Times New Roman"/>
          <w:sz w:val="40"/>
          <w:szCs w:val="21"/>
        </w:rPr>
        <w:t xml:space="preserve">  </w:t>
      </w:r>
      <w:r>
        <w:rPr>
          <w:rFonts w:hint="eastAsia" w:ascii="Times New Roman" w:hAnsi="Times New Roman"/>
          <w:sz w:val="40"/>
          <w:szCs w:val="21"/>
        </w:rPr>
        <w:t>合同条款（仅供参考）</w:t>
      </w:r>
      <w:bookmarkEnd w:id="214"/>
      <w:bookmarkEnd w:id="215"/>
      <w:bookmarkEnd w:id="228"/>
    </w:p>
    <w:p>
      <w:pPr>
        <w:rPr>
          <w:rFonts w:hAnsi="宋体"/>
          <w:sz w:val="24"/>
        </w:rPr>
      </w:pPr>
      <w:r>
        <w:rPr>
          <w:rFonts w:hAnsi="宋体"/>
          <w:sz w:val="24"/>
        </w:rPr>
        <w:t>合同编号：</w:t>
      </w:r>
      <w:r>
        <w:rPr>
          <w:rFonts w:hint="eastAsia" w:hAnsi="宋体"/>
          <w:sz w:val="24"/>
        </w:rPr>
        <w:t>XXXX。</w:t>
      </w:r>
    </w:p>
    <w:p>
      <w:pPr>
        <w:rPr>
          <w:rFonts w:hAnsi="宋体"/>
          <w:sz w:val="24"/>
        </w:rPr>
      </w:pPr>
      <w:r>
        <w:rPr>
          <w:rFonts w:hAnsi="宋体"/>
          <w:sz w:val="24"/>
        </w:rPr>
        <w:t>签订地点：</w:t>
      </w:r>
      <w:r>
        <w:rPr>
          <w:rFonts w:hint="eastAsia" w:hAnsi="宋体"/>
          <w:sz w:val="24"/>
        </w:rPr>
        <w:t>XXXX。</w:t>
      </w:r>
    </w:p>
    <w:p>
      <w:pPr>
        <w:rPr>
          <w:rFonts w:hAnsi="宋体"/>
          <w:sz w:val="24"/>
        </w:rPr>
      </w:pPr>
      <w:r>
        <w:rPr>
          <w:rFonts w:hAnsi="宋体"/>
          <w:sz w:val="24"/>
        </w:rPr>
        <w:t>签订时间：</w:t>
      </w:r>
      <w:r>
        <w:rPr>
          <w:rFonts w:hint="eastAsia" w:hAnsi="宋体"/>
          <w:sz w:val="24"/>
        </w:rPr>
        <w:t>XXXX</w:t>
      </w:r>
      <w:r>
        <w:rPr>
          <w:rFonts w:hAnsi="宋体"/>
          <w:sz w:val="24"/>
        </w:rPr>
        <w:t>年</w:t>
      </w:r>
      <w:r>
        <w:rPr>
          <w:rFonts w:hint="eastAsia" w:hAnsi="宋体"/>
          <w:sz w:val="24"/>
        </w:rPr>
        <w:t>XX</w:t>
      </w:r>
      <w:r>
        <w:rPr>
          <w:rFonts w:hAnsi="宋体"/>
          <w:sz w:val="24"/>
        </w:rPr>
        <w:t>月</w:t>
      </w:r>
      <w:r>
        <w:rPr>
          <w:rFonts w:hint="eastAsia" w:hAnsi="宋体"/>
          <w:sz w:val="24"/>
        </w:rPr>
        <w:t>XX</w:t>
      </w:r>
      <w:r>
        <w:rPr>
          <w:rFonts w:hAnsi="宋体"/>
          <w:sz w:val="24"/>
        </w:rPr>
        <w:t>日</w:t>
      </w:r>
      <w:r>
        <w:rPr>
          <w:rFonts w:hint="eastAsia" w:hAnsi="宋体"/>
          <w:sz w:val="24"/>
        </w:rPr>
        <w:t>。</w:t>
      </w:r>
    </w:p>
    <w:p>
      <w:pPr>
        <w:rPr>
          <w:rFonts w:hAnsi="宋体"/>
          <w:sz w:val="24"/>
        </w:rPr>
      </w:pPr>
      <w:r>
        <w:rPr>
          <w:rFonts w:hint="eastAsia" w:hAnsi="宋体"/>
          <w:sz w:val="24"/>
        </w:rPr>
        <w:t>采购人（</w:t>
      </w:r>
      <w:r>
        <w:rPr>
          <w:rFonts w:hAnsi="宋体"/>
          <w:sz w:val="24"/>
        </w:rPr>
        <w:t>甲方</w:t>
      </w:r>
      <w:r>
        <w:rPr>
          <w:rFonts w:hint="eastAsia" w:hAnsi="宋体"/>
          <w:sz w:val="24"/>
        </w:rPr>
        <w:t>）</w:t>
      </w:r>
      <w:r>
        <w:rPr>
          <w:rFonts w:hAnsi="宋体"/>
          <w:sz w:val="24"/>
        </w:rPr>
        <w:t>：</w:t>
      </w:r>
    </w:p>
    <w:p>
      <w:pPr>
        <w:rPr>
          <w:rFonts w:hAnsi="宋体"/>
          <w:sz w:val="24"/>
          <w:u w:val="single"/>
        </w:rPr>
      </w:pPr>
      <w:r>
        <w:rPr>
          <w:rFonts w:hint="eastAsia" w:hAnsi="宋体"/>
          <w:sz w:val="24"/>
        </w:rPr>
        <w:t>供应商（乙</w:t>
      </w:r>
      <w:r>
        <w:rPr>
          <w:rFonts w:hAnsi="宋体"/>
          <w:sz w:val="24"/>
        </w:rPr>
        <w:t>方</w:t>
      </w:r>
      <w:r>
        <w:rPr>
          <w:rFonts w:hint="eastAsia" w:hAnsi="宋体"/>
          <w:sz w:val="24"/>
        </w:rPr>
        <w:t>）</w:t>
      </w:r>
      <w:r>
        <w:rPr>
          <w:rFonts w:hAnsi="宋体"/>
          <w:sz w:val="24"/>
        </w:rPr>
        <w:t>：</w:t>
      </w:r>
    </w:p>
    <w:p>
      <w:pPr>
        <w:rPr>
          <w:rFonts w:hAnsi="宋体"/>
          <w:sz w:val="24"/>
        </w:rPr>
      </w:pPr>
    </w:p>
    <w:p>
      <w:pPr>
        <w:ind w:firstLine="480" w:firstLineChars="200"/>
        <w:rPr>
          <w:rFonts w:hAnsi="宋体"/>
          <w:sz w:val="24"/>
        </w:rPr>
      </w:pPr>
      <w:r>
        <w:rPr>
          <w:rFonts w:hAnsi="宋体"/>
          <w:sz w:val="24"/>
        </w:rPr>
        <w:t>依据《中华人民共和国合同法》</w:t>
      </w:r>
      <w:r>
        <w:rPr>
          <w:rFonts w:hint="eastAsia" w:hAnsi="宋体"/>
          <w:sz w:val="24"/>
        </w:rPr>
        <w:t>与项目行业有关的法律法规，以及XXXX项目（项目编号：XXXX/包号）</w:t>
      </w:r>
      <w:r>
        <w:rPr>
          <w:rFonts w:hAnsi="宋体"/>
          <w:sz w:val="24"/>
        </w:rPr>
        <w:t>的</w:t>
      </w:r>
      <w:r>
        <w:rPr>
          <w:rFonts w:hint="eastAsia" w:hAnsi="宋体"/>
          <w:sz w:val="24"/>
        </w:rPr>
        <w:t>《磋商文件》</w:t>
      </w:r>
      <w:r>
        <w:rPr>
          <w:rFonts w:hAnsi="宋体"/>
          <w:sz w:val="24"/>
        </w:rPr>
        <w:t>，</w:t>
      </w:r>
      <w:r>
        <w:rPr>
          <w:rFonts w:hint="eastAsia" w:hAnsi="宋体"/>
          <w:sz w:val="24"/>
        </w:rPr>
        <w:t>乙方的《磋商响应文件》及《成交通知书》，甲、乙双方同意签订本合同。详细技术说明及其他有关合同项目的特定信息由合同附件予以说明，合同附件及本项目的《磋商文件》、《磋商响应文件》、《成交通知书》等均为本合同的组成部分。</w:t>
      </w:r>
    </w:p>
    <w:p>
      <w:pPr>
        <w:numPr>
          <w:ilvl w:val="0"/>
          <w:numId w:val="6"/>
        </w:numPr>
        <w:rPr>
          <w:rFonts w:hAnsi="宋体"/>
          <w:b/>
          <w:sz w:val="24"/>
        </w:rPr>
      </w:pPr>
      <w:r>
        <w:rPr>
          <w:rFonts w:hint="eastAsia" w:hAnsi="宋体"/>
          <w:b/>
          <w:sz w:val="24"/>
        </w:rPr>
        <w:t>项目基本情况</w:t>
      </w:r>
    </w:p>
    <w:p>
      <w:pPr>
        <w:pStyle w:val="52"/>
        <w:tabs>
          <w:tab w:val="left" w:pos="1521"/>
        </w:tabs>
        <w:ind w:left="1521" w:firstLine="0" w:firstLineChars="0"/>
        <w:rPr>
          <w:rFonts w:hAnsi="宋体"/>
          <w:b/>
          <w:sz w:val="24"/>
        </w:rPr>
      </w:pPr>
      <w:r>
        <w:rPr>
          <w:rFonts w:hint="eastAsia" w:hAnsi="宋体"/>
          <w:sz w:val="24"/>
        </w:rPr>
        <w:t>XXXX</w:t>
      </w:r>
    </w:p>
    <w:p>
      <w:pPr>
        <w:rPr>
          <w:rFonts w:hAnsi="宋体"/>
          <w:b/>
          <w:sz w:val="24"/>
        </w:rPr>
      </w:pPr>
    </w:p>
    <w:p>
      <w:pPr>
        <w:numPr>
          <w:ilvl w:val="0"/>
          <w:numId w:val="6"/>
        </w:numPr>
        <w:rPr>
          <w:rFonts w:hAnsi="宋体"/>
          <w:b/>
          <w:sz w:val="24"/>
        </w:rPr>
      </w:pPr>
      <w:r>
        <w:rPr>
          <w:rFonts w:hint="eastAsia" w:hAnsi="宋体"/>
          <w:b/>
          <w:sz w:val="24"/>
        </w:rPr>
        <w:t>合同期限</w:t>
      </w:r>
    </w:p>
    <w:p>
      <w:pPr>
        <w:pStyle w:val="52"/>
        <w:tabs>
          <w:tab w:val="left" w:pos="1521"/>
        </w:tabs>
        <w:ind w:left="1521" w:firstLine="0" w:firstLineChars="0"/>
        <w:rPr>
          <w:rFonts w:hAnsi="宋体"/>
          <w:b/>
          <w:sz w:val="24"/>
        </w:rPr>
      </w:pPr>
      <w:r>
        <w:rPr>
          <w:rFonts w:hint="eastAsia" w:hAnsi="宋体"/>
          <w:sz w:val="24"/>
        </w:rPr>
        <w:t>XXXX</w:t>
      </w:r>
    </w:p>
    <w:p>
      <w:pPr>
        <w:numPr>
          <w:ilvl w:val="0"/>
          <w:numId w:val="6"/>
        </w:numPr>
        <w:rPr>
          <w:rFonts w:hAnsi="宋体"/>
          <w:b/>
          <w:sz w:val="24"/>
        </w:rPr>
      </w:pPr>
      <w:r>
        <w:rPr>
          <w:rFonts w:hint="eastAsia" w:ascii="仿宋" w:hAnsi="仿宋" w:eastAsia="仿宋"/>
          <w:b/>
          <w:sz w:val="28"/>
          <w:szCs w:val="28"/>
        </w:rPr>
        <w:t>服务内容</w:t>
      </w:r>
    </w:p>
    <w:p>
      <w:pPr>
        <w:pStyle w:val="52"/>
        <w:tabs>
          <w:tab w:val="left" w:pos="1521"/>
        </w:tabs>
        <w:ind w:left="1521" w:firstLine="0" w:firstLineChars="0"/>
        <w:rPr>
          <w:rFonts w:hAnsi="宋体"/>
          <w:b/>
          <w:sz w:val="24"/>
        </w:rPr>
      </w:pPr>
      <w:r>
        <w:rPr>
          <w:rFonts w:hint="eastAsia" w:hAnsi="宋体"/>
          <w:sz w:val="24"/>
        </w:rPr>
        <w:t>XXXX</w:t>
      </w:r>
    </w:p>
    <w:p>
      <w:pPr>
        <w:numPr>
          <w:ilvl w:val="0"/>
          <w:numId w:val="6"/>
        </w:numPr>
        <w:rPr>
          <w:rFonts w:hAnsi="宋体"/>
          <w:b/>
          <w:sz w:val="24"/>
        </w:rPr>
      </w:pPr>
      <w:r>
        <w:rPr>
          <w:rFonts w:hint="eastAsia" w:hAnsi="宋体"/>
          <w:b/>
          <w:sz w:val="24"/>
        </w:rPr>
        <w:t>支付方式</w:t>
      </w:r>
    </w:p>
    <w:p>
      <w:pPr>
        <w:pStyle w:val="52"/>
        <w:tabs>
          <w:tab w:val="left" w:pos="1521"/>
        </w:tabs>
        <w:ind w:left="1521" w:firstLine="0" w:firstLineChars="0"/>
        <w:rPr>
          <w:rFonts w:hAnsi="宋体"/>
          <w:sz w:val="24"/>
        </w:rPr>
      </w:pPr>
      <w:r>
        <w:rPr>
          <w:rFonts w:hint="eastAsia" w:hAnsi="宋体"/>
          <w:sz w:val="24"/>
        </w:rPr>
        <w:t>XXXX</w:t>
      </w:r>
    </w:p>
    <w:p>
      <w:pPr>
        <w:tabs>
          <w:tab w:val="left" w:pos="1521"/>
        </w:tabs>
        <w:ind w:left="1521"/>
        <w:rPr>
          <w:rFonts w:hAnsi="宋体"/>
          <w:b/>
          <w:sz w:val="24"/>
        </w:rPr>
      </w:pPr>
    </w:p>
    <w:p>
      <w:pPr>
        <w:pStyle w:val="52"/>
        <w:numPr>
          <w:ilvl w:val="0"/>
          <w:numId w:val="6"/>
        </w:numPr>
        <w:ind w:firstLineChars="0"/>
        <w:rPr>
          <w:rFonts w:hAnsi="宋体"/>
          <w:b/>
          <w:sz w:val="24"/>
        </w:rPr>
      </w:pPr>
      <w:r>
        <w:rPr>
          <w:rFonts w:hint="eastAsia" w:hAnsi="宋体"/>
          <w:b/>
          <w:sz w:val="24"/>
        </w:rPr>
        <w:t>知识产权</w:t>
      </w:r>
    </w:p>
    <w:p>
      <w:pPr>
        <w:pStyle w:val="52"/>
        <w:ind w:left="1521" w:firstLine="0" w:firstLineChars="0"/>
        <w:rPr>
          <w:rFonts w:hAnsi="宋体"/>
          <w:sz w:val="24"/>
        </w:rPr>
      </w:pPr>
      <w:r>
        <w:rPr>
          <w:rFonts w:hint="eastAsia" w:hAnsi="宋体"/>
          <w:sz w:val="24"/>
        </w:rPr>
        <w:t>乙方应保证所提供的服务或其任何一部分均不会侵犯任何第三方的专利权、商标权或著作权。</w:t>
      </w:r>
    </w:p>
    <w:p>
      <w:pPr>
        <w:pStyle w:val="52"/>
        <w:tabs>
          <w:tab w:val="left" w:pos="1521"/>
        </w:tabs>
        <w:ind w:left="1521" w:firstLine="0" w:firstLineChars="0"/>
        <w:rPr>
          <w:rFonts w:hAnsi="宋体"/>
          <w:b/>
          <w:sz w:val="24"/>
        </w:rPr>
      </w:pPr>
    </w:p>
    <w:p>
      <w:pPr>
        <w:pStyle w:val="52"/>
        <w:numPr>
          <w:ilvl w:val="0"/>
          <w:numId w:val="6"/>
        </w:numPr>
        <w:ind w:firstLineChars="0"/>
        <w:rPr>
          <w:rFonts w:hAnsi="宋体"/>
          <w:b/>
          <w:sz w:val="24"/>
        </w:rPr>
      </w:pPr>
      <w:r>
        <w:rPr>
          <w:rFonts w:hint="eastAsia" w:hAnsi="宋体"/>
          <w:b/>
          <w:sz w:val="24"/>
        </w:rPr>
        <w:t>无产权瑕疵条款</w:t>
      </w:r>
    </w:p>
    <w:p>
      <w:pPr>
        <w:pStyle w:val="52"/>
        <w:ind w:left="1521" w:firstLine="0" w:firstLineChars="0"/>
        <w:rPr>
          <w:rFonts w:hAnsi="宋体"/>
          <w:sz w:val="24"/>
        </w:rPr>
      </w:pPr>
      <w:r>
        <w:rPr>
          <w:rFonts w:hint="eastAsia" w:ascii="宋体" w:hAnsi="宋体"/>
          <w:bCs/>
          <w:sz w:val="24"/>
        </w:rPr>
        <w:t>乙方保证所提供的服务的所有权完全属于乙方且无任何抵押、查封等产权瑕疵。如有产权瑕疵的，视为乙方违约。乙方应负担由此而产生的一切损失</w:t>
      </w:r>
      <w:r>
        <w:rPr>
          <w:rFonts w:hint="eastAsia" w:hAnsi="宋体"/>
          <w:sz w:val="24"/>
        </w:rPr>
        <w:t>。</w:t>
      </w:r>
    </w:p>
    <w:p>
      <w:pPr>
        <w:numPr>
          <w:ilvl w:val="0"/>
          <w:numId w:val="6"/>
        </w:numPr>
        <w:tabs>
          <w:tab w:val="left" w:pos="1662"/>
        </w:tabs>
        <w:rPr>
          <w:rFonts w:hAnsi="宋体"/>
          <w:b/>
          <w:sz w:val="24"/>
        </w:rPr>
      </w:pPr>
      <w:r>
        <w:rPr>
          <w:rFonts w:hAnsi="宋体"/>
          <w:b/>
          <w:sz w:val="24"/>
        </w:rPr>
        <w:t>乙方的权利和义务</w:t>
      </w:r>
    </w:p>
    <w:p>
      <w:pPr>
        <w:rPr>
          <w:rFonts w:hAnsi="宋体"/>
          <w:bCs/>
          <w:sz w:val="24"/>
        </w:rPr>
      </w:pPr>
      <w:r>
        <w:rPr>
          <w:rFonts w:hint="eastAsia" w:hAnsi="宋体"/>
          <w:bCs/>
          <w:sz w:val="24"/>
        </w:rPr>
        <w:t>1、</w:t>
      </w:r>
      <w:r>
        <w:rPr>
          <w:rFonts w:hAnsi="宋体"/>
          <w:bCs/>
          <w:sz w:val="24"/>
        </w:rPr>
        <w:t>对本合同规定的委托</w:t>
      </w:r>
      <w:r>
        <w:rPr>
          <w:rFonts w:hint="eastAsia" w:hAnsi="宋体"/>
          <w:bCs/>
          <w:sz w:val="24"/>
        </w:rPr>
        <w:t>服务</w:t>
      </w:r>
      <w:r>
        <w:rPr>
          <w:rFonts w:hAnsi="宋体"/>
          <w:bCs/>
          <w:sz w:val="24"/>
        </w:rPr>
        <w:t>范围内的</w:t>
      </w:r>
      <w:r>
        <w:rPr>
          <w:rFonts w:hint="eastAsia" w:hAnsi="宋体"/>
          <w:bCs/>
          <w:sz w:val="24"/>
        </w:rPr>
        <w:t>项目</w:t>
      </w:r>
      <w:r>
        <w:rPr>
          <w:rFonts w:hAnsi="宋体"/>
          <w:bCs/>
          <w:sz w:val="24"/>
        </w:rPr>
        <w:t>享有管理权及服务义务。</w:t>
      </w:r>
    </w:p>
    <w:p>
      <w:pPr>
        <w:rPr>
          <w:rFonts w:hAnsi="宋体"/>
          <w:bCs/>
          <w:sz w:val="24"/>
        </w:rPr>
      </w:pPr>
      <w:r>
        <w:rPr>
          <w:rFonts w:hint="eastAsia" w:hAnsi="宋体"/>
          <w:bCs/>
          <w:sz w:val="24"/>
        </w:rPr>
        <w:t>2、</w:t>
      </w:r>
      <w:r>
        <w:rPr>
          <w:rFonts w:hAnsi="宋体"/>
          <w:bCs/>
          <w:sz w:val="24"/>
        </w:rPr>
        <w:t>根据本合同的规定向甲方收取相关</w:t>
      </w:r>
      <w:r>
        <w:rPr>
          <w:rFonts w:hint="eastAsia" w:hAnsi="宋体"/>
          <w:bCs/>
          <w:sz w:val="24"/>
        </w:rPr>
        <w:t>服务</w:t>
      </w:r>
      <w:r>
        <w:rPr>
          <w:rFonts w:hAnsi="宋体"/>
          <w:bCs/>
          <w:sz w:val="24"/>
        </w:rPr>
        <w:t>费用，并有权</w:t>
      </w:r>
      <w:r>
        <w:rPr>
          <w:rFonts w:hint="eastAsia" w:hAnsi="宋体"/>
          <w:bCs/>
          <w:sz w:val="24"/>
        </w:rPr>
        <w:t>在本项目管理范围内</w:t>
      </w:r>
      <w:r>
        <w:rPr>
          <w:rFonts w:hAnsi="宋体"/>
          <w:bCs/>
          <w:sz w:val="24"/>
        </w:rPr>
        <w:t>管理及合理使用。</w:t>
      </w:r>
    </w:p>
    <w:p>
      <w:pPr>
        <w:rPr>
          <w:rFonts w:hAnsi="宋体"/>
          <w:sz w:val="24"/>
        </w:rPr>
      </w:pPr>
      <w:r>
        <w:rPr>
          <w:rFonts w:hint="eastAsia" w:hAnsi="宋体"/>
          <w:sz w:val="24"/>
        </w:rPr>
        <w:t>3、及时向甲方通告本项目服务范围内有关服务的重大事项，及时配合处理投诉。</w:t>
      </w:r>
    </w:p>
    <w:p>
      <w:pPr>
        <w:rPr>
          <w:rFonts w:hAnsi="宋体"/>
          <w:bCs/>
          <w:sz w:val="24"/>
        </w:rPr>
      </w:pPr>
      <w:r>
        <w:rPr>
          <w:rFonts w:hint="eastAsia" w:hAnsi="宋体"/>
          <w:sz w:val="24"/>
        </w:rPr>
        <w:t>4、</w:t>
      </w:r>
      <w:r>
        <w:rPr>
          <w:rFonts w:hAnsi="宋体"/>
          <w:bCs/>
          <w:sz w:val="24"/>
        </w:rPr>
        <w:t>接受</w:t>
      </w:r>
      <w:r>
        <w:rPr>
          <w:rFonts w:hint="eastAsia" w:hAnsi="宋体"/>
          <w:bCs/>
          <w:sz w:val="24"/>
        </w:rPr>
        <w:t>项目行</w:t>
      </w:r>
      <w:r>
        <w:rPr>
          <w:rFonts w:hAnsi="宋体"/>
          <w:bCs/>
          <w:sz w:val="24"/>
        </w:rPr>
        <w:t>业管理部门及政府有关部门的指导，接受甲方的监督。</w:t>
      </w:r>
    </w:p>
    <w:p>
      <w:pPr>
        <w:rPr>
          <w:rFonts w:hAnsi="宋体"/>
          <w:bCs/>
          <w:sz w:val="24"/>
        </w:rPr>
      </w:pPr>
      <w:r>
        <w:rPr>
          <w:rFonts w:hint="eastAsia" w:hAnsi="宋体"/>
          <w:bCs/>
          <w:sz w:val="24"/>
        </w:rPr>
        <w:t>5、</w:t>
      </w:r>
      <w:r>
        <w:rPr>
          <w:rFonts w:hAnsi="宋体"/>
          <w:bCs/>
          <w:sz w:val="24"/>
        </w:rPr>
        <w:t>国家法律、法规所规定由乙方承担的其它责任。</w:t>
      </w:r>
    </w:p>
    <w:p>
      <w:pPr>
        <w:numPr>
          <w:ilvl w:val="0"/>
          <w:numId w:val="6"/>
        </w:numPr>
        <w:tabs>
          <w:tab w:val="left" w:pos="1662"/>
        </w:tabs>
        <w:rPr>
          <w:rFonts w:hAnsi="宋体"/>
          <w:b/>
          <w:sz w:val="24"/>
        </w:rPr>
      </w:pPr>
      <w:r>
        <w:rPr>
          <w:rFonts w:hAnsi="宋体"/>
          <w:b/>
          <w:sz w:val="24"/>
        </w:rPr>
        <w:t>甲方的权利和义务</w:t>
      </w:r>
    </w:p>
    <w:p>
      <w:pPr>
        <w:rPr>
          <w:rFonts w:hAnsi="宋体"/>
          <w:bCs/>
          <w:sz w:val="24"/>
        </w:rPr>
      </w:pPr>
      <w:r>
        <w:rPr>
          <w:rFonts w:hint="eastAsia" w:hAnsi="宋体"/>
          <w:bCs/>
          <w:sz w:val="24"/>
        </w:rPr>
        <w:t>1、</w:t>
      </w:r>
      <w:r>
        <w:rPr>
          <w:rFonts w:hAnsi="宋体"/>
          <w:bCs/>
          <w:sz w:val="24"/>
        </w:rPr>
        <w:t>甲方有权对合同规定范围内</w:t>
      </w:r>
      <w:r>
        <w:rPr>
          <w:rFonts w:hint="eastAsia" w:hAnsi="宋体"/>
          <w:bCs/>
          <w:sz w:val="24"/>
        </w:rPr>
        <w:t>乙方的服务行为</w:t>
      </w:r>
      <w:r>
        <w:rPr>
          <w:rFonts w:hAnsi="宋体"/>
          <w:bCs/>
          <w:sz w:val="24"/>
        </w:rPr>
        <w:t>进行监督和检查，拥有监管权。有权定期核对乙方提供服务所配备的人员数量。对甲方认为不合理的部分有权</w:t>
      </w:r>
      <w:r>
        <w:rPr>
          <w:rFonts w:hint="eastAsia" w:hAnsi="宋体"/>
          <w:bCs/>
          <w:sz w:val="24"/>
        </w:rPr>
        <w:t>下达整改通知书，并</w:t>
      </w:r>
      <w:r>
        <w:rPr>
          <w:rFonts w:hAnsi="宋体"/>
          <w:bCs/>
          <w:sz w:val="24"/>
        </w:rPr>
        <w:t>要求乙方</w:t>
      </w:r>
      <w:r>
        <w:rPr>
          <w:rFonts w:hint="eastAsia" w:hAnsi="宋体"/>
          <w:bCs/>
          <w:sz w:val="24"/>
        </w:rPr>
        <w:t>限期整改</w:t>
      </w:r>
      <w:r>
        <w:rPr>
          <w:rFonts w:hAnsi="宋体"/>
          <w:bCs/>
          <w:sz w:val="24"/>
        </w:rPr>
        <w:t>。</w:t>
      </w:r>
    </w:p>
    <w:p>
      <w:pPr>
        <w:rPr>
          <w:rFonts w:hAnsi="宋体"/>
          <w:bCs/>
          <w:sz w:val="24"/>
        </w:rPr>
      </w:pPr>
      <w:r>
        <w:rPr>
          <w:rFonts w:hint="eastAsia" w:hAnsi="宋体"/>
          <w:bCs/>
          <w:sz w:val="24"/>
        </w:rPr>
        <w:t>2、甲方有权依据双方签订的考评办法对乙方提供的服务进行定期考评。当考评结果未达到标准时，有权依据考评办法约定进行更改。</w:t>
      </w:r>
    </w:p>
    <w:p>
      <w:pPr>
        <w:rPr>
          <w:rFonts w:hAnsi="宋体"/>
          <w:bCs/>
          <w:sz w:val="24"/>
        </w:rPr>
      </w:pPr>
      <w:r>
        <w:rPr>
          <w:rFonts w:hint="eastAsia" w:hAnsi="宋体"/>
          <w:bCs/>
          <w:sz w:val="24"/>
        </w:rPr>
        <w:t>3、</w:t>
      </w:r>
      <w:r>
        <w:rPr>
          <w:rFonts w:hAnsi="宋体"/>
          <w:bCs/>
          <w:sz w:val="24"/>
        </w:rPr>
        <w:t>负责检查监督乙方管理工作的实施及制度的执行情况。</w:t>
      </w:r>
    </w:p>
    <w:p>
      <w:pPr>
        <w:rPr>
          <w:rFonts w:hAnsi="宋体"/>
          <w:bCs/>
          <w:sz w:val="24"/>
        </w:rPr>
      </w:pPr>
      <w:r>
        <w:rPr>
          <w:rFonts w:hint="eastAsia" w:hAnsi="宋体"/>
          <w:bCs/>
          <w:sz w:val="24"/>
        </w:rPr>
        <w:t>4、</w:t>
      </w:r>
      <w:r>
        <w:rPr>
          <w:rFonts w:hAnsi="宋体"/>
          <w:bCs/>
          <w:sz w:val="24"/>
        </w:rPr>
        <w:t>根据本合同规定，按时向乙方支付应付</w:t>
      </w:r>
      <w:r>
        <w:rPr>
          <w:rFonts w:hint="eastAsia" w:hAnsi="宋体"/>
          <w:bCs/>
          <w:sz w:val="24"/>
        </w:rPr>
        <w:t>服务费用</w:t>
      </w:r>
      <w:r>
        <w:rPr>
          <w:rFonts w:hAnsi="宋体"/>
          <w:bCs/>
          <w:sz w:val="24"/>
        </w:rPr>
        <w:t>。</w:t>
      </w:r>
    </w:p>
    <w:p>
      <w:pPr>
        <w:tabs>
          <w:tab w:val="left" w:pos="1521"/>
          <w:tab w:val="left" w:pos="1662"/>
        </w:tabs>
        <w:rPr>
          <w:rFonts w:hAnsi="宋体"/>
          <w:b/>
          <w:sz w:val="24"/>
        </w:rPr>
      </w:pPr>
      <w:r>
        <w:rPr>
          <w:rFonts w:hint="eastAsia" w:hAnsi="宋体"/>
          <w:bCs/>
          <w:sz w:val="24"/>
        </w:rPr>
        <w:t>5、</w:t>
      </w:r>
      <w:r>
        <w:rPr>
          <w:rFonts w:hAnsi="宋体"/>
          <w:bCs/>
          <w:sz w:val="24"/>
        </w:rPr>
        <w:t>国家法律、法规所规定由甲方承担的其它责任</w:t>
      </w:r>
    </w:p>
    <w:p>
      <w:pPr>
        <w:numPr>
          <w:ilvl w:val="0"/>
          <w:numId w:val="6"/>
        </w:numPr>
        <w:tabs>
          <w:tab w:val="left" w:pos="1662"/>
        </w:tabs>
        <w:rPr>
          <w:rFonts w:hAnsi="宋体"/>
          <w:b/>
          <w:sz w:val="24"/>
        </w:rPr>
      </w:pPr>
      <w:r>
        <w:rPr>
          <w:rFonts w:hAnsi="宋体"/>
          <w:b/>
          <w:sz w:val="24"/>
        </w:rPr>
        <w:t>违约责任</w:t>
      </w:r>
    </w:p>
    <w:p>
      <w:pPr>
        <w:rPr>
          <w:rFonts w:hAnsi="宋体"/>
          <w:bCs/>
          <w:sz w:val="24"/>
        </w:rPr>
      </w:pPr>
      <w:r>
        <w:rPr>
          <w:rFonts w:hint="eastAsia" w:hAnsi="宋体"/>
          <w:bCs/>
          <w:sz w:val="24"/>
        </w:rPr>
        <w:t>1、</w:t>
      </w:r>
      <w:r>
        <w:rPr>
          <w:rFonts w:hAnsi="宋体"/>
          <w:bCs/>
          <w:sz w:val="24"/>
        </w:rPr>
        <w:t>甲乙双方必须遵守本合同并执行合同中的各项规定，保证</w:t>
      </w:r>
      <w:r>
        <w:rPr>
          <w:rFonts w:hint="eastAsia" w:hAnsi="宋体"/>
          <w:bCs/>
          <w:sz w:val="24"/>
        </w:rPr>
        <w:t>本</w:t>
      </w:r>
      <w:r>
        <w:rPr>
          <w:rFonts w:hAnsi="宋体"/>
          <w:bCs/>
          <w:sz w:val="24"/>
        </w:rPr>
        <w:t>合同的正常</w:t>
      </w:r>
      <w:r>
        <w:rPr>
          <w:rFonts w:hint="eastAsia" w:hAnsi="宋体"/>
          <w:bCs/>
          <w:sz w:val="24"/>
        </w:rPr>
        <w:t>履行</w:t>
      </w:r>
      <w:r>
        <w:rPr>
          <w:rFonts w:hAnsi="宋体"/>
          <w:bCs/>
          <w:sz w:val="24"/>
        </w:rPr>
        <w:t>。</w:t>
      </w:r>
    </w:p>
    <w:p>
      <w:pPr>
        <w:rPr>
          <w:rFonts w:hAnsi="宋体"/>
          <w:bCs/>
          <w:sz w:val="24"/>
        </w:rPr>
      </w:pPr>
      <w:r>
        <w:rPr>
          <w:rFonts w:hint="eastAsia" w:hAnsi="宋体"/>
          <w:bCs/>
          <w:sz w:val="24"/>
        </w:rPr>
        <w:t>2、</w:t>
      </w:r>
      <w:r>
        <w:rPr>
          <w:rFonts w:hAnsi="宋体"/>
          <w:bCs/>
          <w:sz w:val="24"/>
        </w:rPr>
        <w:t>如因乙方</w:t>
      </w:r>
      <w:r>
        <w:rPr>
          <w:rFonts w:hint="eastAsia" w:hAnsi="宋体"/>
          <w:bCs/>
          <w:sz w:val="24"/>
        </w:rPr>
        <w:t>工作人员在履行职务过程中的</w:t>
      </w:r>
      <w:r>
        <w:rPr>
          <w:rFonts w:hAnsi="宋体"/>
          <w:bCs/>
          <w:sz w:val="24"/>
        </w:rPr>
        <w:t>的疏忽、失职、过错等</w:t>
      </w:r>
      <w:r>
        <w:rPr>
          <w:rFonts w:hint="eastAsia" w:hAnsi="宋体"/>
          <w:bCs/>
          <w:sz w:val="24"/>
        </w:rPr>
        <w:t>故意或者过失</w:t>
      </w:r>
      <w:r>
        <w:rPr>
          <w:rFonts w:hAnsi="宋体"/>
          <w:bCs/>
          <w:sz w:val="24"/>
        </w:rPr>
        <w:t>原因给甲方造成损失或侵害，</w:t>
      </w:r>
      <w:r>
        <w:rPr>
          <w:rFonts w:hint="eastAsia" w:hAnsi="宋体"/>
          <w:bCs/>
          <w:sz w:val="24"/>
        </w:rPr>
        <w:t>包括但不限于甲方本身的财产损失、由此而导致的甲方对任何第三方的法律责任等，乙方对此均应承担全部的赔偿责任</w:t>
      </w:r>
      <w:r>
        <w:rPr>
          <w:rFonts w:hAnsi="宋体"/>
          <w:bCs/>
          <w:sz w:val="24"/>
        </w:rPr>
        <w:t>。</w:t>
      </w:r>
    </w:p>
    <w:p>
      <w:pPr>
        <w:rPr>
          <w:rFonts w:hAnsi="宋体"/>
          <w:bCs/>
          <w:sz w:val="24"/>
        </w:rPr>
      </w:pPr>
      <w:r>
        <w:rPr>
          <w:rFonts w:hint="eastAsia" w:hAnsi="宋体"/>
          <w:bCs/>
          <w:sz w:val="24"/>
        </w:rPr>
        <w:t>3、甲方如不能按合同约定支付项目款，乙方有权延期实施项目工作内容，并按国家法律相关规定索取相应经济补偿。</w:t>
      </w:r>
    </w:p>
    <w:p>
      <w:pPr>
        <w:numPr>
          <w:ilvl w:val="0"/>
          <w:numId w:val="6"/>
        </w:numPr>
        <w:tabs>
          <w:tab w:val="left" w:pos="1662"/>
        </w:tabs>
        <w:rPr>
          <w:rFonts w:hAnsi="宋体"/>
          <w:b/>
          <w:sz w:val="24"/>
        </w:rPr>
      </w:pPr>
      <w:r>
        <w:rPr>
          <w:rFonts w:hint="eastAsia" w:hAnsi="宋体"/>
          <w:b/>
          <w:sz w:val="24"/>
        </w:rPr>
        <w:t>不可抗力事件处理</w:t>
      </w:r>
    </w:p>
    <w:p>
      <w:pPr>
        <w:rPr>
          <w:rFonts w:hAnsi="宋体"/>
          <w:sz w:val="24"/>
        </w:rPr>
      </w:pPr>
      <w:r>
        <w:rPr>
          <w:rFonts w:hint="eastAsia" w:hAnsi="宋体"/>
          <w:sz w:val="24"/>
        </w:rPr>
        <w:t>1、在合同有效期内，任何一方因不可抗力事件导致不能履行合同，则合同履行期可延长，其延长期与不可抗力影响期相同。</w:t>
      </w:r>
    </w:p>
    <w:p>
      <w:pPr>
        <w:rPr>
          <w:rFonts w:hAnsi="宋体"/>
          <w:sz w:val="24"/>
        </w:rPr>
      </w:pPr>
      <w:r>
        <w:rPr>
          <w:rFonts w:hint="eastAsia" w:hAnsi="宋体"/>
          <w:sz w:val="24"/>
        </w:rPr>
        <w:t>2、不可抗力事件发生后，应立即通知对方，并寄送有关权威机构出具的证明。</w:t>
      </w:r>
    </w:p>
    <w:p>
      <w:pPr>
        <w:rPr>
          <w:rFonts w:hAnsi="宋体"/>
          <w:sz w:val="24"/>
        </w:rPr>
      </w:pPr>
      <w:r>
        <w:rPr>
          <w:rFonts w:hint="eastAsia" w:hAnsi="宋体"/>
          <w:sz w:val="24"/>
        </w:rPr>
        <w:t>3、不可抗力事件延续XX天以上，双方应通过友好协商，确定是否继续履行合同。</w:t>
      </w:r>
    </w:p>
    <w:p>
      <w:pPr>
        <w:numPr>
          <w:ilvl w:val="0"/>
          <w:numId w:val="6"/>
        </w:numPr>
        <w:tabs>
          <w:tab w:val="left" w:pos="1662"/>
        </w:tabs>
        <w:rPr>
          <w:rFonts w:hAnsi="宋体"/>
          <w:b/>
          <w:sz w:val="24"/>
        </w:rPr>
      </w:pPr>
      <w:r>
        <w:rPr>
          <w:rFonts w:hint="eastAsia" w:hAnsi="宋体"/>
          <w:b/>
          <w:sz w:val="24"/>
        </w:rPr>
        <w:t>解</w:t>
      </w:r>
      <w:r>
        <w:rPr>
          <w:rFonts w:hAnsi="宋体"/>
          <w:b/>
          <w:sz w:val="24"/>
        </w:rPr>
        <w:t>决合同纠纷的方式</w:t>
      </w:r>
    </w:p>
    <w:p>
      <w:pPr>
        <w:rPr>
          <w:rFonts w:hAnsi="宋体"/>
          <w:sz w:val="24"/>
        </w:rPr>
      </w:pPr>
      <w:r>
        <w:rPr>
          <w:rFonts w:hint="eastAsia" w:hAnsi="宋体"/>
          <w:sz w:val="24"/>
        </w:rPr>
        <w:t>1、合同一经签订，不得随意变更、中止或终止。对确需变更、调整或者中止、终止合同的，应按规定履行相应的手续。</w:t>
      </w:r>
    </w:p>
    <w:p>
      <w:pPr>
        <w:rPr>
          <w:rFonts w:hAnsi="宋体"/>
          <w:sz w:val="24"/>
        </w:rPr>
      </w:pPr>
      <w:r>
        <w:rPr>
          <w:rFonts w:hint="eastAsia" w:hAnsi="宋体"/>
          <w:sz w:val="24"/>
        </w:rPr>
        <w:t>2、合同执行中发生争议的，甲、乙双方应协商解决，协商达不成一致时，可向甲方所在地人民法院提请诉讼。</w:t>
      </w:r>
    </w:p>
    <w:p>
      <w:pPr>
        <w:numPr>
          <w:ilvl w:val="0"/>
          <w:numId w:val="6"/>
        </w:numPr>
        <w:tabs>
          <w:tab w:val="left" w:pos="1662"/>
        </w:tabs>
        <w:rPr>
          <w:rFonts w:hAnsi="宋体"/>
          <w:b/>
          <w:sz w:val="24"/>
        </w:rPr>
      </w:pPr>
      <w:r>
        <w:rPr>
          <w:rFonts w:hAnsi="宋体"/>
          <w:b/>
          <w:sz w:val="24"/>
        </w:rPr>
        <w:t>合同</w:t>
      </w:r>
      <w:r>
        <w:rPr>
          <w:rFonts w:hint="eastAsia" w:hAnsi="宋体"/>
          <w:b/>
          <w:sz w:val="24"/>
        </w:rPr>
        <w:t>生效及其他</w:t>
      </w:r>
    </w:p>
    <w:p>
      <w:pPr>
        <w:adjustRightInd w:val="0"/>
        <w:snapToGrid w:val="0"/>
        <w:spacing w:line="400" w:lineRule="exact"/>
        <w:rPr>
          <w:rFonts w:hAnsi="宋体"/>
          <w:sz w:val="24"/>
        </w:rPr>
      </w:pPr>
      <w:r>
        <w:rPr>
          <w:rFonts w:hint="eastAsia" w:hAnsi="宋体"/>
          <w:sz w:val="24"/>
        </w:rPr>
        <w:t>1、甲、乙双方做为合同执行的主体，有义务及时完全履行合同。</w:t>
      </w:r>
    </w:p>
    <w:p>
      <w:pPr>
        <w:adjustRightInd w:val="0"/>
        <w:snapToGrid w:val="0"/>
        <w:spacing w:line="400" w:lineRule="exact"/>
        <w:rPr>
          <w:rFonts w:hAnsi="宋体"/>
          <w:sz w:val="24"/>
        </w:rPr>
      </w:pPr>
      <w:r>
        <w:rPr>
          <w:rFonts w:hint="eastAsia" w:hAnsi="宋体"/>
          <w:sz w:val="24"/>
        </w:rPr>
        <w:t>2、合同未尽事宜，由甲、乙双方协商，协商方案作为本合同不可分割的组成部分，与本合同具有同等法律效力。</w:t>
      </w:r>
    </w:p>
    <w:p>
      <w:pPr>
        <w:adjustRightInd w:val="0"/>
        <w:snapToGrid w:val="0"/>
        <w:spacing w:line="400" w:lineRule="exact"/>
        <w:rPr>
          <w:rFonts w:hAnsi="宋体"/>
          <w:sz w:val="24"/>
        </w:rPr>
      </w:pPr>
      <w:r>
        <w:rPr>
          <w:rFonts w:hint="eastAsia" w:hAnsi="宋体"/>
          <w:sz w:val="24"/>
        </w:rPr>
        <w:t>3、采购文件和乙方的响应文件以及合同附件均为合同不可分割的部分。</w:t>
      </w:r>
    </w:p>
    <w:p>
      <w:pPr>
        <w:tabs>
          <w:tab w:val="left" w:pos="5355"/>
        </w:tabs>
        <w:spacing w:line="400" w:lineRule="exact"/>
        <w:rPr>
          <w:rFonts w:hAnsi="宋体"/>
          <w:sz w:val="24"/>
        </w:rPr>
      </w:pPr>
      <w:r>
        <w:rPr>
          <w:rFonts w:hint="eastAsia" w:hAnsi="宋体"/>
          <w:sz w:val="24"/>
        </w:rPr>
        <w:t>4、合同一式伍份，甲方、乙方各贰份、招标代理机构壹份。甲方、乙方及方签字盖章后生效，合同执行完毕自动失效。（合同的服务承诺长期有效）。</w:t>
      </w:r>
    </w:p>
    <w:p>
      <w:pPr>
        <w:tabs>
          <w:tab w:val="left" w:pos="1662"/>
        </w:tabs>
        <w:ind w:left="1662"/>
        <w:rPr>
          <w:rFonts w:hAnsi="宋体"/>
          <w:b/>
          <w:sz w:val="24"/>
        </w:rPr>
      </w:pPr>
      <w:r>
        <w:rPr>
          <w:rFonts w:hint="eastAsia" w:hAnsi="宋体"/>
          <w:b/>
          <w:sz w:val="24"/>
        </w:rPr>
        <w:t>附件</w:t>
      </w:r>
    </w:p>
    <w:p>
      <w:pPr>
        <w:rPr>
          <w:rFonts w:hAnsi="宋体"/>
          <w:sz w:val="24"/>
        </w:rPr>
      </w:pPr>
      <w:r>
        <w:rPr>
          <w:rFonts w:hint="eastAsia" w:hAnsi="宋体"/>
          <w:sz w:val="24"/>
        </w:rPr>
        <w:t>1、项目采购文件</w:t>
      </w:r>
    </w:p>
    <w:p>
      <w:pPr>
        <w:rPr>
          <w:rFonts w:hAnsi="宋体"/>
          <w:sz w:val="24"/>
        </w:rPr>
      </w:pPr>
      <w:r>
        <w:rPr>
          <w:rFonts w:hint="eastAsia" w:hAnsi="宋体"/>
          <w:sz w:val="24"/>
        </w:rPr>
        <w:t>2、项目修改澄清文件</w:t>
      </w:r>
    </w:p>
    <w:p>
      <w:pPr>
        <w:rPr>
          <w:rFonts w:hAnsi="宋体"/>
          <w:sz w:val="24"/>
        </w:rPr>
      </w:pPr>
      <w:r>
        <w:rPr>
          <w:rFonts w:hint="eastAsia" w:hAnsi="宋体"/>
          <w:sz w:val="24"/>
        </w:rPr>
        <w:t>3、项目响应文件</w:t>
      </w:r>
    </w:p>
    <w:p>
      <w:pPr>
        <w:rPr>
          <w:rFonts w:hAnsi="宋体"/>
          <w:sz w:val="24"/>
        </w:rPr>
      </w:pPr>
      <w:r>
        <w:rPr>
          <w:rFonts w:hint="eastAsia" w:hAnsi="宋体"/>
          <w:sz w:val="24"/>
        </w:rPr>
        <w:t>4、成交通知书</w:t>
      </w:r>
    </w:p>
    <w:p>
      <w:pPr>
        <w:rPr>
          <w:rFonts w:hAnsi="宋体"/>
          <w:sz w:val="24"/>
        </w:rPr>
      </w:pPr>
      <w:r>
        <w:rPr>
          <w:rFonts w:hint="eastAsia" w:hAnsi="宋体"/>
          <w:sz w:val="24"/>
        </w:rPr>
        <w:t>5、其他</w:t>
      </w:r>
    </w:p>
    <w:p>
      <w:pPr>
        <w:rPr>
          <w:rFonts w:hAnsi="宋体"/>
          <w:sz w:val="24"/>
        </w:rPr>
      </w:pPr>
    </w:p>
    <w:p>
      <w:pPr>
        <w:adjustRightInd w:val="0"/>
        <w:snapToGrid w:val="0"/>
        <w:spacing w:line="400" w:lineRule="exact"/>
        <w:ind w:firstLine="600" w:firstLineChars="250"/>
        <w:rPr>
          <w:rFonts w:hAnsi="宋体"/>
          <w:sz w:val="24"/>
        </w:rPr>
      </w:pPr>
      <w:r>
        <w:rPr>
          <w:rFonts w:hint="eastAsia" w:hAnsi="宋体"/>
          <w:sz w:val="24"/>
        </w:rPr>
        <w:t>甲  方：（公章）                          乙  方：（公章）</w:t>
      </w:r>
    </w:p>
    <w:p>
      <w:pPr>
        <w:adjustRightInd w:val="0"/>
        <w:snapToGrid w:val="0"/>
        <w:spacing w:line="400" w:lineRule="exact"/>
        <w:ind w:firstLine="600" w:firstLineChars="250"/>
        <w:rPr>
          <w:rFonts w:hAnsi="宋体"/>
          <w:sz w:val="24"/>
        </w:rPr>
      </w:pPr>
      <w:r>
        <w:rPr>
          <w:rFonts w:hint="eastAsia" w:hAnsi="宋体"/>
          <w:sz w:val="24"/>
        </w:rPr>
        <w:t xml:space="preserve">地  址：                                  地    址： </w:t>
      </w:r>
    </w:p>
    <w:p>
      <w:pPr>
        <w:adjustRightInd w:val="0"/>
        <w:snapToGrid w:val="0"/>
        <w:spacing w:line="400" w:lineRule="exact"/>
        <w:ind w:firstLine="600" w:firstLineChars="250"/>
        <w:rPr>
          <w:rFonts w:hAnsi="宋体"/>
          <w:sz w:val="24"/>
        </w:rPr>
      </w:pPr>
      <w:r>
        <w:rPr>
          <w:rFonts w:hint="eastAsia" w:hAnsi="宋体"/>
          <w:sz w:val="24"/>
        </w:rPr>
        <w:t>法定代表人：（签字）                      法定代表人：（签字）</w:t>
      </w:r>
    </w:p>
    <w:p>
      <w:pPr>
        <w:adjustRightInd w:val="0"/>
        <w:snapToGrid w:val="0"/>
        <w:spacing w:line="400" w:lineRule="exact"/>
        <w:ind w:firstLine="600" w:firstLineChars="250"/>
        <w:rPr>
          <w:rFonts w:hAnsi="宋体"/>
          <w:sz w:val="24"/>
        </w:rPr>
      </w:pPr>
    </w:p>
    <w:p>
      <w:pPr>
        <w:adjustRightInd w:val="0"/>
        <w:snapToGrid w:val="0"/>
        <w:spacing w:line="400" w:lineRule="exact"/>
        <w:ind w:firstLine="600" w:firstLineChars="250"/>
        <w:rPr>
          <w:rFonts w:hAnsi="宋体"/>
          <w:sz w:val="24"/>
        </w:rPr>
      </w:pPr>
      <w:r>
        <w:rPr>
          <w:rFonts w:hint="eastAsia" w:hAnsi="宋体"/>
          <w:sz w:val="24"/>
        </w:rPr>
        <w:t>代理人：（签字）                          代理人：（签字）</w:t>
      </w:r>
    </w:p>
    <w:p>
      <w:pPr>
        <w:adjustRightInd w:val="0"/>
        <w:snapToGrid w:val="0"/>
        <w:spacing w:line="400" w:lineRule="exact"/>
        <w:ind w:firstLine="600" w:firstLineChars="250"/>
        <w:rPr>
          <w:rFonts w:hAnsi="宋体"/>
          <w:sz w:val="24"/>
        </w:rPr>
      </w:pPr>
      <w:r>
        <w:rPr>
          <w:rFonts w:hint="eastAsia" w:hAnsi="宋体"/>
          <w:sz w:val="24"/>
        </w:rPr>
        <w:t>联系电话：                                开户银行：</w:t>
      </w:r>
    </w:p>
    <w:p>
      <w:pPr>
        <w:adjustRightInd w:val="0"/>
        <w:snapToGrid w:val="0"/>
        <w:spacing w:line="400" w:lineRule="exact"/>
        <w:ind w:firstLine="5640" w:firstLineChars="2350"/>
        <w:rPr>
          <w:rFonts w:hAnsi="宋体"/>
          <w:sz w:val="24"/>
        </w:rPr>
      </w:pPr>
      <w:r>
        <w:rPr>
          <w:rFonts w:hint="eastAsia" w:hAnsi="宋体"/>
          <w:sz w:val="24"/>
        </w:rPr>
        <w:t xml:space="preserve">帐   号： </w:t>
      </w:r>
    </w:p>
    <w:p>
      <w:pPr>
        <w:adjustRightInd w:val="0"/>
        <w:snapToGrid w:val="0"/>
        <w:spacing w:line="400" w:lineRule="exact"/>
        <w:ind w:firstLine="5640" w:firstLineChars="2350"/>
        <w:rPr>
          <w:rFonts w:hAnsi="宋体"/>
          <w:sz w:val="24"/>
        </w:rPr>
      </w:pPr>
      <w:r>
        <w:rPr>
          <w:rFonts w:hint="eastAsia" w:hAnsi="宋体"/>
          <w:sz w:val="24"/>
        </w:rPr>
        <w:t>联系电话：</w:t>
      </w:r>
    </w:p>
    <w:p>
      <w:pPr>
        <w:adjustRightInd w:val="0"/>
        <w:snapToGrid w:val="0"/>
        <w:spacing w:line="400" w:lineRule="exact"/>
        <w:ind w:firstLine="600" w:firstLineChars="250"/>
        <w:rPr>
          <w:rFonts w:hAnsi="宋体"/>
          <w:sz w:val="24"/>
        </w:rPr>
      </w:pPr>
      <w:r>
        <w:rPr>
          <w:rFonts w:hint="eastAsia" w:hAnsi="宋体"/>
          <w:sz w:val="24"/>
        </w:rPr>
        <w:t>签订日期：   年  月  日                   签订日期：   年  月  日</w:t>
      </w:r>
    </w:p>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3n79LX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VNySIvw4STOI29JysOu2Ei&#10;unPtCXn2uBANtbj/lOh7i3qn3ZmNMBu72Tj4oPZdXq5UC/z7Q8Tmcs+pwgiLXJODk8ysp61Lq/K3&#10;n7Oe/rTN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95+/S1wEAALEDAAAOAAAAAAAAAAEA&#10;IAAAACIBAABkcnMvZTJvRG9jLnhtbFBLBQYAAAAABgAGAFkBAABrBQAAAAA=&#10;">
          <v:path/>
          <v:fill on="f" focussize="0,0"/>
          <v:stroke on="f" weight="1.2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yTDz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5ckw81wEAALEDAAAOAAAAAAAAAAEA&#10;IAAAACIBAABkcnMvZTJvRG9jLnhtbFBLBQYAAAAABgAGAFkBAABrBQAA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29</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1025"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CC8B1"/>
    <w:multiLevelType w:val="singleLevel"/>
    <w:tmpl w:val="AE8CC8B1"/>
    <w:lvl w:ilvl="0" w:tentative="0">
      <w:start w:val="1"/>
      <w:numFmt w:val="decimal"/>
      <w:suff w:val="nothing"/>
      <w:lvlText w:val="%1．"/>
      <w:lvlJc w:val="left"/>
      <w:pPr>
        <w:ind w:left="0" w:firstLine="400"/>
      </w:pPr>
      <w:rPr>
        <w:rFonts w:hint="default"/>
      </w:rPr>
    </w:lvl>
  </w:abstractNum>
  <w:abstractNum w:abstractNumId="1">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2">
    <w:nsid w:val="59C07086"/>
    <w:multiLevelType w:val="singleLevel"/>
    <w:tmpl w:val="59C07086"/>
    <w:lvl w:ilvl="0" w:tentative="0">
      <w:start w:val="1"/>
      <w:numFmt w:val="decimal"/>
      <w:suff w:val="nothing"/>
      <w:lvlText w:val="%1、"/>
      <w:lvlJc w:val="left"/>
      <w:rPr>
        <w:rFonts w:cs="Times New Roman"/>
      </w:rPr>
    </w:lvl>
  </w:abstractNum>
  <w:abstractNum w:abstractNumId="3">
    <w:nsid w:val="59DAE5C0"/>
    <w:multiLevelType w:val="singleLevel"/>
    <w:tmpl w:val="59DAE5C0"/>
    <w:lvl w:ilvl="0" w:tentative="0">
      <w:start w:val="3"/>
      <w:numFmt w:val="chineseCounting"/>
      <w:suff w:val="nothing"/>
      <w:lvlText w:val="%1、"/>
      <w:lvlJc w:val="left"/>
      <w:rPr>
        <w:rFonts w:cs="Times New Roman"/>
      </w:rPr>
    </w:lvl>
  </w:abstractNum>
  <w:abstractNum w:abstractNumId="4">
    <w:nsid w:val="59DB328A"/>
    <w:multiLevelType w:val="singleLevel"/>
    <w:tmpl w:val="59DB328A"/>
    <w:lvl w:ilvl="0" w:tentative="0">
      <w:start w:val="1"/>
      <w:numFmt w:val="decimal"/>
      <w:suff w:val="nothing"/>
      <w:lvlText w:val="（%1）"/>
      <w:lvlJc w:val="left"/>
      <w:rPr>
        <w:rFonts w:cs="Times New Roman"/>
      </w:rPr>
    </w:lvl>
  </w:abstractNum>
  <w:abstractNum w:abstractNumId="5">
    <w:nsid w:val="5A5C7400"/>
    <w:multiLevelType w:val="singleLevel"/>
    <w:tmpl w:val="5A5C7400"/>
    <w:lvl w:ilvl="0" w:tentative="0">
      <w:start w:val="3"/>
      <w:numFmt w:val="chineseCounting"/>
      <w:suff w:val="nothing"/>
      <w:lvlText w:val="%1、"/>
      <w:lvlJc w:val="left"/>
      <w:rPr>
        <w:rFonts w:cs="Times New Roman"/>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xZWE1OGE5ODBkMjYzZjYxMTM4MTcxODhmNmZiNjgifQ=="/>
  </w:docVars>
  <w:rsids>
    <w:rsidRoot w:val="004B57E2"/>
    <w:rsid w:val="00021463"/>
    <w:rsid w:val="00033A04"/>
    <w:rsid w:val="0003760A"/>
    <w:rsid w:val="000472AF"/>
    <w:rsid w:val="0005558A"/>
    <w:rsid w:val="000562DE"/>
    <w:rsid w:val="000607A1"/>
    <w:rsid w:val="00064D63"/>
    <w:rsid w:val="00066BC2"/>
    <w:rsid w:val="00080C2F"/>
    <w:rsid w:val="00086EF5"/>
    <w:rsid w:val="00090D0F"/>
    <w:rsid w:val="000A071E"/>
    <w:rsid w:val="000C0FC4"/>
    <w:rsid w:val="000C5678"/>
    <w:rsid w:val="000C7D5F"/>
    <w:rsid w:val="000F1946"/>
    <w:rsid w:val="000F432F"/>
    <w:rsid w:val="00105278"/>
    <w:rsid w:val="00125ACC"/>
    <w:rsid w:val="00166363"/>
    <w:rsid w:val="0017124D"/>
    <w:rsid w:val="00177E96"/>
    <w:rsid w:val="00182FF7"/>
    <w:rsid w:val="00185D5A"/>
    <w:rsid w:val="00186EB4"/>
    <w:rsid w:val="00194D5C"/>
    <w:rsid w:val="001979A8"/>
    <w:rsid w:val="001A12A3"/>
    <w:rsid w:val="001A6F3C"/>
    <w:rsid w:val="001B0C85"/>
    <w:rsid w:val="001C334B"/>
    <w:rsid w:val="001C5991"/>
    <w:rsid w:val="001C79FB"/>
    <w:rsid w:val="001D2D46"/>
    <w:rsid w:val="001D5B29"/>
    <w:rsid w:val="00202DDE"/>
    <w:rsid w:val="00205A93"/>
    <w:rsid w:val="00213902"/>
    <w:rsid w:val="002141AF"/>
    <w:rsid w:val="00223B5A"/>
    <w:rsid w:val="0022794B"/>
    <w:rsid w:val="00234831"/>
    <w:rsid w:val="002463BD"/>
    <w:rsid w:val="002463E2"/>
    <w:rsid w:val="00262687"/>
    <w:rsid w:val="00265877"/>
    <w:rsid w:val="00275C83"/>
    <w:rsid w:val="00282B4B"/>
    <w:rsid w:val="002916D3"/>
    <w:rsid w:val="002A5F6F"/>
    <w:rsid w:val="002A719C"/>
    <w:rsid w:val="002C4449"/>
    <w:rsid w:val="002E10FB"/>
    <w:rsid w:val="002E1D5B"/>
    <w:rsid w:val="002F4CAB"/>
    <w:rsid w:val="002F5926"/>
    <w:rsid w:val="00315801"/>
    <w:rsid w:val="00321147"/>
    <w:rsid w:val="00321386"/>
    <w:rsid w:val="00327EF6"/>
    <w:rsid w:val="00345486"/>
    <w:rsid w:val="00353D66"/>
    <w:rsid w:val="00361D36"/>
    <w:rsid w:val="00374D4F"/>
    <w:rsid w:val="0039023E"/>
    <w:rsid w:val="003C0C7C"/>
    <w:rsid w:val="003C68A5"/>
    <w:rsid w:val="003D438C"/>
    <w:rsid w:val="003D458E"/>
    <w:rsid w:val="004123BF"/>
    <w:rsid w:val="004177F5"/>
    <w:rsid w:val="0043138A"/>
    <w:rsid w:val="00442366"/>
    <w:rsid w:val="00450084"/>
    <w:rsid w:val="00453E1E"/>
    <w:rsid w:val="00462DCE"/>
    <w:rsid w:val="00470BE7"/>
    <w:rsid w:val="004737C7"/>
    <w:rsid w:val="004741B1"/>
    <w:rsid w:val="004758FD"/>
    <w:rsid w:val="00483A22"/>
    <w:rsid w:val="00487D23"/>
    <w:rsid w:val="00490CCF"/>
    <w:rsid w:val="004933AF"/>
    <w:rsid w:val="004937FF"/>
    <w:rsid w:val="0049393C"/>
    <w:rsid w:val="004B2844"/>
    <w:rsid w:val="004B34C3"/>
    <w:rsid w:val="004B57E2"/>
    <w:rsid w:val="004B590D"/>
    <w:rsid w:val="004E13D7"/>
    <w:rsid w:val="004E5708"/>
    <w:rsid w:val="004F658A"/>
    <w:rsid w:val="0052413A"/>
    <w:rsid w:val="00532144"/>
    <w:rsid w:val="00547A47"/>
    <w:rsid w:val="00553667"/>
    <w:rsid w:val="00554C31"/>
    <w:rsid w:val="00570BD2"/>
    <w:rsid w:val="00593C4E"/>
    <w:rsid w:val="005A519D"/>
    <w:rsid w:val="005A6997"/>
    <w:rsid w:val="005B555B"/>
    <w:rsid w:val="005D4EF9"/>
    <w:rsid w:val="005E1523"/>
    <w:rsid w:val="005E2216"/>
    <w:rsid w:val="006020DC"/>
    <w:rsid w:val="00605961"/>
    <w:rsid w:val="00607282"/>
    <w:rsid w:val="00610D09"/>
    <w:rsid w:val="00627863"/>
    <w:rsid w:val="006322D7"/>
    <w:rsid w:val="006466A5"/>
    <w:rsid w:val="0067727D"/>
    <w:rsid w:val="00697B69"/>
    <w:rsid w:val="006A61B1"/>
    <w:rsid w:val="006B66D8"/>
    <w:rsid w:val="006D44A9"/>
    <w:rsid w:val="006D58A3"/>
    <w:rsid w:val="006F08B1"/>
    <w:rsid w:val="00712CC7"/>
    <w:rsid w:val="00715213"/>
    <w:rsid w:val="00723997"/>
    <w:rsid w:val="00734B40"/>
    <w:rsid w:val="00745C2C"/>
    <w:rsid w:val="00777C87"/>
    <w:rsid w:val="00780A1C"/>
    <w:rsid w:val="007821FB"/>
    <w:rsid w:val="007858F0"/>
    <w:rsid w:val="00791B97"/>
    <w:rsid w:val="00794AEC"/>
    <w:rsid w:val="007A1ABD"/>
    <w:rsid w:val="007B78CF"/>
    <w:rsid w:val="007D2837"/>
    <w:rsid w:val="007D4C61"/>
    <w:rsid w:val="007E3B7B"/>
    <w:rsid w:val="007F54BF"/>
    <w:rsid w:val="00800138"/>
    <w:rsid w:val="008177F1"/>
    <w:rsid w:val="00824B2F"/>
    <w:rsid w:val="008339C3"/>
    <w:rsid w:val="0084169E"/>
    <w:rsid w:val="0085286F"/>
    <w:rsid w:val="00852A3E"/>
    <w:rsid w:val="00864750"/>
    <w:rsid w:val="00874C26"/>
    <w:rsid w:val="008760A7"/>
    <w:rsid w:val="0088411D"/>
    <w:rsid w:val="008B74A6"/>
    <w:rsid w:val="008D2C06"/>
    <w:rsid w:val="008E1A7E"/>
    <w:rsid w:val="008E3213"/>
    <w:rsid w:val="008F110B"/>
    <w:rsid w:val="00903BA1"/>
    <w:rsid w:val="009117BA"/>
    <w:rsid w:val="00911B62"/>
    <w:rsid w:val="0092063C"/>
    <w:rsid w:val="00932934"/>
    <w:rsid w:val="00941A30"/>
    <w:rsid w:val="00957EFB"/>
    <w:rsid w:val="00990CCE"/>
    <w:rsid w:val="00993819"/>
    <w:rsid w:val="00993B93"/>
    <w:rsid w:val="009A114D"/>
    <w:rsid w:val="009A37DB"/>
    <w:rsid w:val="009C01D4"/>
    <w:rsid w:val="009C020B"/>
    <w:rsid w:val="009C15CF"/>
    <w:rsid w:val="009C4930"/>
    <w:rsid w:val="009E09E4"/>
    <w:rsid w:val="009E6DCE"/>
    <w:rsid w:val="009E70BA"/>
    <w:rsid w:val="00A02125"/>
    <w:rsid w:val="00A12DC8"/>
    <w:rsid w:val="00A2286C"/>
    <w:rsid w:val="00A3022C"/>
    <w:rsid w:val="00A44B30"/>
    <w:rsid w:val="00A50C92"/>
    <w:rsid w:val="00A528C6"/>
    <w:rsid w:val="00A571DE"/>
    <w:rsid w:val="00A674D3"/>
    <w:rsid w:val="00A7375B"/>
    <w:rsid w:val="00A75359"/>
    <w:rsid w:val="00A760ED"/>
    <w:rsid w:val="00A86CAB"/>
    <w:rsid w:val="00A95F64"/>
    <w:rsid w:val="00A97B7B"/>
    <w:rsid w:val="00AB317B"/>
    <w:rsid w:val="00AC3D11"/>
    <w:rsid w:val="00AC61FD"/>
    <w:rsid w:val="00AD106A"/>
    <w:rsid w:val="00AD5797"/>
    <w:rsid w:val="00B02E5B"/>
    <w:rsid w:val="00B054D3"/>
    <w:rsid w:val="00B1535A"/>
    <w:rsid w:val="00B2011C"/>
    <w:rsid w:val="00B24764"/>
    <w:rsid w:val="00B27B1F"/>
    <w:rsid w:val="00B30530"/>
    <w:rsid w:val="00B31275"/>
    <w:rsid w:val="00B4744A"/>
    <w:rsid w:val="00B54F24"/>
    <w:rsid w:val="00B72186"/>
    <w:rsid w:val="00B725DC"/>
    <w:rsid w:val="00BA0C1B"/>
    <w:rsid w:val="00BA6C44"/>
    <w:rsid w:val="00BA7170"/>
    <w:rsid w:val="00C00CD4"/>
    <w:rsid w:val="00C2039D"/>
    <w:rsid w:val="00C21D8F"/>
    <w:rsid w:val="00C22A13"/>
    <w:rsid w:val="00C23B5E"/>
    <w:rsid w:val="00C2420A"/>
    <w:rsid w:val="00C362D3"/>
    <w:rsid w:val="00C40509"/>
    <w:rsid w:val="00C42D10"/>
    <w:rsid w:val="00C453CB"/>
    <w:rsid w:val="00C45CB3"/>
    <w:rsid w:val="00C45CEE"/>
    <w:rsid w:val="00C74E98"/>
    <w:rsid w:val="00C85C32"/>
    <w:rsid w:val="00C90C63"/>
    <w:rsid w:val="00CA0AEF"/>
    <w:rsid w:val="00CA2D98"/>
    <w:rsid w:val="00CD734E"/>
    <w:rsid w:val="00CE28FF"/>
    <w:rsid w:val="00CF4D97"/>
    <w:rsid w:val="00D05AD6"/>
    <w:rsid w:val="00D145DB"/>
    <w:rsid w:val="00D16A7A"/>
    <w:rsid w:val="00D2594C"/>
    <w:rsid w:val="00D54793"/>
    <w:rsid w:val="00D66D95"/>
    <w:rsid w:val="00D93EA8"/>
    <w:rsid w:val="00DA54A3"/>
    <w:rsid w:val="00DB3AC3"/>
    <w:rsid w:val="00DB7D4D"/>
    <w:rsid w:val="00DC083D"/>
    <w:rsid w:val="00DF34B3"/>
    <w:rsid w:val="00E12E98"/>
    <w:rsid w:val="00E146F1"/>
    <w:rsid w:val="00E31F18"/>
    <w:rsid w:val="00E3245C"/>
    <w:rsid w:val="00E617C8"/>
    <w:rsid w:val="00E7222F"/>
    <w:rsid w:val="00E862C5"/>
    <w:rsid w:val="00E875F8"/>
    <w:rsid w:val="00EB5ACB"/>
    <w:rsid w:val="00ED10D4"/>
    <w:rsid w:val="00ED4514"/>
    <w:rsid w:val="00EE0BC4"/>
    <w:rsid w:val="00EE114E"/>
    <w:rsid w:val="00EE1E53"/>
    <w:rsid w:val="00EE7B7A"/>
    <w:rsid w:val="00F01AD8"/>
    <w:rsid w:val="00F01C0E"/>
    <w:rsid w:val="00F14AEC"/>
    <w:rsid w:val="00F150E3"/>
    <w:rsid w:val="00F33B6D"/>
    <w:rsid w:val="00F43E03"/>
    <w:rsid w:val="00F442B3"/>
    <w:rsid w:val="00F53968"/>
    <w:rsid w:val="00F61DCD"/>
    <w:rsid w:val="00F62FB6"/>
    <w:rsid w:val="00F64B7C"/>
    <w:rsid w:val="00F948F0"/>
    <w:rsid w:val="00FA1346"/>
    <w:rsid w:val="00FB04E2"/>
    <w:rsid w:val="00FB2D63"/>
    <w:rsid w:val="00FB3227"/>
    <w:rsid w:val="00FC1834"/>
    <w:rsid w:val="00FE167D"/>
    <w:rsid w:val="00FE1E09"/>
    <w:rsid w:val="00FE5471"/>
    <w:rsid w:val="00FE6822"/>
    <w:rsid w:val="00FF2641"/>
    <w:rsid w:val="010D4BD4"/>
    <w:rsid w:val="011C646B"/>
    <w:rsid w:val="01297564"/>
    <w:rsid w:val="014852B3"/>
    <w:rsid w:val="01565C22"/>
    <w:rsid w:val="01600FE1"/>
    <w:rsid w:val="01853332"/>
    <w:rsid w:val="018A1472"/>
    <w:rsid w:val="01B56C27"/>
    <w:rsid w:val="01DA048E"/>
    <w:rsid w:val="01EA636A"/>
    <w:rsid w:val="02050A9F"/>
    <w:rsid w:val="022C62F2"/>
    <w:rsid w:val="0232672C"/>
    <w:rsid w:val="02493B3D"/>
    <w:rsid w:val="02762307"/>
    <w:rsid w:val="028F211F"/>
    <w:rsid w:val="02CB6459"/>
    <w:rsid w:val="02EC149F"/>
    <w:rsid w:val="02FF3B1C"/>
    <w:rsid w:val="03063814"/>
    <w:rsid w:val="03165668"/>
    <w:rsid w:val="03263371"/>
    <w:rsid w:val="032803C8"/>
    <w:rsid w:val="033B7AF7"/>
    <w:rsid w:val="03425B14"/>
    <w:rsid w:val="03502028"/>
    <w:rsid w:val="036D7C3A"/>
    <w:rsid w:val="03717774"/>
    <w:rsid w:val="03840BCB"/>
    <w:rsid w:val="03887BE8"/>
    <w:rsid w:val="03A76F48"/>
    <w:rsid w:val="03AA1B0B"/>
    <w:rsid w:val="03AB18E0"/>
    <w:rsid w:val="03BC4803"/>
    <w:rsid w:val="03C35AE1"/>
    <w:rsid w:val="03D83F4A"/>
    <w:rsid w:val="03E16432"/>
    <w:rsid w:val="03E219EE"/>
    <w:rsid w:val="03E57D5F"/>
    <w:rsid w:val="03EF1A15"/>
    <w:rsid w:val="03F92894"/>
    <w:rsid w:val="03FE7A74"/>
    <w:rsid w:val="040456FF"/>
    <w:rsid w:val="04066A7C"/>
    <w:rsid w:val="04067CEB"/>
    <w:rsid w:val="0416480E"/>
    <w:rsid w:val="041E22FB"/>
    <w:rsid w:val="044C3216"/>
    <w:rsid w:val="045C7EAF"/>
    <w:rsid w:val="04602913"/>
    <w:rsid w:val="046B3792"/>
    <w:rsid w:val="047343F5"/>
    <w:rsid w:val="047E2A60"/>
    <w:rsid w:val="04812FB5"/>
    <w:rsid w:val="048F3D67"/>
    <w:rsid w:val="049031F8"/>
    <w:rsid w:val="04A92595"/>
    <w:rsid w:val="04B3743B"/>
    <w:rsid w:val="04BA64C7"/>
    <w:rsid w:val="04BC0919"/>
    <w:rsid w:val="04CE56B7"/>
    <w:rsid w:val="04D24ABF"/>
    <w:rsid w:val="04DB3D0C"/>
    <w:rsid w:val="05237BC9"/>
    <w:rsid w:val="0548762F"/>
    <w:rsid w:val="056114D8"/>
    <w:rsid w:val="056F1060"/>
    <w:rsid w:val="0572688C"/>
    <w:rsid w:val="05726DA2"/>
    <w:rsid w:val="058230ED"/>
    <w:rsid w:val="05BD1368"/>
    <w:rsid w:val="05D215EF"/>
    <w:rsid w:val="05D25324"/>
    <w:rsid w:val="05D2564D"/>
    <w:rsid w:val="05DC09E6"/>
    <w:rsid w:val="05E01F5E"/>
    <w:rsid w:val="05E902CB"/>
    <w:rsid w:val="05F701DE"/>
    <w:rsid w:val="05FD22CC"/>
    <w:rsid w:val="06021ED4"/>
    <w:rsid w:val="060506BC"/>
    <w:rsid w:val="06175254"/>
    <w:rsid w:val="062743C9"/>
    <w:rsid w:val="063C1E5E"/>
    <w:rsid w:val="063F4ED6"/>
    <w:rsid w:val="066606B5"/>
    <w:rsid w:val="066971AC"/>
    <w:rsid w:val="066C6EA6"/>
    <w:rsid w:val="06A42F8B"/>
    <w:rsid w:val="06BE0162"/>
    <w:rsid w:val="06CB0518"/>
    <w:rsid w:val="06CB676A"/>
    <w:rsid w:val="06DB6E51"/>
    <w:rsid w:val="06E94E42"/>
    <w:rsid w:val="06F21F49"/>
    <w:rsid w:val="06FB73FE"/>
    <w:rsid w:val="06FD4FA7"/>
    <w:rsid w:val="070752C8"/>
    <w:rsid w:val="070C4EAB"/>
    <w:rsid w:val="071579E5"/>
    <w:rsid w:val="071F123B"/>
    <w:rsid w:val="072B1993"/>
    <w:rsid w:val="072D11D3"/>
    <w:rsid w:val="07515AE7"/>
    <w:rsid w:val="075C561B"/>
    <w:rsid w:val="07872BD3"/>
    <w:rsid w:val="07A5613F"/>
    <w:rsid w:val="07AE09BC"/>
    <w:rsid w:val="07E74891"/>
    <w:rsid w:val="07FA35F2"/>
    <w:rsid w:val="08035E2B"/>
    <w:rsid w:val="08204893"/>
    <w:rsid w:val="08312E89"/>
    <w:rsid w:val="08353651"/>
    <w:rsid w:val="084E7652"/>
    <w:rsid w:val="0854278F"/>
    <w:rsid w:val="085D7896"/>
    <w:rsid w:val="086619C9"/>
    <w:rsid w:val="08B94005"/>
    <w:rsid w:val="08D05673"/>
    <w:rsid w:val="08E7715F"/>
    <w:rsid w:val="08E9737B"/>
    <w:rsid w:val="08EB3633"/>
    <w:rsid w:val="091343F8"/>
    <w:rsid w:val="09281E70"/>
    <w:rsid w:val="09282590"/>
    <w:rsid w:val="093D47EB"/>
    <w:rsid w:val="09436A8B"/>
    <w:rsid w:val="09497B8B"/>
    <w:rsid w:val="095011A8"/>
    <w:rsid w:val="09570789"/>
    <w:rsid w:val="098349A7"/>
    <w:rsid w:val="09A00719"/>
    <w:rsid w:val="09A20DBD"/>
    <w:rsid w:val="09A82D92"/>
    <w:rsid w:val="09C0632E"/>
    <w:rsid w:val="09C17CA0"/>
    <w:rsid w:val="09CB772A"/>
    <w:rsid w:val="09D452D1"/>
    <w:rsid w:val="09E61A39"/>
    <w:rsid w:val="09EC0A0D"/>
    <w:rsid w:val="09F75AC8"/>
    <w:rsid w:val="0A142CC0"/>
    <w:rsid w:val="0A314B36"/>
    <w:rsid w:val="0A430D0D"/>
    <w:rsid w:val="0A4C7656"/>
    <w:rsid w:val="0A673624"/>
    <w:rsid w:val="0A9E5F43"/>
    <w:rsid w:val="0AA74DF8"/>
    <w:rsid w:val="0AAD4B72"/>
    <w:rsid w:val="0AB704C4"/>
    <w:rsid w:val="0AC202F5"/>
    <w:rsid w:val="0AE6366F"/>
    <w:rsid w:val="0AEA5F70"/>
    <w:rsid w:val="0AF1480D"/>
    <w:rsid w:val="0AFE5AB8"/>
    <w:rsid w:val="0B06648A"/>
    <w:rsid w:val="0B0B17DB"/>
    <w:rsid w:val="0B1F7F5B"/>
    <w:rsid w:val="0B281C67"/>
    <w:rsid w:val="0B361C1F"/>
    <w:rsid w:val="0B39139C"/>
    <w:rsid w:val="0B6251C3"/>
    <w:rsid w:val="0B7D7881"/>
    <w:rsid w:val="0B901D30"/>
    <w:rsid w:val="0B9660FF"/>
    <w:rsid w:val="0BA37CB5"/>
    <w:rsid w:val="0BBC2B25"/>
    <w:rsid w:val="0BBD048B"/>
    <w:rsid w:val="0C13512B"/>
    <w:rsid w:val="0C14470F"/>
    <w:rsid w:val="0C1732EA"/>
    <w:rsid w:val="0C1A7BC0"/>
    <w:rsid w:val="0C236700"/>
    <w:rsid w:val="0C281A6E"/>
    <w:rsid w:val="0C454E93"/>
    <w:rsid w:val="0C496515"/>
    <w:rsid w:val="0C5836A3"/>
    <w:rsid w:val="0C60153D"/>
    <w:rsid w:val="0C636533"/>
    <w:rsid w:val="0C7B57B7"/>
    <w:rsid w:val="0C803B53"/>
    <w:rsid w:val="0C871385"/>
    <w:rsid w:val="0CB63A18"/>
    <w:rsid w:val="0CB8153E"/>
    <w:rsid w:val="0CE42333"/>
    <w:rsid w:val="0CE65969"/>
    <w:rsid w:val="0CEB0B66"/>
    <w:rsid w:val="0D2941EA"/>
    <w:rsid w:val="0D36711D"/>
    <w:rsid w:val="0D372EB8"/>
    <w:rsid w:val="0D3F7E83"/>
    <w:rsid w:val="0D7926CF"/>
    <w:rsid w:val="0D8F7594"/>
    <w:rsid w:val="0D973E9A"/>
    <w:rsid w:val="0DA34CB6"/>
    <w:rsid w:val="0DA90E87"/>
    <w:rsid w:val="0DCE6B40"/>
    <w:rsid w:val="0E100F06"/>
    <w:rsid w:val="0E462A8B"/>
    <w:rsid w:val="0E572708"/>
    <w:rsid w:val="0E89077F"/>
    <w:rsid w:val="0EB42DE7"/>
    <w:rsid w:val="0EDA383A"/>
    <w:rsid w:val="0EEA7695"/>
    <w:rsid w:val="0F081160"/>
    <w:rsid w:val="0F3A0931"/>
    <w:rsid w:val="0F5074AF"/>
    <w:rsid w:val="0F706100"/>
    <w:rsid w:val="0F827BE2"/>
    <w:rsid w:val="0F8349C4"/>
    <w:rsid w:val="0F9544A7"/>
    <w:rsid w:val="0FB72260"/>
    <w:rsid w:val="0FD03056"/>
    <w:rsid w:val="0FD144F8"/>
    <w:rsid w:val="0FDC4F26"/>
    <w:rsid w:val="0FE864C5"/>
    <w:rsid w:val="0FF13445"/>
    <w:rsid w:val="0FFD5708"/>
    <w:rsid w:val="100131FC"/>
    <w:rsid w:val="102B42CD"/>
    <w:rsid w:val="103B3B14"/>
    <w:rsid w:val="103B5FDF"/>
    <w:rsid w:val="1046305E"/>
    <w:rsid w:val="10533E2A"/>
    <w:rsid w:val="105E41AB"/>
    <w:rsid w:val="10646903"/>
    <w:rsid w:val="107A22D9"/>
    <w:rsid w:val="107B7C33"/>
    <w:rsid w:val="10830E47"/>
    <w:rsid w:val="108F25B6"/>
    <w:rsid w:val="10AB4286"/>
    <w:rsid w:val="10B244F7"/>
    <w:rsid w:val="10C46A27"/>
    <w:rsid w:val="10CE7EBA"/>
    <w:rsid w:val="10E150A9"/>
    <w:rsid w:val="10FB7C4C"/>
    <w:rsid w:val="11005F81"/>
    <w:rsid w:val="11132110"/>
    <w:rsid w:val="112A1628"/>
    <w:rsid w:val="112F11A7"/>
    <w:rsid w:val="11345707"/>
    <w:rsid w:val="11360C84"/>
    <w:rsid w:val="113D0264"/>
    <w:rsid w:val="114C494B"/>
    <w:rsid w:val="1154536F"/>
    <w:rsid w:val="11607A9E"/>
    <w:rsid w:val="11916802"/>
    <w:rsid w:val="11A27AF8"/>
    <w:rsid w:val="11A976A8"/>
    <w:rsid w:val="11B12A00"/>
    <w:rsid w:val="11B52D77"/>
    <w:rsid w:val="11BD753C"/>
    <w:rsid w:val="11D861DF"/>
    <w:rsid w:val="11F469F9"/>
    <w:rsid w:val="11F604A9"/>
    <w:rsid w:val="120E39AF"/>
    <w:rsid w:val="121D621A"/>
    <w:rsid w:val="12280F14"/>
    <w:rsid w:val="123B29AC"/>
    <w:rsid w:val="12544AD2"/>
    <w:rsid w:val="1262000F"/>
    <w:rsid w:val="12802AFE"/>
    <w:rsid w:val="12922832"/>
    <w:rsid w:val="12986315"/>
    <w:rsid w:val="12995971"/>
    <w:rsid w:val="12A8795F"/>
    <w:rsid w:val="12C35E7F"/>
    <w:rsid w:val="12C80001"/>
    <w:rsid w:val="12CD2B9C"/>
    <w:rsid w:val="12CD54C3"/>
    <w:rsid w:val="12CD73C6"/>
    <w:rsid w:val="12DF688C"/>
    <w:rsid w:val="12EC0194"/>
    <w:rsid w:val="13021D83"/>
    <w:rsid w:val="133047EC"/>
    <w:rsid w:val="133438E9"/>
    <w:rsid w:val="135020B7"/>
    <w:rsid w:val="136818DE"/>
    <w:rsid w:val="1388136F"/>
    <w:rsid w:val="138F2971"/>
    <w:rsid w:val="13B7038A"/>
    <w:rsid w:val="13B91333"/>
    <w:rsid w:val="13BD5C77"/>
    <w:rsid w:val="13DD2AA7"/>
    <w:rsid w:val="13DF3855"/>
    <w:rsid w:val="13FF445B"/>
    <w:rsid w:val="140212F1"/>
    <w:rsid w:val="14147EDA"/>
    <w:rsid w:val="142E7291"/>
    <w:rsid w:val="14574581"/>
    <w:rsid w:val="14587B0A"/>
    <w:rsid w:val="145D0709"/>
    <w:rsid w:val="146536B9"/>
    <w:rsid w:val="146674FF"/>
    <w:rsid w:val="148B12E6"/>
    <w:rsid w:val="148B7A89"/>
    <w:rsid w:val="14C91E36"/>
    <w:rsid w:val="14E61D25"/>
    <w:rsid w:val="14FF3FEC"/>
    <w:rsid w:val="15287D30"/>
    <w:rsid w:val="153178C4"/>
    <w:rsid w:val="155127DE"/>
    <w:rsid w:val="157B135B"/>
    <w:rsid w:val="15811C27"/>
    <w:rsid w:val="158B1B74"/>
    <w:rsid w:val="15A75C09"/>
    <w:rsid w:val="15C02FCA"/>
    <w:rsid w:val="15FE40F9"/>
    <w:rsid w:val="161C0D90"/>
    <w:rsid w:val="162A4220"/>
    <w:rsid w:val="162E0AC3"/>
    <w:rsid w:val="1643598A"/>
    <w:rsid w:val="164901B6"/>
    <w:rsid w:val="16873D30"/>
    <w:rsid w:val="1692422D"/>
    <w:rsid w:val="16C35D0D"/>
    <w:rsid w:val="16CD5E72"/>
    <w:rsid w:val="16D91266"/>
    <w:rsid w:val="16F413C5"/>
    <w:rsid w:val="170B670F"/>
    <w:rsid w:val="17375756"/>
    <w:rsid w:val="173F1569"/>
    <w:rsid w:val="174449C1"/>
    <w:rsid w:val="174C1201"/>
    <w:rsid w:val="174F7145"/>
    <w:rsid w:val="17500551"/>
    <w:rsid w:val="175636D1"/>
    <w:rsid w:val="17596CED"/>
    <w:rsid w:val="176D73C9"/>
    <w:rsid w:val="177B23B9"/>
    <w:rsid w:val="17891321"/>
    <w:rsid w:val="17983498"/>
    <w:rsid w:val="17A559E6"/>
    <w:rsid w:val="17D76692"/>
    <w:rsid w:val="17DC3153"/>
    <w:rsid w:val="17EB7DDB"/>
    <w:rsid w:val="17F405A9"/>
    <w:rsid w:val="180E295A"/>
    <w:rsid w:val="18112D14"/>
    <w:rsid w:val="181B0BD3"/>
    <w:rsid w:val="18445AC4"/>
    <w:rsid w:val="184D7FDE"/>
    <w:rsid w:val="18881757"/>
    <w:rsid w:val="18906F47"/>
    <w:rsid w:val="189F35B2"/>
    <w:rsid w:val="18A23750"/>
    <w:rsid w:val="18FA2EDF"/>
    <w:rsid w:val="192D38C8"/>
    <w:rsid w:val="1934019F"/>
    <w:rsid w:val="194441A0"/>
    <w:rsid w:val="19483C4A"/>
    <w:rsid w:val="19557981"/>
    <w:rsid w:val="195E24B5"/>
    <w:rsid w:val="19622F2F"/>
    <w:rsid w:val="19672AE1"/>
    <w:rsid w:val="19855408"/>
    <w:rsid w:val="19856C4C"/>
    <w:rsid w:val="19A370D2"/>
    <w:rsid w:val="19AE2F89"/>
    <w:rsid w:val="19EC7F67"/>
    <w:rsid w:val="1A3E696A"/>
    <w:rsid w:val="1A703458"/>
    <w:rsid w:val="1A70543C"/>
    <w:rsid w:val="1A9C424D"/>
    <w:rsid w:val="1AA514CC"/>
    <w:rsid w:val="1AA829B3"/>
    <w:rsid w:val="1AB33345"/>
    <w:rsid w:val="1AEB2ADF"/>
    <w:rsid w:val="1AEE1D95"/>
    <w:rsid w:val="1B037C61"/>
    <w:rsid w:val="1B2011D0"/>
    <w:rsid w:val="1B227A4C"/>
    <w:rsid w:val="1B41749A"/>
    <w:rsid w:val="1B6B1E72"/>
    <w:rsid w:val="1B6F1962"/>
    <w:rsid w:val="1B867D01"/>
    <w:rsid w:val="1B973C67"/>
    <w:rsid w:val="1B9A44BC"/>
    <w:rsid w:val="1BDD043C"/>
    <w:rsid w:val="1BE54FBC"/>
    <w:rsid w:val="1BE7599C"/>
    <w:rsid w:val="1C121142"/>
    <w:rsid w:val="1C2C33AF"/>
    <w:rsid w:val="1C496C5B"/>
    <w:rsid w:val="1C721D51"/>
    <w:rsid w:val="1CB07EB3"/>
    <w:rsid w:val="1CB10562"/>
    <w:rsid w:val="1CB3587E"/>
    <w:rsid w:val="1CDC3027"/>
    <w:rsid w:val="1CF479E6"/>
    <w:rsid w:val="1CF919DB"/>
    <w:rsid w:val="1D07636D"/>
    <w:rsid w:val="1D0E6F59"/>
    <w:rsid w:val="1D100F23"/>
    <w:rsid w:val="1D2D105C"/>
    <w:rsid w:val="1D43339D"/>
    <w:rsid w:val="1D5726AE"/>
    <w:rsid w:val="1D69418F"/>
    <w:rsid w:val="1DB16F15"/>
    <w:rsid w:val="1DB37E16"/>
    <w:rsid w:val="1DC34EF1"/>
    <w:rsid w:val="1DC615E1"/>
    <w:rsid w:val="1DE20358"/>
    <w:rsid w:val="1DE944A3"/>
    <w:rsid w:val="1DED0951"/>
    <w:rsid w:val="1DF00D12"/>
    <w:rsid w:val="1E1A2EA8"/>
    <w:rsid w:val="1E1D56A5"/>
    <w:rsid w:val="1E20528E"/>
    <w:rsid w:val="1E322B2D"/>
    <w:rsid w:val="1E340C41"/>
    <w:rsid w:val="1E3A1B45"/>
    <w:rsid w:val="1E4470D6"/>
    <w:rsid w:val="1E49630F"/>
    <w:rsid w:val="1E4C7D38"/>
    <w:rsid w:val="1E5D21BE"/>
    <w:rsid w:val="1E7213B6"/>
    <w:rsid w:val="1E7E424A"/>
    <w:rsid w:val="1EA00084"/>
    <w:rsid w:val="1EAB3AB7"/>
    <w:rsid w:val="1EB321BB"/>
    <w:rsid w:val="1EBD53B3"/>
    <w:rsid w:val="1ECD7D21"/>
    <w:rsid w:val="1EF724E4"/>
    <w:rsid w:val="1EFA6EED"/>
    <w:rsid w:val="1F0873FC"/>
    <w:rsid w:val="1F133687"/>
    <w:rsid w:val="1F1F5D06"/>
    <w:rsid w:val="1F254C39"/>
    <w:rsid w:val="1F270572"/>
    <w:rsid w:val="1F28740F"/>
    <w:rsid w:val="1F2E7E95"/>
    <w:rsid w:val="1F3E7D22"/>
    <w:rsid w:val="1F4B4494"/>
    <w:rsid w:val="1F4B6A77"/>
    <w:rsid w:val="1F4D3933"/>
    <w:rsid w:val="1F5A7343"/>
    <w:rsid w:val="1F707A57"/>
    <w:rsid w:val="1F782F87"/>
    <w:rsid w:val="1F861028"/>
    <w:rsid w:val="1F903C55"/>
    <w:rsid w:val="1F913849"/>
    <w:rsid w:val="1F9A2D26"/>
    <w:rsid w:val="1FA93697"/>
    <w:rsid w:val="1FDE3CD3"/>
    <w:rsid w:val="1FE53367"/>
    <w:rsid w:val="200563F1"/>
    <w:rsid w:val="201003CD"/>
    <w:rsid w:val="201068B8"/>
    <w:rsid w:val="20137B32"/>
    <w:rsid w:val="20523600"/>
    <w:rsid w:val="20623843"/>
    <w:rsid w:val="20994D8B"/>
    <w:rsid w:val="20BE7DED"/>
    <w:rsid w:val="20C677C0"/>
    <w:rsid w:val="20DE1549"/>
    <w:rsid w:val="20EC46DA"/>
    <w:rsid w:val="20F94A36"/>
    <w:rsid w:val="20FF4E9B"/>
    <w:rsid w:val="21154D5A"/>
    <w:rsid w:val="21515666"/>
    <w:rsid w:val="215C3C70"/>
    <w:rsid w:val="2173382E"/>
    <w:rsid w:val="218912A4"/>
    <w:rsid w:val="21B1165B"/>
    <w:rsid w:val="21B64085"/>
    <w:rsid w:val="21CE6ED1"/>
    <w:rsid w:val="21D50045"/>
    <w:rsid w:val="21D544E9"/>
    <w:rsid w:val="21DA7E60"/>
    <w:rsid w:val="21DB300F"/>
    <w:rsid w:val="226D1090"/>
    <w:rsid w:val="227616F7"/>
    <w:rsid w:val="22842582"/>
    <w:rsid w:val="22860E6C"/>
    <w:rsid w:val="22883309"/>
    <w:rsid w:val="228A0E2F"/>
    <w:rsid w:val="2292410A"/>
    <w:rsid w:val="2296720A"/>
    <w:rsid w:val="229677D4"/>
    <w:rsid w:val="22B40342"/>
    <w:rsid w:val="22B91B51"/>
    <w:rsid w:val="22BD1205"/>
    <w:rsid w:val="22CB0E73"/>
    <w:rsid w:val="22D560D5"/>
    <w:rsid w:val="22F53EDF"/>
    <w:rsid w:val="22F83FEB"/>
    <w:rsid w:val="23162CD5"/>
    <w:rsid w:val="231921B3"/>
    <w:rsid w:val="23252E76"/>
    <w:rsid w:val="233B65CE"/>
    <w:rsid w:val="234E28A8"/>
    <w:rsid w:val="2351239B"/>
    <w:rsid w:val="236C549C"/>
    <w:rsid w:val="2385217D"/>
    <w:rsid w:val="238861C2"/>
    <w:rsid w:val="23B54F22"/>
    <w:rsid w:val="23C75253"/>
    <w:rsid w:val="23FD1D19"/>
    <w:rsid w:val="240C1F2B"/>
    <w:rsid w:val="242E186A"/>
    <w:rsid w:val="2435301D"/>
    <w:rsid w:val="247578BD"/>
    <w:rsid w:val="247A4DD7"/>
    <w:rsid w:val="24854236"/>
    <w:rsid w:val="24B300A0"/>
    <w:rsid w:val="24BF5461"/>
    <w:rsid w:val="24C2129E"/>
    <w:rsid w:val="24C32F2E"/>
    <w:rsid w:val="24C53BD8"/>
    <w:rsid w:val="24EA630D"/>
    <w:rsid w:val="24F86524"/>
    <w:rsid w:val="25015B22"/>
    <w:rsid w:val="25860ED2"/>
    <w:rsid w:val="259C15A5"/>
    <w:rsid w:val="25B23D15"/>
    <w:rsid w:val="25BC460C"/>
    <w:rsid w:val="25BF34E6"/>
    <w:rsid w:val="25C428AA"/>
    <w:rsid w:val="25D23F6C"/>
    <w:rsid w:val="25E44CFA"/>
    <w:rsid w:val="25E76599"/>
    <w:rsid w:val="25E9509A"/>
    <w:rsid w:val="262227E1"/>
    <w:rsid w:val="26285034"/>
    <w:rsid w:val="26750EC5"/>
    <w:rsid w:val="26824328"/>
    <w:rsid w:val="26BA065E"/>
    <w:rsid w:val="26CA5F43"/>
    <w:rsid w:val="26F068F2"/>
    <w:rsid w:val="271E248E"/>
    <w:rsid w:val="2725381D"/>
    <w:rsid w:val="2730201D"/>
    <w:rsid w:val="275B2D9A"/>
    <w:rsid w:val="275C22BE"/>
    <w:rsid w:val="279664C8"/>
    <w:rsid w:val="27970B18"/>
    <w:rsid w:val="27BD29F3"/>
    <w:rsid w:val="27C272BD"/>
    <w:rsid w:val="27F674E0"/>
    <w:rsid w:val="28074CD0"/>
    <w:rsid w:val="282D2989"/>
    <w:rsid w:val="282E251C"/>
    <w:rsid w:val="283F090E"/>
    <w:rsid w:val="28444751"/>
    <w:rsid w:val="284F47D6"/>
    <w:rsid w:val="28924EE2"/>
    <w:rsid w:val="28986683"/>
    <w:rsid w:val="289E19E1"/>
    <w:rsid w:val="28A00258"/>
    <w:rsid w:val="28CF449B"/>
    <w:rsid w:val="28EA5639"/>
    <w:rsid w:val="2920604A"/>
    <w:rsid w:val="292B35E7"/>
    <w:rsid w:val="293B4849"/>
    <w:rsid w:val="293D6F47"/>
    <w:rsid w:val="2965491F"/>
    <w:rsid w:val="296F3935"/>
    <w:rsid w:val="29812AF5"/>
    <w:rsid w:val="299D58EC"/>
    <w:rsid w:val="29A67201"/>
    <w:rsid w:val="29BC1624"/>
    <w:rsid w:val="29BD31F9"/>
    <w:rsid w:val="29C6618C"/>
    <w:rsid w:val="29D60DFE"/>
    <w:rsid w:val="29D872E0"/>
    <w:rsid w:val="29F50465"/>
    <w:rsid w:val="29F50C46"/>
    <w:rsid w:val="29F93A3F"/>
    <w:rsid w:val="2A1468E2"/>
    <w:rsid w:val="2A351FC9"/>
    <w:rsid w:val="2A3F69A3"/>
    <w:rsid w:val="2A5561C7"/>
    <w:rsid w:val="2A73664D"/>
    <w:rsid w:val="2A7E67DD"/>
    <w:rsid w:val="2ACE577D"/>
    <w:rsid w:val="2ADD581C"/>
    <w:rsid w:val="2AE1579C"/>
    <w:rsid w:val="2AE57AC0"/>
    <w:rsid w:val="2AE74D62"/>
    <w:rsid w:val="2AE92E6E"/>
    <w:rsid w:val="2B1220C6"/>
    <w:rsid w:val="2B2A7653"/>
    <w:rsid w:val="2B35670B"/>
    <w:rsid w:val="2B4A5600"/>
    <w:rsid w:val="2B886128"/>
    <w:rsid w:val="2B9920E3"/>
    <w:rsid w:val="2BAE5939"/>
    <w:rsid w:val="2BB910DE"/>
    <w:rsid w:val="2BC26BE9"/>
    <w:rsid w:val="2BC74EA2"/>
    <w:rsid w:val="2BD30174"/>
    <w:rsid w:val="2C063C1D"/>
    <w:rsid w:val="2C085757"/>
    <w:rsid w:val="2C0B7413"/>
    <w:rsid w:val="2C1D4AC2"/>
    <w:rsid w:val="2C4429E2"/>
    <w:rsid w:val="2C6A7EB1"/>
    <w:rsid w:val="2C7C3EDF"/>
    <w:rsid w:val="2C8D5E51"/>
    <w:rsid w:val="2C8D6236"/>
    <w:rsid w:val="2C937EC8"/>
    <w:rsid w:val="2CB368C6"/>
    <w:rsid w:val="2CB5119F"/>
    <w:rsid w:val="2CDF621C"/>
    <w:rsid w:val="2CE73F37"/>
    <w:rsid w:val="2CEA024D"/>
    <w:rsid w:val="2CF27642"/>
    <w:rsid w:val="2D093950"/>
    <w:rsid w:val="2D0F08AF"/>
    <w:rsid w:val="2D16086A"/>
    <w:rsid w:val="2D22532C"/>
    <w:rsid w:val="2D39592C"/>
    <w:rsid w:val="2D544FD0"/>
    <w:rsid w:val="2D71156A"/>
    <w:rsid w:val="2D7C4286"/>
    <w:rsid w:val="2D7F1899"/>
    <w:rsid w:val="2D9464B9"/>
    <w:rsid w:val="2D97201B"/>
    <w:rsid w:val="2D984D48"/>
    <w:rsid w:val="2DB30AF8"/>
    <w:rsid w:val="2DC47BE2"/>
    <w:rsid w:val="2DEF4BDF"/>
    <w:rsid w:val="2E411318"/>
    <w:rsid w:val="2E4B3B69"/>
    <w:rsid w:val="2E644C2A"/>
    <w:rsid w:val="2E6877FA"/>
    <w:rsid w:val="2E7519C9"/>
    <w:rsid w:val="2E7623C5"/>
    <w:rsid w:val="2E897F04"/>
    <w:rsid w:val="2E911AB8"/>
    <w:rsid w:val="2EBE5BFC"/>
    <w:rsid w:val="2ED23330"/>
    <w:rsid w:val="2ED441DE"/>
    <w:rsid w:val="2ED47AC2"/>
    <w:rsid w:val="2ED84BF3"/>
    <w:rsid w:val="2ED94EC2"/>
    <w:rsid w:val="2EDA4EED"/>
    <w:rsid w:val="2EDB0D15"/>
    <w:rsid w:val="2EDC6AB3"/>
    <w:rsid w:val="2EE45D6B"/>
    <w:rsid w:val="2EEA15D4"/>
    <w:rsid w:val="2EF04710"/>
    <w:rsid w:val="2EF92600"/>
    <w:rsid w:val="2F1340DD"/>
    <w:rsid w:val="2F151452"/>
    <w:rsid w:val="2F3301BF"/>
    <w:rsid w:val="2F4856BF"/>
    <w:rsid w:val="2F6A01E1"/>
    <w:rsid w:val="2F72492B"/>
    <w:rsid w:val="2F772378"/>
    <w:rsid w:val="2F880ECD"/>
    <w:rsid w:val="2F8A6704"/>
    <w:rsid w:val="2FA5374C"/>
    <w:rsid w:val="2FA5472B"/>
    <w:rsid w:val="2FB27C87"/>
    <w:rsid w:val="2FCB1154"/>
    <w:rsid w:val="2FDB78E8"/>
    <w:rsid w:val="2FDE27BA"/>
    <w:rsid w:val="30061E38"/>
    <w:rsid w:val="302806EF"/>
    <w:rsid w:val="3034062C"/>
    <w:rsid w:val="30422D49"/>
    <w:rsid w:val="308A5246"/>
    <w:rsid w:val="30924493"/>
    <w:rsid w:val="30937A49"/>
    <w:rsid w:val="309A5E47"/>
    <w:rsid w:val="309E5299"/>
    <w:rsid w:val="30AC4667"/>
    <w:rsid w:val="30AE03DF"/>
    <w:rsid w:val="30AF34C0"/>
    <w:rsid w:val="30AF5190"/>
    <w:rsid w:val="30B71F9C"/>
    <w:rsid w:val="30C20900"/>
    <w:rsid w:val="30D319C1"/>
    <w:rsid w:val="30D36097"/>
    <w:rsid w:val="30DD3FFA"/>
    <w:rsid w:val="30EB1633"/>
    <w:rsid w:val="31332A79"/>
    <w:rsid w:val="31535676"/>
    <w:rsid w:val="31571542"/>
    <w:rsid w:val="315818D3"/>
    <w:rsid w:val="317653A0"/>
    <w:rsid w:val="317769A3"/>
    <w:rsid w:val="319B2BDA"/>
    <w:rsid w:val="31A35A6A"/>
    <w:rsid w:val="31CC16A9"/>
    <w:rsid w:val="31D0244A"/>
    <w:rsid w:val="31DC1EA8"/>
    <w:rsid w:val="31E85B72"/>
    <w:rsid w:val="31EC5663"/>
    <w:rsid w:val="31EC694E"/>
    <w:rsid w:val="31F46D65"/>
    <w:rsid w:val="320E382B"/>
    <w:rsid w:val="322B4FFA"/>
    <w:rsid w:val="32366F7D"/>
    <w:rsid w:val="325671CC"/>
    <w:rsid w:val="326A0806"/>
    <w:rsid w:val="32780CA4"/>
    <w:rsid w:val="327A4625"/>
    <w:rsid w:val="328F3674"/>
    <w:rsid w:val="32A57357"/>
    <w:rsid w:val="32A6299B"/>
    <w:rsid w:val="32B40AA8"/>
    <w:rsid w:val="32CC309A"/>
    <w:rsid w:val="32F522F5"/>
    <w:rsid w:val="32FC18D5"/>
    <w:rsid w:val="33222A85"/>
    <w:rsid w:val="33322AE9"/>
    <w:rsid w:val="333531F8"/>
    <w:rsid w:val="33446DD8"/>
    <w:rsid w:val="334765C9"/>
    <w:rsid w:val="334868C9"/>
    <w:rsid w:val="338A5B49"/>
    <w:rsid w:val="33A717CB"/>
    <w:rsid w:val="33C913E0"/>
    <w:rsid w:val="33D068BE"/>
    <w:rsid w:val="33E734A4"/>
    <w:rsid w:val="33ED24B4"/>
    <w:rsid w:val="33EF31E8"/>
    <w:rsid w:val="34021511"/>
    <w:rsid w:val="344828F8"/>
    <w:rsid w:val="347A51A8"/>
    <w:rsid w:val="34BD5116"/>
    <w:rsid w:val="34D81ECE"/>
    <w:rsid w:val="34DF2F08"/>
    <w:rsid w:val="34E218C6"/>
    <w:rsid w:val="34F5482E"/>
    <w:rsid w:val="34F73F78"/>
    <w:rsid w:val="35076310"/>
    <w:rsid w:val="350864AF"/>
    <w:rsid w:val="35245113"/>
    <w:rsid w:val="353847F7"/>
    <w:rsid w:val="35642E45"/>
    <w:rsid w:val="35921AD4"/>
    <w:rsid w:val="35CA1B82"/>
    <w:rsid w:val="35D920C6"/>
    <w:rsid w:val="35E851A5"/>
    <w:rsid w:val="35EB0DAE"/>
    <w:rsid w:val="35FB35D9"/>
    <w:rsid w:val="36153446"/>
    <w:rsid w:val="36304F88"/>
    <w:rsid w:val="3636082C"/>
    <w:rsid w:val="363B414C"/>
    <w:rsid w:val="363E3FB3"/>
    <w:rsid w:val="367015B1"/>
    <w:rsid w:val="36702783"/>
    <w:rsid w:val="36853990"/>
    <w:rsid w:val="368E554D"/>
    <w:rsid w:val="36944922"/>
    <w:rsid w:val="36971D54"/>
    <w:rsid w:val="36A7082C"/>
    <w:rsid w:val="36AB3A06"/>
    <w:rsid w:val="36AF1138"/>
    <w:rsid w:val="36BA7345"/>
    <w:rsid w:val="36C42A2A"/>
    <w:rsid w:val="36D3294D"/>
    <w:rsid w:val="36D6243D"/>
    <w:rsid w:val="36DE07D9"/>
    <w:rsid w:val="36E763F9"/>
    <w:rsid w:val="370C0931"/>
    <w:rsid w:val="3715740A"/>
    <w:rsid w:val="37277021"/>
    <w:rsid w:val="37645C9B"/>
    <w:rsid w:val="377D6D5D"/>
    <w:rsid w:val="378756A5"/>
    <w:rsid w:val="3788023E"/>
    <w:rsid w:val="378B71AB"/>
    <w:rsid w:val="378E1179"/>
    <w:rsid w:val="379C763F"/>
    <w:rsid w:val="37A75B88"/>
    <w:rsid w:val="37CD55EE"/>
    <w:rsid w:val="37D636AC"/>
    <w:rsid w:val="37E42938"/>
    <w:rsid w:val="37E52661"/>
    <w:rsid w:val="37F7686D"/>
    <w:rsid w:val="37FC2378"/>
    <w:rsid w:val="38341B11"/>
    <w:rsid w:val="3837515E"/>
    <w:rsid w:val="384D672F"/>
    <w:rsid w:val="38706BCF"/>
    <w:rsid w:val="3888775E"/>
    <w:rsid w:val="388E7474"/>
    <w:rsid w:val="389072D5"/>
    <w:rsid w:val="38993C3B"/>
    <w:rsid w:val="389B749B"/>
    <w:rsid w:val="389D76B7"/>
    <w:rsid w:val="38C904AC"/>
    <w:rsid w:val="38EB38A3"/>
    <w:rsid w:val="38F80D91"/>
    <w:rsid w:val="38F91253"/>
    <w:rsid w:val="391334D5"/>
    <w:rsid w:val="39140C22"/>
    <w:rsid w:val="39176CD6"/>
    <w:rsid w:val="39183791"/>
    <w:rsid w:val="393223D6"/>
    <w:rsid w:val="39365415"/>
    <w:rsid w:val="39633276"/>
    <w:rsid w:val="396D2EF3"/>
    <w:rsid w:val="39842625"/>
    <w:rsid w:val="39932498"/>
    <w:rsid w:val="39A02830"/>
    <w:rsid w:val="39C742BF"/>
    <w:rsid w:val="39C944DB"/>
    <w:rsid w:val="39DC42E3"/>
    <w:rsid w:val="39E30390"/>
    <w:rsid w:val="39FA6443"/>
    <w:rsid w:val="39FC040D"/>
    <w:rsid w:val="39FD79CC"/>
    <w:rsid w:val="3A0B6E07"/>
    <w:rsid w:val="3A1D54C3"/>
    <w:rsid w:val="3A23666C"/>
    <w:rsid w:val="3A3132D5"/>
    <w:rsid w:val="3A3B7187"/>
    <w:rsid w:val="3A3F654C"/>
    <w:rsid w:val="3A714000"/>
    <w:rsid w:val="3A867C4F"/>
    <w:rsid w:val="3AAE1C75"/>
    <w:rsid w:val="3ABE3914"/>
    <w:rsid w:val="3AD203D9"/>
    <w:rsid w:val="3AD56BB8"/>
    <w:rsid w:val="3AEE244B"/>
    <w:rsid w:val="3AF66F53"/>
    <w:rsid w:val="3B5338DD"/>
    <w:rsid w:val="3B69794E"/>
    <w:rsid w:val="3B8273A6"/>
    <w:rsid w:val="3B982EC5"/>
    <w:rsid w:val="3BA174BE"/>
    <w:rsid w:val="3BAC45A9"/>
    <w:rsid w:val="3BB6283D"/>
    <w:rsid w:val="3BC136BC"/>
    <w:rsid w:val="3BC819C4"/>
    <w:rsid w:val="3BDB4836"/>
    <w:rsid w:val="3BDD426E"/>
    <w:rsid w:val="3BDF32D7"/>
    <w:rsid w:val="3BEB1B6F"/>
    <w:rsid w:val="3BF34771"/>
    <w:rsid w:val="3BF90F60"/>
    <w:rsid w:val="3BFD220F"/>
    <w:rsid w:val="3C2B180B"/>
    <w:rsid w:val="3C3520A6"/>
    <w:rsid w:val="3C4542ED"/>
    <w:rsid w:val="3C5B287E"/>
    <w:rsid w:val="3C61250E"/>
    <w:rsid w:val="3C642299"/>
    <w:rsid w:val="3C696C96"/>
    <w:rsid w:val="3C8E2A5C"/>
    <w:rsid w:val="3CB37406"/>
    <w:rsid w:val="3CB72D11"/>
    <w:rsid w:val="3CDE61FD"/>
    <w:rsid w:val="3CE652A4"/>
    <w:rsid w:val="3CEB1020"/>
    <w:rsid w:val="3D1473B9"/>
    <w:rsid w:val="3D305B7A"/>
    <w:rsid w:val="3D306CA0"/>
    <w:rsid w:val="3D316F63"/>
    <w:rsid w:val="3D5347E8"/>
    <w:rsid w:val="3D555D87"/>
    <w:rsid w:val="3D695DB9"/>
    <w:rsid w:val="3D711112"/>
    <w:rsid w:val="3D8175A7"/>
    <w:rsid w:val="3D937CCF"/>
    <w:rsid w:val="3D946FC2"/>
    <w:rsid w:val="3DA94408"/>
    <w:rsid w:val="3DAC7C45"/>
    <w:rsid w:val="3DBC05DF"/>
    <w:rsid w:val="3DCA4FB5"/>
    <w:rsid w:val="3DD24D6D"/>
    <w:rsid w:val="3DD762B1"/>
    <w:rsid w:val="3DDC2A2F"/>
    <w:rsid w:val="3DE713D4"/>
    <w:rsid w:val="3DF52246"/>
    <w:rsid w:val="3E020166"/>
    <w:rsid w:val="3E0413C6"/>
    <w:rsid w:val="3E063608"/>
    <w:rsid w:val="3E0E0FAD"/>
    <w:rsid w:val="3E125809"/>
    <w:rsid w:val="3E387950"/>
    <w:rsid w:val="3E4952F7"/>
    <w:rsid w:val="3E524A9F"/>
    <w:rsid w:val="3E5F4B8B"/>
    <w:rsid w:val="3E9C40B6"/>
    <w:rsid w:val="3EAC4F09"/>
    <w:rsid w:val="3EC314F9"/>
    <w:rsid w:val="3EEE1416"/>
    <w:rsid w:val="3EFC4696"/>
    <w:rsid w:val="3F2B709E"/>
    <w:rsid w:val="3F3D12DB"/>
    <w:rsid w:val="3F406FEE"/>
    <w:rsid w:val="3F4168C2"/>
    <w:rsid w:val="3F603814"/>
    <w:rsid w:val="3FC76C74"/>
    <w:rsid w:val="3FC81158"/>
    <w:rsid w:val="400C2117"/>
    <w:rsid w:val="40260CC9"/>
    <w:rsid w:val="40503261"/>
    <w:rsid w:val="408A6802"/>
    <w:rsid w:val="40C178C5"/>
    <w:rsid w:val="40F76D0F"/>
    <w:rsid w:val="40FE2CBD"/>
    <w:rsid w:val="410302D3"/>
    <w:rsid w:val="411E335F"/>
    <w:rsid w:val="4143387E"/>
    <w:rsid w:val="415441F7"/>
    <w:rsid w:val="415D5DCC"/>
    <w:rsid w:val="416D017B"/>
    <w:rsid w:val="4178581E"/>
    <w:rsid w:val="41A03D74"/>
    <w:rsid w:val="41C22606"/>
    <w:rsid w:val="41EA5C1E"/>
    <w:rsid w:val="41F36599"/>
    <w:rsid w:val="41F67E38"/>
    <w:rsid w:val="41FB7307"/>
    <w:rsid w:val="4202058A"/>
    <w:rsid w:val="42277FF1"/>
    <w:rsid w:val="422A6459"/>
    <w:rsid w:val="424C5CAA"/>
    <w:rsid w:val="4258205B"/>
    <w:rsid w:val="425F6B33"/>
    <w:rsid w:val="42604346"/>
    <w:rsid w:val="427A2E65"/>
    <w:rsid w:val="427D5E63"/>
    <w:rsid w:val="429967F0"/>
    <w:rsid w:val="42A653BA"/>
    <w:rsid w:val="42B27749"/>
    <w:rsid w:val="42CA4A6B"/>
    <w:rsid w:val="42CD0C94"/>
    <w:rsid w:val="42D87B6F"/>
    <w:rsid w:val="43140575"/>
    <w:rsid w:val="432A4799"/>
    <w:rsid w:val="4339767C"/>
    <w:rsid w:val="433B3A37"/>
    <w:rsid w:val="43454BD3"/>
    <w:rsid w:val="43735409"/>
    <w:rsid w:val="43864E02"/>
    <w:rsid w:val="438779A1"/>
    <w:rsid w:val="438F1ABB"/>
    <w:rsid w:val="439671DC"/>
    <w:rsid w:val="43B835F7"/>
    <w:rsid w:val="43BB6C43"/>
    <w:rsid w:val="43E320F4"/>
    <w:rsid w:val="43E85FAD"/>
    <w:rsid w:val="43F87E97"/>
    <w:rsid w:val="44020D16"/>
    <w:rsid w:val="4420119C"/>
    <w:rsid w:val="444D0FFA"/>
    <w:rsid w:val="446217B4"/>
    <w:rsid w:val="44627A06"/>
    <w:rsid w:val="448C1E06"/>
    <w:rsid w:val="449D27EC"/>
    <w:rsid w:val="44B87626"/>
    <w:rsid w:val="44BF7414"/>
    <w:rsid w:val="44D46A2B"/>
    <w:rsid w:val="44D6723E"/>
    <w:rsid w:val="44E346A3"/>
    <w:rsid w:val="44EA67C1"/>
    <w:rsid w:val="44FF7003"/>
    <w:rsid w:val="450A60D4"/>
    <w:rsid w:val="45216CF1"/>
    <w:rsid w:val="453B64EF"/>
    <w:rsid w:val="4543116D"/>
    <w:rsid w:val="454525E8"/>
    <w:rsid w:val="455522ED"/>
    <w:rsid w:val="45570BED"/>
    <w:rsid w:val="45656A99"/>
    <w:rsid w:val="45681BF8"/>
    <w:rsid w:val="45716A43"/>
    <w:rsid w:val="45796DB6"/>
    <w:rsid w:val="45810F39"/>
    <w:rsid w:val="45944DB7"/>
    <w:rsid w:val="45967FD5"/>
    <w:rsid w:val="45BC1D7D"/>
    <w:rsid w:val="45CE0E57"/>
    <w:rsid w:val="45D67D64"/>
    <w:rsid w:val="45D87C68"/>
    <w:rsid w:val="45E22815"/>
    <w:rsid w:val="45EE77A4"/>
    <w:rsid w:val="45FC3543"/>
    <w:rsid w:val="460B09A9"/>
    <w:rsid w:val="460C08D8"/>
    <w:rsid w:val="4635557A"/>
    <w:rsid w:val="463B769C"/>
    <w:rsid w:val="466B4C48"/>
    <w:rsid w:val="46A13F31"/>
    <w:rsid w:val="46B81B60"/>
    <w:rsid w:val="46C72B49"/>
    <w:rsid w:val="46CB1893"/>
    <w:rsid w:val="46D52711"/>
    <w:rsid w:val="46D9628B"/>
    <w:rsid w:val="46DD3374"/>
    <w:rsid w:val="46F51E08"/>
    <w:rsid w:val="473A541B"/>
    <w:rsid w:val="47491F33"/>
    <w:rsid w:val="47615D53"/>
    <w:rsid w:val="47750063"/>
    <w:rsid w:val="477E1DBC"/>
    <w:rsid w:val="47A86414"/>
    <w:rsid w:val="47D0510D"/>
    <w:rsid w:val="47D14191"/>
    <w:rsid w:val="47F61076"/>
    <w:rsid w:val="48043754"/>
    <w:rsid w:val="480768FB"/>
    <w:rsid w:val="480F57AF"/>
    <w:rsid w:val="4810246A"/>
    <w:rsid w:val="482B4599"/>
    <w:rsid w:val="483E7CDF"/>
    <w:rsid w:val="48401E0D"/>
    <w:rsid w:val="48566C77"/>
    <w:rsid w:val="485E2293"/>
    <w:rsid w:val="48A0125E"/>
    <w:rsid w:val="48B90431"/>
    <w:rsid w:val="48C443B1"/>
    <w:rsid w:val="48CC36A0"/>
    <w:rsid w:val="48E72CAC"/>
    <w:rsid w:val="48E913A8"/>
    <w:rsid w:val="49137818"/>
    <w:rsid w:val="49247038"/>
    <w:rsid w:val="494B3BE9"/>
    <w:rsid w:val="494F4393"/>
    <w:rsid w:val="49520049"/>
    <w:rsid w:val="49557B3A"/>
    <w:rsid w:val="49651C4E"/>
    <w:rsid w:val="497C6D87"/>
    <w:rsid w:val="499046CE"/>
    <w:rsid w:val="499C3073"/>
    <w:rsid w:val="499D70F9"/>
    <w:rsid w:val="49A0674D"/>
    <w:rsid w:val="49A35FC8"/>
    <w:rsid w:val="49AA1C33"/>
    <w:rsid w:val="49AB59AC"/>
    <w:rsid w:val="49B557A4"/>
    <w:rsid w:val="49E47461"/>
    <w:rsid w:val="49F27AEC"/>
    <w:rsid w:val="49F724F7"/>
    <w:rsid w:val="49FE5710"/>
    <w:rsid w:val="4A1470AD"/>
    <w:rsid w:val="4A17230F"/>
    <w:rsid w:val="4A247A93"/>
    <w:rsid w:val="4A252024"/>
    <w:rsid w:val="4A2D267C"/>
    <w:rsid w:val="4A6651DD"/>
    <w:rsid w:val="4A673681"/>
    <w:rsid w:val="4A6D0E58"/>
    <w:rsid w:val="4A740660"/>
    <w:rsid w:val="4A993A56"/>
    <w:rsid w:val="4AA55AB7"/>
    <w:rsid w:val="4AA56E2D"/>
    <w:rsid w:val="4AC32E23"/>
    <w:rsid w:val="4ADC4835"/>
    <w:rsid w:val="4AFA58A2"/>
    <w:rsid w:val="4B0E7FA0"/>
    <w:rsid w:val="4B320132"/>
    <w:rsid w:val="4B4B6AFE"/>
    <w:rsid w:val="4B4F0337"/>
    <w:rsid w:val="4B62209A"/>
    <w:rsid w:val="4B683B54"/>
    <w:rsid w:val="4B817BFA"/>
    <w:rsid w:val="4B890055"/>
    <w:rsid w:val="4B9A5CD8"/>
    <w:rsid w:val="4BB352B1"/>
    <w:rsid w:val="4BCF3E47"/>
    <w:rsid w:val="4BD54701"/>
    <w:rsid w:val="4BDE7717"/>
    <w:rsid w:val="4BE8259F"/>
    <w:rsid w:val="4C166294"/>
    <w:rsid w:val="4C1C493F"/>
    <w:rsid w:val="4C2D22C1"/>
    <w:rsid w:val="4C405740"/>
    <w:rsid w:val="4C720BDD"/>
    <w:rsid w:val="4C7327B1"/>
    <w:rsid w:val="4C7B78B7"/>
    <w:rsid w:val="4C7E73A7"/>
    <w:rsid w:val="4CB30C97"/>
    <w:rsid w:val="4CC0176E"/>
    <w:rsid w:val="4CC76658"/>
    <w:rsid w:val="4CC83CDA"/>
    <w:rsid w:val="4CC93687"/>
    <w:rsid w:val="4CCC18C3"/>
    <w:rsid w:val="4CD314A1"/>
    <w:rsid w:val="4CDE39A2"/>
    <w:rsid w:val="4CE500BD"/>
    <w:rsid w:val="4CE90CC5"/>
    <w:rsid w:val="4CEF2613"/>
    <w:rsid w:val="4CF545FB"/>
    <w:rsid w:val="4D0A3679"/>
    <w:rsid w:val="4D0B0C3B"/>
    <w:rsid w:val="4D254003"/>
    <w:rsid w:val="4D2F41FE"/>
    <w:rsid w:val="4D3A1520"/>
    <w:rsid w:val="4D454D27"/>
    <w:rsid w:val="4D7557B9"/>
    <w:rsid w:val="4D7762D0"/>
    <w:rsid w:val="4D811F3F"/>
    <w:rsid w:val="4D8E6B00"/>
    <w:rsid w:val="4DA738EA"/>
    <w:rsid w:val="4DD01B57"/>
    <w:rsid w:val="4DD52CAE"/>
    <w:rsid w:val="4DD54DA5"/>
    <w:rsid w:val="4DDD684B"/>
    <w:rsid w:val="4DDF5846"/>
    <w:rsid w:val="4DFF2433"/>
    <w:rsid w:val="4E443D7A"/>
    <w:rsid w:val="4E487498"/>
    <w:rsid w:val="4E576C32"/>
    <w:rsid w:val="4E843206"/>
    <w:rsid w:val="4EB21DF5"/>
    <w:rsid w:val="4ED30174"/>
    <w:rsid w:val="4ED53FFD"/>
    <w:rsid w:val="4EE4580A"/>
    <w:rsid w:val="4EE5548B"/>
    <w:rsid w:val="4F005E52"/>
    <w:rsid w:val="4F0B6C16"/>
    <w:rsid w:val="4F2E7B9C"/>
    <w:rsid w:val="4F5B2D65"/>
    <w:rsid w:val="4F9E0DCB"/>
    <w:rsid w:val="4FA42C81"/>
    <w:rsid w:val="4FAA415C"/>
    <w:rsid w:val="4FB14F19"/>
    <w:rsid w:val="4FB21842"/>
    <w:rsid w:val="4FCA392E"/>
    <w:rsid w:val="4FD83C8F"/>
    <w:rsid w:val="4FE91563"/>
    <w:rsid w:val="4FF8287B"/>
    <w:rsid w:val="50154C09"/>
    <w:rsid w:val="5023629C"/>
    <w:rsid w:val="50247350"/>
    <w:rsid w:val="50317B06"/>
    <w:rsid w:val="504663CD"/>
    <w:rsid w:val="506108EF"/>
    <w:rsid w:val="506C286C"/>
    <w:rsid w:val="508876F8"/>
    <w:rsid w:val="509A5778"/>
    <w:rsid w:val="50AB36B4"/>
    <w:rsid w:val="50B60EBE"/>
    <w:rsid w:val="50C127CE"/>
    <w:rsid w:val="50D6330E"/>
    <w:rsid w:val="50DF1173"/>
    <w:rsid w:val="50EC2E4C"/>
    <w:rsid w:val="50F1122F"/>
    <w:rsid w:val="50FA6974"/>
    <w:rsid w:val="50FE5F6F"/>
    <w:rsid w:val="510140B4"/>
    <w:rsid w:val="513B13C3"/>
    <w:rsid w:val="51501312"/>
    <w:rsid w:val="51AF19C6"/>
    <w:rsid w:val="51B32BDA"/>
    <w:rsid w:val="51CE66DB"/>
    <w:rsid w:val="51E5418D"/>
    <w:rsid w:val="51E720E1"/>
    <w:rsid w:val="51F66939"/>
    <w:rsid w:val="51F85506"/>
    <w:rsid w:val="520B348B"/>
    <w:rsid w:val="520B3EA8"/>
    <w:rsid w:val="52100AA2"/>
    <w:rsid w:val="521539EE"/>
    <w:rsid w:val="522956BF"/>
    <w:rsid w:val="524D0671"/>
    <w:rsid w:val="52595158"/>
    <w:rsid w:val="527A5B88"/>
    <w:rsid w:val="528F18F7"/>
    <w:rsid w:val="529C4D04"/>
    <w:rsid w:val="52B458D1"/>
    <w:rsid w:val="52C13B4A"/>
    <w:rsid w:val="52D47E1C"/>
    <w:rsid w:val="52D73C9D"/>
    <w:rsid w:val="52E3704B"/>
    <w:rsid w:val="530763E6"/>
    <w:rsid w:val="533454C6"/>
    <w:rsid w:val="53526211"/>
    <w:rsid w:val="53682217"/>
    <w:rsid w:val="53846D00"/>
    <w:rsid w:val="539F032F"/>
    <w:rsid w:val="53A94BDF"/>
    <w:rsid w:val="53B51901"/>
    <w:rsid w:val="53BE07EF"/>
    <w:rsid w:val="53C66865"/>
    <w:rsid w:val="53C90F08"/>
    <w:rsid w:val="53E73D1F"/>
    <w:rsid w:val="53EB54A2"/>
    <w:rsid w:val="53F3117B"/>
    <w:rsid w:val="53F6016D"/>
    <w:rsid w:val="54100F98"/>
    <w:rsid w:val="54104D89"/>
    <w:rsid w:val="543A3BB4"/>
    <w:rsid w:val="543D44FD"/>
    <w:rsid w:val="54565E90"/>
    <w:rsid w:val="545F4F86"/>
    <w:rsid w:val="546A693E"/>
    <w:rsid w:val="546B6243"/>
    <w:rsid w:val="548D462B"/>
    <w:rsid w:val="54AA7B0E"/>
    <w:rsid w:val="54AD0ED3"/>
    <w:rsid w:val="54B716A8"/>
    <w:rsid w:val="54C067AF"/>
    <w:rsid w:val="54E212EB"/>
    <w:rsid w:val="54EA5485"/>
    <w:rsid w:val="54F33D86"/>
    <w:rsid w:val="550C76E8"/>
    <w:rsid w:val="550D513B"/>
    <w:rsid w:val="5511700B"/>
    <w:rsid w:val="551D0A4F"/>
    <w:rsid w:val="554644A1"/>
    <w:rsid w:val="554829C3"/>
    <w:rsid w:val="554C21B3"/>
    <w:rsid w:val="55794BB0"/>
    <w:rsid w:val="5584774E"/>
    <w:rsid w:val="55A24AE3"/>
    <w:rsid w:val="55A35789"/>
    <w:rsid w:val="55BD1398"/>
    <w:rsid w:val="55C1135C"/>
    <w:rsid w:val="55CB001F"/>
    <w:rsid w:val="55D122F6"/>
    <w:rsid w:val="55EB4963"/>
    <w:rsid w:val="55EE4C56"/>
    <w:rsid w:val="561D7A1A"/>
    <w:rsid w:val="563E7D29"/>
    <w:rsid w:val="56467C0D"/>
    <w:rsid w:val="56544315"/>
    <w:rsid w:val="56620977"/>
    <w:rsid w:val="56786C15"/>
    <w:rsid w:val="56830FCF"/>
    <w:rsid w:val="569E48CE"/>
    <w:rsid w:val="56AC305B"/>
    <w:rsid w:val="56B5343A"/>
    <w:rsid w:val="56F267A8"/>
    <w:rsid w:val="56FF2E93"/>
    <w:rsid w:val="57062C5C"/>
    <w:rsid w:val="570F6F37"/>
    <w:rsid w:val="57132890"/>
    <w:rsid w:val="572528F9"/>
    <w:rsid w:val="573B211D"/>
    <w:rsid w:val="576F55A8"/>
    <w:rsid w:val="57A97EE1"/>
    <w:rsid w:val="57B23681"/>
    <w:rsid w:val="57BE68AA"/>
    <w:rsid w:val="57C458BB"/>
    <w:rsid w:val="57C729DF"/>
    <w:rsid w:val="57D04F5B"/>
    <w:rsid w:val="57D460CD"/>
    <w:rsid w:val="57FB69D6"/>
    <w:rsid w:val="5803383D"/>
    <w:rsid w:val="58290A9A"/>
    <w:rsid w:val="582F1556"/>
    <w:rsid w:val="583D7168"/>
    <w:rsid w:val="5865310A"/>
    <w:rsid w:val="58657D34"/>
    <w:rsid w:val="58786A09"/>
    <w:rsid w:val="589A7585"/>
    <w:rsid w:val="58AE7DE4"/>
    <w:rsid w:val="58B60237"/>
    <w:rsid w:val="58CF5213"/>
    <w:rsid w:val="58D63953"/>
    <w:rsid w:val="58EB7B73"/>
    <w:rsid w:val="58F252E4"/>
    <w:rsid w:val="593F3A1A"/>
    <w:rsid w:val="595335CD"/>
    <w:rsid w:val="598567DD"/>
    <w:rsid w:val="598B4F68"/>
    <w:rsid w:val="59941FB8"/>
    <w:rsid w:val="59A0270B"/>
    <w:rsid w:val="59DF668F"/>
    <w:rsid w:val="59FD7B5D"/>
    <w:rsid w:val="5A074538"/>
    <w:rsid w:val="5A2450EA"/>
    <w:rsid w:val="5A2F531B"/>
    <w:rsid w:val="5A3A1328"/>
    <w:rsid w:val="5A425C19"/>
    <w:rsid w:val="5A754A81"/>
    <w:rsid w:val="5A771330"/>
    <w:rsid w:val="5A771FCB"/>
    <w:rsid w:val="5A7B044C"/>
    <w:rsid w:val="5A84202D"/>
    <w:rsid w:val="5A8A7E13"/>
    <w:rsid w:val="5AB96D14"/>
    <w:rsid w:val="5AD52797"/>
    <w:rsid w:val="5B0E1754"/>
    <w:rsid w:val="5B115354"/>
    <w:rsid w:val="5B1B4E0E"/>
    <w:rsid w:val="5B2E3D47"/>
    <w:rsid w:val="5B352E18"/>
    <w:rsid w:val="5B61411C"/>
    <w:rsid w:val="5B680522"/>
    <w:rsid w:val="5B810F44"/>
    <w:rsid w:val="5B981283"/>
    <w:rsid w:val="5BDA6D1F"/>
    <w:rsid w:val="5BDC5FFA"/>
    <w:rsid w:val="5BEC64DD"/>
    <w:rsid w:val="5BEF1728"/>
    <w:rsid w:val="5C0A47B4"/>
    <w:rsid w:val="5C101F64"/>
    <w:rsid w:val="5C2A18C4"/>
    <w:rsid w:val="5C2F5FC8"/>
    <w:rsid w:val="5C44595F"/>
    <w:rsid w:val="5C687B26"/>
    <w:rsid w:val="5C690909"/>
    <w:rsid w:val="5C8057BB"/>
    <w:rsid w:val="5CAC2125"/>
    <w:rsid w:val="5CC52489"/>
    <w:rsid w:val="5CC747CD"/>
    <w:rsid w:val="5CCD31A4"/>
    <w:rsid w:val="5CCD5288"/>
    <w:rsid w:val="5CD51122"/>
    <w:rsid w:val="5CD8040E"/>
    <w:rsid w:val="5CDD77D2"/>
    <w:rsid w:val="5CE977E1"/>
    <w:rsid w:val="5CED2398"/>
    <w:rsid w:val="5D017A59"/>
    <w:rsid w:val="5D1C02FB"/>
    <w:rsid w:val="5D257C86"/>
    <w:rsid w:val="5D3E4715"/>
    <w:rsid w:val="5D6751F3"/>
    <w:rsid w:val="5D7175DE"/>
    <w:rsid w:val="5D764750"/>
    <w:rsid w:val="5D83037A"/>
    <w:rsid w:val="5DCA7D57"/>
    <w:rsid w:val="5DEF0B24"/>
    <w:rsid w:val="5DF54F15"/>
    <w:rsid w:val="5E190CDE"/>
    <w:rsid w:val="5E2A6A47"/>
    <w:rsid w:val="5E3B20A3"/>
    <w:rsid w:val="5E40437F"/>
    <w:rsid w:val="5E5379A8"/>
    <w:rsid w:val="5E5835B4"/>
    <w:rsid w:val="5E5B093C"/>
    <w:rsid w:val="5E63196D"/>
    <w:rsid w:val="5E7B54F5"/>
    <w:rsid w:val="5EA92062"/>
    <w:rsid w:val="5EE04EA5"/>
    <w:rsid w:val="5EE15D3E"/>
    <w:rsid w:val="5EEE5CC7"/>
    <w:rsid w:val="5F0D3D6B"/>
    <w:rsid w:val="5F13397F"/>
    <w:rsid w:val="5F3D4111"/>
    <w:rsid w:val="5F490EA9"/>
    <w:rsid w:val="5F685A79"/>
    <w:rsid w:val="5F8B1768"/>
    <w:rsid w:val="5FA17D86"/>
    <w:rsid w:val="5FB94527"/>
    <w:rsid w:val="5FCE1665"/>
    <w:rsid w:val="5FDC547B"/>
    <w:rsid w:val="601E25DC"/>
    <w:rsid w:val="60234096"/>
    <w:rsid w:val="60285208"/>
    <w:rsid w:val="60341DFF"/>
    <w:rsid w:val="60395667"/>
    <w:rsid w:val="607A39D5"/>
    <w:rsid w:val="60830691"/>
    <w:rsid w:val="608907AD"/>
    <w:rsid w:val="608A1A1F"/>
    <w:rsid w:val="60AF2F6D"/>
    <w:rsid w:val="60B151FE"/>
    <w:rsid w:val="60DE0BB3"/>
    <w:rsid w:val="60F3283C"/>
    <w:rsid w:val="610E43FE"/>
    <w:rsid w:val="613A1697"/>
    <w:rsid w:val="617C4D34"/>
    <w:rsid w:val="618E739E"/>
    <w:rsid w:val="61C73DA5"/>
    <w:rsid w:val="61D17CAB"/>
    <w:rsid w:val="61D2367E"/>
    <w:rsid w:val="61DC44FC"/>
    <w:rsid w:val="61E84C4F"/>
    <w:rsid w:val="61FE5870"/>
    <w:rsid w:val="620614F7"/>
    <w:rsid w:val="620B1356"/>
    <w:rsid w:val="622E6F76"/>
    <w:rsid w:val="62426A55"/>
    <w:rsid w:val="62427B08"/>
    <w:rsid w:val="62925EC5"/>
    <w:rsid w:val="629923ED"/>
    <w:rsid w:val="629A6A3D"/>
    <w:rsid w:val="62B01D02"/>
    <w:rsid w:val="62C90F25"/>
    <w:rsid w:val="62E73159"/>
    <w:rsid w:val="62EE43B9"/>
    <w:rsid w:val="62FD0BCE"/>
    <w:rsid w:val="631A6BB5"/>
    <w:rsid w:val="637C7D45"/>
    <w:rsid w:val="638365C8"/>
    <w:rsid w:val="63B07DEB"/>
    <w:rsid w:val="63F2043C"/>
    <w:rsid w:val="63F33541"/>
    <w:rsid w:val="642F516B"/>
    <w:rsid w:val="643D3F82"/>
    <w:rsid w:val="64416899"/>
    <w:rsid w:val="64460353"/>
    <w:rsid w:val="64473A99"/>
    <w:rsid w:val="64513ECF"/>
    <w:rsid w:val="645835CA"/>
    <w:rsid w:val="646F1ECB"/>
    <w:rsid w:val="647529E3"/>
    <w:rsid w:val="648F1CFA"/>
    <w:rsid w:val="64963088"/>
    <w:rsid w:val="64970BAF"/>
    <w:rsid w:val="64986E00"/>
    <w:rsid w:val="64A73A63"/>
    <w:rsid w:val="64AC6408"/>
    <w:rsid w:val="64B440CE"/>
    <w:rsid w:val="64C47C41"/>
    <w:rsid w:val="64C61C73"/>
    <w:rsid w:val="64CC16F1"/>
    <w:rsid w:val="64E0145E"/>
    <w:rsid w:val="64E21971"/>
    <w:rsid w:val="65012A1A"/>
    <w:rsid w:val="650E0996"/>
    <w:rsid w:val="651B17E0"/>
    <w:rsid w:val="65280949"/>
    <w:rsid w:val="652F19C1"/>
    <w:rsid w:val="653A630E"/>
    <w:rsid w:val="653E102A"/>
    <w:rsid w:val="65513BF1"/>
    <w:rsid w:val="655A5E64"/>
    <w:rsid w:val="65637F92"/>
    <w:rsid w:val="656732FC"/>
    <w:rsid w:val="65726BD7"/>
    <w:rsid w:val="65757142"/>
    <w:rsid w:val="65866F9F"/>
    <w:rsid w:val="658C7FE7"/>
    <w:rsid w:val="65905838"/>
    <w:rsid w:val="65CF359E"/>
    <w:rsid w:val="65E6594A"/>
    <w:rsid w:val="660F337B"/>
    <w:rsid w:val="662C699A"/>
    <w:rsid w:val="663819AD"/>
    <w:rsid w:val="66501AC9"/>
    <w:rsid w:val="666900AA"/>
    <w:rsid w:val="66770533"/>
    <w:rsid w:val="668A7478"/>
    <w:rsid w:val="66AA6977"/>
    <w:rsid w:val="66B15436"/>
    <w:rsid w:val="66BC66AA"/>
    <w:rsid w:val="66CA6196"/>
    <w:rsid w:val="66E225B5"/>
    <w:rsid w:val="67114C48"/>
    <w:rsid w:val="671958AB"/>
    <w:rsid w:val="672C75E3"/>
    <w:rsid w:val="6746699E"/>
    <w:rsid w:val="675428D8"/>
    <w:rsid w:val="676A5DCD"/>
    <w:rsid w:val="677A35F4"/>
    <w:rsid w:val="67815A59"/>
    <w:rsid w:val="67836075"/>
    <w:rsid w:val="67A05FCC"/>
    <w:rsid w:val="67A61834"/>
    <w:rsid w:val="67D0240D"/>
    <w:rsid w:val="67E751D2"/>
    <w:rsid w:val="67F41141"/>
    <w:rsid w:val="68282D67"/>
    <w:rsid w:val="68391FB8"/>
    <w:rsid w:val="68594AF9"/>
    <w:rsid w:val="68617509"/>
    <w:rsid w:val="68617CCA"/>
    <w:rsid w:val="686A0AB4"/>
    <w:rsid w:val="68804A67"/>
    <w:rsid w:val="689C1A45"/>
    <w:rsid w:val="68BD5216"/>
    <w:rsid w:val="68E1689C"/>
    <w:rsid w:val="68E36CA1"/>
    <w:rsid w:val="68E949F9"/>
    <w:rsid w:val="692073C4"/>
    <w:rsid w:val="69224EEB"/>
    <w:rsid w:val="693D0198"/>
    <w:rsid w:val="69402053"/>
    <w:rsid w:val="694E1833"/>
    <w:rsid w:val="695700C8"/>
    <w:rsid w:val="695D4175"/>
    <w:rsid w:val="696372B1"/>
    <w:rsid w:val="697136FB"/>
    <w:rsid w:val="69847B51"/>
    <w:rsid w:val="698C0B56"/>
    <w:rsid w:val="69981651"/>
    <w:rsid w:val="699D0A15"/>
    <w:rsid w:val="699D1F15"/>
    <w:rsid w:val="69B12E7A"/>
    <w:rsid w:val="69B53FB1"/>
    <w:rsid w:val="69BA185F"/>
    <w:rsid w:val="69C425E8"/>
    <w:rsid w:val="69C441F4"/>
    <w:rsid w:val="69CC30A8"/>
    <w:rsid w:val="69E76B99"/>
    <w:rsid w:val="69FD5DAF"/>
    <w:rsid w:val="6A423679"/>
    <w:rsid w:val="6A4269CC"/>
    <w:rsid w:val="6A6316F5"/>
    <w:rsid w:val="6AC84D4A"/>
    <w:rsid w:val="6ACB3CE7"/>
    <w:rsid w:val="6AE34946"/>
    <w:rsid w:val="6AF503DD"/>
    <w:rsid w:val="6B0D10E7"/>
    <w:rsid w:val="6B4C371C"/>
    <w:rsid w:val="6B794440"/>
    <w:rsid w:val="6BD149A6"/>
    <w:rsid w:val="6BE51E19"/>
    <w:rsid w:val="6BF25824"/>
    <w:rsid w:val="6C2243E5"/>
    <w:rsid w:val="6C374746"/>
    <w:rsid w:val="6C382D72"/>
    <w:rsid w:val="6C5E1C5F"/>
    <w:rsid w:val="6C907A89"/>
    <w:rsid w:val="6CBF366A"/>
    <w:rsid w:val="6CD31477"/>
    <w:rsid w:val="6CDA3D2E"/>
    <w:rsid w:val="6CE54BAD"/>
    <w:rsid w:val="6D051E46"/>
    <w:rsid w:val="6D0F2B56"/>
    <w:rsid w:val="6D1123A2"/>
    <w:rsid w:val="6D667370"/>
    <w:rsid w:val="6D68133A"/>
    <w:rsid w:val="6D692649"/>
    <w:rsid w:val="6D6D06FE"/>
    <w:rsid w:val="6D747043"/>
    <w:rsid w:val="6D793547"/>
    <w:rsid w:val="6D800432"/>
    <w:rsid w:val="6D843732"/>
    <w:rsid w:val="6D980AA4"/>
    <w:rsid w:val="6DAB037E"/>
    <w:rsid w:val="6E05219D"/>
    <w:rsid w:val="6E0E3EEB"/>
    <w:rsid w:val="6E0F726D"/>
    <w:rsid w:val="6E1F0FAA"/>
    <w:rsid w:val="6E400333"/>
    <w:rsid w:val="6E513D43"/>
    <w:rsid w:val="6E54227E"/>
    <w:rsid w:val="6E5D7049"/>
    <w:rsid w:val="6E674062"/>
    <w:rsid w:val="6E9E4C87"/>
    <w:rsid w:val="6EB57A19"/>
    <w:rsid w:val="6EC9405A"/>
    <w:rsid w:val="6EE844E0"/>
    <w:rsid w:val="6F040F9E"/>
    <w:rsid w:val="6F153F12"/>
    <w:rsid w:val="6F3F021E"/>
    <w:rsid w:val="6F5C7110"/>
    <w:rsid w:val="6F7205F2"/>
    <w:rsid w:val="6F742448"/>
    <w:rsid w:val="6F9B6146"/>
    <w:rsid w:val="6F9E1043"/>
    <w:rsid w:val="6FA81EC2"/>
    <w:rsid w:val="6FAF1420"/>
    <w:rsid w:val="6FCB7471"/>
    <w:rsid w:val="6FE35C75"/>
    <w:rsid w:val="6FE64412"/>
    <w:rsid w:val="6FF2669D"/>
    <w:rsid w:val="6FF3138F"/>
    <w:rsid w:val="700F087E"/>
    <w:rsid w:val="70141305"/>
    <w:rsid w:val="70182BA3"/>
    <w:rsid w:val="701F03D6"/>
    <w:rsid w:val="70413566"/>
    <w:rsid w:val="704C4F43"/>
    <w:rsid w:val="7053007F"/>
    <w:rsid w:val="70572DDA"/>
    <w:rsid w:val="707D5171"/>
    <w:rsid w:val="708B7819"/>
    <w:rsid w:val="70981474"/>
    <w:rsid w:val="70BD374B"/>
    <w:rsid w:val="70C34170"/>
    <w:rsid w:val="70CC1BE0"/>
    <w:rsid w:val="70DF39ED"/>
    <w:rsid w:val="70E91F7B"/>
    <w:rsid w:val="70FC4273"/>
    <w:rsid w:val="712B442D"/>
    <w:rsid w:val="713150B9"/>
    <w:rsid w:val="715B749F"/>
    <w:rsid w:val="71752277"/>
    <w:rsid w:val="7178251F"/>
    <w:rsid w:val="718D7922"/>
    <w:rsid w:val="718F158B"/>
    <w:rsid w:val="71924BD7"/>
    <w:rsid w:val="719706E0"/>
    <w:rsid w:val="719A6EBC"/>
    <w:rsid w:val="719C7E34"/>
    <w:rsid w:val="71D1314F"/>
    <w:rsid w:val="71D376CA"/>
    <w:rsid w:val="71DF70A5"/>
    <w:rsid w:val="71E604AC"/>
    <w:rsid w:val="71EA46C6"/>
    <w:rsid w:val="71FB277D"/>
    <w:rsid w:val="720B6564"/>
    <w:rsid w:val="725B321B"/>
    <w:rsid w:val="7263391E"/>
    <w:rsid w:val="72826CD9"/>
    <w:rsid w:val="728436BD"/>
    <w:rsid w:val="72852309"/>
    <w:rsid w:val="72BA6E49"/>
    <w:rsid w:val="72C26A79"/>
    <w:rsid w:val="72F16304"/>
    <w:rsid w:val="72FA3060"/>
    <w:rsid w:val="731B6F02"/>
    <w:rsid w:val="731E3790"/>
    <w:rsid w:val="733705C1"/>
    <w:rsid w:val="73375A36"/>
    <w:rsid w:val="734B7734"/>
    <w:rsid w:val="7371521A"/>
    <w:rsid w:val="73B250BD"/>
    <w:rsid w:val="73B276E6"/>
    <w:rsid w:val="73B64A8E"/>
    <w:rsid w:val="73BD7C10"/>
    <w:rsid w:val="73C32238"/>
    <w:rsid w:val="73C9153E"/>
    <w:rsid w:val="73E77C9B"/>
    <w:rsid w:val="73ED0703"/>
    <w:rsid w:val="73EE0CBF"/>
    <w:rsid w:val="73F27BAF"/>
    <w:rsid w:val="740614C1"/>
    <w:rsid w:val="741D2E7E"/>
    <w:rsid w:val="74225F70"/>
    <w:rsid w:val="74556113"/>
    <w:rsid w:val="747D391D"/>
    <w:rsid w:val="748208E0"/>
    <w:rsid w:val="74872960"/>
    <w:rsid w:val="74C7103C"/>
    <w:rsid w:val="74DF6849"/>
    <w:rsid w:val="74E06B4C"/>
    <w:rsid w:val="74EE0377"/>
    <w:rsid w:val="74F81AA3"/>
    <w:rsid w:val="750162FC"/>
    <w:rsid w:val="7511700A"/>
    <w:rsid w:val="751C43BC"/>
    <w:rsid w:val="753E3400"/>
    <w:rsid w:val="754931C0"/>
    <w:rsid w:val="755328D0"/>
    <w:rsid w:val="75601B6A"/>
    <w:rsid w:val="757E5B9F"/>
    <w:rsid w:val="758A512E"/>
    <w:rsid w:val="75B02DC6"/>
    <w:rsid w:val="75C64918"/>
    <w:rsid w:val="75CD1F24"/>
    <w:rsid w:val="75D457BF"/>
    <w:rsid w:val="75F25C45"/>
    <w:rsid w:val="76065B94"/>
    <w:rsid w:val="76185901"/>
    <w:rsid w:val="762446EA"/>
    <w:rsid w:val="76320737"/>
    <w:rsid w:val="76352F72"/>
    <w:rsid w:val="7640464B"/>
    <w:rsid w:val="764364A0"/>
    <w:rsid w:val="76487222"/>
    <w:rsid w:val="765F2482"/>
    <w:rsid w:val="76705C26"/>
    <w:rsid w:val="768E2EB1"/>
    <w:rsid w:val="769A5664"/>
    <w:rsid w:val="769D3E02"/>
    <w:rsid w:val="76A3259B"/>
    <w:rsid w:val="76C0402B"/>
    <w:rsid w:val="76C375E1"/>
    <w:rsid w:val="76C70E7F"/>
    <w:rsid w:val="76CA7AFA"/>
    <w:rsid w:val="76D13A99"/>
    <w:rsid w:val="76D66663"/>
    <w:rsid w:val="76DF266D"/>
    <w:rsid w:val="76E9135B"/>
    <w:rsid w:val="76F705D8"/>
    <w:rsid w:val="76FD0D45"/>
    <w:rsid w:val="77054F08"/>
    <w:rsid w:val="771F0CBB"/>
    <w:rsid w:val="77331102"/>
    <w:rsid w:val="775F37AE"/>
    <w:rsid w:val="776678EC"/>
    <w:rsid w:val="776A1330"/>
    <w:rsid w:val="777345A1"/>
    <w:rsid w:val="778A3274"/>
    <w:rsid w:val="77984739"/>
    <w:rsid w:val="77A35614"/>
    <w:rsid w:val="77DD5609"/>
    <w:rsid w:val="77DE7C45"/>
    <w:rsid w:val="77FE4D75"/>
    <w:rsid w:val="781E71C5"/>
    <w:rsid w:val="78272ABE"/>
    <w:rsid w:val="7840309F"/>
    <w:rsid w:val="78450B7D"/>
    <w:rsid w:val="78462278"/>
    <w:rsid w:val="7854099B"/>
    <w:rsid w:val="78615EEE"/>
    <w:rsid w:val="78674EB9"/>
    <w:rsid w:val="786E785C"/>
    <w:rsid w:val="78710E27"/>
    <w:rsid w:val="787F1B1B"/>
    <w:rsid w:val="78CE5C03"/>
    <w:rsid w:val="78FB4B8A"/>
    <w:rsid w:val="78FB5758"/>
    <w:rsid w:val="7907518B"/>
    <w:rsid w:val="791B21B1"/>
    <w:rsid w:val="791B54B2"/>
    <w:rsid w:val="7922270B"/>
    <w:rsid w:val="792B505F"/>
    <w:rsid w:val="795A2F6B"/>
    <w:rsid w:val="795E2EF5"/>
    <w:rsid w:val="796230E1"/>
    <w:rsid w:val="7967694A"/>
    <w:rsid w:val="797A042B"/>
    <w:rsid w:val="79A1693B"/>
    <w:rsid w:val="79BA2F1D"/>
    <w:rsid w:val="79C227FB"/>
    <w:rsid w:val="79C773E8"/>
    <w:rsid w:val="79C8563A"/>
    <w:rsid w:val="7A240795"/>
    <w:rsid w:val="7A2809FF"/>
    <w:rsid w:val="7A302D8E"/>
    <w:rsid w:val="7A34255B"/>
    <w:rsid w:val="7A546ECE"/>
    <w:rsid w:val="7A552C46"/>
    <w:rsid w:val="7A584250"/>
    <w:rsid w:val="7A5B2BD9"/>
    <w:rsid w:val="7A601D17"/>
    <w:rsid w:val="7A624CEA"/>
    <w:rsid w:val="7A6D4434"/>
    <w:rsid w:val="7A7255A6"/>
    <w:rsid w:val="7A857A10"/>
    <w:rsid w:val="7A9019EA"/>
    <w:rsid w:val="7AA049B4"/>
    <w:rsid w:val="7AAF2356"/>
    <w:rsid w:val="7AC322A6"/>
    <w:rsid w:val="7AF95CC7"/>
    <w:rsid w:val="7AFA35FE"/>
    <w:rsid w:val="7AFA4330"/>
    <w:rsid w:val="7B0C253D"/>
    <w:rsid w:val="7B1228E5"/>
    <w:rsid w:val="7B1A355F"/>
    <w:rsid w:val="7B1E0BA2"/>
    <w:rsid w:val="7B2C7E4B"/>
    <w:rsid w:val="7B5A6766"/>
    <w:rsid w:val="7BC6204D"/>
    <w:rsid w:val="7BE14791"/>
    <w:rsid w:val="7C110DEB"/>
    <w:rsid w:val="7C236CAE"/>
    <w:rsid w:val="7C3945CD"/>
    <w:rsid w:val="7C3F770A"/>
    <w:rsid w:val="7C53016D"/>
    <w:rsid w:val="7C5B51A1"/>
    <w:rsid w:val="7C66738C"/>
    <w:rsid w:val="7C8364A2"/>
    <w:rsid w:val="7C8B0BA1"/>
    <w:rsid w:val="7C9819E6"/>
    <w:rsid w:val="7CA928B6"/>
    <w:rsid w:val="7CCA791B"/>
    <w:rsid w:val="7CD346CB"/>
    <w:rsid w:val="7D0E600D"/>
    <w:rsid w:val="7D1B29DC"/>
    <w:rsid w:val="7D23702C"/>
    <w:rsid w:val="7D425704"/>
    <w:rsid w:val="7D456FA2"/>
    <w:rsid w:val="7D4C0330"/>
    <w:rsid w:val="7D511DEB"/>
    <w:rsid w:val="7D642BC2"/>
    <w:rsid w:val="7D840711"/>
    <w:rsid w:val="7D8B470C"/>
    <w:rsid w:val="7DB52344"/>
    <w:rsid w:val="7DD76212"/>
    <w:rsid w:val="7DE927BD"/>
    <w:rsid w:val="7E125851"/>
    <w:rsid w:val="7E17093E"/>
    <w:rsid w:val="7E3D0FDC"/>
    <w:rsid w:val="7E403AA9"/>
    <w:rsid w:val="7E43278C"/>
    <w:rsid w:val="7E436BA5"/>
    <w:rsid w:val="7E503E50"/>
    <w:rsid w:val="7E522EB1"/>
    <w:rsid w:val="7E584AB3"/>
    <w:rsid w:val="7E5F05B8"/>
    <w:rsid w:val="7E656CDA"/>
    <w:rsid w:val="7E6B3FA7"/>
    <w:rsid w:val="7E723DC7"/>
    <w:rsid w:val="7EA004B9"/>
    <w:rsid w:val="7EA069DB"/>
    <w:rsid w:val="7EAC1EF9"/>
    <w:rsid w:val="7EAD75EF"/>
    <w:rsid w:val="7EB20878"/>
    <w:rsid w:val="7EBA19CE"/>
    <w:rsid w:val="7EC25994"/>
    <w:rsid w:val="7ECB1729"/>
    <w:rsid w:val="7ECB2120"/>
    <w:rsid w:val="7EDC503E"/>
    <w:rsid w:val="7EDE320A"/>
    <w:rsid w:val="7EE248A2"/>
    <w:rsid w:val="7EEE5049"/>
    <w:rsid w:val="7EEF5417"/>
    <w:rsid w:val="7F046995"/>
    <w:rsid w:val="7F0B796D"/>
    <w:rsid w:val="7F0E710C"/>
    <w:rsid w:val="7F156544"/>
    <w:rsid w:val="7F3D5899"/>
    <w:rsid w:val="7F4F4108"/>
    <w:rsid w:val="7FB65F35"/>
    <w:rsid w:val="7FCD0C62"/>
    <w:rsid w:val="7FF058EB"/>
    <w:rsid w:val="EFFB97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3">
    <w:name w:val="heading 1"/>
    <w:basedOn w:val="1"/>
    <w:next w:val="1"/>
    <w:link w:val="35"/>
    <w:qFormat/>
    <w:uiPriority w:val="99"/>
    <w:pPr>
      <w:keepNext/>
      <w:keepLines/>
      <w:spacing w:line="576" w:lineRule="auto"/>
      <w:outlineLvl w:val="0"/>
    </w:pPr>
    <w:rPr>
      <w:b/>
      <w:kern w:val="44"/>
      <w:sz w:val="44"/>
    </w:rPr>
  </w:style>
  <w:style w:type="paragraph" w:styleId="4">
    <w:name w:val="heading 2"/>
    <w:basedOn w:val="1"/>
    <w:next w:val="1"/>
    <w:link w:val="36"/>
    <w:qFormat/>
    <w:uiPriority w:val="99"/>
    <w:pPr>
      <w:keepNext/>
      <w:keepLines/>
      <w:spacing w:line="416" w:lineRule="auto"/>
      <w:outlineLvl w:val="1"/>
    </w:pPr>
    <w:rPr>
      <w:rFonts w:ascii="Cambria" w:hAnsi="Cambria"/>
      <w:b/>
      <w:sz w:val="32"/>
      <w:szCs w:val="24"/>
    </w:rPr>
  </w:style>
  <w:style w:type="paragraph" w:styleId="5">
    <w:name w:val="heading 3"/>
    <w:basedOn w:val="1"/>
    <w:next w:val="1"/>
    <w:link w:val="37"/>
    <w:qFormat/>
    <w:uiPriority w:val="99"/>
    <w:pPr>
      <w:keepNext/>
      <w:keepLines/>
      <w:spacing w:line="413" w:lineRule="auto"/>
      <w:outlineLvl w:val="2"/>
    </w:pPr>
    <w:rPr>
      <w:rFonts w:ascii="Times New Roman"/>
      <w:b/>
      <w:sz w:val="32"/>
    </w:rPr>
  </w:style>
  <w:style w:type="paragraph" w:styleId="6">
    <w:name w:val="heading 4"/>
    <w:basedOn w:val="1"/>
    <w:next w:val="1"/>
    <w:unhideWhenUsed/>
    <w:qFormat/>
    <w:locked/>
    <w:uiPriority w:val="0"/>
    <w:pPr>
      <w:keepNext/>
      <w:keepLines/>
      <w:jc w:val="left"/>
      <w:outlineLvl w:val="3"/>
    </w:pPr>
    <w:rPr>
      <w:rFonts w:hint="eastAsia" w:ascii="Arial" w:hAnsi="Arial"/>
      <w:b/>
      <w:sz w:val="32"/>
    </w:rPr>
  </w:style>
  <w:style w:type="paragraph" w:styleId="7">
    <w:name w:val="heading 6"/>
    <w:basedOn w:val="1"/>
    <w:next w:val="1"/>
    <w:semiHidden/>
    <w:unhideWhenUsed/>
    <w:qFormat/>
    <w:locked/>
    <w:uiPriority w:val="0"/>
    <w:pPr>
      <w:spacing w:line="17" w:lineRule="atLeast"/>
      <w:jc w:val="left"/>
      <w:outlineLvl w:val="5"/>
    </w:pPr>
    <w:rPr>
      <w:rFonts w:hint="eastAsia" w:hAnsi="宋体"/>
      <w:b/>
      <w:sz w:val="24"/>
      <w:szCs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8"/>
    <w:qFormat/>
    <w:uiPriority w:val="99"/>
    <w:rPr>
      <w:szCs w:val="24"/>
    </w:rPr>
  </w:style>
  <w:style w:type="paragraph" w:styleId="8">
    <w:name w:val="Normal Indent"/>
    <w:basedOn w:val="1"/>
    <w:qFormat/>
    <w:uiPriority w:val="99"/>
    <w:pPr>
      <w:ind w:firstLine="200" w:firstLineChars="200"/>
    </w:pPr>
  </w:style>
  <w:style w:type="paragraph" w:styleId="9">
    <w:name w:val="annotation text"/>
    <w:basedOn w:val="1"/>
    <w:link w:val="39"/>
    <w:qFormat/>
    <w:uiPriority w:val="99"/>
    <w:pPr>
      <w:jc w:val="left"/>
    </w:pPr>
    <w:rPr>
      <w:rFonts w:ascii="Times New Roman"/>
      <w:kern w:val="2"/>
      <w:sz w:val="21"/>
    </w:rPr>
  </w:style>
  <w:style w:type="paragraph" w:styleId="10">
    <w:name w:val="Body Text Indent"/>
    <w:basedOn w:val="1"/>
    <w:next w:val="11"/>
    <w:link w:val="40"/>
    <w:qFormat/>
    <w:uiPriority w:val="99"/>
    <w:pPr>
      <w:widowControl w:val="0"/>
      <w:ind w:left="420" w:leftChars="200"/>
    </w:pPr>
    <w:rPr>
      <w:szCs w:val="24"/>
    </w:rPr>
  </w:style>
  <w:style w:type="paragraph" w:styleId="11">
    <w:name w:val="Body Text First Indent 2"/>
    <w:basedOn w:val="10"/>
    <w:unhideWhenUsed/>
    <w:qFormat/>
    <w:uiPriority w:val="99"/>
    <w:pPr>
      <w:spacing w:after="120"/>
      <w:ind w:firstLine="420" w:firstLineChars="200"/>
    </w:pPr>
    <w:rPr>
      <w:rFonts w:ascii="Times New Roman"/>
      <w:sz w:val="21"/>
    </w:rPr>
  </w:style>
  <w:style w:type="paragraph" w:styleId="12">
    <w:name w:val="Plain Text"/>
    <w:basedOn w:val="1"/>
    <w:qFormat/>
    <w:uiPriority w:val="0"/>
    <w:pPr>
      <w:widowControl w:val="0"/>
    </w:pPr>
    <w:rPr>
      <w:rFonts w:hAnsi="Courier New"/>
      <w:sz w:val="20"/>
    </w:rPr>
  </w:style>
  <w:style w:type="paragraph" w:styleId="13">
    <w:name w:val="Body Text Indent 2"/>
    <w:basedOn w:val="1"/>
    <w:link w:val="41"/>
    <w:qFormat/>
    <w:uiPriority w:val="99"/>
    <w:pPr>
      <w:spacing w:line="480" w:lineRule="auto"/>
      <w:ind w:left="200" w:leftChars="200"/>
    </w:pPr>
  </w:style>
  <w:style w:type="paragraph" w:styleId="14">
    <w:name w:val="Balloon Text"/>
    <w:basedOn w:val="1"/>
    <w:link w:val="49"/>
    <w:semiHidden/>
    <w:qFormat/>
    <w:uiPriority w:val="99"/>
    <w:rPr>
      <w:sz w:val="18"/>
      <w:szCs w:val="18"/>
    </w:rPr>
  </w:style>
  <w:style w:type="paragraph" w:styleId="15">
    <w:name w:val="footer"/>
    <w:basedOn w:val="1"/>
    <w:link w:val="42"/>
    <w:qFormat/>
    <w:uiPriority w:val="99"/>
    <w:pPr>
      <w:tabs>
        <w:tab w:val="center" w:pos="4153"/>
        <w:tab w:val="right" w:pos="8306"/>
      </w:tabs>
      <w:snapToGrid w:val="0"/>
      <w:jc w:val="left"/>
    </w:pPr>
    <w:rPr>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style>
  <w:style w:type="paragraph" w:styleId="18">
    <w:name w:val="HTML Preformatted"/>
    <w:basedOn w:val="1"/>
    <w:link w:val="4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rPr>
  </w:style>
  <w:style w:type="paragraph" w:styleId="19">
    <w:name w:val="Normal (Web)"/>
    <w:basedOn w:val="1"/>
    <w:semiHidden/>
    <w:unhideWhenUsed/>
    <w:qFormat/>
    <w:uiPriority w:val="99"/>
    <w:pPr>
      <w:spacing w:beforeAutospacing="1" w:afterAutospacing="1"/>
      <w:jc w:val="left"/>
    </w:pPr>
    <w:rPr>
      <w:sz w:val="24"/>
    </w:rPr>
  </w:style>
  <w:style w:type="paragraph" w:styleId="20">
    <w:name w:val="annotation subject"/>
    <w:basedOn w:val="9"/>
    <w:next w:val="9"/>
    <w:link w:val="50"/>
    <w:semiHidden/>
    <w:unhideWhenUsed/>
    <w:qFormat/>
    <w:uiPriority w:val="99"/>
    <w:rPr>
      <w:rFonts w:ascii="宋体"/>
      <w:b/>
      <w:bCs/>
      <w:kern w:val="0"/>
      <w:sz w:val="34"/>
    </w:rPr>
  </w:style>
  <w:style w:type="paragraph" w:styleId="21">
    <w:name w:val="Body Text First Indent"/>
    <w:basedOn w:val="1"/>
    <w:qFormat/>
    <w:uiPriority w:val="0"/>
    <w:pPr>
      <w:spacing w:before="120" w:after="120" w:line="0" w:lineRule="atLeast"/>
      <w:ind w:firstLine="420"/>
    </w:pPr>
    <w:rPr>
      <w:rFonts w:ascii="Times New Roman" w:hAnsi="Times New Roman"/>
    </w:rPr>
  </w:style>
  <w:style w:type="table" w:styleId="23">
    <w:name w:val="Table Grid"/>
    <w:basedOn w:val="2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locked/>
    <w:uiPriority w:val="0"/>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333333"/>
      <w:u w:val="none"/>
    </w:rPr>
  </w:style>
  <w:style w:type="character" w:styleId="28">
    <w:name w:val="Emphasis"/>
    <w:basedOn w:val="24"/>
    <w:qFormat/>
    <w:locked/>
    <w:uiPriority w:val="0"/>
  </w:style>
  <w:style w:type="character" w:styleId="29">
    <w:name w:val="HTML Definition"/>
    <w:basedOn w:val="24"/>
    <w:semiHidden/>
    <w:unhideWhenUsed/>
    <w:qFormat/>
    <w:uiPriority w:val="99"/>
    <w:rPr>
      <w:i/>
      <w:iCs/>
    </w:rPr>
  </w:style>
  <w:style w:type="character" w:styleId="30">
    <w:name w:val="Hyperlink"/>
    <w:basedOn w:val="24"/>
    <w:unhideWhenUsed/>
    <w:qFormat/>
    <w:uiPriority w:val="99"/>
    <w:rPr>
      <w:color w:val="0000FF" w:themeColor="hyperlink"/>
      <w:u w:val="single"/>
    </w:rPr>
  </w:style>
  <w:style w:type="character" w:styleId="31">
    <w:name w:val="HTML Code"/>
    <w:basedOn w:val="24"/>
    <w:semiHidden/>
    <w:unhideWhenUsed/>
    <w:qFormat/>
    <w:uiPriority w:val="99"/>
    <w:rPr>
      <w:rFonts w:hint="default" w:ascii="Consolas" w:hAnsi="Consolas" w:eastAsia="Consolas" w:cs="Consolas"/>
      <w:color w:val="C7254E"/>
      <w:sz w:val="21"/>
      <w:szCs w:val="21"/>
      <w:shd w:val="clear" w:color="auto" w:fill="F9F2F4"/>
    </w:rPr>
  </w:style>
  <w:style w:type="character" w:styleId="32">
    <w:name w:val="annotation reference"/>
    <w:basedOn w:val="24"/>
    <w:qFormat/>
    <w:uiPriority w:val="99"/>
    <w:rPr>
      <w:rFonts w:cs="Times New Roman"/>
      <w:sz w:val="21"/>
      <w:szCs w:val="21"/>
    </w:rPr>
  </w:style>
  <w:style w:type="character" w:styleId="33">
    <w:name w:val="HTML Keyboard"/>
    <w:basedOn w:val="24"/>
    <w:semiHidden/>
    <w:unhideWhenUsed/>
    <w:qFormat/>
    <w:uiPriority w:val="99"/>
    <w:rPr>
      <w:rFonts w:hint="default" w:ascii="Consolas" w:hAnsi="Consolas" w:eastAsia="Consolas" w:cs="Consolas"/>
      <w:color w:val="FFFFFF"/>
      <w:sz w:val="21"/>
      <w:szCs w:val="21"/>
      <w:shd w:val="clear" w:color="auto" w:fill="333333"/>
    </w:rPr>
  </w:style>
  <w:style w:type="character" w:styleId="34">
    <w:name w:val="HTML Sample"/>
    <w:basedOn w:val="24"/>
    <w:semiHidden/>
    <w:unhideWhenUsed/>
    <w:qFormat/>
    <w:uiPriority w:val="99"/>
    <w:rPr>
      <w:rFonts w:ascii="Consolas" w:hAnsi="Consolas" w:eastAsia="Consolas" w:cs="Consolas"/>
      <w:sz w:val="21"/>
      <w:szCs w:val="21"/>
    </w:rPr>
  </w:style>
  <w:style w:type="character" w:customStyle="1" w:styleId="35">
    <w:name w:val="标题 1 Char"/>
    <w:basedOn w:val="24"/>
    <w:link w:val="3"/>
    <w:qFormat/>
    <w:locked/>
    <w:uiPriority w:val="99"/>
    <w:rPr>
      <w:rFonts w:cs="Times New Roman"/>
      <w:b/>
      <w:kern w:val="44"/>
      <w:sz w:val="44"/>
    </w:rPr>
  </w:style>
  <w:style w:type="character" w:customStyle="1" w:styleId="36">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7">
    <w:name w:val="标题 3 Char"/>
    <w:basedOn w:val="24"/>
    <w:link w:val="5"/>
    <w:semiHidden/>
    <w:qFormat/>
    <w:uiPriority w:val="9"/>
    <w:rPr>
      <w:rFonts w:ascii="宋体" w:hAnsi="Calibri"/>
      <w:b/>
      <w:bCs/>
      <w:kern w:val="0"/>
      <w:sz w:val="32"/>
      <w:szCs w:val="32"/>
    </w:rPr>
  </w:style>
  <w:style w:type="character" w:customStyle="1" w:styleId="38">
    <w:name w:val="正文文本 Char"/>
    <w:basedOn w:val="24"/>
    <w:link w:val="2"/>
    <w:semiHidden/>
    <w:qFormat/>
    <w:uiPriority w:val="99"/>
    <w:rPr>
      <w:rFonts w:ascii="宋体" w:hAnsi="Calibri"/>
      <w:kern w:val="0"/>
      <w:sz w:val="34"/>
    </w:rPr>
  </w:style>
  <w:style w:type="character" w:customStyle="1" w:styleId="39">
    <w:name w:val="批注文字 Char"/>
    <w:basedOn w:val="24"/>
    <w:link w:val="9"/>
    <w:semiHidden/>
    <w:qFormat/>
    <w:uiPriority w:val="99"/>
    <w:rPr>
      <w:rFonts w:ascii="宋体" w:hAnsi="Calibri"/>
      <w:kern w:val="0"/>
      <w:sz w:val="34"/>
    </w:rPr>
  </w:style>
  <w:style w:type="character" w:customStyle="1" w:styleId="40">
    <w:name w:val="正文文本缩进 Char"/>
    <w:basedOn w:val="24"/>
    <w:link w:val="10"/>
    <w:semiHidden/>
    <w:qFormat/>
    <w:uiPriority w:val="99"/>
    <w:rPr>
      <w:rFonts w:ascii="宋体" w:hAnsi="Calibri"/>
      <w:kern w:val="0"/>
      <w:sz w:val="34"/>
    </w:rPr>
  </w:style>
  <w:style w:type="character" w:customStyle="1" w:styleId="41">
    <w:name w:val="正文文本缩进 2 Char"/>
    <w:basedOn w:val="24"/>
    <w:link w:val="13"/>
    <w:semiHidden/>
    <w:qFormat/>
    <w:uiPriority w:val="99"/>
    <w:rPr>
      <w:rFonts w:ascii="宋体" w:hAnsi="Calibri"/>
      <w:kern w:val="0"/>
      <w:sz w:val="34"/>
    </w:rPr>
  </w:style>
  <w:style w:type="character" w:customStyle="1" w:styleId="42">
    <w:name w:val="页脚 Char"/>
    <w:basedOn w:val="24"/>
    <w:link w:val="15"/>
    <w:semiHidden/>
    <w:qFormat/>
    <w:uiPriority w:val="99"/>
    <w:rPr>
      <w:rFonts w:ascii="宋体" w:hAnsi="Calibri"/>
      <w:kern w:val="0"/>
      <w:sz w:val="18"/>
      <w:szCs w:val="18"/>
    </w:rPr>
  </w:style>
  <w:style w:type="character" w:customStyle="1" w:styleId="43">
    <w:name w:val="页眉 Char"/>
    <w:basedOn w:val="24"/>
    <w:link w:val="16"/>
    <w:semiHidden/>
    <w:qFormat/>
    <w:uiPriority w:val="99"/>
    <w:rPr>
      <w:rFonts w:ascii="宋体" w:hAnsi="Calibri"/>
      <w:kern w:val="0"/>
      <w:sz w:val="18"/>
      <w:szCs w:val="18"/>
    </w:rPr>
  </w:style>
  <w:style w:type="character" w:customStyle="1" w:styleId="44">
    <w:name w:val="HTML 预设格式 Char"/>
    <w:basedOn w:val="24"/>
    <w:link w:val="18"/>
    <w:semiHidden/>
    <w:qFormat/>
    <w:uiPriority w:val="99"/>
    <w:rPr>
      <w:rFonts w:ascii="Courier New" w:hAnsi="Courier New" w:cs="Courier New"/>
      <w:kern w:val="0"/>
      <w:sz w:val="20"/>
      <w:szCs w:val="20"/>
    </w:rPr>
  </w:style>
  <w:style w:type="paragraph" w:customStyle="1" w:styleId="45">
    <w:name w:val="正文首行缩进两字符"/>
    <w:basedOn w:val="1"/>
    <w:qFormat/>
    <w:uiPriority w:val="99"/>
    <w:pPr>
      <w:widowControl w:val="0"/>
      <w:spacing w:line="360" w:lineRule="auto"/>
      <w:ind w:firstLine="200" w:firstLineChars="200"/>
    </w:pPr>
    <w:rPr>
      <w:szCs w:val="24"/>
    </w:rPr>
  </w:style>
  <w:style w:type="paragraph" w:customStyle="1" w:styleId="4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48">
    <w:name w:val="样式 首行缩进:  2 字符"/>
    <w:basedOn w:val="1"/>
    <w:qFormat/>
    <w:uiPriority w:val="0"/>
    <w:pPr>
      <w:spacing w:line="400" w:lineRule="exact"/>
      <w:ind w:firstLine="200" w:firstLineChars="200"/>
    </w:pPr>
    <w:rPr>
      <w:rFonts w:cs="宋体"/>
      <w:sz w:val="24"/>
    </w:rPr>
  </w:style>
  <w:style w:type="character" w:customStyle="1" w:styleId="49">
    <w:name w:val="批注框文本 Char"/>
    <w:basedOn w:val="24"/>
    <w:link w:val="14"/>
    <w:semiHidden/>
    <w:qFormat/>
    <w:uiPriority w:val="99"/>
    <w:rPr>
      <w:rFonts w:ascii="宋体" w:hAnsi="Calibri"/>
      <w:kern w:val="0"/>
      <w:sz w:val="0"/>
      <w:szCs w:val="0"/>
    </w:rPr>
  </w:style>
  <w:style w:type="character" w:customStyle="1" w:styleId="50">
    <w:name w:val="批注主题 Char"/>
    <w:basedOn w:val="39"/>
    <w:link w:val="20"/>
    <w:semiHidden/>
    <w:qFormat/>
    <w:uiPriority w:val="99"/>
    <w:rPr>
      <w:rFonts w:ascii="宋体" w:hAnsi="Calibri"/>
      <w:b/>
      <w:bCs/>
      <w:kern w:val="0"/>
      <w:sz w:val="34"/>
      <w:szCs w:val="22"/>
    </w:rPr>
  </w:style>
  <w:style w:type="paragraph" w:customStyle="1" w:styleId="51">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styleId="52">
    <w:name w:val="List Paragraph"/>
    <w:basedOn w:val="1"/>
    <w:qFormat/>
    <w:uiPriority w:val="34"/>
    <w:pPr>
      <w:ind w:firstLine="420" w:firstLineChars="200"/>
    </w:pPr>
    <w:rPr>
      <w:rFonts w:ascii="Times New Roman" w:hAnsi="Times New Roman"/>
      <w:szCs w:val="24"/>
    </w:rPr>
  </w:style>
  <w:style w:type="paragraph" w:customStyle="1" w:styleId="53">
    <w:name w:val="修订1"/>
    <w:hidden/>
    <w:semiHidden/>
    <w:qFormat/>
    <w:uiPriority w:val="99"/>
    <w:rPr>
      <w:rFonts w:ascii="宋体" w:hAnsi="Calibri" w:eastAsia="宋体" w:cs="Times New Roman"/>
      <w:sz w:val="34"/>
      <w:szCs w:val="22"/>
      <w:lang w:val="en-US" w:eastAsia="zh-CN" w:bidi="ar-SA"/>
    </w:rPr>
  </w:style>
  <w:style w:type="paragraph" w:customStyle="1" w:styleId="54">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
    <w:name w:val="正文缩进1"/>
    <w:basedOn w:val="1"/>
    <w:qFormat/>
    <w:uiPriority w:val="0"/>
    <w:pPr>
      <w:ind w:firstLine="420" w:firstLineChars="200"/>
    </w:pPr>
  </w:style>
  <w:style w:type="character" w:customStyle="1" w:styleId="56">
    <w:name w:val="first-child"/>
    <w:basedOn w:val="24"/>
    <w:qFormat/>
    <w:uiPriority w:val="0"/>
  </w:style>
  <w:style w:type="character" w:customStyle="1" w:styleId="57">
    <w:name w:val="first-child1"/>
    <w:basedOn w:val="24"/>
    <w:qFormat/>
    <w:uiPriority w:val="0"/>
  </w:style>
  <w:style w:type="character" w:customStyle="1" w:styleId="58">
    <w:name w:val="first-child2"/>
    <w:basedOn w:val="24"/>
    <w:qFormat/>
    <w:uiPriority w:val="0"/>
  </w:style>
  <w:style w:type="character" w:customStyle="1" w:styleId="59">
    <w:name w:val="first-child3"/>
    <w:basedOn w:val="24"/>
    <w:qFormat/>
    <w:uiPriority w:val="0"/>
  </w:style>
  <w:style w:type="character" w:customStyle="1" w:styleId="60">
    <w:name w:val="nth-of-type(9)"/>
    <w:basedOn w:val="24"/>
    <w:qFormat/>
    <w:uiPriority w:val="0"/>
  </w:style>
  <w:style w:type="character" w:customStyle="1" w:styleId="61">
    <w:name w:val="nth-of-type(2)"/>
    <w:basedOn w:val="24"/>
    <w:qFormat/>
    <w:uiPriority w:val="0"/>
  </w:style>
  <w:style w:type="character" w:customStyle="1" w:styleId="62">
    <w:name w:val="nth-of-type(2)1"/>
    <w:basedOn w:val="24"/>
    <w:qFormat/>
    <w:uiPriority w:val="0"/>
  </w:style>
  <w:style w:type="character" w:customStyle="1" w:styleId="63">
    <w:name w:val="nth-of-type(2)2"/>
    <w:basedOn w:val="24"/>
    <w:qFormat/>
    <w:uiPriority w:val="0"/>
  </w:style>
  <w:style w:type="character" w:customStyle="1" w:styleId="64">
    <w:name w:val="nth-of-type(2)3"/>
    <w:basedOn w:val="24"/>
    <w:qFormat/>
    <w:uiPriority w:val="0"/>
  </w:style>
  <w:style w:type="character" w:customStyle="1" w:styleId="65">
    <w:name w:val="nth-of-type(2)4"/>
    <w:basedOn w:val="24"/>
    <w:qFormat/>
    <w:uiPriority w:val="0"/>
  </w:style>
  <w:style w:type="character" w:customStyle="1" w:styleId="66">
    <w:name w:val="nth-of-type(2)5"/>
    <w:basedOn w:val="24"/>
    <w:qFormat/>
    <w:uiPriority w:val="0"/>
  </w:style>
  <w:style w:type="character" w:customStyle="1" w:styleId="67">
    <w:name w:val="nth-of-type(2)6"/>
    <w:basedOn w:val="24"/>
    <w:qFormat/>
    <w:uiPriority w:val="0"/>
  </w:style>
  <w:style w:type="character" w:customStyle="1" w:styleId="68">
    <w:name w:val="nth-of-type(2)7"/>
    <w:basedOn w:val="24"/>
    <w:qFormat/>
    <w:uiPriority w:val="0"/>
  </w:style>
  <w:style w:type="character" w:customStyle="1" w:styleId="69">
    <w:name w:val="nth-of-type(2)8"/>
    <w:basedOn w:val="24"/>
    <w:qFormat/>
    <w:uiPriority w:val="0"/>
  </w:style>
  <w:style w:type="character" w:customStyle="1" w:styleId="70">
    <w:name w:val="nth-of-type(2)9"/>
    <w:basedOn w:val="24"/>
    <w:qFormat/>
    <w:uiPriority w:val="0"/>
  </w:style>
  <w:style w:type="character" w:customStyle="1" w:styleId="71">
    <w:name w:val="nth-of-type(2)10"/>
    <w:basedOn w:val="24"/>
    <w:qFormat/>
    <w:uiPriority w:val="0"/>
  </w:style>
  <w:style w:type="character" w:customStyle="1" w:styleId="72">
    <w:name w:val="nth-of-type(2)11"/>
    <w:basedOn w:val="24"/>
    <w:qFormat/>
    <w:uiPriority w:val="0"/>
  </w:style>
  <w:style w:type="character" w:customStyle="1" w:styleId="73">
    <w:name w:val="nth-of-type(2)12"/>
    <w:basedOn w:val="24"/>
    <w:qFormat/>
    <w:uiPriority w:val="0"/>
  </w:style>
  <w:style w:type="character" w:customStyle="1" w:styleId="74">
    <w:name w:val="nth-of-type(2)13"/>
    <w:basedOn w:val="24"/>
    <w:qFormat/>
    <w:uiPriority w:val="0"/>
  </w:style>
  <w:style w:type="character" w:customStyle="1" w:styleId="75">
    <w:name w:val="nth-of-type(2)14"/>
    <w:basedOn w:val="24"/>
    <w:qFormat/>
    <w:uiPriority w:val="0"/>
    <w:rPr>
      <w:sz w:val="21"/>
      <w:szCs w:val="21"/>
    </w:rPr>
  </w:style>
  <w:style w:type="character" w:customStyle="1" w:styleId="76">
    <w:name w:val="nth-of-type(8)"/>
    <w:basedOn w:val="24"/>
    <w:qFormat/>
    <w:uiPriority w:val="0"/>
  </w:style>
  <w:style w:type="character" w:customStyle="1" w:styleId="77">
    <w:name w:val="lineshow"/>
    <w:basedOn w:val="24"/>
    <w:qFormat/>
    <w:uiPriority w:val="0"/>
  </w:style>
  <w:style w:type="character" w:customStyle="1" w:styleId="78">
    <w:name w:val="nth-of-type(4)"/>
    <w:basedOn w:val="24"/>
    <w:qFormat/>
    <w:uiPriority w:val="0"/>
  </w:style>
  <w:style w:type="character" w:customStyle="1" w:styleId="79">
    <w:name w:val="nth-of-type(4)1"/>
    <w:basedOn w:val="24"/>
    <w:qFormat/>
    <w:uiPriority w:val="0"/>
  </w:style>
  <w:style w:type="character" w:customStyle="1" w:styleId="80">
    <w:name w:val="nth-of-type(4)2"/>
    <w:basedOn w:val="24"/>
    <w:qFormat/>
    <w:uiPriority w:val="0"/>
  </w:style>
  <w:style w:type="character" w:customStyle="1" w:styleId="81">
    <w:name w:val="nth-of-type(4)3"/>
    <w:basedOn w:val="24"/>
    <w:qFormat/>
    <w:uiPriority w:val="0"/>
  </w:style>
  <w:style w:type="character" w:customStyle="1" w:styleId="82">
    <w:name w:val="nth-of-type(4)4"/>
    <w:basedOn w:val="24"/>
    <w:qFormat/>
    <w:uiPriority w:val="0"/>
  </w:style>
  <w:style w:type="character" w:customStyle="1" w:styleId="83">
    <w:name w:val="nth-of-type(4)5"/>
    <w:basedOn w:val="24"/>
    <w:qFormat/>
    <w:uiPriority w:val="0"/>
  </w:style>
  <w:style w:type="character" w:customStyle="1" w:styleId="84">
    <w:name w:val="nth-of-type(4)6"/>
    <w:basedOn w:val="24"/>
    <w:qFormat/>
    <w:uiPriority w:val="0"/>
  </w:style>
  <w:style w:type="character" w:customStyle="1" w:styleId="85">
    <w:name w:val="nth-of-type(4)7"/>
    <w:basedOn w:val="24"/>
    <w:qFormat/>
    <w:uiPriority w:val="0"/>
  </w:style>
  <w:style w:type="character" w:customStyle="1" w:styleId="86">
    <w:name w:val="nth-of-type(4)8"/>
    <w:basedOn w:val="24"/>
    <w:qFormat/>
    <w:uiPriority w:val="0"/>
    <w:rPr>
      <w:sz w:val="21"/>
      <w:szCs w:val="21"/>
    </w:rPr>
  </w:style>
  <w:style w:type="character" w:customStyle="1" w:styleId="87">
    <w:name w:val="layui-laypage-curr"/>
    <w:basedOn w:val="24"/>
    <w:qFormat/>
    <w:uiPriority w:val="0"/>
  </w:style>
  <w:style w:type="character" w:customStyle="1" w:styleId="88">
    <w:name w:val="nth-of-type(7)"/>
    <w:basedOn w:val="24"/>
    <w:qFormat/>
    <w:uiPriority w:val="0"/>
  </w:style>
  <w:style w:type="character" w:customStyle="1" w:styleId="89">
    <w:name w:val="nth-of-type(7)1"/>
    <w:basedOn w:val="24"/>
    <w:qFormat/>
    <w:uiPriority w:val="0"/>
  </w:style>
  <w:style w:type="character" w:customStyle="1" w:styleId="90">
    <w:name w:val="nth-of-type(7)2"/>
    <w:basedOn w:val="24"/>
    <w:qFormat/>
    <w:uiPriority w:val="0"/>
  </w:style>
  <w:style w:type="character" w:customStyle="1" w:styleId="91">
    <w:name w:val="nth-of-type(1)"/>
    <w:basedOn w:val="24"/>
    <w:qFormat/>
    <w:uiPriority w:val="0"/>
  </w:style>
  <w:style w:type="character" w:customStyle="1" w:styleId="92">
    <w:name w:val="nth-of-type(1)1"/>
    <w:basedOn w:val="24"/>
    <w:qFormat/>
    <w:uiPriority w:val="0"/>
  </w:style>
  <w:style w:type="character" w:customStyle="1" w:styleId="93">
    <w:name w:val="nth-of-type(1)2"/>
    <w:basedOn w:val="24"/>
    <w:qFormat/>
    <w:uiPriority w:val="0"/>
  </w:style>
  <w:style w:type="character" w:customStyle="1" w:styleId="94">
    <w:name w:val="nth-of-type(1)3"/>
    <w:basedOn w:val="24"/>
    <w:qFormat/>
    <w:uiPriority w:val="0"/>
  </w:style>
  <w:style w:type="character" w:customStyle="1" w:styleId="95">
    <w:name w:val="nth-of-type(1)4"/>
    <w:basedOn w:val="24"/>
    <w:qFormat/>
    <w:uiPriority w:val="0"/>
  </w:style>
  <w:style w:type="character" w:customStyle="1" w:styleId="96">
    <w:name w:val="nth-of-type(1)5"/>
    <w:basedOn w:val="24"/>
    <w:qFormat/>
    <w:uiPriority w:val="0"/>
  </w:style>
  <w:style w:type="character" w:customStyle="1" w:styleId="97">
    <w:name w:val="nth-of-type(1)6"/>
    <w:basedOn w:val="24"/>
    <w:qFormat/>
    <w:uiPriority w:val="0"/>
  </w:style>
  <w:style w:type="character" w:customStyle="1" w:styleId="98">
    <w:name w:val="nth-of-type(1)7"/>
    <w:basedOn w:val="24"/>
    <w:qFormat/>
    <w:uiPriority w:val="0"/>
  </w:style>
  <w:style w:type="character" w:customStyle="1" w:styleId="99">
    <w:name w:val="nth-of-type(1)8"/>
    <w:basedOn w:val="24"/>
    <w:qFormat/>
    <w:uiPriority w:val="0"/>
  </w:style>
  <w:style w:type="character" w:customStyle="1" w:styleId="100">
    <w:name w:val="nth-of-type(1)9"/>
    <w:basedOn w:val="24"/>
    <w:qFormat/>
    <w:uiPriority w:val="0"/>
  </w:style>
  <w:style w:type="character" w:customStyle="1" w:styleId="101">
    <w:name w:val="nth-of-type(1)10"/>
    <w:basedOn w:val="24"/>
    <w:qFormat/>
    <w:uiPriority w:val="0"/>
    <w:rPr>
      <w:rFonts w:ascii="SourceHanSansCN-Regular" w:hAnsi="SourceHanSansCN-Regular" w:eastAsia="SourceHanSansCN-Regular" w:cs="SourceHanSansCN-Regular"/>
      <w:color w:val="FB560A"/>
      <w:sz w:val="21"/>
      <w:szCs w:val="21"/>
    </w:rPr>
  </w:style>
  <w:style w:type="character" w:customStyle="1" w:styleId="102">
    <w:name w:val="nth-of-type(1)11"/>
    <w:basedOn w:val="24"/>
    <w:qFormat/>
    <w:uiPriority w:val="0"/>
  </w:style>
  <w:style w:type="character" w:customStyle="1" w:styleId="103">
    <w:name w:val="nth-of-type(1)12"/>
    <w:basedOn w:val="24"/>
    <w:qFormat/>
    <w:uiPriority w:val="0"/>
  </w:style>
  <w:style w:type="character" w:customStyle="1" w:styleId="104">
    <w:name w:val="nth-of-type(1)13"/>
    <w:basedOn w:val="24"/>
    <w:qFormat/>
    <w:uiPriority w:val="0"/>
  </w:style>
  <w:style w:type="character" w:customStyle="1" w:styleId="105">
    <w:name w:val="nth-of-type(1)14"/>
    <w:basedOn w:val="24"/>
    <w:qFormat/>
    <w:uiPriority w:val="0"/>
  </w:style>
  <w:style w:type="character" w:customStyle="1" w:styleId="106">
    <w:name w:val="nth-of-type(1)15"/>
    <w:basedOn w:val="24"/>
    <w:qFormat/>
    <w:uiPriority w:val="0"/>
  </w:style>
  <w:style w:type="character" w:customStyle="1" w:styleId="107">
    <w:name w:val="nth-of-type(1)16"/>
    <w:basedOn w:val="24"/>
    <w:qFormat/>
    <w:uiPriority w:val="0"/>
  </w:style>
  <w:style w:type="character" w:customStyle="1" w:styleId="108">
    <w:name w:val="nth-of-type(1)17"/>
    <w:basedOn w:val="24"/>
    <w:qFormat/>
    <w:uiPriority w:val="0"/>
  </w:style>
  <w:style w:type="character" w:customStyle="1" w:styleId="109">
    <w:name w:val="nth-of-type(1)18"/>
    <w:basedOn w:val="24"/>
    <w:qFormat/>
    <w:uiPriority w:val="0"/>
    <w:rPr>
      <w:sz w:val="21"/>
      <w:szCs w:val="21"/>
    </w:rPr>
  </w:style>
  <w:style w:type="character" w:customStyle="1" w:styleId="110">
    <w:name w:val="nth-of-type(3)"/>
    <w:basedOn w:val="24"/>
    <w:qFormat/>
    <w:uiPriority w:val="0"/>
  </w:style>
  <w:style w:type="character" w:customStyle="1" w:styleId="111">
    <w:name w:val="nth-of-type(3)1"/>
    <w:basedOn w:val="24"/>
    <w:qFormat/>
    <w:uiPriority w:val="0"/>
  </w:style>
  <w:style w:type="character" w:customStyle="1" w:styleId="112">
    <w:name w:val="nth-of-type(3)2"/>
    <w:basedOn w:val="24"/>
    <w:qFormat/>
    <w:uiPriority w:val="0"/>
  </w:style>
  <w:style w:type="character" w:customStyle="1" w:styleId="113">
    <w:name w:val="nth-of-type(3)3"/>
    <w:basedOn w:val="24"/>
    <w:qFormat/>
    <w:uiPriority w:val="0"/>
  </w:style>
  <w:style w:type="character" w:customStyle="1" w:styleId="114">
    <w:name w:val="nth-of-type(3)4"/>
    <w:basedOn w:val="24"/>
    <w:qFormat/>
    <w:uiPriority w:val="0"/>
  </w:style>
  <w:style w:type="character" w:customStyle="1" w:styleId="115">
    <w:name w:val="nth-of-type(3)5"/>
    <w:basedOn w:val="24"/>
    <w:qFormat/>
    <w:uiPriority w:val="0"/>
  </w:style>
  <w:style w:type="character" w:customStyle="1" w:styleId="116">
    <w:name w:val="nth-of-type(3)6"/>
    <w:basedOn w:val="24"/>
    <w:qFormat/>
    <w:uiPriority w:val="0"/>
  </w:style>
  <w:style w:type="character" w:customStyle="1" w:styleId="117">
    <w:name w:val="nth-of-type(3)7"/>
    <w:basedOn w:val="24"/>
    <w:qFormat/>
    <w:uiPriority w:val="0"/>
    <w:rPr>
      <w:sz w:val="21"/>
      <w:szCs w:val="21"/>
    </w:rPr>
  </w:style>
  <w:style w:type="character" w:customStyle="1" w:styleId="118">
    <w:name w:val="nth-of-type(5)"/>
    <w:basedOn w:val="24"/>
    <w:qFormat/>
    <w:uiPriority w:val="0"/>
  </w:style>
  <w:style w:type="character" w:customStyle="1" w:styleId="119">
    <w:name w:val="nth-of-type(5)1"/>
    <w:basedOn w:val="24"/>
    <w:qFormat/>
    <w:uiPriority w:val="0"/>
  </w:style>
  <w:style w:type="character" w:customStyle="1" w:styleId="120">
    <w:name w:val="nth-of-type(5)2"/>
    <w:basedOn w:val="24"/>
    <w:qFormat/>
    <w:uiPriority w:val="0"/>
  </w:style>
  <w:style w:type="character" w:customStyle="1" w:styleId="121">
    <w:name w:val="nth-of-type(5)3"/>
    <w:basedOn w:val="24"/>
    <w:qFormat/>
    <w:uiPriority w:val="0"/>
  </w:style>
  <w:style w:type="character" w:customStyle="1" w:styleId="122">
    <w:name w:val="nth-of-type(5)4"/>
    <w:basedOn w:val="24"/>
    <w:qFormat/>
    <w:uiPriority w:val="0"/>
  </w:style>
  <w:style w:type="character" w:customStyle="1" w:styleId="123">
    <w:name w:val="nth-of-type(5)5"/>
    <w:basedOn w:val="24"/>
    <w:qFormat/>
    <w:uiPriority w:val="0"/>
  </w:style>
  <w:style w:type="character" w:customStyle="1" w:styleId="124">
    <w:name w:val="nth-of-type(5)6"/>
    <w:basedOn w:val="24"/>
    <w:qFormat/>
    <w:uiPriority w:val="0"/>
    <w:rPr>
      <w:sz w:val="21"/>
      <w:szCs w:val="21"/>
    </w:rPr>
  </w:style>
  <w:style w:type="character" w:customStyle="1" w:styleId="125">
    <w:name w:val="nth-child(3)"/>
    <w:basedOn w:val="24"/>
    <w:qFormat/>
    <w:uiPriority w:val="0"/>
  </w:style>
  <w:style w:type="character" w:customStyle="1" w:styleId="126">
    <w:name w:val="nth-of-type(6)"/>
    <w:basedOn w:val="24"/>
    <w:qFormat/>
    <w:uiPriority w:val="0"/>
  </w:style>
  <w:style w:type="character" w:customStyle="1" w:styleId="127">
    <w:name w:val="nth-of-type(6)1"/>
    <w:basedOn w:val="24"/>
    <w:qFormat/>
    <w:uiPriority w:val="0"/>
  </w:style>
  <w:style w:type="character" w:customStyle="1" w:styleId="128">
    <w:name w:val="nth-of-type(6)2"/>
    <w:basedOn w:val="24"/>
    <w:qFormat/>
    <w:uiPriority w:val="0"/>
  </w:style>
  <w:style w:type="character" w:customStyle="1" w:styleId="129">
    <w:name w:val="nth-of-type(6)3"/>
    <w:basedOn w:val="24"/>
    <w:qFormat/>
    <w:uiPriority w:val="0"/>
  </w:style>
  <w:style w:type="character" w:customStyle="1" w:styleId="130">
    <w:name w:val="nth-of-type(6)4"/>
    <w:basedOn w:val="24"/>
    <w:qFormat/>
    <w:uiPriority w:val="0"/>
  </w:style>
  <w:style w:type="character" w:customStyle="1" w:styleId="131">
    <w:name w:val="nth-of-type(6)5"/>
    <w:basedOn w:val="24"/>
    <w:qFormat/>
    <w:uiPriority w:val="0"/>
    <w:rPr>
      <w:color w:val="0082DF"/>
    </w:rPr>
  </w:style>
  <w:style w:type="character" w:customStyle="1" w:styleId="132">
    <w:name w:val="before2"/>
    <w:basedOn w:val="24"/>
    <w:qFormat/>
    <w:uiPriority w:val="0"/>
    <w:rPr>
      <w:shd w:val="clear" w:color="auto" w:fill="C20E0C"/>
    </w:rPr>
  </w:style>
  <w:style w:type="character" w:customStyle="1" w:styleId="133">
    <w:name w:val="nth-of-type(10)"/>
    <w:basedOn w:val="24"/>
    <w:qFormat/>
    <w:uiPriority w:val="0"/>
  </w:style>
  <w:style w:type="character" w:customStyle="1" w:styleId="134">
    <w:name w:val="hover25"/>
    <w:basedOn w:val="24"/>
    <w:qFormat/>
    <w:uiPriority w:val="0"/>
  </w:style>
  <w:style w:type="character" w:customStyle="1" w:styleId="135">
    <w:name w:val="hover26"/>
    <w:basedOn w:val="24"/>
    <w:qFormat/>
    <w:uiPriority w:val="0"/>
    <w:rPr>
      <w:color w:val="167AE0"/>
    </w:rPr>
  </w:style>
  <w:style w:type="character" w:customStyle="1" w:styleId="136">
    <w:name w:val="titleshow"/>
    <w:basedOn w:val="24"/>
    <w:qFormat/>
    <w:uiPriority w:val="0"/>
    <w:rPr>
      <w:color w:val="3E464C"/>
    </w:rPr>
  </w:style>
  <w:style w:type="character" w:customStyle="1" w:styleId="137">
    <w:name w:val="last-child1"/>
    <w:basedOn w:val="24"/>
    <w:qFormat/>
    <w:uiPriority w:val="0"/>
  </w:style>
  <w:style w:type="character" w:customStyle="1" w:styleId="138">
    <w:name w:val="last-child2"/>
    <w:basedOn w:val="24"/>
    <w:qFormat/>
    <w:uiPriority w:val="0"/>
    <w:rPr>
      <w:color w:val="FFFFFF"/>
    </w:rPr>
  </w:style>
  <w:style w:type="character" w:customStyle="1" w:styleId="139">
    <w:name w:val="last-child3"/>
    <w:basedOn w:val="24"/>
    <w:qFormat/>
    <w:uiPriority w:val="0"/>
  </w:style>
  <w:style w:type="character" w:customStyle="1" w:styleId="140">
    <w:name w:val="nth-child(1)"/>
    <w:basedOn w:val="24"/>
    <w:qFormat/>
    <w:uiPriority w:val="0"/>
  </w:style>
  <w:style w:type="character" w:customStyle="1" w:styleId="141">
    <w:name w:val="nth-child(2)"/>
    <w:basedOn w:val="24"/>
    <w:qFormat/>
    <w:uiPriority w:val="0"/>
  </w:style>
  <w:style w:type="character" w:customStyle="1" w:styleId="142">
    <w:name w:val="layui-this4"/>
    <w:basedOn w:val="24"/>
    <w:qFormat/>
    <w:uiPriority w:val="0"/>
    <w:rPr>
      <w:bdr w:val="single" w:color="EEEEEE" w:sz="6" w:space="0"/>
      <w:shd w:val="clear" w:color="auto" w:fill="FFFFFF"/>
    </w:rPr>
  </w:style>
  <w:style w:type="character" w:customStyle="1" w:styleId="143">
    <w:name w:val="hover"/>
    <w:basedOn w:val="24"/>
    <w:qFormat/>
    <w:uiPriority w:val="0"/>
  </w:style>
  <w:style w:type="character" w:customStyle="1" w:styleId="144">
    <w:name w:val="hover1"/>
    <w:basedOn w:val="24"/>
    <w:qFormat/>
    <w:uiPriority w:val="0"/>
    <w:rPr>
      <w:color w:val="167AE0"/>
    </w:rPr>
  </w:style>
  <w:style w:type="character" w:customStyle="1" w:styleId="145">
    <w:name w:val="last-child"/>
    <w:basedOn w:val="24"/>
    <w:qFormat/>
    <w:uiPriority w:val="0"/>
  </w:style>
  <w:style w:type="character" w:customStyle="1" w:styleId="146">
    <w:name w:val="before"/>
    <w:basedOn w:val="24"/>
    <w:qFormat/>
    <w:uiPriority w:val="0"/>
    <w:rPr>
      <w:shd w:val="clear" w:color="auto" w:fill="C20E0C"/>
    </w:rPr>
  </w:style>
  <w:style w:type="character" w:customStyle="1" w:styleId="147">
    <w:name w:val="lineshow1"/>
    <w:basedOn w:val="24"/>
    <w:qFormat/>
    <w:uiPriority w:val="0"/>
  </w:style>
  <w:style w:type="character" w:customStyle="1" w:styleId="148">
    <w:name w:val="first-child4"/>
    <w:basedOn w:val="24"/>
    <w:qFormat/>
    <w:uiPriority w:val="0"/>
  </w:style>
  <w:style w:type="character" w:customStyle="1" w:styleId="149">
    <w:name w:val="nth-of-type(1)19"/>
    <w:basedOn w:val="24"/>
    <w:qFormat/>
    <w:uiPriority w:val="0"/>
    <w:rPr>
      <w:color w:val="0082DF"/>
    </w:rPr>
  </w:style>
  <w:style w:type="character" w:customStyle="1" w:styleId="150">
    <w:name w:val="hover24"/>
    <w:basedOn w:val="24"/>
    <w:qFormat/>
    <w:uiPriority w:val="0"/>
  </w:style>
  <w:style w:type="character" w:customStyle="1" w:styleId="151">
    <w:name w:val="layui-this"/>
    <w:basedOn w:val="24"/>
    <w:qFormat/>
    <w:uiPriority w:val="0"/>
    <w:rPr>
      <w:bdr w:val="single" w:color="EEEEEE" w:sz="6" w:space="0"/>
      <w:shd w:val="clear" w:color="auto" w:fill="FFFFFF"/>
    </w:rPr>
  </w:style>
  <w:style w:type="paragraph" w:customStyle="1" w:styleId="15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27752</Words>
  <Characters>29097</Characters>
  <Lines>226</Lines>
  <Paragraphs>63</Paragraphs>
  <TotalTime>20</TotalTime>
  <ScaleCrop>false</ScaleCrop>
  <LinksUpToDate>false</LinksUpToDate>
  <CharactersWithSpaces>30176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2020-04-09T22:39:00Z</dcterms:created>
  <dc:creator>Administrator</dc:creator>
  <cp:lastModifiedBy>WPS_1526261955</cp:lastModifiedBy>
  <cp:lastPrinted>2022-08-08T17:24:00Z</cp:lastPrinted>
  <dcterms:modified xsi:type="dcterms:W3CDTF">2022-10-12T07:55:04Z</dcterms:modified>
  <cp:revision>391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547B044757BD4B0CBF76A5427677303B</vt:lpwstr>
  </property>
</Properties>
</file>