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2"/>
        <w:spacing w:line="360" w:lineRule="auto"/>
        <w:ind w:firstLine="2891" w:firstLineChars="900"/>
        <w:rPr>
          <w:rFonts w:hAnsi="宋体" w:cs="宋体"/>
          <w:b/>
          <w:sz w:val="32"/>
          <w:szCs w:val="32"/>
        </w:rPr>
      </w:pPr>
    </w:p>
    <w:p>
      <w:pPr>
        <w:pStyle w:val="12"/>
        <w:spacing w:line="360" w:lineRule="auto"/>
        <w:ind w:firstLine="2891" w:firstLineChars="900"/>
        <w:rPr>
          <w:rFonts w:hAnsi="宋体" w:cs="宋体"/>
          <w:b/>
          <w:sz w:val="144"/>
          <w:szCs w:val="144"/>
        </w:rPr>
      </w:pPr>
      <w:r>
        <w:rPr>
          <w:rFonts w:hint="eastAsia" w:hAnsi="宋体" w:cs="宋体"/>
          <w:b/>
          <w:sz w:val="32"/>
          <w:szCs w:val="32"/>
        </w:rPr>
        <w:t>项目编号：SCIT-ZG-SX2022090009</w:t>
      </w:r>
    </w:p>
    <w:p>
      <w:pPr>
        <w:pStyle w:val="12"/>
        <w:spacing w:line="360" w:lineRule="auto"/>
        <w:rPr>
          <w:rFonts w:hAnsi="宋体" w:cs="宋体"/>
        </w:rPr>
      </w:pPr>
    </w:p>
    <w:p>
      <w:pPr>
        <w:spacing w:line="360" w:lineRule="auto"/>
        <w:jc w:val="center"/>
        <w:rPr>
          <w:rFonts w:hAnsi="宋体" w:cs="宋体"/>
          <w:b/>
          <w:color w:val="auto"/>
          <w:sz w:val="44"/>
          <w:szCs w:val="44"/>
        </w:rPr>
      </w:pPr>
    </w:p>
    <w:p>
      <w:pPr>
        <w:spacing w:line="360" w:lineRule="auto"/>
        <w:jc w:val="center"/>
        <w:rPr>
          <w:rFonts w:hAnsi="宋体" w:cs="宋体"/>
          <w:b/>
          <w:bCs/>
          <w:color w:val="auto"/>
          <w:sz w:val="36"/>
          <w:szCs w:val="36"/>
        </w:rPr>
      </w:pPr>
      <w:r>
        <w:rPr>
          <w:rFonts w:hint="eastAsia" w:hAnsi="宋体" w:cs="宋体"/>
          <w:b/>
          <w:bCs/>
          <w:color w:val="auto"/>
          <w:sz w:val="36"/>
          <w:szCs w:val="36"/>
        </w:rPr>
        <w:t>临潼区2022年新优质学校成长计划设施设备</w:t>
      </w:r>
    </w:p>
    <w:p>
      <w:pPr>
        <w:spacing w:line="360" w:lineRule="auto"/>
        <w:rPr>
          <w:rFonts w:hAnsi="宋体" w:cs="宋体"/>
          <w:b/>
          <w:color w:val="auto"/>
          <w:sz w:val="52"/>
          <w:szCs w:val="52"/>
        </w:rPr>
      </w:pPr>
    </w:p>
    <w:p>
      <w:pPr>
        <w:spacing w:line="360" w:lineRule="auto"/>
        <w:jc w:val="center"/>
        <w:rPr>
          <w:rFonts w:hAnsi="宋体" w:cs="宋体"/>
          <w:b/>
          <w:color w:val="auto"/>
          <w:sz w:val="52"/>
          <w:szCs w:val="52"/>
        </w:rPr>
      </w:pPr>
      <w:r>
        <w:rPr>
          <w:rFonts w:hint="eastAsia" w:hAnsi="宋体" w:cs="宋体"/>
          <w:b/>
          <w:color w:val="auto"/>
          <w:sz w:val="52"/>
          <w:szCs w:val="52"/>
        </w:rPr>
        <w:t>招</w:t>
      </w:r>
    </w:p>
    <w:p>
      <w:pPr>
        <w:spacing w:line="360" w:lineRule="auto"/>
        <w:jc w:val="center"/>
        <w:rPr>
          <w:rFonts w:hAnsi="宋体" w:cs="宋体"/>
          <w:b/>
          <w:color w:val="auto"/>
          <w:sz w:val="52"/>
          <w:szCs w:val="52"/>
        </w:rPr>
      </w:pPr>
      <w:r>
        <w:rPr>
          <w:rFonts w:hint="eastAsia" w:hAnsi="宋体" w:cs="宋体"/>
          <w:b/>
          <w:color w:val="auto"/>
          <w:sz w:val="52"/>
          <w:szCs w:val="52"/>
        </w:rPr>
        <w:t>标</w:t>
      </w:r>
    </w:p>
    <w:p>
      <w:pPr>
        <w:spacing w:line="360" w:lineRule="auto"/>
        <w:jc w:val="center"/>
        <w:rPr>
          <w:rFonts w:hAnsi="宋体" w:cs="宋体"/>
          <w:b/>
          <w:color w:val="auto"/>
          <w:sz w:val="52"/>
          <w:szCs w:val="52"/>
        </w:rPr>
      </w:pPr>
      <w:r>
        <w:rPr>
          <w:rFonts w:hint="eastAsia" w:hAnsi="宋体" w:cs="宋体"/>
          <w:b/>
          <w:color w:val="auto"/>
          <w:sz w:val="52"/>
          <w:szCs w:val="52"/>
        </w:rPr>
        <w:t>文</w:t>
      </w:r>
    </w:p>
    <w:p>
      <w:pPr>
        <w:spacing w:line="360" w:lineRule="auto"/>
        <w:jc w:val="center"/>
        <w:rPr>
          <w:rFonts w:hAnsi="宋体" w:cs="宋体"/>
          <w:b/>
          <w:color w:val="auto"/>
          <w:sz w:val="72"/>
          <w:szCs w:val="72"/>
        </w:rPr>
      </w:pPr>
      <w:r>
        <w:rPr>
          <w:rFonts w:hint="eastAsia" w:hAnsi="宋体" w:cs="宋体"/>
          <w:b/>
          <w:color w:val="auto"/>
          <w:sz w:val="52"/>
          <w:szCs w:val="52"/>
        </w:rPr>
        <w:t>件</w:t>
      </w:r>
    </w:p>
    <w:p>
      <w:pPr>
        <w:spacing w:line="360" w:lineRule="auto"/>
        <w:rPr>
          <w:rFonts w:hAnsi="宋体" w:cs="宋体"/>
          <w:b/>
          <w:color w:val="auto"/>
          <w:sz w:val="32"/>
          <w:szCs w:val="32"/>
        </w:rPr>
      </w:pPr>
    </w:p>
    <w:p>
      <w:pPr>
        <w:pStyle w:val="12"/>
        <w:spacing w:line="360" w:lineRule="auto"/>
        <w:rPr>
          <w:rFonts w:hAnsi="宋体" w:cs="宋体"/>
          <w:b/>
          <w:sz w:val="32"/>
          <w:szCs w:val="32"/>
        </w:rPr>
      </w:pPr>
    </w:p>
    <w:p>
      <w:pPr>
        <w:pStyle w:val="12"/>
        <w:spacing w:line="360" w:lineRule="auto"/>
        <w:rPr>
          <w:rFonts w:hAnsi="宋体" w:cs="宋体"/>
          <w:b/>
          <w:sz w:val="32"/>
          <w:szCs w:val="32"/>
        </w:rPr>
      </w:pPr>
    </w:p>
    <w:p>
      <w:pPr>
        <w:spacing w:line="360" w:lineRule="auto"/>
        <w:jc w:val="center"/>
        <w:rPr>
          <w:rFonts w:hAnsi="宋体" w:cs="宋体"/>
          <w:b/>
          <w:color w:val="auto"/>
          <w:sz w:val="32"/>
          <w:szCs w:val="32"/>
        </w:rPr>
      </w:pPr>
      <w:bookmarkStart w:id="0" w:name="_Toc3944"/>
      <w:r>
        <w:rPr>
          <w:rFonts w:hint="eastAsia" w:hAnsi="宋体" w:cs="宋体"/>
          <w:b/>
          <w:color w:val="auto"/>
          <w:sz w:val="32"/>
          <w:szCs w:val="32"/>
        </w:rPr>
        <w:t>中国·陕西</w:t>
      </w:r>
    </w:p>
    <w:p>
      <w:pPr>
        <w:spacing w:line="360" w:lineRule="auto"/>
        <w:jc w:val="center"/>
        <w:rPr>
          <w:rFonts w:hAnsi="宋体" w:cs="宋体"/>
          <w:b/>
          <w:color w:val="auto"/>
          <w:sz w:val="32"/>
          <w:szCs w:val="32"/>
        </w:rPr>
      </w:pPr>
      <w:r>
        <w:rPr>
          <w:rFonts w:hint="eastAsia" w:hAnsi="宋体" w:cs="宋体"/>
          <w:b/>
          <w:color w:val="auto"/>
          <w:sz w:val="32"/>
          <w:szCs w:val="32"/>
        </w:rPr>
        <w:t>四川国际招标有限责任公司</w:t>
      </w:r>
    </w:p>
    <w:p>
      <w:pPr>
        <w:jc w:val="center"/>
      </w:pPr>
      <w:r>
        <w:rPr>
          <w:rFonts w:hint="eastAsia" w:hAnsi="宋体" w:cs="宋体"/>
          <w:b/>
          <w:color w:val="auto"/>
          <w:sz w:val="32"/>
          <w:szCs w:val="32"/>
        </w:rPr>
        <w:t>2022年09月</w:t>
      </w:r>
      <w:r>
        <w:rPr>
          <w:rFonts w:hint="eastAsia"/>
        </w:rPr>
        <w:br w:type="page"/>
      </w:r>
      <w:r>
        <w:rPr>
          <w:rFonts w:hint="eastAsia"/>
          <w:b/>
          <w:sz w:val="32"/>
        </w:rPr>
        <w:t>目录</w:t>
      </w:r>
    </w:p>
    <w:p>
      <w:pPr>
        <w:pStyle w:val="23"/>
        <w:tabs>
          <w:tab w:val="right" w:leader="dot" w:pos="8959"/>
        </w:tabs>
      </w:pPr>
      <w:r>
        <w:rPr>
          <w:rFonts w:hint="eastAsia" w:hAnsi="宋体" w:cs="宋体"/>
          <w:color w:val="auto"/>
          <w:kern w:val="2"/>
          <w:sz w:val="28"/>
          <w:szCs w:val="28"/>
        </w:rPr>
        <w:fldChar w:fldCharType="begin"/>
      </w:r>
      <w:r>
        <w:rPr>
          <w:rFonts w:hint="eastAsia" w:hAnsi="宋体" w:cs="宋体"/>
          <w:color w:val="auto"/>
          <w:kern w:val="2"/>
          <w:sz w:val="28"/>
          <w:szCs w:val="28"/>
        </w:rPr>
        <w:instrText xml:space="preserve">TOC \o "1-1" \h \u </w:instrText>
      </w:r>
      <w:r>
        <w:rPr>
          <w:rFonts w:hint="eastAsia" w:hAnsi="宋体" w:cs="宋体"/>
          <w:color w:val="auto"/>
          <w:kern w:val="2"/>
          <w:sz w:val="28"/>
          <w:szCs w:val="28"/>
        </w:rPr>
        <w:fldChar w:fldCharType="separate"/>
      </w:r>
      <w:r>
        <w:fldChar w:fldCharType="begin"/>
      </w:r>
      <w:r>
        <w:instrText xml:space="preserve"> HYPERLINK \l "_Toc25035" </w:instrText>
      </w:r>
      <w:r>
        <w:fldChar w:fldCharType="separate"/>
      </w:r>
      <w:r>
        <w:rPr>
          <w:rFonts w:hint="eastAsia" w:hAnsi="宋体" w:cs="宋体"/>
        </w:rPr>
        <w:t>第一章投标邀请</w:t>
      </w:r>
      <w:r>
        <w:tab/>
      </w:r>
      <w:r>
        <w:fldChar w:fldCharType="begin"/>
      </w:r>
      <w:r>
        <w:instrText xml:space="preserve"> PAGEREF _Toc25035 </w:instrText>
      </w:r>
      <w:r>
        <w:fldChar w:fldCharType="separate"/>
      </w:r>
      <w:r>
        <w:t>3</w:t>
      </w:r>
      <w:r>
        <w:fldChar w:fldCharType="end"/>
      </w:r>
      <w:r>
        <w:fldChar w:fldCharType="end"/>
      </w:r>
    </w:p>
    <w:p>
      <w:pPr>
        <w:pStyle w:val="23"/>
        <w:tabs>
          <w:tab w:val="right" w:leader="dot" w:pos="8959"/>
        </w:tabs>
      </w:pPr>
      <w:r>
        <w:fldChar w:fldCharType="begin"/>
      </w:r>
      <w:r>
        <w:instrText xml:space="preserve"> HYPERLINK \l "_Toc21125" </w:instrText>
      </w:r>
      <w:r>
        <w:fldChar w:fldCharType="separate"/>
      </w:r>
      <w:r>
        <w:rPr>
          <w:rFonts w:hint="eastAsia" w:hAnsi="宋体" w:cs="宋体"/>
        </w:rPr>
        <w:t>第二章投标人须知</w:t>
      </w:r>
      <w:r>
        <w:tab/>
      </w:r>
      <w:r>
        <w:fldChar w:fldCharType="begin"/>
      </w:r>
      <w:r>
        <w:instrText xml:space="preserve"> PAGEREF _Toc21125 </w:instrText>
      </w:r>
      <w:r>
        <w:fldChar w:fldCharType="separate"/>
      </w:r>
      <w:r>
        <w:t>8</w:t>
      </w:r>
      <w:r>
        <w:fldChar w:fldCharType="end"/>
      </w:r>
      <w:r>
        <w:fldChar w:fldCharType="end"/>
      </w:r>
    </w:p>
    <w:p>
      <w:pPr>
        <w:pStyle w:val="23"/>
        <w:tabs>
          <w:tab w:val="right" w:leader="dot" w:pos="8959"/>
        </w:tabs>
      </w:pPr>
      <w:r>
        <w:fldChar w:fldCharType="begin"/>
      </w:r>
      <w:r>
        <w:instrText xml:space="preserve"> HYPERLINK \l "_Toc11026" </w:instrText>
      </w:r>
      <w:r>
        <w:fldChar w:fldCharType="separate"/>
      </w:r>
      <w:r>
        <w:rPr>
          <w:rFonts w:hint="eastAsia" w:hAnsi="宋体" w:cs="宋体"/>
          <w:szCs w:val="36"/>
        </w:rPr>
        <w:t>第三章投标文件格式</w:t>
      </w:r>
      <w:r>
        <w:tab/>
      </w:r>
      <w:r>
        <w:fldChar w:fldCharType="begin"/>
      </w:r>
      <w:r>
        <w:instrText xml:space="preserve"> PAGEREF _Toc11026 </w:instrText>
      </w:r>
      <w:r>
        <w:fldChar w:fldCharType="separate"/>
      </w:r>
      <w:r>
        <w:t>23</w:t>
      </w:r>
      <w:r>
        <w:fldChar w:fldCharType="end"/>
      </w:r>
      <w:r>
        <w:fldChar w:fldCharType="end"/>
      </w:r>
    </w:p>
    <w:p>
      <w:pPr>
        <w:pStyle w:val="23"/>
        <w:tabs>
          <w:tab w:val="right" w:leader="dot" w:pos="8959"/>
        </w:tabs>
      </w:pPr>
      <w:r>
        <w:fldChar w:fldCharType="begin"/>
      </w:r>
      <w:r>
        <w:instrText xml:space="preserve"> HYPERLINK \l "_Toc6088" </w:instrText>
      </w:r>
      <w:r>
        <w:fldChar w:fldCharType="separate"/>
      </w:r>
      <w:r>
        <w:rPr>
          <w:rFonts w:hint="eastAsia" w:hAnsi="宋体" w:cs="宋体"/>
        </w:rPr>
        <w:t>第四章 投标人和投标产品的资格、资质性及其他类似效力要求</w:t>
      </w:r>
      <w:r>
        <w:tab/>
      </w:r>
      <w:r>
        <w:fldChar w:fldCharType="begin"/>
      </w:r>
      <w:r>
        <w:instrText xml:space="preserve"> PAGEREF _Toc6088 </w:instrText>
      </w:r>
      <w:r>
        <w:fldChar w:fldCharType="separate"/>
      </w:r>
      <w:r>
        <w:t>41</w:t>
      </w:r>
      <w:r>
        <w:fldChar w:fldCharType="end"/>
      </w:r>
      <w:r>
        <w:fldChar w:fldCharType="end"/>
      </w:r>
    </w:p>
    <w:p>
      <w:pPr>
        <w:pStyle w:val="23"/>
        <w:tabs>
          <w:tab w:val="right" w:leader="dot" w:pos="8959"/>
        </w:tabs>
      </w:pPr>
      <w:r>
        <w:fldChar w:fldCharType="begin"/>
      </w:r>
      <w:r>
        <w:instrText xml:space="preserve"> HYPERLINK \l "_Toc27105" </w:instrText>
      </w:r>
      <w:r>
        <w:fldChar w:fldCharType="separate"/>
      </w:r>
      <w:r>
        <w:rPr>
          <w:rFonts w:hint="eastAsia" w:hAnsi="宋体" w:cs="宋体"/>
        </w:rPr>
        <w:t>第五章招标项目要求</w:t>
      </w:r>
      <w:r>
        <w:tab/>
      </w:r>
      <w:r>
        <w:fldChar w:fldCharType="begin"/>
      </w:r>
      <w:r>
        <w:instrText xml:space="preserve"> PAGEREF _Toc27105 </w:instrText>
      </w:r>
      <w:r>
        <w:fldChar w:fldCharType="separate"/>
      </w:r>
      <w:r>
        <w:t>45</w:t>
      </w:r>
      <w:r>
        <w:fldChar w:fldCharType="end"/>
      </w:r>
      <w:r>
        <w:fldChar w:fldCharType="end"/>
      </w:r>
    </w:p>
    <w:p>
      <w:pPr>
        <w:pStyle w:val="23"/>
        <w:tabs>
          <w:tab w:val="right" w:leader="dot" w:pos="8959"/>
        </w:tabs>
      </w:pPr>
      <w:r>
        <w:fldChar w:fldCharType="begin"/>
      </w:r>
      <w:r>
        <w:instrText xml:space="preserve"> HYPERLINK \l "_Toc3531" </w:instrText>
      </w:r>
      <w:r>
        <w:fldChar w:fldCharType="separate"/>
      </w:r>
      <w:r>
        <w:rPr>
          <w:rFonts w:hint="eastAsia" w:hAnsi="宋体" w:cs="宋体"/>
        </w:rPr>
        <w:t>第六章评标办法</w:t>
      </w:r>
      <w:r>
        <w:tab/>
      </w:r>
      <w:r>
        <w:fldChar w:fldCharType="begin"/>
      </w:r>
      <w:r>
        <w:instrText xml:space="preserve"> PAGEREF _Toc3531 </w:instrText>
      </w:r>
      <w:r>
        <w:fldChar w:fldCharType="separate"/>
      </w:r>
      <w:r>
        <w:t>47</w:t>
      </w:r>
      <w:r>
        <w:fldChar w:fldCharType="end"/>
      </w:r>
      <w:r>
        <w:fldChar w:fldCharType="end"/>
      </w:r>
    </w:p>
    <w:p>
      <w:pPr>
        <w:pStyle w:val="23"/>
        <w:tabs>
          <w:tab w:val="right" w:leader="dot" w:pos="8959"/>
        </w:tabs>
      </w:pPr>
      <w:r>
        <w:fldChar w:fldCharType="begin"/>
      </w:r>
      <w:r>
        <w:instrText xml:space="preserve"> HYPERLINK \l "_Toc12013" </w:instrText>
      </w:r>
      <w:r>
        <w:fldChar w:fldCharType="separate"/>
      </w:r>
      <w:r>
        <w:rPr>
          <w:rFonts w:hint="eastAsia" w:hAnsi="宋体" w:cs="宋体"/>
        </w:rPr>
        <w:t>第七章合同条款（仅供参考）</w:t>
      </w:r>
      <w:r>
        <w:tab/>
      </w:r>
      <w:r>
        <w:fldChar w:fldCharType="begin"/>
      </w:r>
      <w:r>
        <w:instrText xml:space="preserve"> PAGEREF _Toc12013 </w:instrText>
      </w:r>
      <w:r>
        <w:fldChar w:fldCharType="separate"/>
      </w:r>
      <w:r>
        <w:t>60</w:t>
      </w:r>
      <w:r>
        <w:fldChar w:fldCharType="end"/>
      </w:r>
      <w:r>
        <w:fldChar w:fldCharType="end"/>
      </w:r>
    </w:p>
    <w:p>
      <w:pPr>
        <w:pStyle w:val="3"/>
        <w:spacing w:line="360" w:lineRule="auto"/>
        <w:jc w:val="center"/>
        <w:rPr>
          <w:rFonts w:hAnsi="宋体" w:cs="宋体"/>
          <w:b w:val="0"/>
          <w:kern w:val="2"/>
          <w:sz w:val="28"/>
          <w:szCs w:val="28"/>
        </w:rPr>
      </w:pPr>
      <w:r>
        <w:rPr>
          <w:rFonts w:hint="eastAsia" w:hAnsi="宋体" w:cs="宋体"/>
          <w:kern w:val="2"/>
          <w:szCs w:val="28"/>
        </w:rPr>
        <w:fldChar w:fldCharType="end"/>
      </w:r>
    </w:p>
    <w:p>
      <w:pPr>
        <w:pStyle w:val="3"/>
        <w:spacing w:line="360" w:lineRule="auto"/>
        <w:jc w:val="center"/>
        <w:rPr>
          <w:rFonts w:hAnsi="宋体" w:cs="宋体"/>
          <w:b w:val="0"/>
          <w:kern w:val="2"/>
          <w:sz w:val="28"/>
          <w:szCs w:val="28"/>
        </w:rPr>
      </w:pPr>
    </w:p>
    <w:p>
      <w:pPr>
        <w:pStyle w:val="3"/>
        <w:spacing w:line="360" w:lineRule="auto"/>
        <w:jc w:val="center"/>
        <w:rPr>
          <w:rFonts w:hAnsi="宋体" w:cs="宋体"/>
          <w:kern w:val="2"/>
        </w:rPr>
      </w:pPr>
    </w:p>
    <w:bookmarkEnd w:id="0"/>
    <w:p>
      <w:pPr>
        <w:spacing w:line="360" w:lineRule="auto"/>
        <w:ind w:right="36" w:rightChars="15"/>
        <w:rPr>
          <w:rFonts w:hAnsi="宋体" w:cs="宋体"/>
          <w:color w:val="auto"/>
        </w:rPr>
      </w:pPr>
    </w:p>
    <w:p>
      <w:pPr>
        <w:pStyle w:val="3"/>
        <w:spacing w:line="360" w:lineRule="auto"/>
        <w:jc w:val="center"/>
        <w:rPr>
          <w:rFonts w:hAnsi="宋体" w:cs="宋体"/>
          <w:sz w:val="24"/>
          <w:szCs w:val="24"/>
        </w:rPr>
      </w:pPr>
      <w:bookmarkStart w:id="1" w:name="_Toc22329"/>
      <w:bookmarkStart w:id="2" w:name="_Toc5602"/>
      <w:bookmarkStart w:id="3" w:name="_Toc2889"/>
      <w:r>
        <w:rPr>
          <w:rFonts w:hint="eastAsia" w:hAnsi="宋体" w:cs="宋体"/>
        </w:rPr>
        <w:br w:type="page"/>
      </w:r>
      <w:bookmarkStart w:id="4" w:name="_Toc31835"/>
      <w:bookmarkStart w:id="5" w:name="_Toc25035"/>
      <w:bookmarkStart w:id="6" w:name="_Toc11063"/>
      <w:r>
        <w:rPr>
          <w:rFonts w:hint="eastAsia" w:hAnsi="宋体" w:cs="宋体"/>
          <w:sz w:val="24"/>
          <w:szCs w:val="24"/>
        </w:rPr>
        <w:t>第一章投标邀请</w:t>
      </w:r>
      <w:bookmarkEnd w:id="1"/>
      <w:bookmarkEnd w:id="2"/>
      <w:bookmarkEnd w:id="3"/>
      <w:bookmarkEnd w:id="4"/>
      <w:bookmarkEnd w:id="5"/>
      <w:bookmarkEnd w:id="6"/>
    </w:p>
    <w:p>
      <w:pPr>
        <w:pStyle w:val="7"/>
        <w:spacing w:before="150" w:beforeAutospacing="0" w:after="150" w:afterAutospacing="0" w:line="30" w:lineRule="atLeast"/>
        <w:textAlignment w:val="baseline"/>
        <w:rPr>
          <w:rFonts w:hint="default" w:asciiTheme="minorEastAsia" w:hAnsiTheme="minorEastAsia" w:eastAsiaTheme="minorEastAsia" w:cstheme="minorEastAsia"/>
          <w:b w:val="0"/>
          <w:bCs w:val="0"/>
          <w:sz w:val="21"/>
          <w:szCs w:val="21"/>
        </w:rPr>
      </w:pPr>
      <w:bookmarkStart w:id="7" w:name="_Toc15854"/>
      <w:bookmarkStart w:id="8" w:name="_Toc24237"/>
      <w:bookmarkStart w:id="9" w:name="_Toc213496267"/>
      <w:bookmarkStart w:id="10" w:name="_Toc16540"/>
      <w:bookmarkStart w:id="11" w:name="_Toc23046"/>
      <w:bookmarkStart w:id="12" w:name="_Toc213396759"/>
      <w:bookmarkStart w:id="13" w:name="_Toc213396945"/>
      <w:bookmarkStart w:id="14" w:name="_Toc217446031"/>
      <w:bookmarkStart w:id="15" w:name="_Toc213397009"/>
      <w:r>
        <w:rPr>
          <w:rStyle w:val="36"/>
          <w:rFonts w:asciiTheme="minorEastAsia" w:hAnsiTheme="minorEastAsia" w:eastAsiaTheme="minorEastAsia" w:cstheme="minorEastAsia"/>
          <w:b/>
          <w:color w:val="333333"/>
          <w:szCs w:val="21"/>
          <w:shd w:val="clear" w:color="auto" w:fill="FFFFFF"/>
        </w:rPr>
        <w:t>项目概况</w:t>
      </w:r>
    </w:p>
    <w:p>
      <w:pPr>
        <w:pStyle w:val="29"/>
        <w:spacing w:before="150" w:beforeAutospacing="0" w:after="150" w:afterAutospacing="0" w:line="480" w:lineRule="atLeast"/>
        <w:ind w:firstLine="48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临潼区2022年新优质学校成长计划设施设备招标项目的潜在投标人应在西安市高新区唐延路35号旺座现代城G座2301室获取招标文件，并于 2022年10月19日 09时30分 （北京时间）前递交投标文件。</w:t>
      </w:r>
    </w:p>
    <w:p>
      <w:pPr>
        <w:pStyle w:val="2"/>
        <w:keepNext w:val="0"/>
        <w:keepLines w:val="0"/>
        <w:shd w:val="clear" w:color="auto" w:fill="FFFFFF"/>
        <w:spacing w:before="150" w:after="0" w:line="750" w:lineRule="atLeast"/>
        <w:jc w:val="left"/>
        <w:textAlignment w:val="baseline"/>
        <w:rPr>
          <w:rFonts w:asciiTheme="minorEastAsia" w:hAnsiTheme="minorEastAsia" w:eastAsiaTheme="minorEastAsia" w:cstheme="minorEastAsia"/>
          <w:b w:val="0"/>
          <w:bCs w:val="0"/>
          <w:color w:val="333333"/>
          <w:sz w:val="21"/>
          <w:szCs w:val="21"/>
        </w:rPr>
      </w:pPr>
      <w:r>
        <w:rPr>
          <w:rStyle w:val="36"/>
          <w:rFonts w:hint="eastAsia" w:asciiTheme="minorEastAsia" w:hAnsiTheme="minorEastAsia" w:eastAsiaTheme="minorEastAsia" w:cstheme="minorEastAsia"/>
          <w:b/>
          <w:color w:val="333333"/>
          <w:szCs w:val="21"/>
          <w:shd w:val="clear" w:color="auto" w:fill="FFFFFF"/>
        </w:rPr>
        <w:t>一、项目基本情况</w:t>
      </w:r>
    </w:p>
    <w:p>
      <w:pPr>
        <w:pStyle w:val="29"/>
        <w:shd w:val="clear" w:color="auto" w:fill="FFFFFF"/>
        <w:spacing w:before="0" w:beforeAutospacing="0" w:after="0" w:afterAutospacing="0" w:line="480" w:lineRule="atLeast"/>
        <w:ind w:firstLine="480"/>
        <w:jc w:val="both"/>
        <w:textAlignment w:val="baseline"/>
        <w:rPr>
          <w:rFonts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shd w:val="clear" w:color="auto" w:fill="FFFFFF"/>
        </w:rPr>
        <w:t>项目编号：SCIT-ZG-SX2022090009</w:t>
      </w:r>
    </w:p>
    <w:p>
      <w:pPr>
        <w:pStyle w:val="29"/>
        <w:shd w:val="clear" w:color="auto" w:fill="FFFFFF"/>
        <w:spacing w:before="0" w:beforeAutospacing="0" w:after="0" w:afterAutospacing="0" w:line="480" w:lineRule="atLeast"/>
        <w:ind w:firstLine="480"/>
        <w:jc w:val="both"/>
        <w:textAlignment w:val="baseline"/>
        <w:rPr>
          <w:rFonts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shd w:val="clear" w:color="auto" w:fill="FFFFFF"/>
        </w:rPr>
        <w:t>项目名称：临潼区2022年新优质学校成长计划设施设备</w:t>
      </w:r>
    </w:p>
    <w:p>
      <w:pPr>
        <w:pStyle w:val="29"/>
        <w:shd w:val="clear" w:color="auto" w:fill="FFFFFF"/>
        <w:spacing w:before="0" w:beforeAutospacing="0" w:after="0" w:afterAutospacing="0" w:line="480" w:lineRule="atLeast"/>
        <w:ind w:firstLine="480"/>
        <w:jc w:val="both"/>
        <w:textAlignment w:val="baseline"/>
        <w:rPr>
          <w:rFonts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shd w:val="clear" w:color="auto" w:fill="FFFFFF"/>
        </w:rPr>
        <w:t>采购方式：公开招标</w:t>
      </w:r>
    </w:p>
    <w:p>
      <w:pPr>
        <w:pStyle w:val="29"/>
        <w:shd w:val="clear" w:color="auto" w:fill="FFFFFF"/>
        <w:spacing w:before="0" w:beforeAutospacing="0" w:after="0" w:afterAutospacing="0" w:line="480" w:lineRule="atLeast"/>
        <w:ind w:firstLine="480"/>
        <w:jc w:val="both"/>
        <w:textAlignment w:val="baseline"/>
        <w:rPr>
          <w:rFonts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shd w:val="clear" w:color="auto" w:fill="FFFFFF"/>
        </w:rPr>
        <w:t>预算金额：12,130,000.00元</w:t>
      </w:r>
    </w:p>
    <w:p>
      <w:pPr>
        <w:pStyle w:val="29"/>
        <w:shd w:val="clear" w:color="auto" w:fill="FFFFFF"/>
        <w:spacing w:before="0" w:beforeAutospacing="0" w:after="0" w:afterAutospacing="0" w:line="480" w:lineRule="atLeast"/>
        <w:ind w:firstLine="480"/>
        <w:jc w:val="both"/>
        <w:textAlignment w:val="baseline"/>
        <w:rPr>
          <w:rFonts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shd w:val="clear" w:color="auto" w:fill="FFFFFF"/>
        </w:rPr>
        <w:t>采购需求：</w:t>
      </w:r>
    </w:p>
    <w:p>
      <w:pPr>
        <w:pStyle w:val="29"/>
        <w:spacing w:before="0" w:beforeAutospacing="0" w:after="0" w:afterAutospacing="0" w:line="480" w:lineRule="atLeast"/>
        <w:ind w:firstLine="48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合同包1(教学专用仪器1):</w:t>
      </w:r>
    </w:p>
    <w:p>
      <w:pPr>
        <w:pStyle w:val="29"/>
        <w:spacing w:before="0" w:beforeAutospacing="0" w:after="0" w:afterAutospacing="0" w:line="480" w:lineRule="atLeast"/>
        <w:ind w:firstLine="63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合同包预算金额：3,339,071.00元</w:t>
      </w:r>
    </w:p>
    <w:p>
      <w:pPr>
        <w:pStyle w:val="29"/>
        <w:spacing w:before="0" w:beforeAutospacing="0" w:after="0" w:afterAutospacing="0" w:line="480" w:lineRule="atLeast"/>
        <w:ind w:firstLine="63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合同包最高限价：3,339,071.00元</w:t>
      </w:r>
    </w:p>
    <w:tbl>
      <w:tblPr>
        <w:tblStyle w:val="33"/>
        <w:tblW w:w="4998" w:type="pct"/>
        <w:tblInd w:w="0" w:type="dxa"/>
        <w:tblLayout w:type="autofit"/>
        <w:tblCellMar>
          <w:top w:w="0" w:type="dxa"/>
          <w:left w:w="0" w:type="dxa"/>
          <w:bottom w:w="0" w:type="dxa"/>
          <w:right w:w="0" w:type="dxa"/>
        </w:tblCellMar>
      </w:tblPr>
      <w:tblGrid>
        <w:gridCol w:w="463"/>
        <w:gridCol w:w="1898"/>
        <w:gridCol w:w="1898"/>
        <w:gridCol w:w="662"/>
        <w:gridCol w:w="1273"/>
        <w:gridCol w:w="1500"/>
        <w:gridCol w:w="1501"/>
      </w:tblGrid>
      <w:tr>
        <w:tblPrEx>
          <w:tblCellMar>
            <w:top w:w="0" w:type="dxa"/>
            <w:left w:w="0" w:type="dxa"/>
            <w:bottom w:w="0" w:type="dxa"/>
            <w:right w:w="0" w:type="dxa"/>
          </w:tblCellMar>
        </w:tblPrEx>
        <w:trPr>
          <w:trHeight w:val="728" w:hRule="atLeast"/>
          <w:tblHeader/>
        </w:trPr>
        <w:tc>
          <w:tcPr>
            <w:tcW w:w="33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tLeast"/>
              <w:jc w:val="center"/>
              <w:textAlignment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品目号</w:t>
            </w:r>
          </w:p>
        </w:tc>
        <w:tc>
          <w:tcPr>
            <w:tcW w:w="11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tLeast"/>
              <w:jc w:val="center"/>
              <w:textAlignment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品目名称</w:t>
            </w:r>
          </w:p>
        </w:tc>
        <w:tc>
          <w:tcPr>
            <w:tcW w:w="11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tLeast"/>
              <w:jc w:val="center"/>
              <w:textAlignment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采购标的</w:t>
            </w:r>
          </w:p>
        </w:tc>
        <w:tc>
          <w:tcPr>
            <w:tcW w:w="43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tLeast"/>
              <w:jc w:val="center"/>
              <w:textAlignment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数量（单位）</w:t>
            </w:r>
          </w:p>
        </w:tc>
        <w:tc>
          <w:tcPr>
            <w:tcW w:w="78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tLeast"/>
              <w:jc w:val="center"/>
              <w:textAlignment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技术规格、参数及要求</w:t>
            </w:r>
          </w:p>
        </w:tc>
        <w:tc>
          <w:tcPr>
            <w:tcW w:w="6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tLeast"/>
              <w:jc w:val="center"/>
              <w:textAlignment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品目预算(元)</w:t>
            </w:r>
          </w:p>
        </w:tc>
        <w:tc>
          <w:tcPr>
            <w:tcW w:w="6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tLeast"/>
              <w:jc w:val="center"/>
              <w:textAlignment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最高限价(元)</w:t>
            </w:r>
          </w:p>
        </w:tc>
      </w:tr>
      <w:tr>
        <w:tblPrEx>
          <w:tblCellMar>
            <w:top w:w="0" w:type="dxa"/>
            <w:left w:w="0" w:type="dxa"/>
            <w:bottom w:w="0" w:type="dxa"/>
            <w:right w:w="0" w:type="dxa"/>
          </w:tblCellMar>
        </w:tblPrEx>
        <w:trPr>
          <w:trHeight w:val="480" w:hRule="atLeast"/>
        </w:trPr>
        <w:tc>
          <w:tcPr>
            <w:tcW w:w="33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tLeast"/>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p>
        </w:tc>
        <w:tc>
          <w:tcPr>
            <w:tcW w:w="11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tLeast"/>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教学专用仪器</w:t>
            </w:r>
          </w:p>
        </w:tc>
        <w:tc>
          <w:tcPr>
            <w:tcW w:w="11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tLeast"/>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教学仪器</w:t>
            </w:r>
          </w:p>
        </w:tc>
        <w:tc>
          <w:tcPr>
            <w:tcW w:w="43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tLeast"/>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1(批)</w:t>
            </w:r>
          </w:p>
        </w:tc>
        <w:tc>
          <w:tcPr>
            <w:tcW w:w="78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tLeast"/>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详见采购文件</w:t>
            </w:r>
          </w:p>
        </w:tc>
        <w:tc>
          <w:tcPr>
            <w:tcW w:w="6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tLeast"/>
              <w:jc w:val="right"/>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3,339,071.00</w:t>
            </w:r>
          </w:p>
        </w:tc>
        <w:tc>
          <w:tcPr>
            <w:tcW w:w="6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tLeast"/>
              <w:jc w:val="right"/>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3,339,071.00</w:t>
            </w:r>
          </w:p>
        </w:tc>
      </w:tr>
    </w:tbl>
    <w:p>
      <w:pPr>
        <w:pStyle w:val="29"/>
        <w:spacing w:before="0" w:beforeAutospacing="0" w:after="0" w:afterAutospacing="0" w:line="480" w:lineRule="atLeast"/>
        <w:ind w:firstLine="63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本合同包不接受联合体投标</w:t>
      </w:r>
    </w:p>
    <w:p>
      <w:pPr>
        <w:pStyle w:val="29"/>
        <w:spacing w:before="0" w:beforeAutospacing="0" w:after="0" w:afterAutospacing="0" w:line="480" w:lineRule="atLeast"/>
        <w:ind w:firstLine="63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合同履行期限：具体详见招标文件</w:t>
      </w:r>
    </w:p>
    <w:p>
      <w:pPr>
        <w:pStyle w:val="29"/>
        <w:spacing w:before="0" w:beforeAutospacing="0" w:after="0" w:afterAutospacing="0" w:line="480" w:lineRule="atLeast"/>
        <w:ind w:firstLine="48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合同包2(教学专用仪器2):</w:t>
      </w:r>
    </w:p>
    <w:p>
      <w:pPr>
        <w:pStyle w:val="29"/>
        <w:spacing w:before="0" w:beforeAutospacing="0" w:after="0" w:afterAutospacing="0" w:line="480" w:lineRule="atLeast"/>
        <w:ind w:firstLine="63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合同包预算金额：3,522,402.00元</w:t>
      </w:r>
    </w:p>
    <w:p>
      <w:pPr>
        <w:pStyle w:val="29"/>
        <w:spacing w:before="0" w:beforeAutospacing="0" w:after="0" w:afterAutospacing="0" w:line="480" w:lineRule="atLeast"/>
        <w:ind w:firstLine="63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合同包最高限价：3,522,402.00元</w:t>
      </w:r>
    </w:p>
    <w:tbl>
      <w:tblPr>
        <w:tblStyle w:val="33"/>
        <w:tblW w:w="4998" w:type="pct"/>
        <w:tblInd w:w="0" w:type="dxa"/>
        <w:tblLayout w:type="autofit"/>
        <w:tblCellMar>
          <w:top w:w="0" w:type="dxa"/>
          <w:left w:w="0" w:type="dxa"/>
          <w:bottom w:w="0" w:type="dxa"/>
          <w:right w:w="0" w:type="dxa"/>
        </w:tblCellMar>
      </w:tblPr>
      <w:tblGrid>
        <w:gridCol w:w="463"/>
        <w:gridCol w:w="1898"/>
        <w:gridCol w:w="1898"/>
        <w:gridCol w:w="662"/>
        <w:gridCol w:w="1273"/>
        <w:gridCol w:w="1500"/>
        <w:gridCol w:w="1501"/>
      </w:tblGrid>
      <w:tr>
        <w:tblPrEx>
          <w:tblCellMar>
            <w:top w:w="0" w:type="dxa"/>
            <w:left w:w="0" w:type="dxa"/>
            <w:bottom w:w="0" w:type="dxa"/>
            <w:right w:w="0" w:type="dxa"/>
          </w:tblCellMar>
        </w:tblPrEx>
        <w:trPr>
          <w:trHeight w:val="728" w:hRule="atLeast"/>
          <w:tblHeader/>
        </w:trPr>
        <w:tc>
          <w:tcPr>
            <w:tcW w:w="33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tLeast"/>
              <w:jc w:val="center"/>
              <w:textAlignment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品目号</w:t>
            </w:r>
          </w:p>
        </w:tc>
        <w:tc>
          <w:tcPr>
            <w:tcW w:w="11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tLeast"/>
              <w:jc w:val="center"/>
              <w:textAlignment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品目名称</w:t>
            </w:r>
          </w:p>
        </w:tc>
        <w:tc>
          <w:tcPr>
            <w:tcW w:w="11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tLeast"/>
              <w:jc w:val="center"/>
              <w:textAlignment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采购标的</w:t>
            </w:r>
          </w:p>
        </w:tc>
        <w:tc>
          <w:tcPr>
            <w:tcW w:w="43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tLeast"/>
              <w:jc w:val="center"/>
              <w:textAlignment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数量（单位）</w:t>
            </w:r>
          </w:p>
        </w:tc>
        <w:tc>
          <w:tcPr>
            <w:tcW w:w="78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tLeast"/>
              <w:jc w:val="center"/>
              <w:textAlignment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技术规格、参数及要求</w:t>
            </w:r>
          </w:p>
        </w:tc>
        <w:tc>
          <w:tcPr>
            <w:tcW w:w="6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tLeast"/>
              <w:jc w:val="center"/>
              <w:textAlignment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品目预算(元)</w:t>
            </w:r>
          </w:p>
        </w:tc>
        <w:tc>
          <w:tcPr>
            <w:tcW w:w="6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tLeast"/>
              <w:jc w:val="center"/>
              <w:textAlignment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最高限价(元)</w:t>
            </w:r>
          </w:p>
        </w:tc>
      </w:tr>
      <w:tr>
        <w:tblPrEx>
          <w:tblCellMar>
            <w:top w:w="0" w:type="dxa"/>
            <w:left w:w="0" w:type="dxa"/>
            <w:bottom w:w="0" w:type="dxa"/>
            <w:right w:w="0" w:type="dxa"/>
          </w:tblCellMar>
        </w:tblPrEx>
        <w:trPr>
          <w:trHeight w:val="480" w:hRule="atLeast"/>
        </w:trPr>
        <w:tc>
          <w:tcPr>
            <w:tcW w:w="33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tLeast"/>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w:t>
            </w:r>
          </w:p>
        </w:tc>
        <w:tc>
          <w:tcPr>
            <w:tcW w:w="11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tLeast"/>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教学专用仪器</w:t>
            </w:r>
          </w:p>
        </w:tc>
        <w:tc>
          <w:tcPr>
            <w:tcW w:w="11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tLeast"/>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教学仪器</w:t>
            </w:r>
          </w:p>
        </w:tc>
        <w:tc>
          <w:tcPr>
            <w:tcW w:w="43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tLeast"/>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1(批)</w:t>
            </w:r>
          </w:p>
        </w:tc>
        <w:tc>
          <w:tcPr>
            <w:tcW w:w="78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tLeast"/>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详见采购文件</w:t>
            </w:r>
          </w:p>
        </w:tc>
        <w:tc>
          <w:tcPr>
            <w:tcW w:w="6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tLeast"/>
              <w:jc w:val="right"/>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3,522,402.00</w:t>
            </w:r>
          </w:p>
        </w:tc>
        <w:tc>
          <w:tcPr>
            <w:tcW w:w="6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tLeast"/>
              <w:jc w:val="right"/>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3,522,402.00</w:t>
            </w:r>
          </w:p>
        </w:tc>
      </w:tr>
    </w:tbl>
    <w:p>
      <w:pPr>
        <w:pStyle w:val="29"/>
        <w:spacing w:before="0" w:beforeAutospacing="0" w:after="0" w:afterAutospacing="0" w:line="480" w:lineRule="atLeast"/>
        <w:ind w:firstLine="63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本合同包不接受联合体投标</w:t>
      </w:r>
    </w:p>
    <w:p>
      <w:pPr>
        <w:pStyle w:val="29"/>
        <w:spacing w:before="0" w:beforeAutospacing="0" w:after="0" w:afterAutospacing="0" w:line="480" w:lineRule="atLeast"/>
        <w:ind w:firstLine="63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合同履行期限：具体详见招标文件</w:t>
      </w:r>
    </w:p>
    <w:p>
      <w:pPr>
        <w:pStyle w:val="29"/>
        <w:spacing w:before="0" w:beforeAutospacing="0" w:after="0" w:afterAutospacing="0" w:line="480" w:lineRule="atLeast"/>
        <w:ind w:firstLine="48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合同包3(教学专用仪器3):</w:t>
      </w:r>
    </w:p>
    <w:p>
      <w:pPr>
        <w:pStyle w:val="29"/>
        <w:spacing w:before="0" w:beforeAutospacing="0" w:after="0" w:afterAutospacing="0" w:line="480" w:lineRule="atLeast"/>
        <w:ind w:firstLine="63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合同包预算金额：2,358,834.00元</w:t>
      </w:r>
    </w:p>
    <w:p>
      <w:pPr>
        <w:pStyle w:val="29"/>
        <w:spacing w:before="0" w:beforeAutospacing="0" w:after="0" w:afterAutospacing="0" w:line="480" w:lineRule="atLeast"/>
        <w:ind w:firstLine="63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合同包最高限价：2,358,834.00元</w:t>
      </w:r>
    </w:p>
    <w:tbl>
      <w:tblPr>
        <w:tblStyle w:val="33"/>
        <w:tblW w:w="4998" w:type="pct"/>
        <w:tblInd w:w="0" w:type="dxa"/>
        <w:tblLayout w:type="autofit"/>
        <w:tblCellMar>
          <w:top w:w="0" w:type="dxa"/>
          <w:left w:w="0" w:type="dxa"/>
          <w:bottom w:w="0" w:type="dxa"/>
          <w:right w:w="0" w:type="dxa"/>
        </w:tblCellMar>
      </w:tblPr>
      <w:tblGrid>
        <w:gridCol w:w="463"/>
        <w:gridCol w:w="1898"/>
        <w:gridCol w:w="1898"/>
        <w:gridCol w:w="662"/>
        <w:gridCol w:w="1273"/>
        <w:gridCol w:w="1500"/>
        <w:gridCol w:w="1501"/>
      </w:tblGrid>
      <w:tr>
        <w:tblPrEx>
          <w:tblCellMar>
            <w:top w:w="0" w:type="dxa"/>
            <w:left w:w="0" w:type="dxa"/>
            <w:bottom w:w="0" w:type="dxa"/>
            <w:right w:w="0" w:type="dxa"/>
          </w:tblCellMar>
        </w:tblPrEx>
        <w:trPr>
          <w:trHeight w:val="728" w:hRule="atLeast"/>
          <w:tblHeader/>
        </w:trPr>
        <w:tc>
          <w:tcPr>
            <w:tcW w:w="33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tLeast"/>
              <w:jc w:val="center"/>
              <w:textAlignment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品目号</w:t>
            </w:r>
          </w:p>
        </w:tc>
        <w:tc>
          <w:tcPr>
            <w:tcW w:w="11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tLeast"/>
              <w:jc w:val="center"/>
              <w:textAlignment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品目名称</w:t>
            </w:r>
          </w:p>
        </w:tc>
        <w:tc>
          <w:tcPr>
            <w:tcW w:w="11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tLeast"/>
              <w:jc w:val="center"/>
              <w:textAlignment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采购标的</w:t>
            </w:r>
          </w:p>
        </w:tc>
        <w:tc>
          <w:tcPr>
            <w:tcW w:w="43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tLeast"/>
              <w:jc w:val="center"/>
              <w:textAlignment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数量（单位）</w:t>
            </w:r>
          </w:p>
        </w:tc>
        <w:tc>
          <w:tcPr>
            <w:tcW w:w="78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tLeast"/>
              <w:jc w:val="center"/>
              <w:textAlignment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技术规格、参数及要求</w:t>
            </w:r>
          </w:p>
        </w:tc>
        <w:tc>
          <w:tcPr>
            <w:tcW w:w="6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tLeast"/>
              <w:jc w:val="center"/>
              <w:textAlignment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品目预算(元)</w:t>
            </w:r>
          </w:p>
        </w:tc>
        <w:tc>
          <w:tcPr>
            <w:tcW w:w="6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tLeast"/>
              <w:jc w:val="center"/>
              <w:textAlignment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最高限价(元)</w:t>
            </w:r>
          </w:p>
        </w:tc>
      </w:tr>
      <w:tr>
        <w:tblPrEx>
          <w:tblCellMar>
            <w:top w:w="0" w:type="dxa"/>
            <w:left w:w="0" w:type="dxa"/>
            <w:bottom w:w="0" w:type="dxa"/>
            <w:right w:w="0" w:type="dxa"/>
          </w:tblCellMar>
        </w:tblPrEx>
        <w:trPr>
          <w:trHeight w:val="480" w:hRule="atLeast"/>
        </w:trPr>
        <w:tc>
          <w:tcPr>
            <w:tcW w:w="33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tLeast"/>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w:t>
            </w:r>
          </w:p>
        </w:tc>
        <w:tc>
          <w:tcPr>
            <w:tcW w:w="11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tLeast"/>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教学专用仪器</w:t>
            </w:r>
          </w:p>
        </w:tc>
        <w:tc>
          <w:tcPr>
            <w:tcW w:w="11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tLeast"/>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教学仪器</w:t>
            </w:r>
          </w:p>
        </w:tc>
        <w:tc>
          <w:tcPr>
            <w:tcW w:w="43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tLeast"/>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1(批)</w:t>
            </w:r>
          </w:p>
        </w:tc>
        <w:tc>
          <w:tcPr>
            <w:tcW w:w="78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tLeast"/>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详见采购文件</w:t>
            </w:r>
          </w:p>
        </w:tc>
        <w:tc>
          <w:tcPr>
            <w:tcW w:w="6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tLeast"/>
              <w:jc w:val="right"/>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2,358,834.00</w:t>
            </w:r>
          </w:p>
        </w:tc>
        <w:tc>
          <w:tcPr>
            <w:tcW w:w="6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tLeast"/>
              <w:jc w:val="right"/>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2,358,834.00</w:t>
            </w:r>
          </w:p>
        </w:tc>
      </w:tr>
    </w:tbl>
    <w:p>
      <w:pPr>
        <w:pStyle w:val="29"/>
        <w:spacing w:before="0" w:beforeAutospacing="0" w:after="0" w:afterAutospacing="0" w:line="480" w:lineRule="atLeast"/>
        <w:ind w:firstLine="63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本合同包不接受联合体投标</w:t>
      </w:r>
    </w:p>
    <w:p>
      <w:pPr>
        <w:pStyle w:val="29"/>
        <w:spacing w:before="0" w:beforeAutospacing="0" w:after="0" w:afterAutospacing="0" w:line="480" w:lineRule="atLeast"/>
        <w:ind w:firstLine="63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合同履行期限：具体详见招标文件</w:t>
      </w:r>
    </w:p>
    <w:p>
      <w:pPr>
        <w:pStyle w:val="29"/>
        <w:spacing w:before="0" w:beforeAutospacing="0" w:after="0" w:afterAutospacing="0" w:line="480" w:lineRule="atLeast"/>
        <w:ind w:firstLine="48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合同包4(教学专用仪器4):</w:t>
      </w:r>
    </w:p>
    <w:p>
      <w:pPr>
        <w:pStyle w:val="29"/>
        <w:spacing w:before="0" w:beforeAutospacing="0" w:after="0" w:afterAutospacing="0" w:line="480" w:lineRule="atLeast"/>
        <w:ind w:firstLine="63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合同包预算金额：2,909,693.00元</w:t>
      </w:r>
    </w:p>
    <w:p>
      <w:pPr>
        <w:pStyle w:val="29"/>
        <w:spacing w:before="0" w:beforeAutospacing="0" w:after="0" w:afterAutospacing="0" w:line="480" w:lineRule="atLeast"/>
        <w:ind w:firstLine="63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合同包最高限价：2,909,693.00元</w:t>
      </w:r>
    </w:p>
    <w:tbl>
      <w:tblPr>
        <w:tblStyle w:val="33"/>
        <w:tblW w:w="4998" w:type="pct"/>
        <w:tblInd w:w="0" w:type="dxa"/>
        <w:tblLayout w:type="autofit"/>
        <w:tblCellMar>
          <w:top w:w="0" w:type="dxa"/>
          <w:left w:w="0" w:type="dxa"/>
          <w:bottom w:w="0" w:type="dxa"/>
          <w:right w:w="0" w:type="dxa"/>
        </w:tblCellMar>
      </w:tblPr>
      <w:tblGrid>
        <w:gridCol w:w="463"/>
        <w:gridCol w:w="1898"/>
        <w:gridCol w:w="1898"/>
        <w:gridCol w:w="662"/>
        <w:gridCol w:w="1273"/>
        <w:gridCol w:w="1500"/>
        <w:gridCol w:w="1501"/>
      </w:tblGrid>
      <w:tr>
        <w:tblPrEx>
          <w:tblCellMar>
            <w:top w:w="0" w:type="dxa"/>
            <w:left w:w="0" w:type="dxa"/>
            <w:bottom w:w="0" w:type="dxa"/>
            <w:right w:w="0" w:type="dxa"/>
          </w:tblCellMar>
        </w:tblPrEx>
        <w:trPr>
          <w:trHeight w:val="728" w:hRule="atLeast"/>
          <w:tblHeader/>
        </w:trPr>
        <w:tc>
          <w:tcPr>
            <w:tcW w:w="33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tLeast"/>
              <w:jc w:val="center"/>
              <w:textAlignment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品目号</w:t>
            </w:r>
          </w:p>
        </w:tc>
        <w:tc>
          <w:tcPr>
            <w:tcW w:w="11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tLeast"/>
              <w:jc w:val="center"/>
              <w:textAlignment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品目名称</w:t>
            </w:r>
          </w:p>
        </w:tc>
        <w:tc>
          <w:tcPr>
            <w:tcW w:w="11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tLeast"/>
              <w:jc w:val="center"/>
              <w:textAlignment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采购标的</w:t>
            </w:r>
          </w:p>
        </w:tc>
        <w:tc>
          <w:tcPr>
            <w:tcW w:w="43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tLeast"/>
              <w:jc w:val="center"/>
              <w:textAlignment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数量（单位）</w:t>
            </w:r>
          </w:p>
        </w:tc>
        <w:tc>
          <w:tcPr>
            <w:tcW w:w="78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tLeast"/>
              <w:jc w:val="center"/>
              <w:textAlignment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技术规格、参数及要求</w:t>
            </w:r>
          </w:p>
        </w:tc>
        <w:tc>
          <w:tcPr>
            <w:tcW w:w="6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tLeast"/>
              <w:jc w:val="center"/>
              <w:textAlignment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品目预算(元)</w:t>
            </w:r>
          </w:p>
        </w:tc>
        <w:tc>
          <w:tcPr>
            <w:tcW w:w="6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tLeast"/>
              <w:jc w:val="center"/>
              <w:textAlignment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最高限价(元)</w:t>
            </w:r>
          </w:p>
        </w:tc>
      </w:tr>
      <w:tr>
        <w:tblPrEx>
          <w:tblCellMar>
            <w:top w:w="0" w:type="dxa"/>
            <w:left w:w="0" w:type="dxa"/>
            <w:bottom w:w="0" w:type="dxa"/>
            <w:right w:w="0" w:type="dxa"/>
          </w:tblCellMar>
        </w:tblPrEx>
        <w:trPr>
          <w:trHeight w:val="480" w:hRule="atLeast"/>
        </w:trPr>
        <w:tc>
          <w:tcPr>
            <w:tcW w:w="33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tLeast"/>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w:t>
            </w:r>
          </w:p>
        </w:tc>
        <w:tc>
          <w:tcPr>
            <w:tcW w:w="11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tLeast"/>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教学专用仪器</w:t>
            </w:r>
          </w:p>
        </w:tc>
        <w:tc>
          <w:tcPr>
            <w:tcW w:w="11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tLeast"/>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教学仪器</w:t>
            </w:r>
          </w:p>
        </w:tc>
        <w:tc>
          <w:tcPr>
            <w:tcW w:w="43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tLeast"/>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1(批)</w:t>
            </w:r>
          </w:p>
        </w:tc>
        <w:tc>
          <w:tcPr>
            <w:tcW w:w="78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tLeast"/>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详见采购文件</w:t>
            </w:r>
          </w:p>
        </w:tc>
        <w:tc>
          <w:tcPr>
            <w:tcW w:w="6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tLeast"/>
              <w:jc w:val="right"/>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2,909,693.00</w:t>
            </w:r>
          </w:p>
        </w:tc>
        <w:tc>
          <w:tcPr>
            <w:tcW w:w="6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tLeast"/>
              <w:jc w:val="right"/>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2,909,693.00</w:t>
            </w:r>
          </w:p>
        </w:tc>
      </w:tr>
    </w:tbl>
    <w:p>
      <w:pPr>
        <w:pStyle w:val="29"/>
        <w:spacing w:before="0" w:beforeAutospacing="0" w:after="0" w:afterAutospacing="0" w:line="480" w:lineRule="atLeast"/>
        <w:ind w:firstLine="63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本合同包不接受联合体投标</w:t>
      </w:r>
    </w:p>
    <w:p>
      <w:pPr>
        <w:pStyle w:val="29"/>
        <w:spacing w:before="0" w:beforeAutospacing="0" w:after="0" w:afterAutospacing="0" w:line="480" w:lineRule="atLeast"/>
        <w:ind w:firstLine="63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合同履行期限：具体详见招标文件</w:t>
      </w:r>
    </w:p>
    <w:p>
      <w:pPr>
        <w:pStyle w:val="2"/>
        <w:keepNext w:val="0"/>
        <w:keepLines w:val="0"/>
        <w:shd w:val="clear" w:color="auto" w:fill="FFFFFF"/>
        <w:spacing w:before="150" w:after="0" w:line="750" w:lineRule="atLeast"/>
        <w:jc w:val="left"/>
        <w:textAlignment w:val="baseline"/>
        <w:rPr>
          <w:rFonts w:asciiTheme="minorEastAsia" w:hAnsiTheme="minorEastAsia" w:eastAsiaTheme="minorEastAsia" w:cstheme="minorEastAsia"/>
          <w:b w:val="0"/>
          <w:bCs w:val="0"/>
          <w:color w:val="333333"/>
          <w:sz w:val="21"/>
          <w:szCs w:val="21"/>
        </w:rPr>
      </w:pPr>
      <w:r>
        <w:rPr>
          <w:rStyle w:val="36"/>
          <w:rFonts w:hint="eastAsia" w:asciiTheme="minorEastAsia" w:hAnsiTheme="minorEastAsia" w:eastAsiaTheme="minorEastAsia" w:cstheme="minorEastAsia"/>
          <w:b/>
          <w:color w:val="333333"/>
          <w:szCs w:val="21"/>
          <w:shd w:val="clear" w:color="auto" w:fill="FFFFFF"/>
        </w:rPr>
        <w:t>二、申请人的资格要求：</w:t>
      </w:r>
    </w:p>
    <w:p>
      <w:pPr>
        <w:pStyle w:val="29"/>
        <w:spacing w:before="0" w:beforeAutospacing="0" w:after="0" w:afterAutospacing="0" w:line="480" w:lineRule="atLeast"/>
        <w:ind w:firstLine="48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1.满足《中华人民共和国政府采购法》第二十二条规定;</w:t>
      </w:r>
    </w:p>
    <w:p>
      <w:pPr>
        <w:pStyle w:val="29"/>
        <w:spacing w:before="0" w:beforeAutospacing="0" w:after="0" w:afterAutospacing="0" w:line="480" w:lineRule="atLeast"/>
        <w:ind w:firstLine="48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2.落实政府采购政策需满足的资格要求：</w:t>
      </w:r>
    </w:p>
    <w:p>
      <w:pPr>
        <w:pStyle w:val="29"/>
        <w:spacing w:before="0" w:beforeAutospacing="0" w:after="0" w:afterAutospacing="0" w:line="480" w:lineRule="atLeast"/>
        <w:ind w:firstLine="48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合同包1(教学专用仪器1)落实政府采购政策需满足的资格要求如下:</w:t>
      </w:r>
    </w:p>
    <w:p>
      <w:pPr>
        <w:pStyle w:val="29"/>
        <w:spacing w:before="0" w:beforeAutospacing="0" w:after="0" w:afterAutospacing="0" w:line="480" w:lineRule="atLeast"/>
        <w:ind w:left="48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本项目不专门面向中小企业采购</w:t>
      </w:r>
    </w:p>
    <w:p>
      <w:pPr>
        <w:pStyle w:val="29"/>
        <w:spacing w:before="0" w:beforeAutospacing="0" w:after="0" w:afterAutospacing="0" w:line="480" w:lineRule="atLeast"/>
        <w:ind w:firstLine="48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合同包2(教学专用仪器2)落实政府采购政策需满足的资格要求如下:</w:t>
      </w:r>
    </w:p>
    <w:p>
      <w:pPr>
        <w:pStyle w:val="29"/>
        <w:spacing w:before="0" w:beforeAutospacing="0" w:after="0" w:afterAutospacing="0" w:line="480" w:lineRule="atLeast"/>
        <w:ind w:left="48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本项目不专门面向中小企业采购</w:t>
      </w:r>
    </w:p>
    <w:p>
      <w:pPr>
        <w:pStyle w:val="29"/>
        <w:spacing w:before="0" w:beforeAutospacing="0" w:after="0" w:afterAutospacing="0" w:line="480" w:lineRule="atLeast"/>
        <w:ind w:firstLine="48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合同包3(教学专用仪器3)落实政府采购政策需满足的资格要求如下:</w:t>
      </w:r>
    </w:p>
    <w:p>
      <w:pPr>
        <w:pStyle w:val="29"/>
        <w:spacing w:before="0" w:beforeAutospacing="0" w:after="0" w:afterAutospacing="0" w:line="480" w:lineRule="atLeast"/>
        <w:ind w:left="48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本项目不专门面向中小企业采购</w:t>
      </w:r>
    </w:p>
    <w:p>
      <w:pPr>
        <w:pStyle w:val="29"/>
        <w:spacing w:before="0" w:beforeAutospacing="0" w:after="0" w:afterAutospacing="0" w:line="480" w:lineRule="atLeast"/>
        <w:ind w:firstLine="48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合同包4(教学专用仪器4)落实政府采购政策需满足的资格要求如下:</w:t>
      </w:r>
    </w:p>
    <w:p>
      <w:pPr>
        <w:pStyle w:val="29"/>
        <w:spacing w:before="0" w:beforeAutospacing="0" w:after="0" w:afterAutospacing="0" w:line="480" w:lineRule="atLeast"/>
        <w:ind w:left="48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本项目不专门面向中小企业采购</w:t>
      </w:r>
    </w:p>
    <w:p>
      <w:pPr>
        <w:pStyle w:val="29"/>
        <w:spacing w:before="0" w:beforeAutospacing="0" w:after="0" w:afterAutospacing="0" w:line="480" w:lineRule="atLeast"/>
        <w:ind w:firstLine="48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3.本项目的特定资格要求：</w:t>
      </w:r>
    </w:p>
    <w:p>
      <w:pPr>
        <w:pStyle w:val="29"/>
        <w:spacing w:before="0" w:beforeAutospacing="0" w:after="0" w:afterAutospacing="0" w:line="480" w:lineRule="atLeast"/>
        <w:ind w:firstLine="48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合同包1(教学专用仪器1)特定资格要求如下:</w:t>
      </w:r>
    </w:p>
    <w:p>
      <w:pPr>
        <w:pStyle w:val="29"/>
        <w:spacing w:before="0" w:beforeAutospacing="0" w:after="0" w:afterAutospacing="0" w:line="480" w:lineRule="atLeast"/>
        <w:ind w:left="48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（1）具有独立承担民事责任能力的法人、其他组织或自然人，提供合法有效的统一社会信用代码营业执照（事业单位提供事业单位法人证书，自然人提供身份证明）；</w:t>
      </w:r>
      <w:r>
        <w:rPr>
          <w:rFonts w:hint="eastAsia" w:asciiTheme="minorEastAsia" w:hAnsiTheme="minorEastAsia" w:eastAsiaTheme="minorEastAsia" w:cstheme="minorEastAsia"/>
          <w:color w:val="333333"/>
          <w:sz w:val="21"/>
          <w:szCs w:val="21"/>
          <w:shd w:val="clear" w:color="auto" w:fill="FFFFFF"/>
        </w:rPr>
        <w:br w:type="textWrapping"/>
      </w:r>
      <w:r>
        <w:rPr>
          <w:rFonts w:hint="eastAsia" w:asciiTheme="minorEastAsia" w:hAnsiTheme="minorEastAsia" w:eastAsiaTheme="minorEastAsia" w:cstheme="minorEastAsia"/>
          <w:color w:val="333333"/>
          <w:sz w:val="21"/>
          <w:szCs w:val="21"/>
          <w:shd w:val="clear" w:color="auto" w:fill="FFFFFF"/>
        </w:rPr>
        <w:t>（2）法定代表人授权书及被授权人身份证（法定代表人直接参与投标只须提交其身份证）；</w:t>
      </w:r>
      <w:r>
        <w:rPr>
          <w:rFonts w:hint="eastAsia" w:asciiTheme="minorEastAsia" w:hAnsiTheme="minorEastAsia" w:eastAsiaTheme="minorEastAsia" w:cstheme="minorEastAsia"/>
          <w:color w:val="333333"/>
          <w:sz w:val="21"/>
          <w:szCs w:val="21"/>
          <w:shd w:val="clear" w:color="auto" w:fill="FFFFFF"/>
        </w:rPr>
        <w:br w:type="textWrapping"/>
      </w:r>
      <w:r>
        <w:rPr>
          <w:rFonts w:hint="eastAsia" w:asciiTheme="minorEastAsia" w:hAnsiTheme="minorEastAsia" w:eastAsiaTheme="minorEastAsia" w:cstheme="minorEastAsia"/>
          <w:color w:val="333333"/>
          <w:sz w:val="21"/>
          <w:szCs w:val="21"/>
          <w:shd w:val="clear" w:color="auto" w:fill="FFFFFF"/>
        </w:rPr>
        <w:t>（3）供应商未被列入失信被执行人、重大税收违法案件当事人名单、政府采购严重违法失信行为记录；</w:t>
      </w:r>
      <w:r>
        <w:rPr>
          <w:rFonts w:hint="eastAsia" w:asciiTheme="minorEastAsia" w:hAnsiTheme="minorEastAsia" w:eastAsiaTheme="minorEastAsia" w:cstheme="minorEastAsia"/>
          <w:color w:val="333333"/>
          <w:sz w:val="21"/>
          <w:szCs w:val="21"/>
          <w:shd w:val="clear" w:color="auto" w:fill="FFFFFF"/>
        </w:rPr>
        <w:br w:type="textWrapping"/>
      </w:r>
      <w:r>
        <w:rPr>
          <w:rFonts w:hint="eastAsia" w:asciiTheme="minorEastAsia" w:hAnsiTheme="minorEastAsia" w:eastAsiaTheme="minorEastAsia" w:cstheme="minorEastAsia"/>
          <w:color w:val="333333"/>
          <w:sz w:val="21"/>
          <w:szCs w:val="21"/>
          <w:shd w:val="clear" w:color="auto" w:fill="FFFFFF"/>
        </w:rPr>
        <w:t>（4）本项目不接受联合体。</w:t>
      </w:r>
    </w:p>
    <w:p>
      <w:pPr>
        <w:pStyle w:val="29"/>
        <w:spacing w:before="0" w:beforeAutospacing="0" w:after="0" w:afterAutospacing="0" w:line="480" w:lineRule="atLeast"/>
        <w:ind w:firstLine="48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合同包2(教学专用仪器2)特定资格要求如下:</w:t>
      </w:r>
    </w:p>
    <w:p>
      <w:pPr>
        <w:pStyle w:val="29"/>
        <w:spacing w:before="0" w:beforeAutospacing="0" w:after="0" w:afterAutospacing="0" w:line="480" w:lineRule="atLeast"/>
        <w:ind w:left="48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同01包</w:t>
      </w:r>
    </w:p>
    <w:p>
      <w:pPr>
        <w:pStyle w:val="29"/>
        <w:spacing w:before="0" w:beforeAutospacing="0" w:after="0" w:afterAutospacing="0" w:line="480" w:lineRule="atLeast"/>
        <w:ind w:firstLine="48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合同包3(教学专用仪器3)特定资格要求如下:</w:t>
      </w:r>
    </w:p>
    <w:p>
      <w:pPr>
        <w:pStyle w:val="29"/>
        <w:spacing w:before="0" w:beforeAutospacing="0" w:after="0" w:afterAutospacing="0" w:line="480" w:lineRule="atLeast"/>
        <w:ind w:left="48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同01包</w:t>
      </w:r>
    </w:p>
    <w:p>
      <w:pPr>
        <w:pStyle w:val="29"/>
        <w:spacing w:before="0" w:beforeAutospacing="0" w:after="0" w:afterAutospacing="0" w:line="480" w:lineRule="atLeast"/>
        <w:ind w:firstLine="48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合同包4(教学专用仪器4)特定资格要求如下:</w:t>
      </w:r>
    </w:p>
    <w:p>
      <w:pPr>
        <w:pStyle w:val="29"/>
        <w:spacing w:before="0" w:beforeAutospacing="0" w:after="0" w:afterAutospacing="0" w:line="480" w:lineRule="atLeast"/>
        <w:ind w:left="48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同01包</w:t>
      </w:r>
    </w:p>
    <w:p>
      <w:pPr>
        <w:pStyle w:val="2"/>
        <w:keepNext w:val="0"/>
        <w:keepLines w:val="0"/>
        <w:shd w:val="clear" w:color="auto" w:fill="FFFFFF"/>
        <w:spacing w:before="150" w:after="0" w:line="750" w:lineRule="atLeast"/>
        <w:jc w:val="left"/>
        <w:textAlignment w:val="baseline"/>
        <w:rPr>
          <w:rFonts w:asciiTheme="minorEastAsia" w:hAnsiTheme="minorEastAsia" w:eastAsiaTheme="minorEastAsia" w:cstheme="minorEastAsia"/>
          <w:b w:val="0"/>
          <w:bCs w:val="0"/>
          <w:color w:val="333333"/>
          <w:sz w:val="21"/>
          <w:szCs w:val="21"/>
        </w:rPr>
      </w:pPr>
      <w:r>
        <w:rPr>
          <w:rStyle w:val="36"/>
          <w:rFonts w:hint="eastAsia" w:asciiTheme="minorEastAsia" w:hAnsiTheme="minorEastAsia" w:eastAsiaTheme="minorEastAsia" w:cstheme="minorEastAsia"/>
          <w:b/>
          <w:color w:val="333333"/>
          <w:szCs w:val="21"/>
          <w:shd w:val="clear" w:color="auto" w:fill="FFFFFF"/>
        </w:rPr>
        <w:t>三、获取招标文件</w:t>
      </w:r>
    </w:p>
    <w:p>
      <w:pPr>
        <w:pStyle w:val="29"/>
        <w:shd w:val="clear" w:color="auto" w:fill="FFFFFF"/>
        <w:spacing w:before="0" w:beforeAutospacing="0" w:after="0" w:afterAutospacing="0" w:line="480" w:lineRule="atLeast"/>
        <w:ind w:firstLine="480"/>
        <w:jc w:val="both"/>
        <w:textAlignment w:val="baseline"/>
        <w:rPr>
          <w:rFonts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shd w:val="clear" w:color="auto" w:fill="FFFFFF"/>
        </w:rPr>
        <w:t>时间： 2022年09月28日 至 2022年10月10日 ，每天上午 09:00:00 至 11:30:00 ，下午 13:00:00 至 16:30:00 （北京时间,法定节假日除外）</w:t>
      </w:r>
    </w:p>
    <w:p>
      <w:pPr>
        <w:pStyle w:val="29"/>
        <w:shd w:val="clear" w:color="auto" w:fill="FFFFFF"/>
        <w:spacing w:before="0" w:beforeAutospacing="0" w:after="0" w:afterAutospacing="0" w:line="480" w:lineRule="atLeast"/>
        <w:ind w:firstLine="480"/>
        <w:jc w:val="both"/>
        <w:textAlignment w:val="baseline"/>
        <w:rPr>
          <w:rFonts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shd w:val="clear" w:color="auto" w:fill="FFFFFF"/>
        </w:rPr>
        <w:t>地点：西安市高新区唐延路35号旺座现代城G座2301室</w:t>
      </w:r>
    </w:p>
    <w:p>
      <w:pPr>
        <w:pStyle w:val="29"/>
        <w:shd w:val="clear" w:color="auto" w:fill="FFFFFF"/>
        <w:spacing w:before="0" w:beforeAutospacing="0" w:after="0" w:afterAutospacing="0" w:line="480" w:lineRule="atLeast"/>
        <w:ind w:firstLine="480"/>
        <w:jc w:val="both"/>
        <w:textAlignment w:val="baseline"/>
        <w:rPr>
          <w:rFonts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shd w:val="clear" w:color="auto" w:fill="FFFFFF"/>
        </w:rPr>
        <w:t>方式：现场获取</w:t>
      </w:r>
    </w:p>
    <w:p>
      <w:pPr>
        <w:pStyle w:val="29"/>
        <w:shd w:val="clear" w:color="auto" w:fill="FFFFFF"/>
        <w:spacing w:before="0" w:beforeAutospacing="0" w:after="0" w:afterAutospacing="0" w:line="480" w:lineRule="atLeast"/>
        <w:ind w:firstLine="480"/>
        <w:jc w:val="both"/>
        <w:textAlignment w:val="baseline"/>
        <w:rPr>
          <w:rFonts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shd w:val="clear" w:color="auto" w:fill="FFFFFF"/>
        </w:rPr>
        <w:t>售价： 免费获取</w:t>
      </w:r>
    </w:p>
    <w:p>
      <w:pPr>
        <w:pStyle w:val="2"/>
        <w:keepNext w:val="0"/>
        <w:keepLines w:val="0"/>
        <w:shd w:val="clear" w:color="auto" w:fill="FFFFFF"/>
        <w:spacing w:before="150" w:after="0" w:line="750" w:lineRule="atLeast"/>
        <w:jc w:val="left"/>
        <w:textAlignment w:val="baseline"/>
        <w:rPr>
          <w:rFonts w:asciiTheme="minorEastAsia" w:hAnsiTheme="minorEastAsia" w:eastAsiaTheme="minorEastAsia" w:cstheme="minorEastAsia"/>
          <w:b w:val="0"/>
          <w:bCs w:val="0"/>
          <w:color w:val="333333"/>
          <w:sz w:val="21"/>
          <w:szCs w:val="21"/>
        </w:rPr>
      </w:pPr>
      <w:r>
        <w:rPr>
          <w:rStyle w:val="36"/>
          <w:rFonts w:hint="eastAsia" w:asciiTheme="minorEastAsia" w:hAnsiTheme="minorEastAsia" w:eastAsiaTheme="minorEastAsia" w:cstheme="minorEastAsia"/>
          <w:b/>
          <w:color w:val="333333"/>
          <w:szCs w:val="21"/>
          <w:shd w:val="clear" w:color="auto" w:fill="FFFFFF"/>
        </w:rPr>
        <w:t>四、提交投标文件截止时间、开标时间和地点</w:t>
      </w:r>
    </w:p>
    <w:p>
      <w:pPr>
        <w:pStyle w:val="29"/>
        <w:shd w:val="clear" w:color="auto" w:fill="FFFFFF"/>
        <w:spacing w:before="0" w:beforeAutospacing="0" w:after="0" w:afterAutospacing="0" w:line="480" w:lineRule="atLeast"/>
        <w:ind w:firstLine="480"/>
        <w:jc w:val="both"/>
        <w:textAlignment w:val="baseline"/>
        <w:rPr>
          <w:rFonts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shd w:val="clear" w:color="auto" w:fill="FFFFFF"/>
        </w:rPr>
        <w:t>时间： 2022年10月19日 09时30分00秒 （北京时间）</w:t>
      </w:r>
    </w:p>
    <w:p>
      <w:pPr>
        <w:pStyle w:val="29"/>
        <w:shd w:val="clear" w:color="auto" w:fill="FFFFFF"/>
        <w:spacing w:before="0" w:beforeAutospacing="0" w:after="0" w:afterAutospacing="0" w:line="480" w:lineRule="atLeast"/>
        <w:ind w:firstLine="480"/>
        <w:jc w:val="both"/>
        <w:textAlignment w:val="baseline"/>
        <w:rPr>
          <w:rFonts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shd w:val="clear" w:color="auto" w:fill="FFFFFF"/>
        </w:rPr>
        <w:t>提交投标文件地点：西安市临潼区西花园蜀汉印象大酒店芳菲厅</w:t>
      </w:r>
    </w:p>
    <w:p>
      <w:pPr>
        <w:pStyle w:val="29"/>
        <w:shd w:val="clear" w:color="auto" w:fill="FFFFFF"/>
        <w:spacing w:before="0" w:beforeAutospacing="0" w:after="0" w:afterAutospacing="0" w:line="480" w:lineRule="atLeast"/>
        <w:ind w:firstLine="480"/>
        <w:jc w:val="both"/>
        <w:textAlignment w:val="baseline"/>
        <w:rPr>
          <w:rFonts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shd w:val="clear" w:color="auto" w:fill="FFFFFF"/>
        </w:rPr>
        <w:t>开标地点：西安市临潼区西花园蜀汉印象大酒店芳菲厅</w:t>
      </w:r>
    </w:p>
    <w:p>
      <w:pPr>
        <w:pStyle w:val="2"/>
        <w:keepNext w:val="0"/>
        <w:keepLines w:val="0"/>
        <w:shd w:val="clear" w:color="auto" w:fill="FFFFFF"/>
        <w:spacing w:before="150" w:after="0" w:line="750" w:lineRule="atLeast"/>
        <w:jc w:val="left"/>
        <w:textAlignment w:val="baseline"/>
        <w:rPr>
          <w:rFonts w:asciiTheme="minorEastAsia" w:hAnsiTheme="minorEastAsia" w:eastAsiaTheme="minorEastAsia" w:cstheme="minorEastAsia"/>
          <w:b w:val="0"/>
          <w:bCs w:val="0"/>
          <w:color w:val="333333"/>
          <w:sz w:val="21"/>
          <w:szCs w:val="21"/>
        </w:rPr>
      </w:pPr>
      <w:r>
        <w:rPr>
          <w:rStyle w:val="36"/>
          <w:rFonts w:hint="eastAsia" w:asciiTheme="minorEastAsia" w:hAnsiTheme="minorEastAsia" w:eastAsiaTheme="minorEastAsia" w:cstheme="minorEastAsia"/>
          <w:b/>
          <w:color w:val="333333"/>
          <w:szCs w:val="21"/>
          <w:shd w:val="clear" w:color="auto" w:fill="FFFFFF"/>
        </w:rPr>
        <w:t>五、公告期限</w:t>
      </w:r>
    </w:p>
    <w:p>
      <w:pPr>
        <w:pStyle w:val="29"/>
        <w:shd w:val="clear" w:color="auto" w:fill="FFFFFF"/>
        <w:spacing w:before="0" w:beforeAutospacing="0" w:after="0" w:afterAutospacing="0" w:line="480" w:lineRule="atLeast"/>
        <w:ind w:firstLine="480"/>
        <w:jc w:val="both"/>
        <w:textAlignment w:val="baseline"/>
        <w:rPr>
          <w:rFonts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shd w:val="clear" w:color="auto" w:fill="FFFFFF"/>
        </w:rPr>
        <w:t>自本公告发布之日起5个工作日。</w:t>
      </w:r>
    </w:p>
    <w:p>
      <w:pPr>
        <w:pStyle w:val="2"/>
        <w:keepNext w:val="0"/>
        <w:keepLines w:val="0"/>
        <w:shd w:val="clear" w:color="auto" w:fill="FFFFFF"/>
        <w:spacing w:before="150" w:after="0" w:line="750" w:lineRule="atLeast"/>
        <w:jc w:val="left"/>
        <w:textAlignment w:val="baseline"/>
        <w:rPr>
          <w:rFonts w:asciiTheme="minorEastAsia" w:hAnsiTheme="minorEastAsia" w:eastAsiaTheme="minorEastAsia" w:cstheme="minorEastAsia"/>
          <w:b w:val="0"/>
          <w:bCs w:val="0"/>
          <w:color w:val="333333"/>
          <w:sz w:val="21"/>
          <w:szCs w:val="21"/>
        </w:rPr>
      </w:pPr>
      <w:r>
        <w:rPr>
          <w:rStyle w:val="36"/>
          <w:rFonts w:hint="eastAsia" w:asciiTheme="minorEastAsia" w:hAnsiTheme="minorEastAsia" w:eastAsiaTheme="minorEastAsia" w:cstheme="minorEastAsia"/>
          <w:b/>
          <w:color w:val="333333"/>
          <w:szCs w:val="21"/>
          <w:shd w:val="clear" w:color="auto" w:fill="FFFFFF"/>
        </w:rPr>
        <w:t>六、其他补充事宜</w:t>
      </w:r>
    </w:p>
    <w:p>
      <w:pPr>
        <w:pStyle w:val="29"/>
        <w:spacing w:before="0" w:beforeAutospacing="0" w:after="0" w:afterAutospacing="0" w:line="480" w:lineRule="atLeast"/>
        <w:ind w:firstLine="48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1.发售时间：2022年09月28日至2022年10月10日上午9:00-11:30，下午13:00-16:30 （北京时间，法定节假日除外）。</w:t>
      </w:r>
    </w:p>
    <w:p>
      <w:pPr>
        <w:pStyle w:val="29"/>
        <w:spacing w:before="0" w:beforeAutospacing="0" w:after="0" w:afterAutospacing="0" w:line="480" w:lineRule="atLeast"/>
        <w:ind w:firstLine="48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2.发售地点：西安市高新区唐延路35号旺座现代城G座2301室。</w:t>
      </w:r>
    </w:p>
    <w:p>
      <w:pPr>
        <w:pStyle w:val="29"/>
        <w:spacing w:before="0" w:beforeAutospacing="0" w:after="0" w:afterAutospacing="0" w:line="480" w:lineRule="atLeast"/>
        <w:ind w:firstLine="48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3.发售联系人：刘女士，电话：029-88854272转8001。</w:t>
      </w:r>
    </w:p>
    <w:p>
      <w:pPr>
        <w:pStyle w:val="29"/>
        <w:spacing w:before="0" w:beforeAutospacing="0" w:after="0" w:afterAutospacing="0" w:line="480" w:lineRule="atLeast"/>
        <w:ind w:firstLine="48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4.文件售价：免费赠送，招标文件谢绝邮寄，售后不退，投标资格不能转让。</w:t>
      </w:r>
    </w:p>
    <w:p>
      <w:pPr>
        <w:pStyle w:val="29"/>
        <w:spacing w:before="0" w:beforeAutospacing="0" w:after="0" w:afterAutospacing="0" w:line="480" w:lineRule="atLeast"/>
        <w:ind w:firstLine="48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5.供应商获取招标文件时请携带单位介绍信、本人身份证复印件加盖公章，请自带U盘拷取招标文件电子文档。</w:t>
      </w:r>
    </w:p>
    <w:p>
      <w:pPr>
        <w:pStyle w:val="29"/>
        <w:spacing w:before="0" w:beforeAutospacing="0" w:after="0" w:afterAutospacing="0" w:line="480" w:lineRule="atLeast"/>
        <w:ind w:firstLine="48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6.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否则由此造成的后果，供应商自行承担。</w:t>
      </w:r>
    </w:p>
    <w:p>
      <w:pPr>
        <w:pStyle w:val="29"/>
        <w:spacing w:before="0" w:beforeAutospacing="0" w:after="0" w:afterAutospacing="0" w:line="480" w:lineRule="atLeast"/>
        <w:ind w:firstLine="48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7.落实政府采购政策</w:t>
      </w:r>
    </w:p>
    <w:p>
      <w:pPr>
        <w:pStyle w:val="29"/>
        <w:spacing w:before="0" w:beforeAutospacing="0" w:after="0" w:afterAutospacing="0" w:line="480" w:lineRule="atLeast"/>
        <w:ind w:firstLine="48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（1）《政府采购促进中小企业发展管理办法》（财库〔2020〕46号）；</w:t>
      </w:r>
    </w:p>
    <w:p>
      <w:pPr>
        <w:pStyle w:val="29"/>
        <w:spacing w:before="0" w:beforeAutospacing="0" w:after="0" w:afterAutospacing="0" w:line="480" w:lineRule="atLeast"/>
        <w:ind w:firstLine="48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（2）《财政部司法部关于政府采购支持监狱企业发展有关问题通知》（财库〔2014〕68号）；</w:t>
      </w:r>
    </w:p>
    <w:p>
      <w:pPr>
        <w:pStyle w:val="29"/>
        <w:spacing w:before="0" w:beforeAutospacing="0" w:after="0" w:afterAutospacing="0" w:line="480" w:lineRule="atLeast"/>
        <w:ind w:firstLine="48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（3）《国务院办公厅关于建立政府强制采购节能产品制度的通知》（国办发〔2007〕51号）；</w:t>
      </w:r>
    </w:p>
    <w:p>
      <w:pPr>
        <w:pStyle w:val="29"/>
        <w:spacing w:before="0" w:beforeAutospacing="0" w:after="0" w:afterAutospacing="0" w:line="480" w:lineRule="atLeast"/>
        <w:ind w:firstLine="48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（4）《环境标志产品政府采购实施的意见》（财库〔2006〕90号）；</w:t>
      </w:r>
    </w:p>
    <w:p>
      <w:pPr>
        <w:pStyle w:val="29"/>
        <w:spacing w:before="0" w:beforeAutospacing="0" w:after="0" w:afterAutospacing="0" w:line="480" w:lineRule="atLeast"/>
        <w:ind w:firstLine="48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（5）《关于促进残疾人就业政府采购政策的通知》（财库〔2017〕141号）；</w:t>
      </w:r>
    </w:p>
    <w:p>
      <w:pPr>
        <w:pStyle w:val="29"/>
        <w:spacing w:before="0" w:beforeAutospacing="0" w:after="0" w:afterAutospacing="0" w:line="480" w:lineRule="atLeast"/>
        <w:ind w:firstLine="48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（6）《陕西省中小企业政府采购信用融资办法》（陕财办采〔2018〕23号）；</w:t>
      </w:r>
    </w:p>
    <w:p>
      <w:pPr>
        <w:pStyle w:val="29"/>
        <w:spacing w:before="0" w:beforeAutospacing="0" w:after="0" w:afterAutospacing="0" w:line="480" w:lineRule="atLeast"/>
        <w:ind w:firstLine="48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（7）其他需要落实的政府采购政策。</w:t>
      </w:r>
    </w:p>
    <w:p>
      <w:pPr>
        <w:pStyle w:val="2"/>
        <w:keepNext w:val="0"/>
        <w:keepLines w:val="0"/>
        <w:shd w:val="clear" w:color="auto" w:fill="FFFFFF"/>
        <w:spacing w:before="150" w:after="0" w:line="750" w:lineRule="atLeast"/>
        <w:jc w:val="left"/>
        <w:textAlignment w:val="baseline"/>
        <w:rPr>
          <w:rFonts w:asciiTheme="minorEastAsia" w:hAnsiTheme="minorEastAsia" w:eastAsiaTheme="minorEastAsia" w:cstheme="minorEastAsia"/>
          <w:b w:val="0"/>
          <w:bCs w:val="0"/>
          <w:color w:val="333333"/>
          <w:sz w:val="21"/>
          <w:szCs w:val="21"/>
        </w:rPr>
      </w:pPr>
      <w:r>
        <w:rPr>
          <w:rStyle w:val="36"/>
          <w:rFonts w:hint="eastAsia" w:asciiTheme="minorEastAsia" w:hAnsiTheme="minorEastAsia" w:eastAsiaTheme="minorEastAsia" w:cstheme="minorEastAsia"/>
          <w:b/>
          <w:color w:val="333333"/>
          <w:szCs w:val="21"/>
          <w:shd w:val="clear" w:color="auto" w:fill="FFFFFF"/>
        </w:rPr>
        <w:t>七、对本次招标提出询问，请按以下方式联系。</w:t>
      </w:r>
    </w:p>
    <w:p>
      <w:pPr>
        <w:pStyle w:val="7"/>
        <w:spacing w:before="0" w:beforeAutospacing="0" w:after="0" w:afterAutospacing="0" w:line="30" w:lineRule="atLeast"/>
        <w:textAlignment w:val="baseline"/>
        <w:rPr>
          <w:rFonts w:hint="default" w:asciiTheme="minorEastAsia" w:hAnsiTheme="minorEastAsia" w:eastAsiaTheme="minorEastAsia" w:cstheme="minorEastAsia"/>
          <w:b w:val="0"/>
          <w:bCs w:val="0"/>
          <w:sz w:val="21"/>
          <w:szCs w:val="21"/>
        </w:rPr>
      </w:pPr>
      <w:r>
        <w:rPr>
          <w:rFonts w:asciiTheme="minorEastAsia" w:hAnsiTheme="minorEastAsia" w:eastAsiaTheme="minorEastAsia" w:cstheme="minorEastAsia"/>
          <w:b w:val="0"/>
          <w:bCs w:val="0"/>
          <w:color w:val="333333"/>
          <w:sz w:val="21"/>
          <w:szCs w:val="21"/>
          <w:shd w:val="clear" w:color="auto" w:fill="FFFFFF"/>
        </w:rPr>
        <w:t>1.采购人信息</w:t>
      </w:r>
    </w:p>
    <w:p>
      <w:pPr>
        <w:pStyle w:val="29"/>
        <w:spacing w:before="0" w:beforeAutospacing="0" w:after="0" w:afterAutospacing="0" w:line="480" w:lineRule="atLeast"/>
        <w:ind w:firstLine="48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名称：西安市临潼区教育局</w:t>
      </w:r>
    </w:p>
    <w:p>
      <w:pPr>
        <w:pStyle w:val="29"/>
        <w:spacing w:before="0" w:beforeAutospacing="0" w:after="0" w:afterAutospacing="0" w:line="480" w:lineRule="atLeast"/>
        <w:ind w:firstLine="48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地址：临潼区人民东路55号</w:t>
      </w:r>
    </w:p>
    <w:p>
      <w:pPr>
        <w:pStyle w:val="29"/>
        <w:spacing w:before="0" w:beforeAutospacing="0" w:after="0" w:afterAutospacing="0" w:line="480" w:lineRule="atLeast"/>
        <w:ind w:firstLine="48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联系方式：何老师 029-83817125</w:t>
      </w:r>
    </w:p>
    <w:p>
      <w:pPr>
        <w:pStyle w:val="7"/>
        <w:spacing w:before="0" w:beforeAutospacing="0" w:after="0" w:afterAutospacing="0" w:line="30" w:lineRule="atLeast"/>
        <w:textAlignment w:val="baseline"/>
        <w:rPr>
          <w:rFonts w:hint="default" w:asciiTheme="minorEastAsia" w:hAnsiTheme="minorEastAsia" w:eastAsiaTheme="minorEastAsia" w:cstheme="minorEastAsia"/>
          <w:b w:val="0"/>
          <w:bCs w:val="0"/>
          <w:sz w:val="21"/>
          <w:szCs w:val="21"/>
        </w:rPr>
      </w:pPr>
      <w:r>
        <w:rPr>
          <w:rFonts w:asciiTheme="minorEastAsia" w:hAnsiTheme="minorEastAsia" w:eastAsiaTheme="minorEastAsia" w:cstheme="minorEastAsia"/>
          <w:b w:val="0"/>
          <w:bCs w:val="0"/>
          <w:color w:val="333333"/>
          <w:sz w:val="21"/>
          <w:szCs w:val="21"/>
          <w:shd w:val="clear" w:color="auto" w:fill="FFFFFF"/>
        </w:rPr>
        <w:t>2.采购代理机构信息</w:t>
      </w:r>
    </w:p>
    <w:p>
      <w:pPr>
        <w:pStyle w:val="29"/>
        <w:spacing w:before="0" w:beforeAutospacing="0" w:after="0" w:afterAutospacing="0" w:line="480" w:lineRule="atLeast"/>
        <w:ind w:firstLine="48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名称：四川国际招标有限责任公司</w:t>
      </w:r>
    </w:p>
    <w:p>
      <w:pPr>
        <w:pStyle w:val="29"/>
        <w:spacing w:before="0" w:beforeAutospacing="0" w:after="0" w:afterAutospacing="0" w:line="480" w:lineRule="atLeast"/>
        <w:ind w:firstLine="48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地址：西安市高新区唐延路35号旺座现代城G座2301室</w:t>
      </w:r>
    </w:p>
    <w:p>
      <w:pPr>
        <w:pStyle w:val="29"/>
        <w:spacing w:before="0" w:beforeAutospacing="0" w:after="0" w:afterAutospacing="0" w:line="480" w:lineRule="atLeast"/>
        <w:ind w:firstLine="48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联系方式：029-88854272转8009</w:t>
      </w:r>
    </w:p>
    <w:p>
      <w:pPr>
        <w:pStyle w:val="7"/>
        <w:spacing w:before="0" w:beforeAutospacing="0" w:after="0" w:afterAutospacing="0" w:line="30" w:lineRule="atLeast"/>
        <w:textAlignment w:val="baseline"/>
        <w:rPr>
          <w:rFonts w:hint="default" w:asciiTheme="minorEastAsia" w:hAnsiTheme="minorEastAsia" w:eastAsiaTheme="minorEastAsia" w:cstheme="minorEastAsia"/>
          <w:b w:val="0"/>
          <w:bCs w:val="0"/>
          <w:sz w:val="21"/>
          <w:szCs w:val="21"/>
        </w:rPr>
      </w:pPr>
      <w:r>
        <w:rPr>
          <w:rFonts w:asciiTheme="minorEastAsia" w:hAnsiTheme="minorEastAsia" w:eastAsiaTheme="minorEastAsia" w:cstheme="minorEastAsia"/>
          <w:b w:val="0"/>
          <w:bCs w:val="0"/>
          <w:color w:val="333333"/>
          <w:sz w:val="21"/>
          <w:szCs w:val="21"/>
          <w:shd w:val="clear" w:color="auto" w:fill="FFFFFF"/>
        </w:rPr>
        <w:t>3.项目联系方式</w:t>
      </w:r>
    </w:p>
    <w:p>
      <w:pPr>
        <w:pStyle w:val="29"/>
        <w:spacing w:before="0" w:beforeAutospacing="0" w:after="0" w:afterAutospacing="0" w:line="480" w:lineRule="atLeast"/>
        <w:ind w:firstLine="48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项目联系人：连娟、张祎多</w:t>
      </w:r>
    </w:p>
    <w:p>
      <w:pPr>
        <w:pStyle w:val="29"/>
        <w:spacing w:before="0" w:beforeAutospacing="0" w:after="0" w:afterAutospacing="0" w:line="480" w:lineRule="atLeast"/>
        <w:ind w:firstLine="48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电话：029-88854272转8009</w:t>
      </w:r>
    </w:p>
    <w:p>
      <w:pPr>
        <w:pStyle w:val="29"/>
        <w:shd w:val="clear" w:color="auto" w:fill="FFFFFF"/>
        <w:spacing w:before="0" w:beforeAutospacing="0" w:after="0" w:afterAutospacing="0" w:line="480" w:lineRule="atLeast"/>
        <w:ind w:firstLine="480"/>
        <w:jc w:val="right"/>
        <w:textAlignment w:val="baseline"/>
        <w:rPr>
          <w:rFonts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shd w:val="clear" w:color="auto" w:fill="FFFFFF"/>
        </w:rPr>
        <w:t>四川国际招标有限责任公司</w:t>
      </w:r>
    </w:p>
    <w:p>
      <w:pPr>
        <w:pStyle w:val="29"/>
        <w:shd w:val="clear" w:color="auto" w:fill="FFFFFF"/>
        <w:spacing w:before="0" w:beforeAutospacing="0" w:after="0" w:afterAutospacing="0" w:line="480" w:lineRule="atLeast"/>
        <w:ind w:firstLine="480"/>
        <w:jc w:val="right"/>
        <w:textAlignment w:val="baseline"/>
        <w:rPr>
          <w:rFonts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shd w:val="clear" w:color="auto" w:fill="FFFFFF"/>
        </w:rPr>
        <w:t>2022年09月28日</w:t>
      </w:r>
    </w:p>
    <w:p>
      <w:pPr>
        <w:pStyle w:val="95"/>
        <w:ind w:firstLine="5880" w:firstLineChars="2450"/>
        <w:rPr>
          <w:rFonts w:hAnsi="宋体" w:cs="宋体"/>
          <w:color w:val="auto"/>
        </w:rPr>
      </w:pPr>
    </w:p>
    <w:p>
      <w:pPr>
        <w:rPr>
          <w:rFonts w:hAnsi="宋体" w:cs="宋体"/>
        </w:rPr>
      </w:pPr>
      <w:bookmarkStart w:id="16" w:name="_Toc21125"/>
      <w:bookmarkStart w:id="17" w:name="_Toc13578"/>
      <w:bookmarkStart w:id="18" w:name="_Toc20173"/>
      <w:r>
        <w:rPr>
          <w:rFonts w:hint="eastAsia" w:hAnsi="宋体" w:cs="宋体"/>
        </w:rPr>
        <w:br w:type="page"/>
      </w:r>
    </w:p>
    <w:p>
      <w:pPr>
        <w:pStyle w:val="3"/>
        <w:spacing w:line="360" w:lineRule="auto"/>
        <w:jc w:val="center"/>
        <w:rPr>
          <w:rFonts w:hAnsi="宋体" w:cs="宋体"/>
        </w:rPr>
      </w:pPr>
      <w:r>
        <w:rPr>
          <w:rFonts w:hint="eastAsia" w:hAnsi="宋体" w:cs="宋体"/>
        </w:rPr>
        <w:t>第二章投标人须知</w:t>
      </w:r>
      <w:bookmarkEnd w:id="7"/>
      <w:bookmarkEnd w:id="8"/>
      <w:bookmarkEnd w:id="9"/>
      <w:bookmarkEnd w:id="10"/>
      <w:bookmarkEnd w:id="11"/>
      <w:bookmarkEnd w:id="12"/>
      <w:bookmarkEnd w:id="13"/>
      <w:bookmarkEnd w:id="14"/>
      <w:bookmarkEnd w:id="15"/>
      <w:bookmarkEnd w:id="16"/>
      <w:bookmarkEnd w:id="17"/>
      <w:bookmarkEnd w:id="18"/>
      <w:bookmarkStart w:id="19" w:name="_Toc213396760"/>
      <w:bookmarkStart w:id="20" w:name="_Toc189727030"/>
      <w:bookmarkStart w:id="21" w:name="_Toc217446032"/>
      <w:bookmarkStart w:id="22" w:name="_Toc213396946"/>
      <w:bookmarkStart w:id="23" w:name="_Toc213397010"/>
      <w:bookmarkStart w:id="24" w:name="_Toc213496268"/>
    </w:p>
    <w:p>
      <w:pPr>
        <w:keepNext/>
        <w:keepLines/>
        <w:spacing w:before="340" w:after="330" w:line="360" w:lineRule="auto"/>
        <w:jc w:val="center"/>
        <w:rPr>
          <w:rFonts w:hAnsi="宋体" w:cs="宋体"/>
          <w:color w:val="auto"/>
          <w:sz w:val="32"/>
          <w:szCs w:val="32"/>
        </w:rPr>
      </w:pPr>
      <w:bookmarkStart w:id="25" w:name="_Toc8615"/>
      <w:bookmarkStart w:id="26" w:name="_Toc20817"/>
      <w:bookmarkStart w:id="27" w:name="_Toc5181"/>
      <w:bookmarkStart w:id="28" w:name="_Toc4373"/>
      <w:bookmarkStart w:id="29" w:name="_Toc12315"/>
      <w:bookmarkStart w:id="30" w:name="_Toc22279"/>
      <w:r>
        <w:rPr>
          <w:rFonts w:hint="eastAsia" w:hAnsi="宋体" w:cs="宋体"/>
          <w:color w:val="auto"/>
          <w:sz w:val="32"/>
          <w:szCs w:val="32"/>
        </w:rPr>
        <w:t>一、投标人须知前附表</w:t>
      </w:r>
      <w:bookmarkEnd w:id="19"/>
      <w:bookmarkEnd w:id="20"/>
      <w:bookmarkEnd w:id="21"/>
      <w:bookmarkEnd w:id="22"/>
      <w:bookmarkEnd w:id="23"/>
      <w:bookmarkEnd w:id="24"/>
      <w:bookmarkEnd w:id="25"/>
      <w:bookmarkEnd w:id="26"/>
      <w:bookmarkEnd w:id="27"/>
      <w:bookmarkEnd w:id="28"/>
      <w:bookmarkEnd w:id="29"/>
      <w:bookmarkEnd w:id="30"/>
    </w:p>
    <w:tbl>
      <w:tblPr>
        <w:tblStyle w:val="33"/>
        <w:tblW w:w="8686"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
      <w:tblGrid>
        <w:gridCol w:w="532"/>
        <w:gridCol w:w="1780"/>
        <w:gridCol w:w="637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51" w:hRule="exact"/>
          <w:tblHeader/>
          <w:jc w:val="center"/>
        </w:trPr>
        <w:tc>
          <w:tcPr>
            <w:tcW w:w="532" w:type="dxa"/>
            <w:vAlign w:val="center"/>
          </w:tcPr>
          <w:p>
            <w:pPr>
              <w:pStyle w:val="111"/>
              <w:spacing w:line="360" w:lineRule="auto"/>
              <w:ind w:left="9"/>
              <w:jc w:val="center"/>
              <w:rPr>
                <w:color w:val="auto"/>
                <w:kern w:val="2"/>
                <w:sz w:val="21"/>
                <w:szCs w:val="21"/>
              </w:rPr>
            </w:pPr>
            <w:r>
              <w:rPr>
                <w:rFonts w:hint="eastAsia"/>
                <w:color w:val="auto"/>
                <w:kern w:val="2"/>
                <w:sz w:val="21"/>
                <w:szCs w:val="21"/>
              </w:rPr>
              <w:t>序号</w:t>
            </w:r>
          </w:p>
        </w:tc>
        <w:tc>
          <w:tcPr>
            <w:tcW w:w="1780" w:type="dxa"/>
            <w:vAlign w:val="center"/>
          </w:tcPr>
          <w:p>
            <w:pPr>
              <w:pStyle w:val="111"/>
              <w:spacing w:line="360" w:lineRule="auto"/>
              <w:ind w:left="38"/>
              <w:jc w:val="center"/>
              <w:rPr>
                <w:color w:val="auto"/>
                <w:kern w:val="2"/>
                <w:sz w:val="21"/>
                <w:szCs w:val="21"/>
              </w:rPr>
            </w:pPr>
            <w:r>
              <w:rPr>
                <w:rFonts w:hint="eastAsia"/>
                <w:color w:val="auto"/>
                <w:kern w:val="2"/>
                <w:sz w:val="21"/>
                <w:szCs w:val="21"/>
              </w:rPr>
              <w:t>应知事项</w:t>
            </w:r>
          </w:p>
        </w:tc>
        <w:tc>
          <w:tcPr>
            <w:tcW w:w="6374" w:type="dxa"/>
            <w:vAlign w:val="center"/>
          </w:tcPr>
          <w:p>
            <w:pPr>
              <w:pStyle w:val="111"/>
              <w:spacing w:line="360" w:lineRule="auto"/>
              <w:jc w:val="center"/>
              <w:rPr>
                <w:color w:val="auto"/>
                <w:kern w:val="2"/>
                <w:sz w:val="21"/>
                <w:szCs w:val="21"/>
              </w:rPr>
            </w:pPr>
            <w:r>
              <w:rPr>
                <w:rFonts w:hint="eastAsia"/>
                <w:color w:val="auto"/>
                <w:kern w:val="2"/>
                <w:sz w:val="21"/>
                <w:szCs w:val="21"/>
              </w:rPr>
              <w:t>说明和要求</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720" w:hRule="exact"/>
          <w:jc w:val="center"/>
        </w:trPr>
        <w:tc>
          <w:tcPr>
            <w:tcW w:w="532" w:type="dxa"/>
            <w:vAlign w:val="center"/>
          </w:tcPr>
          <w:p>
            <w:pPr>
              <w:pStyle w:val="111"/>
              <w:spacing w:line="360" w:lineRule="auto"/>
              <w:ind w:right="230"/>
              <w:jc w:val="center"/>
              <w:rPr>
                <w:color w:val="auto"/>
                <w:kern w:val="2"/>
                <w:sz w:val="21"/>
                <w:szCs w:val="21"/>
              </w:rPr>
            </w:pPr>
            <w:r>
              <w:rPr>
                <w:rFonts w:hint="eastAsia"/>
                <w:color w:val="auto"/>
                <w:kern w:val="2"/>
                <w:sz w:val="21"/>
                <w:szCs w:val="21"/>
              </w:rPr>
              <w:t xml:space="preserve"> 1</w:t>
            </w:r>
          </w:p>
        </w:tc>
        <w:tc>
          <w:tcPr>
            <w:tcW w:w="1780" w:type="dxa"/>
            <w:vAlign w:val="center"/>
          </w:tcPr>
          <w:p>
            <w:pPr>
              <w:pStyle w:val="111"/>
              <w:spacing w:line="360" w:lineRule="auto"/>
              <w:ind w:left="38"/>
              <w:rPr>
                <w:color w:val="auto"/>
                <w:kern w:val="2"/>
                <w:sz w:val="21"/>
                <w:szCs w:val="21"/>
              </w:rPr>
            </w:pPr>
            <w:r>
              <w:rPr>
                <w:rFonts w:hint="eastAsia"/>
                <w:color w:val="auto"/>
                <w:kern w:val="2"/>
                <w:sz w:val="21"/>
                <w:szCs w:val="21"/>
                <w:lang w:val="zh-CN"/>
              </w:rPr>
              <w:t>采购预算</w:t>
            </w:r>
          </w:p>
        </w:tc>
        <w:tc>
          <w:tcPr>
            <w:tcW w:w="6374" w:type="dxa"/>
            <w:vAlign w:val="center"/>
          </w:tcPr>
          <w:p>
            <w:pPr>
              <w:pStyle w:val="111"/>
              <w:spacing w:line="360" w:lineRule="auto"/>
              <w:rPr>
                <w:color w:val="auto"/>
                <w:kern w:val="2"/>
                <w:sz w:val="21"/>
                <w:szCs w:val="21"/>
              </w:rPr>
            </w:pPr>
            <w:r>
              <w:rPr>
                <w:rFonts w:hint="eastAsia"/>
                <w:color w:val="auto"/>
                <w:kern w:val="2"/>
                <w:sz w:val="21"/>
                <w:szCs w:val="21"/>
              </w:rPr>
              <w:t>本项目报价不能超过政府采购预算：1213万元（其中01包3339071元、02包3522402元、03包2358834元、04包2909693元）  投标报价超过采购预算的投标文件，将被视为无效投标文件。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40" w:hRule="exact"/>
          <w:jc w:val="center"/>
        </w:trPr>
        <w:tc>
          <w:tcPr>
            <w:tcW w:w="532" w:type="dxa"/>
            <w:vAlign w:val="center"/>
          </w:tcPr>
          <w:p>
            <w:pPr>
              <w:pStyle w:val="111"/>
              <w:spacing w:line="360" w:lineRule="auto"/>
              <w:ind w:right="230"/>
              <w:jc w:val="center"/>
              <w:rPr>
                <w:color w:val="auto"/>
                <w:kern w:val="2"/>
                <w:sz w:val="21"/>
                <w:szCs w:val="21"/>
              </w:rPr>
            </w:pPr>
            <w:r>
              <w:rPr>
                <w:rFonts w:hint="eastAsia"/>
                <w:color w:val="auto"/>
                <w:kern w:val="2"/>
                <w:sz w:val="21"/>
                <w:szCs w:val="21"/>
              </w:rPr>
              <w:t xml:space="preserve"> 2</w:t>
            </w:r>
          </w:p>
          <w:p>
            <w:pPr>
              <w:pStyle w:val="111"/>
              <w:spacing w:line="360" w:lineRule="auto"/>
              <w:ind w:right="230"/>
              <w:jc w:val="center"/>
              <w:rPr>
                <w:color w:val="auto"/>
                <w:kern w:val="2"/>
                <w:sz w:val="21"/>
                <w:szCs w:val="21"/>
              </w:rPr>
            </w:pPr>
          </w:p>
        </w:tc>
        <w:tc>
          <w:tcPr>
            <w:tcW w:w="1780" w:type="dxa"/>
            <w:vAlign w:val="center"/>
          </w:tcPr>
          <w:p>
            <w:pPr>
              <w:pStyle w:val="111"/>
              <w:spacing w:line="360" w:lineRule="auto"/>
              <w:ind w:left="38"/>
              <w:rPr>
                <w:color w:val="auto"/>
                <w:kern w:val="2"/>
                <w:sz w:val="21"/>
                <w:szCs w:val="21"/>
              </w:rPr>
            </w:pPr>
            <w:r>
              <w:rPr>
                <w:rFonts w:hint="eastAsia"/>
                <w:color w:val="auto"/>
                <w:kern w:val="2"/>
                <w:sz w:val="21"/>
                <w:szCs w:val="21"/>
              </w:rPr>
              <w:t>采购方式</w:t>
            </w:r>
          </w:p>
        </w:tc>
        <w:tc>
          <w:tcPr>
            <w:tcW w:w="6374" w:type="dxa"/>
            <w:vAlign w:val="center"/>
          </w:tcPr>
          <w:p>
            <w:pPr>
              <w:pStyle w:val="111"/>
              <w:spacing w:line="360" w:lineRule="auto"/>
              <w:ind w:firstLine="105" w:firstLineChars="50"/>
              <w:rPr>
                <w:color w:val="auto"/>
                <w:kern w:val="2"/>
                <w:sz w:val="21"/>
                <w:szCs w:val="21"/>
              </w:rPr>
            </w:pPr>
            <w:r>
              <w:rPr>
                <w:rFonts w:hint="eastAsia"/>
                <w:color w:val="auto"/>
                <w:kern w:val="2"/>
                <w:sz w:val="21"/>
                <w:szCs w:val="21"/>
              </w:rPr>
              <w:t>公开招标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14" w:hRule="atLeast"/>
          <w:jc w:val="center"/>
        </w:trPr>
        <w:tc>
          <w:tcPr>
            <w:tcW w:w="532" w:type="dxa"/>
            <w:vAlign w:val="center"/>
          </w:tcPr>
          <w:p>
            <w:pPr>
              <w:pStyle w:val="111"/>
              <w:spacing w:line="360" w:lineRule="auto"/>
              <w:ind w:right="230"/>
              <w:jc w:val="center"/>
              <w:rPr>
                <w:color w:val="auto"/>
                <w:kern w:val="2"/>
                <w:sz w:val="21"/>
                <w:szCs w:val="21"/>
              </w:rPr>
            </w:pPr>
            <w:r>
              <w:rPr>
                <w:rFonts w:hint="eastAsia"/>
                <w:color w:val="auto"/>
                <w:kern w:val="2"/>
                <w:sz w:val="21"/>
                <w:szCs w:val="21"/>
              </w:rPr>
              <w:t xml:space="preserve"> 3</w:t>
            </w:r>
          </w:p>
        </w:tc>
        <w:tc>
          <w:tcPr>
            <w:tcW w:w="1780" w:type="dxa"/>
            <w:vAlign w:val="center"/>
          </w:tcPr>
          <w:p>
            <w:pPr>
              <w:pStyle w:val="111"/>
              <w:spacing w:line="360" w:lineRule="auto"/>
              <w:rPr>
                <w:color w:val="auto"/>
                <w:kern w:val="2"/>
                <w:sz w:val="21"/>
                <w:szCs w:val="21"/>
              </w:rPr>
            </w:pPr>
            <w:r>
              <w:rPr>
                <w:rFonts w:hint="eastAsia"/>
                <w:color w:val="auto"/>
                <w:kern w:val="2"/>
                <w:sz w:val="21"/>
                <w:szCs w:val="21"/>
              </w:rPr>
              <w:t>评标方法</w:t>
            </w:r>
          </w:p>
        </w:tc>
        <w:tc>
          <w:tcPr>
            <w:tcW w:w="6374" w:type="dxa"/>
            <w:vAlign w:val="center"/>
          </w:tcPr>
          <w:p>
            <w:pPr>
              <w:pStyle w:val="111"/>
              <w:spacing w:line="360" w:lineRule="auto"/>
              <w:ind w:firstLine="105" w:firstLineChars="50"/>
              <w:rPr>
                <w:color w:val="auto"/>
                <w:kern w:val="2"/>
                <w:sz w:val="21"/>
                <w:szCs w:val="21"/>
              </w:rPr>
            </w:pPr>
            <w:r>
              <w:rPr>
                <w:rFonts w:hint="eastAsia"/>
                <w:color w:val="auto"/>
                <w:kern w:val="2"/>
                <w:sz w:val="21"/>
                <w:szCs w:val="21"/>
              </w:rPr>
              <w:t>综合评分法</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660" w:hRule="atLeast"/>
          <w:jc w:val="center"/>
        </w:trPr>
        <w:tc>
          <w:tcPr>
            <w:tcW w:w="532" w:type="dxa"/>
            <w:vAlign w:val="center"/>
          </w:tcPr>
          <w:p>
            <w:pPr>
              <w:pStyle w:val="111"/>
              <w:spacing w:line="360" w:lineRule="auto"/>
              <w:ind w:right="230"/>
              <w:jc w:val="center"/>
              <w:rPr>
                <w:color w:val="auto"/>
                <w:kern w:val="2"/>
                <w:sz w:val="21"/>
                <w:szCs w:val="21"/>
              </w:rPr>
            </w:pPr>
            <w:r>
              <w:rPr>
                <w:rFonts w:hint="eastAsia"/>
                <w:color w:val="auto"/>
                <w:kern w:val="2"/>
                <w:sz w:val="21"/>
                <w:szCs w:val="21"/>
              </w:rPr>
              <w:t xml:space="preserve"> 4</w:t>
            </w:r>
          </w:p>
        </w:tc>
        <w:tc>
          <w:tcPr>
            <w:tcW w:w="1780" w:type="dxa"/>
            <w:vAlign w:val="center"/>
          </w:tcPr>
          <w:p>
            <w:pPr>
              <w:pStyle w:val="111"/>
              <w:spacing w:line="360" w:lineRule="auto"/>
              <w:ind w:firstLine="105" w:firstLineChars="50"/>
              <w:rPr>
                <w:color w:val="auto"/>
                <w:kern w:val="2"/>
                <w:sz w:val="21"/>
                <w:szCs w:val="21"/>
              </w:rPr>
            </w:pPr>
            <w:r>
              <w:rPr>
                <w:rFonts w:hint="eastAsia"/>
                <w:color w:val="auto"/>
                <w:kern w:val="2"/>
                <w:sz w:val="21"/>
                <w:szCs w:val="21"/>
              </w:rPr>
              <w:t>投标保证金</w:t>
            </w:r>
          </w:p>
        </w:tc>
        <w:tc>
          <w:tcPr>
            <w:tcW w:w="6374" w:type="dxa"/>
            <w:vAlign w:val="center"/>
          </w:tcPr>
          <w:p>
            <w:pPr>
              <w:pStyle w:val="111"/>
              <w:spacing w:line="360" w:lineRule="auto"/>
              <w:ind w:firstLine="105" w:firstLineChars="50"/>
              <w:rPr>
                <w:color w:val="auto"/>
                <w:kern w:val="2"/>
                <w:sz w:val="21"/>
                <w:szCs w:val="21"/>
              </w:rPr>
            </w:pPr>
            <w:r>
              <w:rPr>
                <w:rFonts w:hint="eastAsia"/>
                <w:color w:val="auto"/>
                <w:kern w:val="2"/>
                <w:sz w:val="21"/>
                <w:szCs w:val="21"/>
              </w:rPr>
              <w:t>根据“西安市财政局关于《促进政府采购公平竞争优化营商环境》的通知”，本项目不收保证金。</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71" w:hRule="atLeast"/>
          <w:jc w:val="center"/>
        </w:trPr>
        <w:tc>
          <w:tcPr>
            <w:tcW w:w="532" w:type="dxa"/>
            <w:vAlign w:val="center"/>
          </w:tcPr>
          <w:p>
            <w:pPr>
              <w:pStyle w:val="111"/>
              <w:spacing w:line="360" w:lineRule="auto"/>
              <w:ind w:right="230"/>
              <w:jc w:val="center"/>
              <w:rPr>
                <w:color w:val="auto"/>
                <w:kern w:val="2"/>
                <w:sz w:val="21"/>
                <w:szCs w:val="21"/>
              </w:rPr>
            </w:pPr>
            <w:bookmarkStart w:id="31" w:name="_Toc183682342"/>
            <w:bookmarkStart w:id="32" w:name="_Toc217446034"/>
            <w:bookmarkStart w:id="33" w:name="_Toc183582205"/>
            <w:r>
              <w:rPr>
                <w:rFonts w:hint="eastAsia"/>
                <w:color w:val="auto"/>
                <w:kern w:val="2"/>
                <w:sz w:val="21"/>
                <w:szCs w:val="21"/>
              </w:rPr>
              <w:t xml:space="preserve"> 5</w:t>
            </w:r>
          </w:p>
        </w:tc>
        <w:tc>
          <w:tcPr>
            <w:tcW w:w="1780" w:type="dxa"/>
            <w:vAlign w:val="center"/>
          </w:tcPr>
          <w:p>
            <w:pPr>
              <w:pStyle w:val="111"/>
              <w:spacing w:line="360" w:lineRule="auto"/>
              <w:rPr>
                <w:color w:val="auto"/>
                <w:sz w:val="21"/>
                <w:szCs w:val="21"/>
                <w:lang w:val="zh-CN"/>
              </w:rPr>
            </w:pPr>
            <w:r>
              <w:rPr>
                <w:rFonts w:hint="eastAsia"/>
                <w:color w:val="auto"/>
                <w:sz w:val="21"/>
                <w:szCs w:val="21"/>
                <w:lang w:val="zh-CN"/>
              </w:rPr>
              <w:t>履约保证金</w:t>
            </w:r>
          </w:p>
        </w:tc>
        <w:tc>
          <w:tcPr>
            <w:tcW w:w="6374" w:type="dxa"/>
            <w:vAlign w:val="center"/>
          </w:tcPr>
          <w:p>
            <w:pPr>
              <w:pStyle w:val="111"/>
              <w:spacing w:line="360" w:lineRule="auto"/>
              <w:rPr>
                <w:color w:val="auto"/>
                <w:sz w:val="21"/>
                <w:szCs w:val="21"/>
              </w:rPr>
            </w:pPr>
            <w:r>
              <w:rPr>
                <w:rFonts w:hint="eastAsia"/>
                <w:color w:val="auto"/>
                <w:sz w:val="21"/>
                <w:szCs w:val="21"/>
              </w:rPr>
              <w:t>本项目不适用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71" w:hRule="atLeast"/>
          <w:jc w:val="center"/>
        </w:trPr>
        <w:tc>
          <w:tcPr>
            <w:tcW w:w="532" w:type="dxa"/>
            <w:vAlign w:val="center"/>
          </w:tcPr>
          <w:p>
            <w:pPr>
              <w:pStyle w:val="111"/>
              <w:spacing w:line="370" w:lineRule="exact"/>
              <w:ind w:firstLine="105" w:firstLineChars="50"/>
              <w:rPr>
                <w:rFonts w:hAnsi="Times New Roman" w:cs="Times New Roman"/>
                <w:kern w:val="2"/>
                <w:sz w:val="21"/>
                <w:szCs w:val="21"/>
              </w:rPr>
            </w:pPr>
            <w:r>
              <w:rPr>
                <w:rFonts w:hint="eastAsia"/>
                <w:sz w:val="21"/>
                <w:szCs w:val="21"/>
              </w:rPr>
              <w:t>6</w:t>
            </w:r>
          </w:p>
        </w:tc>
        <w:tc>
          <w:tcPr>
            <w:tcW w:w="1780" w:type="dxa"/>
            <w:vAlign w:val="center"/>
          </w:tcPr>
          <w:p>
            <w:pPr>
              <w:pStyle w:val="111"/>
              <w:spacing w:line="370" w:lineRule="exact"/>
              <w:rPr>
                <w:sz w:val="21"/>
                <w:szCs w:val="21"/>
                <w:lang w:val="zh-CN"/>
              </w:rPr>
            </w:pPr>
            <w:r>
              <w:rPr>
                <w:rFonts w:hint="eastAsia"/>
                <w:sz w:val="21"/>
                <w:szCs w:val="21"/>
              </w:rPr>
              <w:t>节能、环保及无线局域网产品政府采购政策</w:t>
            </w:r>
          </w:p>
        </w:tc>
        <w:tc>
          <w:tcPr>
            <w:tcW w:w="6374" w:type="dxa"/>
            <w:vAlign w:val="center"/>
          </w:tcPr>
          <w:p>
            <w:pPr>
              <w:pStyle w:val="111"/>
              <w:spacing w:line="370" w:lineRule="exact"/>
              <w:ind w:firstLine="316" w:firstLineChars="150"/>
              <w:rPr>
                <w:b/>
                <w:sz w:val="21"/>
                <w:szCs w:val="21"/>
                <w:lang w:val="zh-CN"/>
              </w:rPr>
            </w:pPr>
            <w:r>
              <w:rPr>
                <w:rFonts w:hint="eastAsia"/>
                <w:b/>
                <w:sz w:val="21"/>
                <w:szCs w:val="21"/>
                <w:lang w:val="zh-CN"/>
              </w:rPr>
              <w:t>节能、</w:t>
            </w:r>
            <w:r>
              <w:rPr>
                <w:b/>
                <w:sz w:val="21"/>
                <w:szCs w:val="21"/>
                <w:lang w:val="zh-CN"/>
              </w:rPr>
              <w:t>环保产品政府采购政策：</w:t>
            </w:r>
          </w:p>
          <w:p>
            <w:pPr>
              <w:pStyle w:val="111"/>
              <w:spacing w:line="370" w:lineRule="exact"/>
              <w:ind w:firstLine="315" w:firstLineChars="150"/>
              <w:rPr>
                <w:sz w:val="21"/>
                <w:szCs w:val="21"/>
                <w:lang w:val="zh-CN"/>
              </w:rPr>
            </w:pPr>
            <w:r>
              <w:rPr>
                <w:rFonts w:hint="eastAsia"/>
                <w:sz w:val="21"/>
                <w:szCs w:val="21"/>
                <w:lang w:val="zh-CN"/>
              </w:rPr>
              <w:t>根据《财政部 发展改革委 生态环境部 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w:t>
            </w:r>
          </w:p>
          <w:p>
            <w:pPr>
              <w:pStyle w:val="111"/>
              <w:spacing w:line="370" w:lineRule="exact"/>
              <w:ind w:firstLine="315" w:firstLineChars="150"/>
              <w:rPr>
                <w:sz w:val="21"/>
                <w:szCs w:val="21"/>
                <w:lang w:val="zh-CN"/>
              </w:rPr>
            </w:pPr>
            <w:r>
              <w:rPr>
                <w:rFonts w:hint="eastAsia"/>
                <w:sz w:val="21"/>
                <w:szCs w:val="21"/>
              </w:rPr>
              <w:t>本项目采购的产品属于品目清单范围内强制采购的，供应商应按上述要求提供产品认证证书复印件并</w:t>
            </w:r>
            <w:r>
              <w:rPr>
                <w:rFonts w:hint="eastAsia"/>
                <w:sz w:val="21"/>
                <w:szCs w:val="21"/>
                <w:lang w:val="zh-CN"/>
              </w:rPr>
              <w:t>加盖供应商单位公章（鲜章）</w:t>
            </w:r>
            <w:r>
              <w:rPr>
                <w:rFonts w:hint="eastAsia"/>
                <w:sz w:val="21"/>
                <w:szCs w:val="21"/>
              </w:rPr>
              <w:t>，否则投标无效。</w:t>
            </w:r>
          </w:p>
          <w:p>
            <w:pPr>
              <w:pStyle w:val="111"/>
              <w:spacing w:line="370" w:lineRule="exact"/>
              <w:ind w:firstLine="315" w:firstLineChars="150"/>
              <w:rPr>
                <w:sz w:val="21"/>
                <w:szCs w:val="21"/>
                <w:lang w:val="zh-CN"/>
              </w:rPr>
            </w:pPr>
            <w:r>
              <w:rPr>
                <w:rFonts w:hint="eastAsia"/>
                <w:sz w:val="21"/>
                <w:szCs w:val="21"/>
                <w:lang w:val="zh-CN"/>
              </w:rPr>
              <w:t>本项目采购的产品属于品目清单范围内优先采购的，按照第六章《综合评分明细表》的规则进行加分。</w:t>
            </w:r>
          </w:p>
          <w:p>
            <w:pPr>
              <w:pStyle w:val="111"/>
              <w:spacing w:line="370" w:lineRule="exact"/>
              <w:ind w:firstLine="105" w:firstLineChars="50"/>
              <w:rPr>
                <w:sz w:val="21"/>
                <w:szCs w:val="21"/>
                <w:lang w:val="zh-CN"/>
              </w:rPr>
            </w:pPr>
            <w:r>
              <w:rPr>
                <w:rFonts w:hint="eastAsia"/>
                <w:sz w:val="21"/>
                <w:szCs w:val="21"/>
                <w:lang w:val="zh-CN"/>
              </w:rPr>
              <w:t>注：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p>
            <w:pPr>
              <w:pStyle w:val="111"/>
              <w:spacing w:line="370" w:lineRule="exact"/>
              <w:ind w:firstLine="316" w:firstLineChars="150"/>
              <w:rPr>
                <w:b/>
                <w:sz w:val="21"/>
                <w:szCs w:val="21"/>
                <w:lang w:val="zh-CN"/>
              </w:rPr>
            </w:pPr>
            <w:r>
              <w:rPr>
                <w:rFonts w:hint="eastAsia"/>
                <w:b/>
                <w:sz w:val="21"/>
                <w:szCs w:val="21"/>
                <w:lang w:val="zh-CN"/>
              </w:rPr>
              <w:t>无线局域网产品政府采购政策：</w:t>
            </w:r>
          </w:p>
          <w:p>
            <w:pPr>
              <w:pStyle w:val="111"/>
              <w:spacing w:line="370" w:lineRule="exact"/>
              <w:ind w:firstLine="105" w:firstLineChars="50"/>
              <w:rPr>
                <w:sz w:val="21"/>
                <w:szCs w:val="21"/>
                <w:lang w:val="zh-CN"/>
              </w:rPr>
            </w:pPr>
            <w:r>
              <w:rPr>
                <w:rFonts w:hint="eastAsia"/>
                <w:sz w:val="21"/>
                <w:szCs w:val="21"/>
              </w:rPr>
              <w:t>采购的产品属于中国</w:t>
            </w:r>
            <w:r>
              <w:rPr>
                <w:sz w:val="21"/>
                <w:szCs w:val="21"/>
              </w:rPr>
              <w:t>政府采购网公布的</w:t>
            </w:r>
            <w:r>
              <w:rPr>
                <w:rFonts w:hint="eastAsia"/>
                <w:sz w:val="21"/>
                <w:szCs w:val="21"/>
              </w:rPr>
              <w:t>《无线局域网认证产品政府采购清单》的，按照《综合评分明细表》的规则进行加分。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71" w:hRule="atLeast"/>
          <w:jc w:val="center"/>
        </w:trPr>
        <w:tc>
          <w:tcPr>
            <w:tcW w:w="532" w:type="dxa"/>
            <w:vAlign w:val="center"/>
          </w:tcPr>
          <w:p>
            <w:pPr>
              <w:pStyle w:val="111"/>
              <w:spacing w:line="360" w:lineRule="auto"/>
              <w:ind w:firstLine="105" w:firstLineChars="50"/>
              <w:rPr>
                <w:color w:val="auto"/>
                <w:sz w:val="21"/>
                <w:szCs w:val="21"/>
              </w:rPr>
            </w:pPr>
            <w:r>
              <w:rPr>
                <w:rFonts w:hint="eastAsia"/>
                <w:color w:val="auto"/>
                <w:sz w:val="21"/>
                <w:szCs w:val="21"/>
              </w:rPr>
              <w:t>7</w:t>
            </w:r>
          </w:p>
        </w:tc>
        <w:tc>
          <w:tcPr>
            <w:tcW w:w="1780" w:type="dxa"/>
            <w:vAlign w:val="center"/>
          </w:tcPr>
          <w:p>
            <w:pPr>
              <w:pStyle w:val="111"/>
              <w:spacing w:line="360" w:lineRule="auto"/>
              <w:rPr>
                <w:color w:val="auto"/>
                <w:sz w:val="21"/>
                <w:szCs w:val="21"/>
                <w:lang w:val="zh-CN"/>
              </w:rPr>
            </w:pPr>
            <w:r>
              <w:rPr>
                <w:rFonts w:hint="eastAsia"/>
                <w:color w:val="auto"/>
                <w:sz w:val="21"/>
                <w:szCs w:val="21"/>
                <w:lang w:val="zh-CN"/>
              </w:rPr>
              <w:t>小微企业（监狱企业、残疾人福利性单位视同小微企业）价格扣除</w:t>
            </w:r>
          </w:p>
        </w:tc>
        <w:tc>
          <w:tcPr>
            <w:tcW w:w="6374" w:type="dxa"/>
            <w:vAlign w:val="center"/>
          </w:tcPr>
          <w:p>
            <w:pPr>
              <w:pStyle w:val="111"/>
              <w:spacing w:line="360" w:lineRule="auto"/>
              <w:ind w:firstLine="105" w:firstLineChars="50"/>
              <w:rPr>
                <w:color w:val="auto"/>
                <w:sz w:val="21"/>
                <w:szCs w:val="21"/>
                <w:lang w:val="zh-CN"/>
              </w:rPr>
            </w:pPr>
            <w:r>
              <w:rPr>
                <w:rFonts w:hint="eastAsia"/>
                <w:color w:val="auto"/>
                <w:sz w:val="21"/>
                <w:szCs w:val="21"/>
                <w:lang w:val="zh-CN"/>
              </w:rPr>
              <w:t>1、根据《政府采购促进中小企业发展管理办法》（财库〔2020〕46号）的规定，对于经主管预算单位统筹后未预留份额专门面向中小企业采购的采购项目，以及预留份额项目中的非预留部分采购包，对符合规定的小微企业报价给予</w:t>
            </w:r>
            <w:r>
              <w:rPr>
                <w:rFonts w:hint="eastAsia"/>
                <w:color w:val="auto"/>
                <w:sz w:val="21"/>
                <w:szCs w:val="21"/>
              </w:rPr>
              <w:t>10</w:t>
            </w:r>
            <w:r>
              <w:rPr>
                <w:rFonts w:hint="eastAsia"/>
                <w:color w:val="auto"/>
                <w:sz w:val="21"/>
                <w:szCs w:val="21"/>
                <w:lang w:val="zh-CN"/>
              </w:rPr>
              <w:t>%的扣除，用扣除后的价格参加评审。</w:t>
            </w:r>
          </w:p>
          <w:p>
            <w:pPr>
              <w:pStyle w:val="111"/>
              <w:spacing w:line="360" w:lineRule="auto"/>
              <w:ind w:firstLine="105" w:firstLineChars="50"/>
              <w:rPr>
                <w:color w:val="auto"/>
                <w:sz w:val="21"/>
                <w:szCs w:val="21"/>
                <w:lang w:val="zh-CN"/>
              </w:rPr>
            </w:pPr>
            <w:r>
              <w:rPr>
                <w:rFonts w:hint="eastAsia"/>
                <w:color w:val="auto"/>
                <w:sz w:val="21"/>
                <w:szCs w:val="21"/>
                <w:lang w:val="zh-CN"/>
              </w:rPr>
              <w:t>2、参加政府采购活动的中小企业（监狱企业）提供《中小企业（监狱企业）声明函》原件，未提供的，视为放弃享受小微企业价格扣除优惠政策。</w:t>
            </w:r>
          </w:p>
          <w:p>
            <w:pPr>
              <w:pStyle w:val="111"/>
              <w:spacing w:line="360" w:lineRule="auto"/>
              <w:ind w:firstLine="105" w:firstLineChars="50"/>
              <w:rPr>
                <w:color w:val="auto"/>
                <w:sz w:val="21"/>
                <w:szCs w:val="21"/>
                <w:lang w:val="zh-CN"/>
              </w:rPr>
            </w:pPr>
            <w:r>
              <w:rPr>
                <w:rFonts w:hint="eastAsia"/>
                <w:color w:val="auto"/>
                <w:sz w:val="21"/>
                <w:szCs w:val="21"/>
                <w:lang w:val="zh-CN"/>
              </w:rPr>
              <w:t>3、接受大中型企业与小微企业组成联合体或者允许大中型企业向一家或者多家小微企业分包的采购项目，对于联合协议或者分包意向协议约定小微企业的合同份额占到合同总金额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Pr>
                <w:rFonts w:hint="eastAsia"/>
                <w:color w:val="auto"/>
                <w:sz w:val="21"/>
                <w:szCs w:val="21"/>
              </w:rPr>
              <w:t>4</w:t>
            </w:r>
            <w:r>
              <w:rPr>
                <w:rFonts w:hint="eastAsia"/>
                <w:color w:val="auto"/>
                <w:sz w:val="21"/>
                <w:szCs w:val="21"/>
                <w:lang w:val="zh-CN"/>
              </w:rPr>
              <w:t>%的扣除，用扣除后的价格参加评审。</w:t>
            </w:r>
          </w:p>
          <w:p>
            <w:pPr>
              <w:pStyle w:val="111"/>
              <w:spacing w:line="360" w:lineRule="auto"/>
              <w:ind w:firstLine="105" w:firstLineChars="50"/>
              <w:rPr>
                <w:color w:val="auto"/>
                <w:sz w:val="21"/>
                <w:szCs w:val="21"/>
                <w:lang w:val="zh-CN"/>
              </w:rPr>
            </w:pPr>
            <w:r>
              <w:rPr>
                <w:rFonts w:hint="eastAsia"/>
                <w:color w:val="auto"/>
                <w:sz w:val="21"/>
                <w:szCs w:val="21"/>
                <w:lang w:val="zh-CN"/>
              </w:rPr>
              <w:t>联合体各方均为小型、微型企业的，联合体视同为小型、微型企业享受规定的扶持政策。组成联合体的大中型企业和其他自然人、法人或者其他组织，与小型、微型企业之间不得存在投资关系。（不适用）</w:t>
            </w:r>
          </w:p>
          <w:p>
            <w:pPr>
              <w:pStyle w:val="111"/>
              <w:spacing w:line="360" w:lineRule="auto"/>
              <w:ind w:firstLine="105" w:firstLineChars="50"/>
              <w:rPr>
                <w:color w:val="auto"/>
                <w:sz w:val="21"/>
                <w:szCs w:val="21"/>
                <w:lang w:val="zh-CN"/>
              </w:rPr>
            </w:pPr>
            <w:r>
              <w:rPr>
                <w:rFonts w:hint="eastAsia"/>
                <w:color w:val="auto"/>
                <w:sz w:val="21"/>
                <w:szCs w:val="21"/>
                <w:lang w:val="zh-CN"/>
              </w:rPr>
              <w:t>4、参加政府采购活动的残疾人福利性单位应当提供《残疾人福利性单位声明函》原件，未提供的，视为放弃享受小微企业价格扣除优惠政策。</w:t>
            </w:r>
          </w:p>
          <w:p>
            <w:pPr>
              <w:pStyle w:val="111"/>
              <w:spacing w:line="360" w:lineRule="auto"/>
              <w:ind w:firstLine="105" w:firstLineChars="50"/>
              <w:rPr>
                <w:color w:val="auto"/>
                <w:sz w:val="21"/>
                <w:szCs w:val="21"/>
                <w:lang w:val="zh-CN"/>
              </w:rPr>
            </w:pPr>
            <w:r>
              <w:rPr>
                <w:rFonts w:hint="eastAsia"/>
                <w:color w:val="auto"/>
                <w:sz w:val="21"/>
                <w:szCs w:val="21"/>
                <w:lang w:val="zh-CN"/>
              </w:rPr>
              <w:t>5. 符合中小企业划分标准的个体工商户，在政府采购活动中视同中小企业。</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901" w:hRule="atLeast"/>
          <w:jc w:val="center"/>
        </w:trPr>
        <w:tc>
          <w:tcPr>
            <w:tcW w:w="532" w:type="dxa"/>
            <w:vAlign w:val="center"/>
          </w:tcPr>
          <w:p>
            <w:pPr>
              <w:pStyle w:val="111"/>
              <w:spacing w:line="360" w:lineRule="auto"/>
              <w:ind w:right="230"/>
              <w:jc w:val="center"/>
              <w:rPr>
                <w:color w:val="auto"/>
                <w:kern w:val="2"/>
                <w:sz w:val="21"/>
                <w:szCs w:val="21"/>
              </w:rPr>
            </w:pPr>
            <w:r>
              <w:rPr>
                <w:rFonts w:hint="eastAsia"/>
                <w:color w:val="auto"/>
                <w:kern w:val="2"/>
                <w:sz w:val="21"/>
                <w:szCs w:val="21"/>
              </w:rPr>
              <w:t>8</w:t>
            </w:r>
          </w:p>
        </w:tc>
        <w:tc>
          <w:tcPr>
            <w:tcW w:w="1780" w:type="dxa"/>
            <w:vAlign w:val="center"/>
          </w:tcPr>
          <w:p>
            <w:pPr>
              <w:pStyle w:val="111"/>
              <w:spacing w:line="360" w:lineRule="auto"/>
              <w:rPr>
                <w:color w:val="auto"/>
                <w:kern w:val="2"/>
                <w:sz w:val="21"/>
                <w:szCs w:val="21"/>
              </w:rPr>
            </w:pPr>
            <w:r>
              <w:rPr>
                <w:rFonts w:hint="eastAsia"/>
                <w:color w:val="auto"/>
                <w:sz w:val="21"/>
                <w:szCs w:val="21"/>
                <w:lang w:val="zh-CN"/>
              </w:rPr>
              <w:t>招标服务费</w:t>
            </w:r>
          </w:p>
        </w:tc>
        <w:tc>
          <w:tcPr>
            <w:tcW w:w="6374" w:type="dxa"/>
            <w:vAlign w:val="center"/>
          </w:tcPr>
          <w:p>
            <w:pPr>
              <w:pStyle w:val="111"/>
              <w:spacing w:line="360" w:lineRule="auto"/>
              <w:ind w:firstLine="315" w:firstLineChars="150"/>
              <w:rPr>
                <w:color w:val="auto"/>
                <w:sz w:val="21"/>
                <w:szCs w:val="21"/>
                <w:lang w:val="zh-CN"/>
              </w:rPr>
            </w:pPr>
            <w:r>
              <w:rPr>
                <w:rFonts w:hint="eastAsia"/>
                <w:color w:val="auto"/>
                <w:sz w:val="21"/>
                <w:szCs w:val="21"/>
                <w:lang w:val="zh-CN"/>
              </w:rPr>
              <w:t>以中标金额作为计算基数,参照国家计委计价格[2002]1980号及发改办价格[2003]857号通知规定</w:t>
            </w:r>
            <w:r>
              <w:rPr>
                <w:rFonts w:hint="eastAsia"/>
                <w:b/>
                <w:color w:val="auto"/>
                <w:sz w:val="21"/>
                <w:szCs w:val="21"/>
                <w:lang w:val="zh-CN"/>
              </w:rPr>
              <w:t>,</w:t>
            </w:r>
            <w:r>
              <w:rPr>
                <w:rFonts w:hint="eastAsia"/>
                <w:color w:val="auto"/>
                <w:sz w:val="21"/>
                <w:szCs w:val="21"/>
                <w:lang w:val="zh-CN"/>
              </w:rPr>
              <w:t>由中标人在领取中标通知书前向招标代理机构交纳招标服务费。</w:t>
            </w:r>
          </w:p>
          <w:p>
            <w:pPr>
              <w:pStyle w:val="111"/>
              <w:spacing w:line="360" w:lineRule="auto"/>
              <w:rPr>
                <w:color w:val="auto"/>
                <w:sz w:val="21"/>
                <w:szCs w:val="21"/>
                <w:lang w:val="zh-CN"/>
              </w:rPr>
            </w:pPr>
            <w:r>
              <w:rPr>
                <w:rFonts w:hint="eastAsia"/>
                <w:color w:val="auto"/>
                <w:sz w:val="21"/>
                <w:szCs w:val="21"/>
                <w:lang w:val="zh-CN"/>
              </w:rPr>
              <w:t>招标代理服务费支付方式：银行转账或现金方式</w:t>
            </w:r>
          </w:p>
          <w:p>
            <w:pPr>
              <w:pStyle w:val="111"/>
              <w:spacing w:line="360" w:lineRule="auto"/>
              <w:rPr>
                <w:color w:val="auto"/>
                <w:sz w:val="21"/>
                <w:szCs w:val="21"/>
              </w:rPr>
            </w:pPr>
            <w:r>
              <w:rPr>
                <w:rFonts w:hint="eastAsia"/>
                <w:color w:val="auto"/>
                <w:sz w:val="21"/>
                <w:szCs w:val="21"/>
              </w:rPr>
              <w:t>收款单位：四川国际招标有限责任公司陕西分公司</w:t>
            </w:r>
          </w:p>
          <w:p>
            <w:pPr>
              <w:pStyle w:val="111"/>
              <w:spacing w:line="360" w:lineRule="auto"/>
              <w:rPr>
                <w:color w:val="auto"/>
                <w:sz w:val="21"/>
                <w:szCs w:val="21"/>
              </w:rPr>
            </w:pPr>
            <w:r>
              <w:rPr>
                <w:rFonts w:hint="eastAsia"/>
                <w:color w:val="auto"/>
                <w:sz w:val="21"/>
                <w:szCs w:val="21"/>
              </w:rPr>
              <w:t>开户行：中国民生银行股份有限公司西安高新开发区支行</w:t>
            </w:r>
          </w:p>
          <w:p>
            <w:pPr>
              <w:pStyle w:val="111"/>
              <w:spacing w:line="360" w:lineRule="auto"/>
              <w:rPr>
                <w:b/>
                <w:bCs/>
                <w:color w:val="auto"/>
                <w:kern w:val="2"/>
                <w:sz w:val="21"/>
                <w:szCs w:val="21"/>
              </w:rPr>
            </w:pPr>
            <w:r>
              <w:rPr>
                <w:rFonts w:hint="eastAsia"/>
                <w:color w:val="auto"/>
                <w:sz w:val="21"/>
                <w:szCs w:val="21"/>
              </w:rPr>
              <w:t>银行账号：</w:t>
            </w:r>
            <w:r>
              <w:rPr>
                <w:sz w:val="21"/>
                <w:szCs w:val="21"/>
              </w:rPr>
              <w:t>600582071</w:t>
            </w:r>
            <w:r>
              <w:rPr>
                <w:rFonts w:hint="eastAsia"/>
                <w:color w:val="auto"/>
                <w:sz w:val="21"/>
                <w:szCs w:val="21"/>
              </w:rPr>
              <w:t xml:space="preserve">  </w:t>
            </w:r>
          </w:p>
          <w:tbl>
            <w:tblPr>
              <w:tblStyle w:val="33"/>
              <w:tblW w:w="6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1478"/>
              <w:gridCol w:w="1477"/>
              <w:gridCol w:w="1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827" w:type="dxa"/>
                </w:tcPr>
                <w:p>
                  <w:pPr>
                    <w:spacing w:line="360" w:lineRule="auto"/>
                    <w:rPr>
                      <w:rFonts w:hAnsi="宋体" w:cs="宋体"/>
                      <w:b/>
                      <w:color w:val="auto"/>
                      <w:sz w:val="21"/>
                      <w:szCs w:val="21"/>
                    </w:rPr>
                  </w:pPr>
                </w:p>
                <w:p>
                  <w:pPr>
                    <w:spacing w:line="360" w:lineRule="auto"/>
                    <w:rPr>
                      <w:rFonts w:hAnsi="宋体" w:cs="宋体"/>
                      <w:b/>
                      <w:color w:val="auto"/>
                      <w:sz w:val="21"/>
                      <w:szCs w:val="21"/>
                    </w:rPr>
                  </w:pPr>
                  <w:r>
                    <w:rPr>
                      <w:rFonts w:hint="eastAsia" w:hAnsi="宋体" w:cs="宋体"/>
                      <w:b/>
                      <w:color w:val="auto"/>
                      <w:sz w:val="21"/>
                      <w:szCs w:val="21"/>
                    </w:rPr>
                    <w:t>服务类型/费率/中标金额（万元）</w:t>
                  </w:r>
                </w:p>
              </w:tc>
              <w:tc>
                <w:tcPr>
                  <w:tcW w:w="1478" w:type="dxa"/>
                  <w:vAlign w:val="center"/>
                </w:tcPr>
                <w:p>
                  <w:pPr>
                    <w:spacing w:line="360" w:lineRule="auto"/>
                    <w:jc w:val="center"/>
                    <w:rPr>
                      <w:rFonts w:hAnsi="宋体" w:cs="宋体"/>
                      <w:b/>
                      <w:color w:val="auto"/>
                      <w:sz w:val="21"/>
                      <w:szCs w:val="21"/>
                    </w:rPr>
                  </w:pPr>
                  <w:r>
                    <w:rPr>
                      <w:rFonts w:hint="eastAsia" w:hAnsi="宋体" w:cs="宋体"/>
                      <w:b/>
                      <w:color w:val="auto"/>
                      <w:sz w:val="21"/>
                      <w:szCs w:val="21"/>
                    </w:rPr>
                    <w:t>货物招标</w:t>
                  </w:r>
                </w:p>
              </w:tc>
              <w:tc>
                <w:tcPr>
                  <w:tcW w:w="1477" w:type="dxa"/>
                  <w:vAlign w:val="center"/>
                </w:tcPr>
                <w:p>
                  <w:pPr>
                    <w:spacing w:line="360" w:lineRule="auto"/>
                    <w:jc w:val="center"/>
                    <w:rPr>
                      <w:rFonts w:hAnsi="宋体" w:cs="宋体"/>
                      <w:b/>
                      <w:color w:val="auto"/>
                      <w:sz w:val="21"/>
                      <w:szCs w:val="21"/>
                    </w:rPr>
                  </w:pPr>
                  <w:r>
                    <w:rPr>
                      <w:rFonts w:hint="eastAsia" w:hAnsi="宋体" w:cs="宋体"/>
                      <w:b/>
                      <w:color w:val="auto"/>
                      <w:sz w:val="21"/>
                      <w:szCs w:val="21"/>
                    </w:rPr>
                    <w:t>服务招标</w:t>
                  </w:r>
                </w:p>
              </w:tc>
              <w:tc>
                <w:tcPr>
                  <w:tcW w:w="1478" w:type="dxa"/>
                  <w:vAlign w:val="center"/>
                </w:tcPr>
                <w:p>
                  <w:pPr>
                    <w:spacing w:line="360" w:lineRule="auto"/>
                    <w:jc w:val="center"/>
                    <w:rPr>
                      <w:rFonts w:hAnsi="宋体" w:cs="宋体"/>
                      <w:b/>
                      <w:color w:val="auto"/>
                      <w:sz w:val="21"/>
                      <w:szCs w:val="21"/>
                    </w:rPr>
                  </w:pPr>
                  <w:r>
                    <w:rPr>
                      <w:rFonts w:hint="eastAsia" w:hAnsi="宋体" w:cs="宋体"/>
                      <w:b/>
                      <w:color w:val="auto"/>
                      <w:sz w:val="21"/>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827" w:type="dxa"/>
                </w:tcPr>
                <w:p>
                  <w:pPr>
                    <w:spacing w:line="360" w:lineRule="auto"/>
                    <w:jc w:val="center"/>
                    <w:rPr>
                      <w:rFonts w:hAnsi="宋体" w:cs="宋体"/>
                      <w:color w:val="auto"/>
                      <w:sz w:val="21"/>
                      <w:szCs w:val="21"/>
                    </w:rPr>
                  </w:pPr>
                  <w:r>
                    <w:rPr>
                      <w:rFonts w:hint="eastAsia" w:hAnsi="宋体" w:cs="宋体"/>
                      <w:color w:val="auto"/>
                      <w:sz w:val="21"/>
                      <w:szCs w:val="21"/>
                    </w:rPr>
                    <w:t>100以下</w:t>
                  </w:r>
                </w:p>
              </w:tc>
              <w:tc>
                <w:tcPr>
                  <w:tcW w:w="1478" w:type="dxa"/>
                </w:tcPr>
                <w:p>
                  <w:pPr>
                    <w:spacing w:line="360" w:lineRule="auto"/>
                    <w:jc w:val="center"/>
                    <w:rPr>
                      <w:rFonts w:hAnsi="宋体" w:cs="宋体"/>
                      <w:color w:val="auto"/>
                      <w:sz w:val="21"/>
                      <w:szCs w:val="21"/>
                    </w:rPr>
                  </w:pPr>
                  <w:r>
                    <w:rPr>
                      <w:rFonts w:hint="eastAsia" w:hAnsi="宋体" w:cs="宋体"/>
                      <w:color w:val="auto"/>
                      <w:sz w:val="21"/>
                      <w:szCs w:val="21"/>
                    </w:rPr>
                    <w:t>1.5%</w:t>
                  </w:r>
                </w:p>
              </w:tc>
              <w:tc>
                <w:tcPr>
                  <w:tcW w:w="1477" w:type="dxa"/>
                </w:tcPr>
                <w:p>
                  <w:pPr>
                    <w:spacing w:line="360" w:lineRule="auto"/>
                    <w:jc w:val="center"/>
                    <w:rPr>
                      <w:rFonts w:hAnsi="宋体" w:cs="宋体"/>
                      <w:color w:val="auto"/>
                      <w:sz w:val="21"/>
                      <w:szCs w:val="21"/>
                    </w:rPr>
                  </w:pPr>
                  <w:r>
                    <w:rPr>
                      <w:rFonts w:hint="eastAsia" w:hAnsi="宋体" w:cs="宋体"/>
                      <w:color w:val="auto"/>
                      <w:sz w:val="21"/>
                      <w:szCs w:val="21"/>
                    </w:rPr>
                    <w:t>1.5%</w:t>
                  </w:r>
                </w:p>
              </w:tc>
              <w:tc>
                <w:tcPr>
                  <w:tcW w:w="1478" w:type="dxa"/>
                </w:tcPr>
                <w:p>
                  <w:pPr>
                    <w:spacing w:line="360" w:lineRule="auto"/>
                    <w:jc w:val="center"/>
                    <w:rPr>
                      <w:rFonts w:hAnsi="宋体" w:cs="宋体"/>
                      <w:color w:val="auto"/>
                      <w:sz w:val="21"/>
                      <w:szCs w:val="21"/>
                    </w:rPr>
                  </w:pPr>
                  <w:r>
                    <w:rPr>
                      <w:rFonts w:hint="eastAsia" w:hAnsi="宋体" w:cs="宋体"/>
                      <w:color w:val="auto"/>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827" w:type="dxa"/>
                </w:tcPr>
                <w:p>
                  <w:pPr>
                    <w:spacing w:line="360" w:lineRule="auto"/>
                    <w:jc w:val="center"/>
                    <w:rPr>
                      <w:rFonts w:hAnsi="宋体" w:cs="宋体"/>
                      <w:color w:val="auto"/>
                      <w:sz w:val="21"/>
                      <w:szCs w:val="21"/>
                    </w:rPr>
                  </w:pPr>
                  <w:r>
                    <w:rPr>
                      <w:rFonts w:hint="eastAsia" w:hAnsi="宋体" w:cs="宋体"/>
                      <w:color w:val="auto"/>
                      <w:sz w:val="21"/>
                      <w:szCs w:val="21"/>
                    </w:rPr>
                    <w:t>100-500</w:t>
                  </w:r>
                </w:p>
              </w:tc>
              <w:tc>
                <w:tcPr>
                  <w:tcW w:w="1478" w:type="dxa"/>
                </w:tcPr>
                <w:p>
                  <w:pPr>
                    <w:spacing w:line="360" w:lineRule="auto"/>
                    <w:jc w:val="center"/>
                    <w:rPr>
                      <w:rFonts w:hAnsi="宋体" w:cs="宋体"/>
                      <w:color w:val="auto"/>
                      <w:sz w:val="21"/>
                      <w:szCs w:val="21"/>
                    </w:rPr>
                  </w:pPr>
                  <w:r>
                    <w:rPr>
                      <w:rFonts w:hint="eastAsia" w:hAnsi="宋体" w:cs="宋体"/>
                      <w:color w:val="auto"/>
                      <w:sz w:val="21"/>
                      <w:szCs w:val="21"/>
                    </w:rPr>
                    <w:t>1.1%</w:t>
                  </w:r>
                </w:p>
              </w:tc>
              <w:tc>
                <w:tcPr>
                  <w:tcW w:w="1477" w:type="dxa"/>
                </w:tcPr>
                <w:p>
                  <w:pPr>
                    <w:spacing w:line="360" w:lineRule="auto"/>
                    <w:jc w:val="center"/>
                    <w:rPr>
                      <w:rFonts w:hAnsi="宋体" w:cs="宋体"/>
                      <w:color w:val="auto"/>
                      <w:sz w:val="21"/>
                      <w:szCs w:val="21"/>
                    </w:rPr>
                  </w:pPr>
                  <w:r>
                    <w:rPr>
                      <w:rFonts w:hint="eastAsia" w:hAnsi="宋体" w:cs="宋体"/>
                      <w:color w:val="auto"/>
                      <w:sz w:val="21"/>
                      <w:szCs w:val="21"/>
                    </w:rPr>
                    <w:t>0.8%</w:t>
                  </w:r>
                </w:p>
              </w:tc>
              <w:tc>
                <w:tcPr>
                  <w:tcW w:w="1478" w:type="dxa"/>
                </w:tcPr>
                <w:p>
                  <w:pPr>
                    <w:spacing w:line="360" w:lineRule="auto"/>
                    <w:jc w:val="center"/>
                    <w:rPr>
                      <w:rFonts w:hAnsi="宋体" w:cs="宋体"/>
                      <w:color w:val="auto"/>
                      <w:sz w:val="21"/>
                      <w:szCs w:val="21"/>
                    </w:rPr>
                  </w:pPr>
                  <w:r>
                    <w:rPr>
                      <w:rFonts w:hint="eastAsia" w:hAnsi="宋体" w:cs="宋体"/>
                      <w:color w:val="auto"/>
                      <w:sz w:val="21"/>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827" w:type="dxa"/>
                </w:tcPr>
                <w:p>
                  <w:pPr>
                    <w:spacing w:line="360" w:lineRule="auto"/>
                    <w:jc w:val="center"/>
                    <w:rPr>
                      <w:rFonts w:hAnsi="宋体" w:cs="宋体"/>
                      <w:color w:val="auto"/>
                      <w:sz w:val="21"/>
                      <w:szCs w:val="21"/>
                    </w:rPr>
                  </w:pPr>
                  <w:r>
                    <w:rPr>
                      <w:rFonts w:hint="eastAsia" w:hAnsi="宋体" w:cs="宋体"/>
                      <w:color w:val="auto"/>
                      <w:sz w:val="21"/>
                      <w:szCs w:val="21"/>
                    </w:rPr>
                    <w:t>500-1000</w:t>
                  </w:r>
                </w:p>
              </w:tc>
              <w:tc>
                <w:tcPr>
                  <w:tcW w:w="1478" w:type="dxa"/>
                </w:tcPr>
                <w:p>
                  <w:pPr>
                    <w:spacing w:line="360" w:lineRule="auto"/>
                    <w:jc w:val="center"/>
                    <w:rPr>
                      <w:rFonts w:hAnsi="宋体" w:cs="宋体"/>
                      <w:color w:val="auto"/>
                      <w:sz w:val="21"/>
                      <w:szCs w:val="21"/>
                    </w:rPr>
                  </w:pPr>
                  <w:r>
                    <w:rPr>
                      <w:rFonts w:hint="eastAsia" w:hAnsi="宋体" w:cs="宋体"/>
                      <w:color w:val="auto"/>
                      <w:sz w:val="21"/>
                      <w:szCs w:val="21"/>
                    </w:rPr>
                    <w:t>0.8%</w:t>
                  </w:r>
                </w:p>
              </w:tc>
              <w:tc>
                <w:tcPr>
                  <w:tcW w:w="1477" w:type="dxa"/>
                </w:tcPr>
                <w:p>
                  <w:pPr>
                    <w:spacing w:line="360" w:lineRule="auto"/>
                    <w:jc w:val="center"/>
                    <w:rPr>
                      <w:rFonts w:hAnsi="宋体" w:cs="宋体"/>
                      <w:color w:val="auto"/>
                      <w:sz w:val="21"/>
                      <w:szCs w:val="21"/>
                    </w:rPr>
                  </w:pPr>
                  <w:r>
                    <w:rPr>
                      <w:rFonts w:hint="eastAsia" w:hAnsi="宋体" w:cs="宋体"/>
                      <w:color w:val="auto"/>
                      <w:sz w:val="21"/>
                      <w:szCs w:val="21"/>
                    </w:rPr>
                    <w:t>0.45%</w:t>
                  </w:r>
                </w:p>
              </w:tc>
              <w:tc>
                <w:tcPr>
                  <w:tcW w:w="1478" w:type="dxa"/>
                </w:tcPr>
                <w:p>
                  <w:pPr>
                    <w:spacing w:line="360" w:lineRule="auto"/>
                    <w:jc w:val="center"/>
                    <w:rPr>
                      <w:rFonts w:hAnsi="宋体" w:cs="宋体"/>
                      <w:color w:val="auto"/>
                      <w:sz w:val="21"/>
                      <w:szCs w:val="21"/>
                    </w:rPr>
                  </w:pPr>
                  <w:r>
                    <w:rPr>
                      <w:rFonts w:hint="eastAsia" w:hAnsi="宋体" w:cs="宋体"/>
                      <w:color w:val="auto"/>
                      <w:sz w:val="21"/>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827" w:type="dxa"/>
                </w:tcPr>
                <w:p>
                  <w:pPr>
                    <w:spacing w:line="360" w:lineRule="auto"/>
                    <w:jc w:val="center"/>
                    <w:rPr>
                      <w:rFonts w:hAnsi="宋体" w:cs="宋体"/>
                      <w:color w:val="auto"/>
                      <w:sz w:val="21"/>
                      <w:szCs w:val="21"/>
                    </w:rPr>
                  </w:pPr>
                  <w:r>
                    <w:rPr>
                      <w:rFonts w:hint="eastAsia" w:hAnsi="宋体" w:cs="宋体"/>
                      <w:color w:val="auto"/>
                      <w:sz w:val="21"/>
                      <w:szCs w:val="21"/>
                    </w:rPr>
                    <w:t>1000-5000</w:t>
                  </w:r>
                </w:p>
              </w:tc>
              <w:tc>
                <w:tcPr>
                  <w:tcW w:w="1478" w:type="dxa"/>
                </w:tcPr>
                <w:p>
                  <w:pPr>
                    <w:spacing w:line="360" w:lineRule="auto"/>
                    <w:jc w:val="center"/>
                    <w:rPr>
                      <w:rFonts w:hAnsi="宋体" w:cs="宋体"/>
                      <w:color w:val="auto"/>
                      <w:sz w:val="21"/>
                      <w:szCs w:val="21"/>
                    </w:rPr>
                  </w:pPr>
                  <w:r>
                    <w:rPr>
                      <w:rFonts w:hint="eastAsia" w:hAnsi="宋体" w:cs="宋体"/>
                      <w:color w:val="auto"/>
                      <w:sz w:val="21"/>
                      <w:szCs w:val="21"/>
                    </w:rPr>
                    <w:t>0.5%</w:t>
                  </w:r>
                </w:p>
              </w:tc>
              <w:tc>
                <w:tcPr>
                  <w:tcW w:w="1477" w:type="dxa"/>
                </w:tcPr>
                <w:p>
                  <w:pPr>
                    <w:spacing w:line="360" w:lineRule="auto"/>
                    <w:jc w:val="center"/>
                    <w:rPr>
                      <w:rFonts w:hAnsi="宋体" w:cs="宋体"/>
                      <w:color w:val="auto"/>
                      <w:sz w:val="21"/>
                      <w:szCs w:val="21"/>
                    </w:rPr>
                  </w:pPr>
                  <w:r>
                    <w:rPr>
                      <w:rFonts w:hint="eastAsia" w:hAnsi="宋体" w:cs="宋体"/>
                      <w:color w:val="auto"/>
                      <w:sz w:val="21"/>
                      <w:szCs w:val="21"/>
                    </w:rPr>
                    <w:t>0.25%</w:t>
                  </w:r>
                </w:p>
              </w:tc>
              <w:tc>
                <w:tcPr>
                  <w:tcW w:w="1478" w:type="dxa"/>
                </w:tcPr>
                <w:p>
                  <w:pPr>
                    <w:spacing w:line="360" w:lineRule="auto"/>
                    <w:jc w:val="center"/>
                    <w:rPr>
                      <w:rFonts w:hAnsi="宋体" w:cs="宋体"/>
                      <w:color w:val="auto"/>
                      <w:sz w:val="21"/>
                      <w:szCs w:val="21"/>
                    </w:rPr>
                  </w:pPr>
                  <w:r>
                    <w:rPr>
                      <w:rFonts w:hint="eastAsia" w:hAnsi="宋体" w:cs="宋体"/>
                      <w:color w:val="auto"/>
                      <w:sz w:val="21"/>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827" w:type="dxa"/>
                </w:tcPr>
                <w:p>
                  <w:pPr>
                    <w:spacing w:line="360" w:lineRule="auto"/>
                    <w:jc w:val="center"/>
                    <w:rPr>
                      <w:rFonts w:hAnsi="宋体" w:cs="宋体"/>
                      <w:color w:val="auto"/>
                      <w:sz w:val="21"/>
                      <w:szCs w:val="21"/>
                    </w:rPr>
                  </w:pPr>
                  <w:r>
                    <w:rPr>
                      <w:rFonts w:hint="eastAsia" w:hAnsi="宋体" w:cs="宋体"/>
                      <w:color w:val="auto"/>
                      <w:sz w:val="21"/>
                      <w:szCs w:val="21"/>
                    </w:rPr>
                    <w:t>5000-10000</w:t>
                  </w:r>
                </w:p>
              </w:tc>
              <w:tc>
                <w:tcPr>
                  <w:tcW w:w="1478" w:type="dxa"/>
                </w:tcPr>
                <w:p>
                  <w:pPr>
                    <w:spacing w:line="360" w:lineRule="auto"/>
                    <w:jc w:val="center"/>
                    <w:rPr>
                      <w:rFonts w:hAnsi="宋体" w:cs="宋体"/>
                      <w:color w:val="auto"/>
                      <w:sz w:val="21"/>
                      <w:szCs w:val="21"/>
                    </w:rPr>
                  </w:pPr>
                  <w:r>
                    <w:rPr>
                      <w:rFonts w:hint="eastAsia" w:hAnsi="宋体" w:cs="宋体"/>
                      <w:color w:val="auto"/>
                      <w:sz w:val="21"/>
                      <w:szCs w:val="21"/>
                    </w:rPr>
                    <w:t>0.25%</w:t>
                  </w:r>
                </w:p>
              </w:tc>
              <w:tc>
                <w:tcPr>
                  <w:tcW w:w="1477" w:type="dxa"/>
                </w:tcPr>
                <w:p>
                  <w:pPr>
                    <w:spacing w:line="360" w:lineRule="auto"/>
                    <w:jc w:val="center"/>
                    <w:rPr>
                      <w:rFonts w:hAnsi="宋体" w:cs="宋体"/>
                      <w:color w:val="auto"/>
                      <w:sz w:val="21"/>
                      <w:szCs w:val="21"/>
                    </w:rPr>
                  </w:pPr>
                  <w:r>
                    <w:rPr>
                      <w:rFonts w:hint="eastAsia" w:hAnsi="宋体" w:cs="宋体"/>
                      <w:color w:val="auto"/>
                      <w:sz w:val="21"/>
                      <w:szCs w:val="21"/>
                    </w:rPr>
                    <w:t>0.1%</w:t>
                  </w:r>
                </w:p>
              </w:tc>
              <w:tc>
                <w:tcPr>
                  <w:tcW w:w="1478" w:type="dxa"/>
                </w:tcPr>
                <w:p>
                  <w:pPr>
                    <w:spacing w:line="360" w:lineRule="auto"/>
                    <w:jc w:val="center"/>
                    <w:rPr>
                      <w:rFonts w:hAnsi="宋体" w:cs="宋体"/>
                      <w:color w:val="auto"/>
                      <w:sz w:val="21"/>
                      <w:szCs w:val="21"/>
                    </w:rPr>
                  </w:pPr>
                  <w:r>
                    <w:rPr>
                      <w:rFonts w:hint="eastAsia" w:hAnsi="宋体" w:cs="宋体"/>
                      <w:color w:val="auto"/>
                      <w:sz w:val="21"/>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827" w:type="dxa"/>
                </w:tcPr>
                <w:p>
                  <w:pPr>
                    <w:spacing w:line="360" w:lineRule="auto"/>
                    <w:jc w:val="center"/>
                    <w:rPr>
                      <w:rFonts w:hAnsi="宋体" w:cs="宋体"/>
                      <w:color w:val="auto"/>
                      <w:sz w:val="21"/>
                      <w:szCs w:val="21"/>
                    </w:rPr>
                  </w:pPr>
                  <w:r>
                    <w:rPr>
                      <w:rFonts w:hint="eastAsia" w:hAnsi="宋体" w:cs="宋体"/>
                      <w:color w:val="auto"/>
                      <w:sz w:val="21"/>
                      <w:szCs w:val="21"/>
                    </w:rPr>
                    <w:t>10000-100000</w:t>
                  </w:r>
                </w:p>
              </w:tc>
              <w:tc>
                <w:tcPr>
                  <w:tcW w:w="1478" w:type="dxa"/>
                </w:tcPr>
                <w:p>
                  <w:pPr>
                    <w:spacing w:line="360" w:lineRule="auto"/>
                    <w:jc w:val="center"/>
                    <w:rPr>
                      <w:rFonts w:hAnsi="宋体" w:cs="宋体"/>
                      <w:color w:val="auto"/>
                      <w:sz w:val="21"/>
                      <w:szCs w:val="21"/>
                    </w:rPr>
                  </w:pPr>
                  <w:r>
                    <w:rPr>
                      <w:rFonts w:hint="eastAsia" w:hAnsi="宋体" w:cs="宋体"/>
                      <w:color w:val="auto"/>
                      <w:sz w:val="21"/>
                      <w:szCs w:val="21"/>
                    </w:rPr>
                    <w:t>0.05%</w:t>
                  </w:r>
                </w:p>
              </w:tc>
              <w:tc>
                <w:tcPr>
                  <w:tcW w:w="1477" w:type="dxa"/>
                </w:tcPr>
                <w:p>
                  <w:pPr>
                    <w:spacing w:line="360" w:lineRule="auto"/>
                    <w:jc w:val="center"/>
                    <w:rPr>
                      <w:rFonts w:hAnsi="宋体" w:cs="宋体"/>
                      <w:color w:val="auto"/>
                      <w:sz w:val="21"/>
                      <w:szCs w:val="21"/>
                    </w:rPr>
                  </w:pPr>
                  <w:r>
                    <w:rPr>
                      <w:rFonts w:hint="eastAsia" w:hAnsi="宋体" w:cs="宋体"/>
                      <w:color w:val="auto"/>
                      <w:sz w:val="21"/>
                      <w:szCs w:val="21"/>
                    </w:rPr>
                    <w:t>0.05%</w:t>
                  </w:r>
                </w:p>
              </w:tc>
              <w:tc>
                <w:tcPr>
                  <w:tcW w:w="1478" w:type="dxa"/>
                </w:tcPr>
                <w:p>
                  <w:pPr>
                    <w:spacing w:line="360" w:lineRule="auto"/>
                    <w:jc w:val="center"/>
                    <w:rPr>
                      <w:rFonts w:hAnsi="宋体" w:cs="宋体"/>
                      <w:color w:val="auto"/>
                      <w:sz w:val="21"/>
                      <w:szCs w:val="21"/>
                    </w:rPr>
                  </w:pPr>
                  <w:r>
                    <w:rPr>
                      <w:rFonts w:hint="eastAsia" w:hAnsi="宋体" w:cs="宋体"/>
                      <w:color w:val="auto"/>
                      <w:sz w:val="21"/>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827" w:type="dxa"/>
                </w:tcPr>
                <w:p>
                  <w:pPr>
                    <w:spacing w:line="360" w:lineRule="auto"/>
                    <w:jc w:val="center"/>
                    <w:rPr>
                      <w:rFonts w:hAnsi="宋体" w:cs="宋体"/>
                      <w:color w:val="auto"/>
                      <w:sz w:val="21"/>
                      <w:szCs w:val="21"/>
                    </w:rPr>
                  </w:pPr>
                  <w:r>
                    <w:rPr>
                      <w:rFonts w:hint="eastAsia" w:hAnsi="宋体" w:cs="宋体"/>
                      <w:color w:val="auto"/>
                      <w:sz w:val="21"/>
                      <w:szCs w:val="21"/>
                    </w:rPr>
                    <w:t>1000000以上</w:t>
                  </w:r>
                </w:p>
              </w:tc>
              <w:tc>
                <w:tcPr>
                  <w:tcW w:w="1478" w:type="dxa"/>
                </w:tcPr>
                <w:p>
                  <w:pPr>
                    <w:spacing w:line="360" w:lineRule="auto"/>
                    <w:jc w:val="center"/>
                    <w:rPr>
                      <w:rFonts w:hAnsi="宋体" w:cs="宋体"/>
                      <w:color w:val="auto"/>
                      <w:sz w:val="21"/>
                      <w:szCs w:val="21"/>
                    </w:rPr>
                  </w:pPr>
                  <w:r>
                    <w:rPr>
                      <w:rFonts w:hint="eastAsia" w:hAnsi="宋体" w:cs="宋体"/>
                      <w:color w:val="auto"/>
                      <w:sz w:val="21"/>
                      <w:szCs w:val="21"/>
                    </w:rPr>
                    <w:t>0.01%</w:t>
                  </w:r>
                </w:p>
              </w:tc>
              <w:tc>
                <w:tcPr>
                  <w:tcW w:w="1477" w:type="dxa"/>
                </w:tcPr>
                <w:p>
                  <w:pPr>
                    <w:spacing w:line="360" w:lineRule="auto"/>
                    <w:jc w:val="center"/>
                    <w:rPr>
                      <w:rFonts w:hAnsi="宋体" w:cs="宋体"/>
                      <w:color w:val="auto"/>
                      <w:sz w:val="21"/>
                      <w:szCs w:val="21"/>
                    </w:rPr>
                  </w:pPr>
                  <w:r>
                    <w:rPr>
                      <w:rFonts w:hint="eastAsia" w:hAnsi="宋体" w:cs="宋体"/>
                      <w:color w:val="auto"/>
                      <w:sz w:val="21"/>
                      <w:szCs w:val="21"/>
                    </w:rPr>
                    <w:t>0.01%</w:t>
                  </w:r>
                </w:p>
              </w:tc>
              <w:tc>
                <w:tcPr>
                  <w:tcW w:w="1478" w:type="dxa"/>
                </w:tcPr>
                <w:p>
                  <w:pPr>
                    <w:spacing w:line="360" w:lineRule="auto"/>
                    <w:jc w:val="center"/>
                    <w:rPr>
                      <w:rFonts w:hAnsi="宋体" w:cs="宋体"/>
                      <w:color w:val="auto"/>
                      <w:sz w:val="21"/>
                      <w:szCs w:val="21"/>
                    </w:rPr>
                  </w:pPr>
                  <w:r>
                    <w:rPr>
                      <w:rFonts w:hint="eastAsia" w:hAnsi="宋体" w:cs="宋体"/>
                      <w:color w:val="auto"/>
                      <w:sz w:val="21"/>
                      <w:szCs w:val="21"/>
                    </w:rPr>
                    <w:t>0.01%</w:t>
                  </w:r>
                </w:p>
              </w:tc>
            </w:tr>
          </w:tbl>
          <w:p>
            <w:pPr>
              <w:pStyle w:val="111"/>
              <w:spacing w:line="360" w:lineRule="auto"/>
              <w:rPr>
                <w:b/>
                <w:bCs/>
                <w:color w:val="auto"/>
                <w:kern w:val="2"/>
                <w:sz w:val="21"/>
                <w:szCs w:val="21"/>
              </w:rPr>
            </w:pPr>
            <w:r>
              <w:rPr>
                <w:rFonts w:hint="eastAsia"/>
                <w:color w:val="auto"/>
                <w:sz w:val="21"/>
                <w:szCs w:val="21"/>
                <w:lang w:val="zh-CN"/>
              </w:rPr>
              <w:t>注:1、按本表费率计算的收费为招标代理服务全过程的收费基准价格。2、招标代理服务收费按差额定率累进法计算。例如：某工程招标代理业务中标金额为6000万元，计算招标代理服务收费额如下：  100万元×1.0%=1万元  (500-100)万元×0.7%=2.8万元 (1000-500)万元×0.55%=2.75万元 (5000-1000)万元×0.35%=14万元 (6000-5000)万元×0.2%=2万元合计收费=1＋2.8＋2.75＋14＋2=22.55(万元)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240" w:hRule="atLeast"/>
          <w:jc w:val="center"/>
        </w:trPr>
        <w:tc>
          <w:tcPr>
            <w:tcW w:w="532" w:type="dxa"/>
            <w:vAlign w:val="center"/>
          </w:tcPr>
          <w:p>
            <w:pPr>
              <w:pStyle w:val="111"/>
              <w:spacing w:line="360" w:lineRule="auto"/>
              <w:ind w:right="230"/>
              <w:jc w:val="center"/>
              <w:rPr>
                <w:color w:val="auto"/>
                <w:kern w:val="2"/>
                <w:sz w:val="21"/>
                <w:szCs w:val="21"/>
              </w:rPr>
            </w:pPr>
            <w:r>
              <w:rPr>
                <w:rFonts w:hint="eastAsia"/>
                <w:color w:val="auto"/>
                <w:kern w:val="2"/>
                <w:sz w:val="21"/>
                <w:szCs w:val="21"/>
              </w:rPr>
              <w:t>9</w:t>
            </w:r>
          </w:p>
        </w:tc>
        <w:tc>
          <w:tcPr>
            <w:tcW w:w="1780" w:type="dxa"/>
            <w:vAlign w:val="center"/>
          </w:tcPr>
          <w:p>
            <w:pPr>
              <w:pStyle w:val="111"/>
              <w:spacing w:line="360" w:lineRule="auto"/>
              <w:ind w:left="96"/>
              <w:rPr>
                <w:color w:val="auto"/>
                <w:sz w:val="21"/>
                <w:szCs w:val="21"/>
              </w:rPr>
            </w:pPr>
            <w:r>
              <w:rPr>
                <w:rFonts w:hint="eastAsia"/>
                <w:color w:val="auto"/>
                <w:sz w:val="21"/>
                <w:szCs w:val="21"/>
              </w:rPr>
              <w:t>政府采购信用担保及信用融资政策</w:t>
            </w:r>
          </w:p>
        </w:tc>
        <w:tc>
          <w:tcPr>
            <w:tcW w:w="6374" w:type="dxa"/>
            <w:vAlign w:val="center"/>
          </w:tcPr>
          <w:p>
            <w:pPr>
              <w:pStyle w:val="111"/>
              <w:spacing w:line="360" w:lineRule="auto"/>
              <w:rPr>
                <w:color w:val="auto"/>
                <w:sz w:val="21"/>
                <w:szCs w:val="21"/>
              </w:rPr>
            </w:pPr>
            <w:r>
              <w:rPr>
                <w:rFonts w:hint="eastAsia"/>
                <w:color w:val="auto"/>
                <w:sz w:val="21"/>
                <w:szCs w:val="21"/>
              </w:rPr>
              <w:t>为支持和促进中小企业发展，进一步发挥政府采购政策功能作用，有效缓解中小企业融资难、融资贵问题，根据财政部财库【2011】124号文件的精神及陕西省财政厅关于印发《陕西省中小企业政府采购信用融资办法》陕财办采〔2018〕23号规定，有需要的投标人可自行决定是否参加，并按信用融资办法的相关程序申请办理。</w:t>
            </w:r>
          </w:p>
          <w:p>
            <w:pPr>
              <w:pStyle w:val="111"/>
              <w:spacing w:line="360" w:lineRule="auto"/>
              <w:rPr>
                <w:color w:val="auto"/>
                <w:sz w:val="21"/>
                <w:szCs w:val="21"/>
              </w:rPr>
            </w:pPr>
            <w:r>
              <w:rPr>
                <w:rFonts w:hint="eastAsia"/>
                <w:color w:val="auto"/>
                <w:sz w:val="21"/>
                <w:szCs w:val="21"/>
              </w:rPr>
              <w:t>陕西省政府采购支持中小企业信用融资合作银行名单详见（陕西省政府采购网-采购动态-重要通知http://www.ccgp-shaanxi.gov.cn/）</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240" w:hRule="atLeast"/>
          <w:jc w:val="center"/>
        </w:trPr>
        <w:tc>
          <w:tcPr>
            <w:tcW w:w="532" w:type="dxa"/>
            <w:vAlign w:val="center"/>
          </w:tcPr>
          <w:p>
            <w:pPr>
              <w:pStyle w:val="111"/>
              <w:spacing w:line="360" w:lineRule="auto"/>
              <w:ind w:right="230"/>
              <w:jc w:val="center"/>
              <w:rPr>
                <w:color w:val="auto"/>
                <w:kern w:val="2"/>
                <w:sz w:val="21"/>
                <w:szCs w:val="21"/>
              </w:rPr>
            </w:pPr>
            <w:r>
              <w:rPr>
                <w:rFonts w:hint="eastAsia"/>
                <w:color w:val="auto"/>
                <w:kern w:val="2"/>
                <w:sz w:val="21"/>
                <w:szCs w:val="21"/>
              </w:rPr>
              <w:t>10</w:t>
            </w:r>
          </w:p>
        </w:tc>
        <w:tc>
          <w:tcPr>
            <w:tcW w:w="1780" w:type="dxa"/>
            <w:vAlign w:val="center"/>
          </w:tcPr>
          <w:p>
            <w:pPr>
              <w:pStyle w:val="111"/>
              <w:spacing w:line="360" w:lineRule="auto"/>
              <w:ind w:left="96"/>
              <w:rPr>
                <w:color w:val="auto"/>
                <w:sz w:val="21"/>
                <w:szCs w:val="21"/>
              </w:rPr>
            </w:pPr>
            <w:r>
              <w:rPr>
                <w:rFonts w:hint="eastAsia"/>
                <w:color w:val="auto"/>
                <w:sz w:val="21"/>
                <w:szCs w:val="21"/>
              </w:rPr>
              <w:t>弃标说明</w:t>
            </w:r>
          </w:p>
        </w:tc>
        <w:tc>
          <w:tcPr>
            <w:tcW w:w="6374" w:type="dxa"/>
            <w:vAlign w:val="center"/>
          </w:tcPr>
          <w:p>
            <w:pPr>
              <w:adjustRightInd w:val="0"/>
              <w:snapToGrid w:val="0"/>
              <w:spacing w:line="360" w:lineRule="auto"/>
              <w:ind w:left="96"/>
              <w:rPr>
                <w:rFonts w:hAnsi="宋体" w:cs="宋体"/>
                <w:color w:val="auto"/>
                <w:sz w:val="21"/>
                <w:szCs w:val="21"/>
              </w:rPr>
            </w:pPr>
            <w:r>
              <w:rPr>
                <w:rFonts w:hint="eastAsia" w:hAnsi="宋体" w:cs="宋体"/>
                <w:color w:val="auto"/>
                <w:sz w:val="21"/>
                <w:szCs w:val="21"/>
              </w:rPr>
              <w:t>按照《西安市财政局关于促进政府采购公平竞争优化营商环境的通知》（市财函〔2021) 431号）规定：供应商登记免费领取招标文件的，如不参与项目投标，应在递交投标文件截止时间前一日以书面形式告知釆购代理机构；否则，采购代理机构可以向财政部门反映情况并提供相应的佐证。供应商一年内累计出现三次该情形，将被监管部门记录为失信行为。</w:t>
            </w:r>
          </w:p>
          <w:p>
            <w:pPr>
              <w:adjustRightInd w:val="0"/>
              <w:snapToGrid w:val="0"/>
              <w:spacing w:line="360" w:lineRule="auto"/>
              <w:ind w:left="96"/>
              <w:rPr>
                <w:rFonts w:hAnsi="宋体" w:cs="宋体"/>
                <w:color w:val="auto"/>
                <w:sz w:val="21"/>
                <w:szCs w:val="21"/>
              </w:rPr>
            </w:pPr>
            <w:r>
              <w:rPr>
                <w:rFonts w:hint="eastAsia" w:hAnsi="宋体" w:cs="宋体"/>
                <w:b/>
                <w:bCs/>
                <w:color w:val="auto"/>
                <w:sz w:val="21"/>
                <w:szCs w:val="21"/>
              </w:rPr>
              <w:t>注：领取本项目采购文件的供应商，如不参与投标，请在规定时间前将书面告知函回执至邮箱：496862782@qq.com</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240" w:hRule="atLeast"/>
          <w:jc w:val="center"/>
        </w:trPr>
        <w:tc>
          <w:tcPr>
            <w:tcW w:w="532" w:type="dxa"/>
            <w:vAlign w:val="center"/>
          </w:tcPr>
          <w:p>
            <w:pPr>
              <w:pStyle w:val="111"/>
              <w:spacing w:line="360" w:lineRule="auto"/>
              <w:ind w:right="230"/>
              <w:jc w:val="center"/>
              <w:rPr>
                <w:color w:val="auto"/>
                <w:kern w:val="2"/>
                <w:sz w:val="21"/>
                <w:szCs w:val="21"/>
              </w:rPr>
            </w:pPr>
            <w:bookmarkStart w:id="34" w:name="_Toc23324"/>
            <w:bookmarkStart w:id="35" w:name="_Toc7492"/>
            <w:bookmarkStart w:id="36" w:name="_Toc22823"/>
            <w:bookmarkStart w:id="37" w:name="_Toc1793"/>
            <w:r>
              <w:rPr>
                <w:rFonts w:hint="eastAsia"/>
                <w:color w:val="auto"/>
                <w:kern w:val="2"/>
                <w:sz w:val="21"/>
                <w:szCs w:val="21"/>
              </w:rPr>
              <w:t>11</w:t>
            </w:r>
          </w:p>
        </w:tc>
        <w:tc>
          <w:tcPr>
            <w:tcW w:w="1780" w:type="dxa"/>
            <w:vAlign w:val="center"/>
          </w:tcPr>
          <w:p>
            <w:pPr>
              <w:pStyle w:val="111"/>
              <w:spacing w:line="276" w:lineRule="auto"/>
              <w:ind w:left="96"/>
              <w:rPr>
                <w:b/>
                <w:sz w:val="21"/>
                <w:szCs w:val="21"/>
                <w:lang w:val="zh-CN"/>
              </w:rPr>
            </w:pPr>
            <w:r>
              <w:rPr>
                <w:rFonts w:hint="eastAsia"/>
                <w:b/>
                <w:sz w:val="21"/>
                <w:szCs w:val="21"/>
                <w:lang w:val="zh-CN"/>
              </w:rPr>
              <w:t>本项目特别约定</w:t>
            </w:r>
          </w:p>
        </w:tc>
        <w:tc>
          <w:tcPr>
            <w:tcW w:w="6374" w:type="dxa"/>
            <w:vAlign w:val="center"/>
          </w:tcPr>
          <w:p>
            <w:pPr>
              <w:pStyle w:val="111"/>
              <w:spacing w:line="276" w:lineRule="auto"/>
              <w:ind w:firstLine="105" w:firstLineChars="50"/>
              <w:rPr>
                <w:color w:val="auto"/>
                <w:sz w:val="21"/>
                <w:szCs w:val="21"/>
              </w:rPr>
            </w:pPr>
            <w:r>
              <w:rPr>
                <w:rFonts w:hint="eastAsia"/>
                <w:color w:val="auto"/>
                <w:sz w:val="21"/>
                <w:szCs w:val="21"/>
              </w:rPr>
              <w:t>1. 本次招标为保证能按时按质按量交货，01-04包中，同一供应商只能成为一个包的第一中标候选人。投标人同时参加本项目多个包投标的，只要成为其中任意一个包的第一中标候选人，必须自愿放弃成为其他包第一中标候选人的资格。</w:t>
            </w:r>
          </w:p>
          <w:p>
            <w:pPr>
              <w:pStyle w:val="111"/>
              <w:spacing w:line="276" w:lineRule="auto"/>
              <w:ind w:firstLine="105" w:firstLineChars="50"/>
              <w:rPr>
                <w:color w:val="auto"/>
                <w:sz w:val="21"/>
                <w:szCs w:val="21"/>
              </w:rPr>
            </w:pPr>
            <w:r>
              <w:rPr>
                <w:rFonts w:hint="eastAsia"/>
                <w:color w:val="auto"/>
                <w:sz w:val="21"/>
                <w:szCs w:val="21"/>
              </w:rPr>
              <w:t>2.评审顺序按01包-04包的评审顺序进行，放弃第一中标候选的资格顺序也按01-04包的顺序进行。</w:t>
            </w:r>
          </w:p>
          <w:p>
            <w:pPr>
              <w:pStyle w:val="111"/>
              <w:spacing w:line="276" w:lineRule="auto"/>
              <w:ind w:firstLine="105" w:firstLineChars="50"/>
              <w:rPr>
                <w:sz w:val="21"/>
                <w:szCs w:val="21"/>
                <w:lang w:val="zh-CN"/>
              </w:rPr>
            </w:pPr>
            <w:r>
              <w:rPr>
                <w:rFonts w:hint="eastAsia"/>
                <w:sz w:val="21"/>
                <w:szCs w:val="21"/>
                <w:lang w:val="zh-CN"/>
              </w:rPr>
              <w:t>注</w:t>
            </w:r>
            <w:r>
              <w:rPr>
                <w:b/>
                <w:sz w:val="21"/>
                <w:szCs w:val="21"/>
                <w:lang w:val="zh-CN"/>
              </w:rPr>
              <w:t>:</w:t>
            </w:r>
            <w:r>
              <w:rPr>
                <w:rFonts w:hint="eastAsia"/>
                <w:b/>
                <w:sz w:val="21"/>
                <w:szCs w:val="21"/>
                <w:lang w:val="zh-CN"/>
              </w:rPr>
              <w:t>本约定适用于同时购买</w:t>
            </w:r>
            <w:r>
              <w:rPr>
                <w:rFonts w:hint="eastAsia"/>
                <w:b/>
                <w:sz w:val="21"/>
                <w:szCs w:val="21"/>
              </w:rPr>
              <w:t>多包</w:t>
            </w:r>
            <w:r>
              <w:rPr>
                <w:rFonts w:hint="eastAsia"/>
                <w:b/>
                <w:sz w:val="21"/>
                <w:szCs w:val="21"/>
                <w:lang w:val="zh-CN"/>
              </w:rPr>
              <w:t>的投标供应商。</w:t>
            </w:r>
          </w:p>
        </w:tc>
      </w:tr>
    </w:tbl>
    <w:p>
      <w:pPr>
        <w:spacing w:line="360" w:lineRule="auto"/>
        <w:jc w:val="left"/>
        <w:rPr>
          <w:rFonts w:hAnsi="宋体" w:cs="宋体"/>
          <w:b/>
          <w:color w:val="auto"/>
          <w:sz w:val="28"/>
          <w:szCs w:val="28"/>
        </w:rPr>
      </w:pPr>
    </w:p>
    <w:p>
      <w:pPr>
        <w:keepNext/>
        <w:keepLines/>
        <w:spacing w:before="340" w:after="330"/>
        <w:rPr>
          <w:rFonts w:ascii="Times New Roman"/>
          <w:sz w:val="22"/>
          <w:szCs w:val="21"/>
        </w:rPr>
      </w:pPr>
      <w:bookmarkStart w:id="38" w:name="_Toc5874"/>
      <w:bookmarkStart w:id="39" w:name="_Toc24931"/>
      <w:r>
        <w:rPr>
          <w:rFonts w:hint="eastAsia" w:hAnsi="宋体" w:cs="宋体"/>
          <w:color w:val="auto"/>
          <w:sz w:val="36"/>
          <w:szCs w:val="36"/>
        </w:rPr>
        <w:br w:type="page"/>
      </w:r>
      <w:bookmarkEnd w:id="31"/>
      <w:bookmarkEnd w:id="32"/>
      <w:bookmarkEnd w:id="33"/>
      <w:bookmarkEnd w:id="34"/>
      <w:bookmarkEnd w:id="35"/>
      <w:bookmarkEnd w:id="36"/>
      <w:bookmarkEnd w:id="37"/>
      <w:bookmarkEnd w:id="38"/>
      <w:bookmarkEnd w:id="39"/>
      <w:bookmarkStart w:id="40" w:name="_Toc12725"/>
      <w:bookmarkStart w:id="41" w:name="_Toc1164"/>
      <w:bookmarkStart w:id="42" w:name="_Toc18945"/>
      <w:bookmarkStart w:id="43" w:name="_Toc28837"/>
      <w:bookmarkStart w:id="44" w:name="_Toc3360"/>
      <w:bookmarkStart w:id="45" w:name="_Toc14559"/>
      <w:bookmarkStart w:id="46" w:name="_Toc217446082"/>
      <w:r>
        <w:rPr>
          <w:rFonts w:hint="eastAsia" w:ascii="Times New Roman"/>
          <w:sz w:val="32"/>
          <w:szCs w:val="32"/>
        </w:rPr>
        <w:t>二、总则</w:t>
      </w:r>
    </w:p>
    <w:p>
      <w:pPr>
        <w:pStyle w:val="5"/>
        <w:spacing w:line="276" w:lineRule="auto"/>
        <w:rPr>
          <w:rFonts w:hAnsi="Times New Roman"/>
          <w:sz w:val="22"/>
          <w:szCs w:val="21"/>
        </w:rPr>
      </w:pPr>
      <w:bookmarkStart w:id="47" w:name="_Toc21879"/>
      <w:r>
        <w:rPr>
          <w:rFonts w:hAnsi="Times New Roman"/>
          <w:sz w:val="22"/>
          <w:szCs w:val="21"/>
        </w:rPr>
        <w:t>1.</w:t>
      </w:r>
      <w:r>
        <w:rPr>
          <w:rFonts w:hint="eastAsia" w:hAnsi="Times New Roman"/>
          <w:sz w:val="22"/>
        </w:rPr>
        <w:t>适用范围</w:t>
      </w:r>
      <w:bookmarkEnd w:id="47"/>
    </w:p>
    <w:p>
      <w:pPr>
        <w:tabs>
          <w:tab w:val="left" w:pos="7665"/>
        </w:tabs>
        <w:spacing w:line="460" w:lineRule="exact"/>
        <w:ind w:firstLine="440" w:firstLineChars="200"/>
        <w:rPr>
          <w:rFonts w:ascii="Times New Roman"/>
          <w:sz w:val="22"/>
          <w:szCs w:val="21"/>
        </w:rPr>
      </w:pPr>
      <w:r>
        <w:rPr>
          <w:rFonts w:ascii="Times New Roman"/>
          <w:sz w:val="22"/>
          <w:szCs w:val="21"/>
        </w:rPr>
        <w:t xml:space="preserve">1.1 </w:t>
      </w:r>
      <w:r>
        <w:rPr>
          <w:rFonts w:hint="eastAsia" w:ascii="Times New Roman"/>
          <w:sz w:val="22"/>
          <w:szCs w:val="21"/>
        </w:rPr>
        <w:t>本招标文件仅适用于本次公开招标采购项目。</w:t>
      </w:r>
    </w:p>
    <w:p>
      <w:pPr>
        <w:pStyle w:val="5"/>
        <w:spacing w:line="276" w:lineRule="auto"/>
        <w:rPr>
          <w:rFonts w:hAnsi="Times New Roman"/>
          <w:sz w:val="22"/>
          <w:szCs w:val="21"/>
        </w:rPr>
      </w:pPr>
      <w:bookmarkStart w:id="48" w:name="_Toc183682343"/>
      <w:bookmarkStart w:id="49" w:name="_Toc183582206"/>
      <w:bookmarkStart w:id="50" w:name="_Toc217446035"/>
      <w:bookmarkStart w:id="51" w:name="_Toc458"/>
      <w:r>
        <w:rPr>
          <w:rFonts w:hAnsi="Times New Roman"/>
          <w:sz w:val="22"/>
          <w:szCs w:val="21"/>
        </w:rPr>
        <w:t xml:space="preserve">2. </w:t>
      </w:r>
      <w:bookmarkEnd w:id="48"/>
      <w:bookmarkEnd w:id="49"/>
      <w:r>
        <w:rPr>
          <w:rFonts w:hint="eastAsia" w:hAnsi="Times New Roman"/>
          <w:sz w:val="22"/>
          <w:szCs w:val="21"/>
        </w:rPr>
        <w:t>有关</w:t>
      </w:r>
      <w:r>
        <w:rPr>
          <w:rFonts w:hint="eastAsia" w:hAnsi="Times New Roman"/>
          <w:sz w:val="22"/>
        </w:rPr>
        <w:t>定义</w:t>
      </w:r>
      <w:bookmarkEnd w:id="50"/>
      <w:bookmarkEnd w:id="51"/>
    </w:p>
    <w:p>
      <w:pPr>
        <w:tabs>
          <w:tab w:val="left" w:pos="7665"/>
        </w:tabs>
        <w:spacing w:line="460" w:lineRule="exact"/>
        <w:ind w:firstLine="440" w:firstLineChars="200"/>
        <w:rPr>
          <w:rFonts w:ascii="Times New Roman"/>
          <w:sz w:val="22"/>
          <w:szCs w:val="21"/>
        </w:rPr>
      </w:pPr>
      <w:r>
        <w:rPr>
          <w:rFonts w:ascii="Times New Roman"/>
          <w:sz w:val="22"/>
          <w:szCs w:val="21"/>
        </w:rPr>
        <w:t>2.1 “</w:t>
      </w:r>
      <w:r>
        <w:rPr>
          <w:rFonts w:hint="eastAsia" w:ascii="Times New Roman"/>
          <w:sz w:val="22"/>
          <w:szCs w:val="21"/>
        </w:rPr>
        <w:t>采购人</w:t>
      </w:r>
      <w:r>
        <w:rPr>
          <w:rFonts w:ascii="Times New Roman"/>
          <w:sz w:val="22"/>
          <w:szCs w:val="21"/>
        </w:rPr>
        <w:t>”</w:t>
      </w:r>
      <w:r>
        <w:rPr>
          <w:rFonts w:hint="eastAsia" w:ascii="Times New Roman"/>
          <w:sz w:val="22"/>
          <w:szCs w:val="21"/>
        </w:rPr>
        <w:t>系指依法进行政府采购的国家机关、事业单位、团体组织。本次招标的采购人是</w:t>
      </w:r>
      <w:r>
        <w:rPr>
          <w:rFonts w:hint="eastAsia" w:ascii="Times New Roman" w:hAnsi="宋体"/>
          <w:kern w:val="1"/>
          <w:sz w:val="22"/>
          <w:szCs w:val="21"/>
          <w:u w:val="single"/>
        </w:rPr>
        <w:t>西安市临潼区教育局</w:t>
      </w:r>
      <w:r>
        <w:rPr>
          <w:rFonts w:hint="eastAsia" w:ascii="Times New Roman"/>
          <w:sz w:val="22"/>
          <w:szCs w:val="21"/>
        </w:rPr>
        <w:t>。</w:t>
      </w:r>
    </w:p>
    <w:p>
      <w:pPr>
        <w:tabs>
          <w:tab w:val="left" w:pos="7665"/>
        </w:tabs>
        <w:spacing w:line="460" w:lineRule="exact"/>
        <w:ind w:firstLine="440" w:firstLineChars="200"/>
        <w:rPr>
          <w:rFonts w:ascii="Times New Roman"/>
          <w:sz w:val="22"/>
          <w:szCs w:val="21"/>
        </w:rPr>
      </w:pPr>
      <w:r>
        <w:rPr>
          <w:rFonts w:ascii="Times New Roman"/>
          <w:sz w:val="22"/>
          <w:szCs w:val="21"/>
        </w:rPr>
        <w:t>2.2 “</w:t>
      </w:r>
      <w:r>
        <w:rPr>
          <w:rFonts w:hint="eastAsia" w:ascii="Times New Roman" w:hAnsi="宋体"/>
          <w:sz w:val="22"/>
          <w:szCs w:val="21"/>
        </w:rPr>
        <w:t>采购代理机构</w:t>
      </w:r>
      <w:r>
        <w:rPr>
          <w:rFonts w:ascii="Times New Roman"/>
          <w:sz w:val="22"/>
          <w:szCs w:val="21"/>
        </w:rPr>
        <w:t xml:space="preserve">” </w:t>
      </w:r>
      <w:r>
        <w:rPr>
          <w:rFonts w:hint="eastAsia" w:ascii="Times New Roman" w:hAnsi="宋体"/>
          <w:sz w:val="22"/>
          <w:szCs w:val="21"/>
        </w:rPr>
        <w:t>系指根据采购人的委托依法办理招标事宜的采购机构。本次招标的采购代理机构是</w:t>
      </w:r>
      <w:r>
        <w:rPr>
          <w:rFonts w:hint="eastAsia" w:ascii="Times New Roman" w:hAnsi="宋体"/>
          <w:sz w:val="22"/>
          <w:szCs w:val="21"/>
          <w:u w:val="single"/>
        </w:rPr>
        <w:t>四川国际招标有限责任公司</w:t>
      </w:r>
      <w:r>
        <w:rPr>
          <w:rFonts w:hint="eastAsia" w:ascii="Times New Roman" w:hAnsi="宋体"/>
          <w:sz w:val="22"/>
          <w:szCs w:val="21"/>
        </w:rPr>
        <w:t>。</w:t>
      </w:r>
    </w:p>
    <w:p>
      <w:pPr>
        <w:tabs>
          <w:tab w:val="left" w:pos="7665"/>
        </w:tabs>
        <w:spacing w:line="460" w:lineRule="exact"/>
        <w:ind w:firstLine="440" w:firstLineChars="200"/>
        <w:rPr>
          <w:rFonts w:ascii="Times New Roman"/>
          <w:sz w:val="22"/>
          <w:szCs w:val="21"/>
        </w:rPr>
      </w:pPr>
      <w:r>
        <w:rPr>
          <w:rFonts w:ascii="Times New Roman"/>
          <w:sz w:val="22"/>
          <w:szCs w:val="21"/>
        </w:rPr>
        <w:t>2.3 “</w:t>
      </w:r>
      <w:r>
        <w:rPr>
          <w:rFonts w:hint="eastAsia" w:ascii="Times New Roman"/>
          <w:sz w:val="22"/>
          <w:szCs w:val="21"/>
        </w:rPr>
        <w:t>招标采购单位</w:t>
      </w:r>
      <w:r>
        <w:rPr>
          <w:rFonts w:ascii="Times New Roman"/>
          <w:sz w:val="22"/>
          <w:szCs w:val="21"/>
        </w:rPr>
        <w:t>”</w:t>
      </w:r>
      <w:r>
        <w:rPr>
          <w:rFonts w:hint="eastAsia" w:ascii="Times New Roman"/>
          <w:sz w:val="22"/>
          <w:szCs w:val="21"/>
        </w:rPr>
        <w:t>系指</w:t>
      </w:r>
      <w:r>
        <w:rPr>
          <w:rFonts w:ascii="Times New Roman"/>
          <w:sz w:val="22"/>
          <w:szCs w:val="21"/>
        </w:rPr>
        <w:t>“</w:t>
      </w:r>
      <w:r>
        <w:rPr>
          <w:rFonts w:hint="eastAsia" w:ascii="Times New Roman"/>
          <w:sz w:val="22"/>
          <w:szCs w:val="21"/>
        </w:rPr>
        <w:t>采购人</w:t>
      </w:r>
      <w:r>
        <w:rPr>
          <w:rFonts w:ascii="Times New Roman"/>
          <w:sz w:val="22"/>
          <w:szCs w:val="21"/>
        </w:rPr>
        <w:t>”</w:t>
      </w:r>
      <w:r>
        <w:rPr>
          <w:rFonts w:hint="eastAsia" w:ascii="Times New Roman"/>
          <w:sz w:val="22"/>
          <w:szCs w:val="21"/>
        </w:rPr>
        <w:t>和</w:t>
      </w:r>
      <w:r>
        <w:rPr>
          <w:rFonts w:ascii="Times New Roman"/>
          <w:sz w:val="22"/>
          <w:szCs w:val="21"/>
        </w:rPr>
        <w:t>“</w:t>
      </w:r>
      <w:r>
        <w:rPr>
          <w:rFonts w:hint="eastAsia" w:ascii="Times New Roman"/>
          <w:sz w:val="22"/>
          <w:szCs w:val="21"/>
        </w:rPr>
        <w:t>采购代理机构</w:t>
      </w:r>
      <w:r>
        <w:rPr>
          <w:rFonts w:ascii="Times New Roman"/>
          <w:sz w:val="22"/>
          <w:szCs w:val="21"/>
        </w:rPr>
        <w:t>”</w:t>
      </w:r>
      <w:r>
        <w:rPr>
          <w:rFonts w:hint="eastAsia" w:ascii="Times New Roman"/>
          <w:sz w:val="22"/>
          <w:szCs w:val="21"/>
        </w:rPr>
        <w:t>的统称。</w:t>
      </w:r>
    </w:p>
    <w:p>
      <w:pPr>
        <w:tabs>
          <w:tab w:val="left" w:pos="7665"/>
        </w:tabs>
        <w:spacing w:line="460" w:lineRule="exact"/>
        <w:ind w:firstLine="440" w:firstLineChars="200"/>
        <w:rPr>
          <w:rFonts w:ascii="Times New Roman"/>
          <w:sz w:val="22"/>
          <w:szCs w:val="21"/>
        </w:rPr>
      </w:pPr>
      <w:r>
        <w:rPr>
          <w:rFonts w:ascii="Times New Roman"/>
          <w:sz w:val="22"/>
          <w:szCs w:val="21"/>
        </w:rPr>
        <w:t>2.4 “</w:t>
      </w:r>
      <w:r>
        <w:rPr>
          <w:rFonts w:hint="eastAsia" w:ascii="Times New Roman"/>
          <w:sz w:val="22"/>
          <w:szCs w:val="21"/>
        </w:rPr>
        <w:t>投标人</w:t>
      </w:r>
      <w:r>
        <w:rPr>
          <w:rFonts w:ascii="Times New Roman"/>
          <w:sz w:val="22"/>
          <w:szCs w:val="21"/>
        </w:rPr>
        <w:t>”</w:t>
      </w:r>
      <w:r>
        <w:rPr>
          <w:rFonts w:hint="eastAsia" w:ascii="Times New Roman"/>
          <w:sz w:val="22"/>
          <w:szCs w:val="21"/>
        </w:rPr>
        <w:t>系指购买了招标文件拟参加投标和向采购人提供服务的供应商。</w:t>
      </w:r>
    </w:p>
    <w:p>
      <w:pPr>
        <w:pStyle w:val="5"/>
        <w:spacing w:line="400" w:lineRule="exact"/>
        <w:rPr>
          <w:rFonts w:hAnsi="Times New Roman"/>
          <w:sz w:val="22"/>
          <w:szCs w:val="21"/>
        </w:rPr>
      </w:pPr>
      <w:bookmarkStart w:id="52" w:name="_Toc217446036"/>
      <w:bookmarkStart w:id="53" w:name="_Toc183582207"/>
      <w:bookmarkStart w:id="54" w:name="_Toc183682344"/>
      <w:bookmarkStart w:id="55" w:name="_Toc217390843"/>
      <w:bookmarkStart w:id="56" w:name="_Toc183582209"/>
      <w:bookmarkStart w:id="57" w:name="_Toc77400779"/>
      <w:bookmarkStart w:id="58" w:name="_Toc89075875"/>
      <w:bookmarkStart w:id="59" w:name="_Toc22869"/>
      <w:bookmarkStart w:id="60" w:name="_Toc13653"/>
      <w:bookmarkStart w:id="61" w:name="_Toc13323"/>
      <w:bookmarkStart w:id="62" w:name="_Toc217446038"/>
      <w:bookmarkStart w:id="63" w:name="_Toc183682346"/>
      <w:bookmarkStart w:id="64" w:name="_Toc6652"/>
      <w:bookmarkStart w:id="65" w:name="_Toc18993"/>
      <w:bookmarkStart w:id="66" w:name="_Toc24610"/>
      <w:r>
        <w:rPr>
          <w:rFonts w:hAnsi="Times New Roman"/>
          <w:sz w:val="22"/>
          <w:szCs w:val="21"/>
        </w:rPr>
        <w:t xml:space="preserve">3. </w:t>
      </w:r>
      <w:r>
        <w:rPr>
          <w:rFonts w:hint="eastAsia" w:hAnsi="Times New Roman"/>
          <w:sz w:val="22"/>
          <w:szCs w:val="21"/>
        </w:rPr>
        <w:t>合格的投标人</w:t>
      </w:r>
      <w:bookmarkEnd w:id="52"/>
      <w:bookmarkEnd w:id="53"/>
      <w:bookmarkEnd w:id="54"/>
      <w:bookmarkEnd w:id="55"/>
    </w:p>
    <w:p>
      <w:pPr>
        <w:tabs>
          <w:tab w:val="left" w:pos="7665"/>
        </w:tabs>
        <w:spacing w:line="400" w:lineRule="exact"/>
        <w:ind w:firstLine="440" w:firstLineChars="200"/>
        <w:rPr>
          <w:rFonts w:ascii="Times New Roman"/>
          <w:sz w:val="22"/>
          <w:szCs w:val="21"/>
        </w:rPr>
      </w:pPr>
      <w:r>
        <w:rPr>
          <w:rFonts w:hint="eastAsia" w:ascii="Times New Roman"/>
          <w:sz w:val="22"/>
          <w:szCs w:val="21"/>
        </w:rPr>
        <w:t>合格的投标人应具备以下条件：</w:t>
      </w:r>
    </w:p>
    <w:p>
      <w:pPr>
        <w:tabs>
          <w:tab w:val="left" w:pos="7665"/>
        </w:tabs>
        <w:spacing w:line="400" w:lineRule="exact"/>
        <w:ind w:firstLine="440" w:firstLineChars="200"/>
        <w:rPr>
          <w:rFonts w:ascii="Times New Roman"/>
          <w:sz w:val="22"/>
          <w:szCs w:val="21"/>
        </w:rPr>
      </w:pPr>
      <w:r>
        <w:rPr>
          <w:rFonts w:hint="eastAsia" w:ascii="Times New Roman"/>
          <w:sz w:val="22"/>
          <w:szCs w:val="21"/>
        </w:rPr>
        <w:t>（</w:t>
      </w:r>
      <w:r>
        <w:rPr>
          <w:rFonts w:ascii="Times New Roman"/>
          <w:sz w:val="22"/>
          <w:szCs w:val="21"/>
        </w:rPr>
        <w:t>1</w:t>
      </w:r>
      <w:r>
        <w:rPr>
          <w:rFonts w:hint="eastAsia" w:ascii="Times New Roman"/>
          <w:sz w:val="22"/>
          <w:szCs w:val="21"/>
        </w:rPr>
        <w:t>）本招标文件规定的供应商资格条件；</w:t>
      </w:r>
    </w:p>
    <w:p>
      <w:pPr>
        <w:tabs>
          <w:tab w:val="left" w:pos="7665"/>
        </w:tabs>
        <w:spacing w:line="400" w:lineRule="exact"/>
        <w:ind w:firstLine="440" w:firstLineChars="200"/>
        <w:rPr>
          <w:rFonts w:ascii="Times New Roman"/>
          <w:sz w:val="22"/>
          <w:szCs w:val="21"/>
        </w:rPr>
      </w:pPr>
      <w:r>
        <w:rPr>
          <w:rFonts w:hint="eastAsia" w:ascii="Times New Roman"/>
          <w:sz w:val="22"/>
          <w:szCs w:val="21"/>
        </w:rPr>
        <w:t>（</w:t>
      </w:r>
      <w:r>
        <w:rPr>
          <w:rFonts w:ascii="Times New Roman"/>
          <w:sz w:val="22"/>
          <w:szCs w:val="21"/>
        </w:rPr>
        <w:t>2</w:t>
      </w:r>
      <w:r>
        <w:rPr>
          <w:rFonts w:hint="eastAsia" w:ascii="Times New Roman"/>
          <w:sz w:val="22"/>
          <w:szCs w:val="21"/>
        </w:rPr>
        <w:t>）遵守国家有关的法律、法规、规章和其他政策制度；</w:t>
      </w:r>
    </w:p>
    <w:p>
      <w:pPr>
        <w:tabs>
          <w:tab w:val="left" w:pos="7665"/>
        </w:tabs>
        <w:spacing w:line="400" w:lineRule="exact"/>
        <w:ind w:firstLine="440" w:firstLineChars="200"/>
        <w:rPr>
          <w:rFonts w:ascii="Times New Roman"/>
          <w:sz w:val="22"/>
          <w:szCs w:val="21"/>
        </w:rPr>
      </w:pPr>
      <w:r>
        <w:rPr>
          <w:rFonts w:hint="eastAsia" w:ascii="Times New Roman"/>
          <w:sz w:val="22"/>
          <w:szCs w:val="21"/>
        </w:rPr>
        <w:t>（</w:t>
      </w:r>
      <w:r>
        <w:rPr>
          <w:rFonts w:ascii="Times New Roman"/>
          <w:sz w:val="22"/>
          <w:szCs w:val="21"/>
        </w:rPr>
        <w:t>3</w:t>
      </w:r>
      <w:r>
        <w:rPr>
          <w:rFonts w:hint="eastAsia" w:ascii="Times New Roman"/>
          <w:sz w:val="22"/>
          <w:szCs w:val="21"/>
        </w:rPr>
        <w:t>）向采购代理机构购买了招标文件。</w:t>
      </w:r>
    </w:p>
    <w:p>
      <w:pPr>
        <w:pStyle w:val="5"/>
        <w:spacing w:line="400" w:lineRule="exact"/>
        <w:rPr>
          <w:rFonts w:hAnsi="Times New Roman"/>
          <w:sz w:val="22"/>
          <w:szCs w:val="21"/>
        </w:rPr>
      </w:pPr>
      <w:bookmarkStart w:id="67" w:name="_Toc183582208"/>
      <w:bookmarkStart w:id="68" w:name="_Toc183682345"/>
      <w:bookmarkStart w:id="69" w:name="_Toc217446037"/>
      <w:r>
        <w:rPr>
          <w:rFonts w:hAnsi="Times New Roman"/>
          <w:sz w:val="22"/>
          <w:szCs w:val="21"/>
        </w:rPr>
        <w:t xml:space="preserve">4. </w:t>
      </w:r>
      <w:r>
        <w:rPr>
          <w:rFonts w:hint="eastAsia" w:hAnsi="Times New Roman"/>
          <w:sz w:val="22"/>
          <w:szCs w:val="21"/>
        </w:rPr>
        <w:t>投标费用</w:t>
      </w:r>
      <w:bookmarkEnd w:id="67"/>
      <w:bookmarkEnd w:id="68"/>
      <w:bookmarkEnd w:id="69"/>
    </w:p>
    <w:p>
      <w:pPr>
        <w:tabs>
          <w:tab w:val="left" w:pos="7665"/>
        </w:tabs>
        <w:spacing w:line="400" w:lineRule="exact"/>
        <w:ind w:firstLine="480"/>
        <w:rPr>
          <w:rFonts w:ascii="Times New Roman"/>
          <w:sz w:val="22"/>
          <w:szCs w:val="21"/>
        </w:rPr>
      </w:pPr>
      <w:r>
        <w:rPr>
          <w:rFonts w:hint="eastAsia" w:ascii="Times New Roman"/>
          <w:sz w:val="22"/>
          <w:szCs w:val="21"/>
        </w:rPr>
        <w:t>投标人参加投标的有关费用由投标人自行承担。</w:t>
      </w:r>
    </w:p>
    <w:p>
      <w:pPr>
        <w:pStyle w:val="5"/>
        <w:spacing w:line="400" w:lineRule="exact"/>
        <w:rPr>
          <w:rFonts w:hAnsi="Times New Roman"/>
          <w:sz w:val="22"/>
          <w:szCs w:val="21"/>
        </w:rPr>
      </w:pPr>
      <w:r>
        <w:rPr>
          <w:rFonts w:hAnsi="Times New Roman"/>
          <w:sz w:val="22"/>
          <w:szCs w:val="21"/>
        </w:rPr>
        <w:t xml:space="preserve">5. </w:t>
      </w:r>
      <w:r>
        <w:rPr>
          <w:rFonts w:hint="eastAsia" w:hAnsi="Times New Roman"/>
          <w:sz w:val="22"/>
          <w:szCs w:val="21"/>
        </w:rPr>
        <w:t>充分、公平竞争保障措施</w:t>
      </w:r>
      <w:bookmarkStart w:id="239" w:name="_GoBack"/>
      <w:bookmarkEnd w:id="239"/>
    </w:p>
    <w:p>
      <w:pPr>
        <w:pStyle w:val="129"/>
        <w:spacing w:line="460" w:lineRule="exact"/>
        <w:ind w:left="1" w:firstLine="442" w:firstLineChars="200"/>
        <w:rPr>
          <w:rFonts w:ascii="Times New Roman" w:hAnsi="Times New Roman"/>
          <w:b/>
          <w:sz w:val="22"/>
        </w:rPr>
      </w:pPr>
      <w:r>
        <w:rPr>
          <w:rFonts w:ascii="Times New Roman" w:hAnsi="Times New Roman"/>
          <w:b/>
          <w:sz w:val="22"/>
          <w:szCs w:val="21"/>
        </w:rPr>
        <w:t xml:space="preserve">5.1 </w:t>
      </w:r>
      <w:r>
        <w:rPr>
          <w:rFonts w:hint="eastAsia" w:ascii="Times New Roman" w:hAnsi="Times New Roman"/>
          <w:b/>
          <w:sz w:val="22"/>
          <w:szCs w:val="21"/>
        </w:rPr>
        <w:t>提供相同品牌产品处理</w:t>
      </w:r>
      <w:r>
        <w:rPr>
          <w:rFonts w:hint="eastAsia" w:ascii="Times New Roman" w:hAnsi="Times New Roman"/>
          <w:b/>
          <w:sz w:val="22"/>
        </w:rPr>
        <w:t>。</w:t>
      </w:r>
    </w:p>
    <w:p>
      <w:pPr>
        <w:tabs>
          <w:tab w:val="left" w:pos="7665"/>
        </w:tabs>
        <w:spacing w:line="400" w:lineRule="exact"/>
        <w:ind w:firstLine="440" w:firstLineChars="200"/>
        <w:rPr>
          <w:rFonts w:ascii="Times New Roman"/>
          <w:b/>
          <w:sz w:val="22"/>
          <w:szCs w:val="21"/>
        </w:rPr>
      </w:pPr>
      <w:r>
        <w:rPr>
          <w:rFonts w:hint="eastAsia" w:ascii="Times New Roman"/>
          <w:sz w:val="22"/>
          <w:szCs w:val="21"/>
        </w:rPr>
        <w:t>5.1.1 非单一产品采购项目中，采购人根据采购项目技术构成、产品价格比重等合理确定核心产品。多家投标人提供的任一核心产品品牌相同的，视为提供相同品牌产品，</w:t>
      </w:r>
      <w:r>
        <w:rPr>
          <w:rFonts w:hint="eastAsia" w:ascii="Times New Roman"/>
          <w:b/>
          <w:sz w:val="22"/>
          <w:szCs w:val="21"/>
        </w:rPr>
        <w:t>本项目</w:t>
      </w:r>
      <w:r>
        <w:rPr>
          <w:rFonts w:hint="eastAsia" w:ascii="Times New Roman"/>
          <w:b/>
          <w:sz w:val="22"/>
          <w:szCs w:val="21"/>
          <w:lang w:val="en-US" w:eastAsia="zh-CN"/>
        </w:rPr>
        <w:t>01包-04包</w:t>
      </w:r>
      <w:r>
        <w:rPr>
          <w:rFonts w:hint="eastAsia" w:ascii="Times New Roman"/>
          <w:b/>
          <w:sz w:val="22"/>
          <w:szCs w:val="21"/>
        </w:rPr>
        <w:t>核心产品为：</w:t>
      </w:r>
      <w:r>
        <w:rPr>
          <w:rFonts w:hint="eastAsia" w:ascii="Times New Roman"/>
          <w:b/>
          <w:sz w:val="22"/>
          <w:szCs w:val="21"/>
          <w:lang w:eastAsia="zh-CN"/>
        </w:rPr>
        <w:t>智慧黑板</w:t>
      </w:r>
      <w:r>
        <w:rPr>
          <w:rFonts w:hint="eastAsia" w:ascii="Times New Roman"/>
          <w:b/>
          <w:sz w:val="22"/>
          <w:szCs w:val="21"/>
        </w:rPr>
        <w:t xml:space="preserve">。 </w:t>
      </w:r>
    </w:p>
    <w:p>
      <w:pPr>
        <w:pStyle w:val="129"/>
        <w:spacing w:line="460" w:lineRule="exact"/>
        <w:ind w:left="1" w:firstLine="442" w:firstLineChars="200"/>
        <w:rPr>
          <w:rFonts w:ascii="Times New Roman" w:hAnsi="Times New Roman"/>
          <w:b/>
          <w:sz w:val="22"/>
        </w:rPr>
      </w:pPr>
      <w:r>
        <w:rPr>
          <w:rFonts w:ascii="Times New Roman" w:hAnsi="Times New Roman"/>
          <w:b/>
          <w:sz w:val="22"/>
        </w:rPr>
        <w:t xml:space="preserve">5.1.2 </w:t>
      </w:r>
      <w:r>
        <w:rPr>
          <w:rFonts w:hint="eastAsia" w:ascii="Times New Roman" w:hAnsi="Times New Roman"/>
          <w:b/>
          <w:sz w:val="22"/>
        </w:rPr>
        <w:t>采用综合评分法的采购项目。</w:t>
      </w:r>
    </w:p>
    <w:p>
      <w:pPr>
        <w:pStyle w:val="129"/>
        <w:spacing w:line="460" w:lineRule="exact"/>
        <w:ind w:firstLine="440" w:firstLineChars="200"/>
        <w:rPr>
          <w:rFonts w:ascii="Times New Roman" w:hAnsi="Times New Roman"/>
          <w:bCs/>
          <w:sz w:val="22"/>
        </w:rPr>
      </w:pPr>
      <w:r>
        <w:rPr>
          <w:rFonts w:hint="eastAsia" w:ascii="Times New Roman" w:hAnsi="Times New Roman"/>
          <w:bCs/>
          <w:sz w:val="22"/>
        </w:rPr>
        <w:t>提供相同品牌产品且通过资格审查、符合性审查的不同投标人参加同一合同项下投标的，按一家投标人计算，评审后得分最高的同品牌投标人获得中标人推荐资格；评审得分相同的，由采购人采取随机抽取方式确定一个投标人获得中标人推荐资格，其他同品牌投标人不作为中标候选人。</w:t>
      </w:r>
    </w:p>
    <w:p>
      <w:pPr>
        <w:pStyle w:val="129"/>
        <w:spacing w:line="460" w:lineRule="exact"/>
        <w:ind w:left="1" w:firstLine="442" w:firstLineChars="200"/>
        <w:rPr>
          <w:rFonts w:ascii="Times New Roman" w:hAnsi="Times New Roman"/>
          <w:sz w:val="22"/>
          <w:szCs w:val="21"/>
        </w:rPr>
      </w:pPr>
      <w:r>
        <w:rPr>
          <w:rFonts w:ascii="Times New Roman" w:hAnsi="Times New Roman"/>
          <w:b/>
          <w:sz w:val="22"/>
          <w:szCs w:val="21"/>
        </w:rPr>
        <w:t xml:space="preserve">5.2 </w:t>
      </w:r>
      <w:r>
        <w:rPr>
          <w:rFonts w:hint="eastAsia" w:ascii="Times New Roman" w:hAnsi="Times New Roman"/>
          <w:b/>
          <w:sz w:val="22"/>
          <w:szCs w:val="21"/>
        </w:rPr>
        <w:t>利害关系供应商处理。</w:t>
      </w:r>
      <w:r>
        <w:rPr>
          <w:rFonts w:hint="eastAsia" w:ascii="Times New Roman" w:hAnsi="Times New Roman"/>
          <w:sz w:val="22"/>
          <w:szCs w:val="21"/>
        </w:rPr>
        <w:t>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投标文件作为无效处理。</w:t>
      </w:r>
    </w:p>
    <w:p>
      <w:pPr>
        <w:pStyle w:val="129"/>
        <w:spacing w:line="460" w:lineRule="exact"/>
        <w:ind w:left="1" w:firstLine="442" w:firstLineChars="200"/>
        <w:rPr>
          <w:rFonts w:ascii="Times New Roman" w:hAnsi="Times New Roman"/>
          <w:sz w:val="22"/>
          <w:szCs w:val="21"/>
        </w:rPr>
      </w:pPr>
      <w:r>
        <w:rPr>
          <w:rFonts w:ascii="Times New Roman" w:hAnsi="Times New Roman"/>
          <w:b/>
          <w:sz w:val="22"/>
          <w:szCs w:val="21"/>
        </w:rPr>
        <w:t xml:space="preserve">5.3 </w:t>
      </w:r>
      <w:r>
        <w:rPr>
          <w:rFonts w:hint="eastAsia" w:ascii="Times New Roman" w:hAnsi="Times New Roman"/>
          <w:b/>
          <w:sz w:val="22"/>
          <w:szCs w:val="21"/>
        </w:rPr>
        <w:t>前期参与供应商处理。</w:t>
      </w:r>
      <w:r>
        <w:rPr>
          <w:rFonts w:hint="eastAsia" w:ascii="Times New Roman" w:hAnsi="Times New Roman"/>
          <w:sz w:val="22"/>
          <w:szCs w:val="21"/>
        </w:rPr>
        <w:t>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pPr>
        <w:pStyle w:val="129"/>
        <w:spacing w:line="460" w:lineRule="exact"/>
        <w:ind w:left="1" w:firstLine="442" w:firstLineChars="200"/>
        <w:rPr>
          <w:rFonts w:ascii="Times New Roman" w:hAnsi="Times New Roman"/>
          <w:sz w:val="22"/>
          <w:szCs w:val="21"/>
        </w:rPr>
      </w:pPr>
      <w:r>
        <w:rPr>
          <w:rFonts w:ascii="Times New Roman" w:hAnsi="Times New Roman"/>
          <w:b/>
          <w:sz w:val="22"/>
          <w:szCs w:val="21"/>
        </w:rPr>
        <w:t xml:space="preserve">5.4 </w:t>
      </w:r>
      <w:r>
        <w:rPr>
          <w:rFonts w:hint="eastAsia" w:ascii="Times New Roman" w:hAnsi="Times New Roman"/>
          <w:b/>
          <w:sz w:val="22"/>
          <w:szCs w:val="21"/>
        </w:rPr>
        <w:t>利害关系代理人处理。</w:t>
      </w:r>
      <w:r>
        <w:rPr>
          <w:rFonts w:ascii="Times New Roman" w:hAnsi="Times New Roman"/>
          <w:sz w:val="22"/>
          <w:szCs w:val="21"/>
        </w:rPr>
        <w:t>2</w:t>
      </w:r>
      <w:r>
        <w:rPr>
          <w:rFonts w:hint="eastAsia" w:ascii="Times New Roman" w:hAnsi="Times New Roman"/>
          <w:sz w:val="22"/>
          <w:szCs w:val="21"/>
        </w:rPr>
        <w:t>家以上的供应商不得在同一合同项下的采购项目中，同时委托同一个自然人、同一家庭的人员、同一单位的人员作为其代理人，否则，其投标文件作为无效处理。</w:t>
      </w:r>
    </w:p>
    <w:p>
      <w:pPr>
        <w:keepNext/>
        <w:keepLines/>
        <w:spacing w:before="340" w:after="330" w:line="276" w:lineRule="auto"/>
        <w:jc w:val="center"/>
        <w:rPr>
          <w:rFonts w:ascii="Times New Roman"/>
          <w:sz w:val="32"/>
          <w:szCs w:val="32"/>
        </w:rPr>
      </w:pPr>
      <w:r>
        <w:rPr>
          <w:rFonts w:hint="eastAsia" w:ascii="Times New Roman"/>
          <w:sz w:val="32"/>
          <w:szCs w:val="32"/>
        </w:rPr>
        <w:t>三、招标文件</w:t>
      </w:r>
      <w:bookmarkEnd w:id="56"/>
      <w:bookmarkEnd w:id="57"/>
      <w:bookmarkEnd w:id="58"/>
      <w:bookmarkEnd w:id="59"/>
      <w:bookmarkEnd w:id="60"/>
      <w:bookmarkEnd w:id="61"/>
      <w:bookmarkEnd w:id="62"/>
      <w:bookmarkEnd w:id="63"/>
      <w:bookmarkEnd w:id="64"/>
      <w:bookmarkEnd w:id="65"/>
      <w:bookmarkEnd w:id="66"/>
    </w:p>
    <w:p>
      <w:pPr>
        <w:pStyle w:val="5"/>
        <w:spacing w:line="400" w:lineRule="exact"/>
        <w:rPr>
          <w:rFonts w:hAnsi="Times New Roman"/>
          <w:sz w:val="22"/>
          <w:szCs w:val="21"/>
        </w:rPr>
      </w:pPr>
      <w:bookmarkStart w:id="70" w:name="_Toc183682347"/>
      <w:bookmarkStart w:id="71" w:name="_Toc183582210"/>
      <w:bookmarkStart w:id="72" w:name="_Toc3193"/>
      <w:bookmarkStart w:id="73" w:name="_Toc217446039"/>
      <w:r>
        <w:rPr>
          <w:rFonts w:hAnsi="Times New Roman"/>
          <w:sz w:val="22"/>
          <w:szCs w:val="21"/>
        </w:rPr>
        <w:t>6</w:t>
      </w:r>
      <w:r>
        <w:rPr>
          <w:rFonts w:hint="eastAsia" w:hAnsi="Times New Roman"/>
          <w:sz w:val="22"/>
          <w:szCs w:val="21"/>
        </w:rPr>
        <w:t>．招标文件的构成</w:t>
      </w:r>
      <w:bookmarkEnd w:id="70"/>
      <w:bookmarkEnd w:id="71"/>
      <w:bookmarkEnd w:id="72"/>
      <w:bookmarkEnd w:id="73"/>
    </w:p>
    <w:p>
      <w:pPr>
        <w:tabs>
          <w:tab w:val="left" w:pos="7665"/>
        </w:tabs>
        <w:spacing w:line="400" w:lineRule="exact"/>
        <w:ind w:firstLine="440" w:firstLineChars="200"/>
        <w:rPr>
          <w:rFonts w:ascii="Times New Roman"/>
          <w:sz w:val="22"/>
          <w:szCs w:val="21"/>
        </w:rPr>
      </w:pPr>
      <w:r>
        <w:rPr>
          <w:rFonts w:ascii="Times New Roman"/>
          <w:sz w:val="22"/>
          <w:szCs w:val="21"/>
        </w:rPr>
        <w:t xml:space="preserve">6.1 </w:t>
      </w:r>
      <w:r>
        <w:rPr>
          <w:rFonts w:hint="eastAsia" w:ascii="Times New Roman"/>
          <w:sz w:val="22"/>
          <w:szCs w:val="21"/>
        </w:rPr>
        <w:t>招标文件是供应商准备投标文件和参加投标的依据，同时也是评标的重要依据，具有准法律文件性质。招标文件用以阐明招标项目所需的资质、技术、服务及报价等要求、招标投标程序、有关规定和注意事项以及合同主要条款等。本招标文件包括以下内容：</w:t>
      </w:r>
    </w:p>
    <w:p>
      <w:pPr>
        <w:tabs>
          <w:tab w:val="left" w:pos="7665"/>
        </w:tabs>
        <w:spacing w:line="400" w:lineRule="exact"/>
        <w:ind w:firstLine="440" w:firstLineChars="200"/>
        <w:rPr>
          <w:rFonts w:ascii="Times New Roman"/>
          <w:sz w:val="22"/>
          <w:szCs w:val="21"/>
        </w:rPr>
      </w:pPr>
      <w:r>
        <w:rPr>
          <w:rFonts w:hint="eastAsia" w:ascii="Times New Roman"/>
          <w:sz w:val="22"/>
          <w:szCs w:val="21"/>
        </w:rPr>
        <w:t>（一）投标邀请；</w:t>
      </w:r>
    </w:p>
    <w:p>
      <w:pPr>
        <w:tabs>
          <w:tab w:val="left" w:pos="7665"/>
        </w:tabs>
        <w:spacing w:line="400" w:lineRule="exact"/>
        <w:ind w:firstLine="440" w:firstLineChars="200"/>
        <w:rPr>
          <w:rFonts w:ascii="Times New Roman"/>
          <w:sz w:val="22"/>
          <w:szCs w:val="21"/>
        </w:rPr>
      </w:pPr>
      <w:r>
        <w:rPr>
          <w:rFonts w:hint="eastAsia" w:ascii="Times New Roman"/>
          <w:sz w:val="22"/>
          <w:szCs w:val="21"/>
        </w:rPr>
        <w:t>（二）投标人须知；</w:t>
      </w:r>
    </w:p>
    <w:p>
      <w:pPr>
        <w:tabs>
          <w:tab w:val="left" w:pos="7665"/>
        </w:tabs>
        <w:spacing w:line="400" w:lineRule="exact"/>
        <w:ind w:firstLine="440" w:firstLineChars="200"/>
        <w:rPr>
          <w:rFonts w:ascii="Times New Roman"/>
          <w:sz w:val="22"/>
          <w:szCs w:val="21"/>
        </w:rPr>
      </w:pPr>
      <w:r>
        <w:rPr>
          <w:rFonts w:hint="eastAsia" w:ascii="Times New Roman"/>
          <w:sz w:val="22"/>
          <w:szCs w:val="21"/>
        </w:rPr>
        <w:t>（三）投标文件格式；</w:t>
      </w:r>
    </w:p>
    <w:p>
      <w:pPr>
        <w:tabs>
          <w:tab w:val="left" w:pos="7665"/>
        </w:tabs>
        <w:spacing w:line="400" w:lineRule="exact"/>
        <w:ind w:firstLine="440" w:firstLineChars="200"/>
        <w:rPr>
          <w:rFonts w:ascii="Times New Roman"/>
          <w:sz w:val="22"/>
          <w:szCs w:val="21"/>
        </w:rPr>
      </w:pPr>
      <w:r>
        <w:rPr>
          <w:rFonts w:hint="eastAsia" w:ascii="Times New Roman"/>
          <w:sz w:val="22"/>
          <w:szCs w:val="21"/>
        </w:rPr>
        <w:t>（四）投标人和投标产品（如涉及）的资格、资质性及其他类似效力要求；</w:t>
      </w:r>
    </w:p>
    <w:p>
      <w:pPr>
        <w:tabs>
          <w:tab w:val="left" w:pos="7665"/>
        </w:tabs>
        <w:spacing w:line="400" w:lineRule="exact"/>
        <w:ind w:firstLine="440" w:firstLineChars="200"/>
        <w:rPr>
          <w:rFonts w:ascii="Times New Roman"/>
          <w:sz w:val="22"/>
          <w:szCs w:val="21"/>
        </w:rPr>
      </w:pPr>
      <w:r>
        <w:rPr>
          <w:rFonts w:hint="eastAsia" w:ascii="Times New Roman"/>
          <w:sz w:val="22"/>
          <w:szCs w:val="21"/>
        </w:rPr>
        <w:t>（五）投标人应当提供的资格、资质性及其他类似效力要求的相关证明材料；</w:t>
      </w:r>
    </w:p>
    <w:p>
      <w:pPr>
        <w:tabs>
          <w:tab w:val="left" w:pos="7665"/>
        </w:tabs>
        <w:spacing w:line="400" w:lineRule="exact"/>
        <w:ind w:firstLine="440" w:firstLineChars="200"/>
        <w:rPr>
          <w:rFonts w:ascii="Times New Roman"/>
          <w:sz w:val="22"/>
          <w:szCs w:val="21"/>
        </w:rPr>
      </w:pPr>
      <w:r>
        <w:rPr>
          <w:rFonts w:hint="eastAsia" w:ascii="Times New Roman"/>
          <w:sz w:val="22"/>
          <w:szCs w:val="21"/>
        </w:rPr>
        <w:t>（六）招标项目要求；</w:t>
      </w:r>
    </w:p>
    <w:p>
      <w:pPr>
        <w:tabs>
          <w:tab w:val="left" w:pos="7665"/>
        </w:tabs>
        <w:spacing w:line="400" w:lineRule="exact"/>
        <w:ind w:firstLine="440" w:firstLineChars="200"/>
        <w:rPr>
          <w:rFonts w:ascii="Times New Roman"/>
          <w:sz w:val="22"/>
          <w:szCs w:val="21"/>
        </w:rPr>
      </w:pPr>
      <w:r>
        <w:rPr>
          <w:rFonts w:hint="eastAsia" w:ascii="Times New Roman"/>
          <w:sz w:val="22"/>
          <w:szCs w:val="21"/>
        </w:rPr>
        <w:t>（七）评标办法；</w:t>
      </w:r>
    </w:p>
    <w:p>
      <w:pPr>
        <w:tabs>
          <w:tab w:val="left" w:pos="7665"/>
        </w:tabs>
        <w:spacing w:line="400" w:lineRule="exact"/>
        <w:ind w:firstLine="440" w:firstLineChars="200"/>
        <w:rPr>
          <w:rFonts w:ascii="Times New Roman"/>
          <w:sz w:val="22"/>
          <w:szCs w:val="21"/>
        </w:rPr>
      </w:pPr>
      <w:r>
        <w:rPr>
          <w:rFonts w:hint="eastAsia" w:ascii="Times New Roman"/>
          <w:sz w:val="22"/>
          <w:szCs w:val="21"/>
        </w:rPr>
        <w:t>（八）合同主要条款。</w:t>
      </w:r>
    </w:p>
    <w:p>
      <w:pPr>
        <w:tabs>
          <w:tab w:val="left" w:pos="7665"/>
        </w:tabs>
        <w:spacing w:line="400" w:lineRule="exact"/>
        <w:ind w:firstLine="440" w:firstLineChars="200"/>
        <w:rPr>
          <w:rFonts w:ascii="Times New Roman"/>
          <w:sz w:val="22"/>
          <w:szCs w:val="21"/>
        </w:rPr>
      </w:pPr>
      <w:r>
        <w:rPr>
          <w:rFonts w:ascii="Times New Roman"/>
          <w:sz w:val="22"/>
          <w:szCs w:val="21"/>
        </w:rPr>
        <w:t xml:space="preserve">6.2 </w:t>
      </w:r>
      <w:r>
        <w:rPr>
          <w:rFonts w:hint="eastAsia" w:ascii="Times New Roman"/>
          <w:sz w:val="22"/>
          <w:szCs w:val="21"/>
        </w:rPr>
        <w:t>投标人应认真阅读和充分理解招标文件中所有的事项、格式条款和规范要求。投标人没有对招标文件全面做出实质性响应是投标人的风险。没有按照招标文件要求作出实质性响应的投标文件将被拒绝。</w:t>
      </w:r>
    </w:p>
    <w:p>
      <w:pPr>
        <w:pStyle w:val="5"/>
        <w:spacing w:line="400" w:lineRule="exact"/>
        <w:rPr>
          <w:rFonts w:hAnsi="Times New Roman"/>
          <w:sz w:val="22"/>
          <w:szCs w:val="21"/>
        </w:rPr>
      </w:pPr>
      <w:bookmarkStart w:id="74" w:name="_Toc183682348"/>
      <w:bookmarkStart w:id="75" w:name="_Toc183582211"/>
      <w:bookmarkStart w:id="76" w:name="_Toc217446040"/>
      <w:bookmarkStart w:id="77" w:name="_Toc12704"/>
      <w:r>
        <w:rPr>
          <w:rFonts w:hAnsi="Times New Roman"/>
          <w:sz w:val="22"/>
          <w:szCs w:val="21"/>
        </w:rPr>
        <w:t xml:space="preserve">7. </w:t>
      </w:r>
      <w:r>
        <w:rPr>
          <w:rFonts w:hint="eastAsia" w:hAnsi="Times New Roman"/>
          <w:sz w:val="22"/>
          <w:szCs w:val="21"/>
        </w:rPr>
        <w:t>招标文件的澄清</w:t>
      </w:r>
      <w:bookmarkEnd w:id="74"/>
      <w:bookmarkEnd w:id="75"/>
      <w:r>
        <w:rPr>
          <w:rFonts w:hint="eastAsia" w:hAnsi="Times New Roman"/>
          <w:sz w:val="22"/>
          <w:szCs w:val="21"/>
        </w:rPr>
        <w:t>和修改</w:t>
      </w:r>
      <w:bookmarkEnd w:id="76"/>
      <w:bookmarkEnd w:id="77"/>
    </w:p>
    <w:p>
      <w:pPr>
        <w:tabs>
          <w:tab w:val="left" w:pos="7665"/>
        </w:tabs>
        <w:spacing w:line="400" w:lineRule="exact"/>
        <w:ind w:firstLine="440" w:firstLineChars="200"/>
        <w:rPr>
          <w:rFonts w:ascii="Times New Roman"/>
          <w:sz w:val="22"/>
          <w:szCs w:val="21"/>
        </w:rPr>
      </w:pPr>
      <w:bookmarkStart w:id="78" w:name="_Toc77400780"/>
      <w:bookmarkStart w:id="79" w:name="_Toc24268"/>
      <w:bookmarkStart w:id="80" w:name="_Toc217446042"/>
      <w:bookmarkStart w:id="81" w:name="_Toc21900"/>
      <w:bookmarkStart w:id="82" w:name="_Toc14522"/>
      <w:bookmarkStart w:id="83" w:name="_Toc89075876"/>
      <w:bookmarkStart w:id="84" w:name="_Toc183682351"/>
      <w:bookmarkStart w:id="85" w:name="_Toc3696"/>
      <w:bookmarkStart w:id="86" w:name="_Toc13906"/>
      <w:bookmarkStart w:id="87" w:name="_Toc18406"/>
      <w:bookmarkStart w:id="88" w:name="_Toc183582214"/>
      <w:r>
        <w:rPr>
          <w:rFonts w:ascii="Times New Roman"/>
          <w:sz w:val="22"/>
          <w:szCs w:val="21"/>
        </w:rPr>
        <w:t xml:space="preserve">7.1 </w:t>
      </w:r>
      <w:r>
        <w:rPr>
          <w:rFonts w:hint="eastAsia" w:ascii="Times New Roman"/>
          <w:sz w:val="22"/>
          <w:szCs w:val="21"/>
        </w:rPr>
        <w:t>招标采购单位可以依法对招标文件进行澄清或者修改。</w:t>
      </w:r>
    </w:p>
    <w:p>
      <w:pPr>
        <w:tabs>
          <w:tab w:val="left" w:pos="7665"/>
        </w:tabs>
        <w:spacing w:line="400" w:lineRule="exact"/>
        <w:ind w:firstLine="440" w:firstLineChars="200"/>
        <w:rPr>
          <w:rFonts w:ascii="Times New Roman"/>
          <w:sz w:val="22"/>
          <w:szCs w:val="21"/>
        </w:rPr>
      </w:pPr>
      <w:r>
        <w:rPr>
          <w:rFonts w:ascii="Times New Roman"/>
          <w:sz w:val="22"/>
          <w:szCs w:val="21"/>
        </w:rPr>
        <w:t xml:space="preserve">7.2 </w:t>
      </w:r>
      <w:r>
        <w:rPr>
          <w:rFonts w:hint="eastAsia" w:ascii="Times New Roman"/>
          <w:sz w:val="22"/>
          <w:szCs w:val="21"/>
        </w:rPr>
        <w:t>招标采购单位对已发出的招标文件进行澄清或者修改，应当以书面形式将澄清或者修改的内容通知所有购买了招标文件的供应商，同时在陕西省政府采购网上发布</w:t>
      </w:r>
      <w:r>
        <w:rPr>
          <w:rFonts w:hint="eastAsia" w:ascii="Times New Roman"/>
          <w:b/>
          <w:bCs/>
          <w:sz w:val="22"/>
          <w:szCs w:val="21"/>
        </w:rPr>
        <w:t>更正公告</w:t>
      </w:r>
      <w:r>
        <w:rPr>
          <w:rFonts w:hint="eastAsia" w:ascii="Times New Roman"/>
          <w:sz w:val="22"/>
          <w:szCs w:val="21"/>
        </w:rPr>
        <w:t>。该澄清或者修改的内容为招标文件的组成部分，澄清或者修改的内容可能影响投标文件、资格预审申请文件编制的，采购人或者采购代理机构发布公告并书面通知供应商的时间，应当在投标截止时间至少１５日前、提交资格预审申请文件截止时间至少３日前；不足上述时间的，应当顺延提交投标文件、资格预审申请文件的截止时间。</w:t>
      </w:r>
    </w:p>
    <w:p>
      <w:pPr>
        <w:tabs>
          <w:tab w:val="left" w:pos="7665"/>
        </w:tabs>
        <w:spacing w:line="400" w:lineRule="exact"/>
        <w:ind w:firstLine="440" w:firstLineChars="200"/>
        <w:rPr>
          <w:rFonts w:ascii="Times New Roman"/>
          <w:sz w:val="22"/>
          <w:szCs w:val="21"/>
        </w:rPr>
      </w:pPr>
      <w:r>
        <w:rPr>
          <w:rFonts w:ascii="Times New Roman"/>
          <w:sz w:val="22"/>
          <w:szCs w:val="21"/>
        </w:rPr>
        <w:t xml:space="preserve">7.3 </w:t>
      </w:r>
      <w:r>
        <w:rPr>
          <w:rFonts w:hint="eastAsia" w:ascii="Times New Roman"/>
          <w:sz w:val="22"/>
          <w:szCs w:val="21"/>
        </w:rPr>
        <w:t>供应商应于投标文件递交截止时间之前在《陕西省政府采购网》查询本项目的更正公告，以保证其对招标文件做出正确的响应。供应商未按要求下载相关文件，或由于未及时关注更正公告的信息造成的后果，其责任由供应商自行负责。</w:t>
      </w:r>
    </w:p>
    <w:p>
      <w:pPr>
        <w:tabs>
          <w:tab w:val="left" w:pos="7665"/>
        </w:tabs>
        <w:spacing w:line="400" w:lineRule="exact"/>
        <w:ind w:firstLine="440" w:firstLineChars="200"/>
        <w:rPr>
          <w:rFonts w:ascii="Times New Roman"/>
          <w:sz w:val="22"/>
          <w:szCs w:val="21"/>
        </w:rPr>
      </w:pPr>
      <w:r>
        <w:rPr>
          <w:rFonts w:hint="eastAsia" w:ascii="Times New Roman"/>
          <w:sz w:val="22"/>
          <w:szCs w:val="21"/>
        </w:rPr>
        <w:t>更正公告通过供应商报名时备注的电子邮箱发送至所有购买招标文件的供应商，供应商在收到相应更正公告后，以书面形式给予确认，该更正公告作为招标文件的组成部分，具有约束作用。如供应商未给予书面回复，则视为收到并认可该更正公告的内容。</w:t>
      </w:r>
    </w:p>
    <w:p>
      <w:pPr>
        <w:tabs>
          <w:tab w:val="left" w:pos="7665"/>
        </w:tabs>
        <w:spacing w:line="400" w:lineRule="exact"/>
        <w:ind w:firstLine="440" w:firstLineChars="200"/>
        <w:rPr>
          <w:rFonts w:ascii="Times New Roman"/>
          <w:sz w:val="22"/>
          <w:szCs w:val="21"/>
        </w:rPr>
      </w:pPr>
      <w:r>
        <w:rPr>
          <w:rFonts w:ascii="Times New Roman"/>
          <w:sz w:val="22"/>
          <w:szCs w:val="21"/>
        </w:rPr>
        <w:t xml:space="preserve">7.4 </w:t>
      </w:r>
      <w:r>
        <w:rPr>
          <w:rFonts w:hint="eastAsia" w:ascii="Times New Roman"/>
          <w:sz w:val="22"/>
          <w:szCs w:val="21"/>
        </w:rPr>
        <w:t>投标人认为需要对招标文件进行澄清或者修改的，可以以书面形式向招标采购单位构提出申请，但招标采购单位可以决定是否采纳投标人的申请事项。</w:t>
      </w:r>
    </w:p>
    <w:p>
      <w:pPr>
        <w:pStyle w:val="5"/>
        <w:spacing w:line="400" w:lineRule="exact"/>
        <w:rPr>
          <w:rFonts w:hAnsi="Times New Roman"/>
          <w:sz w:val="22"/>
          <w:szCs w:val="21"/>
        </w:rPr>
      </w:pPr>
      <w:bookmarkStart w:id="89" w:name="_Toc208848971"/>
      <w:bookmarkStart w:id="90" w:name="_Toc217446041"/>
      <w:r>
        <w:rPr>
          <w:rFonts w:hAnsi="Times New Roman"/>
          <w:sz w:val="22"/>
          <w:szCs w:val="21"/>
        </w:rPr>
        <w:t xml:space="preserve">8. </w:t>
      </w:r>
      <w:r>
        <w:rPr>
          <w:rFonts w:hint="eastAsia" w:hAnsi="Times New Roman"/>
          <w:sz w:val="22"/>
          <w:szCs w:val="21"/>
        </w:rPr>
        <w:t>答疑会和现场</w:t>
      </w:r>
      <w:bookmarkEnd w:id="89"/>
      <w:bookmarkEnd w:id="90"/>
      <w:r>
        <w:rPr>
          <w:rFonts w:hint="eastAsia" w:hAnsi="Times New Roman"/>
          <w:sz w:val="22"/>
          <w:szCs w:val="21"/>
        </w:rPr>
        <w:t>踏勘</w:t>
      </w:r>
    </w:p>
    <w:p>
      <w:pPr>
        <w:tabs>
          <w:tab w:val="left" w:pos="7665"/>
        </w:tabs>
        <w:spacing w:line="400" w:lineRule="exact"/>
        <w:ind w:firstLine="440" w:firstLineChars="200"/>
        <w:rPr>
          <w:rFonts w:ascii="Times New Roman"/>
          <w:sz w:val="22"/>
          <w:szCs w:val="21"/>
        </w:rPr>
      </w:pPr>
      <w:r>
        <w:rPr>
          <w:rFonts w:ascii="Times New Roman"/>
          <w:sz w:val="22"/>
          <w:szCs w:val="21"/>
        </w:rPr>
        <w:t xml:space="preserve">8.1 </w:t>
      </w:r>
      <w:r>
        <w:rPr>
          <w:rFonts w:hint="eastAsia" w:ascii="Times New Roman"/>
          <w:sz w:val="22"/>
          <w:szCs w:val="21"/>
        </w:rPr>
        <w:t>根据采购项目和具体情况，招标采购单位认为有必要，可以在招标文件提供期限截止后，组织已获取招标文件的潜在投标人现场踏勘或者召开标前答疑会。组织现场踏勘或者召开答疑会的，应当以书面形式通知所有获取招标文件的潜在投标人。</w:t>
      </w:r>
    </w:p>
    <w:p>
      <w:pPr>
        <w:tabs>
          <w:tab w:val="left" w:pos="7665"/>
        </w:tabs>
        <w:spacing w:line="400" w:lineRule="exact"/>
        <w:ind w:firstLine="440" w:firstLineChars="200"/>
        <w:rPr>
          <w:rFonts w:ascii="Times New Roman"/>
          <w:sz w:val="22"/>
          <w:szCs w:val="21"/>
        </w:rPr>
      </w:pPr>
      <w:r>
        <w:rPr>
          <w:rFonts w:ascii="Times New Roman"/>
          <w:sz w:val="22"/>
          <w:szCs w:val="21"/>
        </w:rPr>
        <w:t xml:space="preserve">8.2 </w:t>
      </w:r>
      <w:r>
        <w:rPr>
          <w:rFonts w:hint="eastAsia" w:ascii="Times New Roman"/>
          <w:sz w:val="22"/>
          <w:szCs w:val="21"/>
        </w:rPr>
        <w:t>供应商踏勘现场所发生的一切费用由供应商自己承担。</w:t>
      </w:r>
    </w:p>
    <w:p>
      <w:pPr>
        <w:keepNext/>
        <w:keepLines/>
        <w:spacing w:before="340" w:after="330" w:line="276" w:lineRule="auto"/>
        <w:jc w:val="center"/>
        <w:rPr>
          <w:rFonts w:ascii="Times New Roman"/>
          <w:sz w:val="32"/>
          <w:szCs w:val="32"/>
        </w:rPr>
      </w:pPr>
      <w:r>
        <w:rPr>
          <w:rFonts w:hint="eastAsia" w:ascii="Times New Roman"/>
          <w:sz w:val="32"/>
          <w:szCs w:val="32"/>
        </w:rPr>
        <w:t>四、投标文件</w:t>
      </w:r>
      <w:bookmarkEnd w:id="78"/>
      <w:bookmarkEnd w:id="79"/>
      <w:bookmarkEnd w:id="80"/>
      <w:bookmarkEnd w:id="81"/>
      <w:bookmarkEnd w:id="82"/>
      <w:bookmarkEnd w:id="83"/>
      <w:bookmarkEnd w:id="84"/>
      <w:bookmarkEnd w:id="85"/>
      <w:bookmarkEnd w:id="86"/>
      <w:bookmarkEnd w:id="87"/>
      <w:bookmarkEnd w:id="88"/>
    </w:p>
    <w:p>
      <w:pPr>
        <w:pStyle w:val="5"/>
        <w:spacing w:line="400" w:lineRule="exact"/>
        <w:rPr>
          <w:rFonts w:hAnsi="Times New Roman"/>
          <w:sz w:val="22"/>
          <w:szCs w:val="21"/>
        </w:rPr>
      </w:pPr>
      <w:bookmarkStart w:id="91" w:name="_Toc183582215"/>
      <w:bookmarkStart w:id="92" w:name="_Toc183682352"/>
      <w:bookmarkStart w:id="93" w:name="_Toc217446043"/>
      <w:bookmarkStart w:id="94" w:name="_Toc183582224"/>
      <w:bookmarkStart w:id="95" w:name="_Toc183682361"/>
      <w:bookmarkStart w:id="96" w:name="_Toc217446051"/>
      <w:bookmarkStart w:id="97" w:name="_Toc23329"/>
      <w:r>
        <w:rPr>
          <w:rFonts w:hAnsi="Times New Roman"/>
          <w:sz w:val="22"/>
          <w:szCs w:val="21"/>
        </w:rPr>
        <w:t>9</w:t>
      </w:r>
      <w:r>
        <w:rPr>
          <w:rFonts w:hint="eastAsia" w:hAnsi="Times New Roman"/>
          <w:sz w:val="22"/>
          <w:szCs w:val="21"/>
        </w:rPr>
        <w:t>．投标文件的语言</w:t>
      </w:r>
      <w:bookmarkEnd w:id="91"/>
      <w:bookmarkEnd w:id="92"/>
      <w:bookmarkEnd w:id="93"/>
    </w:p>
    <w:p>
      <w:pPr>
        <w:tabs>
          <w:tab w:val="left" w:pos="1134"/>
        </w:tabs>
        <w:spacing w:line="360" w:lineRule="auto"/>
        <w:ind w:firstLine="440" w:firstLineChars="200"/>
        <w:jc w:val="left"/>
        <w:rPr>
          <w:rFonts w:ascii="Times New Roman"/>
          <w:sz w:val="22"/>
          <w:szCs w:val="21"/>
        </w:rPr>
      </w:pPr>
      <w:bookmarkStart w:id="98" w:name="_Toc217446044"/>
      <w:bookmarkStart w:id="99" w:name="_Toc183682353"/>
      <w:bookmarkStart w:id="100" w:name="_Toc183582216"/>
      <w:r>
        <w:rPr>
          <w:rFonts w:ascii="Times New Roman"/>
          <w:sz w:val="22"/>
          <w:szCs w:val="21"/>
        </w:rPr>
        <w:t xml:space="preserve">9.1 </w:t>
      </w:r>
      <w:r>
        <w:rPr>
          <w:rFonts w:hint="eastAsia" w:ascii="Times New Roman"/>
          <w:sz w:val="22"/>
          <w:szCs w:val="21"/>
        </w:rPr>
        <w:t>投标人提交的投标文件以及投标人与招标采购单位就有关投标的所有来往书面文件均须使用中文。投标文件中如附有外文资料，主要部分对应翻译成中文并加盖投标人公章后附在相关外文资料后面。</w:t>
      </w:r>
    </w:p>
    <w:p>
      <w:pPr>
        <w:tabs>
          <w:tab w:val="left" w:pos="1134"/>
        </w:tabs>
        <w:spacing w:line="360" w:lineRule="auto"/>
        <w:ind w:firstLine="440" w:firstLineChars="200"/>
        <w:jc w:val="left"/>
        <w:rPr>
          <w:rFonts w:ascii="Times New Roman"/>
          <w:sz w:val="22"/>
          <w:szCs w:val="21"/>
        </w:rPr>
      </w:pPr>
      <w:r>
        <w:rPr>
          <w:rFonts w:ascii="Times New Roman"/>
          <w:sz w:val="22"/>
          <w:szCs w:val="21"/>
        </w:rPr>
        <w:t xml:space="preserve">9.2 </w:t>
      </w:r>
      <w:r>
        <w:rPr>
          <w:rFonts w:hint="eastAsia" w:ascii="Times New Roman"/>
          <w:sz w:val="22"/>
          <w:szCs w:val="21"/>
        </w:rPr>
        <w:t>翻译的中文资料与外文资料如果出现差异和矛盾时，以中文为准。涉嫌虚假响应的按照相关法律法规处理。</w:t>
      </w:r>
    </w:p>
    <w:p>
      <w:pPr>
        <w:spacing w:line="400" w:lineRule="exact"/>
        <w:ind w:firstLine="440" w:firstLineChars="200"/>
        <w:rPr>
          <w:rFonts w:ascii="Times New Roman"/>
          <w:sz w:val="22"/>
          <w:szCs w:val="21"/>
        </w:rPr>
      </w:pPr>
      <w:r>
        <w:rPr>
          <w:rFonts w:ascii="Times New Roman"/>
          <w:sz w:val="22"/>
          <w:szCs w:val="21"/>
        </w:rPr>
        <w:t xml:space="preserve">9.3 </w:t>
      </w:r>
      <w:r>
        <w:rPr>
          <w:rFonts w:hint="eastAsia" w:ascii="Times New Roman" w:hAnsi="宋体"/>
          <w:sz w:val="22"/>
          <w:szCs w:val="21"/>
        </w:rPr>
        <w:t>如因未翻译而造成的废标，由投标人承担。</w:t>
      </w:r>
    </w:p>
    <w:p>
      <w:pPr>
        <w:pStyle w:val="5"/>
        <w:spacing w:line="400" w:lineRule="exact"/>
        <w:rPr>
          <w:rFonts w:hAnsi="Times New Roman"/>
          <w:sz w:val="22"/>
          <w:szCs w:val="21"/>
        </w:rPr>
      </w:pPr>
      <w:r>
        <w:rPr>
          <w:rFonts w:hAnsi="Times New Roman"/>
          <w:sz w:val="22"/>
          <w:szCs w:val="21"/>
        </w:rPr>
        <w:t>10</w:t>
      </w:r>
      <w:r>
        <w:rPr>
          <w:rFonts w:hint="eastAsia" w:hAnsi="Times New Roman"/>
          <w:sz w:val="22"/>
          <w:szCs w:val="21"/>
        </w:rPr>
        <w:t>．计量单位</w:t>
      </w:r>
      <w:bookmarkEnd w:id="98"/>
      <w:bookmarkEnd w:id="99"/>
      <w:bookmarkEnd w:id="100"/>
    </w:p>
    <w:p>
      <w:pPr>
        <w:spacing w:line="400" w:lineRule="exact"/>
        <w:ind w:firstLine="431" w:firstLineChars="196"/>
        <w:rPr>
          <w:rFonts w:ascii="Times New Roman"/>
          <w:sz w:val="22"/>
          <w:szCs w:val="21"/>
        </w:rPr>
      </w:pPr>
      <w:r>
        <w:rPr>
          <w:rFonts w:hint="eastAsia" w:ascii="Times New Roman"/>
          <w:sz w:val="22"/>
          <w:szCs w:val="21"/>
        </w:rPr>
        <w:t>除招标文件中另有规定外，本次采购项目所有合同项下的投标均采用国家法定的计量单位。</w:t>
      </w:r>
    </w:p>
    <w:p>
      <w:pPr>
        <w:pStyle w:val="5"/>
        <w:spacing w:line="400" w:lineRule="exact"/>
        <w:rPr>
          <w:rFonts w:hAnsi="Times New Roman"/>
          <w:sz w:val="22"/>
          <w:szCs w:val="21"/>
        </w:rPr>
      </w:pPr>
      <w:bookmarkStart w:id="101" w:name="_Toc217446045"/>
      <w:r>
        <w:rPr>
          <w:rFonts w:hAnsi="Times New Roman"/>
          <w:sz w:val="22"/>
          <w:szCs w:val="21"/>
        </w:rPr>
        <w:t xml:space="preserve">11. </w:t>
      </w:r>
      <w:r>
        <w:rPr>
          <w:rFonts w:hint="eastAsia" w:hAnsi="Times New Roman"/>
          <w:sz w:val="22"/>
          <w:szCs w:val="21"/>
        </w:rPr>
        <w:t>投标货币</w:t>
      </w:r>
      <w:bookmarkEnd w:id="101"/>
    </w:p>
    <w:p>
      <w:pPr>
        <w:spacing w:line="400" w:lineRule="exact"/>
        <w:ind w:firstLine="431" w:firstLineChars="196"/>
        <w:rPr>
          <w:rFonts w:ascii="Times New Roman"/>
          <w:sz w:val="22"/>
          <w:szCs w:val="21"/>
        </w:rPr>
      </w:pPr>
      <w:r>
        <w:rPr>
          <w:rFonts w:hint="eastAsia" w:ascii="Times New Roman"/>
          <w:sz w:val="22"/>
          <w:szCs w:val="21"/>
        </w:rPr>
        <w:t>本次招标项目的投标均以人民币报价。</w:t>
      </w:r>
    </w:p>
    <w:p>
      <w:pPr>
        <w:pStyle w:val="5"/>
        <w:spacing w:line="400" w:lineRule="exact"/>
        <w:rPr>
          <w:rFonts w:hAnsi="Times New Roman"/>
          <w:sz w:val="22"/>
          <w:szCs w:val="21"/>
        </w:rPr>
      </w:pPr>
      <w:bookmarkStart w:id="102" w:name="_Toc217446046"/>
      <w:r>
        <w:rPr>
          <w:rFonts w:hAnsi="Times New Roman"/>
          <w:sz w:val="22"/>
          <w:szCs w:val="21"/>
        </w:rPr>
        <w:t xml:space="preserve">12. </w:t>
      </w:r>
      <w:r>
        <w:rPr>
          <w:rFonts w:hint="eastAsia" w:hAnsi="Times New Roman"/>
          <w:sz w:val="22"/>
          <w:szCs w:val="21"/>
        </w:rPr>
        <w:t>联合体投标</w:t>
      </w:r>
      <w:bookmarkEnd w:id="102"/>
      <w:r>
        <w:rPr>
          <w:rFonts w:hint="eastAsia" w:hAnsi="Times New Roman"/>
          <w:sz w:val="22"/>
          <w:szCs w:val="21"/>
        </w:rPr>
        <w:t>（本项目不适用）</w:t>
      </w:r>
    </w:p>
    <w:p>
      <w:pPr>
        <w:pStyle w:val="5"/>
        <w:spacing w:line="400" w:lineRule="exact"/>
        <w:rPr>
          <w:rFonts w:hAnsi="Times New Roman"/>
          <w:sz w:val="22"/>
          <w:szCs w:val="21"/>
        </w:rPr>
      </w:pPr>
      <w:bookmarkStart w:id="103" w:name="_Toc217446047"/>
      <w:bookmarkStart w:id="104" w:name="_Toc308164797"/>
      <w:r>
        <w:rPr>
          <w:rFonts w:hAnsi="Times New Roman"/>
          <w:sz w:val="22"/>
          <w:szCs w:val="21"/>
        </w:rPr>
        <w:t xml:space="preserve">13. </w:t>
      </w:r>
      <w:r>
        <w:rPr>
          <w:rFonts w:hint="eastAsia" w:hAnsi="Times New Roman"/>
          <w:sz w:val="22"/>
          <w:szCs w:val="21"/>
        </w:rPr>
        <w:t>知识产权</w:t>
      </w:r>
      <w:bookmarkEnd w:id="103"/>
      <w:bookmarkEnd w:id="104"/>
    </w:p>
    <w:p>
      <w:pPr>
        <w:pStyle w:val="13"/>
        <w:spacing w:line="400" w:lineRule="exact"/>
        <w:ind w:left="0" w:leftChars="0" w:firstLine="440" w:firstLineChars="200"/>
        <w:rPr>
          <w:rFonts w:ascii="Times New Roman" w:hAnsi="Times New Roman"/>
          <w:sz w:val="22"/>
          <w:szCs w:val="22"/>
        </w:rPr>
      </w:pPr>
      <w:r>
        <w:rPr>
          <w:rFonts w:ascii="Times New Roman" w:hAnsi="Times New Roman"/>
          <w:sz w:val="22"/>
          <w:szCs w:val="22"/>
        </w:rPr>
        <w:t xml:space="preserve">13.1 </w:t>
      </w:r>
      <w:r>
        <w:rPr>
          <w:rFonts w:hint="eastAsia" w:ascii="Times New Roman" w:hAnsi="Times New Roman"/>
          <w:sz w:val="22"/>
          <w:szCs w:val="22"/>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13"/>
        <w:spacing w:line="400" w:lineRule="exact"/>
        <w:ind w:left="0" w:leftChars="0" w:firstLine="440" w:firstLineChars="200"/>
        <w:rPr>
          <w:rFonts w:ascii="Times New Roman" w:hAnsi="Times New Roman"/>
          <w:sz w:val="22"/>
          <w:szCs w:val="22"/>
        </w:rPr>
      </w:pPr>
      <w:r>
        <w:rPr>
          <w:rFonts w:ascii="Times New Roman" w:hAnsi="Times New Roman"/>
          <w:sz w:val="22"/>
          <w:szCs w:val="22"/>
        </w:rPr>
        <w:t xml:space="preserve">13.2 </w:t>
      </w:r>
      <w:r>
        <w:rPr>
          <w:rFonts w:hint="eastAsia" w:ascii="Times New Roman" w:hAnsi="Times New Roman"/>
          <w:sz w:val="22"/>
          <w:szCs w:val="22"/>
        </w:rPr>
        <w:t>采购人享有本项目实施过程中产生的知识成果及知识产权。</w:t>
      </w:r>
    </w:p>
    <w:p>
      <w:pPr>
        <w:spacing w:line="400" w:lineRule="exact"/>
        <w:ind w:firstLine="440" w:firstLineChars="200"/>
        <w:rPr>
          <w:rFonts w:ascii="Times New Roman"/>
          <w:sz w:val="22"/>
          <w:szCs w:val="21"/>
        </w:rPr>
      </w:pPr>
      <w:r>
        <w:rPr>
          <w:rFonts w:ascii="Times New Roman"/>
          <w:sz w:val="22"/>
          <w:szCs w:val="21"/>
        </w:rPr>
        <w:t xml:space="preserve">13.3 </w:t>
      </w:r>
      <w:r>
        <w:rPr>
          <w:rFonts w:hint="eastAsia" w:ascii="Times New Roman"/>
          <w:sz w:val="22"/>
          <w:szCs w:val="21"/>
        </w:rPr>
        <w:t>投标人如欲在项目实施过程中采用自有知识成果，需在投标文件中声明，并提供相关知识产权证明文件。使用该知识成果后，投标人需提供开发接口和开发手册等技术文档，并承诺提供无限期技术支持，采购人享有永久使用权（含采购人委托第三方在该项目后续开发的使用权）。</w:t>
      </w:r>
    </w:p>
    <w:p>
      <w:pPr>
        <w:spacing w:line="400" w:lineRule="exact"/>
        <w:ind w:firstLine="422" w:firstLineChars="192"/>
        <w:rPr>
          <w:rFonts w:ascii="Times New Roman"/>
          <w:sz w:val="22"/>
          <w:szCs w:val="21"/>
        </w:rPr>
      </w:pPr>
      <w:r>
        <w:rPr>
          <w:rFonts w:ascii="Times New Roman"/>
          <w:sz w:val="22"/>
          <w:szCs w:val="21"/>
        </w:rPr>
        <w:t xml:space="preserve">13.4 </w:t>
      </w:r>
      <w:r>
        <w:rPr>
          <w:rFonts w:hint="eastAsia" w:ascii="Times New Roman"/>
          <w:sz w:val="22"/>
          <w:szCs w:val="21"/>
        </w:rPr>
        <w:t>如采用投标人所不拥有的知识产权，则在投标报价中必须包括合法获取该知识产权的相关费用。</w:t>
      </w:r>
    </w:p>
    <w:p>
      <w:pPr>
        <w:pStyle w:val="5"/>
        <w:spacing w:line="400" w:lineRule="exact"/>
        <w:rPr>
          <w:rFonts w:hAnsi="Times New Roman"/>
          <w:sz w:val="22"/>
          <w:szCs w:val="21"/>
        </w:rPr>
      </w:pPr>
      <w:bookmarkStart w:id="105" w:name="_Toc183682354"/>
      <w:bookmarkStart w:id="106" w:name="_Toc308164798"/>
      <w:bookmarkStart w:id="107" w:name="_Toc217446048"/>
      <w:bookmarkStart w:id="108" w:name="_Toc183582217"/>
      <w:r>
        <w:rPr>
          <w:rFonts w:hAnsi="Times New Roman"/>
          <w:sz w:val="22"/>
          <w:szCs w:val="21"/>
        </w:rPr>
        <w:t>14</w:t>
      </w:r>
      <w:r>
        <w:rPr>
          <w:rFonts w:hint="eastAsia" w:hAnsi="Times New Roman"/>
          <w:sz w:val="22"/>
          <w:szCs w:val="21"/>
        </w:rPr>
        <w:t>．投标文件的组成</w:t>
      </w:r>
      <w:bookmarkEnd w:id="105"/>
      <w:bookmarkEnd w:id="106"/>
      <w:bookmarkEnd w:id="107"/>
      <w:bookmarkEnd w:id="108"/>
    </w:p>
    <w:p>
      <w:pPr>
        <w:spacing w:line="400" w:lineRule="exact"/>
        <w:ind w:firstLine="440" w:firstLineChars="200"/>
        <w:rPr>
          <w:rFonts w:ascii="Times New Roman"/>
          <w:sz w:val="22"/>
          <w:szCs w:val="21"/>
        </w:rPr>
      </w:pPr>
      <w:r>
        <w:rPr>
          <w:rFonts w:hint="eastAsia" w:ascii="Times New Roman"/>
          <w:sz w:val="22"/>
          <w:szCs w:val="21"/>
        </w:rPr>
        <w:t>投标人应按照招标文件的规定和要求编制投标文件。投标人编写的投标文件应至少包括下列两部分文件：</w:t>
      </w:r>
    </w:p>
    <w:p>
      <w:pPr>
        <w:spacing w:line="400" w:lineRule="exact"/>
        <w:ind w:firstLine="442" w:firstLineChars="200"/>
        <w:rPr>
          <w:rFonts w:ascii="Times New Roman"/>
          <w:b/>
          <w:sz w:val="22"/>
          <w:szCs w:val="21"/>
        </w:rPr>
      </w:pPr>
      <w:r>
        <w:rPr>
          <w:rFonts w:hint="eastAsia" w:ascii="Times New Roman"/>
          <w:b/>
          <w:sz w:val="22"/>
          <w:szCs w:val="21"/>
        </w:rPr>
        <w:t>文件一：资格性投标文件（用于资格审查）</w:t>
      </w:r>
    </w:p>
    <w:p>
      <w:pPr>
        <w:spacing w:line="400" w:lineRule="exact"/>
        <w:ind w:firstLine="440" w:firstLineChars="200"/>
        <w:rPr>
          <w:rFonts w:ascii="Times New Roman"/>
          <w:sz w:val="22"/>
          <w:szCs w:val="21"/>
        </w:rPr>
      </w:pPr>
      <w:r>
        <w:rPr>
          <w:rFonts w:hint="eastAsia" w:ascii="Times New Roman"/>
          <w:sz w:val="22"/>
          <w:szCs w:val="21"/>
        </w:rPr>
        <w:t>严格按照第四章要求提供相关资格、资质性及其他类似效力要求的相关证明材料。</w:t>
      </w:r>
    </w:p>
    <w:p>
      <w:pPr>
        <w:spacing w:line="400" w:lineRule="exact"/>
        <w:ind w:firstLine="442" w:firstLineChars="200"/>
        <w:rPr>
          <w:rFonts w:ascii="Times New Roman"/>
          <w:b/>
          <w:sz w:val="22"/>
          <w:szCs w:val="21"/>
        </w:rPr>
      </w:pPr>
      <w:r>
        <w:rPr>
          <w:rFonts w:hint="eastAsia" w:ascii="Times New Roman"/>
          <w:b/>
          <w:sz w:val="22"/>
          <w:szCs w:val="21"/>
        </w:rPr>
        <w:t>文件二：其它响应性投标文件（用于资格审查以外的评标）</w:t>
      </w:r>
    </w:p>
    <w:p>
      <w:pPr>
        <w:spacing w:line="400" w:lineRule="exact"/>
        <w:ind w:firstLine="440" w:firstLineChars="200"/>
        <w:rPr>
          <w:rFonts w:ascii="Times New Roman"/>
          <w:sz w:val="22"/>
          <w:szCs w:val="21"/>
        </w:rPr>
      </w:pPr>
      <w:r>
        <w:rPr>
          <w:rFonts w:hint="eastAsia" w:ascii="Times New Roman"/>
          <w:sz w:val="22"/>
          <w:szCs w:val="21"/>
        </w:rPr>
        <w:t>严格按照招标文件要求提供以下五个方面的相关材料：</w:t>
      </w:r>
    </w:p>
    <w:p>
      <w:pPr>
        <w:spacing w:line="400" w:lineRule="exact"/>
        <w:ind w:firstLine="442" w:firstLineChars="200"/>
        <w:rPr>
          <w:rFonts w:ascii="Times New Roman"/>
          <w:sz w:val="22"/>
          <w:szCs w:val="21"/>
        </w:rPr>
      </w:pPr>
      <w:r>
        <w:rPr>
          <w:rFonts w:hint="eastAsia" w:ascii="Times New Roman"/>
          <w:b/>
          <w:sz w:val="22"/>
          <w:szCs w:val="21"/>
        </w:rPr>
        <w:t>（一）报价部分。</w:t>
      </w:r>
      <w:r>
        <w:rPr>
          <w:rFonts w:hint="eastAsia" w:ascii="Times New Roman"/>
          <w:bCs/>
          <w:sz w:val="22"/>
          <w:szCs w:val="21"/>
        </w:rPr>
        <w:t>投标人</w:t>
      </w:r>
      <w:r>
        <w:rPr>
          <w:rFonts w:hint="eastAsia" w:ascii="Times New Roman"/>
          <w:sz w:val="22"/>
          <w:szCs w:val="21"/>
        </w:rPr>
        <w:t>按照招标文件要求填写的</w:t>
      </w:r>
      <w:r>
        <w:rPr>
          <w:rFonts w:ascii="Times New Roman"/>
          <w:sz w:val="22"/>
          <w:szCs w:val="21"/>
        </w:rPr>
        <w:t>“</w:t>
      </w:r>
      <w:r>
        <w:rPr>
          <w:rFonts w:hint="eastAsia" w:ascii="Times New Roman"/>
          <w:sz w:val="22"/>
          <w:szCs w:val="21"/>
        </w:rPr>
        <w:t>开标一览表</w:t>
      </w:r>
      <w:r>
        <w:rPr>
          <w:rFonts w:ascii="Times New Roman"/>
          <w:sz w:val="22"/>
          <w:szCs w:val="21"/>
        </w:rPr>
        <w:t>”</w:t>
      </w:r>
      <w:r>
        <w:rPr>
          <w:rFonts w:hint="eastAsia" w:ascii="Times New Roman"/>
          <w:sz w:val="22"/>
          <w:szCs w:val="21"/>
        </w:rPr>
        <w:t>及</w:t>
      </w:r>
      <w:r>
        <w:rPr>
          <w:rFonts w:ascii="Times New Roman"/>
          <w:sz w:val="22"/>
          <w:szCs w:val="21"/>
        </w:rPr>
        <w:t>“</w:t>
      </w:r>
      <w:r>
        <w:rPr>
          <w:rFonts w:hint="eastAsia" w:ascii="Times New Roman"/>
          <w:sz w:val="22"/>
          <w:szCs w:val="21"/>
        </w:rPr>
        <w:t>报价明细表</w:t>
      </w:r>
      <w:r>
        <w:rPr>
          <w:rFonts w:ascii="Times New Roman"/>
          <w:sz w:val="22"/>
          <w:szCs w:val="21"/>
        </w:rPr>
        <w:t>”</w:t>
      </w:r>
      <w:r>
        <w:rPr>
          <w:rFonts w:hint="eastAsia" w:ascii="Times New Roman"/>
          <w:sz w:val="22"/>
          <w:szCs w:val="21"/>
        </w:rPr>
        <w:t>。本次招标报价要求：</w:t>
      </w:r>
    </w:p>
    <w:p>
      <w:pPr>
        <w:spacing w:line="400" w:lineRule="exact"/>
        <w:ind w:firstLine="440" w:firstLineChars="200"/>
        <w:rPr>
          <w:rFonts w:ascii="Times New Roman"/>
          <w:sz w:val="22"/>
          <w:szCs w:val="21"/>
        </w:rPr>
      </w:pPr>
      <w:r>
        <w:rPr>
          <w:rFonts w:hint="eastAsia" w:ascii="Times New Roman"/>
          <w:sz w:val="22"/>
          <w:szCs w:val="21"/>
        </w:rPr>
        <w:t>（</w:t>
      </w:r>
      <w:r>
        <w:rPr>
          <w:rFonts w:ascii="Times New Roman"/>
          <w:sz w:val="22"/>
          <w:szCs w:val="21"/>
        </w:rPr>
        <w:t>1</w:t>
      </w:r>
      <w:r>
        <w:rPr>
          <w:rFonts w:hint="eastAsia" w:ascii="Times New Roman"/>
          <w:sz w:val="22"/>
          <w:szCs w:val="21"/>
        </w:rPr>
        <w:t>）投标人的报价是投标人响应招标项目要求的全部工作内容的价格体现，包括投标人完成本项目所需的一切费用（包括设备运输、保险、代理服务费、安装调试、培训、税费、招标文件规定的其它费用）。</w:t>
      </w:r>
    </w:p>
    <w:p>
      <w:pPr>
        <w:spacing w:line="400" w:lineRule="exact"/>
        <w:ind w:firstLine="440" w:firstLineChars="200"/>
        <w:rPr>
          <w:rFonts w:ascii="Times New Roman"/>
          <w:sz w:val="22"/>
          <w:szCs w:val="21"/>
        </w:rPr>
      </w:pPr>
      <w:r>
        <w:rPr>
          <w:rFonts w:hint="eastAsia" w:ascii="Times New Roman"/>
          <w:sz w:val="22"/>
          <w:szCs w:val="21"/>
        </w:rPr>
        <w:t>（</w:t>
      </w:r>
      <w:r>
        <w:rPr>
          <w:rFonts w:ascii="Times New Roman"/>
          <w:sz w:val="22"/>
          <w:szCs w:val="21"/>
        </w:rPr>
        <w:t>2</w:t>
      </w:r>
      <w:r>
        <w:rPr>
          <w:rFonts w:hint="eastAsia" w:ascii="Times New Roman"/>
          <w:sz w:val="22"/>
          <w:szCs w:val="21"/>
        </w:rPr>
        <w:t>）投标人每种货物只允许有一个报价，并且在合同履行过程中是固定不变的，任何有选择或可调整的报价将不予接受，并按无效投标处理。</w:t>
      </w:r>
    </w:p>
    <w:p>
      <w:pPr>
        <w:spacing w:line="400" w:lineRule="exact"/>
        <w:ind w:firstLine="440" w:firstLineChars="200"/>
        <w:rPr>
          <w:rFonts w:ascii="Times New Roman"/>
          <w:sz w:val="22"/>
          <w:szCs w:val="21"/>
        </w:rPr>
      </w:pPr>
      <w:r>
        <w:rPr>
          <w:rFonts w:hint="eastAsia" w:ascii="Times New Roman"/>
          <w:sz w:val="22"/>
          <w:szCs w:val="21"/>
        </w:rPr>
        <w:t>（</w:t>
      </w:r>
      <w:r>
        <w:rPr>
          <w:rFonts w:ascii="Times New Roman"/>
          <w:sz w:val="22"/>
          <w:szCs w:val="21"/>
        </w:rPr>
        <w:t>3</w:t>
      </w:r>
      <w:r>
        <w:rPr>
          <w:rFonts w:hint="eastAsia" w:ascii="Times New Roman"/>
          <w:sz w:val="22"/>
          <w:szCs w:val="21"/>
        </w:rPr>
        <w:t>）如投标产品为产品，报价时请在开标一览表的备注栏中注明：</w:t>
      </w:r>
      <w:r>
        <w:rPr>
          <w:rFonts w:ascii="Times New Roman"/>
          <w:sz w:val="22"/>
          <w:szCs w:val="21"/>
        </w:rPr>
        <w:t>“</w:t>
      </w:r>
      <w:r>
        <w:rPr>
          <w:rFonts w:hint="eastAsia" w:ascii="Times New Roman"/>
          <w:sz w:val="22"/>
          <w:szCs w:val="21"/>
        </w:rPr>
        <w:t>产品</w:t>
      </w:r>
      <w:r>
        <w:rPr>
          <w:rFonts w:ascii="Times New Roman"/>
          <w:sz w:val="22"/>
          <w:szCs w:val="21"/>
        </w:rPr>
        <w:t>”</w:t>
      </w:r>
      <w:r>
        <w:rPr>
          <w:rFonts w:hint="eastAsia" w:ascii="Times New Roman"/>
          <w:sz w:val="22"/>
          <w:szCs w:val="21"/>
        </w:rPr>
        <w:t>。</w:t>
      </w:r>
    </w:p>
    <w:p>
      <w:pPr>
        <w:spacing w:line="400" w:lineRule="exact"/>
        <w:ind w:firstLine="442" w:firstLineChars="200"/>
        <w:rPr>
          <w:rFonts w:ascii="Times New Roman"/>
          <w:b/>
          <w:bCs/>
          <w:sz w:val="22"/>
          <w:szCs w:val="21"/>
        </w:rPr>
      </w:pPr>
      <w:r>
        <w:rPr>
          <w:rFonts w:hint="eastAsia" w:ascii="Times New Roman"/>
          <w:b/>
          <w:sz w:val="22"/>
          <w:szCs w:val="21"/>
        </w:rPr>
        <w:t>（二）技术部分。</w:t>
      </w:r>
      <w:r>
        <w:rPr>
          <w:rFonts w:hint="eastAsia" w:ascii="Times New Roman"/>
          <w:sz w:val="22"/>
          <w:szCs w:val="21"/>
        </w:rPr>
        <w:t>投标人按照招标文件要求做出的技术应答，主要是针对招标项目的技术指标、参数和技术要求做出的实质性响应和满足。投标人的技术应答包括下列内容：</w:t>
      </w:r>
    </w:p>
    <w:p>
      <w:pPr>
        <w:spacing w:line="400" w:lineRule="exact"/>
        <w:ind w:firstLine="440" w:firstLineChars="200"/>
        <w:rPr>
          <w:rFonts w:ascii="Times New Roman"/>
          <w:sz w:val="22"/>
          <w:szCs w:val="21"/>
        </w:rPr>
      </w:pPr>
      <w:r>
        <w:rPr>
          <w:rFonts w:hint="eastAsia" w:ascii="Times New Roman"/>
          <w:sz w:val="22"/>
          <w:szCs w:val="21"/>
        </w:rPr>
        <w:t>（</w:t>
      </w:r>
      <w:r>
        <w:rPr>
          <w:rFonts w:ascii="Times New Roman"/>
          <w:sz w:val="22"/>
          <w:szCs w:val="21"/>
        </w:rPr>
        <w:t>1</w:t>
      </w:r>
      <w:r>
        <w:rPr>
          <w:rFonts w:hint="eastAsia" w:ascii="Times New Roman"/>
          <w:sz w:val="22"/>
          <w:szCs w:val="21"/>
        </w:rPr>
        <w:t>）投标产品的品牌、型号；</w:t>
      </w:r>
    </w:p>
    <w:p>
      <w:pPr>
        <w:spacing w:line="400" w:lineRule="exact"/>
        <w:ind w:firstLine="440" w:firstLineChars="200"/>
        <w:rPr>
          <w:rFonts w:ascii="Times New Roman"/>
          <w:sz w:val="22"/>
          <w:szCs w:val="21"/>
        </w:rPr>
      </w:pPr>
      <w:r>
        <w:rPr>
          <w:rFonts w:hint="eastAsia" w:ascii="Times New Roman"/>
          <w:sz w:val="22"/>
          <w:szCs w:val="21"/>
        </w:rPr>
        <w:t>（</w:t>
      </w:r>
      <w:r>
        <w:rPr>
          <w:rFonts w:ascii="Times New Roman"/>
          <w:sz w:val="22"/>
          <w:szCs w:val="21"/>
        </w:rPr>
        <w:t>2</w:t>
      </w:r>
      <w:r>
        <w:rPr>
          <w:rFonts w:hint="eastAsia" w:ascii="Times New Roman"/>
          <w:sz w:val="22"/>
          <w:szCs w:val="21"/>
        </w:rPr>
        <w:t>）投标产品技术应答表（应当尽可能提供检测报告、产品彩页、官网截图等材料予以佐证）；</w:t>
      </w:r>
    </w:p>
    <w:p>
      <w:pPr>
        <w:spacing w:line="400" w:lineRule="exact"/>
        <w:ind w:firstLine="440" w:firstLineChars="200"/>
        <w:rPr>
          <w:rFonts w:ascii="Times New Roman"/>
          <w:sz w:val="22"/>
          <w:szCs w:val="21"/>
        </w:rPr>
      </w:pPr>
      <w:r>
        <w:rPr>
          <w:rFonts w:hint="eastAsia" w:ascii="Times New Roman"/>
          <w:sz w:val="22"/>
          <w:szCs w:val="21"/>
        </w:rPr>
        <w:t>（</w:t>
      </w:r>
      <w:r>
        <w:rPr>
          <w:rFonts w:ascii="Times New Roman"/>
          <w:sz w:val="22"/>
          <w:szCs w:val="21"/>
        </w:rPr>
        <w:t>3</w:t>
      </w:r>
      <w:r>
        <w:rPr>
          <w:rFonts w:hint="eastAsia" w:ascii="Times New Roman"/>
          <w:sz w:val="22"/>
          <w:szCs w:val="21"/>
        </w:rPr>
        <w:t>）产品配置清单（注明品名、数量、价格、规格型号和原产地或生产厂家）</w:t>
      </w:r>
    </w:p>
    <w:p>
      <w:pPr>
        <w:spacing w:line="400" w:lineRule="exact"/>
        <w:ind w:firstLine="440" w:firstLineChars="200"/>
        <w:rPr>
          <w:rFonts w:ascii="Times New Roman"/>
          <w:sz w:val="22"/>
          <w:szCs w:val="21"/>
        </w:rPr>
      </w:pPr>
      <w:r>
        <w:rPr>
          <w:rFonts w:hint="eastAsia" w:ascii="Times New Roman"/>
          <w:sz w:val="22"/>
          <w:szCs w:val="21"/>
        </w:rPr>
        <w:t>（</w:t>
      </w:r>
      <w:r>
        <w:rPr>
          <w:rFonts w:ascii="Times New Roman"/>
          <w:sz w:val="22"/>
          <w:szCs w:val="21"/>
        </w:rPr>
        <w:t>4</w:t>
      </w:r>
      <w:r>
        <w:rPr>
          <w:rFonts w:hint="eastAsia" w:ascii="Times New Roman"/>
          <w:sz w:val="22"/>
          <w:szCs w:val="21"/>
        </w:rPr>
        <w:t>）投标人认为需要提供的文件和资料。</w:t>
      </w:r>
    </w:p>
    <w:p>
      <w:pPr>
        <w:spacing w:line="400" w:lineRule="exact"/>
        <w:ind w:firstLine="442" w:firstLineChars="200"/>
        <w:rPr>
          <w:rFonts w:ascii="Times New Roman"/>
          <w:sz w:val="22"/>
          <w:szCs w:val="21"/>
        </w:rPr>
      </w:pPr>
      <w:r>
        <w:rPr>
          <w:rFonts w:hint="eastAsia" w:ascii="Times New Roman"/>
          <w:b/>
          <w:sz w:val="22"/>
          <w:szCs w:val="21"/>
        </w:rPr>
        <w:t>（三）商务部分。</w:t>
      </w:r>
      <w:r>
        <w:rPr>
          <w:rFonts w:hint="eastAsia" w:ascii="Times New Roman"/>
          <w:sz w:val="22"/>
          <w:szCs w:val="21"/>
        </w:rPr>
        <w:t>投标人按照招标文件要求提供的有关文件及优惠承诺。包括以下内容：</w:t>
      </w:r>
    </w:p>
    <w:p>
      <w:pPr>
        <w:spacing w:line="400" w:lineRule="exact"/>
        <w:ind w:firstLine="440" w:firstLineChars="200"/>
        <w:rPr>
          <w:rFonts w:ascii="Times New Roman"/>
          <w:sz w:val="22"/>
          <w:szCs w:val="21"/>
        </w:rPr>
      </w:pPr>
      <w:r>
        <w:rPr>
          <w:rFonts w:hint="eastAsia" w:ascii="Times New Roman"/>
          <w:sz w:val="22"/>
          <w:szCs w:val="21"/>
        </w:rPr>
        <w:t>（</w:t>
      </w:r>
      <w:r>
        <w:rPr>
          <w:rFonts w:ascii="Times New Roman"/>
          <w:sz w:val="22"/>
          <w:szCs w:val="21"/>
        </w:rPr>
        <w:t>1</w:t>
      </w:r>
      <w:r>
        <w:rPr>
          <w:rFonts w:hint="eastAsia" w:ascii="Times New Roman"/>
          <w:sz w:val="22"/>
          <w:szCs w:val="21"/>
        </w:rPr>
        <w:t>）投标函；</w:t>
      </w:r>
    </w:p>
    <w:p>
      <w:pPr>
        <w:spacing w:line="400" w:lineRule="exact"/>
        <w:ind w:firstLine="440" w:firstLineChars="200"/>
        <w:rPr>
          <w:rFonts w:ascii="Times New Roman"/>
          <w:sz w:val="22"/>
          <w:szCs w:val="21"/>
        </w:rPr>
      </w:pPr>
      <w:r>
        <w:rPr>
          <w:rFonts w:hint="eastAsia" w:ascii="Times New Roman"/>
          <w:sz w:val="22"/>
          <w:szCs w:val="21"/>
        </w:rPr>
        <w:t>（</w:t>
      </w:r>
      <w:r>
        <w:rPr>
          <w:rFonts w:ascii="Times New Roman"/>
          <w:sz w:val="22"/>
          <w:szCs w:val="21"/>
        </w:rPr>
        <w:t>2</w:t>
      </w:r>
      <w:r>
        <w:rPr>
          <w:rFonts w:hint="eastAsia" w:ascii="Times New Roman"/>
          <w:sz w:val="22"/>
          <w:szCs w:val="21"/>
        </w:rPr>
        <w:t>）投标人承诺给予招标采购单位的各种优惠条件（优惠条件事项不能包括采购项目本身所包括涉及的采购事项。投标人不能以</w:t>
      </w:r>
      <w:r>
        <w:rPr>
          <w:rFonts w:ascii="Times New Roman"/>
          <w:sz w:val="22"/>
          <w:szCs w:val="21"/>
        </w:rPr>
        <w:t>“</w:t>
      </w:r>
      <w:r>
        <w:rPr>
          <w:rFonts w:hint="eastAsia" w:ascii="Times New Roman"/>
          <w:sz w:val="22"/>
          <w:szCs w:val="21"/>
        </w:rPr>
        <w:t>赠送、赠予</w:t>
      </w:r>
      <w:r>
        <w:rPr>
          <w:rFonts w:ascii="Times New Roman"/>
          <w:sz w:val="22"/>
          <w:szCs w:val="21"/>
        </w:rPr>
        <w:t>”</w:t>
      </w:r>
      <w:r>
        <w:rPr>
          <w:rFonts w:hint="eastAsia" w:ascii="Times New Roman"/>
          <w:sz w:val="22"/>
          <w:szCs w:val="21"/>
        </w:rPr>
        <w:t>等任何名义提供货物和服务以规避招标文件的约束。否则，投标人提供的投标文件将作为无效投标处理，即使中标也将取消中标资格）；</w:t>
      </w:r>
    </w:p>
    <w:p>
      <w:pPr>
        <w:spacing w:line="400" w:lineRule="exact"/>
        <w:ind w:firstLine="440" w:firstLineChars="200"/>
        <w:rPr>
          <w:rFonts w:ascii="Times New Roman"/>
          <w:sz w:val="22"/>
          <w:szCs w:val="21"/>
        </w:rPr>
      </w:pPr>
      <w:r>
        <w:rPr>
          <w:rFonts w:hint="eastAsia" w:ascii="Times New Roman"/>
          <w:sz w:val="22"/>
          <w:szCs w:val="21"/>
        </w:rPr>
        <w:t>（</w:t>
      </w:r>
      <w:r>
        <w:rPr>
          <w:rFonts w:ascii="Times New Roman"/>
          <w:sz w:val="22"/>
          <w:szCs w:val="21"/>
        </w:rPr>
        <w:t>3</w:t>
      </w:r>
      <w:r>
        <w:rPr>
          <w:rFonts w:hint="eastAsia" w:ascii="Times New Roman"/>
          <w:sz w:val="22"/>
          <w:szCs w:val="21"/>
        </w:rPr>
        <w:t>）证明投标人业绩和荣誉的有关材料复印件；</w:t>
      </w:r>
    </w:p>
    <w:p>
      <w:pPr>
        <w:spacing w:line="400" w:lineRule="exact"/>
        <w:ind w:firstLine="440" w:firstLineChars="200"/>
        <w:rPr>
          <w:rFonts w:ascii="Times New Roman"/>
          <w:sz w:val="22"/>
          <w:szCs w:val="21"/>
        </w:rPr>
      </w:pPr>
      <w:r>
        <w:rPr>
          <w:rFonts w:hint="eastAsia" w:ascii="Times New Roman"/>
          <w:sz w:val="22"/>
          <w:szCs w:val="21"/>
        </w:rPr>
        <w:t>（</w:t>
      </w:r>
      <w:r>
        <w:rPr>
          <w:rFonts w:ascii="Times New Roman"/>
          <w:sz w:val="22"/>
          <w:szCs w:val="21"/>
        </w:rPr>
        <w:t>4</w:t>
      </w:r>
      <w:r>
        <w:rPr>
          <w:rFonts w:hint="eastAsia" w:ascii="Times New Roman"/>
          <w:sz w:val="22"/>
          <w:szCs w:val="21"/>
        </w:rPr>
        <w:t>）商务应答表；</w:t>
      </w:r>
    </w:p>
    <w:p>
      <w:pPr>
        <w:spacing w:line="400" w:lineRule="exact"/>
        <w:ind w:firstLine="440" w:firstLineChars="200"/>
        <w:rPr>
          <w:rFonts w:ascii="Times New Roman"/>
          <w:sz w:val="22"/>
          <w:szCs w:val="21"/>
        </w:rPr>
      </w:pPr>
      <w:r>
        <w:rPr>
          <w:rFonts w:hint="eastAsia" w:ascii="Times New Roman"/>
          <w:sz w:val="22"/>
          <w:szCs w:val="21"/>
        </w:rPr>
        <w:t>（</w:t>
      </w:r>
      <w:r>
        <w:rPr>
          <w:rFonts w:ascii="Times New Roman"/>
          <w:sz w:val="22"/>
          <w:szCs w:val="21"/>
        </w:rPr>
        <w:t>5</w:t>
      </w:r>
      <w:r>
        <w:rPr>
          <w:rFonts w:hint="eastAsia" w:ascii="Times New Roman"/>
          <w:sz w:val="22"/>
          <w:szCs w:val="21"/>
        </w:rPr>
        <w:t>）其他投标人认为需要提供的文件和资料。</w:t>
      </w:r>
    </w:p>
    <w:p>
      <w:pPr>
        <w:spacing w:line="400" w:lineRule="exact"/>
        <w:ind w:firstLine="442" w:firstLineChars="200"/>
        <w:rPr>
          <w:rFonts w:ascii="Times New Roman"/>
          <w:b/>
          <w:bCs/>
          <w:sz w:val="22"/>
          <w:szCs w:val="21"/>
        </w:rPr>
      </w:pPr>
      <w:r>
        <w:rPr>
          <w:rFonts w:hint="eastAsia" w:ascii="Times New Roman"/>
          <w:b/>
          <w:sz w:val="22"/>
          <w:szCs w:val="21"/>
        </w:rPr>
        <w:t>（四）售后服务。</w:t>
      </w:r>
      <w:r>
        <w:rPr>
          <w:rFonts w:hint="eastAsia" w:ascii="Times New Roman"/>
          <w:sz w:val="22"/>
          <w:szCs w:val="21"/>
        </w:rPr>
        <w:t>投标人按照招标文件中售后服务要求作出的积极响应和承诺。包括以下内容：</w:t>
      </w:r>
    </w:p>
    <w:p>
      <w:pPr>
        <w:spacing w:line="400" w:lineRule="exact"/>
        <w:ind w:firstLine="440" w:firstLineChars="200"/>
        <w:rPr>
          <w:rFonts w:ascii="Times New Roman"/>
          <w:sz w:val="22"/>
          <w:szCs w:val="21"/>
        </w:rPr>
      </w:pPr>
      <w:r>
        <w:rPr>
          <w:rFonts w:hint="eastAsia" w:ascii="Times New Roman"/>
          <w:sz w:val="22"/>
          <w:szCs w:val="21"/>
        </w:rPr>
        <w:t>（</w:t>
      </w:r>
      <w:r>
        <w:rPr>
          <w:rFonts w:ascii="Times New Roman"/>
          <w:sz w:val="22"/>
          <w:szCs w:val="21"/>
        </w:rPr>
        <w:t>1</w:t>
      </w:r>
      <w:r>
        <w:rPr>
          <w:rFonts w:hint="eastAsia" w:ascii="Times New Roman"/>
          <w:sz w:val="22"/>
          <w:szCs w:val="21"/>
        </w:rPr>
        <w:t>）产品制造厂家或投标人设立的售后服务机构网点清单、服务电话和维修人员名单；</w:t>
      </w:r>
    </w:p>
    <w:p>
      <w:pPr>
        <w:spacing w:line="400" w:lineRule="exact"/>
        <w:ind w:firstLine="440" w:firstLineChars="200"/>
        <w:rPr>
          <w:rFonts w:ascii="Times New Roman"/>
          <w:sz w:val="22"/>
          <w:szCs w:val="21"/>
        </w:rPr>
      </w:pPr>
      <w:r>
        <w:rPr>
          <w:rFonts w:hint="eastAsia" w:ascii="Times New Roman"/>
          <w:sz w:val="22"/>
          <w:szCs w:val="21"/>
        </w:rPr>
        <w:t>（</w:t>
      </w:r>
      <w:r>
        <w:rPr>
          <w:rFonts w:ascii="Times New Roman"/>
          <w:sz w:val="22"/>
          <w:szCs w:val="21"/>
        </w:rPr>
        <w:t>2</w:t>
      </w:r>
      <w:r>
        <w:rPr>
          <w:rFonts w:hint="eastAsia" w:ascii="Times New Roman"/>
          <w:sz w:val="22"/>
          <w:szCs w:val="21"/>
        </w:rPr>
        <w:t>）说明投标产品的保修时间、保修期内的保修内容与范围、维修响应时间等。提供投标人或产品制造厂家的服务承诺和保障措施；</w:t>
      </w:r>
    </w:p>
    <w:p>
      <w:pPr>
        <w:spacing w:line="400" w:lineRule="exact"/>
        <w:ind w:firstLine="440" w:firstLineChars="200"/>
        <w:rPr>
          <w:rFonts w:ascii="Times New Roman"/>
          <w:sz w:val="22"/>
          <w:szCs w:val="21"/>
        </w:rPr>
      </w:pPr>
      <w:r>
        <w:rPr>
          <w:rFonts w:hint="eastAsia" w:ascii="Times New Roman"/>
          <w:sz w:val="22"/>
          <w:szCs w:val="21"/>
        </w:rPr>
        <w:t>（</w:t>
      </w:r>
      <w:r>
        <w:rPr>
          <w:rFonts w:ascii="Times New Roman"/>
          <w:sz w:val="22"/>
          <w:szCs w:val="21"/>
        </w:rPr>
        <w:t>3</w:t>
      </w:r>
      <w:r>
        <w:rPr>
          <w:rFonts w:hint="eastAsia" w:ascii="Times New Roman"/>
          <w:sz w:val="22"/>
          <w:szCs w:val="21"/>
        </w:rPr>
        <w:t>）培训措施：说明培训内容及培训的时间、地点、目标、培训人数、收费标准和办法；</w:t>
      </w:r>
    </w:p>
    <w:p>
      <w:pPr>
        <w:spacing w:line="400" w:lineRule="exact"/>
        <w:ind w:firstLine="440" w:firstLineChars="200"/>
        <w:rPr>
          <w:rFonts w:ascii="Times New Roman"/>
          <w:sz w:val="22"/>
          <w:szCs w:val="21"/>
        </w:rPr>
      </w:pPr>
      <w:r>
        <w:rPr>
          <w:rFonts w:hint="eastAsia" w:ascii="Times New Roman"/>
          <w:sz w:val="22"/>
          <w:szCs w:val="21"/>
        </w:rPr>
        <w:t>（</w:t>
      </w:r>
      <w:r>
        <w:rPr>
          <w:rFonts w:ascii="Times New Roman"/>
          <w:sz w:val="22"/>
          <w:szCs w:val="21"/>
        </w:rPr>
        <w:t>4</w:t>
      </w:r>
      <w:r>
        <w:rPr>
          <w:rFonts w:hint="eastAsia" w:ascii="Times New Roman"/>
          <w:sz w:val="22"/>
          <w:szCs w:val="21"/>
        </w:rPr>
        <w:t>）其他有利于用户的服务承诺。</w:t>
      </w:r>
    </w:p>
    <w:p>
      <w:pPr>
        <w:spacing w:line="400" w:lineRule="exact"/>
        <w:ind w:firstLine="440" w:firstLineChars="200"/>
        <w:rPr>
          <w:rFonts w:ascii="Times New Roman"/>
          <w:sz w:val="22"/>
          <w:szCs w:val="21"/>
        </w:rPr>
      </w:pPr>
      <w:r>
        <w:rPr>
          <w:rFonts w:hint="eastAsia" w:ascii="Times New Roman"/>
          <w:sz w:val="22"/>
          <w:szCs w:val="21"/>
        </w:rPr>
        <w:t>注：投标人承诺的保修时间、保修内容与范围等需要投标产品制造厂家授权的，投标人必须保证其承诺的保修时间、保修内容与范围等得到了制造厂家授权，如其承诺的保修时间、保修内容与范围等与制造厂家授权不一致的，以投标人承诺的为准。</w:t>
      </w:r>
    </w:p>
    <w:p>
      <w:pPr>
        <w:adjustRightInd w:val="0"/>
        <w:snapToGrid w:val="0"/>
        <w:spacing w:line="400" w:lineRule="exact"/>
        <w:ind w:firstLine="442" w:firstLineChars="200"/>
        <w:rPr>
          <w:rFonts w:ascii="Times New Roman"/>
          <w:sz w:val="22"/>
          <w:szCs w:val="21"/>
        </w:rPr>
      </w:pPr>
      <w:r>
        <w:rPr>
          <w:rFonts w:hint="eastAsia" w:ascii="Times New Roman"/>
          <w:b/>
          <w:bCs/>
          <w:sz w:val="22"/>
          <w:szCs w:val="21"/>
        </w:rPr>
        <w:t>（五）其他部分。</w:t>
      </w:r>
      <w:r>
        <w:rPr>
          <w:rFonts w:hint="eastAsia" w:ascii="Times New Roman"/>
          <w:bCs/>
          <w:sz w:val="22"/>
          <w:szCs w:val="21"/>
        </w:rPr>
        <w:t>投标人按照招标文件要求作出的其他应答和承诺。</w:t>
      </w:r>
    </w:p>
    <w:p>
      <w:pPr>
        <w:pStyle w:val="5"/>
        <w:spacing w:line="400" w:lineRule="exact"/>
        <w:rPr>
          <w:rFonts w:hAnsi="Times New Roman"/>
          <w:sz w:val="22"/>
          <w:szCs w:val="21"/>
        </w:rPr>
      </w:pPr>
      <w:bookmarkStart w:id="109" w:name="_Toc183582218"/>
      <w:bookmarkStart w:id="110" w:name="_Toc217446049"/>
      <w:bookmarkStart w:id="111" w:name="_Toc183682355"/>
      <w:bookmarkStart w:id="112" w:name="_Toc308164799"/>
      <w:r>
        <w:rPr>
          <w:rFonts w:hAnsi="Times New Roman"/>
          <w:sz w:val="22"/>
          <w:szCs w:val="21"/>
        </w:rPr>
        <w:t>15</w:t>
      </w:r>
      <w:r>
        <w:rPr>
          <w:rFonts w:hint="eastAsia" w:hAnsi="Times New Roman"/>
          <w:sz w:val="22"/>
          <w:szCs w:val="21"/>
        </w:rPr>
        <w:t>．投标文件格式</w:t>
      </w:r>
      <w:bookmarkEnd w:id="109"/>
      <w:bookmarkEnd w:id="110"/>
      <w:bookmarkEnd w:id="111"/>
      <w:bookmarkEnd w:id="112"/>
    </w:p>
    <w:p>
      <w:pPr>
        <w:tabs>
          <w:tab w:val="left" w:pos="7665"/>
        </w:tabs>
        <w:spacing w:line="400" w:lineRule="exact"/>
        <w:ind w:left="14" w:leftChars="6" w:firstLine="440" w:firstLineChars="200"/>
        <w:rPr>
          <w:rFonts w:ascii="Times New Roman"/>
          <w:sz w:val="22"/>
          <w:szCs w:val="21"/>
        </w:rPr>
      </w:pPr>
      <w:r>
        <w:rPr>
          <w:rFonts w:ascii="Times New Roman"/>
          <w:sz w:val="22"/>
          <w:szCs w:val="21"/>
        </w:rPr>
        <w:t xml:space="preserve">15.1 </w:t>
      </w:r>
      <w:r>
        <w:rPr>
          <w:rFonts w:hint="eastAsia" w:ascii="Times New Roman"/>
          <w:sz w:val="22"/>
          <w:szCs w:val="21"/>
        </w:rPr>
        <w:t>投标人应执行招标文件第三章的规定要求。第三章格式中</w:t>
      </w:r>
      <w:r>
        <w:rPr>
          <w:rFonts w:ascii="Times New Roman"/>
          <w:sz w:val="22"/>
          <w:szCs w:val="21"/>
        </w:rPr>
        <w:t>“</w:t>
      </w:r>
      <w:r>
        <w:rPr>
          <w:rFonts w:hint="eastAsia" w:ascii="Times New Roman"/>
          <w:sz w:val="22"/>
          <w:szCs w:val="21"/>
        </w:rPr>
        <w:t>注</w:t>
      </w:r>
      <w:r>
        <w:rPr>
          <w:rFonts w:ascii="Times New Roman"/>
          <w:sz w:val="22"/>
          <w:szCs w:val="21"/>
        </w:rPr>
        <w:t>”</w:t>
      </w:r>
      <w:r>
        <w:rPr>
          <w:rFonts w:hint="eastAsia" w:ascii="Times New Roman"/>
          <w:sz w:val="22"/>
          <w:szCs w:val="21"/>
        </w:rPr>
        <w:t>的内容，投标人可自行决定是否保留在投标文件中，未保留的视为投标人默认接受</w:t>
      </w:r>
      <w:r>
        <w:rPr>
          <w:rFonts w:ascii="Times New Roman"/>
          <w:sz w:val="22"/>
          <w:szCs w:val="21"/>
        </w:rPr>
        <w:t>“</w:t>
      </w:r>
      <w:r>
        <w:rPr>
          <w:rFonts w:hint="eastAsia" w:ascii="Times New Roman"/>
          <w:sz w:val="22"/>
          <w:szCs w:val="21"/>
        </w:rPr>
        <w:t>注</w:t>
      </w:r>
      <w:r>
        <w:rPr>
          <w:rFonts w:ascii="Times New Roman"/>
          <w:sz w:val="22"/>
          <w:szCs w:val="21"/>
        </w:rPr>
        <w:t>”</w:t>
      </w:r>
      <w:r>
        <w:rPr>
          <w:rFonts w:hint="eastAsia" w:ascii="Times New Roman"/>
          <w:sz w:val="22"/>
          <w:szCs w:val="21"/>
        </w:rPr>
        <w:t>的内容。</w:t>
      </w:r>
    </w:p>
    <w:p>
      <w:pPr>
        <w:tabs>
          <w:tab w:val="left" w:pos="7665"/>
        </w:tabs>
        <w:spacing w:line="400" w:lineRule="exact"/>
        <w:ind w:left="14" w:leftChars="6" w:firstLine="440" w:firstLineChars="200"/>
        <w:rPr>
          <w:rFonts w:ascii="Times New Roman"/>
          <w:sz w:val="22"/>
          <w:szCs w:val="21"/>
        </w:rPr>
      </w:pPr>
      <w:r>
        <w:rPr>
          <w:rFonts w:ascii="Times New Roman"/>
          <w:sz w:val="22"/>
          <w:szCs w:val="21"/>
        </w:rPr>
        <w:t xml:space="preserve">15.2 </w:t>
      </w:r>
      <w:r>
        <w:rPr>
          <w:rFonts w:hint="eastAsia" w:ascii="Times New Roman"/>
          <w:sz w:val="22"/>
          <w:szCs w:val="21"/>
        </w:rPr>
        <w:t>对于没有格式要求的投标文件由投标人自行编写。</w:t>
      </w:r>
    </w:p>
    <w:p>
      <w:pPr>
        <w:pStyle w:val="5"/>
        <w:spacing w:line="400" w:lineRule="exact"/>
        <w:rPr>
          <w:rFonts w:hAnsi="Times New Roman"/>
          <w:sz w:val="22"/>
          <w:szCs w:val="21"/>
        </w:rPr>
      </w:pPr>
      <w:bookmarkStart w:id="113" w:name="_Toc217446050"/>
      <w:bookmarkStart w:id="114" w:name="_Toc183582223"/>
      <w:bookmarkStart w:id="115" w:name="_Toc183682360"/>
      <w:bookmarkStart w:id="116" w:name="_Toc308164800"/>
      <w:r>
        <w:rPr>
          <w:rFonts w:hAnsi="Times New Roman"/>
          <w:sz w:val="22"/>
          <w:szCs w:val="21"/>
        </w:rPr>
        <w:t>16</w:t>
      </w:r>
      <w:r>
        <w:rPr>
          <w:rFonts w:hint="eastAsia" w:hAnsi="Times New Roman"/>
          <w:sz w:val="22"/>
          <w:szCs w:val="21"/>
        </w:rPr>
        <w:t>．投标保证金</w:t>
      </w:r>
      <w:bookmarkEnd w:id="113"/>
      <w:bookmarkEnd w:id="114"/>
      <w:bookmarkEnd w:id="115"/>
      <w:bookmarkEnd w:id="116"/>
      <w:r>
        <w:rPr>
          <w:rFonts w:hint="eastAsia" w:ascii="宋体" w:hAnsi="宋体" w:cs="宋体"/>
          <w:sz w:val="24"/>
        </w:rPr>
        <w:t>（本项目不适用）</w:t>
      </w:r>
    </w:p>
    <w:p>
      <w:pPr>
        <w:spacing w:line="400" w:lineRule="exact"/>
        <w:ind w:firstLine="440" w:firstLineChars="200"/>
        <w:rPr>
          <w:rFonts w:ascii="Times New Roman"/>
          <w:sz w:val="22"/>
          <w:szCs w:val="21"/>
        </w:rPr>
      </w:pPr>
      <w:r>
        <w:rPr>
          <w:rFonts w:ascii="Times New Roman"/>
          <w:sz w:val="22"/>
          <w:szCs w:val="21"/>
        </w:rPr>
        <w:t xml:space="preserve">16.1 </w:t>
      </w:r>
      <w:r>
        <w:rPr>
          <w:rFonts w:hint="eastAsia" w:ascii="Times New Roman"/>
          <w:sz w:val="22"/>
          <w:szCs w:val="21"/>
        </w:rPr>
        <w:t>投标人投标时，必须以人民币提交招标文件规定数额的投标保证金，并作为其投标的一部分。</w:t>
      </w:r>
    </w:p>
    <w:p>
      <w:pPr>
        <w:tabs>
          <w:tab w:val="left" w:pos="1134"/>
        </w:tabs>
        <w:spacing w:line="400" w:lineRule="exact"/>
        <w:ind w:firstLine="389" w:firstLineChars="177"/>
        <w:rPr>
          <w:rFonts w:ascii="Times New Roman"/>
          <w:sz w:val="22"/>
          <w:szCs w:val="21"/>
        </w:rPr>
      </w:pPr>
      <w:r>
        <w:rPr>
          <w:rFonts w:ascii="Times New Roman"/>
          <w:sz w:val="22"/>
          <w:szCs w:val="21"/>
        </w:rPr>
        <w:t>16.2</w:t>
      </w:r>
      <w:r>
        <w:rPr>
          <w:rFonts w:hint="eastAsia" w:ascii="Times New Roman"/>
          <w:sz w:val="22"/>
          <w:szCs w:val="21"/>
        </w:rPr>
        <w:t>投标保证金交款方式：详见投标人须知前附表。</w:t>
      </w:r>
    </w:p>
    <w:p>
      <w:pPr>
        <w:tabs>
          <w:tab w:val="left" w:pos="1134"/>
        </w:tabs>
        <w:spacing w:line="400" w:lineRule="exact"/>
        <w:ind w:firstLine="389" w:firstLineChars="177"/>
        <w:rPr>
          <w:rFonts w:ascii="Times New Roman"/>
          <w:sz w:val="22"/>
          <w:szCs w:val="21"/>
        </w:rPr>
      </w:pPr>
      <w:r>
        <w:rPr>
          <w:rFonts w:ascii="Times New Roman"/>
          <w:sz w:val="22"/>
          <w:szCs w:val="21"/>
        </w:rPr>
        <w:t>16.3</w:t>
      </w:r>
      <w:r>
        <w:rPr>
          <w:rFonts w:hint="eastAsia" w:ascii="Times New Roman" w:hAnsi="宋体"/>
          <w:sz w:val="22"/>
          <w:szCs w:val="21"/>
        </w:rPr>
        <w:t>未中标人的投标保证金，将在中标通知书发出后五个工作日内全额退还（非现金方式），中标人的投标保证金在中标人与采购人签订采购合同并按规定递交相关资料后</w:t>
      </w:r>
      <w:r>
        <w:rPr>
          <w:rFonts w:ascii="Times New Roman"/>
          <w:sz w:val="22"/>
          <w:szCs w:val="21"/>
        </w:rPr>
        <w:t>5</w:t>
      </w:r>
      <w:r>
        <w:rPr>
          <w:rFonts w:hint="eastAsia" w:ascii="Times New Roman" w:hAnsi="宋体"/>
          <w:sz w:val="22"/>
          <w:szCs w:val="21"/>
        </w:rPr>
        <w:t>个工作日内退还（非现金方式），退还保证金需要的相关资料请参见第二章保证金退还注意事项</w:t>
      </w:r>
      <w:r>
        <w:rPr>
          <w:rFonts w:hint="eastAsia" w:ascii="Times New Roman"/>
          <w:bCs/>
          <w:sz w:val="22"/>
          <w:szCs w:val="21"/>
        </w:rPr>
        <w:t>（注：</w:t>
      </w:r>
      <w:r>
        <w:rPr>
          <w:rFonts w:ascii="Times New Roman"/>
          <w:bCs/>
          <w:sz w:val="22"/>
          <w:szCs w:val="21"/>
        </w:rPr>
        <w:fldChar w:fldCharType="begin"/>
      </w:r>
      <w:r>
        <w:rPr>
          <w:rFonts w:ascii="Times New Roman"/>
          <w:bCs/>
          <w:sz w:val="22"/>
          <w:szCs w:val="21"/>
        </w:rPr>
        <w:instrText xml:space="preserve"> = 1 \* GB3 \* MERGEFORMAT </w:instrText>
      </w:r>
      <w:r>
        <w:rPr>
          <w:rFonts w:ascii="Times New Roman"/>
          <w:bCs/>
          <w:sz w:val="22"/>
          <w:szCs w:val="21"/>
        </w:rPr>
        <w:fldChar w:fldCharType="separate"/>
      </w:r>
      <w:r>
        <w:rPr>
          <w:rFonts w:hint="eastAsia" w:hAnsi="宋体" w:cs="宋体"/>
          <w:bCs/>
          <w:sz w:val="22"/>
          <w:szCs w:val="21"/>
        </w:rPr>
        <w:t>①</w:t>
      </w:r>
      <w:r>
        <w:rPr>
          <w:rFonts w:ascii="Times New Roman"/>
          <w:bCs/>
          <w:sz w:val="22"/>
          <w:szCs w:val="21"/>
        </w:rPr>
        <w:fldChar w:fldCharType="end"/>
      </w:r>
      <w:r>
        <w:rPr>
          <w:rFonts w:hint="eastAsia" w:ascii="Times New Roman"/>
          <w:bCs/>
          <w:sz w:val="22"/>
          <w:szCs w:val="21"/>
        </w:rPr>
        <w:t>因投标人自身原因造成的保证金延迟退还或者投标人和采购代理机构书面协商可以延迟退还的，采购代理机构不承担相应责任；</w:t>
      </w:r>
      <w:r>
        <w:rPr>
          <w:rFonts w:ascii="Times New Roman"/>
          <w:bCs/>
          <w:sz w:val="22"/>
          <w:szCs w:val="21"/>
        </w:rPr>
        <w:fldChar w:fldCharType="begin"/>
      </w:r>
      <w:r>
        <w:rPr>
          <w:rFonts w:ascii="Times New Roman"/>
          <w:bCs/>
          <w:sz w:val="22"/>
          <w:szCs w:val="21"/>
        </w:rPr>
        <w:instrText xml:space="preserve"> = 2 \* GB3 \* MERGEFORMAT </w:instrText>
      </w:r>
      <w:r>
        <w:rPr>
          <w:rFonts w:ascii="Times New Roman"/>
          <w:bCs/>
          <w:sz w:val="22"/>
          <w:szCs w:val="21"/>
        </w:rPr>
        <w:fldChar w:fldCharType="separate"/>
      </w:r>
      <w:r>
        <w:rPr>
          <w:rFonts w:hint="eastAsia" w:hAnsi="宋体" w:cs="宋体"/>
          <w:bCs/>
          <w:sz w:val="22"/>
          <w:szCs w:val="21"/>
        </w:rPr>
        <w:t>②</w:t>
      </w:r>
      <w:r>
        <w:rPr>
          <w:rFonts w:ascii="Times New Roman"/>
          <w:bCs/>
          <w:sz w:val="22"/>
          <w:szCs w:val="21"/>
        </w:rPr>
        <w:fldChar w:fldCharType="end"/>
      </w:r>
      <w:r>
        <w:rPr>
          <w:rFonts w:hint="eastAsia" w:ascii="Times New Roman"/>
          <w:bCs/>
          <w:sz w:val="22"/>
          <w:szCs w:val="21"/>
        </w:rPr>
        <w:t>供应商因涉嫌违法违规，按照规定应当不予退还保证金的，有关部门处理认定违法违规行为期间不计入退还保证金时限之内。）</w:t>
      </w:r>
      <w:r>
        <w:rPr>
          <w:rFonts w:hint="eastAsia" w:ascii="Times New Roman"/>
          <w:sz w:val="22"/>
          <w:szCs w:val="21"/>
        </w:rPr>
        <w:t>；</w:t>
      </w:r>
    </w:p>
    <w:p>
      <w:pPr>
        <w:spacing w:line="400" w:lineRule="exact"/>
        <w:ind w:firstLine="440" w:firstLineChars="200"/>
        <w:rPr>
          <w:rFonts w:ascii="Times New Roman"/>
          <w:sz w:val="22"/>
          <w:szCs w:val="21"/>
        </w:rPr>
      </w:pPr>
      <w:r>
        <w:rPr>
          <w:rFonts w:ascii="Times New Roman"/>
          <w:sz w:val="22"/>
          <w:szCs w:val="21"/>
        </w:rPr>
        <w:t>16.4</w:t>
      </w:r>
      <w:r>
        <w:rPr>
          <w:rFonts w:hint="eastAsia" w:ascii="Times New Roman"/>
          <w:sz w:val="22"/>
          <w:szCs w:val="21"/>
        </w:rPr>
        <w:t>发生下列情形之一的，采购代理机构可以不予退还投标保证金：</w:t>
      </w:r>
    </w:p>
    <w:p>
      <w:pPr>
        <w:spacing w:line="400" w:lineRule="exact"/>
        <w:ind w:firstLine="431" w:firstLineChars="196"/>
        <w:rPr>
          <w:rFonts w:ascii="Times New Roman"/>
          <w:sz w:val="22"/>
          <w:szCs w:val="21"/>
        </w:rPr>
      </w:pPr>
      <w:r>
        <w:rPr>
          <w:rFonts w:hint="eastAsia" w:ascii="Times New Roman"/>
          <w:sz w:val="22"/>
          <w:szCs w:val="21"/>
        </w:rPr>
        <w:t>（</w:t>
      </w:r>
      <w:r>
        <w:rPr>
          <w:rFonts w:ascii="Times New Roman"/>
          <w:sz w:val="22"/>
          <w:szCs w:val="21"/>
        </w:rPr>
        <w:t>1</w:t>
      </w:r>
      <w:r>
        <w:rPr>
          <w:rFonts w:hint="eastAsia" w:ascii="Times New Roman"/>
          <w:sz w:val="22"/>
          <w:szCs w:val="21"/>
        </w:rPr>
        <w:t>）在招标文件规定的投标截止时间后撤回投标的；</w:t>
      </w:r>
    </w:p>
    <w:p>
      <w:pPr>
        <w:spacing w:line="400" w:lineRule="exact"/>
        <w:ind w:firstLine="431" w:firstLineChars="196"/>
        <w:rPr>
          <w:rFonts w:ascii="Times New Roman"/>
          <w:sz w:val="22"/>
          <w:szCs w:val="21"/>
        </w:rPr>
      </w:pPr>
      <w:r>
        <w:rPr>
          <w:rFonts w:hint="eastAsia" w:ascii="Times New Roman"/>
          <w:sz w:val="22"/>
          <w:szCs w:val="21"/>
        </w:rPr>
        <w:t>（</w:t>
      </w:r>
      <w:r>
        <w:rPr>
          <w:rFonts w:ascii="Times New Roman"/>
          <w:sz w:val="22"/>
          <w:szCs w:val="21"/>
        </w:rPr>
        <w:t>2</w:t>
      </w:r>
      <w:r>
        <w:rPr>
          <w:rFonts w:hint="eastAsia" w:ascii="Times New Roman"/>
          <w:sz w:val="22"/>
          <w:szCs w:val="21"/>
        </w:rPr>
        <w:t>）在采购人确定中标人以前放弃中标候选资格的；</w:t>
      </w:r>
    </w:p>
    <w:p>
      <w:pPr>
        <w:spacing w:line="400" w:lineRule="exact"/>
        <w:ind w:firstLine="431" w:firstLineChars="196"/>
        <w:rPr>
          <w:rFonts w:ascii="Times New Roman"/>
          <w:sz w:val="22"/>
          <w:szCs w:val="21"/>
        </w:rPr>
      </w:pPr>
      <w:r>
        <w:rPr>
          <w:rFonts w:hint="eastAsia" w:ascii="Times New Roman"/>
          <w:sz w:val="22"/>
          <w:szCs w:val="21"/>
        </w:rPr>
        <w:t>（</w:t>
      </w:r>
      <w:r>
        <w:rPr>
          <w:rFonts w:ascii="Times New Roman"/>
          <w:sz w:val="22"/>
          <w:szCs w:val="21"/>
        </w:rPr>
        <w:t>3</w:t>
      </w:r>
      <w:r>
        <w:rPr>
          <w:rFonts w:hint="eastAsia" w:ascii="Times New Roman"/>
          <w:sz w:val="22"/>
          <w:szCs w:val="21"/>
        </w:rPr>
        <w:t>）中标后放弃中标、不领取或者不接收中标通知书的；</w:t>
      </w:r>
    </w:p>
    <w:p>
      <w:pPr>
        <w:spacing w:line="400" w:lineRule="exact"/>
        <w:ind w:firstLine="431" w:firstLineChars="196"/>
        <w:rPr>
          <w:rFonts w:ascii="Times New Roman"/>
          <w:sz w:val="22"/>
          <w:szCs w:val="21"/>
        </w:rPr>
      </w:pPr>
      <w:r>
        <w:rPr>
          <w:rFonts w:hint="eastAsia" w:ascii="Times New Roman"/>
          <w:sz w:val="22"/>
          <w:szCs w:val="21"/>
        </w:rPr>
        <w:t>（</w:t>
      </w:r>
      <w:r>
        <w:rPr>
          <w:rFonts w:ascii="Times New Roman"/>
          <w:sz w:val="22"/>
          <w:szCs w:val="21"/>
        </w:rPr>
        <w:t>4</w:t>
      </w:r>
      <w:r>
        <w:rPr>
          <w:rFonts w:hint="eastAsia" w:ascii="Times New Roman"/>
          <w:sz w:val="22"/>
          <w:szCs w:val="21"/>
        </w:rPr>
        <w:t>）由于中标人的原因未能按照招标文件的规定与采购人签订合同的；</w:t>
      </w:r>
    </w:p>
    <w:p>
      <w:pPr>
        <w:spacing w:line="400" w:lineRule="exact"/>
        <w:ind w:firstLine="431" w:firstLineChars="196"/>
        <w:rPr>
          <w:rFonts w:ascii="Times New Roman"/>
          <w:sz w:val="22"/>
          <w:szCs w:val="21"/>
        </w:rPr>
      </w:pPr>
      <w:r>
        <w:rPr>
          <w:rFonts w:hint="eastAsia" w:ascii="Times New Roman"/>
          <w:sz w:val="22"/>
          <w:szCs w:val="21"/>
        </w:rPr>
        <w:t>（</w:t>
      </w:r>
      <w:r>
        <w:rPr>
          <w:rFonts w:ascii="Times New Roman"/>
          <w:sz w:val="22"/>
          <w:szCs w:val="21"/>
        </w:rPr>
        <w:t>5</w:t>
      </w:r>
      <w:r>
        <w:rPr>
          <w:rFonts w:hint="eastAsia" w:ascii="Times New Roman"/>
          <w:sz w:val="22"/>
          <w:szCs w:val="21"/>
        </w:rPr>
        <w:t>）由于中标人的原因未能按照招标文件的规定交纳履约保证金的；</w:t>
      </w:r>
    </w:p>
    <w:p>
      <w:pPr>
        <w:spacing w:line="400" w:lineRule="exact"/>
        <w:ind w:firstLine="431" w:firstLineChars="196"/>
        <w:rPr>
          <w:rFonts w:ascii="Times New Roman"/>
          <w:sz w:val="22"/>
          <w:szCs w:val="21"/>
        </w:rPr>
      </w:pPr>
      <w:r>
        <w:rPr>
          <w:rFonts w:hint="eastAsia" w:ascii="Times New Roman"/>
          <w:sz w:val="22"/>
          <w:szCs w:val="21"/>
        </w:rPr>
        <w:t>（</w:t>
      </w:r>
      <w:r>
        <w:rPr>
          <w:rFonts w:ascii="Times New Roman"/>
          <w:sz w:val="22"/>
          <w:szCs w:val="21"/>
        </w:rPr>
        <w:t>6</w:t>
      </w:r>
      <w:r>
        <w:rPr>
          <w:rFonts w:hint="eastAsia" w:ascii="Times New Roman"/>
          <w:sz w:val="22"/>
          <w:szCs w:val="21"/>
        </w:rPr>
        <w:t>）投标人提供虚假资料的；</w:t>
      </w:r>
    </w:p>
    <w:p>
      <w:pPr>
        <w:spacing w:line="400" w:lineRule="exact"/>
        <w:ind w:firstLine="431" w:firstLineChars="196"/>
        <w:rPr>
          <w:rFonts w:ascii="Times New Roman"/>
          <w:sz w:val="22"/>
          <w:szCs w:val="21"/>
        </w:rPr>
      </w:pPr>
      <w:r>
        <w:rPr>
          <w:rFonts w:hint="eastAsia" w:ascii="Times New Roman"/>
          <w:sz w:val="22"/>
          <w:szCs w:val="21"/>
        </w:rPr>
        <w:t>（</w:t>
      </w:r>
      <w:r>
        <w:rPr>
          <w:rFonts w:ascii="Times New Roman"/>
          <w:sz w:val="22"/>
          <w:szCs w:val="21"/>
        </w:rPr>
        <w:t>7</w:t>
      </w:r>
      <w:r>
        <w:rPr>
          <w:rFonts w:hint="eastAsia" w:ascii="Times New Roman"/>
          <w:sz w:val="22"/>
          <w:szCs w:val="21"/>
        </w:rPr>
        <w:t>）投标有效期内，投标人在政府采购活动中有违法、违规、违纪行为。</w:t>
      </w:r>
    </w:p>
    <w:p>
      <w:pPr>
        <w:spacing w:line="400" w:lineRule="exact"/>
        <w:ind w:firstLine="431" w:firstLineChars="196"/>
        <w:rPr>
          <w:rFonts w:ascii="Times New Roman"/>
          <w:sz w:val="22"/>
          <w:szCs w:val="21"/>
        </w:rPr>
      </w:pPr>
      <w:r>
        <w:rPr>
          <w:rFonts w:hint="eastAsia" w:ascii="Times New Roman"/>
          <w:sz w:val="22"/>
          <w:szCs w:val="21"/>
        </w:rPr>
        <w:t>（</w:t>
      </w:r>
      <w:r>
        <w:rPr>
          <w:rFonts w:ascii="Times New Roman"/>
          <w:sz w:val="22"/>
          <w:szCs w:val="21"/>
        </w:rPr>
        <w:t>8</w:t>
      </w:r>
      <w:r>
        <w:rPr>
          <w:rFonts w:hint="eastAsia" w:ascii="Times New Roman"/>
          <w:sz w:val="22"/>
          <w:szCs w:val="21"/>
        </w:rPr>
        <w:t>）投标有效期内，投标人撤销投标文件的。</w:t>
      </w:r>
    </w:p>
    <w:p>
      <w:pPr>
        <w:pStyle w:val="5"/>
        <w:spacing w:line="400" w:lineRule="exact"/>
        <w:rPr>
          <w:rFonts w:hAnsi="Times New Roman"/>
          <w:sz w:val="22"/>
          <w:szCs w:val="21"/>
        </w:rPr>
      </w:pPr>
      <w:r>
        <w:rPr>
          <w:rFonts w:hAnsi="Times New Roman"/>
          <w:sz w:val="22"/>
          <w:szCs w:val="21"/>
        </w:rPr>
        <w:t>17</w:t>
      </w:r>
      <w:r>
        <w:rPr>
          <w:rFonts w:hint="eastAsia" w:hAnsi="Times New Roman"/>
          <w:sz w:val="22"/>
          <w:szCs w:val="21"/>
        </w:rPr>
        <w:t>．投标有效期</w:t>
      </w:r>
      <w:bookmarkEnd w:id="94"/>
      <w:bookmarkEnd w:id="95"/>
      <w:bookmarkEnd w:id="96"/>
      <w:bookmarkEnd w:id="97"/>
    </w:p>
    <w:p>
      <w:pPr>
        <w:tabs>
          <w:tab w:val="left" w:pos="7665"/>
        </w:tabs>
        <w:spacing w:line="400" w:lineRule="exact"/>
        <w:ind w:left="14" w:leftChars="6" w:firstLine="440" w:firstLineChars="200"/>
        <w:rPr>
          <w:rFonts w:ascii="Times New Roman"/>
          <w:sz w:val="22"/>
          <w:szCs w:val="21"/>
        </w:rPr>
      </w:pPr>
      <w:bookmarkStart w:id="117" w:name="_Toc23833"/>
      <w:bookmarkStart w:id="118" w:name="_Toc183682362"/>
      <w:bookmarkStart w:id="119" w:name="_Toc183582225"/>
      <w:bookmarkStart w:id="120" w:name="_Toc217446052"/>
      <w:r>
        <w:rPr>
          <w:rFonts w:ascii="Times New Roman"/>
          <w:sz w:val="22"/>
          <w:szCs w:val="21"/>
        </w:rPr>
        <w:t xml:space="preserve">17.1 </w:t>
      </w:r>
      <w:r>
        <w:rPr>
          <w:rFonts w:hint="eastAsia" w:ascii="Times New Roman"/>
          <w:sz w:val="22"/>
          <w:szCs w:val="21"/>
        </w:rPr>
        <w:t>本项目投标有效期为投标截止时间届满后</w:t>
      </w:r>
      <w:r>
        <w:rPr>
          <w:rFonts w:hint="eastAsia" w:ascii="Times New Roman"/>
          <w:b/>
          <w:bCs/>
          <w:sz w:val="22"/>
          <w:szCs w:val="21"/>
        </w:rPr>
        <w:t>90</w:t>
      </w:r>
      <w:r>
        <w:rPr>
          <w:rFonts w:hint="eastAsia" w:ascii="Times New Roman"/>
          <w:sz w:val="22"/>
          <w:szCs w:val="21"/>
        </w:rPr>
        <w:t>天（投标有效期从提交投标文件的截至之日起算）。投标人投标文件中必须载明投标有效期，投标文件中载明的投标有效期可以长于招标文件规定的期限，但不得短于招标文件规定的期限。否则，其投标文件将作为无效投标处理。</w:t>
      </w:r>
    </w:p>
    <w:p>
      <w:pPr>
        <w:tabs>
          <w:tab w:val="left" w:pos="7665"/>
        </w:tabs>
        <w:spacing w:line="400" w:lineRule="exact"/>
        <w:ind w:left="14" w:leftChars="6" w:firstLine="330" w:firstLineChars="150"/>
        <w:rPr>
          <w:rFonts w:ascii="Times New Roman"/>
          <w:sz w:val="22"/>
          <w:szCs w:val="21"/>
        </w:rPr>
      </w:pPr>
      <w:r>
        <w:rPr>
          <w:rFonts w:ascii="Times New Roman"/>
          <w:sz w:val="22"/>
          <w:szCs w:val="21"/>
        </w:rPr>
        <w:t xml:space="preserve">17.2 </w:t>
      </w:r>
      <w:r>
        <w:rPr>
          <w:rFonts w:hint="eastAsia" w:ascii="Times New Roman"/>
          <w:sz w:val="22"/>
          <w:szCs w:val="21"/>
        </w:rPr>
        <w:t>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w:t>
      </w:r>
    </w:p>
    <w:p>
      <w:pPr>
        <w:tabs>
          <w:tab w:val="left" w:pos="7665"/>
        </w:tabs>
        <w:spacing w:line="400" w:lineRule="exact"/>
        <w:ind w:left="14" w:leftChars="6" w:firstLine="330" w:firstLineChars="150"/>
        <w:rPr>
          <w:rFonts w:ascii="Times New Roman"/>
          <w:sz w:val="22"/>
          <w:szCs w:val="21"/>
        </w:rPr>
      </w:pPr>
      <w:r>
        <w:rPr>
          <w:rFonts w:ascii="Times New Roman"/>
          <w:sz w:val="22"/>
          <w:szCs w:val="21"/>
        </w:rPr>
        <w:t xml:space="preserve">17.3 </w:t>
      </w:r>
      <w:r>
        <w:rPr>
          <w:rFonts w:hint="eastAsia" w:ascii="Times New Roman"/>
          <w:sz w:val="22"/>
          <w:szCs w:val="21"/>
        </w:rPr>
        <w:t>因采购人采购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pPr>
        <w:pStyle w:val="5"/>
        <w:spacing w:line="400" w:lineRule="exact"/>
        <w:rPr>
          <w:rFonts w:hAnsi="Times New Roman"/>
          <w:sz w:val="22"/>
          <w:szCs w:val="21"/>
        </w:rPr>
      </w:pPr>
      <w:r>
        <w:rPr>
          <w:rFonts w:hAnsi="Times New Roman"/>
          <w:sz w:val="22"/>
          <w:szCs w:val="21"/>
        </w:rPr>
        <w:t>18</w:t>
      </w:r>
      <w:r>
        <w:rPr>
          <w:rFonts w:hint="eastAsia" w:hAnsi="Times New Roman"/>
          <w:sz w:val="22"/>
          <w:szCs w:val="21"/>
        </w:rPr>
        <w:t>．投标文件的印制和签署</w:t>
      </w:r>
      <w:bookmarkEnd w:id="117"/>
      <w:bookmarkEnd w:id="118"/>
      <w:bookmarkEnd w:id="119"/>
      <w:bookmarkEnd w:id="120"/>
    </w:p>
    <w:p>
      <w:pPr>
        <w:tabs>
          <w:tab w:val="left" w:pos="7665"/>
        </w:tabs>
        <w:spacing w:line="400" w:lineRule="exact"/>
        <w:ind w:left="14" w:leftChars="6" w:firstLine="330" w:firstLineChars="150"/>
        <w:rPr>
          <w:rFonts w:ascii="Times New Roman"/>
          <w:sz w:val="22"/>
          <w:szCs w:val="21"/>
        </w:rPr>
      </w:pPr>
      <w:bookmarkStart w:id="121" w:name="_Toc77400781"/>
      <w:bookmarkStart w:id="122" w:name="_Toc89075877"/>
      <w:bookmarkStart w:id="123" w:name="_Toc183682363"/>
      <w:bookmarkStart w:id="124" w:name="_Toc183582226"/>
      <w:bookmarkStart w:id="125" w:name="_Toc20628"/>
      <w:bookmarkStart w:id="126" w:name="_Toc217446053"/>
      <w:r>
        <w:rPr>
          <w:rFonts w:ascii="Times New Roman"/>
          <w:sz w:val="22"/>
          <w:szCs w:val="21"/>
        </w:rPr>
        <w:t xml:space="preserve">18.1 </w:t>
      </w:r>
      <w:r>
        <w:rPr>
          <w:rFonts w:hint="eastAsia" w:ascii="Times New Roman"/>
          <w:sz w:val="22"/>
          <w:szCs w:val="21"/>
        </w:rPr>
        <w:t>投标文件分为</w:t>
      </w:r>
      <w:r>
        <w:rPr>
          <w:rFonts w:ascii="Times New Roman"/>
          <w:sz w:val="22"/>
          <w:szCs w:val="21"/>
        </w:rPr>
        <w:t>“</w:t>
      </w:r>
      <w:r>
        <w:rPr>
          <w:rFonts w:hint="eastAsia" w:ascii="Times New Roman"/>
          <w:sz w:val="22"/>
          <w:szCs w:val="21"/>
        </w:rPr>
        <w:t>资格性投标文件</w:t>
      </w:r>
      <w:r>
        <w:rPr>
          <w:rFonts w:ascii="Times New Roman"/>
          <w:sz w:val="22"/>
          <w:szCs w:val="21"/>
        </w:rPr>
        <w:t>”</w:t>
      </w:r>
      <w:r>
        <w:rPr>
          <w:rFonts w:hint="eastAsia" w:ascii="Times New Roman"/>
          <w:sz w:val="22"/>
          <w:szCs w:val="21"/>
        </w:rPr>
        <w:t>和</w:t>
      </w:r>
      <w:r>
        <w:rPr>
          <w:rFonts w:ascii="Times New Roman"/>
          <w:sz w:val="22"/>
          <w:szCs w:val="21"/>
        </w:rPr>
        <w:t>“</w:t>
      </w:r>
      <w:r>
        <w:rPr>
          <w:rFonts w:hint="eastAsia" w:ascii="Times New Roman"/>
          <w:sz w:val="22"/>
          <w:szCs w:val="21"/>
        </w:rPr>
        <w:t>其他响应性投标文件</w:t>
      </w:r>
      <w:r>
        <w:rPr>
          <w:rFonts w:ascii="Times New Roman"/>
          <w:sz w:val="22"/>
          <w:szCs w:val="21"/>
        </w:rPr>
        <w:t>”</w:t>
      </w:r>
      <w:r>
        <w:rPr>
          <w:rFonts w:hint="eastAsia" w:ascii="Times New Roman"/>
          <w:sz w:val="22"/>
          <w:szCs w:val="21"/>
        </w:rPr>
        <w:t>两部分，且该两部分应分册装订、密封。资格性投标文件包括招标文件第四章要求的证明材料，其他响应性投标文件包括投标人响应招标文件全部要求的证明材料（资格证明材料除外）。资格性投标文件用于采购人或采购代理机构资格审查，其他响应性投标文件用于评标委员会评标。</w:t>
      </w:r>
    </w:p>
    <w:p>
      <w:pPr>
        <w:tabs>
          <w:tab w:val="left" w:pos="1080"/>
        </w:tabs>
        <w:spacing w:line="400" w:lineRule="exact"/>
        <w:ind w:firstLine="422" w:firstLineChars="192"/>
        <w:rPr>
          <w:rFonts w:ascii="Times New Roman"/>
          <w:sz w:val="22"/>
          <w:szCs w:val="21"/>
        </w:rPr>
      </w:pPr>
      <w:r>
        <w:rPr>
          <w:rFonts w:ascii="Times New Roman"/>
          <w:sz w:val="22"/>
          <w:szCs w:val="21"/>
        </w:rPr>
        <w:t xml:space="preserve">18.2 </w:t>
      </w:r>
      <w:r>
        <w:rPr>
          <w:rFonts w:hint="eastAsia" w:ascii="Times New Roman"/>
          <w:sz w:val="22"/>
          <w:szCs w:val="21"/>
        </w:rPr>
        <w:t>投标人应按</w:t>
      </w:r>
      <w:r>
        <w:rPr>
          <w:rFonts w:ascii="Times New Roman"/>
          <w:sz w:val="22"/>
          <w:szCs w:val="21"/>
        </w:rPr>
        <w:t>18.1</w:t>
      </w:r>
      <w:r>
        <w:rPr>
          <w:rFonts w:hint="eastAsia" w:ascii="Times New Roman"/>
          <w:sz w:val="22"/>
          <w:szCs w:val="21"/>
        </w:rPr>
        <w:t>准备两部分投标文件，每部分包含正本壹份、副本四份和相应的电子文档</w:t>
      </w:r>
      <w:r>
        <w:rPr>
          <w:rFonts w:ascii="Times New Roman"/>
          <w:sz w:val="22"/>
          <w:szCs w:val="21"/>
        </w:rPr>
        <w:t>“U</w:t>
      </w:r>
      <w:r>
        <w:rPr>
          <w:rFonts w:hint="eastAsia" w:ascii="Times New Roman"/>
          <w:sz w:val="22"/>
          <w:szCs w:val="21"/>
        </w:rPr>
        <w:t>盘</w:t>
      </w:r>
      <w:r>
        <w:rPr>
          <w:rFonts w:ascii="Times New Roman"/>
          <w:sz w:val="22"/>
          <w:szCs w:val="21"/>
        </w:rPr>
        <w:t>”</w:t>
      </w:r>
      <w:r>
        <w:rPr>
          <w:rFonts w:hint="eastAsia" w:ascii="Times New Roman"/>
          <w:sz w:val="22"/>
          <w:szCs w:val="21"/>
        </w:rPr>
        <w:t>壹份，以及用于开标唱标单独密封提交的</w:t>
      </w:r>
      <w:r>
        <w:rPr>
          <w:rFonts w:ascii="Times New Roman"/>
          <w:sz w:val="22"/>
          <w:szCs w:val="21"/>
        </w:rPr>
        <w:t>“</w:t>
      </w:r>
      <w:r>
        <w:rPr>
          <w:rFonts w:hint="eastAsia" w:ascii="Times New Roman"/>
          <w:sz w:val="22"/>
          <w:szCs w:val="21"/>
        </w:rPr>
        <w:t>开标一览表</w:t>
      </w:r>
      <w:r>
        <w:rPr>
          <w:rFonts w:ascii="Times New Roman"/>
          <w:sz w:val="22"/>
          <w:szCs w:val="21"/>
        </w:rPr>
        <w:t>”</w:t>
      </w:r>
      <w:r>
        <w:rPr>
          <w:rFonts w:hint="eastAsia" w:ascii="Times New Roman"/>
          <w:sz w:val="22"/>
          <w:szCs w:val="21"/>
        </w:rPr>
        <w:t>（壹份）。投标文件的正本和副本应在其封面右上角清楚地标明</w:t>
      </w:r>
      <w:r>
        <w:rPr>
          <w:rFonts w:ascii="Times New Roman"/>
          <w:sz w:val="22"/>
          <w:szCs w:val="21"/>
        </w:rPr>
        <w:t>“</w:t>
      </w:r>
      <w:r>
        <w:rPr>
          <w:rFonts w:hint="eastAsia" w:ascii="Times New Roman"/>
          <w:sz w:val="22"/>
          <w:szCs w:val="21"/>
        </w:rPr>
        <w:t>正本</w:t>
      </w:r>
      <w:r>
        <w:rPr>
          <w:rFonts w:ascii="Times New Roman"/>
          <w:sz w:val="22"/>
          <w:szCs w:val="21"/>
        </w:rPr>
        <w:t>”</w:t>
      </w:r>
      <w:r>
        <w:rPr>
          <w:rFonts w:hint="eastAsia" w:ascii="Times New Roman"/>
          <w:sz w:val="22"/>
          <w:szCs w:val="21"/>
        </w:rPr>
        <w:t>或</w:t>
      </w:r>
      <w:r>
        <w:rPr>
          <w:rFonts w:ascii="Times New Roman"/>
          <w:sz w:val="22"/>
          <w:szCs w:val="21"/>
        </w:rPr>
        <w:t>“</w:t>
      </w:r>
      <w:r>
        <w:rPr>
          <w:rFonts w:hint="eastAsia" w:ascii="Times New Roman"/>
          <w:sz w:val="22"/>
          <w:szCs w:val="21"/>
        </w:rPr>
        <w:t>副本</w:t>
      </w:r>
      <w:r>
        <w:rPr>
          <w:rFonts w:ascii="Times New Roman"/>
          <w:sz w:val="22"/>
          <w:szCs w:val="21"/>
        </w:rPr>
        <w:t>”</w:t>
      </w:r>
      <w:r>
        <w:rPr>
          <w:rFonts w:hint="eastAsia" w:ascii="Times New Roman"/>
          <w:sz w:val="22"/>
          <w:szCs w:val="21"/>
        </w:rPr>
        <w:t>字样。若正本和副本有不一致的内容，以正本书面投标文件为准。</w:t>
      </w:r>
    </w:p>
    <w:p>
      <w:pPr>
        <w:tabs>
          <w:tab w:val="left" w:pos="7665"/>
        </w:tabs>
        <w:spacing w:line="276" w:lineRule="auto"/>
        <w:ind w:firstLine="440" w:firstLineChars="200"/>
        <w:rPr>
          <w:rFonts w:ascii="Times New Roman"/>
          <w:sz w:val="22"/>
          <w:szCs w:val="21"/>
        </w:rPr>
      </w:pPr>
      <w:r>
        <w:rPr>
          <w:rFonts w:ascii="Times New Roman"/>
          <w:sz w:val="22"/>
          <w:szCs w:val="21"/>
        </w:rPr>
        <w:t xml:space="preserve">18.3 </w:t>
      </w:r>
      <w:r>
        <w:rPr>
          <w:rFonts w:hint="eastAsia" w:ascii="Times New Roman" w:hAnsi="宋体"/>
          <w:sz w:val="22"/>
          <w:szCs w:val="21"/>
        </w:rPr>
        <w:t>投标文件的打印和书写应清楚工整，任何行间插字、涂改或增删，必须由投标人的法定代表人或其委托代理人：签字或盖个人印鉴。字迹潦草、表达不清或可能导致非唯一理解的投标文件可能视为无效投标。</w:t>
      </w:r>
    </w:p>
    <w:p>
      <w:pPr>
        <w:tabs>
          <w:tab w:val="left" w:pos="7665"/>
        </w:tabs>
        <w:spacing w:line="276" w:lineRule="auto"/>
        <w:ind w:firstLine="440" w:firstLineChars="200"/>
        <w:rPr>
          <w:rFonts w:ascii="Times New Roman"/>
          <w:sz w:val="22"/>
          <w:szCs w:val="21"/>
        </w:rPr>
      </w:pPr>
      <w:r>
        <w:rPr>
          <w:rFonts w:ascii="Times New Roman"/>
          <w:sz w:val="22"/>
          <w:szCs w:val="21"/>
        </w:rPr>
        <w:t xml:space="preserve">18.4 </w:t>
      </w:r>
      <w:r>
        <w:rPr>
          <w:rFonts w:hint="eastAsia" w:ascii="Times New Roman" w:hAnsi="宋体"/>
          <w:sz w:val="22"/>
          <w:szCs w:val="21"/>
        </w:rPr>
        <w:t>投标文件正本和副本须装订成册并编码（左侧胶装、双面打印）。</w:t>
      </w:r>
    </w:p>
    <w:p>
      <w:pPr>
        <w:tabs>
          <w:tab w:val="left" w:pos="7665"/>
        </w:tabs>
        <w:spacing w:line="276" w:lineRule="auto"/>
        <w:ind w:firstLine="440" w:firstLineChars="200"/>
        <w:rPr>
          <w:rFonts w:ascii="Times New Roman"/>
          <w:b/>
          <w:bCs/>
          <w:sz w:val="22"/>
          <w:szCs w:val="21"/>
        </w:rPr>
      </w:pPr>
      <w:r>
        <w:rPr>
          <w:rFonts w:ascii="Times New Roman"/>
          <w:sz w:val="22"/>
          <w:szCs w:val="21"/>
        </w:rPr>
        <w:t>18.5</w:t>
      </w:r>
      <w:r>
        <w:rPr>
          <w:rFonts w:hint="eastAsia" w:ascii="Times New Roman" w:hAnsi="宋体"/>
          <w:sz w:val="22"/>
          <w:szCs w:val="21"/>
        </w:rPr>
        <w:t>投标文件须连续、逐页编制页码、编制目录便于评标小组进行评审。</w:t>
      </w:r>
    </w:p>
    <w:p>
      <w:pPr>
        <w:tabs>
          <w:tab w:val="left" w:pos="7665"/>
        </w:tabs>
        <w:spacing w:line="276" w:lineRule="auto"/>
        <w:ind w:firstLine="440" w:firstLineChars="200"/>
        <w:rPr>
          <w:rFonts w:ascii="Times New Roman"/>
          <w:sz w:val="22"/>
          <w:szCs w:val="21"/>
        </w:rPr>
      </w:pPr>
      <w:r>
        <w:rPr>
          <w:rFonts w:ascii="Times New Roman"/>
          <w:sz w:val="22"/>
          <w:szCs w:val="21"/>
        </w:rPr>
        <w:t>18.6</w:t>
      </w:r>
      <w:r>
        <w:rPr>
          <w:rFonts w:hint="eastAsia" w:ascii="Times New Roman" w:hAnsi="宋体"/>
          <w:sz w:val="22"/>
          <w:szCs w:val="21"/>
        </w:rPr>
        <w:t>投标文件应根据招标文件的要求制作，签署、盖章和内容应完整，如有遗漏，投标人将自行承担其投标文件被视为无效投标文件的风险。</w:t>
      </w:r>
    </w:p>
    <w:p>
      <w:pPr>
        <w:pStyle w:val="5"/>
        <w:spacing w:line="400" w:lineRule="exact"/>
        <w:rPr>
          <w:rFonts w:hAnsi="Times New Roman"/>
          <w:sz w:val="22"/>
          <w:szCs w:val="21"/>
        </w:rPr>
      </w:pPr>
      <w:r>
        <w:rPr>
          <w:rFonts w:hAnsi="Times New Roman"/>
          <w:sz w:val="22"/>
          <w:szCs w:val="21"/>
        </w:rPr>
        <w:t xml:space="preserve">19. </w:t>
      </w:r>
      <w:r>
        <w:rPr>
          <w:rFonts w:hint="eastAsia" w:hAnsi="Times New Roman"/>
          <w:sz w:val="22"/>
          <w:szCs w:val="21"/>
        </w:rPr>
        <w:t>投标文件的密封和标</w:t>
      </w:r>
      <w:bookmarkEnd w:id="121"/>
      <w:bookmarkEnd w:id="122"/>
      <w:bookmarkEnd w:id="123"/>
      <w:bookmarkEnd w:id="124"/>
      <w:r>
        <w:rPr>
          <w:rFonts w:hint="eastAsia" w:hAnsi="Times New Roman"/>
          <w:sz w:val="22"/>
          <w:szCs w:val="21"/>
        </w:rPr>
        <w:t>注</w:t>
      </w:r>
      <w:bookmarkEnd w:id="125"/>
      <w:bookmarkEnd w:id="126"/>
    </w:p>
    <w:p>
      <w:pPr>
        <w:tabs>
          <w:tab w:val="left" w:pos="1080"/>
        </w:tabs>
        <w:spacing w:line="400" w:lineRule="exact"/>
        <w:ind w:firstLine="440" w:firstLineChars="200"/>
        <w:rPr>
          <w:rFonts w:ascii="Times New Roman"/>
          <w:sz w:val="22"/>
          <w:szCs w:val="21"/>
        </w:rPr>
      </w:pPr>
      <w:r>
        <w:rPr>
          <w:rFonts w:ascii="Times New Roman"/>
          <w:sz w:val="22"/>
          <w:szCs w:val="21"/>
        </w:rPr>
        <w:t xml:space="preserve">19.1 </w:t>
      </w:r>
      <w:r>
        <w:rPr>
          <w:rFonts w:hint="eastAsia" w:ascii="Times New Roman"/>
          <w:sz w:val="22"/>
          <w:szCs w:val="21"/>
        </w:rPr>
        <w:t>投标人应在投标文件正本和所有副本的封面上注明</w:t>
      </w:r>
      <w:r>
        <w:rPr>
          <w:rFonts w:ascii="Times New Roman"/>
          <w:sz w:val="22"/>
          <w:szCs w:val="21"/>
        </w:rPr>
        <w:t>“</w:t>
      </w:r>
      <w:r>
        <w:rPr>
          <w:rFonts w:hint="eastAsia" w:ascii="Times New Roman"/>
          <w:sz w:val="22"/>
          <w:szCs w:val="21"/>
        </w:rPr>
        <w:t>资格性投标文件</w:t>
      </w:r>
      <w:r>
        <w:rPr>
          <w:rFonts w:ascii="Times New Roman"/>
          <w:sz w:val="22"/>
          <w:szCs w:val="21"/>
        </w:rPr>
        <w:t>/</w:t>
      </w:r>
      <w:r>
        <w:rPr>
          <w:rFonts w:hint="eastAsia" w:ascii="Times New Roman"/>
          <w:sz w:val="22"/>
          <w:szCs w:val="21"/>
        </w:rPr>
        <w:t>其他响应性投标文件、正本</w:t>
      </w:r>
      <w:r>
        <w:rPr>
          <w:rFonts w:ascii="Times New Roman"/>
          <w:sz w:val="22"/>
          <w:szCs w:val="21"/>
        </w:rPr>
        <w:t>/</w:t>
      </w:r>
      <w:r>
        <w:rPr>
          <w:rFonts w:hint="eastAsia" w:ascii="Times New Roman"/>
          <w:sz w:val="22"/>
          <w:szCs w:val="21"/>
        </w:rPr>
        <w:t>副本、投标人名称、招标编号、项目名称及分包号（如有分包）</w:t>
      </w:r>
      <w:r>
        <w:rPr>
          <w:rFonts w:ascii="Times New Roman"/>
          <w:sz w:val="22"/>
          <w:szCs w:val="21"/>
        </w:rPr>
        <w:t>”</w:t>
      </w:r>
      <w:r>
        <w:rPr>
          <w:rFonts w:hint="eastAsia" w:ascii="Times New Roman"/>
          <w:sz w:val="22"/>
          <w:szCs w:val="21"/>
        </w:rPr>
        <w:t>。</w:t>
      </w:r>
    </w:p>
    <w:p>
      <w:pPr>
        <w:tabs>
          <w:tab w:val="left" w:pos="1080"/>
        </w:tabs>
        <w:spacing w:line="400" w:lineRule="exact"/>
        <w:ind w:firstLine="422" w:firstLineChars="192"/>
        <w:rPr>
          <w:rFonts w:ascii="Times New Roman"/>
          <w:sz w:val="22"/>
          <w:szCs w:val="21"/>
        </w:rPr>
      </w:pPr>
      <w:r>
        <w:rPr>
          <w:rFonts w:ascii="Times New Roman"/>
          <w:sz w:val="22"/>
          <w:szCs w:val="21"/>
        </w:rPr>
        <w:t xml:space="preserve">19.2 </w:t>
      </w:r>
      <w:r>
        <w:rPr>
          <w:rFonts w:hint="eastAsia" w:ascii="Times New Roman"/>
          <w:sz w:val="22"/>
          <w:szCs w:val="21"/>
        </w:rPr>
        <w:t>投标文件包括资格性投标文件正本及副本、其他响应性投标文件正本及副本</w:t>
      </w:r>
      <w:r>
        <w:rPr>
          <w:rFonts w:hint="eastAsia" w:ascii="Times New Roman" w:hAnsi="宋体"/>
          <w:sz w:val="22"/>
          <w:szCs w:val="21"/>
        </w:rPr>
        <w:t>、电子文档</w:t>
      </w:r>
      <w:r>
        <w:rPr>
          <w:rFonts w:hint="eastAsia" w:ascii="Times New Roman"/>
          <w:sz w:val="22"/>
          <w:szCs w:val="21"/>
        </w:rPr>
        <w:t>和用于开标唱标单独提交的</w:t>
      </w:r>
      <w:r>
        <w:rPr>
          <w:rFonts w:ascii="Times New Roman"/>
          <w:sz w:val="22"/>
          <w:szCs w:val="21"/>
        </w:rPr>
        <w:t>“</w:t>
      </w:r>
      <w:r>
        <w:rPr>
          <w:rFonts w:hint="eastAsia" w:ascii="Times New Roman"/>
          <w:sz w:val="22"/>
          <w:szCs w:val="21"/>
        </w:rPr>
        <w:t>开标一览表</w:t>
      </w:r>
      <w:r>
        <w:rPr>
          <w:rFonts w:ascii="Times New Roman"/>
          <w:sz w:val="22"/>
          <w:szCs w:val="21"/>
        </w:rPr>
        <w:t>”</w:t>
      </w:r>
      <w:r>
        <w:rPr>
          <w:rFonts w:hint="eastAsia" w:ascii="Times New Roman"/>
          <w:sz w:val="22"/>
          <w:szCs w:val="21"/>
        </w:rPr>
        <w:t>。投标文件应当密封，其中，</w:t>
      </w:r>
      <w:r>
        <w:rPr>
          <w:rFonts w:ascii="Times New Roman"/>
          <w:sz w:val="22"/>
          <w:szCs w:val="21"/>
        </w:rPr>
        <w:t>“</w:t>
      </w:r>
      <w:r>
        <w:rPr>
          <w:rFonts w:hint="eastAsia" w:ascii="Times New Roman"/>
          <w:sz w:val="22"/>
          <w:szCs w:val="21"/>
        </w:rPr>
        <w:t>电子文档</w:t>
      </w:r>
      <w:r>
        <w:rPr>
          <w:rFonts w:ascii="Times New Roman"/>
          <w:sz w:val="22"/>
          <w:szCs w:val="21"/>
        </w:rPr>
        <w:t>”</w:t>
      </w:r>
      <w:r>
        <w:rPr>
          <w:rFonts w:hint="eastAsia" w:ascii="Times New Roman"/>
          <w:sz w:val="22"/>
          <w:szCs w:val="21"/>
        </w:rPr>
        <w:t>、</w:t>
      </w:r>
      <w:r>
        <w:rPr>
          <w:rFonts w:ascii="Times New Roman"/>
          <w:sz w:val="22"/>
          <w:szCs w:val="21"/>
        </w:rPr>
        <w:t>“</w:t>
      </w:r>
      <w:r>
        <w:rPr>
          <w:rFonts w:hint="eastAsia" w:ascii="Times New Roman"/>
          <w:sz w:val="22"/>
          <w:szCs w:val="21"/>
        </w:rPr>
        <w:t>开标一览表</w:t>
      </w:r>
      <w:r>
        <w:rPr>
          <w:rFonts w:ascii="Times New Roman"/>
          <w:sz w:val="22"/>
          <w:szCs w:val="21"/>
        </w:rPr>
        <w:t>”</w:t>
      </w:r>
      <w:r>
        <w:rPr>
          <w:rFonts w:hint="eastAsia" w:ascii="Times New Roman"/>
          <w:sz w:val="22"/>
          <w:szCs w:val="21"/>
        </w:rPr>
        <w:t>单独密封。</w:t>
      </w:r>
    </w:p>
    <w:p>
      <w:pPr>
        <w:tabs>
          <w:tab w:val="left" w:pos="1080"/>
        </w:tabs>
        <w:spacing w:line="400" w:lineRule="exact"/>
        <w:ind w:firstLine="422" w:firstLineChars="192"/>
        <w:rPr>
          <w:rFonts w:ascii="Times New Roman"/>
          <w:sz w:val="22"/>
          <w:szCs w:val="21"/>
        </w:rPr>
      </w:pPr>
      <w:r>
        <w:rPr>
          <w:rFonts w:ascii="Times New Roman"/>
          <w:sz w:val="22"/>
          <w:szCs w:val="21"/>
        </w:rPr>
        <w:t xml:space="preserve">19.3 </w:t>
      </w:r>
      <w:r>
        <w:rPr>
          <w:rFonts w:hint="eastAsia" w:ascii="Times New Roman"/>
          <w:sz w:val="22"/>
          <w:szCs w:val="21"/>
        </w:rPr>
        <w:t>投标文件的密封袋上应当注明资格性投标文件</w:t>
      </w:r>
      <w:r>
        <w:rPr>
          <w:rFonts w:ascii="Times New Roman"/>
          <w:sz w:val="22"/>
          <w:szCs w:val="21"/>
        </w:rPr>
        <w:t>/</w:t>
      </w:r>
      <w:r>
        <w:rPr>
          <w:rFonts w:hint="eastAsia" w:ascii="Times New Roman"/>
          <w:sz w:val="22"/>
          <w:szCs w:val="21"/>
        </w:rPr>
        <w:t>其他响应性投标文件</w:t>
      </w:r>
      <w:r>
        <w:rPr>
          <w:rFonts w:ascii="Times New Roman"/>
          <w:sz w:val="22"/>
          <w:szCs w:val="21"/>
        </w:rPr>
        <w:t>/</w:t>
      </w:r>
      <w:r>
        <w:rPr>
          <w:rFonts w:hint="eastAsia" w:ascii="Times New Roman"/>
          <w:sz w:val="22"/>
          <w:szCs w:val="21"/>
        </w:rPr>
        <w:t>开标一览表</w:t>
      </w:r>
      <w:r>
        <w:rPr>
          <w:rFonts w:ascii="Times New Roman"/>
          <w:sz w:val="22"/>
          <w:szCs w:val="21"/>
        </w:rPr>
        <w:t>/</w:t>
      </w:r>
      <w:r>
        <w:rPr>
          <w:rFonts w:hint="eastAsia" w:ascii="Times New Roman"/>
          <w:sz w:val="22"/>
          <w:szCs w:val="21"/>
        </w:rPr>
        <w:t>电子文档、投标人名称、招标编号、项目名称及分包号（如有分包）。</w:t>
      </w:r>
    </w:p>
    <w:p>
      <w:pPr>
        <w:tabs>
          <w:tab w:val="left" w:pos="7665"/>
        </w:tabs>
        <w:spacing w:line="276" w:lineRule="auto"/>
        <w:ind w:firstLine="440" w:firstLineChars="200"/>
        <w:rPr>
          <w:rFonts w:ascii="Times New Roman"/>
          <w:sz w:val="32"/>
          <w:szCs w:val="21"/>
        </w:rPr>
      </w:pPr>
      <w:r>
        <w:rPr>
          <w:rFonts w:ascii="Times New Roman"/>
          <w:sz w:val="22"/>
          <w:szCs w:val="21"/>
        </w:rPr>
        <w:t xml:space="preserve">19.4 </w:t>
      </w:r>
      <w:r>
        <w:rPr>
          <w:rFonts w:hint="eastAsia" w:ascii="Times New Roman" w:hAnsi="宋体"/>
          <w:sz w:val="22"/>
          <w:szCs w:val="21"/>
        </w:rPr>
        <w:t>所有外层密封袋的封口处应粘贴牢固，并加盖密封章（投标人公章）。</w:t>
      </w:r>
    </w:p>
    <w:p>
      <w:pPr>
        <w:pStyle w:val="5"/>
        <w:spacing w:line="400" w:lineRule="exact"/>
        <w:rPr>
          <w:rFonts w:hAnsi="Times New Roman"/>
          <w:sz w:val="22"/>
          <w:szCs w:val="21"/>
        </w:rPr>
      </w:pPr>
      <w:bookmarkStart w:id="127" w:name="_Toc183682364"/>
      <w:bookmarkStart w:id="128" w:name="_Toc183582227"/>
      <w:bookmarkStart w:id="129" w:name="_Toc217446054"/>
      <w:bookmarkStart w:id="130" w:name="_Toc308164804"/>
      <w:bookmarkStart w:id="131" w:name="_Toc12048"/>
      <w:bookmarkStart w:id="132" w:name="_Toc4869"/>
      <w:bookmarkStart w:id="133" w:name="_Toc25807"/>
      <w:bookmarkStart w:id="134" w:name="_Toc21425"/>
      <w:bookmarkStart w:id="135" w:name="_Toc20112"/>
      <w:bookmarkStart w:id="136" w:name="_Toc21680"/>
      <w:r>
        <w:rPr>
          <w:rFonts w:hAnsi="Times New Roman"/>
          <w:sz w:val="22"/>
          <w:szCs w:val="21"/>
        </w:rPr>
        <w:t>20</w:t>
      </w:r>
      <w:r>
        <w:rPr>
          <w:rFonts w:hint="eastAsia" w:hAnsi="Times New Roman"/>
          <w:sz w:val="22"/>
          <w:szCs w:val="21"/>
        </w:rPr>
        <w:t>．投标文件的</w:t>
      </w:r>
      <w:bookmarkEnd w:id="127"/>
      <w:bookmarkEnd w:id="128"/>
      <w:r>
        <w:rPr>
          <w:rFonts w:hint="eastAsia" w:hAnsi="Times New Roman"/>
          <w:sz w:val="22"/>
          <w:szCs w:val="21"/>
        </w:rPr>
        <w:t>递交</w:t>
      </w:r>
      <w:bookmarkEnd w:id="129"/>
      <w:bookmarkEnd w:id="130"/>
    </w:p>
    <w:p>
      <w:pPr>
        <w:tabs>
          <w:tab w:val="left" w:pos="1095"/>
        </w:tabs>
        <w:spacing w:line="400" w:lineRule="exact"/>
        <w:ind w:firstLine="422" w:firstLineChars="192"/>
        <w:rPr>
          <w:rFonts w:ascii="Times New Roman"/>
          <w:sz w:val="22"/>
          <w:szCs w:val="21"/>
        </w:rPr>
      </w:pPr>
      <w:r>
        <w:rPr>
          <w:rFonts w:ascii="Times New Roman"/>
          <w:sz w:val="22"/>
          <w:szCs w:val="21"/>
        </w:rPr>
        <w:t xml:space="preserve">20.1 </w:t>
      </w:r>
      <w:r>
        <w:rPr>
          <w:rFonts w:hint="eastAsia" w:ascii="Times New Roman"/>
          <w:sz w:val="22"/>
          <w:szCs w:val="21"/>
        </w:rPr>
        <w:t>投标人应在招标文件规定的投标截止时间前，将投标文件按招标文件的规定密封后送达开标地点。投标截止时间以后送达的投标文件将不予接收，招标采购单位将告知投标人不予接收的原因。</w:t>
      </w:r>
    </w:p>
    <w:p>
      <w:pPr>
        <w:tabs>
          <w:tab w:val="left" w:pos="1095"/>
        </w:tabs>
        <w:spacing w:line="400" w:lineRule="exact"/>
        <w:ind w:firstLine="422" w:firstLineChars="192"/>
        <w:rPr>
          <w:rFonts w:ascii="Times New Roman"/>
          <w:sz w:val="22"/>
          <w:szCs w:val="21"/>
        </w:rPr>
      </w:pPr>
      <w:r>
        <w:rPr>
          <w:rFonts w:ascii="Times New Roman"/>
          <w:sz w:val="22"/>
          <w:szCs w:val="21"/>
        </w:rPr>
        <w:t>20.2</w:t>
      </w:r>
      <w:r>
        <w:rPr>
          <w:rFonts w:hint="eastAsia" w:ascii="Times New Roman"/>
          <w:sz w:val="22"/>
          <w:szCs w:val="21"/>
        </w:rPr>
        <w:t>递交投标文件时，报名供应商名称和招标文件的文号、分包号应当与投标供应商名称和招标文件的文号、分包号一致。但是，投标文件实质内容报名供应商名称和招标文件的文号、分包号一致，只是封面文字错误的，可以在评标过程中当面予以澄清，以有效的澄清材料作为认定投标文件是否有效的依据。</w:t>
      </w:r>
    </w:p>
    <w:p>
      <w:pPr>
        <w:tabs>
          <w:tab w:val="left" w:pos="1095"/>
        </w:tabs>
        <w:spacing w:line="400" w:lineRule="exact"/>
        <w:ind w:firstLine="422" w:firstLineChars="192"/>
        <w:rPr>
          <w:rFonts w:ascii="Times New Roman"/>
          <w:sz w:val="22"/>
          <w:szCs w:val="21"/>
        </w:rPr>
      </w:pPr>
      <w:r>
        <w:rPr>
          <w:rFonts w:ascii="Times New Roman"/>
          <w:sz w:val="22"/>
          <w:szCs w:val="21"/>
        </w:rPr>
        <w:t>20.3</w:t>
      </w:r>
      <w:r>
        <w:rPr>
          <w:rFonts w:hint="eastAsia" w:ascii="Times New Roman"/>
          <w:sz w:val="22"/>
          <w:szCs w:val="21"/>
        </w:rPr>
        <w:t>本次招标不接收邮寄的投标文件。</w:t>
      </w:r>
    </w:p>
    <w:p>
      <w:pPr>
        <w:pStyle w:val="5"/>
        <w:spacing w:line="400" w:lineRule="exact"/>
        <w:rPr>
          <w:rFonts w:hAnsi="Times New Roman"/>
          <w:sz w:val="22"/>
        </w:rPr>
      </w:pPr>
      <w:bookmarkStart w:id="137" w:name="_Toc183682365"/>
      <w:bookmarkStart w:id="138" w:name="_Toc183582228"/>
      <w:bookmarkStart w:id="139" w:name="_Toc217446055"/>
      <w:bookmarkStart w:id="140" w:name="_Toc77400782"/>
      <w:bookmarkStart w:id="141" w:name="_Toc308164805"/>
      <w:bookmarkStart w:id="142" w:name="_Toc89075878"/>
      <w:bookmarkStart w:id="143" w:name="_Toc183582231"/>
      <w:bookmarkStart w:id="144" w:name="_Toc217446056"/>
      <w:bookmarkStart w:id="145" w:name="_Toc183682368"/>
      <w:r>
        <w:rPr>
          <w:rFonts w:hAnsi="Times New Roman"/>
          <w:sz w:val="22"/>
          <w:szCs w:val="21"/>
        </w:rPr>
        <w:t>21</w:t>
      </w:r>
      <w:r>
        <w:rPr>
          <w:rFonts w:hint="eastAsia" w:hAnsi="Times New Roman"/>
          <w:sz w:val="22"/>
          <w:szCs w:val="21"/>
        </w:rPr>
        <w:t>．投标文件的修改和撤</w:t>
      </w:r>
      <w:bookmarkEnd w:id="137"/>
      <w:bookmarkEnd w:id="138"/>
      <w:r>
        <w:rPr>
          <w:rFonts w:hint="eastAsia" w:hAnsi="Times New Roman"/>
          <w:sz w:val="22"/>
          <w:szCs w:val="21"/>
        </w:rPr>
        <w:t>回</w:t>
      </w:r>
      <w:bookmarkEnd w:id="139"/>
    </w:p>
    <w:p>
      <w:pPr>
        <w:tabs>
          <w:tab w:val="left" w:pos="1095"/>
        </w:tabs>
        <w:spacing w:line="400" w:lineRule="exact"/>
        <w:ind w:firstLine="422" w:firstLineChars="192"/>
        <w:rPr>
          <w:rFonts w:ascii="Times New Roman"/>
          <w:sz w:val="22"/>
          <w:szCs w:val="21"/>
        </w:rPr>
      </w:pPr>
      <w:r>
        <w:rPr>
          <w:rFonts w:ascii="Times New Roman"/>
          <w:sz w:val="22"/>
          <w:szCs w:val="21"/>
        </w:rPr>
        <w:t xml:space="preserve">21.1 </w:t>
      </w:r>
      <w:r>
        <w:rPr>
          <w:rFonts w:hint="eastAsia" w:ascii="Times New Roman"/>
          <w:sz w:val="22"/>
          <w:szCs w:val="21"/>
        </w:rPr>
        <w:t>投标人在递交了投标文件后，可以修改或撤回其投标文件，但必须在规定的投标截止时间前，以书面形式通知采购代理机构。</w:t>
      </w:r>
    </w:p>
    <w:p>
      <w:pPr>
        <w:tabs>
          <w:tab w:val="left" w:pos="1095"/>
        </w:tabs>
        <w:spacing w:line="400" w:lineRule="exact"/>
        <w:ind w:firstLine="422" w:firstLineChars="192"/>
        <w:rPr>
          <w:rFonts w:ascii="Times New Roman"/>
          <w:sz w:val="22"/>
          <w:szCs w:val="21"/>
        </w:rPr>
      </w:pPr>
      <w:r>
        <w:rPr>
          <w:rFonts w:ascii="Times New Roman"/>
          <w:sz w:val="22"/>
          <w:szCs w:val="21"/>
        </w:rPr>
        <w:t xml:space="preserve">21.2 </w:t>
      </w:r>
      <w:r>
        <w:rPr>
          <w:rFonts w:hint="eastAsia" w:ascii="Times New Roman"/>
          <w:sz w:val="22"/>
          <w:szCs w:val="21"/>
        </w:rPr>
        <w:t>投标人的修改书或撤回通知书，应由其法定代表人或委托代理人签署并盖单位印章。修改书应按投标须知第</w:t>
      </w:r>
      <w:r>
        <w:rPr>
          <w:rFonts w:ascii="Times New Roman"/>
          <w:sz w:val="22"/>
          <w:szCs w:val="21"/>
        </w:rPr>
        <w:t>19</w:t>
      </w:r>
      <w:r>
        <w:rPr>
          <w:rFonts w:hint="eastAsia" w:ascii="Times New Roman"/>
          <w:sz w:val="22"/>
          <w:szCs w:val="21"/>
        </w:rPr>
        <w:t>条规定进行密封和标注，并在密封袋上标注</w:t>
      </w:r>
      <w:r>
        <w:rPr>
          <w:rFonts w:ascii="Times New Roman"/>
          <w:sz w:val="22"/>
          <w:szCs w:val="21"/>
        </w:rPr>
        <w:t>“</w:t>
      </w:r>
      <w:r>
        <w:rPr>
          <w:rFonts w:hint="eastAsia" w:ascii="Times New Roman"/>
          <w:sz w:val="22"/>
          <w:szCs w:val="21"/>
        </w:rPr>
        <w:t>修改</w:t>
      </w:r>
      <w:r>
        <w:rPr>
          <w:rFonts w:ascii="Times New Roman"/>
          <w:sz w:val="22"/>
          <w:szCs w:val="21"/>
        </w:rPr>
        <w:t>”</w:t>
      </w:r>
      <w:r>
        <w:rPr>
          <w:rFonts w:hint="eastAsia" w:ascii="Times New Roman"/>
          <w:sz w:val="22"/>
          <w:szCs w:val="21"/>
        </w:rPr>
        <w:t>字样。</w:t>
      </w:r>
    </w:p>
    <w:p>
      <w:pPr>
        <w:tabs>
          <w:tab w:val="left" w:pos="1095"/>
        </w:tabs>
        <w:spacing w:line="400" w:lineRule="exact"/>
        <w:ind w:firstLine="422" w:firstLineChars="192"/>
        <w:rPr>
          <w:rFonts w:ascii="Times New Roman"/>
          <w:sz w:val="22"/>
          <w:szCs w:val="21"/>
        </w:rPr>
      </w:pPr>
      <w:r>
        <w:rPr>
          <w:rFonts w:ascii="Times New Roman"/>
          <w:sz w:val="22"/>
          <w:szCs w:val="21"/>
        </w:rPr>
        <w:t xml:space="preserve">21.3 </w:t>
      </w:r>
      <w:r>
        <w:rPr>
          <w:rFonts w:hint="eastAsia" w:ascii="Times New Roman"/>
          <w:sz w:val="22"/>
          <w:szCs w:val="21"/>
        </w:rPr>
        <w:t>在投标截止时间之后，投标人不得对其递交的投标文件做任何修改或撤销投标。</w:t>
      </w:r>
    </w:p>
    <w:p>
      <w:pPr>
        <w:pStyle w:val="4"/>
        <w:spacing w:line="400" w:lineRule="exact"/>
        <w:jc w:val="center"/>
        <w:rPr>
          <w:rFonts w:ascii="Times New Roman" w:hAnsi="Times New Roman"/>
          <w:sz w:val="28"/>
          <w:szCs w:val="22"/>
        </w:rPr>
      </w:pPr>
      <w:r>
        <w:rPr>
          <w:rFonts w:hint="eastAsia" w:ascii="Times New Roman"/>
          <w:sz w:val="28"/>
          <w:szCs w:val="22"/>
        </w:rPr>
        <w:t>五、开标和中标</w:t>
      </w:r>
      <w:bookmarkEnd w:id="140"/>
      <w:bookmarkEnd w:id="141"/>
      <w:bookmarkEnd w:id="142"/>
      <w:bookmarkEnd w:id="143"/>
      <w:bookmarkEnd w:id="144"/>
      <w:bookmarkEnd w:id="145"/>
    </w:p>
    <w:p>
      <w:pPr>
        <w:pStyle w:val="5"/>
        <w:spacing w:line="400" w:lineRule="exact"/>
        <w:rPr>
          <w:rFonts w:hAnsi="Times New Roman"/>
          <w:sz w:val="22"/>
          <w:szCs w:val="21"/>
        </w:rPr>
      </w:pPr>
      <w:bookmarkStart w:id="146" w:name="_Toc217446057"/>
      <w:bookmarkStart w:id="147" w:name="_Toc308164806"/>
      <w:bookmarkStart w:id="148" w:name="_Toc183582232"/>
      <w:bookmarkStart w:id="149" w:name="_Toc183682369"/>
      <w:r>
        <w:rPr>
          <w:rFonts w:hAnsi="Times New Roman"/>
          <w:sz w:val="22"/>
          <w:szCs w:val="21"/>
        </w:rPr>
        <w:t>22</w:t>
      </w:r>
      <w:r>
        <w:rPr>
          <w:rFonts w:hint="eastAsia" w:hAnsi="Times New Roman"/>
          <w:sz w:val="22"/>
          <w:szCs w:val="21"/>
        </w:rPr>
        <w:t>．开标</w:t>
      </w:r>
      <w:bookmarkEnd w:id="146"/>
      <w:bookmarkEnd w:id="147"/>
      <w:bookmarkEnd w:id="148"/>
      <w:bookmarkEnd w:id="149"/>
    </w:p>
    <w:p>
      <w:pPr>
        <w:spacing w:before="120" w:line="400" w:lineRule="exact"/>
        <w:ind w:firstLine="440" w:firstLineChars="200"/>
        <w:rPr>
          <w:rFonts w:ascii="Times New Roman"/>
          <w:sz w:val="22"/>
          <w:szCs w:val="21"/>
        </w:rPr>
      </w:pPr>
      <w:r>
        <w:rPr>
          <w:rFonts w:ascii="Times New Roman"/>
          <w:sz w:val="22"/>
          <w:szCs w:val="21"/>
        </w:rPr>
        <w:t xml:space="preserve">22.1 </w:t>
      </w:r>
      <w:r>
        <w:rPr>
          <w:rFonts w:hint="eastAsia" w:ascii="Times New Roman"/>
          <w:sz w:val="22"/>
          <w:szCs w:val="21"/>
        </w:rPr>
        <w:t>开标在招标文件规定的时间和地点公开进行，采购人、投标人应派代表参加并签到以证明其出席。开标由采购代理机构主持，邀请投标人参加。评标委员会成员不参加开标活动。</w:t>
      </w:r>
    </w:p>
    <w:p>
      <w:pPr>
        <w:spacing w:line="400" w:lineRule="exact"/>
        <w:ind w:firstLine="440" w:firstLineChars="200"/>
        <w:rPr>
          <w:rFonts w:ascii="Times New Roman"/>
          <w:sz w:val="22"/>
          <w:szCs w:val="21"/>
        </w:rPr>
      </w:pPr>
      <w:r>
        <w:rPr>
          <w:rFonts w:ascii="Times New Roman"/>
          <w:sz w:val="22"/>
          <w:szCs w:val="21"/>
        </w:rPr>
        <w:t xml:space="preserve">22.2 </w:t>
      </w:r>
      <w:r>
        <w:rPr>
          <w:rFonts w:hint="eastAsia" w:ascii="Times New Roman"/>
          <w:sz w:val="22"/>
          <w:szCs w:val="21"/>
        </w:rPr>
        <w:t>开标时，可根据具体情况邀请有关监督管理部门对开标活动进行现场监督。</w:t>
      </w:r>
    </w:p>
    <w:p>
      <w:pPr>
        <w:spacing w:line="400" w:lineRule="exact"/>
        <w:ind w:firstLine="440" w:firstLineChars="200"/>
        <w:rPr>
          <w:rFonts w:ascii="Times New Roman"/>
          <w:sz w:val="22"/>
          <w:szCs w:val="21"/>
        </w:rPr>
      </w:pPr>
      <w:r>
        <w:rPr>
          <w:rFonts w:ascii="Times New Roman"/>
          <w:sz w:val="22"/>
          <w:szCs w:val="21"/>
        </w:rPr>
        <w:t xml:space="preserve">22.3 </w:t>
      </w:r>
      <w:r>
        <w:rPr>
          <w:rFonts w:hint="eastAsia" w:ascii="Times New Roman"/>
          <w:sz w:val="22"/>
          <w:szCs w:val="21"/>
        </w:rPr>
        <w:t>开标时，由投标人或者其推选的代表检查其自己递交的投标文件的密封情况，经确认无误后，由招标工作人员将投标人单独递交的</w:t>
      </w:r>
      <w:r>
        <w:rPr>
          <w:rFonts w:ascii="Times New Roman"/>
          <w:sz w:val="22"/>
          <w:szCs w:val="21"/>
        </w:rPr>
        <w:t>“</w:t>
      </w:r>
      <w:r>
        <w:rPr>
          <w:rFonts w:hint="eastAsia" w:ascii="Times New Roman"/>
          <w:sz w:val="22"/>
          <w:szCs w:val="21"/>
        </w:rPr>
        <w:t>开标一览表</w:t>
      </w:r>
      <w:r>
        <w:rPr>
          <w:rFonts w:ascii="Times New Roman"/>
          <w:sz w:val="22"/>
          <w:szCs w:val="21"/>
        </w:rPr>
        <w:t>”</w:t>
      </w:r>
      <w:r>
        <w:rPr>
          <w:rFonts w:hint="eastAsia" w:ascii="Times New Roman"/>
          <w:sz w:val="22"/>
          <w:szCs w:val="21"/>
        </w:rPr>
        <w:t>当众拆封，并由唱标人员按照招标文件规定的内容进行宣读。</w:t>
      </w:r>
    </w:p>
    <w:p>
      <w:pPr>
        <w:spacing w:line="400" w:lineRule="exact"/>
        <w:ind w:firstLine="440" w:firstLineChars="200"/>
        <w:rPr>
          <w:rFonts w:ascii="Times New Roman"/>
          <w:sz w:val="22"/>
          <w:szCs w:val="21"/>
        </w:rPr>
      </w:pPr>
      <w:r>
        <w:rPr>
          <w:rFonts w:ascii="Times New Roman"/>
          <w:sz w:val="22"/>
          <w:szCs w:val="21"/>
        </w:rPr>
        <w:t>22.4</w:t>
      </w:r>
      <w:r>
        <w:rPr>
          <w:rFonts w:hint="eastAsia" w:ascii="Times New Roman"/>
          <w:sz w:val="22"/>
          <w:szCs w:val="21"/>
        </w:rPr>
        <w:t>投标人或者其推选的代表对其他投标人的投标文件密封情况有异议的，应当当场反映开标主持人或者现场监督人员，要求开标现场记录人员予以记录，并在评标时予以认定处理，但不得干扰、阻挠开标工作的正常进行</w:t>
      </w:r>
      <w:r>
        <w:rPr>
          <w:rFonts w:ascii="Times New Roman"/>
          <w:sz w:val="22"/>
          <w:szCs w:val="21"/>
        </w:rPr>
        <w:t>.</w:t>
      </w:r>
    </w:p>
    <w:p>
      <w:pPr>
        <w:spacing w:line="400" w:lineRule="exact"/>
        <w:ind w:firstLine="440" w:firstLineChars="200"/>
        <w:rPr>
          <w:rFonts w:ascii="Times New Roman"/>
          <w:sz w:val="22"/>
          <w:szCs w:val="21"/>
        </w:rPr>
      </w:pPr>
      <w:r>
        <w:rPr>
          <w:rFonts w:ascii="Times New Roman"/>
          <w:sz w:val="22"/>
          <w:szCs w:val="21"/>
        </w:rPr>
        <w:t xml:space="preserve">22.5 </w:t>
      </w:r>
      <w:r>
        <w:rPr>
          <w:rFonts w:hint="eastAsia" w:ascii="Times New Roman"/>
          <w:sz w:val="22"/>
          <w:szCs w:val="21"/>
        </w:rPr>
        <w:t>投标文件中相关内容与</w:t>
      </w:r>
      <w:r>
        <w:rPr>
          <w:rFonts w:ascii="Times New Roman"/>
          <w:sz w:val="22"/>
          <w:szCs w:val="21"/>
        </w:rPr>
        <w:t>“</w:t>
      </w:r>
      <w:r>
        <w:rPr>
          <w:rFonts w:hint="eastAsia" w:ascii="Times New Roman"/>
          <w:sz w:val="22"/>
          <w:szCs w:val="21"/>
        </w:rPr>
        <w:t>开标一览表</w:t>
      </w:r>
      <w:r>
        <w:rPr>
          <w:rFonts w:ascii="Times New Roman"/>
          <w:sz w:val="22"/>
          <w:szCs w:val="21"/>
        </w:rPr>
        <w:t>”</w:t>
      </w:r>
      <w:r>
        <w:rPr>
          <w:rFonts w:hint="eastAsia" w:ascii="Times New Roman"/>
          <w:sz w:val="22"/>
          <w:szCs w:val="21"/>
        </w:rPr>
        <w:t>不一致的，以</w:t>
      </w:r>
      <w:r>
        <w:rPr>
          <w:rFonts w:ascii="Times New Roman"/>
          <w:sz w:val="22"/>
          <w:szCs w:val="21"/>
        </w:rPr>
        <w:t>“</w:t>
      </w:r>
      <w:r>
        <w:rPr>
          <w:rFonts w:hint="eastAsia" w:ascii="Times New Roman"/>
          <w:sz w:val="22"/>
          <w:szCs w:val="21"/>
        </w:rPr>
        <w:t>开标一览表</w:t>
      </w:r>
      <w:r>
        <w:rPr>
          <w:rFonts w:ascii="Times New Roman"/>
          <w:sz w:val="22"/>
          <w:szCs w:val="21"/>
        </w:rPr>
        <w:t>”</w:t>
      </w:r>
      <w:r>
        <w:rPr>
          <w:rFonts w:hint="eastAsia" w:ascii="Times New Roman"/>
          <w:sz w:val="22"/>
          <w:szCs w:val="21"/>
        </w:rPr>
        <w:t>为准。对不同文字文本投标文件的解释发生异议的，以中文文本为准。</w:t>
      </w:r>
    </w:p>
    <w:p>
      <w:pPr>
        <w:spacing w:line="400" w:lineRule="exact"/>
        <w:ind w:firstLine="440" w:firstLineChars="200"/>
        <w:rPr>
          <w:rFonts w:ascii="Times New Roman"/>
          <w:sz w:val="22"/>
          <w:szCs w:val="21"/>
        </w:rPr>
      </w:pPr>
      <w:r>
        <w:rPr>
          <w:rFonts w:ascii="Times New Roman"/>
          <w:sz w:val="22"/>
          <w:szCs w:val="21"/>
        </w:rPr>
        <w:t>22.6</w:t>
      </w:r>
      <w:r>
        <w:rPr>
          <w:rFonts w:hint="eastAsia" w:ascii="Times New Roman"/>
          <w:sz w:val="22"/>
          <w:szCs w:val="21"/>
        </w:rPr>
        <w:t>所有投标唱标完毕，如投标人代表对宣读的</w:t>
      </w:r>
      <w:r>
        <w:rPr>
          <w:rFonts w:ascii="Times New Roman"/>
          <w:sz w:val="22"/>
          <w:szCs w:val="21"/>
        </w:rPr>
        <w:t>“</w:t>
      </w:r>
      <w:r>
        <w:rPr>
          <w:rFonts w:hint="eastAsia" w:ascii="Times New Roman"/>
          <w:sz w:val="22"/>
          <w:szCs w:val="21"/>
        </w:rPr>
        <w:t>开标一览表</w:t>
      </w:r>
      <w:r>
        <w:rPr>
          <w:rFonts w:ascii="Times New Roman"/>
          <w:sz w:val="22"/>
          <w:szCs w:val="21"/>
        </w:rPr>
        <w:t>”</w:t>
      </w:r>
      <w:r>
        <w:rPr>
          <w:rFonts w:hint="eastAsia" w:ascii="Times New Roman"/>
          <w:sz w:val="22"/>
          <w:szCs w:val="21"/>
        </w:rPr>
        <w:t>上的内容有异议的，应在获得开标会主持人同意后当场提出。</w:t>
      </w:r>
    </w:p>
    <w:p>
      <w:pPr>
        <w:spacing w:line="400" w:lineRule="exact"/>
        <w:ind w:firstLine="440" w:firstLineChars="200"/>
        <w:rPr>
          <w:rFonts w:ascii="Times New Roman"/>
          <w:sz w:val="22"/>
          <w:szCs w:val="21"/>
        </w:rPr>
      </w:pPr>
      <w:r>
        <w:rPr>
          <w:rFonts w:ascii="Times New Roman"/>
          <w:sz w:val="22"/>
          <w:szCs w:val="21"/>
        </w:rPr>
        <w:t>22.7</w:t>
      </w:r>
      <w:r>
        <w:rPr>
          <w:rFonts w:hint="eastAsia" w:ascii="Times New Roman"/>
          <w:sz w:val="22"/>
          <w:szCs w:val="21"/>
        </w:rPr>
        <w:t>投标人未参加开标的，视同认可开标结果。</w:t>
      </w:r>
    </w:p>
    <w:p>
      <w:pPr>
        <w:pStyle w:val="5"/>
        <w:spacing w:line="400" w:lineRule="exact"/>
        <w:rPr>
          <w:rFonts w:hAnsi="Times New Roman"/>
          <w:sz w:val="22"/>
          <w:szCs w:val="21"/>
        </w:rPr>
      </w:pPr>
      <w:bookmarkStart w:id="150" w:name="_Toc308164807"/>
      <w:bookmarkStart w:id="151" w:name="_Toc217446058"/>
      <w:r>
        <w:rPr>
          <w:rFonts w:hAnsi="Times New Roman"/>
          <w:sz w:val="22"/>
          <w:szCs w:val="21"/>
        </w:rPr>
        <w:t xml:space="preserve">23. </w:t>
      </w:r>
      <w:r>
        <w:rPr>
          <w:rFonts w:hint="eastAsia" w:hAnsi="Times New Roman"/>
          <w:sz w:val="22"/>
          <w:szCs w:val="21"/>
        </w:rPr>
        <w:t>开标程序</w:t>
      </w:r>
      <w:bookmarkEnd w:id="150"/>
      <w:bookmarkEnd w:id="151"/>
    </w:p>
    <w:p>
      <w:pPr>
        <w:spacing w:line="400" w:lineRule="exact"/>
        <w:ind w:firstLine="440" w:firstLineChars="200"/>
        <w:rPr>
          <w:rFonts w:ascii="Times New Roman"/>
          <w:sz w:val="22"/>
          <w:szCs w:val="21"/>
        </w:rPr>
      </w:pPr>
      <w:r>
        <w:rPr>
          <w:rFonts w:ascii="Times New Roman"/>
          <w:sz w:val="22"/>
          <w:szCs w:val="21"/>
        </w:rPr>
        <w:t xml:space="preserve">23.1 </w:t>
      </w:r>
      <w:r>
        <w:rPr>
          <w:rFonts w:hint="eastAsia" w:ascii="Times New Roman"/>
          <w:sz w:val="22"/>
          <w:szCs w:val="21"/>
        </w:rPr>
        <w:t>开标会主持人按照招标文件规定的开标时间宣布开标，按照规定要求主持开标会。开标将按以下程序进行：</w:t>
      </w:r>
    </w:p>
    <w:p>
      <w:pPr>
        <w:numPr>
          <w:ilvl w:val="0"/>
          <w:numId w:val="1"/>
        </w:numPr>
        <w:spacing w:line="400" w:lineRule="exact"/>
        <w:ind w:firstLine="440" w:firstLineChars="200"/>
        <w:rPr>
          <w:rFonts w:ascii="Times New Roman"/>
          <w:sz w:val="22"/>
          <w:szCs w:val="21"/>
        </w:rPr>
      </w:pPr>
      <w:r>
        <w:rPr>
          <w:rFonts w:hint="eastAsia" w:ascii="Times New Roman"/>
          <w:sz w:val="22"/>
          <w:szCs w:val="21"/>
        </w:rPr>
        <w:t>宣布开标会开始。当众宣布参加开标会主持人、唱标人、会议记录人以及根据情况邀请的现场监督人等工作人员</w:t>
      </w:r>
    </w:p>
    <w:p>
      <w:pPr>
        <w:spacing w:line="400" w:lineRule="exact"/>
        <w:ind w:firstLine="440" w:firstLineChars="200"/>
        <w:rPr>
          <w:rFonts w:ascii="Times New Roman"/>
          <w:sz w:val="22"/>
          <w:szCs w:val="21"/>
        </w:rPr>
      </w:pPr>
      <w:r>
        <w:rPr>
          <w:rFonts w:hint="eastAsia" w:ascii="Times New Roman"/>
          <w:sz w:val="22"/>
          <w:szCs w:val="21"/>
        </w:rPr>
        <w:t>（</w:t>
      </w:r>
      <w:r>
        <w:rPr>
          <w:rFonts w:ascii="Times New Roman"/>
          <w:sz w:val="22"/>
          <w:szCs w:val="21"/>
        </w:rPr>
        <w:t>2</w:t>
      </w:r>
      <w:r>
        <w:rPr>
          <w:rFonts w:hint="eastAsia" w:ascii="Times New Roman"/>
          <w:sz w:val="22"/>
          <w:szCs w:val="21"/>
        </w:rPr>
        <w:t>）根据投标人或者其推选的代表对投标文件密封的检查结果，当众宣布投标文件的密封情况。</w:t>
      </w:r>
    </w:p>
    <w:p>
      <w:pPr>
        <w:spacing w:line="400" w:lineRule="exact"/>
        <w:ind w:firstLine="440" w:firstLineChars="200"/>
        <w:rPr>
          <w:rFonts w:ascii="Times New Roman"/>
          <w:sz w:val="22"/>
          <w:szCs w:val="21"/>
        </w:rPr>
      </w:pPr>
      <w:r>
        <w:rPr>
          <w:rFonts w:hint="eastAsia" w:ascii="Times New Roman"/>
          <w:sz w:val="22"/>
          <w:szCs w:val="21"/>
        </w:rPr>
        <w:t>（</w:t>
      </w:r>
      <w:r>
        <w:rPr>
          <w:rFonts w:ascii="Times New Roman"/>
          <w:sz w:val="22"/>
          <w:szCs w:val="21"/>
        </w:rPr>
        <w:t>3</w:t>
      </w:r>
      <w:r>
        <w:rPr>
          <w:rFonts w:hint="eastAsia" w:ascii="Times New Roman"/>
          <w:sz w:val="22"/>
          <w:szCs w:val="21"/>
        </w:rPr>
        <w:t>）开标唱标。主持人宣布开标后，由现场工作人员按任意顺序对投标人的投标文件当众进行拆封，由唱标人员宣读投标人名称、投标价格（价格折扣）、或招标文件允许提供的备选投标方案和投标文件的其他主要内容。未宣读的投标价格（价格折扣）或招标文件允许提供的备选投标方案等实质内容，评标时不予承认。同时，做好开标记录。唱标人员在唱标过程中，如遇有字迹不清楚或有明显错误的，应即刻报告主持人，经现场核实后，主持人立即请投标人代表现场进行澄清或确认。唱标完毕后投标人或者其推选的代表需现场对开标记录进行签字确认，投标人或者其推选的代表对唱标内容有异议的，应当当场提出，并要求会议记录人在开标记录中予以记录，或者另行提供书面异议资料，不签字又不提出异议的，视同认可唱标内容和结果，且不得干扰、阻挠开（唱）标、评标工作。</w:t>
      </w:r>
    </w:p>
    <w:p>
      <w:pPr>
        <w:spacing w:line="400" w:lineRule="exact"/>
        <w:ind w:firstLine="440" w:firstLineChars="200"/>
        <w:rPr>
          <w:rFonts w:ascii="Times New Roman"/>
          <w:sz w:val="22"/>
          <w:szCs w:val="21"/>
        </w:rPr>
      </w:pPr>
      <w:r>
        <w:rPr>
          <w:rFonts w:hint="eastAsia" w:ascii="Times New Roman"/>
          <w:sz w:val="22"/>
          <w:szCs w:val="21"/>
        </w:rPr>
        <w:t>（</w:t>
      </w:r>
      <w:r>
        <w:rPr>
          <w:rFonts w:ascii="Times New Roman"/>
          <w:sz w:val="22"/>
          <w:szCs w:val="21"/>
        </w:rPr>
        <w:t>4</w:t>
      </w:r>
      <w:r>
        <w:rPr>
          <w:rFonts w:hint="eastAsia" w:ascii="Times New Roman"/>
          <w:sz w:val="22"/>
          <w:szCs w:val="21"/>
        </w:rPr>
        <w:t>）宣布开标会结束。主持人宣布开标会结束。所有投标人代表应立即退场（招标文件要求有演示、介绍等的除外）。同时所有投标人应保持通讯设备的畅通，以方便在评标过程中评标委员会要求投标人对投标文件的必要澄清、说明和纠正。评标结果投标人在陕西省政府采购网上查询。</w:t>
      </w:r>
    </w:p>
    <w:p>
      <w:pPr>
        <w:pStyle w:val="5"/>
        <w:spacing w:line="400" w:lineRule="exact"/>
        <w:rPr>
          <w:rFonts w:hAnsi="Times New Roman"/>
          <w:sz w:val="22"/>
          <w:szCs w:val="21"/>
        </w:rPr>
      </w:pPr>
      <w:bookmarkStart w:id="152" w:name="_Toc183682375"/>
      <w:bookmarkStart w:id="153" w:name="_Toc183582238"/>
      <w:bookmarkStart w:id="154" w:name="_Toc308164809"/>
      <w:bookmarkStart w:id="155" w:name="_Toc217446063"/>
      <w:r>
        <w:rPr>
          <w:rFonts w:hAnsi="Times New Roman"/>
          <w:sz w:val="22"/>
          <w:szCs w:val="21"/>
        </w:rPr>
        <w:t>24</w:t>
      </w:r>
      <w:r>
        <w:rPr>
          <w:rFonts w:hint="eastAsia" w:hAnsi="Times New Roman"/>
          <w:sz w:val="22"/>
          <w:szCs w:val="21"/>
        </w:rPr>
        <w:t>．开评标过程存档</w:t>
      </w:r>
    </w:p>
    <w:p>
      <w:pPr>
        <w:spacing w:line="400" w:lineRule="exact"/>
        <w:ind w:firstLine="440" w:firstLineChars="200"/>
        <w:rPr>
          <w:rFonts w:ascii="Times New Roman"/>
          <w:sz w:val="22"/>
          <w:szCs w:val="21"/>
        </w:rPr>
      </w:pPr>
      <w:r>
        <w:rPr>
          <w:rFonts w:hint="eastAsia" w:ascii="Times New Roman"/>
          <w:sz w:val="22"/>
          <w:szCs w:val="21"/>
        </w:rPr>
        <w:t>开标和评标过程进行全过程电子监控，并将电子监控资料存储介质留存归档。</w:t>
      </w:r>
    </w:p>
    <w:p>
      <w:pPr>
        <w:pStyle w:val="5"/>
        <w:spacing w:line="400" w:lineRule="exact"/>
        <w:rPr>
          <w:rFonts w:hAnsi="Times New Roman"/>
          <w:sz w:val="22"/>
          <w:szCs w:val="21"/>
        </w:rPr>
      </w:pPr>
      <w:r>
        <w:rPr>
          <w:rFonts w:hAnsi="Times New Roman"/>
          <w:sz w:val="22"/>
          <w:szCs w:val="21"/>
        </w:rPr>
        <w:t>25.</w:t>
      </w:r>
      <w:r>
        <w:rPr>
          <w:rFonts w:hint="eastAsia" w:hAnsi="Times New Roman"/>
          <w:sz w:val="22"/>
          <w:szCs w:val="21"/>
        </w:rPr>
        <w:t>中标通知</w:t>
      </w:r>
      <w:bookmarkEnd w:id="152"/>
      <w:bookmarkEnd w:id="153"/>
      <w:r>
        <w:rPr>
          <w:rFonts w:hint="eastAsia" w:hAnsi="Times New Roman"/>
          <w:sz w:val="22"/>
          <w:szCs w:val="21"/>
        </w:rPr>
        <w:t>书</w:t>
      </w:r>
      <w:bookmarkEnd w:id="154"/>
      <w:bookmarkEnd w:id="155"/>
    </w:p>
    <w:p>
      <w:pPr>
        <w:tabs>
          <w:tab w:val="left" w:pos="7665"/>
        </w:tabs>
        <w:spacing w:line="400" w:lineRule="exact"/>
        <w:ind w:firstLine="440" w:firstLineChars="200"/>
        <w:rPr>
          <w:rFonts w:ascii="Times New Roman"/>
          <w:sz w:val="22"/>
          <w:szCs w:val="21"/>
        </w:rPr>
      </w:pPr>
      <w:r>
        <w:rPr>
          <w:rFonts w:ascii="Times New Roman"/>
          <w:sz w:val="22"/>
          <w:szCs w:val="21"/>
        </w:rPr>
        <w:t>25</w:t>
      </w:r>
      <w:r>
        <w:rPr>
          <w:rFonts w:ascii="Times New Roman"/>
          <w:bCs/>
          <w:sz w:val="22"/>
          <w:szCs w:val="21"/>
        </w:rPr>
        <w:t>.</w:t>
      </w:r>
      <w:r>
        <w:rPr>
          <w:rFonts w:ascii="Times New Roman"/>
          <w:sz w:val="22"/>
          <w:szCs w:val="21"/>
        </w:rPr>
        <w:t xml:space="preserve">1 </w:t>
      </w:r>
      <w:r>
        <w:rPr>
          <w:rFonts w:hint="eastAsia" w:ascii="Times New Roman"/>
          <w:sz w:val="22"/>
          <w:szCs w:val="21"/>
        </w:rPr>
        <w:t>中标通知书为签订政府采购合同的依据之一，是合同的有效组成部分。</w:t>
      </w:r>
    </w:p>
    <w:p>
      <w:pPr>
        <w:tabs>
          <w:tab w:val="left" w:pos="7665"/>
        </w:tabs>
        <w:spacing w:line="400" w:lineRule="exact"/>
        <w:ind w:firstLine="480"/>
        <w:rPr>
          <w:rFonts w:ascii="Times New Roman"/>
          <w:sz w:val="22"/>
          <w:szCs w:val="21"/>
        </w:rPr>
      </w:pPr>
      <w:r>
        <w:rPr>
          <w:rFonts w:ascii="Times New Roman"/>
          <w:sz w:val="22"/>
          <w:szCs w:val="21"/>
        </w:rPr>
        <w:t xml:space="preserve">25.2 </w:t>
      </w:r>
      <w:r>
        <w:rPr>
          <w:rFonts w:hint="eastAsia" w:ascii="Times New Roman"/>
          <w:sz w:val="22"/>
          <w:szCs w:val="21"/>
        </w:rPr>
        <w:t>中标通知书对采购人和中标人均具有法律效力。中标通知书发出后，采购人改变中标结果，或者中标人无正当理由放弃中标的，应当承担相应的法律责任。</w:t>
      </w:r>
    </w:p>
    <w:p>
      <w:pPr>
        <w:tabs>
          <w:tab w:val="left" w:pos="7665"/>
        </w:tabs>
        <w:spacing w:line="400" w:lineRule="exact"/>
        <w:ind w:firstLine="480"/>
        <w:rPr>
          <w:rFonts w:ascii="Times New Roman"/>
          <w:sz w:val="22"/>
          <w:szCs w:val="21"/>
        </w:rPr>
      </w:pPr>
      <w:r>
        <w:rPr>
          <w:rFonts w:ascii="Times New Roman"/>
          <w:sz w:val="22"/>
          <w:szCs w:val="21"/>
        </w:rPr>
        <w:t>25</w:t>
      </w:r>
      <w:r>
        <w:rPr>
          <w:rFonts w:hint="eastAsia" w:ascii="Times New Roman"/>
          <w:sz w:val="22"/>
          <w:szCs w:val="21"/>
        </w:rPr>
        <w:t>．</w:t>
      </w:r>
      <w:r>
        <w:rPr>
          <w:rFonts w:ascii="Times New Roman"/>
          <w:sz w:val="22"/>
          <w:szCs w:val="21"/>
        </w:rPr>
        <w:t>3</w:t>
      </w:r>
      <w:r>
        <w:rPr>
          <w:rFonts w:hint="eastAsia" w:ascii="Times New Roman"/>
          <w:sz w:val="22"/>
          <w:szCs w:val="21"/>
        </w:rPr>
        <w:t>中标人的投标文件本应作为无效投标处理或者有政府采购法律法规规章制度规定的中标无效情形的，招标采购单位在取得有权主体的认定以后，将宣布发出的中标通知书无效，并收回发出的中标通知书（中标人也应当缴回），依法重新确定中标人或者重新开展采购活动。</w:t>
      </w:r>
    </w:p>
    <w:p>
      <w:pPr>
        <w:tabs>
          <w:tab w:val="left" w:pos="7665"/>
        </w:tabs>
        <w:spacing w:line="400" w:lineRule="exact"/>
        <w:ind w:firstLine="480"/>
        <w:rPr>
          <w:rFonts w:ascii="Times New Roman"/>
          <w:sz w:val="22"/>
          <w:szCs w:val="21"/>
        </w:rPr>
      </w:pPr>
      <w:r>
        <w:rPr>
          <w:rFonts w:ascii="Times New Roman"/>
          <w:sz w:val="22"/>
          <w:szCs w:val="21"/>
        </w:rPr>
        <w:t>25.4</w:t>
      </w:r>
      <w:r>
        <w:rPr>
          <w:rFonts w:hint="eastAsia" w:ascii="Times New Roman"/>
          <w:sz w:val="22"/>
          <w:szCs w:val="21"/>
        </w:rPr>
        <w:t>中标公告发出后，中标供应商自行领取中标通知书的，可凭有效身份证明证件到采购代理机构办理。</w:t>
      </w:r>
    </w:p>
    <w:p>
      <w:pPr>
        <w:pStyle w:val="4"/>
        <w:spacing w:line="400" w:lineRule="exact"/>
        <w:jc w:val="center"/>
        <w:rPr>
          <w:rFonts w:ascii="Times New Roman" w:hAnsi="Times New Roman"/>
          <w:sz w:val="28"/>
        </w:rPr>
      </w:pPr>
      <w:bookmarkStart w:id="156" w:name="_Toc308164810"/>
      <w:bookmarkStart w:id="157" w:name="_Toc217446064"/>
      <w:bookmarkStart w:id="158" w:name="_Toc183582240"/>
      <w:bookmarkStart w:id="159" w:name="_Toc183682377"/>
      <w:r>
        <w:rPr>
          <w:rFonts w:hint="eastAsia" w:ascii="Times New Roman" w:hAnsi="Times New Roman"/>
          <w:sz w:val="28"/>
        </w:rPr>
        <w:t>六、签订及履行合同和验收</w:t>
      </w:r>
      <w:bookmarkEnd w:id="156"/>
      <w:bookmarkEnd w:id="157"/>
    </w:p>
    <w:p>
      <w:pPr>
        <w:pStyle w:val="5"/>
        <w:spacing w:line="400" w:lineRule="exact"/>
        <w:rPr>
          <w:rFonts w:hAnsi="Times New Roman"/>
          <w:sz w:val="22"/>
          <w:szCs w:val="21"/>
        </w:rPr>
      </w:pPr>
      <w:bookmarkStart w:id="160" w:name="_Toc308164811"/>
      <w:bookmarkStart w:id="161" w:name="_Toc217446065"/>
      <w:r>
        <w:rPr>
          <w:rFonts w:hAnsi="Times New Roman"/>
          <w:sz w:val="22"/>
          <w:szCs w:val="21"/>
        </w:rPr>
        <w:t xml:space="preserve">26. </w:t>
      </w:r>
      <w:r>
        <w:rPr>
          <w:rFonts w:hint="eastAsia" w:hAnsi="Times New Roman"/>
          <w:sz w:val="22"/>
          <w:szCs w:val="21"/>
        </w:rPr>
        <w:t>签订合同</w:t>
      </w:r>
      <w:bookmarkEnd w:id="160"/>
      <w:bookmarkEnd w:id="161"/>
    </w:p>
    <w:p>
      <w:pPr>
        <w:spacing w:line="400" w:lineRule="exact"/>
        <w:ind w:firstLine="440" w:firstLineChars="200"/>
        <w:rPr>
          <w:rFonts w:ascii="Times New Roman"/>
          <w:sz w:val="22"/>
          <w:szCs w:val="21"/>
        </w:rPr>
      </w:pPr>
      <w:r>
        <w:rPr>
          <w:rFonts w:ascii="Times New Roman"/>
          <w:sz w:val="22"/>
          <w:szCs w:val="21"/>
        </w:rPr>
        <w:t xml:space="preserve">26.1 </w:t>
      </w:r>
      <w:r>
        <w:rPr>
          <w:rFonts w:hint="eastAsia" w:ascii="Times New Roman"/>
          <w:sz w:val="22"/>
          <w:szCs w:val="21"/>
        </w:rPr>
        <w:t>中标人应在中标通知书发出之日起三十日内与采购人签订采购合同。由于中标人的原因逾期未与采购人签订采购合同的，将视为放弃中标，取消其中标资格并将按相关规定进行处理。</w:t>
      </w:r>
    </w:p>
    <w:p>
      <w:pPr>
        <w:spacing w:line="400" w:lineRule="exact"/>
        <w:ind w:firstLine="385" w:firstLineChars="175"/>
        <w:rPr>
          <w:rFonts w:ascii="Times New Roman"/>
          <w:sz w:val="22"/>
          <w:szCs w:val="21"/>
        </w:rPr>
      </w:pPr>
      <w:r>
        <w:rPr>
          <w:rFonts w:ascii="Times New Roman"/>
          <w:sz w:val="22"/>
          <w:szCs w:val="21"/>
        </w:rPr>
        <w:t xml:space="preserve">26.2 </w:t>
      </w:r>
      <w:r>
        <w:rPr>
          <w:rFonts w:hint="eastAsia" w:ascii="Times New Roman"/>
          <w:sz w:val="22"/>
          <w:szCs w:val="21"/>
        </w:rPr>
        <w:t>采购人不得向中标人提出任何不合理的要求，作为签订合同的条件，不得与中标人私下订立背离合同实质性内容的任何协议，所签订的合同不得对招标文件和中标人投标文件确定的事项进行实质性修改。</w:t>
      </w:r>
    </w:p>
    <w:p>
      <w:pPr>
        <w:spacing w:line="400" w:lineRule="exact"/>
        <w:ind w:firstLine="385" w:firstLineChars="175"/>
        <w:rPr>
          <w:rFonts w:ascii="Times New Roman"/>
          <w:sz w:val="22"/>
          <w:szCs w:val="21"/>
        </w:rPr>
      </w:pPr>
      <w:r>
        <w:rPr>
          <w:rFonts w:ascii="Times New Roman"/>
          <w:sz w:val="22"/>
          <w:szCs w:val="21"/>
        </w:rPr>
        <w:t xml:space="preserve">26.3 </w:t>
      </w:r>
      <w:r>
        <w:rPr>
          <w:rFonts w:hint="eastAsia" w:ascii="Times New Roman"/>
          <w:sz w:val="22"/>
          <w:szCs w:val="21"/>
        </w:rPr>
        <w:t>中标人拒绝与采购人签订合同的，采购人可以按照评审报告推荐的中标候选人名单排序，确定下一候选人为中标供应商，也可以重新开展政府采购活动。</w:t>
      </w:r>
    </w:p>
    <w:p>
      <w:pPr>
        <w:spacing w:line="400" w:lineRule="exact"/>
        <w:ind w:firstLine="385" w:firstLineChars="175"/>
        <w:rPr>
          <w:rFonts w:ascii="Times New Roman"/>
          <w:sz w:val="22"/>
          <w:szCs w:val="21"/>
        </w:rPr>
      </w:pPr>
      <w:r>
        <w:rPr>
          <w:rFonts w:ascii="Times New Roman"/>
          <w:sz w:val="22"/>
          <w:szCs w:val="21"/>
        </w:rPr>
        <w:t xml:space="preserve">26.4 </w:t>
      </w:r>
      <w:r>
        <w:rPr>
          <w:rFonts w:hint="eastAsia" w:ascii="Times New Roman"/>
          <w:sz w:val="22"/>
          <w:szCs w:val="21"/>
        </w:rPr>
        <w:t>中标人在合同签订之后三个工作日内，将签订的合同（一式壹份）送采购代理机构。中标人应及时到采购代理机构办理。</w:t>
      </w:r>
    </w:p>
    <w:p>
      <w:pPr>
        <w:pStyle w:val="5"/>
        <w:spacing w:line="400" w:lineRule="exact"/>
        <w:rPr>
          <w:rFonts w:hAnsi="Times New Roman"/>
          <w:sz w:val="22"/>
          <w:szCs w:val="21"/>
        </w:rPr>
      </w:pPr>
      <w:r>
        <w:rPr>
          <w:rFonts w:hAnsi="Times New Roman"/>
          <w:sz w:val="22"/>
          <w:szCs w:val="21"/>
        </w:rPr>
        <w:t xml:space="preserve">27. </w:t>
      </w:r>
      <w:r>
        <w:rPr>
          <w:rFonts w:hint="eastAsia" w:hAnsi="Times New Roman"/>
          <w:sz w:val="22"/>
          <w:szCs w:val="21"/>
        </w:rPr>
        <w:t>合同分包（本项目不适用）</w:t>
      </w:r>
    </w:p>
    <w:p>
      <w:pPr>
        <w:spacing w:line="400" w:lineRule="exact"/>
        <w:ind w:firstLine="440" w:firstLineChars="200"/>
        <w:rPr>
          <w:rFonts w:ascii="Times New Roman"/>
          <w:sz w:val="22"/>
          <w:szCs w:val="21"/>
        </w:rPr>
      </w:pPr>
      <w:r>
        <w:rPr>
          <w:rFonts w:ascii="Times New Roman"/>
          <w:sz w:val="22"/>
          <w:szCs w:val="21"/>
        </w:rPr>
        <w:t xml:space="preserve">27.1 </w:t>
      </w:r>
      <w:r>
        <w:rPr>
          <w:rFonts w:hint="eastAsia" w:ascii="Times New Roman"/>
          <w:sz w:val="22"/>
          <w:szCs w:val="21"/>
        </w:rPr>
        <w:t>经采购人同意，中标人可以依法采取分包方式履行合同。这种要求应当在合同签订之前征得采购人同意，并且分包供应商履行的分包项目的品牌、规格型号及技术要求等，必须与中标的一致。</w:t>
      </w:r>
    </w:p>
    <w:p>
      <w:pPr>
        <w:spacing w:line="400" w:lineRule="exact"/>
        <w:ind w:firstLine="440" w:firstLineChars="200"/>
        <w:rPr>
          <w:rFonts w:ascii="Times New Roman"/>
          <w:sz w:val="22"/>
          <w:szCs w:val="21"/>
        </w:rPr>
      </w:pPr>
      <w:r>
        <w:rPr>
          <w:rFonts w:hint="eastAsia" w:ascii="Times New Roman"/>
          <w:sz w:val="22"/>
          <w:szCs w:val="21"/>
        </w:rPr>
        <w:t>分包履行合同的部分应当为采购项目的非主体、非关键性工作，不属于中标人的主要合同义务。投标人根据招标文件的规定和采购项目的实际情况，拟在中标后将中标项目的非主体、非关键性工作分包的，应当在投标文件中载明分包承担主体，分包承担主体应当具备相应资质条件且不得再次分包。</w:t>
      </w:r>
    </w:p>
    <w:p>
      <w:pPr>
        <w:spacing w:line="400" w:lineRule="exact"/>
        <w:ind w:firstLine="440" w:firstLineChars="200"/>
        <w:rPr>
          <w:rFonts w:ascii="Times New Roman"/>
          <w:sz w:val="22"/>
          <w:szCs w:val="21"/>
        </w:rPr>
      </w:pPr>
      <w:r>
        <w:rPr>
          <w:rFonts w:ascii="Times New Roman"/>
          <w:sz w:val="22"/>
          <w:szCs w:val="21"/>
        </w:rPr>
        <w:t xml:space="preserve">27.2 </w:t>
      </w:r>
      <w:r>
        <w:rPr>
          <w:rFonts w:hint="eastAsia" w:ascii="Times New Roman"/>
          <w:sz w:val="22"/>
          <w:szCs w:val="21"/>
        </w:rPr>
        <w:t>采购合同实行分包履行的，中标人就采购项目和分包项目向采购人负责，分包供应商就分包项目承担责任。</w:t>
      </w:r>
    </w:p>
    <w:p>
      <w:pPr>
        <w:spacing w:line="400" w:lineRule="exact"/>
        <w:ind w:firstLine="495" w:firstLineChars="225"/>
        <w:rPr>
          <w:rFonts w:ascii="Times New Roman"/>
          <w:sz w:val="22"/>
          <w:szCs w:val="21"/>
        </w:rPr>
      </w:pPr>
      <w:r>
        <w:rPr>
          <w:rFonts w:ascii="Times New Roman"/>
          <w:sz w:val="22"/>
          <w:szCs w:val="21"/>
        </w:rPr>
        <w:t xml:space="preserve">27.3 </w:t>
      </w:r>
      <w:r>
        <w:rPr>
          <w:rFonts w:hint="eastAsia" w:ascii="Times New Roman"/>
          <w:sz w:val="22"/>
          <w:szCs w:val="21"/>
        </w:rPr>
        <w:t>中小企业依据《政府采购促进中小企业发展暂行办法》（财库</w:t>
      </w:r>
      <w:r>
        <w:rPr>
          <w:rFonts w:ascii="Times New Roman"/>
          <w:sz w:val="22"/>
          <w:szCs w:val="21"/>
        </w:rPr>
        <w:t>[2011]181</w:t>
      </w:r>
      <w:r>
        <w:rPr>
          <w:rFonts w:hint="eastAsia" w:ascii="Times New Roman"/>
          <w:sz w:val="22"/>
          <w:szCs w:val="21"/>
        </w:rPr>
        <w:t>号）规定的政策获取政府采购合同后，小型、微型企业不得分包或转包给大型、中型企业，中型企业不得分包或转包给大型企业。</w:t>
      </w:r>
    </w:p>
    <w:p>
      <w:pPr>
        <w:pStyle w:val="5"/>
        <w:spacing w:line="400" w:lineRule="exact"/>
        <w:rPr>
          <w:rFonts w:hAnsi="Times New Roman"/>
          <w:sz w:val="22"/>
          <w:szCs w:val="21"/>
        </w:rPr>
      </w:pPr>
      <w:r>
        <w:rPr>
          <w:rFonts w:hAnsi="Times New Roman"/>
          <w:sz w:val="22"/>
          <w:szCs w:val="21"/>
        </w:rPr>
        <w:t>28.</w:t>
      </w:r>
      <w:r>
        <w:rPr>
          <w:rFonts w:hint="eastAsia" w:hAnsi="Times New Roman"/>
          <w:sz w:val="22"/>
          <w:szCs w:val="21"/>
        </w:rPr>
        <w:t>合同转包（本项目不适用）</w:t>
      </w:r>
    </w:p>
    <w:p>
      <w:pPr>
        <w:spacing w:line="400" w:lineRule="exact"/>
        <w:ind w:firstLine="495" w:firstLineChars="225"/>
        <w:rPr>
          <w:rFonts w:ascii="Times New Roman"/>
          <w:sz w:val="22"/>
          <w:szCs w:val="21"/>
        </w:rPr>
      </w:pPr>
      <w:r>
        <w:rPr>
          <w:rFonts w:hint="eastAsia" w:ascii="Times New Roman"/>
          <w:sz w:val="22"/>
          <w:szCs w:val="21"/>
        </w:rPr>
        <w:t>本采购项目严禁中标人将任何政府采购合同义务转包。本项目所称转包，是指中标人将政府采购合同义务转让给第三人，并退出现有政府采购合同当事人双方的权利义务关系，受让人（即第三人）成为政府采购合同的另一方当事人的行为。</w:t>
      </w:r>
    </w:p>
    <w:p>
      <w:pPr>
        <w:spacing w:line="400" w:lineRule="exact"/>
        <w:ind w:firstLine="495" w:firstLineChars="225"/>
        <w:rPr>
          <w:rFonts w:ascii="Times New Roman"/>
          <w:sz w:val="22"/>
          <w:szCs w:val="21"/>
        </w:rPr>
      </w:pPr>
      <w:r>
        <w:rPr>
          <w:rFonts w:hint="eastAsia" w:ascii="Times New Roman"/>
          <w:sz w:val="22"/>
          <w:szCs w:val="21"/>
        </w:rPr>
        <w:t>中标人转包的，视同拒绝履行政府采购合同义务，将依法追究法律责任。</w:t>
      </w:r>
    </w:p>
    <w:p>
      <w:pPr>
        <w:pStyle w:val="5"/>
        <w:spacing w:line="400" w:lineRule="exact"/>
        <w:rPr>
          <w:rFonts w:hAnsi="Times New Roman"/>
          <w:sz w:val="22"/>
          <w:szCs w:val="21"/>
        </w:rPr>
      </w:pPr>
      <w:bookmarkStart w:id="162" w:name="_Toc217446066"/>
      <w:r>
        <w:rPr>
          <w:rFonts w:hAnsi="Times New Roman"/>
          <w:sz w:val="22"/>
          <w:szCs w:val="21"/>
        </w:rPr>
        <w:t>29.</w:t>
      </w:r>
      <w:bookmarkEnd w:id="162"/>
      <w:r>
        <w:rPr>
          <w:rFonts w:hint="eastAsia" w:hAnsi="Times New Roman"/>
          <w:sz w:val="22"/>
          <w:szCs w:val="21"/>
        </w:rPr>
        <w:t>补充合同</w:t>
      </w:r>
    </w:p>
    <w:p>
      <w:pPr>
        <w:spacing w:line="400" w:lineRule="exact"/>
        <w:ind w:firstLine="440" w:firstLineChars="200"/>
        <w:rPr>
          <w:rFonts w:ascii="Times New Roman"/>
          <w:sz w:val="22"/>
          <w:szCs w:val="21"/>
        </w:rPr>
      </w:pPr>
      <w:r>
        <w:rPr>
          <w:rFonts w:hint="eastAsia" w:ascii="Times New Roman"/>
          <w:sz w:val="22"/>
          <w:szCs w:val="21"/>
        </w:rPr>
        <w:t>采购合同履行过程中，采购人需要追加与合同标的相同的货物或者服务的，在不改变合同其他条款的前提下，可以与中标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pPr>
        <w:pStyle w:val="5"/>
        <w:spacing w:line="400" w:lineRule="exact"/>
        <w:rPr>
          <w:rFonts w:hAnsi="Times New Roman"/>
          <w:sz w:val="22"/>
          <w:szCs w:val="21"/>
        </w:rPr>
      </w:pPr>
      <w:bookmarkStart w:id="163" w:name="_Toc308164812"/>
      <w:bookmarkStart w:id="164" w:name="_Toc217446068"/>
      <w:r>
        <w:rPr>
          <w:rFonts w:hAnsi="Times New Roman"/>
          <w:sz w:val="22"/>
          <w:szCs w:val="21"/>
        </w:rPr>
        <w:t xml:space="preserve">30. </w:t>
      </w:r>
      <w:r>
        <w:rPr>
          <w:rFonts w:hint="eastAsia" w:hAnsi="Times New Roman"/>
          <w:sz w:val="22"/>
          <w:szCs w:val="21"/>
        </w:rPr>
        <w:t>履约保证金</w:t>
      </w:r>
      <w:bookmarkEnd w:id="163"/>
      <w:bookmarkEnd w:id="164"/>
      <w:r>
        <w:rPr>
          <w:rFonts w:hint="eastAsia" w:hAnsi="Times New Roman"/>
          <w:sz w:val="22"/>
          <w:szCs w:val="21"/>
        </w:rPr>
        <w:t>（本项目不适用）</w:t>
      </w:r>
    </w:p>
    <w:p>
      <w:pPr>
        <w:spacing w:line="400" w:lineRule="exact"/>
        <w:ind w:firstLine="440" w:firstLineChars="200"/>
        <w:rPr>
          <w:rFonts w:ascii="Times New Roman"/>
          <w:sz w:val="22"/>
          <w:szCs w:val="21"/>
        </w:rPr>
      </w:pPr>
      <w:r>
        <w:rPr>
          <w:rFonts w:ascii="Times New Roman"/>
          <w:sz w:val="22"/>
          <w:szCs w:val="21"/>
        </w:rPr>
        <w:t xml:space="preserve">30.1 </w:t>
      </w:r>
      <w:r>
        <w:rPr>
          <w:rFonts w:hint="eastAsia" w:ascii="Times New Roman"/>
          <w:sz w:val="22"/>
          <w:szCs w:val="21"/>
        </w:rPr>
        <w:t>中标人应在合同签订之前交纳招标文件规定数额的履约保证金。</w:t>
      </w:r>
    </w:p>
    <w:p>
      <w:pPr>
        <w:spacing w:line="400" w:lineRule="exact"/>
        <w:ind w:firstLine="440" w:firstLineChars="200"/>
        <w:rPr>
          <w:rFonts w:ascii="Times New Roman"/>
          <w:sz w:val="22"/>
          <w:szCs w:val="21"/>
        </w:rPr>
      </w:pPr>
      <w:r>
        <w:rPr>
          <w:rFonts w:ascii="Times New Roman"/>
          <w:sz w:val="22"/>
          <w:szCs w:val="21"/>
        </w:rPr>
        <w:t xml:space="preserve">30.2 </w:t>
      </w:r>
      <w:r>
        <w:rPr>
          <w:rFonts w:hint="eastAsia" w:ascii="Times New Roman"/>
          <w:sz w:val="22"/>
          <w:szCs w:val="21"/>
        </w:rPr>
        <w:t>如果中标人在规定的合同签订时间内，没有按照招标文件的规定交纳履约保证金，且又无正当理由的，将视为放弃中标。</w:t>
      </w:r>
    </w:p>
    <w:p>
      <w:pPr>
        <w:pStyle w:val="5"/>
        <w:spacing w:line="400" w:lineRule="exact"/>
        <w:rPr>
          <w:rFonts w:hAnsi="Times New Roman"/>
          <w:sz w:val="22"/>
        </w:rPr>
      </w:pPr>
      <w:bookmarkStart w:id="165" w:name="_Toc308164818"/>
      <w:bookmarkStart w:id="166" w:name="_Toc217446077"/>
      <w:bookmarkStart w:id="167" w:name="_Toc217446071"/>
      <w:r>
        <w:rPr>
          <w:rFonts w:hAnsi="Times New Roman"/>
          <w:sz w:val="22"/>
          <w:szCs w:val="21"/>
        </w:rPr>
        <w:t>31.</w:t>
      </w:r>
      <w:r>
        <w:rPr>
          <w:rFonts w:hint="eastAsia" w:hAnsi="Times New Roman"/>
          <w:sz w:val="22"/>
          <w:szCs w:val="21"/>
        </w:rPr>
        <w:t>资金支付</w:t>
      </w:r>
      <w:bookmarkEnd w:id="165"/>
      <w:bookmarkEnd w:id="166"/>
    </w:p>
    <w:p>
      <w:pPr>
        <w:spacing w:line="400" w:lineRule="exact"/>
        <w:ind w:firstLine="440" w:firstLineChars="200"/>
        <w:rPr>
          <w:rFonts w:ascii="Times New Roman"/>
          <w:sz w:val="22"/>
          <w:szCs w:val="21"/>
        </w:rPr>
      </w:pPr>
      <w:r>
        <w:rPr>
          <w:rFonts w:hint="eastAsia" w:ascii="Times New Roman"/>
          <w:sz w:val="22"/>
          <w:szCs w:val="21"/>
        </w:rPr>
        <w:t>采购人将按照政府采购合同规定，及时向中标供应商支付采购资金。本项目采购资金付款详见第五章商务要求中付款方式。</w:t>
      </w:r>
    </w:p>
    <w:bookmarkEnd w:id="158"/>
    <w:bookmarkEnd w:id="159"/>
    <w:bookmarkEnd w:id="167"/>
    <w:p>
      <w:pPr>
        <w:pStyle w:val="4"/>
        <w:spacing w:line="400" w:lineRule="exact"/>
        <w:jc w:val="center"/>
        <w:rPr>
          <w:rFonts w:ascii="Times New Roman" w:hAnsi="Times New Roman"/>
          <w:sz w:val="28"/>
        </w:rPr>
      </w:pPr>
      <w:bookmarkStart w:id="168" w:name="_Toc217446074"/>
      <w:bookmarkStart w:id="169" w:name="_Toc308164815"/>
      <w:bookmarkStart w:id="170" w:name="_Toc183682380"/>
      <w:bookmarkStart w:id="171" w:name="_Toc183582243"/>
      <w:r>
        <w:rPr>
          <w:rFonts w:hint="eastAsia" w:ascii="Times New Roman"/>
          <w:sz w:val="28"/>
        </w:rPr>
        <w:t>七、投标纪律要求</w:t>
      </w:r>
      <w:bookmarkEnd w:id="168"/>
      <w:bookmarkEnd w:id="169"/>
    </w:p>
    <w:p>
      <w:pPr>
        <w:pStyle w:val="5"/>
        <w:spacing w:line="400" w:lineRule="exact"/>
        <w:rPr>
          <w:rFonts w:hAnsi="Times New Roman"/>
          <w:sz w:val="22"/>
          <w:szCs w:val="21"/>
        </w:rPr>
      </w:pPr>
      <w:bookmarkStart w:id="172" w:name="_Toc308164816"/>
      <w:bookmarkStart w:id="173" w:name="_Toc217446075"/>
      <w:r>
        <w:rPr>
          <w:rFonts w:hAnsi="Times New Roman"/>
          <w:sz w:val="22"/>
          <w:szCs w:val="21"/>
        </w:rPr>
        <w:t xml:space="preserve">32. </w:t>
      </w:r>
      <w:r>
        <w:rPr>
          <w:rFonts w:hint="eastAsia" w:hAnsi="Times New Roman"/>
          <w:sz w:val="22"/>
          <w:szCs w:val="21"/>
        </w:rPr>
        <w:t>投标人</w:t>
      </w:r>
      <w:bookmarkEnd w:id="172"/>
      <w:bookmarkEnd w:id="173"/>
      <w:r>
        <w:rPr>
          <w:rFonts w:hint="eastAsia" w:hAnsi="Times New Roman"/>
          <w:sz w:val="22"/>
          <w:szCs w:val="21"/>
        </w:rPr>
        <w:t>纪律要求</w:t>
      </w:r>
    </w:p>
    <w:p>
      <w:pPr>
        <w:pStyle w:val="9"/>
        <w:spacing w:line="400" w:lineRule="exact"/>
        <w:ind w:firstLine="440"/>
        <w:rPr>
          <w:rFonts w:ascii="Times New Roman" w:hAnsi="Times New Roman"/>
          <w:sz w:val="22"/>
          <w:szCs w:val="21"/>
        </w:rPr>
      </w:pPr>
      <w:r>
        <w:rPr>
          <w:rFonts w:hint="eastAsia" w:ascii="Times New Roman" w:hAnsi="Times New Roman"/>
          <w:sz w:val="22"/>
          <w:szCs w:val="21"/>
        </w:rPr>
        <w:t>投标人应当遵循公平竞争的原则，不得恶意串通，不得妨碍其他投标人的竞争行为，不得损害采购人或者其他投标人的合法权益。</w:t>
      </w:r>
    </w:p>
    <w:p>
      <w:pPr>
        <w:pStyle w:val="9"/>
        <w:spacing w:line="400" w:lineRule="exact"/>
        <w:ind w:firstLine="440"/>
        <w:rPr>
          <w:rFonts w:ascii="Times New Roman" w:hAnsi="Times New Roman"/>
          <w:sz w:val="22"/>
          <w:szCs w:val="21"/>
        </w:rPr>
      </w:pPr>
      <w:r>
        <w:rPr>
          <w:rFonts w:hint="eastAsia" w:ascii="Times New Roman" w:hAnsi="Times New Roman"/>
          <w:sz w:val="22"/>
          <w:szCs w:val="21"/>
        </w:rPr>
        <w:t>在评标过程中发现投标人有上述情形的，评标委员会应当认定其投标无效，并书面报告本级财政部门。</w:t>
      </w:r>
    </w:p>
    <w:p>
      <w:pPr>
        <w:spacing w:line="400" w:lineRule="exact"/>
        <w:ind w:firstLine="440" w:firstLineChars="200"/>
        <w:rPr>
          <w:rFonts w:ascii="Times New Roman"/>
          <w:sz w:val="22"/>
          <w:szCs w:val="21"/>
        </w:rPr>
      </w:pPr>
      <w:r>
        <w:rPr>
          <w:rFonts w:ascii="Times New Roman"/>
          <w:sz w:val="22"/>
          <w:szCs w:val="21"/>
        </w:rPr>
        <w:t xml:space="preserve">32.1 </w:t>
      </w:r>
      <w:r>
        <w:rPr>
          <w:rFonts w:hint="eastAsia" w:ascii="Times New Roman"/>
          <w:sz w:val="22"/>
          <w:szCs w:val="21"/>
        </w:rPr>
        <w:t>投标人参加本项目投标不得有下列情形：</w:t>
      </w:r>
    </w:p>
    <w:p>
      <w:pPr>
        <w:spacing w:line="400" w:lineRule="exact"/>
        <w:ind w:firstLine="440" w:firstLineChars="200"/>
        <w:rPr>
          <w:rFonts w:ascii="Times New Roman"/>
          <w:sz w:val="22"/>
          <w:szCs w:val="21"/>
        </w:rPr>
      </w:pPr>
      <w:r>
        <w:rPr>
          <w:rFonts w:hint="eastAsia" w:ascii="Times New Roman"/>
          <w:sz w:val="22"/>
          <w:szCs w:val="21"/>
        </w:rPr>
        <w:t>（</w:t>
      </w:r>
      <w:r>
        <w:rPr>
          <w:rFonts w:ascii="Times New Roman"/>
          <w:sz w:val="22"/>
          <w:szCs w:val="21"/>
        </w:rPr>
        <w:t>1</w:t>
      </w:r>
      <w:r>
        <w:rPr>
          <w:rFonts w:hint="eastAsia" w:ascii="Times New Roman"/>
          <w:sz w:val="22"/>
          <w:szCs w:val="21"/>
        </w:rPr>
        <w:t>）提供虚假材料谋取中标；</w:t>
      </w:r>
    </w:p>
    <w:p>
      <w:pPr>
        <w:spacing w:line="400" w:lineRule="exact"/>
        <w:ind w:firstLine="440" w:firstLineChars="200"/>
        <w:rPr>
          <w:rFonts w:ascii="Times New Roman"/>
          <w:sz w:val="22"/>
          <w:szCs w:val="21"/>
        </w:rPr>
      </w:pPr>
      <w:r>
        <w:rPr>
          <w:rFonts w:hint="eastAsia" w:ascii="Times New Roman"/>
          <w:sz w:val="22"/>
          <w:szCs w:val="21"/>
        </w:rPr>
        <w:t>（</w:t>
      </w:r>
      <w:r>
        <w:rPr>
          <w:rFonts w:ascii="Times New Roman"/>
          <w:sz w:val="22"/>
          <w:szCs w:val="21"/>
        </w:rPr>
        <w:t>2</w:t>
      </w:r>
      <w:r>
        <w:rPr>
          <w:rFonts w:hint="eastAsia" w:ascii="Times New Roman"/>
          <w:sz w:val="22"/>
          <w:szCs w:val="21"/>
        </w:rPr>
        <w:t>）采取不正当手段诋毁、排挤其他投标人；</w:t>
      </w:r>
    </w:p>
    <w:p>
      <w:pPr>
        <w:spacing w:line="400" w:lineRule="exact"/>
        <w:ind w:firstLine="440" w:firstLineChars="200"/>
        <w:rPr>
          <w:rFonts w:ascii="Times New Roman"/>
          <w:sz w:val="22"/>
          <w:szCs w:val="21"/>
        </w:rPr>
      </w:pPr>
      <w:r>
        <w:rPr>
          <w:rFonts w:hint="eastAsia" w:ascii="Times New Roman"/>
          <w:sz w:val="22"/>
          <w:szCs w:val="21"/>
        </w:rPr>
        <w:t>（</w:t>
      </w:r>
      <w:r>
        <w:rPr>
          <w:rFonts w:ascii="Times New Roman"/>
          <w:sz w:val="22"/>
          <w:szCs w:val="21"/>
        </w:rPr>
        <w:t>3</w:t>
      </w:r>
      <w:r>
        <w:rPr>
          <w:rFonts w:hint="eastAsia" w:ascii="Times New Roman"/>
          <w:sz w:val="22"/>
          <w:szCs w:val="21"/>
        </w:rPr>
        <w:t>）与招标采购单位、其他投标人恶意串通；</w:t>
      </w:r>
    </w:p>
    <w:p>
      <w:pPr>
        <w:spacing w:line="400" w:lineRule="exact"/>
        <w:ind w:firstLine="440" w:firstLineChars="200"/>
        <w:rPr>
          <w:rFonts w:ascii="Times New Roman"/>
          <w:sz w:val="22"/>
          <w:szCs w:val="21"/>
        </w:rPr>
      </w:pPr>
      <w:r>
        <w:rPr>
          <w:rFonts w:hint="eastAsia" w:ascii="Times New Roman"/>
          <w:sz w:val="22"/>
          <w:szCs w:val="21"/>
        </w:rPr>
        <w:t>（</w:t>
      </w:r>
      <w:r>
        <w:rPr>
          <w:rFonts w:ascii="Times New Roman"/>
          <w:sz w:val="22"/>
          <w:szCs w:val="21"/>
        </w:rPr>
        <w:t>4</w:t>
      </w:r>
      <w:r>
        <w:rPr>
          <w:rFonts w:hint="eastAsia" w:ascii="Times New Roman"/>
          <w:sz w:val="22"/>
          <w:szCs w:val="21"/>
        </w:rPr>
        <w:t>）向招标采购单位、评标委员会成员行贿或者提供其他不正当利益；</w:t>
      </w:r>
    </w:p>
    <w:p>
      <w:pPr>
        <w:spacing w:line="400" w:lineRule="exact"/>
        <w:ind w:firstLine="440" w:firstLineChars="200"/>
        <w:rPr>
          <w:rFonts w:ascii="Times New Roman"/>
          <w:sz w:val="22"/>
          <w:szCs w:val="21"/>
        </w:rPr>
      </w:pPr>
      <w:r>
        <w:rPr>
          <w:rFonts w:hint="eastAsia" w:ascii="Times New Roman"/>
          <w:sz w:val="22"/>
          <w:szCs w:val="21"/>
        </w:rPr>
        <w:t>（</w:t>
      </w:r>
      <w:r>
        <w:rPr>
          <w:rFonts w:ascii="Times New Roman"/>
          <w:sz w:val="22"/>
          <w:szCs w:val="21"/>
        </w:rPr>
        <w:t>5</w:t>
      </w:r>
      <w:r>
        <w:rPr>
          <w:rFonts w:hint="eastAsia" w:ascii="Times New Roman"/>
          <w:sz w:val="22"/>
          <w:szCs w:val="21"/>
        </w:rPr>
        <w:t>）在招标过程中与招标采购单位进行协商谈判；</w:t>
      </w:r>
    </w:p>
    <w:p>
      <w:pPr>
        <w:spacing w:line="400" w:lineRule="exact"/>
        <w:ind w:firstLine="440" w:firstLineChars="200"/>
        <w:rPr>
          <w:rFonts w:ascii="Times New Roman"/>
          <w:sz w:val="22"/>
          <w:szCs w:val="21"/>
        </w:rPr>
      </w:pPr>
      <w:r>
        <w:rPr>
          <w:rFonts w:hint="eastAsia" w:ascii="Times New Roman"/>
          <w:sz w:val="22"/>
          <w:szCs w:val="21"/>
        </w:rPr>
        <w:t>（</w:t>
      </w:r>
      <w:r>
        <w:rPr>
          <w:rFonts w:ascii="Times New Roman"/>
          <w:sz w:val="22"/>
          <w:szCs w:val="21"/>
        </w:rPr>
        <w:t>6</w:t>
      </w:r>
      <w:r>
        <w:rPr>
          <w:rFonts w:hint="eastAsia" w:ascii="Times New Roman"/>
          <w:sz w:val="22"/>
          <w:szCs w:val="21"/>
        </w:rPr>
        <w:t>）中标或者成交后无正当理由拒不与采购人签订政府采购合同；</w:t>
      </w:r>
    </w:p>
    <w:p>
      <w:pPr>
        <w:spacing w:line="400" w:lineRule="exact"/>
        <w:ind w:firstLine="440" w:firstLineChars="200"/>
        <w:rPr>
          <w:rFonts w:ascii="Times New Roman"/>
          <w:sz w:val="22"/>
          <w:szCs w:val="21"/>
        </w:rPr>
      </w:pPr>
      <w:r>
        <w:rPr>
          <w:rFonts w:hint="eastAsia" w:ascii="Times New Roman"/>
          <w:sz w:val="22"/>
          <w:szCs w:val="21"/>
        </w:rPr>
        <w:t>（</w:t>
      </w:r>
      <w:r>
        <w:rPr>
          <w:rFonts w:ascii="Times New Roman"/>
          <w:sz w:val="22"/>
          <w:szCs w:val="21"/>
        </w:rPr>
        <w:t>7</w:t>
      </w:r>
      <w:r>
        <w:rPr>
          <w:rFonts w:hint="eastAsia" w:ascii="Times New Roman"/>
          <w:sz w:val="22"/>
          <w:szCs w:val="21"/>
        </w:rPr>
        <w:t>）未按照采购文件确定的事项签订政府采购合同；</w:t>
      </w:r>
    </w:p>
    <w:p>
      <w:pPr>
        <w:spacing w:line="400" w:lineRule="exact"/>
        <w:ind w:firstLine="440" w:firstLineChars="200"/>
        <w:rPr>
          <w:rFonts w:ascii="Times New Roman"/>
          <w:sz w:val="22"/>
          <w:szCs w:val="21"/>
        </w:rPr>
      </w:pPr>
      <w:r>
        <w:rPr>
          <w:rFonts w:hint="eastAsia" w:ascii="Times New Roman"/>
          <w:sz w:val="22"/>
          <w:szCs w:val="21"/>
        </w:rPr>
        <w:t>（</w:t>
      </w:r>
      <w:r>
        <w:rPr>
          <w:rFonts w:ascii="Times New Roman"/>
          <w:sz w:val="22"/>
          <w:szCs w:val="21"/>
        </w:rPr>
        <w:t>8</w:t>
      </w:r>
      <w:r>
        <w:rPr>
          <w:rFonts w:hint="eastAsia" w:ascii="Times New Roman"/>
          <w:sz w:val="22"/>
          <w:szCs w:val="21"/>
        </w:rPr>
        <w:t>）将政府采购合同转包或者违规分包；</w:t>
      </w:r>
    </w:p>
    <w:p>
      <w:pPr>
        <w:spacing w:line="400" w:lineRule="exact"/>
        <w:ind w:firstLine="440" w:firstLineChars="200"/>
        <w:rPr>
          <w:rFonts w:ascii="Times New Roman"/>
          <w:sz w:val="22"/>
          <w:szCs w:val="21"/>
        </w:rPr>
      </w:pPr>
      <w:r>
        <w:rPr>
          <w:rFonts w:hint="eastAsia" w:ascii="Times New Roman"/>
          <w:sz w:val="22"/>
          <w:szCs w:val="21"/>
        </w:rPr>
        <w:t>（</w:t>
      </w:r>
      <w:r>
        <w:rPr>
          <w:rFonts w:ascii="Times New Roman"/>
          <w:sz w:val="22"/>
          <w:szCs w:val="21"/>
        </w:rPr>
        <w:t>9</w:t>
      </w:r>
      <w:r>
        <w:rPr>
          <w:rFonts w:hint="eastAsia" w:ascii="Times New Roman"/>
          <w:sz w:val="22"/>
          <w:szCs w:val="21"/>
        </w:rPr>
        <w:t>）提供假冒伪劣产品；</w:t>
      </w:r>
    </w:p>
    <w:p>
      <w:pPr>
        <w:spacing w:line="400" w:lineRule="exact"/>
        <w:ind w:firstLine="440" w:firstLineChars="200"/>
        <w:rPr>
          <w:rFonts w:ascii="Times New Roman"/>
          <w:sz w:val="22"/>
          <w:szCs w:val="21"/>
        </w:rPr>
      </w:pPr>
      <w:r>
        <w:rPr>
          <w:rFonts w:hint="eastAsia" w:ascii="Times New Roman"/>
          <w:sz w:val="22"/>
          <w:szCs w:val="21"/>
        </w:rPr>
        <w:t>（</w:t>
      </w:r>
      <w:r>
        <w:rPr>
          <w:rFonts w:ascii="Times New Roman"/>
          <w:sz w:val="22"/>
          <w:szCs w:val="21"/>
        </w:rPr>
        <w:t>10</w:t>
      </w:r>
      <w:r>
        <w:rPr>
          <w:rFonts w:hint="eastAsia" w:ascii="Times New Roman"/>
          <w:sz w:val="22"/>
          <w:szCs w:val="21"/>
        </w:rPr>
        <w:t>）擅自变更、中止或者终止政府采购合同；</w:t>
      </w:r>
    </w:p>
    <w:p>
      <w:pPr>
        <w:spacing w:line="400" w:lineRule="exact"/>
        <w:ind w:firstLine="440" w:firstLineChars="200"/>
        <w:rPr>
          <w:rFonts w:ascii="Times New Roman"/>
          <w:sz w:val="22"/>
          <w:szCs w:val="21"/>
        </w:rPr>
      </w:pPr>
      <w:r>
        <w:rPr>
          <w:rFonts w:hint="eastAsia" w:ascii="Times New Roman"/>
          <w:sz w:val="22"/>
          <w:szCs w:val="21"/>
        </w:rPr>
        <w:t>（</w:t>
      </w:r>
      <w:r>
        <w:rPr>
          <w:rFonts w:ascii="Times New Roman"/>
          <w:sz w:val="22"/>
          <w:szCs w:val="21"/>
        </w:rPr>
        <w:t>11</w:t>
      </w:r>
      <w:r>
        <w:rPr>
          <w:rFonts w:hint="eastAsia" w:ascii="Times New Roman"/>
          <w:sz w:val="22"/>
          <w:szCs w:val="21"/>
        </w:rPr>
        <w:t>）拒绝有关部门的监督检查或者向监督检查部门提供虚假情况；</w:t>
      </w:r>
    </w:p>
    <w:p>
      <w:pPr>
        <w:spacing w:line="400" w:lineRule="exact"/>
        <w:ind w:firstLine="440" w:firstLineChars="200"/>
        <w:rPr>
          <w:rFonts w:ascii="Times New Roman"/>
          <w:sz w:val="22"/>
          <w:szCs w:val="21"/>
        </w:rPr>
      </w:pPr>
      <w:r>
        <w:rPr>
          <w:rFonts w:hint="eastAsia" w:ascii="Times New Roman"/>
          <w:sz w:val="22"/>
          <w:szCs w:val="21"/>
        </w:rPr>
        <w:t>（</w:t>
      </w:r>
      <w:r>
        <w:rPr>
          <w:rFonts w:ascii="Times New Roman"/>
          <w:sz w:val="22"/>
          <w:szCs w:val="21"/>
        </w:rPr>
        <w:t>12</w:t>
      </w:r>
      <w:r>
        <w:rPr>
          <w:rFonts w:hint="eastAsia" w:ascii="Times New Roman"/>
          <w:sz w:val="22"/>
          <w:szCs w:val="21"/>
        </w:rPr>
        <w:t>）法律法规规定的其他情形。</w:t>
      </w:r>
    </w:p>
    <w:p>
      <w:pPr>
        <w:spacing w:line="400" w:lineRule="exact"/>
        <w:ind w:firstLine="440" w:firstLineChars="200"/>
        <w:rPr>
          <w:rFonts w:ascii="Times New Roman"/>
          <w:sz w:val="22"/>
          <w:szCs w:val="21"/>
        </w:rPr>
      </w:pPr>
      <w:r>
        <w:rPr>
          <w:rFonts w:hint="eastAsia" w:ascii="Times New Roman"/>
          <w:sz w:val="22"/>
          <w:szCs w:val="21"/>
        </w:rPr>
        <w:t>投标人有上述情形的，按照规定追究法律责任，具备（</w:t>
      </w:r>
      <w:r>
        <w:rPr>
          <w:rFonts w:ascii="Times New Roman"/>
          <w:sz w:val="22"/>
          <w:szCs w:val="21"/>
        </w:rPr>
        <w:t>1</w:t>
      </w:r>
      <w:r>
        <w:rPr>
          <w:rFonts w:hint="eastAsia" w:ascii="Times New Roman"/>
          <w:sz w:val="22"/>
          <w:szCs w:val="21"/>
        </w:rPr>
        <w:t>）</w:t>
      </w:r>
      <w:r>
        <w:rPr>
          <w:rFonts w:ascii="Times New Roman"/>
          <w:sz w:val="22"/>
          <w:szCs w:val="21"/>
        </w:rPr>
        <w:t>-</w:t>
      </w:r>
      <w:r>
        <w:rPr>
          <w:rFonts w:hint="eastAsia" w:ascii="Times New Roman"/>
          <w:sz w:val="22"/>
          <w:szCs w:val="21"/>
        </w:rPr>
        <w:t>（</w:t>
      </w:r>
      <w:r>
        <w:rPr>
          <w:rFonts w:ascii="Times New Roman"/>
          <w:sz w:val="22"/>
          <w:szCs w:val="21"/>
        </w:rPr>
        <w:t>10</w:t>
      </w:r>
      <w:r>
        <w:rPr>
          <w:rFonts w:hint="eastAsia" w:ascii="Times New Roman"/>
          <w:sz w:val="22"/>
          <w:szCs w:val="21"/>
        </w:rPr>
        <w:t>）条情形之一的，同时将取消中标资格或者认定中标无效。</w:t>
      </w:r>
    </w:p>
    <w:p>
      <w:pPr>
        <w:spacing w:line="400" w:lineRule="exact"/>
        <w:ind w:firstLine="440" w:firstLineChars="200"/>
        <w:rPr>
          <w:rFonts w:ascii="Times New Roman"/>
          <w:sz w:val="22"/>
          <w:szCs w:val="21"/>
        </w:rPr>
      </w:pPr>
      <w:r>
        <w:rPr>
          <w:rFonts w:ascii="Times New Roman"/>
          <w:sz w:val="22"/>
          <w:szCs w:val="21"/>
        </w:rPr>
        <w:t xml:space="preserve">32.2 </w:t>
      </w:r>
      <w:r>
        <w:rPr>
          <w:rFonts w:hint="eastAsia" w:ascii="Times New Roman"/>
          <w:sz w:val="22"/>
          <w:szCs w:val="21"/>
        </w:rPr>
        <w:t>投标人有下列情形之一的，视为投标人串通投标，其投标无效：</w:t>
      </w:r>
    </w:p>
    <w:p>
      <w:pPr>
        <w:spacing w:line="400" w:lineRule="exact"/>
        <w:ind w:firstLine="440" w:firstLineChars="200"/>
        <w:rPr>
          <w:rFonts w:ascii="Times New Roman"/>
          <w:sz w:val="22"/>
          <w:szCs w:val="21"/>
        </w:rPr>
      </w:pPr>
      <w:r>
        <w:rPr>
          <w:rFonts w:hint="eastAsia" w:ascii="Times New Roman"/>
          <w:sz w:val="22"/>
          <w:szCs w:val="21"/>
        </w:rPr>
        <w:t>（</w:t>
      </w:r>
      <w:r>
        <w:rPr>
          <w:rFonts w:ascii="Times New Roman"/>
          <w:sz w:val="22"/>
          <w:szCs w:val="21"/>
        </w:rPr>
        <w:t>1</w:t>
      </w:r>
      <w:r>
        <w:rPr>
          <w:rFonts w:hint="eastAsia" w:ascii="Times New Roman"/>
          <w:sz w:val="22"/>
          <w:szCs w:val="21"/>
        </w:rPr>
        <w:t>）不同投标人的投标文件由同一单位或者个人编制；</w:t>
      </w:r>
    </w:p>
    <w:p>
      <w:pPr>
        <w:spacing w:line="400" w:lineRule="exact"/>
        <w:ind w:firstLine="440" w:firstLineChars="200"/>
        <w:rPr>
          <w:rFonts w:ascii="Times New Roman"/>
          <w:sz w:val="22"/>
          <w:szCs w:val="21"/>
        </w:rPr>
      </w:pPr>
      <w:r>
        <w:rPr>
          <w:rFonts w:hint="eastAsia" w:ascii="Times New Roman"/>
          <w:sz w:val="22"/>
          <w:szCs w:val="21"/>
        </w:rPr>
        <w:t>（</w:t>
      </w:r>
      <w:r>
        <w:rPr>
          <w:rFonts w:ascii="Times New Roman"/>
          <w:sz w:val="22"/>
          <w:szCs w:val="21"/>
        </w:rPr>
        <w:t>2</w:t>
      </w:r>
      <w:r>
        <w:rPr>
          <w:rFonts w:hint="eastAsia" w:ascii="Times New Roman"/>
          <w:sz w:val="22"/>
          <w:szCs w:val="21"/>
        </w:rPr>
        <w:t>）不同投标人委托同一单位或者个人办理投标事宜；</w:t>
      </w:r>
    </w:p>
    <w:p>
      <w:pPr>
        <w:spacing w:line="400" w:lineRule="exact"/>
        <w:ind w:firstLine="440" w:firstLineChars="200"/>
        <w:rPr>
          <w:rFonts w:ascii="Times New Roman"/>
          <w:sz w:val="22"/>
          <w:szCs w:val="21"/>
        </w:rPr>
      </w:pPr>
      <w:r>
        <w:rPr>
          <w:rFonts w:hint="eastAsia" w:ascii="Times New Roman"/>
          <w:sz w:val="22"/>
          <w:szCs w:val="21"/>
        </w:rPr>
        <w:t>（</w:t>
      </w:r>
      <w:r>
        <w:rPr>
          <w:rFonts w:ascii="Times New Roman"/>
          <w:sz w:val="22"/>
          <w:szCs w:val="21"/>
        </w:rPr>
        <w:t>3</w:t>
      </w:r>
      <w:r>
        <w:rPr>
          <w:rFonts w:hint="eastAsia" w:ascii="Times New Roman"/>
          <w:sz w:val="22"/>
          <w:szCs w:val="21"/>
        </w:rPr>
        <w:t>）不同投标人的投标文件载明的项目管理成员或者联系人员为同一人；</w:t>
      </w:r>
    </w:p>
    <w:p>
      <w:pPr>
        <w:spacing w:line="400" w:lineRule="exact"/>
        <w:ind w:firstLine="440" w:firstLineChars="200"/>
        <w:rPr>
          <w:rFonts w:ascii="Times New Roman"/>
          <w:sz w:val="22"/>
          <w:szCs w:val="21"/>
        </w:rPr>
      </w:pPr>
      <w:r>
        <w:rPr>
          <w:rFonts w:hint="eastAsia" w:ascii="Times New Roman"/>
          <w:sz w:val="22"/>
          <w:szCs w:val="21"/>
        </w:rPr>
        <w:t>（</w:t>
      </w:r>
      <w:r>
        <w:rPr>
          <w:rFonts w:ascii="Times New Roman"/>
          <w:sz w:val="22"/>
          <w:szCs w:val="21"/>
        </w:rPr>
        <w:t>4</w:t>
      </w:r>
      <w:r>
        <w:rPr>
          <w:rFonts w:hint="eastAsia" w:ascii="Times New Roman"/>
          <w:sz w:val="22"/>
          <w:szCs w:val="21"/>
        </w:rPr>
        <w:t>）不同投标人的投标文件异常一致或者投标报价呈规律性差异；</w:t>
      </w:r>
    </w:p>
    <w:p>
      <w:pPr>
        <w:spacing w:line="400" w:lineRule="exact"/>
        <w:ind w:firstLine="440" w:firstLineChars="200"/>
        <w:rPr>
          <w:rFonts w:ascii="Times New Roman"/>
          <w:sz w:val="22"/>
          <w:szCs w:val="21"/>
        </w:rPr>
      </w:pPr>
      <w:r>
        <w:rPr>
          <w:rFonts w:hint="eastAsia" w:ascii="Times New Roman"/>
          <w:sz w:val="22"/>
          <w:szCs w:val="21"/>
        </w:rPr>
        <w:t>（</w:t>
      </w:r>
      <w:r>
        <w:rPr>
          <w:rFonts w:ascii="Times New Roman"/>
          <w:sz w:val="22"/>
          <w:szCs w:val="21"/>
        </w:rPr>
        <w:t>5</w:t>
      </w:r>
      <w:r>
        <w:rPr>
          <w:rFonts w:hint="eastAsia" w:ascii="Times New Roman"/>
          <w:sz w:val="22"/>
          <w:szCs w:val="21"/>
        </w:rPr>
        <w:t>）不同投标人的投标文件相互混装；</w:t>
      </w:r>
    </w:p>
    <w:p>
      <w:pPr>
        <w:spacing w:line="400" w:lineRule="exact"/>
        <w:ind w:firstLine="440" w:firstLineChars="200"/>
        <w:rPr>
          <w:rFonts w:ascii="Times New Roman"/>
          <w:sz w:val="22"/>
          <w:szCs w:val="21"/>
        </w:rPr>
      </w:pPr>
      <w:r>
        <w:rPr>
          <w:rFonts w:hint="eastAsia" w:ascii="Times New Roman"/>
          <w:sz w:val="22"/>
          <w:szCs w:val="21"/>
        </w:rPr>
        <w:t>（</w:t>
      </w:r>
      <w:r>
        <w:rPr>
          <w:rFonts w:ascii="Times New Roman"/>
          <w:sz w:val="22"/>
          <w:szCs w:val="21"/>
        </w:rPr>
        <w:t>6</w:t>
      </w:r>
      <w:r>
        <w:rPr>
          <w:rFonts w:hint="eastAsia" w:ascii="Times New Roman"/>
          <w:sz w:val="22"/>
          <w:szCs w:val="21"/>
        </w:rPr>
        <w:t>）不同投标人的投标保证金从同一单位或者个人的账户转出。</w:t>
      </w:r>
    </w:p>
    <w:p>
      <w:pPr>
        <w:spacing w:line="400" w:lineRule="exact"/>
        <w:ind w:firstLine="440" w:firstLineChars="200"/>
        <w:rPr>
          <w:rFonts w:ascii="Times New Roman"/>
          <w:sz w:val="22"/>
          <w:szCs w:val="21"/>
        </w:rPr>
      </w:pPr>
      <w:r>
        <w:rPr>
          <w:rFonts w:ascii="Times New Roman"/>
          <w:sz w:val="22"/>
          <w:szCs w:val="21"/>
        </w:rPr>
        <w:t xml:space="preserve">32.3 </w:t>
      </w:r>
      <w:r>
        <w:rPr>
          <w:rFonts w:hint="eastAsia" w:ascii="Times New Roman"/>
          <w:sz w:val="22"/>
          <w:szCs w:val="21"/>
        </w:rPr>
        <w:t>投标人存在下列情况之一的，投标无效</w:t>
      </w:r>
      <w:r>
        <w:rPr>
          <w:rFonts w:ascii="Times New Roman"/>
          <w:sz w:val="22"/>
          <w:szCs w:val="21"/>
        </w:rPr>
        <w:t>:</w:t>
      </w:r>
    </w:p>
    <w:p>
      <w:pPr>
        <w:spacing w:line="400" w:lineRule="exact"/>
        <w:ind w:firstLine="440" w:firstLineChars="200"/>
        <w:rPr>
          <w:rFonts w:ascii="Times New Roman"/>
          <w:sz w:val="22"/>
          <w:szCs w:val="21"/>
        </w:rPr>
      </w:pPr>
      <w:r>
        <w:rPr>
          <w:rFonts w:hint="eastAsia" w:ascii="Times New Roman"/>
          <w:sz w:val="22"/>
          <w:szCs w:val="21"/>
        </w:rPr>
        <w:t>（</w:t>
      </w:r>
      <w:r>
        <w:rPr>
          <w:rFonts w:ascii="Times New Roman"/>
          <w:sz w:val="22"/>
          <w:szCs w:val="21"/>
        </w:rPr>
        <w:t>1</w:t>
      </w:r>
      <w:r>
        <w:rPr>
          <w:rFonts w:hint="eastAsia" w:ascii="Times New Roman"/>
          <w:sz w:val="22"/>
          <w:szCs w:val="21"/>
        </w:rPr>
        <w:t>）未按照招标文件的规定提交投标保证金的；</w:t>
      </w:r>
    </w:p>
    <w:p>
      <w:pPr>
        <w:spacing w:line="400" w:lineRule="exact"/>
        <w:ind w:firstLine="440" w:firstLineChars="200"/>
        <w:rPr>
          <w:rFonts w:ascii="Times New Roman"/>
          <w:sz w:val="22"/>
          <w:szCs w:val="21"/>
        </w:rPr>
      </w:pPr>
      <w:r>
        <w:rPr>
          <w:rFonts w:hint="eastAsia" w:ascii="Times New Roman"/>
          <w:sz w:val="22"/>
          <w:szCs w:val="21"/>
        </w:rPr>
        <w:t>（</w:t>
      </w:r>
      <w:r>
        <w:rPr>
          <w:rFonts w:ascii="Times New Roman"/>
          <w:sz w:val="22"/>
          <w:szCs w:val="21"/>
        </w:rPr>
        <w:t>2</w:t>
      </w:r>
      <w:r>
        <w:rPr>
          <w:rFonts w:hint="eastAsia" w:ascii="Times New Roman"/>
          <w:sz w:val="22"/>
          <w:szCs w:val="21"/>
        </w:rPr>
        <w:t>）投标文件未按招标文件要求签署、盖章的；</w:t>
      </w:r>
    </w:p>
    <w:p>
      <w:pPr>
        <w:spacing w:line="400" w:lineRule="exact"/>
        <w:ind w:firstLine="440" w:firstLineChars="200"/>
        <w:rPr>
          <w:rFonts w:ascii="Times New Roman"/>
          <w:sz w:val="22"/>
          <w:szCs w:val="21"/>
        </w:rPr>
      </w:pPr>
      <w:r>
        <w:rPr>
          <w:rFonts w:hint="eastAsia" w:ascii="Times New Roman"/>
          <w:sz w:val="22"/>
          <w:szCs w:val="21"/>
        </w:rPr>
        <w:t>（</w:t>
      </w:r>
      <w:r>
        <w:rPr>
          <w:rFonts w:ascii="Times New Roman"/>
          <w:sz w:val="22"/>
          <w:szCs w:val="21"/>
        </w:rPr>
        <w:t>3</w:t>
      </w:r>
      <w:r>
        <w:rPr>
          <w:rFonts w:hint="eastAsia" w:ascii="Times New Roman"/>
          <w:sz w:val="22"/>
          <w:szCs w:val="21"/>
        </w:rPr>
        <w:t>）不具备招标文件中规定的资格要求的；</w:t>
      </w:r>
    </w:p>
    <w:p>
      <w:pPr>
        <w:spacing w:line="400" w:lineRule="exact"/>
        <w:ind w:firstLine="440" w:firstLineChars="200"/>
        <w:rPr>
          <w:rFonts w:ascii="Times New Roman"/>
          <w:sz w:val="22"/>
          <w:szCs w:val="21"/>
        </w:rPr>
      </w:pPr>
      <w:r>
        <w:rPr>
          <w:rFonts w:hint="eastAsia" w:ascii="Times New Roman"/>
          <w:sz w:val="22"/>
          <w:szCs w:val="21"/>
        </w:rPr>
        <w:t>（</w:t>
      </w:r>
      <w:r>
        <w:rPr>
          <w:rFonts w:ascii="Times New Roman"/>
          <w:sz w:val="22"/>
          <w:szCs w:val="21"/>
        </w:rPr>
        <w:t>4</w:t>
      </w:r>
      <w:r>
        <w:rPr>
          <w:rFonts w:hint="eastAsia" w:ascii="Times New Roman"/>
          <w:sz w:val="22"/>
          <w:szCs w:val="21"/>
        </w:rPr>
        <w:t>）报价超过招标文件中规定的预算金额或者最高限价的；</w:t>
      </w:r>
    </w:p>
    <w:p>
      <w:pPr>
        <w:spacing w:line="400" w:lineRule="exact"/>
        <w:ind w:firstLine="440" w:firstLineChars="200"/>
        <w:rPr>
          <w:rFonts w:ascii="Times New Roman"/>
          <w:sz w:val="22"/>
          <w:szCs w:val="21"/>
        </w:rPr>
      </w:pPr>
      <w:r>
        <w:rPr>
          <w:rFonts w:hint="eastAsia" w:ascii="Times New Roman"/>
          <w:sz w:val="22"/>
          <w:szCs w:val="21"/>
        </w:rPr>
        <w:t>（</w:t>
      </w:r>
      <w:r>
        <w:rPr>
          <w:rFonts w:ascii="Times New Roman"/>
          <w:sz w:val="22"/>
          <w:szCs w:val="21"/>
        </w:rPr>
        <w:t>5</w:t>
      </w:r>
      <w:r>
        <w:rPr>
          <w:rFonts w:hint="eastAsia" w:ascii="Times New Roman"/>
          <w:sz w:val="22"/>
          <w:szCs w:val="21"/>
        </w:rPr>
        <w:t>）投标文件含有采购人不能接受的附加条件的；</w:t>
      </w:r>
    </w:p>
    <w:p>
      <w:pPr>
        <w:spacing w:line="400" w:lineRule="exact"/>
        <w:ind w:firstLine="440" w:firstLineChars="200"/>
        <w:rPr>
          <w:rFonts w:ascii="Times New Roman"/>
          <w:sz w:val="22"/>
          <w:szCs w:val="21"/>
        </w:rPr>
      </w:pPr>
      <w:r>
        <w:rPr>
          <w:rFonts w:hint="eastAsia" w:ascii="Times New Roman"/>
          <w:sz w:val="22"/>
          <w:szCs w:val="21"/>
        </w:rPr>
        <w:t>（</w:t>
      </w:r>
      <w:r>
        <w:rPr>
          <w:rFonts w:ascii="Times New Roman"/>
          <w:sz w:val="22"/>
          <w:szCs w:val="21"/>
        </w:rPr>
        <w:t>6</w:t>
      </w:r>
      <w:r>
        <w:rPr>
          <w:rFonts w:hint="eastAsia" w:ascii="Times New Roman"/>
          <w:sz w:val="22"/>
          <w:szCs w:val="21"/>
        </w:rPr>
        <w:t>）法律、法规和招标文件规定的其他无效情形。</w:t>
      </w:r>
    </w:p>
    <w:p>
      <w:pPr>
        <w:pStyle w:val="4"/>
        <w:spacing w:line="400" w:lineRule="exact"/>
        <w:jc w:val="center"/>
        <w:rPr>
          <w:rFonts w:ascii="Times New Roman" w:hAnsi="Times New Roman"/>
          <w:sz w:val="28"/>
        </w:rPr>
      </w:pPr>
      <w:bookmarkStart w:id="174" w:name="_Toc308164819"/>
      <w:bookmarkStart w:id="175" w:name="_Toc217446078"/>
      <w:r>
        <w:rPr>
          <w:rFonts w:hint="eastAsia" w:ascii="Times New Roman" w:hAnsi="Times New Roman"/>
          <w:sz w:val="28"/>
        </w:rPr>
        <w:t>八、询问、质疑和投诉</w:t>
      </w:r>
      <w:bookmarkEnd w:id="174"/>
      <w:bookmarkEnd w:id="175"/>
      <w:bookmarkStart w:id="176" w:name="_Toc217446079"/>
    </w:p>
    <w:bookmarkEnd w:id="176"/>
    <w:p>
      <w:pPr>
        <w:pStyle w:val="9"/>
        <w:spacing w:line="400" w:lineRule="exact"/>
        <w:ind w:firstLine="442"/>
        <w:rPr>
          <w:rFonts w:ascii="Times New Roman" w:hAnsi="Times New Roman"/>
          <w:sz w:val="22"/>
          <w:szCs w:val="21"/>
        </w:rPr>
      </w:pPr>
      <w:r>
        <w:rPr>
          <w:rFonts w:ascii="Times New Roman" w:hAnsi="Times New Roman"/>
          <w:b/>
          <w:sz w:val="22"/>
          <w:szCs w:val="21"/>
        </w:rPr>
        <w:t>33</w:t>
      </w:r>
      <w:r>
        <w:rPr>
          <w:rFonts w:hint="eastAsia" w:ascii="Times New Roman" w:hAnsi="Times New Roman"/>
          <w:b/>
          <w:sz w:val="22"/>
          <w:szCs w:val="21"/>
        </w:rPr>
        <w:t>．</w:t>
      </w:r>
      <w:r>
        <w:rPr>
          <w:rFonts w:hint="eastAsia" w:ascii="Times New Roman" w:hAnsi="Times New Roman"/>
          <w:sz w:val="22"/>
          <w:szCs w:val="21"/>
        </w:rPr>
        <w:t>询问、质疑、投诉的接收和处理严格按照《中华人民共和国政府采购法》、《中华人民共和国政府采购法实施条例》、《政府采购货物和服务招标投标管理办法》、《政府采购供应商投诉办法》、《财政部关于加强政府采购供应商投诉受理审查工作的通知》和《中华人民共和国财政部令第</w:t>
      </w:r>
      <w:r>
        <w:rPr>
          <w:rFonts w:ascii="Times New Roman" w:hAnsi="Times New Roman"/>
          <w:sz w:val="22"/>
          <w:szCs w:val="21"/>
        </w:rPr>
        <w:t>94</w:t>
      </w:r>
      <w:r>
        <w:rPr>
          <w:rFonts w:hint="eastAsia" w:ascii="Times New Roman" w:hAnsi="Times New Roman"/>
          <w:sz w:val="22"/>
          <w:szCs w:val="21"/>
        </w:rPr>
        <w:t>号</w:t>
      </w:r>
      <w:r>
        <w:rPr>
          <w:rFonts w:ascii="Times New Roman" w:hAnsi="Times New Roman"/>
          <w:sz w:val="22"/>
          <w:szCs w:val="21"/>
        </w:rPr>
        <w:t>--</w:t>
      </w:r>
      <w:r>
        <w:rPr>
          <w:rFonts w:hint="eastAsia" w:ascii="Times New Roman" w:hAnsi="Times New Roman"/>
          <w:sz w:val="22"/>
          <w:szCs w:val="21"/>
        </w:rPr>
        <w:t>政府采购质疑和投诉办法》等的相关规定办理</w:t>
      </w:r>
      <w:r>
        <w:rPr>
          <w:rFonts w:ascii="Times New Roman" w:hAnsi="Times New Roman"/>
          <w:sz w:val="22"/>
          <w:szCs w:val="21"/>
        </w:rPr>
        <w:t>.</w:t>
      </w:r>
    </w:p>
    <w:p>
      <w:pPr>
        <w:pStyle w:val="9"/>
        <w:spacing w:line="400" w:lineRule="exact"/>
        <w:ind w:firstLine="440"/>
        <w:rPr>
          <w:rFonts w:ascii="Times New Roman" w:hAnsi="Times New Roman"/>
          <w:sz w:val="22"/>
          <w:szCs w:val="21"/>
        </w:rPr>
      </w:pPr>
      <w:r>
        <w:rPr>
          <w:rFonts w:hint="eastAsia" w:ascii="Times New Roman" w:hAnsi="Times New Roman"/>
          <w:sz w:val="22"/>
          <w:szCs w:val="21"/>
        </w:rPr>
        <w:t>注：根据《中华人民共和国政府采购法》等规定，供应商质疑不得超出采购文件、采购过程、采购结果的范围，供应商质疑不得超出采购文件、采购过程、采购结果的范围</w:t>
      </w:r>
      <w:r>
        <w:rPr>
          <w:rFonts w:ascii="Times New Roman" w:hAnsi="Times New Roman"/>
          <w:sz w:val="22"/>
          <w:szCs w:val="21"/>
        </w:rPr>
        <w:t xml:space="preserve">, </w:t>
      </w:r>
      <w:r>
        <w:rPr>
          <w:rFonts w:hint="eastAsia" w:ascii="Times New Roman" w:hAnsi="Times New Roman"/>
          <w:sz w:val="22"/>
          <w:szCs w:val="21"/>
        </w:rPr>
        <w:t>供应商针对同一采购程序环节的质疑应在法定质疑期内一次性提出。</w:t>
      </w:r>
    </w:p>
    <w:p>
      <w:pPr>
        <w:pStyle w:val="12"/>
        <w:ind w:firstLine="660" w:firstLineChars="300"/>
        <w:rPr>
          <w:rFonts w:ascii="Times New Roman" w:hAnsi="Times New Roman"/>
          <w:sz w:val="22"/>
          <w:szCs w:val="18"/>
        </w:rPr>
      </w:pPr>
    </w:p>
    <w:p>
      <w:pPr>
        <w:pStyle w:val="9"/>
        <w:spacing w:line="400" w:lineRule="exact"/>
        <w:ind w:firstLine="440"/>
        <w:rPr>
          <w:rFonts w:ascii="Times New Roman" w:hAnsi="Times New Roman"/>
          <w:sz w:val="22"/>
          <w:szCs w:val="21"/>
        </w:rPr>
      </w:pPr>
      <w:r>
        <w:rPr>
          <w:rFonts w:hint="eastAsia" w:ascii="Times New Roman" w:hAnsi="Times New Roman"/>
          <w:sz w:val="22"/>
          <w:szCs w:val="21"/>
        </w:rPr>
        <w:t>接收质疑函的方式：书面形式</w:t>
      </w:r>
    </w:p>
    <w:p>
      <w:pPr>
        <w:pStyle w:val="9"/>
        <w:spacing w:line="400" w:lineRule="exact"/>
        <w:ind w:firstLine="440"/>
        <w:rPr>
          <w:rFonts w:ascii="Times New Roman" w:hAnsi="Times New Roman"/>
          <w:sz w:val="22"/>
          <w:szCs w:val="21"/>
        </w:rPr>
      </w:pPr>
      <w:r>
        <w:rPr>
          <w:rFonts w:hint="eastAsia" w:ascii="Times New Roman" w:hAnsi="Times New Roman"/>
          <w:sz w:val="22"/>
          <w:szCs w:val="21"/>
        </w:rPr>
        <w:t>联系部门：招标部项目负责人：连女士</w:t>
      </w:r>
    </w:p>
    <w:p>
      <w:pPr>
        <w:pStyle w:val="9"/>
        <w:spacing w:line="400" w:lineRule="exact"/>
        <w:ind w:firstLine="440"/>
        <w:rPr>
          <w:rFonts w:ascii="Times New Roman" w:hAnsi="Times New Roman"/>
          <w:sz w:val="22"/>
          <w:szCs w:val="21"/>
        </w:rPr>
      </w:pPr>
      <w:r>
        <w:rPr>
          <w:rFonts w:hint="eastAsia" w:ascii="Times New Roman" w:hAnsi="Times New Roman"/>
          <w:sz w:val="22"/>
          <w:szCs w:val="21"/>
        </w:rPr>
        <w:t>联系电话：</w:t>
      </w:r>
      <w:r>
        <w:rPr>
          <w:rFonts w:ascii="Times New Roman" w:hAnsi="Times New Roman"/>
          <w:sz w:val="22"/>
          <w:szCs w:val="21"/>
        </w:rPr>
        <w:t>029-88854271</w:t>
      </w:r>
      <w:r>
        <w:rPr>
          <w:rFonts w:hint="eastAsia" w:ascii="Times New Roman" w:hAnsi="Times New Roman"/>
          <w:sz w:val="22"/>
          <w:szCs w:val="21"/>
        </w:rPr>
        <w:t>转8009</w:t>
      </w:r>
    </w:p>
    <w:p>
      <w:pPr>
        <w:pStyle w:val="9"/>
        <w:spacing w:line="400" w:lineRule="exact"/>
        <w:ind w:firstLine="440"/>
        <w:rPr>
          <w:rFonts w:ascii="Times New Roman" w:hAnsi="Times New Roman"/>
          <w:sz w:val="22"/>
          <w:szCs w:val="21"/>
        </w:rPr>
      </w:pPr>
      <w:r>
        <w:rPr>
          <w:rFonts w:hint="eastAsia" w:ascii="Times New Roman" w:hAnsi="Times New Roman"/>
          <w:sz w:val="22"/>
          <w:szCs w:val="21"/>
        </w:rPr>
        <w:t>通讯地址：陕西省西安市高新区唐延路</w:t>
      </w:r>
      <w:r>
        <w:rPr>
          <w:rFonts w:ascii="Times New Roman" w:hAnsi="Times New Roman"/>
          <w:sz w:val="22"/>
          <w:szCs w:val="21"/>
        </w:rPr>
        <w:t>35</w:t>
      </w:r>
      <w:r>
        <w:rPr>
          <w:rFonts w:hint="eastAsia" w:ascii="Times New Roman" w:hAnsi="Times New Roman"/>
          <w:sz w:val="22"/>
          <w:szCs w:val="21"/>
        </w:rPr>
        <w:t>号旺座现代城</w:t>
      </w:r>
      <w:r>
        <w:rPr>
          <w:rFonts w:ascii="Times New Roman" w:hAnsi="Times New Roman"/>
          <w:sz w:val="22"/>
          <w:szCs w:val="21"/>
        </w:rPr>
        <w:t>G</w:t>
      </w:r>
      <w:r>
        <w:rPr>
          <w:rFonts w:hint="eastAsia" w:ascii="Times New Roman" w:hAnsi="Times New Roman"/>
          <w:sz w:val="22"/>
          <w:szCs w:val="21"/>
        </w:rPr>
        <w:t>座</w:t>
      </w:r>
      <w:r>
        <w:rPr>
          <w:rFonts w:ascii="Times New Roman" w:hAnsi="Times New Roman"/>
          <w:sz w:val="22"/>
          <w:szCs w:val="21"/>
        </w:rPr>
        <w:t>2301</w:t>
      </w:r>
      <w:r>
        <w:rPr>
          <w:rFonts w:hint="eastAsia" w:ascii="Times New Roman" w:hAnsi="Times New Roman"/>
          <w:sz w:val="22"/>
          <w:szCs w:val="21"/>
        </w:rPr>
        <w:t>室</w:t>
      </w:r>
    </w:p>
    <w:bookmarkEnd w:id="170"/>
    <w:bookmarkEnd w:id="171"/>
    <w:p>
      <w:pPr>
        <w:pStyle w:val="4"/>
        <w:spacing w:line="400" w:lineRule="exact"/>
        <w:jc w:val="center"/>
        <w:rPr>
          <w:rFonts w:ascii="Times New Roman" w:hAnsi="Times New Roman"/>
          <w:sz w:val="28"/>
        </w:rPr>
      </w:pPr>
      <w:r>
        <w:rPr>
          <w:rFonts w:hint="eastAsia" w:ascii="Times New Roman" w:hAnsi="Times New Roman"/>
          <w:sz w:val="28"/>
        </w:rPr>
        <w:t>九、其他</w:t>
      </w:r>
    </w:p>
    <w:p>
      <w:pPr>
        <w:pStyle w:val="9"/>
        <w:spacing w:line="400" w:lineRule="exact"/>
        <w:ind w:firstLine="442"/>
        <w:rPr>
          <w:rFonts w:ascii="Times New Roman" w:hAnsi="Times New Roman"/>
          <w:sz w:val="22"/>
          <w:szCs w:val="21"/>
        </w:rPr>
      </w:pPr>
      <w:r>
        <w:rPr>
          <w:rFonts w:ascii="Times New Roman" w:hAnsi="Times New Roman"/>
          <w:b/>
          <w:sz w:val="22"/>
          <w:szCs w:val="21"/>
        </w:rPr>
        <w:t>34.</w:t>
      </w:r>
      <w:r>
        <w:rPr>
          <w:rFonts w:hint="eastAsia" w:ascii="Times New Roman" w:hAnsi="Times New Roman"/>
          <w:sz w:val="22"/>
          <w:szCs w:val="21"/>
        </w:rPr>
        <w:t>本招标文件中所引相关法律制度规定，在政府采购中有变化的，按照变化后的相关法律制度规定执行。本章和第六章中</w:t>
      </w:r>
      <w:r>
        <w:rPr>
          <w:rFonts w:ascii="Times New Roman" w:hAnsi="Times New Roman"/>
          <w:sz w:val="22"/>
          <w:szCs w:val="21"/>
        </w:rPr>
        <w:t>“1.</w:t>
      </w:r>
      <w:r>
        <w:rPr>
          <w:rFonts w:hint="eastAsia" w:ascii="Times New Roman" w:hAnsi="Times New Roman"/>
          <w:sz w:val="22"/>
          <w:szCs w:val="21"/>
        </w:rPr>
        <w:t>总则、</w:t>
      </w:r>
      <w:r>
        <w:rPr>
          <w:rFonts w:ascii="Times New Roman" w:hAnsi="Times New Roman"/>
          <w:sz w:val="22"/>
          <w:szCs w:val="21"/>
        </w:rPr>
        <w:t>2.</w:t>
      </w:r>
      <w:r>
        <w:rPr>
          <w:rFonts w:hint="eastAsia" w:ascii="Times New Roman" w:hAnsi="Times New Roman"/>
          <w:sz w:val="22"/>
          <w:szCs w:val="21"/>
        </w:rPr>
        <w:t>评标方法、</w:t>
      </w:r>
      <w:r>
        <w:rPr>
          <w:rFonts w:ascii="Times New Roman" w:hAnsi="Times New Roman"/>
          <w:sz w:val="22"/>
          <w:szCs w:val="21"/>
        </w:rPr>
        <w:t>3.</w:t>
      </w:r>
      <w:r>
        <w:rPr>
          <w:rFonts w:hint="eastAsia" w:ascii="Times New Roman" w:hAnsi="Times New Roman"/>
          <w:sz w:val="22"/>
          <w:szCs w:val="21"/>
        </w:rPr>
        <w:t>评标程序</w:t>
      </w:r>
      <w:r>
        <w:rPr>
          <w:rFonts w:ascii="Times New Roman" w:hAnsi="Times New Roman"/>
          <w:sz w:val="22"/>
          <w:szCs w:val="21"/>
        </w:rPr>
        <w:t>”</w:t>
      </w:r>
      <w:r>
        <w:rPr>
          <w:rFonts w:hint="eastAsia" w:ascii="Times New Roman" w:hAnsi="Times New Roman"/>
          <w:sz w:val="22"/>
          <w:szCs w:val="21"/>
        </w:rPr>
        <w:t>规定的内容条款，在本项目投标截止时间届满后，因相关法律制度规定的变化导致不符合相关法律制度规定的，直接按照变化后的相关法律制度规定执行，本招标文件不再做调整。</w:t>
      </w:r>
    </w:p>
    <w:bookmarkEnd w:id="131"/>
    <w:bookmarkEnd w:id="132"/>
    <w:bookmarkEnd w:id="133"/>
    <w:bookmarkEnd w:id="134"/>
    <w:bookmarkEnd w:id="135"/>
    <w:bookmarkEnd w:id="136"/>
    <w:p>
      <w:pPr>
        <w:rPr>
          <w:rFonts w:hAnsi="宋体" w:cs="宋体"/>
          <w:sz w:val="36"/>
          <w:szCs w:val="36"/>
        </w:rPr>
      </w:pPr>
    </w:p>
    <w:p>
      <w:pPr>
        <w:pStyle w:val="3"/>
        <w:spacing w:line="360" w:lineRule="auto"/>
        <w:jc w:val="center"/>
        <w:rPr>
          <w:rFonts w:hAnsi="宋体" w:cs="宋体"/>
          <w:sz w:val="36"/>
          <w:szCs w:val="36"/>
        </w:rPr>
      </w:pPr>
    </w:p>
    <w:p>
      <w:pPr>
        <w:pStyle w:val="3"/>
        <w:spacing w:line="360" w:lineRule="auto"/>
        <w:jc w:val="center"/>
        <w:rPr>
          <w:rFonts w:hAnsi="宋体" w:cs="宋体"/>
          <w:sz w:val="36"/>
          <w:szCs w:val="36"/>
        </w:rPr>
      </w:pPr>
      <w:bookmarkStart w:id="177" w:name="_Toc11026"/>
      <w:r>
        <w:rPr>
          <w:rFonts w:hint="eastAsia" w:hAnsi="宋体" w:cs="宋体"/>
          <w:sz w:val="36"/>
          <w:szCs w:val="36"/>
        </w:rPr>
        <w:t>第三章投标文件格式</w:t>
      </w:r>
      <w:bookmarkEnd w:id="177"/>
    </w:p>
    <w:bookmarkEnd w:id="40"/>
    <w:bookmarkEnd w:id="41"/>
    <w:bookmarkEnd w:id="42"/>
    <w:bookmarkEnd w:id="43"/>
    <w:bookmarkEnd w:id="44"/>
    <w:bookmarkEnd w:id="45"/>
    <w:bookmarkEnd w:id="46"/>
    <w:p>
      <w:pPr>
        <w:pStyle w:val="3"/>
        <w:spacing w:line="360" w:lineRule="auto"/>
        <w:jc w:val="center"/>
        <w:rPr>
          <w:rFonts w:hAnsi="宋体" w:cs="宋体"/>
          <w:sz w:val="32"/>
        </w:rPr>
      </w:pPr>
      <w:bookmarkStart w:id="178" w:name="_Toc7725"/>
      <w:bookmarkStart w:id="179" w:name="_Toc32593"/>
      <w:bookmarkStart w:id="180" w:name="_Toc536"/>
      <w:bookmarkStart w:id="181" w:name="_Toc22296"/>
      <w:r>
        <w:rPr>
          <w:rFonts w:hint="eastAsia" w:hAnsi="宋体" w:cs="宋体"/>
          <w:sz w:val="32"/>
        </w:rPr>
        <w:t>第一部分“资格性投标文件”格式</w:t>
      </w:r>
      <w:bookmarkEnd w:id="178"/>
    </w:p>
    <w:p>
      <w:pPr>
        <w:spacing w:line="360" w:lineRule="auto"/>
        <w:jc w:val="center"/>
        <w:rPr>
          <w:rFonts w:hAnsi="宋体" w:cs="宋体"/>
          <w:b/>
          <w:color w:val="auto"/>
          <w:sz w:val="32"/>
          <w:szCs w:val="32"/>
        </w:rPr>
      </w:pPr>
      <w:r>
        <w:rPr>
          <w:rFonts w:hint="eastAsia" w:hAnsi="宋体" w:cs="宋体"/>
          <w:b/>
          <w:color w:val="auto"/>
          <w:sz w:val="32"/>
          <w:szCs w:val="32"/>
        </w:rPr>
        <w:t>格式1-1 封面：</w:t>
      </w:r>
    </w:p>
    <w:p>
      <w:pPr>
        <w:spacing w:line="360" w:lineRule="auto"/>
        <w:jc w:val="right"/>
        <w:rPr>
          <w:rFonts w:hAnsi="宋体" w:cs="宋体"/>
          <w:b/>
          <w:color w:val="auto"/>
          <w:sz w:val="36"/>
        </w:rPr>
      </w:pPr>
      <w:r>
        <w:rPr>
          <w:rFonts w:hint="eastAsia" w:hAnsi="宋体" w:cs="宋体"/>
          <w:b/>
          <w:color w:val="auto"/>
          <w:sz w:val="36"/>
        </w:rPr>
        <w:t>（正本/副本）</w:t>
      </w:r>
    </w:p>
    <w:p>
      <w:pPr>
        <w:spacing w:line="360" w:lineRule="auto"/>
        <w:rPr>
          <w:rFonts w:hAnsi="宋体" w:cs="宋体"/>
          <w:b/>
          <w:color w:val="auto"/>
          <w:sz w:val="32"/>
          <w:szCs w:val="32"/>
        </w:rPr>
      </w:pPr>
    </w:p>
    <w:p>
      <w:pPr>
        <w:spacing w:line="360" w:lineRule="auto"/>
        <w:jc w:val="center"/>
        <w:rPr>
          <w:rFonts w:hAnsi="宋体" w:cs="宋体"/>
          <w:b/>
          <w:color w:val="auto"/>
          <w:sz w:val="72"/>
        </w:rPr>
      </w:pPr>
      <w:r>
        <w:rPr>
          <w:rFonts w:hint="eastAsia" w:hAnsi="宋体" w:cs="宋体"/>
          <w:b/>
          <w:color w:val="auto"/>
          <w:sz w:val="40"/>
          <w:szCs w:val="48"/>
        </w:rPr>
        <w:t xml:space="preserve"> </w:t>
      </w:r>
      <w:r>
        <w:rPr>
          <w:rFonts w:hint="eastAsia" w:hAnsi="宋体" w:cs="宋体"/>
          <w:b/>
          <w:color w:val="auto"/>
          <w:sz w:val="40"/>
          <w:szCs w:val="48"/>
          <w:u w:val="single"/>
        </w:rPr>
        <w:t xml:space="preserve">                  </w:t>
      </w:r>
      <w:r>
        <w:rPr>
          <w:rFonts w:hint="eastAsia" w:hAnsi="宋体" w:cs="宋体"/>
          <w:b/>
          <w:color w:val="auto"/>
          <w:sz w:val="40"/>
          <w:szCs w:val="48"/>
        </w:rPr>
        <w:t>项目</w:t>
      </w:r>
    </w:p>
    <w:p>
      <w:pPr>
        <w:spacing w:line="360" w:lineRule="auto"/>
        <w:rPr>
          <w:rFonts w:hAnsi="宋体" w:cs="宋体"/>
          <w:b/>
          <w:color w:val="auto"/>
          <w:sz w:val="52"/>
          <w:szCs w:val="52"/>
        </w:rPr>
      </w:pPr>
    </w:p>
    <w:p>
      <w:pPr>
        <w:spacing w:line="360" w:lineRule="auto"/>
        <w:jc w:val="center"/>
        <w:rPr>
          <w:rFonts w:hAnsi="宋体" w:cs="宋体"/>
          <w:b/>
          <w:color w:val="auto"/>
          <w:sz w:val="36"/>
        </w:rPr>
      </w:pPr>
      <w:r>
        <w:rPr>
          <w:rFonts w:hint="eastAsia" w:hAnsi="宋体" w:cs="宋体"/>
          <w:b/>
          <w:color w:val="auto"/>
          <w:sz w:val="52"/>
          <w:szCs w:val="52"/>
        </w:rPr>
        <w:t>资格性投标文件</w:t>
      </w:r>
    </w:p>
    <w:p>
      <w:pPr>
        <w:spacing w:line="360" w:lineRule="auto"/>
        <w:rPr>
          <w:rFonts w:hAnsi="宋体" w:cs="宋体"/>
          <w:b/>
          <w:color w:val="auto"/>
          <w:sz w:val="36"/>
        </w:rPr>
      </w:pPr>
    </w:p>
    <w:p>
      <w:pPr>
        <w:spacing w:line="360" w:lineRule="auto"/>
        <w:jc w:val="left"/>
        <w:rPr>
          <w:rFonts w:hAnsi="宋体" w:cs="宋体"/>
          <w:b/>
          <w:color w:val="auto"/>
          <w:sz w:val="32"/>
          <w:u w:val="single"/>
        </w:rPr>
      </w:pPr>
      <w:r>
        <w:rPr>
          <w:rFonts w:hint="eastAsia" w:hAnsi="宋体" w:cs="宋体"/>
          <w:b/>
          <w:color w:val="auto"/>
          <w:sz w:val="32"/>
        </w:rPr>
        <w:t>投标人名称：</w:t>
      </w:r>
    </w:p>
    <w:p>
      <w:pPr>
        <w:spacing w:line="360" w:lineRule="auto"/>
        <w:jc w:val="left"/>
        <w:rPr>
          <w:rFonts w:ascii="华文中宋" w:hAnsi="华文中宋" w:eastAsia="华文中宋"/>
          <w:b/>
          <w:sz w:val="32"/>
          <w:u w:val="single"/>
        </w:rPr>
      </w:pPr>
      <w:r>
        <w:rPr>
          <w:rFonts w:hint="eastAsia" w:hAnsi="宋体" w:cs="宋体"/>
          <w:b/>
          <w:color w:val="auto"/>
          <w:sz w:val="32"/>
        </w:rPr>
        <w:t>采购项目编号：</w:t>
      </w:r>
      <w:r>
        <w:rPr>
          <w:rFonts w:ascii="华文中宋" w:hAnsi="华文中宋" w:eastAsia="华文中宋"/>
          <w:b/>
          <w:sz w:val="32"/>
          <w:u w:val="single"/>
        </w:rPr>
        <w:t xml:space="preserve"> </w:t>
      </w:r>
    </w:p>
    <w:p>
      <w:pPr>
        <w:spacing w:line="360" w:lineRule="auto"/>
        <w:jc w:val="left"/>
        <w:rPr>
          <w:rFonts w:hAnsi="宋体" w:cs="宋体"/>
          <w:b/>
          <w:color w:val="auto"/>
          <w:sz w:val="32"/>
        </w:rPr>
      </w:pPr>
      <w:r>
        <w:rPr>
          <w:rFonts w:hint="eastAsia" w:hAnsi="宋体" w:cs="宋体"/>
          <w:b/>
          <w:color w:val="auto"/>
          <w:sz w:val="32"/>
        </w:rPr>
        <w:t xml:space="preserve">包号： </w:t>
      </w:r>
    </w:p>
    <w:p>
      <w:pPr>
        <w:spacing w:line="360" w:lineRule="auto"/>
        <w:rPr>
          <w:rFonts w:hAnsi="宋体" w:cs="宋体"/>
          <w:b/>
          <w:color w:val="auto"/>
          <w:sz w:val="32"/>
        </w:rPr>
      </w:pPr>
      <w:r>
        <w:rPr>
          <w:rFonts w:hint="eastAsia" w:hAnsi="宋体" w:cs="宋体"/>
          <w:b/>
          <w:color w:val="auto"/>
          <w:sz w:val="32"/>
        </w:rPr>
        <w:t>时 间：    年   月  日</w:t>
      </w:r>
    </w:p>
    <w:p>
      <w:pPr>
        <w:spacing w:line="360" w:lineRule="auto"/>
        <w:jc w:val="left"/>
        <w:rPr>
          <w:rFonts w:hAnsi="宋体" w:cs="宋体"/>
          <w:b/>
          <w:color w:val="auto"/>
          <w:sz w:val="32"/>
          <w:szCs w:val="32"/>
        </w:rPr>
      </w:pPr>
      <w:r>
        <w:rPr>
          <w:rFonts w:hint="eastAsia" w:hAnsi="宋体" w:cs="宋体"/>
          <w:b/>
          <w:color w:val="auto"/>
          <w:sz w:val="32"/>
          <w:szCs w:val="32"/>
        </w:rPr>
        <w:br w:type="page"/>
      </w:r>
      <w:r>
        <w:rPr>
          <w:rFonts w:hint="eastAsia" w:hAnsi="宋体" w:cs="宋体"/>
          <w:b/>
          <w:color w:val="auto"/>
          <w:sz w:val="32"/>
          <w:szCs w:val="32"/>
        </w:rPr>
        <w:t xml:space="preserve">格式1-2 </w:t>
      </w:r>
    </w:p>
    <w:p>
      <w:pPr>
        <w:spacing w:line="360" w:lineRule="auto"/>
        <w:jc w:val="center"/>
        <w:rPr>
          <w:rFonts w:hAnsi="宋体" w:cs="宋体"/>
          <w:b/>
          <w:color w:val="auto"/>
          <w:sz w:val="32"/>
          <w:szCs w:val="32"/>
        </w:rPr>
      </w:pPr>
      <w:r>
        <w:rPr>
          <w:rFonts w:hint="eastAsia" w:hAnsi="宋体" w:cs="宋体"/>
          <w:b/>
          <w:color w:val="auto"/>
          <w:sz w:val="32"/>
          <w:szCs w:val="32"/>
        </w:rPr>
        <w:t>一、法定代表人授权书</w:t>
      </w:r>
    </w:p>
    <w:p>
      <w:pPr>
        <w:spacing w:line="360" w:lineRule="auto"/>
        <w:ind w:firstLine="472" w:firstLineChars="196"/>
        <w:jc w:val="left"/>
        <w:outlineLvl w:val="1"/>
        <w:rPr>
          <w:rFonts w:hAnsi="宋体" w:cs="宋体"/>
          <w:b/>
          <w:color w:val="auto"/>
        </w:rPr>
      </w:pPr>
    </w:p>
    <w:p>
      <w:pPr>
        <w:spacing w:line="360" w:lineRule="auto"/>
        <w:ind w:firstLine="472" w:firstLineChars="196"/>
        <w:jc w:val="left"/>
        <w:outlineLvl w:val="1"/>
        <w:rPr>
          <w:rFonts w:hAnsi="宋体" w:cs="宋体"/>
          <w:b/>
          <w:color w:val="auto"/>
        </w:rPr>
      </w:pPr>
    </w:p>
    <w:p>
      <w:pPr>
        <w:spacing w:line="360" w:lineRule="auto"/>
        <w:jc w:val="left"/>
        <w:outlineLvl w:val="1"/>
        <w:rPr>
          <w:rFonts w:hAnsi="宋体" w:cs="宋体"/>
          <w:color w:val="auto"/>
        </w:rPr>
      </w:pPr>
      <w:r>
        <w:rPr>
          <w:rFonts w:hint="eastAsia" w:hAnsi="宋体" w:cs="宋体"/>
          <w:color w:val="auto"/>
          <w:u w:val="single"/>
        </w:rPr>
        <w:t>（采购代理机构名称）</w:t>
      </w:r>
      <w:r>
        <w:rPr>
          <w:rFonts w:hint="eastAsia" w:hAnsi="宋体" w:cs="宋体"/>
          <w:color w:val="auto"/>
        </w:rPr>
        <w:t>：</w:t>
      </w:r>
    </w:p>
    <w:p>
      <w:pPr>
        <w:spacing w:line="360" w:lineRule="auto"/>
        <w:ind w:firstLine="470" w:firstLineChars="196"/>
        <w:jc w:val="left"/>
        <w:outlineLvl w:val="1"/>
        <w:rPr>
          <w:rFonts w:hAnsi="宋体" w:cs="宋体"/>
          <w:color w:val="auto"/>
        </w:rPr>
      </w:pPr>
      <w:r>
        <w:rPr>
          <w:rFonts w:hint="eastAsia" w:hAnsi="宋体" w:cs="宋体"/>
          <w:color w:val="auto"/>
        </w:rPr>
        <w:t>本授权声明：</w:t>
      </w:r>
      <w:r>
        <w:rPr>
          <w:rFonts w:hint="eastAsia" w:hAnsi="宋体" w:cs="宋体"/>
          <w:color w:val="auto"/>
          <w:u w:val="single"/>
        </w:rPr>
        <w:t>（投标人名称） （法定代表人姓名、职务）</w:t>
      </w:r>
      <w:r>
        <w:rPr>
          <w:rFonts w:hint="eastAsia" w:hAnsi="宋体" w:cs="宋体"/>
          <w:color w:val="auto"/>
        </w:rPr>
        <w:t>授权被授权人</w:t>
      </w:r>
      <w:r>
        <w:rPr>
          <w:rFonts w:hint="eastAsia" w:hAnsi="宋体" w:cs="宋体"/>
          <w:color w:val="auto"/>
          <w:u w:val="single"/>
        </w:rPr>
        <w:t>(姓名、职务）</w:t>
      </w:r>
      <w:r>
        <w:rPr>
          <w:rFonts w:hint="eastAsia" w:hAnsi="宋体" w:cs="宋体"/>
          <w:color w:val="auto"/>
        </w:rPr>
        <w:t xml:space="preserve">为我方“ </w:t>
      </w:r>
      <w:r>
        <w:rPr>
          <w:rFonts w:hint="eastAsia" w:hAnsi="宋体" w:cs="宋体"/>
          <w:color w:val="auto"/>
          <w:u w:val="single"/>
        </w:rPr>
        <w:t xml:space="preserve">      （项目名称）      </w:t>
      </w:r>
      <w:r>
        <w:rPr>
          <w:rFonts w:hint="eastAsia" w:hAnsi="宋体" w:cs="宋体"/>
          <w:color w:val="auto"/>
        </w:rPr>
        <w:t xml:space="preserve"> ”项目（项目编号/包号：</w:t>
      </w:r>
      <w:r>
        <w:rPr>
          <w:rFonts w:hint="eastAsia" w:hAnsi="宋体" w:cs="宋体"/>
          <w:color w:val="auto"/>
          <w:u w:val="single"/>
        </w:rPr>
        <w:t xml:space="preserve">            </w:t>
      </w:r>
      <w:r>
        <w:rPr>
          <w:rFonts w:hint="eastAsia" w:hAnsi="宋体" w:cs="宋体"/>
          <w:color w:val="auto"/>
        </w:rPr>
        <w:t>）投标活动的合法代表，以我方名义全权处理该项目有关投标、签订合同以及执行合同等一切事宜。</w:t>
      </w:r>
    </w:p>
    <w:p>
      <w:pPr>
        <w:spacing w:line="360" w:lineRule="auto"/>
        <w:ind w:firstLine="470" w:firstLineChars="196"/>
        <w:jc w:val="left"/>
        <w:outlineLvl w:val="1"/>
        <w:rPr>
          <w:rFonts w:hAnsi="宋体" w:cs="宋体"/>
          <w:color w:val="auto"/>
        </w:rPr>
      </w:pPr>
      <w:r>
        <w:rPr>
          <w:rFonts w:hint="eastAsia" w:hAnsi="宋体" w:cs="宋体"/>
          <w:color w:val="auto"/>
        </w:rPr>
        <w:t>特此声明。</w:t>
      </w:r>
    </w:p>
    <w:p>
      <w:pPr>
        <w:spacing w:line="360" w:lineRule="auto"/>
        <w:ind w:firstLine="470" w:firstLineChars="196"/>
        <w:jc w:val="left"/>
        <w:outlineLvl w:val="1"/>
        <w:rPr>
          <w:rFonts w:hAnsi="宋体" w:cs="宋体"/>
          <w:color w:val="auto"/>
        </w:rPr>
      </w:pPr>
    </w:p>
    <w:p>
      <w:pPr>
        <w:pStyle w:val="12"/>
        <w:spacing w:line="360" w:lineRule="auto"/>
        <w:rPr>
          <w:rFonts w:hAnsi="宋体" w:cs="宋体"/>
        </w:rPr>
      </w:pPr>
    </w:p>
    <w:p>
      <w:pPr>
        <w:pStyle w:val="12"/>
        <w:spacing w:line="360" w:lineRule="auto"/>
        <w:rPr>
          <w:rFonts w:hAnsi="宋体" w:cs="宋体"/>
        </w:rPr>
      </w:pPr>
    </w:p>
    <w:p>
      <w:pPr>
        <w:pStyle w:val="12"/>
        <w:spacing w:line="360" w:lineRule="auto"/>
        <w:rPr>
          <w:rFonts w:hAnsi="宋体" w:cs="宋体"/>
        </w:rPr>
      </w:pPr>
    </w:p>
    <w:p>
      <w:pPr>
        <w:pStyle w:val="12"/>
        <w:spacing w:line="360" w:lineRule="auto"/>
        <w:rPr>
          <w:rFonts w:hAnsi="宋体" w:cs="宋体"/>
        </w:rPr>
      </w:pPr>
    </w:p>
    <w:p>
      <w:pPr>
        <w:spacing w:line="360" w:lineRule="auto"/>
        <w:ind w:firstLine="470" w:firstLineChars="196"/>
        <w:jc w:val="left"/>
        <w:outlineLvl w:val="1"/>
        <w:rPr>
          <w:rFonts w:hAnsi="宋体" w:cs="宋体"/>
          <w:color w:val="auto"/>
        </w:rPr>
      </w:pPr>
      <w:r>
        <w:rPr>
          <w:rFonts w:hint="eastAsia" w:hAnsi="宋体" w:cs="宋体"/>
          <w:color w:val="auto"/>
        </w:rPr>
        <w:t>法定代表人（签字或盖章）：</w:t>
      </w:r>
    </w:p>
    <w:p>
      <w:pPr>
        <w:spacing w:line="360" w:lineRule="auto"/>
        <w:ind w:firstLine="470" w:firstLineChars="196"/>
        <w:jc w:val="left"/>
        <w:outlineLvl w:val="1"/>
        <w:rPr>
          <w:rFonts w:hAnsi="宋体" w:cs="宋体"/>
          <w:color w:val="auto"/>
        </w:rPr>
      </w:pPr>
      <w:r>
        <w:rPr>
          <w:rFonts w:hint="eastAsia" w:hAnsi="宋体" w:cs="宋体"/>
          <w:color w:val="auto"/>
        </w:rPr>
        <w:t>委托代理人（签字或盖章）：</w:t>
      </w:r>
    </w:p>
    <w:p>
      <w:pPr>
        <w:spacing w:line="360" w:lineRule="auto"/>
        <w:ind w:firstLine="470" w:firstLineChars="196"/>
        <w:jc w:val="left"/>
        <w:outlineLvl w:val="1"/>
        <w:rPr>
          <w:rFonts w:hAnsi="宋体" w:cs="宋体"/>
          <w:color w:val="auto"/>
        </w:rPr>
      </w:pPr>
      <w:r>
        <w:rPr>
          <w:rFonts w:hint="eastAsia" w:hAnsi="宋体" w:cs="宋体"/>
          <w:color w:val="auto"/>
        </w:rPr>
        <w:t>投标人名称：（盖公章）</w:t>
      </w:r>
    </w:p>
    <w:p>
      <w:pPr>
        <w:spacing w:line="360" w:lineRule="auto"/>
        <w:ind w:firstLine="470" w:firstLineChars="196"/>
        <w:jc w:val="left"/>
        <w:outlineLvl w:val="1"/>
        <w:rPr>
          <w:rFonts w:hAnsi="宋体" w:cs="宋体"/>
          <w:color w:val="auto"/>
        </w:rPr>
      </w:pPr>
      <w:r>
        <w:rPr>
          <w:rFonts w:hint="eastAsia" w:hAnsi="宋体" w:cs="宋体"/>
          <w:color w:val="auto"/>
        </w:rPr>
        <w:t>日 期：</w:t>
      </w:r>
    </w:p>
    <w:p>
      <w:pPr>
        <w:spacing w:line="360" w:lineRule="auto"/>
        <w:jc w:val="left"/>
        <w:outlineLvl w:val="1"/>
        <w:rPr>
          <w:rFonts w:hAnsi="宋体" w:cs="宋体"/>
          <w:b/>
          <w:color w:val="auto"/>
        </w:rPr>
      </w:pPr>
      <w:bookmarkStart w:id="182" w:name="_Toc217446084"/>
    </w:p>
    <w:p>
      <w:pPr>
        <w:spacing w:line="360" w:lineRule="auto"/>
        <w:jc w:val="left"/>
        <w:outlineLvl w:val="1"/>
        <w:rPr>
          <w:rFonts w:hAnsi="宋体" w:cs="宋体"/>
          <w:b/>
          <w:color w:val="auto"/>
        </w:rPr>
      </w:pPr>
    </w:p>
    <w:p>
      <w:pPr>
        <w:pStyle w:val="2"/>
        <w:rPr>
          <w:color w:val="auto"/>
        </w:rPr>
      </w:pPr>
    </w:p>
    <w:p>
      <w:pPr>
        <w:spacing w:line="360" w:lineRule="auto"/>
        <w:rPr>
          <w:rFonts w:hAnsi="宋体" w:cs="宋体"/>
          <w:b/>
          <w:color w:val="auto"/>
        </w:rPr>
      </w:pPr>
      <w:r>
        <w:rPr>
          <w:rFonts w:hint="eastAsia" w:hAnsi="宋体" w:cs="宋体"/>
          <w:b/>
          <w:color w:val="auto"/>
        </w:rPr>
        <w:t>附：1. 法定代表人身份证正反面复印件（加盖公章）</w:t>
      </w:r>
    </w:p>
    <w:p>
      <w:pPr>
        <w:spacing w:line="360" w:lineRule="auto"/>
        <w:rPr>
          <w:rFonts w:hAnsi="宋体" w:cs="宋体"/>
          <w:b/>
          <w:color w:val="auto"/>
        </w:rPr>
      </w:pPr>
      <w:r>
        <w:rPr>
          <w:rFonts w:hint="eastAsia" w:hAnsi="宋体" w:cs="宋体"/>
          <w:b/>
          <w:color w:val="auto"/>
        </w:rPr>
        <w:t>2. 委托代理人身份证正反面复印件（加盖公章）</w:t>
      </w:r>
    </w:p>
    <w:bookmarkEnd w:id="182"/>
    <w:p>
      <w:pPr>
        <w:rPr>
          <w:rFonts w:hAnsi="宋体" w:cs="宋体"/>
          <w:b/>
          <w:color w:val="auto"/>
          <w:sz w:val="32"/>
          <w:szCs w:val="32"/>
        </w:rPr>
      </w:pPr>
      <w:r>
        <w:rPr>
          <w:rFonts w:hint="eastAsia" w:hAnsi="宋体" w:cs="宋体"/>
          <w:b/>
          <w:color w:val="auto"/>
          <w:sz w:val="32"/>
          <w:szCs w:val="32"/>
        </w:rPr>
        <w:br w:type="page"/>
      </w:r>
    </w:p>
    <w:p>
      <w:pPr>
        <w:spacing w:line="360" w:lineRule="auto"/>
        <w:jc w:val="left"/>
        <w:rPr>
          <w:rFonts w:hAnsi="宋体" w:cs="宋体"/>
          <w:b/>
          <w:color w:val="auto"/>
          <w:sz w:val="32"/>
          <w:szCs w:val="32"/>
        </w:rPr>
      </w:pPr>
      <w:r>
        <w:rPr>
          <w:rFonts w:hint="eastAsia" w:hAnsi="宋体" w:cs="宋体"/>
          <w:b/>
          <w:color w:val="auto"/>
          <w:sz w:val="32"/>
          <w:szCs w:val="32"/>
        </w:rPr>
        <w:t xml:space="preserve">格式1-3               </w:t>
      </w:r>
    </w:p>
    <w:p>
      <w:pPr>
        <w:spacing w:line="360" w:lineRule="auto"/>
        <w:jc w:val="left"/>
        <w:rPr>
          <w:rFonts w:hAnsi="宋体" w:cs="宋体"/>
          <w:b/>
          <w:color w:val="auto"/>
          <w:sz w:val="32"/>
          <w:szCs w:val="32"/>
        </w:rPr>
      </w:pPr>
      <w:r>
        <w:rPr>
          <w:rFonts w:hint="eastAsia" w:hAnsi="宋体" w:cs="宋体"/>
          <w:b/>
          <w:color w:val="auto"/>
          <w:sz w:val="32"/>
          <w:szCs w:val="32"/>
        </w:rPr>
        <w:t>二、《中华人民共和国政府采购法》第二十二条承诺函</w:t>
      </w:r>
    </w:p>
    <w:p>
      <w:pPr>
        <w:spacing w:line="360" w:lineRule="auto"/>
        <w:jc w:val="center"/>
        <w:outlineLvl w:val="1"/>
        <w:rPr>
          <w:rFonts w:hAnsi="宋体" w:cs="宋体"/>
          <w:b/>
          <w:color w:val="auto"/>
        </w:rPr>
      </w:pPr>
    </w:p>
    <w:p>
      <w:pPr>
        <w:spacing w:line="360" w:lineRule="auto"/>
        <w:jc w:val="left"/>
        <w:outlineLvl w:val="1"/>
        <w:rPr>
          <w:rFonts w:hAnsi="宋体" w:cs="宋体"/>
          <w:color w:val="auto"/>
        </w:rPr>
      </w:pPr>
      <w:r>
        <w:rPr>
          <w:rFonts w:hint="eastAsia" w:hAnsi="宋体" w:cs="宋体"/>
          <w:color w:val="auto"/>
          <w:u w:val="single"/>
        </w:rPr>
        <w:t>（采购代理机构名称）</w:t>
      </w:r>
      <w:r>
        <w:rPr>
          <w:rFonts w:hint="eastAsia" w:hAnsi="宋体" w:cs="宋体"/>
          <w:color w:val="auto"/>
        </w:rPr>
        <w:t>：</w:t>
      </w:r>
    </w:p>
    <w:p>
      <w:pPr>
        <w:spacing w:line="360" w:lineRule="auto"/>
        <w:ind w:firstLine="480" w:firstLineChars="200"/>
        <w:jc w:val="left"/>
        <w:outlineLvl w:val="1"/>
        <w:rPr>
          <w:rFonts w:hAnsi="宋体" w:cs="宋体"/>
          <w:color w:val="auto"/>
        </w:rPr>
      </w:pPr>
      <w:r>
        <w:rPr>
          <w:rFonts w:hint="eastAsia" w:hAnsi="宋体" w:cs="宋体"/>
          <w:color w:val="auto"/>
        </w:rPr>
        <w:t>我单位作为本次采购项目的投标人，根据招标文件要求，现郑重承诺如下：</w:t>
      </w:r>
    </w:p>
    <w:p>
      <w:pPr>
        <w:spacing w:line="360" w:lineRule="auto"/>
        <w:ind w:firstLine="480" w:firstLineChars="200"/>
        <w:jc w:val="left"/>
        <w:outlineLvl w:val="1"/>
        <w:rPr>
          <w:rFonts w:hAnsi="宋体" w:cs="宋体"/>
          <w:color w:val="auto"/>
        </w:rPr>
      </w:pPr>
      <w:r>
        <w:rPr>
          <w:rFonts w:hint="eastAsia" w:hAnsi="宋体" w:cs="宋体"/>
          <w:color w:val="auto"/>
        </w:rPr>
        <w:t>具备《中华人民共和国政府采购法》第二十二条第一款和本项目规定的条件：</w:t>
      </w:r>
    </w:p>
    <w:p>
      <w:pPr>
        <w:spacing w:line="360" w:lineRule="auto"/>
        <w:ind w:firstLine="480" w:firstLineChars="200"/>
        <w:jc w:val="left"/>
        <w:outlineLvl w:val="1"/>
        <w:rPr>
          <w:rFonts w:hAnsi="宋体" w:cs="宋体"/>
          <w:color w:val="auto"/>
        </w:rPr>
      </w:pPr>
      <w:r>
        <w:rPr>
          <w:rFonts w:hint="eastAsia" w:hAnsi="宋体" w:cs="宋体"/>
          <w:color w:val="auto"/>
        </w:rPr>
        <w:t>（一）具有独立承担民事责任的能力；</w:t>
      </w:r>
    </w:p>
    <w:p>
      <w:pPr>
        <w:spacing w:line="360" w:lineRule="auto"/>
        <w:ind w:firstLine="480" w:firstLineChars="200"/>
        <w:jc w:val="left"/>
        <w:outlineLvl w:val="1"/>
        <w:rPr>
          <w:rFonts w:hAnsi="宋体" w:cs="宋体"/>
          <w:color w:val="auto"/>
        </w:rPr>
      </w:pPr>
      <w:r>
        <w:rPr>
          <w:rFonts w:hint="eastAsia" w:hAnsi="宋体" w:cs="宋体"/>
          <w:color w:val="auto"/>
        </w:rPr>
        <w:t>（二）具有良好的商业信誉和健全的财务会计制度；</w:t>
      </w:r>
    </w:p>
    <w:p>
      <w:pPr>
        <w:spacing w:line="360" w:lineRule="auto"/>
        <w:ind w:firstLine="480" w:firstLineChars="200"/>
        <w:jc w:val="left"/>
        <w:outlineLvl w:val="1"/>
        <w:rPr>
          <w:rFonts w:hAnsi="宋体" w:cs="宋体"/>
          <w:color w:val="auto"/>
        </w:rPr>
      </w:pPr>
      <w:r>
        <w:rPr>
          <w:rFonts w:hint="eastAsia" w:hAnsi="宋体" w:cs="宋体"/>
          <w:color w:val="auto"/>
        </w:rPr>
        <w:t>（三）具有履行合同所必需的设备和专业技术能力；</w:t>
      </w:r>
    </w:p>
    <w:p>
      <w:pPr>
        <w:spacing w:line="360" w:lineRule="auto"/>
        <w:ind w:firstLine="480" w:firstLineChars="200"/>
        <w:jc w:val="left"/>
        <w:outlineLvl w:val="1"/>
        <w:rPr>
          <w:rFonts w:hAnsi="宋体" w:cs="宋体"/>
          <w:color w:val="auto"/>
        </w:rPr>
      </w:pPr>
      <w:r>
        <w:rPr>
          <w:rFonts w:hint="eastAsia" w:hAnsi="宋体" w:cs="宋体"/>
          <w:color w:val="auto"/>
        </w:rPr>
        <w:t>（四）有依法缴纳税收和社会保障资金的良好记录；</w:t>
      </w:r>
    </w:p>
    <w:p>
      <w:pPr>
        <w:spacing w:line="360" w:lineRule="auto"/>
        <w:ind w:firstLine="480" w:firstLineChars="200"/>
        <w:jc w:val="left"/>
        <w:outlineLvl w:val="1"/>
        <w:rPr>
          <w:rFonts w:hAnsi="宋体" w:cs="宋体"/>
          <w:color w:val="auto"/>
        </w:rPr>
      </w:pPr>
      <w:r>
        <w:rPr>
          <w:rFonts w:hint="eastAsia" w:hAnsi="宋体" w:cs="宋体"/>
          <w:color w:val="auto"/>
        </w:rPr>
        <w:t>（五）参加政府采购活动前三年内，在经营活动中没有重大违法记录；</w:t>
      </w:r>
    </w:p>
    <w:p>
      <w:pPr>
        <w:spacing w:line="360" w:lineRule="auto"/>
        <w:ind w:firstLine="480" w:firstLineChars="200"/>
        <w:jc w:val="left"/>
        <w:outlineLvl w:val="1"/>
        <w:rPr>
          <w:rFonts w:hAnsi="宋体" w:cs="宋体"/>
          <w:color w:val="auto"/>
        </w:rPr>
      </w:pPr>
      <w:r>
        <w:rPr>
          <w:rFonts w:hint="eastAsia" w:hAnsi="宋体" w:cs="宋体"/>
          <w:color w:val="auto"/>
        </w:rPr>
        <w:t>（六）法律、行政法规规定的其他条件；</w:t>
      </w:r>
    </w:p>
    <w:p>
      <w:pPr>
        <w:spacing w:line="360" w:lineRule="auto"/>
        <w:ind w:firstLine="480" w:firstLineChars="200"/>
        <w:jc w:val="left"/>
        <w:outlineLvl w:val="1"/>
        <w:rPr>
          <w:rFonts w:hAnsi="宋体" w:cs="宋体"/>
          <w:color w:val="auto"/>
        </w:rPr>
      </w:pPr>
      <w:r>
        <w:rPr>
          <w:rFonts w:hint="eastAsia" w:hAnsi="宋体" w:cs="宋体"/>
          <w:color w:val="auto"/>
        </w:rPr>
        <w:t>（七）根据采购项目提出的特殊条件。</w:t>
      </w:r>
    </w:p>
    <w:p>
      <w:pPr>
        <w:pStyle w:val="12"/>
        <w:spacing w:line="360" w:lineRule="auto"/>
        <w:rPr>
          <w:rFonts w:hAnsi="宋体" w:cs="宋体"/>
        </w:rPr>
      </w:pPr>
    </w:p>
    <w:p>
      <w:pPr>
        <w:pStyle w:val="12"/>
        <w:spacing w:line="360" w:lineRule="auto"/>
        <w:rPr>
          <w:rFonts w:hAnsi="宋体" w:cs="宋体"/>
        </w:rPr>
      </w:pPr>
    </w:p>
    <w:p>
      <w:pPr>
        <w:pStyle w:val="12"/>
        <w:spacing w:line="360" w:lineRule="auto"/>
        <w:rPr>
          <w:rFonts w:hAnsi="宋体" w:cs="宋体"/>
        </w:rPr>
      </w:pPr>
    </w:p>
    <w:p>
      <w:pPr>
        <w:spacing w:line="360" w:lineRule="auto"/>
        <w:ind w:firstLine="470" w:firstLineChars="196"/>
        <w:jc w:val="left"/>
        <w:outlineLvl w:val="1"/>
        <w:rPr>
          <w:rFonts w:hAnsi="宋体" w:cs="宋体"/>
          <w:color w:val="auto"/>
        </w:rPr>
      </w:pPr>
      <w:r>
        <w:rPr>
          <w:rFonts w:hint="eastAsia" w:hAnsi="宋体" w:cs="宋体"/>
          <w:color w:val="auto"/>
        </w:rPr>
        <w:t>投标人名称：（盖公章）</w:t>
      </w:r>
    </w:p>
    <w:p>
      <w:pPr>
        <w:spacing w:line="360" w:lineRule="auto"/>
        <w:ind w:firstLine="470" w:firstLineChars="196"/>
        <w:jc w:val="left"/>
        <w:outlineLvl w:val="1"/>
        <w:rPr>
          <w:rFonts w:hAnsi="宋体" w:cs="宋体"/>
          <w:color w:val="auto"/>
        </w:rPr>
      </w:pPr>
      <w:r>
        <w:rPr>
          <w:rFonts w:hint="eastAsia" w:hAnsi="宋体" w:cs="宋体"/>
          <w:color w:val="auto"/>
        </w:rPr>
        <w:t>法定代表人或委托代理人（签字或盖章）：</w:t>
      </w:r>
    </w:p>
    <w:p>
      <w:pPr>
        <w:spacing w:line="360" w:lineRule="auto"/>
        <w:ind w:firstLine="470" w:firstLineChars="196"/>
        <w:jc w:val="left"/>
        <w:outlineLvl w:val="1"/>
        <w:rPr>
          <w:rFonts w:hAnsi="宋体" w:cs="宋体"/>
          <w:color w:val="auto"/>
        </w:rPr>
      </w:pPr>
      <w:r>
        <w:rPr>
          <w:rFonts w:hint="eastAsia" w:hAnsi="宋体" w:cs="宋体"/>
          <w:color w:val="auto"/>
        </w:rPr>
        <w:t>日  期：</w:t>
      </w:r>
    </w:p>
    <w:p>
      <w:pPr>
        <w:spacing w:line="360" w:lineRule="auto"/>
        <w:outlineLvl w:val="1"/>
        <w:rPr>
          <w:rFonts w:hAnsi="宋体" w:cs="宋体"/>
          <w:color w:val="auto"/>
          <w:sz w:val="21"/>
          <w:szCs w:val="21"/>
        </w:rPr>
      </w:pPr>
      <w:r>
        <w:rPr>
          <w:rFonts w:hint="eastAsia" w:hAnsi="宋体" w:cs="宋体"/>
          <w:color w:val="auto"/>
        </w:rPr>
        <w:br w:type="page"/>
      </w:r>
    </w:p>
    <w:p>
      <w:pPr>
        <w:spacing w:line="360" w:lineRule="atLeast"/>
        <w:outlineLvl w:val="1"/>
        <w:rPr>
          <w:rFonts w:hAnsi="宋体"/>
          <w:b/>
          <w:sz w:val="32"/>
          <w:szCs w:val="32"/>
        </w:rPr>
      </w:pPr>
      <w:r>
        <w:rPr>
          <w:rFonts w:hint="eastAsia" w:hAnsi="宋体"/>
          <w:b/>
          <w:sz w:val="32"/>
          <w:szCs w:val="32"/>
        </w:rPr>
        <w:t xml:space="preserve">格式1-4  </w:t>
      </w:r>
    </w:p>
    <w:p>
      <w:pPr>
        <w:numPr>
          <w:ilvl w:val="0"/>
          <w:numId w:val="2"/>
        </w:numPr>
        <w:spacing w:line="360" w:lineRule="atLeast"/>
        <w:ind w:firstLine="643" w:firstLineChars="200"/>
        <w:jc w:val="center"/>
        <w:outlineLvl w:val="1"/>
        <w:rPr>
          <w:rFonts w:hAnsi="宋体"/>
          <w:b/>
          <w:sz w:val="32"/>
          <w:szCs w:val="32"/>
        </w:rPr>
      </w:pPr>
      <w:r>
        <w:rPr>
          <w:rFonts w:hint="eastAsia" w:hAnsi="宋体"/>
          <w:b/>
          <w:sz w:val="32"/>
          <w:szCs w:val="32"/>
        </w:rPr>
        <w:t>承诺函</w:t>
      </w:r>
    </w:p>
    <w:p>
      <w:pPr>
        <w:pStyle w:val="12"/>
        <w:rPr>
          <w:rFonts w:hAnsi="宋体"/>
          <w:sz w:val="24"/>
        </w:rPr>
      </w:pPr>
    </w:p>
    <w:p>
      <w:pPr>
        <w:spacing w:line="360" w:lineRule="atLeast"/>
        <w:jc w:val="left"/>
        <w:outlineLvl w:val="1"/>
        <w:rPr>
          <w:rFonts w:hAnsi="宋体"/>
        </w:rPr>
      </w:pPr>
      <w:r>
        <w:rPr>
          <w:rFonts w:hint="eastAsia" w:hAnsi="宋体"/>
          <w:u w:val="single"/>
        </w:rPr>
        <w:t>（采购代理机构名称）</w:t>
      </w:r>
      <w:r>
        <w:rPr>
          <w:rFonts w:hint="eastAsia" w:hAnsi="宋体"/>
        </w:rPr>
        <w:t>：</w:t>
      </w:r>
    </w:p>
    <w:p>
      <w:pPr>
        <w:spacing w:line="360" w:lineRule="atLeast"/>
        <w:ind w:firstLine="480" w:firstLineChars="200"/>
        <w:jc w:val="left"/>
        <w:outlineLvl w:val="1"/>
        <w:rPr>
          <w:rFonts w:hAnsi="宋体"/>
        </w:rPr>
      </w:pPr>
      <w:r>
        <w:rPr>
          <w:rFonts w:hint="eastAsia" w:hAnsi="宋体"/>
        </w:rPr>
        <w:t>作为本次采购项目的投标人，根据招标文件要求，现郑重承诺如下：</w:t>
      </w:r>
    </w:p>
    <w:p>
      <w:pPr>
        <w:spacing w:line="360" w:lineRule="atLeast"/>
        <w:ind w:firstLine="480" w:firstLineChars="200"/>
        <w:jc w:val="left"/>
        <w:outlineLvl w:val="1"/>
        <w:rPr>
          <w:rFonts w:hAnsi="宋体"/>
        </w:rPr>
      </w:pPr>
      <w:r>
        <w:rPr>
          <w:rFonts w:hint="eastAsia" w:hAnsi="宋体"/>
        </w:rPr>
        <w:t>本单位未被列入失信被执行人、重大税收违法案件当事人名单、政府采购严重违法失信行为记录名单。</w:t>
      </w:r>
    </w:p>
    <w:p>
      <w:pPr>
        <w:spacing w:line="360" w:lineRule="atLeast"/>
        <w:ind w:firstLine="480" w:firstLineChars="200"/>
        <w:jc w:val="left"/>
        <w:outlineLvl w:val="1"/>
        <w:rPr>
          <w:rFonts w:hAnsi="宋体"/>
        </w:rPr>
      </w:pPr>
      <w:r>
        <w:rPr>
          <w:rFonts w:hint="eastAsia" w:hAnsi="宋体"/>
        </w:rPr>
        <w:t>本单位对上述承诺的内容事项真实性负责。如经查实上述承诺的内容事项存在虚假情形，本单位愿意承担因此产生的后果及法律责任。</w:t>
      </w:r>
    </w:p>
    <w:p>
      <w:pPr>
        <w:spacing w:line="360" w:lineRule="auto"/>
        <w:rPr>
          <w:rFonts w:hAnsi="宋体"/>
          <w:bCs/>
        </w:rPr>
      </w:pPr>
    </w:p>
    <w:p>
      <w:pPr>
        <w:spacing w:line="360" w:lineRule="atLeast"/>
        <w:ind w:firstLine="470" w:firstLineChars="196"/>
        <w:jc w:val="left"/>
        <w:outlineLvl w:val="1"/>
        <w:rPr>
          <w:rFonts w:hAnsi="宋体"/>
        </w:rPr>
      </w:pPr>
      <w:r>
        <w:rPr>
          <w:rFonts w:hint="eastAsia" w:hAnsi="宋体"/>
        </w:rPr>
        <w:t xml:space="preserve">投标人名称：（盖公章） </w:t>
      </w:r>
    </w:p>
    <w:p>
      <w:pPr>
        <w:spacing w:line="360" w:lineRule="atLeast"/>
        <w:ind w:firstLine="470" w:firstLineChars="196"/>
        <w:jc w:val="left"/>
        <w:outlineLvl w:val="1"/>
        <w:rPr>
          <w:rFonts w:hAnsi="宋体"/>
        </w:rPr>
      </w:pPr>
      <w:r>
        <w:rPr>
          <w:rFonts w:hint="eastAsia" w:hAnsi="宋体"/>
        </w:rPr>
        <w:t>法定代表人或委托代理人（签字或盖章）：</w:t>
      </w:r>
    </w:p>
    <w:p>
      <w:pPr>
        <w:spacing w:line="360" w:lineRule="atLeast"/>
        <w:ind w:firstLine="470" w:firstLineChars="196"/>
        <w:jc w:val="left"/>
        <w:outlineLvl w:val="1"/>
        <w:rPr>
          <w:rFonts w:hAnsi="宋体"/>
        </w:rPr>
      </w:pPr>
      <w:r>
        <w:rPr>
          <w:rFonts w:hint="eastAsia" w:hAnsi="宋体"/>
        </w:rPr>
        <w:t>日  期：</w:t>
      </w:r>
    </w:p>
    <w:p>
      <w:pPr>
        <w:spacing w:line="360" w:lineRule="auto"/>
        <w:rPr>
          <w:rFonts w:hAnsi="宋体" w:cs="宋体"/>
          <w:b/>
          <w:color w:val="auto"/>
          <w:sz w:val="32"/>
          <w:szCs w:val="32"/>
        </w:rPr>
      </w:pPr>
    </w:p>
    <w:p>
      <w:pPr>
        <w:pStyle w:val="2"/>
      </w:pPr>
      <w:r>
        <w:br w:type="page"/>
      </w:r>
    </w:p>
    <w:p>
      <w:pPr>
        <w:spacing w:line="360" w:lineRule="auto"/>
        <w:rPr>
          <w:rFonts w:hAnsi="宋体" w:cs="宋体"/>
          <w:b/>
          <w:color w:val="auto"/>
          <w:sz w:val="32"/>
          <w:szCs w:val="32"/>
        </w:rPr>
      </w:pPr>
      <w:r>
        <w:rPr>
          <w:rFonts w:hint="eastAsia" w:hAnsi="宋体" w:cs="宋体"/>
          <w:b/>
          <w:color w:val="auto"/>
          <w:sz w:val="32"/>
          <w:szCs w:val="32"/>
        </w:rPr>
        <w:t>格式1-5</w:t>
      </w:r>
    </w:p>
    <w:p>
      <w:pPr>
        <w:spacing w:line="360" w:lineRule="auto"/>
        <w:ind w:firstLine="790" w:firstLineChars="246"/>
        <w:jc w:val="center"/>
        <w:rPr>
          <w:rFonts w:hAnsi="宋体" w:cs="宋体"/>
          <w:b/>
          <w:color w:val="auto"/>
          <w:sz w:val="32"/>
          <w:szCs w:val="32"/>
        </w:rPr>
      </w:pPr>
      <w:r>
        <w:rPr>
          <w:rFonts w:hint="eastAsia" w:hAnsi="宋体" w:cs="宋体"/>
          <w:b/>
          <w:color w:val="auto"/>
          <w:sz w:val="32"/>
          <w:szCs w:val="32"/>
        </w:rPr>
        <w:t>四、投标人和投标产品其他资格、资质性及其他类似效力要求的相关证明材料</w:t>
      </w:r>
    </w:p>
    <w:p>
      <w:pPr>
        <w:spacing w:line="360" w:lineRule="auto"/>
        <w:rPr>
          <w:rFonts w:hAnsi="宋体" w:cs="宋体"/>
          <w:bCs/>
          <w:color w:val="auto"/>
        </w:rPr>
      </w:pPr>
      <w:r>
        <w:rPr>
          <w:rFonts w:hint="eastAsia" w:hAnsi="宋体" w:cs="宋体"/>
          <w:bCs/>
          <w:color w:val="auto"/>
        </w:rPr>
        <w:t>注：投标人应按招标文件第四章相关要求提供佐证材料，有格式要求的从其要求，无格式要求的格式自拟。</w:t>
      </w:r>
    </w:p>
    <w:p>
      <w:pPr>
        <w:tabs>
          <w:tab w:val="left" w:pos="900"/>
        </w:tabs>
        <w:spacing w:line="360" w:lineRule="auto"/>
        <w:jc w:val="center"/>
        <w:rPr>
          <w:rFonts w:hAnsi="宋体" w:cs="宋体"/>
          <w:b/>
          <w:color w:val="auto"/>
          <w:sz w:val="32"/>
        </w:rPr>
      </w:pPr>
      <w:r>
        <w:rPr>
          <w:rFonts w:hint="eastAsia" w:hAnsi="宋体" w:cs="宋体"/>
          <w:b/>
          <w:color w:val="auto"/>
          <w:sz w:val="32"/>
        </w:rPr>
        <w:br w:type="page"/>
      </w:r>
      <w:r>
        <w:rPr>
          <w:rFonts w:hint="eastAsia" w:hAnsi="宋体" w:cs="宋体"/>
          <w:b/>
          <w:color w:val="auto"/>
          <w:sz w:val="32"/>
        </w:rPr>
        <w:t>第二部分“其他响应性投标文件”格式</w:t>
      </w:r>
    </w:p>
    <w:p>
      <w:pPr>
        <w:spacing w:line="360" w:lineRule="auto"/>
        <w:rPr>
          <w:rFonts w:hAnsi="宋体" w:cs="宋体"/>
          <w:b/>
          <w:color w:val="auto"/>
          <w:sz w:val="32"/>
          <w:szCs w:val="32"/>
        </w:rPr>
      </w:pPr>
    </w:p>
    <w:p>
      <w:pPr>
        <w:spacing w:line="360" w:lineRule="auto"/>
        <w:rPr>
          <w:rFonts w:hAnsi="宋体" w:cs="宋体"/>
          <w:b/>
          <w:color w:val="auto"/>
          <w:sz w:val="32"/>
          <w:szCs w:val="32"/>
        </w:rPr>
      </w:pPr>
      <w:r>
        <w:rPr>
          <w:rFonts w:hint="eastAsia" w:hAnsi="宋体" w:cs="宋体"/>
          <w:b/>
          <w:color w:val="auto"/>
          <w:sz w:val="32"/>
          <w:szCs w:val="32"/>
        </w:rPr>
        <w:t>格式2-1             封面：</w:t>
      </w:r>
    </w:p>
    <w:p>
      <w:pPr>
        <w:spacing w:line="360" w:lineRule="auto"/>
        <w:jc w:val="right"/>
        <w:rPr>
          <w:rFonts w:hAnsi="宋体" w:cs="宋体"/>
          <w:b/>
          <w:color w:val="auto"/>
          <w:sz w:val="36"/>
        </w:rPr>
      </w:pPr>
      <w:r>
        <w:rPr>
          <w:rFonts w:hint="eastAsia" w:hAnsi="宋体" w:cs="宋体"/>
          <w:b/>
          <w:color w:val="auto"/>
          <w:sz w:val="36"/>
        </w:rPr>
        <w:t>（正本/副本）</w:t>
      </w:r>
    </w:p>
    <w:p>
      <w:pPr>
        <w:spacing w:line="360" w:lineRule="auto"/>
        <w:rPr>
          <w:rFonts w:hAnsi="宋体" w:cs="宋体"/>
          <w:b/>
          <w:color w:val="auto"/>
          <w:sz w:val="32"/>
          <w:szCs w:val="32"/>
        </w:rPr>
      </w:pPr>
    </w:p>
    <w:p>
      <w:pPr>
        <w:spacing w:line="360" w:lineRule="auto"/>
        <w:rPr>
          <w:rFonts w:hAnsi="宋体" w:cs="宋体"/>
          <w:b/>
          <w:color w:val="auto"/>
          <w:sz w:val="32"/>
          <w:szCs w:val="32"/>
        </w:rPr>
      </w:pPr>
    </w:p>
    <w:p>
      <w:pPr>
        <w:spacing w:line="360" w:lineRule="auto"/>
        <w:jc w:val="center"/>
        <w:rPr>
          <w:rFonts w:hAnsi="宋体" w:cs="宋体"/>
          <w:b/>
          <w:color w:val="auto"/>
          <w:sz w:val="72"/>
        </w:rPr>
      </w:pPr>
      <w:r>
        <w:rPr>
          <w:rFonts w:hint="eastAsia" w:hAnsi="宋体" w:cs="宋体"/>
          <w:b/>
          <w:color w:val="auto"/>
          <w:sz w:val="40"/>
          <w:szCs w:val="48"/>
          <w:u w:val="single"/>
        </w:rPr>
        <w:t xml:space="preserve">                 </w:t>
      </w:r>
      <w:r>
        <w:rPr>
          <w:rFonts w:hint="eastAsia" w:hAnsi="宋体" w:cs="宋体"/>
          <w:b/>
          <w:color w:val="auto"/>
          <w:sz w:val="40"/>
          <w:szCs w:val="48"/>
        </w:rPr>
        <w:t>项目</w:t>
      </w:r>
    </w:p>
    <w:p>
      <w:pPr>
        <w:spacing w:line="360" w:lineRule="auto"/>
        <w:rPr>
          <w:rFonts w:hAnsi="宋体" w:cs="宋体"/>
          <w:b/>
          <w:color w:val="auto"/>
          <w:sz w:val="52"/>
          <w:szCs w:val="52"/>
        </w:rPr>
      </w:pPr>
    </w:p>
    <w:p>
      <w:pPr>
        <w:spacing w:line="360" w:lineRule="auto"/>
        <w:jc w:val="center"/>
        <w:rPr>
          <w:rFonts w:hAnsi="宋体" w:cs="宋体"/>
          <w:b/>
          <w:color w:val="auto"/>
          <w:sz w:val="32"/>
          <w:szCs w:val="32"/>
        </w:rPr>
      </w:pPr>
      <w:r>
        <w:rPr>
          <w:rFonts w:hint="eastAsia" w:hAnsi="宋体" w:cs="宋体"/>
          <w:b/>
          <w:color w:val="auto"/>
          <w:sz w:val="52"/>
          <w:szCs w:val="52"/>
        </w:rPr>
        <w:t>其他响应性投标文件</w:t>
      </w:r>
    </w:p>
    <w:p>
      <w:pPr>
        <w:spacing w:line="360" w:lineRule="auto"/>
        <w:rPr>
          <w:rFonts w:hAnsi="宋体" w:cs="宋体"/>
          <w:b/>
          <w:color w:val="auto"/>
          <w:sz w:val="36"/>
        </w:rPr>
      </w:pPr>
    </w:p>
    <w:p>
      <w:pPr>
        <w:spacing w:line="360" w:lineRule="auto"/>
        <w:jc w:val="left"/>
        <w:rPr>
          <w:rFonts w:hAnsi="宋体" w:cs="宋体"/>
          <w:b/>
          <w:color w:val="auto"/>
          <w:sz w:val="32"/>
          <w:u w:val="single"/>
        </w:rPr>
      </w:pPr>
      <w:r>
        <w:rPr>
          <w:rFonts w:hint="eastAsia" w:hAnsi="宋体" w:cs="宋体"/>
          <w:b/>
          <w:color w:val="auto"/>
          <w:sz w:val="32"/>
        </w:rPr>
        <w:t>投标人名称：</w:t>
      </w:r>
    </w:p>
    <w:p>
      <w:pPr>
        <w:spacing w:line="360" w:lineRule="auto"/>
        <w:jc w:val="left"/>
        <w:rPr>
          <w:rFonts w:hAnsi="宋体" w:cs="宋体"/>
          <w:b/>
          <w:color w:val="auto"/>
          <w:sz w:val="32"/>
        </w:rPr>
      </w:pPr>
      <w:r>
        <w:rPr>
          <w:rFonts w:hint="eastAsia" w:hAnsi="宋体" w:cs="宋体"/>
          <w:b/>
          <w:color w:val="auto"/>
          <w:sz w:val="32"/>
        </w:rPr>
        <w:t>采购项目编号：</w:t>
      </w:r>
    </w:p>
    <w:p>
      <w:pPr>
        <w:pStyle w:val="12"/>
      </w:pPr>
      <w:r>
        <w:rPr>
          <w:rFonts w:hint="eastAsia" w:hAnsi="宋体" w:cs="宋体"/>
          <w:b/>
          <w:sz w:val="32"/>
        </w:rPr>
        <w:t>包号：</w:t>
      </w:r>
    </w:p>
    <w:p>
      <w:pPr>
        <w:spacing w:line="360" w:lineRule="auto"/>
        <w:ind w:firstLine="790" w:firstLineChars="246"/>
        <w:jc w:val="center"/>
        <w:rPr>
          <w:rFonts w:hAnsi="宋体" w:cs="宋体"/>
          <w:b/>
          <w:color w:val="auto"/>
          <w:sz w:val="32"/>
        </w:rPr>
      </w:pPr>
    </w:p>
    <w:p>
      <w:pPr>
        <w:spacing w:line="360" w:lineRule="auto"/>
        <w:rPr>
          <w:rFonts w:hAnsi="宋体" w:cs="宋体"/>
          <w:b/>
          <w:color w:val="auto"/>
          <w:sz w:val="32"/>
        </w:rPr>
      </w:pPr>
      <w:r>
        <w:rPr>
          <w:rFonts w:hint="eastAsia" w:hAnsi="宋体" w:cs="宋体"/>
          <w:b/>
          <w:color w:val="auto"/>
          <w:sz w:val="32"/>
        </w:rPr>
        <w:t>时间：  年  月  日</w:t>
      </w:r>
    </w:p>
    <w:p>
      <w:pPr>
        <w:spacing w:line="360" w:lineRule="auto"/>
        <w:rPr>
          <w:rFonts w:hAnsi="宋体" w:cs="宋体"/>
          <w:b/>
          <w:color w:val="auto"/>
          <w:sz w:val="32"/>
          <w:szCs w:val="32"/>
        </w:rPr>
      </w:pPr>
      <w:r>
        <w:rPr>
          <w:rFonts w:hint="eastAsia" w:hAnsi="宋体" w:cs="宋体"/>
          <w:b/>
          <w:color w:val="auto"/>
          <w:sz w:val="32"/>
          <w:szCs w:val="32"/>
        </w:rPr>
        <w:br w:type="page"/>
      </w:r>
      <w:r>
        <w:rPr>
          <w:rFonts w:hint="eastAsia" w:hAnsi="宋体" w:cs="宋体"/>
          <w:b/>
          <w:color w:val="auto"/>
          <w:sz w:val="32"/>
          <w:szCs w:val="32"/>
        </w:rPr>
        <w:t>格式2-2</w:t>
      </w:r>
      <w:bookmarkStart w:id="183" w:name="_Toc20015"/>
      <w:bookmarkStart w:id="184" w:name="_Toc32711"/>
    </w:p>
    <w:p>
      <w:pPr>
        <w:pStyle w:val="3"/>
        <w:spacing w:line="240" w:lineRule="auto"/>
        <w:ind w:left="840"/>
        <w:jc w:val="left"/>
        <w:rPr>
          <w:rFonts w:hAnsi="宋体" w:cs="宋体"/>
          <w:bCs/>
          <w:kern w:val="0"/>
          <w:sz w:val="24"/>
          <w:szCs w:val="24"/>
        </w:rPr>
      </w:pPr>
      <w:bookmarkStart w:id="185" w:name="_Toc31229"/>
      <w:r>
        <w:rPr>
          <w:rFonts w:hint="eastAsia" w:hAnsi="宋体" w:cs="宋体"/>
          <w:bCs/>
          <w:kern w:val="0"/>
          <w:sz w:val="24"/>
          <w:szCs w:val="24"/>
        </w:rPr>
        <w:t>本表适用于同时购买多包的供应商</w:t>
      </w:r>
      <w:bookmarkEnd w:id="185"/>
    </w:p>
    <w:p>
      <w:pPr>
        <w:spacing w:line="360" w:lineRule="auto"/>
        <w:jc w:val="center"/>
        <w:outlineLvl w:val="1"/>
        <w:rPr>
          <w:rFonts w:hAnsi="宋体" w:cs="宋体"/>
          <w:b/>
          <w:color w:val="auto"/>
          <w:sz w:val="32"/>
          <w:szCs w:val="32"/>
        </w:rPr>
      </w:pPr>
      <w:r>
        <w:rPr>
          <w:rFonts w:hint="eastAsia" w:hAnsi="宋体" w:cs="宋体"/>
          <w:b/>
          <w:color w:val="auto"/>
          <w:sz w:val="32"/>
          <w:szCs w:val="32"/>
        </w:rPr>
        <w:t>一、投标函（一）</w:t>
      </w:r>
    </w:p>
    <w:p>
      <w:pPr>
        <w:jc w:val="center"/>
        <w:outlineLvl w:val="1"/>
        <w:rPr>
          <w:rFonts w:hAnsi="宋体" w:cs="宋体"/>
          <w:b/>
          <w:color w:val="auto"/>
        </w:rPr>
      </w:pPr>
    </w:p>
    <w:p>
      <w:pPr>
        <w:pStyle w:val="19"/>
        <w:spacing w:line="240" w:lineRule="auto"/>
        <w:ind w:left="480"/>
        <w:rPr>
          <w:rFonts w:ascii="宋体" w:hAnsi="宋体" w:cs="宋体"/>
          <w:bCs/>
          <w:color w:val="auto"/>
        </w:rPr>
      </w:pPr>
      <w:bookmarkStart w:id="186" w:name="_Toc308164824"/>
      <w:r>
        <w:rPr>
          <w:rFonts w:hint="eastAsia" w:ascii="宋体" w:hAnsi="宋体" w:cs="宋体"/>
          <w:bCs/>
          <w:color w:val="auto"/>
        </w:rPr>
        <w:t>__________________（采购代理机构名称）：</w:t>
      </w:r>
    </w:p>
    <w:p>
      <w:pPr>
        <w:pStyle w:val="19"/>
        <w:spacing w:line="240" w:lineRule="auto"/>
        <w:ind w:left="480" w:firstLine="480" w:firstLineChars="200"/>
        <w:rPr>
          <w:rFonts w:ascii="宋体" w:hAnsi="宋体" w:cs="宋体"/>
          <w:bCs/>
          <w:color w:val="auto"/>
        </w:rPr>
      </w:pPr>
      <w:r>
        <w:rPr>
          <w:rFonts w:hint="eastAsia" w:ascii="宋体" w:hAnsi="宋体" w:cs="宋体"/>
          <w:bCs/>
          <w:color w:val="auto"/>
        </w:rPr>
        <w:t>我方全面研究了</w:t>
      </w:r>
      <w:r>
        <w:rPr>
          <w:rFonts w:hint="eastAsia" w:ascii="宋体" w:hAnsi="宋体" w:cs="宋体"/>
          <w:bCs/>
          <w:color w:val="auto"/>
          <w:u w:val="single"/>
        </w:rPr>
        <w:t>“（项目名称）”</w:t>
      </w:r>
      <w:r>
        <w:rPr>
          <w:rFonts w:hint="eastAsia" w:ascii="宋体" w:hAnsi="宋体" w:cs="宋体"/>
          <w:bCs/>
          <w:color w:val="auto"/>
        </w:rPr>
        <w:t>项目招标文件（</w:t>
      </w:r>
      <w:r>
        <w:rPr>
          <w:rFonts w:hint="eastAsia" w:hAnsi="宋体" w:cs="宋体"/>
          <w:color w:val="auto"/>
        </w:rPr>
        <w:t>项目编号/包号：</w:t>
      </w:r>
      <w:r>
        <w:rPr>
          <w:rFonts w:hint="eastAsia" w:ascii="宋体" w:hAnsi="宋体" w:cs="宋体"/>
          <w:bCs/>
          <w:color w:val="auto"/>
        </w:rPr>
        <w:t>_________），决定参加贵单位组织的本项目投标。我方授权</w:t>
      </w:r>
      <w:r>
        <w:rPr>
          <w:rFonts w:hint="eastAsia" w:ascii="宋体" w:hAnsi="宋体" w:cs="宋体"/>
          <w:bCs/>
          <w:color w:val="auto"/>
          <w:u w:val="single"/>
        </w:rPr>
        <w:t xml:space="preserve">（姓名、职务）      </w:t>
      </w:r>
      <w:r>
        <w:rPr>
          <w:rFonts w:hint="eastAsia" w:ascii="宋体" w:hAnsi="宋体" w:cs="宋体"/>
          <w:bCs/>
          <w:color w:val="auto"/>
        </w:rPr>
        <w:t>代表我方</w:t>
      </w:r>
      <w:r>
        <w:rPr>
          <w:rFonts w:hint="eastAsia" w:ascii="宋体" w:hAnsi="宋体" w:cs="宋体"/>
          <w:bCs/>
          <w:color w:val="auto"/>
          <w:u w:val="single"/>
        </w:rPr>
        <w:t>（投标单位的名称）</w:t>
      </w:r>
      <w:r>
        <w:rPr>
          <w:rFonts w:hint="eastAsia" w:ascii="宋体" w:hAnsi="宋体" w:cs="宋体"/>
          <w:bCs/>
          <w:color w:val="auto"/>
        </w:rPr>
        <w:t>全权处理本项目投标的有关事宜。</w:t>
      </w:r>
    </w:p>
    <w:p>
      <w:pPr>
        <w:pStyle w:val="19"/>
        <w:spacing w:line="240" w:lineRule="auto"/>
        <w:ind w:left="480" w:firstLine="480" w:firstLineChars="200"/>
        <w:rPr>
          <w:rFonts w:ascii="宋体" w:hAnsi="宋体" w:cs="宋体"/>
          <w:bCs/>
          <w:color w:val="auto"/>
        </w:rPr>
      </w:pPr>
      <w:r>
        <w:rPr>
          <w:rFonts w:hint="eastAsia" w:ascii="宋体" w:hAnsi="宋体" w:cs="宋体"/>
          <w:bCs/>
          <w:color w:val="auto"/>
        </w:rPr>
        <w:t>1、我方自愿按照招标文件规定的各项要求向采购人提供所需货物/服务，总投标价为人民币</w:t>
      </w:r>
      <w:r>
        <w:rPr>
          <w:rFonts w:hint="eastAsia" w:ascii="宋体" w:hAnsi="宋体" w:cs="宋体"/>
          <w:bCs/>
          <w:color w:val="auto"/>
          <w:u w:val="single"/>
        </w:rPr>
        <w:t xml:space="preserve">          </w:t>
      </w:r>
      <w:r>
        <w:rPr>
          <w:rFonts w:hint="eastAsia" w:ascii="宋体" w:hAnsi="宋体" w:cs="宋体"/>
          <w:bCs/>
          <w:color w:val="auto"/>
        </w:rPr>
        <w:t>万元（大写：</w:t>
      </w:r>
      <w:r>
        <w:rPr>
          <w:rFonts w:hint="eastAsia" w:hAnsi="宋体" w:cs="宋体"/>
          <w:color w:val="auto"/>
          <w:u w:val="single"/>
        </w:rPr>
        <w:t xml:space="preserve">            </w:t>
      </w:r>
      <w:r>
        <w:rPr>
          <w:rFonts w:hint="eastAsia" w:ascii="宋体" w:hAnsi="宋体" w:cs="宋体"/>
          <w:bCs/>
          <w:color w:val="auto"/>
        </w:rPr>
        <w:t>）。</w:t>
      </w:r>
    </w:p>
    <w:p>
      <w:pPr>
        <w:pStyle w:val="19"/>
        <w:spacing w:line="240" w:lineRule="auto"/>
        <w:ind w:left="648" w:leftChars="270" w:firstLine="360" w:firstLineChars="150"/>
        <w:rPr>
          <w:rFonts w:ascii="宋体" w:hAnsi="宋体" w:cs="宋体"/>
          <w:bCs/>
          <w:color w:val="auto"/>
        </w:rPr>
      </w:pPr>
      <w:r>
        <w:rPr>
          <w:rFonts w:hint="eastAsia" w:ascii="宋体" w:hAnsi="宋体" w:cs="宋体"/>
          <w:bCs/>
          <w:color w:val="auto"/>
        </w:rPr>
        <w:t>2、一旦我方中标，我方将严格履行合同规定的责任和义务，保证按我方承诺时间内完成项目的供货、安装、调试并交付采购人验收、使用。</w:t>
      </w:r>
    </w:p>
    <w:p>
      <w:pPr>
        <w:pStyle w:val="19"/>
        <w:spacing w:line="240" w:lineRule="auto"/>
        <w:ind w:left="480" w:firstLine="480" w:firstLineChars="200"/>
        <w:rPr>
          <w:rFonts w:ascii="宋体" w:hAnsi="宋体" w:cs="宋体"/>
          <w:bCs/>
          <w:color w:val="auto"/>
        </w:rPr>
      </w:pPr>
      <w:r>
        <w:rPr>
          <w:rFonts w:hint="eastAsia" w:ascii="宋体" w:hAnsi="宋体" w:cs="宋体"/>
          <w:bCs/>
          <w:color w:val="auto"/>
        </w:rPr>
        <w:t>3、我方为本项目提交的投标文件正本1份，副本4份，电子文档（U盘）1份，用于开标唱标的“开标一览表”1份。</w:t>
      </w:r>
    </w:p>
    <w:p>
      <w:pPr>
        <w:pStyle w:val="19"/>
        <w:spacing w:line="240" w:lineRule="auto"/>
        <w:ind w:left="480" w:firstLine="480" w:firstLineChars="200"/>
        <w:rPr>
          <w:rFonts w:ascii="宋体" w:hAnsi="宋体" w:cs="宋体"/>
          <w:bCs/>
          <w:color w:val="auto"/>
        </w:rPr>
      </w:pPr>
      <w:r>
        <w:rPr>
          <w:rFonts w:hint="eastAsia" w:ascii="宋体" w:hAnsi="宋体" w:cs="宋体"/>
          <w:bCs/>
          <w:color w:val="auto"/>
        </w:rPr>
        <w:t>4、我方承诺投标有效期为开标后</w:t>
      </w:r>
      <w:r>
        <w:rPr>
          <w:rFonts w:hint="eastAsia" w:ascii="宋体" w:hAnsi="宋体" w:cs="宋体"/>
          <w:bCs/>
          <w:color w:val="auto"/>
          <w:u w:val="single"/>
        </w:rPr>
        <w:t xml:space="preserve">90  </w:t>
      </w:r>
      <w:r>
        <w:rPr>
          <w:rFonts w:hint="eastAsia" w:ascii="宋体" w:hAnsi="宋体" w:cs="宋体"/>
          <w:bCs/>
          <w:color w:val="auto"/>
        </w:rPr>
        <w:t>天（日历日）。</w:t>
      </w:r>
    </w:p>
    <w:p>
      <w:pPr>
        <w:pStyle w:val="19"/>
        <w:spacing w:line="240" w:lineRule="auto"/>
        <w:ind w:left="480" w:firstLine="480" w:firstLineChars="200"/>
        <w:rPr>
          <w:rFonts w:ascii="宋体" w:hAnsi="宋体" w:cs="宋体"/>
          <w:bCs/>
          <w:color w:val="auto"/>
        </w:rPr>
      </w:pPr>
      <w:r>
        <w:rPr>
          <w:rFonts w:hint="eastAsia" w:ascii="宋体" w:hAnsi="宋体" w:cs="宋体"/>
          <w:bCs/>
          <w:color w:val="auto"/>
        </w:rPr>
        <w:t>5、我方愿意提供贵公司可能另外要求的，与投标有关的文件资料，并保证我方已提供和将要提供的文件资料是真实、准确的。</w:t>
      </w:r>
    </w:p>
    <w:p>
      <w:pPr>
        <w:pStyle w:val="19"/>
        <w:spacing w:line="240" w:lineRule="auto"/>
        <w:ind w:left="480" w:firstLine="480" w:firstLineChars="200"/>
        <w:rPr>
          <w:rFonts w:ascii="宋体" w:hAnsi="宋体" w:cs="宋体"/>
          <w:bCs/>
          <w:color w:val="auto"/>
        </w:rPr>
      </w:pPr>
      <w:r>
        <w:rPr>
          <w:rFonts w:hint="eastAsia" w:ascii="宋体" w:hAnsi="宋体" w:cs="宋体"/>
          <w:bCs/>
          <w:color w:val="auto"/>
        </w:rPr>
        <w:t>6、我方完全理解采购人不一定将合同授予最低报价的投标人的行为。</w:t>
      </w:r>
    </w:p>
    <w:p>
      <w:pPr>
        <w:pStyle w:val="19"/>
        <w:spacing w:line="240" w:lineRule="auto"/>
        <w:ind w:left="480" w:firstLine="480" w:firstLineChars="200"/>
        <w:rPr>
          <w:rFonts w:ascii="宋体" w:hAnsi="宋体" w:cs="宋体"/>
          <w:bCs/>
          <w:color w:val="auto"/>
        </w:rPr>
      </w:pPr>
      <w:r>
        <w:rPr>
          <w:rFonts w:hint="eastAsia" w:ascii="宋体" w:hAnsi="宋体" w:cs="宋体"/>
          <w:bCs/>
          <w:color w:val="auto"/>
        </w:rPr>
        <w:t>7、我方完全理解并</w:t>
      </w:r>
      <w:r>
        <w:rPr>
          <w:rFonts w:hint="eastAsia" w:ascii="宋体" w:hAnsi="宋体" w:cs="宋体"/>
          <w:bCs/>
          <w:color w:val="auto"/>
          <w:u w:val="single"/>
        </w:rPr>
        <w:t xml:space="preserve">    </w:t>
      </w:r>
      <w:r>
        <w:rPr>
          <w:rFonts w:hint="eastAsia" w:ascii="宋体" w:hAnsi="宋体" w:cs="宋体"/>
          <w:bCs/>
          <w:color w:val="auto"/>
        </w:rPr>
        <w:t>（接受/不接受）本项目招标文件第二章《投标人须知前附表》中的特别约定，按照约定当成为某包第一中标人后，自愿放弃其他包成为第一中标候选人的资格。</w:t>
      </w:r>
    </w:p>
    <w:p>
      <w:pPr>
        <w:pStyle w:val="19"/>
        <w:spacing w:line="240" w:lineRule="auto"/>
        <w:ind w:left="480" w:firstLine="480" w:firstLineChars="200"/>
        <w:rPr>
          <w:rFonts w:ascii="宋体" w:hAnsi="宋体" w:cs="宋体"/>
          <w:bCs/>
          <w:color w:val="auto"/>
        </w:rPr>
      </w:pPr>
    </w:p>
    <w:p>
      <w:pPr>
        <w:pStyle w:val="19"/>
        <w:spacing w:line="240" w:lineRule="auto"/>
        <w:ind w:left="480" w:firstLine="480" w:firstLineChars="200"/>
        <w:rPr>
          <w:rFonts w:ascii="宋体" w:hAnsi="宋体" w:cs="宋体"/>
          <w:bCs/>
          <w:color w:val="auto"/>
        </w:rPr>
      </w:pPr>
    </w:p>
    <w:p>
      <w:pPr>
        <w:pStyle w:val="19"/>
        <w:spacing w:line="240" w:lineRule="auto"/>
        <w:ind w:left="480" w:firstLine="480" w:firstLineChars="200"/>
        <w:rPr>
          <w:rFonts w:ascii="宋体" w:hAnsi="宋体" w:cs="宋体"/>
          <w:bCs/>
          <w:color w:val="auto"/>
        </w:rPr>
      </w:pPr>
      <w:r>
        <w:rPr>
          <w:rFonts w:hint="eastAsia" w:ascii="宋体" w:hAnsi="宋体" w:cs="宋体"/>
          <w:bCs/>
          <w:color w:val="auto"/>
        </w:rPr>
        <w:t>投标人名称：（盖公章）</w:t>
      </w:r>
    </w:p>
    <w:p>
      <w:pPr>
        <w:pStyle w:val="19"/>
        <w:spacing w:line="240" w:lineRule="auto"/>
        <w:ind w:left="480" w:firstLine="480" w:firstLineChars="200"/>
        <w:rPr>
          <w:rFonts w:ascii="宋体" w:hAnsi="宋体" w:cs="宋体"/>
          <w:bCs/>
          <w:color w:val="auto"/>
        </w:rPr>
      </w:pPr>
      <w:r>
        <w:rPr>
          <w:rFonts w:hint="eastAsia" w:ascii="宋体" w:hAnsi="宋体" w:cs="宋体"/>
          <w:bCs/>
          <w:color w:val="auto"/>
        </w:rPr>
        <w:t>法定代表人或</w:t>
      </w:r>
      <w:r>
        <w:rPr>
          <w:rFonts w:hint="eastAsia" w:ascii="宋体" w:hAnsi="宋体" w:cs="宋体"/>
          <w:color w:val="auto"/>
        </w:rPr>
        <w:t>委托代理人</w:t>
      </w:r>
      <w:r>
        <w:rPr>
          <w:rFonts w:hint="eastAsia" w:ascii="宋体" w:hAnsi="宋体" w:cs="宋体"/>
          <w:bCs/>
          <w:color w:val="auto"/>
        </w:rPr>
        <w:t>（签字或盖章）：</w:t>
      </w:r>
    </w:p>
    <w:p>
      <w:pPr>
        <w:pStyle w:val="19"/>
        <w:spacing w:line="240" w:lineRule="auto"/>
        <w:ind w:left="480" w:firstLine="480" w:firstLineChars="200"/>
        <w:rPr>
          <w:rFonts w:ascii="宋体" w:hAnsi="宋体" w:cs="宋体"/>
          <w:bCs/>
          <w:color w:val="auto"/>
        </w:rPr>
      </w:pPr>
      <w:r>
        <w:rPr>
          <w:rFonts w:hint="eastAsia" w:ascii="宋体" w:hAnsi="宋体" w:cs="宋体"/>
          <w:bCs/>
          <w:color w:val="auto"/>
        </w:rPr>
        <w:t>通讯地址：</w:t>
      </w:r>
    </w:p>
    <w:p>
      <w:pPr>
        <w:pStyle w:val="19"/>
        <w:spacing w:line="240" w:lineRule="auto"/>
        <w:ind w:left="480" w:firstLine="480" w:firstLineChars="200"/>
        <w:rPr>
          <w:rFonts w:ascii="宋体" w:hAnsi="宋体" w:cs="宋体"/>
          <w:bCs/>
          <w:color w:val="auto"/>
        </w:rPr>
      </w:pPr>
      <w:r>
        <w:rPr>
          <w:rFonts w:hint="eastAsia" w:ascii="宋体" w:hAnsi="宋体" w:cs="宋体"/>
          <w:bCs/>
          <w:color w:val="auto"/>
        </w:rPr>
        <w:t>邮政编码：</w:t>
      </w:r>
    </w:p>
    <w:p>
      <w:pPr>
        <w:pStyle w:val="19"/>
        <w:spacing w:line="240" w:lineRule="auto"/>
        <w:ind w:left="480" w:firstLine="480" w:firstLineChars="200"/>
        <w:rPr>
          <w:rFonts w:ascii="宋体" w:hAnsi="宋体" w:cs="宋体"/>
          <w:bCs/>
          <w:color w:val="auto"/>
        </w:rPr>
      </w:pPr>
      <w:r>
        <w:rPr>
          <w:rFonts w:hint="eastAsia" w:ascii="宋体" w:hAnsi="宋体" w:cs="宋体"/>
          <w:bCs/>
          <w:color w:val="auto"/>
        </w:rPr>
        <w:t>联系电话：</w:t>
      </w:r>
    </w:p>
    <w:p>
      <w:pPr>
        <w:pStyle w:val="19"/>
        <w:spacing w:line="240" w:lineRule="auto"/>
        <w:ind w:left="480" w:firstLine="480" w:firstLineChars="200"/>
        <w:rPr>
          <w:rFonts w:ascii="宋体" w:hAnsi="宋体" w:cs="宋体"/>
          <w:bCs/>
          <w:color w:val="auto"/>
        </w:rPr>
      </w:pPr>
      <w:r>
        <w:rPr>
          <w:rFonts w:hint="eastAsia" w:ascii="宋体" w:hAnsi="宋体" w:cs="宋体"/>
          <w:bCs/>
          <w:color w:val="auto"/>
        </w:rPr>
        <w:t>传 真：</w:t>
      </w:r>
    </w:p>
    <w:p>
      <w:pPr>
        <w:pStyle w:val="19"/>
        <w:spacing w:line="240" w:lineRule="auto"/>
        <w:ind w:left="480" w:firstLine="480" w:firstLineChars="200"/>
        <w:rPr>
          <w:rFonts w:ascii="宋体" w:hAnsi="宋体" w:cs="宋体"/>
          <w:color w:val="auto"/>
          <w:sz w:val="36"/>
          <w:szCs w:val="36"/>
        </w:rPr>
      </w:pPr>
      <w:r>
        <w:rPr>
          <w:rFonts w:hint="eastAsia" w:ascii="宋体" w:hAnsi="宋体" w:cs="宋体"/>
          <w:bCs/>
          <w:color w:val="auto"/>
        </w:rPr>
        <w:t>日 期：</w:t>
      </w:r>
    </w:p>
    <w:p>
      <w:pPr>
        <w:pStyle w:val="3"/>
        <w:ind w:left="840"/>
        <w:jc w:val="left"/>
        <w:rPr>
          <w:rFonts w:hAnsi="宋体" w:cs="宋体"/>
          <w:bCs/>
        </w:rPr>
      </w:pPr>
      <w:r>
        <w:rPr>
          <w:rFonts w:hint="eastAsia" w:hAnsi="宋体" w:cs="宋体"/>
          <w:sz w:val="32"/>
          <w:szCs w:val="32"/>
        </w:rPr>
        <w:br w:type="page"/>
      </w:r>
      <w:r>
        <w:rPr>
          <w:rFonts w:hint="eastAsia" w:hAnsi="宋体" w:cs="宋体"/>
          <w:bCs/>
          <w:sz w:val="24"/>
        </w:rPr>
        <w:t>本表适用于仅购买单包的供应商</w:t>
      </w:r>
    </w:p>
    <w:p>
      <w:pPr>
        <w:spacing w:line="360" w:lineRule="auto"/>
        <w:jc w:val="center"/>
        <w:outlineLvl w:val="1"/>
        <w:rPr>
          <w:rFonts w:hAnsi="宋体" w:cs="宋体"/>
          <w:b/>
          <w:color w:val="auto"/>
          <w:sz w:val="32"/>
          <w:szCs w:val="32"/>
        </w:rPr>
      </w:pPr>
      <w:r>
        <w:rPr>
          <w:rFonts w:hint="eastAsia" w:hAnsi="宋体" w:cs="宋体"/>
          <w:b/>
          <w:color w:val="auto"/>
          <w:sz w:val="32"/>
          <w:szCs w:val="32"/>
        </w:rPr>
        <w:t>一、投标函（二）</w:t>
      </w:r>
    </w:p>
    <w:p>
      <w:pPr>
        <w:jc w:val="center"/>
        <w:outlineLvl w:val="1"/>
        <w:rPr>
          <w:rFonts w:hAnsi="宋体" w:cs="宋体"/>
          <w:b/>
          <w:color w:val="auto"/>
        </w:rPr>
      </w:pPr>
    </w:p>
    <w:p>
      <w:pPr>
        <w:pStyle w:val="19"/>
        <w:spacing w:line="240" w:lineRule="auto"/>
        <w:ind w:left="480"/>
        <w:rPr>
          <w:rFonts w:ascii="宋体" w:hAnsi="宋体" w:cs="宋体"/>
          <w:bCs/>
          <w:color w:val="auto"/>
        </w:rPr>
      </w:pPr>
      <w:r>
        <w:rPr>
          <w:rFonts w:hint="eastAsia" w:ascii="宋体" w:hAnsi="宋体" w:cs="宋体"/>
          <w:bCs/>
          <w:color w:val="auto"/>
        </w:rPr>
        <w:t>__________________（采购代理机构名称）：</w:t>
      </w:r>
    </w:p>
    <w:p>
      <w:pPr>
        <w:pStyle w:val="19"/>
        <w:spacing w:line="240" w:lineRule="auto"/>
        <w:ind w:left="480" w:firstLine="480" w:firstLineChars="200"/>
        <w:rPr>
          <w:rFonts w:ascii="宋体" w:hAnsi="宋体" w:cs="宋体"/>
          <w:bCs/>
          <w:color w:val="auto"/>
        </w:rPr>
      </w:pPr>
      <w:r>
        <w:rPr>
          <w:rFonts w:hint="eastAsia" w:ascii="宋体" w:hAnsi="宋体" w:cs="宋体"/>
          <w:bCs/>
          <w:color w:val="auto"/>
        </w:rPr>
        <w:t>我方全面研究了</w:t>
      </w:r>
      <w:r>
        <w:rPr>
          <w:rFonts w:hint="eastAsia" w:ascii="宋体" w:hAnsi="宋体" w:cs="宋体"/>
          <w:bCs/>
          <w:color w:val="auto"/>
          <w:u w:val="single"/>
        </w:rPr>
        <w:t>“（项目名称）”</w:t>
      </w:r>
      <w:r>
        <w:rPr>
          <w:rFonts w:hint="eastAsia" w:ascii="宋体" w:hAnsi="宋体" w:cs="宋体"/>
          <w:bCs/>
          <w:color w:val="auto"/>
        </w:rPr>
        <w:t>项目招标文件（</w:t>
      </w:r>
      <w:r>
        <w:rPr>
          <w:rFonts w:hint="eastAsia" w:hAnsi="宋体" w:cs="宋体"/>
          <w:color w:val="auto"/>
        </w:rPr>
        <w:t>项目编号/包号：</w:t>
      </w:r>
      <w:r>
        <w:rPr>
          <w:rFonts w:hint="eastAsia" w:ascii="宋体" w:hAnsi="宋体" w:cs="宋体"/>
          <w:bCs/>
          <w:color w:val="auto"/>
        </w:rPr>
        <w:t>_________），决定参加贵单位组织的本项目投标。我方授权</w:t>
      </w:r>
      <w:r>
        <w:rPr>
          <w:rFonts w:hint="eastAsia" w:ascii="宋体" w:hAnsi="宋体" w:cs="宋体"/>
          <w:bCs/>
          <w:color w:val="auto"/>
          <w:u w:val="single"/>
        </w:rPr>
        <w:t xml:space="preserve">（姓名、职务）      </w:t>
      </w:r>
      <w:r>
        <w:rPr>
          <w:rFonts w:hint="eastAsia" w:ascii="宋体" w:hAnsi="宋体" w:cs="宋体"/>
          <w:bCs/>
          <w:color w:val="auto"/>
        </w:rPr>
        <w:t>代表我方</w:t>
      </w:r>
      <w:r>
        <w:rPr>
          <w:rFonts w:hint="eastAsia" w:ascii="宋体" w:hAnsi="宋体" w:cs="宋体"/>
          <w:bCs/>
          <w:color w:val="auto"/>
          <w:u w:val="single"/>
        </w:rPr>
        <w:t>（投标单位的名称）</w:t>
      </w:r>
      <w:r>
        <w:rPr>
          <w:rFonts w:hint="eastAsia" w:ascii="宋体" w:hAnsi="宋体" w:cs="宋体"/>
          <w:bCs/>
          <w:color w:val="auto"/>
        </w:rPr>
        <w:t>全权处理本项目投标的有关事宜。</w:t>
      </w:r>
    </w:p>
    <w:p>
      <w:pPr>
        <w:pStyle w:val="19"/>
        <w:spacing w:line="240" w:lineRule="auto"/>
        <w:ind w:left="480" w:firstLine="480" w:firstLineChars="200"/>
        <w:rPr>
          <w:rFonts w:ascii="宋体" w:hAnsi="宋体" w:cs="宋体"/>
          <w:bCs/>
          <w:color w:val="auto"/>
        </w:rPr>
      </w:pPr>
      <w:r>
        <w:rPr>
          <w:rFonts w:hint="eastAsia" w:ascii="宋体" w:hAnsi="宋体" w:cs="宋体"/>
          <w:bCs/>
          <w:color w:val="auto"/>
        </w:rPr>
        <w:t>1、我方自愿按照招标文件规定的各项要求向采购人提供所需货物/服务，总投标价为人民币</w:t>
      </w:r>
      <w:r>
        <w:rPr>
          <w:rFonts w:hint="eastAsia" w:ascii="宋体" w:hAnsi="宋体" w:cs="宋体"/>
          <w:bCs/>
          <w:color w:val="auto"/>
          <w:u w:val="single"/>
        </w:rPr>
        <w:t xml:space="preserve">          </w:t>
      </w:r>
      <w:r>
        <w:rPr>
          <w:rFonts w:hint="eastAsia" w:ascii="宋体" w:hAnsi="宋体" w:cs="宋体"/>
          <w:bCs/>
          <w:color w:val="auto"/>
        </w:rPr>
        <w:t>万元（大写：</w:t>
      </w:r>
      <w:r>
        <w:rPr>
          <w:rFonts w:hint="eastAsia" w:hAnsi="宋体" w:cs="宋体"/>
          <w:color w:val="auto"/>
          <w:u w:val="single"/>
        </w:rPr>
        <w:t xml:space="preserve">            </w:t>
      </w:r>
      <w:r>
        <w:rPr>
          <w:rFonts w:hint="eastAsia" w:ascii="宋体" w:hAnsi="宋体" w:cs="宋体"/>
          <w:bCs/>
          <w:color w:val="auto"/>
        </w:rPr>
        <w:t>）。</w:t>
      </w:r>
    </w:p>
    <w:p>
      <w:pPr>
        <w:pStyle w:val="19"/>
        <w:spacing w:line="240" w:lineRule="auto"/>
        <w:ind w:left="648" w:leftChars="270" w:firstLine="360" w:firstLineChars="150"/>
        <w:rPr>
          <w:rFonts w:ascii="宋体" w:hAnsi="宋体" w:cs="宋体"/>
          <w:bCs/>
          <w:color w:val="auto"/>
        </w:rPr>
      </w:pPr>
      <w:r>
        <w:rPr>
          <w:rFonts w:hint="eastAsia" w:ascii="宋体" w:hAnsi="宋体" w:cs="宋体"/>
          <w:bCs/>
          <w:color w:val="auto"/>
        </w:rPr>
        <w:t>2、一旦我方中标，我方将严格履行合同规定的责任和义务，保证按我方承诺时间内完成项目的供货、安装、调试并交付采购人验收、使用。</w:t>
      </w:r>
    </w:p>
    <w:p>
      <w:pPr>
        <w:pStyle w:val="19"/>
        <w:spacing w:line="240" w:lineRule="auto"/>
        <w:ind w:left="480" w:firstLine="480" w:firstLineChars="200"/>
        <w:rPr>
          <w:rFonts w:ascii="宋体" w:hAnsi="宋体" w:cs="宋体"/>
          <w:bCs/>
          <w:color w:val="auto"/>
        </w:rPr>
      </w:pPr>
      <w:r>
        <w:rPr>
          <w:rFonts w:hint="eastAsia" w:ascii="宋体" w:hAnsi="宋体" w:cs="宋体"/>
          <w:bCs/>
          <w:color w:val="auto"/>
        </w:rPr>
        <w:t>3、我方为本项目提交的投标文件正本1份，副本4份，电子文档（U盘）1份，用于开标唱标的“开标一览表”1份。</w:t>
      </w:r>
    </w:p>
    <w:p>
      <w:pPr>
        <w:pStyle w:val="19"/>
        <w:spacing w:line="240" w:lineRule="auto"/>
        <w:ind w:left="480" w:firstLine="480" w:firstLineChars="200"/>
        <w:rPr>
          <w:rFonts w:ascii="宋体" w:hAnsi="宋体" w:cs="宋体"/>
          <w:bCs/>
          <w:color w:val="auto"/>
        </w:rPr>
      </w:pPr>
      <w:r>
        <w:rPr>
          <w:rFonts w:hint="eastAsia" w:ascii="宋体" w:hAnsi="宋体" w:cs="宋体"/>
          <w:bCs/>
          <w:color w:val="auto"/>
        </w:rPr>
        <w:t>4、我方承诺投标有效期为开标后</w:t>
      </w:r>
      <w:r>
        <w:rPr>
          <w:rFonts w:hint="eastAsia" w:ascii="宋体" w:hAnsi="宋体" w:cs="宋体"/>
          <w:bCs/>
          <w:color w:val="auto"/>
          <w:u w:val="single"/>
        </w:rPr>
        <w:t xml:space="preserve">90  </w:t>
      </w:r>
      <w:r>
        <w:rPr>
          <w:rFonts w:hint="eastAsia" w:ascii="宋体" w:hAnsi="宋体" w:cs="宋体"/>
          <w:bCs/>
          <w:color w:val="auto"/>
        </w:rPr>
        <w:t>天（日历日）。</w:t>
      </w:r>
    </w:p>
    <w:p>
      <w:pPr>
        <w:pStyle w:val="19"/>
        <w:spacing w:line="240" w:lineRule="auto"/>
        <w:ind w:left="480" w:firstLine="480" w:firstLineChars="200"/>
        <w:rPr>
          <w:rFonts w:ascii="宋体" w:hAnsi="宋体" w:cs="宋体"/>
          <w:bCs/>
          <w:color w:val="auto"/>
        </w:rPr>
      </w:pPr>
      <w:r>
        <w:rPr>
          <w:rFonts w:hint="eastAsia" w:ascii="宋体" w:hAnsi="宋体" w:cs="宋体"/>
          <w:bCs/>
          <w:color w:val="auto"/>
        </w:rPr>
        <w:t>5、我方愿意提供贵公司可能另外要求的，与投标有关的文件资料，并保证我方已提供和将要提供的文件资料是真实、准确的。</w:t>
      </w:r>
    </w:p>
    <w:p>
      <w:pPr>
        <w:pStyle w:val="19"/>
        <w:spacing w:line="240" w:lineRule="auto"/>
        <w:ind w:left="480" w:firstLine="480" w:firstLineChars="200"/>
        <w:rPr>
          <w:rFonts w:ascii="宋体" w:hAnsi="宋体" w:cs="宋体"/>
          <w:bCs/>
          <w:color w:val="auto"/>
        </w:rPr>
      </w:pPr>
      <w:r>
        <w:rPr>
          <w:rFonts w:hint="eastAsia" w:ascii="宋体" w:hAnsi="宋体" w:cs="宋体"/>
          <w:bCs/>
          <w:color w:val="auto"/>
        </w:rPr>
        <w:t>6、我方完全理解采购人不一定将合同授予最低报价的投标人的行为。</w:t>
      </w:r>
    </w:p>
    <w:p>
      <w:pPr>
        <w:pStyle w:val="19"/>
        <w:spacing w:line="240" w:lineRule="auto"/>
        <w:ind w:left="480" w:firstLine="480" w:firstLineChars="200"/>
        <w:rPr>
          <w:rFonts w:ascii="宋体" w:hAnsi="宋体" w:cs="宋体"/>
          <w:bCs/>
          <w:color w:val="auto"/>
        </w:rPr>
      </w:pPr>
    </w:p>
    <w:p>
      <w:pPr>
        <w:pStyle w:val="19"/>
        <w:spacing w:line="240" w:lineRule="auto"/>
        <w:ind w:left="480" w:firstLine="480" w:firstLineChars="200"/>
        <w:rPr>
          <w:rFonts w:ascii="宋体" w:hAnsi="宋体" w:cs="宋体"/>
          <w:bCs/>
          <w:color w:val="auto"/>
        </w:rPr>
      </w:pPr>
    </w:p>
    <w:p>
      <w:pPr>
        <w:pStyle w:val="19"/>
        <w:spacing w:line="240" w:lineRule="auto"/>
        <w:ind w:left="480" w:firstLine="480" w:firstLineChars="200"/>
        <w:rPr>
          <w:rFonts w:ascii="宋体" w:hAnsi="宋体" w:cs="宋体"/>
          <w:bCs/>
          <w:color w:val="auto"/>
        </w:rPr>
      </w:pPr>
      <w:r>
        <w:rPr>
          <w:rFonts w:hint="eastAsia" w:ascii="宋体" w:hAnsi="宋体" w:cs="宋体"/>
          <w:bCs/>
          <w:color w:val="auto"/>
        </w:rPr>
        <w:t>投标人名称：（盖公章）</w:t>
      </w:r>
    </w:p>
    <w:p>
      <w:pPr>
        <w:pStyle w:val="19"/>
        <w:spacing w:line="240" w:lineRule="auto"/>
        <w:ind w:left="480" w:firstLine="480" w:firstLineChars="200"/>
        <w:rPr>
          <w:rFonts w:ascii="宋体" w:hAnsi="宋体" w:cs="宋体"/>
          <w:bCs/>
          <w:color w:val="auto"/>
        </w:rPr>
      </w:pPr>
      <w:r>
        <w:rPr>
          <w:rFonts w:hint="eastAsia" w:ascii="宋体" w:hAnsi="宋体" w:cs="宋体"/>
          <w:bCs/>
          <w:color w:val="auto"/>
        </w:rPr>
        <w:t>法定代表人或</w:t>
      </w:r>
      <w:r>
        <w:rPr>
          <w:rFonts w:hint="eastAsia" w:ascii="宋体" w:hAnsi="宋体" w:cs="宋体"/>
          <w:color w:val="auto"/>
        </w:rPr>
        <w:t>委托代理人</w:t>
      </w:r>
      <w:r>
        <w:rPr>
          <w:rFonts w:hint="eastAsia" w:ascii="宋体" w:hAnsi="宋体" w:cs="宋体"/>
          <w:bCs/>
          <w:color w:val="auto"/>
        </w:rPr>
        <w:t>（签字或盖章）：</w:t>
      </w:r>
    </w:p>
    <w:p>
      <w:pPr>
        <w:pStyle w:val="19"/>
        <w:spacing w:line="240" w:lineRule="auto"/>
        <w:ind w:left="480" w:firstLine="480" w:firstLineChars="200"/>
        <w:rPr>
          <w:rFonts w:ascii="宋体" w:hAnsi="宋体" w:cs="宋体"/>
          <w:bCs/>
          <w:color w:val="auto"/>
        </w:rPr>
      </w:pPr>
      <w:r>
        <w:rPr>
          <w:rFonts w:hint="eastAsia" w:ascii="宋体" w:hAnsi="宋体" w:cs="宋体"/>
          <w:bCs/>
          <w:color w:val="auto"/>
        </w:rPr>
        <w:t>通讯地址：</w:t>
      </w:r>
    </w:p>
    <w:p>
      <w:pPr>
        <w:pStyle w:val="19"/>
        <w:spacing w:line="240" w:lineRule="auto"/>
        <w:ind w:left="480" w:firstLine="480" w:firstLineChars="200"/>
        <w:rPr>
          <w:rFonts w:ascii="宋体" w:hAnsi="宋体" w:cs="宋体"/>
          <w:bCs/>
          <w:color w:val="auto"/>
        </w:rPr>
      </w:pPr>
      <w:r>
        <w:rPr>
          <w:rFonts w:hint="eastAsia" w:ascii="宋体" w:hAnsi="宋体" w:cs="宋体"/>
          <w:bCs/>
          <w:color w:val="auto"/>
        </w:rPr>
        <w:t>邮政编码：</w:t>
      </w:r>
    </w:p>
    <w:p>
      <w:pPr>
        <w:pStyle w:val="19"/>
        <w:spacing w:line="240" w:lineRule="auto"/>
        <w:ind w:left="480" w:firstLine="480" w:firstLineChars="200"/>
        <w:rPr>
          <w:rFonts w:ascii="宋体" w:hAnsi="宋体" w:cs="宋体"/>
          <w:bCs/>
          <w:color w:val="auto"/>
        </w:rPr>
      </w:pPr>
      <w:r>
        <w:rPr>
          <w:rFonts w:hint="eastAsia" w:ascii="宋体" w:hAnsi="宋体" w:cs="宋体"/>
          <w:bCs/>
          <w:color w:val="auto"/>
        </w:rPr>
        <w:t>联系电话：</w:t>
      </w:r>
    </w:p>
    <w:p>
      <w:pPr>
        <w:pStyle w:val="19"/>
        <w:spacing w:line="240" w:lineRule="auto"/>
        <w:ind w:left="480" w:firstLine="480" w:firstLineChars="200"/>
        <w:rPr>
          <w:rFonts w:ascii="宋体" w:hAnsi="宋体" w:cs="宋体"/>
          <w:bCs/>
          <w:color w:val="auto"/>
        </w:rPr>
      </w:pPr>
      <w:r>
        <w:rPr>
          <w:rFonts w:hint="eastAsia" w:ascii="宋体" w:hAnsi="宋体" w:cs="宋体"/>
          <w:bCs/>
          <w:color w:val="auto"/>
        </w:rPr>
        <w:t>传 真：</w:t>
      </w:r>
    </w:p>
    <w:p>
      <w:pPr>
        <w:pStyle w:val="19"/>
        <w:spacing w:line="240" w:lineRule="auto"/>
        <w:ind w:left="480" w:firstLine="480" w:firstLineChars="200"/>
        <w:rPr>
          <w:rFonts w:ascii="宋体" w:hAnsi="宋体" w:cs="宋体"/>
          <w:color w:val="auto"/>
          <w:sz w:val="36"/>
          <w:szCs w:val="36"/>
        </w:rPr>
      </w:pPr>
      <w:r>
        <w:rPr>
          <w:rFonts w:hint="eastAsia" w:ascii="宋体" w:hAnsi="宋体" w:cs="宋体"/>
          <w:bCs/>
          <w:color w:val="auto"/>
        </w:rPr>
        <w:t>日 期：</w:t>
      </w:r>
    </w:p>
    <w:p>
      <w:pPr>
        <w:jc w:val="left"/>
        <w:rPr>
          <w:rFonts w:hAnsi="宋体" w:cs="宋体"/>
          <w:b/>
          <w:color w:val="auto"/>
          <w:sz w:val="32"/>
          <w:szCs w:val="32"/>
        </w:rPr>
      </w:pPr>
      <w:r>
        <w:rPr>
          <w:rFonts w:hAnsi="宋体" w:cs="宋体"/>
          <w:b/>
          <w:color w:val="auto"/>
          <w:sz w:val="32"/>
          <w:szCs w:val="32"/>
        </w:rPr>
        <w:br w:type="page"/>
      </w:r>
    </w:p>
    <w:p>
      <w:pPr>
        <w:spacing w:line="360" w:lineRule="auto"/>
        <w:rPr>
          <w:rFonts w:hAnsi="宋体" w:cs="宋体"/>
          <w:b/>
          <w:color w:val="auto"/>
          <w:sz w:val="32"/>
          <w:szCs w:val="32"/>
        </w:rPr>
      </w:pPr>
      <w:r>
        <w:rPr>
          <w:rFonts w:hint="eastAsia" w:hAnsi="宋体" w:cs="宋体"/>
          <w:b/>
          <w:color w:val="auto"/>
          <w:sz w:val="32"/>
          <w:szCs w:val="32"/>
        </w:rPr>
        <w:t>格式2-3</w:t>
      </w:r>
    </w:p>
    <w:p>
      <w:pPr>
        <w:spacing w:line="360" w:lineRule="auto"/>
        <w:jc w:val="center"/>
        <w:outlineLvl w:val="1"/>
        <w:rPr>
          <w:rFonts w:hAnsi="宋体" w:cs="宋体"/>
          <w:b/>
          <w:color w:val="auto"/>
          <w:sz w:val="32"/>
          <w:szCs w:val="32"/>
        </w:rPr>
      </w:pPr>
      <w:r>
        <w:rPr>
          <w:rFonts w:hint="eastAsia" w:hAnsi="宋体" w:cs="宋体"/>
          <w:b/>
          <w:color w:val="auto"/>
          <w:sz w:val="32"/>
          <w:szCs w:val="32"/>
        </w:rPr>
        <w:t>二、承诺函</w:t>
      </w:r>
    </w:p>
    <w:p>
      <w:pPr>
        <w:spacing w:line="360" w:lineRule="auto"/>
        <w:jc w:val="center"/>
        <w:outlineLvl w:val="1"/>
        <w:rPr>
          <w:rFonts w:hAnsi="宋体" w:cs="宋体"/>
          <w:b/>
          <w:color w:val="auto"/>
        </w:rPr>
      </w:pPr>
    </w:p>
    <w:p>
      <w:pPr>
        <w:spacing w:line="360" w:lineRule="auto"/>
        <w:jc w:val="left"/>
        <w:outlineLvl w:val="1"/>
        <w:rPr>
          <w:rFonts w:hAnsi="宋体" w:cs="宋体"/>
          <w:color w:val="auto"/>
        </w:rPr>
      </w:pPr>
      <w:r>
        <w:rPr>
          <w:rFonts w:hint="eastAsia" w:hAnsi="宋体" w:cs="宋体"/>
          <w:color w:val="auto"/>
          <w:u w:val="single"/>
        </w:rPr>
        <w:t>（采购代理机构名称）</w:t>
      </w:r>
      <w:r>
        <w:rPr>
          <w:rFonts w:hint="eastAsia" w:hAnsi="宋体" w:cs="宋体"/>
          <w:color w:val="auto"/>
        </w:rPr>
        <w:t>：</w:t>
      </w:r>
    </w:p>
    <w:p>
      <w:pPr>
        <w:spacing w:line="360" w:lineRule="auto"/>
        <w:ind w:firstLine="480" w:firstLineChars="200"/>
        <w:jc w:val="left"/>
        <w:outlineLvl w:val="1"/>
        <w:rPr>
          <w:rFonts w:hAnsi="宋体" w:cs="宋体"/>
          <w:color w:val="auto"/>
        </w:rPr>
      </w:pPr>
      <w:r>
        <w:rPr>
          <w:rFonts w:hint="eastAsia" w:hAnsi="宋体" w:cs="宋体"/>
          <w:color w:val="auto"/>
        </w:rPr>
        <w:t>我单位作为本次采购项目的投标人，根据招标文件要求，现郑重承诺如下：</w:t>
      </w:r>
    </w:p>
    <w:p>
      <w:pPr>
        <w:spacing w:line="360" w:lineRule="auto"/>
        <w:ind w:firstLine="480" w:firstLineChars="200"/>
        <w:jc w:val="left"/>
        <w:outlineLvl w:val="1"/>
        <w:rPr>
          <w:rFonts w:hAnsi="宋体" w:cs="宋体"/>
          <w:color w:val="auto"/>
        </w:rPr>
      </w:pPr>
      <w:r>
        <w:rPr>
          <w:rFonts w:hint="eastAsia" w:hAnsi="宋体" w:cs="宋体"/>
          <w:color w:val="auto"/>
        </w:rPr>
        <w:t>一、完全接受和满足本项目招标文件中规定的实质性要求，如对招标文件有异议，已依法进行维权救济，不存在对招标文件有异议的同时又参加投标以求侥幸中标或者为实现其他非法目的的行为。</w:t>
      </w:r>
    </w:p>
    <w:p>
      <w:pPr>
        <w:spacing w:line="360" w:lineRule="auto"/>
        <w:ind w:firstLine="480" w:firstLineChars="200"/>
        <w:jc w:val="left"/>
        <w:outlineLvl w:val="1"/>
        <w:rPr>
          <w:rFonts w:hAnsi="宋体" w:cs="宋体"/>
          <w:color w:val="auto"/>
        </w:rPr>
      </w:pPr>
      <w:r>
        <w:rPr>
          <w:rFonts w:hint="eastAsia" w:hAnsi="宋体" w:cs="宋体"/>
          <w:color w:val="auto"/>
        </w:rPr>
        <w:t>二、参加本次招标采购活动，不存在与单位负责人为同一人或者存在直接控股、管理关系的其他供应商参与同一合同项下的政府采购活动的行为。为采购项目提供整体设计、规范编制或者项目管理、监理、检测等服务的供应商，不得再参加该采购项目的其他采购活动。</w:t>
      </w:r>
    </w:p>
    <w:p>
      <w:pPr>
        <w:spacing w:line="360" w:lineRule="auto"/>
        <w:ind w:firstLine="480" w:firstLineChars="200"/>
        <w:jc w:val="left"/>
        <w:outlineLvl w:val="1"/>
        <w:rPr>
          <w:rFonts w:hAnsi="宋体" w:cs="宋体"/>
          <w:color w:val="auto"/>
        </w:rPr>
      </w:pPr>
      <w:r>
        <w:rPr>
          <w:rFonts w:hint="eastAsia" w:hAnsi="宋体" w:cs="宋体"/>
          <w:color w:val="auto"/>
        </w:rPr>
        <w:t>三、参加本次招标采购活动，不存在和其他供应商在同一合同项下的采购项目中，同时委托同一个自然人、同一家庭的人员、同一单位的人员作为代理人的行为。</w:t>
      </w:r>
    </w:p>
    <w:p>
      <w:pPr>
        <w:spacing w:line="360" w:lineRule="auto"/>
        <w:ind w:firstLine="480" w:firstLineChars="200"/>
        <w:jc w:val="left"/>
        <w:outlineLvl w:val="1"/>
        <w:rPr>
          <w:rFonts w:hAnsi="宋体" w:cs="宋体"/>
          <w:color w:val="auto"/>
        </w:rPr>
      </w:pPr>
      <w:r>
        <w:rPr>
          <w:rFonts w:hint="eastAsia" w:hAnsi="宋体" w:cs="宋体"/>
          <w:color w:val="auto"/>
        </w:rPr>
        <w:t>四、投标文件中提供的能够给予我单位带来优惠、好处的任何材料资料和技术、服务、商务、响应产品等响应承诺情况都是真实的、有效的、合法的。</w:t>
      </w:r>
    </w:p>
    <w:p>
      <w:pPr>
        <w:spacing w:line="360" w:lineRule="auto"/>
        <w:ind w:firstLine="480" w:firstLineChars="200"/>
        <w:jc w:val="left"/>
        <w:outlineLvl w:val="1"/>
        <w:rPr>
          <w:rFonts w:hAnsi="宋体" w:cs="宋体"/>
          <w:color w:val="auto"/>
        </w:rPr>
      </w:pPr>
      <w:r>
        <w:rPr>
          <w:rFonts w:hint="eastAsia" w:hAnsi="宋体" w:cs="宋体"/>
          <w:color w:val="auto"/>
        </w:rPr>
        <w:t>五、如本项目评标过程中需要提供样品，则我单位提供的样品即为中标后将要提供的中标产品，我单位对提供样品的性能和质量负责，因样品存在缺陷或者不符合招标文件要求导致未能中标的，我单位愿意承担相应不利后果。</w:t>
      </w:r>
    </w:p>
    <w:p>
      <w:pPr>
        <w:spacing w:line="360" w:lineRule="auto"/>
        <w:ind w:firstLine="480" w:firstLineChars="200"/>
        <w:jc w:val="left"/>
        <w:outlineLvl w:val="1"/>
        <w:rPr>
          <w:rFonts w:hAnsi="宋体" w:cs="宋体"/>
          <w:color w:val="auto"/>
        </w:rPr>
      </w:pPr>
      <w:r>
        <w:rPr>
          <w:rFonts w:hint="eastAsia" w:hAnsi="宋体" w:cs="宋体"/>
          <w:color w:val="auto"/>
        </w:rPr>
        <w:t>本单位对上述承诺的内容事项真实性负责。如经查实上述承诺的内容事项存在虚假，我单位愿意接受以提供虚假材料谋取中标追究法律责任。</w:t>
      </w:r>
    </w:p>
    <w:p>
      <w:pPr>
        <w:spacing w:line="360" w:lineRule="auto"/>
        <w:ind w:firstLine="470" w:firstLineChars="196"/>
        <w:jc w:val="left"/>
        <w:outlineLvl w:val="1"/>
        <w:rPr>
          <w:rFonts w:hAnsi="宋体" w:cs="宋体"/>
          <w:color w:val="auto"/>
        </w:rPr>
      </w:pPr>
    </w:p>
    <w:p>
      <w:pPr>
        <w:pStyle w:val="12"/>
        <w:spacing w:line="360" w:lineRule="auto"/>
        <w:rPr>
          <w:rFonts w:hAnsi="宋体" w:cs="宋体"/>
        </w:rPr>
      </w:pPr>
    </w:p>
    <w:p>
      <w:pPr>
        <w:pStyle w:val="12"/>
        <w:spacing w:line="360" w:lineRule="auto"/>
        <w:rPr>
          <w:rFonts w:hAnsi="宋体" w:cs="宋体"/>
        </w:rPr>
      </w:pPr>
    </w:p>
    <w:p>
      <w:pPr>
        <w:spacing w:line="360" w:lineRule="auto"/>
        <w:ind w:firstLine="470" w:firstLineChars="196"/>
        <w:jc w:val="left"/>
        <w:outlineLvl w:val="1"/>
        <w:rPr>
          <w:rFonts w:hAnsi="宋体" w:cs="宋体"/>
          <w:color w:val="auto"/>
        </w:rPr>
      </w:pPr>
      <w:r>
        <w:rPr>
          <w:rFonts w:hint="eastAsia" w:hAnsi="宋体" w:cs="宋体"/>
          <w:color w:val="auto"/>
        </w:rPr>
        <w:t>投标人名称：（盖公章）</w:t>
      </w:r>
    </w:p>
    <w:p>
      <w:pPr>
        <w:spacing w:line="360" w:lineRule="auto"/>
        <w:ind w:firstLine="470" w:firstLineChars="196"/>
        <w:jc w:val="left"/>
        <w:outlineLvl w:val="1"/>
        <w:rPr>
          <w:rFonts w:hAnsi="宋体" w:cs="宋体"/>
          <w:color w:val="auto"/>
        </w:rPr>
      </w:pPr>
      <w:r>
        <w:rPr>
          <w:rFonts w:hint="eastAsia" w:hAnsi="宋体" w:cs="宋体"/>
          <w:color w:val="auto"/>
        </w:rPr>
        <w:t>法定代表人或委托代理人（签字或盖章）：</w:t>
      </w:r>
    </w:p>
    <w:p>
      <w:pPr>
        <w:spacing w:line="360" w:lineRule="auto"/>
        <w:ind w:firstLine="470" w:firstLineChars="196"/>
        <w:jc w:val="left"/>
        <w:outlineLvl w:val="1"/>
        <w:rPr>
          <w:rFonts w:hAnsi="宋体" w:cs="宋体"/>
          <w:color w:val="auto"/>
        </w:rPr>
      </w:pPr>
      <w:r>
        <w:rPr>
          <w:rFonts w:hint="eastAsia" w:hAnsi="宋体" w:cs="宋体"/>
          <w:color w:val="auto"/>
        </w:rPr>
        <w:t>日 期：</w:t>
      </w:r>
    </w:p>
    <w:p>
      <w:pPr>
        <w:spacing w:line="360" w:lineRule="auto"/>
        <w:rPr>
          <w:rFonts w:hAnsi="宋体" w:cs="宋体"/>
          <w:b/>
          <w:color w:val="auto"/>
          <w:sz w:val="32"/>
          <w:szCs w:val="32"/>
        </w:rPr>
      </w:pPr>
      <w:r>
        <w:rPr>
          <w:rFonts w:hint="eastAsia" w:hAnsi="宋体" w:cs="宋体"/>
          <w:b/>
          <w:color w:val="auto"/>
          <w:sz w:val="32"/>
          <w:szCs w:val="32"/>
        </w:rPr>
        <w:br w:type="page"/>
      </w:r>
      <w:r>
        <w:rPr>
          <w:rFonts w:hint="eastAsia" w:hAnsi="宋体" w:cs="宋体"/>
          <w:b/>
          <w:color w:val="auto"/>
          <w:sz w:val="32"/>
          <w:szCs w:val="32"/>
        </w:rPr>
        <w:t>格式2-4</w:t>
      </w:r>
    </w:p>
    <w:bookmarkEnd w:id="186"/>
    <w:p>
      <w:pPr>
        <w:numPr>
          <w:ilvl w:val="0"/>
          <w:numId w:val="3"/>
        </w:numPr>
        <w:ind w:firstLine="643" w:firstLineChars="200"/>
        <w:jc w:val="center"/>
        <w:rPr>
          <w:rFonts w:hAnsi="宋体" w:cs="宋体"/>
          <w:b/>
          <w:color w:val="auto"/>
          <w:sz w:val="32"/>
          <w:szCs w:val="32"/>
        </w:rPr>
      </w:pPr>
      <w:bookmarkStart w:id="187" w:name="_Toc217446085"/>
      <w:r>
        <w:rPr>
          <w:rFonts w:hint="eastAsia" w:hAnsi="宋体" w:cs="宋体"/>
          <w:b/>
          <w:color w:val="auto"/>
          <w:sz w:val="32"/>
          <w:szCs w:val="32"/>
        </w:rPr>
        <w:t>开标一览表</w:t>
      </w:r>
      <w:bookmarkEnd w:id="187"/>
    </w:p>
    <w:p>
      <w:pPr>
        <w:pStyle w:val="12"/>
        <w:rPr>
          <w:rFonts w:hAnsi="宋体" w:cs="宋体"/>
          <w:sz w:val="24"/>
        </w:rPr>
      </w:pPr>
      <w:r>
        <w:rPr>
          <w:rFonts w:hint="eastAsia" w:hAnsi="宋体" w:cs="宋体"/>
          <w:sz w:val="24"/>
        </w:rPr>
        <w:t>项目编号/包号：</w:t>
      </w:r>
    </w:p>
    <w:tbl>
      <w:tblPr>
        <w:tblStyle w:val="33"/>
        <w:tblW w:w="993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42"/>
        <w:gridCol w:w="1418"/>
        <w:gridCol w:w="1342"/>
        <w:gridCol w:w="642"/>
        <w:gridCol w:w="1549"/>
        <w:gridCol w:w="1335"/>
        <w:gridCol w:w="1335"/>
        <w:gridCol w:w="900"/>
        <w:gridCol w:w="9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42" w:type="dxa"/>
            <w:vAlign w:val="center"/>
          </w:tcPr>
          <w:p>
            <w:pPr>
              <w:spacing w:line="400" w:lineRule="exact"/>
              <w:jc w:val="center"/>
              <w:rPr>
                <w:rFonts w:hAnsi="宋体" w:cs="宋体"/>
                <w:color w:val="auto"/>
              </w:rPr>
            </w:pPr>
            <w:r>
              <w:rPr>
                <w:rFonts w:hint="eastAsia" w:ascii="Times New Roman" w:hAnsi="宋体"/>
                <w:sz w:val="22"/>
                <w:szCs w:val="21"/>
              </w:rPr>
              <w:t>序号</w:t>
            </w:r>
          </w:p>
        </w:tc>
        <w:tc>
          <w:tcPr>
            <w:tcW w:w="1418" w:type="dxa"/>
            <w:vAlign w:val="center"/>
          </w:tcPr>
          <w:p>
            <w:pPr>
              <w:spacing w:line="400" w:lineRule="exact"/>
              <w:jc w:val="center"/>
              <w:rPr>
                <w:rFonts w:hAnsi="宋体" w:cs="宋体"/>
                <w:color w:val="auto"/>
              </w:rPr>
            </w:pPr>
            <w:r>
              <w:rPr>
                <w:rFonts w:hint="eastAsia" w:ascii="Times New Roman" w:hAnsi="宋体"/>
                <w:sz w:val="22"/>
                <w:szCs w:val="21"/>
              </w:rPr>
              <w:t>货物名称</w:t>
            </w:r>
          </w:p>
        </w:tc>
        <w:tc>
          <w:tcPr>
            <w:tcW w:w="1342" w:type="dxa"/>
            <w:vAlign w:val="center"/>
          </w:tcPr>
          <w:p>
            <w:pPr>
              <w:spacing w:line="400" w:lineRule="exact"/>
              <w:rPr>
                <w:rFonts w:hAnsi="宋体" w:cs="宋体"/>
                <w:color w:val="auto"/>
              </w:rPr>
            </w:pPr>
            <w:r>
              <w:rPr>
                <w:rFonts w:hint="eastAsia" w:ascii="Times New Roman" w:hAnsi="宋体"/>
                <w:sz w:val="22"/>
                <w:szCs w:val="21"/>
              </w:rPr>
              <w:t>制造商品牌及规格型号</w:t>
            </w:r>
          </w:p>
        </w:tc>
        <w:tc>
          <w:tcPr>
            <w:tcW w:w="642" w:type="dxa"/>
            <w:vAlign w:val="center"/>
          </w:tcPr>
          <w:p>
            <w:pPr>
              <w:spacing w:line="400" w:lineRule="exact"/>
              <w:jc w:val="center"/>
              <w:rPr>
                <w:rFonts w:hAnsi="宋体" w:cs="宋体"/>
                <w:color w:val="auto"/>
              </w:rPr>
            </w:pPr>
            <w:r>
              <w:rPr>
                <w:rFonts w:hint="eastAsia" w:ascii="Times New Roman" w:hAnsi="宋体"/>
                <w:sz w:val="22"/>
                <w:szCs w:val="21"/>
              </w:rPr>
              <w:t>数量</w:t>
            </w:r>
          </w:p>
        </w:tc>
        <w:tc>
          <w:tcPr>
            <w:tcW w:w="1549" w:type="dxa"/>
            <w:vAlign w:val="center"/>
          </w:tcPr>
          <w:p>
            <w:pPr>
              <w:spacing w:line="400" w:lineRule="exact"/>
              <w:jc w:val="center"/>
              <w:rPr>
                <w:rFonts w:ascii="Times New Roman"/>
                <w:sz w:val="22"/>
                <w:szCs w:val="21"/>
              </w:rPr>
            </w:pPr>
            <w:r>
              <w:rPr>
                <w:rFonts w:hint="eastAsia" w:ascii="Times New Roman" w:hAnsi="宋体"/>
                <w:sz w:val="22"/>
                <w:szCs w:val="21"/>
              </w:rPr>
              <w:t>投标单价</w:t>
            </w:r>
          </w:p>
          <w:p>
            <w:pPr>
              <w:spacing w:line="400" w:lineRule="exact"/>
              <w:jc w:val="center"/>
              <w:rPr>
                <w:rFonts w:hAnsi="宋体" w:cs="宋体"/>
                <w:color w:val="auto"/>
              </w:rPr>
            </w:pPr>
            <w:r>
              <w:rPr>
                <w:rFonts w:hint="eastAsia" w:ascii="Times New Roman" w:hAnsi="宋体"/>
                <w:sz w:val="22"/>
                <w:szCs w:val="21"/>
              </w:rPr>
              <w:t>（元）</w:t>
            </w:r>
          </w:p>
        </w:tc>
        <w:tc>
          <w:tcPr>
            <w:tcW w:w="1335" w:type="dxa"/>
            <w:vAlign w:val="center"/>
          </w:tcPr>
          <w:p>
            <w:pPr>
              <w:spacing w:line="400" w:lineRule="exact"/>
              <w:jc w:val="center"/>
              <w:rPr>
                <w:rFonts w:ascii="Times New Roman" w:hAnsi="宋体"/>
                <w:sz w:val="22"/>
                <w:szCs w:val="21"/>
              </w:rPr>
            </w:pPr>
            <w:r>
              <w:rPr>
                <w:rFonts w:hint="eastAsia" w:ascii="Times New Roman" w:hAnsi="宋体"/>
                <w:sz w:val="22"/>
                <w:szCs w:val="21"/>
              </w:rPr>
              <w:t>小计</w:t>
            </w:r>
          </w:p>
          <w:p>
            <w:pPr>
              <w:spacing w:line="400" w:lineRule="exact"/>
              <w:jc w:val="center"/>
              <w:rPr>
                <w:rFonts w:hAnsi="宋体" w:cs="宋体"/>
                <w:color w:val="auto"/>
              </w:rPr>
            </w:pPr>
            <w:r>
              <w:rPr>
                <w:rFonts w:hint="eastAsia" w:ascii="Times New Roman" w:hAnsi="宋体"/>
                <w:sz w:val="22"/>
                <w:szCs w:val="21"/>
              </w:rPr>
              <w:t>（元）</w:t>
            </w:r>
          </w:p>
        </w:tc>
        <w:tc>
          <w:tcPr>
            <w:tcW w:w="1335" w:type="dxa"/>
            <w:vAlign w:val="center"/>
          </w:tcPr>
          <w:p>
            <w:pPr>
              <w:spacing w:line="400" w:lineRule="exact"/>
              <w:jc w:val="center"/>
              <w:rPr>
                <w:rFonts w:hAnsi="宋体" w:cs="宋体"/>
                <w:color w:val="auto"/>
              </w:rPr>
            </w:pPr>
            <w:r>
              <w:rPr>
                <w:rFonts w:hint="eastAsia" w:ascii="Times New Roman" w:hAnsi="宋体"/>
                <w:sz w:val="22"/>
                <w:szCs w:val="21"/>
              </w:rPr>
              <w:t>交货（完工）时间</w:t>
            </w:r>
          </w:p>
        </w:tc>
        <w:tc>
          <w:tcPr>
            <w:tcW w:w="900" w:type="dxa"/>
            <w:vAlign w:val="center"/>
          </w:tcPr>
          <w:p>
            <w:pPr>
              <w:spacing w:line="400" w:lineRule="exact"/>
              <w:jc w:val="center"/>
              <w:rPr>
                <w:rFonts w:hAnsi="宋体" w:cs="宋体"/>
                <w:color w:val="auto"/>
              </w:rPr>
            </w:pPr>
            <w:r>
              <w:rPr>
                <w:rFonts w:hint="eastAsia" w:ascii="Times New Roman" w:hAnsi="宋体"/>
                <w:sz w:val="22"/>
                <w:szCs w:val="21"/>
              </w:rPr>
              <w:t>质保期</w:t>
            </w:r>
          </w:p>
        </w:tc>
        <w:tc>
          <w:tcPr>
            <w:tcW w:w="967" w:type="dxa"/>
            <w:vAlign w:val="center"/>
          </w:tcPr>
          <w:p>
            <w:pPr>
              <w:spacing w:line="400" w:lineRule="exact"/>
              <w:jc w:val="center"/>
              <w:rPr>
                <w:rFonts w:hAnsi="宋体" w:cs="宋体"/>
                <w:color w:val="auto"/>
              </w:rPr>
            </w:pPr>
            <w:r>
              <w:rPr>
                <w:rFonts w:hint="eastAsia" w:ascii="Times New Roman" w:hAnsi="宋体"/>
                <w:sz w:val="22"/>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42" w:type="dxa"/>
            <w:vAlign w:val="center"/>
          </w:tcPr>
          <w:p>
            <w:pPr>
              <w:ind w:firstLine="105" w:firstLineChars="50"/>
              <w:jc w:val="center"/>
              <w:rPr>
                <w:rFonts w:hAnsi="宋体" w:cs="宋体"/>
                <w:color w:val="auto"/>
                <w:sz w:val="21"/>
                <w:szCs w:val="21"/>
              </w:rPr>
            </w:pPr>
            <w:r>
              <w:rPr>
                <w:rFonts w:hint="eastAsia" w:hAnsi="宋体" w:cs="宋体"/>
                <w:color w:val="auto"/>
                <w:sz w:val="21"/>
                <w:szCs w:val="21"/>
              </w:rPr>
              <w:t>1</w:t>
            </w:r>
          </w:p>
        </w:tc>
        <w:tc>
          <w:tcPr>
            <w:tcW w:w="1418" w:type="dxa"/>
            <w:vAlign w:val="center"/>
          </w:tcPr>
          <w:p>
            <w:pPr>
              <w:ind w:firstLine="105" w:firstLineChars="50"/>
              <w:rPr>
                <w:rFonts w:hAnsi="宋体" w:cs="宋体"/>
                <w:color w:val="auto"/>
                <w:sz w:val="21"/>
                <w:szCs w:val="21"/>
              </w:rPr>
            </w:pPr>
            <w:r>
              <w:rPr>
                <w:rFonts w:hint="eastAsia" w:hAnsi="宋体" w:cs="宋体"/>
                <w:color w:val="auto"/>
                <w:sz w:val="21"/>
                <w:szCs w:val="21"/>
              </w:rPr>
              <w:t>....</w:t>
            </w:r>
          </w:p>
        </w:tc>
        <w:tc>
          <w:tcPr>
            <w:tcW w:w="1342" w:type="dxa"/>
            <w:vAlign w:val="center"/>
          </w:tcPr>
          <w:p>
            <w:pPr>
              <w:ind w:firstLine="105" w:firstLineChars="50"/>
              <w:rPr>
                <w:rFonts w:hAnsi="宋体" w:cs="宋体"/>
                <w:color w:val="auto"/>
                <w:sz w:val="21"/>
                <w:szCs w:val="21"/>
              </w:rPr>
            </w:pPr>
          </w:p>
        </w:tc>
        <w:tc>
          <w:tcPr>
            <w:tcW w:w="642" w:type="dxa"/>
            <w:vAlign w:val="center"/>
          </w:tcPr>
          <w:p>
            <w:pPr>
              <w:ind w:firstLine="105" w:firstLineChars="50"/>
              <w:rPr>
                <w:rFonts w:hAnsi="宋体" w:cs="宋体"/>
                <w:color w:val="auto"/>
                <w:sz w:val="21"/>
                <w:szCs w:val="21"/>
              </w:rPr>
            </w:pPr>
          </w:p>
        </w:tc>
        <w:tc>
          <w:tcPr>
            <w:tcW w:w="1549" w:type="dxa"/>
            <w:vAlign w:val="center"/>
          </w:tcPr>
          <w:p>
            <w:pPr>
              <w:ind w:firstLine="105" w:firstLineChars="50"/>
              <w:rPr>
                <w:rFonts w:hAnsi="宋体" w:cs="宋体"/>
                <w:color w:val="auto"/>
                <w:sz w:val="21"/>
                <w:szCs w:val="21"/>
              </w:rPr>
            </w:pPr>
          </w:p>
        </w:tc>
        <w:tc>
          <w:tcPr>
            <w:tcW w:w="1335" w:type="dxa"/>
          </w:tcPr>
          <w:p>
            <w:pPr>
              <w:ind w:firstLine="105" w:firstLineChars="50"/>
              <w:rPr>
                <w:rFonts w:hAnsi="宋体" w:cs="宋体"/>
                <w:color w:val="auto"/>
                <w:sz w:val="21"/>
                <w:szCs w:val="21"/>
              </w:rPr>
            </w:pPr>
          </w:p>
        </w:tc>
        <w:tc>
          <w:tcPr>
            <w:tcW w:w="1335" w:type="dxa"/>
            <w:vAlign w:val="center"/>
          </w:tcPr>
          <w:p>
            <w:pPr>
              <w:ind w:firstLine="105" w:firstLineChars="50"/>
              <w:rPr>
                <w:rFonts w:hAnsi="宋体" w:cs="宋体"/>
                <w:color w:val="auto"/>
                <w:sz w:val="21"/>
                <w:szCs w:val="21"/>
              </w:rPr>
            </w:pPr>
          </w:p>
        </w:tc>
        <w:tc>
          <w:tcPr>
            <w:tcW w:w="900" w:type="dxa"/>
            <w:vAlign w:val="center"/>
          </w:tcPr>
          <w:p>
            <w:pPr>
              <w:ind w:firstLine="105" w:firstLineChars="50"/>
              <w:rPr>
                <w:rFonts w:hAnsi="宋体" w:cs="宋体"/>
                <w:color w:val="auto"/>
                <w:sz w:val="21"/>
                <w:szCs w:val="21"/>
              </w:rPr>
            </w:pPr>
          </w:p>
        </w:tc>
        <w:tc>
          <w:tcPr>
            <w:tcW w:w="967" w:type="dxa"/>
            <w:vAlign w:val="center"/>
          </w:tcPr>
          <w:p>
            <w:pPr>
              <w:ind w:firstLine="105" w:firstLineChars="50"/>
              <w:rPr>
                <w:rFonts w:hAnsi="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42" w:type="dxa"/>
            <w:vAlign w:val="center"/>
          </w:tcPr>
          <w:p>
            <w:pPr>
              <w:ind w:firstLine="105" w:firstLineChars="50"/>
              <w:jc w:val="center"/>
              <w:rPr>
                <w:rFonts w:hAnsi="宋体" w:cs="宋体"/>
                <w:color w:val="auto"/>
                <w:sz w:val="21"/>
                <w:szCs w:val="21"/>
              </w:rPr>
            </w:pPr>
            <w:r>
              <w:rPr>
                <w:rFonts w:hint="eastAsia" w:hAnsi="宋体" w:cs="宋体"/>
                <w:color w:val="auto"/>
                <w:sz w:val="21"/>
                <w:szCs w:val="21"/>
              </w:rPr>
              <w:t>2</w:t>
            </w:r>
          </w:p>
        </w:tc>
        <w:tc>
          <w:tcPr>
            <w:tcW w:w="1418" w:type="dxa"/>
            <w:vAlign w:val="center"/>
          </w:tcPr>
          <w:p>
            <w:pPr>
              <w:ind w:firstLine="105" w:firstLineChars="50"/>
              <w:rPr>
                <w:rFonts w:hAnsi="宋体" w:cs="宋体"/>
                <w:color w:val="auto"/>
                <w:sz w:val="21"/>
                <w:szCs w:val="21"/>
              </w:rPr>
            </w:pPr>
            <w:r>
              <w:rPr>
                <w:rFonts w:hint="eastAsia" w:hAnsi="宋体" w:cs="宋体"/>
                <w:color w:val="auto"/>
                <w:sz w:val="21"/>
                <w:szCs w:val="21"/>
              </w:rPr>
              <w:t>....</w:t>
            </w:r>
          </w:p>
        </w:tc>
        <w:tc>
          <w:tcPr>
            <w:tcW w:w="1342" w:type="dxa"/>
            <w:vAlign w:val="center"/>
          </w:tcPr>
          <w:p>
            <w:pPr>
              <w:ind w:firstLine="105" w:firstLineChars="50"/>
              <w:rPr>
                <w:rFonts w:hAnsi="宋体" w:cs="宋体"/>
                <w:color w:val="auto"/>
                <w:sz w:val="21"/>
                <w:szCs w:val="21"/>
              </w:rPr>
            </w:pPr>
          </w:p>
        </w:tc>
        <w:tc>
          <w:tcPr>
            <w:tcW w:w="642" w:type="dxa"/>
            <w:vAlign w:val="center"/>
          </w:tcPr>
          <w:p>
            <w:pPr>
              <w:ind w:firstLine="105" w:firstLineChars="50"/>
              <w:rPr>
                <w:rFonts w:hAnsi="宋体" w:cs="宋体"/>
                <w:color w:val="auto"/>
                <w:sz w:val="21"/>
                <w:szCs w:val="21"/>
              </w:rPr>
            </w:pPr>
          </w:p>
        </w:tc>
        <w:tc>
          <w:tcPr>
            <w:tcW w:w="1549" w:type="dxa"/>
            <w:vAlign w:val="center"/>
          </w:tcPr>
          <w:p>
            <w:pPr>
              <w:ind w:firstLine="105" w:firstLineChars="50"/>
              <w:rPr>
                <w:rFonts w:hAnsi="宋体" w:cs="宋体"/>
                <w:color w:val="auto"/>
                <w:sz w:val="21"/>
                <w:szCs w:val="21"/>
              </w:rPr>
            </w:pPr>
          </w:p>
        </w:tc>
        <w:tc>
          <w:tcPr>
            <w:tcW w:w="1335" w:type="dxa"/>
          </w:tcPr>
          <w:p>
            <w:pPr>
              <w:ind w:firstLine="105" w:firstLineChars="50"/>
              <w:rPr>
                <w:rFonts w:hAnsi="宋体" w:cs="宋体"/>
                <w:color w:val="auto"/>
                <w:sz w:val="21"/>
                <w:szCs w:val="21"/>
              </w:rPr>
            </w:pPr>
          </w:p>
        </w:tc>
        <w:tc>
          <w:tcPr>
            <w:tcW w:w="1335" w:type="dxa"/>
            <w:vAlign w:val="center"/>
          </w:tcPr>
          <w:p>
            <w:pPr>
              <w:ind w:firstLine="105" w:firstLineChars="50"/>
              <w:rPr>
                <w:rFonts w:hAnsi="宋体" w:cs="宋体"/>
                <w:color w:val="auto"/>
                <w:sz w:val="21"/>
                <w:szCs w:val="21"/>
              </w:rPr>
            </w:pPr>
          </w:p>
        </w:tc>
        <w:tc>
          <w:tcPr>
            <w:tcW w:w="900" w:type="dxa"/>
            <w:vAlign w:val="center"/>
          </w:tcPr>
          <w:p>
            <w:pPr>
              <w:ind w:firstLine="105" w:firstLineChars="50"/>
              <w:rPr>
                <w:rFonts w:hAnsi="宋体" w:cs="宋体"/>
                <w:color w:val="auto"/>
                <w:sz w:val="21"/>
                <w:szCs w:val="21"/>
              </w:rPr>
            </w:pPr>
          </w:p>
        </w:tc>
        <w:tc>
          <w:tcPr>
            <w:tcW w:w="967" w:type="dxa"/>
            <w:vAlign w:val="center"/>
          </w:tcPr>
          <w:p>
            <w:pPr>
              <w:ind w:firstLine="105" w:firstLineChars="50"/>
              <w:rPr>
                <w:rFonts w:hAnsi="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42" w:type="dxa"/>
            <w:vAlign w:val="center"/>
          </w:tcPr>
          <w:p>
            <w:pPr>
              <w:ind w:firstLine="105" w:firstLineChars="50"/>
              <w:jc w:val="center"/>
              <w:rPr>
                <w:rFonts w:hAnsi="宋体" w:cs="宋体"/>
                <w:color w:val="auto"/>
                <w:sz w:val="21"/>
                <w:szCs w:val="21"/>
              </w:rPr>
            </w:pPr>
            <w:r>
              <w:rPr>
                <w:rFonts w:hint="eastAsia" w:hAnsi="宋体" w:cs="宋体"/>
                <w:color w:val="auto"/>
                <w:sz w:val="21"/>
                <w:szCs w:val="21"/>
              </w:rPr>
              <w:t>3</w:t>
            </w:r>
          </w:p>
        </w:tc>
        <w:tc>
          <w:tcPr>
            <w:tcW w:w="1418" w:type="dxa"/>
            <w:vAlign w:val="center"/>
          </w:tcPr>
          <w:p>
            <w:pPr>
              <w:ind w:firstLine="105" w:firstLineChars="50"/>
              <w:rPr>
                <w:rFonts w:hAnsi="宋体" w:cs="宋体"/>
                <w:color w:val="auto"/>
                <w:sz w:val="21"/>
                <w:szCs w:val="21"/>
              </w:rPr>
            </w:pPr>
          </w:p>
        </w:tc>
        <w:tc>
          <w:tcPr>
            <w:tcW w:w="1342" w:type="dxa"/>
            <w:vAlign w:val="center"/>
          </w:tcPr>
          <w:p>
            <w:pPr>
              <w:ind w:firstLine="105" w:firstLineChars="50"/>
              <w:rPr>
                <w:rFonts w:hAnsi="宋体" w:cs="宋体"/>
                <w:color w:val="auto"/>
                <w:sz w:val="21"/>
                <w:szCs w:val="21"/>
              </w:rPr>
            </w:pPr>
          </w:p>
        </w:tc>
        <w:tc>
          <w:tcPr>
            <w:tcW w:w="642" w:type="dxa"/>
            <w:vAlign w:val="center"/>
          </w:tcPr>
          <w:p>
            <w:pPr>
              <w:ind w:firstLine="105" w:firstLineChars="50"/>
              <w:rPr>
                <w:rFonts w:hAnsi="宋体" w:cs="宋体"/>
                <w:color w:val="auto"/>
                <w:sz w:val="21"/>
                <w:szCs w:val="21"/>
              </w:rPr>
            </w:pPr>
          </w:p>
        </w:tc>
        <w:tc>
          <w:tcPr>
            <w:tcW w:w="1549" w:type="dxa"/>
            <w:vAlign w:val="center"/>
          </w:tcPr>
          <w:p>
            <w:pPr>
              <w:ind w:firstLine="105" w:firstLineChars="50"/>
              <w:rPr>
                <w:rFonts w:hAnsi="宋体" w:cs="宋体"/>
                <w:color w:val="auto"/>
                <w:sz w:val="21"/>
                <w:szCs w:val="21"/>
              </w:rPr>
            </w:pPr>
          </w:p>
        </w:tc>
        <w:tc>
          <w:tcPr>
            <w:tcW w:w="1335" w:type="dxa"/>
          </w:tcPr>
          <w:p>
            <w:pPr>
              <w:ind w:firstLine="105" w:firstLineChars="50"/>
              <w:rPr>
                <w:rFonts w:hAnsi="宋体" w:cs="宋体"/>
                <w:color w:val="auto"/>
                <w:sz w:val="21"/>
                <w:szCs w:val="21"/>
              </w:rPr>
            </w:pPr>
          </w:p>
        </w:tc>
        <w:tc>
          <w:tcPr>
            <w:tcW w:w="1335" w:type="dxa"/>
            <w:vAlign w:val="center"/>
          </w:tcPr>
          <w:p>
            <w:pPr>
              <w:ind w:firstLine="105" w:firstLineChars="50"/>
              <w:rPr>
                <w:rFonts w:hAnsi="宋体" w:cs="宋体"/>
                <w:color w:val="auto"/>
                <w:sz w:val="21"/>
                <w:szCs w:val="21"/>
              </w:rPr>
            </w:pPr>
          </w:p>
        </w:tc>
        <w:tc>
          <w:tcPr>
            <w:tcW w:w="900" w:type="dxa"/>
            <w:vAlign w:val="center"/>
          </w:tcPr>
          <w:p>
            <w:pPr>
              <w:ind w:firstLine="105" w:firstLineChars="50"/>
              <w:rPr>
                <w:rFonts w:hAnsi="宋体" w:cs="宋体"/>
                <w:color w:val="auto"/>
                <w:sz w:val="21"/>
                <w:szCs w:val="21"/>
              </w:rPr>
            </w:pPr>
          </w:p>
        </w:tc>
        <w:tc>
          <w:tcPr>
            <w:tcW w:w="967" w:type="dxa"/>
            <w:vAlign w:val="center"/>
          </w:tcPr>
          <w:p>
            <w:pPr>
              <w:ind w:firstLine="105" w:firstLineChars="50"/>
              <w:rPr>
                <w:rFonts w:hAnsi="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42" w:type="dxa"/>
            <w:vAlign w:val="center"/>
          </w:tcPr>
          <w:p>
            <w:pPr>
              <w:ind w:firstLine="105" w:firstLineChars="50"/>
              <w:jc w:val="center"/>
              <w:rPr>
                <w:rFonts w:hAnsi="宋体" w:cs="宋体"/>
                <w:color w:val="auto"/>
                <w:sz w:val="21"/>
                <w:szCs w:val="21"/>
              </w:rPr>
            </w:pPr>
            <w:r>
              <w:rPr>
                <w:rFonts w:hint="eastAsia" w:hAnsi="宋体" w:cs="宋体"/>
                <w:color w:val="auto"/>
                <w:sz w:val="21"/>
                <w:szCs w:val="21"/>
              </w:rPr>
              <w:t>4</w:t>
            </w:r>
          </w:p>
        </w:tc>
        <w:tc>
          <w:tcPr>
            <w:tcW w:w="1418" w:type="dxa"/>
            <w:vAlign w:val="center"/>
          </w:tcPr>
          <w:p>
            <w:pPr>
              <w:ind w:firstLine="105" w:firstLineChars="50"/>
              <w:rPr>
                <w:rFonts w:hAnsi="宋体" w:cs="宋体"/>
                <w:color w:val="auto"/>
                <w:sz w:val="21"/>
                <w:szCs w:val="21"/>
              </w:rPr>
            </w:pPr>
          </w:p>
        </w:tc>
        <w:tc>
          <w:tcPr>
            <w:tcW w:w="1342" w:type="dxa"/>
            <w:vAlign w:val="center"/>
          </w:tcPr>
          <w:p>
            <w:pPr>
              <w:ind w:firstLine="105" w:firstLineChars="50"/>
              <w:rPr>
                <w:rFonts w:hAnsi="宋体" w:cs="宋体"/>
                <w:color w:val="auto"/>
                <w:sz w:val="21"/>
                <w:szCs w:val="21"/>
              </w:rPr>
            </w:pPr>
          </w:p>
        </w:tc>
        <w:tc>
          <w:tcPr>
            <w:tcW w:w="642" w:type="dxa"/>
            <w:vAlign w:val="center"/>
          </w:tcPr>
          <w:p>
            <w:pPr>
              <w:ind w:firstLine="105" w:firstLineChars="50"/>
              <w:rPr>
                <w:rFonts w:hAnsi="宋体" w:cs="宋体"/>
                <w:color w:val="auto"/>
                <w:sz w:val="21"/>
                <w:szCs w:val="21"/>
              </w:rPr>
            </w:pPr>
          </w:p>
        </w:tc>
        <w:tc>
          <w:tcPr>
            <w:tcW w:w="1549" w:type="dxa"/>
            <w:vAlign w:val="center"/>
          </w:tcPr>
          <w:p>
            <w:pPr>
              <w:ind w:firstLine="105" w:firstLineChars="50"/>
              <w:rPr>
                <w:rFonts w:hAnsi="宋体" w:cs="宋体"/>
                <w:color w:val="auto"/>
                <w:sz w:val="21"/>
                <w:szCs w:val="21"/>
              </w:rPr>
            </w:pPr>
          </w:p>
        </w:tc>
        <w:tc>
          <w:tcPr>
            <w:tcW w:w="1335" w:type="dxa"/>
          </w:tcPr>
          <w:p>
            <w:pPr>
              <w:ind w:firstLine="105" w:firstLineChars="50"/>
              <w:rPr>
                <w:rFonts w:hAnsi="宋体" w:cs="宋体"/>
                <w:color w:val="auto"/>
                <w:sz w:val="21"/>
                <w:szCs w:val="21"/>
              </w:rPr>
            </w:pPr>
          </w:p>
        </w:tc>
        <w:tc>
          <w:tcPr>
            <w:tcW w:w="1335" w:type="dxa"/>
            <w:vAlign w:val="center"/>
          </w:tcPr>
          <w:p>
            <w:pPr>
              <w:ind w:firstLine="105" w:firstLineChars="50"/>
              <w:rPr>
                <w:rFonts w:hAnsi="宋体" w:cs="宋体"/>
                <w:color w:val="auto"/>
                <w:sz w:val="21"/>
                <w:szCs w:val="21"/>
              </w:rPr>
            </w:pPr>
          </w:p>
        </w:tc>
        <w:tc>
          <w:tcPr>
            <w:tcW w:w="900" w:type="dxa"/>
            <w:vAlign w:val="center"/>
          </w:tcPr>
          <w:p>
            <w:pPr>
              <w:ind w:firstLine="105" w:firstLineChars="50"/>
              <w:rPr>
                <w:rFonts w:hAnsi="宋体" w:cs="宋体"/>
                <w:color w:val="auto"/>
                <w:sz w:val="21"/>
                <w:szCs w:val="21"/>
              </w:rPr>
            </w:pPr>
          </w:p>
        </w:tc>
        <w:tc>
          <w:tcPr>
            <w:tcW w:w="967" w:type="dxa"/>
            <w:vAlign w:val="center"/>
          </w:tcPr>
          <w:p>
            <w:pPr>
              <w:ind w:firstLine="105" w:firstLineChars="50"/>
              <w:rPr>
                <w:rFonts w:hAnsi="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9930" w:type="dxa"/>
            <w:gridSpan w:val="9"/>
          </w:tcPr>
          <w:p>
            <w:pPr>
              <w:ind w:firstLine="105" w:firstLineChars="50"/>
              <w:rPr>
                <w:rFonts w:hAnsi="宋体" w:cs="宋体"/>
                <w:color w:val="auto"/>
                <w:sz w:val="21"/>
                <w:szCs w:val="21"/>
              </w:rPr>
            </w:pPr>
          </w:p>
          <w:p>
            <w:pPr>
              <w:ind w:firstLine="105" w:firstLineChars="50"/>
              <w:rPr>
                <w:rFonts w:hAnsi="宋体" w:cs="宋体"/>
                <w:color w:val="auto"/>
                <w:sz w:val="21"/>
                <w:szCs w:val="21"/>
              </w:rPr>
            </w:pPr>
            <w:r>
              <w:rPr>
                <w:rFonts w:hint="eastAsia" w:hAnsi="宋体" w:cs="宋体"/>
                <w:color w:val="auto"/>
                <w:sz w:val="21"/>
                <w:szCs w:val="21"/>
              </w:rPr>
              <w:t>投标总价（人民币）小写：</w:t>
            </w:r>
            <w:r>
              <w:rPr>
                <w:rFonts w:hint="eastAsia" w:hAnsi="宋体" w:cs="宋体"/>
                <w:color w:val="auto"/>
                <w:sz w:val="21"/>
                <w:szCs w:val="21"/>
                <w:u w:val="single"/>
              </w:rPr>
              <w:t xml:space="preserve">          </w:t>
            </w:r>
            <w:r>
              <w:rPr>
                <w:rFonts w:hint="eastAsia" w:hAnsi="宋体" w:cs="宋体"/>
                <w:color w:val="auto"/>
                <w:sz w:val="21"/>
                <w:szCs w:val="21"/>
              </w:rPr>
              <w:t>万元</w:t>
            </w:r>
          </w:p>
          <w:p>
            <w:pPr>
              <w:ind w:firstLine="2100" w:firstLineChars="1000"/>
              <w:rPr>
                <w:rFonts w:hAnsi="宋体" w:cs="宋体"/>
                <w:color w:val="auto"/>
              </w:rPr>
            </w:pPr>
            <w:r>
              <w:rPr>
                <w:rFonts w:hint="eastAsia" w:hAnsi="宋体" w:cs="宋体"/>
                <w:color w:val="auto"/>
                <w:sz w:val="21"/>
                <w:szCs w:val="21"/>
              </w:rPr>
              <w:t>大写：</w:t>
            </w:r>
          </w:p>
        </w:tc>
      </w:tr>
    </w:tbl>
    <w:p>
      <w:pPr>
        <w:jc w:val="left"/>
        <w:outlineLvl w:val="1"/>
        <w:rPr>
          <w:rFonts w:hAnsi="宋体" w:cs="宋体"/>
          <w:color w:val="auto"/>
        </w:rPr>
      </w:pPr>
    </w:p>
    <w:p>
      <w:pPr>
        <w:ind w:firstLine="470" w:firstLineChars="196"/>
        <w:jc w:val="left"/>
        <w:outlineLvl w:val="1"/>
        <w:rPr>
          <w:rFonts w:hAnsi="宋体" w:cs="宋体"/>
          <w:color w:val="auto"/>
        </w:rPr>
      </w:pPr>
      <w:r>
        <w:rPr>
          <w:rFonts w:hint="eastAsia" w:hAnsi="宋体" w:cs="宋体"/>
          <w:color w:val="auto"/>
        </w:rPr>
        <w:t>注：</w:t>
      </w:r>
      <w:r>
        <w:rPr>
          <w:rFonts w:hAnsi="宋体" w:cs="宋体"/>
          <w:color w:val="auto"/>
        </w:rPr>
        <w:t>1</w:t>
      </w:r>
      <w:r>
        <w:rPr>
          <w:rFonts w:hint="eastAsia" w:hAnsi="宋体" w:cs="宋体"/>
          <w:color w:val="auto"/>
        </w:rPr>
        <w:t>、报价应是最终用户验收合格后的总价，包括设备运输、保险、代理服务费、安装调试、培训、税费以及招标文件规定的其它费用。</w:t>
      </w:r>
    </w:p>
    <w:p>
      <w:pPr>
        <w:ind w:firstLine="470" w:firstLineChars="196"/>
        <w:jc w:val="left"/>
        <w:outlineLvl w:val="1"/>
        <w:rPr>
          <w:rFonts w:hAnsi="宋体" w:cs="宋体"/>
          <w:color w:val="auto"/>
        </w:rPr>
      </w:pPr>
      <w:r>
        <w:rPr>
          <w:rFonts w:hint="eastAsia" w:hAnsi="宋体" w:cs="宋体"/>
          <w:color w:val="auto"/>
        </w:rPr>
        <w:t>2、投标单价指的是 /台（套/个）的价格；小计=投标单价*数量。</w:t>
      </w:r>
    </w:p>
    <w:p>
      <w:pPr>
        <w:ind w:firstLine="470" w:firstLineChars="196"/>
        <w:jc w:val="left"/>
        <w:outlineLvl w:val="1"/>
        <w:rPr>
          <w:rFonts w:hAnsi="宋体" w:cs="宋体"/>
          <w:color w:val="auto"/>
        </w:rPr>
      </w:pPr>
      <w:r>
        <w:rPr>
          <w:rFonts w:hint="eastAsia" w:hAnsi="宋体" w:cs="宋体"/>
          <w:color w:val="auto"/>
        </w:rPr>
        <w:t>3、</w:t>
      </w:r>
      <w:r>
        <w:rPr>
          <w:rFonts w:hAnsi="宋体" w:cs="宋体"/>
          <w:color w:val="auto"/>
        </w:rPr>
        <w:t>“</w:t>
      </w:r>
      <w:r>
        <w:rPr>
          <w:rFonts w:hint="eastAsia" w:hAnsi="宋体" w:cs="宋体"/>
          <w:color w:val="auto"/>
        </w:rPr>
        <w:t>开标一览表</w:t>
      </w:r>
      <w:r>
        <w:rPr>
          <w:rFonts w:hAnsi="宋体" w:cs="宋体"/>
          <w:color w:val="auto"/>
        </w:rPr>
        <w:t>”</w:t>
      </w:r>
      <w:r>
        <w:rPr>
          <w:rFonts w:hint="eastAsia" w:hAnsi="宋体" w:cs="宋体"/>
          <w:color w:val="auto"/>
        </w:rPr>
        <w:t>除了单独密封递交外，投标文件（正副本）也应当提供。</w:t>
      </w:r>
    </w:p>
    <w:p>
      <w:pPr>
        <w:ind w:firstLine="470" w:firstLineChars="196"/>
        <w:jc w:val="left"/>
        <w:outlineLvl w:val="1"/>
        <w:rPr>
          <w:rFonts w:hAnsi="宋体" w:cs="宋体"/>
          <w:color w:val="auto"/>
        </w:rPr>
      </w:pPr>
    </w:p>
    <w:p>
      <w:pPr>
        <w:pStyle w:val="12"/>
        <w:rPr>
          <w:rFonts w:hAnsi="宋体" w:cs="宋体"/>
        </w:rPr>
      </w:pPr>
    </w:p>
    <w:p>
      <w:pPr>
        <w:ind w:firstLine="470" w:firstLineChars="196"/>
        <w:jc w:val="left"/>
        <w:outlineLvl w:val="1"/>
        <w:rPr>
          <w:rFonts w:hAnsi="宋体" w:cs="宋体"/>
          <w:color w:val="auto"/>
        </w:rPr>
      </w:pPr>
      <w:r>
        <w:rPr>
          <w:rFonts w:hint="eastAsia" w:hAnsi="宋体" w:cs="宋体"/>
          <w:color w:val="auto"/>
        </w:rPr>
        <w:t>投标人名称：（盖公章）</w:t>
      </w:r>
    </w:p>
    <w:p>
      <w:pPr>
        <w:ind w:firstLine="470" w:firstLineChars="196"/>
        <w:jc w:val="left"/>
        <w:outlineLvl w:val="1"/>
        <w:rPr>
          <w:rFonts w:hAnsi="宋体" w:cs="宋体"/>
          <w:color w:val="auto"/>
        </w:rPr>
      </w:pPr>
      <w:r>
        <w:rPr>
          <w:rFonts w:hint="eastAsia" w:hAnsi="宋体" w:cs="宋体"/>
          <w:color w:val="auto"/>
        </w:rPr>
        <w:t>法定代表人或委托代理人（签字或盖章）：</w:t>
      </w:r>
    </w:p>
    <w:p>
      <w:pPr>
        <w:ind w:firstLine="470" w:firstLineChars="196"/>
        <w:jc w:val="left"/>
        <w:outlineLvl w:val="1"/>
        <w:rPr>
          <w:rFonts w:hAnsi="宋体" w:cs="宋体"/>
          <w:b/>
          <w:color w:val="auto"/>
        </w:rPr>
        <w:sectPr>
          <w:headerReference r:id="rId3" w:type="default"/>
          <w:footerReference r:id="rId4" w:type="default"/>
          <w:pgSz w:w="11907" w:h="16840"/>
          <w:pgMar w:top="1440" w:right="1474" w:bottom="1440" w:left="1474" w:header="851" w:footer="992" w:gutter="0"/>
          <w:cols w:space="720" w:num="1"/>
          <w:docGrid w:linePitch="312" w:charSpace="0"/>
        </w:sectPr>
      </w:pPr>
      <w:r>
        <w:rPr>
          <w:rFonts w:hint="eastAsia" w:hAnsi="宋体" w:cs="宋体"/>
          <w:color w:val="auto"/>
        </w:rPr>
        <w:t>日 期：</w:t>
      </w:r>
    </w:p>
    <w:p>
      <w:pPr>
        <w:spacing w:line="360" w:lineRule="auto"/>
        <w:rPr>
          <w:rFonts w:hAnsi="宋体" w:cs="宋体"/>
          <w:b/>
          <w:color w:val="auto"/>
          <w:sz w:val="32"/>
          <w:szCs w:val="32"/>
        </w:rPr>
      </w:pPr>
      <w:bookmarkStart w:id="188" w:name="_Toc217446086"/>
      <w:r>
        <w:rPr>
          <w:rFonts w:hint="eastAsia" w:hAnsi="宋体" w:cs="宋体"/>
          <w:b/>
          <w:color w:val="auto"/>
          <w:sz w:val="32"/>
          <w:szCs w:val="32"/>
        </w:rPr>
        <w:t>格式2-5</w:t>
      </w:r>
    </w:p>
    <w:p>
      <w:pPr>
        <w:spacing w:line="24" w:lineRule="atLeast"/>
        <w:jc w:val="center"/>
        <w:outlineLvl w:val="1"/>
        <w:rPr>
          <w:rFonts w:hAnsi="宋体" w:cs="宋体"/>
          <w:b/>
          <w:color w:val="auto"/>
          <w:sz w:val="32"/>
          <w:szCs w:val="32"/>
        </w:rPr>
      </w:pPr>
      <w:r>
        <w:rPr>
          <w:rFonts w:hint="eastAsia" w:hAnsi="宋体" w:cs="宋体"/>
          <w:b/>
          <w:color w:val="auto"/>
          <w:sz w:val="32"/>
          <w:szCs w:val="32"/>
        </w:rPr>
        <w:t>四、分项报价明细表</w:t>
      </w:r>
      <w:bookmarkEnd w:id="188"/>
    </w:p>
    <w:p>
      <w:pPr>
        <w:spacing w:line="24" w:lineRule="atLeast"/>
        <w:ind w:firstLine="472" w:firstLineChars="196"/>
        <w:jc w:val="left"/>
        <w:outlineLvl w:val="1"/>
        <w:rPr>
          <w:rFonts w:hAnsi="宋体" w:cs="宋体"/>
          <w:b/>
          <w:color w:val="auto"/>
        </w:rPr>
      </w:pPr>
    </w:p>
    <w:p>
      <w:pPr>
        <w:pStyle w:val="12"/>
        <w:rPr>
          <w:rFonts w:hAnsi="宋体" w:cs="宋体"/>
          <w:sz w:val="24"/>
        </w:rPr>
      </w:pPr>
      <w:r>
        <w:rPr>
          <w:rFonts w:hint="eastAsia" w:hAnsi="宋体" w:cs="宋体"/>
          <w:sz w:val="24"/>
        </w:rPr>
        <w:t>项目编号/包号：</w:t>
      </w:r>
    </w:p>
    <w:tbl>
      <w:tblPr>
        <w:tblStyle w:val="33"/>
        <w:tblW w:w="9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275"/>
        <w:gridCol w:w="1360"/>
        <w:gridCol w:w="888"/>
        <w:gridCol w:w="1212"/>
        <w:gridCol w:w="840"/>
        <w:gridCol w:w="841"/>
        <w:gridCol w:w="876"/>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77" w:type="dxa"/>
            <w:vAlign w:val="center"/>
          </w:tcPr>
          <w:p>
            <w:pPr>
              <w:spacing w:line="24" w:lineRule="atLeast"/>
              <w:jc w:val="center"/>
              <w:outlineLvl w:val="1"/>
              <w:rPr>
                <w:rFonts w:hAnsi="宋体" w:cs="宋体"/>
                <w:color w:val="auto"/>
              </w:rPr>
            </w:pPr>
            <w:r>
              <w:rPr>
                <w:rFonts w:hint="eastAsia" w:hAnsi="宋体" w:cs="宋体"/>
                <w:color w:val="auto"/>
              </w:rPr>
              <w:t>序号</w:t>
            </w:r>
          </w:p>
        </w:tc>
        <w:tc>
          <w:tcPr>
            <w:tcW w:w="1275" w:type="dxa"/>
            <w:vAlign w:val="center"/>
          </w:tcPr>
          <w:p>
            <w:pPr>
              <w:spacing w:line="24" w:lineRule="atLeast"/>
              <w:jc w:val="center"/>
              <w:outlineLvl w:val="1"/>
              <w:rPr>
                <w:rFonts w:hAnsi="宋体" w:cs="宋体"/>
                <w:color w:val="auto"/>
              </w:rPr>
            </w:pPr>
            <w:r>
              <w:rPr>
                <w:rFonts w:hint="eastAsia" w:hAnsi="宋体" w:cs="宋体"/>
                <w:color w:val="auto"/>
              </w:rPr>
              <w:t>产品名称</w:t>
            </w:r>
          </w:p>
        </w:tc>
        <w:tc>
          <w:tcPr>
            <w:tcW w:w="1360" w:type="dxa"/>
            <w:vAlign w:val="center"/>
          </w:tcPr>
          <w:p>
            <w:pPr>
              <w:spacing w:line="24" w:lineRule="atLeast"/>
              <w:jc w:val="center"/>
              <w:outlineLvl w:val="1"/>
              <w:rPr>
                <w:rFonts w:hAnsi="宋体" w:cs="宋体"/>
                <w:color w:val="auto"/>
              </w:rPr>
            </w:pPr>
            <w:r>
              <w:rPr>
                <w:rFonts w:hint="eastAsia" w:hAnsi="宋体" w:cs="宋体"/>
                <w:color w:val="auto"/>
              </w:rPr>
              <w:t>品牌</w:t>
            </w:r>
          </w:p>
        </w:tc>
        <w:tc>
          <w:tcPr>
            <w:tcW w:w="888" w:type="dxa"/>
            <w:vAlign w:val="center"/>
          </w:tcPr>
          <w:p>
            <w:pPr>
              <w:spacing w:line="24" w:lineRule="atLeast"/>
              <w:jc w:val="center"/>
              <w:outlineLvl w:val="1"/>
              <w:rPr>
                <w:rFonts w:hAnsi="宋体" w:cs="宋体"/>
                <w:color w:val="auto"/>
              </w:rPr>
            </w:pPr>
            <w:r>
              <w:rPr>
                <w:rFonts w:hint="eastAsia" w:hAnsi="宋体" w:cs="宋体"/>
                <w:color w:val="auto"/>
              </w:rPr>
              <w:t>规格型号</w:t>
            </w:r>
          </w:p>
        </w:tc>
        <w:tc>
          <w:tcPr>
            <w:tcW w:w="1212" w:type="dxa"/>
            <w:vAlign w:val="center"/>
          </w:tcPr>
          <w:p>
            <w:pPr>
              <w:spacing w:line="24" w:lineRule="atLeast"/>
              <w:jc w:val="center"/>
              <w:outlineLvl w:val="1"/>
              <w:rPr>
                <w:rFonts w:hAnsi="宋体" w:cs="宋体"/>
                <w:color w:val="auto"/>
              </w:rPr>
            </w:pPr>
            <w:r>
              <w:rPr>
                <w:rFonts w:hint="eastAsia" w:hAnsi="宋体" w:cs="宋体"/>
                <w:color w:val="auto"/>
              </w:rPr>
              <w:t>单位</w:t>
            </w:r>
          </w:p>
        </w:tc>
        <w:tc>
          <w:tcPr>
            <w:tcW w:w="840" w:type="dxa"/>
            <w:vAlign w:val="center"/>
          </w:tcPr>
          <w:p>
            <w:pPr>
              <w:spacing w:line="24" w:lineRule="atLeast"/>
              <w:jc w:val="center"/>
              <w:outlineLvl w:val="1"/>
              <w:rPr>
                <w:rFonts w:hAnsi="宋体" w:cs="宋体"/>
                <w:color w:val="auto"/>
              </w:rPr>
            </w:pPr>
            <w:r>
              <w:rPr>
                <w:rFonts w:hint="eastAsia" w:hAnsi="宋体" w:cs="宋体"/>
                <w:color w:val="auto"/>
              </w:rPr>
              <w:t>数量</w:t>
            </w:r>
          </w:p>
        </w:tc>
        <w:tc>
          <w:tcPr>
            <w:tcW w:w="841" w:type="dxa"/>
            <w:vAlign w:val="center"/>
          </w:tcPr>
          <w:p>
            <w:pPr>
              <w:spacing w:line="24" w:lineRule="atLeast"/>
              <w:jc w:val="center"/>
              <w:outlineLvl w:val="1"/>
              <w:rPr>
                <w:rFonts w:hAnsi="宋体" w:cs="宋体"/>
                <w:color w:val="auto"/>
              </w:rPr>
            </w:pPr>
            <w:r>
              <w:rPr>
                <w:rFonts w:hint="eastAsia" w:hAnsi="宋体" w:cs="宋体"/>
                <w:color w:val="auto"/>
              </w:rPr>
              <w:t>单价</w:t>
            </w:r>
          </w:p>
        </w:tc>
        <w:tc>
          <w:tcPr>
            <w:tcW w:w="876" w:type="dxa"/>
            <w:vAlign w:val="center"/>
          </w:tcPr>
          <w:p>
            <w:pPr>
              <w:spacing w:line="24" w:lineRule="atLeast"/>
              <w:jc w:val="center"/>
              <w:outlineLvl w:val="1"/>
              <w:rPr>
                <w:rFonts w:hAnsi="宋体" w:cs="宋体"/>
                <w:color w:val="auto"/>
              </w:rPr>
            </w:pPr>
            <w:r>
              <w:rPr>
                <w:rFonts w:hint="eastAsia" w:hAnsi="宋体" w:cs="宋体"/>
                <w:color w:val="auto"/>
              </w:rPr>
              <w:t>小计</w:t>
            </w:r>
          </w:p>
        </w:tc>
        <w:tc>
          <w:tcPr>
            <w:tcW w:w="843" w:type="dxa"/>
            <w:vAlign w:val="center"/>
          </w:tcPr>
          <w:p>
            <w:pPr>
              <w:spacing w:line="24" w:lineRule="atLeast"/>
              <w:outlineLvl w:val="1"/>
              <w:rPr>
                <w:rFonts w:hAnsi="宋体" w:cs="宋体"/>
                <w:color w:val="auto"/>
              </w:rPr>
            </w:pPr>
            <w:r>
              <w:rPr>
                <w:rFonts w:hint="eastAsia" w:hAnsi="宋体" w:cs="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77" w:type="dxa"/>
            <w:vAlign w:val="center"/>
          </w:tcPr>
          <w:p>
            <w:pPr>
              <w:spacing w:line="24" w:lineRule="atLeast"/>
              <w:ind w:firstLine="470" w:firstLineChars="196"/>
              <w:jc w:val="left"/>
              <w:outlineLvl w:val="1"/>
              <w:rPr>
                <w:rFonts w:hAnsi="宋体" w:cs="宋体"/>
                <w:color w:val="auto"/>
              </w:rPr>
            </w:pPr>
          </w:p>
        </w:tc>
        <w:tc>
          <w:tcPr>
            <w:tcW w:w="1275" w:type="dxa"/>
            <w:vAlign w:val="center"/>
          </w:tcPr>
          <w:p>
            <w:pPr>
              <w:spacing w:line="24" w:lineRule="atLeast"/>
              <w:ind w:firstLine="470" w:firstLineChars="196"/>
              <w:jc w:val="left"/>
              <w:outlineLvl w:val="1"/>
              <w:rPr>
                <w:rFonts w:hAnsi="宋体" w:cs="宋体"/>
                <w:color w:val="auto"/>
              </w:rPr>
            </w:pPr>
          </w:p>
        </w:tc>
        <w:tc>
          <w:tcPr>
            <w:tcW w:w="1360" w:type="dxa"/>
            <w:vAlign w:val="center"/>
          </w:tcPr>
          <w:p>
            <w:pPr>
              <w:spacing w:line="24" w:lineRule="atLeast"/>
              <w:ind w:firstLine="470" w:firstLineChars="196"/>
              <w:jc w:val="left"/>
              <w:outlineLvl w:val="1"/>
              <w:rPr>
                <w:rFonts w:hAnsi="宋体" w:cs="宋体"/>
                <w:color w:val="auto"/>
              </w:rPr>
            </w:pPr>
          </w:p>
        </w:tc>
        <w:tc>
          <w:tcPr>
            <w:tcW w:w="888" w:type="dxa"/>
            <w:vAlign w:val="center"/>
          </w:tcPr>
          <w:p>
            <w:pPr>
              <w:spacing w:line="24" w:lineRule="atLeast"/>
              <w:ind w:firstLine="470" w:firstLineChars="196"/>
              <w:jc w:val="left"/>
              <w:outlineLvl w:val="1"/>
              <w:rPr>
                <w:rFonts w:hAnsi="宋体" w:cs="宋体"/>
                <w:color w:val="auto"/>
              </w:rPr>
            </w:pPr>
          </w:p>
        </w:tc>
        <w:tc>
          <w:tcPr>
            <w:tcW w:w="1212" w:type="dxa"/>
            <w:vAlign w:val="center"/>
          </w:tcPr>
          <w:p>
            <w:pPr>
              <w:spacing w:line="24" w:lineRule="atLeast"/>
              <w:ind w:firstLine="470" w:firstLineChars="196"/>
              <w:jc w:val="left"/>
              <w:outlineLvl w:val="1"/>
              <w:rPr>
                <w:rFonts w:hAnsi="宋体" w:cs="宋体"/>
                <w:color w:val="auto"/>
              </w:rPr>
            </w:pPr>
          </w:p>
        </w:tc>
        <w:tc>
          <w:tcPr>
            <w:tcW w:w="840" w:type="dxa"/>
            <w:vAlign w:val="center"/>
          </w:tcPr>
          <w:p>
            <w:pPr>
              <w:spacing w:line="24" w:lineRule="atLeast"/>
              <w:ind w:firstLine="470" w:firstLineChars="196"/>
              <w:jc w:val="left"/>
              <w:outlineLvl w:val="1"/>
              <w:rPr>
                <w:rFonts w:hAnsi="宋体" w:cs="宋体"/>
                <w:color w:val="auto"/>
              </w:rPr>
            </w:pPr>
          </w:p>
        </w:tc>
        <w:tc>
          <w:tcPr>
            <w:tcW w:w="841" w:type="dxa"/>
            <w:vAlign w:val="center"/>
          </w:tcPr>
          <w:p>
            <w:pPr>
              <w:spacing w:line="24" w:lineRule="atLeast"/>
              <w:ind w:firstLine="470" w:firstLineChars="196"/>
              <w:jc w:val="left"/>
              <w:outlineLvl w:val="1"/>
              <w:rPr>
                <w:rFonts w:hAnsi="宋体" w:cs="宋体"/>
                <w:color w:val="auto"/>
              </w:rPr>
            </w:pPr>
          </w:p>
        </w:tc>
        <w:tc>
          <w:tcPr>
            <w:tcW w:w="876" w:type="dxa"/>
            <w:vAlign w:val="center"/>
          </w:tcPr>
          <w:p>
            <w:pPr>
              <w:spacing w:line="24" w:lineRule="atLeast"/>
              <w:ind w:firstLine="470" w:firstLineChars="196"/>
              <w:jc w:val="left"/>
              <w:outlineLvl w:val="1"/>
              <w:rPr>
                <w:rFonts w:hAnsi="宋体" w:cs="宋体"/>
                <w:color w:val="auto"/>
              </w:rPr>
            </w:pPr>
          </w:p>
        </w:tc>
        <w:tc>
          <w:tcPr>
            <w:tcW w:w="843" w:type="dxa"/>
            <w:vAlign w:val="center"/>
          </w:tcPr>
          <w:p>
            <w:pPr>
              <w:spacing w:line="24" w:lineRule="atLeast"/>
              <w:ind w:firstLine="470" w:firstLineChars="196"/>
              <w:jc w:val="left"/>
              <w:outlineLvl w:val="1"/>
              <w:rPr>
                <w:rFonts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77" w:type="dxa"/>
            <w:vAlign w:val="center"/>
          </w:tcPr>
          <w:p>
            <w:pPr>
              <w:spacing w:line="24" w:lineRule="atLeast"/>
              <w:ind w:firstLine="470" w:firstLineChars="196"/>
              <w:jc w:val="left"/>
              <w:outlineLvl w:val="1"/>
              <w:rPr>
                <w:rFonts w:hAnsi="宋体" w:cs="宋体"/>
                <w:color w:val="auto"/>
              </w:rPr>
            </w:pPr>
          </w:p>
        </w:tc>
        <w:tc>
          <w:tcPr>
            <w:tcW w:w="1275" w:type="dxa"/>
            <w:vAlign w:val="center"/>
          </w:tcPr>
          <w:p>
            <w:pPr>
              <w:spacing w:line="24" w:lineRule="atLeast"/>
              <w:ind w:firstLine="470" w:firstLineChars="196"/>
              <w:jc w:val="left"/>
              <w:outlineLvl w:val="1"/>
              <w:rPr>
                <w:rFonts w:hAnsi="宋体" w:cs="宋体"/>
                <w:color w:val="auto"/>
              </w:rPr>
            </w:pPr>
          </w:p>
        </w:tc>
        <w:tc>
          <w:tcPr>
            <w:tcW w:w="1360" w:type="dxa"/>
            <w:vAlign w:val="center"/>
          </w:tcPr>
          <w:p>
            <w:pPr>
              <w:spacing w:line="24" w:lineRule="atLeast"/>
              <w:ind w:firstLine="470" w:firstLineChars="196"/>
              <w:jc w:val="left"/>
              <w:outlineLvl w:val="1"/>
              <w:rPr>
                <w:rFonts w:hAnsi="宋体" w:cs="宋体"/>
                <w:color w:val="auto"/>
              </w:rPr>
            </w:pPr>
          </w:p>
        </w:tc>
        <w:tc>
          <w:tcPr>
            <w:tcW w:w="888" w:type="dxa"/>
            <w:vAlign w:val="center"/>
          </w:tcPr>
          <w:p>
            <w:pPr>
              <w:spacing w:line="24" w:lineRule="atLeast"/>
              <w:ind w:firstLine="470" w:firstLineChars="196"/>
              <w:jc w:val="left"/>
              <w:outlineLvl w:val="1"/>
              <w:rPr>
                <w:rFonts w:hAnsi="宋体" w:cs="宋体"/>
                <w:color w:val="auto"/>
              </w:rPr>
            </w:pPr>
          </w:p>
        </w:tc>
        <w:tc>
          <w:tcPr>
            <w:tcW w:w="1212" w:type="dxa"/>
            <w:vAlign w:val="center"/>
          </w:tcPr>
          <w:p>
            <w:pPr>
              <w:spacing w:line="24" w:lineRule="atLeast"/>
              <w:ind w:firstLine="470" w:firstLineChars="196"/>
              <w:jc w:val="left"/>
              <w:outlineLvl w:val="1"/>
              <w:rPr>
                <w:rFonts w:hAnsi="宋体" w:cs="宋体"/>
                <w:color w:val="auto"/>
              </w:rPr>
            </w:pPr>
          </w:p>
        </w:tc>
        <w:tc>
          <w:tcPr>
            <w:tcW w:w="840" w:type="dxa"/>
            <w:vAlign w:val="center"/>
          </w:tcPr>
          <w:p>
            <w:pPr>
              <w:spacing w:line="24" w:lineRule="atLeast"/>
              <w:ind w:firstLine="470" w:firstLineChars="196"/>
              <w:jc w:val="left"/>
              <w:outlineLvl w:val="1"/>
              <w:rPr>
                <w:rFonts w:hAnsi="宋体" w:cs="宋体"/>
                <w:color w:val="auto"/>
              </w:rPr>
            </w:pPr>
          </w:p>
        </w:tc>
        <w:tc>
          <w:tcPr>
            <w:tcW w:w="841" w:type="dxa"/>
            <w:vAlign w:val="center"/>
          </w:tcPr>
          <w:p>
            <w:pPr>
              <w:spacing w:line="24" w:lineRule="atLeast"/>
              <w:ind w:firstLine="470" w:firstLineChars="196"/>
              <w:jc w:val="left"/>
              <w:outlineLvl w:val="1"/>
              <w:rPr>
                <w:rFonts w:hAnsi="宋体" w:cs="宋体"/>
                <w:color w:val="auto"/>
              </w:rPr>
            </w:pPr>
          </w:p>
        </w:tc>
        <w:tc>
          <w:tcPr>
            <w:tcW w:w="876" w:type="dxa"/>
            <w:vAlign w:val="center"/>
          </w:tcPr>
          <w:p>
            <w:pPr>
              <w:spacing w:line="24" w:lineRule="atLeast"/>
              <w:ind w:firstLine="470" w:firstLineChars="196"/>
              <w:jc w:val="left"/>
              <w:outlineLvl w:val="1"/>
              <w:rPr>
                <w:rFonts w:hAnsi="宋体" w:cs="宋体"/>
                <w:color w:val="auto"/>
              </w:rPr>
            </w:pPr>
          </w:p>
        </w:tc>
        <w:tc>
          <w:tcPr>
            <w:tcW w:w="843" w:type="dxa"/>
            <w:vAlign w:val="center"/>
          </w:tcPr>
          <w:p>
            <w:pPr>
              <w:spacing w:line="24" w:lineRule="atLeast"/>
              <w:ind w:firstLine="470" w:firstLineChars="196"/>
              <w:jc w:val="left"/>
              <w:outlineLvl w:val="1"/>
              <w:rPr>
                <w:rFonts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77" w:type="dxa"/>
            <w:vAlign w:val="center"/>
          </w:tcPr>
          <w:p>
            <w:pPr>
              <w:spacing w:line="24" w:lineRule="atLeast"/>
              <w:ind w:firstLine="470" w:firstLineChars="196"/>
              <w:jc w:val="left"/>
              <w:outlineLvl w:val="1"/>
              <w:rPr>
                <w:rFonts w:hAnsi="宋体" w:cs="宋体"/>
                <w:color w:val="auto"/>
              </w:rPr>
            </w:pPr>
          </w:p>
        </w:tc>
        <w:tc>
          <w:tcPr>
            <w:tcW w:w="1275" w:type="dxa"/>
            <w:vAlign w:val="center"/>
          </w:tcPr>
          <w:p>
            <w:pPr>
              <w:spacing w:line="24" w:lineRule="atLeast"/>
              <w:ind w:firstLine="470" w:firstLineChars="196"/>
              <w:jc w:val="left"/>
              <w:outlineLvl w:val="1"/>
              <w:rPr>
                <w:rFonts w:hAnsi="宋体" w:cs="宋体"/>
                <w:color w:val="auto"/>
              </w:rPr>
            </w:pPr>
          </w:p>
        </w:tc>
        <w:tc>
          <w:tcPr>
            <w:tcW w:w="1360" w:type="dxa"/>
            <w:vAlign w:val="center"/>
          </w:tcPr>
          <w:p>
            <w:pPr>
              <w:spacing w:line="24" w:lineRule="atLeast"/>
              <w:ind w:firstLine="470" w:firstLineChars="196"/>
              <w:jc w:val="left"/>
              <w:outlineLvl w:val="1"/>
              <w:rPr>
                <w:rFonts w:hAnsi="宋体" w:cs="宋体"/>
                <w:color w:val="auto"/>
              </w:rPr>
            </w:pPr>
          </w:p>
        </w:tc>
        <w:tc>
          <w:tcPr>
            <w:tcW w:w="888" w:type="dxa"/>
            <w:vAlign w:val="center"/>
          </w:tcPr>
          <w:p>
            <w:pPr>
              <w:spacing w:line="24" w:lineRule="atLeast"/>
              <w:ind w:firstLine="470" w:firstLineChars="196"/>
              <w:jc w:val="left"/>
              <w:outlineLvl w:val="1"/>
              <w:rPr>
                <w:rFonts w:hAnsi="宋体" w:cs="宋体"/>
                <w:color w:val="auto"/>
              </w:rPr>
            </w:pPr>
          </w:p>
        </w:tc>
        <w:tc>
          <w:tcPr>
            <w:tcW w:w="1212" w:type="dxa"/>
            <w:vAlign w:val="center"/>
          </w:tcPr>
          <w:p>
            <w:pPr>
              <w:spacing w:line="24" w:lineRule="atLeast"/>
              <w:ind w:firstLine="470" w:firstLineChars="196"/>
              <w:jc w:val="left"/>
              <w:outlineLvl w:val="1"/>
              <w:rPr>
                <w:rFonts w:hAnsi="宋体" w:cs="宋体"/>
                <w:color w:val="auto"/>
              </w:rPr>
            </w:pPr>
          </w:p>
        </w:tc>
        <w:tc>
          <w:tcPr>
            <w:tcW w:w="840" w:type="dxa"/>
            <w:vAlign w:val="center"/>
          </w:tcPr>
          <w:p>
            <w:pPr>
              <w:spacing w:line="24" w:lineRule="atLeast"/>
              <w:ind w:firstLine="470" w:firstLineChars="196"/>
              <w:jc w:val="left"/>
              <w:outlineLvl w:val="1"/>
              <w:rPr>
                <w:rFonts w:hAnsi="宋体" w:cs="宋体"/>
                <w:color w:val="auto"/>
              </w:rPr>
            </w:pPr>
          </w:p>
        </w:tc>
        <w:tc>
          <w:tcPr>
            <w:tcW w:w="841" w:type="dxa"/>
            <w:vAlign w:val="center"/>
          </w:tcPr>
          <w:p>
            <w:pPr>
              <w:spacing w:line="24" w:lineRule="atLeast"/>
              <w:ind w:firstLine="470" w:firstLineChars="196"/>
              <w:jc w:val="left"/>
              <w:outlineLvl w:val="1"/>
              <w:rPr>
                <w:rFonts w:hAnsi="宋体" w:cs="宋体"/>
                <w:color w:val="auto"/>
              </w:rPr>
            </w:pPr>
          </w:p>
        </w:tc>
        <w:tc>
          <w:tcPr>
            <w:tcW w:w="876" w:type="dxa"/>
            <w:vAlign w:val="center"/>
          </w:tcPr>
          <w:p>
            <w:pPr>
              <w:spacing w:line="24" w:lineRule="atLeast"/>
              <w:ind w:firstLine="470" w:firstLineChars="196"/>
              <w:jc w:val="left"/>
              <w:outlineLvl w:val="1"/>
              <w:rPr>
                <w:rFonts w:hAnsi="宋体" w:cs="宋体"/>
                <w:color w:val="auto"/>
              </w:rPr>
            </w:pPr>
          </w:p>
        </w:tc>
        <w:tc>
          <w:tcPr>
            <w:tcW w:w="843" w:type="dxa"/>
            <w:vAlign w:val="center"/>
          </w:tcPr>
          <w:p>
            <w:pPr>
              <w:spacing w:line="24" w:lineRule="atLeast"/>
              <w:ind w:firstLine="470" w:firstLineChars="196"/>
              <w:jc w:val="left"/>
              <w:outlineLvl w:val="1"/>
              <w:rPr>
                <w:rFonts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77" w:type="dxa"/>
            <w:tcBorders>
              <w:left w:val="single" w:color="auto" w:sz="4" w:space="0"/>
            </w:tcBorders>
            <w:vAlign w:val="center"/>
          </w:tcPr>
          <w:p>
            <w:pPr>
              <w:spacing w:line="24" w:lineRule="atLeast"/>
              <w:ind w:firstLine="470" w:firstLineChars="196"/>
              <w:jc w:val="left"/>
              <w:outlineLvl w:val="1"/>
              <w:rPr>
                <w:rFonts w:hAnsi="宋体" w:cs="宋体"/>
                <w:color w:val="auto"/>
              </w:rPr>
            </w:pPr>
          </w:p>
        </w:tc>
        <w:tc>
          <w:tcPr>
            <w:tcW w:w="1275" w:type="dxa"/>
            <w:vAlign w:val="center"/>
          </w:tcPr>
          <w:p>
            <w:pPr>
              <w:spacing w:line="24" w:lineRule="atLeast"/>
              <w:ind w:firstLine="470" w:firstLineChars="196"/>
              <w:jc w:val="left"/>
              <w:outlineLvl w:val="1"/>
              <w:rPr>
                <w:rFonts w:hAnsi="宋体" w:cs="宋体"/>
                <w:color w:val="auto"/>
              </w:rPr>
            </w:pPr>
          </w:p>
        </w:tc>
        <w:tc>
          <w:tcPr>
            <w:tcW w:w="1360" w:type="dxa"/>
            <w:vAlign w:val="center"/>
          </w:tcPr>
          <w:p>
            <w:pPr>
              <w:spacing w:line="24" w:lineRule="atLeast"/>
              <w:ind w:firstLine="470" w:firstLineChars="196"/>
              <w:jc w:val="left"/>
              <w:outlineLvl w:val="1"/>
              <w:rPr>
                <w:rFonts w:hAnsi="宋体" w:cs="宋体"/>
                <w:color w:val="auto"/>
              </w:rPr>
            </w:pPr>
          </w:p>
        </w:tc>
        <w:tc>
          <w:tcPr>
            <w:tcW w:w="888" w:type="dxa"/>
            <w:vAlign w:val="center"/>
          </w:tcPr>
          <w:p>
            <w:pPr>
              <w:spacing w:line="24" w:lineRule="atLeast"/>
              <w:ind w:firstLine="470" w:firstLineChars="196"/>
              <w:jc w:val="left"/>
              <w:outlineLvl w:val="1"/>
              <w:rPr>
                <w:rFonts w:hAnsi="宋体" w:cs="宋体"/>
                <w:color w:val="auto"/>
              </w:rPr>
            </w:pPr>
          </w:p>
        </w:tc>
        <w:tc>
          <w:tcPr>
            <w:tcW w:w="1212" w:type="dxa"/>
            <w:vAlign w:val="center"/>
          </w:tcPr>
          <w:p>
            <w:pPr>
              <w:spacing w:line="24" w:lineRule="atLeast"/>
              <w:ind w:firstLine="470" w:firstLineChars="196"/>
              <w:jc w:val="left"/>
              <w:outlineLvl w:val="1"/>
              <w:rPr>
                <w:rFonts w:hAnsi="宋体" w:cs="宋体"/>
                <w:color w:val="auto"/>
              </w:rPr>
            </w:pPr>
          </w:p>
        </w:tc>
        <w:tc>
          <w:tcPr>
            <w:tcW w:w="840" w:type="dxa"/>
            <w:vAlign w:val="center"/>
          </w:tcPr>
          <w:p>
            <w:pPr>
              <w:spacing w:line="24" w:lineRule="atLeast"/>
              <w:ind w:firstLine="470" w:firstLineChars="196"/>
              <w:jc w:val="left"/>
              <w:outlineLvl w:val="1"/>
              <w:rPr>
                <w:rFonts w:hAnsi="宋体" w:cs="宋体"/>
                <w:color w:val="auto"/>
              </w:rPr>
            </w:pPr>
          </w:p>
        </w:tc>
        <w:tc>
          <w:tcPr>
            <w:tcW w:w="841" w:type="dxa"/>
            <w:vAlign w:val="center"/>
          </w:tcPr>
          <w:p>
            <w:pPr>
              <w:spacing w:line="24" w:lineRule="atLeast"/>
              <w:ind w:firstLine="470" w:firstLineChars="196"/>
              <w:jc w:val="left"/>
              <w:outlineLvl w:val="1"/>
              <w:rPr>
                <w:rFonts w:hAnsi="宋体" w:cs="宋体"/>
                <w:color w:val="auto"/>
              </w:rPr>
            </w:pPr>
          </w:p>
        </w:tc>
        <w:tc>
          <w:tcPr>
            <w:tcW w:w="876" w:type="dxa"/>
            <w:vAlign w:val="center"/>
          </w:tcPr>
          <w:p>
            <w:pPr>
              <w:spacing w:line="24" w:lineRule="atLeast"/>
              <w:ind w:firstLine="470" w:firstLineChars="196"/>
              <w:jc w:val="left"/>
              <w:outlineLvl w:val="1"/>
              <w:rPr>
                <w:rFonts w:hAnsi="宋体" w:cs="宋体"/>
                <w:color w:val="auto"/>
              </w:rPr>
            </w:pPr>
          </w:p>
        </w:tc>
        <w:tc>
          <w:tcPr>
            <w:tcW w:w="843" w:type="dxa"/>
            <w:vAlign w:val="center"/>
          </w:tcPr>
          <w:p>
            <w:pPr>
              <w:spacing w:line="24" w:lineRule="atLeast"/>
              <w:ind w:firstLine="470" w:firstLineChars="196"/>
              <w:jc w:val="left"/>
              <w:outlineLvl w:val="1"/>
              <w:rPr>
                <w:rFonts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77" w:type="dxa"/>
            <w:vAlign w:val="center"/>
          </w:tcPr>
          <w:p>
            <w:pPr>
              <w:spacing w:line="24" w:lineRule="atLeast"/>
              <w:ind w:firstLine="470" w:firstLineChars="196"/>
              <w:jc w:val="left"/>
              <w:outlineLvl w:val="1"/>
              <w:rPr>
                <w:rFonts w:hAnsi="宋体" w:cs="宋体"/>
                <w:color w:val="auto"/>
              </w:rPr>
            </w:pPr>
          </w:p>
        </w:tc>
        <w:tc>
          <w:tcPr>
            <w:tcW w:w="1275" w:type="dxa"/>
            <w:vAlign w:val="center"/>
          </w:tcPr>
          <w:p>
            <w:pPr>
              <w:spacing w:line="24" w:lineRule="atLeast"/>
              <w:ind w:firstLine="470" w:firstLineChars="196"/>
              <w:jc w:val="left"/>
              <w:outlineLvl w:val="1"/>
              <w:rPr>
                <w:rFonts w:hAnsi="宋体" w:cs="宋体"/>
                <w:color w:val="auto"/>
              </w:rPr>
            </w:pPr>
          </w:p>
        </w:tc>
        <w:tc>
          <w:tcPr>
            <w:tcW w:w="1360" w:type="dxa"/>
            <w:vAlign w:val="center"/>
          </w:tcPr>
          <w:p>
            <w:pPr>
              <w:spacing w:line="24" w:lineRule="atLeast"/>
              <w:ind w:firstLine="470" w:firstLineChars="196"/>
              <w:jc w:val="left"/>
              <w:outlineLvl w:val="1"/>
              <w:rPr>
                <w:rFonts w:hAnsi="宋体" w:cs="宋体"/>
                <w:color w:val="auto"/>
              </w:rPr>
            </w:pPr>
          </w:p>
        </w:tc>
        <w:tc>
          <w:tcPr>
            <w:tcW w:w="888" w:type="dxa"/>
            <w:vAlign w:val="center"/>
          </w:tcPr>
          <w:p>
            <w:pPr>
              <w:spacing w:line="24" w:lineRule="atLeast"/>
              <w:ind w:firstLine="470" w:firstLineChars="196"/>
              <w:jc w:val="left"/>
              <w:outlineLvl w:val="1"/>
              <w:rPr>
                <w:rFonts w:hAnsi="宋体" w:cs="宋体"/>
                <w:color w:val="auto"/>
              </w:rPr>
            </w:pPr>
          </w:p>
        </w:tc>
        <w:tc>
          <w:tcPr>
            <w:tcW w:w="1212" w:type="dxa"/>
            <w:vAlign w:val="center"/>
          </w:tcPr>
          <w:p>
            <w:pPr>
              <w:spacing w:line="24" w:lineRule="atLeast"/>
              <w:ind w:firstLine="470" w:firstLineChars="196"/>
              <w:jc w:val="left"/>
              <w:outlineLvl w:val="1"/>
              <w:rPr>
                <w:rFonts w:hAnsi="宋体" w:cs="宋体"/>
                <w:color w:val="auto"/>
              </w:rPr>
            </w:pPr>
          </w:p>
        </w:tc>
        <w:tc>
          <w:tcPr>
            <w:tcW w:w="840" w:type="dxa"/>
            <w:vAlign w:val="center"/>
          </w:tcPr>
          <w:p>
            <w:pPr>
              <w:spacing w:line="24" w:lineRule="atLeast"/>
              <w:ind w:firstLine="470" w:firstLineChars="196"/>
              <w:jc w:val="left"/>
              <w:outlineLvl w:val="1"/>
              <w:rPr>
                <w:rFonts w:hAnsi="宋体" w:cs="宋体"/>
                <w:color w:val="auto"/>
              </w:rPr>
            </w:pPr>
          </w:p>
        </w:tc>
        <w:tc>
          <w:tcPr>
            <w:tcW w:w="841" w:type="dxa"/>
            <w:vAlign w:val="center"/>
          </w:tcPr>
          <w:p>
            <w:pPr>
              <w:spacing w:line="24" w:lineRule="atLeast"/>
              <w:ind w:firstLine="470" w:firstLineChars="196"/>
              <w:jc w:val="left"/>
              <w:outlineLvl w:val="1"/>
              <w:rPr>
                <w:rFonts w:hAnsi="宋体" w:cs="宋体"/>
                <w:color w:val="auto"/>
              </w:rPr>
            </w:pPr>
          </w:p>
        </w:tc>
        <w:tc>
          <w:tcPr>
            <w:tcW w:w="876" w:type="dxa"/>
            <w:vAlign w:val="center"/>
          </w:tcPr>
          <w:p>
            <w:pPr>
              <w:spacing w:line="24" w:lineRule="atLeast"/>
              <w:ind w:firstLine="470" w:firstLineChars="196"/>
              <w:jc w:val="left"/>
              <w:outlineLvl w:val="1"/>
              <w:rPr>
                <w:rFonts w:hAnsi="宋体" w:cs="宋体"/>
                <w:color w:val="auto"/>
              </w:rPr>
            </w:pPr>
          </w:p>
        </w:tc>
        <w:tc>
          <w:tcPr>
            <w:tcW w:w="843" w:type="dxa"/>
            <w:vAlign w:val="center"/>
          </w:tcPr>
          <w:p>
            <w:pPr>
              <w:spacing w:line="24" w:lineRule="atLeast"/>
              <w:ind w:firstLine="470" w:firstLineChars="196"/>
              <w:jc w:val="left"/>
              <w:outlineLvl w:val="1"/>
              <w:rPr>
                <w:rFonts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77" w:type="dxa"/>
            <w:vAlign w:val="center"/>
          </w:tcPr>
          <w:p>
            <w:pPr>
              <w:spacing w:line="24" w:lineRule="atLeast"/>
              <w:ind w:firstLine="470" w:firstLineChars="196"/>
              <w:jc w:val="left"/>
              <w:outlineLvl w:val="1"/>
              <w:rPr>
                <w:rFonts w:hAnsi="宋体" w:cs="宋体"/>
                <w:color w:val="auto"/>
              </w:rPr>
            </w:pPr>
          </w:p>
        </w:tc>
        <w:tc>
          <w:tcPr>
            <w:tcW w:w="1275" w:type="dxa"/>
            <w:vAlign w:val="center"/>
          </w:tcPr>
          <w:p>
            <w:pPr>
              <w:spacing w:line="24" w:lineRule="atLeast"/>
              <w:ind w:firstLine="470" w:firstLineChars="196"/>
              <w:jc w:val="left"/>
              <w:outlineLvl w:val="1"/>
              <w:rPr>
                <w:rFonts w:hAnsi="宋体" w:cs="宋体"/>
                <w:color w:val="auto"/>
              </w:rPr>
            </w:pPr>
          </w:p>
        </w:tc>
        <w:tc>
          <w:tcPr>
            <w:tcW w:w="1360" w:type="dxa"/>
            <w:vAlign w:val="center"/>
          </w:tcPr>
          <w:p>
            <w:pPr>
              <w:spacing w:line="24" w:lineRule="atLeast"/>
              <w:ind w:firstLine="470" w:firstLineChars="196"/>
              <w:jc w:val="left"/>
              <w:outlineLvl w:val="1"/>
              <w:rPr>
                <w:rFonts w:hAnsi="宋体" w:cs="宋体"/>
                <w:color w:val="auto"/>
              </w:rPr>
            </w:pPr>
          </w:p>
        </w:tc>
        <w:tc>
          <w:tcPr>
            <w:tcW w:w="888" w:type="dxa"/>
            <w:vAlign w:val="center"/>
          </w:tcPr>
          <w:p>
            <w:pPr>
              <w:spacing w:line="24" w:lineRule="atLeast"/>
              <w:ind w:firstLine="470" w:firstLineChars="196"/>
              <w:jc w:val="left"/>
              <w:outlineLvl w:val="1"/>
              <w:rPr>
                <w:rFonts w:hAnsi="宋体" w:cs="宋体"/>
                <w:color w:val="auto"/>
              </w:rPr>
            </w:pPr>
          </w:p>
        </w:tc>
        <w:tc>
          <w:tcPr>
            <w:tcW w:w="1212" w:type="dxa"/>
            <w:vAlign w:val="center"/>
          </w:tcPr>
          <w:p>
            <w:pPr>
              <w:spacing w:line="24" w:lineRule="atLeast"/>
              <w:ind w:firstLine="470" w:firstLineChars="196"/>
              <w:jc w:val="left"/>
              <w:outlineLvl w:val="1"/>
              <w:rPr>
                <w:rFonts w:hAnsi="宋体" w:cs="宋体"/>
                <w:color w:val="auto"/>
              </w:rPr>
            </w:pPr>
          </w:p>
        </w:tc>
        <w:tc>
          <w:tcPr>
            <w:tcW w:w="840" w:type="dxa"/>
            <w:vAlign w:val="center"/>
          </w:tcPr>
          <w:p>
            <w:pPr>
              <w:spacing w:line="24" w:lineRule="atLeast"/>
              <w:ind w:firstLine="470" w:firstLineChars="196"/>
              <w:jc w:val="left"/>
              <w:outlineLvl w:val="1"/>
              <w:rPr>
                <w:rFonts w:hAnsi="宋体" w:cs="宋体"/>
                <w:color w:val="auto"/>
              </w:rPr>
            </w:pPr>
          </w:p>
        </w:tc>
        <w:tc>
          <w:tcPr>
            <w:tcW w:w="841" w:type="dxa"/>
            <w:vAlign w:val="center"/>
          </w:tcPr>
          <w:p>
            <w:pPr>
              <w:spacing w:line="24" w:lineRule="atLeast"/>
              <w:ind w:firstLine="470" w:firstLineChars="196"/>
              <w:jc w:val="left"/>
              <w:outlineLvl w:val="1"/>
              <w:rPr>
                <w:rFonts w:hAnsi="宋体" w:cs="宋体"/>
                <w:color w:val="auto"/>
              </w:rPr>
            </w:pPr>
          </w:p>
        </w:tc>
        <w:tc>
          <w:tcPr>
            <w:tcW w:w="876" w:type="dxa"/>
            <w:vAlign w:val="center"/>
          </w:tcPr>
          <w:p>
            <w:pPr>
              <w:spacing w:line="24" w:lineRule="atLeast"/>
              <w:ind w:firstLine="470" w:firstLineChars="196"/>
              <w:jc w:val="left"/>
              <w:outlineLvl w:val="1"/>
              <w:rPr>
                <w:rFonts w:hAnsi="宋体" w:cs="宋体"/>
                <w:color w:val="auto"/>
              </w:rPr>
            </w:pPr>
          </w:p>
        </w:tc>
        <w:tc>
          <w:tcPr>
            <w:tcW w:w="843" w:type="dxa"/>
            <w:vAlign w:val="center"/>
          </w:tcPr>
          <w:p>
            <w:pPr>
              <w:spacing w:line="24" w:lineRule="atLeast"/>
              <w:ind w:firstLine="470" w:firstLineChars="196"/>
              <w:jc w:val="left"/>
              <w:outlineLvl w:val="1"/>
              <w:rPr>
                <w:rFonts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012" w:type="dxa"/>
            <w:gridSpan w:val="9"/>
            <w:tcBorders>
              <w:top w:val="single" w:color="auto" w:sz="4" w:space="0"/>
              <w:bottom w:val="single" w:color="auto" w:sz="4" w:space="0"/>
            </w:tcBorders>
            <w:vAlign w:val="center"/>
          </w:tcPr>
          <w:p>
            <w:pPr>
              <w:spacing w:line="24" w:lineRule="atLeast"/>
              <w:ind w:firstLine="470" w:firstLineChars="196"/>
              <w:jc w:val="left"/>
              <w:outlineLvl w:val="1"/>
              <w:rPr>
                <w:rFonts w:hAnsi="宋体" w:cs="宋体"/>
                <w:color w:val="auto"/>
              </w:rPr>
            </w:pPr>
            <w:r>
              <w:rPr>
                <w:rFonts w:hint="eastAsia" w:hAnsi="宋体" w:cs="宋体"/>
                <w:color w:val="auto"/>
              </w:rPr>
              <w:t>分项报价合计（万元）：       大写：</w:t>
            </w:r>
          </w:p>
        </w:tc>
      </w:tr>
    </w:tbl>
    <w:p>
      <w:pPr>
        <w:spacing w:line="24" w:lineRule="atLeast"/>
        <w:jc w:val="left"/>
        <w:outlineLvl w:val="1"/>
        <w:rPr>
          <w:rFonts w:hAnsi="宋体" w:cs="宋体"/>
          <w:color w:val="auto"/>
        </w:rPr>
      </w:pPr>
    </w:p>
    <w:p>
      <w:pPr>
        <w:spacing w:line="24" w:lineRule="atLeast"/>
        <w:ind w:left="840" w:hanging="840" w:hangingChars="350"/>
        <w:rPr>
          <w:rFonts w:hAnsi="宋体" w:cs="宋体"/>
          <w:color w:val="auto"/>
        </w:rPr>
      </w:pPr>
      <w:bookmarkStart w:id="189" w:name="_Toc217446087"/>
      <w:r>
        <w:rPr>
          <w:rFonts w:hint="eastAsia" w:hAnsi="宋体" w:cs="宋体"/>
          <w:color w:val="auto"/>
        </w:rPr>
        <w:t>注：1、投标人必须按“分项报价明细表”的格式详细报出投标总价的各个组成部分的报价，否则作无效投标处理。</w:t>
      </w:r>
    </w:p>
    <w:p>
      <w:pPr>
        <w:spacing w:line="24" w:lineRule="atLeast"/>
        <w:ind w:firstLine="480"/>
        <w:jc w:val="left"/>
        <w:rPr>
          <w:rFonts w:hAnsi="宋体" w:cs="宋体"/>
          <w:color w:val="auto"/>
        </w:rPr>
      </w:pPr>
      <w:r>
        <w:rPr>
          <w:rFonts w:hint="eastAsia" w:hAnsi="宋体" w:cs="宋体"/>
          <w:color w:val="auto"/>
        </w:rPr>
        <w:t>2、投标人在本表中必须详细注明所投产品的“品牌”和“规格型号”，自行承担填写错误被视为无效投标文件的风险。</w:t>
      </w:r>
    </w:p>
    <w:p>
      <w:pPr>
        <w:adjustRightInd w:val="0"/>
        <w:spacing w:line="24" w:lineRule="atLeast"/>
        <w:jc w:val="left"/>
        <w:rPr>
          <w:rFonts w:hAnsi="宋体" w:cs="宋体"/>
          <w:color w:val="auto"/>
          <w:sz w:val="28"/>
        </w:rPr>
      </w:pPr>
    </w:p>
    <w:p>
      <w:pPr>
        <w:pStyle w:val="12"/>
        <w:spacing w:line="24" w:lineRule="atLeast"/>
        <w:rPr>
          <w:rFonts w:hAnsi="宋体" w:cs="宋体"/>
        </w:rPr>
      </w:pPr>
    </w:p>
    <w:p>
      <w:pPr>
        <w:adjustRightInd w:val="0"/>
        <w:spacing w:line="24" w:lineRule="atLeast"/>
        <w:ind w:firstLine="480" w:firstLineChars="200"/>
        <w:jc w:val="left"/>
        <w:rPr>
          <w:rFonts w:hAnsi="宋体" w:cs="宋体"/>
          <w:color w:val="auto"/>
        </w:rPr>
      </w:pPr>
      <w:r>
        <w:rPr>
          <w:rFonts w:hint="eastAsia" w:hAnsi="宋体" w:cs="宋体"/>
          <w:color w:val="auto"/>
        </w:rPr>
        <w:t>投标人名称：（盖公章）</w:t>
      </w:r>
    </w:p>
    <w:p>
      <w:pPr>
        <w:spacing w:line="24" w:lineRule="atLeast"/>
        <w:ind w:firstLine="470" w:firstLineChars="196"/>
        <w:jc w:val="left"/>
        <w:outlineLvl w:val="1"/>
        <w:rPr>
          <w:rFonts w:hAnsi="宋体" w:cs="宋体"/>
          <w:color w:val="auto"/>
        </w:rPr>
      </w:pPr>
      <w:r>
        <w:rPr>
          <w:rFonts w:hint="eastAsia" w:hAnsi="宋体" w:cs="宋体"/>
          <w:color w:val="auto"/>
        </w:rPr>
        <w:t>法定代表人或委托代理人（签字或盖章）：</w:t>
      </w:r>
    </w:p>
    <w:p>
      <w:pPr>
        <w:adjustRightInd w:val="0"/>
        <w:spacing w:line="24" w:lineRule="atLeast"/>
        <w:ind w:firstLine="480" w:firstLineChars="200"/>
        <w:jc w:val="left"/>
        <w:rPr>
          <w:rFonts w:hAnsi="宋体" w:cs="宋体"/>
          <w:color w:val="auto"/>
        </w:rPr>
      </w:pPr>
      <w:r>
        <w:rPr>
          <w:rFonts w:hint="eastAsia" w:hAnsi="宋体" w:cs="宋体"/>
          <w:color w:val="auto"/>
        </w:rPr>
        <w:t>日 期：</w:t>
      </w:r>
    </w:p>
    <w:p>
      <w:pPr>
        <w:spacing w:line="360" w:lineRule="auto"/>
        <w:ind w:firstLine="470" w:firstLineChars="196"/>
        <w:jc w:val="left"/>
        <w:outlineLvl w:val="1"/>
        <w:rPr>
          <w:rFonts w:hAnsi="宋体" w:cs="宋体"/>
          <w:b/>
          <w:color w:val="auto"/>
          <w:sz w:val="32"/>
          <w:szCs w:val="32"/>
        </w:rPr>
      </w:pPr>
      <w:r>
        <w:rPr>
          <w:rFonts w:hint="eastAsia" w:hAnsi="宋体" w:cs="宋体"/>
          <w:color w:val="auto"/>
        </w:rPr>
        <w:br w:type="page"/>
      </w:r>
      <w:r>
        <w:rPr>
          <w:rFonts w:hint="eastAsia" w:hAnsi="宋体" w:cs="宋体"/>
          <w:b/>
          <w:color w:val="auto"/>
          <w:sz w:val="32"/>
          <w:szCs w:val="32"/>
        </w:rPr>
        <w:t>格式2-6</w:t>
      </w:r>
    </w:p>
    <w:p>
      <w:pPr>
        <w:spacing w:line="360" w:lineRule="auto"/>
        <w:jc w:val="center"/>
        <w:outlineLvl w:val="1"/>
        <w:rPr>
          <w:rFonts w:hAnsi="宋体" w:cs="宋体"/>
          <w:b/>
          <w:color w:val="auto"/>
          <w:sz w:val="32"/>
          <w:szCs w:val="32"/>
        </w:rPr>
      </w:pPr>
      <w:r>
        <w:rPr>
          <w:rFonts w:hint="eastAsia" w:hAnsi="宋体" w:cs="宋体"/>
          <w:b/>
          <w:color w:val="auto"/>
          <w:sz w:val="32"/>
          <w:szCs w:val="32"/>
        </w:rPr>
        <w:t>五、商务应答表</w:t>
      </w:r>
      <w:bookmarkEnd w:id="189"/>
    </w:p>
    <w:p>
      <w:pPr>
        <w:spacing w:line="360" w:lineRule="auto"/>
        <w:ind w:firstLine="472" w:firstLineChars="196"/>
        <w:jc w:val="left"/>
        <w:outlineLvl w:val="1"/>
        <w:rPr>
          <w:rFonts w:hAnsi="宋体" w:cs="宋体"/>
          <w:b/>
          <w:color w:val="auto"/>
        </w:rPr>
      </w:pPr>
    </w:p>
    <w:p>
      <w:pPr>
        <w:pStyle w:val="12"/>
        <w:rPr>
          <w:rFonts w:hAnsi="宋体" w:cs="宋体"/>
          <w:sz w:val="24"/>
        </w:rPr>
      </w:pPr>
      <w:r>
        <w:rPr>
          <w:rFonts w:hint="eastAsia" w:hAnsi="宋体" w:cs="宋体"/>
          <w:sz w:val="24"/>
        </w:rPr>
        <w:t>项目编号/包号：</w:t>
      </w:r>
    </w:p>
    <w:tbl>
      <w:tblPr>
        <w:tblStyle w:val="33"/>
        <w:tblW w:w="882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704"/>
        <w:gridCol w:w="1466"/>
        <w:gridCol w:w="3103"/>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960" w:type="dxa"/>
            <w:vAlign w:val="center"/>
          </w:tcPr>
          <w:p>
            <w:pPr>
              <w:spacing w:line="360" w:lineRule="auto"/>
              <w:jc w:val="center"/>
              <w:rPr>
                <w:rFonts w:hAnsi="宋体" w:cs="宋体"/>
                <w:color w:val="auto"/>
              </w:rPr>
            </w:pPr>
            <w:r>
              <w:rPr>
                <w:rFonts w:hint="eastAsia" w:hAnsi="宋体" w:cs="宋体"/>
                <w:color w:val="auto"/>
              </w:rPr>
              <w:t>序号</w:t>
            </w:r>
          </w:p>
        </w:tc>
        <w:tc>
          <w:tcPr>
            <w:tcW w:w="1704" w:type="dxa"/>
            <w:vAlign w:val="center"/>
          </w:tcPr>
          <w:p>
            <w:pPr>
              <w:spacing w:line="360" w:lineRule="auto"/>
              <w:jc w:val="center"/>
              <w:rPr>
                <w:rFonts w:hAnsi="宋体" w:cs="宋体"/>
                <w:color w:val="auto"/>
              </w:rPr>
            </w:pPr>
            <w:r>
              <w:rPr>
                <w:rFonts w:hint="eastAsia" w:hAnsi="宋体" w:cs="宋体"/>
                <w:color w:val="auto"/>
              </w:rPr>
              <w:t>招标文件条目号</w:t>
            </w:r>
          </w:p>
        </w:tc>
        <w:tc>
          <w:tcPr>
            <w:tcW w:w="1466" w:type="dxa"/>
            <w:vAlign w:val="center"/>
          </w:tcPr>
          <w:p>
            <w:pPr>
              <w:spacing w:line="360" w:lineRule="auto"/>
              <w:jc w:val="center"/>
              <w:rPr>
                <w:rFonts w:hAnsi="宋体" w:cs="宋体"/>
                <w:color w:val="auto"/>
              </w:rPr>
            </w:pPr>
            <w:r>
              <w:rPr>
                <w:rFonts w:hint="eastAsia" w:hAnsi="宋体" w:cs="宋体"/>
                <w:color w:val="auto"/>
              </w:rPr>
              <w:t>招标要求</w:t>
            </w:r>
          </w:p>
        </w:tc>
        <w:tc>
          <w:tcPr>
            <w:tcW w:w="3103" w:type="dxa"/>
            <w:vAlign w:val="center"/>
          </w:tcPr>
          <w:p>
            <w:pPr>
              <w:spacing w:line="360" w:lineRule="auto"/>
              <w:jc w:val="center"/>
              <w:rPr>
                <w:rFonts w:hAnsi="宋体" w:cs="宋体"/>
                <w:color w:val="auto"/>
              </w:rPr>
            </w:pPr>
            <w:r>
              <w:rPr>
                <w:rFonts w:hint="eastAsia" w:hAnsi="宋体" w:cs="宋体"/>
                <w:color w:val="auto"/>
              </w:rPr>
              <w:t>投标应答</w:t>
            </w:r>
          </w:p>
        </w:tc>
        <w:tc>
          <w:tcPr>
            <w:tcW w:w="1587" w:type="dxa"/>
            <w:vAlign w:val="center"/>
          </w:tcPr>
          <w:p>
            <w:pPr>
              <w:spacing w:line="360" w:lineRule="auto"/>
              <w:jc w:val="center"/>
              <w:rPr>
                <w:rFonts w:hAnsi="宋体" w:cs="宋体"/>
                <w:color w:val="auto"/>
              </w:rPr>
            </w:pPr>
            <w:r>
              <w:rPr>
                <w:rFonts w:hint="eastAsia" w:hAnsi="宋体" w:cs="宋体"/>
                <w:color w:val="auto"/>
              </w:rPr>
              <w:t>响应/正偏离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960" w:type="dxa"/>
          </w:tcPr>
          <w:p>
            <w:pPr>
              <w:spacing w:line="360" w:lineRule="auto"/>
              <w:jc w:val="center"/>
              <w:rPr>
                <w:rFonts w:hAnsi="宋体" w:cs="宋体"/>
                <w:color w:val="auto"/>
              </w:rPr>
            </w:pPr>
          </w:p>
        </w:tc>
        <w:tc>
          <w:tcPr>
            <w:tcW w:w="1704" w:type="dxa"/>
          </w:tcPr>
          <w:p>
            <w:pPr>
              <w:spacing w:line="360" w:lineRule="auto"/>
              <w:jc w:val="center"/>
              <w:rPr>
                <w:rFonts w:hAnsi="宋体" w:cs="宋体"/>
                <w:color w:val="auto"/>
              </w:rPr>
            </w:pPr>
          </w:p>
        </w:tc>
        <w:tc>
          <w:tcPr>
            <w:tcW w:w="1466" w:type="dxa"/>
          </w:tcPr>
          <w:p>
            <w:pPr>
              <w:spacing w:line="360" w:lineRule="auto"/>
              <w:jc w:val="center"/>
              <w:rPr>
                <w:rFonts w:hAnsi="宋体" w:cs="宋体"/>
                <w:color w:val="auto"/>
              </w:rPr>
            </w:pPr>
          </w:p>
        </w:tc>
        <w:tc>
          <w:tcPr>
            <w:tcW w:w="3103" w:type="dxa"/>
          </w:tcPr>
          <w:p>
            <w:pPr>
              <w:spacing w:line="360" w:lineRule="auto"/>
              <w:ind w:left="317" w:hanging="316" w:hangingChars="132"/>
              <w:jc w:val="center"/>
              <w:rPr>
                <w:rFonts w:hAnsi="宋体" w:cs="宋体"/>
                <w:color w:val="auto"/>
              </w:rPr>
            </w:pPr>
          </w:p>
        </w:tc>
        <w:tc>
          <w:tcPr>
            <w:tcW w:w="1587" w:type="dxa"/>
          </w:tcPr>
          <w:p>
            <w:pPr>
              <w:spacing w:line="360" w:lineRule="auto"/>
              <w:ind w:left="317" w:hanging="316" w:hangingChars="132"/>
              <w:jc w:val="center"/>
              <w:rPr>
                <w:rFonts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960" w:type="dxa"/>
          </w:tcPr>
          <w:p>
            <w:pPr>
              <w:spacing w:line="360" w:lineRule="auto"/>
              <w:jc w:val="center"/>
              <w:rPr>
                <w:rFonts w:hAnsi="宋体" w:cs="宋体"/>
                <w:color w:val="auto"/>
              </w:rPr>
            </w:pPr>
          </w:p>
        </w:tc>
        <w:tc>
          <w:tcPr>
            <w:tcW w:w="1704" w:type="dxa"/>
          </w:tcPr>
          <w:p>
            <w:pPr>
              <w:spacing w:line="360" w:lineRule="auto"/>
              <w:jc w:val="center"/>
              <w:rPr>
                <w:rFonts w:hAnsi="宋体" w:cs="宋体"/>
                <w:color w:val="auto"/>
              </w:rPr>
            </w:pPr>
          </w:p>
        </w:tc>
        <w:tc>
          <w:tcPr>
            <w:tcW w:w="1466" w:type="dxa"/>
          </w:tcPr>
          <w:p>
            <w:pPr>
              <w:spacing w:line="360" w:lineRule="auto"/>
              <w:jc w:val="center"/>
              <w:rPr>
                <w:rFonts w:hAnsi="宋体" w:cs="宋体"/>
                <w:color w:val="auto"/>
              </w:rPr>
            </w:pPr>
          </w:p>
        </w:tc>
        <w:tc>
          <w:tcPr>
            <w:tcW w:w="3103" w:type="dxa"/>
          </w:tcPr>
          <w:p>
            <w:pPr>
              <w:spacing w:line="360" w:lineRule="auto"/>
              <w:jc w:val="center"/>
              <w:rPr>
                <w:rFonts w:hAnsi="宋体" w:cs="宋体"/>
                <w:color w:val="auto"/>
              </w:rPr>
            </w:pPr>
          </w:p>
        </w:tc>
        <w:tc>
          <w:tcPr>
            <w:tcW w:w="1587" w:type="dxa"/>
          </w:tcPr>
          <w:p>
            <w:pPr>
              <w:spacing w:line="360" w:lineRule="auto"/>
              <w:jc w:val="center"/>
              <w:rPr>
                <w:rFonts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960" w:type="dxa"/>
          </w:tcPr>
          <w:p>
            <w:pPr>
              <w:spacing w:line="360" w:lineRule="auto"/>
              <w:jc w:val="center"/>
              <w:rPr>
                <w:rFonts w:hAnsi="宋体" w:cs="宋体"/>
                <w:color w:val="auto"/>
              </w:rPr>
            </w:pPr>
          </w:p>
        </w:tc>
        <w:tc>
          <w:tcPr>
            <w:tcW w:w="1704" w:type="dxa"/>
          </w:tcPr>
          <w:p>
            <w:pPr>
              <w:spacing w:line="360" w:lineRule="auto"/>
              <w:jc w:val="center"/>
              <w:rPr>
                <w:rFonts w:hAnsi="宋体" w:cs="宋体"/>
                <w:color w:val="auto"/>
              </w:rPr>
            </w:pPr>
          </w:p>
        </w:tc>
        <w:tc>
          <w:tcPr>
            <w:tcW w:w="1466" w:type="dxa"/>
          </w:tcPr>
          <w:p>
            <w:pPr>
              <w:spacing w:line="360" w:lineRule="auto"/>
              <w:jc w:val="center"/>
              <w:rPr>
                <w:rFonts w:hAnsi="宋体" w:cs="宋体"/>
                <w:color w:val="auto"/>
              </w:rPr>
            </w:pPr>
          </w:p>
        </w:tc>
        <w:tc>
          <w:tcPr>
            <w:tcW w:w="3103" w:type="dxa"/>
          </w:tcPr>
          <w:p>
            <w:pPr>
              <w:spacing w:line="360" w:lineRule="auto"/>
              <w:jc w:val="center"/>
              <w:rPr>
                <w:rFonts w:hAnsi="宋体" w:cs="宋体"/>
                <w:color w:val="auto"/>
              </w:rPr>
            </w:pPr>
          </w:p>
        </w:tc>
        <w:tc>
          <w:tcPr>
            <w:tcW w:w="1587" w:type="dxa"/>
          </w:tcPr>
          <w:p>
            <w:pPr>
              <w:spacing w:line="360" w:lineRule="auto"/>
              <w:jc w:val="center"/>
              <w:rPr>
                <w:rFonts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960" w:type="dxa"/>
          </w:tcPr>
          <w:p>
            <w:pPr>
              <w:spacing w:line="360" w:lineRule="auto"/>
              <w:jc w:val="center"/>
              <w:rPr>
                <w:rFonts w:hAnsi="宋体" w:cs="宋体"/>
                <w:color w:val="auto"/>
              </w:rPr>
            </w:pPr>
          </w:p>
        </w:tc>
        <w:tc>
          <w:tcPr>
            <w:tcW w:w="1704" w:type="dxa"/>
          </w:tcPr>
          <w:p>
            <w:pPr>
              <w:spacing w:line="360" w:lineRule="auto"/>
              <w:jc w:val="center"/>
              <w:rPr>
                <w:rFonts w:hAnsi="宋体" w:cs="宋体"/>
                <w:color w:val="auto"/>
              </w:rPr>
            </w:pPr>
          </w:p>
        </w:tc>
        <w:tc>
          <w:tcPr>
            <w:tcW w:w="1466" w:type="dxa"/>
          </w:tcPr>
          <w:p>
            <w:pPr>
              <w:spacing w:line="360" w:lineRule="auto"/>
              <w:jc w:val="center"/>
              <w:rPr>
                <w:rFonts w:hAnsi="宋体" w:cs="宋体"/>
                <w:color w:val="auto"/>
              </w:rPr>
            </w:pPr>
          </w:p>
        </w:tc>
        <w:tc>
          <w:tcPr>
            <w:tcW w:w="3103" w:type="dxa"/>
          </w:tcPr>
          <w:p>
            <w:pPr>
              <w:spacing w:line="360" w:lineRule="auto"/>
              <w:jc w:val="center"/>
              <w:rPr>
                <w:rFonts w:hAnsi="宋体" w:cs="宋体"/>
                <w:color w:val="auto"/>
              </w:rPr>
            </w:pPr>
          </w:p>
        </w:tc>
        <w:tc>
          <w:tcPr>
            <w:tcW w:w="1587" w:type="dxa"/>
          </w:tcPr>
          <w:p>
            <w:pPr>
              <w:spacing w:line="360" w:lineRule="auto"/>
              <w:jc w:val="center"/>
              <w:rPr>
                <w:rFonts w:hAnsi="宋体" w:cs="宋体"/>
                <w:color w:val="auto"/>
              </w:rPr>
            </w:pPr>
          </w:p>
        </w:tc>
      </w:tr>
    </w:tbl>
    <w:p>
      <w:pPr>
        <w:spacing w:line="360" w:lineRule="auto"/>
        <w:rPr>
          <w:rFonts w:hAnsi="宋体" w:cs="宋体"/>
          <w:color w:val="auto"/>
        </w:rPr>
      </w:pPr>
      <w:r>
        <w:rPr>
          <w:rFonts w:hint="eastAsia" w:hAnsi="宋体" w:cs="宋体"/>
          <w:color w:val="auto"/>
        </w:rPr>
        <w:t>注：1.投标供应商须对商务条款逐条响应，并保证响应的真实性。</w:t>
      </w:r>
    </w:p>
    <w:p>
      <w:pPr>
        <w:spacing w:line="360" w:lineRule="auto"/>
        <w:ind w:firstLine="480"/>
        <w:rPr>
          <w:rFonts w:hAnsi="宋体" w:cs="宋体"/>
          <w:color w:val="auto"/>
        </w:rPr>
      </w:pPr>
      <w:r>
        <w:rPr>
          <w:rFonts w:hint="eastAsia" w:hAnsi="宋体" w:cs="宋体"/>
          <w:color w:val="auto"/>
        </w:rPr>
        <w:t>2.投标供应商未按要求响应的，漏项的，自行承担被视为无效投标文件的风险。</w:t>
      </w:r>
    </w:p>
    <w:p>
      <w:pPr>
        <w:spacing w:line="360" w:lineRule="auto"/>
        <w:ind w:firstLine="480"/>
        <w:rPr>
          <w:rFonts w:hAnsi="宋体" w:cs="宋体"/>
          <w:color w:val="auto"/>
        </w:rPr>
      </w:pPr>
      <w:r>
        <w:rPr>
          <w:rFonts w:hint="eastAsia" w:hAnsi="宋体" w:cs="宋体"/>
          <w:color w:val="auto"/>
        </w:rPr>
        <w:t>3.商务条款不允许负偏离。</w:t>
      </w:r>
    </w:p>
    <w:p>
      <w:pPr>
        <w:spacing w:line="360" w:lineRule="auto"/>
        <w:ind w:left="617" w:leftChars="57" w:hanging="480" w:hangingChars="200"/>
        <w:rPr>
          <w:rFonts w:hAnsi="宋体" w:cs="宋体"/>
          <w:color w:val="auto"/>
        </w:rPr>
      </w:pPr>
    </w:p>
    <w:p>
      <w:pPr>
        <w:adjustRightInd w:val="0"/>
        <w:spacing w:line="360" w:lineRule="auto"/>
        <w:ind w:firstLine="490" w:firstLineChars="175"/>
        <w:jc w:val="left"/>
        <w:rPr>
          <w:rFonts w:hAnsi="宋体" w:cs="宋体"/>
          <w:bCs/>
          <w:color w:val="auto"/>
          <w:sz w:val="28"/>
          <w:szCs w:val="28"/>
        </w:rPr>
      </w:pPr>
    </w:p>
    <w:p>
      <w:pPr>
        <w:adjustRightInd w:val="0"/>
        <w:spacing w:line="360" w:lineRule="auto"/>
        <w:ind w:firstLine="420" w:firstLineChars="175"/>
        <w:jc w:val="left"/>
        <w:rPr>
          <w:rFonts w:hAnsi="宋体" w:cs="宋体"/>
          <w:bCs/>
          <w:color w:val="auto"/>
        </w:rPr>
      </w:pPr>
      <w:r>
        <w:rPr>
          <w:rFonts w:hint="eastAsia" w:hAnsi="宋体" w:cs="宋体"/>
          <w:bCs/>
          <w:color w:val="auto"/>
        </w:rPr>
        <w:t>投标人名称：（盖公章）</w:t>
      </w:r>
    </w:p>
    <w:p>
      <w:pPr>
        <w:spacing w:line="360" w:lineRule="auto"/>
        <w:ind w:firstLine="470" w:firstLineChars="196"/>
        <w:jc w:val="left"/>
        <w:outlineLvl w:val="1"/>
        <w:rPr>
          <w:rFonts w:hAnsi="宋体" w:cs="宋体"/>
          <w:color w:val="auto"/>
        </w:rPr>
      </w:pPr>
      <w:r>
        <w:rPr>
          <w:rFonts w:hint="eastAsia" w:hAnsi="宋体" w:cs="宋体"/>
          <w:color w:val="auto"/>
        </w:rPr>
        <w:t>法定代表人或委托代理人（签字或盖章）：</w:t>
      </w:r>
    </w:p>
    <w:p>
      <w:pPr>
        <w:adjustRightInd w:val="0"/>
        <w:spacing w:line="360" w:lineRule="auto"/>
        <w:ind w:firstLine="420" w:firstLineChars="175"/>
        <w:jc w:val="left"/>
        <w:rPr>
          <w:rFonts w:hAnsi="宋体" w:cs="宋体"/>
          <w:bCs/>
          <w:color w:val="auto"/>
        </w:rPr>
      </w:pPr>
      <w:r>
        <w:rPr>
          <w:rFonts w:hint="eastAsia" w:hAnsi="宋体" w:cs="宋体"/>
          <w:bCs/>
          <w:color w:val="auto"/>
        </w:rPr>
        <w:t>日 期:</w:t>
      </w:r>
    </w:p>
    <w:p>
      <w:pPr>
        <w:spacing w:line="360" w:lineRule="auto"/>
        <w:rPr>
          <w:rFonts w:hAnsi="宋体" w:cs="宋体"/>
          <w:bCs/>
          <w:color w:val="auto"/>
          <w:sz w:val="28"/>
          <w:szCs w:val="28"/>
        </w:rPr>
      </w:pPr>
    </w:p>
    <w:p>
      <w:pPr>
        <w:spacing w:line="360" w:lineRule="auto"/>
        <w:rPr>
          <w:rFonts w:hAnsi="宋体" w:cs="宋体"/>
          <w:bCs/>
          <w:color w:val="auto"/>
          <w:sz w:val="28"/>
          <w:szCs w:val="28"/>
        </w:rPr>
      </w:pPr>
    </w:p>
    <w:p>
      <w:pPr>
        <w:spacing w:line="360" w:lineRule="auto"/>
        <w:rPr>
          <w:rFonts w:hAnsi="宋体" w:cs="宋体"/>
          <w:bCs/>
          <w:color w:val="auto"/>
          <w:sz w:val="28"/>
          <w:szCs w:val="28"/>
        </w:rPr>
      </w:pPr>
    </w:p>
    <w:p>
      <w:pPr>
        <w:spacing w:line="360" w:lineRule="auto"/>
        <w:rPr>
          <w:rFonts w:hAnsi="宋体" w:cs="宋体"/>
          <w:b/>
          <w:color w:val="auto"/>
          <w:sz w:val="32"/>
          <w:szCs w:val="32"/>
        </w:rPr>
      </w:pPr>
      <w:r>
        <w:rPr>
          <w:rFonts w:hint="eastAsia" w:hAnsi="宋体" w:cs="宋体"/>
          <w:color w:val="auto"/>
        </w:rPr>
        <w:br w:type="page"/>
      </w:r>
      <w:r>
        <w:rPr>
          <w:rFonts w:hint="eastAsia" w:hAnsi="宋体" w:cs="宋体"/>
          <w:b/>
          <w:color w:val="auto"/>
          <w:sz w:val="32"/>
          <w:szCs w:val="32"/>
        </w:rPr>
        <w:t>格式2-7</w:t>
      </w:r>
    </w:p>
    <w:p>
      <w:pPr>
        <w:spacing w:line="360" w:lineRule="auto"/>
        <w:jc w:val="center"/>
        <w:outlineLvl w:val="1"/>
        <w:rPr>
          <w:rFonts w:hAnsi="宋体" w:cs="宋体"/>
          <w:b/>
          <w:color w:val="auto"/>
          <w:sz w:val="32"/>
          <w:szCs w:val="32"/>
        </w:rPr>
      </w:pPr>
      <w:bookmarkStart w:id="190" w:name="_Toc217446088"/>
      <w:r>
        <w:rPr>
          <w:rFonts w:hint="eastAsia" w:hAnsi="宋体" w:cs="宋体"/>
          <w:b/>
          <w:color w:val="auto"/>
          <w:sz w:val="32"/>
          <w:szCs w:val="32"/>
        </w:rPr>
        <w:t>六、投标人基本情况表</w:t>
      </w:r>
      <w:bookmarkEnd w:id="190"/>
    </w:p>
    <w:tbl>
      <w:tblPr>
        <w:tblStyle w:val="33"/>
        <w:tblW w:w="8679"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08"/>
        <w:gridCol w:w="1010"/>
        <w:gridCol w:w="1308"/>
        <w:gridCol w:w="1319"/>
        <w:gridCol w:w="1394"/>
        <w:gridCol w:w="166"/>
        <w:gridCol w:w="731"/>
        <w:gridCol w:w="1143"/>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87" w:hRule="atLeast"/>
        </w:trPr>
        <w:tc>
          <w:tcPr>
            <w:tcW w:w="1608" w:type="dxa"/>
            <w:vAlign w:val="center"/>
          </w:tcPr>
          <w:p>
            <w:pPr>
              <w:spacing w:line="360" w:lineRule="auto"/>
              <w:jc w:val="left"/>
              <w:outlineLvl w:val="1"/>
              <w:rPr>
                <w:rFonts w:hAnsi="宋体" w:cs="宋体"/>
                <w:color w:val="auto"/>
              </w:rPr>
            </w:pPr>
            <w:r>
              <w:rPr>
                <w:rFonts w:hint="eastAsia" w:hAnsi="宋体" w:cs="宋体"/>
                <w:color w:val="auto"/>
              </w:rPr>
              <w:t>投标人名称</w:t>
            </w:r>
          </w:p>
        </w:tc>
        <w:tc>
          <w:tcPr>
            <w:tcW w:w="7071" w:type="dxa"/>
            <w:gridSpan w:val="7"/>
            <w:vAlign w:val="center"/>
          </w:tcPr>
          <w:p>
            <w:pPr>
              <w:spacing w:line="360" w:lineRule="auto"/>
              <w:ind w:firstLine="470" w:firstLineChars="196"/>
              <w:jc w:val="left"/>
              <w:outlineLvl w:val="1"/>
              <w:rPr>
                <w:rFonts w:hAnsi="宋体" w:cs="宋体"/>
                <w:color w:val="auto"/>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2" w:hRule="atLeast"/>
        </w:trPr>
        <w:tc>
          <w:tcPr>
            <w:tcW w:w="1608" w:type="dxa"/>
            <w:vAlign w:val="center"/>
          </w:tcPr>
          <w:p>
            <w:pPr>
              <w:spacing w:line="360" w:lineRule="auto"/>
              <w:jc w:val="left"/>
              <w:outlineLvl w:val="1"/>
              <w:rPr>
                <w:rFonts w:hAnsi="宋体" w:cs="宋体"/>
                <w:color w:val="auto"/>
              </w:rPr>
            </w:pPr>
            <w:r>
              <w:rPr>
                <w:rFonts w:hint="eastAsia" w:hAnsi="宋体" w:cs="宋体"/>
                <w:color w:val="auto"/>
              </w:rPr>
              <w:t>注册地址</w:t>
            </w:r>
          </w:p>
        </w:tc>
        <w:tc>
          <w:tcPr>
            <w:tcW w:w="3637" w:type="dxa"/>
            <w:gridSpan w:val="3"/>
            <w:vAlign w:val="center"/>
          </w:tcPr>
          <w:p>
            <w:pPr>
              <w:spacing w:line="360" w:lineRule="auto"/>
              <w:ind w:firstLine="470" w:firstLineChars="196"/>
              <w:jc w:val="left"/>
              <w:outlineLvl w:val="1"/>
              <w:rPr>
                <w:rFonts w:hAnsi="宋体" w:cs="宋体"/>
                <w:color w:val="auto"/>
              </w:rPr>
            </w:pPr>
          </w:p>
        </w:tc>
        <w:tc>
          <w:tcPr>
            <w:tcW w:w="1394" w:type="dxa"/>
            <w:vAlign w:val="center"/>
          </w:tcPr>
          <w:p>
            <w:pPr>
              <w:spacing w:line="360" w:lineRule="auto"/>
              <w:jc w:val="left"/>
              <w:outlineLvl w:val="1"/>
              <w:rPr>
                <w:rFonts w:hAnsi="宋体" w:cs="宋体"/>
                <w:color w:val="auto"/>
              </w:rPr>
            </w:pPr>
            <w:r>
              <w:rPr>
                <w:rFonts w:hint="eastAsia" w:hAnsi="宋体" w:cs="宋体"/>
                <w:color w:val="auto"/>
              </w:rPr>
              <w:t>邮政编码</w:t>
            </w:r>
          </w:p>
        </w:tc>
        <w:tc>
          <w:tcPr>
            <w:tcW w:w="2040" w:type="dxa"/>
            <w:gridSpan w:val="3"/>
            <w:vAlign w:val="center"/>
          </w:tcPr>
          <w:p>
            <w:pPr>
              <w:spacing w:line="360" w:lineRule="auto"/>
              <w:ind w:firstLine="470" w:firstLineChars="196"/>
              <w:jc w:val="left"/>
              <w:outlineLvl w:val="1"/>
              <w:rPr>
                <w:rFonts w:hAnsi="宋体" w:cs="宋体"/>
                <w:color w:val="auto"/>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2" w:hRule="atLeast"/>
        </w:trPr>
        <w:tc>
          <w:tcPr>
            <w:tcW w:w="1608" w:type="dxa"/>
            <w:vMerge w:val="restart"/>
            <w:vAlign w:val="center"/>
          </w:tcPr>
          <w:p>
            <w:pPr>
              <w:spacing w:line="360" w:lineRule="auto"/>
              <w:jc w:val="left"/>
              <w:outlineLvl w:val="1"/>
              <w:rPr>
                <w:rFonts w:hAnsi="宋体" w:cs="宋体"/>
                <w:color w:val="auto"/>
              </w:rPr>
            </w:pPr>
            <w:r>
              <w:rPr>
                <w:rFonts w:hint="eastAsia" w:hAnsi="宋体" w:cs="宋体"/>
                <w:color w:val="auto"/>
              </w:rPr>
              <w:t>联系方式</w:t>
            </w:r>
          </w:p>
        </w:tc>
        <w:tc>
          <w:tcPr>
            <w:tcW w:w="1010" w:type="dxa"/>
            <w:vAlign w:val="center"/>
          </w:tcPr>
          <w:p>
            <w:pPr>
              <w:spacing w:line="360" w:lineRule="auto"/>
              <w:jc w:val="left"/>
              <w:outlineLvl w:val="1"/>
              <w:rPr>
                <w:rFonts w:hAnsi="宋体" w:cs="宋体"/>
                <w:color w:val="auto"/>
              </w:rPr>
            </w:pPr>
            <w:r>
              <w:rPr>
                <w:rFonts w:hint="eastAsia" w:hAnsi="宋体" w:cs="宋体"/>
                <w:color w:val="auto"/>
              </w:rPr>
              <w:t>联系人</w:t>
            </w:r>
          </w:p>
        </w:tc>
        <w:tc>
          <w:tcPr>
            <w:tcW w:w="2627" w:type="dxa"/>
            <w:gridSpan w:val="2"/>
            <w:vAlign w:val="center"/>
          </w:tcPr>
          <w:p>
            <w:pPr>
              <w:spacing w:line="360" w:lineRule="auto"/>
              <w:ind w:firstLine="470" w:firstLineChars="196"/>
              <w:jc w:val="left"/>
              <w:outlineLvl w:val="1"/>
              <w:rPr>
                <w:rFonts w:hAnsi="宋体" w:cs="宋体"/>
                <w:color w:val="auto"/>
              </w:rPr>
            </w:pPr>
          </w:p>
        </w:tc>
        <w:tc>
          <w:tcPr>
            <w:tcW w:w="1394" w:type="dxa"/>
            <w:vAlign w:val="center"/>
          </w:tcPr>
          <w:p>
            <w:pPr>
              <w:spacing w:line="360" w:lineRule="auto"/>
              <w:ind w:firstLine="470" w:firstLineChars="196"/>
              <w:jc w:val="left"/>
              <w:outlineLvl w:val="1"/>
              <w:rPr>
                <w:rFonts w:hAnsi="宋体" w:cs="宋体"/>
                <w:color w:val="auto"/>
              </w:rPr>
            </w:pPr>
            <w:r>
              <w:rPr>
                <w:rFonts w:hint="eastAsia" w:hAnsi="宋体" w:cs="宋体"/>
                <w:color w:val="auto"/>
              </w:rPr>
              <w:t>电话</w:t>
            </w:r>
          </w:p>
        </w:tc>
        <w:tc>
          <w:tcPr>
            <w:tcW w:w="2040" w:type="dxa"/>
            <w:gridSpan w:val="3"/>
            <w:vAlign w:val="center"/>
          </w:tcPr>
          <w:p>
            <w:pPr>
              <w:spacing w:line="360" w:lineRule="auto"/>
              <w:ind w:firstLine="470" w:firstLineChars="196"/>
              <w:jc w:val="left"/>
              <w:outlineLvl w:val="1"/>
              <w:rPr>
                <w:rFonts w:hAnsi="宋体" w:cs="宋体"/>
                <w:color w:val="auto"/>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2" w:hRule="atLeast"/>
        </w:trPr>
        <w:tc>
          <w:tcPr>
            <w:tcW w:w="1608" w:type="dxa"/>
            <w:vMerge w:val="continue"/>
            <w:vAlign w:val="center"/>
          </w:tcPr>
          <w:p>
            <w:pPr>
              <w:spacing w:line="360" w:lineRule="auto"/>
              <w:rPr>
                <w:rFonts w:hAnsi="宋体" w:cs="宋体"/>
                <w:color w:val="auto"/>
              </w:rPr>
            </w:pPr>
          </w:p>
        </w:tc>
        <w:tc>
          <w:tcPr>
            <w:tcW w:w="1010" w:type="dxa"/>
            <w:vAlign w:val="center"/>
          </w:tcPr>
          <w:p>
            <w:pPr>
              <w:spacing w:line="360" w:lineRule="auto"/>
              <w:jc w:val="left"/>
              <w:outlineLvl w:val="1"/>
              <w:rPr>
                <w:rFonts w:hAnsi="宋体" w:cs="宋体"/>
                <w:color w:val="auto"/>
              </w:rPr>
            </w:pPr>
            <w:r>
              <w:rPr>
                <w:rFonts w:hint="eastAsia" w:hAnsi="宋体" w:cs="宋体"/>
                <w:color w:val="auto"/>
              </w:rPr>
              <w:t>传真</w:t>
            </w:r>
          </w:p>
        </w:tc>
        <w:tc>
          <w:tcPr>
            <w:tcW w:w="2627" w:type="dxa"/>
            <w:gridSpan w:val="2"/>
            <w:vAlign w:val="center"/>
          </w:tcPr>
          <w:p>
            <w:pPr>
              <w:spacing w:line="360" w:lineRule="auto"/>
              <w:ind w:firstLine="470" w:firstLineChars="196"/>
              <w:jc w:val="left"/>
              <w:outlineLvl w:val="1"/>
              <w:rPr>
                <w:rFonts w:hAnsi="宋体" w:cs="宋体"/>
                <w:color w:val="auto"/>
              </w:rPr>
            </w:pPr>
          </w:p>
        </w:tc>
        <w:tc>
          <w:tcPr>
            <w:tcW w:w="1394" w:type="dxa"/>
            <w:vAlign w:val="center"/>
          </w:tcPr>
          <w:p>
            <w:pPr>
              <w:spacing w:line="360" w:lineRule="auto"/>
              <w:ind w:firstLine="470" w:firstLineChars="196"/>
              <w:jc w:val="left"/>
              <w:outlineLvl w:val="1"/>
              <w:rPr>
                <w:rFonts w:hAnsi="宋体" w:cs="宋体"/>
                <w:color w:val="auto"/>
              </w:rPr>
            </w:pPr>
            <w:r>
              <w:rPr>
                <w:rFonts w:hint="eastAsia" w:hAnsi="宋体" w:cs="宋体"/>
                <w:color w:val="auto"/>
              </w:rPr>
              <w:t>网址</w:t>
            </w:r>
          </w:p>
        </w:tc>
        <w:tc>
          <w:tcPr>
            <w:tcW w:w="2040" w:type="dxa"/>
            <w:gridSpan w:val="3"/>
            <w:vAlign w:val="center"/>
          </w:tcPr>
          <w:p>
            <w:pPr>
              <w:spacing w:line="360" w:lineRule="auto"/>
              <w:ind w:firstLine="470" w:firstLineChars="196"/>
              <w:jc w:val="left"/>
              <w:outlineLvl w:val="1"/>
              <w:rPr>
                <w:rFonts w:hAnsi="宋体" w:cs="宋体"/>
                <w:color w:val="auto"/>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2" w:hRule="atLeast"/>
        </w:trPr>
        <w:tc>
          <w:tcPr>
            <w:tcW w:w="1608" w:type="dxa"/>
            <w:vAlign w:val="center"/>
          </w:tcPr>
          <w:p>
            <w:pPr>
              <w:spacing w:line="360" w:lineRule="auto"/>
              <w:jc w:val="left"/>
              <w:outlineLvl w:val="1"/>
              <w:rPr>
                <w:rFonts w:hAnsi="宋体" w:cs="宋体"/>
                <w:color w:val="auto"/>
              </w:rPr>
            </w:pPr>
            <w:r>
              <w:rPr>
                <w:rFonts w:hint="eastAsia" w:hAnsi="宋体" w:cs="宋体"/>
                <w:color w:val="auto"/>
              </w:rPr>
              <w:t>组织结构</w:t>
            </w:r>
          </w:p>
        </w:tc>
        <w:tc>
          <w:tcPr>
            <w:tcW w:w="7071" w:type="dxa"/>
            <w:gridSpan w:val="7"/>
            <w:vAlign w:val="center"/>
          </w:tcPr>
          <w:p>
            <w:pPr>
              <w:spacing w:line="360" w:lineRule="auto"/>
              <w:ind w:firstLine="470" w:firstLineChars="196"/>
              <w:jc w:val="left"/>
              <w:outlineLvl w:val="1"/>
              <w:rPr>
                <w:rFonts w:hAnsi="宋体" w:cs="宋体"/>
                <w:color w:val="auto"/>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1608" w:type="dxa"/>
            <w:vAlign w:val="center"/>
          </w:tcPr>
          <w:p>
            <w:pPr>
              <w:spacing w:line="360" w:lineRule="auto"/>
              <w:jc w:val="left"/>
              <w:outlineLvl w:val="1"/>
              <w:rPr>
                <w:rFonts w:hAnsi="宋体" w:cs="宋体"/>
                <w:color w:val="auto"/>
              </w:rPr>
            </w:pPr>
            <w:r>
              <w:rPr>
                <w:rFonts w:hint="eastAsia" w:hAnsi="宋体" w:cs="宋体"/>
                <w:color w:val="auto"/>
              </w:rPr>
              <w:t>法定代表人</w:t>
            </w:r>
          </w:p>
        </w:tc>
        <w:tc>
          <w:tcPr>
            <w:tcW w:w="1010" w:type="dxa"/>
            <w:vAlign w:val="center"/>
          </w:tcPr>
          <w:p>
            <w:pPr>
              <w:spacing w:line="360" w:lineRule="auto"/>
              <w:jc w:val="left"/>
              <w:outlineLvl w:val="1"/>
              <w:rPr>
                <w:rFonts w:hAnsi="宋体" w:cs="宋体"/>
                <w:color w:val="auto"/>
              </w:rPr>
            </w:pPr>
            <w:r>
              <w:rPr>
                <w:rFonts w:hint="eastAsia" w:hAnsi="宋体" w:cs="宋体"/>
                <w:color w:val="auto"/>
              </w:rPr>
              <w:t>姓名</w:t>
            </w:r>
          </w:p>
        </w:tc>
        <w:tc>
          <w:tcPr>
            <w:tcW w:w="1308" w:type="dxa"/>
            <w:vAlign w:val="center"/>
          </w:tcPr>
          <w:p>
            <w:pPr>
              <w:spacing w:line="360" w:lineRule="auto"/>
              <w:ind w:firstLine="470" w:firstLineChars="196"/>
              <w:jc w:val="left"/>
              <w:outlineLvl w:val="1"/>
              <w:rPr>
                <w:rFonts w:hAnsi="宋体" w:cs="宋体"/>
                <w:color w:val="auto"/>
              </w:rPr>
            </w:pPr>
          </w:p>
        </w:tc>
        <w:tc>
          <w:tcPr>
            <w:tcW w:w="1319" w:type="dxa"/>
            <w:vAlign w:val="center"/>
          </w:tcPr>
          <w:p>
            <w:pPr>
              <w:spacing w:line="360" w:lineRule="auto"/>
              <w:jc w:val="left"/>
              <w:outlineLvl w:val="1"/>
              <w:rPr>
                <w:rFonts w:hAnsi="宋体" w:cs="宋体"/>
                <w:color w:val="auto"/>
              </w:rPr>
            </w:pPr>
            <w:r>
              <w:rPr>
                <w:rFonts w:hint="eastAsia" w:hAnsi="宋体" w:cs="宋体"/>
                <w:color w:val="auto"/>
              </w:rPr>
              <w:t>技术职称</w:t>
            </w:r>
          </w:p>
        </w:tc>
        <w:tc>
          <w:tcPr>
            <w:tcW w:w="1394" w:type="dxa"/>
            <w:vAlign w:val="center"/>
          </w:tcPr>
          <w:p>
            <w:pPr>
              <w:spacing w:line="360" w:lineRule="auto"/>
              <w:ind w:firstLine="470" w:firstLineChars="196"/>
              <w:jc w:val="left"/>
              <w:outlineLvl w:val="1"/>
              <w:rPr>
                <w:rFonts w:hAnsi="宋体" w:cs="宋体"/>
                <w:color w:val="auto"/>
              </w:rPr>
            </w:pPr>
          </w:p>
        </w:tc>
        <w:tc>
          <w:tcPr>
            <w:tcW w:w="897" w:type="dxa"/>
            <w:gridSpan w:val="2"/>
            <w:vAlign w:val="center"/>
          </w:tcPr>
          <w:p>
            <w:pPr>
              <w:spacing w:line="360" w:lineRule="auto"/>
              <w:jc w:val="left"/>
              <w:outlineLvl w:val="1"/>
              <w:rPr>
                <w:rFonts w:hAnsi="宋体" w:cs="宋体"/>
                <w:color w:val="auto"/>
              </w:rPr>
            </w:pPr>
            <w:r>
              <w:rPr>
                <w:rFonts w:hint="eastAsia" w:hAnsi="宋体" w:cs="宋体"/>
                <w:color w:val="auto"/>
              </w:rPr>
              <w:t>电话</w:t>
            </w:r>
          </w:p>
        </w:tc>
        <w:tc>
          <w:tcPr>
            <w:tcW w:w="1143" w:type="dxa"/>
            <w:vAlign w:val="center"/>
          </w:tcPr>
          <w:p>
            <w:pPr>
              <w:spacing w:line="360" w:lineRule="auto"/>
              <w:ind w:firstLine="470" w:firstLineChars="196"/>
              <w:jc w:val="left"/>
              <w:outlineLvl w:val="1"/>
              <w:rPr>
                <w:rFonts w:hAnsi="宋体" w:cs="宋体"/>
                <w:color w:val="auto"/>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1608" w:type="dxa"/>
            <w:vAlign w:val="center"/>
          </w:tcPr>
          <w:p>
            <w:pPr>
              <w:spacing w:line="360" w:lineRule="auto"/>
              <w:jc w:val="left"/>
              <w:outlineLvl w:val="1"/>
              <w:rPr>
                <w:rFonts w:hAnsi="宋体" w:cs="宋体"/>
                <w:color w:val="auto"/>
              </w:rPr>
            </w:pPr>
            <w:r>
              <w:rPr>
                <w:rFonts w:hint="eastAsia" w:hAnsi="宋体" w:cs="宋体"/>
                <w:color w:val="auto"/>
              </w:rPr>
              <w:t>技术负责人</w:t>
            </w:r>
          </w:p>
        </w:tc>
        <w:tc>
          <w:tcPr>
            <w:tcW w:w="1010" w:type="dxa"/>
            <w:vAlign w:val="center"/>
          </w:tcPr>
          <w:p>
            <w:pPr>
              <w:spacing w:line="360" w:lineRule="auto"/>
              <w:jc w:val="left"/>
              <w:outlineLvl w:val="1"/>
              <w:rPr>
                <w:rFonts w:hAnsi="宋体" w:cs="宋体"/>
                <w:color w:val="auto"/>
              </w:rPr>
            </w:pPr>
            <w:r>
              <w:rPr>
                <w:rFonts w:hint="eastAsia" w:hAnsi="宋体" w:cs="宋体"/>
                <w:color w:val="auto"/>
              </w:rPr>
              <w:t>姓名</w:t>
            </w:r>
          </w:p>
        </w:tc>
        <w:tc>
          <w:tcPr>
            <w:tcW w:w="1308" w:type="dxa"/>
            <w:vAlign w:val="center"/>
          </w:tcPr>
          <w:p>
            <w:pPr>
              <w:spacing w:line="360" w:lineRule="auto"/>
              <w:ind w:firstLine="470" w:firstLineChars="196"/>
              <w:jc w:val="left"/>
              <w:outlineLvl w:val="1"/>
              <w:rPr>
                <w:rFonts w:hAnsi="宋体" w:cs="宋体"/>
                <w:color w:val="auto"/>
              </w:rPr>
            </w:pPr>
          </w:p>
        </w:tc>
        <w:tc>
          <w:tcPr>
            <w:tcW w:w="1319" w:type="dxa"/>
            <w:vAlign w:val="center"/>
          </w:tcPr>
          <w:p>
            <w:pPr>
              <w:spacing w:line="360" w:lineRule="auto"/>
              <w:jc w:val="left"/>
              <w:outlineLvl w:val="1"/>
              <w:rPr>
                <w:rFonts w:hAnsi="宋体" w:cs="宋体"/>
                <w:color w:val="auto"/>
              </w:rPr>
            </w:pPr>
            <w:r>
              <w:rPr>
                <w:rFonts w:hint="eastAsia" w:hAnsi="宋体" w:cs="宋体"/>
                <w:color w:val="auto"/>
              </w:rPr>
              <w:t>技术职称</w:t>
            </w:r>
          </w:p>
        </w:tc>
        <w:tc>
          <w:tcPr>
            <w:tcW w:w="1394" w:type="dxa"/>
            <w:vAlign w:val="center"/>
          </w:tcPr>
          <w:p>
            <w:pPr>
              <w:spacing w:line="360" w:lineRule="auto"/>
              <w:ind w:firstLine="470" w:firstLineChars="196"/>
              <w:jc w:val="left"/>
              <w:outlineLvl w:val="1"/>
              <w:rPr>
                <w:rFonts w:hAnsi="宋体" w:cs="宋体"/>
                <w:color w:val="auto"/>
              </w:rPr>
            </w:pPr>
          </w:p>
        </w:tc>
        <w:tc>
          <w:tcPr>
            <w:tcW w:w="897" w:type="dxa"/>
            <w:gridSpan w:val="2"/>
            <w:vAlign w:val="center"/>
          </w:tcPr>
          <w:p>
            <w:pPr>
              <w:spacing w:line="360" w:lineRule="auto"/>
              <w:jc w:val="left"/>
              <w:outlineLvl w:val="1"/>
              <w:rPr>
                <w:rFonts w:hAnsi="宋体" w:cs="宋体"/>
                <w:color w:val="auto"/>
              </w:rPr>
            </w:pPr>
            <w:r>
              <w:rPr>
                <w:rFonts w:hint="eastAsia" w:hAnsi="宋体" w:cs="宋体"/>
                <w:color w:val="auto"/>
              </w:rPr>
              <w:t>电话</w:t>
            </w:r>
          </w:p>
        </w:tc>
        <w:tc>
          <w:tcPr>
            <w:tcW w:w="1143" w:type="dxa"/>
            <w:vAlign w:val="center"/>
          </w:tcPr>
          <w:p>
            <w:pPr>
              <w:spacing w:line="360" w:lineRule="auto"/>
              <w:ind w:firstLine="470" w:firstLineChars="196"/>
              <w:jc w:val="left"/>
              <w:outlineLvl w:val="1"/>
              <w:rPr>
                <w:rFonts w:hAnsi="宋体" w:cs="宋体"/>
                <w:color w:val="auto"/>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2" w:hRule="atLeast"/>
        </w:trPr>
        <w:tc>
          <w:tcPr>
            <w:tcW w:w="1608" w:type="dxa"/>
            <w:vAlign w:val="center"/>
          </w:tcPr>
          <w:p>
            <w:pPr>
              <w:spacing w:line="360" w:lineRule="auto"/>
              <w:jc w:val="left"/>
              <w:outlineLvl w:val="1"/>
              <w:rPr>
                <w:rFonts w:hAnsi="宋体" w:cs="宋体"/>
                <w:color w:val="auto"/>
              </w:rPr>
            </w:pPr>
            <w:r>
              <w:rPr>
                <w:rFonts w:hint="eastAsia" w:hAnsi="宋体" w:cs="宋体"/>
                <w:color w:val="auto"/>
              </w:rPr>
              <w:t>成立时间</w:t>
            </w:r>
          </w:p>
        </w:tc>
        <w:tc>
          <w:tcPr>
            <w:tcW w:w="2318" w:type="dxa"/>
            <w:gridSpan w:val="2"/>
            <w:vAlign w:val="center"/>
          </w:tcPr>
          <w:p>
            <w:pPr>
              <w:spacing w:line="360" w:lineRule="auto"/>
              <w:ind w:firstLine="470" w:firstLineChars="196"/>
              <w:jc w:val="left"/>
              <w:outlineLvl w:val="1"/>
              <w:rPr>
                <w:rFonts w:hAnsi="宋体" w:cs="宋体"/>
                <w:color w:val="auto"/>
              </w:rPr>
            </w:pPr>
          </w:p>
        </w:tc>
        <w:tc>
          <w:tcPr>
            <w:tcW w:w="4753" w:type="dxa"/>
            <w:gridSpan w:val="5"/>
            <w:vAlign w:val="center"/>
          </w:tcPr>
          <w:p>
            <w:pPr>
              <w:spacing w:line="360" w:lineRule="auto"/>
              <w:jc w:val="left"/>
              <w:outlineLvl w:val="1"/>
              <w:rPr>
                <w:rFonts w:hAnsi="宋体" w:cs="宋体"/>
                <w:color w:val="auto"/>
              </w:rPr>
            </w:pPr>
            <w:r>
              <w:rPr>
                <w:rFonts w:hint="eastAsia" w:hAnsi="宋体" w:cs="宋体"/>
                <w:color w:val="auto"/>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90" w:hRule="atLeast"/>
        </w:trPr>
        <w:tc>
          <w:tcPr>
            <w:tcW w:w="1608" w:type="dxa"/>
            <w:vAlign w:val="center"/>
          </w:tcPr>
          <w:p>
            <w:pPr>
              <w:spacing w:line="360" w:lineRule="auto"/>
              <w:jc w:val="left"/>
              <w:outlineLvl w:val="1"/>
              <w:rPr>
                <w:rFonts w:hAnsi="宋体" w:cs="宋体"/>
                <w:color w:val="auto"/>
              </w:rPr>
            </w:pPr>
            <w:r>
              <w:rPr>
                <w:rFonts w:hint="eastAsia" w:hAnsi="宋体" w:cs="宋体"/>
                <w:color w:val="auto"/>
              </w:rPr>
              <w:t>企业资质等级</w:t>
            </w:r>
          </w:p>
        </w:tc>
        <w:tc>
          <w:tcPr>
            <w:tcW w:w="2318" w:type="dxa"/>
            <w:gridSpan w:val="2"/>
            <w:vAlign w:val="center"/>
          </w:tcPr>
          <w:p>
            <w:pPr>
              <w:spacing w:line="360" w:lineRule="auto"/>
              <w:ind w:firstLine="470" w:firstLineChars="196"/>
              <w:jc w:val="left"/>
              <w:outlineLvl w:val="1"/>
              <w:rPr>
                <w:rFonts w:hAnsi="宋体" w:cs="宋体"/>
                <w:color w:val="auto"/>
              </w:rPr>
            </w:pPr>
          </w:p>
        </w:tc>
        <w:tc>
          <w:tcPr>
            <w:tcW w:w="1319" w:type="dxa"/>
            <w:vMerge w:val="restart"/>
            <w:vAlign w:val="center"/>
          </w:tcPr>
          <w:p>
            <w:pPr>
              <w:spacing w:line="360" w:lineRule="auto"/>
              <w:ind w:firstLine="470" w:firstLineChars="196"/>
              <w:jc w:val="left"/>
              <w:outlineLvl w:val="1"/>
              <w:rPr>
                <w:rFonts w:hAnsi="宋体" w:cs="宋体"/>
                <w:color w:val="auto"/>
              </w:rPr>
            </w:pPr>
            <w:r>
              <w:rPr>
                <w:rFonts w:hint="eastAsia" w:hAnsi="宋体" w:cs="宋体"/>
                <w:color w:val="auto"/>
              </w:rPr>
              <w:t>其中</w:t>
            </w:r>
          </w:p>
        </w:tc>
        <w:tc>
          <w:tcPr>
            <w:tcW w:w="1560" w:type="dxa"/>
            <w:gridSpan w:val="2"/>
            <w:vAlign w:val="center"/>
          </w:tcPr>
          <w:p>
            <w:pPr>
              <w:spacing w:line="360" w:lineRule="auto"/>
              <w:jc w:val="left"/>
              <w:outlineLvl w:val="1"/>
              <w:rPr>
                <w:rFonts w:hAnsi="宋体" w:cs="宋体"/>
                <w:color w:val="auto"/>
              </w:rPr>
            </w:pPr>
            <w:r>
              <w:rPr>
                <w:rFonts w:hint="eastAsia" w:hAnsi="宋体" w:cs="宋体"/>
                <w:color w:val="auto"/>
              </w:rPr>
              <w:t>项目经理</w:t>
            </w:r>
          </w:p>
        </w:tc>
        <w:tc>
          <w:tcPr>
            <w:tcW w:w="1874" w:type="dxa"/>
            <w:gridSpan w:val="2"/>
            <w:vAlign w:val="center"/>
          </w:tcPr>
          <w:p>
            <w:pPr>
              <w:spacing w:line="360" w:lineRule="auto"/>
              <w:ind w:firstLine="470" w:firstLineChars="196"/>
              <w:jc w:val="left"/>
              <w:outlineLvl w:val="1"/>
              <w:rPr>
                <w:rFonts w:hAnsi="宋体" w:cs="宋体"/>
                <w:color w:val="auto"/>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90" w:hRule="atLeast"/>
        </w:trPr>
        <w:tc>
          <w:tcPr>
            <w:tcW w:w="1608" w:type="dxa"/>
            <w:vAlign w:val="center"/>
          </w:tcPr>
          <w:p>
            <w:pPr>
              <w:spacing w:line="360" w:lineRule="auto"/>
              <w:jc w:val="left"/>
              <w:outlineLvl w:val="1"/>
              <w:rPr>
                <w:rFonts w:hAnsi="宋体" w:cs="宋体"/>
                <w:color w:val="auto"/>
              </w:rPr>
            </w:pPr>
            <w:r>
              <w:rPr>
                <w:rFonts w:hint="eastAsia" w:hAnsi="宋体" w:cs="宋体"/>
                <w:color w:val="auto"/>
              </w:rPr>
              <w:t>营业执照号</w:t>
            </w:r>
          </w:p>
        </w:tc>
        <w:tc>
          <w:tcPr>
            <w:tcW w:w="2318" w:type="dxa"/>
            <w:gridSpan w:val="2"/>
            <w:vAlign w:val="center"/>
          </w:tcPr>
          <w:p>
            <w:pPr>
              <w:spacing w:line="360" w:lineRule="auto"/>
              <w:ind w:firstLine="470" w:firstLineChars="196"/>
              <w:jc w:val="left"/>
              <w:outlineLvl w:val="1"/>
              <w:rPr>
                <w:rFonts w:hAnsi="宋体" w:cs="宋体"/>
                <w:color w:val="auto"/>
              </w:rPr>
            </w:pPr>
          </w:p>
        </w:tc>
        <w:tc>
          <w:tcPr>
            <w:tcW w:w="1319" w:type="dxa"/>
            <w:vMerge w:val="continue"/>
            <w:vAlign w:val="center"/>
          </w:tcPr>
          <w:p>
            <w:pPr>
              <w:spacing w:line="360" w:lineRule="auto"/>
              <w:rPr>
                <w:rFonts w:hAnsi="宋体" w:cs="宋体"/>
                <w:color w:val="auto"/>
              </w:rPr>
            </w:pPr>
          </w:p>
        </w:tc>
        <w:tc>
          <w:tcPr>
            <w:tcW w:w="1560" w:type="dxa"/>
            <w:gridSpan w:val="2"/>
            <w:vAlign w:val="center"/>
          </w:tcPr>
          <w:p>
            <w:pPr>
              <w:spacing w:line="360" w:lineRule="auto"/>
              <w:jc w:val="left"/>
              <w:outlineLvl w:val="1"/>
              <w:rPr>
                <w:rFonts w:hAnsi="宋体" w:cs="宋体"/>
                <w:color w:val="auto"/>
              </w:rPr>
            </w:pPr>
            <w:r>
              <w:rPr>
                <w:rFonts w:hint="eastAsia" w:hAnsi="宋体" w:cs="宋体"/>
                <w:color w:val="auto"/>
              </w:rPr>
              <w:t>高级职称人员</w:t>
            </w:r>
          </w:p>
        </w:tc>
        <w:tc>
          <w:tcPr>
            <w:tcW w:w="1874" w:type="dxa"/>
            <w:gridSpan w:val="2"/>
            <w:vAlign w:val="center"/>
          </w:tcPr>
          <w:p>
            <w:pPr>
              <w:spacing w:line="360" w:lineRule="auto"/>
              <w:ind w:firstLine="470" w:firstLineChars="196"/>
              <w:jc w:val="left"/>
              <w:outlineLvl w:val="1"/>
              <w:rPr>
                <w:rFonts w:hAnsi="宋体" w:cs="宋体"/>
                <w:color w:val="auto"/>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90" w:hRule="atLeast"/>
        </w:trPr>
        <w:tc>
          <w:tcPr>
            <w:tcW w:w="1608" w:type="dxa"/>
            <w:vAlign w:val="center"/>
          </w:tcPr>
          <w:p>
            <w:pPr>
              <w:spacing w:line="360" w:lineRule="auto"/>
              <w:jc w:val="left"/>
              <w:outlineLvl w:val="1"/>
              <w:rPr>
                <w:rFonts w:hAnsi="宋体" w:cs="宋体"/>
                <w:color w:val="auto"/>
              </w:rPr>
            </w:pPr>
            <w:r>
              <w:rPr>
                <w:rFonts w:hint="eastAsia" w:hAnsi="宋体" w:cs="宋体"/>
                <w:color w:val="auto"/>
              </w:rPr>
              <w:t>注册资金</w:t>
            </w:r>
          </w:p>
        </w:tc>
        <w:tc>
          <w:tcPr>
            <w:tcW w:w="2318" w:type="dxa"/>
            <w:gridSpan w:val="2"/>
            <w:vAlign w:val="center"/>
          </w:tcPr>
          <w:p>
            <w:pPr>
              <w:spacing w:line="360" w:lineRule="auto"/>
              <w:ind w:firstLine="470" w:firstLineChars="196"/>
              <w:jc w:val="left"/>
              <w:outlineLvl w:val="1"/>
              <w:rPr>
                <w:rFonts w:hAnsi="宋体" w:cs="宋体"/>
                <w:color w:val="auto"/>
              </w:rPr>
            </w:pPr>
          </w:p>
        </w:tc>
        <w:tc>
          <w:tcPr>
            <w:tcW w:w="1319" w:type="dxa"/>
            <w:vMerge w:val="continue"/>
            <w:vAlign w:val="center"/>
          </w:tcPr>
          <w:p>
            <w:pPr>
              <w:spacing w:line="360" w:lineRule="auto"/>
              <w:rPr>
                <w:rFonts w:hAnsi="宋体" w:cs="宋体"/>
                <w:color w:val="auto"/>
              </w:rPr>
            </w:pPr>
          </w:p>
        </w:tc>
        <w:tc>
          <w:tcPr>
            <w:tcW w:w="1560" w:type="dxa"/>
            <w:gridSpan w:val="2"/>
            <w:vAlign w:val="center"/>
          </w:tcPr>
          <w:p>
            <w:pPr>
              <w:spacing w:line="360" w:lineRule="auto"/>
              <w:jc w:val="left"/>
              <w:outlineLvl w:val="1"/>
              <w:rPr>
                <w:rFonts w:hAnsi="宋体" w:cs="宋体"/>
                <w:color w:val="auto"/>
              </w:rPr>
            </w:pPr>
            <w:r>
              <w:rPr>
                <w:rFonts w:hint="eastAsia" w:hAnsi="宋体" w:cs="宋体"/>
                <w:color w:val="auto"/>
              </w:rPr>
              <w:t>中级职称人员</w:t>
            </w:r>
          </w:p>
        </w:tc>
        <w:tc>
          <w:tcPr>
            <w:tcW w:w="1874" w:type="dxa"/>
            <w:gridSpan w:val="2"/>
            <w:vAlign w:val="center"/>
          </w:tcPr>
          <w:p>
            <w:pPr>
              <w:spacing w:line="360" w:lineRule="auto"/>
              <w:ind w:firstLine="470" w:firstLineChars="196"/>
              <w:jc w:val="left"/>
              <w:outlineLvl w:val="1"/>
              <w:rPr>
                <w:rFonts w:hAnsi="宋体" w:cs="宋体"/>
                <w:color w:val="auto"/>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90" w:hRule="atLeast"/>
        </w:trPr>
        <w:tc>
          <w:tcPr>
            <w:tcW w:w="1608" w:type="dxa"/>
            <w:vAlign w:val="center"/>
          </w:tcPr>
          <w:p>
            <w:pPr>
              <w:spacing w:line="360" w:lineRule="auto"/>
              <w:jc w:val="left"/>
              <w:outlineLvl w:val="1"/>
              <w:rPr>
                <w:rFonts w:hAnsi="宋体" w:cs="宋体"/>
                <w:color w:val="auto"/>
              </w:rPr>
            </w:pPr>
            <w:r>
              <w:rPr>
                <w:rFonts w:hint="eastAsia" w:hAnsi="宋体" w:cs="宋体"/>
                <w:color w:val="auto"/>
              </w:rPr>
              <w:t>开户银行</w:t>
            </w:r>
          </w:p>
        </w:tc>
        <w:tc>
          <w:tcPr>
            <w:tcW w:w="2318" w:type="dxa"/>
            <w:gridSpan w:val="2"/>
            <w:vAlign w:val="center"/>
          </w:tcPr>
          <w:p>
            <w:pPr>
              <w:spacing w:line="360" w:lineRule="auto"/>
              <w:ind w:firstLine="470" w:firstLineChars="196"/>
              <w:jc w:val="left"/>
              <w:outlineLvl w:val="1"/>
              <w:rPr>
                <w:rFonts w:hAnsi="宋体" w:cs="宋体"/>
                <w:color w:val="auto"/>
              </w:rPr>
            </w:pPr>
          </w:p>
        </w:tc>
        <w:tc>
          <w:tcPr>
            <w:tcW w:w="1319" w:type="dxa"/>
            <w:vMerge w:val="continue"/>
            <w:vAlign w:val="center"/>
          </w:tcPr>
          <w:p>
            <w:pPr>
              <w:spacing w:line="360" w:lineRule="auto"/>
              <w:rPr>
                <w:rFonts w:hAnsi="宋体" w:cs="宋体"/>
                <w:color w:val="auto"/>
              </w:rPr>
            </w:pPr>
          </w:p>
        </w:tc>
        <w:tc>
          <w:tcPr>
            <w:tcW w:w="1560" w:type="dxa"/>
            <w:gridSpan w:val="2"/>
            <w:vAlign w:val="center"/>
          </w:tcPr>
          <w:p>
            <w:pPr>
              <w:spacing w:line="360" w:lineRule="auto"/>
              <w:jc w:val="left"/>
              <w:outlineLvl w:val="1"/>
              <w:rPr>
                <w:rFonts w:hAnsi="宋体" w:cs="宋体"/>
                <w:color w:val="auto"/>
              </w:rPr>
            </w:pPr>
            <w:r>
              <w:rPr>
                <w:rFonts w:hint="eastAsia" w:hAnsi="宋体" w:cs="宋体"/>
                <w:color w:val="auto"/>
              </w:rPr>
              <w:t>初级职称人员</w:t>
            </w:r>
          </w:p>
        </w:tc>
        <w:tc>
          <w:tcPr>
            <w:tcW w:w="1874" w:type="dxa"/>
            <w:gridSpan w:val="2"/>
            <w:vAlign w:val="center"/>
          </w:tcPr>
          <w:p>
            <w:pPr>
              <w:spacing w:line="360" w:lineRule="auto"/>
              <w:ind w:firstLine="470" w:firstLineChars="196"/>
              <w:jc w:val="left"/>
              <w:outlineLvl w:val="1"/>
              <w:rPr>
                <w:rFonts w:hAnsi="宋体" w:cs="宋体"/>
                <w:color w:val="auto"/>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2" w:hRule="atLeast"/>
        </w:trPr>
        <w:tc>
          <w:tcPr>
            <w:tcW w:w="1608" w:type="dxa"/>
            <w:vAlign w:val="center"/>
          </w:tcPr>
          <w:p>
            <w:pPr>
              <w:spacing w:line="360" w:lineRule="auto"/>
              <w:ind w:firstLine="470" w:firstLineChars="196"/>
              <w:jc w:val="left"/>
              <w:outlineLvl w:val="1"/>
              <w:rPr>
                <w:rFonts w:hAnsi="宋体" w:cs="宋体"/>
                <w:color w:val="auto"/>
              </w:rPr>
            </w:pPr>
            <w:r>
              <w:rPr>
                <w:rFonts w:hint="eastAsia" w:hAnsi="宋体" w:cs="宋体"/>
                <w:color w:val="auto"/>
              </w:rPr>
              <w:t>账号</w:t>
            </w:r>
          </w:p>
        </w:tc>
        <w:tc>
          <w:tcPr>
            <w:tcW w:w="2318" w:type="dxa"/>
            <w:gridSpan w:val="2"/>
            <w:vAlign w:val="center"/>
          </w:tcPr>
          <w:p>
            <w:pPr>
              <w:spacing w:line="360" w:lineRule="auto"/>
              <w:ind w:firstLine="470" w:firstLineChars="196"/>
              <w:jc w:val="left"/>
              <w:outlineLvl w:val="1"/>
              <w:rPr>
                <w:rFonts w:hAnsi="宋体" w:cs="宋体"/>
                <w:color w:val="auto"/>
              </w:rPr>
            </w:pPr>
          </w:p>
        </w:tc>
        <w:tc>
          <w:tcPr>
            <w:tcW w:w="1319" w:type="dxa"/>
            <w:vMerge w:val="continue"/>
            <w:vAlign w:val="center"/>
          </w:tcPr>
          <w:p>
            <w:pPr>
              <w:spacing w:line="360" w:lineRule="auto"/>
              <w:rPr>
                <w:rFonts w:hAnsi="宋体" w:cs="宋体"/>
                <w:color w:val="auto"/>
              </w:rPr>
            </w:pPr>
          </w:p>
        </w:tc>
        <w:tc>
          <w:tcPr>
            <w:tcW w:w="1560" w:type="dxa"/>
            <w:gridSpan w:val="2"/>
            <w:vAlign w:val="center"/>
          </w:tcPr>
          <w:p>
            <w:pPr>
              <w:spacing w:line="360" w:lineRule="auto"/>
              <w:ind w:firstLine="470" w:firstLineChars="196"/>
              <w:jc w:val="left"/>
              <w:outlineLvl w:val="1"/>
              <w:rPr>
                <w:rFonts w:hAnsi="宋体" w:cs="宋体"/>
                <w:color w:val="auto"/>
              </w:rPr>
            </w:pPr>
            <w:r>
              <w:rPr>
                <w:rFonts w:hint="eastAsia" w:hAnsi="宋体" w:cs="宋体"/>
                <w:color w:val="auto"/>
              </w:rPr>
              <w:t>技工</w:t>
            </w:r>
          </w:p>
        </w:tc>
        <w:tc>
          <w:tcPr>
            <w:tcW w:w="1874" w:type="dxa"/>
            <w:gridSpan w:val="2"/>
            <w:vAlign w:val="center"/>
          </w:tcPr>
          <w:p>
            <w:pPr>
              <w:spacing w:line="360" w:lineRule="auto"/>
              <w:ind w:firstLine="470" w:firstLineChars="196"/>
              <w:jc w:val="left"/>
              <w:outlineLvl w:val="1"/>
              <w:rPr>
                <w:rFonts w:hAnsi="宋体" w:cs="宋体"/>
                <w:color w:val="auto"/>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964" w:hRule="atLeast"/>
        </w:trPr>
        <w:tc>
          <w:tcPr>
            <w:tcW w:w="1608" w:type="dxa"/>
            <w:vAlign w:val="center"/>
          </w:tcPr>
          <w:p>
            <w:pPr>
              <w:spacing w:line="360" w:lineRule="auto"/>
              <w:jc w:val="left"/>
              <w:outlineLvl w:val="1"/>
              <w:rPr>
                <w:rFonts w:hAnsi="宋体" w:cs="宋体"/>
                <w:color w:val="auto"/>
              </w:rPr>
            </w:pPr>
            <w:r>
              <w:rPr>
                <w:rFonts w:hint="eastAsia" w:hAnsi="宋体" w:cs="宋体"/>
                <w:color w:val="auto"/>
              </w:rPr>
              <w:t>经营范围</w:t>
            </w:r>
          </w:p>
        </w:tc>
        <w:tc>
          <w:tcPr>
            <w:tcW w:w="7071" w:type="dxa"/>
            <w:gridSpan w:val="7"/>
            <w:vAlign w:val="center"/>
          </w:tcPr>
          <w:p>
            <w:pPr>
              <w:spacing w:line="360" w:lineRule="auto"/>
              <w:ind w:firstLine="470" w:firstLineChars="196"/>
              <w:jc w:val="left"/>
              <w:outlineLvl w:val="1"/>
              <w:rPr>
                <w:rFonts w:hAnsi="宋体" w:cs="宋体"/>
                <w:color w:val="auto"/>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01" w:hRule="atLeast"/>
        </w:trPr>
        <w:tc>
          <w:tcPr>
            <w:tcW w:w="1608" w:type="dxa"/>
          </w:tcPr>
          <w:p>
            <w:pPr>
              <w:spacing w:line="360" w:lineRule="auto"/>
              <w:ind w:firstLine="470" w:firstLineChars="196"/>
              <w:jc w:val="left"/>
              <w:outlineLvl w:val="1"/>
              <w:rPr>
                <w:rFonts w:hAnsi="宋体" w:cs="宋体"/>
                <w:color w:val="auto"/>
              </w:rPr>
            </w:pPr>
            <w:r>
              <w:rPr>
                <w:rFonts w:hint="eastAsia" w:hAnsi="宋体" w:cs="宋体"/>
                <w:color w:val="auto"/>
              </w:rPr>
              <w:t>备注</w:t>
            </w:r>
          </w:p>
        </w:tc>
        <w:tc>
          <w:tcPr>
            <w:tcW w:w="7071" w:type="dxa"/>
            <w:gridSpan w:val="7"/>
          </w:tcPr>
          <w:p>
            <w:pPr>
              <w:spacing w:line="360" w:lineRule="auto"/>
              <w:ind w:firstLine="470" w:firstLineChars="196"/>
              <w:jc w:val="left"/>
              <w:outlineLvl w:val="1"/>
              <w:rPr>
                <w:rFonts w:hAnsi="宋体" w:cs="宋体"/>
                <w:color w:val="auto"/>
              </w:rPr>
            </w:pPr>
          </w:p>
        </w:tc>
      </w:tr>
    </w:tbl>
    <w:p>
      <w:pPr>
        <w:spacing w:line="360" w:lineRule="auto"/>
        <w:ind w:firstLine="470" w:firstLineChars="196"/>
        <w:jc w:val="left"/>
        <w:outlineLvl w:val="1"/>
        <w:rPr>
          <w:rFonts w:hAnsi="宋体" w:cs="宋体"/>
          <w:color w:val="auto"/>
        </w:rPr>
      </w:pPr>
      <w:r>
        <w:rPr>
          <w:rFonts w:hint="eastAsia" w:hAnsi="宋体" w:cs="宋体"/>
          <w:color w:val="auto"/>
        </w:rPr>
        <w:t>投标人名称：（盖公章）</w:t>
      </w:r>
    </w:p>
    <w:p>
      <w:pPr>
        <w:spacing w:line="360" w:lineRule="auto"/>
        <w:ind w:firstLine="470" w:firstLineChars="196"/>
        <w:jc w:val="left"/>
        <w:outlineLvl w:val="1"/>
        <w:rPr>
          <w:rFonts w:hAnsi="宋体" w:cs="宋体"/>
          <w:color w:val="auto"/>
        </w:rPr>
      </w:pPr>
      <w:r>
        <w:rPr>
          <w:rFonts w:hint="eastAsia" w:hAnsi="宋体" w:cs="宋体"/>
          <w:color w:val="auto"/>
        </w:rPr>
        <w:t>法定代表人或委托代理人（签字或盖章）：</w:t>
      </w:r>
    </w:p>
    <w:p>
      <w:pPr>
        <w:spacing w:line="360" w:lineRule="auto"/>
        <w:ind w:firstLine="470" w:firstLineChars="196"/>
        <w:jc w:val="left"/>
        <w:outlineLvl w:val="1"/>
        <w:rPr>
          <w:rFonts w:hAnsi="宋体" w:cs="宋体"/>
          <w:color w:val="auto"/>
        </w:rPr>
      </w:pPr>
      <w:r>
        <w:rPr>
          <w:rFonts w:hint="eastAsia" w:hAnsi="宋体" w:cs="宋体"/>
          <w:color w:val="auto"/>
        </w:rPr>
        <w:t xml:space="preserve">日期: </w:t>
      </w:r>
    </w:p>
    <w:p>
      <w:pPr>
        <w:spacing w:line="360" w:lineRule="auto"/>
        <w:rPr>
          <w:rFonts w:hAnsi="宋体" w:cs="宋体"/>
          <w:b/>
          <w:color w:val="auto"/>
          <w:sz w:val="32"/>
          <w:szCs w:val="32"/>
        </w:rPr>
      </w:pPr>
      <w:bookmarkStart w:id="191" w:name="_Toc217446089"/>
      <w:r>
        <w:rPr>
          <w:rFonts w:hint="eastAsia" w:hAnsi="宋体" w:cs="宋体"/>
          <w:b/>
          <w:color w:val="auto"/>
          <w:sz w:val="36"/>
          <w:szCs w:val="36"/>
        </w:rPr>
        <w:br w:type="page"/>
      </w:r>
      <w:r>
        <w:rPr>
          <w:rFonts w:hint="eastAsia" w:hAnsi="宋体" w:cs="宋体"/>
          <w:b/>
          <w:color w:val="auto"/>
          <w:sz w:val="32"/>
          <w:szCs w:val="32"/>
        </w:rPr>
        <w:t>格式2-8</w:t>
      </w:r>
    </w:p>
    <w:p>
      <w:pPr>
        <w:spacing w:line="360" w:lineRule="auto"/>
        <w:jc w:val="center"/>
        <w:outlineLvl w:val="1"/>
        <w:rPr>
          <w:rFonts w:hAnsi="宋体" w:cs="宋体"/>
          <w:b/>
          <w:color w:val="auto"/>
          <w:sz w:val="36"/>
          <w:szCs w:val="36"/>
        </w:rPr>
      </w:pPr>
      <w:r>
        <w:rPr>
          <w:rFonts w:hint="eastAsia" w:hAnsi="宋体" w:cs="宋体"/>
          <w:b/>
          <w:color w:val="auto"/>
          <w:sz w:val="36"/>
          <w:szCs w:val="36"/>
        </w:rPr>
        <w:t>七、类似项目业绩一览表</w:t>
      </w:r>
      <w:bookmarkEnd w:id="191"/>
    </w:p>
    <w:p>
      <w:pPr>
        <w:spacing w:line="360" w:lineRule="auto"/>
        <w:ind w:firstLine="472" w:firstLineChars="196"/>
        <w:jc w:val="left"/>
        <w:outlineLvl w:val="1"/>
        <w:rPr>
          <w:rFonts w:hAnsi="宋体" w:cs="宋体"/>
          <w:b/>
          <w:color w:val="auto"/>
        </w:rPr>
      </w:pPr>
    </w:p>
    <w:tbl>
      <w:tblPr>
        <w:tblStyle w:val="33"/>
        <w:tblW w:w="852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621"/>
        <w:gridCol w:w="99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vAlign w:val="center"/>
          </w:tcPr>
          <w:p>
            <w:pPr>
              <w:spacing w:line="360" w:lineRule="auto"/>
              <w:jc w:val="left"/>
              <w:outlineLvl w:val="1"/>
              <w:rPr>
                <w:rFonts w:hAnsi="宋体" w:cs="宋体"/>
                <w:color w:val="auto"/>
              </w:rPr>
            </w:pPr>
            <w:r>
              <w:rPr>
                <w:rFonts w:hint="eastAsia" w:hAnsi="宋体" w:cs="宋体"/>
                <w:color w:val="auto"/>
              </w:rPr>
              <w:t>年份</w:t>
            </w:r>
          </w:p>
        </w:tc>
        <w:tc>
          <w:tcPr>
            <w:tcW w:w="1440" w:type="dxa"/>
            <w:vAlign w:val="center"/>
          </w:tcPr>
          <w:p>
            <w:pPr>
              <w:spacing w:line="360" w:lineRule="auto"/>
              <w:jc w:val="left"/>
              <w:outlineLvl w:val="1"/>
              <w:rPr>
                <w:rFonts w:hAnsi="宋体" w:cs="宋体"/>
                <w:color w:val="auto"/>
              </w:rPr>
            </w:pPr>
            <w:r>
              <w:rPr>
                <w:rFonts w:hint="eastAsia" w:hAnsi="宋体" w:cs="宋体"/>
                <w:color w:val="auto"/>
              </w:rPr>
              <w:t>用户名称</w:t>
            </w:r>
          </w:p>
        </w:tc>
        <w:tc>
          <w:tcPr>
            <w:tcW w:w="1320" w:type="dxa"/>
            <w:vAlign w:val="center"/>
          </w:tcPr>
          <w:p>
            <w:pPr>
              <w:spacing w:line="360" w:lineRule="auto"/>
              <w:jc w:val="left"/>
              <w:outlineLvl w:val="1"/>
              <w:rPr>
                <w:rFonts w:hAnsi="宋体" w:cs="宋体"/>
                <w:color w:val="auto"/>
              </w:rPr>
            </w:pPr>
            <w:r>
              <w:rPr>
                <w:rFonts w:hint="eastAsia" w:hAnsi="宋体" w:cs="宋体"/>
                <w:color w:val="auto"/>
              </w:rPr>
              <w:t>项目名称</w:t>
            </w:r>
          </w:p>
        </w:tc>
        <w:tc>
          <w:tcPr>
            <w:tcW w:w="1161" w:type="dxa"/>
            <w:vAlign w:val="center"/>
          </w:tcPr>
          <w:p>
            <w:pPr>
              <w:spacing w:line="360" w:lineRule="auto"/>
              <w:jc w:val="left"/>
              <w:outlineLvl w:val="1"/>
              <w:rPr>
                <w:rFonts w:hAnsi="宋体" w:cs="宋体"/>
                <w:color w:val="auto"/>
              </w:rPr>
            </w:pPr>
            <w:r>
              <w:rPr>
                <w:rFonts w:hint="eastAsia" w:hAnsi="宋体" w:cs="宋体"/>
                <w:color w:val="auto"/>
              </w:rPr>
              <w:t>完成时间</w:t>
            </w:r>
          </w:p>
        </w:tc>
        <w:tc>
          <w:tcPr>
            <w:tcW w:w="1260" w:type="dxa"/>
            <w:vAlign w:val="center"/>
          </w:tcPr>
          <w:p>
            <w:pPr>
              <w:spacing w:line="360" w:lineRule="auto"/>
              <w:jc w:val="left"/>
              <w:outlineLvl w:val="1"/>
              <w:rPr>
                <w:rFonts w:hAnsi="宋体" w:cs="宋体"/>
                <w:color w:val="auto"/>
              </w:rPr>
            </w:pPr>
            <w:r>
              <w:rPr>
                <w:rFonts w:hint="eastAsia" w:hAnsi="宋体" w:cs="宋体"/>
                <w:color w:val="auto"/>
              </w:rPr>
              <w:t>合同金额</w:t>
            </w:r>
          </w:p>
        </w:tc>
        <w:tc>
          <w:tcPr>
            <w:tcW w:w="1630" w:type="dxa"/>
            <w:gridSpan w:val="2"/>
            <w:tcBorders>
              <w:right w:val="single" w:color="auto" w:sz="4" w:space="0"/>
            </w:tcBorders>
            <w:vAlign w:val="center"/>
          </w:tcPr>
          <w:p>
            <w:pPr>
              <w:spacing w:line="360" w:lineRule="auto"/>
              <w:jc w:val="left"/>
              <w:outlineLvl w:val="1"/>
              <w:rPr>
                <w:rFonts w:hAnsi="宋体" w:cs="宋体"/>
                <w:color w:val="auto"/>
              </w:rPr>
            </w:pPr>
            <w:r>
              <w:rPr>
                <w:rFonts w:hint="eastAsia" w:hAnsi="宋体" w:cs="宋体"/>
                <w:color w:val="auto"/>
              </w:rPr>
              <w:t>是否通过验收</w:t>
            </w:r>
          </w:p>
        </w:tc>
        <w:tc>
          <w:tcPr>
            <w:tcW w:w="992" w:type="dxa"/>
            <w:tcBorders>
              <w:left w:val="single" w:color="auto" w:sz="4" w:space="0"/>
            </w:tcBorders>
            <w:vAlign w:val="center"/>
          </w:tcPr>
          <w:p>
            <w:pPr>
              <w:spacing w:line="360" w:lineRule="auto"/>
              <w:jc w:val="left"/>
              <w:outlineLvl w:val="1"/>
              <w:rPr>
                <w:rFonts w:hAnsi="宋体" w:cs="宋体"/>
                <w:color w:val="auto"/>
              </w:rPr>
            </w:pPr>
            <w:r>
              <w:rPr>
                <w:rFonts w:hint="eastAsia" w:hAnsi="宋体" w:cs="宋体"/>
                <w:color w:val="auto"/>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360" w:lineRule="auto"/>
              <w:ind w:firstLine="470" w:firstLineChars="196"/>
              <w:jc w:val="left"/>
              <w:outlineLvl w:val="1"/>
              <w:rPr>
                <w:rFonts w:hAnsi="宋体" w:cs="宋体"/>
                <w:color w:val="auto"/>
              </w:rPr>
            </w:pPr>
          </w:p>
        </w:tc>
        <w:tc>
          <w:tcPr>
            <w:tcW w:w="1440" w:type="dxa"/>
            <w:vAlign w:val="center"/>
          </w:tcPr>
          <w:p>
            <w:pPr>
              <w:spacing w:line="360" w:lineRule="auto"/>
              <w:ind w:firstLine="470" w:firstLineChars="196"/>
              <w:jc w:val="left"/>
              <w:outlineLvl w:val="1"/>
              <w:rPr>
                <w:rFonts w:hAnsi="宋体" w:cs="宋体"/>
                <w:color w:val="auto"/>
              </w:rPr>
            </w:pPr>
          </w:p>
        </w:tc>
        <w:tc>
          <w:tcPr>
            <w:tcW w:w="1320" w:type="dxa"/>
            <w:vAlign w:val="center"/>
          </w:tcPr>
          <w:p>
            <w:pPr>
              <w:spacing w:line="360" w:lineRule="auto"/>
              <w:ind w:firstLine="470" w:firstLineChars="196"/>
              <w:jc w:val="left"/>
              <w:outlineLvl w:val="1"/>
              <w:rPr>
                <w:rFonts w:hAnsi="宋体" w:cs="宋体"/>
                <w:color w:val="auto"/>
              </w:rPr>
            </w:pPr>
          </w:p>
        </w:tc>
        <w:tc>
          <w:tcPr>
            <w:tcW w:w="1161" w:type="dxa"/>
            <w:vAlign w:val="center"/>
          </w:tcPr>
          <w:p>
            <w:pPr>
              <w:spacing w:line="360" w:lineRule="auto"/>
              <w:ind w:firstLine="470" w:firstLineChars="196"/>
              <w:jc w:val="left"/>
              <w:outlineLvl w:val="1"/>
              <w:rPr>
                <w:rFonts w:hAnsi="宋体" w:cs="宋体"/>
                <w:color w:val="auto"/>
              </w:rPr>
            </w:pPr>
          </w:p>
        </w:tc>
        <w:tc>
          <w:tcPr>
            <w:tcW w:w="1260" w:type="dxa"/>
            <w:vAlign w:val="center"/>
          </w:tcPr>
          <w:p>
            <w:pPr>
              <w:spacing w:line="360" w:lineRule="auto"/>
              <w:ind w:firstLine="470" w:firstLineChars="196"/>
              <w:jc w:val="left"/>
              <w:outlineLvl w:val="1"/>
              <w:rPr>
                <w:rFonts w:hAnsi="宋体" w:cs="宋体"/>
                <w:color w:val="auto"/>
              </w:rPr>
            </w:pPr>
          </w:p>
        </w:tc>
        <w:tc>
          <w:tcPr>
            <w:tcW w:w="1630" w:type="dxa"/>
            <w:gridSpan w:val="2"/>
            <w:tcBorders>
              <w:right w:val="single" w:color="auto" w:sz="4" w:space="0"/>
            </w:tcBorders>
            <w:vAlign w:val="center"/>
          </w:tcPr>
          <w:p>
            <w:pPr>
              <w:spacing w:line="360" w:lineRule="auto"/>
              <w:ind w:firstLine="470" w:firstLineChars="196"/>
              <w:jc w:val="left"/>
              <w:outlineLvl w:val="1"/>
              <w:rPr>
                <w:rFonts w:hAnsi="宋体" w:cs="宋体"/>
                <w:color w:val="auto"/>
              </w:rPr>
            </w:pPr>
          </w:p>
        </w:tc>
        <w:tc>
          <w:tcPr>
            <w:tcW w:w="992" w:type="dxa"/>
            <w:tcBorders>
              <w:left w:val="single" w:color="auto" w:sz="4" w:space="0"/>
            </w:tcBorders>
            <w:vAlign w:val="center"/>
          </w:tcPr>
          <w:p>
            <w:pPr>
              <w:spacing w:line="360" w:lineRule="auto"/>
              <w:ind w:firstLine="470" w:firstLineChars="196"/>
              <w:jc w:val="left"/>
              <w:outlineLvl w:val="1"/>
              <w:rPr>
                <w:rFonts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360" w:lineRule="auto"/>
              <w:ind w:firstLine="470" w:firstLineChars="196"/>
              <w:jc w:val="left"/>
              <w:outlineLvl w:val="1"/>
              <w:rPr>
                <w:rFonts w:hAnsi="宋体" w:cs="宋体"/>
                <w:color w:val="auto"/>
              </w:rPr>
            </w:pPr>
          </w:p>
        </w:tc>
        <w:tc>
          <w:tcPr>
            <w:tcW w:w="1440" w:type="dxa"/>
            <w:vAlign w:val="center"/>
          </w:tcPr>
          <w:p>
            <w:pPr>
              <w:spacing w:line="360" w:lineRule="auto"/>
              <w:ind w:firstLine="470" w:firstLineChars="196"/>
              <w:jc w:val="left"/>
              <w:outlineLvl w:val="1"/>
              <w:rPr>
                <w:rFonts w:hAnsi="宋体" w:cs="宋体"/>
                <w:color w:val="auto"/>
              </w:rPr>
            </w:pPr>
          </w:p>
        </w:tc>
        <w:tc>
          <w:tcPr>
            <w:tcW w:w="1320" w:type="dxa"/>
            <w:vAlign w:val="center"/>
          </w:tcPr>
          <w:p>
            <w:pPr>
              <w:spacing w:line="360" w:lineRule="auto"/>
              <w:ind w:firstLine="470" w:firstLineChars="196"/>
              <w:jc w:val="left"/>
              <w:outlineLvl w:val="1"/>
              <w:rPr>
                <w:rFonts w:hAnsi="宋体" w:cs="宋体"/>
                <w:color w:val="auto"/>
              </w:rPr>
            </w:pPr>
          </w:p>
        </w:tc>
        <w:tc>
          <w:tcPr>
            <w:tcW w:w="1161" w:type="dxa"/>
            <w:vAlign w:val="center"/>
          </w:tcPr>
          <w:p>
            <w:pPr>
              <w:spacing w:line="360" w:lineRule="auto"/>
              <w:ind w:firstLine="470" w:firstLineChars="196"/>
              <w:jc w:val="left"/>
              <w:outlineLvl w:val="1"/>
              <w:rPr>
                <w:rFonts w:hAnsi="宋体" w:cs="宋体"/>
                <w:color w:val="auto"/>
              </w:rPr>
            </w:pPr>
          </w:p>
        </w:tc>
        <w:tc>
          <w:tcPr>
            <w:tcW w:w="1260" w:type="dxa"/>
            <w:vAlign w:val="center"/>
          </w:tcPr>
          <w:p>
            <w:pPr>
              <w:spacing w:line="360" w:lineRule="auto"/>
              <w:ind w:firstLine="470" w:firstLineChars="196"/>
              <w:jc w:val="left"/>
              <w:outlineLvl w:val="1"/>
              <w:rPr>
                <w:rFonts w:hAnsi="宋体" w:cs="宋体"/>
                <w:color w:val="auto"/>
              </w:rPr>
            </w:pPr>
          </w:p>
        </w:tc>
        <w:tc>
          <w:tcPr>
            <w:tcW w:w="1630" w:type="dxa"/>
            <w:gridSpan w:val="2"/>
            <w:tcBorders>
              <w:right w:val="single" w:color="auto" w:sz="4" w:space="0"/>
            </w:tcBorders>
            <w:vAlign w:val="center"/>
          </w:tcPr>
          <w:p>
            <w:pPr>
              <w:spacing w:line="360" w:lineRule="auto"/>
              <w:ind w:firstLine="470" w:firstLineChars="196"/>
              <w:jc w:val="left"/>
              <w:outlineLvl w:val="1"/>
              <w:rPr>
                <w:rFonts w:hAnsi="宋体" w:cs="宋体"/>
                <w:color w:val="auto"/>
              </w:rPr>
            </w:pPr>
          </w:p>
        </w:tc>
        <w:tc>
          <w:tcPr>
            <w:tcW w:w="992" w:type="dxa"/>
            <w:tcBorders>
              <w:left w:val="single" w:color="auto" w:sz="4" w:space="0"/>
            </w:tcBorders>
            <w:vAlign w:val="center"/>
          </w:tcPr>
          <w:p>
            <w:pPr>
              <w:spacing w:line="360" w:lineRule="auto"/>
              <w:ind w:firstLine="470" w:firstLineChars="196"/>
              <w:jc w:val="left"/>
              <w:outlineLvl w:val="1"/>
              <w:rPr>
                <w:rFonts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360" w:lineRule="auto"/>
              <w:ind w:firstLine="470" w:firstLineChars="196"/>
              <w:jc w:val="left"/>
              <w:outlineLvl w:val="1"/>
              <w:rPr>
                <w:rFonts w:hAnsi="宋体" w:cs="宋体"/>
                <w:color w:val="auto"/>
              </w:rPr>
            </w:pPr>
          </w:p>
        </w:tc>
        <w:tc>
          <w:tcPr>
            <w:tcW w:w="1440" w:type="dxa"/>
            <w:vAlign w:val="center"/>
          </w:tcPr>
          <w:p>
            <w:pPr>
              <w:spacing w:line="360" w:lineRule="auto"/>
              <w:ind w:firstLine="470" w:firstLineChars="196"/>
              <w:jc w:val="left"/>
              <w:outlineLvl w:val="1"/>
              <w:rPr>
                <w:rFonts w:hAnsi="宋体" w:cs="宋体"/>
                <w:color w:val="auto"/>
              </w:rPr>
            </w:pPr>
          </w:p>
        </w:tc>
        <w:tc>
          <w:tcPr>
            <w:tcW w:w="1320" w:type="dxa"/>
            <w:vAlign w:val="center"/>
          </w:tcPr>
          <w:p>
            <w:pPr>
              <w:spacing w:line="360" w:lineRule="auto"/>
              <w:ind w:firstLine="470" w:firstLineChars="196"/>
              <w:jc w:val="left"/>
              <w:outlineLvl w:val="1"/>
              <w:rPr>
                <w:rFonts w:hAnsi="宋体" w:cs="宋体"/>
                <w:color w:val="auto"/>
              </w:rPr>
            </w:pPr>
          </w:p>
        </w:tc>
        <w:tc>
          <w:tcPr>
            <w:tcW w:w="1161" w:type="dxa"/>
            <w:vAlign w:val="center"/>
          </w:tcPr>
          <w:p>
            <w:pPr>
              <w:spacing w:line="360" w:lineRule="auto"/>
              <w:ind w:firstLine="470" w:firstLineChars="196"/>
              <w:jc w:val="left"/>
              <w:outlineLvl w:val="1"/>
              <w:rPr>
                <w:rFonts w:hAnsi="宋体" w:cs="宋体"/>
                <w:color w:val="auto"/>
              </w:rPr>
            </w:pPr>
          </w:p>
        </w:tc>
        <w:tc>
          <w:tcPr>
            <w:tcW w:w="1260" w:type="dxa"/>
            <w:vAlign w:val="center"/>
          </w:tcPr>
          <w:p>
            <w:pPr>
              <w:spacing w:line="360" w:lineRule="auto"/>
              <w:ind w:firstLine="470" w:firstLineChars="196"/>
              <w:jc w:val="left"/>
              <w:outlineLvl w:val="1"/>
              <w:rPr>
                <w:rFonts w:hAnsi="宋体" w:cs="宋体"/>
                <w:color w:val="auto"/>
              </w:rPr>
            </w:pPr>
          </w:p>
        </w:tc>
        <w:tc>
          <w:tcPr>
            <w:tcW w:w="1630" w:type="dxa"/>
            <w:gridSpan w:val="2"/>
            <w:tcBorders>
              <w:right w:val="single" w:color="auto" w:sz="4" w:space="0"/>
            </w:tcBorders>
            <w:vAlign w:val="center"/>
          </w:tcPr>
          <w:p>
            <w:pPr>
              <w:spacing w:line="360" w:lineRule="auto"/>
              <w:ind w:firstLine="470" w:firstLineChars="196"/>
              <w:jc w:val="left"/>
              <w:outlineLvl w:val="1"/>
              <w:rPr>
                <w:rFonts w:hAnsi="宋体" w:cs="宋体"/>
                <w:color w:val="auto"/>
              </w:rPr>
            </w:pPr>
          </w:p>
        </w:tc>
        <w:tc>
          <w:tcPr>
            <w:tcW w:w="992" w:type="dxa"/>
            <w:tcBorders>
              <w:left w:val="single" w:color="auto" w:sz="4" w:space="0"/>
            </w:tcBorders>
            <w:vAlign w:val="center"/>
          </w:tcPr>
          <w:p>
            <w:pPr>
              <w:spacing w:line="360" w:lineRule="auto"/>
              <w:ind w:firstLine="470" w:firstLineChars="196"/>
              <w:jc w:val="left"/>
              <w:outlineLvl w:val="1"/>
              <w:rPr>
                <w:rFonts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360" w:lineRule="auto"/>
              <w:ind w:firstLine="470" w:firstLineChars="196"/>
              <w:jc w:val="left"/>
              <w:outlineLvl w:val="1"/>
              <w:rPr>
                <w:rFonts w:hAnsi="宋体" w:cs="宋体"/>
                <w:color w:val="auto"/>
              </w:rPr>
            </w:pPr>
          </w:p>
        </w:tc>
        <w:tc>
          <w:tcPr>
            <w:tcW w:w="1440" w:type="dxa"/>
            <w:tcBorders>
              <w:right w:val="single" w:color="auto" w:sz="4" w:space="0"/>
            </w:tcBorders>
            <w:vAlign w:val="center"/>
          </w:tcPr>
          <w:p>
            <w:pPr>
              <w:spacing w:line="360" w:lineRule="auto"/>
              <w:ind w:firstLine="470" w:firstLineChars="196"/>
              <w:jc w:val="left"/>
              <w:outlineLvl w:val="1"/>
              <w:rPr>
                <w:rFonts w:hAnsi="宋体" w:cs="宋体"/>
                <w:color w:val="auto"/>
              </w:rPr>
            </w:pPr>
          </w:p>
        </w:tc>
        <w:tc>
          <w:tcPr>
            <w:tcW w:w="1320" w:type="dxa"/>
            <w:tcBorders>
              <w:left w:val="single" w:color="auto" w:sz="4" w:space="0"/>
            </w:tcBorders>
            <w:vAlign w:val="center"/>
          </w:tcPr>
          <w:p>
            <w:pPr>
              <w:spacing w:line="360" w:lineRule="auto"/>
              <w:ind w:firstLine="470" w:firstLineChars="196"/>
              <w:jc w:val="left"/>
              <w:outlineLvl w:val="1"/>
              <w:rPr>
                <w:rFonts w:hAnsi="宋体" w:cs="宋体"/>
                <w:color w:val="auto"/>
              </w:rPr>
            </w:pPr>
          </w:p>
        </w:tc>
        <w:tc>
          <w:tcPr>
            <w:tcW w:w="1161" w:type="dxa"/>
            <w:vAlign w:val="center"/>
          </w:tcPr>
          <w:p>
            <w:pPr>
              <w:spacing w:line="360" w:lineRule="auto"/>
              <w:ind w:firstLine="470" w:firstLineChars="196"/>
              <w:jc w:val="left"/>
              <w:outlineLvl w:val="1"/>
              <w:rPr>
                <w:rFonts w:hAnsi="宋体" w:cs="宋体"/>
                <w:color w:val="auto"/>
              </w:rPr>
            </w:pPr>
          </w:p>
        </w:tc>
        <w:tc>
          <w:tcPr>
            <w:tcW w:w="1260" w:type="dxa"/>
            <w:vAlign w:val="center"/>
          </w:tcPr>
          <w:p>
            <w:pPr>
              <w:spacing w:line="360" w:lineRule="auto"/>
              <w:ind w:firstLine="470" w:firstLineChars="196"/>
              <w:jc w:val="left"/>
              <w:outlineLvl w:val="1"/>
              <w:rPr>
                <w:rFonts w:hAnsi="宋体" w:cs="宋体"/>
                <w:color w:val="auto"/>
              </w:rPr>
            </w:pPr>
          </w:p>
        </w:tc>
        <w:tc>
          <w:tcPr>
            <w:tcW w:w="1630" w:type="dxa"/>
            <w:gridSpan w:val="2"/>
            <w:tcBorders>
              <w:right w:val="single" w:color="auto" w:sz="4" w:space="0"/>
            </w:tcBorders>
            <w:vAlign w:val="center"/>
          </w:tcPr>
          <w:p>
            <w:pPr>
              <w:spacing w:line="360" w:lineRule="auto"/>
              <w:ind w:firstLine="470" w:firstLineChars="196"/>
              <w:jc w:val="left"/>
              <w:outlineLvl w:val="1"/>
              <w:rPr>
                <w:rFonts w:hAnsi="宋体" w:cs="宋体"/>
                <w:color w:val="auto"/>
              </w:rPr>
            </w:pPr>
          </w:p>
        </w:tc>
        <w:tc>
          <w:tcPr>
            <w:tcW w:w="992" w:type="dxa"/>
            <w:tcBorders>
              <w:left w:val="single" w:color="auto" w:sz="4" w:space="0"/>
            </w:tcBorders>
            <w:vAlign w:val="center"/>
          </w:tcPr>
          <w:p>
            <w:pPr>
              <w:spacing w:line="360" w:lineRule="auto"/>
              <w:ind w:firstLine="470" w:firstLineChars="196"/>
              <w:jc w:val="left"/>
              <w:outlineLvl w:val="1"/>
              <w:rPr>
                <w:rFonts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vAlign w:val="center"/>
          </w:tcPr>
          <w:p>
            <w:pPr>
              <w:spacing w:line="360" w:lineRule="auto"/>
              <w:ind w:firstLine="470" w:firstLineChars="196"/>
              <w:jc w:val="left"/>
              <w:outlineLvl w:val="1"/>
              <w:rPr>
                <w:rFonts w:hAnsi="宋体" w:cs="宋体"/>
                <w:color w:val="auto"/>
              </w:rPr>
            </w:pPr>
          </w:p>
        </w:tc>
        <w:tc>
          <w:tcPr>
            <w:tcW w:w="1440" w:type="dxa"/>
            <w:tcBorders>
              <w:left w:val="single" w:color="auto" w:sz="4" w:space="0"/>
              <w:right w:val="single" w:color="auto" w:sz="4" w:space="0"/>
            </w:tcBorders>
            <w:vAlign w:val="center"/>
          </w:tcPr>
          <w:p>
            <w:pPr>
              <w:spacing w:line="360" w:lineRule="auto"/>
              <w:ind w:firstLine="470" w:firstLineChars="196"/>
              <w:jc w:val="left"/>
              <w:outlineLvl w:val="1"/>
              <w:rPr>
                <w:rFonts w:hAnsi="宋体" w:cs="宋体"/>
                <w:color w:val="auto"/>
              </w:rPr>
            </w:pPr>
          </w:p>
        </w:tc>
        <w:tc>
          <w:tcPr>
            <w:tcW w:w="1320" w:type="dxa"/>
            <w:tcBorders>
              <w:left w:val="single" w:color="auto" w:sz="4" w:space="0"/>
              <w:right w:val="single" w:color="auto" w:sz="4" w:space="0"/>
            </w:tcBorders>
            <w:vAlign w:val="center"/>
          </w:tcPr>
          <w:p>
            <w:pPr>
              <w:spacing w:line="360" w:lineRule="auto"/>
              <w:ind w:firstLine="470" w:firstLineChars="196"/>
              <w:jc w:val="left"/>
              <w:outlineLvl w:val="1"/>
              <w:rPr>
                <w:rFonts w:hAnsi="宋体" w:cs="宋体"/>
                <w:color w:val="auto"/>
              </w:rPr>
            </w:pPr>
          </w:p>
        </w:tc>
        <w:tc>
          <w:tcPr>
            <w:tcW w:w="1161" w:type="dxa"/>
            <w:tcBorders>
              <w:left w:val="single" w:color="auto" w:sz="4" w:space="0"/>
              <w:right w:val="single" w:color="auto" w:sz="4" w:space="0"/>
            </w:tcBorders>
            <w:vAlign w:val="center"/>
          </w:tcPr>
          <w:p>
            <w:pPr>
              <w:spacing w:line="360" w:lineRule="auto"/>
              <w:ind w:firstLine="470" w:firstLineChars="196"/>
              <w:jc w:val="left"/>
              <w:outlineLvl w:val="1"/>
              <w:rPr>
                <w:rFonts w:hAnsi="宋体" w:cs="宋体"/>
                <w:color w:val="auto"/>
              </w:rPr>
            </w:pPr>
          </w:p>
        </w:tc>
        <w:tc>
          <w:tcPr>
            <w:tcW w:w="1269" w:type="dxa"/>
            <w:gridSpan w:val="2"/>
            <w:tcBorders>
              <w:left w:val="single" w:color="auto" w:sz="4" w:space="0"/>
              <w:right w:val="single" w:color="auto" w:sz="4" w:space="0"/>
            </w:tcBorders>
            <w:vAlign w:val="center"/>
          </w:tcPr>
          <w:p>
            <w:pPr>
              <w:spacing w:line="360" w:lineRule="auto"/>
              <w:ind w:firstLine="470" w:firstLineChars="196"/>
              <w:jc w:val="left"/>
              <w:outlineLvl w:val="1"/>
              <w:rPr>
                <w:rFonts w:hAnsi="宋体" w:cs="宋体"/>
                <w:color w:val="auto"/>
              </w:rPr>
            </w:pPr>
          </w:p>
        </w:tc>
        <w:tc>
          <w:tcPr>
            <w:tcW w:w="1621" w:type="dxa"/>
            <w:tcBorders>
              <w:left w:val="single" w:color="auto" w:sz="4" w:space="0"/>
              <w:right w:val="single" w:color="auto" w:sz="4" w:space="0"/>
            </w:tcBorders>
            <w:vAlign w:val="center"/>
          </w:tcPr>
          <w:p>
            <w:pPr>
              <w:spacing w:line="360" w:lineRule="auto"/>
              <w:ind w:firstLine="470" w:firstLineChars="196"/>
              <w:jc w:val="left"/>
              <w:outlineLvl w:val="1"/>
              <w:rPr>
                <w:rFonts w:hAnsi="宋体" w:cs="宋体"/>
                <w:color w:val="auto"/>
              </w:rPr>
            </w:pPr>
          </w:p>
        </w:tc>
        <w:tc>
          <w:tcPr>
            <w:tcW w:w="992" w:type="dxa"/>
            <w:tcBorders>
              <w:left w:val="single" w:color="auto" w:sz="4" w:space="0"/>
            </w:tcBorders>
            <w:vAlign w:val="center"/>
          </w:tcPr>
          <w:p>
            <w:pPr>
              <w:spacing w:line="360" w:lineRule="auto"/>
              <w:ind w:firstLine="470" w:firstLineChars="196"/>
              <w:jc w:val="left"/>
              <w:outlineLvl w:val="1"/>
              <w:rPr>
                <w:rFonts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360" w:lineRule="auto"/>
              <w:ind w:firstLine="470" w:firstLineChars="196"/>
              <w:jc w:val="left"/>
              <w:outlineLvl w:val="1"/>
              <w:rPr>
                <w:rFonts w:hAnsi="宋体" w:cs="宋体"/>
                <w:color w:val="auto"/>
              </w:rPr>
            </w:pPr>
          </w:p>
        </w:tc>
        <w:tc>
          <w:tcPr>
            <w:tcW w:w="1440" w:type="dxa"/>
            <w:vAlign w:val="center"/>
          </w:tcPr>
          <w:p>
            <w:pPr>
              <w:spacing w:line="360" w:lineRule="auto"/>
              <w:ind w:firstLine="470" w:firstLineChars="196"/>
              <w:jc w:val="left"/>
              <w:outlineLvl w:val="1"/>
              <w:rPr>
                <w:rFonts w:hAnsi="宋体" w:cs="宋体"/>
                <w:color w:val="auto"/>
              </w:rPr>
            </w:pPr>
          </w:p>
        </w:tc>
        <w:tc>
          <w:tcPr>
            <w:tcW w:w="1320" w:type="dxa"/>
            <w:vAlign w:val="center"/>
          </w:tcPr>
          <w:p>
            <w:pPr>
              <w:spacing w:line="360" w:lineRule="auto"/>
              <w:ind w:firstLine="470" w:firstLineChars="196"/>
              <w:jc w:val="left"/>
              <w:outlineLvl w:val="1"/>
              <w:rPr>
                <w:rFonts w:hAnsi="宋体" w:cs="宋体"/>
                <w:color w:val="auto"/>
              </w:rPr>
            </w:pPr>
          </w:p>
        </w:tc>
        <w:tc>
          <w:tcPr>
            <w:tcW w:w="1161" w:type="dxa"/>
            <w:vAlign w:val="center"/>
          </w:tcPr>
          <w:p>
            <w:pPr>
              <w:spacing w:line="360" w:lineRule="auto"/>
              <w:ind w:firstLine="470" w:firstLineChars="196"/>
              <w:jc w:val="left"/>
              <w:outlineLvl w:val="1"/>
              <w:rPr>
                <w:rFonts w:hAnsi="宋体" w:cs="宋体"/>
                <w:color w:val="auto"/>
              </w:rPr>
            </w:pPr>
          </w:p>
        </w:tc>
        <w:tc>
          <w:tcPr>
            <w:tcW w:w="1269" w:type="dxa"/>
            <w:gridSpan w:val="2"/>
            <w:tcBorders>
              <w:right w:val="single" w:color="auto" w:sz="4" w:space="0"/>
            </w:tcBorders>
            <w:vAlign w:val="center"/>
          </w:tcPr>
          <w:p>
            <w:pPr>
              <w:spacing w:line="360" w:lineRule="auto"/>
              <w:ind w:firstLine="470" w:firstLineChars="196"/>
              <w:jc w:val="left"/>
              <w:outlineLvl w:val="1"/>
              <w:rPr>
                <w:rFonts w:hAnsi="宋体" w:cs="宋体"/>
                <w:color w:val="auto"/>
              </w:rPr>
            </w:pPr>
          </w:p>
        </w:tc>
        <w:tc>
          <w:tcPr>
            <w:tcW w:w="1621" w:type="dxa"/>
            <w:tcBorders>
              <w:left w:val="single" w:color="auto" w:sz="4" w:space="0"/>
              <w:right w:val="single" w:color="auto" w:sz="4" w:space="0"/>
            </w:tcBorders>
            <w:vAlign w:val="center"/>
          </w:tcPr>
          <w:p>
            <w:pPr>
              <w:spacing w:line="360" w:lineRule="auto"/>
              <w:ind w:firstLine="470" w:firstLineChars="196"/>
              <w:jc w:val="left"/>
              <w:outlineLvl w:val="1"/>
              <w:rPr>
                <w:rFonts w:hAnsi="宋体" w:cs="宋体"/>
                <w:color w:val="auto"/>
              </w:rPr>
            </w:pPr>
          </w:p>
        </w:tc>
        <w:tc>
          <w:tcPr>
            <w:tcW w:w="992" w:type="dxa"/>
            <w:tcBorders>
              <w:left w:val="single" w:color="auto" w:sz="4" w:space="0"/>
            </w:tcBorders>
            <w:vAlign w:val="center"/>
          </w:tcPr>
          <w:p>
            <w:pPr>
              <w:spacing w:line="360" w:lineRule="auto"/>
              <w:ind w:firstLine="470" w:firstLineChars="196"/>
              <w:jc w:val="left"/>
              <w:outlineLvl w:val="1"/>
              <w:rPr>
                <w:rFonts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360" w:lineRule="auto"/>
              <w:ind w:firstLine="470" w:firstLineChars="196"/>
              <w:jc w:val="left"/>
              <w:outlineLvl w:val="1"/>
              <w:rPr>
                <w:rFonts w:hAnsi="宋体" w:cs="宋体"/>
                <w:color w:val="auto"/>
              </w:rPr>
            </w:pPr>
          </w:p>
        </w:tc>
        <w:tc>
          <w:tcPr>
            <w:tcW w:w="1440" w:type="dxa"/>
            <w:vAlign w:val="center"/>
          </w:tcPr>
          <w:p>
            <w:pPr>
              <w:spacing w:line="360" w:lineRule="auto"/>
              <w:ind w:firstLine="470" w:firstLineChars="196"/>
              <w:jc w:val="left"/>
              <w:outlineLvl w:val="1"/>
              <w:rPr>
                <w:rFonts w:hAnsi="宋体" w:cs="宋体"/>
                <w:color w:val="auto"/>
              </w:rPr>
            </w:pPr>
          </w:p>
        </w:tc>
        <w:tc>
          <w:tcPr>
            <w:tcW w:w="1320" w:type="dxa"/>
            <w:vAlign w:val="center"/>
          </w:tcPr>
          <w:p>
            <w:pPr>
              <w:spacing w:line="360" w:lineRule="auto"/>
              <w:ind w:firstLine="470" w:firstLineChars="196"/>
              <w:jc w:val="left"/>
              <w:outlineLvl w:val="1"/>
              <w:rPr>
                <w:rFonts w:hAnsi="宋体" w:cs="宋体"/>
                <w:color w:val="auto"/>
              </w:rPr>
            </w:pPr>
          </w:p>
        </w:tc>
        <w:tc>
          <w:tcPr>
            <w:tcW w:w="1161" w:type="dxa"/>
            <w:vAlign w:val="center"/>
          </w:tcPr>
          <w:p>
            <w:pPr>
              <w:spacing w:line="360" w:lineRule="auto"/>
              <w:ind w:firstLine="470" w:firstLineChars="196"/>
              <w:jc w:val="left"/>
              <w:outlineLvl w:val="1"/>
              <w:rPr>
                <w:rFonts w:hAnsi="宋体" w:cs="宋体"/>
                <w:color w:val="auto"/>
              </w:rPr>
            </w:pPr>
          </w:p>
        </w:tc>
        <w:tc>
          <w:tcPr>
            <w:tcW w:w="1269" w:type="dxa"/>
            <w:gridSpan w:val="2"/>
            <w:tcBorders>
              <w:right w:val="single" w:color="auto" w:sz="4" w:space="0"/>
            </w:tcBorders>
            <w:vAlign w:val="center"/>
          </w:tcPr>
          <w:p>
            <w:pPr>
              <w:spacing w:line="360" w:lineRule="auto"/>
              <w:ind w:firstLine="470" w:firstLineChars="196"/>
              <w:jc w:val="left"/>
              <w:outlineLvl w:val="1"/>
              <w:rPr>
                <w:rFonts w:hAnsi="宋体" w:cs="宋体"/>
                <w:color w:val="auto"/>
              </w:rPr>
            </w:pPr>
          </w:p>
        </w:tc>
        <w:tc>
          <w:tcPr>
            <w:tcW w:w="1621" w:type="dxa"/>
            <w:tcBorders>
              <w:left w:val="single" w:color="auto" w:sz="4" w:space="0"/>
              <w:right w:val="single" w:color="auto" w:sz="4" w:space="0"/>
            </w:tcBorders>
            <w:vAlign w:val="center"/>
          </w:tcPr>
          <w:p>
            <w:pPr>
              <w:spacing w:line="360" w:lineRule="auto"/>
              <w:ind w:firstLine="470" w:firstLineChars="196"/>
              <w:jc w:val="left"/>
              <w:outlineLvl w:val="1"/>
              <w:rPr>
                <w:rFonts w:hAnsi="宋体" w:cs="宋体"/>
                <w:color w:val="auto"/>
              </w:rPr>
            </w:pPr>
          </w:p>
        </w:tc>
        <w:tc>
          <w:tcPr>
            <w:tcW w:w="992" w:type="dxa"/>
            <w:tcBorders>
              <w:left w:val="single" w:color="auto" w:sz="4" w:space="0"/>
            </w:tcBorders>
            <w:vAlign w:val="center"/>
          </w:tcPr>
          <w:p>
            <w:pPr>
              <w:spacing w:line="360" w:lineRule="auto"/>
              <w:ind w:firstLine="470" w:firstLineChars="196"/>
              <w:jc w:val="left"/>
              <w:outlineLvl w:val="1"/>
              <w:rPr>
                <w:rFonts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360" w:lineRule="auto"/>
              <w:ind w:firstLine="470" w:firstLineChars="196"/>
              <w:jc w:val="left"/>
              <w:outlineLvl w:val="1"/>
              <w:rPr>
                <w:rFonts w:hAnsi="宋体" w:cs="宋体"/>
                <w:color w:val="auto"/>
              </w:rPr>
            </w:pPr>
          </w:p>
        </w:tc>
        <w:tc>
          <w:tcPr>
            <w:tcW w:w="1440" w:type="dxa"/>
            <w:vAlign w:val="center"/>
          </w:tcPr>
          <w:p>
            <w:pPr>
              <w:spacing w:line="360" w:lineRule="auto"/>
              <w:ind w:firstLine="470" w:firstLineChars="196"/>
              <w:jc w:val="left"/>
              <w:outlineLvl w:val="1"/>
              <w:rPr>
                <w:rFonts w:hAnsi="宋体" w:cs="宋体"/>
                <w:color w:val="auto"/>
              </w:rPr>
            </w:pPr>
          </w:p>
        </w:tc>
        <w:tc>
          <w:tcPr>
            <w:tcW w:w="1320" w:type="dxa"/>
            <w:vAlign w:val="center"/>
          </w:tcPr>
          <w:p>
            <w:pPr>
              <w:spacing w:line="360" w:lineRule="auto"/>
              <w:ind w:firstLine="470" w:firstLineChars="196"/>
              <w:jc w:val="left"/>
              <w:outlineLvl w:val="1"/>
              <w:rPr>
                <w:rFonts w:hAnsi="宋体" w:cs="宋体"/>
                <w:color w:val="auto"/>
              </w:rPr>
            </w:pPr>
          </w:p>
        </w:tc>
        <w:tc>
          <w:tcPr>
            <w:tcW w:w="1161" w:type="dxa"/>
            <w:vAlign w:val="center"/>
          </w:tcPr>
          <w:p>
            <w:pPr>
              <w:spacing w:line="360" w:lineRule="auto"/>
              <w:ind w:firstLine="470" w:firstLineChars="196"/>
              <w:jc w:val="left"/>
              <w:outlineLvl w:val="1"/>
              <w:rPr>
                <w:rFonts w:hAnsi="宋体" w:cs="宋体"/>
                <w:color w:val="auto"/>
              </w:rPr>
            </w:pPr>
          </w:p>
        </w:tc>
        <w:tc>
          <w:tcPr>
            <w:tcW w:w="1269" w:type="dxa"/>
            <w:gridSpan w:val="2"/>
            <w:tcBorders>
              <w:right w:val="single" w:color="auto" w:sz="4" w:space="0"/>
            </w:tcBorders>
            <w:vAlign w:val="center"/>
          </w:tcPr>
          <w:p>
            <w:pPr>
              <w:spacing w:line="360" w:lineRule="auto"/>
              <w:ind w:firstLine="470" w:firstLineChars="196"/>
              <w:jc w:val="left"/>
              <w:outlineLvl w:val="1"/>
              <w:rPr>
                <w:rFonts w:hAnsi="宋体" w:cs="宋体"/>
                <w:color w:val="auto"/>
              </w:rPr>
            </w:pPr>
          </w:p>
        </w:tc>
        <w:tc>
          <w:tcPr>
            <w:tcW w:w="1621" w:type="dxa"/>
            <w:tcBorders>
              <w:left w:val="single" w:color="auto" w:sz="4" w:space="0"/>
              <w:right w:val="single" w:color="auto" w:sz="4" w:space="0"/>
            </w:tcBorders>
            <w:vAlign w:val="center"/>
          </w:tcPr>
          <w:p>
            <w:pPr>
              <w:spacing w:line="360" w:lineRule="auto"/>
              <w:ind w:firstLine="470" w:firstLineChars="196"/>
              <w:jc w:val="left"/>
              <w:outlineLvl w:val="1"/>
              <w:rPr>
                <w:rFonts w:hAnsi="宋体" w:cs="宋体"/>
                <w:color w:val="auto"/>
              </w:rPr>
            </w:pPr>
          </w:p>
        </w:tc>
        <w:tc>
          <w:tcPr>
            <w:tcW w:w="992" w:type="dxa"/>
            <w:tcBorders>
              <w:left w:val="single" w:color="auto" w:sz="4" w:space="0"/>
            </w:tcBorders>
            <w:vAlign w:val="center"/>
          </w:tcPr>
          <w:p>
            <w:pPr>
              <w:spacing w:line="360" w:lineRule="auto"/>
              <w:ind w:firstLine="470" w:firstLineChars="196"/>
              <w:jc w:val="left"/>
              <w:outlineLvl w:val="1"/>
              <w:rPr>
                <w:rFonts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vAlign w:val="center"/>
          </w:tcPr>
          <w:p>
            <w:pPr>
              <w:spacing w:line="360" w:lineRule="auto"/>
              <w:ind w:firstLine="470" w:firstLineChars="196"/>
              <w:jc w:val="left"/>
              <w:outlineLvl w:val="1"/>
              <w:rPr>
                <w:rFonts w:hAnsi="宋体" w:cs="宋体"/>
                <w:color w:val="auto"/>
              </w:rPr>
            </w:pPr>
          </w:p>
        </w:tc>
        <w:tc>
          <w:tcPr>
            <w:tcW w:w="1440" w:type="dxa"/>
            <w:tcBorders>
              <w:bottom w:val="single" w:color="auto" w:sz="4" w:space="0"/>
            </w:tcBorders>
            <w:vAlign w:val="center"/>
          </w:tcPr>
          <w:p>
            <w:pPr>
              <w:spacing w:line="360" w:lineRule="auto"/>
              <w:ind w:firstLine="470" w:firstLineChars="196"/>
              <w:jc w:val="left"/>
              <w:outlineLvl w:val="1"/>
              <w:rPr>
                <w:rFonts w:hAnsi="宋体" w:cs="宋体"/>
                <w:color w:val="auto"/>
              </w:rPr>
            </w:pPr>
          </w:p>
        </w:tc>
        <w:tc>
          <w:tcPr>
            <w:tcW w:w="1320" w:type="dxa"/>
            <w:tcBorders>
              <w:bottom w:val="single" w:color="auto" w:sz="4" w:space="0"/>
            </w:tcBorders>
            <w:vAlign w:val="center"/>
          </w:tcPr>
          <w:p>
            <w:pPr>
              <w:spacing w:line="360" w:lineRule="auto"/>
              <w:ind w:firstLine="470" w:firstLineChars="196"/>
              <w:jc w:val="left"/>
              <w:outlineLvl w:val="1"/>
              <w:rPr>
                <w:rFonts w:hAnsi="宋体" w:cs="宋体"/>
                <w:color w:val="auto"/>
              </w:rPr>
            </w:pPr>
          </w:p>
        </w:tc>
        <w:tc>
          <w:tcPr>
            <w:tcW w:w="1161" w:type="dxa"/>
            <w:tcBorders>
              <w:bottom w:val="single" w:color="auto" w:sz="4" w:space="0"/>
            </w:tcBorders>
            <w:vAlign w:val="center"/>
          </w:tcPr>
          <w:p>
            <w:pPr>
              <w:spacing w:line="360" w:lineRule="auto"/>
              <w:ind w:firstLine="470" w:firstLineChars="196"/>
              <w:jc w:val="left"/>
              <w:outlineLvl w:val="1"/>
              <w:rPr>
                <w:rFonts w:hAnsi="宋体" w:cs="宋体"/>
                <w:color w:val="auto"/>
              </w:rPr>
            </w:pPr>
          </w:p>
        </w:tc>
        <w:tc>
          <w:tcPr>
            <w:tcW w:w="1269" w:type="dxa"/>
            <w:gridSpan w:val="2"/>
            <w:tcBorders>
              <w:bottom w:val="single" w:color="auto" w:sz="4" w:space="0"/>
              <w:right w:val="single" w:color="auto" w:sz="4" w:space="0"/>
            </w:tcBorders>
            <w:vAlign w:val="center"/>
          </w:tcPr>
          <w:p>
            <w:pPr>
              <w:spacing w:line="360" w:lineRule="auto"/>
              <w:ind w:firstLine="470" w:firstLineChars="196"/>
              <w:jc w:val="left"/>
              <w:outlineLvl w:val="1"/>
              <w:rPr>
                <w:rFonts w:hAnsi="宋体" w:cs="宋体"/>
                <w:color w:val="auto"/>
              </w:rPr>
            </w:pPr>
          </w:p>
        </w:tc>
        <w:tc>
          <w:tcPr>
            <w:tcW w:w="1621" w:type="dxa"/>
            <w:tcBorders>
              <w:left w:val="single" w:color="auto" w:sz="4" w:space="0"/>
              <w:bottom w:val="single" w:color="auto" w:sz="4" w:space="0"/>
              <w:right w:val="single" w:color="auto" w:sz="4" w:space="0"/>
            </w:tcBorders>
            <w:vAlign w:val="center"/>
          </w:tcPr>
          <w:p>
            <w:pPr>
              <w:spacing w:line="360" w:lineRule="auto"/>
              <w:ind w:firstLine="470" w:firstLineChars="196"/>
              <w:jc w:val="left"/>
              <w:outlineLvl w:val="1"/>
              <w:rPr>
                <w:rFonts w:hAnsi="宋体" w:cs="宋体"/>
                <w:color w:val="auto"/>
              </w:rPr>
            </w:pPr>
          </w:p>
        </w:tc>
        <w:tc>
          <w:tcPr>
            <w:tcW w:w="992" w:type="dxa"/>
            <w:tcBorders>
              <w:left w:val="single" w:color="auto" w:sz="4" w:space="0"/>
              <w:bottom w:val="single" w:color="auto" w:sz="4" w:space="0"/>
            </w:tcBorders>
            <w:vAlign w:val="center"/>
          </w:tcPr>
          <w:p>
            <w:pPr>
              <w:spacing w:line="360" w:lineRule="auto"/>
              <w:ind w:firstLine="470" w:firstLineChars="196"/>
              <w:jc w:val="left"/>
              <w:outlineLvl w:val="1"/>
              <w:rPr>
                <w:rFonts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vAlign w:val="center"/>
          </w:tcPr>
          <w:p>
            <w:pPr>
              <w:spacing w:line="360" w:lineRule="auto"/>
              <w:ind w:firstLine="470" w:firstLineChars="196"/>
              <w:jc w:val="left"/>
              <w:outlineLvl w:val="1"/>
              <w:rPr>
                <w:rFonts w:hAnsi="宋体" w:cs="宋体"/>
                <w:color w:val="auto"/>
              </w:rPr>
            </w:pPr>
          </w:p>
        </w:tc>
        <w:tc>
          <w:tcPr>
            <w:tcW w:w="1440" w:type="dxa"/>
            <w:tcBorders>
              <w:top w:val="single" w:color="auto" w:sz="4" w:space="0"/>
              <w:bottom w:val="single" w:color="auto" w:sz="4" w:space="0"/>
            </w:tcBorders>
            <w:vAlign w:val="center"/>
          </w:tcPr>
          <w:p>
            <w:pPr>
              <w:spacing w:line="360" w:lineRule="auto"/>
              <w:ind w:firstLine="470" w:firstLineChars="196"/>
              <w:jc w:val="left"/>
              <w:outlineLvl w:val="1"/>
              <w:rPr>
                <w:rFonts w:hAnsi="宋体" w:cs="宋体"/>
                <w:color w:val="auto"/>
              </w:rPr>
            </w:pPr>
          </w:p>
        </w:tc>
        <w:tc>
          <w:tcPr>
            <w:tcW w:w="1320" w:type="dxa"/>
            <w:tcBorders>
              <w:top w:val="single" w:color="auto" w:sz="4" w:space="0"/>
              <w:bottom w:val="single" w:color="auto" w:sz="4" w:space="0"/>
            </w:tcBorders>
            <w:vAlign w:val="center"/>
          </w:tcPr>
          <w:p>
            <w:pPr>
              <w:spacing w:line="360" w:lineRule="auto"/>
              <w:ind w:firstLine="470" w:firstLineChars="196"/>
              <w:jc w:val="left"/>
              <w:outlineLvl w:val="1"/>
              <w:rPr>
                <w:rFonts w:hAnsi="宋体" w:cs="宋体"/>
                <w:color w:val="auto"/>
              </w:rPr>
            </w:pPr>
          </w:p>
        </w:tc>
        <w:tc>
          <w:tcPr>
            <w:tcW w:w="1161" w:type="dxa"/>
            <w:tcBorders>
              <w:top w:val="single" w:color="auto" w:sz="4" w:space="0"/>
              <w:bottom w:val="single" w:color="auto" w:sz="4" w:space="0"/>
            </w:tcBorders>
            <w:vAlign w:val="center"/>
          </w:tcPr>
          <w:p>
            <w:pPr>
              <w:spacing w:line="360" w:lineRule="auto"/>
              <w:ind w:firstLine="470" w:firstLineChars="196"/>
              <w:jc w:val="left"/>
              <w:outlineLvl w:val="1"/>
              <w:rPr>
                <w:rFonts w:hAnsi="宋体" w:cs="宋体"/>
                <w:color w:val="auto"/>
              </w:rPr>
            </w:pPr>
          </w:p>
        </w:tc>
        <w:tc>
          <w:tcPr>
            <w:tcW w:w="1269" w:type="dxa"/>
            <w:gridSpan w:val="2"/>
            <w:tcBorders>
              <w:top w:val="single" w:color="auto" w:sz="4" w:space="0"/>
              <w:bottom w:val="single" w:color="auto" w:sz="4" w:space="0"/>
              <w:right w:val="single" w:color="auto" w:sz="4" w:space="0"/>
            </w:tcBorders>
            <w:vAlign w:val="center"/>
          </w:tcPr>
          <w:p>
            <w:pPr>
              <w:spacing w:line="360" w:lineRule="auto"/>
              <w:ind w:firstLine="470" w:firstLineChars="196"/>
              <w:jc w:val="left"/>
              <w:outlineLvl w:val="1"/>
              <w:rPr>
                <w:rFonts w:hAnsi="宋体" w:cs="宋体"/>
                <w:color w:val="auto"/>
              </w:rPr>
            </w:pPr>
          </w:p>
        </w:tc>
        <w:tc>
          <w:tcPr>
            <w:tcW w:w="162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70" w:firstLineChars="196"/>
              <w:jc w:val="left"/>
              <w:outlineLvl w:val="1"/>
              <w:rPr>
                <w:rFonts w:hAnsi="宋体" w:cs="宋体"/>
                <w:color w:val="auto"/>
              </w:rPr>
            </w:pPr>
          </w:p>
        </w:tc>
        <w:tc>
          <w:tcPr>
            <w:tcW w:w="992" w:type="dxa"/>
            <w:tcBorders>
              <w:top w:val="single" w:color="auto" w:sz="4" w:space="0"/>
              <w:left w:val="single" w:color="auto" w:sz="4" w:space="0"/>
              <w:bottom w:val="single" w:color="auto" w:sz="4" w:space="0"/>
            </w:tcBorders>
            <w:vAlign w:val="center"/>
          </w:tcPr>
          <w:p>
            <w:pPr>
              <w:spacing w:line="360" w:lineRule="auto"/>
              <w:ind w:firstLine="470" w:firstLineChars="196"/>
              <w:jc w:val="left"/>
              <w:outlineLvl w:val="1"/>
              <w:rPr>
                <w:rFonts w:hAnsi="宋体" w:cs="宋体"/>
                <w:color w:val="auto"/>
              </w:rPr>
            </w:pPr>
          </w:p>
        </w:tc>
      </w:tr>
    </w:tbl>
    <w:p>
      <w:pPr>
        <w:spacing w:line="360" w:lineRule="auto"/>
        <w:ind w:firstLine="470" w:firstLineChars="196"/>
        <w:jc w:val="left"/>
        <w:outlineLvl w:val="1"/>
        <w:rPr>
          <w:rFonts w:hAnsi="宋体" w:cs="宋体"/>
          <w:color w:val="auto"/>
        </w:rPr>
      </w:pPr>
    </w:p>
    <w:p>
      <w:pPr>
        <w:tabs>
          <w:tab w:val="left" w:pos="555"/>
          <w:tab w:val="left" w:pos="2214"/>
          <w:tab w:val="left" w:pos="3774"/>
          <w:tab w:val="left" w:pos="4854"/>
          <w:tab w:val="left" w:pos="5934"/>
          <w:tab w:val="left" w:pos="7014"/>
          <w:tab w:val="left" w:pos="8214"/>
          <w:tab w:val="left" w:pos="10134"/>
          <w:tab w:val="left" w:pos="11124"/>
        </w:tabs>
        <w:spacing w:line="360" w:lineRule="auto"/>
        <w:ind w:left="410" w:leftChars="171" w:firstLine="360" w:firstLineChars="150"/>
        <w:rPr>
          <w:rFonts w:hAnsi="宋体" w:cs="宋体"/>
          <w:color w:val="auto"/>
        </w:rPr>
      </w:pPr>
      <w:r>
        <w:rPr>
          <w:rFonts w:hint="eastAsia" w:hAnsi="宋体" w:cs="宋体"/>
          <w:color w:val="auto"/>
        </w:rPr>
        <w:t>注：业绩须提供有关书面证明材料。</w:t>
      </w:r>
    </w:p>
    <w:p>
      <w:pPr>
        <w:spacing w:line="360" w:lineRule="auto"/>
        <w:ind w:firstLine="470" w:firstLineChars="196"/>
        <w:jc w:val="left"/>
        <w:outlineLvl w:val="1"/>
        <w:rPr>
          <w:rFonts w:hAnsi="宋体" w:cs="宋体"/>
          <w:color w:val="auto"/>
        </w:rPr>
      </w:pPr>
    </w:p>
    <w:p>
      <w:pPr>
        <w:spacing w:line="360" w:lineRule="auto"/>
        <w:ind w:firstLine="470" w:firstLineChars="196"/>
        <w:jc w:val="left"/>
        <w:outlineLvl w:val="1"/>
        <w:rPr>
          <w:rFonts w:hAnsi="宋体" w:cs="宋体"/>
          <w:color w:val="auto"/>
        </w:rPr>
      </w:pPr>
    </w:p>
    <w:p>
      <w:pPr>
        <w:pStyle w:val="12"/>
        <w:spacing w:line="360" w:lineRule="auto"/>
        <w:rPr>
          <w:rFonts w:hAnsi="宋体" w:cs="宋体"/>
        </w:rPr>
      </w:pPr>
    </w:p>
    <w:p>
      <w:pPr>
        <w:spacing w:line="360" w:lineRule="auto"/>
        <w:ind w:firstLine="470" w:firstLineChars="196"/>
        <w:jc w:val="left"/>
        <w:outlineLvl w:val="1"/>
        <w:rPr>
          <w:rFonts w:hAnsi="宋体" w:cs="宋体"/>
          <w:color w:val="auto"/>
        </w:rPr>
      </w:pPr>
      <w:r>
        <w:rPr>
          <w:rFonts w:hint="eastAsia" w:hAnsi="宋体" w:cs="宋体"/>
          <w:color w:val="auto"/>
        </w:rPr>
        <w:t>投标人名称：（盖公章）</w:t>
      </w:r>
    </w:p>
    <w:p>
      <w:pPr>
        <w:spacing w:line="360" w:lineRule="auto"/>
        <w:ind w:firstLine="470" w:firstLineChars="196"/>
        <w:jc w:val="left"/>
        <w:outlineLvl w:val="1"/>
        <w:rPr>
          <w:rFonts w:hAnsi="宋体" w:cs="宋体"/>
          <w:color w:val="auto"/>
        </w:rPr>
      </w:pPr>
      <w:r>
        <w:rPr>
          <w:rFonts w:hint="eastAsia" w:hAnsi="宋体" w:cs="宋体"/>
          <w:color w:val="auto"/>
        </w:rPr>
        <w:t>法定代表人或委托代理人（签字或盖章）：</w:t>
      </w:r>
    </w:p>
    <w:p>
      <w:pPr>
        <w:spacing w:line="360" w:lineRule="auto"/>
        <w:ind w:firstLine="470" w:firstLineChars="196"/>
        <w:jc w:val="left"/>
        <w:outlineLvl w:val="1"/>
        <w:rPr>
          <w:rFonts w:hAnsi="宋体" w:cs="宋体"/>
          <w:color w:val="auto"/>
        </w:rPr>
      </w:pPr>
      <w:r>
        <w:rPr>
          <w:rFonts w:hint="eastAsia" w:hAnsi="宋体" w:cs="宋体"/>
          <w:color w:val="auto"/>
        </w:rPr>
        <w:t>日 期:</w:t>
      </w:r>
    </w:p>
    <w:p>
      <w:pPr>
        <w:spacing w:line="360" w:lineRule="auto"/>
        <w:jc w:val="left"/>
        <w:outlineLvl w:val="1"/>
        <w:rPr>
          <w:rFonts w:hAnsi="宋体" w:cs="宋体"/>
          <w:b/>
          <w:color w:val="auto"/>
        </w:rPr>
      </w:pPr>
      <w:bookmarkStart w:id="192" w:name="_Toc217446090"/>
    </w:p>
    <w:p>
      <w:pPr>
        <w:spacing w:line="360" w:lineRule="auto"/>
        <w:rPr>
          <w:rFonts w:hAnsi="宋体" w:cs="宋体"/>
          <w:b/>
          <w:color w:val="auto"/>
          <w:sz w:val="32"/>
          <w:szCs w:val="32"/>
        </w:rPr>
      </w:pPr>
      <w:r>
        <w:rPr>
          <w:rFonts w:hint="eastAsia" w:hAnsi="宋体" w:cs="宋体"/>
          <w:b/>
          <w:color w:val="auto"/>
          <w:sz w:val="32"/>
          <w:szCs w:val="32"/>
        </w:rPr>
        <w:br w:type="page"/>
      </w:r>
      <w:r>
        <w:rPr>
          <w:rFonts w:hint="eastAsia" w:hAnsi="宋体" w:cs="宋体"/>
          <w:b/>
          <w:color w:val="auto"/>
          <w:sz w:val="32"/>
          <w:szCs w:val="32"/>
        </w:rPr>
        <w:t>格式2-9</w:t>
      </w:r>
    </w:p>
    <w:p>
      <w:pPr>
        <w:spacing w:line="360" w:lineRule="auto"/>
        <w:jc w:val="center"/>
        <w:outlineLvl w:val="1"/>
        <w:rPr>
          <w:rFonts w:hAnsi="宋体" w:cs="宋体"/>
          <w:b/>
          <w:color w:val="auto"/>
          <w:sz w:val="32"/>
          <w:szCs w:val="32"/>
        </w:rPr>
      </w:pPr>
      <w:r>
        <w:rPr>
          <w:rFonts w:hint="eastAsia" w:hAnsi="宋体" w:cs="宋体"/>
          <w:b/>
          <w:color w:val="auto"/>
          <w:sz w:val="32"/>
          <w:szCs w:val="32"/>
        </w:rPr>
        <w:t>八、投标产品技术参数</w:t>
      </w:r>
      <w:bookmarkEnd w:id="192"/>
      <w:r>
        <w:rPr>
          <w:rFonts w:hint="eastAsia" w:hAnsi="宋体" w:cs="宋体"/>
          <w:b/>
          <w:color w:val="auto"/>
          <w:sz w:val="32"/>
          <w:szCs w:val="32"/>
        </w:rPr>
        <w:t>应答表</w:t>
      </w:r>
    </w:p>
    <w:p>
      <w:pPr>
        <w:spacing w:line="360" w:lineRule="auto"/>
        <w:ind w:firstLine="472" w:firstLineChars="196"/>
        <w:jc w:val="left"/>
        <w:outlineLvl w:val="1"/>
        <w:rPr>
          <w:rFonts w:hAnsi="宋体" w:cs="宋体"/>
          <w:b/>
          <w:color w:val="auto"/>
        </w:rPr>
      </w:pPr>
    </w:p>
    <w:p>
      <w:pPr>
        <w:pStyle w:val="12"/>
        <w:rPr>
          <w:rFonts w:hAnsi="宋体" w:cs="宋体"/>
          <w:sz w:val="24"/>
        </w:rPr>
      </w:pPr>
      <w:r>
        <w:rPr>
          <w:rFonts w:hint="eastAsia" w:hAnsi="宋体" w:cs="宋体"/>
          <w:sz w:val="24"/>
        </w:rPr>
        <w:t>项目编号/包号：</w:t>
      </w:r>
    </w:p>
    <w:tbl>
      <w:tblPr>
        <w:tblStyle w:val="33"/>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1522"/>
        <w:gridCol w:w="1856"/>
        <w:gridCol w:w="2294"/>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spacing w:line="360" w:lineRule="auto"/>
              <w:jc w:val="center"/>
              <w:outlineLvl w:val="1"/>
              <w:rPr>
                <w:rFonts w:hAnsi="宋体" w:cs="宋体"/>
                <w:color w:val="auto"/>
              </w:rPr>
            </w:pPr>
            <w:r>
              <w:rPr>
                <w:rFonts w:hint="eastAsia" w:hAnsi="宋体" w:cs="宋体"/>
                <w:color w:val="auto"/>
              </w:rPr>
              <w:t>序号</w:t>
            </w:r>
          </w:p>
        </w:tc>
        <w:tc>
          <w:tcPr>
            <w:tcW w:w="1522" w:type="dxa"/>
            <w:vAlign w:val="center"/>
          </w:tcPr>
          <w:p>
            <w:pPr>
              <w:spacing w:line="360" w:lineRule="auto"/>
              <w:jc w:val="center"/>
              <w:outlineLvl w:val="1"/>
              <w:rPr>
                <w:rFonts w:hAnsi="宋体" w:cs="宋体"/>
                <w:color w:val="auto"/>
              </w:rPr>
            </w:pPr>
            <w:r>
              <w:rPr>
                <w:rFonts w:hint="eastAsia" w:hAnsi="宋体" w:cs="宋体"/>
                <w:color w:val="auto"/>
              </w:rPr>
              <w:t>货物（设备）名称</w:t>
            </w:r>
          </w:p>
        </w:tc>
        <w:tc>
          <w:tcPr>
            <w:tcW w:w="1856" w:type="dxa"/>
            <w:vAlign w:val="center"/>
          </w:tcPr>
          <w:p>
            <w:pPr>
              <w:spacing w:line="360" w:lineRule="auto"/>
              <w:jc w:val="center"/>
              <w:outlineLvl w:val="1"/>
              <w:rPr>
                <w:rFonts w:hAnsi="宋体" w:cs="宋体"/>
                <w:color w:val="auto"/>
              </w:rPr>
            </w:pPr>
            <w:r>
              <w:rPr>
                <w:rFonts w:hint="eastAsia" w:hAnsi="宋体" w:cs="宋体"/>
                <w:color w:val="auto"/>
              </w:rPr>
              <w:t>招标文件要求</w:t>
            </w:r>
          </w:p>
        </w:tc>
        <w:tc>
          <w:tcPr>
            <w:tcW w:w="2294" w:type="dxa"/>
            <w:vAlign w:val="center"/>
          </w:tcPr>
          <w:p>
            <w:pPr>
              <w:spacing w:line="360" w:lineRule="auto"/>
              <w:jc w:val="center"/>
              <w:outlineLvl w:val="1"/>
              <w:rPr>
                <w:rFonts w:hAnsi="宋体" w:cs="宋体"/>
                <w:color w:val="auto"/>
              </w:rPr>
            </w:pPr>
            <w:r>
              <w:rPr>
                <w:rFonts w:hint="eastAsia" w:hAnsi="宋体" w:cs="宋体"/>
                <w:color w:val="auto"/>
              </w:rPr>
              <w:t>投标产品技术参数</w:t>
            </w:r>
          </w:p>
        </w:tc>
        <w:tc>
          <w:tcPr>
            <w:tcW w:w="1758" w:type="dxa"/>
            <w:vAlign w:val="center"/>
          </w:tcPr>
          <w:p>
            <w:pPr>
              <w:spacing w:line="360" w:lineRule="auto"/>
              <w:jc w:val="center"/>
              <w:outlineLvl w:val="1"/>
              <w:rPr>
                <w:rFonts w:hAnsi="宋体" w:cs="宋体"/>
                <w:color w:val="auto"/>
              </w:rPr>
            </w:pPr>
            <w:r>
              <w:rPr>
                <w:rFonts w:hint="eastAsia" w:hAnsi="宋体" w:cs="宋体"/>
                <w:color w:val="auto"/>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Pr>
          <w:p>
            <w:pPr>
              <w:spacing w:line="360" w:lineRule="auto"/>
              <w:ind w:firstLine="470" w:firstLineChars="196"/>
              <w:jc w:val="left"/>
              <w:outlineLvl w:val="1"/>
              <w:rPr>
                <w:rFonts w:hAnsi="宋体" w:cs="宋体"/>
                <w:color w:val="auto"/>
              </w:rPr>
            </w:pPr>
          </w:p>
        </w:tc>
        <w:tc>
          <w:tcPr>
            <w:tcW w:w="1522" w:type="dxa"/>
          </w:tcPr>
          <w:p>
            <w:pPr>
              <w:spacing w:line="360" w:lineRule="auto"/>
              <w:ind w:firstLine="470" w:firstLineChars="196"/>
              <w:jc w:val="left"/>
              <w:outlineLvl w:val="1"/>
              <w:rPr>
                <w:rFonts w:hAnsi="宋体" w:cs="宋体"/>
                <w:color w:val="auto"/>
              </w:rPr>
            </w:pPr>
          </w:p>
        </w:tc>
        <w:tc>
          <w:tcPr>
            <w:tcW w:w="1856" w:type="dxa"/>
          </w:tcPr>
          <w:p>
            <w:pPr>
              <w:spacing w:line="360" w:lineRule="auto"/>
              <w:ind w:firstLine="470" w:firstLineChars="196"/>
              <w:jc w:val="left"/>
              <w:outlineLvl w:val="1"/>
              <w:rPr>
                <w:rFonts w:hAnsi="宋体" w:cs="宋体"/>
                <w:color w:val="auto"/>
              </w:rPr>
            </w:pPr>
          </w:p>
        </w:tc>
        <w:tc>
          <w:tcPr>
            <w:tcW w:w="2294" w:type="dxa"/>
          </w:tcPr>
          <w:p>
            <w:pPr>
              <w:spacing w:line="360" w:lineRule="auto"/>
              <w:ind w:firstLine="470" w:firstLineChars="196"/>
              <w:jc w:val="left"/>
              <w:outlineLvl w:val="1"/>
              <w:rPr>
                <w:rFonts w:hAnsi="宋体" w:cs="宋体"/>
                <w:color w:val="auto"/>
              </w:rPr>
            </w:pPr>
          </w:p>
        </w:tc>
        <w:tc>
          <w:tcPr>
            <w:tcW w:w="1758" w:type="dxa"/>
          </w:tcPr>
          <w:p>
            <w:pPr>
              <w:spacing w:line="360" w:lineRule="auto"/>
              <w:ind w:firstLine="470" w:firstLineChars="196"/>
              <w:jc w:val="left"/>
              <w:outlineLvl w:val="1"/>
              <w:rPr>
                <w:rFonts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Pr>
          <w:p>
            <w:pPr>
              <w:spacing w:line="360" w:lineRule="auto"/>
              <w:ind w:firstLine="470" w:firstLineChars="196"/>
              <w:jc w:val="left"/>
              <w:outlineLvl w:val="1"/>
              <w:rPr>
                <w:rFonts w:hAnsi="宋体" w:cs="宋体"/>
                <w:color w:val="auto"/>
              </w:rPr>
            </w:pPr>
          </w:p>
        </w:tc>
        <w:tc>
          <w:tcPr>
            <w:tcW w:w="1522" w:type="dxa"/>
          </w:tcPr>
          <w:p>
            <w:pPr>
              <w:spacing w:line="360" w:lineRule="auto"/>
              <w:ind w:firstLine="470" w:firstLineChars="196"/>
              <w:jc w:val="left"/>
              <w:outlineLvl w:val="1"/>
              <w:rPr>
                <w:rFonts w:hAnsi="宋体" w:cs="宋体"/>
                <w:color w:val="auto"/>
              </w:rPr>
            </w:pPr>
          </w:p>
        </w:tc>
        <w:tc>
          <w:tcPr>
            <w:tcW w:w="1856" w:type="dxa"/>
          </w:tcPr>
          <w:p>
            <w:pPr>
              <w:spacing w:line="360" w:lineRule="auto"/>
              <w:ind w:firstLine="470" w:firstLineChars="196"/>
              <w:jc w:val="left"/>
              <w:outlineLvl w:val="1"/>
              <w:rPr>
                <w:rFonts w:hAnsi="宋体" w:cs="宋体"/>
                <w:color w:val="auto"/>
              </w:rPr>
            </w:pPr>
          </w:p>
        </w:tc>
        <w:tc>
          <w:tcPr>
            <w:tcW w:w="2294" w:type="dxa"/>
          </w:tcPr>
          <w:p>
            <w:pPr>
              <w:spacing w:line="360" w:lineRule="auto"/>
              <w:ind w:firstLine="470" w:firstLineChars="196"/>
              <w:jc w:val="left"/>
              <w:outlineLvl w:val="1"/>
              <w:rPr>
                <w:rFonts w:hAnsi="宋体" w:cs="宋体"/>
                <w:color w:val="auto"/>
              </w:rPr>
            </w:pPr>
          </w:p>
        </w:tc>
        <w:tc>
          <w:tcPr>
            <w:tcW w:w="1758" w:type="dxa"/>
          </w:tcPr>
          <w:p>
            <w:pPr>
              <w:spacing w:line="360" w:lineRule="auto"/>
              <w:ind w:firstLine="470" w:firstLineChars="196"/>
              <w:jc w:val="left"/>
              <w:outlineLvl w:val="1"/>
              <w:rPr>
                <w:rFonts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Pr>
          <w:p>
            <w:pPr>
              <w:spacing w:line="360" w:lineRule="auto"/>
              <w:ind w:firstLine="470" w:firstLineChars="196"/>
              <w:jc w:val="left"/>
              <w:outlineLvl w:val="1"/>
              <w:rPr>
                <w:rFonts w:hAnsi="宋体" w:cs="宋体"/>
                <w:color w:val="auto"/>
              </w:rPr>
            </w:pPr>
          </w:p>
        </w:tc>
        <w:tc>
          <w:tcPr>
            <w:tcW w:w="1522" w:type="dxa"/>
          </w:tcPr>
          <w:p>
            <w:pPr>
              <w:spacing w:line="360" w:lineRule="auto"/>
              <w:ind w:firstLine="470" w:firstLineChars="196"/>
              <w:jc w:val="left"/>
              <w:outlineLvl w:val="1"/>
              <w:rPr>
                <w:rFonts w:hAnsi="宋体" w:cs="宋体"/>
                <w:color w:val="auto"/>
              </w:rPr>
            </w:pPr>
          </w:p>
        </w:tc>
        <w:tc>
          <w:tcPr>
            <w:tcW w:w="1856" w:type="dxa"/>
          </w:tcPr>
          <w:p>
            <w:pPr>
              <w:spacing w:line="360" w:lineRule="auto"/>
              <w:ind w:firstLine="470" w:firstLineChars="196"/>
              <w:jc w:val="left"/>
              <w:outlineLvl w:val="1"/>
              <w:rPr>
                <w:rFonts w:hAnsi="宋体" w:cs="宋体"/>
                <w:color w:val="auto"/>
              </w:rPr>
            </w:pPr>
          </w:p>
        </w:tc>
        <w:tc>
          <w:tcPr>
            <w:tcW w:w="2294" w:type="dxa"/>
          </w:tcPr>
          <w:p>
            <w:pPr>
              <w:spacing w:line="360" w:lineRule="auto"/>
              <w:ind w:firstLine="470" w:firstLineChars="196"/>
              <w:jc w:val="left"/>
              <w:outlineLvl w:val="1"/>
              <w:rPr>
                <w:rFonts w:hAnsi="宋体" w:cs="宋体"/>
                <w:color w:val="auto"/>
              </w:rPr>
            </w:pPr>
          </w:p>
        </w:tc>
        <w:tc>
          <w:tcPr>
            <w:tcW w:w="1758" w:type="dxa"/>
          </w:tcPr>
          <w:p>
            <w:pPr>
              <w:spacing w:line="360" w:lineRule="auto"/>
              <w:ind w:firstLine="470" w:firstLineChars="196"/>
              <w:jc w:val="left"/>
              <w:outlineLvl w:val="1"/>
              <w:rPr>
                <w:rFonts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Pr>
          <w:p>
            <w:pPr>
              <w:spacing w:line="360" w:lineRule="auto"/>
              <w:ind w:firstLine="470" w:firstLineChars="196"/>
              <w:jc w:val="left"/>
              <w:outlineLvl w:val="1"/>
              <w:rPr>
                <w:rFonts w:hAnsi="宋体" w:cs="宋体"/>
                <w:color w:val="auto"/>
              </w:rPr>
            </w:pPr>
          </w:p>
        </w:tc>
        <w:tc>
          <w:tcPr>
            <w:tcW w:w="1522" w:type="dxa"/>
          </w:tcPr>
          <w:p>
            <w:pPr>
              <w:spacing w:line="360" w:lineRule="auto"/>
              <w:ind w:firstLine="470" w:firstLineChars="196"/>
              <w:jc w:val="left"/>
              <w:outlineLvl w:val="1"/>
              <w:rPr>
                <w:rFonts w:hAnsi="宋体" w:cs="宋体"/>
                <w:color w:val="auto"/>
              </w:rPr>
            </w:pPr>
          </w:p>
        </w:tc>
        <w:tc>
          <w:tcPr>
            <w:tcW w:w="1856" w:type="dxa"/>
          </w:tcPr>
          <w:p>
            <w:pPr>
              <w:spacing w:line="360" w:lineRule="auto"/>
              <w:ind w:firstLine="470" w:firstLineChars="196"/>
              <w:jc w:val="left"/>
              <w:outlineLvl w:val="1"/>
              <w:rPr>
                <w:rFonts w:hAnsi="宋体" w:cs="宋体"/>
                <w:color w:val="auto"/>
              </w:rPr>
            </w:pPr>
          </w:p>
        </w:tc>
        <w:tc>
          <w:tcPr>
            <w:tcW w:w="2294" w:type="dxa"/>
          </w:tcPr>
          <w:p>
            <w:pPr>
              <w:spacing w:line="360" w:lineRule="auto"/>
              <w:ind w:firstLine="470" w:firstLineChars="196"/>
              <w:jc w:val="left"/>
              <w:outlineLvl w:val="1"/>
              <w:rPr>
                <w:rFonts w:hAnsi="宋体" w:cs="宋体"/>
                <w:color w:val="auto"/>
              </w:rPr>
            </w:pPr>
          </w:p>
        </w:tc>
        <w:tc>
          <w:tcPr>
            <w:tcW w:w="1758" w:type="dxa"/>
          </w:tcPr>
          <w:p>
            <w:pPr>
              <w:spacing w:line="360" w:lineRule="auto"/>
              <w:ind w:firstLine="470" w:firstLineChars="196"/>
              <w:jc w:val="left"/>
              <w:outlineLvl w:val="1"/>
              <w:rPr>
                <w:rFonts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Pr>
          <w:p>
            <w:pPr>
              <w:spacing w:line="360" w:lineRule="auto"/>
              <w:ind w:firstLine="470" w:firstLineChars="196"/>
              <w:jc w:val="left"/>
              <w:outlineLvl w:val="1"/>
              <w:rPr>
                <w:rFonts w:hAnsi="宋体" w:cs="宋体"/>
                <w:color w:val="auto"/>
              </w:rPr>
            </w:pPr>
          </w:p>
        </w:tc>
        <w:tc>
          <w:tcPr>
            <w:tcW w:w="1522" w:type="dxa"/>
          </w:tcPr>
          <w:p>
            <w:pPr>
              <w:spacing w:line="360" w:lineRule="auto"/>
              <w:ind w:firstLine="470" w:firstLineChars="196"/>
              <w:jc w:val="left"/>
              <w:outlineLvl w:val="1"/>
              <w:rPr>
                <w:rFonts w:hAnsi="宋体" w:cs="宋体"/>
                <w:color w:val="auto"/>
              </w:rPr>
            </w:pPr>
          </w:p>
        </w:tc>
        <w:tc>
          <w:tcPr>
            <w:tcW w:w="1856" w:type="dxa"/>
          </w:tcPr>
          <w:p>
            <w:pPr>
              <w:spacing w:line="360" w:lineRule="auto"/>
              <w:ind w:firstLine="470" w:firstLineChars="196"/>
              <w:jc w:val="left"/>
              <w:outlineLvl w:val="1"/>
              <w:rPr>
                <w:rFonts w:hAnsi="宋体" w:cs="宋体"/>
                <w:color w:val="auto"/>
              </w:rPr>
            </w:pPr>
          </w:p>
        </w:tc>
        <w:tc>
          <w:tcPr>
            <w:tcW w:w="2294" w:type="dxa"/>
          </w:tcPr>
          <w:p>
            <w:pPr>
              <w:spacing w:line="360" w:lineRule="auto"/>
              <w:ind w:firstLine="470" w:firstLineChars="196"/>
              <w:jc w:val="left"/>
              <w:outlineLvl w:val="1"/>
              <w:rPr>
                <w:rFonts w:hAnsi="宋体" w:cs="宋体"/>
                <w:color w:val="auto"/>
              </w:rPr>
            </w:pPr>
          </w:p>
        </w:tc>
        <w:tc>
          <w:tcPr>
            <w:tcW w:w="1758" w:type="dxa"/>
          </w:tcPr>
          <w:p>
            <w:pPr>
              <w:spacing w:line="360" w:lineRule="auto"/>
              <w:ind w:firstLine="470" w:firstLineChars="196"/>
              <w:jc w:val="left"/>
              <w:outlineLvl w:val="1"/>
              <w:rPr>
                <w:rFonts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Pr>
          <w:p>
            <w:pPr>
              <w:spacing w:line="360" w:lineRule="auto"/>
              <w:ind w:firstLine="470" w:firstLineChars="196"/>
              <w:jc w:val="left"/>
              <w:outlineLvl w:val="1"/>
              <w:rPr>
                <w:rFonts w:hAnsi="宋体" w:cs="宋体"/>
                <w:color w:val="auto"/>
              </w:rPr>
            </w:pPr>
          </w:p>
        </w:tc>
        <w:tc>
          <w:tcPr>
            <w:tcW w:w="1522" w:type="dxa"/>
          </w:tcPr>
          <w:p>
            <w:pPr>
              <w:spacing w:line="360" w:lineRule="auto"/>
              <w:ind w:firstLine="470" w:firstLineChars="196"/>
              <w:jc w:val="left"/>
              <w:outlineLvl w:val="1"/>
              <w:rPr>
                <w:rFonts w:hAnsi="宋体" w:cs="宋体"/>
                <w:color w:val="auto"/>
              </w:rPr>
            </w:pPr>
          </w:p>
        </w:tc>
        <w:tc>
          <w:tcPr>
            <w:tcW w:w="1856" w:type="dxa"/>
          </w:tcPr>
          <w:p>
            <w:pPr>
              <w:spacing w:line="360" w:lineRule="auto"/>
              <w:ind w:firstLine="470" w:firstLineChars="196"/>
              <w:jc w:val="left"/>
              <w:outlineLvl w:val="1"/>
              <w:rPr>
                <w:rFonts w:hAnsi="宋体" w:cs="宋体"/>
                <w:color w:val="auto"/>
              </w:rPr>
            </w:pPr>
          </w:p>
        </w:tc>
        <w:tc>
          <w:tcPr>
            <w:tcW w:w="2294" w:type="dxa"/>
          </w:tcPr>
          <w:p>
            <w:pPr>
              <w:spacing w:line="360" w:lineRule="auto"/>
              <w:ind w:firstLine="470" w:firstLineChars="196"/>
              <w:jc w:val="left"/>
              <w:outlineLvl w:val="1"/>
              <w:rPr>
                <w:rFonts w:hAnsi="宋体" w:cs="宋体"/>
                <w:color w:val="auto"/>
              </w:rPr>
            </w:pPr>
          </w:p>
        </w:tc>
        <w:tc>
          <w:tcPr>
            <w:tcW w:w="1758" w:type="dxa"/>
          </w:tcPr>
          <w:p>
            <w:pPr>
              <w:spacing w:line="360" w:lineRule="auto"/>
              <w:ind w:firstLine="470" w:firstLineChars="196"/>
              <w:jc w:val="left"/>
              <w:outlineLvl w:val="1"/>
              <w:rPr>
                <w:rFonts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Pr>
          <w:p>
            <w:pPr>
              <w:spacing w:line="360" w:lineRule="auto"/>
              <w:ind w:firstLine="470" w:firstLineChars="196"/>
              <w:jc w:val="left"/>
              <w:outlineLvl w:val="1"/>
              <w:rPr>
                <w:rFonts w:hAnsi="宋体" w:cs="宋体"/>
                <w:color w:val="auto"/>
              </w:rPr>
            </w:pPr>
          </w:p>
        </w:tc>
        <w:tc>
          <w:tcPr>
            <w:tcW w:w="1522" w:type="dxa"/>
          </w:tcPr>
          <w:p>
            <w:pPr>
              <w:spacing w:line="360" w:lineRule="auto"/>
              <w:ind w:firstLine="470" w:firstLineChars="196"/>
              <w:jc w:val="left"/>
              <w:outlineLvl w:val="1"/>
              <w:rPr>
                <w:rFonts w:hAnsi="宋体" w:cs="宋体"/>
                <w:color w:val="auto"/>
              </w:rPr>
            </w:pPr>
          </w:p>
        </w:tc>
        <w:tc>
          <w:tcPr>
            <w:tcW w:w="1856" w:type="dxa"/>
          </w:tcPr>
          <w:p>
            <w:pPr>
              <w:spacing w:line="360" w:lineRule="auto"/>
              <w:ind w:firstLine="470" w:firstLineChars="196"/>
              <w:jc w:val="left"/>
              <w:outlineLvl w:val="1"/>
              <w:rPr>
                <w:rFonts w:hAnsi="宋体" w:cs="宋体"/>
                <w:color w:val="auto"/>
              </w:rPr>
            </w:pPr>
          </w:p>
        </w:tc>
        <w:tc>
          <w:tcPr>
            <w:tcW w:w="2294" w:type="dxa"/>
          </w:tcPr>
          <w:p>
            <w:pPr>
              <w:spacing w:line="360" w:lineRule="auto"/>
              <w:ind w:firstLine="470" w:firstLineChars="196"/>
              <w:jc w:val="left"/>
              <w:outlineLvl w:val="1"/>
              <w:rPr>
                <w:rFonts w:hAnsi="宋体" w:cs="宋体"/>
                <w:color w:val="auto"/>
              </w:rPr>
            </w:pPr>
          </w:p>
        </w:tc>
        <w:tc>
          <w:tcPr>
            <w:tcW w:w="1758" w:type="dxa"/>
          </w:tcPr>
          <w:p>
            <w:pPr>
              <w:spacing w:line="360" w:lineRule="auto"/>
              <w:ind w:firstLine="470" w:firstLineChars="196"/>
              <w:jc w:val="left"/>
              <w:outlineLvl w:val="1"/>
              <w:rPr>
                <w:rFonts w:hAnsi="宋体" w:cs="宋体"/>
                <w:color w:val="auto"/>
              </w:rPr>
            </w:pPr>
          </w:p>
        </w:tc>
      </w:tr>
    </w:tbl>
    <w:p>
      <w:pPr>
        <w:spacing w:line="360" w:lineRule="auto"/>
        <w:ind w:firstLine="470" w:firstLineChars="196"/>
        <w:jc w:val="left"/>
        <w:outlineLvl w:val="1"/>
        <w:rPr>
          <w:rFonts w:hAnsi="宋体" w:cs="宋体"/>
          <w:color w:val="auto"/>
        </w:rPr>
      </w:pPr>
    </w:p>
    <w:p>
      <w:pPr>
        <w:spacing w:line="360" w:lineRule="auto"/>
        <w:ind w:firstLine="480" w:firstLineChars="200"/>
        <w:rPr>
          <w:rFonts w:hAnsi="宋体" w:cs="宋体"/>
          <w:color w:val="auto"/>
        </w:rPr>
      </w:pPr>
      <w:r>
        <w:rPr>
          <w:rFonts w:hint="eastAsia" w:hAnsi="宋体" w:cs="宋体"/>
          <w:color w:val="auto"/>
        </w:rPr>
        <w:t>注1. 供应商必须把招标项目的所有产品的主要技术参数列入此表。</w:t>
      </w:r>
    </w:p>
    <w:p>
      <w:pPr>
        <w:spacing w:line="360" w:lineRule="auto"/>
        <w:ind w:firstLine="840" w:firstLineChars="350"/>
        <w:rPr>
          <w:rFonts w:hAnsi="宋体" w:cs="宋体"/>
          <w:color w:val="auto"/>
        </w:rPr>
      </w:pPr>
      <w:r>
        <w:rPr>
          <w:rFonts w:hint="eastAsia" w:hAnsi="宋体" w:cs="宋体"/>
          <w:color w:val="auto"/>
        </w:rPr>
        <w:t>2．按照招标项目技术要求的顺序对应填写。</w:t>
      </w:r>
    </w:p>
    <w:p>
      <w:pPr>
        <w:adjustRightInd w:val="0"/>
        <w:spacing w:line="360" w:lineRule="auto"/>
        <w:ind w:firstLine="420" w:firstLineChars="175"/>
        <w:jc w:val="left"/>
        <w:rPr>
          <w:rFonts w:hAnsi="宋体" w:cs="宋体"/>
          <w:color w:val="auto"/>
        </w:rPr>
      </w:pPr>
      <w:r>
        <w:rPr>
          <w:rFonts w:hint="eastAsia" w:hAnsi="宋体" w:cs="宋体"/>
          <w:color w:val="auto"/>
        </w:rPr>
        <w:t>3.按照响应的技术参数尽可能的提供证明材料复印件予以作证。</w:t>
      </w:r>
    </w:p>
    <w:p>
      <w:pPr>
        <w:spacing w:line="360" w:lineRule="auto"/>
        <w:ind w:firstLine="470" w:firstLineChars="196"/>
        <w:jc w:val="left"/>
        <w:outlineLvl w:val="1"/>
        <w:rPr>
          <w:rFonts w:hAnsi="宋体" w:cs="宋体"/>
          <w:color w:val="auto"/>
        </w:rPr>
      </w:pPr>
    </w:p>
    <w:p>
      <w:pPr>
        <w:spacing w:line="360" w:lineRule="auto"/>
        <w:ind w:firstLine="470" w:firstLineChars="196"/>
        <w:jc w:val="left"/>
        <w:outlineLvl w:val="1"/>
        <w:rPr>
          <w:rFonts w:hAnsi="宋体" w:cs="宋体"/>
          <w:color w:val="auto"/>
        </w:rPr>
      </w:pPr>
    </w:p>
    <w:p>
      <w:pPr>
        <w:spacing w:line="360" w:lineRule="auto"/>
        <w:ind w:firstLine="470" w:firstLineChars="196"/>
        <w:jc w:val="left"/>
        <w:outlineLvl w:val="1"/>
        <w:rPr>
          <w:rFonts w:hAnsi="宋体" w:cs="宋体"/>
          <w:color w:val="auto"/>
        </w:rPr>
      </w:pPr>
    </w:p>
    <w:p>
      <w:pPr>
        <w:spacing w:line="360" w:lineRule="auto"/>
        <w:ind w:firstLine="470" w:firstLineChars="196"/>
        <w:jc w:val="left"/>
        <w:outlineLvl w:val="1"/>
        <w:rPr>
          <w:rFonts w:hAnsi="宋体" w:cs="宋体"/>
          <w:color w:val="auto"/>
        </w:rPr>
      </w:pPr>
    </w:p>
    <w:p>
      <w:pPr>
        <w:spacing w:line="360" w:lineRule="auto"/>
        <w:ind w:firstLine="470" w:firstLineChars="196"/>
        <w:jc w:val="left"/>
        <w:outlineLvl w:val="1"/>
        <w:rPr>
          <w:rFonts w:hAnsi="宋体" w:cs="宋体"/>
          <w:color w:val="auto"/>
        </w:rPr>
      </w:pPr>
    </w:p>
    <w:p>
      <w:pPr>
        <w:spacing w:line="360" w:lineRule="auto"/>
        <w:ind w:firstLine="470" w:firstLineChars="196"/>
        <w:jc w:val="left"/>
        <w:outlineLvl w:val="1"/>
        <w:rPr>
          <w:rFonts w:hAnsi="宋体" w:cs="宋体"/>
          <w:color w:val="auto"/>
        </w:rPr>
      </w:pPr>
      <w:r>
        <w:rPr>
          <w:rFonts w:hint="eastAsia" w:hAnsi="宋体" w:cs="宋体"/>
          <w:color w:val="auto"/>
        </w:rPr>
        <w:t>投标人名称：（盖公章）</w:t>
      </w:r>
    </w:p>
    <w:p>
      <w:pPr>
        <w:spacing w:line="360" w:lineRule="auto"/>
        <w:ind w:firstLine="470" w:firstLineChars="196"/>
        <w:jc w:val="left"/>
        <w:outlineLvl w:val="1"/>
        <w:rPr>
          <w:rFonts w:hAnsi="宋体" w:cs="宋体"/>
          <w:color w:val="auto"/>
        </w:rPr>
      </w:pPr>
      <w:r>
        <w:rPr>
          <w:rFonts w:hint="eastAsia" w:hAnsi="宋体" w:cs="宋体"/>
          <w:color w:val="auto"/>
        </w:rPr>
        <w:t>法定代表人或委托代理人（签字或盖章）：</w:t>
      </w:r>
    </w:p>
    <w:p>
      <w:pPr>
        <w:spacing w:line="360" w:lineRule="auto"/>
        <w:ind w:firstLine="470" w:firstLineChars="196"/>
        <w:jc w:val="left"/>
        <w:outlineLvl w:val="1"/>
        <w:rPr>
          <w:rFonts w:hAnsi="宋体" w:cs="宋体"/>
          <w:color w:val="auto"/>
        </w:rPr>
      </w:pPr>
      <w:r>
        <w:rPr>
          <w:rFonts w:hint="eastAsia" w:hAnsi="宋体" w:cs="宋体"/>
          <w:color w:val="auto"/>
        </w:rPr>
        <w:t xml:space="preserve">日 期:    </w:t>
      </w:r>
    </w:p>
    <w:p>
      <w:pPr>
        <w:spacing w:line="360" w:lineRule="auto"/>
        <w:ind w:firstLine="470" w:firstLineChars="196"/>
        <w:jc w:val="left"/>
        <w:outlineLvl w:val="1"/>
        <w:rPr>
          <w:rFonts w:hAnsi="宋体" w:cs="宋体"/>
          <w:color w:val="auto"/>
        </w:rPr>
      </w:pPr>
    </w:p>
    <w:p>
      <w:pPr>
        <w:spacing w:line="360" w:lineRule="auto"/>
        <w:rPr>
          <w:rFonts w:hAnsi="宋体" w:cs="宋体"/>
          <w:b/>
          <w:color w:val="auto"/>
          <w:sz w:val="32"/>
          <w:szCs w:val="32"/>
        </w:rPr>
      </w:pPr>
      <w:bookmarkStart w:id="193" w:name="_Toc217446091"/>
      <w:r>
        <w:rPr>
          <w:rFonts w:hint="eastAsia" w:hAnsi="宋体" w:cs="宋体"/>
          <w:b/>
          <w:color w:val="auto"/>
          <w:sz w:val="32"/>
          <w:szCs w:val="32"/>
        </w:rPr>
        <w:br w:type="page"/>
      </w:r>
      <w:r>
        <w:rPr>
          <w:rFonts w:hint="eastAsia" w:hAnsi="宋体" w:cs="宋体"/>
          <w:b/>
          <w:color w:val="auto"/>
          <w:sz w:val="32"/>
          <w:szCs w:val="32"/>
        </w:rPr>
        <w:t>格式2-10</w:t>
      </w:r>
    </w:p>
    <w:p>
      <w:pPr>
        <w:spacing w:line="360" w:lineRule="auto"/>
        <w:jc w:val="center"/>
        <w:outlineLvl w:val="1"/>
        <w:rPr>
          <w:rFonts w:hAnsi="宋体" w:cs="宋体"/>
          <w:b/>
          <w:color w:val="auto"/>
          <w:sz w:val="32"/>
          <w:szCs w:val="32"/>
        </w:rPr>
      </w:pPr>
      <w:r>
        <w:rPr>
          <w:rFonts w:hint="eastAsia" w:hAnsi="宋体" w:cs="宋体"/>
          <w:b/>
          <w:color w:val="auto"/>
          <w:sz w:val="32"/>
          <w:szCs w:val="32"/>
        </w:rPr>
        <w:t>九、投标人本项目管理、技术、服务人员情况表</w:t>
      </w:r>
      <w:bookmarkEnd w:id="193"/>
    </w:p>
    <w:p>
      <w:pPr>
        <w:spacing w:line="360" w:lineRule="auto"/>
        <w:ind w:firstLine="472" w:firstLineChars="196"/>
        <w:jc w:val="left"/>
        <w:outlineLvl w:val="1"/>
        <w:rPr>
          <w:rFonts w:hAnsi="宋体" w:cs="宋体"/>
          <w:b/>
          <w:color w:val="auto"/>
        </w:rPr>
      </w:pPr>
    </w:p>
    <w:p>
      <w:pPr>
        <w:pStyle w:val="12"/>
        <w:rPr>
          <w:rFonts w:hAnsi="宋体" w:cs="宋体"/>
          <w:sz w:val="24"/>
        </w:rPr>
      </w:pPr>
      <w:r>
        <w:rPr>
          <w:rFonts w:hint="eastAsia" w:hAnsi="宋体" w:cs="宋体"/>
          <w:sz w:val="24"/>
        </w:rPr>
        <w:t>项目编号/包号：</w:t>
      </w:r>
    </w:p>
    <w:tbl>
      <w:tblPr>
        <w:tblStyle w:val="33"/>
        <w:tblW w:w="8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821"/>
        <w:gridCol w:w="821"/>
        <w:gridCol w:w="1521"/>
        <w:gridCol w:w="1276"/>
        <w:gridCol w:w="2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8" w:type="dxa"/>
            <w:vAlign w:val="center"/>
          </w:tcPr>
          <w:p>
            <w:pPr>
              <w:spacing w:line="360" w:lineRule="auto"/>
              <w:rPr>
                <w:rFonts w:hAnsi="宋体" w:cs="宋体"/>
                <w:color w:val="auto"/>
                <w:sz w:val="21"/>
                <w:szCs w:val="21"/>
              </w:rPr>
            </w:pPr>
            <w:r>
              <w:rPr>
                <w:rFonts w:hint="eastAsia" w:hAnsi="宋体" w:cs="宋体"/>
                <w:color w:val="auto"/>
                <w:sz w:val="21"/>
                <w:szCs w:val="21"/>
              </w:rPr>
              <w:t>类别</w:t>
            </w:r>
          </w:p>
        </w:tc>
        <w:tc>
          <w:tcPr>
            <w:tcW w:w="821" w:type="dxa"/>
            <w:vAlign w:val="center"/>
          </w:tcPr>
          <w:p>
            <w:pPr>
              <w:spacing w:line="360" w:lineRule="auto"/>
              <w:rPr>
                <w:rFonts w:hAnsi="宋体" w:cs="宋体"/>
                <w:color w:val="auto"/>
                <w:sz w:val="21"/>
                <w:szCs w:val="21"/>
              </w:rPr>
            </w:pPr>
            <w:r>
              <w:rPr>
                <w:rFonts w:hint="eastAsia" w:hAnsi="宋体" w:cs="宋体"/>
                <w:color w:val="auto"/>
                <w:sz w:val="21"/>
                <w:szCs w:val="21"/>
              </w:rPr>
              <w:t>职务</w:t>
            </w:r>
          </w:p>
        </w:tc>
        <w:tc>
          <w:tcPr>
            <w:tcW w:w="821" w:type="dxa"/>
            <w:vAlign w:val="center"/>
          </w:tcPr>
          <w:p>
            <w:pPr>
              <w:spacing w:line="360" w:lineRule="auto"/>
              <w:rPr>
                <w:rFonts w:hAnsi="宋体" w:cs="宋体"/>
                <w:color w:val="auto"/>
                <w:sz w:val="21"/>
                <w:szCs w:val="21"/>
              </w:rPr>
            </w:pPr>
            <w:r>
              <w:rPr>
                <w:rFonts w:hint="eastAsia" w:hAnsi="宋体" w:cs="宋体"/>
                <w:color w:val="auto"/>
                <w:sz w:val="21"/>
                <w:szCs w:val="21"/>
              </w:rPr>
              <w:t>姓名</w:t>
            </w:r>
          </w:p>
        </w:tc>
        <w:tc>
          <w:tcPr>
            <w:tcW w:w="1521" w:type="dxa"/>
            <w:vAlign w:val="center"/>
          </w:tcPr>
          <w:p>
            <w:pPr>
              <w:spacing w:line="360" w:lineRule="auto"/>
              <w:rPr>
                <w:rFonts w:hAnsi="宋体" w:cs="宋体"/>
                <w:color w:val="auto"/>
                <w:sz w:val="21"/>
                <w:szCs w:val="21"/>
              </w:rPr>
            </w:pPr>
            <w:r>
              <w:rPr>
                <w:rFonts w:hint="eastAsia" w:hAnsi="宋体" w:cs="宋体"/>
                <w:color w:val="auto"/>
                <w:sz w:val="21"/>
                <w:szCs w:val="21"/>
              </w:rPr>
              <w:t>身份证号码</w:t>
            </w:r>
          </w:p>
        </w:tc>
        <w:tc>
          <w:tcPr>
            <w:tcW w:w="1276" w:type="dxa"/>
            <w:vAlign w:val="center"/>
          </w:tcPr>
          <w:p>
            <w:pPr>
              <w:spacing w:line="360" w:lineRule="auto"/>
              <w:rPr>
                <w:rFonts w:hAnsi="宋体" w:cs="宋体"/>
                <w:color w:val="auto"/>
                <w:sz w:val="21"/>
                <w:szCs w:val="21"/>
              </w:rPr>
            </w:pPr>
            <w:r>
              <w:rPr>
                <w:rFonts w:hint="eastAsia" w:hAnsi="宋体" w:cs="宋体"/>
                <w:color w:val="auto"/>
                <w:sz w:val="21"/>
                <w:szCs w:val="21"/>
              </w:rPr>
              <w:t>联系方式</w:t>
            </w:r>
          </w:p>
        </w:tc>
        <w:tc>
          <w:tcPr>
            <w:tcW w:w="2928" w:type="dxa"/>
            <w:vAlign w:val="center"/>
          </w:tcPr>
          <w:p>
            <w:pPr>
              <w:spacing w:line="360" w:lineRule="auto"/>
              <w:ind w:firstLine="735" w:firstLineChars="350"/>
              <w:rPr>
                <w:rFonts w:hAnsi="宋体" w:cs="宋体"/>
                <w:color w:val="auto"/>
                <w:sz w:val="21"/>
                <w:szCs w:val="21"/>
              </w:rPr>
            </w:pPr>
            <w:bookmarkStart w:id="194" w:name="OLE_LINK11"/>
            <w:r>
              <w:rPr>
                <w:rFonts w:hint="eastAsia" w:hAnsi="宋体" w:cs="宋体"/>
                <w:color w:val="auto"/>
                <w:sz w:val="21"/>
                <w:szCs w:val="21"/>
              </w:rPr>
              <w:t>技术职称</w:t>
            </w:r>
            <w:bookmarkEnd w:id="19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58" w:type="dxa"/>
            <w:vMerge w:val="restart"/>
            <w:vAlign w:val="center"/>
          </w:tcPr>
          <w:p>
            <w:pPr>
              <w:spacing w:line="360" w:lineRule="auto"/>
              <w:jc w:val="center"/>
              <w:rPr>
                <w:rFonts w:hAnsi="宋体" w:cs="宋体"/>
                <w:color w:val="auto"/>
                <w:sz w:val="21"/>
                <w:szCs w:val="21"/>
              </w:rPr>
            </w:pPr>
            <w:r>
              <w:rPr>
                <w:rFonts w:hint="eastAsia" w:hAnsi="宋体" w:cs="宋体"/>
                <w:color w:val="auto"/>
                <w:sz w:val="21"/>
                <w:szCs w:val="21"/>
              </w:rPr>
              <w:t>管</w:t>
            </w:r>
          </w:p>
          <w:p>
            <w:pPr>
              <w:spacing w:line="360" w:lineRule="auto"/>
              <w:jc w:val="center"/>
              <w:rPr>
                <w:rFonts w:hAnsi="宋体" w:cs="宋体"/>
                <w:color w:val="auto"/>
                <w:sz w:val="21"/>
                <w:szCs w:val="21"/>
              </w:rPr>
            </w:pPr>
            <w:r>
              <w:rPr>
                <w:rFonts w:hint="eastAsia" w:hAnsi="宋体" w:cs="宋体"/>
                <w:color w:val="auto"/>
                <w:sz w:val="21"/>
                <w:szCs w:val="21"/>
              </w:rPr>
              <w:t>理</w:t>
            </w:r>
          </w:p>
          <w:p>
            <w:pPr>
              <w:spacing w:line="360" w:lineRule="auto"/>
              <w:jc w:val="center"/>
              <w:rPr>
                <w:rFonts w:hAnsi="宋体" w:cs="宋体"/>
                <w:color w:val="auto"/>
                <w:sz w:val="21"/>
                <w:szCs w:val="21"/>
              </w:rPr>
            </w:pPr>
            <w:r>
              <w:rPr>
                <w:rFonts w:hint="eastAsia" w:hAnsi="宋体" w:cs="宋体"/>
                <w:color w:val="auto"/>
                <w:sz w:val="21"/>
                <w:szCs w:val="21"/>
              </w:rPr>
              <w:t>人</w:t>
            </w:r>
          </w:p>
          <w:p>
            <w:pPr>
              <w:spacing w:line="360" w:lineRule="auto"/>
              <w:jc w:val="center"/>
              <w:rPr>
                <w:rFonts w:hAnsi="宋体" w:cs="宋体"/>
                <w:color w:val="auto"/>
                <w:sz w:val="21"/>
                <w:szCs w:val="21"/>
              </w:rPr>
            </w:pPr>
            <w:r>
              <w:rPr>
                <w:rFonts w:hint="eastAsia" w:hAnsi="宋体" w:cs="宋体"/>
                <w:color w:val="auto"/>
                <w:sz w:val="21"/>
                <w:szCs w:val="21"/>
              </w:rPr>
              <w:t>员</w:t>
            </w:r>
          </w:p>
        </w:tc>
        <w:tc>
          <w:tcPr>
            <w:tcW w:w="821" w:type="dxa"/>
            <w:vAlign w:val="center"/>
          </w:tcPr>
          <w:p>
            <w:pPr>
              <w:spacing w:line="360" w:lineRule="auto"/>
              <w:rPr>
                <w:rFonts w:hAnsi="宋体" w:cs="宋体"/>
                <w:color w:val="auto"/>
                <w:sz w:val="21"/>
                <w:szCs w:val="21"/>
              </w:rPr>
            </w:pPr>
            <w:r>
              <w:rPr>
                <w:rFonts w:hint="eastAsia" w:hAnsi="宋体" w:cs="宋体"/>
                <w:color w:val="auto"/>
                <w:sz w:val="21"/>
                <w:szCs w:val="21"/>
              </w:rPr>
              <w:t>....</w:t>
            </w:r>
          </w:p>
        </w:tc>
        <w:tc>
          <w:tcPr>
            <w:tcW w:w="821" w:type="dxa"/>
            <w:vAlign w:val="center"/>
          </w:tcPr>
          <w:p>
            <w:pPr>
              <w:spacing w:line="360" w:lineRule="auto"/>
              <w:rPr>
                <w:rFonts w:hAnsi="宋体" w:cs="宋体"/>
                <w:color w:val="auto"/>
                <w:sz w:val="21"/>
                <w:szCs w:val="21"/>
              </w:rPr>
            </w:pPr>
          </w:p>
        </w:tc>
        <w:tc>
          <w:tcPr>
            <w:tcW w:w="1521" w:type="dxa"/>
            <w:vAlign w:val="center"/>
          </w:tcPr>
          <w:p>
            <w:pPr>
              <w:spacing w:line="360" w:lineRule="auto"/>
              <w:rPr>
                <w:rFonts w:hAnsi="宋体" w:cs="宋体"/>
                <w:color w:val="auto"/>
                <w:sz w:val="21"/>
                <w:szCs w:val="21"/>
              </w:rPr>
            </w:pPr>
          </w:p>
        </w:tc>
        <w:tc>
          <w:tcPr>
            <w:tcW w:w="1276" w:type="dxa"/>
            <w:vAlign w:val="center"/>
          </w:tcPr>
          <w:p>
            <w:pPr>
              <w:spacing w:line="360" w:lineRule="auto"/>
              <w:rPr>
                <w:rFonts w:hAnsi="宋体" w:cs="宋体"/>
                <w:color w:val="auto"/>
                <w:sz w:val="21"/>
                <w:szCs w:val="21"/>
              </w:rPr>
            </w:pPr>
          </w:p>
        </w:tc>
        <w:tc>
          <w:tcPr>
            <w:tcW w:w="2928" w:type="dxa"/>
            <w:vAlign w:val="center"/>
          </w:tcPr>
          <w:p>
            <w:pPr>
              <w:spacing w:line="360" w:lineRule="auto"/>
              <w:rPr>
                <w:rFonts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center"/>
        </w:trPr>
        <w:tc>
          <w:tcPr>
            <w:tcW w:w="958" w:type="dxa"/>
            <w:vMerge w:val="continue"/>
            <w:vAlign w:val="center"/>
          </w:tcPr>
          <w:p>
            <w:pPr>
              <w:spacing w:line="360" w:lineRule="auto"/>
              <w:jc w:val="center"/>
              <w:rPr>
                <w:rFonts w:hAnsi="宋体" w:cs="宋体"/>
                <w:color w:val="auto"/>
                <w:sz w:val="21"/>
                <w:szCs w:val="21"/>
              </w:rPr>
            </w:pPr>
          </w:p>
        </w:tc>
        <w:tc>
          <w:tcPr>
            <w:tcW w:w="821" w:type="dxa"/>
            <w:vAlign w:val="center"/>
          </w:tcPr>
          <w:p>
            <w:pPr>
              <w:spacing w:line="360" w:lineRule="auto"/>
              <w:rPr>
                <w:rFonts w:hAnsi="宋体" w:cs="宋体"/>
                <w:color w:val="auto"/>
                <w:sz w:val="21"/>
                <w:szCs w:val="21"/>
              </w:rPr>
            </w:pPr>
          </w:p>
        </w:tc>
        <w:tc>
          <w:tcPr>
            <w:tcW w:w="821" w:type="dxa"/>
            <w:vAlign w:val="center"/>
          </w:tcPr>
          <w:p>
            <w:pPr>
              <w:spacing w:line="360" w:lineRule="auto"/>
              <w:rPr>
                <w:rFonts w:hAnsi="宋体" w:cs="宋体"/>
                <w:color w:val="auto"/>
                <w:sz w:val="21"/>
                <w:szCs w:val="21"/>
              </w:rPr>
            </w:pPr>
          </w:p>
        </w:tc>
        <w:tc>
          <w:tcPr>
            <w:tcW w:w="1521" w:type="dxa"/>
            <w:vAlign w:val="center"/>
          </w:tcPr>
          <w:p>
            <w:pPr>
              <w:spacing w:line="360" w:lineRule="auto"/>
              <w:rPr>
                <w:rFonts w:hAnsi="宋体" w:cs="宋体"/>
                <w:color w:val="auto"/>
                <w:sz w:val="21"/>
                <w:szCs w:val="21"/>
              </w:rPr>
            </w:pPr>
          </w:p>
        </w:tc>
        <w:tc>
          <w:tcPr>
            <w:tcW w:w="1276" w:type="dxa"/>
            <w:vAlign w:val="center"/>
          </w:tcPr>
          <w:p>
            <w:pPr>
              <w:spacing w:line="360" w:lineRule="auto"/>
              <w:rPr>
                <w:rFonts w:hAnsi="宋体" w:cs="宋体"/>
                <w:color w:val="auto"/>
                <w:sz w:val="21"/>
                <w:szCs w:val="21"/>
              </w:rPr>
            </w:pPr>
          </w:p>
        </w:tc>
        <w:tc>
          <w:tcPr>
            <w:tcW w:w="2928" w:type="dxa"/>
            <w:vAlign w:val="center"/>
          </w:tcPr>
          <w:p>
            <w:pPr>
              <w:spacing w:line="360" w:lineRule="auto"/>
              <w:rPr>
                <w:rFonts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958" w:type="dxa"/>
            <w:vMerge w:val="continue"/>
            <w:vAlign w:val="center"/>
          </w:tcPr>
          <w:p>
            <w:pPr>
              <w:spacing w:line="360" w:lineRule="auto"/>
              <w:jc w:val="center"/>
              <w:rPr>
                <w:rFonts w:hAnsi="宋体" w:cs="宋体"/>
                <w:color w:val="auto"/>
                <w:sz w:val="21"/>
                <w:szCs w:val="21"/>
              </w:rPr>
            </w:pPr>
          </w:p>
        </w:tc>
        <w:tc>
          <w:tcPr>
            <w:tcW w:w="821" w:type="dxa"/>
            <w:vAlign w:val="center"/>
          </w:tcPr>
          <w:p>
            <w:pPr>
              <w:spacing w:line="360" w:lineRule="auto"/>
              <w:rPr>
                <w:rFonts w:hAnsi="宋体" w:cs="宋体"/>
                <w:color w:val="auto"/>
                <w:sz w:val="21"/>
                <w:szCs w:val="21"/>
              </w:rPr>
            </w:pPr>
          </w:p>
        </w:tc>
        <w:tc>
          <w:tcPr>
            <w:tcW w:w="821" w:type="dxa"/>
            <w:vAlign w:val="center"/>
          </w:tcPr>
          <w:p>
            <w:pPr>
              <w:spacing w:line="360" w:lineRule="auto"/>
              <w:rPr>
                <w:rFonts w:hAnsi="宋体" w:cs="宋体"/>
                <w:color w:val="auto"/>
                <w:sz w:val="21"/>
                <w:szCs w:val="21"/>
              </w:rPr>
            </w:pPr>
          </w:p>
        </w:tc>
        <w:tc>
          <w:tcPr>
            <w:tcW w:w="1521" w:type="dxa"/>
            <w:vAlign w:val="center"/>
          </w:tcPr>
          <w:p>
            <w:pPr>
              <w:spacing w:line="360" w:lineRule="auto"/>
              <w:rPr>
                <w:rFonts w:hAnsi="宋体" w:cs="宋体"/>
                <w:color w:val="auto"/>
                <w:sz w:val="21"/>
                <w:szCs w:val="21"/>
              </w:rPr>
            </w:pPr>
          </w:p>
        </w:tc>
        <w:tc>
          <w:tcPr>
            <w:tcW w:w="1276" w:type="dxa"/>
            <w:vAlign w:val="center"/>
          </w:tcPr>
          <w:p>
            <w:pPr>
              <w:spacing w:line="360" w:lineRule="auto"/>
              <w:rPr>
                <w:rFonts w:hAnsi="宋体" w:cs="宋体"/>
                <w:color w:val="auto"/>
                <w:sz w:val="21"/>
                <w:szCs w:val="21"/>
              </w:rPr>
            </w:pPr>
          </w:p>
        </w:tc>
        <w:tc>
          <w:tcPr>
            <w:tcW w:w="2928" w:type="dxa"/>
            <w:vAlign w:val="center"/>
          </w:tcPr>
          <w:p>
            <w:pPr>
              <w:spacing w:line="360" w:lineRule="auto"/>
              <w:rPr>
                <w:rFonts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958" w:type="dxa"/>
            <w:vMerge w:val="restart"/>
            <w:vAlign w:val="center"/>
          </w:tcPr>
          <w:p>
            <w:pPr>
              <w:spacing w:line="360" w:lineRule="auto"/>
              <w:jc w:val="center"/>
              <w:rPr>
                <w:rFonts w:hAnsi="宋体" w:cs="宋体"/>
                <w:color w:val="auto"/>
                <w:sz w:val="21"/>
                <w:szCs w:val="21"/>
              </w:rPr>
            </w:pPr>
            <w:r>
              <w:rPr>
                <w:rFonts w:hint="eastAsia" w:hAnsi="宋体" w:cs="宋体"/>
                <w:color w:val="auto"/>
                <w:sz w:val="21"/>
                <w:szCs w:val="21"/>
              </w:rPr>
              <w:t>技</w:t>
            </w:r>
          </w:p>
          <w:p>
            <w:pPr>
              <w:spacing w:line="360" w:lineRule="auto"/>
              <w:jc w:val="center"/>
              <w:rPr>
                <w:rFonts w:hAnsi="宋体" w:cs="宋体"/>
                <w:color w:val="auto"/>
                <w:sz w:val="21"/>
                <w:szCs w:val="21"/>
              </w:rPr>
            </w:pPr>
            <w:r>
              <w:rPr>
                <w:rFonts w:hint="eastAsia" w:hAnsi="宋体" w:cs="宋体"/>
                <w:color w:val="auto"/>
                <w:sz w:val="21"/>
                <w:szCs w:val="21"/>
              </w:rPr>
              <w:t>术</w:t>
            </w:r>
          </w:p>
          <w:p>
            <w:pPr>
              <w:spacing w:line="360" w:lineRule="auto"/>
              <w:jc w:val="center"/>
              <w:rPr>
                <w:rFonts w:hAnsi="宋体" w:cs="宋体"/>
                <w:color w:val="auto"/>
                <w:sz w:val="21"/>
                <w:szCs w:val="21"/>
              </w:rPr>
            </w:pPr>
            <w:r>
              <w:rPr>
                <w:rFonts w:hint="eastAsia" w:hAnsi="宋体" w:cs="宋体"/>
                <w:color w:val="auto"/>
                <w:sz w:val="21"/>
                <w:szCs w:val="21"/>
              </w:rPr>
              <w:t>人</w:t>
            </w:r>
          </w:p>
          <w:p>
            <w:pPr>
              <w:spacing w:line="360" w:lineRule="auto"/>
              <w:jc w:val="center"/>
              <w:rPr>
                <w:rFonts w:hAnsi="宋体" w:cs="宋体"/>
                <w:color w:val="auto"/>
                <w:sz w:val="21"/>
                <w:szCs w:val="21"/>
              </w:rPr>
            </w:pPr>
            <w:r>
              <w:rPr>
                <w:rFonts w:hint="eastAsia" w:hAnsi="宋体" w:cs="宋体"/>
                <w:color w:val="auto"/>
                <w:sz w:val="21"/>
                <w:szCs w:val="21"/>
              </w:rPr>
              <w:t>员</w:t>
            </w:r>
          </w:p>
        </w:tc>
        <w:tc>
          <w:tcPr>
            <w:tcW w:w="821" w:type="dxa"/>
            <w:vAlign w:val="center"/>
          </w:tcPr>
          <w:p>
            <w:pPr>
              <w:spacing w:line="360" w:lineRule="auto"/>
              <w:rPr>
                <w:rFonts w:hAnsi="宋体" w:cs="宋体"/>
                <w:color w:val="auto"/>
                <w:sz w:val="21"/>
                <w:szCs w:val="21"/>
              </w:rPr>
            </w:pPr>
            <w:r>
              <w:rPr>
                <w:rFonts w:hint="eastAsia" w:hAnsi="宋体" w:cs="宋体"/>
                <w:color w:val="auto"/>
                <w:sz w:val="21"/>
                <w:szCs w:val="21"/>
              </w:rPr>
              <w:t>.....</w:t>
            </w:r>
          </w:p>
        </w:tc>
        <w:tc>
          <w:tcPr>
            <w:tcW w:w="821" w:type="dxa"/>
            <w:vAlign w:val="center"/>
          </w:tcPr>
          <w:p>
            <w:pPr>
              <w:spacing w:line="360" w:lineRule="auto"/>
              <w:rPr>
                <w:rFonts w:hAnsi="宋体" w:cs="宋体"/>
                <w:color w:val="auto"/>
                <w:sz w:val="21"/>
                <w:szCs w:val="21"/>
              </w:rPr>
            </w:pPr>
          </w:p>
        </w:tc>
        <w:tc>
          <w:tcPr>
            <w:tcW w:w="1521" w:type="dxa"/>
            <w:vAlign w:val="center"/>
          </w:tcPr>
          <w:p>
            <w:pPr>
              <w:spacing w:line="360" w:lineRule="auto"/>
              <w:rPr>
                <w:rFonts w:hAnsi="宋体" w:cs="宋体"/>
                <w:color w:val="auto"/>
                <w:sz w:val="21"/>
                <w:szCs w:val="21"/>
              </w:rPr>
            </w:pPr>
          </w:p>
        </w:tc>
        <w:tc>
          <w:tcPr>
            <w:tcW w:w="1276" w:type="dxa"/>
            <w:vAlign w:val="center"/>
          </w:tcPr>
          <w:p>
            <w:pPr>
              <w:spacing w:line="360" w:lineRule="auto"/>
              <w:rPr>
                <w:rFonts w:hAnsi="宋体" w:cs="宋体"/>
                <w:color w:val="auto"/>
                <w:sz w:val="21"/>
                <w:szCs w:val="21"/>
              </w:rPr>
            </w:pPr>
          </w:p>
        </w:tc>
        <w:tc>
          <w:tcPr>
            <w:tcW w:w="2928" w:type="dxa"/>
            <w:vAlign w:val="center"/>
          </w:tcPr>
          <w:p>
            <w:pPr>
              <w:spacing w:line="360" w:lineRule="auto"/>
              <w:rPr>
                <w:rFonts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958" w:type="dxa"/>
            <w:vMerge w:val="continue"/>
            <w:vAlign w:val="center"/>
          </w:tcPr>
          <w:p>
            <w:pPr>
              <w:spacing w:line="360" w:lineRule="auto"/>
              <w:jc w:val="center"/>
              <w:rPr>
                <w:rFonts w:hAnsi="宋体" w:cs="宋体"/>
                <w:color w:val="auto"/>
                <w:sz w:val="21"/>
                <w:szCs w:val="21"/>
              </w:rPr>
            </w:pPr>
          </w:p>
        </w:tc>
        <w:tc>
          <w:tcPr>
            <w:tcW w:w="821" w:type="dxa"/>
            <w:vAlign w:val="center"/>
          </w:tcPr>
          <w:p>
            <w:pPr>
              <w:spacing w:line="360" w:lineRule="auto"/>
              <w:rPr>
                <w:rFonts w:hAnsi="宋体" w:cs="宋体"/>
                <w:color w:val="auto"/>
                <w:sz w:val="21"/>
                <w:szCs w:val="21"/>
              </w:rPr>
            </w:pPr>
          </w:p>
        </w:tc>
        <w:tc>
          <w:tcPr>
            <w:tcW w:w="821" w:type="dxa"/>
            <w:vAlign w:val="center"/>
          </w:tcPr>
          <w:p>
            <w:pPr>
              <w:spacing w:line="360" w:lineRule="auto"/>
              <w:rPr>
                <w:rFonts w:hAnsi="宋体" w:cs="宋体"/>
                <w:color w:val="auto"/>
                <w:sz w:val="21"/>
                <w:szCs w:val="21"/>
              </w:rPr>
            </w:pPr>
          </w:p>
        </w:tc>
        <w:tc>
          <w:tcPr>
            <w:tcW w:w="1521" w:type="dxa"/>
            <w:vAlign w:val="center"/>
          </w:tcPr>
          <w:p>
            <w:pPr>
              <w:spacing w:line="360" w:lineRule="auto"/>
              <w:rPr>
                <w:rFonts w:hAnsi="宋体" w:cs="宋体"/>
                <w:color w:val="auto"/>
                <w:sz w:val="21"/>
                <w:szCs w:val="21"/>
              </w:rPr>
            </w:pPr>
          </w:p>
        </w:tc>
        <w:tc>
          <w:tcPr>
            <w:tcW w:w="1276" w:type="dxa"/>
            <w:vAlign w:val="center"/>
          </w:tcPr>
          <w:p>
            <w:pPr>
              <w:spacing w:line="360" w:lineRule="auto"/>
              <w:rPr>
                <w:rFonts w:hAnsi="宋体" w:cs="宋体"/>
                <w:color w:val="auto"/>
                <w:sz w:val="21"/>
                <w:szCs w:val="21"/>
              </w:rPr>
            </w:pPr>
          </w:p>
        </w:tc>
        <w:tc>
          <w:tcPr>
            <w:tcW w:w="2928" w:type="dxa"/>
            <w:vAlign w:val="center"/>
          </w:tcPr>
          <w:p>
            <w:pPr>
              <w:spacing w:line="360" w:lineRule="auto"/>
              <w:rPr>
                <w:rFonts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958" w:type="dxa"/>
            <w:vMerge w:val="continue"/>
            <w:vAlign w:val="center"/>
          </w:tcPr>
          <w:p>
            <w:pPr>
              <w:spacing w:line="360" w:lineRule="auto"/>
              <w:jc w:val="center"/>
              <w:rPr>
                <w:rFonts w:hAnsi="宋体" w:cs="宋体"/>
                <w:color w:val="auto"/>
                <w:sz w:val="21"/>
                <w:szCs w:val="21"/>
              </w:rPr>
            </w:pPr>
          </w:p>
        </w:tc>
        <w:tc>
          <w:tcPr>
            <w:tcW w:w="821" w:type="dxa"/>
            <w:vAlign w:val="center"/>
          </w:tcPr>
          <w:p>
            <w:pPr>
              <w:spacing w:line="360" w:lineRule="auto"/>
              <w:rPr>
                <w:rFonts w:hAnsi="宋体" w:cs="宋体"/>
                <w:color w:val="auto"/>
                <w:sz w:val="21"/>
                <w:szCs w:val="21"/>
              </w:rPr>
            </w:pPr>
          </w:p>
        </w:tc>
        <w:tc>
          <w:tcPr>
            <w:tcW w:w="821" w:type="dxa"/>
            <w:vAlign w:val="center"/>
          </w:tcPr>
          <w:p>
            <w:pPr>
              <w:spacing w:line="360" w:lineRule="auto"/>
              <w:rPr>
                <w:rFonts w:hAnsi="宋体" w:cs="宋体"/>
                <w:color w:val="auto"/>
                <w:sz w:val="21"/>
                <w:szCs w:val="21"/>
              </w:rPr>
            </w:pPr>
          </w:p>
        </w:tc>
        <w:tc>
          <w:tcPr>
            <w:tcW w:w="1521" w:type="dxa"/>
            <w:vAlign w:val="center"/>
          </w:tcPr>
          <w:p>
            <w:pPr>
              <w:spacing w:line="360" w:lineRule="auto"/>
              <w:rPr>
                <w:rFonts w:hAnsi="宋体" w:cs="宋体"/>
                <w:color w:val="auto"/>
                <w:sz w:val="21"/>
                <w:szCs w:val="21"/>
              </w:rPr>
            </w:pPr>
          </w:p>
        </w:tc>
        <w:tc>
          <w:tcPr>
            <w:tcW w:w="1276" w:type="dxa"/>
            <w:vAlign w:val="center"/>
          </w:tcPr>
          <w:p>
            <w:pPr>
              <w:spacing w:line="360" w:lineRule="auto"/>
              <w:rPr>
                <w:rFonts w:hAnsi="宋体" w:cs="宋体"/>
                <w:color w:val="auto"/>
                <w:sz w:val="21"/>
                <w:szCs w:val="21"/>
              </w:rPr>
            </w:pPr>
          </w:p>
        </w:tc>
        <w:tc>
          <w:tcPr>
            <w:tcW w:w="2928" w:type="dxa"/>
            <w:vAlign w:val="center"/>
          </w:tcPr>
          <w:p>
            <w:pPr>
              <w:spacing w:line="360" w:lineRule="auto"/>
              <w:rPr>
                <w:rFonts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958" w:type="dxa"/>
            <w:vMerge w:val="restart"/>
            <w:vAlign w:val="center"/>
          </w:tcPr>
          <w:p>
            <w:pPr>
              <w:spacing w:line="360" w:lineRule="auto"/>
              <w:jc w:val="center"/>
              <w:rPr>
                <w:rFonts w:hAnsi="宋体" w:cs="宋体"/>
                <w:color w:val="auto"/>
                <w:sz w:val="21"/>
                <w:szCs w:val="21"/>
              </w:rPr>
            </w:pPr>
            <w:r>
              <w:rPr>
                <w:rFonts w:hint="eastAsia" w:hAnsi="宋体" w:cs="宋体"/>
                <w:color w:val="auto"/>
                <w:sz w:val="21"/>
                <w:szCs w:val="21"/>
              </w:rPr>
              <w:t>售后</w:t>
            </w:r>
          </w:p>
          <w:p>
            <w:pPr>
              <w:spacing w:line="360" w:lineRule="auto"/>
              <w:jc w:val="center"/>
              <w:rPr>
                <w:rFonts w:hAnsi="宋体" w:cs="宋体"/>
                <w:color w:val="auto"/>
                <w:sz w:val="21"/>
                <w:szCs w:val="21"/>
              </w:rPr>
            </w:pPr>
            <w:r>
              <w:rPr>
                <w:rFonts w:hint="eastAsia" w:hAnsi="宋体" w:cs="宋体"/>
                <w:color w:val="auto"/>
                <w:sz w:val="21"/>
                <w:szCs w:val="21"/>
              </w:rPr>
              <w:t>服务</w:t>
            </w:r>
          </w:p>
          <w:p>
            <w:pPr>
              <w:spacing w:line="360" w:lineRule="auto"/>
              <w:jc w:val="center"/>
              <w:rPr>
                <w:rFonts w:hAnsi="宋体" w:cs="宋体"/>
                <w:color w:val="auto"/>
                <w:sz w:val="21"/>
                <w:szCs w:val="21"/>
              </w:rPr>
            </w:pPr>
            <w:r>
              <w:rPr>
                <w:rFonts w:hint="eastAsia" w:hAnsi="宋体" w:cs="宋体"/>
                <w:color w:val="auto"/>
                <w:sz w:val="21"/>
                <w:szCs w:val="21"/>
              </w:rPr>
              <w:t>人员</w:t>
            </w:r>
          </w:p>
        </w:tc>
        <w:tc>
          <w:tcPr>
            <w:tcW w:w="821" w:type="dxa"/>
            <w:vAlign w:val="center"/>
          </w:tcPr>
          <w:p>
            <w:pPr>
              <w:spacing w:line="360" w:lineRule="auto"/>
              <w:rPr>
                <w:rFonts w:hAnsi="宋体" w:cs="宋体"/>
                <w:color w:val="auto"/>
                <w:sz w:val="21"/>
                <w:szCs w:val="21"/>
              </w:rPr>
            </w:pPr>
            <w:r>
              <w:rPr>
                <w:rFonts w:hint="eastAsia" w:hAnsi="宋体" w:cs="宋体"/>
                <w:color w:val="auto"/>
                <w:sz w:val="21"/>
                <w:szCs w:val="21"/>
              </w:rPr>
              <w:t>.....</w:t>
            </w:r>
          </w:p>
        </w:tc>
        <w:tc>
          <w:tcPr>
            <w:tcW w:w="821" w:type="dxa"/>
            <w:vAlign w:val="center"/>
          </w:tcPr>
          <w:p>
            <w:pPr>
              <w:spacing w:line="360" w:lineRule="auto"/>
              <w:rPr>
                <w:rFonts w:hAnsi="宋体" w:cs="宋体"/>
                <w:color w:val="auto"/>
                <w:sz w:val="21"/>
                <w:szCs w:val="21"/>
              </w:rPr>
            </w:pPr>
          </w:p>
        </w:tc>
        <w:tc>
          <w:tcPr>
            <w:tcW w:w="1521" w:type="dxa"/>
            <w:vAlign w:val="center"/>
          </w:tcPr>
          <w:p>
            <w:pPr>
              <w:spacing w:line="360" w:lineRule="auto"/>
              <w:rPr>
                <w:rFonts w:hAnsi="宋体" w:cs="宋体"/>
                <w:color w:val="auto"/>
                <w:sz w:val="21"/>
                <w:szCs w:val="21"/>
              </w:rPr>
            </w:pPr>
          </w:p>
        </w:tc>
        <w:tc>
          <w:tcPr>
            <w:tcW w:w="1276" w:type="dxa"/>
            <w:vAlign w:val="center"/>
          </w:tcPr>
          <w:p>
            <w:pPr>
              <w:spacing w:line="360" w:lineRule="auto"/>
              <w:rPr>
                <w:rFonts w:hAnsi="宋体" w:cs="宋体"/>
                <w:color w:val="auto"/>
                <w:sz w:val="21"/>
                <w:szCs w:val="21"/>
              </w:rPr>
            </w:pPr>
          </w:p>
        </w:tc>
        <w:tc>
          <w:tcPr>
            <w:tcW w:w="2928" w:type="dxa"/>
            <w:vAlign w:val="center"/>
          </w:tcPr>
          <w:p>
            <w:pPr>
              <w:spacing w:line="360" w:lineRule="auto"/>
              <w:rPr>
                <w:rFonts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958" w:type="dxa"/>
            <w:vMerge w:val="continue"/>
            <w:vAlign w:val="center"/>
          </w:tcPr>
          <w:p>
            <w:pPr>
              <w:spacing w:line="360" w:lineRule="auto"/>
              <w:rPr>
                <w:rFonts w:hAnsi="宋体" w:cs="宋体"/>
                <w:color w:val="auto"/>
                <w:sz w:val="21"/>
                <w:szCs w:val="21"/>
              </w:rPr>
            </w:pPr>
          </w:p>
        </w:tc>
        <w:tc>
          <w:tcPr>
            <w:tcW w:w="821" w:type="dxa"/>
            <w:vAlign w:val="center"/>
          </w:tcPr>
          <w:p>
            <w:pPr>
              <w:spacing w:line="360" w:lineRule="auto"/>
              <w:rPr>
                <w:rFonts w:hAnsi="宋体" w:cs="宋体"/>
                <w:color w:val="auto"/>
                <w:sz w:val="21"/>
                <w:szCs w:val="21"/>
              </w:rPr>
            </w:pPr>
          </w:p>
        </w:tc>
        <w:tc>
          <w:tcPr>
            <w:tcW w:w="821" w:type="dxa"/>
            <w:vAlign w:val="center"/>
          </w:tcPr>
          <w:p>
            <w:pPr>
              <w:spacing w:line="360" w:lineRule="auto"/>
              <w:rPr>
                <w:rFonts w:hAnsi="宋体" w:cs="宋体"/>
                <w:b/>
                <w:bCs/>
                <w:color w:val="auto"/>
                <w:sz w:val="21"/>
                <w:szCs w:val="21"/>
              </w:rPr>
            </w:pPr>
          </w:p>
        </w:tc>
        <w:tc>
          <w:tcPr>
            <w:tcW w:w="1521" w:type="dxa"/>
            <w:vAlign w:val="center"/>
          </w:tcPr>
          <w:p>
            <w:pPr>
              <w:spacing w:line="360" w:lineRule="auto"/>
              <w:rPr>
                <w:rFonts w:hAnsi="宋体" w:cs="宋体"/>
                <w:b/>
                <w:bCs/>
                <w:color w:val="auto"/>
                <w:sz w:val="21"/>
                <w:szCs w:val="21"/>
              </w:rPr>
            </w:pPr>
          </w:p>
        </w:tc>
        <w:tc>
          <w:tcPr>
            <w:tcW w:w="1276" w:type="dxa"/>
            <w:vAlign w:val="center"/>
          </w:tcPr>
          <w:p>
            <w:pPr>
              <w:spacing w:line="360" w:lineRule="auto"/>
              <w:rPr>
                <w:rFonts w:hAnsi="宋体" w:cs="宋体"/>
                <w:b/>
                <w:bCs/>
                <w:color w:val="auto"/>
                <w:sz w:val="21"/>
                <w:szCs w:val="21"/>
              </w:rPr>
            </w:pPr>
          </w:p>
        </w:tc>
        <w:tc>
          <w:tcPr>
            <w:tcW w:w="2928" w:type="dxa"/>
            <w:vAlign w:val="center"/>
          </w:tcPr>
          <w:p>
            <w:pPr>
              <w:spacing w:line="360" w:lineRule="auto"/>
              <w:rPr>
                <w:rFonts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958" w:type="dxa"/>
            <w:vMerge w:val="continue"/>
            <w:vAlign w:val="center"/>
          </w:tcPr>
          <w:p>
            <w:pPr>
              <w:spacing w:line="360" w:lineRule="auto"/>
              <w:rPr>
                <w:rFonts w:hAnsi="宋体" w:cs="宋体"/>
                <w:color w:val="auto"/>
                <w:sz w:val="21"/>
                <w:szCs w:val="21"/>
              </w:rPr>
            </w:pPr>
          </w:p>
        </w:tc>
        <w:tc>
          <w:tcPr>
            <w:tcW w:w="821" w:type="dxa"/>
            <w:vAlign w:val="center"/>
          </w:tcPr>
          <w:p>
            <w:pPr>
              <w:spacing w:line="360" w:lineRule="auto"/>
              <w:rPr>
                <w:rFonts w:hAnsi="宋体" w:cs="宋体"/>
                <w:color w:val="auto"/>
                <w:sz w:val="21"/>
                <w:szCs w:val="21"/>
              </w:rPr>
            </w:pPr>
          </w:p>
        </w:tc>
        <w:tc>
          <w:tcPr>
            <w:tcW w:w="821" w:type="dxa"/>
            <w:vAlign w:val="center"/>
          </w:tcPr>
          <w:p>
            <w:pPr>
              <w:spacing w:line="360" w:lineRule="auto"/>
              <w:rPr>
                <w:rFonts w:hAnsi="宋体" w:cs="宋体"/>
                <w:b/>
                <w:bCs/>
                <w:color w:val="auto"/>
                <w:sz w:val="21"/>
                <w:szCs w:val="21"/>
              </w:rPr>
            </w:pPr>
          </w:p>
        </w:tc>
        <w:tc>
          <w:tcPr>
            <w:tcW w:w="1521" w:type="dxa"/>
            <w:vAlign w:val="center"/>
          </w:tcPr>
          <w:p>
            <w:pPr>
              <w:spacing w:line="360" w:lineRule="auto"/>
              <w:rPr>
                <w:rFonts w:hAnsi="宋体" w:cs="宋体"/>
                <w:b/>
                <w:bCs/>
                <w:color w:val="auto"/>
                <w:sz w:val="21"/>
                <w:szCs w:val="21"/>
              </w:rPr>
            </w:pPr>
          </w:p>
        </w:tc>
        <w:tc>
          <w:tcPr>
            <w:tcW w:w="1276" w:type="dxa"/>
            <w:vAlign w:val="center"/>
          </w:tcPr>
          <w:p>
            <w:pPr>
              <w:spacing w:line="360" w:lineRule="auto"/>
              <w:rPr>
                <w:rFonts w:hAnsi="宋体" w:cs="宋体"/>
                <w:b/>
                <w:bCs/>
                <w:color w:val="auto"/>
                <w:sz w:val="21"/>
                <w:szCs w:val="21"/>
              </w:rPr>
            </w:pPr>
          </w:p>
        </w:tc>
        <w:tc>
          <w:tcPr>
            <w:tcW w:w="2928" w:type="dxa"/>
            <w:vAlign w:val="center"/>
          </w:tcPr>
          <w:p>
            <w:pPr>
              <w:spacing w:line="360" w:lineRule="auto"/>
              <w:rPr>
                <w:rFonts w:hAnsi="宋体" w:cs="宋体"/>
                <w:b/>
                <w:bCs/>
                <w:color w:val="auto"/>
                <w:sz w:val="21"/>
                <w:szCs w:val="21"/>
              </w:rPr>
            </w:pPr>
          </w:p>
        </w:tc>
      </w:tr>
    </w:tbl>
    <w:p>
      <w:pPr>
        <w:spacing w:line="360" w:lineRule="auto"/>
        <w:ind w:firstLine="470" w:firstLineChars="196"/>
        <w:jc w:val="left"/>
        <w:outlineLvl w:val="1"/>
        <w:rPr>
          <w:rFonts w:hAnsi="宋体" w:cs="宋体"/>
          <w:color w:val="auto"/>
        </w:rPr>
      </w:pPr>
      <w:r>
        <w:rPr>
          <w:rFonts w:hint="eastAsia" w:hAnsi="宋体" w:cs="宋体"/>
          <w:color w:val="auto"/>
        </w:rPr>
        <w:t>注：1.投标人应按招标文件要求提供为本案服务及售后工作人员相关证明材料，便于评标委员会予以综合评定。</w:t>
      </w:r>
    </w:p>
    <w:p>
      <w:pPr>
        <w:spacing w:line="360" w:lineRule="auto"/>
        <w:ind w:firstLine="470" w:firstLineChars="196"/>
        <w:jc w:val="left"/>
        <w:outlineLvl w:val="1"/>
        <w:rPr>
          <w:rFonts w:hAnsi="宋体" w:cs="宋体"/>
          <w:color w:val="auto"/>
        </w:rPr>
      </w:pPr>
      <w:r>
        <w:rPr>
          <w:rFonts w:hint="eastAsia" w:hAnsi="宋体" w:cs="宋体"/>
          <w:color w:val="auto"/>
        </w:rPr>
        <w:t>2．投标供应商自行承担因资料不齐而导致在评分时被扣分的风险。</w:t>
      </w:r>
    </w:p>
    <w:p>
      <w:pPr>
        <w:spacing w:line="360" w:lineRule="auto"/>
        <w:jc w:val="left"/>
        <w:outlineLvl w:val="1"/>
        <w:rPr>
          <w:rFonts w:hAnsi="宋体" w:cs="宋体"/>
          <w:color w:val="auto"/>
        </w:rPr>
      </w:pPr>
    </w:p>
    <w:p>
      <w:pPr>
        <w:spacing w:line="360" w:lineRule="auto"/>
        <w:ind w:firstLine="470" w:firstLineChars="196"/>
        <w:jc w:val="left"/>
        <w:outlineLvl w:val="1"/>
        <w:rPr>
          <w:rFonts w:hAnsi="宋体" w:cs="宋体"/>
          <w:color w:val="auto"/>
        </w:rPr>
      </w:pPr>
      <w:r>
        <w:rPr>
          <w:rFonts w:hint="eastAsia" w:hAnsi="宋体" w:cs="宋体"/>
          <w:color w:val="auto"/>
        </w:rPr>
        <w:t>投标人名称：（盖公章）</w:t>
      </w:r>
    </w:p>
    <w:p>
      <w:pPr>
        <w:spacing w:line="360" w:lineRule="auto"/>
        <w:ind w:firstLine="470" w:firstLineChars="196"/>
        <w:jc w:val="left"/>
        <w:outlineLvl w:val="1"/>
        <w:rPr>
          <w:rFonts w:hAnsi="宋体" w:cs="宋体"/>
          <w:color w:val="auto"/>
        </w:rPr>
      </w:pPr>
      <w:r>
        <w:rPr>
          <w:rFonts w:hint="eastAsia" w:hAnsi="宋体" w:cs="宋体"/>
          <w:color w:val="auto"/>
        </w:rPr>
        <w:t>法定代表人或委托代理人（签字或盖章）：</w:t>
      </w:r>
    </w:p>
    <w:p>
      <w:pPr>
        <w:spacing w:line="360" w:lineRule="auto"/>
        <w:ind w:firstLine="470" w:firstLineChars="196"/>
        <w:jc w:val="left"/>
        <w:outlineLvl w:val="1"/>
        <w:rPr>
          <w:rFonts w:hAnsi="宋体" w:cs="宋体"/>
          <w:color w:val="auto"/>
        </w:rPr>
      </w:pPr>
      <w:r>
        <w:rPr>
          <w:rFonts w:hint="eastAsia" w:hAnsi="宋体" w:cs="宋体"/>
          <w:color w:val="auto"/>
        </w:rPr>
        <w:t xml:space="preserve">日期:  </w:t>
      </w:r>
    </w:p>
    <w:p>
      <w:pPr>
        <w:spacing w:line="360" w:lineRule="auto"/>
        <w:ind w:firstLine="472" w:firstLineChars="196"/>
        <w:jc w:val="left"/>
        <w:outlineLvl w:val="1"/>
        <w:rPr>
          <w:rFonts w:hAnsi="宋体" w:cs="宋体"/>
          <w:b/>
          <w:color w:val="auto"/>
        </w:rPr>
      </w:pPr>
    </w:p>
    <w:p>
      <w:pPr>
        <w:spacing w:line="360" w:lineRule="auto"/>
        <w:rPr>
          <w:rFonts w:hAnsi="宋体" w:cs="宋体"/>
          <w:b/>
          <w:color w:val="auto"/>
          <w:sz w:val="32"/>
          <w:szCs w:val="32"/>
        </w:rPr>
      </w:pPr>
      <w:r>
        <w:rPr>
          <w:rFonts w:hint="eastAsia" w:hAnsi="宋体" w:cs="宋体"/>
          <w:b/>
          <w:color w:val="auto"/>
        </w:rPr>
        <w:br w:type="page"/>
      </w:r>
      <w:r>
        <w:rPr>
          <w:rFonts w:hint="eastAsia" w:hAnsi="宋体" w:cs="宋体"/>
          <w:b/>
          <w:color w:val="auto"/>
          <w:sz w:val="32"/>
          <w:szCs w:val="32"/>
        </w:rPr>
        <w:t>格式2-11</w:t>
      </w:r>
    </w:p>
    <w:p>
      <w:pPr>
        <w:spacing w:line="360" w:lineRule="atLeast"/>
        <w:jc w:val="center"/>
        <w:outlineLvl w:val="1"/>
        <w:rPr>
          <w:rFonts w:ascii="仿宋" w:hAnsi="仿宋" w:eastAsia="仿宋"/>
          <w:b/>
          <w:sz w:val="32"/>
          <w:szCs w:val="32"/>
        </w:rPr>
      </w:pPr>
      <w:r>
        <w:rPr>
          <w:rFonts w:hint="eastAsia" w:ascii="仿宋" w:hAnsi="仿宋" w:eastAsia="仿宋"/>
          <w:b/>
          <w:sz w:val="32"/>
          <w:szCs w:val="32"/>
        </w:rPr>
        <w:t>十、中小企业（监狱企业）声明函</w:t>
      </w:r>
    </w:p>
    <w:p>
      <w:pPr>
        <w:spacing w:line="360" w:lineRule="atLeast"/>
        <w:jc w:val="center"/>
        <w:outlineLvl w:val="1"/>
        <w:rPr>
          <w:rFonts w:ascii="仿宋" w:hAnsi="仿宋" w:eastAsia="仿宋"/>
          <w:b/>
          <w:sz w:val="32"/>
          <w:szCs w:val="32"/>
        </w:rPr>
      </w:pPr>
    </w:p>
    <w:p>
      <w:pPr>
        <w:spacing w:line="360" w:lineRule="auto"/>
        <w:ind w:firstLine="480" w:firstLineChars="200"/>
        <w:jc w:val="left"/>
        <w:rPr>
          <w:rFonts w:hAnsi="宋体" w:cs="宋体"/>
        </w:rPr>
      </w:pPr>
      <w:r>
        <w:rPr>
          <w:rFonts w:hint="eastAsia" w:hAnsi="宋体" w:cs="宋体"/>
        </w:rPr>
        <w:t xml:space="preserve">本公司郑重声明，根据《政府采购促进中小企业发展管理办法》（财库〔2020〕46 号）或《政府采购支持监狱企业发展有关问题的通知》（财库〔2014〕68号）的规定，本公司（联合体）参加 </w:t>
      </w:r>
      <w:r>
        <w:rPr>
          <w:rFonts w:hint="eastAsia" w:hAnsi="宋体" w:cs="宋体"/>
          <w:u w:val="single"/>
        </w:rPr>
        <w:t xml:space="preserve">（单位名称） </w:t>
      </w:r>
      <w:r>
        <w:rPr>
          <w:rFonts w:hint="eastAsia" w:hAnsi="宋体" w:cs="宋体"/>
        </w:rPr>
        <w:t xml:space="preserve">的 </w:t>
      </w:r>
      <w:r>
        <w:rPr>
          <w:rFonts w:hint="eastAsia" w:hAnsi="宋体" w:cs="宋体"/>
          <w:u w:val="single"/>
        </w:rPr>
        <w:t xml:space="preserve">（项目名称） </w:t>
      </w:r>
      <w:r>
        <w:rPr>
          <w:rFonts w:hint="eastAsia" w:hAnsi="宋体" w:cs="宋体"/>
        </w:rPr>
        <w:t>采购活动，提供的货物全部由符合政策要求的中小企业制造。相关企业（含联合体中的中小企业、签订分包意向协议的中小企业）的具体情况如下：</w:t>
      </w:r>
    </w:p>
    <w:p>
      <w:pPr>
        <w:spacing w:line="360" w:lineRule="auto"/>
        <w:ind w:firstLine="480" w:firstLineChars="200"/>
        <w:jc w:val="left"/>
        <w:rPr>
          <w:rFonts w:hAnsi="宋体" w:cs="宋体"/>
        </w:rPr>
      </w:pPr>
      <w:r>
        <w:rPr>
          <w:rFonts w:hint="eastAsia" w:hAnsi="宋体" w:cs="宋体"/>
        </w:rPr>
        <w:t>　　</w:t>
      </w:r>
      <w:bookmarkStart w:id="195" w:name="_Toc387658050"/>
      <w:bookmarkStart w:id="196" w:name="_Toc417911732"/>
      <w:bookmarkStart w:id="197" w:name="_Toc413748654"/>
      <w:bookmarkStart w:id="198" w:name="_Toc387147344"/>
      <w:bookmarkStart w:id="199" w:name="_Toc419811733"/>
      <w:r>
        <w:rPr>
          <w:rFonts w:hint="eastAsia" w:hAnsi="宋体" w:cs="宋体"/>
        </w:rPr>
        <w:t xml:space="preserve">1. </w:t>
      </w:r>
      <w:r>
        <w:rPr>
          <w:rFonts w:hint="eastAsia" w:hAnsi="宋体" w:cs="宋体"/>
          <w:u w:val="single"/>
        </w:rPr>
        <w:t xml:space="preserve">（标的名称） </w:t>
      </w:r>
      <w:r>
        <w:rPr>
          <w:rFonts w:hint="eastAsia" w:hAnsi="宋体" w:cs="宋体"/>
        </w:rPr>
        <w:t>，属于</w:t>
      </w:r>
      <w:r>
        <w:rPr>
          <w:rFonts w:hint="eastAsia" w:hAnsi="宋体" w:cs="宋体"/>
          <w:u w:val="single"/>
        </w:rPr>
        <w:t xml:space="preserve"> （采购文件中明确的所属行业） </w:t>
      </w:r>
      <w:r>
        <w:rPr>
          <w:rFonts w:hint="eastAsia" w:hAnsi="宋体" w:cs="宋体"/>
        </w:rPr>
        <w:t>；制造商为</w:t>
      </w:r>
      <w:r>
        <w:rPr>
          <w:rFonts w:hint="eastAsia" w:hAnsi="宋体" w:cs="宋体"/>
          <w:u w:val="single"/>
        </w:rPr>
        <w:t xml:space="preserve"> （企业名称） </w:t>
      </w:r>
      <w:r>
        <w:rPr>
          <w:rFonts w:hint="eastAsia" w:hAnsi="宋体" w:cs="宋体"/>
        </w:rPr>
        <w:t>，从业人员</w:t>
      </w:r>
      <w:r>
        <w:rPr>
          <w:rFonts w:hint="eastAsia" w:hAnsi="宋体" w:cs="宋体"/>
          <w:u w:val="single"/>
        </w:rPr>
        <w:t xml:space="preserve">   </w:t>
      </w:r>
      <w:r>
        <w:rPr>
          <w:rFonts w:hint="eastAsia" w:hAnsi="宋体" w:cs="宋体"/>
        </w:rPr>
        <w:t>人，营业收入为</w:t>
      </w:r>
      <w:r>
        <w:rPr>
          <w:rFonts w:hint="eastAsia" w:hAnsi="宋体" w:cs="宋体"/>
          <w:u w:val="single"/>
        </w:rPr>
        <w:t xml:space="preserve">    </w:t>
      </w:r>
      <w:r>
        <w:rPr>
          <w:rFonts w:hint="eastAsia" w:hAnsi="宋体" w:cs="宋体"/>
        </w:rPr>
        <w:t>万元，资产总额为</w:t>
      </w:r>
      <w:r>
        <w:rPr>
          <w:rFonts w:hint="eastAsia" w:hAnsi="宋体" w:cs="宋体"/>
          <w:u w:val="single"/>
        </w:rPr>
        <w:t xml:space="preserve">   </w:t>
      </w:r>
      <w:r>
        <w:rPr>
          <w:rFonts w:hint="eastAsia" w:hAnsi="宋体" w:cs="宋体"/>
        </w:rPr>
        <w:t>万元，属于</w:t>
      </w:r>
      <w:r>
        <w:rPr>
          <w:rFonts w:hint="eastAsia" w:hAnsi="宋体" w:cs="宋体"/>
          <w:u w:val="single"/>
        </w:rPr>
        <w:t xml:space="preserve"> （中型企业、小型企业、微型企业） </w:t>
      </w:r>
      <w:r>
        <w:rPr>
          <w:rFonts w:hint="eastAsia" w:hAnsi="宋体" w:cs="宋体"/>
        </w:rPr>
        <w:t>；</w:t>
      </w:r>
    </w:p>
    <w:p>
      <w:pPr>
        <w:spacing w:line="360" w:lineRule="auto"/>
        <w:ind w:firstLine="600" w:firstLineChars="250"/>
        <w:jc w:val="left"/>
        <w:rPr>
          <w:rFonts w:hAnsi="宋体" w:cs="宋体"/>
        </w:rPr>
      </w:pPr>
      <w:r>
        <w:rPr>
          <w:rFonts w:hint="eastAsia" w:hAnsi="宋体" w:cs="宋体"/>
        </w:rPr>
        <w:t>2.</w:t>
      </w:r>
      <w:r>
        <w:rPr>
          <w:rFonts w:hint="eastAsia" w:hAnsi="宋体" w:cs="宋体"/>
          <w:u w:val="single"/>
        </w:rPr>
        <w:t xml:space="preserve"> （标的名称） </w:t>
      </w:r>
      <w:r>
        <w:rPr>
          <w:rFonts w:hint="eastAsia" w:hAnsi="宋体" w:cs="宋体"/>
        </w:rPr>
        <w:t>，属于</w:t>
      </w:r>
      <w:r>
        <w:rPr>
          <w:rFonts w:hint="eastAsia" w:hAnsi="宋体" w:cs="宋体"/>
          <w:u w:val="single"/>
        </w:rPr>
        <w:t xml:space="preserve"> （采购文件中明确的所属行业） </w:t>
      </w:r>
      <w:r>
        <w:rPr>
          <w:rFonts w:hint="eastAsia" w:hAnsi="宋体" w:cs="宋体"/>
        </w:rPr>
        <w:t>；制造商为</w:t>
      </w:r>
      <w:r>
        <w:rPr>
          <w:rFonts w:hint="eastAsia" w:hAnsi="宋体" w:cs="宋体"/>
          <w:u w:val="single"/>
        </w:rPr>
        <w:t xml:space="preserve"> （企业名称） </w:t>
      </w:r>
      <w:r>
        <w:rPr>
          <w:rFonts w:hint="eastAsia" w:hAnsi="宋体" w:cs="宋体"/>
        </w:rPr>
        <w:t>，从业人员</w:t>
      </w:r>
      <w:r>
        <w:rPr>
          <w:rFonts w:hint="eastAsia" w:hAnsi="宋体" w:cs="宋体"/>
          <w:u w:val="single"/>
        </w:rPr>
        <w:t xml:space="preserve">   </w:t>
      </w:r>
      <w:r>
        <w:rPr>
          <w:rFonts w:hint="eastAsia" w:hAnsi="宋体" w:cs="宋体"/>
        </w:rPr>
        <w:t>人，营业收入为</w:t>
      </w:r>
      <w:r>
        <w:rPr>
          <w:rFonts w:hint="eastAsia" w:hAnsi="宋体" w:cs="宋体"/>
          <w:u w:val="single"/>
        </w:rPr>
        <w:t xml:space="preserve">    </w:t>
      </w:r>
      <w:r>
        <w:rPr>
          <w:rFonts w:hint="eastAsia" w:hAnsi="宋体" w:cs="宋体"/>
        </w:rPr>
        <w:t>万元，资产总额为</w:t>
      </w:r>
      <w:r>
        <w:rPr>
          <w:rFonts w:hint="eastAsia" w:hAnsi="宋体" w:cs="宋体"/>
          <w:u w:val="single"/>
        </w:rPr>
        <w:t xml:space="preserve">   </w:t>
      </w:r>
      <w:r>
        <w:rPr>
          <w:rFonts w:hint="eastAsia" w:hAnsi="宋体" w:cs="宋体"/>
        </w:rPr>
        <w:t>万元，属于</w:t>
      </w:r>
      <w:r>
        <w:rPr>
          <w:rFonts w:hint="eastAsia" w:hAnsi="宋体" w:cs="宋体"/>
          <w:u w:val="single"/>
        </w:rPr>
        <w:t xml:space="preserve"> （中型企业、小型企业、微型企业） </w:t>
      </w:r>
      <w:r>
        <w:rPr>
          <w:rFonts w:hint="eastAsia" w:hAnsi="宋体" w:cs="宋体"/>
        </w:rPr>
        <w:t>；</w:t>
      </w:r>
    </w:p>
    <w:p>
      <w:pPr>
        <w:spacing w:line="360" w:lineRule="auto"/>
        <w:ind w:firstLine="600" w:firstLineChars="250"/>
        <w:jc w:val="left"/>
        <w:rPr>
          <w:rFonts w:hAnsi="宋体" w:cs="宋体"/>
        </w:rPr>
      </w:pPr>
      <w:r>
        <w:rPr>
          <w:rFonts w:hint="eastAsia" w:hAnsi="宋体" w:cs="宋体"/>
        </w:rPr>
        <w:t>……</w:t>
      </w:r>
    </w:p>
    <w:p>
      <w:pPr>
        <w:spacing w:line="360" w:lineRule="auto"/>
        <w:ind w:firstLine="600" w:firstLineChars="250"/>
        <w:jc w:val="left"/>
        <w:rPr>
          <w:rFonts w:hAnsi="宋体" w:cs="宋体"/>
        </w:rPr>
      </w:pPr>
      <w:r>
        <w:rPr>
          <w:rFonts w:hint="eastAsia" w:hAnsi="宋体" w:cs="宋体"/>
        </w:rPr>
        <w:t>以上企业，不属于大企业的分支机构，不存在控股股东为大企业的情形，也不存在与大企业的负责人为同一人的情形。</w:t>
      </w:r>
    </w:p>
    <w:p>
      <w:pPr>
        <w:spacing w:line="360" w:lineRule="auto"/>
        <w:ind w:firstLine="600" w:firstLineChars="250"/>
        <w:jc w:val="left"/>
        <w:rPr>
          <w:rFonts w:hAnsi="宋体" w:cs="宋体"/>
        </w:rPr>
      </w:pPr>
      <w:r>
        <w:rPr>
          <w:rFonts w:hint="eastAsia" w:hAnsi="宋体" w:cs="宋体"/>
        </w:rPr>
        <w:t>本企业对上述声明内容的真实性负责。如有虚假，将依法承担相应责任。</w:t>
      </w:r>
    </w:p>
    <w:p>
      <w:pPr>
        <w:spacing w:line="360" w:lineRule="auto"/>
        <w:jc w:val="center"/>
        <w:rPr>
          <w:rFonts w:hAnsi="宋体" w:cs="宋体"/>
        </w:rPr>
      </w:pPr>
      <w:r>
        <w:rPr>
          <w:rFonts w:hint="eastAsia" w:hAnsi="宋体" w:cs="宋体"/>
        </w:rPr>
        <w:t xml:space="preserve">                                 企业名称（盖章）：</w:t>
      </w:r>
    </w:p>
    <w:p>
      <w:pPr>
        <w:spacing w:line="360" w:lineRule="auto"/>
        <w:jc w:val="center"/>
        <w:rPr>
          <w:rFonts w:hAnsi="宋体" w:cs="宋体"/>
        </w:rPr>
      </w:pPr>
      <w:r>
        <w:rPr>
          <w:rFonts w:hint="eastAsia" w:hAnsi="宋体" w:cs="宋体"/>
        </w:rPr>
        <w:t xml:space="preserve">                        日 期：</w:t>
      </w:r>
    </w:p>
    <w:bookmarkEnd w:id="195"/>
    <w:bookmarkEnd w:id="196"/>
    <w:bookmarkEnd w:id="197"/>
    <w:bookmarkEnd w:id="198"/>
    <w:bookmarkEnd w:id="199"/>
    <w:p>
      <w:pPr>
        <w:spacing w:line="360" w:lineRule="auto"/>
        <w:rPr>
          <w:rFonts w:hAnsi="宋体" w:cs="宋体"/>
        </w:rPr>
      </w:pPr>
      <w:r>
        <w:rPr>
          <w:rFonts w:hint="eastAsia" w:hAnsi="宋体" w:cs="宋体"/>
        </w:rPr>
        <w:t>注：</w:t>
      </w:r>
    </w:p>
    <w:p>
      <w:pPr>
        <w:spacing w:line="360" w:lineRule="auto"/>
        <w:rPr>
          <w:rFonts w:hAnsi="宋体" w:cs="宋体"/>
        </w:rPr>
      </w:pPr>
      <w:r>
        <w:rPr>
          <w:rFonts w:hint="eastAsia" w:hAnsi="宋体" w:cs="宋体"/>
        </w:rPr>
        <w:t>1、从业人员、营业收入、资产总额填报上一年度数据，无上一年度数据的新成立企业可不填报。</w:t>
      </w:r>
    </w:p>
    <w:p>
      <w:pPr>
        <w:spacing w:line="360" w:lineRule="auto"/>
        <w:rPr>
          <w:rFonts w:hAnsi="宋体" w:cs="宋体"/>
          <w:b/>
          <w:color w:val="auto"/>
          <w:sz w:val="32"/>
          <w:szCs w:val="32"/>
        </w:rPr>
      </w:pPr>
      <w:r>
        <w:rPr>
          <w:rFonts w:hint="eastAsia" w:hAnsi="宋体" w:cs="宋体"/>
          <w:color w:val="auto"/>
        </w:rPr>
        <w:br w:type="page"/>
      </w:r>
      <w:r>
        <w:rPr>
          <w:rFonts w:hint="eastAsia" w:hAnsi="宋体" w:cs="宋体"/>
          <w:b/>
          <w:color w:val="auto"/>
          <w:sz w:val="32"/>
          <w:szCs w:val="32"/>
        </w:rPr>
        <w:t>格式2-12</w:t>
      </w:r>
    </w:p>
    <w:p>
      <w:pPr>
        <w:spacing w:line="360" w:lineRule="auto"/>
        <w:jc w:val="center"/>
        <w:rPr>
          <w:rFonts w:hAnsi="宋体" w:cs="宋体"/>
          <w:b/>
          <w:color w:val="auto"/>
          <w:sz w:val="32"/>
          <w:szCs w:val="32"/>
        </w:rPr>
      </w:pPr>
      <w:r>
        <w:rPr>
          <w:rFonts w:hint="eastAsia" w:hAnsi="宋体" w:cs="宋体"/>
          <w:b/>
          <w:color w:val="auto"/>
          <w:sz w:val="32"/>
          <w:szCs w:val="32"/>
        </w:rPr>
        <w:t>十一、</w:t>
      </w:r>
      <w:bookmarkStart w:id="200" w:name="OLE_LINK14"/>
      <w:r>
        <w:rPr>
          <w:rFonts w:hint="eastAsia" w:hAnsi="宋体" w:cs="宋体"/>
          <w:b/>
          <w:color w:val="auto"/>
          <w:sz w:val="32"/>
          <w:szCs w:val="32"/>
        </w:rPr>
        <w:t>残疾人福利性单位声明函</w:t>
      </w:r>
    </w:p>
    <w:bookmarkEnd w:id="200"/>
    <w:p>
      <w:pPr>
        <w:spacing w:line="360" w:lineRule="auto"/>
        <w:rPr>
          <w:rFonts w:hAnsi="宋体" w:cs="宋体"/>
          <w:b/>
          <w:color w:val="auto"/>
          <w:spacing w:val="6"/>
        </w:rPr>
      </w:pPr>
    </w:p>
    <w:p>
      <w:pPr>
        <w:spacing w:line="360" w:lineRule="auto"/>
        <w:ind w:firstLine="504" w:firstLineChars="200"/>
        <w:rPr>
          <w:rFonts w:hAnsi="宋体" w:cs="宋体"/>
          <w:color w:val="auto"/>
          <w:spacing w:val="6"/>
        </w:rPr>
      </w:pPr>
      <w:r>
        <w:rPr>
          <w:rFonts w:hint="eastAsia" w:hAnsi="宋体" w:cs="宋体"/>
          <w:color w:val="auto"/>
          <w:spacing w:val="6"/>
        </w:rPr>
        <w:t>本单位郑重声明，根据《财政部民政部中国残疾人联合会关于促进残疾人就业政府采购政策的通知》（财库</w:t>
      </w:r>
      <w:r>
        <w:rPr>
          <w:rFonts w:hint="eastAsia" w:hAnsi="宋体" w:cs="宋体"/>
          <w:color w:val="auto"/>
        </w:rPr>
        <w:t>〔2017〕 141</w:t>
      </w:r>
      <w:r>
        <w:rPr>
          <w:rFonts w:hint="eastAsia" w:hAnsi="宋体" w:cs="宋体"/>
          <w:color w:val="auto"/>
          <w:spacing w:val="6"/>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hAnsi="宋体" w:cs="宋体"/>
          <w:color w:val="auto"/>
          <w:spacing w:val="6"/>
        </w:rPr>
      </w:pPr>
      <w:r>
        <w:rPr>
          <w:rFonts w:hint="eastAsia" w:hAnsi="宋体" w:cs="宋体"/>
          <w:color w:val="auto"/>
          <w:spacing w:val="6"/>
        </w:rPr>
        <w:t>本单位对上述声明的真实性负责。如有虚假，将依法承担相应责任。</w:t>
      </w:r>
    </w:p>
    <w:p>
      <w:pPr>
        <w:spacing w:line="360" w:lineRule="auto"/>
        <w:rPr>
          <w:rFonts w:hAnsi="宋体" w:cs="宋体"/>
          <w:color w:val="auto"/>
          <w:spacing w:val="6"/>
        </w:rPr>
      </w:pPr>
    </w:p>
    <w:p>
      <w:pPr>
        <w:spacing w:line="360" w:lineRule="auto"/>
        <w:rPr>
          <w:rFonts w:hAnsi="宋体" w:cs="宋体"/>
          <w:color w:val="auto"/>
          <w:spacing w:val="6"/>
        </w:rPr>
      </w:pPr>
    </w:p>
    <w:p>
      <w:pPr>
        <w:tabs>
          <w:tab w:val="left" w:pos="4860"/>
        </w:tabs>
        <w:spacing w:line="360" w:lineRule="auto"/>
        <w:ind w:right="1560"/>
        <w:rPr>
          <w:rFonts w:hAnsi="宋体" w:cs="宋体"/>
          <w:color w:val="auto"/>
          <w:spacing w:val="6"/>
        </w:rPr>
      </w:pPr>
      <w:r>
        <w:rPr>
          <w:rFonts w:hint="eastAsia" w:hAnsi="宋体" w:cs="宋体"/>
          <w:color w:val="auto"/>
          <w:spacing w:val="6"/>
        </w:rPr>
        <w:t>单位名称（盖公章）：</w:t>
      </w:r>
    </w:p>
    <w:p>
      <w:pPr>
        <w:spacing w:line="360" w:lineRule="auto"/>
        <w:rPr>
          <w:rFonts w:hAnsi="宋体" w:cs="宋体"/>
          <w:color w:val="auto"/>
          <w:spacing w:val="6"/>
        </w:rPr>
      </w:pPr>
      <w:r>
        <w:rPr>
          <w:rFonts w:hint="eastAsia" w:hAnsi="宋体" w:cs="宋体"/>
          <w:color w:val="auto"/>
          <w:spacing w:val="6"/>
        </w:rPr>
        <w:t>日期：</w:t>
      </w:r>
    </w:p>
    <w:p>
      <w:pPr>
        <w:spacing w:line="360" w:lineRule="auto"/>
        <w:rPr>
          <w:rFonts w:hAnsi="宋体" w:cs="宋体"/>
          <w:color w:val="auto"/>
        </w:rPr>
      </w:pPr>
    </w:p>
    <w:p>
      <w:pPr>
        <w:spacing w:line="360" w:lineRule="auto"/>
        <w:rPr>
          <w:rFonts w:hAnsi="宋体" w:cs="宋体"/>
          <w:color w:val="auto"/>
        </w:rPr>
      </w:pPr>
      <w:r>
        <w:rPr>
          <w:rFonts w:hint="eastAsia" w:hAnsi="宋体" w:cs="宋体"/>
          <w:color w:val="auto"/>
        </w:rPr>
        <w:t>注：</w:t>
      </w:r>
    </w:p>
    <w:p>
      <w:pPr>
        <w:numPr>
          <w:ilvl w:val="0"/>
          <w:numId w:val="4"/>
        </w:numPr>
        <w:spacing w:line="360" w:lineRule="auto"/>
        <w:rPr>
          <w:rFonts w:hAnsi="宋体" w:cs="宋体"/>
          <w:color w:val="auto"/>
        </w:rPr>
      </w:pPr>
      <w:r>
        <w:rPr>
          <w:rFonts w:hint="eastAsia" w:hAnsi="宋体" w:cs="宋体"/>
          <w:color w:val="auto"/>
        </w:rPr>
        <w:t>残疾人福利性单位视同小型、微型企业，享受预留份额、评审中价格扣除等促进中小企业发展的政府采购政策。残疾人福利性单位属于小型、微型企业的，不重复享受政策。</w:t>
      </w:r>
    </w:p>
    <w:p>
      <w:pPr>
        <w:numPr>
          <w:ilvl w:val="0"/>
          <w:numId w:val="4"/>
        </w:numPr>
        <w:spacing w:line="360" w:lineRule="auto"/>
        <w:rPr>
          <w:rFonts w:hAnsi="宋体" w:cs="宋体"/>
          <w:color w:val="auto"/>
        </w:rPr>
      </w:pPr>
      <w:r>
        <w:rPr>
          <w:rFonts w:hint="eastAsia" w:hAnsi="宋体" w:cs="宋体"/>
          <w:color w:val="auto"/>
        </w:rPr>
        <w:t>投标人为非残疾人福利性单位的，可不提供此声明。</w:t>
      </w:r>
    </w:p>
    <w:p>
      <w:pPr>
        <w:pStyle w:val="9"/>
        <w:spacing w:line="360" w:lineRule="auto"/>
        <w:ind w:firstLine="680"/>
        <w:rPr>
          <w:rFonts w:hAnsi="宋体" w:cs="宋体"/>
        </w:rPr>
      </w:pPr>
    </w:p>
    <w:p>
      <w:pPr>
        <w:pStyle w:val="9"/>
        <w:spacing w:line="360" w:lineRule="auto"/>
        <w:ind w:firstLine="680"/>
        <w:rPr>
          <w:rFonts w:hAnsi="宋体" w:cs="宋体"/>
        </w:rPr>
      </w:pPr>
    </w:p>
    <w:p>
      <w:pPr>
        <w:pStyle w:val="9"/>
        <w:spacing w:line="360" w:lineRule="auto"/>
        <w:ind w:firstLine="680"/>
        <w:rPr>
          <w:rFonts w:hAnsi="宋体" w:cs="宋体"/>
        </w:rPr>
      </w:pPr>
    </w:p>
    <w:p>
      <w:pPr>
        <w:pStyle w:val="9"/>
        <w:spacing w:line="360" w:lineRule="auto"/>
        <w:ind w:firstLine="680"/>
        <w:rPr>
          <w:rFonts w:hAnsi="宋体" w:cs="宋体"/>
        </w:rPr>
      </w:pPr>
    </w:p>
    <w:p>
      <w:pPr>
        <w:pStyle w:val="9"/>
        <w:spacing w:line="360" w:lineRule="auto"/>
        <w:ind w:firstLine="680"/>
        <w:rPr>
          <w:rFonts w:hAnsi="宋体" w:cs="宋体"/>
        </w:rPr>
      </w:pPr>
    </w:p>
    <w:p>
      <w:pPr>
        <w:jc w:val="left"/>
        <w:rPr>
          <w:rFonts w:hAnsi="宋体" w:cs="宋体"/>
          <w:b/>
          <w:color w:val="auto"/>
          <w:sz w:val="44"/>
        </w:rPr>
      </w:pPr>
      <w:r>
        <w:rPr>
          <w:rFonts w:hAnsi="宋体" w:cs="宋体"/>
          <w:b/>
          <w:color w:val="auto"/>
          <w:sz w:val="44"/>
        </w:rPr>
        <w:br w:type="page"/>
      </w:r>
    </w:p>
    <w:p>
      <w:pPr>
        <w:rPr>
          <w:rFonts w:ascii="Times New Roman"/>
          <w:b/>
          <w:sz w:val="28"/>
          <w:szCs w:val="28"/>
        </w:rPr>
      </w:pPr>
      <w:bookmarkStart w:id="201" w:name="_Toc6088"/>
      <w:r>
        <w:rPr>
          <w:rFonts w:hint="eastAsia" w:ascii="Times New Roman" w:hAnsi="宋体"/>
          <w:b/>
          <w:sz w:val="28"/>
          <w:szCs w:val="28"/>
        </w:rPr>
        <w:t>格式</w:t>
      </w:r>
      <w:r>
        <w:rPr>
          <w:rFonts w:ascii="Times New Roman"/>
          <w:b/>
          <w:sz w:val="28"/>
          <w:szCs w:val="28"/>
        </w:rPr>
        <w:t>2-1</w:t>
      </w:r>
      <w:r>
        <w:rPr>
          <w:rFonts w:hint="eastAsia" w:ascii="Times New Roman"/>
          <w:b/>
          <w:sz w:val="28"/>
          <w:szCs w:val="28"/>
        </w:rPr>
        <w:t>3</w:t>
      </w:r>
    </w:p>
    <w:p>
      <w:pPr>
        <w:jc w:val="center"/>
        <w:rPr>
          <w:rFonts w:hAnsi="宋体" w:cs="宋体"/>
          <w:b/>
          <w:sz w:val="32"/>
          <w:szCs w:val="32"/>
        </w:rPr>
      </w:pPr>
      <w:r>
        <w:rPr>
          <w:rFonts w:hint="eastAsia" w:hAnsi="宋体" w:cs="宋体"/>
          <w:b/>
          <w:sz w:val="32"/>
          <w:szCs w:val="32"/>
        </w:rPr>
        <w:t>十二、监狱企业</w:t>
      </w:r>
    </w:p>
    <w:p>
      <w:pPr>
        <w:spacing w:line="588" w:lineRule="exact"/>
        <w:rPr>
          <w:rFonts w:hAnsi="宋体" w:cs="宋体"/>
          <w:b/>
          <w:spacing w:val="6"/>
        </w:rPr>
      </w:pPr>
    </w:p>
    <w:p>
      <w:pPr>
        <w:spacing w:line="360" w:lineRule="auto"/>
        <w:ind w:firstLine="440" w:firstLineChars="200"/>
        <w:jc w:val="left"/>
        <w:rPr>
          <w:rFonts w:hAnsi="宋体" w:cs="宋体"/>
          <w:sz w:val="22"/>
          <w:szCs w:val="21"/>
        </w:rPr>
      </w:pPr>
      <w:r>
        <w:rPr>
          <w:rFonts w:hint="eastAsia" w:hAnsi="宋体" w:cs="宋体"/>
          <w:sz w:val="22"/>
          <w:szCs w:val="21"/>
        </w:rPr>
        <w:t>根据《政府采购支持监狱企业发展有关问题的通知》（财库〔2014〕68号）的规定监狱企业参加采购活动的，应提供由省级以上监狱管理局、戒毒管理局(含新疆生产建设兵团)出具的属于监狱企业的证明文件。</w:t>
      </w:r>
    </w:p>
    <w:p>
      <w:pPr>
        <w:spacing w:line="360" w:lineRule="auto"/>
        <w:jc w:val="left"/>
        <w:rPr>
          <w:rFonts w:hAnsi="宋体" w:cs="宋体"/>
          <w:sz w:val="22"/>
          <w:szCs w:val="21"/>
        </w:rPr>
      </w:pPr>
      <w:r>
        <w:rPr>
          <w:rFonts w:hint="eastAsia" w:hAnsi="宋体" w:cs="宋体"/>
          <w:sz w:val="22"/>
          <w:szCs w:val="21"/>
        </w:rPr>
        <w:t>注：</w:t>
      </w:r>
    </w:p>
    <w:p>
      <w:pPr>
        <w:spacing w:line="360" w:lineRule="auto"/>
        <w:rPr>
          <w:rFonts w:hAnsi="宋体" w:cs="宋体"/>
          <w:sz w:val="22"/>
          <w:szCs w:val="21"/>
        </w:rPr>
      </w:pPr>
      <w:r>
        <w:rPr>
          <w:rFonts w:hint="eastAsia" w:hAnsi="宋体" w:cs="宋体"/>
          <w:sz w:val="22"/>
          <w:szCs w:val="21"/>
        </w:rPr>
        <w:t>1、投标人符合《政府采购支持监狱企业发展有关问题的通知》（财库〔2014〕68号）规定的划分标准为监狱企业适用。</w:t>
      </w:r>
    </w:p>
    <w:p>
      <w:pPr>
        <w:spacing w:line="360" w:lineRule="auto"/>
        <w:outlineLvl w:val="0"/>
        <w:rPr>
          <w:rFonts w:hAnsi="宋体" w:cs="宋体"/>
          <w:b/>
          <w:color w:val="auto"/>
          <w:sz w:val="44"/>
        </w:rPr>
      </w:pPr>
      <w:r>
        <w:rPr>
          <w:rFonts w:hint="eastAsia" w:hAnsi="宋体" w:cs="宋体"/>
          <w:sz w:val="22"/>
          <w:szCs w:val="21"/>
        </w:rPr>
        <w:t>2、在政府采购活动中，监狱企业视同小型、微型企业，享受预留份额、评审中价格扣除等政府采购促进中小企业发展的政府采购政策。</w:t>
      </w:r>
    </w:p>
    <w:p>
      <w:pPr>
        <w:pStyle w:val="12"/>
      </w:pPr>
      <w:r>
        <w:br w:type="page"/>
      </w:r>
    </w:p>
    <w:p>
      <w:pPr>
        <w:rPr>
          <w:rFonts w:ascii="Times New Roman"/>
          <w:b/>
          <w:color w:val="auto"/>
          <w:sz w:val="28"/>
          <w:szCs w:val="28"/>
        </w:rPr>
      </w:pPr>
      <w:r>
        <w:rPr>
          <w:rFonts w:hint="eastAsia" w:ascii="Times New Roman" w:hAnsi="宋体"/>
          <w:b/>
          <w:color w:val="auto"/>
          <w:sz w:val="28"/>
          <w:szCs w:val="28"/>
        </w:rPr>
        <w:t>格式</w:t>
      </w:r>
      <w:r>
        <w:rPr>
          <w:rFonts w:ascii="Times New Roman"/>
          <w:b/>
          <w:color w:val="auto"/>
          <w:sz w:val="28"/>
          <w:szCs w:val="28"/>
        </w:rPr>
        <w:t>2-1</w:t>
      </w:r>
      <w:r>
        <w:rPr>
          <w:rFonts w:hint="eastAsia" w:ascii="Times New Roman"/>
          <w:b/>
          <w:color w:val="auto"/>
          <w:sz w:val="28"/>
          <w:szCs w:val="28"/>
        </w:rPr>
        <w:t>4</w:t>
      </w:r>
    </w:p>
    <w:p>
      <w:pPr>
        <w:spacing w:line="360" w:lineRule="auto"/>
        <w:ind w:firstLine="472" w:firstLineChars="196"/>
        <w:jc w:val="center"/>
        <w:outlineLvl w:val="1"/>
        <w:rPr>
          <w:rFonts w:hAnsi="宋体" w:cs="宋体"/>
          <w:b/>
          <w:color w:val="auto"/>
        </w:rPr>
      </w:pPr>
      <w:r>
        <w:rPr>
          <w:rFonts w:hint="eastAsia" w:hAnsi="宋体" w:cs="宋体"/>
          <w:b/>
          <w:color w:val="auto"/>
        </w:rPr>
        <w:t>不参与项目投标告知函</w:t>
      </w:r>
    </w:p>
    <w:p>
      <w:pPr>
        <w:adjustRightInd w:val="0"/>
        <w:spacing w:line="360" w:lineRule="auto"/>
        <w:ind w:firstLine="422" w:firstLineChars="175"/>
        <w:jc w:val="left"/>
        <w:rPr>
          <w:rFonts w:ascii="Times New Roman" w:hAnsi="宋体"/>
          <w:b/>
          <w:bCs/>
          <w:color w:val="auto"/>
          <w:kern w:val="2"/>
        </w:rPr>
      </w:pPr>
    </w:p>
    <w:p>
      <w:pPr>
        <w:adjustRightInd w:val="0"/>
        <w:spacing w:line="360" w:lineRule="auto"/>
        <w:ind w:firstLine="422" w:firstLineChars="175"/>
        <w:jc w:val="left"/>
        <w:rPr>
          <w:rFonts w:ascii="Times New Roman" w:hAnsi="宋体"/>
          <w:b/>
          <w:bCs/>
          <w:color w:val="auto"/>
          <w:kern w:val="2"/>
        </w:rPr>
      </w:pPr>
    </w:p>
    <w:p>
      <w:pPr>
        <w:adjustRightInd w:val="0"/>
        <w:spacing w:line="360" w:lineRule="auto"/>
        <w:ind w:firstLine="422" w:firstLineChars="175"/>
        <w:jc w:val="left"/>
        <w:rPr>
          <w:rFonts w:ascii="Times New Roman" w:hAnsi="宋体"/>
          <w:b/>
          <w:bCs/>
          <w:color w:val="auto"/>
          <w:kern w:val="2"/>
        </w:rPr>
      </w:pPr>
    </w:p>
    <w:p>
      <w:pPr>
        <w:adjustRightInd w:val="0"/>
        <w:spacing w:line="360" w:lineRule="auto"/>
        <w:ind w:firstLine="422" w:firstLineChars="175"/>
        <w:jc w:val="left"/>
        <w:rPr>
          <w:rFonts w:ascii="Times New Roman" w:hAnsi="宋体"/>
          <w:b/>
          <w:bCs/>
          <w:color w:val="auto"/>
          <w:kern w:val="2"/>
        </w:rPr>
      </w:pPr>
    </w:p>
    <w:p>
      <w:pPr>
        <w:adjustRightInd w:val="0"/>
        <w:spacing w:line="360" w:lineRule="auto"/>
        <w:ind w:firstLine="422" w:firstLineChars="175"/>
        <w:jc w:val="left"/>
        <w:rPr>
          <w:rFonts w:ascii="Times New Roman" w:hAnsi="宋体"/>
          <w:b/>
          <w:bCs/>
          <w:color w:val="auto"/>
          <w:kern w:val="2"/>
        </w:rPr>
      </w:pPr>
    </w:p>
    <w:p>
      <w:pPr>
        <w:adjustRightInd w:val="0"/>
        <w:spacing w:line="360" w:lineRule="auto"/>
        <w:ind w:firstLine="420" w:firstLineChars="175"/>
        <w:jc w:val="left"/>
        <w:rPr>
          <w:rFonts w:ascii="Times New Roman" w:hAnsi="宋体"/>
          <w:color w:val="auto"/>
          <w:kern w:val="2"/>
        </w:rPr>
      </w:pPr>
      <w:r>
        <w:rPr>
          <w:rFonts w:hint="eastAsia" w:ascii="Times New Roman" w:hAnsi="宋体"/>
          <w:color w:val="auto"/>
          <w:kern w:val="2"/>
        </w:rPr>
        <w:t>我公司确定不参加本项目的投标。</w:t>
      </w:r>
    </w:p>
    <w:p>
      <w:pPr>
        <w:adjustRightInd w:val="0"/>
        <w:spacing w:line="360" w:lineRule="auto"/>
        <w:ind w:firstLine="422" w:firstLineChars="175"/>
        <w:jc w:val="left"/>
        <w:rPr>
          <w:rFonts w:ascii="Times New Roman" w:hAnsi="宋体"/>
          <w:b/>
          <w:bCs/>
          <w:color w:val="auto"/>
          <w:kern w:val="2"/>
        </w:rPr>
      </w:pPr>
    </w:p>
    <w:p>
      <w:pPr>
        <w:adjustRightInd w:val="0"/>
        <w:spacing w:line="360" w:lineRule="auto"/>
        <w:ind w:firstLine="422" w:firstLineChars="175"/>
        <w:jc w:val="left"/>
        <w:rPr>
          <w:rFonts w:ascii="Times New Roman" w:hAnsi="宋体"/>
          <w:b/>
          <w:bCs/>
          <w:color w:val="auto"/>
          <w:kern w:val="2"/>
        </w:rPr>
      </w:pPr>
    </w:p>
    <w:p>
      <w:pPr>
        <w:adjustRightInd w:val="0"/>
        <w:spacing w:line="360" w:lineRule="auto"/>
        <w:ind w:firstLine="422" w:firstLineChars="175"/>
        <w:jc w:val="left"/>
        <w:rPr>
          <w:rFonts w:ascii="Times New Roman" w:hAnsi="宋体"/>
          <w:b/>
          <w:bCs/>
          <w:color w:val="auto"/>
          <w:kern w:val="2"/>
        </w:rPr>
      </w:pPr>
    </w:p>
    <w:p>
      <w:pPr>
        <w:adjustRightInd w:val="0"/>
        <w:spacing w:line="360" w:lineRule="auto"/>
        <w:ind w:firstLine="422" w:firstLineChars="175"/>
        <w:jc w:val="left"/>
        <w:rPr>
          <w:rFonts w:ascii="Times New Roman" w:hAnsi="宋体"/>
          <w:b/>
          <w:bCs/>
          <w:color w:val="auto"/>
          <w:kern w:val="2"/>
        </w:rPr>
      </w:pPr>
    </w:p>
    <w:p>
      <w:pPr>
        <w:adjustRightInd w:val="0"/>
        <w:spacing w:line="360" w:lineRule="auto"/>
        <w:ind w:firstLine="422" w:firstLineChars="175"/>
        <w:jc w:val="left"/>
        <w:rPr>
          <w:rFonts w:ascii="Times New Roman" w:hAnsi="宋体"/>
          <w:b/>
          <w:bCs/>
          <w:color w:val="auto"/>
          <w:kern w:val="2"/>
        </w:rPr>
      </w:pPr>
    </w:p>
    <w:p>
      <w:pPr>
        <w:adjustRightInd w:val="0"/>
        <w:spacing w:line="360" w:lineRule="auto"/>
        <w:ind w:firstLine="422" w:firstLineChars="175"/>
        <w:jc w:val="left"/>
        <w:rPr>
          <w:rFonts w:ascii="Times New Roman" w:hAnsi="宋体"/>
          <w:b/>
          <w:bCs/>
          <w:color w:val="auto"/>
          <w:kern w:val="2"/>
        </w:rPr>
      </w:pPr>
    </w:p>
    <w:p>
      <w:pPr>
        <w:adjustRightInd w:val="0"/>
        <w:spacing w:line="360" w:lineRule="auto"/>
        <w:ind w:firstLine="422" w:firstLineChars="175"/>
        <w:jc w:val="left"/>
        <w:rPr>
          <w:rFonts w:ascii="Times New Roman" w:hAnsi="宋体"/>
          <w:b/>
          <w:bCs/>
          <w:color w:val="auto"/>
          <w:kern w:val="2"/>
        </w:rPr>
      </w:pPr>
    </w:p>
    <w:p>
      <w:pPr>
        <w:adjustRightInd w:val="0"/>
        <w:spacing w:line="360" w:lineRule="auto"/>
        <w:ind w:firstLine="422" w:firstLineChars="175"/>
        <w:jc w:val="left"/>
        <w:rPr>
          <w:rFonts w:ascii="Times New Roman" w:hAnsi="宋体"/>
          <w:b/>
          <w:bCs/>
          <w:color w:val="auto"/>
          <w:kern w:val="2"/>
        </w:rPr>
      </w:pPr>
    </w:p>
    <w:p>
      <w:pPr>
        <w:adjustRightInd w:val="0"/>
        <w:spacing w:line="360" w:lineRule="auto"/>
        <w:ind w:firstLine="420" w:firstLineChars="175"/>
        <w:jc w:val="left"/>
        <w:rPr>
          <w:rFonts w:hAnsi="宋体" w:cs="宋体"/>
          <w:bCs/>
          <w:color w:val="auto"/>
        </w:rPr>
      </w:pPr>
      <w:r>
        <w:rPr>
          <w:rFonts w:hint="eastAsia" w:hAnsi="宋体" w:cs="宋体"/>
          <w:bCs/>
          <w:color w:val="auto"/>
        </w:rPr>
        <w:t>投标人名称：（盖公章）</w:t>
      </w:r>
    </w:p>
    <w:p>
      <w:pPr>
        <w:adjustRightInd w:val="0"/>
        <w:spacing w:line="360" w:lineRule="auto"/>
        <w:ind w:firstLine="420" w:firstLineChars="175"/>
        <w:jc w:val="left"/>
        <w:rPr>
          <w:rFonts w:hAnsi="宋体" w:cs="宋体"/>
          <w:color w:val="auto"/>
        </w:rPr>
      </w:pPr>
      <w:r>
        <w:rPr>
          <w:rFonts w:hint="eastAsia" w:hAnsi="宋体" w:cs="宋体"/>
          <w:color w:val="auto"/>
        </w:rPr>
        <w:t>法定代表人或委托代理人（签字或盖章）：</w:t>
      </w:r>
    </w:p>
    <w:p>
      <w:pPr>
        <w:adjustRightInd w:val="0"/>
        <w:spacing w:line="360" w:lineRule="auto"/>
        <w:ind w:firstLine="420" w:firstLineChars="175"/>
        <w:jc w:val="left"/>
        <w:rPr>
          <w:rFonts w:hAnsi="宋体" w:cs="宋体"/>
          <w:bCs/>
          <w:color w:val="auto"/>
        </w:rPr>
      </w:pPr>
      <w:r>
        <w:rPr>
          <w:rFonts w:hint="eastAsia" w:hAnsi="宋体" w:cs="宋体"/>
          <w:bCs/>
          <w:color w:val="auto"/>
        </w:rPr>
        <w:t>日 期:</w:t>
      </w:r>
    </w:p>
    <w:p>
      <w:pPr>
        <w:pStyle w:val="12"/>
      </w:pPr>
    </w:p>
    <w:p>
      <w:pPr>
        <w:spacing w:line="360" w:lineRule="auto"/>
        <w:outlineLvl w:val="0"/>
        <w:rPr>
          <w:rFonts w:hAnsi="宋体" w:cs="宋体"/>
          <w:b/>
          <w:color w:val="auto"/>
          <w:sz w:val="44"/>
        </w:rPr>
      </w:pPr>
      <w:r>
        <w:rPr>
          <w:rFonts w:hint="eastAsia" w:ascii="Times New Roman"/>
          <w:b/>
          <w:color w:val="auto"/>
        </w:rPr>
        <w:t>备注：如领取文件后，不参与本项目的投标，请将此函发至邮箱：496862782@qq.com</w:t>
      </w:r>
      <w:r>
        <w:rPr>
          <w:rFonts w:hint="eastAsia" w:ascii="Times New Roman"/>
          <w:b/>
          <w:color w:val="auto"/>
          <w:sz w:val="28"/>
          <w:szCs w:val="28"/>
        </w:rPr>
        <w:br w:type="page"/>
      </w:r>
    </w:p>
    <w:p>
      <w:pPr>
        <w:pStyle w:val="12"/>
        <w:rPr>
          <w:rFonts w:hAnsi="宋体" w:cs="宋体"/>
          <w:b/>
          <w:sz w:val="44"/>
        </w:rPr>
      </w:pPr>
      <w:r>
        <w:rPr>
          <w:rFonts w:hint="eastAsia" w:hAnsi="宋体" w:cs="宋体"/>
          <w:b/>
          <w:sz w:val="44"/>
        </w:rPr>
        <w:t>第四章 投标人和投标产品的资格、资</w:t>
      </w:r>
      <w:bookmarkEnd w:id="183"/>
      <w:bookmarkStart w:id="202" w:name="_Toc20574"/>
      <w:r>
        <w:rPr>
          <w:rFonts w:hint="eastAsia" w:hAnsi="宋体" w:cs="宋体"/>
          <w:b/>
          <w:sz w:val="44"/>
        </w:rPr>
        <w:t>质性及其他类似效力要求</w:t>
      </w:r>
      <w:bookmarkEnd w:id="184"/>
      <w:bookmarkEnd w:id="201"/>
      <w:bookmarkEnd w:id="202"/>
      <w:bookmarkStart w:id="203" w:name="_Toc28648"/>
      <w:bookmarkStart w:id="204" w:name="_Toc18837"/>
    </w:p>
    <w:p>
      <w:pPr>
        <w:spacing w:line="360" w:lineRule="auto"/>
        <w:outlineLvl w:val="0"/>
        <w:rPr>
          <w:rFonts w:hAnsi="宋体" w:cs="宋体"/>
          <w:color w:val="auto"/>
          <w:sz w:val="28"/>
          <w:szCs w:val="28"/>
        </w:rPr>
      </w:pPr>
      <w:bookmarkStart w:id="205" w:name="_Toc5788"/>
      <w:r>
        <w:rPr>
          <w:rFonts w:hint="eastAsia" w:hAnsi="宋体" w:cs="宋体"/>
          <w:color w:val="auto"/>
          <w:sz w:val="28"/>
          <w:szCs w:val="28"/>
        </w:rPr>
        <w:t>资格要求：</w:t>
      </w:r>
      <w:bookmarkEnd w:id="203"/>
      <w:bookmarkEnd w:id="204"/>
      <w:bookmarkEnd w:id="205"/>
    </w:p>
    <w:tbl>
      <w:tblPr>
        <w:tblStyle w:val="33"/>
        <w:tblpPr w:leftFromText="180" w:rightFromText="180" w:vertAnchor="text" w:horzAnchor="page" w:tblpX="1094" w:tblpY="636"/>
        <w:tblOverlap w:val="never"/>
        <w:tblW w:w="9460" w:type="dxa"/>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811"/>
        <w:gridCol w:w="4906"/>
        <w:gridCol w:w="3743"/>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11" w:type="dxa"/>
            <w:tcBorders>
              <w:top w:val="single" w:color="auto" w:sz="18" w:space="0"/>
            </w:tcBorders>
            <w:shd w:val="clear" w:color="auto" w:fill="auto"/>
            <w:vAlign w:val="center"/>
          </w:tcPr>
          <w:p>
            <w:pPr>
              <w:snapToGrid w:val="0"/>
              <w:spacing w:line="260" w:lineRule="atLeast"/>
              <w:jc w:val="center"/>
              <w:rPr>
                <w:rFonts w:ascii="Times New Roman"/>
                <w:b/>
                <w:sz w:val="22"/>
              </w:rPr>
            </w:pPr>
            <w:r>
              <w:rPr>
                <w:rFonts w:hint="eastAsia" w:ascii="Times New Roman"/>
                <w:b/>
                <w:sz w:val="22"/>
              </w:rPr>
              <w:t>序号</w:t>
            </w:r>
          </w:p>
        </w:tc>
        <w:tc>
          <w:tcPr>
            <w:tcW w:w="4906" w:type="dxa"/>
            <w:tcBorders>
              <w:top w:val="single" w:color="auto" w:sz="18" w:space="0"/>
            </w:tcBorders>
            <w:shd w:val="clear" w:color="auto" w:fill="auto"/>
            <w:vAlign w:val="center"/>
          </w:tcPr>
          <w:p>
            <w:pPr>
              <w:snapToGrid w:val="0"/>
              <w:spacing w:line="260" w:lineRule="atLeast"/>
              <w:jc w:val="center"/>
              <w:rPr>
                <w:rFonts w:ascii="Times New Roman"/>
                <w:b/>
                <w:sz w:val="22"/>
              </w:rPr>
            </w:pPr>
            <w:r>
              <w:rPr>
                <w:rFonts w:hint="eastAsia" w:ascii="Times New Roman"/>
                <w:b/>
                <w:sz w:val="22"/>
              </w:rPr>
              <w:t>项目</w:t>
            </w:r>
          </w:p>
        </w:tc>
        <w:tc>
          <w:tcPr>
            <w:tcW w:w="3743" w:type="dxa"/>
            <w:tcBorders>
              <w:top w:val="single" w:color="auto" w:sz="18" w:space="0"/>
            </w:tcBorders>
            <w:shd w:val="clear" w:color="auto" w:fill="auto"/>
            <w:vAlign w:val="center"/>
          </w:tcPr>
          <w:p>
            <w:pPr>
              <w:snapToGrid w:val="0"/>
              <w:spacing w:line="260" w:lineRule="atLeast"/>
              <w:jc w:val="center"/>
              <w:rPr>
                <w:rFonts w:ascii="Times New Roman"/>
                <w:b/>
                <w:sz w:val="22"/>
              </w:rPr>
            </w:pPr>
            <w:r>
              <w:rPr>
                <w:rFonts w:hint="eastAsia" w:ascii="Times New Roman"/>
                <w:b/>
                <w:sz w:val="22"/>
              </w:rPr>
              <w:t>合格条件</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811" w:type="dxa"/>
            <w:shd w:val="clear" w:color="auto" w:fill="auto"/>
            <w:vAlign w:val="center"/>
          </w:tcPr>
          <w:p>
            <w:pPr>
              <w:snapToGrid w:val="0"/>
              <w:spacing w:line="276" w:lineRule="auto"/>
              <w:jc w:val="center"/>
              <w:rPr>
                <w:rFonts w:ascii="Times New Roman"/>
                <w:sz w:val="22"/>
              </w:rPr>
            </w:pPr>
            <w:r>
              <w:rPr>
                <w:rFonts w:ascii="Times New Roman"/>
                <w:sz w:val="22"/>
              </w:rPr>
              <w:t>1</w:t>
            </w:r>
          </w:p>
        </w:tc>
        <w:tc>
          <w:tcPr>
            <w:tcW w:w="4906" w:type="dxa"/>
            <w:shd w:val="clear" w:color="auto" w:fill="auto"/>
            <w:vAlign w:val="center"/>
          </w:tcPr>
          <w:p>
            <w:pPr>
              <w:rPr>
                <w:rFonts w:ascii="Times New Roman"/>
                <w:sz w:val="22"/>
              </w:rPr>
            </w:pPr>
            <w:r>
              <w:rPr>
                <w:rFonts w:hint="eastAsia" w:ascii="Times New Roman" w:hAnsi="宋体"/>
                <w:sz w:val="22"/>
                <w:szCs w:val="21"/>
              </w:rPr>
              <w:t>具备《中华人民共和国政府采购法》第二十二条规定的条件</w:t>
            </w:r>
            <w:r>
              <w:rPr>
                <w:rFonts w:hint="eastAsia" w:ascii="Times New Roman" w:hAnsi="宋体"/>
                <w:sz w:val="22"/>
              </w:rPr>
              <w:t>。</w:t>
            </w:r>
          </w:p>
          <w:p>
            <w:pPr>
              <w:ind w:firstLine="480"/>
              <w:rPr>
                <w:rFonts w:ascii="Times New Roman"/>
                <w:sz w:val="22"/>
              </w:rPr>
            </w:pPr>
          </w:p>
        </w:tc>
        <w:tc>
          <w:tcPr>
            <w:tcW w:w="3743" w:type="dxa"/>
            <w:shd w:val="clear" w:color="auto" w:fill="auto"/>
            <w:vAlign w:val="center"/>
          </w:tcPr>
          <w:p>
            <w:pPr>
              <w:rPr>
                <w:rFonts w:ascii="Times New Roman" w:hAnsi="宋体"/>
                <w:sz w:val="22"/>
                <w:szCs w:val="21"/>
              </w:rPr>
            </w:pPr>
            <w:r>
              <w:rPr>
                <w:rFonts w:hint="eastAsia" w:ascii="Times New Roman" w:hAnsi="宋体"/>
                <w:sz w:val="22"/>
                <w:szCs w:val="21"/>
              </w:rPr>
              <w:t>1、根据资格性文件承诺函格式（1-3）提供签字盖章原件（放入资格投标文件正本中）；</w:t>
            </w:r>
          </w:p>
          <w:p>
            <w:pPr>
              <w:rPr>
                <w:rFonts w:ascii="Times New Roman" w:hAnsi="宋体"/>
                <w:sz w:val="22"/>
                <w:szCs w:val="21"/>
              </w:rPr>
            </w:pPr>
            <w:r>
              <w:rPr>
                <w:rFonts w:hint="eastAsia" w:ascii="Times New Roman" w:hAnsi="宋体"/>
                <w:sz w:val="22"/>
                <w:szCs w:val="21"/>
              </w:rPr>
              <w:t>2、具备健全的财务会计制度的证明材料；｛注：①可提供2020或2021年度经审计的财务报告复印件，②也可提供2020或2021年度供应商内部的财务报表复印件，③也可提供截至投标文件递交截止日六个月内银行出具的资信证明（复印件），④供应商注册时间截至投标文件递交截止日不足一年的，也可提供加盖工商备案主管部门印章的公司章程复印件。｝</w:t>
            </w:r>
          </w:p>
          <w:p>
            <w:pPr>
              <w:rPr>
                <w:rFonts w:ascii="Times New Roman" w:hAnsi="宋体"/>
                <w:sz w:val="22"/>
                <w:szCs w:val="21"/>
              </w:rPr>
            </w:pPr>
            <w:r>
              <w:rPr>
                <w:rFonts w:hint="eastAsia" w:ascii="Times New Roman" w:hAnsi="宋体"/>
                <w:sz w:val="22"/>
                <w:szCs w:val="21"/>
              </w:rPr>
              <w:t>3、社会保障资金缴纳证明：提供2022年01月01日至今已缴存的任一月份的社会保障资金缴存单据或社保机构开具的社会保险参保缴费情况证明，依法不需要缴纳社会保障资金的供应商应提供相关文件证明；</w:t>
            </w:r>
          </w:p>
          <w:p>
            <w:pPr>
              <w:rPr>
                <w:rFonts w:ascii="Times New Roman" w:hAnsi="宋体"/>
                <w:sz w:val="22"/>
                <w:szCs w:val="21"/>
              </w:rPr>
            </w:pPr>
            <w:r>
              <w:rPr>
                <w:rFonts w:hint="eastAsia" w:ascii="Times New Roman" w:hAnsi="宋体"/>
                <w:sz w:val="22"/>
                <w:szCs w:val="21"/>
              </w:rPr>
              <w:t xml:space="preserve">4、税收缴纳证明：提供2022年01月01日至今已缴纳的至少一个月的纳税证明或完税证明，依法免税的单位应提供相关证明材料； </w:t>
            </w:r>
          </w:p>
          <w:p>
            <w:pPr>
              <w:pStyle w:val="12"/>
              <w:ind w:firstLine="220" w:firstLineChars="100"/>
            </w:pPr>
            <w:r>
              <w:rPr>
                <w:rFonts w:hint="eastAsia" w:ascii="Times New Roman" w:hAnsi="宋体"/>
                <w:sz w:val="22"/>
                <w:szCs w:val="21"/>
              </w:rPr>
              <w:t>注：以上2-4项提供相关材料复印件加盖公章（放入资格投标文件正本中）；</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11" w:type="dxa"/>
            <w:shd w:val="clear" w:color="auto" w:fill="auto"/>
            <w:vAlign w:val="center"/>
          </w:tcPr>
          <w:p>
            <w:pPr>
              <w:snapToGrid w:val="0"/>
              <w:spacing w:line="276" w:lineRule="auto"/>
              <w:jc w:val="center"/>
              <w:rPr>
                <w:rFonts w:ascii="Times New Roman"/>
                <w:sz w:val="22"/>
              </w:rPr>
            </w:pPr>
            <w:r>
              <w:rPr>
                <w:rFonts w:ascii="Times New Roman"/>
                <w:sz w:val="22"/>
              </w:rPr>
              <w:t>2</w:t>
            </w:r>
          </w:p>
        </w:tc>
        <w:tc>
          <w:tcPr>
            <w:tcW w:w="4906" w:type="dxa"/>
            <w:shd w:val="clear" w:color="auto" w:fill="auto"/>
            <w:vAlign w:val="center"/>
          </w:tcPr>
          <w:p>
            <w:pPr>
              <w:snapToGrid w:val="0"/>
              <w:spacing w:line="276" w:lineRule="auto"/>
              <w:jc w:val="left"/>
              <w:rPr>
                <w:rFonts w:ascii="Times New Roman"/>
                <w:bCs/>
                <w:sz w:val="22"/>
              </w:rPr>
            </w:pPr>
            <w:r>
              <w:rPr>
                <w:rFonts w:ascii="Times New Roman"/>
                <w:sz w:val="22"/>
              </w:rPr>
              <w:t>具有独立承担民事责任能力的法人</w:t>
            </w:r>
            <w:r>
              <w:rPr>
                <w:rFonts w:hint="eastAsia" w:ascii="Times New Roman"/>
                <w:sz w:val="22"/>
              </w:rPr>
              <w:t>、</w:t>
            </w:r>
            <w:r>
              <w:rPr>
                <w:rFonts w:ascii="Times New Roman"/>
                <w:sz w:val="22"/>
              </w:rPr>
              <w:t>其他组织</w:t>
            </w:r>
            <w:r>
              <w:rPr>
                <w:rFonts w:hint="eastAsia" w:ascii="Times New Roman"/>
                <w:sz w:val="22"/>
              </w:rPr>
              <w:t>或自然人</w:t>
            </w:r>
            <w:r>
              <w:rPr>
                <w:rFonts w:ascii="Times New Roman"/>
                <w:sz w:val="22"/>
              </w:rPr>
              <w:t>，提供统一社会信用代码的营业执照</w:t>
            </w:r>
            <w:r>
              <w:rPr>
                <w:rFonts w:hint="eastAsia" w:ascii="Times New Roman"/>
                <w:sz w:val="22"/>
              </w:rPr>
              <w:t>（事业单位具有有效的事业单位法人证书，自然人提供身份证明）</w:t>
            </w:r>
            <w:r>
              <w:rPr>
                <w:rFonts w:hint="eastAsia" w:ascii="Times New Roman"/>
                <w:sz w:val="22"/>
                <w:szCs w:val="21"/>
              </w:rPr>
              <w:t>；</w:t>
            </w:r>
          </w:p>
        </w:tc>
        <w:tc>
          <w:tcPr>
            <w:tcW w:w="3743" w:type="dxa"/>
            <w:shd w:val="clear" w:color="auto" w:fill="auto"/>
            <w:vAlign w:val="center"/>
          </w:tcPr>
          <w:p>
            <w:pPr>
              <w:snapToGrid w:val="0"/>
              <w:spacing w:line="276" w:lineRule="auto"/>
              <w:jc w:val="left"/>
              <w:rPr>
                <w:rFonts w:ascii="Times New Roman"/>
                <w:sz w:val="22"/>
              </w:rPr>
            </w:pPr>
            <w:r>
              <w:rPr>
                <w:rFonts w:hint="eastAsia" w:ascii="Times New Roman" w:hAnsi="宋体"/>
                <w:sz w:val="22"/>
              </w:rPr>
              <w:t>证件副本复印件加盖公章（放入资格投标文件正本中）</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002" w:hRule="atLeast"/>
        </w:trPr>
        <w:tc>
          <w:tcPr>
            <w:tcW w:w="811" w:type="dxa"/>
            <w:shd w:val="clear" w:color="auto" w:fill="auto"/>
            <w:vAlign w:val="center"/>
          </w:tcPr>
          <w:p>
            <w:pPr>
              <w:snapToGrid w:val="0"/>
              <w:spacing w:line="276" w:lineRule="auto"/>
              <w:jc w:val="center"/>
              <w:rPr>
                <w:rFonts w:ascii="Times New Roman"/>
                <w:sz w:val="22"/>
              </w:rPr>
            </w:pPr>
            <w:r>
              <w:rPr>
                <w:rFonts w:ascii="Times New Roman"/>
                <w:sz w:val="22"/>
              </w:rPr>
              <w:t>3</w:t>
            </w:r>
          </w:p>
        </w:tc>
        <w:tc>
          <w:tcPr>
            <w:tcW w:w="4906" w:type="dxa"/>
            <w:shd w:val="clear" w:color="auto" w:fill="auto"/>
            <w:vAlign w:val="center"/>
          </w:tcPr>
          <w:p>
            <w:pPr>
              <w:snapToGrid w:val="0"/>
              <w:spacing w:line="276" w:lineRule="auto"/>
              <w:jc w:val="left"/>
              <w:rPr>
                <w:rFonts w:ascii="Times New Roman"/>
                <w:bCs/>
                <w:sz w:val="22"/>
              </w:rPr>
            </w:pPr>
            <w:r>
              <w:rPr>
                <w:rFonts w:hint="eastAsia" w:ascii="Times New Roman"/>
                <w:sz w:val="22"/>
              </w:rPr>
              <w:t>投标人未被列入失信被执行人、重大税收违法案件当事人名单、政府采购严重违法失信行为记录</w:t>
            </w:r>
          </w:p>
        </w:tc>
        <w:tc>
          <w:tcPr>
            <w:tcW w:w="3743" w:type="dxa"/>
            <w:shd w:val="clear" w:color="auto" w:fill="auto"/>
            <w:vAlign w:val="center"/>
          </w:tcPr>
          <w:p>
            <w:pPr>
              <w:snapToGrid w:val="0"/>
              <w:spacing w:line="276" w:lineRule="auto"/>
              <w:ind w:firstLine="440" w:firstLineChars="200"/>
              <w:jc w:val="left"/>
              <w:rPr>
                <w:rFonts w:hAnsi="宋体"/>
                <w:sz w:val="22"/>
              </w:rPr>
            </w:pPr>
            <w:r>
              <w:rPr>
                <w:rFonts w:hint="eastAsia" w:hAnsi="宋体"/>
                <w:sz w:val="22"/>
              </w:rPr>
              <w:t>供应商须根据资格性文件规定的承诺函格式（</w:t>
            </w:r>
            <w:r>
              <w:rPr>
                <w:rFonts w:hAnsi="宋体"/>
                <w:sz w:val="22"/>
              </w:rPr>
              <w:t>1-4</w:t>
            </w:r>
            <w:r>
              <w:rPr>
                <w:rFonts w:hint="eastAsia" w:hAnsi="宋体"/>
                <w:sz w:val="22"/>
              </w:rPr>
              <w:t>）提供“未被列入失信被执行人、重大税收违法案件当事人名单、政府采购严重违法失信行为记录名单的承诺函”原件（放入资格投标文件正本中）</w:t>
            </w:r>
          </w:p>
          <w:p>
            <w:pPr>
              <w:snapToGrid w:val="0"/>
              <w:spacing w:line="276" w:lineRule="auto"/>
              <w:jc w:val="left"/>
              <w:rPr>
                <w:rFonts w:ascii="Times New Roman"/>
                <w:sz w:val="22"/>
              </w:rPr>
            </w:pPr>
            <w:r>
              <w:rPr>
                <w:rFonts w:hint="eastAsia" w:hAnsi="宋体"/>
                <w:sz w:val="22"/>
              </w:rPr>
              <w:t>注：采购人或采购代理机构将于本项目投标截止日在‘信用中国’网站、‘中国政府采购网’网站等渠道对供应商进行信用记录查询，凡被列入失信被执行人、重大税收违法案件当事人名单、政府采购严重违法失信行为记录名单的，视为存在不良信用记录，参与本项目的将被拒绝。</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811" w:type="dxa"/>
            <w:shd w:val="clear" w:color="auto" w:fill="auto"/>
            <w:vAlign w:val="center"/>
          </w:tcPr>
          <w:p>
            <w:pPr>
              <w:snapToGrid w:val="0"/>
              <w:spacing w:line="276" w:lineRule="auto"/>
              <w:jc w:val="center"/>
              <w:rPr>
                <w:rFonts w:ascii="Times New Roman"/>
                <w:sz w:val="22"/>
              </w:rPr>
            </w:pPr>
            <w:r>
              <w:rPr>
                <w:rFonts w:hint="eastAsia" w:ascii="Times New Roman"/>
                <w:sz w:val="22"/>
              </w:rPr>
              <w:t>4</w:t>
            </w:r>
          </w:p>
        </w:tc>
        <w:tc>
          <w:tcPr>
            <w:tcW w:w="4906" w:type="dxa"/>
            <w:shd w:val="clear" w:color="auto" w:fill="auto"/>
            <w:vAlign w:val="center"/>
          </w:tcPr>
          <w:p>
            <w:pPr>
              <w:snapToGrid w:val="0"/>
              <w:spacing w:line="276" w:lineRule="auto"/>
              <w:rPr>
                <w:rFonts w:ascii="Times New Roman"/>
                <w:sz w:val="22"/>
              </w:rPr>
            </w:pPr>
            <w:r>
              <w:rPr>
                <w:rFonts w:hint="eastAsia" w:ascii="Times New Roman" w:hAnsi="宋体"/>
                <w:sz w:val="22"/>
              </w:rPr>
              <w:t>法定代表人授权书</w:t>
            </w:r>
          </w:p>
        </w:tc>
        <w:tc>
          <w:tcPr>
            <w:tcW w:w="3743" w:type="dxa"/>
            <w:shd w:val="clear" w:color="auto" w:fill="auto"/>
            <w:vAlign w:val="center"/>
          </w:tcPr>
          <w:p>
            <w:pPr>
              <w:snapToGrid w:val="0"/>
              <w:spacing w:line="276" w:lineRule="auto"/>
              <w:jc w:val="left"/>
              <w:rPr>
                <w:rFonts w:hAnsi="宋体"/>
                <w:b/>
                <w:bCs/>
                <w:sz w:val="22"/>
              </w:rPr>
            </w:pPr>
            <w:r>
              <w:rPr>
                <w:rFonts w:hint="eastAsia" w:ascii="Times New Roman" w:hAnsi="宋体"/>
                <w:sz w:val="22"/>
              </w:rPr>
              <w:t>供应商须根据资格性文件规定的格式（</w:t>
            </w:r>
            <w:r>
              <w:rPr>
                <w:rFonts w:ascii="Times New Roman"/>
                <w:sz w:val="22"/>
              </w:rPr>
              <w:t>1-2</w:t>
            </w:r>
            <w:r>
              <w:rPr>
                <w:rFonts w:hint="eastAsia" w:ascii="Times New Roman" w:hAnsi="宋体"/>
                <w:sz w:val="22"/>
              </w:rPr>
              <w:t>）提供原件并放入资格投标文件正本中，法定代表人直接参加的只须提供身份证复印件加盖公章</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811" w:type="dxa"/>
            <w:shd w:val="clear" w:color="auto" w:fill="auto"/>
            <w:vAlign w:val="center"/>
          </w:tcPr>
          <w:p>
            <w:pPr>
              <w:tabs>
                <w:tab w:val="left" w:pos="394"/>
                <w:tab w:val="left" w:pos="846"/>
              </w:tabs>
              <w:snapToGrid w:val="0"/>
              <w:spacing w:line="276" w:lineRule="auto"/>
              <w:ind w:left="110" w:firstLine="110" w:firstLineChars="50"/>
              <w:rPr>
                <w:rFonts w:ascii="Times New Roman"/>
                <w:sz w:val="22"/>
              </w:rPr>
            </w:pPr>
            <w:r>
              <w:rPr>
                <w:rFonts w:hint="eastAsia" w:ascii="Times New Roman"/>
                <w:sz w:val="22"/>
              </w:rPr>
              <w:t>5</w:t>
            </w:r>
          </w:p>
        </w:tc>
        <w:tc>
          <w:tcPr>
            <w:tcW w:w="4906" w:type="dxa"/>
            <w:shd w:val="clear" w:color="auto" w:fill="auto"/>
            <w:vAlign w:val="center"/>
          </w:tcPr>
          <w:p>
            <w:pPr>
              <w:snapToGrid w:val="0"/>
              <w:spacing w:line="276" w:lineRule="auto"/>
              <w:rPr>
                <w:rFonts w:ascii="Times New Roman"/>
                <w:sz w:val="22"/>
              </w:rPr>
            </w:pPr>
            <w:r>
              <w:rPr>
                <w:rFonts w:hint="eastAsia" w:ascii="Times New Roman" w:hAnsi="宋体"/>
                <w:sz w:val="22"/>
              </w:rPr>
              <w:t>法定代表人和被授权人身份证件</w:t>
            </w:r>
          </w:p>
        </w:tc>
        <w:tc>
          <w:tcPr>
            <w:tcW w:w="3743" w:type="dxa"/>
            <w:shd w:val="clear" w:color="auto" w:fill="auto"/>
            <w:vAlign w:val="center"/>
          </w:tcPr>
          <w:p>
            <w:pPr>
              <w:snapToGrid w:val="0"/>
              <w:spacing w:line="276" w:lineRule="auto"/>
              <w:jc w:val="left"/>
              <w:rPr>
                <w:rFonts w:ascii="Times New Roman"/>
                <w:sz w:val="22"/>
              </w:rPr>
            </w:pPr>
            <w:r>
              <w:rPr>
                <w:rFonts w:hint="eastAsia" w:ascii="Times New Roman" w:hAnsi="宋体"/>
                <w:sz w:val="22"/>
              </w:rPr>
              <w:t>复印件加盖公章（放入资格投标文件正本中）</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428" w:hRule="atLeast"/>
        </w:trPr>
        <w:tc>
          <w:tcPr>
            <w:tcW w:w="9460" w:type="dxa"/>
            <w:gridSpan w:val="3"/>
            <w:tcBorders>
              <w:bottom w:val="single" w:color="auto" w:sz="18" w:space="0"/>
            </w:tcBorders>
            <w:shd w:val="clear" w:color="auto" w:fill="auto"/>
            <w:vAlign w:val="center"/>
          </w:tcPr>
          <w:p>
            <w:pPr>
              <w:spacing w:line="276" w:lineRule="auto"/>
              <w:rPr>
                <w:rFonts w:asciiTheme="minorEastAsia" w:hAnsiTheme="minorEastAsia" w:eastAsiaTheme="minorEastAsia"/>
                <w:b/>
              </w:rPr>
            </w:pPr>
            <w:r>
              <w:rPr>
                <w:rFonts w:hint="eastAsia" w:asciiTheme="minorEastAsia" w:hAnsiTheme="minorEastAsia" w:eastAsiaTheme="minorEastAsia"/>
                <w:b/>
              </w:rPr>
              <w:t>注：</w:t>
            </w:r>
            <w:r>
              <w:rPr>
                <w:rFonts w:asciiTheme="minorEastAsia" w:hAnsiTheme="minorEastAsia" w:eastAsiaTheme="minorEastAsia"/>
                <w:b/>
              </w:rPr>
              <w:t>1.</w:t>
            </w:r>
            <w:r>
              <w:rPr>
                <w:rFonts w:hint="eastAsia" w:asciiTheme="minorEastAsia" w:hAnsiTheme="minorEastAsia" w:eastAsiaTheme="minorEastAsia"/>
                <w:b/>
              </w:rPr>
              <w:t>请投标供应商认真核对投标文件中是否按上述要求提供资格证明材料，未按上述要求提供的，自行承担无法通过资格审核的风险。</w:t>
            </w:r>
          </w:p>
          <w:p>
            <w:pPr>
              <w:spacing w:line="276" w:lineRule="auto"/>
              <w:rPr>
                <w:rFonts w:asciiTheme="minorEastAsia" w:hAnsiTheme="minorEastAsia" w:eastAsiaTheme="minorEastAsia"/>
                <w:b/>
              </w:rPr>
            </w:pPr>
            <w:r>
              <w:rPr>
                <w:rFonts w:hint="eastAsia" w:asciiTheme="minorEastAsia" w:hAnsiTheme="minorEastAsia" w:eastAsiaTheme="minorEastAsia"/>
                <w:b/>
              </w:rPr>
              <w:t>2.本项目所称“参加本次政府采购活动前三年内，在经营活动中没有重大违法记录”中的重大违法记录，即因违法经营受到刑事处罚或者责令停产停业、吊销许可证或者执照、较大数额罚款等行政处罚。根据《财政部关于〈中华人民共和国政府采购法实施条例〉第十九条第一款 “较大数额罚款”具体适用问题的意见》有关规定，《中华人民共和国政府采购法实施条例》第十九条第一款规定的“较大数额罚款”认定为200万元以上的罚款，法律、行政法规以及国务院有关部门明确规定相关领域“较大数额罚款”标准高于200万元的，从其规定。</w:t>
            </w:r>
          </w:p>
          <w:p>
            <w:pPr>
              <w:spacing w:line="276" w:lineRule="auto"/>
              <w:rPr>
                <w:rFonts w:asciiTheme="minorEastAsia" w:hAnsiTheme="minorEastAsia" w:eastAsiaTheme="minorEastAsia"/>
                <w:b/>
              </w:rPr>
            </w:pPr>
            <w:r>
              <w:rPr>
                <w:rFonts w:hint="eastAsia" w:asciiTheme="minorEastAsia" w:hAnsiTheme="minorEastAsia" w:eastAsiaTheme="minorEastAsia"/>
                <w:b/>
              </w:rPr>
              <w:t>3.以上要求的资料复印件均须加盖投标单位的公章（鲜章）。</w:t>
            </w:r>
          </w:p>
          <w:p>
            <w:pPr>
              <w:snapToGrid w:val="0"/>
              <w:spacing w:line="276" w:lineRule="auto"/>
              <w:rPr>
                <w:rFonts w:ascii="Times New Roman"/>
                <w:b/>
                <w:sz w:val="22"/>
              </w:rPr>
            </w:pPr>
            <w:r>
              <w:rPr>
                <w:rFonts w:hint="eastAsia" w:asciiTheme="minorEastAsia" w:hAnsiTheme="minorEastAsia" w:eastAsiaTheme="minorEastAsia"/>
                <w:b/>
                <w:bCs/>
              </w:rPr>
              <w:t>4.本项目不接受联合体投标。</w:t>
            </w:r>
          </w:p>
        </w:tc>
      </w:tr>
    </w:tbl>
    <w:p>
      <w:pPr>
        <w:spacing w:line="360" w:lineRule="auto"/>
        <w:rPr>
          <w:rFonts w:hAnsi="宋体" w:cs="宋体"/>
          <w:color w:val="auto"/>
        </w:rPr>
      </w:pPr>
    </w:p>
    <w:p>
      <w:pPr>
        <w:pStyle w:val="3"/>
        <w:spacing w:line="360" w:lineRule="auto"/>
        <w:jc w:val="center"/>
        <w:rPr>
          <w:rFonts w:hAnsi="宋体" w:cs="宋体"/>
        </w:rPr>
      </w:pPr>
      <w:r>
        <w:rPr>
          <w:rFonts w:hint="eastAsia" w:hAnsi="宋体" w:cs="宋体"/>
        </w:rPr>
        <w:br w:type="page"/>
      </w:r>
      <w:bookmarkStart w:id="206" w:name="_Toc27105"/>
      <w:r>
        <w:rPr>
          <w:rFonts w:hint="eastAsia" w:hAnsi="宋体" w:cs="宋体"/>
        </w:rPr>
        <w:t>第五章</w:t>
      </w:r>
      <w:bookmarkStart w:id="207" w:name="_Toc217446093"/>
      <w:r>
        <w:rPr>
          <w:rFonts w:hint="eastAsia" w:hAnsi="宋体" w:cs="宋体"/>
        </w:rPr>
        <w:t>招标项目要求</w:t>
      </w:r>
      <w:bookmarkEnd w:id="179"/>
      <w:bookmarkEnd w:id="180"/>
      <w:bookmarkEnd w:id="181"/>
      <w:bookmarkEnd w:id="206"/>
      <w:bookmarkEnd w:id="207"/>
      <w:bookmarkStart w:id="208" w:name="_Toc217446094"/>
    </w:p>
    <w:p>
      <w:pPr>
        <w:spacing w:line="360" w:lineRule="auto"/>
        <w:outlineLvl w:val="0"/>
        <w:rPr>
          <w:rFonts w:ascii="Times New Roman"/>
          <w:b/>
        </w:rPr>
      </w:pPr>
      <w:r>
        <w:rPr>
          <w:rFonts w:hint="eastAsia" w:ascii="Times New Roman"/>
          <w:b/>
        </w:rPr>
        <w:t>（一）项目概述：</w:t>
      </w:r>
      <w:bookmarkEnd w:id="208"/>
    </w:p>
    <w:p>
      <w:pPr>
        <w:spacing w:line="500" w:lineRule="exact"/>
        <w:ind w:firstLine="480" w:firstLineChars="200"/>
        <w:rPr>
          <w:rFonts w:hAnsi="宋体"/>
        </w:rPr>
      </w:pPr>
      <w:bookmarkStart w:id="209" w:name="_Toc4916"/>
      <w:bookmarkStart w:id="210" w:name="_Toc30645"/>
      <w:bookmarkStart w:id="211" w:name="_Toc24140"/>
      <w:bookmarkStart w:id="212" w:name="_Toc24257"/>
      <w:bookmarkStart w:id="213" w:name="_Toc16231"/>
      <w:bookmarkStart w:id="214" w:name="_Toc6605"/>
      <w:bookmarkStart w:id="215" w:name="OLE_LINK15"/>
      <w:r>
        <w:rPr>
          <w:rFonts w:hint="eastAsia" w:hAnsi="宋体"/>
        </w:rPr>
        <w:t xml:space="preserve">本项目共4个包， </w:t>
      </w:r>
      <w:bookmarkStart w:id="216" w:name="_Toc2640"/>
      <w:r>
        <w:rPr>
          <w:rFonts w:hint="eastAsia" w:hAnsi="宋体"/>
        </w:rPr>
        <w:t>采购教学专用仪器、设施设备1批；具体详见招标文件。</w:t>
      </w:r>
    </w:p>
    <w:p>
      <w:pPr>
        <w:pStyle w:val="95"/>
        <w:spacing w:line="400" w:lineRule="exact"/>
        <w:ind w:firstLine="442"/>
        <w:rPr>
          <w:b/>
          <w:bCs/>
          <w:sz w:val="22"/>
          <w:szCs w:val="22"/>
        </w:rPr>
      </w:pPr>
      <w:r>
        <w:rPr>
          <w:rFonts w:hint="eastAsia"/>
          <w:b/>
          <w:bCs/>
          <w:sz w:val="22"/>
          <w:szCs w:val="22"/>
        </w:rPr>
        <w:t>标的物所属行业（详见技术参数）</w:t>
      </w:r>
    </w:p>
    <w:p>
      <w:pPr>
        <w:pStyle w:val="95"/>
        <w:spacing w:line="400" w:lineRule="exact"/>
        <w:ind w:firstLine="0" w:firstLineChars="0"/>
        <w:rPr>
          <w:rFonts w:ascii="Times New Roman"/>
          <w:b/>
        </w:rPr>
      </w:pPr>
      <w:r>
        <w:rPr>
          <w:rFonts w:ascii="Times New Roman"/>
          <w:b/>
        </w:rPr>
        <w:t>（二）商务要求</w:t>
      </w:r>
      <w:bookmarkEnd w:id="216"/>
    </w:p>
    <w:p>
      <w:pPr>
        <w:spacing w:line="500" w:lineRule="exact"/>
        <w:outlineLvl w:val="0"/>
        <w:rPr>
          <w:rFonts w:hAnsi="宋体"/>
          <w:b/>
        </w:rPr>
      </w:pPr>
      <w:bookmarkStart w:id="217" w:name="_Toc12940"/>
      <w:r>
        <w:rPr>
          <w:rFonts w:hAnsi="宋体"/>
          <w:b/>
        </w:rPr>
        <w:t>1.交货时间及地点：</w:t>
      </w:r>
      <w:bookmarkEnd w:id="217"/>
    </w:p>
    <w:p>
      <w:pPr>
        <w:spacing w:line="500" w:lineRule="exact"/>
        <w:ind w:firstLine="480" w:firstLineChars="200"/>
        <w:rPr>
          <w:rFonts w:hAnsi="宋体"/>
        </w:rPr>
      </w:pPr>
      <w:r>
        <w:rPr>
          <w:rFonts w:hAnsi="宋体"/>
        </w:rPr>
        <w:t>1.1交货</w:t>
      </w:r>
      <w:r>
        <w:rPr>
          <w:rFonts w:hint="eastAsia" w:hAnsi="宋体"/>
        </w:rPr>
        <w:t>（完工）时间</w:t>
      </w:r>
      <w:r>
        <w:rPr>
          <w:rFonts w:hAnsi="宋体"/>
        </w:rPr>
        <w:t>：</w:t>
      </w:r>
      <w:r>
        <w:rPr>
          <w:rFonts w:hint="eastAsia" w:hAnsi="宋体"/>
        </w:rPr>
        <w:t>合同签订后30个日历日内安装调试完毕并交付验收；</w:t>
      </w:r>
    </w:p>
    <w:p>
      <w:pPr>
        <w:spacing w:line="500" w:lineRule="exact"/>
        <w:ind w:firstLine="480" w:firstLineChars="200"/>
        <w:rPr>
          <w:rFonts w:hAnsi="宋体"/>
        </w:rPr>
      </w:pPr>
      <w:r>
        <w:rPr>
          <w:rFonts w:hAnsi="宋体"/>
        </w:rPr>
        <w:t xml:space="preserve">1.2 交货地点: </w:t>
      </w:r>
      <w:r>
        <w:rPr>
          <w:rFonts w:hint="eastAsia" w:hAnsi="宋体"/>
        </w:rPr>
        <w:t>采购人指定学校。</w:t>
      </w:r>
    </w:p>
    <w:p>
      <w:pPr>
        <w:spacing w:line="500" w:lineRule="exact"/>
        <w:outlineLvl w:val="0"/>
        <w:rPr>
          <w:rFonts w:hAnsi="宋体"/>
          <w:b/>
        </w:rPr>
      </w:pPr>
      <w:r>
        <w:rPr>
          <w:rFonts w:hint="eastAsia" w:hAnsi="宋体"/>
          <w:b/>
        </w:rPr>
        <w:t>2.付款方式及条件</w:t>
      </w:r>
    </w:p>
    <w:p>
      <w:pPr>
        <w:spacing w:line="500" w:lineRule="exact"/>
        <w:ind w:firstLine="480" w:firstLineChars="200"/>
        <w:rPr>
          <w:rFonts w:hAnsi="宋体"/>
        </w:rPr>
      </w:pPr>
      <w:r>
        <w:rPr>
          <w:rFonts w:hint="eastAsia" w:hAnsi="宋体"/>
        </w:rPr>
        <w:t>合同签订后，所有设备运到现场，安装调试完成，系统运行正常，终验验收合格后，采购方支付合同额的95%给中标供应商。剩余合同额的5%作为质保维护保障费，验收合格之日起满1年后付给中标供应商。</w:t>
      </w:r>
    </w:p>
    <w:p>
      <w:pPr>
        <w:spacing w:line="500" w:lineRule="exact"/>
        <w:outlineLvl w:val="0"/>
        <w:rPr>
          <w:rFonts w:hAnsi="宋体"/>
          <w:b/>
        </w:rPr>
      </w:pPr>
      <w:bookmarkStart w:id="218" w:name="_Toc7358"/>
      <w:r>
        <w:rPr>
          <w:rFonts w:hint="eastAsia" w:hAnsi="宋体"/>
          <w:b/>
        </w:rPr>
        <w:t>3.质保保证：</w:t>
      </w:r>
      <w:bookmarkEnd w:id="218"/>
    </w:p>
    <w:p>
      <w:pPr>
        <w:snapToGrid w:val="0"/>
        <w:spacing w:line="500" w:lineRule="exact"/>
        <w:ind w:left="240" w:firstLine="480" w:firstLineChars="200"/>
        <w:textAlignment w:val="baseline"/>
        <w:rPr>
          <w:rFonts w:hAnsi="宋体"/>
        </w:rPr>
      </w:pPr>
      <w:r>
        <w:rPr>
          <w:rFonts w:hint="eastAsia" w:hAnsi="宋体"/>
        </w:rPr>
        <w:t>3.1质保期：3年，质保期内软件升级维护（若有软件）。</w:t>
      </w:r>
    </w:p>
    <w:p>
      <w:pPr>
        <w:snapToGrid w:val="0"/>
        <w:spacing w:line="500" w:lineRule="exact"/>
        <w:ind w:left="240" w:firstLine="480" w:firstLineChars="200"/>
        <w:textAlignment w:val="baseline"/>
        <w:rPr>
          <w:rFonts w:hAnsi="宋体" w:cs="宋体"/>
          <w:lang w:val="zh-CN"/>
        </w:rPr>
      </w:pPr>
      <w:r>
        <w:rPr>
          <w:rFonts w:hint="eastAsia" w:hAnsi="宋体" w:cs="宋体"/>
        </w:rPr>
        <w:t>3.2</w:t>
      </w:r>
      <w:r>
        <w:rPr>
          <w:rFonts w:hint="eastAsia" w:hAnsi="宋体" w:cs="宋体"/>
          <w:lang w:val="zh-CN"/>
        </w:rPr>
        <w:t>其他主要部件属于国家规定“三包”范围的，其质量保证期不得低于“三包”规定。供应商的质量保证期承诺优于国家“三包”规定的，按</w:t>
      </w:r>
      <w:r>
        <w:rPr>
          <w:rFonts w:hint="eastAsia" w:hAnsi="宋体"/>
          <w:bCs/>
          <w:lang w:val="zh-CN"/>
        </w:rPr>
        <w:t>投标人</w:t>
      </w:r>
      <w:r>
        <w:rPr>
          <w:rFonts w:hint="eastAsia" w:hAnsi="宋体" w:cs="宋体"/>
          <w:lang w:val="zh-CN"/>
        </w:rPr>
        <w:t>实际承诺执行。</w:t>
      </w:r>
    </w:p>
    <w:p>
      <w:pPr>
        <w:snapToGrid w:val="0"/>
        <w:spacing w:line="500" w:lineRule="exact"/>
        <w:ind w:left="240" w:firstLine="480" w:firstLineChars="200"/>
        <w:textAlignment w:val="baseline"/>
      </w:pPr>
      <w:r>
        <w:rPr>
          <w:rFonts w:hint="eastAsia" w:hAnsi="宋体" w:cs="宋体"/>
        </w:rPr>
        <w:t>3.3</w:t>
      </w:r>
      <w:r>
        <w:rPr>
          <w:rFonts w:hint="eastAsia" w:hAnsi="宋体"/>
          <w:bCs/>
          <w:lang w:val="zh-CN"/>
        </w:rPr>
        <w:t>投标人</w:t>
      </w:r>
      <w:r>
        <w:rPr>
          <w:rFonts w:hint="eastAsia" w:hAnsi="宋体" w:cs="宋体"/>
          <w:lang w:val="zh-CN"/>
        </w:rPr>
        <w:t>必须保证提供的设备是通过正常渠道获得的、全新的、未使用过的合格产品；其有关知识产权、技术、专利、检验、商务等均要符合中华人民共和国的有关法律、法规；</w:t>
      </w:r>
      <w:r>
        <w:rPr>
          <w:rFonts w:hint="eastAsia" w:hAnsi="宋体"/>
          <w:bCs/>
          <w:lang w:val="zh-CN"/>
        </w:rPr>
        <w:t>投标人</w:t>
      </w:r>
      <w:r>
        <w:rPr>
          <w:rFonts w:hint="eastAsia" w:hAnsi="宋体" w:cs="宋体"/>
          <w:lang w:val="zh-CN"/>
        </w:rPr>
        <w:t>必须承担因所供设备而引起的全部法律责任。</w:t>
      </w:r>
    </w:p>
    <w:p>
      <w:pPr>
        <w:spacing w:line="500" w:lineRule="exact"/>
        <w:outlineLvl w:val="0"/>
        <w:rPr>
          <w:rFonts w:hAnsi="宋体"/>
          <w:b/>
        </w:rPr>
      </w:pPr>
      <w:bookmarkStart w:id="219" w:name="_Toc14442"/>
      <w:r>
        <w:rPr>
          <w:rFonts w:hint="eastAsia" w:hAnsi="宋体"/>
          <w:b/>
        </w:rPr>
        <w:t>4.售后服务及培训要求：</w:t>
      </w:r>
      <w:bookmarkEnd w:id="219"/>
    </w:p>
    <w:p>
      <w:pPr>
        <w:snapToGrid w:val="0"/>
        <w:spacing w:line="500" w:lineRule="exact"/>
        <w:ind w:left="240" w:firstLine="480" w:firstLineChars="200"/>
        <w:textAlignment w:val="baseline"/>
        <w:rPr>
          <w:rFonts w:hAnsi="宋体" w:cs="宋体"/>
        </w:rPr>
      </w:pPr>
      <w:r>
        <w:rPr>
          <w:rFonts w:hint="eastAsia" w:hAnsi="宋体" w:cs="宋体"/>
        </w:rPr>
        <w:t xml:space="preserve">4.1 </w:t>
      </w:r>
      <w:r>
        <w:rPr>
          <w:rFonts w:hint="eastAsia" w:hAnsi="宋体"/>
          <w:bCs/>
          <w:lang w:val="zh-CN"/>
        </w:rPr>
        <w:t>投标人</w:t>
      </w:r>
      <w:r>
        <w:rPr>
          <w:rFonts w:hint="eastAsia" w:hAnsi="宋体" w:cs="宋体"/>
        </w:rPr>
        <w:t>的责任包括从设备交付到整个产品的交付使用，保证设备在进行安装、调试和试运行等过程中损坏的或有缺陷的部件可方便地得到免费修理和免费更换；质量保证期内的免费维护和修理，以及质量保证期后的维护指导和终身维修等；</w:t>
      </w:r>
    </w:p>
    <w:p>
      <w:pPr>
        <w:snapToGrid w:val="0"/>
        <w:spacing w:line="500" w:lineRule="exact"/>
        <w:ind w:left="240" w:firstLine="480" w:firstLineChars="200"/>
        <w:textAlignment w:val="baseline"/>
        <w:rPr>
          <w:rFonts w:hAnsi="宋体" w:cs="宋体"/>
        </w:rPr>
      </w:pPr>
      <w:r>
        <w:rPr>
          <w:rFonts w:hint="eastAsia" w:hAnsi="宋体" w:cs="宋体"/>
        </w:rPr>
        <w:t xml:space="preserve">4.2  </w:t>
      </w:r>
      <w:r>
        <w:rPr>
          <w:rFonts w:hint="eastAsia" w:hAnsi="宋体"/>
          <w:bCs/>
          <w:lang w:val="zh-CN"/>
        </w:rPr>
        <w:t>投标人</w:t>
      </w:r>
      <w:r>
        <w:rPr>
          <w:rFonts w:hint="eastAsia" w:hAnsi="宋体" w:cs="宋体"/>
        </w:rPr>
        <w:t>应具备在接到用户故障报告后1小时内做出响应，12小时内到达现场并排除故障，否则应提供备用设备，软件提供终身升级服务；</w:t>
      </w:r>
    </w:p>
    <w:p>
      <w:pPr>
        <w:snapToGrid w:val="0"/>
        <w:spacing w:line="500" w:lineRule="exact"/>
        <w:textAlignment w:val="baseline"/>
        <w:rPr>
          <w:rFonts w:hAnsi="宋体"/>
          <w:bCs/>
        </w:rPr>
      </w:pPr>
      <w:r>
        <w:rPr>
          <w:rFonts w:hint="eastAsia" w:hAnsi="宋体"/>
          <w:b/>
          <w:bCs/>
        </w:rPr>
        <w:t>5.技术培训要求</w:t>
      </w:r>
    </w:p>
    <w:p>
      <w:pPr>
        <w:snapToGrid w:val="0"/>
        <w:spacing w:line="500" w:lineRule="exact"/>
        <w:ind w:left="240" w:firstLine="480" w:firstLineChars="200"/>
        <w:textAlignment w:val="baseline"/>
        <w:rPr>
          <w:rFonts w:hAnsi="宋体" w:cs="宋体"/>
        </w:rPr>
      </w:pPr>
      <w:r>
        <w:rPr>
          <w:rFonts w:hint="eastAsia" w:hAnsi="宋体" w:cs="宋体"/>
        </w:rPr>
        <w:t>5.1 每套设备安装调试完毕后，</w:t>
      </w:r>
      <w:r>
        <w:rPr>
          <w:rFonts w:hint="eastAsia" w:hAnsi="宋体"/>
          <w:bCs/>
          <w:lang w:val="zh-CN"/>
        </w:rPr>
        <w:t>投标人</w:t>
      </w:r>
      <w:r>
        <w:rPr>
          <w:rFonts w:hint="eastAsia" w:hAnsi="宋体" w:cs="宋体"/>
        </w:rPr>
        <w:t>的技术人员必须对项目单位的设备使用人员进行操作应用（培训内容包括但不限于基本原理、使用方法、常见故障及处理方法等）、安全防护及维护保养方面的技能培训至完全掌握为止，培训期间，培训师的所有费用由</w:t>
      </w:r>
      <w:r>
        <w:rPr>
          <w:rFonts w:hint="eastAsia" w:hAnsi="宋体"/>
          <w:bCs/>
          <w:lang w:val="zh-CN"/>
        </w:rPr>
        <w:t>投标人</w:t>
      </w:r>
      <w:r>
        <w:rPr>
          <w:rFonts w:hint="eastAsia" w:hAnsi="宋体" w:cs="宋体"/>
        </w:rPr>
        <w:t>承担。</w:t>
      </w:r>
    </w:p>
    <w:p>
      <w:pPr>
        <w:snapToGrid w:val="0"/>
        <w:spacing w:line="500" w:lineRule="exact"/>
        <w:ind w:left="240" w:firstLine="480" w:firstLineChars="200"/>
        <w:textAlignment w:val="baseline"/>
        <w:rPr>
          <w:rFonts w:hAnsi="宋体" w:cs="宋体"/>
        </w:rPr>
      </w:pPr>
      <w:r>
        <w:rPr>
          <w:rFonts w:hint="eastAsia" w:hAnsi="宋体" w:cs="宋体"/>
        </w:rPr>
        <w:t>5.2 技术资料</w:t>
      </w:r>
    </w:p>
    <w:p>
      <w:pPr>
        <w:snapToGrid w:val="0"/>
        <w:spacing w:line="500" w:lineRule="exact"/>
        <w:ind w:left="240" w:firstLine="480" w:firstLineChars="200"/>
        <w:textAlignment w:val="baseline"/>
        <w:rPr>
          <w:rFonts w:hAnsi="宋体" w:cs="宋体"/>
        </w:rPr>
      </w:pPr>
      <w:r>
        <w:rPr>
          <w:rFonts w:hint="eastAsia" w:hAnsi="宋体" w:cs="宋体"/>
        </w:rPr>
        <w:t>提供所有设备、系统全套产品目录及说明书。</w:t>
      </w:r>
    </w:p>
    <w:p>
      <w:pPr>
        <w:snapToGrid w:val="0"/>
        <w:spacing w:line="500" w:lineRule="exact"/>
        <w:textAlignment w:val="baseline"/>
        <w:rPr>
          <w:rFonts w:hAnsi="宋体" w:cs="宋体"/>
        </w:rPr>
      </w:pPr>
      <w:r>
        <w:rPr>
          <w:rFonts w:hint="eastAsia" w:hAnsi="宋体"/>
          <w:b/>
          <w:bCs/>
        </w:rPr>
        <w:t xml:space="preserve">6.验收： </w:t>
      </w:r>
    </w:p>
    <w:p>
      <w:pPr>
        <w:snapToGrid w:val="0"/>
        <w:spacing w:line="500" w:lineRule="exact"/>
        <w:ind w:left="240" w:firstLine="480" w:firstLineChars="200"/>
        <w:textAlignment w:val="baseline"/>
        <w:rPr>
          <w:rFonts w:hAnsi="宋体" w:cs="宋体"/>
        </w:rPr>
      </w:pPr>
      <w:r>
        <w:rPr>
          <w:rFonts w:hint="eastAsia" w:hAnsi="宋体" w:cs="宋体"/>
        </w:rPr>
        <w:t>6.1初验：货物到达交货地点后，由使用单位根据合同对货物（设备）的名称、品牌、规格、型号、产地、数量进行检查。初验合格填写项目移交单，双方签字盖章。</w:t>
      </w:r>
    </w:p>
    <w:p>
      <w:pPr>
        <w:snapToGrid w:val="0"/>
        <w:spacing w:line="500" w:lineRule="exact"/>
        <w:ind w:left="240" w:firstLine="480" w:firstLineChars="200"/>
        <w:textAlignment w:val="baseline"/>
        <w:rPr>
          <w:rFonts w:hAnsi="宋体" w:cs="宋体"/>
        </w:rPr>
      </w:pPr>
      <w:r>
        <w:rPr>
          <w:rFonts w:hint="eastAsia" w:hAnsi="宋体" w:cs="宋体"/>
        </w:rPr>
        <w:t>6.2终验：所有货物(设备)安装、调试完毕，正常使用10个日历日后，由投标供应商向采购方提出终验书面申请，采购方确认后，组织投标供应商、有关专家及相关部门进行系统验收，并出具终验报告。验收合格后填写《临潼区政府采购项目验收单》。</w:t>
      </w:r>
    </w:p>
    <w:p>
      <w:pPr>
        <w:snapToGrid w:val="0"/>
        <w:spacing w:line="500" w:lineRule="exact"/>
        <w:textAlignment w:val="baseline"/>
        <w:rPr>
          <w:rFonts w:hAnsi="宋体"/>
          <w:b/>
          <w:bCs/>
        </w:rPr>
      </w:pPr>
      <w:r>
        <w:rPr>
          <w:rFonts w:hint="eastAsia" w:hAnsi="宋体"/>
          <w:b/>
          <w:bCs/>
        </w:rPr>
        <w:t>7.其它要求</w:t>
      </w:r>
    </w:p>
    <w:p>
      <w:pPr>
        <w:snapToGrid w:val="0"/>
        <w:spacing w:line="500" w:lineRule="exact"/>
        <w:ind w:left="240" w:firstLine="480" w:firstLineChars="200"/>
        <w:textAlignment w:val="baseline"/>
      </w:pPr>
      <w:r>
        <w:rPr>
          <w:rFonts w:hint="eastAsia" w:hAnsi="宋体" w:cs="宋体"/>
        </w:rPr>
        <w:t>本项目为交钥匙项目，所有设备包含系统集成、安装费、调试培训。</w:t>
      </w:r>
    </w:p>
    <w:p>
      <w:pPr>
        <w:pStyle w:val="2"/>
      </w:pPr>
    </w:p>
    <w:p>
      <w:pPr>
        <w:snapToGrid w:val="0"/>
        <w:spacing w:line="450" w:lineRule="exact"/>
        <w:textAlignment w:val="baseline"/>
        <w:rPr>
          <w:rFonts w:ascii="Times New Roman" w:hAnsi="宋体"/>
          <w:b/>
          <w:szCs w:val="21"/>
        </w:rPr>
      </w:pPr>
      <w:r>
        <w:rPr>
          <w:rFonts w:hint="eastAsia" w:ascii="Times New Roman" w:hAnsi="宋体"/>
          <w:b/>
          <w:szCs w:val="21"/>
        </w:rPr>
        <w:t>备注：商务要求为实质性响应条款，必须明确响应或者明确响应优于，否则视为无效响应。</w:t>
      </w:r>
    </w:p>
    <w:p>
      <w:pPr>
        <w:rPr>
          <w:rFonts w:ascii="Times New Roman"/>
          <w:b/>
          <w:szCs w:val="20"/>
        </w:rPr>
      </w:pPr>
    </w:p>
    <w:p>
      <w:pPr>
        <w:pStyle w:val="95"/>
        <w:spacing w:line="400" w:lineRule="exact"/>
        <w:ind w:firstLine="0" w:firstLineChars="0"/>
        <w:rPr>
          <w:rFonts w:ascii="Times New Roman"/>
          <w:b/>
        </w:rPr>
      </w:pPr>
    </w:p>
    <w:p>
      <w:pPr>
        <w:pStyle w:val="95"/>
        <w:spacing w:line="400" w:lineRule="exact"/>
        <w:ind w:firstLine="0" w:firstLineChars="0"/>
        <w:rPr>
          <w:rFonts w:ascii="Times New Roman"/>
          <w:b/>
        </w:rPr>
      </w:pPr>
    </w:p>
    <w:p>
      <w:pPr>
        <w:pStyle w:val="95"/>
        <w:spacing w:line="400" w:lineRule="exact"/>
        <w:ind w:firstLine="0" w:firstLineChars="0"/>
        <w:rPr>
          <w:rFonts w:ascii="Times New Roman"/>
          <w:b/>
        </w:rPr>
      </w:pPr>
    </w:p>
    <w:p>
      <w:pPr>
        <w:pStyle w:val="95"/>
        <w:spacing w:line="400" w:lineRule="exact"/>
        <w:ind w:firstLine="0" w:firstLineChars="0"/>
        <w:rPr>
          <w:rFonts w:ascii="Times New Roman"/>
          <w:b/>
        </w:rPr>
      </w:pPr>
      <w:r>
        <w:rPr>
          <w:rFonts w:hint="eastAsia" w:ascii="Times New Roman"/>
          <w:b/>
        </w:rPr>
        <w:t>（三）技术参数要求</w:t>
      </w:r>
    </w:p>
    <w:p>
      <w:pPr>
        <w:snapToGrid w:val="0"/>
        <w:spacing w:line="500" w:lineRule="exact"/>
        <w:ind w:left="240" w:firstLine="480" w:firstLineChars="200"/>
        <w:textAlignment w:val="baseline"/>
        <w:rPr>
          <w:rFonts w:hAnsi="宋体" w:cs="宋体"/>
        </w:rPr>
      </w:pPr>
      <w:r>
        <w:rPr>
          <w:rFonts w:hint="eastAsia" w:hAnsi="宋体" w:cs="宋体"/>
        </w:rPr>
        <w:t>详见附件。</w:t>
      </w:r>
    </w:p>
    <w:p>
      <w:pPr>
        <w:pStyle w:val="95"/>
        <w:spacing w:line="400" w:lineRule="exact"/>
        <w:ind w:firstLine="0" w:firstLineChars="0"/>
        <w:rPr>
          <w:rFonts w:ascii="Times New Roman"/>
          <w:b/>
        </w:rPr>
      </w:pPr>
      <w:r>
        <w:rPr>
          <w:rFonts w:hint="eastAsia" w:ascii="Times New Roman"/>
          <w:b/>
        </w:rPr>
        <w:t>（四）演示</w:t>
      </w:r>
    </w:p>
    <w:p>
      <w:pPr>
        <w:snapToGrid w:val="0"/>
        <w:spacing w:line="500" w:lineRule="exact"/>
        <w:ind w:left="240" w:firstLine="480" w:firstLineChars="200"/>
        <w:textAlignment w:val="baseline"/>
        <w:rPr>
          <w:rFonts w:hAnsi="宋体" w:cs="宋体"/>
        </w:rPr>
      </w:pPr>
      <w:r>
        <w:rPr>
          <w:rFonts w:hint="eastAsia" w:hAnsi="宋体" w:cs="宋体"/>
        </w:rPr>
        <w:t>演示须知：</w:t>
      </w:r>
    </w:p>
    <w:p>
      <w:pPr>
        <w:snapToGrid w:val="0"/>
        <w:spacing w:line="500" w:lineRule="exact"/>
        <w:ind w:left="240" w:firstLine="480" w:firstLineChars="200"/>
        <w:textAlignment w:val="baseline"/>
        <w:rPr>
          <w:rFonts w:hAnsi="宋体" w:cs="宋体"/>
        </w:rPr>
      </w:pPr>
      <w:r>
        <w:rPr>
          <w:rFonts w:hint="eastAsia" w:hAnsi="宋体" w:cs="宋体"/>
        </w:rPr>
        <w:t>4.1 演示时间：每个投标人的演示时间不超过10分钟，同一投标人参与多个包投标并且所投产品为同品牌同型号的，只需进行一次演示即可。同品牌同型号的产品（不同投标人），但演示人员为同一人的，也只演示一次，不再重复演示。</w:t>
      </w:r>
    </w:p>
    <w:p>
      <w:pPr>
        <w:snapToGrid w:val="0"/>
        <w:spacing w:line="500" w:lineRule="exact"/>
        <w:ind w:left="240" w:firstLine="480" w:firstLineChars="200"/>
        <w:textAlignment w:val="baseline"/>
        <w:rPr>
          <w:rFonts w:hAnsi="宋体" w:cs="宋体"/>
        </w:rPr>
      </w:pPr>
      <w:r>
        <w:rPr>
          <w:rFonts w:hint="eastAsia" w:hAnsi="宋体" w:cs="宋体"/>
        </w:rPr>
        <w:t>4.2演示内容：</w:t>
      </w:r>
    </w:p>
    <w:p>
      <w:pPr>
        <w:snapToGrid w:val="0"/>
        <w:spacing w:line="500" w:lineRule="exact"/>
        <w:ind w:left="240" w:firstLine="482" w:firstLineChars="200"/>
        <w:textAlignment w:val="baseline"/>
        <w:rPr>
          <w:rFonts w:hAnsi="宋体" w:cs="宋体"/>
          <w:b/>
        </w:rPr>
      </w:pPr>
      <w:r>
        <w:rPr>
          <w:rFonts w:hint="eastAsia" w:hAnsi="宋体" w:cs="宋体"/>
          <w:b/>
        </w:rPr>
        <w:t>演示内容详见技术参数。</w:t>
      </w:r>
    </w:p>
    <w:p>
      <w:pPr>
        <w:snapToGrid w:val="0"/>
        <w:spacing w:line="500" w:lineRule="exact"/>
        <w:ind w:left="240" w:firstLine="480" w:firstLineChars="200"/>
        <w:textAlignment w:val="baseline"/>
        <w:rPr>
          <w:rFonts w:hAnsi="宋体" w:cs="宋体"/>
        </w:rPr>
      </w:pPr>
      <w:r>
        <w:rPr>
          <w:rFonts w:hint="eastAsia" w:hAnsi="宋体" w:cs="宋体"/>
        </w:rPr>
        <w:t>4.3演示说明：</w:t>
      </w:r>
    </w:p>
    <w:p>
      <w:pPr>
        <w:snapToGrid w:val="0"/>
        <w:spacing w:line="500" w:lineRule="exact"/>
        <w:ind w:left="240" w:firstLine="480" w:firstLineChars="200"/>
        <w:textAlignment w:val="baseline"/>
        <w:rPr>
          <w:rFonts w:hAnsi="宋体" w:cs="宋体"/>
        </w:rPr>
      </w:pPr>
      <w:r>
        <w:rPr>
          <w:rFonts w:hint="eastAsia" w:hAnsi="宋体" w:cs="宋体"/>
        </w:rPr>
        <w:t>（1）投标人对所投产品进行现场展示和演示的同时，评标委员会有权现场要求供应商代表进行现场讲解和答疑，答疑时间不计算入演示时间。</w:t>
      </w:r>
    </w:p>
    <w:p>
      <w:pPr>
        <w:snapToGrid w:val="0"/>
        <w:spacing w:line="500" w:lineRule="exact"/>
        <w:ind w:left="240" w:firstLine="480" w:firstLineChars="200"/>
        <w:textAlignment w:val="baseline"/>
        <w:rPr>
          <w:rFonts w:hAnsi="宋体" w:cs="宋体"/>
        </w:rPr>
      </w:pPr>
      <w:r>
        <w:rPr>
          <w:rFonts w:hint="eastAsia" w:hAnsi="宋体" w:cs="宋体"/>
        </w:rPr>
        <w:t>（2）</w:t>
      </w:r>
      <w:bookmarkStart w:id="220" w:name="_Toc3531"/>
      <w:r>
        <w:rPr>
          <w:rFonts w:hint="eastAsia" w:hAnsi="宋体" w:cs="宋体"/>
        </w:rPr>
        <w:t>投标人须自带相关设备（含支架，插板等）进行演示操作，代理机构只提供现场电源连接。</w:t>
      </w:r>
    </w:p>
    <w:p>
      <w:pPr>
        <w:snapToGrid w:val="0"/>
        <w:spacing w:line="500" w:lineRule="exact"/>
        <w:ind w:left="240" w:firstLine="480" w:firstLineChars="200"/>
        <w:textAlignment w:val="baseline"/>
        <w:rPr>
          <w:rFonts w:hAnsi="宋体" w:cs="宋体"/>
        </w:rPr>
      </w:pPr>
    </w:p>
    <w:p>
      <w:pPr>
        <w:rPr>
          <w:rFonts w:hAnsi="宋体" w:cs="宋体"/>
        </w:rPr>
      </w:pPr>
      <w:r>
        <w:rPr>
          <w:rFonts w:hint="eastAsia" w:hAnsi="宋体" w:cs="宋体"/>
        </w:rPr>
        <w:br w:type="page"/>
      </w:r>
    </w:p>
    <w:p>
      <w:pPr>
        <w:pStyle w:val="3"/>
        <w:spacing w:line="360" w:lineRule="auto"/>
        <w:jc w:val="center"/>
        <w:rPr>
          <w:rFonts w:hAnsi="宋体" w:cs="宋体"/>
        </w:rPr>
      </w:pPr>
      <w:r>
        <w:rPr>
          <w:rFonts w:hint="eastAsia" w:hAnsi="宋体" w:cs="宋体"/>
        </w:rPr>
        <w:t>第六章评标办法</w:t>
      </w:r>
      <w:bookmarkEnd w:id="209"/>
      <w:bookmarkEnd w:id="210"/>
      <w:bookmarkEnd w:id="211"/>
      <w:bookmarkEnd w:id="212"/>
      <w:bookmarkEnd w:id="213"/>
      <w:bookmarkEnd w:id="214"/>
      <w:bookmarkEnd w:id="220"/>
      <w:bookmarkStart w:id="221" w:name="_Toc217446097"/>
      <w:bookmarkStart w:id="222" w:name="_Toc183582280"/>
      <w:bookmarkStart w:id="223" w:name="_Toc183682415"/>
      <w:bookmarkStart w:id="224" w:name="_Toc208849007"/>
    </w:p>
    <w:bookmarkEnd w:id="215"/>
    <w:bookmarkEnd w:id="221"/>
    <w:bookmarkEnd w:id="222"/>
    <w:bookmarkEnd w:id="223"/>
    <w:bookmarkEnd w:id="224"/>
    <w:p>
      <w:pPr>
        <w:pStyle w:val="4"/>
        <w:spacing w:line="360" w:lineRule="auto"/>
        <w:rPr>
          <w:rFonts w:ascii="宋体" w:hAnsi="宋体" w:cs="宋体"/>
          <w:sz w:val="24"/>
        </w:rPr>
      </w:pPr>
      <w:bookmarkStart w:id="225" w:name="_Toc9695"/>
      <w:bookmarkStart w:id="226" w:name="_Toc10747"/>
      <w:r>
        <w:rPr>
          <w:rFonts w:hint="eastAsia" w:ascii="宋体" w:hAnsi="宋体" w:cs="宋体"/>
          <w:sz w:val="24"/>
        </w:rPr>
        <w:t>1. 总则</w:t>
      </w:r>
    </w:p>
    <w:p>
      <w:pPr>
        <w:spacing w:line="360" w:lineRule="auto"/>
        <w:ind w:firstLine="480" w:firstLineChars="200"/>
        <w:rPr>
          <w:rFonts w:hAnsi="宋体" w:cs="宋体"/>
          <w:color w:val="auto"/>
        </w:rPr>
      </w:pPr>
      <w:r>
        <w:rPr>
          <w:rFonts w:hint="eastAsia" w:hAnsi="宋体" w:cs="宋体"/>
          <w:color w:val="auto"/>
        </w:rPr>
        <w:t>1.1 根据《中华人民共和国政府采购法》、《中华人民共和国政府采购法实施条例》、《政府采购货物和服务招标投标管理办法》等法律制度，结合采购项目特点制定本评标办法。</w:t>
      </w:r>
    </w:p>
    <w:p>
      <w:pPr>
        <w:spacing w:line="360" w:lineRule="auto"/>
        <w:ind w:firstLine="480" w:firstLineChars="200"/>
        <w:rPr>
          <w:rFonts w:hAnsi="宋体" w:cs="宋体"/>
          <w:color w:val="auto"/>
        </w:rPr>
      </w:pPr>
      <w:r>
        <w:rPr>
          <w:rFonts w:hint="eastAsia" w:hAnsi="宋体" w:cs="宋体"/>
          <w:color w:val="auto"/>
        </w:rPr>
        <w:t>1.2 公开招标采购项目开标结束后，采购人或者采购代理机构应当依法对投标人的资格进行审查。依据法律法规和本招标文件的规定，对投标文件是否按照规定要求提供资格性证明材料，以确定投标供应商是否具备投标资格。</w:t>
      </w:r>
    </w:p>
    <w:p>
      <w:pPr>
        <w:spacing w:line="360" w:lineRule="auto"/>
        <w:ind w:firstLine="480" w:firstLineChars="200"/>
        <w:rPr>
          <w:rFonts w:hAnsi="宋体" w:cs="宋体"/>
          <w:color w:val="auto"/>
        </w:rPr>
      </w:pPr>
      <w:r>
        <w:rPr>
          <w:rFonts w:hint="eastAsia" w:hAnsi="宋体" w:cs="宋体"/>
          <w:color w:val="auto"/>
        </w:rPr>
        <w:t>合格投标人不足三家的，不得评标。</w:t>
      </w:r>
    </w:p>
    <w:p>
      <w:pPr>
        <w:spacing w:line="360" w:lineRule="auto"/>
        <w:ind w:firstLine="480" w:firstLineChars="200"/>
        <w:rPr>
          <w:rFonts w:hAnsi="宋体" w:cs="宋体"/>
          <w:color w:val="auto"/>
        </w:rPr>
      </w:pPr>
      <w:r>
        <w:rPr>
          <w:rFonts w:hint="eastAsia" w:hAnsi="宋体" w:cs="宋体"/>
          <w:color w:val="auto"/>
        </w:rPr>
        <w:t>评标工作由采购代理机构负责组织，具体评标事务由采购代理机构依法组建的评标委员会负责。评标委员会由采购人代表和有关技术、经济、法律等方面的专家组成。</w:t>
      </w:r>
    </w:p>
    <w:p>
      <w:pPr>
        <w:spacing w:line="360" w:lineRule="auto"/>
        <w:ind w:firstLine="480" w:firstLineChars="200"/>
        <w:rPr>
          <w:rFonts w:hAnsi="宋体" w:cs="宋体"/>
          <w:color w:val="auto"/>
        </w:rPr>
      </w:pPr>
      <w:r>
        <w:rPr>
          <w:rFonts w:hint="eastAsia" w:hAnsi="宋体" w:cs="宋体"/>
          <w:color w:val="auto"/>
        </w:rPr>
        <w:t>1.3 评标工作应遵循公平、公正、科学及择优的原则，并以相同的评标程序和标准对待所有的投标人。</w:t>
      </w:r>
    </w:p>
    <w:p>
      <w:pPr>
        <w:spacing w:line="360" w:lineRule="auto"/>
        <w:ind w:firstLine="480" w:firstLineChars="200"/>
        <w:rPr>
          <w:rFonts w:hAnsi="宋体" w:cs="宋体"/>
          <w:color w:val="auto"/>
        </w:rPr>
      </w:pPr>
      <w:r>
        <w:rPr>
          <w:rFonts w:hint="eastAsia" w:hAnsi="宋体" w:cs="宋体"/>
          <w:color w:val="auto"/>
        </w:rPr>
        <w:t>1.4 评标委员会按照招标文件规定的评标方法和标准进行评标，并独立履行下列职责：</w:t>
      </w:r>
    </w:p>
    <w:p>
      <w:pPr>
        <w:spacing w:line="360" w:lineRule="auto"/>
        <w:ind w:firstLine="480" w:firstLineChars="200"/>
        <w:rPr>
          <w:rFonts w:hAnsi="宋体" w:cs="宋体"/>
          <w:color w:val="auto"/>
        </w:rPr>
      </w:pPr>
      <w:bookmarkStart w:id="227" w:name="_Toc217446098"/>
      <w:r>
        <w:rPr>
          <w:rFonts w:hint="eastAsia" w:hAnsi="宋体" w:cs="宋体"/>
          <w:color w:val="auto"/>
        </w:rPr>
        <w:t>（一）熟悉和理解招标文件；</w:t>
      </w:r>
    </w:p>
    <w:p>
      <w:pPr>
        <w:spacing w:line="360" w:lineRule="auto"/>
        <w:ind w:firstLine="480" w:firstLineChars="200"/>
        <w:rPr>
          <w:rFonts w:hAnsi="宋体" w:cs="宋体"/>
          <w:color w:val="auto"/>
        </w:rPr>
      </w:pPr>
      <w:r>
        <w:rPr>
          <w:rFonts w:hint="eastAsia" w:hAnsi="宋体" w:cs="宋体"/>
          <w:color w:val="auto"/>
        </w:rPr>
        <w:t>（二）审查供应商（已通过资格审查）的投标文件是否满足招标文件要求，并作出评价；</w:t>
      </w:r>
    </w:p>
    <w:p>
      <w:pPr>
        <w:spacing w:line="360" w:lineRule="auto"/>
        <w:ind w:firstLine="480" w:firstLineChars="200"/>
        <w:rPr>
          <w:rFonts w:hAnsi="宋体" w:cs="宋体"/>
          <w:color w:val="auto"/>
        </w:rPr>
      </w:pPr>
      <w:r>
        <w:rPr>
          <w:rFonts w:hint="eastAsia" w:hAnsi="宋体" w:cs="宋体"/>
          <w:color w:val="auto"/>
        </w:rPr>
        <w:t>（三）根据需要要求招标采购单位对招标文件作出解释；根据需要要求供应商对投标文件有关事项作出澄清、说明或者更正；</w:t>
      </w:r>
    </w:p>
    <w:p>
      <w:pPr>
        <w:spacing w:line="360" w:lineRule="auto"/>
        <w:ind w:firstLine="480" w:firstLineChars="200"/>
        <w:rPr>
          <w:rFonts w:hAnsi="宋体" w:cs="宋体"/>
          <w:color w:val="auto"/>
        </w:rPr>
      </w:pPr>
      <w:r>
        <w:rPr>
          <w:rFonts w:hint="eastAsia" w:hAnsi="宋体" w:cs="宋体"/>
          <w:color w:val="auto"/>
        </w:rPr>
        <w:t>（四）推荐中标候选供应商，或者受采购人委托确定中标供应商；</w:t>
      </w:r>
    </w:p>
    <w:p>
      <w:pPr>
        <w:spacing w:line="360" w:lineRule="auto"/>
        <w:ind w:firstLine="480" w:firstLineChars="200"/>
        <w:rPr>
          <w:rFonts w:hAnsi="宋体" w:cs="宋体"/>
          <w:color w:val="auto"/>
        </w:rPr>
      </w:pPr>
      <w:r>
        <w:rPr>
          <w:rFonts w:hint="eastAsia" w:hAnsi="宋体" w:cs="宋体"/>
          <w:color w:val="auto"/>
        </w:rPr>
        <w:t>（五）起草评标报告并进行签署；</w:t>
      </w:r>
    </w:p>
    <w:p>
      <w:pPr>
        <w:spacing w:line="360" w:lineRule="auto"/>
        <w:ind w:firstLine="480" w:firstLineChars="200"/>
        <w:rPr>
          <w:rFonts w:hAnsi="宋体" w:cs="宋体"/>
          <w:color w:val="auto"/>
        </w:rPr>
      </w:pPr>
      <w:r>
        <w:rPr>
          <w:rFonts w:hint="eastAsia" w:hAnsi="宋体" w:cs="宋体"/>
          <w:color w:val="auto"/>
        </w:rPr>
        <w:t>（六）向招标采购单位、财政部门或者其他监督部门报告非法干预评标工作的行为；</w:t>
      </w:r>
    </w:p>
    <w:p>
      <w:pPr>
        <w:spacing w:line="360" w:lineRule="auto"/>
        <w:ind w:firstLine="480" w:firstLineChars="200"/>
        <w:rPr>
          <w:rFonts w:hAnsi="宋体" w:cs="宋体"/>
          <w:color w:val="auto"/>
        </w:rPr>
      </w:pPr>
      <w:r>
        <w:rPr>
          <w:rFonts w:hint="eastAsia" w:hAnsi="宋体" w:cs="宋体"/>
          <w:color w:val="auto"/>
        </w:rPr>
        <w:t>（七）法律、法规和规章规定的其他职责。</w:t>
      </w:r>
    </w:p>
    <w:p>
      <w:pPr>
        <w:spacing w:line="360" w:lineRule="auto"/>
        <w:ind w:firstLine="480" w:firstLineChars="200"/>
        <w:rPr>
          <w:rFonts w:hAnsi="宋体" w:cs="宋体"/>
          <w:color w:val="auto"/>
        </w:rPr>
      </w:pPr>
      <w:r>
        <w:rPr>
          <w:rFonts w:hint="eastAsia" w:hAnsi="宋体" w:cs="宋体"/>
          <w:color w:val="auto"/>
        </w:rPr>
        <w:t>1.5 评标过程独立、保密。投标人非法干预评标过程的行为将导致其投标文件作为无效处理。</w:t>
      </w:r>
    </w:p>
    <w:p>
      <w:pPr>
        <w:spacing w:line="360" w:lineRule="auto"/>
        <w:ind w:firstLine="480" w:firstLineChars="200"/>
        <w:rPr>
          <w:rFonts w:hAnsi="宋体" w:cs="宋体"/>
          <w:color w:val="auto"/>
        </w:rPr>
      </w:pPr>
      <w:r>
        <w:rPr>
          <w:rFonts w:hint="eastAsia" w:hAnsi="宋体" w:cs="宋体"/>
          <w:color w:val="auto"/>
        </w:rPr>
        <w:t>1.6 评标委员会评价投标文件的响应性，对于投标人而言，除评标委员会要求其澄清、说明或者更正而提供的资料外，仅依据投标文件本身的内容，不寻求其他外部证据。</w:t>
      </w:r>
    </w:p>
    <w:p>
      <w:pPr>
        <w:pStyle w:val="4"/>
        <w:spacing w:line="360" w:lineRule="auto"/>
        <w:rPr>
          <w:rFonts w:ascii="宋体" w:hAnsi="宋体" w:cs="宋体"/>
          <w:sz w:val="24"/>
        </w:rPr>
      </w:pPr>
      <w:r>
        <w:rPr>
          <w:rFonts w:hint="eastAsia" w:ascii="宋体" w:hAnsi="宋体" w:cs="宋体"/>
          <w:sz w:val="24"/>
        </w:rPr>
        <w:t>2、评标</w:t>
      </w:r>
      <w:bookmarkEnd w:id="227"/>
      <w:r>
        <w:rPr>
          <w:rFonts w:hint="eastAsia" w:ascii="宋体" w:hAnsi="宋体" w:cs="宋体"/>
          <w:sz w:val="24"/>
        </w:rPr>
        <w:t>方法</w:t>
      </w:r>
    </w:p>
    <w:p>
      <w:pPr>
        <w:spacing w:line="360" w:lineRule="auto"/>
        <w:ind w:firstLine="480" w:firstLineChars="200"/>
        <w:rPr>
          <w:rFonts w:hAnsi="宋体" w:cs="宋体"/>
          <w:color w:val="auto"/>
        </w:rPr>
      </w:pPr>
      <w:bookmarkStart w:id="228" w:name="_Toc217446103"/>
      <w:bookmarkStart w:id="229" w:name="_Toc217446099"/>
      <w:r>
        <w:rPr>
          <w:rFonts w:hint="eastAsia" w:hAnsi="宋体" w:cs="宋体"/>
          <w:color w:val="auto"/>
        </w:rPr>
        <w:t>2.1本项目评标方法为：</w:t>
      </w:r>
      <w:r>
        <w:rPr>
          <w:rFonts w:hint="eastAsia" w:hAnsi="宋体" w:cs="宋体"/>
          <w:b/>
          <w:bCs/>
          <w:color w:val="auto"/>
        </w:rPr>
        <w:t>综合评分法</w:t>
      </w:r>
      <w:r>
        <w:rPr>
          <w:rFonts w:hint="eastAsia" w:hAnsi="宋体" w:cs="宋体"/>
          <w:color w:val="auto"/>
        </w:rPr>
        <w:t>。</w:t>
      </w:r>
    </w:p>
    <w:p>
      <w:pPr>
        <w:pStyle w:val="4"/>
        <w:spacing w:line="360" w:lineRule="auto"/>
        <w:rPr>
          <w:rFonts w:ascii="宋体" w:hAnsi="宋体" w:cs="宋体"/>
          <w:sz w:val="24"/>
        </w:rPr>
      </w:pPr>
      <w:r>
        <w:rPr>
          <w:rFonts w:hint="eastAsia" w:ascii="宋体" w:hAnsi="宋体" w:cs="宋体"/>
          <w:sz w:val="24"/>
        </w:rPr>
        <w:t>3、评标程序</w:t>
      </w:r>
    </w:p>
    <w:p>
      <w:pPr>
        <w:spacing w:line="360" w:lineRule="auto"/>
        <w:ind w:firstLine="480" w:firstLineChars="200"/>
        <w:rPr>
          <w:rFonts w:hAnsi="宋体" w:cs="宋体"/>
          <w:color w:val="auto"/>
        </w:rPr>
      </w:pPr>
      <w:r>
        <w:rPr>
          <w:rFonts w:hint="eastAsia" w:hAnsi="宋体" w:cs="宋体"/>
          <w:color w:val="auto"/>
        </w:rPr>
        <w:t>3.1熟悉和理解招标文件和停止评标。</w:t>
      </w:r>
    </w:p>
    <w:p>
      <w:pPr>
        <w:spacing w:line="360" w:lineRule="auto"/>
        <w:ind w:firstLine="480" w:firstLineChars="200"/>
        <w:rPr>
          <w:rFonts w:hAnsi="宋体" w:cs="宋体"/>
          <w:color w:val="auto"/>
        </w:rPr>
      </w:pPr>
      <w:r>
        <w:rPr>
          <w:rFonts w:hint="eastAsia" w:hAnsi="宋体" w:cs="宋体"/>
          <w:color w:val="auto"/>
        </w:rPr>
        <w:t>3.1.1评标委员会正式评标前，应当对招标文件进行熟悉和理解，内容主要包括招标文件中投标人资格条件要求、采购项目技术、服务和商务要求、评标方法和标准以及可能涉及签订政府采购合同的内容等。</w:t>
      </w:r>
    </w:p>
    <w:p>
      <w:pPr>
        <w:spacing w:line="360" w:lineRule="auto"/>
        <w:ind w:firstLine="480" w:firstLineChars="200"/>
        <w:rPr>
          <w:rFonts w:hAnsi="宋体" w:cs="宋体"/>
          <w:color w:val="auto"/>
        </w:rPr>
      </w:pPr>
      <w:r>
        <w:rPr>
          <w:rFonts w:hint="eastAsia" w:hAnsi="宋体" w:cs="宋体"/>
          <w:color w:val="auto"/>
        </w:rPr>
        <w:t>3.1.2评标委员会熟悉和理解招标文件以及评标过程中，发现本招标文件有下列情形之一的，评标委员会应当停止评标：</w:t>
      </w:r>
    </w:p>
    <w:p>
      <w:pPr>
        <w:spacing w:line="360" w:lineRule="auto"/>
        <w:ind w:firstLine="480" w:firstLineChars="200"/>
        <w:rPr>
          <w:rFonts w:hAnsi="宋体" w:cs="宋体"/>
          <w:color w:val="auto"/>
        </w:rPr>
      </w:pPr>
      <w:r>
        <w:rPr>
          <w:rFonts w:hint="eastAsia" w:hAnsi="宋体" w:cs="宋体"/>
          <w:color w:val="auto"/>
        </w:rPr>
        <w:t>（1）招标文件的规定存在歧义、重大缺陷的；</w:t>
      </w:r>
    </w:p>
    <w:p>
      <w:pPr>
        <w:spacing w:line="360" w:lineRule="auto"/>
        <w:ind w:firstLine="480" w:firstLineChars="200"/>
        <w:rPr>
          <w:rFonts w:hAnsi="宋体" w:cs="宋体"/>
          <w:color w:val="auto"/>
        </w:rPr>
      </w:pPr>
      <w:r>
        <w:rPr>
          <w:rFonts w:hint="eastAsia" w:hAnsi="宋体" w:cs="宋体"/>
          <w:color w:val="auto"/>
        </w:rPr>
        <w:t>（2）招标文件有违反国家其他有关强制性规定的情形。</w:t>
      </w:r>
    </w:p>
    <w:p>
      <w:pPr>
        <w:spacing w:line="360" w:lineRule="auto"/>
        <w:ind w:firstLine="480" w:firstLineChars="200"/>
        <w:rPr>
          <w:rFonts w:hAnsi="宋体" w:cs="宋体"/>
          <w:color w:val="auto"/>
        </w:rPr>
      </w:pPr>
      <w:r>
        <w:rPr>
          <w:rFonts w:hint="eastAsia" w:hAnsi="宋体" w:cs="宋体"/>
          <w:color w:val="auto"/>
        </w:rPr>
        <w:t>3.1.3出现本条3.1.2规定应当停止评标情形的，评标委员会成员应当向招标采购单位书面说明情况。除本条规定和评标委员会无法依法组建的情形外，评标委员会成员不得以任何方式和理由停止评标。</w:t>
      </w:r>
    </w:p>
    <w:p>
      <w:pPr>
        <w:spacing w:line="360" w:lineRule="auto"/>
        <w:ind w:firstLine="480" w:firstLineChars="200"/>
        <w:rPr>
          <w:rFonts w:hAnsi="宋体" w:cs="宋体"/>
          <w:color w:val="auto"/>
        </w:rPr>
      </w:pPr>
      <w:r>
        <w:rPr>
          <w:rFonts w:hint="eastAsia" w:hAnsi="宋体" w:cs="宋体"/>
          <w:color w:val="auto"/>
        </w:rPr>
        <w:t>3.2符合性检查。</w:t>
      </w:r>
    </w:p>
    <w:p>
      <w:pPr>
        <w:spacing w:line="360" w:lineRule="auto"/>
        <w:ind w:firstLine="480" w:firstLineChars="200"/>
        <w:rPr>
          <w:rFonts w:hAnsi="宋体" w:cs="宋体"/>
          <w:color w:val="auto"/>
        </w:rPr>
      </w:pPr>
      <w:r>
        <w:rPr>
          <w:rFonts w:hint="eastAsia" w:hAnsi="宋体" w:cs="宋体"/>
          <w:color w:val="auto"/>
        </w:rPr>
        <w:t>3.2.1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spacing w:line="360" w:lineRule="auto"/>
        <w:ind w:firstLine="480" w:firstLineChars="200"/>
        <w:rPr>
          <w:rFonts w:hAnsi="宋体" w:cs="宋体"/>
          <w:color w:val="auto"/>
        </w:rPr>
      </w:pPr>
      <w:r>
        <w:rPr>
          <w:rFonts w:hint="eastAsia" w:hAnsi="宋体" w:cs="宋体"/>
          <w:color w:val="auto"/>
        </w:rPr>
        <w:t>3.2.2投标文件（包括单独递交的开标一览表）有下列情形的，本项目不作为实质性要求进行规定，即不作为符合性审查事项，不得作为无效投标处理：</w:t>
      </w:r>
    </w:p>
    <w:p>
      <w:pPr>
        <w:spacing w:line="360" w:lineRule="auto"/>
        <w:ind w:firstLine="480" w:firstLineChars="200"/>
        <w:rPr>
          <w:rFonts w:hAnsi="宋体" w:cs="宋体"/>
          <w:color w:val="auto"/>
        </w:rPr>
      </w:pPr>
      <w:r>
        <w:rPr>
          <w:rFonts w:hint="eastAsia" w:hAnsi="宋体" w:cs="宋体"/>
          <w:color w:val="auto"/>
        </w:rPr>
        <w:t>（一）除招标文件明确要求加盖单位(法人)公章的以外，其他地方以相关专用章加盖的；</w:t>
      </w:r>
    </w:p>
    <w:p>
      <w:pPr>
        <w:spacing w:line="360" w:lineRule="auto"/>
        <w:ind w:firstLine="480" w:firstLineChars="200"/>
        <w:rPr>
          <w:rFonts w:hAnsi="宋体" w:cs="宋体"/>
          <w:color w:val="auto"/>
        </w:rPr>
      </w:pPr>
      <w:r>
        <w:rPr>
          <w:rFonts w:hint="eastAsia" w:hAnsi="宋体" w:cs="宋体"/>
          <w:color w:val="auto"/>
        </w:rPr>
        <w:t>（二）以骑缝章的形式代替投标文件内容逐页盖章的（但是骑缝章模糊不清，印章名称无法辨认的除外）；</w:t>
      </w:r>
    </w:p>
    <w:p>
      <w:pPr>
        <w:spacing w:line="360" w:lineRule="auto"/>
        <w:ind w:firstLine="480" w:firstLineChars="200"/>
        <w:rPr>
          <w:rFonts w:hAnsi="宋体" w:cs="宋体"/>
          <w:color w:val="auto"/>
        </w:rPr>
      </w:pPr>
      <w:r>
        <w:rPr>
          <w:rFonts w:hint="eastAsia" w:hAnsi="宋体" w:cs="宋体"/>
          <w:color w:val="auto"/>
        </w:rPr>
        <w:t>（三）其他不影响采购项目实质性要求的情形。</w:t>
      </w:r>
    </w:p>
    <w:p>
      <w:pPr>
        <w:spacing w:line="360" w:lineRule="auto"/>
        <w:ind w:firstLine="480" w:firstLineChars="200"/>
        <w:rPr>
          <w:rFonts w:hAnsi="宋体" w:cs="宋体"/>
          <w:color w:val="auto"/>
        </w:rPr>
      </w:pPr>
      <w:r>
        <w:rPr>
          <w:rFonts w:hint="eastAsia" w:hAnsi="宋体" w:cs="宋体"/>
          <w:color w:val="auto"/>
        </w:rPr>
        <w:t>3.2.3除政府采购法律制度规定的情形外，本项目投标人或者其投标文件有下列情形之一的，作为无效投标处理：</w:t>
      </w:r>
    </w:p>
    <w:p>
      <w:pPr>
        <w:spacing w:line="360" w:lineRule="auto"/>
        <w:ind w:firstLine="480" w:firstLineChars="200"/>
        <w:rPr>
          <w:rFonts w:hAnsi="宋体" w:cs="宋体"/>
          <w:color w:val="auto"/>
        </w:rPr>
      </w:pPr>
      <w:r>
        <w:rPr>
          <w:rFonts w:hint="eastAsia" w:hAnsi="宋体" w:cs="宋体"/>
          <w:color w:val="auto"/>
        </w:rPr>
        <w:t>（一）投标文件正副本数量不足的；</w:t>
      </w:r>
    </w:p>
    <w:p>
      <w:pPr>
        <w:spacing w:line="360" w:lineRule="auto"/>
        <w:ind w:firstLine="480" w:firstLineChars="200"/>
        <w:rPr>
          <w:rFonts w:hAnsi="宋体" w:cs="宋体"/>
          <w:color w:val="auto"/>
        </w:rPr>
      </w:pPr>
      <w:r>
        <w:rPr>
          <w:rFonts w:hint="eastAsia" w:hAnsi="宋体" w:cs="宋体"/>
          <w:color w:val="auto"/>
        </w:rPr>
        <w:t>（二）投标文件组成明显不符合招标文件的规定要求，影响评标委员会评判的；</w:t>
      </w:r>
    </w:p>
    <w:p>
      <w:pPr>
        <w:spacing w:line="360" w:lineRule="auto"/>
        <w:ind w:firstLine="480" w:firstLineChars="200"/>
        <w:rPr>
          <w:rFonts w:hAnsi="宋体" w:cs="宋体"/>
          <w:color w:val="auto"/>
        </w:rPr>
      </w:pPr>
      <w:r>
        <w:rPr>
          <w:rFonts w:hint="eastAsia" w:hAnsi="宋体" w:cs="宋体"/>
          <w:color w:val="auto"/>
        </w:rPr>
        <w:t>（三）投标文件的格式、语言、计量单位、报价货币、知识产权、投标有效期等不符合招标文件的规定，影响评标委员会评判的；</w:t>
      </w:r>
    </w:p>
    <w:p>
      <w:pPr>
        <w:spacing w:line="360" w:lineRule="auto"/>
        <w:ind w:firstLine="480" w:firstLineChars="200"/>
        <w:rPr>
          <w:rFonts w:hAnsi="宋体" w:cs="宋体"/>
          <w:color w:val="auto"/>
        </w:rPr>
      </w:pPr>
      <w:r>
        <w:rPr>
          <w:rFonts w:hint="eastAsia" w:hAnsi="宋体" w:cs="宋体"/>
          <w:color w:val="auto"/>
        </w:rPr>
        <w:t>（四）投标报价不符合招标文件规定的采购预算或限价或其他报价规定的；</w:t>
      </w:r>
    </w:p>
    <w:p>
      <w:pPr>
        <w:spacing w:line="360" w:lineRule="auto"/>
        <w:ind w:firstLine="480" w:firstLineChars="200"/>
        <w:rPr>
          <w:rFonts w:hAnsi="宋体" w:cs="宋体"/>
          <w:color w:val="auto"/>
        </w:rPr>
      </w:pPr>
      <w:r>
        <w:rPr>
          <w:rFonts w:hint="eastAsia" w:hAnsi="宋体" w:cs="宋体"/>
          <w:color w:val="auto"/>
        </w:rPr>
        <w:t>（五）商务、技术、服务应答内容没有完全响应招标文件的实质性要求的；</w:t>
      </w:r>
    </w:p>
    <w:p>
      <w:pPr>
        <w:spacing w:line="360" w:lineRule="auto"/>
        <w:ind w:firstLine="480" w:firstLineChars="200"/>
        <w:rPr>
          <w:rFonts w:hAnsi="宋体" w:cs="宋体"/>
          <w:color w:val="auto"/>
        </w:rPr>
      </w:pPr>
      <w:r>
        <w:rPr>
          <w:rFonts w:hint="eastAsia" w:hAnsi="宋体" w:cs="宋体"/>
          <w:color w:val="auto"/>
        </w:rPr>
        <w:t>（六）未载明或者载明的招标项目履约时间、方式、数量及其他政府采购合同实质性内容与招标文件要求不一致，且招标采购单位无法接受的。</w:t>
      </w:r>
    </w:p>
    <w:p>
      <w:pPr>
        <w:spacing w:line="360" w:lineRule="auto"/>
        <w:ind w:firstLine="480" w:firstLineChars="200"/>
        <w:rPr>
          <w:rFonts w:hAnsi="宋体" w:cs="宋体"/>
          <w:color w:val="auto"/>
        </w:rPr>
      </w:pPr>
      <w:r>
        <w:rPr>
          <w:rFonts w:hint="eastAsia" w:hAnsi="宋体" w:cs="宋体"/>
          <w:color w:val="auto"/>
        </w:rPr>
        <w:t>（七）没有完全响应招标文件的其他实质性要求或属于招标文件中投标无效情形的。</w:t>
      </w:r>
    </w:p>
    <w:p>
      <w:pPr>
        <w:spacing w:line="360" w:lineRule="auto"/>
        <w:ind w:firstLine="480" w:firstLineChars="200"/>
        <w:rPr>
          <w:rFonts w:hAnsi="宋体" w:cs="宋体"/>
          <w:color w:val="auto"/>
        </w:rPr>
      </w:pPr>
      <w:r>
        <w:rPr>
          <w:rFonts w:hint="eastAsia" w:hAnsi="宋体" w:cs="宋体"/>
          <w:color w:val="auto"/>
        </w:rPr>
        <w:t>3.3比较与评价。按招标文件中规定的评标方法和标准，对未作无效投标处理的投标文件进行技术、服务、商务等方面评估，综合比较与评价。</w:t>
      </w:r>
    </w:p>
    <w:p>
      <w:pPr>
        <w:spacing w:line="360" w:lineRule="auto"/>
        <w:ind w:firstLine="480" w:firstLineChars="200"/>
        <w:rPr>
          <w:rFonts w:hAnsi="宋体" w:cs="宋体"/>
          <w:color w:val="auto"/>
        </w:rPr>
      </w:pPr>
      <w:r>
        <w:rPr>
          <w:rFonts w:hint="eastAsia" w:hAnsi="宋体" w:cs="宋体"/>
          <w:color w:val="auto"/>
        </w:rPr>
        <w:t>3.4复核。评分汇总结束后，评标委员会应当进行复核，特别要对拟推荐为中标候选供应商的、报价最低的、投标文件被认定为无效的进行重点复核。</w:t>
      </w:r>
    </w:p>
    <w:p>
      <w:pPr>
        <w:spacing w:line="360" w:lineRule="auto"/>
        <w:ind w:firstLine="480" w:firstLineChars="200"/>
        <w:rPr>
          <w:rFonts w:hAnsi="宋体" w:cs="宋体"/>
          <w:color w:val="auto"/>
        </w:rPr>
      </w:pPr>
      <w:r>
        <w:rPr>
          <w:rFonts w:hint="eastAsia" w:hAnsi="宋体" w:cs="宋体"/>
          <w:color w:val="auto"/>
        </w:rPr>
        <w:t>3.5推荐中标候选供应商。中标候选供应商应当排序。采用最低评标价法的，评标结果按投标报价由低到高顺序排列。投标报价相同的并列。投标文件满足招标文件全部实质性要求且投标报价最低的投标人为排名第一的中标候选人。报价相同且满足招标文件全部实质性要求的并列，由采购人自主采取随机抽取的方式选择中标供应商。采用综合评分法的，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排名并列的由采购人自主采取随机抽取的方式选择中标供应商。</w:t>
      </w:r>
    </w:p>
    <w:p>
      <w:pPr>
        <w:spacing w:line="360" w:lineRule="auto"/>
        <w:ind w:firstLine="480" w:firstLineChars="200"/>
        <w:rPr>
          <w:rFonts w:hAnsi="宋体" w:cs="宋体"/>
          <w:color w:val="auto"/>
        </w:rPr>
      </w:pPr>
      <w:r>
        <w:rPr>
          <w:rFonts w:hint="eastAsia" w:hAnsi="宋体" w:cs="宋体"/>
          <w:color w:val="auto"/>
        </w:rPr>
        <w:t>评标委员会可推荐的中标候选供应商数量不能满足招标文件规定的数量的，只有在获得采购人书面同意后，可以根据实际情况推荐中标候选供应商。未获得采购人的书面同意,评标委员会不得在招标文件规定之外推荐中标候选供应商，否则，采购人可以不予认可。</w:t>
      </w:r>
    </w:p>
    <w:p>
      <w:pPr>
        <w:spacing w:line="360" w:lineRule="auto"/>
        <w:ind w:firstLine="480" w:firstLineChars="200"/>
        <w:rPr>
          <w:rFonts w:hAnsi="宋体" w:cs="宋体"/>
          <w:color w:val="auto"/>
        </w:rPr>
      </w:pPr>
      <w:r>
        <w:rPr>
          <w:rFonts w:hint="eastAsia" w:hAnsi="宋体" w:cs="宋体"/>
          <w:color w:val="auto"/>
        </w:rPr>
        <w:t>3.6出具评标报告。评标委员会推荐中标候选供应商后，应当向招标采购单位出具评标报告。评标报告应当包括下列内容：</w:t>
      </w:r>
    </w:p>
    <w:p>
      <w:pPr>
        <w:spacing w:line="360" w:lineRule="auto"/>
        <w:ind w:firstLine="480" w:firstLineChars="200"/>
        <w:rPr>
          <w:rFonts w:hAnsi="宋体" w:cs="宋体"/>
          <w:color w:val="auto"/>
        </w:rPr>
      </w:pPr>
      <w:r>
        <w:rPr>
          <w:rFonts w:hint="eastAsia" w:hAnsi="宋体" w:cs="宋体"/>
          <w:color w:val="auto"/>
        </w:rPr>
        <w:t>（一）招标公告刊登的媒体名称、开标日期和地点；</w:t>
      </w:r>
    </w:p>
    <w:p>
      <w:pPr>
        <w:spacing w:line="360" w:lineRule="auto"/>
        <w:ind w:firstLine="480" w:firstLineChars="200"/>
        <w:rPr>
          <w:rFonts w:hAnsi="宋体" w:cs="宋体"/>
          <w:color w:val="auto"/>
        </w:rPr>
      </w:pPr>
      <w:r>
        <w:rPr>
          <w:rFonts w:hint="eastAsia" w:hAnsi="宋体" w:cs="宋体"/>
          <w:color w:val="auto"/>
        </w:rPr>
        <w:t>（二）获取招标文件的投标人名单和评标委员会成员名单；</w:t>
      </w:r>
    </w:p>
    <w:p>
      <w:pPr>
        <w:spacing w:line="360" w:lineRule="auto"/>
        <w:ind w:firstLine="480" w:firstLineChars="200"/>
        <w:rPr>
          <w:rFonts w:hAnsi="宋体" w:cs="宋体"/>
          <w:color w:val="auto"/>
        </w:rPr>
      </w:pPr>
      <w:r>
        <w:rPr>
          <w:rFonts w:hint="eastAsia" w:hAnsi="宋体" w:cs="宋体"/>
          <w:color w:val="auto"/>
        </w:rPr>
        <w:t>（三）评标方法和标准；</w:t>
      </w:r>
    </w:p>
    <w:p>
      <w:pPr>
        <w:spacing w:line="360" w:lineRule="auto"/>
        <w:ind w:firstLine="480" w:firstLineChars="200"/>
        <w:rPr>
          <w:rFonts w:hAnsi="宋体" w:cs="宋体"/>
          <w:color w:val="auto"/>
        </w:rPr>
      </w:pPr>
      <w:r>
        <w:rPr>
          <w:rFonts w:hint="eastAsia" w:hAnsi="宋体" w:cs="宋体"/>
          <w:color w:val="auto"/>
        </w:rPr>
        <w:t>（四）开标记录和评标情况及说明，包括无效投标人名单及原因；</w:t>
      </w:r>
    </w:p>
    <w:p>
      <w:pPr>
        <w:spacing w:line="360" w:lineRule="auto"/>
        <w:ind w:firstLine="480" w:firstLineChars="200"/>
        <w:rPr>
          <w:rFonts w:hAnsi="宋体" w:cs="宋体"/>
          <w:color w:val="auto"/>
        </w:rPr>
      </w:pPr>
      <w:r>
        <w:rPr>
          <w:rFonts w:hint="eastAsia" w:hAnsi="宋体" w:cs="宋体"/>
          <w:color w:val="auto"/>
        </w:rPr>
        <w:t>（五）评标结果和中标候选供应商排序表；</w:t>
      </w:r>
    </w:p>
    <w:p>
      <w:pPr>
        <w:spacing w:line="360" w:lineRule="auto"/>
        <w:ind w:firstLine="480" w:firstLineChars="200"/>
        <w:rPr>
          <w:rFonts w:hAnsi="宋体" w:cs="宋体"/>
          <w:color w:val="auto"/>
        </w:rPr>
      </w:pPr>
      <w:r>
        <w:rPr>
          <w:rFonts w:hint="eastAsia" w:hAnsi="宋体" w:cs="宋体"/>
          <w:color w:val="auto"/>
        </w:rPr>
        <w:t>（六）评标委员会授标建议；</w:t>
      </w:r>
    </w:p>
    <w:p>
      <w:pPr>
        <w:spacing w:line="360" w:lineRule="auto"/>
        <w:ind w:firstLine="480" w:firstLineChars="200"/>
        <w:rPr>
          <w:rFonts w:hAnsi="宋体" w:cs="宋体"/>
          <w:color w:val="auto"/>
        </w:rPr>
      </w:pPr>
      <w:r>
        <w:rPr>
          <w:rFonts w:hint="eastAsia" w:hAnsi="宋体" w:cs="宋体"/>
          <w:color w:val="auto"/>
        </w:rPr>
        <w:t>（七）报价最高的投标人为中标候选人的，评标委员会应当对其报价的合理性予以特别说明。</w:t>
      </w:r>
    </w:p>
    <w:p>
      <w:pPr>
        <w:spacing w:line="360" w:lineRule="auto"/>
        <w:ind w:firstLine="480" w:firstLineChars="200"/>
        <w:rPr>
          <w:rFonts w:hAnsi="宋体" w:cs="宋体"/>
          <w:color w:val="auto"/>
        </w:rPr>
      </w:pPr>
      <w:r>
        <w:rPr>
          <w:rFonts w:hint="eastAsia" w:hAnsi="宋体" w:cs="宋体"/>
          <w:color w:val="auto"/>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spacing w:line="360" w:lineRule="auto"/>
        <w:ind w:firstLine="480" w:firstLineChars="200"/>
        <w:rPr>
          <w:rFonts w:hAnsi="宋体" w:cs="宋体"/>
          <w:color w:val="auto"/>
        </w:rPr>
      </w:pPr>
      <w:r>
        <w:rPr>
          <w:rFonts w:hint="eastAsia" w:hAnsi="宋体" w:cs="宋体"/>
          <w:color w:val="auto"/>
        </w:rPr>
        <w:t>3.7评标争议处理规则。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pPr>
        <w:spacing w:line="360" w:lineRule="auto"/>
        <w:ind w:firstLine="480" w:firstLineChars="200"/>
        <w:rPr>
          <w:rFonts w:hAnsi="宋体" w:cs="宋体"/>
          <w:color w:val="auto"/>
        </w:rPr>
      </w:pPr>
      <w:r>
        <w:rPr>
          <w:rFonts w:hint="eastAsia" w:hAnsi="宋体" w:cs="宋体"/>
          <w:color w:val="auto"/>
        </w:rPr>
        <w:t>3.8供应商应当书面澄清、说明或者更正。</w:t>
      </w:r>
    </w:p>
    <w:p>
      <w:pPr>
        <w:spacing w:line="360" w:lineRule="auto"/>
        <w:ind w:firstLine="480" w:firstLineChars="200"/>
        <w:rPr>
          <w:rFonts w:hAnsi="宋体" w:cs="宋体"/>
          <w:color w:val="auto"/>
        </w:rPr>
      </w:pPr>
      <w:r>
        <w:rPr>
          <w:rFonts w:hint="eastAsia" w:hAnsi="宋体" w:cs="宋体"/>
          <w:color w:val="auto"/>
        </w:rPr>
        <w:t>3.8.1在评标过程中，供应商投标文件实质性符合招标文件要求的前提下，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pPr>
        <w:spacing w:line="360" w:lineRule="auto"/>
        <w:ind w:firstLine="480" w:firstLineChars="200"/>
        <w:rPr>
          <w:rFonts w:hAnsi="宋体" w:cs="宋体"/>
          <w:color w:val="auto"/>
        </w:rPr>
      </w:pPr>
      <w:r>
        <w:rPr>
          <w:rFonts w:hint="eastAsia" w:hAnsi="宋体" w:cs="宋体"/>
          <w:color w:val="auto"/>
        </w:rPr>
        <w:t>3.8.2供应商应当书面澄清、说明或者更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w:t>
      </w:r>
    </w:p>
    <w:p>
      <w:pPr>
        <w:spacing w:line="360" w:lineRule="auto"/>
        <w:ind w:firstLine="480" w:firstLineChars="200"/>
        <w:rPr>
          <w:rFonts w:hAnsi="宋体" w:cs="宋体"/>
          <w:color w:val="auto"/>
        </w:rPr>
      </w:pPr>
      <w:r>
        <w:rPr>
          <w:rFonts w:hint="eastAsia" w:hAnsi="宋体" w:cs="宋体"/>
          <w:color w:val="auto"/>
        </w:rPr>
        <w:t>3.8.3评标委员会要求供应商澄清、说明或者更正，不得超出招标文件的范围，不得以此让供应商实质改变投标文件的内容，不得影响供应商公平竞争。本项目下列内容不得澄清：</w:t>
      </w:r>
    </w:p>
    <w:p>
      <w:pPr>
        <w:spacing w:line="360" w:lineRule="auto"/>
        <w:ind w:firstLine="480" w:firstLineChars="200"/>
        <w:rPr>
          <w:rFonts w:hAnsi="宋体" w:cs="宋体"/>
          <w:color w:val="auto"/>
        </w:rPr>
      </w:pPr>
      <w:r>
        <w:rPr>
          <w:rFonts w:hint="eastAsia" w:hAnsi="宋体" w:cs="宋体"/>
          <w:color w:val="auto"/>
        </w:rPr>
        <w:t>（一）按财政部规定应当在评标时不予承认的投标文件内容事项；</w:t>
      </w:r>
    </w:p>
    <w:p>
      <w:pPr>
        <w:spacing w:line="360" w:lineRule="auto"/>
        <w:ind w:firstLine="480" w:firstLineChars="200"/>
        <w:rPr>
          <w:rFonts w:hAnsi="宋体" w:cs="宋体"/>
          <w:color w:val="auto"/>
        </w:rPr>
      </w:pPr>
      <w:r>
        <w:rPr>
          <w:rFonts w:hint="eastAsia" w:hAnsi="宋体" w:cs="宋体"/>
          <w:color w:val="auto"/>
        </w:rPr>
        <w:t>（二）投标文件中已经明确的内容事项；</w:t>
      </w:r>
    </w:p>
    <w:p>
      <w:pPr>
        <w:spacing w:line="360" w:lineRule="auto"/>
        <w:ind w:firstLine="480" w:firstLineChars="200"/>
        <w:rPr>
          <w:rFonts w:hAnsi="宋体" w:cs="宋体"/>
          <w:color w:val="auto"/>
        </w:rPr>
      </w:pPr>
      <w:r>
        <w:rPr>
          <w:rFonts w:hint="eastAsia" w:hAnsi="宋体" w:cs="宋体"/>
          <w:color w:val="auto"/>
        </w:rPr>
        <w:t>3.8.4 本项目采购过程中，投标文件报价出现前后不一致的，按照下列规定修正：</w:t>
      </w:r>
    </w:p>
    <w:p>
      <w:pPr>
        <w:spacing w:line="360" w:lineRule="auto"/>
        <w:ind w:firstLine="480" w:firstLineChars="200"/>
        <w:rPr>
          <w:rFonts w:hAnsi="宋体" w:cs="宋体"/>
          <w:color w:val="auto"/>
        </w:rPr>
      </w:pPr>
      <w:r>
        <w:rPr>
          <w:rFonts w:hint="eastAsia" w:hAnsi="宋体" w:cs="宋体"/>
          <w:color w:val="auto"/>
        </w:rPr>
        <w:t>（一）投标文件中开标一览表（报价表）内容与投标文件中相应内容不一致的，以开标一览表（报价表）为准；</w:t>
      </w:r>
    </w:p>
    <w:p>
      <w:pPr>
        <w:spacing w:line="360" w:lineRule="auto"/>
        <w:ind w:firstLine="480" w:firstLineChars="200"/>
        <w:rPr>
          <w:rFonts w:hAnsi="宋体" w:cs="宋体"/>
          <w:color w:val="auto"/>
        </w:rPr>
      </w:pPr>
      <w:r>
        <w:rPr>
          <w:rFonts w:hint="eastAsia" w:hAnsi="宋体" w:cs="宋体"/>
          <w:color w:val="auto"/>
        </w:rPr>
        <w:t>（二）大写金额和小写金额不一致的，以大写金额为准；</w:t>
      </w:r>
    </w:p>
    <w:p>
      <w:pPr>
        <w:spacing w:line="360" w:lineRule="auto"/>
        <w:ind w:firstLine="480" w:firstLineChars="200"/>
        <w:rPr>
          <w:rFonts w:hAnsi="宋体" w:cs="宋体"/>
          <w:color w:val="auto"/>
        </w:rPr>
      </w:pPr>
      <w:r>
        <w:rPr>
          <w:rFonts w:hint="eastAsia" w:hAnsi="宋体" w:cs="宋体"/>
          <w:color w:val="auto"/>
        </w:rPr>
        <w:t>（三）单价金额小数点或者百分比有明显错位的，以开标一览表的总价为准，并修改单价；</w:t>
      </w:r>
    </w:p>
    <w:p>
      <w:pPr>
        <w:spacing w:line="360" w:lineRule="auto"/>
        <w:ind w:firstLine="480" w:firstLineChars="200"/>
        <w:rPr>
          <w:rFonts w:hAnsi="宋体" w:cs="宋体"/>
          <w:color w:val="auto"/>
        </w:rPr>
      </w:pPr>
      <w:r>
        <w:rPr>
          <w:rFonts w:hint="eastAsia" w:hAnsi="宋体" w:cs="宋体"/>
          <w:color w:val="auto"/>
        </w:rPr>
        <w:t>（四）总价金额与按单价汇总金额不一致的，以单价金额计算结果为准。</w:t>
      </w:r>
    </w:p>
    <w:p>
      <w:pPr>
        <w:spacing w:line="360" w:lineRule="auto"/>
        <w:ind w:firstLine="480" w:firstLineChars="200"/>
        <w:rPr>
          <w:rFonts w:hAnsi="宋体" w:cs="宋体"/>
          <w:color w:val="auto"/>
        </w:rPr>
      </w:pPr>
      <w:r>
        <w:rPr>
          <w:rFonts w:hint="eastAsia" w:hAnsi="宋体" w:cs="宋体"/>
          <w:color w:val="auto"/>
        </w:rPr>
        <w:t>同时出现两种以上不一致的，按照前款规定的顺序修正。修正后的报价按照本章3.8.1-3.8.3的规定经投标人确认后产生约束力，投标人不确认的，其投标无效。</w:t>
      </w:r>
    </w:p>
    <w:p>
      <w:pPr>
        <w:spacing w:line="360" w:lineRule="auto"/>
        <w:ind w:firstLine="482" w:firstLineChars="200"/>
        <w:rPr>
          <w:rFonts w:hAnsi="宋体" w:cs="宋体"/>
          <w:b/>
          <w:color w:val="auto"/>
        </w:rPr>
      </w:pPr>
      <w:r>
        <w:rPr>
          <w:rFonts w:hint="eastAsia" w:hAnsi="宋体" w:cs="宋体"/>
          <w:b/>
          <w:color w:val="auto"/>
        </w:rPr>
        <w:t>注：评标委员会当积极履行澄清、说明或者更正的职责，不得滥用权力。供应商的投标文件应当要求澄清、说明或者更正的，不得未经澄清、说明或者更正而直接作无效投标处理。</w:t>
      </w:r>
    </w:p>
    <w:p>
      <w:pPr>
        <w:spacing w:line="360" w:lineRule="auto"/>
        <w:ind w:left="2" w:firstLine="480" w:firstLineChars="200"/>
        <w:rPr>
          <w:rFonts w:hAnsi="宋体" w:cs="宋体"/>
          <w:color w:val="auto"/>
        </w:rPr>
      </w:pPr>
      <w:r>
        <w:rPr>
          <w:rFonts w:hint="eastAsia" w:hAnsi="宋体" w:cs="宋体"/>
          <w:color w:val="auto"/>
        </w:rPr>
        <w:t>3.9</w:t>
      </w:r>
      <w:bookmarkStart w:id="230" w:name="PO_默认文件内容_111"/>
      <w:r>
        <w:rPr>
          <w:rFonts w:hint="eastAsia" w:hAnsi="宋体" w:cs="宋体"/>
          <w:b/>
          <w:color w:val="auto"/>
        </w:rPr>
        <w:t>低于成本价投标处理。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bookmarkEnd w:id="230"/>
      <w:r>
        <w:rPr>
          <w:rFonts w:hint="eastAsia" w:hAnsi="宋体" w:cs="宋体"/>
          <w:b/>
          <w:color w:val="auto"/>
        </w:rPr>
        <w:t>。</w:t>
      </w:r>
    </w:p>
    <w:p>
      <w:pPr>
        <w:pStyle w:val="111"/>
        <w:spacing w:line="360" w:lineRule="auto"/>
        <w:ind w:firstLine="480" w:firstLineChars="200"/>
        <w:jc w:val="both"/>
        <w:rPr>
          <w:color w:val="auto"/>
        </w:rPr>
      </w:pPr>
      <w:r>
        <w:rPr>
          <w:rFonts w:hint="eastAsia"/>
          <w:color w:val="auto"/>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111"/>
        <w:spacing w:line="360" w:lineRule="auto"/>
        <w:ind w:firstLine="480" w:firstLineChars="200"/>
        <w:jc w:val="both"/>
        <w:rPr>
          <w:color w:val="auto"/>
        </w:rPr>
      </w:pPr>
      <w:r>
        <w:rPr>
          <w:rFonts w:hint="eastAsia"/>
          <w:color w:val="auto"/>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响应文件作为无效处理。</w:t>
      </w:r>
    </w:p>
    <w:p>
      <w:pPr>
        <w:pStyle w:val="111"/>
        <w:spacing w:line="360" w:lineRule="auto"/>
        <w:ind w:firstLine="480" w:firstLineChars="200"/>
        <w:jc w:val="both"/>
        <w:rPr>
          <w:color w:val="auto"/>
        </w:rPr>
      </w:pPr>
      <w:r>
        <w:rPr>
          <w:rFonts w:hint="eastAsia"/>
          <w:color w:val="auto"/>
        </w:rPr>
        <w:t>3.10招标采购单位现场复核评标结果。</w:t>
      </w:r>
    </w:p>
    <w:p>
      <w:pPr>
        <w:pStyle w:val="111"/>
        <w:spacing w:line="360" w:lineRule="auto"/>
        <w:ind w:firstLine="480" w:firstLineChars="200"/>
        <w:jc w:val="both"/>
        <w:rPr>
          <w:color w:val="auto"/>
        </w:rPr>
      </w:pPr>
      <w:r>
        <w:rPr>
          <w:rFonts w:hint="eastAsia"/>
          <w:color w:val="auto"/>
        </w:rPr>
        <w:t>3.10.1评标结果汇总完成后，评标委员会拟出具评标报告前，招标采购单位应当组织2名以上的本单位工作人员，在采购现场监督人员的监督之下，依据有关的法律制度和采购文件对评标结果进行复核，出具复核报告。除下列情形外，任何人不得修改评标结果：</w:t>
      </w:r>
    </w:p>
    <w:p>
      <w:pPr>
        <w:pStyle w:val="111"/>
        <w:spacing w:line="360" w:lineRule="auto"/>
        <w:ind w:firstLine="480" w:firstLineChars="200"/>
        <w:jc w:val="both"/>
        <w:rPr>
          <w:color w:val="auto"/>
        </w:rPr>
      </w:pPr>
      <w:r>
        <w:rPr>
          <w:rFonts w:hint="eastAsia"/>
          <w:color w:val="auto"/>
        </w:rPr>
        <w:t>（一）分值汇总计算错误的；</w:t>
      </w:r>
    </w:p>
    <w:p>
      <w:pPr>
        <w:pStyle w:val="111"/>
        <w:spacing w:line="360" w:lineRule="auto"/>
        <w:ind w:firstLine="480" w:firstLineChars="200"/>
        <w:jc w:val="both"/>
        <w:rPr>
          <w:color w:val="auto"/>
        </w:rPr>
      </w:pPr>
      <w:r>
        <w:rPr>
          <w:rFonts w:hint="eastAsia"/>
          <w:color w:val="auto"/>
        </w:rPr>
        <w:t>（二）分项评分超出评分标准范围的；</w:t>
      </w:r>
    </w:p>
    <w:p>
      <w:pPr>
        <w:pStyle w:val="111"/>
        <w:spacing w:line="360" w:lineRule="auto"/>
        <w:ind w:firstLine="480" w:firstLineChars="200"/>
        <w:jc w:val="both"/>
        <w:rPr>
          <w:color w:val="auto"/>
        </w:rPr>
      </w:pPr>
      <w:r>
        <w:rPr>
          <w:rFonts w:hint="eastAsia"/>
          <w:color w:val="auto"/>
        </w:rPr>
        <w:t>（三）客观评分不一致的；</w:t>
      </w:r>
    </w:p>
    <w:p>
      <w:pPr>
        <w:pStyle w:val="111"/>
        <w:spacing w:line="360" w:lineRule="auto"/>
        <w:ind w:firstLine="480" w:firstLineChars="200"/>
        <w:jc w:val="both"/>
        <w:rPr>
          <w:color w:val="auto"/>
        </w:rPr>
      </w:pPr>
      <w:r>
        <w:rPr>
          <w:rFonts w:hint="eastAsia"/>
          <w:color w:val="auto"/>
        </w:rPr>
        <w:t>（四）经评标委员会认定评分畸高畸低的。</w:t>
      </w:r>
    </w:p>
    <w:p>
      <w:pPr>
        <w:pStyle w:val="111"/>
        <w:spacing w:line="360" w:lineRule="auto"/>
        <w:ind w:firstLine="480" w:firstLineChars="200"/>
        <w:jc w:val="both"/>
        <w:rPr>
          <w:color w:val="auto"/>
        </w:rPr>
      </w:pPr>
      <w:r>
        <w:rPr>
          <w:rFonts w:hint="eastAsia"/>
          <w:color w:val="auto"/>
        </w:rPr>
        <w:t>存在本条上述规定情形的，由评标委员会自主决定是否采纳招标采购单位的书面建议，并承担独立评审责任。评标委员会采纳招标采购单位书面建议的，应当按照规定现场修改评标结果或者重新评审，并在评标报告中详细记载有关事宜；不采纳招标采购单位书面建议的，应当书面说明理由。招标采购单位书面建议未被评标委员会采纳的，应当按照规定程序要求继续组织实施采购活动，不得擅自中止采购活动。招标采购单位认为评标委员会评标结果不合法的，应当书面报告采购项目同级财政部门依法处理。</w:t>
      </w:r>
    </w:p>
    <w:p>
      <w:pPr>
        <w:pStyle w:val="111"/>
        <w:spacing w:line="360" w:lineRule="auto"/>
        <w:ind w:firstLine="480" w:firstLineChars="200"/>
        <w:jc w:val="both"/>
        <w:rPr>
          <w:color w:val="auto"/>
        </w:rPr>
      </w:pPr>
      <w:r>
        <w:rPr>
          <w:rFonts w:hint="eastAsia"/>
          <w:color w:val="auto"/>
        </w:rPr>
        <w:t>3.10.2有下列情形之一的，不得修改评标结果或者重新评审：</w:t>
      </w:r>
    </w:p>
    <w:p>
      <w:pPr>
        <w:pStyle w:val="111"/>
        <w:spacing w:line="360" w:lineRule="auto"/>
        <w:ind w:firstLine="480" w:firstLineChars="200"/>
        <w:jc w:val="both"/>
        <w:rPr>
          <w:color w:val="auto"/>
        </w:rPr>
      </w:pPr>
      <w:r>
        <w:rPr>
          <w:rFonts w:hint="eastAsia"/>
          <w:color w:val="auto"/>
        </w:rPr>
        <w:t>（一）招标采购单位现场复核时，复核工作人员数量不足的；</w:t>
      </w:r>
    </w:p>
    <w:p>
      <w:pPr>
        <w:pStyle w:val="111"/>
        <w:spacing w:line="360" w:lineRule="auto"/>
        <w:ind w:firstLine="480" w:firstLineChars="200"/>
        <w:jc w:val="both"/>
        <w:rPr>
          <w:color w:val="auto"/>
        </w:rPr>
      </w:pPr>
      <w:r>
        <w:rPr>
          <w:rFonts w:hint="eastAsia"/>
          <w:color w:val="auto"/>
        </w:rPr>
        <w:t>（二）招标采购单位现场复核时，没有采购监督人员现场监督的；</w:t>
      </w:r>
    </w:p>
    <w:p>
      <w:pPr>
        <w:pStyle w:val="111"/>
        <w:spacing w:line="360" w:lineRule="auto"/>
        <w:ind w:firstLine="480" w:firstLineChars="200"/>
        <w:jc w:val="both"/>
        <w:rPr>
          <w:color w:val="auto"/>
        </w:rPr>
      </w:pPr>
      <w:r>
        <w:rPr>
          <w:rFonts w:hint="eastAsia"/>
          <w:color w:val="auto"/>
        </w:rPr>
        <w:t>（三）招标采购单位现场复核内容超出规定范围的；</w:t>
      </w:r>
    </w:p>
    <w:p>
      <w:pPr>
        <w:pStyle w:val="111"/>
        <w:spacing w:line="360" w:lineRule="auto"/>
        <w:ind w:firstLine="480" w:firstLineChars="200"/>
        <w:jc w:val="both"/>
        <w:rPr>
          <w:color w:val="auto"/>
        </w:rPr>
      </w:pPr>
      <w:r>
        <w:rPr>
          <w:rFonts w:hint="eastAsia"/>
          <w:color w:val="auto"/>
        </w:rPr>
        <w:t>（四）招标采购单位未提供书面建议的。</w:t>
      </w:r>
    </w:p>
    <w:p>
      <w:pPr>
        <w:pStyle w:val="4"/>
        <w:spacing w:line="360" w:lineRule="auto"/>
        <w:rPr>
          <w:rFonts w:ascii="宋体" w:hAnsi="宋体" w:cs="宋体"/>
          <w:sz w:val="24"/>
        </w:rPr>
      </w:pPr>
      <w:r>
        <w:rPr>
          <w:rFonts w:hint="eastAsia" w:ascii="宋体" w:hAnsi="宋体" w:cs="宋体"/>
          <w:sz w:val="24"/>
        </w:rPr>
        <w:t>4. 评标细则及标准</w:t>
      </w:r>
      <w:bookmarkEnd w:id="228"/>
    </w:p>
    <w:p>
      <w:pPr>
        <w:spacing w:line="360" w:lineRule="auto"/>
        <w:ind w:firstLine="480" w:firstLineChars="200"/>
        <w:jc w:val="left"/>
        <w:rPr>
          <w:rFonts w:hAnsi="宋体" w:cs="宋体"/>
          <w:color w:val="auto"/>
        </w:rPr>
      </w:pPr>
      <w:r>
        <w:rPr>
          <w:rFonts w:hint="eastAsia" w:hAnsi="宋体" w:cs="宋体"/>
          <w:color w:val="auto"/>
        </w:rPr>
        <w:t>4.1 评委会只对通过初审的投标文件，根据招标文件的要求采用相同的评标程序、评分办法及标准进行评价和比较。</w:t>
      </w:r>
    </w:p>
    <w:p>
      <w:pPr>
        <w:spacing w:line="360" w:lineRule="auto"/>
        <w:ind w:firstLine="480" w:firstLineChars="200"/>
        <w:jc w:val="left"/>
        <w:rPr>
          <w:rFonts w:hAnsi="宋体" w:cs="宋体"/>
          <w:color w:val="auto"/>
        </w:rPr>
      </w:pPr>
      <w:r>
        <w:rPr>
          <w:rFonts w:hint="eastAsia" w:hAnsi="宋体" w:cs="宋体"/>
          <w:color w:val="auto"/>
        </w:rPr>
        <w:t>4.2 本次综合评分的因素是：价格、技术、质量保证、项目实施方案、综合实力业绩、售后服务方案、对招标文件的响应程度及投标文件规范性等。。</w:t>
      </w:r>
    </w:p>
    <w:p>
      <w:pPr>
        <w:spacing w:line="360" w:lineRule="auto"/>
        <w:ind w:firstLine="480" w:firstLineChars="200"/>
        <w:jc w:val="left"/>
        <w:rPr>
          <w:rFonts w:hAnsi="宋体" w:cs="宋体"/>
          <w:color w:val="auto"/>
        </w:rPr>
      </w:pPr>
      <w:r>
        <w:rPr>
          <w:rFonts w:hint="eastAsia" w:hAnsi="宋体" w:cs="宋体"/>
          <w:color w:val="auto"/>
        </w:rPr>
        <w:t>4.3 除价格因素外，评委会成员应依据投标文件规定的评分标准和方法独立对其他因素进行比较打分。</w:t>
      </w:r>
    </w:p>
    <w:p>
      <w:pPr>
        <w:spacing w:line="360" w:lineRule="auto"/>
        <w:ind w:firstLine="480" w:firstLineChars="200"/>
        <w:jc w:val="left"/>
        <w:rPr>
          <w:rFonts w:hAnsi="宋体" w:cs="宋体"/>
          <w:color w:val="auto"/>
        </w:rPr>
      </w:pPr>
      <w:r>
        <w:rPr>
          <w:rFonts w:hint="eastAsia" w:hAnsi="宋体" w:cs="宋体"/>
          <w:color w:val="auto"/>
        </w:rPr>
        <w:t>4.4 在评标过程中，投标文件有下列情况之一，评标委员会成员应当按照招标文件规定的非实质性偏离进行扣分：</w:t>
      </w:r>
    </w:p>
    <w:p>
      <w:pPr>
        <w:spacing w:line="360" w:lineRule="auto"/>
        <w:ind w:firstLine="480" w:firstLineChars="200"/>
        <w:jc w:val="left"/>
        <w:rPr>
          <w:rFonts w:hAnsi="宋体" w:cs="宋体"/>
          <w:color w:val="auto"/>
        </w:rPr>
      </w:pPr>
      <w:r>
        <w:rPr>
          <w:rFonts w:hint="eastAsia" w:hAnsi="宋体" w:cs="宋体"/>
          <w:color w:val="auto"/>
        </w:rPr>
        <w:t>（1）文字表述的内容含义不明确，或者同类问题表述不一致，或者有明显文字和计算错误，或者提供的技术信息和数据资料不完整，投标人拒不或在规定的时间内没有进行澄清、说明或补正或澄清、说明、补正的内容也不能说明问题的；</w:t>
      </w:r>
    </w:p>
    <w:p>
      <w:pPr>
        <w:spacing w:line="360" w:lineRule="auto"/>
        <w:ind w:firstLine="480" w:firstLineChars="200"/>
        <w:jc w:val="left"/>
        <w:rPr>
          <w:rFonts w:hAnsi="宋体" w:cs="宋体"/>
          <w:color w:val="auto"/>
        </w:rPr>
      </w:pPr>
      <w:r>
        <w:rPr>
          <w:rFonts w:hint="eastAsia" w:hAnsi="宋体" w:cs="宋体"/>
          <w:color w:val="auto"/>
        </w:rPr>
        <w:t>（2）投标文件未按招标文件要求进行装订或未编制目录、页码；</w:t>
      </w:r>
    </w:p>
    <w:p>
      <w:pPr>
        <w:spacing w:line="360" w:lineRule="auto"/>
        <w:ind w:firstLine="480" w:firstLineChars="200"/>
        <w:jc w:val="left"/>
        <w:rPr>
          <w:rFonts w:hAnsi="宋体" w:cs="宋体"/>
          <w:color w:val="auto"/>
        </w:rPr>
      </w:pPr>
      <w:r>
        <w:rPr>
          <w:rFonts w:hint="eastAsia" w:hAnsi="宋体" w:cs="宋体"/>
          <w:color w:val="auto"/>
        </w:rPr>
        <w:t>（3）认定的与招标文件第五章规定的技术、商务和其他规定要求不符的非实质性偏离。</w:t>
      </w:r>
    </w:p>
    <w:p>
      <w:pPr>
        <w:spacing w:line="360" w:lineRule="auto"/>
        <w:ind w:firstLine="480" w:firstLineChars="200"/>
        <w:jc w:val="left"/>
        <w:rPr>
          <w:rFonts w:hAnsi="宋体" w:cs="宋体"/>
          <w:color w:val="auto"/>
        </w:rPr>
      </w:pPr>
      <w:r>
        <w:rPr>
          <w:rFonts w:hint="eastAsia" w:hAnsi="宋体" w:cs="宋体"/>
          <w:color w:val="auto"/>
        </w:rPr>
        <w:t>（4）认定的其他非实质性偏离。</w:t>
      </w:r>
    </w:p>
    <w:p>
      <w:pPr>
        <w:rPr>
          <w:rFonts w:hAnsi="宋体" w:cs="宋体"/>
          <w:color w:val="auto"/>
        </w:rPr>
      </w:pPr>
      <w:r>
        <w:rPr>
          <w:rFonts w:hint="eastAsia" w:hAnsi="宋体" w:cs="宋体"/>
          <w:color w:val="auto"/>
        </w:rPr>
        <w:br w:type="page"/>
      </w:r>
    </w:p>
    <w:p>
      <w:pPr>
        <w:spacing w:line="360" w:lineRule="auto"/>
        <w:ind w:firstLine="480" w:firstLineChars="200"/>
        <w:jc w:val="left"/>
        <w:rPr>
          <w:rFonts w:hAnsi="宋体" w:cs="宋体"/>
          <w:color w:val="auto"/>
        </w:rPr>
      </w:pPr>
      <w:r>
        <w:rPr>
          <w:rFonts w:hint="eastAsia" w:hAnsi="宋体" w:cs="宋体"/>
          <w:color w:val="auto"/>
        </w:rPr>
        <w:t>4.5综合评分明细表</w:t>
      </w:r>
    </w:p>
    <w:p>
      <w:pPr>
        <w:pStyle w:val="2"/>
        <w:ind w:firstLine="480" w:firstLineChars="200"/>
        <w:jc w:val="left"/>
        <w:rPr>
          <w:rFonts w:ascii="宋体" w:hAnsi="宋体" w:cs="宋体"/>
          <w:b w:val="0"/>
          <w:bCs w:val="0"/>
          <w:color w:val="auto"/>
          <w:sz w:val="24"/>
          <w:szCs w:val="24"/>
        </w:rPr>
      </w:pPr>
      <w:r>
        <w:rPr>
          <w:rFonts w:hint="eastAsia" w:ascii="宋体" w:hAnsi="宋体" w:cs="宋体"/>
          <w:b w:val="0"/>
          <w:bCs w:val="0"/>
          <w:color w:val="auto"/>
          <w:sz w:val="24"/>
          <w:szCs w:val="24"/>
        </w:rPr>
        <w:t>01-04包</w:t>
      </w:r>
    </w:p>
    <w:tbl>
      <w:tblPr>
        <w:tblStyle w:val="33"/>
        <w:tblW w:w="96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12"/>
        <w:gridCol w:w="1337"/>
        <w:gridCol w:w="667"/>
        <w:gridCol w:w="4227"/>
        <w:gridCol w:w="2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359" w:hRule="atLeast"/>
        </w:trPr>
        <w:tc>
          <w:tcPr>
            <w:tcW w:w="712" w:type="dxa"/>
            <w:shd w:val="clear" w:color="auto" w:fill="FFFFFF"/>
            <w:vAlign w:val="center"/>
          </w:tcPr>
          <w:p>
            <w:pPr>
              <w:ind w:firstLine="28"/>
              <w:jc w:val="center"/>
              <w:rPr>
                <w:rFonts w:hAnsi="宋体" w:cs="宋体"/>
              </w:rPr>
            </w:pPr>
            <w:r>
              <w:rPr>
                <w:rFonts w:hint="eastAsia" w:hAnsi="宋体" w:cs="宋体"/>
              </w:rPr>
              <w:t>序号</w:t>
            </w:r>
          </w:p>
        </w:tc>
        <w:tc>
          <w:tcPr>
            <w:tcW w:w="1337" w:type="dxa"/>
            <w:shd w:val="clear" w:color="auto" w:fill="FFFFFF"/>
            <w:vAlign w:val="center"/>
          </w:tcPr>
          <w:p>
            <w:pPr>
              <w:ind w:firstLine="28"/>
              <w:jc w:val="center"/>
              <w:rPr>
                <w:rFonts w:hAnsi="宋体" w:cs="宋体"/>
              </w:rPr>
            </w:pPr>
            <w:r>
              <w:rPr>
                <w:rFonts w:hint="eastAsia" w:hAnsi="宋体" w:cs="宋体"/>
              </w:rPr>
              <w:t>评分因素</w:t>
            </w:r>
          </w:p>
          <w:p>
            <w:pPr>
              <w:ind w:firstLine="28"/>
              <w:jc w:val="center"/>
              <w:rPr>
                <w:rFonts w:hAnsi="宋体" w:cs="宋体"/>
              </w:rPr>
            </w:pPr>
            <w:r>
              <w:rPr>
                <w:rFonts w:hint="eastAsia" w:hAnsi="宋体" w:cs="宋体"/>
              </w:rPr>
              <w:t>及权重</w:t>
            </w:r>
          </w:p>
        </w:tc>
        <w:tc>
          <w:tcPr>
            <w:tcW w:w="667" w:type="dxa"/>
            <w:shd w:val="clear" w:color="auto" w:fill="FFFFFF"/>
            <w:vAlign w:val="center"/>
          </w:tcPr>
          <w:p>
            <w:pPr>
              <w:ind w:firstLine="28"/>
              <w:jc w:val="center"/>
              <w:rPr>
                <w:rFonts w:hAnsi="宋体" w:cs="宋体"/>
              </w:rPr>
            </w:pPr>
            <w:r>
              <w:rPr>
                <w:rFonts w:hint="eastAsia" w:hAnsi="宋体" w:cs="宋体"/>
              </w:rPr>
              <w:t>分值</w:t>
            </w:r>
          </w:p>
        </w:tc>
        <w:tc>
          <w:tcPr>
            <w:tcW w:w="4227" w:type="dxa"/>
            <w:shd w:val="clear" w:color="auto" w:fill="FFFFFF"/>
            <w:vAlign w:val="center"/>
          </w:tcPr>
          <w:p>
            <w:pPr>
              <w:ind w:firstLine="28"/>
              <w:jc w:val="center"/>
              <w:rPr>
                <w:rFonts w:hAnsi="宋体" w:cs="宋体"/>
              </w:rPr>
            </w:pPr>
            <w:r>
              <w:rPr>
                <w:rFonts w:hint="eastAsia" w:hAnsi="宋体" w:cs="宋体"/>
              </w:rPr>
              <w:t>评分标准</w:t>
            </w:r>
          </w:p>
        </w:tc>
        <w:tc>
          <w:tcPr>
            <w:tcW w:w="2740" w:type="dxa"/>
            <w:shd w:val="clear" w:color="auto" w:fill="FFFFFF"/>
            <w:vAlign w:val="center"/>
          </w:tcPr>
          <w:p>
            <w:pPr>
              <w:jc w:val="center"/>
              <w:rPr>
                <w:rFonts w:hAnsi="宋体" w:cs="宋体"/>
              </w:rPr>
            </w:pPr>
            <w:r>
              <w:rPr>
                <w:rFonts w:hint="eastAsia" w:hAnsi="宋体" w:cs="宋体"/>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859" w:hRule="atLeast"/>
        </w:trPr>
        <w:tc>
          <w:tcPr>
            <w:tcW w:w="712" w:type="dxa"/>
            <w:shd w:val="clear" w:color="auto" w:fill="FFFFFF"/>
            <w:vAlign w:val="center"/>
          </w:tcPr>
          <w:p>
            <w:pPr>
              <w:ind w:firstLine="28"/>
              <w:jc w:val="center"/>
              <w:rPr>
                <w:rFonts w:hAnsi="宋体" w:cs="宋体"/>
              </w:rPr>
            </w:pPr>
            <w:r>
              <w:rPr>
                <w:rFonts w:hint="eastAsia" w:hAnsi="宋体" w:cs="宋体"/>
              </w:rPr>
              <w:t>1</w:t>
            </w:r>
          </w:p>
        </w:tc>
        <w:tc>
          <w:tcPr>
            <w:tcW w:w="1337" w:type="dxa"/>
            <w:shd w:val="clear" w:color="auto" w:fill="FFFFFF"/>
            <w:vAlign w:val="center"/>
          </w:tcPr>
          <w:p>
            <w:pPr>
              <w:ind w:firstLine="28"/>
              <w:jc w:val="center"/>
              <w:rPr>
                <w:rFonts w:hAnsi="宋体" w:cs="宋体"/>
              </w:rPr>
            </w:pPr>
            <w:r>
              <w:rPr>
                <w:rFonts w:hint="eastAsia" w:hAnsi="宋体" w:cs="宋体"/>
              </w:rPr>
              <w:t>报价30%</w:t>
            </w:r>
          </w:p>
        </w:tc>
        <w:tc>
          <w:tcPr>
            <w:tcW w:w="667" w:type="dxa"/>
            <w:shd w:val="clear" w:color="auto" w:fill="FFFFFF"/>
            <w:vAlign w:val="center"/>
          </w:tcPr>
          <w:p>
            <w:pPr>
              <w:ind w:firstLine="28"/>
              <w:jc w:val="center"/>
              <w:rPr>
                <w:rFonts w:hAnsi="宋体" w:cs="宋体"/>
              </w:rPr>
            </w:pPr>
            <w:r>
              <w:rPr>
                <w:rFonts w:hint="eastAsia" w:hAnsi="宋体" w:cs="宋体"/>
              </w:rPr>
              <w:t>30</w:t>
            </w:r>
          </w:p>
        </w:tc>
        <w:tc>
          <w:tcPr>
            <w:tcW w:w="4227" w:type="dxa"/>
            <w:shd w:val="clear" w:color="auto" w:fill="FFFFFF"/>
            <w:vAlign w:val="center"/>
          </w:tcPr>
          <w:p>
            <w:pPr>
              <w:rPr>
                <w:rFonts w:hAnsi="宋体" w:cs="宋体"/>
              </w:rPr>
            </w:pPr>
            <w:r>
              <w:rPr>
                <w:rFonts w:hint="eastAsia" w:hAnsi="宋体" w:cs="宋体"/>
              </w:rPr>
              <w:t>以本次最低有效投标报价为基准价，投标报价得分=(基准价／投标报价)×权值×100</w:t>
            </w:r>
          </w:p>
        </w:tc>
        <w:tc>
          <w:tcPr>
            <w:tcW w:w="2740" w:type="dxa"/>
            <w:shd w:val="clear" w:color="auto" w:fill="FFFFFF"/>
            <w:vAlign w:val="center"/>
          </w:tcPr>
          <w:p>
            <w:pPr>
              <w:rPr>
                <w:rFonts w:hAnsi="宋体" w:cs="宋体"/>
                <w:b/>
              </w:rPr>
            </w:pPr>
            <w:r>
              <w:rPr>
                <w:rFonts w:hint="eastAsia" w:hAnsi="宋体" w:cs="宋体"/>
              </w:rPr>
              <w:t>（对于非专门面向中小企业、监狱企业、福利企业的项目，对小型和微型企业、监狱企业、福利企业的产品的价格给予10%的扣除，用扣除后的价格参与评审）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775" w:hRule="atLeast"/>
        </w:trPr>
        <w:tc>
          <w:tcPr>
            <w:tcW w:w="712" w:type="dxa"/>
            <w:shd w:val="clear" w:color="auto" w:fill="FFFFFF"/>
            <w:vAlign w:val="center"/>
          </w:tcPr>
          <w:p>
            <w:pPr>
              <w:ind w:firstLine="28"/>
              <w:jc w:val="center"/>
              <w:rPr>
                <w:rFonts w:hAnsi="宋体" w:cs="宋体"/>
              </w:rPr>
            </w:pPr>
            <w:r>
              <w:rPr>
                <w:rFonts w:hint="eastAsia" w:hAnsi="宋体" w:cs="宋体"/>
              </w:rPr>
              <w:t>2</w:t>
            </w:r>
          </w:p>
        </w:tc>
        <w:tc>
          <w:tcPr>
            <w:tcW w:w="1337" w:type="dxa"/>
            <w:shd w:val="clear" w:color="auto" w:fill="FFFFFF"/>
            <w:vAlign w:val="center"/>
          </w:tcPr>
          <w:p>
            <w:pPr>
              <w:rPr>
                <w:rFonts w:hAnsi="宋体" w:cs="宋体"/>
              </w:rPr>
            </w:pPr>
            <w:r>
              <w:rPr>
                <w:rFonts w:hint="eastAsia" w:hAnsi="宋体" w:cs="宋体"/>
              </w:rPr>
              <w:t>技术指标</w:t>
            </w:r>
          </w:p>
          <w:p>
            <w:pPr>
              <w:rPr>
                <w:rFonts w:hAnsi="宋体" w:cs="宋体"/>
              </w:rPr>
            </w:pPr>
            <w:r>
              <w:rPr>
                <w:rFonts w:hint="eastAsia" w:hAnsi="宋体" w:cs="宋体"/>
              </w:rPr>
              <w:t>和配置38%</w:t>
            </w:r>
          </w:p>
        </w:tc>
        <w:tc>
          <w:tcPr>
            <w:tcW w:w="667" w:type="dxa"/>
            <w:shd w:val="clear" w:color="auto" w:fill="auto"/>
            <w:vAlign w:val="center"/>
          </w:tcPr>
          <w:p>
            <w:pPr>
              <w:ind w:firstLine="28"/>
              <w:jc w:val="center"/>
              <w:rPr>
                <w:rFonts w:hAnsi="宋体" w:cs="宋体"/>
              </w:rPr>
            </w:pPr>
            <w:r>
              <w:rPr>
                <w:rFonts w:hint="eastAsia" w:hAnsi="宋体" w:cs="宋体"/>
              </w:rPr>
              <w:t>38</w:t>
            </w:r>
          </w:p>
        </w:tc>
        <w:tc>
          <w:tcPr>
            <w:tcW w:w="4227" w:type="dxa"/>
            <w:shd w:val="clear" w:color="auto" w:fill="auto"/>
            <w:vAlign w:val="center"/>
          </w:tcPr>
          <w:p>
            <w:pPr>
              <w:jc w:val="left"/>
            </w:pPr>
            <w:r>
              <w:rPr>
                <w:rFonts w:hint="eastAsia"/>
              </w:rPr>
              <w:t>基本分（38分）：完全符合、响应采购文件要求，没有负偏离的得38分，每有一条参数条款负偏离扣1分，扣完为止；</w:t>
            </w:r>
          </w:p>
          <w:p>
            <w:pPr>
              <w:jc w:val="left"/>
            </w:pPr>
          </w:p>
        </w:tc>
        <w:tc>
          <w:tcPr>
            <w:tcW w:w="2740" w:type="dxa"/>
            <w:shd w:val="clear" w:color="auto" w:fill="auto"/>
            <w:vAlign w:val="center"/>
          </w:tcPr>
          <w:p>
            <w:pPr>
              <w:rPr>
                <w:rFonts w:hAnsi="宋体" w:cs="宋体"/>
              </w:rPr>
            </w:pPr>
            <w:r>
              <w:rPr>
                <w:rFonts w:hint="eastAsia" w:hAnsi="宋体"/>
              </w:rPr>
              <w:t>投标人需尽可能多的提供相关的技术、功能证明材料（包括但不限于测试报告、官网和功能截图、产品彩页、检测报告、演示等）予以佐证技术参数响应情况。如参数中有要求的必须严格按照要求提供, 如无法提供或提供不吻合则视为负偏离；若提供虚假截图、内容的按虚假应标处理。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775" w:hRule="atLeast"/>
        </w:trPr>
        <w:tc>
          <w:tcPr>
            <w:tcW w:w="712" w:type="dxa"/>
            <w:shd w:val="clear" w:color="auto" w:fill="FFFFFF"/>
            <w:vAlign w:val="center"/>
          </w:tcPr>
          <w:p>
            <w:pPr>
              <w:adjustRightInd w:val="0"/>
              <w:snapToGrid w:val="0"/>
              <w:spacing w:line="360" w:lineRule="auto"/>
              <w:jc w:val="center"/>
              <w:rPr>
                <w:rFonts w:hAnsi="宋体" w:cs="宋体"/>
                <w:lang w:val="zh-CN"/>
              </w:rPr>
            </w:pPr>
            <w:r>
              <w:rPr>
                <w:rFonts w:hint="eastAsia" w:hAnsi="宋体" w:cs="宋体"/>
              </w:rPr>
              <w:t>3</w:t>
            </w:r>
          </w:p>
        </w:tc>
        <w:tc>
          <w:tcPr>
            <w:tcW w:w="1337" w:type="dxa"/>
            <w:shd w:val="clear" w:color="auto" w:fill="FFFFFF"/>
            <w:vAlign w:val="center"/>
          </w:tcPr>
          <w:p>
            <w:pPr>
              <w:adjustRightInd w:val="0"/>
              <w:snapToGrid w:val="0"/>
              <w:spacing w:line="360" w:lineRule="auto"/>
              <w:jc w:val="center"/>
              <w:rPr>
                <w:rFonts w:hAnsi="宋体" w:cs="宋体"/>
              </w:rPr>
            </w:pPr>
            <w:r>
              <w:rPr>
                <w:rFonts w:hint="eastAsia" w:hAnsi="宋体" w:cs="宋体"/>
              </w:rPr>
              <w:t>项目实施</w:t>
            </w:r>
          </w:p>
          <w:p>
            <w:pPr>
              <w:adjustRightInd w:val="0"/>
              <w:snapToGrid w:val="0"/>
              <w:spacing w:line="360" w:lineRule="auto"/>
              <w:jc w:val="center"/>
              <w:rPr>
                <w:rFonts w:hAnsi="宋体" w:cs="宋体"/>
                <w:lang w:val="zh-CN"/>
              </w:rPr>
            </w:pPr>
            <w:r>
              <w:rPr>
                <w:rFonts w:hint="eastAsia" w:hAnsi="宋体" w:cs="宋体"/>
              </w:rPr>
              <w:t>10%</w:t>
            </w:r>
          </w:p>
        </w:tc>
        <w:tc>
          <w:tcPr>
            <w:tcW w:w="667" w:type="dxa"/>
            <w:shd w:val="clear" w:color="auto" w:fill="FFFFFF"/>
            <w:vAlign w:val="center"/>
          </w:tcPr>
          <w:p>
            <w:pPr>
              <w:adjustRightInd w:val="0"/>
              <w:snapToGrid w:val="0"/>
              <w:spacing w:line="360" w:lineRule="auto"/>
              <w:jc w:val="center"/>
              <w:rPr>
                <w:rFonts w:hAnsi="宋体" w:cs="宋体"/>
              </w:rPr>
            </w:pPr>
            <w:r>
              <w:rPr>
                <w:rFonts w:hint="eastAsia" w:hAnsi="宋体" w:cs="宋体"/>
              </w:rPr>
              <w:t>10</w:t>
            </w:r>
          </w:p>
        </w:tc>
        <w:tc>
          <w:tcPr>
            <w:tcW w:w="4227" w:type="dxa"/>
            <w:shd w:val="clear" w:color="auto" w:fill="FFFFFF"/>
            <w:vAlign w:val="center"/>
          </w:tcPr>
          <w:p>
            <w:pPr>
              <w:jc w:val="left"/>
            </w:pPr>
            <w:r>
              <w:rPr>
                <w:rFonts w:hint="eastAsia"/>
              </w:rPr>
              <w:t>根据供应商提供的本项目详细的供货组织方案、安装调试方案、人员投入等进行综合赋分，优得5-3分，一般得3-2分，差得2-1分，未提供不得分。</w:t>
            </w:r>
          </w:p>
          <w:p>
            <w:pPr>
              <w:jc w:val="left"/>
            </w:pPr>
            <w:r>
              <w:rPr>
                <w:rFonts w:hint="eastAsia"/>
              </w:rPr>
              <w:t>根据供应商提供的本项目详细的</w:t>
            </w:r>
            <w:r>
              <w:rPr>
                <w:rFonts w:hint="eastAsia"/>
                <w:lang w:eastAsia="zh-TW"/>
              </w:rPr>
              <w:t>安全保障</w:t>
            </w:r>
            <w:r>
              <w:rPr>
                <w:rFonts w:hint="eastAsia"/>
              </w:rPr>
              <w:t>措施、进度安排、等按优劣赋分，优得5-3分，一般得3-2分，差得2-1分，未提供不得分。</w:t>
            </w:r>
          </w:p>
        </w:tc>
        <w:tc>
          <w:tcPr>
            <w:tcW w:w="2740" w:type="dxa"/>
            <w:shd w:val="clear" w:color="auto" w:fill="FFFFFF"/>
            <w:vAlign w:val="center"/>
          </w:tcPr>
          <w:p>
            <w:pP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775" w:hRule="atLeast"/>
        </w:trPr>
        <w:tc>
          <w:tcPr>
            <w:tcW w:w="712" w:type="dxa"/>
            <w:shd w:val="clear" w:color="auto" w:fill="FFFFFF"/>
            <w:vAlign w:val="center"/>
          </w:tcPr>
          <w:p>
            <w:pPr>
              <w:jc w:val="center"/>
              <w:rPr>
                <w:rFonts w:hAnsi="宋体" w:cs="宋体"/>
              </w:rPr>
            </w:pPr>
            <w:r>
              <w:rPr>
                <w:rFonts w:hint="eastAsia" w:hAnsi="宋体" w:cs="宋体"/>
              </w:rPr>
              <w:t>4</w:t>
            </w:r>
          </w:p>
        </w:tc>
        <w:tc>
          <w:tcPr>
            <w:tcW w:w="1337" w:type="dxa"/>
            <w:shd w:val="clear" w:color="auto" w:fill="FFFFFF"/>
            <w:vAlign w:val="center"/>
          </w:tcPr>
          <w:p>
            <w:pPr>
              <w:jc w:val="center"/>
              <w:rPr>
                <w:rFonts w:hAnsi="宋体" w:cs="宋体"/>
              </w:rPr>
            </w:pPr>
            <w:r>
              <w:rPr>
                <w:rFonts w:hint="eastAsia" w:hAnsi="宋体" w:cs="宋体"/>
              </w:rPr>
              <w:t>质量保证7%</w:t>
            </w:r>
          </w:p>
        </w:tc>
        <w:tc>
          <w:tcPr>
            <w:tcW w:w="667" w:type="dxa"/>
            <w:shd w:val="clear" w:color="auto" w:fill="FFFFFF"/>
            <w:vAlign w:val="center"/>
          </w:tcPr>
          <w:p>
            <w:pPr>
              <w:jc w:val="center"/>
              <w:rPr>
                <w:rFonts w:hAnsi="宋体" w:cs="宋体"/>
              </w:rPr>
            </w:pPr>
            <w:r>
              <w:rPr>
                <w:rFonts w:hint="eastAsia" w:hAnsi="宋体" w:cs="宋体"/>
              </w:rPr>
              <w:t>7</w:t>
            </w:r>
          </w:p>
        </w:tc>
        <w:tc>
          <w:tcPr>
            <w:tcW w:w="4227" w:type="dxa"/>
            <w:shd w:val="clear" w:color="auto" w:fill="FFFFFF"/>
            <w:vAlign w:val="center"/>
          </w:tcPr>
          <w:p>
            <w:pPr>
              <w:pStyle w:val="12"/>
              <w:rPr>
                <w:rFonts w:hAnsi="宋体" w:cs="宋体"/>
                <w:sz w:val="24"/>
              </w:rPr>
            </w:pPr>
            <w:r>
              <w:rPr>
                <w:rFonts w:hint="eastAsia" w:ascii="微软雅黑" w:hAnsi="微软雅黑" w:eastAsia="微软雅黑" w:cs="微软雅黑"/>
                <w:color w:val="171A1D"/>
                <w:sz w:val="21"/>
                <w:szCs w:val="21"/>
                <w:shd w:val="clear" w:color="auto" w:fill="FFFFFF"/>
              </w:rPr>
              <w:t xml:space="preserve"> </w:t>
            </w:r>
            <w:r>
              <w:rPr>
                <w:rFonts w:hint="eastAsia" w:hAnsi="宋体" w:cs="宋体"/>
                <w:sz w:val="24"/>
              </w:rPr>
              <w:t>根据投标人提供针对本项目的质量保证措施、质量保证范围等进行综合评审，综合赋分</w:t>
            </w:r>
            <w:r>
              <w:rPr>
                <w:rFonts w:hint="eastAsia" w:hAnsi="宋体" w:cs="宋体"/>
                <w:sz w:val="24"/>
                <w:lang w:eastAsia="zh-TW"/>
              </w:rPr>
              <w:t>，</w:t>
            </w:r>
            <w:r>
              <w:rPr>
                <w:rFonts w:hint="eastAsia" w:hAnsi="宋体" w:cs="宋体"/>
                <w:sz w:val="24"/>
              </w:rPr>
              <w:t>优得7-5分，一般的得5-3分，差的得3-1分，未提供不得分。</w:t>
            </w:r>
          </w:p>
        </w:tc>
        <w:tc>
          <w:tcPr>
            <w:tcW w:w="2740" w:type="dxa"/>
            <w:shd w:val="clear" w:color="auto" w:fill="FFFFFF"/>
            <w:vAlign w:val="center"/>
          </w:tcPr>
          <w:p>
            <w:pPr>
              <w:jc w:val="left"/>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775" w:hRule="atLeast"/>
        </w:trPr>
        <w:tc>
          <w:tcPr>
            <w:tcW w:w="712" w:type="dxa"/>
            <w:shd w:val="clear" w:color="auto" w:fill="FFFFFF"/>
            <w:vAlign w:val="center"/>
          </w:tcPr>
          <w:p>
            <w:pPr>
              <w:ind w:firstLine="28"/>
              <w:jc w:val="center"/>
              <w:rPr>
                <w:rFonts w:hAnsi="宋体" w:cs="宋体"/>
              </w:rPr>
            </w:pPr>
            <w:r>
              <w:rPr>
                <w:rFonts w:hint="eastAsia" w:hAnsi="宋体" w:cs="宋体"/>
              </w:rPr>
              <w:t>5</w:t>
            </w:r>
          </w:p>
        </w:tc>
        <w:tc>
          <w:tcPr>
            <w:tcW w:w="1337" w:type="dxa"/>
            <w:shd w:val="clear" w:color="auto" w:fill="FFFFFF"/>
            <w:vAlign w:val="center"/>
          </w:tcPr>
          <w:p>
            <w:pPr>
              <w:jc w:val="center"/>
              <w:rPr>
                <w:rFonts w:hAnsi="宋体" w:cs="宋体"/>
              </w:rPr>
            </w:pPr>
            <w:r>
              <w:rPr>
                <w:rFonts w:hint="eastAsia" w:hAnsi="宋体" w:cs="宋体"/>
              </w:rPr>
              <w:t>售后服务及培训10%</w:t>
            </w:r>
          </w:p>
        </w:tc>
        <w:tc>
          <w:tcPr>
            <w:tcW w:w="667" w:type="dxa"/>
            <w:shd w:val="clear" w:color="auto" w:fill="FFFFFF"/>
            <w:vAlign w:val="center"/>
          </w:tcPr>
          <w:p>
            <w:pPr>
              <w:spacing w:line="400" w:lineRule="exact"/>
              <w:rPr>
                <w:rFonts w:hAnsi="宋体" w:cs="宋体"/>
              </w:rPr>
            </w:pPr>
            <w:r>
              <w:rPr>
                <w:rFonts w:hint="eastAsia" w:asciiTheme="minorEastAsia" w:hAnsiTheme="minorEastAsia" w:eastAsiaTheme="minorEastAsia" w:cstheme="minorEastAsia"/>
              </w:rPr>
              <w:t>10</w:t>
            </w:r>
          </w:p>
        </w:tc>
        <w:tc>
          <w:tcPr>
            <w:tcW w:w="4227" w:type="dxa"/>
            <w:shd w:val="clear" w:color="auto" w:fill="FFFFFF"/>
            <w:vAlign w:val="center"/>
          </w:tcPr>
          <w:p>
            <w:pPr>
              <w:ind w:firstLine="240" w:firstLineChars="100"/>
              <w:rPr>
                <w:rFonts w:hAnsi="宋体" w:cs="宋体"/>
              </w:rPr>
            </w:pPr>
            <w:r>
              <w:rPr>
                <w:rFonts w:hint="eastAsia" w:hAnsi="宋体" w:cs="宋体"/>
              </w:rPr>
              <w:t>1.</w:t>
            </w:r>
            <w:r>
              <w:rPr>
                <w:rFonts w:hint="eastAsia" w:hAnsi="宋体"/>
              </w:rPr>
              <w:t>提供详细完整的售后服务方案。包含但不限于：日常维护，应急响应速度及措施，备品备件计划，质保期限及范围等，进行综合评定，</w:t>
            </w:r>
            <w:r>
              <w:rPr>
                <w:rFonts w:hint="eastAsia" w:hAnsi="宋体" w:cs="宋体"/>
              </w:rPr>
              <w:t>优得5-3分，一般得3-2分，差得2-1分，未提供不得分。</w:t>
            </w:r>
          </w:p>
          <w:p>
            <w:pPr>
              <w:ind w:firstLine="240" w:firstLineChars="100"/>
              <w:rPr>
                <w:rFonts w:hAnsi="宋体" w:cs="宋体"/>
              </w:rPr>
            </w:pPr>
            <w:r>
              <w:rPr>
                <w:rFonts w:hint="eastAsia" w:hAnsi="宋体" w:cs="宋体"/>
              </w:rPr>
              <w:t>2.</w:t>
            </w:r>
            <w:r>
              <w:rPr>
                <w:rFonts w:hint="eastAsia" w:hAnsi="宋体"/>
              </w:rPr>
              <w:t>提供完整、可行的培训方案，明确具体培训方式、时间、地点、人员以及培训内容情况</w:t>
            </w:r>
            <w:r>
              <w:rPr>
                <w:rFonts w:hint="eastAsia" w:hAnsi="宋体" w:cs="宋体"/>
              </w:rPr>
              <w:t>优得5-3分，一般得3-2分，差得2-1分，未提供不得分。</w:t>
            </w:r>
          </w:p>
        </w:tc>
        <w:tc>
          <w:tcPr>
            <w:tcW w:w="2740" w:type="dxa"/>
            <w:shd w:val="clear" w:color="auto" w:fill="FFFFFF"/>
            <w:vAlign w:val="center"/>
          </w:tcPr>
          <w:p>
            <w:pPr>
              <w:ind w:left="-38"/>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71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Ansi="宋体" w:cs="宋体"/>
              </w:rPr>
            </w:pPr>
            <w:r>
              <w:rPr>
                <w:rFonts w:hint="eastAsia" w:hAnsi="宋体" w:cs="宋体"/>
              </w:rPr>
              <w:t>6</w:t>
            </w:r>
          </w:p>
        </w:tc>
        <w:tc>
          <w:tcPr>
            <w:tcW w:w="133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Ansi="宋体" w:cs="宋体"/>
              </w:rPr>
            </w:pPr>
            <w:r>
              <w:rPr>
                <w:rFonts w:hint="eastAsia" w:hAnsi="宋体" w:cs="宋体"/>
              </w:rPr>
              <w:t>业绩3%</w:t>
            </w:r>
          </w:p>
        </w:tc>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Ansi="宋体" w:cs="宋体"/>
              </w:rPr>
            </w:pPr>
            <w:r>
              <w:rPr>
                <w:rFonts w:hint="eastAsia" w:hAnsi="宋体" w:cs="宋体"/>
              </w:rPr>
              <w:t>3</w:t>
            </w:r>
          </w:p>
        </w:tc>
        <w:tc>
          <w:tcPr>
            <w:tcW w:w="4227"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Ansi="宋体" w:cs="宋体"/>
              </w:rPr>
            </w:pPr>
            <w:r>
              <w:rPr>
                <w:rFonts w:hint="eastAsia" w:hAnsi="宋体" w:cs="宋体"/>
              </w:rPr>
              <w:t>根据投标人提供的同类项目业绩进行赋分：以2019年01月01日至投标截止日销售合同为准，每提供1份合同得1分，最多得3分（仅限投标人自己实施的）。</w:t>
            </w:r>
          </w:p>
        </w:tc>
        <w:tc>
          <w:tcPr>
            <w:tcW w:w="2740"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hAnsi="宋体" w:cs="宋体"/>
              </w:rPr>
            </w:pPr>
            <w:r>
              <w:rPr>
                <w:rFonts w:hint="eastAsia" w:hAnsi="宋体" w:cs="宋体"/>
              </w:rPr>
              <w:t xml:space="preserve">   提供销售合同复印件加盖投标人公章，未提供的不得分。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71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jc w:val="center"/>
              <w:rPr>
                <w:rFonts w:hAnsi="宋体" w:cs="宋体"/>
              </w:rPr>
            </w:pPr>
            <w:r>
              <w:rPr>
                <w:rFonts w:hint="eastAsia" w:hAnsi="宋体" w:cs="宋体"/>
              </w:rPr>
              <w:t>7</w:t>
            </w:r>
          </w:p>
        </w:tc>
        <w:tc>
          <w:tcPr>
            <w:tcW w:w="133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jc w:val="center"/>
              <w:rPr>
                <w:rFonts w:hAnsi="宋体" w:cs="宋体"/>
                <w:lang w:val="en-GB"/>
              </w:rPr>
            </w:pPr>
            <w:r>
              <w:rPr>
                <w:rFonts w:hint="eastAsia" w:hAnsi="宋体" w:cs="宋体"/>
                <w:lang w:val="en-GB"/>
              </w:rPr>
              <w:t>节能、环境标志、无线局域网产品2%</w:t>
            </w:r>
          </w:p>
        </w:tc>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jc w:val="left"/>
              <w:rPr>
                <w:rFonts w:hAnsi="宋体" w:cs="宋体"/>
              </w:rPr>
            </w:pPr>
            <w:r>
              <w:rPr>
                <w:rFonts w:hint="eastAsia" w:hAnsi="宋体" w:cs="宋体"/>
              </w:rPr>
              <w:t>2</w:t>
            </w:r>
          </w:p>
        </w:tc>
        <w:tc>
          <w:tcPr>
            <w:tcW w:w="422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ind w:firstLine="480" w:firstLineChars="200"/>
              <w:jc w:val="left"/>
              <w:rPr>
                <w:rFonts w:hAnsi="宋体" w:cs="宋体"/>
              </w:rPr>
            </w:pPr>
            <w:r>
              <w:rPr>
                <w:rFonts w:hint="eastAsia" w:hAnsi="宋体" w:cs="宋体"/>
              </w:rPr>
              <w:t>投标产品中属于政府采购优先采购范围的，则每有一项为节能产品或者环境标志产品或者无线局域网产品的得0.5分，非节能、环境标志产品的、无线局域网产品的不得分。本项最多得2分。</w:t>
            </w:r>
          </w:p>
          <w:p>
            <w:pPr>
              <w:spacing w:line="276" w:lineRule="auto"/>
              <w:ind w:firstLine="480" w:firstLineChars="200"/>
              <w:jc w:val="left"/>
              <w:rPr>
                <w:rFonts w:hAnsi="宋体" w:cs="宋体"/>
              </w:rPr>
            </w:pPr>
          </w:p>
        </w:tc>
        <w:tc>
          <w:tcPr>
            <w:tcW w:w="274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ind w:firstLine="480" w:firstLineChars="200"/>
              <w:jc w:val="left"/>
              <w:rPr>
                <w:rFonts w:hAnsi="宋体" w:cs="宋体"/>
              </w:rPr>
            </w:pPr>
            <w:r>
              <w:rPr>
                <w:rFonts w:hint="eastAsia" w:hAnsi="宋体" w:cs="宋体"/>
              </w:rPr>
              <w:t>注：1. 节能产品、环境标志产品优先采购范围以品目清单为准。财政部、发展改革委、生态环境部等部门根据产品节能环保性能、技术水平和市场成熟程度等因素，确定实施政府优先采购和强制采购的产品类别及所依据的相关标准规范，以品目清单的形式发布并适时调整。无线局域网产品优先采购范围以中国政府采购网公布的《无线局域网认证产品政府采购清单》为准。</w:t>
            </w:r>
          </w:p>
          <w:p>
            <w:pPr>
              <w:spacing w:line="276" w:lineRule="auto"/>
              <w:ind w:firstLine="480" w:firstLineChars="200"/>
              <w:jc w:val="left"/>
              <w:rPr>
                <w:rFonts w:hAnsi="宋体" w:cs="宋体"/>
              </w:rPr>
            </w:pPr>
            <w:r>
              <w:rPr>
                <w:rFonts w:hint="eastAsia" w:hAnsi="宋体" w:cs="宋体"/>
              </w:rPr>
              <w:t>2. 投标产品属于优先采购范围内的节能产品或者环境标志产品的，提供国家确定的认证机构出具的、处于有效期之内的节能产品、环境标志产品认证证书复印件加盖投标人公章（鲜章）。</w:t>
            </w:r>
          </w:p>
        </w:tc>
      </w:tr>
    </w:tbl>
    <w:p>
      <w:pPr>
        <w:spacing w:line="360" w:lineRule="auto"/>
        <w:ind w:firstLine="480" w:firstLineChars="200"/>
        <w:jc w:val="left"/>
        <w:rPr>
          <w:rFonts w:hAnsi="宋体" w:cs="宋体"/>
          <w:color w:val="auto"/>
        </w:rPr>
      </w:pPr>
      <w:r>
        <w:rPr>
          <w:rFonts w:hint="eastAsia" w:hAnsi="宋体" w:cs="宋体"/>
          <w:color w:val="auto"/>
        </w:rPr>
        <w:t>4.5.1综合评分明细表的制定以科学合理、降低评委会自由裁量权为原则。</w:t>
      </w:r>
    </w:p>
    <w:p>
      <w:pPr>
        <w:spacing w:line="360" w:lineRule="auto"/>
        <w:ind w:firstLine="480" w:firstLineChars="200"/>
        <w:jc w:val="left"/>
        <w:rPr>
          <w:rFonts w:hAnsi="宋体" w:cs="宋体"/>
          <w:color w:val="auto"/>
        </w:rPr>
      </w:pPr>
      <w:r>
        <w:rPr>
          <w:rFonts w:hint="eastAsia" w:hAnsi="宋体" w:cs="宋体"/>
          <w:color w:val="auto"/>
        </w:rPr>
        <w:t>4.5.2 综合评分明细表按须知表中的相关要求进行价格调整，再参与价格分评审。</w:t>
      </w:r>
    </w:p>
    <w:p>
      <w:pPr>
        <w:pStyle w:val="13"/>
        <w:tabs>
          <w:tab w:val="left" w:pos="600"/>
        </w:tabs>
        <w:spacing w:line="360" w:lineRule="auto"/>
        <w:ind w:left="0" w:leftChars="0" w:firstLine="480" w:firstLineChars="200"/>
        <w:rPr>
          <w:rFonts w:hAnsi="宋体" w:cs="宋体"/>
          <w:sz w:val="24"/>
        </w:rPr>
      </w:pPr>
      <w:r>
        <w:rPr>
          <w:rFonts w:hint="eastAsia" w:hAnsi="宋体" w:cs="宋体"/>
          <w:sz w:val="24"/>
        </w:rPr>
        <w:t>4.5.3综合评分明细表：</w:t>
      </w:r>
    </w:p>
    <w:p>
      <w:pPr>
        <w:pStyle w:val="4"/>
        <w:spacing w:line="360" w:lineRule="auto"/>
        <w:ind w:firstLine="472" w:firstLineChars="196"/>
        <w:rPr>
          <w:rFonts w:ascii="宋体" w:hAnsi="宋体" w:cs="宋体"/>
          <w:sz w:val="24"/>
        </w:rPr>
      </w:pPr>
      <w:bookmarkStart w:id="231" w:name="_Toc217446060"/>
      <w:r>
        <w:rPr>
          <w:rFonts w:hint="eastAsia" w:ascii="宋体" w:hAnsi="宋体" w:cs="宋体"/>
          <w:sz w:val="24"/>
        </w:rPr>
        <w:t>5、废标</w:t>
      </w:r>
    </w:p>
    <w:p>
      <w:pPr>
        <w:spacing w:line="360" w:lineRule="auto"/>
        <w:ind w:firstLine="480" w:firstLineChars="200"/>
        <w:rPr>
          <w:rFonts w:hAnsi="宋体" w:cs="宋体"/>
          <w:color w:val="auto"/>
        </w:rPr>
      </w:pPr>
      <w:r>
        <w:rPr>
          <w:rFonts w:hint="eastAsia" w:hAnsi="宋体" w:cs="宋体"/>
          <w:color w:val="auto"/>
        </w:rPr>
        <w:t>5.1本次政府采购活动中，出现下列情形之一的，予以废标：</w:t>
      </w:r>
    </w:p>
    <w:p>
      <w:pPr>
        <w:spacing w:line="360" w:lineRule="auto"/>
        <w:ind w:firstLine="480" w:firstLineChars="200"/>
        <w:rPr>
          <w:rFonts w:hAnsi="宋体" w:cs="宋体"/>
          <w:color w:val="auto"/>
        </w:rPr>
      </w:pPr>
      <w:r>
        <w:rPr>
          <w:rFonts w:hint="eastAsia" w:hAnsi="宋体" w:cs="宋体"/>
          <w:color w:val="auto"/>
        </w:rPr>
        <w:t>（1）符合专业条件的供应商或者对招标文件作实质响应的供应商不足三家的；</w:t>
      </w:r>
    </w:p>
    <w:p>
      <w:pPr>
        <w:spacing w:line="360" w:lineRule="auto"/>
        <w:ind w:firstLine="480" w:firstLineChars="200"/>
        <w:rPr>
          <w:rFonts w:hAnsi="宋体" w:cs="宋体"/>
          <w:color w:val="auto"/>
        </w:rPr>
      </w:pPr>
      <w:r>
        <w:rPr>
          <w:rFonts w:hint="eastAsia" w:hAnsi="宋体" w:cs="宋体"/>
          <w:color w:val="auto"/>
        </w:rPr>
        <w:t>（2）出现影响采购公正的违法、违规行为的；</w:t>
      </w:r>
    </w:p>
    <w:p>
      <w:pPr>
        <w:spacing w:line="360" w:lineRule="auto"/>
        <w:ind w:firstLine="480" w:firstLineChars="200"/>
        <w:rPr>
          <w:rFonts w:hAnsi="宋体" w:cs="宋体"/>
          <w:color w:val="auto"/>
        </w:rPr>
      </w:pPr>
      <w:r>
        <w:rPr>
          <w:rFonts w:hint="eastAsia" w:hAnsi="宋体" w:cs="宋体"/>
          <w:color w:val="auto"/>
        </w:rPr>
        <w:t>（3）投标人的报价均超过了采购预算，采购人不能支付的；</w:t>
      </w:r>
    </w:p>
    <w:p>
      <w:pPr>
        <w:spacing w:line="360" w:lineRule="auto"/>
        <w:ind w:firstLine="480" w:firstLineChars="200"/>
        <w:rPr>
          <w:rFonts w:hAnsi="宋体" w:cs="宋体"/>
          <w:color w:val="auto"/>
        </w:rPr>
      </w:pPr>
      <w:r>
        <w:rPr>
          <w:rFonts w:hint="eastAsia" w:hAnsi="宋体" w:cs="宋体"/>
          <w:color w:val="auto"/>
        </w:rPr>
        <w:t>（4）因重大变故，采购任务取消的。</w:t>
      </w:r>
    </w:p>
    <w:p>
      <w:pPr>
        <w:spacing w:line="360" w:lineRule="auto"/>
        <w:ind w:firstLine="480" w:firstLineChars="200"/>
        <w:rPr>
          <w:rFonts w:hAnsi="宋体" w:cs="宋体"/>
          <w:color w:val="auto"/>
        </w:rPr>
      </w:pPr>
      <w:r>
        <w:rPr>
          <w:rFonts w:hint="eastAsia" w:hAnsi="宋体" w:cs="宋体"/>
          <w:color w:val="auto"/>
        </w:rPr>
        <w:t>废标后，采购代理机构应在陕西省政府采购网上公告，并公告废标的情形。投标人需要知晓导致废标情形的具体原因和理由的，可以通过书面形式询问招标采购单位。</w:t>
      </w:r>
    </w:p>
    <w:p>
      <w:pPr>
        <w:spacing w:line="360" w:lineRule="auto"/>
        <w:ind w:firstLine="480" w:firstLineChars="200"/>
        <w:rPr>
          <w:rFonts w:hAnsi="宋体" w:cs="宋体"/>
          <w:color w:val="auto"/>
        </w:rPr>
      </w:pPr>
      <w:r>
        <w:rPr>
          <w:rFonts w:hint="eastAsia" w:hAnsi="宋体" w:cs="宋体"/>
          <w:color w:val="auto"/>
        </w:rPr>
        <w:t>5.2对于评标过程中废标的采购项目，评标委员会应当对招标文件是否存在倾向性和歧视性、是否存在不合理条款进行论证，并出具书面论证意见。</w:t>
      </w:r>
    </w:p>
    <w:p>
      <w:pPr>
        <w:pStyle w:val="4"/>
        <w:spacing w:line="360" w:lineRule="auto"/>
        <w:ind w:firstLine="472" w:firstLineChars="196"/>
        <w:rPr>
          <w:rFonts w:ascii="宋体" w:hAnsi="宋体" w:cs="宋体"/>
          <w:sz w:val="24"/>
        </w:rPr>
      </w:pPr>
      <w:r>
        <w:rPr>
          <w:rFonts w:hint="eastAsia" w:ascii="宋体" w:hAnsi="宋体" w:cs="宋体"/>
          <w:sz w:val="24"/>
        </w:rPr>
        <w:t>6、定标</w:t>
      </w:r>
      <w:bookmarkEnd w:id="231"/>
      <w:bookmarkStart w:id="232" w:name="_Toc217446061"/>
    </w:p>
    <w:p>
      <w:pPr>
        <w:spacing w:line="360" w:lineRule="auto"/>
        <w:ind w:firstLine="480" w:firstLineChars="200"/>
        <w:rPr>
          <w:rFonts w:hAnsi="宋体" w:cs="宋体"/>
          <w:color w:val="auto"/>
        </w:rPr>
      </w:pPr>
      <w:r>
        <w:rPr>
          <w:rFonts w:hint="eastAsia" w:hAnsi="宋体" w:cs="宋体"/>
          <w:color w:val="auto"/>
        </w:rPr>
        <w:t>6.1. 定标原则</w:t>
      </w:r>
      <w:bookmarkEnd w:id="232"/>
      <w:r>
        <w:rPr>
          <w:rFonts w:hint="eastAsia" w:hAnsi="宋体" w:cs="宋体"/>
          <w:color w:val="auto"/>
        </w:rPr>
        <w:t>：本项目根据评标委员会推荐的中标候选供应商名单，按顺序确定中标供应商。本项目还须符合</w:t>
      </w:r>
      <w:r>
        <w:rPr>
          <w:rFonts w:hint="eastAsia" w:hAnsi="宋体" w:cs="宋体"/>
          <w:bCs/>
          <w:color w:val="auto"/>
        </w:rPr>
        <w:t>招标文件第二章《投标人须知前附表》中的特别约定</w:t>
      </w:r>
      <w:r>
        <w:rPr>
          <w:rFonts w:hint="eastAsia" w:hAnsi="宋体" w:cs="宋体"/>
          <w:color w:val="auto"/>
        </w:rPr>
        <w:t>。</w:t>
      </w:r>
    </w:p>
    <w:p>
      <w:pPr>
        <w:spacing w:line="360" w:lineRule="auto"/>
        <w:ind w:firstLine="480" w:firstLineChars="200"/>
        <w:rPr>
          <w:rFonts w:hAnsi="宋体" w:cs="宋体"/>
          <w:color w:val="auto"/>
        </w:rPr>
      </w:pPr>
      <w:bookmarkStart w:id="233" w:name="_Toc217446062"/>
      <w:r>
        <w:rPr>
          <w:rFonts w:hint="eastAsia" w:hAnsi="宋体" w:cs="宋体"/>
          <w:color w:val="auto"/>
        </w:rPr>
        <w:t>6.2. 定标程序</w:t>
      </w:r>
      <w:bookmarkEnd w:id="233"/>
    </w:p>
    <w:p>
      <w:pPr>
        <w:spacing w:line="360" w:lineRule="auto"/>
        <w:ind w:firstLine="480" w:firstLineChars="200"/>
        <w:rPr>
          <w:rFonts w:hAnsi="宋体" w:cs="宋体"/>
          <w:color w:val="auto"/>
        </w:rPr>
      </w:pPr>
      <w:r>
        <w:rPr>
          <w:rFonts w:hint="eastAsia" w:hAnsi="宋体" w:cs="宋体"/>
          <w:color w:val="auto"/>
        </w:rPr>
        <w:t>6.2.1 评标委员会将评标情况写出书面报告，推荐中标候选供应商。</w:t>
      </w:r>
    </w:p>
    <w:p>
      <w:pPr>
        <w:spacing w:line="360" w:lineRule="auto"/>
        <w:ind w:firstLine="480" w:firstLineChars="200"/>
        <w:rPr>
          <w:rFonts w:hAnsi="宋体" w:cs="宋体"/>
          <w:color w:val="auto"/>
        </w:rPr>
      </w:pPr>
      <w:r>
        <w:rPr>
          <w:rFonts w:hint="eastAsia" w:hAnsi="宋体" w:cs="宋体"/>
          <w:color w:val="auto"/>
        </w:rPr>
        <w:t>6.2.2 采购代理机构在评标结束后2个工作日内将评标报告送采购人。</w:t>
      </w:r>
    </w:p>
    <w:p>
      <w:pPr>
        <w:spacing w:line="360" w:lineRule="auto"/>
        <w:ind w:firstLine="480" w:firstLineChars="200"/>
        <w:rPr>
          <w:rFonts w:hAnsi="宋体" w:cs="宋体"/>
          <w:color w:val="auto"/>
        </w:rPr>
      </w:pPr>
      <w:r>
        <w:rPr>
          <w:rFonts w:hint="eastAsia" w:hAnsi="宋体" w:cs="宋体"/>
          <w:color w:val="auto"/>
        </w:rPr>
        <w:t>6.2.3 采购人在收到评标报告后5个工作日内，按照评标报告中推荐的中标候选供应商顺序确定中标供应商。采用最低评标价法的，评标结果按投标报价由低到高顺序排列。投标报价相同的并列。投标文件满足招标文件全部实质性要求且投标报价最低的投标人为排名第一的中标候选人。报价相同且满足招标文件全部实质性要求的并列，由采购人自主采取随机抽取的方式选择中标供应商。采用综合评分法的，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排名并列的由采购人自主采取随机抽取的方式选择中标供应商。</w:t>
      </w:r>
    </w:p>
    <w:p>
      <w:pPr>
        <w:spacing w:line="360" w:lineRule="auto"/>
        <w:ind w:firstLine="482" w:firstLineChars="200"/>
        <w:rPr>
          <w:rFonts w:hAnsi="宋体" w:cs="宋体"/>
          <w:b/>
          <w:color w:val="auto"/>
        </w:rPr>
      </w:pPr>
      <w:r>
        <w:rPr>
          <w:rFonts w:hint="eastAsia" w:hAnsi="宋体" w:cs="宋体"/>
          <w:b/>
          <w:color w:val="auto"/>
        </w:rPr>
        <w:t>注意，采购人按照推荐的中标候选供应商顺序确定中标供应商，不能认为采购人只能确定第一中标候选供应商为中标供应商，采购人有正当理由的，可以确定后一顺序中标候选供应商为中标供应商，依次类推。</w:t>
      </w:r>
    </w:p>
    <w:p>
      <w:pPr>
        <w:spacing w:line="360" w:lineRule="auto"/>
        <w:ind w:firstLine="480" w:firstLineChars="200"/>
        <w:rPr>
          <w:rFonts w:hAnsi="宋体" w:cs="宋体"/>
          <w:color w:val="auto"/>
        </w:rPr>
      </w:pPr>
      <w:r>
        <w:rPr>
          <w:rFonts w:hint="eastAsia" w:hAnsi="宋体" w:cs="宋体"/>
          <w:color w:val="auto"/>
        </w:rPr>
        <w:t>6.2.4 根据采购人确定的中标供应商，采购代理机构在陕西省政府采购网上发布中标公告，并自采购人确定中标之日起2个工作日内向中标供应商发出中标通知书。</w:t>
      </w:r>
    </w:p>
    <w:p>
      <w:pPr>
        <w:spacing w:line="360" w:lineRule="auto"/>
        <w:ind w:firstLine="480" w:firstLineChars="200"/>
        <w:rPr>
          <w:rFonts w:hAnsi="宋体" w:cs="宋体"/>
          <w:color w:val="auto"/>
        </w:rPr>
      </w:pPr>
      <w:r>
        <w:rPr>
          <w:rFonts w:hint="eastAsia" w:hAnsi="宋体" w:cs="宋体"/>
          <w:color w:val="auto"/>
        </w:rPr>
        <w:t>6.2.5 招标采购单位不退回投标人投标文件和其他投标资料。</w:t>
      </w:r>
    </w:p>
    <w:bookmarkEnd w:id="229"/>
    <w:p>
      <w:pPr>
        <w:pStyle w:val="4"/>
        <w:spacing w:line="360" w:lineRule="auto"/>
        <w:ind w:firstLine="482" w:firstLineChars="200"/>
        <w:rPr>
          <w:rFonts w:ascii="宋体" w:hAnsi="宋体" w:cs="宋体"/>
          <w:sz w:val="24"/>
        </w:rPr>
      </w:pPr>
      <w:bookmarkStart w:id="234" w:name="_Toc183682432"/>
      <w:bookmarkStart w:id="235" w:name="_Toc208849022"/>
      <w:bookmarkStart w:id="236" w:name="_Toc217446105"/>
      <w:bookmarkStart w:id="237" w:name="_Toc183582297"/>
      <w:r>
        <w:rPr>
          <w:rFonts w:hint="eastAsia" w:ascii="宋体" w:hAnsi="宋体" w:cs="宋体"/>
          <w:sz w:val="24"/>
        </w:rPr>
        <w:t xml:space="preserve">7. </w:t>
      </w:r>
      <w:bookmarkEnd w:id="234"/>
      <w:bookmarkEnd w:id="235"/>
      <w:bookmarkEnd w:id="236"/>
      <w:bookmarkEnd w:id="237"/>
      <w:r>
        <w:rPr>
          <w:rFonts w:hint="eastAsia" w:ascii="宋体" w:hAnsi="宋体" w:cs="宋体"/>
          <w:sz w:val="24"/>
        </w:rPr>
        <w:t>评标专家在政府采购活动中承担以下义务：</w:t>
      </w:r>
    </w:p>
    <w:p>
      <w:pPr>
        <w:spacing w:line="360" w:lineRule="auto"/>
        <w:ind w:firstLine="480" w:firstLineChars="200"/>
        <w:rPr>
          <w:rFonts w:hAnsi="宋体" w:cs="宋体"/>
          <w:color w:val="auto"/>
        </w:rPr>
      </w:pPr>
      <w:r>
        <w:rPr>
          <w:rFonts w:hint="eastAsia" w:hAnsi="宋体" w:cs="宋体"/>
          <w:color w:val="auto"/>
        </w:rPr>
        <w:t>（一）遵守评审工作纪律；</w:t>
      </w:r>
    </w:p>
    <w:p>
      <w:pPr>
        <w:spacing w:line="360" w:lineRule="auto"/>
        <w:ind w:firstLine="480" w:firstLineChars="200"/>
        <w:rPr>
          <w:rFonts w:hAnsi="宋体" w:cs="宋体"/>
          <w:color w:val="auto"/>
        </w:rPr>
      </w:pPr>
      <w:r>
        <w:rPr>
          <w:rFonts w:hint="eastAsia" w:hAnsi="宋体" w:cs="宋体"/>
          <w:color w:val="auto"/>
        </w:rPr>
        <w:t>（二）按照客观、公正、审慎的原则，根据采购文件规定的评审程序、评审方法和评审标准进行独立评审；</w:t>
      </w:r>
    </w:p>
    <w:p>
      <w:pPr>
        <w:spacing w:line="360" w:lineRule="auto"/>
        <w:ind w:firstLine="480" w:firstLineChars="200"/>
        <w:rPr>
          <w:rFonts w:hAnsi="宋体" w:cs="宋体"/>
          <w:color w:val="auto"/>
        </w:rPr>
      </w:pPr>
      <w:r>
        <w:rPr>
          <w:rFonts w:hint="eastAsia" w:hAnsi="宋体" w:cs="宋体"/>
          <w:color w:val="auto"/>
        </w:rPr>
        <w:t>（三）不得泄露评审文件、评审情况和在评审过程中获悉的商业秘密；</w:t>
      </w:r>
    </w:p>
    <w:p>
      <w:pPr>
        <w:spacing w:line="360" w:lineRule="auto"/>
        <w:ind w:firstLine="480" w:firstLineChars="200"/>
        <w:rPr>
          <w:rFonts w:hAnsi="宋体" w:cs="宋体"/>
          <w:color w:val="auto"/>
        </w:rPr>
      </w:pPr>
      <w:r>
        <w:rPr>
          <w:rFonts w:hint="eastAsia" w:hAnsi="宋体" w:cs="宋体"/>
          <w:color w:val="auto"/>
        </w:rPr>
        <w:t>（四）及时向监督部门报告评审过程中采购组织单位向评审专家做倾向性、误导性的解释或者说明，供应商行贿、提供虚假材料或者串通、受到的非法干预情况等违法违规行为；</w:t>
      </w:r>
    </w:p>
    <w:p>
      <w:pPr>
        <w:spacing w:line="360" w:lineRule="auto"/>
        <w:ind w:firstLine="480" w:firstLineChars="200"/>
        <w:rPr>
          <w:rFonts w:hAnsi="宋体" w:cs="宋体"/>
          <w:color w:val="auto"/>
        </w:rPr>
      </w:pPr>
      <w:r>
        <w:rPr>
          <w:rFonts w:hint="eastAsia" w:hAnsi="宋体" w:cs="宋体"/>
          <w:color w:val="auto"/>
        </w:rPr>
        <w:t>（五）发现采购文件内容违反国家有关强制性规定或者存在歧义、重大缺陷导致评审工作无法进行时，停止评审并向采购组织单位书面说明情况；</w:t>
      </w:r>
    </w:p>
    <w:p>
      <w:pPr>
        <w:spacing w:line="360" w:lineRule="auto"/>
        <w:ind w:firstLine="480" w:firstLineChars="200"/>
        <w:rPr>
          <w:rFonts w:hAnsi="宋体" w:cs="宋体"/>
          <w:color w:val="auto"/>
        </w:rPr>
      </w:pPr>
      <w:r>
        <w:rPr>
          <w:rFonts w:hint="eastAsia" w:hAnsi="宋体" w:cs="宋体"/>
          <w:color w:val="auto"/>
        </w:rPr>
        <w:t>（六）配合答复处理供应商的询问、质疑和投诉等事项；</w:t>
      </w:r>
    </w:p>
    <w:p>
      <w:pPr>
        <w:spacing w:line="360" w:lineRule="auto"/>
        <w:ind w:firstLine="480" w:firstLineChars="200"/>
        <w:rPr>
          <w:rFonts w:hAnsi="宋体" w:cs="宋体"/>
          <w:color w:val="auto"/>
        </w:rPr>
      </w:pPr>
      <w:r>
        <w:rPr>
          <w:rFonts w:hint="eastAsia" w:hAnsi="宋体" w:cs="宋体"/>
          <w:color w:val="auto"/>
        </w:rPr>
        <w:t>（七）法律、法规和规章规定的其他义务。</w:t>
      </w:r>
    </w:p>
    <w:p>
      <w:pPr>
        <w:pStyle w:val="4"/>
        <w:spacing w:line="360" w:lineRule="auto"/>
        <w:ind w:firstLine="482" w:firstLineChars="200"/>
        <w:rPr>
          <w:rFonts w:ascii="宋体" w:hAnsi="宋体" w:cs="宋体"/>
          <w:sz w:val="24"/>
        </w:rPr>
      </w:pPr>
      <w:r>
        <w:rPr>
          <w:rFonts w:hint="eastAsia" w:ascii="宋体" w:hAnsi="宋体" w:cs="宋体"/>
          <w:sz w:val="24"/>
        </w:rPr>
        <w:t>8.评标专家在政府采购活动中应当遵守以下工作纪律：</w:t>
      </w:r>
    </w:p>
    <w:p>
      <w:pPr>
        <w:spacing w:line="360" w:lineRule="auto"/>
        <w:ind w:firstLine="480" w:firstLineChars="200"/>
        <w:rPr>
          <w:rFonts w:hAnsi="宋体" w:cs="宋体"/>
          <w:color w:val="auto"/>
        </w:rPr>
      </w:pPr>
      <w:r>
        <w:rPr>
          <w:rFonts w:hint="eastAsia" w:hAnsi="宋体" w:cs="宋体"/>
          <w:color w:val="auto"/>
        </w:rPr>
        <w:t>（一）遵行《政府采购法》第十二条和《政府采购法实施条例》第九条及财政部关于回避的规定。</w:t>
      </w:r>
    </w:p>
    <w:p>
      <w:pPr>
        <w:spacing w:line="360" w:lineRule="auto"/>
        <w:ind w:firstLine="480" w:firstLineChars="200"/>
        <w:rPr>
          <w:rFonts w:hAnsi="宋体" w:cs="宋体"/>
          <w:color w:val="auto"/>
        </w:rPr>
      </w:pPr>
      <w:r>
        <w:rPr>
          <w:rFonts w:hint="eastAsia" w:hAnsi="宋体" w:cs="宋体"/>
          <w:color w:val="auto"/>
        </w:rPr>
        <w:t>（二）评标前，应当将通讯工具或者相关电子设备交由招标采购单位统一保管。</w:t>
      </w:r>
    </w:p>
    <w:p>
      <w:pPr>
        <w:spacing w:line="360" w:lineRule="auto"/>
        <w:ind w:firstLine="480" w:firstLineChars="200"/>
        <w:rPr>
          <w:rFonts w:hAnsi="宋体" w:cs="宋体"/>
          <w:color w:val="auto"/>
        </w:rPr>
      </w:pPr>
      <w:r>
        <w:rPr>
          <w:rFonts w:hint="eastAsia" w:hAnsi="宋体" w:cs="宋体"/>
          <w:color w:val="auto"/>
        </w:rPr>
        <w:t>（三）评标过程中，不得与外界联系，因发生不可预见情况，确实需要与外界联系的，应当在监督人员监督之下办理。</w:t>
      </w:r>
    </w:p>
    <w:p>
      <w:pPr>
        <w:spacing w:line="360" w:lineRule="auto"/>
        <w:ind w:firstLine="480" w:firstLineChars="200"/>
        <w:rPr>
          <w:rFonts w:hAnsi="宋体" w:cs="宋体"/>
          <w:color w:val="auto"/>
        </w:rPr>
      </w:pPr>
      <w:r>
        <w:rPr>
          <w:rFonts w:hint="eastAsia" w:hAnsi="宋体" w:cs="宋体"/>
          <w:color w:val="auto"/>
        </w:rPr>
        <w:t>（四）评标过程中，不得干预或者影响正常评标工作，不得发表倾向性、引导性意见，不得修改或细化招标文件确定的评标程序、评标方法、评标因素和评标标准，不得接受供应商主动提出的澄清和解释，不得征询采购人代表的意见，不得协商评分，不得违反规定的评标格式评分和撰写评标意见，不得拒绝对自己的评标意见签字确认。</w:t>
      </w:r>
    </w:p>
    <w:p>
      <w:pPr>
        <w:spacing w:line="360" w:lineRule="auto"/>
        <w:ind w:firstLine="480" w:firstLineChars="200"/>
        <w:rPr>
          <w:rFonts w:hAnsi="宋体" w:cs="宋体"/>
          <w:color w:val="auto"/>
        </w:rPr>
      </w:pPr>
      <w:r>
        <w:rPr>
          <w:rFonts w:hint="eastAsia" w:hAnsi="宋体" w:cs="宋体"/>
          <w:color w:val="auto"/>
        </w:rPr>
        <w:t>（五）在评标过程中和评标结束后，不得记录、复制或带走任何评标资料，除因规定的义务外，不得向外界透露评标内容。</w:t>
      </w:r>
    </w:p>
    <w:p>
      <w:pPr>
        <w:spacing w:line="360" w:lineRule="auto"/>
        <w:ind w:firstLine="480" w:firstLineChars="200"/>
        <w:rPr>
          <w:rFonts w:hAnsi="宋体" w:cs="宋体"/>
          <w:color w:val="auto"/>
        </w:rPr>
      </w:pPr>
      <w:r>
        <w:rPr>
          <w:rFonts w:hint="eastAsia" w:hAnsi="宋体" w:cs="宋体"/>
          <w:color w:val="auto"/>
        </w:rPr>
        <w:t>（六）服从评标现场招标采购单位的现场秩序管理，接受评标现场监督人员的合法监督。</w:t>
      </w:r>
    </w:p>
    <w:p>
      <w:pPr>
        <w:spacing w:line="360" w:lineRule="auto"/>
        <w:ind w:firstLine="480" w:firstLineChars="200"/>
        <w:rPr>
          <w:rFonts w:hAnsi="宋体" w:cs="宋体"/>
          <w:color w:val="auto"/>
        </w:rPr>
      </w:pPr>
      <w:r>
        <w:rPr>
          <w:rFonts w:hint="eastAsia" w:hAnsi="宋体" w:cs="宋体"/>
          <w:color w:val="auto"/>
        </w:rPr>
        <w:t>（七）遵守有关廉洁自律规定，不得私下接触供应商，不得收受供应商及有关业务单位和个人的财物或好处，不得接受采购组织单位的请托。</w:t>
      </w:r>
    </w:p>
    <w:p>
      <w:pPr>
        <w:pStyle w:val="3"/>
        <w:spacing w:line="360" w:lineRule="auto"/>
        <w:jc w:val="center"/>
        <w:rPr>
          <w:rFonts w:hAnsi="宋体" w:cs="宋体"/>
        </w:rPr>
      </w:pPr>
      <w:r>
        <w:rPr>
          <w:rFonts w:hint="eastAsia" w:hAnsi="宋体" w:cs="宋体"/>
        </w:rPr>
        <w:br w:type="page"/>
      </w:r>
      <w:bookmarkStart w:id="238" w:name="_Toc12013"/>
      <w:r>
        <w:rPr>
          <w:rFonts w:hint="eastAsia" w:hAnsi="宋体" w:cs="宋体"/>
        </w:rPr>
        <w:t>第七章合同条款（仅供参考）</w:t>
      </w:r>
      <w:bookmarkEnd w:id="225"/>
      <w:bookmarkEnd w:id="226"/>
      <w:bookmarkEnd w:id="238"/>
    </w:p>
    <w:p>
      <w:pPr>
        <w:pStyle w:val="97"/>
        <w:ind w:firstLine="480"/>
        <w:rPr>
          <w:rFonts w:hAnsi="宋体"/>
        </w:rPr>
      </w:pPr>
      <w:r>
        <w:rPr>
          <w:rFonts w:hint="eastAsia" w:hAnsi="宋体"/>
        </w:rPr>
        <w:t>签订地点：</w:t>
      </w:r>
      <w:r>
        <w:rPr>
          <w:rFonts w:hAnsi="宋体"/>
        </w:rPr>
        <w:t xml:space="preserve"> </w:t>
      </w:r>
      <w:r>
        <w:rPr>
          <w:szCs w:val="21"/>
        </w:rPr>
        <w:t>XXXX</w:t>
      </w:r>
      <w:r>
        <w:rPr>
          <w:rFonts w:hint="eastAsia"/>
          <w:szCs w:val="21"/>
        </w:rPr>
        <w:t>。</w:t>
      </w:r>
      <w:r>
        <w:rPr>
          <w:rFonts w:hAnsi="宋体"/>
        </w:rPr>
        <w:t xml:space="preserve">                                        </w:t>
      </w:r>
    </w:p>
    <w:p>
      <w:pPr>
        <w:pStyle w:val="97"/>
        <w:ind w:firstLine="480"/>
        <w:rPr>
          <w:rFonts w:hAnsi="宋体"/>
        </w:rPr>
      </w:pPr>
      <w:r>
        <w:rPr>
          <w:rFonts w:hint="eastAsia" w:hAnsi="宋体"/>
        </w:rPr>
        <w:t>签订时间：</w:t>
      </w:r>
      <w:r>
        <w:rPr>
          <w:rFonts w:hAnsi="宋体"/>
        </w:rPr>
        <w:t xml:space="preserve"> </w:t>
      </w:r>
      <w:r>
        <w:rPr>
          <w:szCs w:val="21"/>
        </w:rPr>
        <w:t>XXXX</w:t>
      </w:r>
      <w:r>
        <w:rPr>
          <w:rFonts w:hint="eastAsia"/>
          <w:szCs w:val="21"/>
        </w:rPr>
        <w:t>年</w:t>
      </w:r>
      <w:r>
        <w:rPr>
          <w:szCs w:val="21"/>
        </w:rPr>
        <w:t>XX</w:t>
      </w:r>
      <w:r>
        <w:rPr>
          <w:rFonts w:hint="eastAsia"/>
          <w:szCs w:val="21"/>
        </w:rPr>
        <w:t>月</w:t>
      </w:r>
      <w:r>
        <w:rPr>
          <w:szCs w:val="21"/>
        </w:rPr>
        <w:t>XX</w:t>
      </w:r>
      <w:r>
        <w:rPr>
          <w:rFonts w:hint="eastAsia"/>
          <w:szCs w:val="21"/>
        </w:rPr>
        <w:t>日。</w:t>
      </w:r>
      <w:r>
        <w:rPr>
          <w:rFonts w:hAnsi="宋体"/>
        </w:rPr>
        <w:t xml:space="preserve">                                        </w:t>
      </w:r>
    </w:p>
    <w:p>
      <w:pPr>
        <w:pStyle w:val="97"/>
        <w:ind w:firstLine="480"/>
        <w:rPr>
          <w:rFonts w:hAnsi="宋体"/>
        </w:rPr>
      </w:pPr>
      <w:r>
        <w:rPr>
          <w:rFonts w:hint="eastAsia" w:hAnsi="宋体"/>
        </w:rPr>
        <w:t>采购人（甲方）：</w:t>
      </w:r>
      <w:r>
        <w:rPr>
          <w:rFonts w:hAnsi="宋体"/>
          <w:u w:val="single"/>
        </w:rPr>
        <w:t xml:space="preserve">                     </w:t>
      </w:r>
      <w:r>
        <w:rPr>
          <w:rFonts w:hAnsi="宋体"/>
        </w:rPr>
        <w:t xml:space="preserve">                                          </w:t>
      </w:r>
    </w:p>
    <w:p>
      <w:pPr>
        <w:pStyle w:val="97"/>
        <w:ind w:firstLine="480"/>
        <w:rPr>
          <w:rFonts w:hAnsi="宋体"/>
        </w:rPr>
      </w:pPr>
      <w:r>
        <w:rPr>
          <w:rFonts w:hint="eastAsia" w:hAnsi="宋体"/>
        </w:rPr>
        <w:t>供应商（乙方）：</w:t>
      </w:r>
      <w:r>
        <w:rPr>
          <w:rFonts w:hAnsi="宋体"/>
          <w:u w:val="single"/>
        </w:rPr>
        <w:t xml:space="preserve">                     </w:t>
      </w:r>
      <w:r>
        <w:rPr>
          <w:rFonts w:hAnsi="宋体"/>
        </w:rPr>
        <w:t xml:space="preserve">                                      </w:t>
      </w:r>
    </w:p>
    <w:p>
      <w:pPr>
        <w:pStyle w:val="97"/>
        <w:ind w:firstLine="480"/>
        <w:rPr>
          <w:rFonts w:hAnsi="宋体"/>
        </w:rPr>
      </w:pPr>
      <w:r>
        <w:rPr>
          <w:rFonts w:hint="eastAsia" w:hAnsi="宋体"/>
        </w:rPr>
        <w:t>根据《中华人民共和国政府采购法》、《中华人民共和国民法典》及</w:t>
      </w:r>
      <w:r>
        <w:rPr>
          <w:rFonts w:hint="eastAsia"/>
          <w:szCs w:val="21"/>
        </w:rPr>
        <w:t>四川国际招标有限责任公司</w:t>
      </w:r>
      <w:r>
        <w:rPr>
          <w:rFonts w:hAnsi="宋体"/>
          <w:u w:val="single"/>
        </w:rPr>
        <w:t xml:space="preserve">         </w:t>
      </w:r>
      <w:r>
        <w:rPr>
          <w:rFonts w:hint="eastAsia" w:hAnsi="宋体"/>
        </w:rPr>
        <w:t>采购项目（项目编号：</w:t>
      </w:r>
      <w:r>
        <w:rPr>
          <w:szCs w:val="21"/>
        </w:rPr>
        <w:t>XX</w:t>
      </w:r>
      <w:r>
        <w:rPr>
          <w:rFonts w:hint="eastAsia"/>
          <w:szCs w:val="21"/>
        </w:rPr>
        <w:t>/x包</w:t>
      </w:r>
      <w:r>
        <w:rPr>
          <w:rFonts w:hint="eastAsia" w:hAnsi="宋体"/>
        </w:rPr>
        <w:t>）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kinsoku w:val="0"/>
        <w:spacing w:line="400" w:lineRule="exact"/>
        <w:ind w:firstLine="600" w:firstLineChars="250"/>
        <w:rPr>
          <w:rFonts w:hAnsi="宋体"/>
        </w:rPr>
      </w:pPr>
      <w:r>
        <w:rPr>
          <w:rFonts w:hint="eastAsia" w:hAnsi="宋体"/>
        </w:rPr>
        <w:t>一、</w:t>
      </w:r>
      <w:r>
        <w:rPr>
          <w:rFonts w:hint="eastAsia" w:hAnsi="宋体"/>
          <w:b/>
        </w:rPr>
        <w:t>合同内容</w:t>
      </w:r>
    </w:p>
    <w:tbl>
      <w:tblPr>
        <w:tblStyle w:val="33"/>
        <w:tblW w:w="8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620"/>
        <w:gridCol w:w="1260"/>
        <w:gridCol w:w="900"/>
        <w:gridCol w:w="900"/>
        <w:gridCol w:w="900"/>
        <w:gridCol w:w="894"/>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786" w:type="dxa"/>
            <w:vAlign w:val="center"/>
          </w:tcPr>
          <w:p>
            <w:pPr>
              <w:spacing w:line="400" w:lineRule="exact"/>
              <w:jc w:val="center"/>
              <w:rPr>
                <w:rFonts w:hAnsi="宋体"/>
                <w:b/>
              </w:rPr>
            </w:pPr>
            <w:r>
              <w:rPr>
                <w:rFonts w:hint="eastAsia" w:hAnsi="宋体"/>
                <w:b/>
              </w:rPr>
              <w:t>编号</w:t>
            </w:r>
          </w:p>
        </w:tc>
        <w:tc>
          <w:tcPr>
            <w:tcW w:w="1620" w:type="dxa"/>
            <w:vAlign w:val="center"/>
          </w:tcPr>
          <w:p>
            <w:pPr>
              <w:spacing w:line="400" w:lineRule="exact"/>
              <w:jc w:val="center"/>
              <w:rPr>
                <w:rFonts w:hAnsi="宋体"/>
                <w:b/>
              </w:rPr>
            </w:pPr>
            <w:r>
              <w:rPr>
                <w:rFonts w:hint="eastAsia" w:hAnsi="宋体"/>
                <w:b/>
              </w:rPr>
              <w:t>设备名称</w:t>
            </w:r>
          </w:p>
        </w:tc>
        <w:tc>
          <w:tcPr>
            <w:tcW w:w="1260" w:type="dxa"/>
            <w:vAlign w:val="center"/>
          </w:tcPr>
          <w:p>
            <w:pPr>
              <w:spacing w:line="400" w:lineRule="exact"/>
              <w:jc w:val="center"/>
              <w:rPr>
                <w:rFonts w:hAnsi="宋体"/>
                <w:b/>
              </w:rPr>
            </w:pPr>
            <w:r>
              <w:rPr>
                <w:rFonts w:hint="eastAsia" w:hAnsi="宋体"/>
                <w:b/>
              </w:rPr>
              <w:t>型号</w:t>
            </w:r>
          </w:p>
        </w:tc>
        <w:tc>
          <w:tcPr>
            <w:tcW w:w="900" w:type="dxa"/>
            <w:vAlign w:val="center"/>
          </w:tcPr>
          <w:p>
            <w:pPr>
              <w:spacing w:line="400" w:lineRule="exact"/>
              <w:jc w:val="center"/>
              <w:rPr>
                <w:rFonts w:hAnsi="宋体"/>
                <w:b/>
              </w:rPr>
            </w:pPr>
            <w:r>
              <w:rPr>
                <w:rFonts w:hint="eastAsia" w:hAnsi="宋体"/>
                <w:b/>
              </w:rPr>
              <w:t>产地</w:t>
            </w:r>
          </w:p>
        </w:tc>
        <w:tc>
          <w:tcPr>
            <w:tcW w:w="900" w:type="dxa"/>
            <w:vAlign w:val="center"/>
          </w:tcPr>
          <w:p>
            <w:pPr>
              <w:spacing w:line="400" w:lineRule="exact"/>
              <w:jc w:val="center"/>
              <w:rPr>
                <w:rFonts w:hAnsi="宋体"/>
                <w:b/>
              </w:rPr>
            </w:pPr>
            <w:r>
              <w:rPr>
                <w:rFonts w:hint="eastAsia" w:hAnsi="宋体"/>
                <w:b/>
              </w:rPr>
              <w:t>数量</w:t>
            </w:r>
          </w:p>
        </w:tc>
        <w:tc>
          <w:tcPr>
            <w:tcW w:w="900" w:type="dxa"/>
            <w:vAlign w:val="center"/>
          </w:tcPr>
          <w:p>
            <w:pPr>
              <w:spacing w:line="400" w:lineRule="exact"/>
              <w:jc w:val="center"/>
              <w:rPr>
                <w:rFonts w:hAnsi="宋体"/>
                <w:b/>
              </w:rPr>
            </w:pPr>
            <w:r>
              <w:rPr>
                <w:rFonts w:hint="eastAsia" w:hAnsi="宋体"/>
                <w:b/>
              </w:rPr>
              <w:t>单价</w:t>
            </w:r>
          </w:p>
        </w:tc>
        <w:tc>
          <w:tcPr>
            <w:tcW w:w="894" w:type="dxa"/>
            <w:vAlign w:val="center"/>
          </w:tcPr>
          <w:p>
            <w:pPr>
              <w:spacing w:line="400" w:lineRule="exact"/>
              <w:jc w:val="center"/>
              <w:rPr>
                <w:rFonts w:hAnsi="宋体"/>
                <w:b/>
              </w:rPr>
            </w:pPr>
            <w:r>
              <w:rPr>
                <w:rFonts w:hint="eastAsia" w:hAnsi="宋体"/>
                <w:b/>
              </w:rPr>
              <w:t>总价</w:t>
            </w:r>
          </w:p>
        </w:tc>
        <w:tc>
          <w:tcPr>
            <w:tcW w:w="839" w:type="dxa"/>
            <w:vAlign w:val="center"/>
          </w:tcPr>
          <w:p>
            <w:pPr>
              <w:spacing w:line="400" w:lineRule="exact"/>
              <w:jc w:val="center"/>
              <w:rPr>
                <w:rFonts w:hAnsi="宋体"/>
                <w:b/>
              </w:rPr>
            </w:pPr>
            <w:r>
              <w:rPr>
                <w:rFonts w:hint="eastAsia" w:hAnsi="宋体"/>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pPr>
              <w:adjustRightInd w:val="0"/>
              <w:snapToGrid w:val="0"/>
              <w:jc w:val="center"/>
              <w:rPr>
                <w:rFonts w:hAnsi="宋体" w:cs="宋体"/>
                <w:szCs w:val="21"/>
              </w:rPr>
            </w:pPr>
            <w:r>
              <w:rPr>
                <w:rFonts w:hAnsi="宋体" w:cs="宋体"/>
                <w:szCs w:val="21"/>
              </w:rPr>
              <w:t>1</w:t>
            </w:r>
          </w:p>
        </w:tc>
        <w:tc>
          <w:tcPr>
            <w:tcW w:w="1620" w:type="dxa"/>
            <w:vAlign w:val="center"/>
          </w:tcPr>
          <w:p>
            <w:pPr>
              <w:adjustRightInd w:val="0"/>
              <w:snapToGrid w:val="0"/>
              <w:jc w:val="center"/>
              <w:rPr>
                <w:rFonts w:hAnsi="宋体" w:cs="宋体"/>
                <w:szCs w:val="21"/>
              </w:rPr>
            </w:pPr>
          </w:p>
        </w:tc>
        <w:tc>
          <w:tcPr>
            <w:tcW w:w="1260" w:type="dxa"/>
            <w:vAlign w:val="center"/>
          </w:tcPr>
          <w:p>
            <w:pPr>
              <w:spacing w:line="400" w:lineRule="exact"/>
              <w:jc w:val="center"/>
              <w:rPr>
                <w:rFonts w:hAnsi="宋体"/>
                <w:szCs w:val="21"/>
              </w:rPr>
            </w:pPr>
          </w:p>
        </w:tc>
        <w:tc>
          <w:tcPr>
            <w:tcW w:w="900" w:type="dxa"/>
            <w:vAlign w:val="center"/>
          </w:tcPr>
          <w:p>
            <w:pPr>
              <w:spacing w:line="400" w:lineRule="exact"/>
              <w:jc w:val="center"/>
              <w:rPr>
                <w:rFonts w:hAnsi="宋体"/>
                <w:szCs w:val="21"/>
              </w:rPr>
            </w:pPr>
          </w:p>
        </w:tc>
        <w:tc>
          <w:tcPr>
            <w:tcW w:w="900" w:type="dxa"/>
            <w:vAlign w:val="center"/>
          </w:tcPr>
          <w:p>
            <w:pPr>
              <w:adjustRightInd w:val="0"/>
              <w:snapToGrid w:val="0"/>
              <w:jc w:val="center"/>
              <w:rPr>
                <w:rFonts w:hAnsi="宋体" w:cs="宋体"/>
                <w:szCs w:val="21"/>
              </w:rPr>
            </w:pPr>
          </w:p>
        </w:tc>
        <w:tc>
          <w:tcPr>
            <w:tcW w:w="900" w:type="dxa"/>
            <w:vAlign w:val="center"/>
          </w:tcPr>
          <w:p>
            <w:pPr>
              <w:autoSpaceDN w:val="0"/>
              <w:jc w:val="center"/>
              <w:textAlignment w:val="center"/>
              <w:rPr>
                <w:rFonts w:hAnsi="宋体" w:cs="宋体"/>
                <w:szCs w:val="21"/>
              </w:rPr>
            </w:pPr>
          </w:p>
        </w:tc>
        <w:tc>
          <w:tcPr>
            <w:tcW w:w="894" w:type="dxa"/>
            <w:vAlign w:val="center"/>
          </w:tcPr>
          <w:p>
            <w:pPr>
              <w:autoSpaceDN w:val="0"/>
              <w:jc w:val="center"/>
              <w:textAlignment w:val="center"/>
              <w:rPr>
                <w:rFonts w:hAnsi="宋体" w:cs="宋体"/>
                <w:szCs w:val="21"/>
              </w:rPr>
            </w:pPr>
          </w:p>
        </w:tc>
        <w:tc>
          <w:tcPr>
            <w:tcW w:w="839" w:type="dxa"/>
            <w:vAlign w:val="center"/>
          </w:tcPr>
          <w:p>
            <w:pPr>
              <w:autoSpaceDN w:val="0"/>
              <w:jc w:val="center"/>
              <w:textAlignment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pPr>
              <w:adjustRightInd w:val="0"/>
              <w:snapToGrid w:val="0"/>
              <w:jc w:val="center"/>
              <w:rPr>
                <w:rFonts w:hAnsi="宋体" w:cs="宋体"/>
                <w:szCs w:val="21"/>
              </w:rPr>
            </w:pPr>
          </w:p>
        </w:tc>
        <w:tc>
          <w:tcPr>
            <w:tcW w:w="1620" w:type="dxa"/>
            <w:vAlign w:val="center"/>
          </w:tcPr>
          <w:p>
            <w:pPr>
              <w:adjustRightInd w:val="0"/>
              <w:snapToGrid w:val="0"/>
              <w:jc w:val="center"/>
              <w:rPr>
                <w:rFonts w:hAnsi="宋体" w:cs="宋体"/>
                <w:szCs w:val="21"/>
              </w:rPr>
            </w:pPr>
          </w:p>
        </w:tc>
        <w:tc>
          <w:tcPr>
            <w:tcW w:w="1260" w:type="dxa"/>
            <w:vAlign w:val="center"/>
          </w:tcPr>
          <w:p>
            <w:pPr>
              <w:spacing w:line="400" w:lineRule="exact"/>
              <w:jc w:val="center"/>
              <w:rPr>
                <w:rFonts w:hAnsi="宋体"/>
                <w:szCs w:val="21"/>
              </w:rPr>
            </w:pPr>
          </w:p>
        </w:tc>
        <w:tc>
          <w:tcPr>
            <w:tcW w:w="900" w:type="dxa"/>
            <w:vAlign w:val="center"/>
          </w:tcPr>
          <w:p>
            <w:pPr>
              <w:spacing w:line="400" w:lineRule="exact"/>
              <w:jc w:val="center"/>
              <w:rPr>
                <w:rFonts w:hAnsi="宋体"/>
                <w:szCs w:val="21"/>
              </w:rPr>
            </w:pPr>
          </w:p>
        </w:tc>
        <w:tc>
          <w:tcPr>
            <w:tcW w:w="900" w:type="dxa"/>
            <w:vAlign w:val="center"/>
          </w:tcPr>
          <w:p>
            <w:pPr>
              <w:adjustRightInd w:val="0"/>
              <w:snapToGrid w:val="0"/>
              <w:jc w:val="center"/>
              <w:rPr>
                <w:rFonts w:hAnsi="宋体" w:cs="宋体"/>
                <w:szCs w:val="21"/>
              </w:rPr>
            </w:pPr>
          </w:p>
        </w:tc>
        <w:tc>
          <w:tcPr>
            <w:tcW w:w="900" w:type="dxa"/>
            <w:vAlign w:val="center"/>
          </w:tcPr>
          <w:p>
            <w:pPr>
              <w:autoSpaceDN w:val="0"/>
              <w:jc w:val="center"/>
              <w:textAlignment w:val="center"/>
              <w:rPr>
                <w:rFonts w:hAnsi="宋体" w:cs="宋体"/>
                <w:szCs w:val="21"/>
              </w:rPr>
            </w:pPr>
          </w:p>
        </w:tc>
        <w:tc>
          <w:tcPr>
            <w:tcW w:w="894" w:type="dxa"/>
            <w:vAlign w:val="center"/>
          </w:tcPr>
          <w:p>
            <w:pPr>
              <w:autoSpaceDN w:val="0"/>
              <w:jc w:val="center"/>
              <w:textAlignment w:val="center"/>
              <w:rPr>
                <w:rFonts w:hAnsi="宋体" w:cs="宋体"/>
                <w:szCs w:val="21"/>
              </w:rPr>
            </w:pPr>
          </w:p>
        </w:tc>
        <w:tc>
          <w:tcPr>
            <w:tcW w:w="839" w:type="dxa"/>
            <w:vAlign w:val="center"/>
          </w:tcPr>
          <w:p>
            <w:pPr>
              <w:autoSpaceDN w:val="0"/>
              <w:jc w:val="center"/>
              <w:textAlignment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2406" w:type="dxa"/>
            <w:gridSpan w:val="2"/>
            <w:vAlign w:val="center"/>
          </w:tcPr>
          <w:p>
            <w:pPr>
              <w:adjustRightInd w:val="0"/>
              <w:snapToGrid w:val="0"/>
              <w:jc w:val="center"/>
              <w:rPr>
                <w:rFonts w:hAnsi="宋体" w:cs="宋体"/>
                <w:b/>
              </w:rPr>
            </w:pPr>
            <w:r>
              <w:rPr>
                <w:rFonts w:hint="eastAsia" w:hAnsi="宋体" w:cs="宋体"/>
                <w:b/>
              </w:rPr>
              <w:t>总计（人民币</w:t>
            </w:r>
            <w:r>
              <w:rPr>
                <w:rFonts w:hAnsi="宋体" w:cs="宋体"/>
                <w:b/>
              </w:rPr>
              <w:t>/</w:t>
            </w:r>
            <w:r>
              <w:rPr>
                <w:rFonts w:hint="eastAsia" w:hAnsi="宋体" w:cs="宋体"/>
                <w:b/>
              </w:rPr>
              <w:t>元）</w:t>
            </w:r>
          </w:p>
        </w:tc>
        <w:tc>
          <w:tcPr>
            <w:tcW w:w="5693" w:type="dxa"/>
            <w:gridSpan w:val="6"/>
            <w:vAlign w:val="center"/>
          </w:tcPr>
          <w:p>
            <w:pPr>
              <w:adjustRightInd w:val="0"/>
              <w:snapToGrid w:val="0"/>
              <w:rPr>
                <w:rFonts w:hAnsi="宋体" w:cs="宋体"/>
                <w:b/>
              </w:rPr>
            </w:pPr>
            <w:r>
              <w:rPr>
                <w:rFonts w:hint="eastAsia" w:hAnsi="宋体" w:cs="宋体"/>
                <w:b/>
              </w:rPr>
              <w:t>￥：</w:t>
            </w:r>
            <w:r>
              <w:rPr>
                <w:rFonts w:hAnsi="宋体" w:cs="宋体"/>
                <w:b/>
              </w:rPr>
              <w:t xml:space="preserve">       </w:t>
            </w:r>
            <w:r>
              <w:rPr>
                <w:rFonts w:hint="eastAsia" w:hAnsi="宋体" w:cs="宋体"/>
                <w:b/>
              </w:rPr>
              <w:t>（大写）</w:t>
            </w:r>
          </w:p>
        </w:tc>
      </w:tr>
    </w:tbl>
    <w:p>
      <w:pPr>
        <w:kinsoku w:val="0"/>
        <w:spacing w:line="400" w:lineRule="exact"/>
        <w:ind w:firstLine="600" w:firstLineChars="250"/>
        <w:rPr>
          <w:rFonts w:hAnsi="宋体"/>
        </w:rPr>
      </w:pPr>
      <w:r>
        <w:rPr>
          <w:rFonts w:hint="eastAsia" w:hAnsi="宋体"/>
        </w:rPr>
        <w:t>乙方负责按以上确定的设备规格、型号及配套内容进行供货，及时运到甲方指定交货地点安装调试，确保所有设备达到最佳运行状态，负责对甲方操作、维护人员进行培训，指导操作、使用和维修保养，做好售后服务工作。</w:t>
      </w:r>
    </w:p>
    <w:p>
      <w:pPr>
        <w:spacing w:line="400" w:lineRule="exact"/>
        <w:ind w:firstLine="482" w:firstLineChars="200"/>
        <w:rPr>
          <w:rFonts w:hAnsi="宋体"/>
          <w:b/>
        </w:rPr>
      </w:pPr>
      <w:r>
        <w:rPr>
          <w:rFonts w:hint="eastAsia" w:hAnsi="宋体"/>
          <w:b/>
        </w:rPr>
        <w:t>二、合同价格</w:t>
      </w:r>
    </w:p>
    <w:p>
      <w:pPr>
        <w:kinsoku w:val="0"/>
        <w:spacing w:line="400" w:lineRule="exact"/>
        <w:ind w:firstLine="480" w:firstLineChars="200"/>
        <w:rPr>
          <w:rFonts w:hAnsi="宋体"/>
        </w:rPr>
      </w:pPr>
      <w:r>
        <w:rPr>
          <w:rFonts w:hint="eastAsia" w:hAnsi="宋体"/>
        </w:rPr>
        <w:t>合同总价：人民币大写</w:t>
      </w:r>
      <w:r>
        <w:rPr>
          <w:rFonts w:hint="eastAsia" w:hAnsi="宋体"/>
          <w:u w:val="single"/>
        </w:rPr>
        <w:t>：</w:t>
      </w:r>
      <w:r>
        <w:rPr>
          <w:rFonts w:hAnsi="宋体"/>
          <w:b/>
          <w:u w:val="single"/>
        </w:rPr>
        <w:t xml:space="preserve">          </w:t>
      </w:r>
      <w:r>
        <w:rPr>
          <w:rFonts w:hint="eastAsia" w:hAnsi="宋体"/>
          <w:b/>
        </w:rPr>
        <w:t>元整；</w:t>
      </w:r>
      <w:r>
        <w:rPr>
          <w:rFonts w:hint="eastAsia" w:hAnsi="宋体"/>
        </w:rPr>
        <w:t>￥</w:t>
      </w:r>
      <w:r>
        <w:rPr>
          <w:rFonts w:hAnsi="宋体"/>
        </w:rPr>
        <w:t xml:space="preserve"> </w:t>
      </w:r>
      <w:r>
        <w:rPr>
          <w:rFonts w:hAnsi="宋体"/>
          <w:b/>
          <w:u w:val="single"/>
        </w:rPr>
        <w:t xml:space="preserve">       </w:t>
      </w:r>
      <w:r>
        <w:rPr>
          <w:rFonts w:hint="eastAsia" w:hAnsi="宋体"/>
        </w:rPr>
        <w:t>元。</w:t>
      </w:r>
    </w:p>
    <w:p>
      <w:pPr>
        <w:kinsoku w:val="0"/>
        <w:spacing w:line="400" w:lineRule="exact"/>
        <w:ind w:firstLine="480" w:firstLineChars="200"/>
        <w:rPr>
          <w:rFonts w:hAnsi="宋体"/>
        </w:rPr>
      </w:pPr>
      <w:r>
        <w:rPr>
          <w:rFonts w:hint="eastAsia" w:hAnsi="宋体"/>
        </w:rPr>
        <w:t>合同总价包括：设备的供应费及所发生的运输费、杂费（含保险）、商检费、搬运费、安装调试费、培训费，税费等，包括从产品供应地点到交货地点所包含的运一切费用。合同总价不可变更，不受市场价变化的影响，不受实际数量变化的影响。</w:t>
      </w:r>
    </w:p>
    <w:p>
      <w:pPr>
        <w:spacing w:line="400" w:lineRule="exact"/>
        <w:ind w:firstLine="482" w:firstLineChars="200"/>
        <w:rPr>
          <w:rFonts w:hAnsi="宋体"/>
          <w:b/>
        </w:rPr>
      </w:pPr>
      <w:r>
        <w:rPr>
          <w:rFonts w:hint="eastAsia" w:hAnsi="宋体"/>
          <w:b/>
        </w:rPr>
        <w:t>三、款项支付</w:t>
      </w:r>
    </w:p>
    <w:p>
      <w:pPr>
        <w:tabs>
          <w:tab w:val="left" w:pos="480"/>
        </w:tabs>
        <w:ind w:firstLine="480" w:firstLineChars="200"/>
        <w:rPr>
          <w:rFonts w:hAnsi="宋体"/>
        </w:rPr>
      </w:pPr>
      <w:r>
        <w:rPr>
          <w:rFonts w:hint="eastAsia" w:hAnsi="宋体"/>
        </w:rPr>
        <w:t>1、支付方式：银行转帐。</w:t>
      </w:r>
    </w:p>
    <w:p>
      <w:pPr>
        <w:kinsoku w:val="0"/>
        <w:spacing w:line="400" w:lineRule="exact"/>
        <w:ind w:firstLine="480" w:firstLineChars="200"/>
        <w:rPr>
          <w:rFonts w:hAnsi="宋体"/>
        </w:rPr>
      </w:pPr>
      <w:r>
        <w:rPr>
          <w:rFonts w:hint="eastAsia" w:hAnsi="宋体"/>
        </w:rPr>
        <w:t>2、结算方式：本合同总金额共计：</w:t>
      </w:r>
      <w:r>
        <w:rPr>
          <w:rFonts w:hint="eastAsia" w:hAnsi="宋体"/>
          <w:u w:val="single"/>
        </w:rPr>
        <w:t xml:space="preserve">   元 </w:t>
      </w:r>
      <w:r>
        <w:rPr>
          <w:rFonts w:hint="eastAsia" w:hAnsi="宋体"/>
        </w:rPr>
        <w:t>。合同签订后，所有设备运到现场，安装调试完成，系统运行正常，终验验收合格后，甲方支付合同额的95%即</w:t>
      </w:r>
      <w:r>
        <w:rPr>
          <w:rFonts w:hint="eastAsia" w:hAnsi="宋体"/>
          <w:u w:val="single"/>
        </w:rPr>
        <w:t>（ ￥   元）</w:t>
      </w:r>
      <w:r>
        <w:rPr>
          <w:rFonts w:hint="eastAsia" w:hAnsi="宋体"/>
        </w:rPr>
        <w:t>给乙方。剩余合同额的5%即</w:t>
      </w:r>
      <w:r>
        <w:rPr>
          <w:rFonts w:hint="eastAsia" w:hAnsi="宋体"/>
          <w:u w:val="single"/>
        </w:rPr>
        <w:t xml:space="preserve"> （￥    元）</w:t>
      </w:r>
      <w:r>
        <w:rPr>
          <w:rFonts w:hint="eastAsia" w:hAnsi="宋体"/>
        </w:rPr>
        <w:t>作为质保维护保障费，验收合格之日起满1年后，甲方付质保维护保障费乙方。</w:t>
      </w:r>
    </w:p>
    <w:p>
      <w:pPr>
        <w:spacing w:line="400" w:lineRule="exact"/>
        <w:ind w:firstLine="482" w:firstLineChars="200"/>
        <w:rPr>
          <w:rFonts w:hAnsi="宋体"/>
          <w:b/>
        </w:rPr>
      </w:pPr>
      <w:r>
        <w:rPr>
          <w:rFonts w:hint="eastAsia" w:hAnsi="宋体"/>
          <w:b/>
        </w:rPr>
        <w:t>四、交货条件</w:t>
      </w:r>
    </w:p>
    <w:p>
      <w:pPr>
        <w:kinsoku w:val="0"/>
        <w:spacing w:line="400" w:lineRule="exact"/>
        <w:ind w:firstLine="600" w:firstLineChars="250"/>
        <w:rPr>
          <w:rFonts w:hAnsi="宋体"/>
        </w:rPr>
      </w:pPr>
      <w:r>
        <w:rPr>
          <w:rFonts w:hAnsi="宋体"/>
        </w:rPr>
        <w:t>1</w:t>
      </w:r>
      <w:r>
        <w:rPr>
          <w:rFonts w:hint="eastAsia" w:hAnsi="宋体"/>
        </w:rPr>
        <w:t>、交货地点：</w:t>
      </w:r>
    </w:p>
    <w:p>
      <w:pPr>
        <w:kinsoku w:val="0"/>
        <w:spacing w:line="400" w:lineRule="exact"/>
        <w:ind w:firstLine="600" w:firstLineChars="250"/>
        <w:rPr>
          <w:rFonts w:hAnsi="宋体"/>
        </w:rPr>
      </w:pPr>
      <w:r>
        <w:rPr>
          <w:rFonts w:hAnsi="宋体"/>
        </w:rPr>
        <w:t>2</w:t>
      </w:r>
      <w:r>
        <w:rPr>
          <w:rFonts w:hint="eastAsia" w:hAnsi="宋体"/>
        </w:rPr>
        <w:t>、交货日期：</w:t>
      </w:r>
    </w:p>
    <w:p>
      <w:pPr>
        <w:spacing w:line="400" w:lineRule="exact"/>
        <w:ind w:firstLine="482" w:firstLineChars="200"/>
        <w:rPr>
          <w:rFonts w:hAnsi="宋体"/>
          <w:b/>
        </w:rPr>
      </w:pPr>
      <w:r>
        <w:rPr>
          <w:rFonts w:hint="eastAsia" w:hAnsi="宋体"/>
          <w:b/>
        </w:rPr>
        <w:t>五、运输方式：</w:t>
      </w:r>
      <w:r>
        <w:rPr>
          <w:rFonts w:hint="eastAsia" w:hAnsi="宋体"/>
        </w:rPr>
        <w:t>根据产品特性，由乙方在保证产品质量的前提下，自行选择运输及包装方式，发生的一切费用全部由乙方承担。</w:t>
      </w:r>
    </w:p>
    <w:p>
      <w:pPr>
        <w:adjustRightInd w:val="0"/>
        <w:snapToGrid w:val="0"/>
        <w:spacing w:line="400" w:lineRule="exact"/>
        <w:ind w:firstLine="482" w:firstLineChars="200"/>
        <w:rPr>
          <w:rFonts w:hAnsi="宋体"/>
          <w:b/>
        </w:rPr>
      </w:pPr>
      <w:r>
        <w:rPr>
          <w:rFonts w:hint="eastAsia" w:hAnsi="宋体"/>
          <w:b/>
        </w:rPr>
        <w:t>六、质量保证</w:t>
      </w:r>
    </w:p>
    <w:p>
      <w:pPr>
        <w:adjustRightInd w:val="0"/>
        <w:snapToGrid w:val="0"/>
        <w:spacing w:line="400" w:lineRule="exact"/>
        <w:ind w:firstLine="480" w:firstLineChars="200"/>
        <w:rPr>
          <w:rFonts w:hAnsi="宋体"/>
        </w:rPr>
      </w:pPr>
      <w:r>
        <w:rPr>
          <w:rFonts w:hAnsi="宋体"/>
        </w:rPr>
        <w:t>1</w:t>
      </w:r>
      <w:r>
        <w:rPr>
          <w:rFonts w:hint="eastAsia" w:hAnsi="宋体"/>
        </w:rPr>
        <w:t>、乙方保证所提供的设备质量可靠，进货渠道正常，配置合理，技术性能完全满足招标文件要求；</w:t>
      </w:r>
    </w:p>
    <w:p>
      <w:pPr>
        <w:adjustRightInd w:val="0"/>
        <w:snapToGrid w:val="0"/>
        <w:spacing w:line="400" w:lineRule="exact"/>
        <w:ind w:firstLine="480" w:firstLineChars="200"/>
        <w:rPr>
          <w:rFonts w:hAnsi="宋体"/>
        </w:rPr>
      </w:pPr>
      <w:r>
        <w:rPr>
          <w:rFonts w:hAnsi="宋体"/>
        </w:rPr>
        <w:t>2</w:t>
      </w:r>
      <w:r>
        <w:rPr>
          <w:rFonts w:hint="eastAsia" w:hAnsi="宋体"/>
        </w:rPr>
        <w:t>、若设备所用原材料或加工工艺造成的质量和内外观缺陷问题，由乙方负责解决并承担费用。（卖方保证货物是全新的、未曾使用过的、以优质工艺及材料制造，并保证所供设备的完整性，本合同设备为成套供货，合同总价中已包括满足设备完整运行的附件，备件，配套件等，产品质量应符合国标标准和本合同附件的要求</w:t>
      </w:r>
      <w:r>
        <w:rPr>
          <w:rFonts w:hAnsi="宋体"/>
        </w:rPr>
        <w:t xml:space="preserve">, </w:t>
      </w:r>
      <w:r>
        <w:rPr>
          <w:rFonts w:hint="eastAsia" w:hAnsi="宋体"/>
        </w:rPr>
        <w:t>卖方应随机提供产品检验报告。）</w:t>
      </w:r>
    </w:p>
    <w:p>
      <w:pPr>
        <w:adjustRightInd w:val="0"/>
        <w:snapToGrid w:val="0"/>
        <w:spacing w:line="400" w:lineRule="exact"/>
        <w:ind w:firstLine="600" w:firstLineChars="250"/>
        <w:rPr>
          <w:rFonts w:hAnsi="宋体"/>
        </w:rPr>
      </w:pPr>
      <w:r>
        <w:rPr>
          <w:rFonts w:hAnsi="宋体"/>
        </w:rPr>
        <w:t>3</w:t>
      </w:r>
      <w:r>
        <w:rPr>
          <w:rFonts w:hint="eastAsia" w:hAnsi="宋体"/>
        </w:rPr>
        <w:t>、设备的质保期为设备验收合格后</w:t>
      </w:r>
      <w:r>
        <w:rPr>
          <w:rFonts w:hAnsi="宋体"/>
        </w:rPr>
        <w:t>XX</w:t>
      </w:r>
      <w:r>
        <w:rPr>
          <w:rFonts w:hint="eastAsia" w:hAnsi="宋体"/>
        </w:rPr>
        <w:t>年，质保期内若发生产品质量问题，卖方应立即免费解决；否则，甲方有权从质保金中支付相关费用；超过质保期的，按照厂家承诺进行。</w:t>
      </w:r>
    </w:p>
    <w:p>
      <w:pPr>
        <w:adjustRightInd w:val="0"/>
        <w:snapToGrid w:val="0"/>
        <w:spacing w:line="400" w:lineRule="exact"/>
        <w:ind w:firstLine="359" w:firstLineChars="149"/>
        <w:rPr>
          <w:rFonts w:hAnsi="宋体"/>
          <w:b/>
        </w:rPr>
      </w:pPr>
      <w:r>
        <w:rPr>
          <w:rFonts w:hint="eastAsia" w:hAnsi="宋体"/>
          <w:b/>
        </w:rPr>
        <w:t>七、安装、调试及技术服务</w:t>
      </w:r>
    </w:p>
    <w:p>
      <w:pPr>
        <w:numPr>
          <w:ilvl w:val="0"/>
          <w:numId w:val="5"/>
        </w:numPr>
        <w:spacing w:line="400" w:lineRule="exact"/>
        <w:rPr>
          <w:rFonts w:hAnsi="宋体"/>
        </w:rPr>
      </w:pPr>
      <w:r>
        <w:rPr>
          <w:rFonts w:hint="eastAsia" w:hAnsi="宋体"/>
        </w:rPr>
        <w:t>技术资料包括：</w:t>
      </w:r>
    </w:p>
    <w:p>
      <w:pPr>
        <w:numPr>
          <w:ilvl w:val="0"/>
          <w:numId w:val="5"/>
        </w:numPr>
        <w:spacing w:line="400" w:lineRule="exact"/>
        <w:rPr>
          <w:rFonts w:hAnsi="宋体"/>
        </w:rPr>
      </w:pPr>
      <w:r>
        <w:rPr>
          <w:rFonts w:hint="eastAsia" w:hAnsi="宋体"/>
        </w:rPr>
        <w:t>在质保期内（保修起始日为货到验收合格之日起），乙方在接到用户对所购设备进行维修的要求后，</w:t>
      </w:r>
      <w:r>
        <w:rPr>
          <w:rFonts w:hAnsi="宋体"/>
        </w:rPr>
        <w:t>XX</w:t>
      </w:r>
      <w:r>
        <w:rPr>
          <w:rFonts w:hint="eastAsia" w:hAnsi="宋体"/>
        </w:rPr>
        <w:t>小时内到用户现场进行维修服务，全部费用由乙方支付，若需将产品送回生产厂，由乙方支付维修设备所需的往返费用。</w:t>
      </w:r>
    </w:p>
    <w:p>
      <w:pPr>
        <w:numPr>
          <w:ilvl w:val="0"/>
          <w:numId w:val="5"/>
        </w:numPr>
        <w:spacing w:line="400" w:lineRule="exact"/>
        <w:rPr>
          <w:rFonts w:hAnsi="宋体"/>
        </w:rPr>
      </w:pPr>
      <w:r>
        <w:rPr>
          <w:rFonts w:hint="eastAsia" w:hAnsi="宋体"/>
        </w:rPr>
        <w:t>乙方保证设备完全按招标要求提供，若达不到要求，乙方须及时跟甲方沟通协商更换设备，并按照再次验收合格时间相应延长该产品保修期。</w:t>
      </w:r>
    </w:p>
    <w:p>
      <w:pPr>
        <w:numPr>
          <w:ilvl w:val="0"/>
          <w:numId w:val="5"/>
        </w:numPr>
        <w:spacing w:line="400" w:lineRule="exact"/>
        <w:rPr>
          <w:rFonts w:hAnsi="宋体"/>
        </w:rPr>
      </w:pPr>
      <w:r>
        <w:rPr>
          <w:rFonts w:hint="eastAsia" w:hAnsi="宋体"/>
        </w:rPr>
        <w:t>技术培训</w:t>
      </w:r>
    </w:p>
    <w:p>
      <w:pPr>
        <w:spacing w:line="400" w:lineRule="exact"/>
        <w:ind w:left="400"/>
        <w:rPr>
          <w:rFonts w:hAnsi="宋体"/>
        </w:rPr>
      </w:pPr>
      <w:r>
        <w:rPr>
          <w:rFonts w:hAnsi="宋体"/>
        </w:rPr>
        <w:t>1</w:t>
      </w:r>
      <w:r>
        <w:rPr>
          <w:rFonts w:hint="eastAsia" w:hAnsi="宋体"/>
        </w:rPr>
        <w:t>）内容：</w:t>
      </w:r>
    </w:p>
    <w:p>
      <w:pPr>
        <w:spacing w:line="400" w:lineRule="exact"/>
        <w:ind w:left="400"/>
        <w:rPr>
          <w:rFonts w:hAnsi="宋体"/>
        </w:rPr>
      </w:pPr>
      <w:r>
        <w:rPr>
          <w:rFonts w:hAnsi="宋体"/>
        </w:rPr>
        <w:t>2</w:t>
      </w:r>
      <w:r>
        <w:rPr>
          <w:rFonts w:hint="eastAsia" w:hAnsi="宋体"/>
        </w:rPr>
        <w:t>）培训准备：</w:t>
      </w:r>
    </w:p>
    <w:p>
      <w:pPr>
        <w:spacing w:line="400" w:lineRule="exact"/>
        <w:ind w:left="400"/>
        <w:rPr>
          <w:rFonts w:hAnsi="宋体"/>
        </w:rPr>
      </w:pPr>
      <w:r>
        <w:rPr>
          <w:rFonts w:hAnsi="宋体"/>
        </w:rPr>
        <w:t>3</w:t>
      </w:r>
      <w:r>
        <w:rPr>
          <w:rFonts w:hint="eastAsia" w:hAnsi="宋体"/>
        </w:rPr>
        <w:t>）地点：</w:t>
      </w:r>
    </w:p>
    <w:p>
      <w:pPr>
        <w:spacing w:line="400" w:lineRule="exact"/>
        <w:ind w:left="400"/>
        <w:rPr>
          <w:rFonts w:hAnsi="宋体"/>
        </w:rPr>
      </w:pPr>
      <w:r>
        <w:rPr>
          <w:rFonts w:hAnsi="宋体"/>
        </w:rPr>
        <w:t>4</w:t>
      </w:r>
      <w:r>
        <w:rPr>
          <w:rFonts w:hint="eastAsia" w:hAnsi="宋体"/>
        </w:rPr>
        <w:t>）时间：</w:t>
      </w:r>
    </w:p>
    <w:p>
      <w:pPr>
        <w:numPr>
          <w:ilvl w:val="0"/>
          <w:numId w:val="5"/>
        </w:numPr>
        <w:adjustRightInd w:val="0"/>
        <w:snapToGrid w:val="0"/>
        <w:spacing w:line="400" w:lineRule="exact"/>
        <w:rPr>
          <w:rFonts w:hAnsi="宋体"/>
        </w:rPr>
      </w:pPr>
      <w:r>
        <w:rPr>
          <w:rFonts w:hint="eastAsia" w:hAnsi="宋体"/>
        </w:rPr>
        <w:t>服务承诺：按投标文件中的服务承诺执行。</w:t>
      </w:r>
    </w:p>
    <w:p>
      <w:pPr>
        <w:numPr>
          <w:ilvl w:val="0"/>
          <w:numId w:val="5"/>
        </w:numPr>
        <w:adjustRightInd w:val="0"/>
        <w:snapToGrid w:val="0"/>
        <w:spacing w:line="400" w:lineRule="exact"/>
        <w:rPr>
          <w:rFonts w:hAnsi="宋体"/>
        </w:rPr>
      </w:pPr>
      <w:r>
        <w:rPr>
          <w:rFonts w:hint="eastAsia" w:hAnsi="宋体"/>
        </w:rPr>
        <w:t>安装调试过程中出现的安全责任问题由乙方全权负责。</w:t>
      </w:r>
    </w:p>
    <w:p>
      <w:pPr>
        <w:tabs>
          <w:tab w:val="left" w:pos="5355"/>
        </w:tabs>
        <w:spacing w:line="400" w:lineRule="exact"/>
        <w:ind w:firstLine="506" w:firstLineChars="210"/>
        <w:rPr>
          <w:rFonts w:hAnsi="宋体"/>
          <w:b/>
        </w:rPr>
      </w:pPr>
      <w:r>
        <w:rPr>
          <w:rFonts w:hint="eastAsia" w:hAnsi="宋体"/>
          <w:b/>
        </w:rPr>
        <w:t>八、违约责任：</w:t>
      </w:r>
    </w:p>
    <w:p>
      <w:pPr>
        <w:numPr>
          <w:ilvl w:val="0"/>
          <w:numId w:val="6"/>
        </w:numPr>
        <w:adjustRightInd w:val="0"/>
        <w:snapToGrid w:val="0"/>
        <w:spacing w:line="400" w:lineRule="exact"/>
        <w:rPr>
          <w:rFonts w:hAnsi="宋体"/>
        </w:rPr>
      </w:pPr>
      <w:r>
        <w:rPr>
          <w:rFonts w:hint="eastAsia" w:hAnsi="宋体"/>
        </w:rPr>
        <w:t>按《中华人民共和国合同法》中的相关条款执行。</w:t>
      </w:r>
    </w:p>
    <w:p>
      <w:pPr>
        <w:numPr>
          <w:ilvl w:val="0"/>
          <w:numId w:val="6"/>
        </w:numPr>
        <w:adjustRightInd w:val="0"/>
        <w:snapToGrid w:val="0"/>
        <w:spacing w:line="400" w:lineRule="exact"/>
        <w:rPr>
          <w:rFonts w:hAnsi="宋体"/>
        </w:rPr>
      </w:pPr>
      <w:r>
        <w:rPr>
          <w:rFonts w:hint="eastAsia" w:hAnsi="宋体"/>
        </w:rPr>
        <w:t>未按合同要求提供产品或设备质量不能满足技术要求，甲方有权终止合同，并保留追究乙方违约责任的权利。</w:t>
      </w:r>
    </w:p>
    <w:p>
      <w:pPr>
        <w:numPr>
          <w:ilvl w:val="0"/>
          <w:numId w:val="6"/>
        </w:numPr>
        <w:adjustRightInd w:val="0"/>
        <w:snapToGrid w:val="0"/>
        <w:spacing w:line="400" w:lineRule="exact"/>
        <w:rPr>
          <w:rFonts w:hAnsi="宋体"/>
        </w:rPr>
      </w:pPr>
      <w:r>
        <w:rPr>
          <w:rFonts w:hint="eastAsia" w:hAnsi="宋体"/>
        </w:rPr>
        <w:t>时间迟延的，违约方按照每天</w:t>
      </w:r>
      <w:r>
        <w:rPr>
          <w:rFonts w:hAnsi="宋体"/>
        </w:rPr>
        <w:t>1%</w:t>
      </w:r>
      <w:r>
        <w:rPr>
          <w:rFonts w:hint="eastAsia" w:hAnsi="宋体"/>
        </w:rPr>
        <w:t>向对方承担违约责任。产品质量问题违约的，除了按照迟延时间计算违约金外，另可以采取退货、换货等方式，由供方承担一切费用。</w:t>
      </w:r>
    </w:p>
    <w:p>
      <w:pPr>
        <w:spacing w:line="400" w:lineRule="exact"/>
        <w:ind w:firstLine="532"/>
        <w:rPr>
          <w:rFonts w:hAnsi="宋体"/>
          <w:b/>
        </w:rPr>
      </w:pPr>
      <w:r>
        <w:rPr>
          <w:rFonts w:hint="eastAsia" w:hAnsi="宋体"/>
          <w:b/>
        </w:rPr>
        <w:t>九、设备验收</w:t>
      </w:r>
    </w:p>
    <w:p>
      <w:pPr>
        <w:tabs>
          <w:tab w:val="left" w:pos="5355"/>
        </w:tabs>
        <w:spacing w:line="400" w:lineRule="exact"/>
        <w:ind w:firstLine="480" w:firstLineChars="200"/>
        <w:rPr>
          <w:rFonts w:hAnsi="宋体"/>
        </w:rPr>
      </w:pPr>
      <w:r>
        <w:rPr>
          <w:rFonts w:hint="eastAsia" w:hAnsi="宋体"/>
        </w:rPr>
        <w:t>1.初验：货物到达交货地点后，由使用单位根据合同对货物（设备）的名称、品牌、规格、型号、产地、数量进行检查。初验合格填写项目移交单，双方签字盖章。</w:t>
      </w:r>
    </w:p>
    <w:p>
      <w:pPr>
        <w:tabs>
          <w:tab w:val="left" w:pos="5355"/>
        </w:tabs>
        <w:spacing w:line="400" w:lineRule="exact"/>
        <w:ind w:firstLine="480" w:firstLineChars="200"/>
        <w:rPr>
          <w:rFonts w:hAnsi="宋体"/>
        </w:rPr>
      </w:pPr>
      <w:r>
        <w:rPr>
          <w:rFonts w:hint="eastAsia" w:hAnsi="宋体"/>
        </w:rPr>
        <w:t>2.终验：所有货物(设备)安装、调试完毕，正常使用10个日</w:t>
      </w:r>
    </w:p>
    <w:p>
      <w:pPr>
        <w:tabs>
          <w:tab w:val="left" w:pos="5355"/>
        </w:tabs>
        <w:spacing w:line="400" w:lineRule="exact"/>
        <w:ind w:firstLine="480" w:firstLineChars="200"/>
        <w:rPr>
          <w:rFonts w:hAnsi="宋体"/>
        </w:rPr>
      </w:pPr>
      <w:r>
        <w:rPr>
          <w:rFonts w:hint="eastAsia" w:hAnsi="宋体"/>
        </w:rPr>
        <w:t>历日后，由乙方向甲方提出终验书面申请，甲方确认后，组织乙方、有关专家及相关部门进行系统验收，并出具终验报告，验收及专家费用由乙方承担。验收合格后填写《临潼区政府采购项目验收单》。</w:t>
      </w:r>
    </w:p>
    <w:p>
      <w:pPr>
        <w:tabs>
          <w:tab w:val="left" w:pos="5355"/>
        </w:tabs>
        <w:spacing w:line="400" w:lineRule="exact"/>
        <w:ind w:firstLine="482" w:firstLineChars="200"/>
        <w:rPr>
          <w:rFonts w:hAnsi="宋体"/>
          <w:b/>
        </w:rPr>
      </w:pPr>
      <w:r>
        <w:rPr>
          <w:rFonts w:hint="eastAsia" w:hAnsi="宋体"/>
          <w:b/>
        </w:rPr>
        <w:t>十、合同争议的解决：</w:t>
      </w:r>
    </w:p>
    <w:p>
      <w:pPr>
        <w:tabs>
          <w:tab w:val="left" w:pos="5355"/>
        </w:tabs>
        <w:spacing w:line="400" w:lineRule="exact"/>
        <w:ind w:firstLine="480" w:firstLineChars="200"/>
        <w:rPr>
          <w:rFonts w:hAnsi="宋体"/>
          <w:b/>
        </w:rPr>
      </w:pPr>
      <w:r>
        <w:rPr>
          <w:rFonts w:hint="eastAsia" w:hAnsi="宋体"/>
        </w:rPr>
        <w:t>合同一经签订，不得随意变更、中止或终止。对确需变更、调整或者中止、终止合同的，应按规定履行相应的手续。</w:t>
      </w:r>
    </w:p>
    <w:p>
      <w:pPr>
        <w:tabs>
          <w:tab w:val="left" w:pos="5355"/>
        </w:tabs>
        <w:spacing w:line="400" w:lineRule="exact"/>
        <w:ind w:firstLine="480" w:firstLineChars="200"/>
        <w:rPr>
          <w:rFonts w:hAnsi="宋体"/>
        </w:rPr>
      </w:pPr>
      <w:r>
        <w:rPr>
          <w:rFonts w:hint="eastAsia" w:hAnsi="宋体"/>
        </w:rPr>
        <w:t>合同执行中发生争议的，甲、乙双方应协商解决，协商达不成一致时，可向合同履行地人民法院提请诉讼。</w:t>
      </w:r>
    </w:p>
    <w:p>
      <w:pPr>
        <w:numPr>
          <w:ilvl w:val="0"/>
          <w:numId w:val="7"/>
        </w:numPr>
        <w:tabs>
          <w:tab w:val="left" w:pos="5355"/>
        </w:tabs>
        <w:spacing w:line="400" w:lineRule="exact"/>
        <w:ind w:firstLine="482" w:firstLineChars="200"/>
        <w:rPr>
          <w:rFonts w:hAnsi="宋体"/>
          <w:b/>
        </w:rPr>
      </w:pPr>
      <w:r>
        <w:rPr>
          <w:rFonts w:hint="eastAsia" w:hAnsi="宋体"/>
          <w:b/>
        </w:rPr>
        <w:t>其它事项</w:t>
      </w:r>
    </w:p>
    <w:p>
      <w:pPr>
        <w:numPr>
          <w:ilvl w:val="0"/>
          <w:numId w:val="8"/>
        </w:numPr>
        <w:adjustRightInd w:val="0"/>
        <w:snapToGrid w:val="0"/>
        <w:spacing w:line="400" w:lineRule="exact"/>
        <w:rPr>
          <w:rFonts w:hAnsi="宋体"/>
        </w:rPr>
      </w:pPr>
      <w:r>
        <w:rPr>
          <w:rFonts w:hint="eastAsia" w:hAnsi="宋体"/>
        </w:rPr>
        <w:t>甲、乙双方做为合同执行的主体，有义务及时完全履行合同。</w:t>
      </w:r>
    </w:p>
    <w:p>
      <w:pPr>
        <w:numPr>
          <w:ilvl w:val="0"/>
          <w:numId w:val="8"/>
        </w:numPr>
        <w:adjustRightInd w:val="0"/>
        <w:snapToGrid w:val="0"/>
        <w:spacing w:line="400" w:lineRule="exact"/>
        <w:rPr>
          <w:rFonts w:hAnsi="宋体"/>
        </w:rPr>
      </w:pPr>
      <w:r>
        <w:rPr>
          <w:rFonts w:hint="eastAsia" w:hAnsi="宋体"/>
        </w:rPr>
        <w:t>合同未尽事宜，由甲、乙双方协商，协商方案作为本合同不可分割的组成部分，与本合同具有同等法律效力。</w:t>
      </w:r>
    </w:p>
    <w:p>
      <w:pPr>
        <w:numPr>
          <w:ilvl w:val="0"/>
          <w:numId w:val="8"/>
        </w:numPr>
        <w:adjustRightInd w:val="0"/>
        <w:snapToGrid w:val="0"/>
        <w:spacing w:line="400" w:lineRule="exact"/>
        <w:rPr>
          <w:rFonts w:hAnsi="宋体"/>
        </w:rPr>
      </w:pPr>
      <w:r>
        <w:rPr>
          <w:rFonts w:hint="eastAsia" w:hAnsi="宋体"/>
        </w:rPr>
        <w:t>招标文件和乙方的投标文件以及合同附件均为合同不可分割的部分。</w:t>
      </w:r>
    </w:p>
    <w:p>
      <w:pPr>
        <w:numPr>
          <w:ilvl w:val="0"/>
          <w:numId w:val="8"/>
        </w:numPr>
        <w:adjustRightInd w:val="0"/>
        <w:snapToGrid w:val="0"/>
        <w:spacing w:line="400" w:lineRule="exact"/>
        <w:rPr>
          <w:rFonts w:hAnsi="宋体"/>
        </w:rPr>
      </w:pPr>
      <w:r>
        <w:rPr>
          <w:rFonts w:hint="eastAsia" w:hAnsi="宋体"/>
        </w:rPr>
        <w:t>合同一式**份，甲方**份、乙方**份（返回招标代理机构壹份）。甲方、乙方及确认方签字盖章后生效，合同执行完毕自动失效。（合同的服务承诺长期有效）。</w:t>
      </w:r>
    </w:p>
    <w:p>
      <w:pPr>
        <w:adjustRightInd w:val="0"/>
        <w:snapToGrid w:val="0"/>
        <w:spacing w:line="400" w:lineRule="exact"/>
        <w:ind w:firstLine="600" w:firstLineChars="250"/>
        <w:rPr>
          <w:rFonts w:hAnsi="宋体"/>
        </w:rPr>
      </w:pPr>
      <w:r>
        <w:rPr>
          <w:rFonts w:hint="eastAsia" w:hAnsi="宋体"/>
        </w:rPr>
        <w:t>甲</w:t>
      </w:r>
      <w:r>
        <w:rPr>
          <w:rFonts w:hAnsi="宋体"/>
        </w:rPr>
        <w:t xml:space="preserve">  </w:t>
      </w:r>
      <w:r>
        <w:rPr>
          <w:rFonts w:hint="eastAsia" w:hAnsi="宋体"/>
        </w:rPr>
        <w:t>方：（公章）</w:t>
      </w:r>
      <w:r>
        <w:rPr>
          <w:rFonts w:hAnsi="宋体"/>
        </w:rPr>
        <w:t xml:space="preserve">                          </w:t>
      </w:r>
      <w:r>
        <w:rPr>
          <w:rFonts w:hint="eastAsia" w:hAnsi="宋体"/>
        </w:rPr>
        <w:t>乙</w:t>
      </w:r>
      <w:r>
        <w:rPr>
          <w:rFonts w:hAnsi="宋体"/>
        </w:rPr>
        <w:t xml:space="preserve">  </w:t>
      </w:r>
      <w:r>
        <w:rPr>
          <w:rFonts w:hint="eastAsia" w:hAnsi="宋体"/>
        </w:rPr>
        <w:t>方：（公章）</w:t>
      </w:r>
    </w:p>
    <w:p>
      <w:pPr>
        <w:adjustRightInd w:val="0"/>
        <w:snapToGrid w:val="0"/>
        <w:spacing w:line="400" w:lineRule="exact"/>
        <w:ind w:firstLine="600" w:firstLineChars="250"/>
        <w:rPr>
          <w:rFonts w:hAnsi="宋体"/>
        </w:rPr>
      </w:pPr>
      <w:r>
        <w:rPr>
          <w:rFonts w:hint="eastAsia" w:hAnsi="宋体"/>
        </w:rPr>
        <w:t>地</w:t>
      </w:r>
      <w:r>
        <w:rPr>
          <w:rFonts w:hAnsi="宋体"/>
        </w:rPr>
        <w:t xml:space="preserve">  </w:t>
      </w:r>
      <w:r>
        <w:rPr>
          <w:rFonts w:hint="eastAsia" w:hAnsi="宋体"/>
        </w:rPr>
        <w:t>址：</w:t>
      </w:r>
      <w:r>
        <w:rPr>
          <w:rFonts w:hAnsi="宋体"/>
        </w:rPr>
        <w:t xml:space="preserve">                                  </w:t>
      </w:r>
      <w:r>
        <w:rPr>
          <w:rFonts w:hint="eastAsia" w:hAnsi="宋体"/>
        </w:rPr>
        <w:t>地</w:t>
      </w:r>
      <w:r>
        <w:rPr>
          <w:rFonts w:hAnsi="宋体"/>
        </w:rPr>
        <w:t xml:space="preserve">    </w:t>
      </w:r>
      <w:r>
        <w:rPr>
          <w:rFonts w:hint="eastAsia" w:hAnsi="宋体"/>
        </w:rPr>
        <w:t>址：</w:t>
      </w:r>
      <w:r>
        <w:rPr>
          <w:rFonts w:hAnsi="宋体"/>
        </w:rPr>
        <w:t xml:space="preserve"> </w:t>
      </w:r>
    </w:p>
    <w:p>
      <w:pPr>
        <w:adjustRightInd w:val="0"/>
        <w:snapToGrid w:val="0"/>
        <w:spacing w:line="400" w:lineRule="exact"/>
        <w:ind w:firstLine="600" w:firstLineChars="250"/>
        <w:rPr>
          <w:rFonts w:hAnsi="宋体"/>
        </w:rPr>
      </w:pPr>
      <w:r>
        <w:rPr>
          <w:rFonts w:hint="eastAsia" w:hAnsi="宋体"/>
        </w:rPr>
        <w:t>法定代表人：（签字）</w:t>
      </w:r>
      <w:r>
        <w:rPr>
          <w:rFonts w:hAnsi="宋体"/>
        </w:rPr>
        <w:t xml:space="preserve">                      </w:t>
      </w:r>
      <w:r>
        <w:rPr>
          <w:rFonts w:hint="eastAsia" w:hAnsi="宋体"/>
        </w:rPr>
        <w:t>法定代表人：（签字）</w:t>
      </w:r>
    </w:p>
    <w:p>
      <w:pPr>
        <w:adjustRightInd w:val="0"/>
        <w:snapToGrid w:val="0"/>
        <w:spacing w:line="400" w:lineRule="exact"/>
        <w:ind w:firstLine="600" w:firstLineChars="250"/>
        <w:rPr>
          <w:rFonts w:hAnsi="宋体"/>
        </w:rPr>
      </w:pPr>
      <w:r>
        <w:rPr>
          <w:rFonts w:hAnsi="宋体"/>
        </w:rPr>
        <w:t xml:space="preserve"> </w:t>
      </w:r>
    </w:p>
    <w:p>
      <w:pPr>
        <w:adjustRightInd w:val="0"/>
        <w:snapToGrid w:val="0"/>
        <w:spacing w:line="400" w:lineRule="exact"/>
        <w:ind w:firstLine="600" w:firstLineChars="250"/>
        <w:rPr>
          <w:rFonts w:hAnsi="宋体"/>
        </w:rPr>
      </w:pPr>
      <w:r>
        <w:rPr>
          <w:rFonts w:hint="eastAsia" w:hAnsi="宋体"/>
        </w:rPr>
        <w:t>代理人：（签字）</w:t>
      </w:r>
      <w:r>
        <w:rPr>
          <w:rFonts w:hAnsi="宋体"/>
        </w:rPr>
        <w:t xml:space="preserve">                          </w:t>
      </w:r>
      <w:r>
        <w:rPr>
          <w:rFonts w:hint="eastAsia" w:hAnsi="宋体"/>
        </w:rPr>
        <w:t>代理人：（签字）</w:t>
      </w:r>
    </w:p>
    <w:p>
      <w:pPr>
        <w:adjustRightInd w:val="0"/>
        <w:snapToGrid w:val="0"/>
        <w:spacing w:line="400" w:lineRule="exact"/>
        <w:ind w:firstLine="600" w:firstLineChars="250"/>
        <w:rPr>
          <w:rFonts w:hAnsi="宋体"/>
        </w:rPr>
      </w:pPr>
      <w:r>
        <w:rPr>
          <w:rFonts w:hint="eastAsia" w:hAnsi="宋体"/>
        </w:rPr>
        <w:t>联系电话：</w:t>
      </w:r>
      <w:r>
        <w:rPr>
          <w:rFonts w:hAnsi="宋体"/>
        </w:rPr>
        <w:t xml:space="preserve">                                </w:t>
      </w:r>
      <w:r>
        <w:rPr>
          <w:rFonts w:hint="eastAsia" w:hAnsi="宋体"/>
        </w:rPr>
        <w:t>开户银行：</w:t>
      </w:r>
    </w:p>
    <w:p>
      <w:pPr>
        <w:adjustRightInd w:val="0"/>
        <w:snapToGrid w:val="0"/>
        <w:spacing w:line="400" w:lineRule="exact"/>
        <w:ind w:firstLine="5640" w:firstLineChars="2350"/>
        <w:rPr>
          <w:rFonts w:hAnsi="宋体"/>
        </w:rPr>
      </w:pPr>
      <w:r>
        <w:rPr>
          <w:rFonts w:hint="eastAsia" w:hAnsi="宋体"/>
        </w:rPr>
        <w:t>帐</w:t>
      </w:r>
      <w:r>
        <w:rPr>
          <w:rFonts w:hAnsi="宋体"/>
        </w:rPr>
        <w:t xml:space="preserve">   </w:t>
      </w:r>
      <w:r>
        <w:rPr>
          <w:rFonts w:hint="eastAsia" w:hAnsi="宋体"/>
        </w:rPr>
        <w:t>号：</w:t>
      </w:r>
      <w:r>
        <w:rPr>
          <w:rFonts w:hAnsi="宋体"/>
        </w:rPr>
        <w:t xml:space="preserve"> </w:t>
      </w:r>
    </w:p>
    <w:p>
      <w:pPr>
        <w:adjustRightInd w:val="0"/>
        <w:snapToGrid w:val="0"/>
        <w:spacing w:line="400" w:lineRule="exact"/>
        <w:ind w:firstLine="5640" w:firstLineChars="2350"/>
        <w:rPr>
          <w:rFonts w:hAnsi="宋体"/>
        </w:rPr>
      </w:pPr>
      <w:r>
        <w:rPr>
          <w:rFonts w:hint="eastAsia" w:hAnsi="宋体"/>
        </w:rPr>
        <w:t>联系电话：</w:t>
      </w:r>
    </w:p>
    <w:p>
      <w:pPr>
        <w:adjustRightInd w:val="0"/>
        <w:snapToGrid w:val="0"/>
        <w:spacing w:line="400" w:lineRule="exact"/>
        <w:ind w:firstLine="600" w:firstLineChars="250"/>
      </w:pPr>
      <w:r>
        <w:rPr>
          <w:rFonts w:hint="eastAsia" w:hAnsi="宋体"/>
        </w:rPr>
        <w:t>签订日期：</w:t>
      </w:r>
      <w:r>
        <w:rPr>
          <w:rFonts w:hAnsi="宋体"/>
        </w:rPr>
        <w:t xml:space="preserve">   </w:t>
      </w:r>
      <w:r>
        <w:rPr>
          <w:rFonts w:hint="eastAsia" w:hAnsi="宋体"/>
        </w:rPr>
        <w:t>年</w:t>
      </w:r>
      <w:r>
        <w:rPr>
          <w:rFonts w:hAnsi="宋体"/>
        </w:rPr>
        <w:t xml:space="preserve">  </w:t>
      </w:r>
      <w:r>
        <w:rPr>
          <w:rFonts w:hint="eastAsia" w:hAnsi="宋体"/>
        </w:rPr>
        <w:t>月</w:t>
      </w:r>
      <w:r>
        <w:rPr>
          <w:rFonts w:hAnsi="宋体"/>
        </w:rPr>
        <w:t xml:space="preserve">  </w:t>
      </w:r>
      <w:r>
        <w:rPr>
          <w:rFonts w:hint="eastAsia" w:hAnsi="宋体"/>
        </w:rPr>
        <w:t>日</w:t>
      </w:r>
      <w:r>
        <w:rPr>
          <w:rFonts w:hAnsi="宋体"/>
        </w:rPr>
        <w:t xml:space="preserve">                   </w:t>
      </w:r>
      <w:r>
        <w:rPr>
          <w:rFonts w:hint="eastAsia" w:hAnsi="宋体"/>
        </w:rPr>
        <w:t>签订日期：</w:t>
      </w:r>
      <w:r>
        <w:rPr>
          <w:rFonts w:hAnsi="宋体"/>
        </w:rPr>
        <w:t xml:space="preserve">   </w:t>
      </w:r>
      <w:r>
        <w:rPr>
          <w:rFonts w:hint="eastAsia" w:hAnsi="宋体"/>
        </w:rPr>
        <w:t>年</w:t>
      </w:r>
      <w:r>
        <w:rPr>
          <w:rFonts w:hAnsi="宋体"/>
        </w:rPr>
        <w:t xml:space="preserve">  </w:t>
      </w:r>
      <w:r>
        <w:rPr>
          <w:rFonts w:hint="eastAsia" w:hAnsi="宋体"/>
        </w:rPr>
        <w:t>月</w:t>
      </w:r>
      <w:r>
        <w:rPr>
          <w:rFonts w:hAnsi="宋体"/>
        </w:rPr>
        <w:t xml:space="preserve">  </w:t>
      </w:r>
      <w:r>
        <w:rPr>
          <w:rFonts w:hint="eastAsia" w:hAnsi="宋体"/>
        </w:rPr>
        <w:t>日</w:t>
      </w:r>
    </w:p>
    <w:p>
      <w:pPr>
        <w:pStyle w:val="48"/>
      </w:pPr>
    </w:p>
    <w:sectPr>
      <w:headerReference r:id="rId5" w:type="default"/>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Menlo">
    <w:altName w:val="Arial"/>
    <w:panose1 w:val="00000000000000000000"/>
    <w:charset w:val="00"/>
    <w:family w:val="modern"/>
    <w:pitch w:val="default"/>
    <w:sig w:usb0="00000000" w:usb1="00000000" w:usb2="02000028" w:usb3="00000000" w:csb0="000001DF" w:csb1="00000000"/>
  </w:font>
  <w:font w:name="PMingLiU">
    <w:panose1 w:val="02020500000000000000"/>
    <w:charset w:val="88"/>
    <w:family w:val="roman"/>
    <w:pitch w:val="default"/>
    <w:sig w:usb0="A00002FF" w:usb1="28CFFCFA" w:usb2="00000016" w:usb3="00000000" w:csb0="00100001" w:csb1="00000000"/>
  </w:font>
  <w:font w:name="微软雅黑 Light">
    <w:altName w:val="黑体"/>
    <w:panose1 w:val="00000000000000000000"/>
    <w:charset w:val="86"/>
    <w:family w:val="swiss"/>
    <w:pitch w:val="default"/>
    <w:sig w:usb0="00000000" w:usb1="0000000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SourceHanSansCN-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0000000000000000000"/>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47955"/>
              <wp:effectExtent l="0" t="0" r="0" b="0"/>
              <wp:wrapNone/>
              <wp:docPr id="2" name="文本框 1"/>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1587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32</w:t>
                          </w:r>
                          <w:r>
                            <w:rPr>
                              <w:rFonts w:hint="eastAsia"/>
                              <w:sz w:val="18"/>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1.65pt;width:4.55pt;mso-position-horizontal:center;mso-position-horizontal-relative:margin;mso-wrap-style:none;z-index:251660288;mso-width-relative:page;mso-height-relative:page;" filled="f" stroked="f" coordsize="21600,21600" o:gfxdata="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RO1bfUAAAAAgEAAA8AAAAAAAAAAQAgAAAAIgAA&#10;AGRycy9kb3ducmV2LnhtbFBLAQIUABQAAAAIAIdO4kDV0U7g0wEAAKIDAAAOAAAAAAAAAAEAIAAA&#10;ACMBAABkcnMvZTJvRG9jLnhtbFBLBQYAAAAABgAGAFkBAABoBQ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32</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6W/D9EAAAADAQAADwAAAAAAAAABACAAAAAiAAAA&#10;ZHJzL2Rvd25yZXYueG1sUEsBAhQAFAAAAAgAh07iQA4hPXgOAgAAEAQAAA4AAAAAAAAAAQAgAAAA&#10;IAEAAGRycy9lMm9Eb2MueG1sUEsFBgAAAAAGAAYAWQEAAKAFA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single" w:color="auto" w:sz="6" w:space="0"/>
      </w:pBdr>
      <w:rPr>
        <w:rFonts w:ascii="华文中宋" w:hAnsi="华文中宋" w:eastAsia="华文中宋"/>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33A91"/>
    <w:multiLevelType w:val="singleLevel"/>
    <w:tmpl w:val="81433A91"/>
    <w:lvl w:ilvl="0" w:tentative="0">
      <w:start w:val="1"/>
      <w:numFmt w:val="decimal"/>
      <w:suff w:val="nothing"/>
      <w:lvlText w:val="%1．"/>
      <w:lvlJc w:val="left"/>
      <w:pPr>
        <w:ind w:left="0" w:firstLine="400"/>
      </w:pPr>
      <w:rPr>
        <w:rFonts w:hint="default"/>
      </w:rPr>
    </w:lvl>
  </w:abstractNum>
  <w:abstractNum w:abstractNumId="1">
    <w:nsid w:val="DFE9F2AD"/>
    <w:multiLevelType w:val="singleLevel"/>
    <w:tmpl w:val="DFE9F2AD"/>
    <w:lvl w:ilvl="0" w:tentative="0">
      <w:start w:val="1"/>
      <w:numFmt w:val="decimal"/>
      <w:suff w:val="nothing"/>
      <w:lvlText w:val="%1．"/>
      <w:lvlJc w:val="left"/>
      <w:pPr>
        <w:ind w:left="0" w:firstLine="400"/>
      </w:pPr>
      <w:rPr>
        <w:rFonts w:hint="default"/>
      </w:rPr>
    </w:lvl>
  </w:abstractNum>
  <w:abstractNum w:abstractNumId="2">
    <w:nsid w:val="5642A275"/>
    <w:multiLevelType w:val="singleLevel"/>
    <w:tmpl w:val="5642A275"/>
    <w:lvl w:ilvl="0" w:tentative="0">
      <w:start w:val="11"/>
      <w:numFmt w:val="chineseCounting"/>
      <w:suff w:val="nothing"/>
      <w:lvlText w:val="%1、"/>
      <w:lvlJc w:val="left"/>
      <w:rPr>
        <w:rFonts w:cs="Times New Roman"/>
      </w:rPr>
    </w:lvl>
  </w:abstractNum>
  <w:abstractNum w:abstractNumId="3">
    <w:nsid w:val="59C07086"/>
    <w:multiLevelType w:val="singleLevel"/>
    <w:tmpl w:val="59C07086"/>
    <w:lvl w:ilvl="0" w:tentative="0">
      <w:start w:val="1"/>
      <w:numFmt w:val="decimal"/>
      <w:suff w:val="nothing"/>
      <w:lvlText w:val="%1、"/>
      <w:lvlJc w:val="left"/>
    </w:lvl>
  </w:abstractNum>
  <w:abstractNum w:abstractNumId="4">
    <w:nsid w:val="59DAE5C0"/>
    <w:multiLevelType w:val="singleLevel"/>
    <w:tmpl w:val="59DAE5C0"/>
    <w:lvl w:ilvl="0" w:tentative="0">
      <w:start w:val="3"/>
      <w:numFmt w:val="chineseCounting"/>
      <w:suff w:val="nothing"/>
      <w:lvlText w:val="%1、"/>
      <w:lvlJc w:val="left"/>
    </w:lvl>
  </w:abstractNum>
  <w:abstractNum w:abstractNumId="5">
    <w:nsid w:val="59DB328A"/>
    <w:multiLevelType w:val="singleLevel"/>
    <w:tmpl w:val="59DB328A"/>
    <w:lvl w:ilvl="0" w:tentative="0">
      <w:start w:val="1"/>
      <w:numFmt w:val="decimal"/>
      <w:suff w:val="nothing"/>
      <w:lvlText w:val="（%1）"/>
      <w:lvlJc w:val="left"/>
    </w:lvl>
  </w:abstractNum>
  <w:abstractNum w:abstractNumId="6">
    <w:nsid w:val="5A5C7400"/>
    <w:multiLevelType w:val="singleLevel"/>
    <w:tmpl w:val="5A5C7400"/>
    <w:lvl w:ilvl="0" w:tentative="0">
      <w:start w:val="3"/>
      <w:numFmt w:val="chineseCounting"/>
      <w:suff w:val="nothing"/>
      <w:lvlText w:val="%1、"/>
      <w:lvlJc w:val="left"/>
    </w:lvl>
  </w:abstractNum>
  <w:abstractNum w:abstractNumId="7">
    <w:nsid w:val="78A9FAF5"/>
    <w:multiLevelType w:val="singleLevel"/>
    <w:tmpl w:val="78A9FAF5"/>
    <w:lvl w:ilvl="0" w:tentative="0">
      <w:start w:val="1"/>
      <w:numFmt w:val="decimal"/>
      <w:suff w:val="nothing"/>
      <w:lvlText w:val="%1．"/>
      <w:lvlJc w:val="left"/>
      <w:pPr>
        <w:ind w:left="0" w:firstLine="400"/>
      </w:pPr>
      <w:rPr>
        <w:rFonts w:hint="default"/>
      </w:rPr>
    </w:lvl>
  </w:abstractNum>
  <w:num w:numId="1">
    <w:abstractNumId w:val="5"/>
  </w:num>
  <w:num w:numId="2">
    <w:abstractNumId w:val="6"/>
  </w:num>
  <w:num w:numId="3">
    <w:abstractNumId w:val="4"/>
  </w:num>
  <w:num w:numId="4">
    <w:abstractNumId w:val="3"/>
  </w:num>
  <w:num w:numId="5">
    <w:abstractNumId w:val="7"/>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0"/>
  <w:drawingGridVerticalSpacing w:val="156"/>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lY2ZmNjE2ZDIyOTBlZGVkMmVjNWE0NTY2YjFiZTAifQ=="/>
  </w:docVars>
  <w:rsids>
    <w:rsidRoot w:val="00172A27"/>
    <w:rsid w:val="000012B1"/>
    <w:rsid w:val="00001640"/>
    <w:rsid w:val="00001C4E"/>
    <w:rsid w:val="000040AE"/>
    <w:rsid w:val="00005B62"/>
    <w:rsid w:val="00005CC7"/>
    <w:rsid w:val="00005CF3"/>
    <w:rsid w:val="00006917"/>
    <w:rsid w:val="000071D2"/>
    <w:rsid w:val="0001028A"/>
    <w:rsid w:val="000117D5"/>
    <w:rsid w:val="0001258D"/>
    <w:rsid w:val="0001349A"/>
    <w:rsid w:val="00014028"/>
    <w:rsid w:val="000149D9"/>
    <w:rsid w:val="00014CFA"/>
    <w:rsid w:val="00014D99"/>
    <w:rsid w:val="0001601C"/>
    <w:rsid w:val="00016F2F"/>
    <w:rsid w:val="00020B08"/>
    <w:rsid w:val="000232CF"/>
    <w:rsid w:val="0002420C"/>
    <w:rsid w:val="00024615"/>
    <w:rsid w:val="00024CF0"/>
    <w:rsid w:val="000276F9"/>
    <w:rsid w:val="00027B72"/>
    <w:rsid w:val="00027F17"/>
    <w:rsid w:val="0003009A"/>
    <w:rsid w:val="000305D6"/>
    <w:rsid w:val="00032885"/>
    <w:rsid w:val="000331A0"/>
    <w:rsid w:val="000333A2"/>
    <w:rsid w:val="000339BF"/>
    <w:rsid w:val="00034350"/>
    <w:rsid w:val="00035903"/>
    <w:rsid w:val="0003767C"/>
    <w:rsid w:val="00041C2D"/>
    <w:rsid w:val="00042191"/>
    <w:rsid w:val="0004286F"/>
    <w:rsid w:val="00042EAF"/>
    <w:rsid w:val="00043E13"/>
    <w:rsid w:val="0004535C"/>
    <w:rsid w:val="00045DFC"/>
    <w:rsid w:val="00046AC4"/>
    <w:rsid w:val="00050B4B"/>
    <w:rsid w:val="00052462"/>
    <w:rsid w:val="00052FFC"/>
    <w:rsid w:val="000547ED"/>
    <w:rsid w:val="00054DB5"/>
    <w:rsid w:val="00060DA8"/>
    <w:rsid w:val="00060F2C"/>
    <w:rsid w:val="00061DA6"/>
    <w:rsid w:val="00062AB3"/>
    <w:rsid w:val="00062E37"/>
    <w:rsid w:val="00062F3F"/>
    <w:rsid w:val="00063794"/>
    <w:rsid w:val="00065086"/>
    <w:rsid w:val="00065252"/>
    <w:rsid w:val="00066087"/>
    <w:rsid w:val="00066743"/>
    <w:rsid w:val="00066FCF"/>
    <w:rsid w:val="00067479"/>
    <w:rsid w:val="00067A0D"/>
    <w:rsid w:val="00070B20"/>
    <w:rsid w:val="00073769"/>
    <w:rsid w:val="00073AF8"/>
    <w:rsid w:val="00073F2E"/>
    <w:rsid w:val="00074D93"/>
    <w:rsid w:val="00074FB7"/>
    <w:rsid w:val="0007704B"/>
    <w:rsid w:val="00077738"/>
    <w:rsid w:val="00077D7A"/>
    <w:rsid w:val="00080969"/>
    <w:rsid w:val="000821B7"/>
    <w:rsid w:val="00082E3D"/>
    <w:rsid w:val="00083B02"/>
    <w:rsid w:val="00084F7A"/>
    <w:rsid w:val="000861FA"/>
    <w:rsid w:val="00096B14"/>
    <w:rsid w:val="000A0175"/>
    <w:rsid w:val="000A02B8"/>
    <w:rsid w:val="000A02D9"/>
    <w:rsid w:val="000A0FC6"/>
    <w:rsid w:val="000A17DD"/>
    <w:rsid w:val="000A1AB3"/>
    <w:rsid w:val="000A1CFD"/>
    <w:rsid w:val="000A1D32"/>
    <w:rsid w:val="000A1E47"/>
    <w:rsid w:val="000A2BF8"/>
    <w:rsid w:val="000A2C35"/>
    <w:rsid w:val="000A3776"/>
    <w:rsid w:val="000A3834"/>
    <w:rsid w:val="000A3AE9"/>
    <w:rsid w:val="000A42F2"/>
    <w:rsid w:val="000A4FC3"/>
    <w:rsid w:val="000A4FDB"/>
    <w:rsid w:val="000A5010"/>
    <w:rsid w:val="000A5295"/>
    <w:rsid w:val="000A54ED"/>
    <w:rsid w:val="000A55A9"/>
    <w:rsid w:val="000A60E8"/>
    <w:rsid w:val="000A7790"/>
    <w:rsid w:val="000B1833"/>
    <w:rsid w:val="000B7715"/>
    <w:rsid w:val="000C012C"/>
    <w:rsid w:val="000C0778"/>
    <w:rsid w:val="000C3E23"/>
    <w:rsid w:val="000C5A6E"/>
    <w:rsid w:val="000C5CFE"/>
    <w:rsid w:val="000C6199"/>
    <w:rsid w:val="000C653E"/>
    <w:rsid w:val="000D0843"/>
    <w:rsid w:val="000D1F13"/>
    <w:rsid w:val="000D36D1"/>
    <w:rsid w:val="000D3D0C"/>
    <w:rsid w:val="000D3E0B"/>
    <w:rsid w:val="000D44BC"/>
    <w:rsid w:val="000D4545"/>
    <w:rsid w:val="000D4F46"/>
    <w:rsid w:val="000D62F4"/>
    <w:rsid w:val="000D67BF"/>
    <w:rsid w:val="000D6E60"/>
    <w:rsid w:val="000D6E79"/>
    <w:rsid w:val="000D7662"/>
    <w:rsid w:val="000D7D47"/>
    <w:rsid w:val="000D7DF0"/>
    <w:rsid w:val="000E014A"/>
    <w:rsid w:val="000E1FCC"/>
    <w:rsid w:val="000E3972"/>
    <w:rsid w:val="000E417B"/>
    <w:rsid w:val="000E5887"/>
    <w:rsid w:val="000E5F3B"/>
    <w:rsid w:val="000E5F73"/>
    <w:rsid w:val="000E6C27"/>
    <w:rsid w:val="000E7059"/>
    <w:rsid w:val="000E737B"/>
    <w:rsid w:val="000F0359"/>
    <w:rsid w:val="000F0426"/>
    <w:rsid w:val="000F3750"/>
    <w:rsid w:val="000F42D8"/>
    <w:rsid w:val="000F6533"/>
    <w:rsid w:val="000F7751"/>
    <w:rsid w:val="00100391"/>
    <w:rsid w:val="00100E3F"/>
    <w:rsid w:val="00102305"/>
    <w:rsid w:val="001024DF"/>
    <w:rsid w:val="001038AF"/>
    <w:rsid w:val="0010571C"/>
    <w:rsid w:val="00105B6A"/>
    <w:rsid w:val="00105F99"/>
    <w:rsid w:val="00106181"/>
    <w:rsid w:val="00106652"/>
    <w:rsid w:val="00110390"/>
    <w:rsid w:val="0011090E"/>
    <w:rsid w:val="0011283C"/>
    <w:rsid w:val="00112878"/>
    <w:rsid w:val="00113134"/>
    <w:rsid w:val="00113A0B"/>
    <w:rsid w:val="00113A40"/>
    <w:rsid w:val="00113A87"/>
    <w:rsid w:val="0011501B"/>
    <w:rsid w:val="001152C1"/>
    <w:rsid w:val="00116040"/>
    <w:rsid w:val="0011616C"/>
    <w:rsid w:val="00116541"/>
    <w:rsid w:val="00116BB0"/>
    <w:rsid w:val="00116DF7"/>
    <w:rsid w:val="0011747C"/>
    <w:rsid w:val="00117CA8"/>
    <w:rsid w:val="001207E8"/>
    <w:rsid w:val="00121599"/>
    <w:rsid w:val="0012199F"/>
    <w:rsid w:val="00122595"/>
    <w:rsid w:val="0012284C"/>
    <w:rsid w:val="0012397C"/>
    <w:rsid w:val="001265A5"/>
    <w:rsid w:val="00126791"/>
    <w:rsid w:val="0012686C"/>
    <w:rsid w:val="00126D8B"/>
    <w:rsid w:val="00131286"/>
    <w:rsid w:val="001312A4"/>
    <w:rsid w:val="0013132D"/>
    <w:rsid w:val="0013214D"/>
    <w:rsid w:val="0013224B"/>
    <w:rsid w:val="00132893"/>
    <w:rsid w:val="00134ABB"/>
    <w:rsid w:val="00135576"/>
    <w:rsid w:val="00136051"/>
    <w:rsid w:val="001372FF"/>
    <w:rsid w:val="00137568"/>
    <w:rsid w:val="0013759A"/>
    <w:rsid w:val="001401CF"/>
    <w:rsid w:val="001407D4"/>
    <w:rsid w:val="001414EC"/>
    <w:rsid w:val="00141D63"/>
    <w:rsid w:val="0014220F"/>
    <w:rsid w:val="00142C85"/>
    <w:rsid w:val="00143814"/>
    <w:rsid w:val="00143B97"/>
    <w:rsid w:val="001459DD"/>
    <w:rsid w:val="00146385"/>
    <w:rsid w:val="00146DDE"/>
    <w:rsid w:val="00147D7A"/>
    <w:rsid w:val="00151B95"/>
    <w:rsid w:val="001523B4"/>
    <w:rsid w:val="001530BB"/>
    <w:rsid w:val="00153CF2"/>
    <w:rsid w:val="0015424B"/>
    <w:rsid w:val="00156820"/>
    <w:rsid w:val="001608E7"/>
    <w:rsid w:val="001610E3"/>
    <w:rsid w:val="00165CA7"/>
    <w:rsid w:val="00166CF3"/>
    <w:rsid w:val="001674B4"/>
    <w:rsid w:val="00167F05"/>
    <w:rsid w:val="00170920"/>
    <w:rsid w:val="001725C8"/>
    <w:rsid w:val="00172A27"/>
    <w:rsid w:val="00175DCF"/>
    <w:rsid w:val="00177517"/>
    <w:rsid w:val="00177C82"/>
    <w:rsid w:val="001800F3"/>
    <w:rsid w:val="00181473"/>
    <w:rsid w:val="00183411"/>
    <w:rsid w:val="001862BD"/>
    <w:rsid w:val="00187A7B"/>
    <w:rsid w:val="00192A88"/>
    <w:rsid w:val="00192F1E"/>
    <w:rsid w:val="001960EB"/>
    <w:rsid w:val="00196284"/>
    <w:rsid w:val="00197608"/>
    <w:rsid w:val="001A144F"/>
    <w:rsid w:val="001A14B3"/>
    <w:rsid w:val="001A2306"/>
    <w:rsid w:val="001A316F"/>
    <w:rsid w:val="001A676B"/>
    <w:rsid w:val="001A7676"/>
    <w:rsid w:val="001A77A3"/>
    <w:rsid w:val="001A7BD3"/>
    <w:rsid w:val="001B0025"/>
    <w:rsid w:val="001B2DAA"/>
    <w:rsid w:val="001B2E05"/>
    <w:rsid w:val="001B3295"/>
    <w:rsid w:val="001B6217"/>
    <w:rsid w:val="001B6E7E"/>
    <w:rsid w:val="001B7034"/>
    <w:rsid w:val="001B7D8B"/>
    <w:rsid w:val="001C1198"/>
    <w:rsid w:val="001C1B80"/>
    <w:rsid w:val="001C306B"/>
    <w:rsid w:val="001C41B1"/>
    <w:rsid w:val="001C43A5"/>
    <w:rsid w:val="001C5875"/>
    <w:rsid w:val="001C6228"/>
    <w:rsid w:val="001C63AC"/>
    <w:rsid w:val="001C7024"/>
    <w:rsid w:val="001D1E51"/>
    <w:rsid w:val="001D1F83"/>
    <w:rsid w:val="001D220B"/>
    <w:rsid w:val="001D3BD3"/>
    <w:rsid w:val="001D5ACD"/>
    <w:rsid w:val="001D7480"/>
    <w:rsid w:val="001D7551"/>
    <w:rsid w:val="001E07BE"/>
    <w:rsid w:val="001E2AF7"/>
    <w:rsid w:val="001E318E"/>
    <w:rsid w:val="001E41CA"/>
    <w:rsid w:val="001E6311"/>
    <w:rsid w:val="001E6711"/>
    <w:rsid w:val="001E6E4C"/>
    <w:rsid w:val="001E76C2"/>
    <w:rsid w:val="001E7A28"/>
    <w:rsid w:val="001F0304"/>
    <w:rsid w:val="001F0B23"/>
    <w:rsid w:val="001F1384"/>
    <w:rsid w:val="001F4DCB"/>
    <w:rsid w:val="001F5424"/>
    <w:rsid w:val="001F5519"/>
    <w:rsid w:val="001F5A91"/>
    <w:rsid w:val="001F67DC"/>
    <w:rsid w:val="001F6B2D"/>
    <w:rsid w:val="001F6B99"/>
    <w:rsid w:val="001F7B84"/>
    <w:rsid w:val="001F7F4C"/>
    <w:rsid w:val="00200081"/>
    <w:rsid w:val="0020191B"/>
    <w:rsid w:val="00201FA7"/>
    <w:rsid w:val="00203179"/>
    <w:rsid w:val="00205045"/>
    <w:rsid w:val="00205782"/>
    <w:rsid w:val="00205D6E"/>
    <w:rsid w:val="00205EEC"/>
    <w:rsid w:val="00206021"/>
    <w:rsid w:val="002061C6"/>
    <w:rsid w:val="00207001"/>
    <w:rsid w:val="00207F2A"/>
    <w:rsid w:val="00210AF1"/>
    <w:rsid w:val="00212799"/>
    <w:rsid w:val="00212A1F"/>
    <w:rsid w:val="00217182"/>
    <w:rsid w:val="00221FEB"/>
    <w:rsid w:val="00222018"/>
    <w:rsid w:val="00222586"/>
    <w:rsid w:val="0022275E"/>
    <w:rsid w:val="00222E05"/>
    <w:rsid w:val="0022317D"/>
    <w:rsid w:val="00223436"/>
    <w:rsid w:val="00223448"/>
    <w:rsid w:val="0022368C"/>
    <w:rsid w:val="00223B36"/>
    <w:rsid w:val="00223C57"/>
    <w:rsid w:val="002249B4"/>
    <w:rsid w:val="0022560A"/>
    <w:rsid w:val="0022594C"/>
    <w:rsid w:val="00226553"/>
    <w:rsid w:val="00226E39"/>
    <w:rsid w:val="0022742B"/>
    <w:rsid w:val="0022787C"/>
    <w:rsid w:val="00233501"/>
    <w:rsid w:val="00234C25"/>
    <w:rsid w:val="00234D67"/>
    <w:rsid w:val="00235DF7"/>
    <w:rsid w:val="002468F4"/>
    <w:rsid w:val="00250064"/>
    <w:rsid w:val="002502F0"/>
    <w:rsid w:val="00252949"/>
    <w:rsid w:val="00253070"/>
    <w:rsid w:val="0025361D"/>
    <w:rsid w:val="00254F9E"/>
    <w:rsid w:val="00255852"/>
    <w:rsid w:val="002601AF"/>
    <w:rsid w:val="00260598"/>
    <w:rsid w:val="0026083C"/>
    <w:rsid w:val="002608C4"/>
    <w:rsid w:val="00262009"/>
    <w:rsid w:val="0026741A"/>
    <w:rsid w:val="00267626"/>
    <w:rsid w:val="00271D8F"/>
    <w:rsid w:val="00274188"/>
    <w:rsid w:val="00275DFB"/>
    <w:rsid w:val="00276CFE"/>
    <w:rsid w:val="00276DE6"/>
    <w:rsid w:val="002773DC"/>
    <w:rsid w:val="00277B53"/>
    <w:rsid w:val="00277F3C"/>
    <w:rsid w:val="002805D6"/>
    <w:rsid w:val="00281F3F"/>
    <w:rsid w:val="00283945"/>
    <w:rsid w:val="0028485C"/>
    <w:rsid w:val="00287D31"/>
    <w:rsid w:val="002908E2"/>
    <w:rsid w:val="0029239A"/>
    <w:rsid w:val="00296B1B"/>
    <w:rsid w:val="0029723F"/>
    <w:rsid w:val="002A026E"/>
    <w:rsid w:val="002A196F"/>
    <w:rsid w:val="002A1E11"/>
    <w:rsid w:val="002A48CA"/>
    <w:rsid w:val="002A4DC3"/>
    <w:rsid w:val="002A4EA8"/>
    <w:rsid w:val="002A565D"/>
    <w:rsid w:val="002A6459"/>
    <w:rsid w:val="002B093B"/>
    <w:rsid w:val="002B0FA8"/>
    <w:rsid w:val="002B1286"/>
    <w:rsid w:val="002B1948"/>
    <w:rsid w:val="002B2BFB"/>
    <w:rsid w:val="002B3DC4"/>
    <w:rsid w:val="002B50DB"/>
    <w:rsid w:val="002B52F5"/>
    <w:rsid w:val="002B6E07"/>
    <w:rsid w:val="002B7A04"/>
    <w:rsid w:val="002C01DD"/>
    <w:rsid w:val="002C0F0B"/>
    <w:rsid w:val="002C1967"/>
    <w:rsid w:val="002C2080"/>
    <w:rsid w:val="002C331E"/>
    <w:rsid w:val="002C4563"/>
    <w:rsid w:val="002C4B65"/>
    <w:rsid w:val="002C5D14"/>
    <w:rsid w:val="002C64F6"/>
    <w:rsid w:val="002C6995"/>
    <w:rsid w:val="002D0AE6"/>
    <w:rsid w:val="002D1142"/>
    <w:rsid w:val="002D189C"/>
    <w:rsid w:val="002D197D"/>
    <w:rsid w:val="002D3C11"/>
    <w:rsid w:val="002D4496"/>
    <w:rsid w:val="002E184F"/>
    <w:rsid w:val="002E2334"/>
    <w:rsid w:val="002E326A"/>
    <w:rsid w:val="002E35F2"/>
    <w:rsid w:val="002E5CA7"/>
    <w:rsid w:val="002E6422"/>
    <w:rsid w:val="002E6A2B"/>
    <w:rsid w:val="002E6DE3"/>
    <w:rsid w:val="002F093C"/>
    <w:rsid w:val="002F1CBA"/>
    <w:rsid w:val="002F41AB"/>
    <w:rsid w:val="002F44D2"/>
    <w:rsid w:val="002F74BC"/>
    <w:rsid w:val="002F7838"/>
    <w:rsid w:val="002F7FBA"/>
    <w:rsid w:val="00300606"/>
    <w:rsid w:val="003018EA"/>
    <w:rsid w:val="00301C5C"/>
    <w:rsid w:val="00303725"/>
    <w:rsid w:val="0030434A"/>
    <w:rsid w:val="00305A97"/>
    <w:rsid w:val="00306549"/>
    <w:rsid w:val="00307C66"/>
    <w:rsid w:val="00310BDA"/>
    <w:rsid w:val="0031140E"/>
    <w:rsid w:val="00311487"/>
    <w:rsid w:val="00311556"/>
    <w:rsid w:val="00311E58"/>
    <w:rsid w:val="0031386B"/>
    <w:rsid w:val="00314592"/>
    <w:rsid w:val="00314F8D"/>
    <w:rsid w:val="0031575F"/>
    <w:rsid w:val="0031629F"/>
    <w:rsid w:val="00317DB5"/>
    <w:rsid w:val="00317E5E"/>
    <w:rsid w:val="003229EB"/>
    <w:rsid w:val="00323017"/>
    <w:rsid w:val="003247C9"/>
    <w:rsid w:val="00324C6D"/>
    <w:rsid w:val="00325876"/>
    <w:rsid w:val="0032667E"/>
    <w:rsid w:val="0032684A"/>
    <w:rsid w:val="00327A32"/>
    <w:rsid w:val="003303AB"/>
    <w:rsid w:val="00331459"/>
    <w:rsid w:val="00332B8C"/>
    <w:rsid w:val="00334203"/>
    <w:rsid w:val="0033487E"/>
    <w:rsid w:val="00335838"/>
    <w:rsid w:val="003369F3"/>
    <w:rsid w:val="003373B0"/>
    <w:rsid w:val="00337D90"/>
    <w:rsid w:val="003405FA"/>
    <w:rsid w:val="0034185E"/>
    <w:rsid w:val="00343A1C"/>
    <w:rsid w:val="003445A0"/>
    <w:rsid w:val="00344F0D"/>
    <w:rsid w:val="00347966"/>
    <w:rsid w:val="00347A42"/>
    <w:rsid w:val="003503D5"/>
    <w:rsid w:val="00351270"/>
    <w:rsid w:val="003521D1"/>
    <w:rsid w:val="003525CB"/>
    <w:rsid w:val="003534BC"/>
    <w:rsid w:val="003562B4"/>
    <w:rsid w:val="00356AF2"/>
    <w:rsid w:val="0036060A"/>
    <w:rsid w:val="0036320E"/>
    <w:rsid w:val="00363973"/>
    <w:rsid w:val="00363A9E"/>
    <w:rsid w:val="00365A6B"/>
    <w:rsid w:val="00365D83"/>
    <w:rsid w:val="00366098"/>
    <w:rsid w:val="00366AF0"/>
    <w:rsid w:val="00366C3B"/>
    <w:rsid w:val="00367E04"/>
    <w:rsid w:val="003716B0"/>
    <w:rsid w:val="00372CCD"/>
    <w:rsid w:val="00373124"/>
    <w:rsid w:val="00373835"/>
    <w:rsid w:val="003743A9"/>
    <w:rsid w:val="00375A47"/>
    <w:rsid w:val="00375C16"/>
    <w:rsid w:val="00376842"/>
    <w:rsid w:val="00377384"/>
    <w:rsid w:val="00380C32"/>
    <w:rsid w:val="00380EB2"/>
    <w:rsid w:val="0038117A"/>
    <w:rsid w:val="00381EFB"/>
    <w:rsid w:val="003832D2"/>
    <w:rsid w:val="0038345A"/>
    <w:rsid w:val="003856DD"/>
    <w:rsid w:val="00386087"/>
    <w:rsid w:val="0038617C"/>
    <w:rsid w:val="00386A39"/>
    <w:rsid w:val="00386DA5"/>
    <w:rsid w:val="00386E84"/>
    <w:rsid w:val="003872A9"/>
    <w:rsid w:val="00387593"/>
    <w:rsid w:val="0038777E"/>
    <w:rsid w:val="00387B7F"/>
    <w:rsid w:val="00393743"/>
    <w:rsid w:val="00393922"/>
    <w:rsid w:val="00393AB8"/>
    <w:rsid w:val="00394A8A"/>
    <w:rsid w:val="00395DE3"/>
    <w:rsid w:val="0039701B"/>
    <w:rsid w:val="003A0242"/>
    <w:rsid w:val="003A18AF"/>
    <w:rsid w:val="003A210F"/>
    <w:rsid w:val="003A3C66"/>
    <w:rsid w:val="003A3E46"/>
    <w:rsid w:val="003A44AE"/>
    <w:rsid w:val="003A4B02"/>
    <w:rsid w:val="003A5105"/>
    <w:rsid w:val="003A7262"/>
    <w:rsid w:val="003A7758"/>
    <w:rsid w:val="003B2022"/>
    <w:rsid w:val="003B2934"/>
    <w:rsid w:val="003B33C3"/>
    <w:rsid w:val="003B3441"/>
    <w:rsid w:val="003B34B0"/>
    <w:rsid w:val="003B3997"/>
    <w:rsid w:val="003B5AEF"/>
    <w:rsid w:val="003B6267"/>
    <w:rsid w:val="003B6ECD"/>
    <w:rsid w:val="003B7F10"/>
    <w:rsid w:val="003C12AD"/>
    <w:rsid w:val="003C14AD"/>
    <w:rsid w:val="003C1ECE"/>
    <w:rsid w:val="003C238B"/>
    <w:rsid w:val="003C25CC"/>
    <w:rsid w:val="003C2813"/>
    <w:rsid w:val="003C435B"/>
    <w:rsid w:val="003C440C"/>
    <w:rsid w:val="003C615C"/>
    <w:rsid w:val="003C7527"/>
    <w:rsid w:val="003C7AD3"/>
    <w:rsid w:val="003D10E5"/>
    <w:rsid w:val="003D1E94"/>
    <w:rsid w:val="003D3952"/>
    <w:rsid w:val="003D4426"/>
    <w:rsid w:val="003D507B"/>
    <w:rsid w:val="003D50F7"/>
    <w:rsid w:val="003E1C7A"/>
    <w:rsid w:val="003E28A9"/>
    <w:rsid w:val="003E2F63"/>
    <w:rsid w:val="003E3CCA"/>
    <w:rsid w:val="003E4936"/>
    <w:rsid w:val="003F0362"/>
    <w:rsid w:val="003F04E6"/>
    <w:rsid w:val="003F2A69"/>
    <w:rsid w:val="003F3167"/>
    <w:rsid w:val="003F5020"/>
    <w:rsid w:val="003F62B1"/>
    <w:rsid w:val="003F6CB8"/>
    <w:rsid w:val="004005F8"/>
    <w:rsid w:val="00405534"/>
    <w:rsid w:val="00405679"/>
    <w:rsid w:val="00405E94"/>
    <w:rsid w:val="0040670D"/>
    <w:rsid w:val="004105DE"/>
    <w:rsid w:val="00410C5E"/>
    <w:rsid w:val="00411C83"/>
    <w:rsid w:val="004133EE"/>
    <w:rsid w:val="00414A26"/>
    <w:rsid w:val="004159B8"/>
    <w:rsid w:val="00415DDA"/>
    <w:rsid w:val="00416A3F"/>
    <w:rsid w:val="0041793B"/>
    <w:rsid w:val="00417E90"/>
    <w:rsid w:val="004214F5"/>
    <w:rsid w:val="0042290E"/>
    <w:rsid w:val="00423A9E"/>
    <w:rsid w:val="00424C52"/>
    <w:rsid w:val="00425BE7"/>
    <w:rsid w:val="00426734"/>
    <w:rsid w:val="0043075D"/>
    <w:rsid w:val="00430E0B"/>
    <w:rsid w:val="00432E53"/>
    <w:rsid w:val="00433281"/>
    <w:rsid w:val="00434064"/>
    <w:rsid w:val="00434479"/>
    <w:rsid w:val="00436070"/>
    <w:rsid w:val="00436BA8"/>
    <w:rsid w:val="004370C9"/>
    <w:rsid w:val="00440705"/>
    <w:rsid w:val="004417F1"/>
    <w:rsid w:val="00441A9B"/>
    <w:rsid w:val="00441BF3"/>
    <w:rsid w:val="00441E04"/>
    <w:rsid w:val="00441EF0"/>
    <w:rsid w:val="00442950"/>
    <w:rsid w:val="004430CE"/>
    <w:rsid w:val="00443796"/>
    <w:rsid w:val="0044417D"/>
    <w:rsid w:val="004453A8"/>
    <w:rsid w:val="004454F7"/>
    <w:rsid w:val="00445E94"/>
    <w:rsid w:val="0044711E"/>
    <w:rsid w:val="00450051"/>
    <w:rsid w:val="0045243B"/>
    <w:rsid w:val="004525CD"/>
    <w:rsid w:val="00453163"/>
    <w:rsid w:val="00453313"/>
    <w:rsid w:val="0045354F"/>
    <w:rsid w:val="00454A07"/>
    <w:rsid w:val="00455E64"/>
    <w:rsid w:val="00456FB9"/>
    <w:rsid w:val="00457B28"/>
    <w:rsid w:val="00457F07"/>
    <w:rsid w:val="004607DD"/>
    <w:rsid w:val="00460E6E"/>
    <w:rsid w:val="004623DA"/>
    <w:rsid w:val="00462B6D"/>
    <w:rsid w:val="00463011"/>
    <w:rsid w:val="004630C8"/>
    <w:rsid w:val="00463234"/>
    <w:rsid w:val="004637BA"/>
    <w:rsid w:val="00464D1D"/>
    <w:rsid w:val="00465B07"/>
    <w:rsid w:val="004671BD"/>
    <w:rsid w:val="004675D5"/>
    <w:rsid w:val="0046789F"/>
    <w:rsid w:val="00467AB4"/>
    <w:rsid w:val="00470A0C"/>
    <w:rsid w:val="004714EF"/>
    <w:rsid w:val="00471853"/>
    <w:rsid w:val="00471A44"/>
    <w:rsid w:val="00471EE3"/>
    <w:rsid w:val="00472319"/>
    <w:rsid w:val="00472326"/>
    <w:rsid w:val="00472FA4"/>
    <w:rsid w:val="00473B63"/>
    <w:rsid w:val="00473D0C"/>
    <w:rsid w:val="004747B0"/>
    <w:rsid w:val="0047625B"/>
    <w:rsid w:val="004766DD"/>
    <w:rsid w:val="00480D04"/>
    <w:rsid w:val="0048230C"/>
    <w:rsid w:val="004851EA"/>
    <w:rsid w:val="00485BFB"/>
    <w:rsid w:val="00487417"/>
    <w:rsid w:val="00487583"/>
    <w:rsid w:val="0049013E"/>
    <w:rsid w:val="004915E1"/>
    <w:rsid w:val="00491FBB"/>
    <w:rsid w:val="00492CE1"/>
    <w:rsid w:val="00493ACF"/>
    <w:rsid w:val="00494B6B"/>
    <w:rsid w:val="00495435"/>
    <w:rsid w:val="00495785"/>
    <w:rsid w:val="004963E1"/>
    <w:rsid w:val="00497E5C"/>
    <w:rsid w:val="004A0577"/>
    <w:rsid w:val="004A1B63"/>
    <w:rsid w:val="004A2E65"/>
    <w:rsid w:val="004A3080"/>
    <w:rsid w:val="004A4872"/>
    <w:rsid w:val="004A4BF2"/>
    <w:rsid w:val="004A5239"/>
    <w:rsid w:val="004A5DCA"/>
    <w:rsid w:val="004A6956"/>
    <w:rsid w:val="004B09C0"/>
    <w:rsid w:val="004B21EF"/>
    <w:rsid w:val="004B3A76"/>
    <w:rsid w:val="004B44CB"/>
    <w:rsid w:val="004B703E"/>
    <w:rsid w:val="004C04C2"/>
    <w:rsid w:val="004C0BB8"/>
    <w:rsid w:val="004C2B64"/>
    <w:rsid w:val="004C2C1E"/>
    <w:rsid w:val="004C53BC"/>
    <w:rsid w:val="004C54D0"/>
    <w:rsid w:val="004C6338"/>
    <w:rsid w:val="004C6544"/>
    <w:rsid w:val="004C68A4"/>
    <w:rsid w:val="004D182F"/>
    <w:rsid w:val="004D1F30"/>
    <w:rsid w:val="004D21D7"/>
    <w:rsid w:val="004D28CC"/>
    <w:rsid w:val="004D2B27"/>
    <w:rsid w:val="004D2CCA"/>
    <w:rsid w:val="004D38E9"/>
    <w:rsid w:val="004D3A0F"/>
    <w:rsid w:val="004D41B7"/>
    <w:rsid w:val="004D4FE5"/>
    <w:rsid w:val="004D53FF"/>
    <w:rsid w:val="004D5DB0"/>
    <w:rsid w:val="004D67F7"/>
    <w:rsid w:val="004D6E63"/>
    <w:rsid w:val="004D7739"/>
    <w:rsid w:val="004D7E70"/>
    <w:rsid w:val="004E2180"/>
    <w:rsid w:val="004E22A6"/>
    <w:rsid w:val="004E4D95"/>
    <w:rsid w:val="004E5651"/>
    <w:rsid w:val="004E6FAD"/>
    <w:rsid w:val="004F16E7"/>
    <w:rsid w:val="004F4427"/>
    <w:rsid w:val="004F4866"/>
    <w:rsid w:val="004F4F69"/>
    <w:rsid w:val="004F5392"/>
    <w:rsid w:val="004F754A"/>
    <w:rsid w:val="004F7809"/>
    <w:rsid w:val="004F7B22"/>
    <w:rsid w:val="00500386"/>
    <w:rsid w:val="005014A9"/>
    <w:rsid w:val="00501569"/>
    <w:rsid w:val="00501DBF"/>
    <w:rsid w:val="005026C5"/>
    <w:rsid w:val="005031A6"/>
    <w:rsid w:val="0050386D"/>
    <w:rsid w:val="00504BBE"/>
    <w:rsid w:val="0050557A"/>
    <w:rsid w:val="00505EE3"/>
    <w:rsid w:val="00506F7C"/>
    <w:rsid w:val="0050700D"/>
    <w:rsid w:val="005115D5"/>
    <w:rsid w:val="00512DDD"/>
    <w:rsid w:val="00513815"/>
    <w:rsid w:val="005150FE"/>
    <w:rsid w:val="00515ABA"/>
    <w:rsid w:val="00515C11"/>
    <w:rsid w:val="00516642"/>
    <w:rsid w:val="00516A2F"/>
    <w:rsid w:val="00516E65"/>
    <w:rsid w:val="00521390"/>
    <w:rsid w:val="005214C0"/>
    <w:rsid w:val="00522E72"/>
    <w:rsid w:val="005239C6"/>
    <w:rsid w:val="00523AA9"/>
    <w:rsid w:val="00525BD5"/>
    <w:rsid w:val="00526A0A"/>
    <w:rsid w:val="00527E42"/>
    <w:rsid w:val="005301AC"/>
    <w:rsid w:val="005307A1"/>
    <w:rsid w:val="0053388A"/>
    <w:rsid w:val="0053436F"/>
    <w:rsid w:val="00535FEB"/>
    <w:rsid w:val="0053746F"/>
    <w:rsid w:val="00537E2F"/>
    <w:rsid w:val="00537F4B"/>
    <w:rsid w:val="0054591B"/>
    <w:rsid w:val="00545D66"/>
    <w:rsid w:val="00545ED4"/>
    <w:rsid w:val="00545F61"/>
    <w:rsid w:val="00546DD7"/>
    <w:rsid w:val="005505F7"/>
    <w:rsid w:val="00553A98"/>
    <w:rsid w:val="00553F47"/>
    <w:rsid w:val="0056129F"/>
    <w:rsid w:val="00562740"/>
    <w:rsid w:val="00563DEC"/>
    <w:rsid w:val="005640F7"/>
    <w:rsid w:val="00571F13"/>
    <w:rsid w:val="00572555"/>
    <w:rsid w:val="00572CE6"/>
    <w:rsid w:val="005735E3"/>
    <w:rsid w:val="00575B48"/>
    <w:rsid w:val="005769C9"/>
    <w:rsid w:val="00576DA2"/>
    <w:rsid w:val="005777EF"/>
    <w:rsid w:val="0058130E"/>
    <w:rsid w:val="0058171E"/>
    <w:rsid w:val="00581911"/>
    <w:rsid w:val="0058524A"/>
    <w:rsid w:val="00585EED"/>
    <w:rsid w:val="0058626E"/>
    <w:rsid w:val="0058645F"/>
    <w:rsid w:val="005867C5"/>
    <w:rsid w:val="005908A6"/>
    <w:rsid w:val="00590E01"/>
    <w:rsid w:val="00591846"/>
    <w:rsid w:val="00592FC4"/>
    <w:rsid w:val="00595BFB"/>
    <w:rsid w:val="0059681F"/>
    <w:rsid w:val="00596AEC"/>
    <w:rsid w:val="00596AFB"/>
    <w:rsid w:val="00596BAD"/>
    <w:rsid w:val="005A205C"/>
    <w:rsid w:val="005A28A6"/>
    <w:rsid w:val="005A34D0"/>
    <w:rsid w:val="005A6559"/>
    <w:rsid w:val="005A6EFF"/>
    <w:rsid w:val="005A781D"/>
    <w:rsid w:val="005B1632"/>
    <w:rsid w:val="005B249B"/>
    <w:rsid w:val="005B268B"/>
    <w:rsid w:val="005B27C6"/>
    <w:rsid w:val="005B370C"/>
    <w:rsid w:val="005B3F1D"/>
    <w:rsid w:val="005B5B52"/>
    <w:rsid w:val="005C13AE"/>
    <w:rsid w:val="005C34B2"/>
    <w:rsid w:val="005C3849"/>
    <w:rsid w:val="005C501C"/>
    <w:rsid w:val="005C50A5"/>
    <w:rsid w:val="005C5FA0"/>
    <w:rsid w:val="005C6419"/>
    <w:rsid w:val="005C6BAF"/>
    <w:rsid w:val="005C6EAF"/>
    <w:rsid w:val="005D00A5"/>
    <w:rsid w:val="005D0A83"/>
    <w:rsid w:val="005D128D"/>
    <w:rsid w:val="005D2797"/>
    <w:rsid w:val="005D342C"/>
    <w:rsid w:val="005D6539"/>
    <w:rsid w:val="005D6CF2"/>
    <w:rsid w:val="005D7FE5"/>
    <w:rsid w:val="005E0EF3"/>
    <w:rsid w:val="005E0F8C"/>
    <w:rsid w:val="005E2583"/>
    <w:rsid w:val="005E2B48"/>
    <w:rsid w:val="005E2F70"/>
    <w:rsid w:val="005E547B"/>
    <w:rsid w:val="005E562D"/>
    <w:rsid w:val="005E6B05"/>
    <w:rsid w:val="005F0330"/>
    <w:rsid w:val="005F1273"/>
    <w:rsid w:val="005F13C7"/>
    <w:rsid w:val="005F1769"/>
    <w:rsid w:val="005F24D5"/>
    <w:rsid w:val="005F4798"/>
    <w:rsid w:val="005F7FD6"/>
    <w:rsid w:val="006005DE"/>
    <w:rsid w:val="00601695"/>
    <w:rsid w:val="006025A1"/>
    <w:rsid w:val="00602D2E"/>
    <w:rsid w:val="00603C9E"/>
    <w:rsid w:val="00604A9B"/>
    <w:rsid w:val="00604B2B"/>
    <w:rsid w:val="00605534"/>
    <w:rsid w:val="00605ADD"/>
    <w:rsid w:val="00607027"/>
    <w:rsid w:val="00607A50"/>
    <w:rsid w:val="0061021E"/>
    <w:rsid w:val="00610261"/>
    <w:rsid w:val="00610404"/>
    <w:rsid w:val="006105F3"/>
    <w:rsid w:val="0061070F"/>
    <w:rsid w:val="00611800"/>
    <w:rsid w:val="00611AB8"/>
    <w:rsid w:val="00615E0B"/>
    <w:rsid w:val="00616CDF"/>
    <w:rsid w:val="006178CA"/>
    <w:rsid w:val="00621244"/>
    <w:rsid w:val="00621DD0"/>
    <w:rsid w:val="00622CA4"/>
    <w:rsid w:val="00623645"/>
    <w:rsid w:val="00624F78"/>
    <w:rsid w:val="0062546E"/>
    <w:rsid w:val="00627001"/>
    <w:rsid w:val="00632A90"/>
    <w:rsid w:val="00634A54"/>
    <w:rsid w:val="00634C11"/>
    <w:rsid w:val="006376E4"/>
    <w:rsid w:val="00640518"/>
    <w:rsid w:val="00640855"/>
    <w:rsid w:val="00641AC5"/>
    <w:rsid w:val="00641FDA"/>
    <w:rsid w:val="00644552"/>
    <w:rsid w:val="00645777"/>
    <w:rsid w:val="00646A71"/>
    <w:rsid w:val="00646AC0"/>
    <w:rsid w:val="00646DFE"/>
    <w:rsid w:val="00647A8A"/>
    <w:rsid w:val="00647C3F"/>
    <w:rsid w:val="00651A22"/>
    <w:rsid w:val="00652058"/>
    <w:rsid w:val="00652DC0"/>
    <w:rsid w:val="00653AFF"/>
    <w:rsid w:val="00654919"/>
    <w:rsid w:val="006556C2"/>
    <w:rsid w:val="00655AC8"/>
    <w:rsid w:val="00655F04"/>
    <w:rsid w:val="00657B9F"/>
    <w:rsid w:val="00660013"/>
    <w:rsid w:val="0066166B"/>
    <w:rsid w:val="00663EAC"/>
    <w:rsid w:val="00663F7A"/>
    <w:rsid w:val="00665332"/>
    <w:rsid w:val="006663B2"/>
    <w:rsid w:val="00666DC3"/>
    <w:rsid w:val="00667B0F"/>
    <w:rsid w:val="00670258"/>
    <w:rsid w:val="00670941"/>
    <w:rsid w:val="00671189"/>
    <w:rsid w:val="0067180F"/>
    <w:rsid w:val="006726DB"/>
    <w:rsid w:val="00673614"/>
    <w:rsid w:val="0067542D"/>
    <w:rsid w:val="00675492"/>
    <w:rsid w:val="00675DDA"/>
    <w:rsid w:val="00675FDD"/>
    <w:rsid w:val="00676912"/>
    <w:rsid w:val="00677CE6"/>
    <w:rsid w:val="006804CF"/>
    <w:rsid w:val="0068119E"/>
    <w:rsid w:val="00681B10"/>
    <w:rsid w:val="00682019"/>
    <w:rsid w:val="00682111"/>
    <w:rsid w:val="00682F38"/>
    <w:rsid w:val="00683B64"/>
    <w:rsid w:val="00684705"/>
    <w:rsid w:val="0068481A"/>
    <w:rsid w:val="00686B9D"/>
    <w:rsid w:val="0069036E"/>
    <w:rsid w:val="00690A92"/>
    <w:rsid w:val="0069269D"/>
    <w:rsid w:val="00693288"/>
    <w:rsid w:val="006932B3"/>
    <w:rsid w:val="006935F3"/>
    <w:rsid w:val="0069544B"/>
    <w:rsid w:val="00695A0C"/>
    <w:rsid w:val="00695E2A"/>
    <w:rsid w:val="006965ED"/>
    <w:rsid w:val="00696A50"/>
    <w:rsid w:val="00696C28"/>
    <w:rsid w:val="00697200"/>
    <w:rsid w:val="006976F2"/>
    <w:rsid w:val="006978FF"/>
    <w:rsid w:val="006A1B91"/>
    <w:rsid w:val="006A38E0"/>
    <w:rsid w:val="006A4381"/>
    <w:rsid w:val="006B115A"/>
    <w:rsid w:val="006B1CDE"/>
    <w:rsid w:val="006B2AD6"/>
    <w:rsid w:val="006B342B"/>
    <w:rsid w:val="006B37F4"/>
    <w:rsid w:val="006B3A7F"/>
    <w:rsid w:val="006B6241"/>
    <w:rsid w:val="006B6548"/>
    <w:rsid w:val="006B7363"/>
    <w:rsid w:val="006C026D"/>
    <w:rsid w:val="006C149D"/>
    <w:rsid w:val="006C24F9"/>
    <w:rsid w:val="006C3ED4"/>
    <w:rsid w:val="006C46FA"/>
    <w:rsid w:val="006C481F"/>
    <w:rsid w:val="006C5DE3"/>
    <w:rsid w:val="006C64D2"/>
    <w:rsid w:val="006C68E2"/>
    <w:rsid w:val="006C7821"/>
    <w:rsid w:val="006D16F8"/>
    <w:rsid w:val="006D4485"/>
    <w:rsid w:val="006D4CCF"/>
    <w:rsid w:val="006D5D27"/>
    <w:rsid w:val="006E115F"/>
    <w:rsid w:val="006E3B50"/>
    <w:rsid w:val="006E48E3"/>
    <w:rsid w:val="006E5A85"/>
    <w:rsid w:val="006E64A1"/>
    <w:rsid w:val="006E79AE"/>
    <w:rsid w:val="006F0FAF"/>
    <w:rsid w:val="006F1ABD"/>
    <w:rsid w:val="006F1B8C"/>
    <w:rsid w:val="006F205F"/>
    <w:rsid w:val="006F28AD"/>
    <w:rsid w:val="006F2E54"/>
    <w:rsid w:val="006F35FD"/>
    <w:rsid w:val="006F4021"/>
    <w:rsid w:val="006F5914"/>
    <w:rsid w:val="006F7777"/>
    <w:rsid w:val="006F7A20"/>
    <w:rsid w:val="006F7A24"/>
    <w:rsid w:val="006F7C0C"/>
    <w:rsid w:val="007005FD"/>
    <w:rsid w:val="007006DD"/>
    <w:rsid w:val="00700872"/>
    <w:rsid w:val="00701600"/>
    <w:rsid w:val="00701F89"/>
    <w:rsid w:val="007024F8"/>
    <w:rsid w:val="00702A15"/>
    <w:rsid w:val="007034A2"/>
    <w:rsid w:val="00703A9B"/>
    <w:rsid w:val="0070477E"/>
    <w:rsid w:val="007052BB"/>
    <w:rsid w:val="00705354"/>
    <w:rsid w:val="00706194"/>
    <w:rsid w:val="00706D34"/>
    <w:rsid w:val="007078A7"/>
    <w:rsid w:val="00707B48"/>
    <w:rsid w:val="00710CE3"/>
    <w:rsid w:val="00710D57"/>
    <w:rsid w:val="00711432"/>
    <w:rsid w:val="0071148B"/>
    <w:rsid w:val="00711BFF"/>
    <w:rsid w:val="007120CE"/>
    <w:rsid w:val="0071500B"/>
    <w:rsid w:val="00715378"/>
    <w:rsid w:val="00715A73"/>
    <w:rsid w:val="00716214"/>
    <w:rsid w:val="007163EF"/>
    <w:rsid w:val="0072051F"/>
    <w:rsid w:val="007207A2"/>
    <w:rsid w:val="007213C9"/>
    <w:rsid w:val="007224D4"/>
    <w:rsid w:val="00723ED7"/>
    <w:rsid w:val="0072527F"/>
    <w:rsid w:val="0072547F"/>
    <w:rsid w:val="007274F8"/>
    <w:rsid w:val="007277DE"/>
    <w:rsid w:val="00727B2D"/>
    <w:rsid w:val="007309EF"/>
    <w:rsid w:val="007324C2"/>
    <w:rsid w:val="007327FE"/>
    <w:rsid w:val="00733139"/>
    <w:rsid w:val="0073324A"/>
    <w:rsid w:val="00734C16"/>
    <w:rsid w:val="0074084A"/>
    <w:rsid w:val="00740A2F"/>
    <w:rsid w:val="00740AFF"/>
    <w:rsid w:val="007414D9"/>
    <w:rsid w:val="0074163B"/>
    <w:rsid w:val="00741BB0"/>
    <w:rsid w:val="007421A4"/>
    <w:rsid w:val="00742838"/>
    <w:rsid w:val="00744337"/>
    <w:rsid w:val="00747C2D"/>
    <w:rsid w:val="00747DE2"/>
    <w:rsid w:val="00750492"/>
    <w:rsid w:val="0075131B"/>
    <w:rsid w:val="00755819"/>
    <w:rsid w:val="00755EDE"/>
    <w:rsid w:val="00756851"/>
    <w:rsid w:val="00756E83"/>
    <w:rsid w:val="0076046D"/>
    <w:rsid w:val="00760646"/>
    <w:rsid w:val="00760BFC"/>
    <w:rsid w:val="007613A0"/>
    <w:rsid w:val="00761727"/>
    <w:rsid w:val="00761F9E"/>
    <w:rsid w:val="0076238A"/>
    <w:rsid w:val="00762876"/>
    <w:rsid w:val="0076465A"/>
    <w:rsid w:val="007657AA"/>
    <w:rsid w:val="007657FA"/>
    <w:rsid w:val="00767E33"/>
    <w:rsid w:val="00767E55"/>
    <w:rsid w:val="00771843"/>
    <w:rsid w:val="00772BCA"/>
    <w:rsid w:val="0077323E"/>
    <w:rsid w:val="00774CEB"/>
    <w:rsid w:val="00775D5C"/>
    <w:rsid w:val="00785304"/>
    <w:rsid w:val="0078682D"/>
    <w:rsid w:val="00786A75"/>
    <w:rsid w:val="00786C8B"/>
    <w:rsid w:val="00786E73"/>
    <w:rsid w:val="0078715D"/>
    <w:rsid w:val="00787803"/>
    <w:rsid w:val="00787FD9"/>
    <w:rsid w:val="00787FE9"/>
    <w:rsid w:val="00791DEE"/>
    <w:rsid w:val="00792234"/>
    <w:rsid w:val="00792675"/>
    <w:rsid w:val="00792E25"/>
    <w:rsid w:val="0079606A"/>
    <w:rsid w:val="007968BB"/>
    <w:rsid w:val="00796F79"/>
    <w:rsid w:val="007970C9"/>
    <w:rsid w:val="00797824"/>
    <w:rsid w:val="00797D3A"/>
    <w:rsid w:val="007A1360"/>
    <w:rsid w:val="007A41F1"/>
    <w:rsid w:val="007A568F"/>
    <w:rsid w:val="007A5A66"/>
    <w:rsid w:val="007A66C3"/>
    <w:rsid w:val="007A74C5"/>
    <w:rsid w:val="007B0A80"/>
    <w:rsid w:val="007B0B2E"/>
    <w:rsid w:val="007B1CCA"/>
    <w:rsid w:val="007B3886"/>
    <w:rsid w:val="007B518F"/>
    <w:rsid w:val="007B6E4F"/>
    <w:rsid w:val="007B7078"/>
    <w:rsid w:val="007C2C98"/>
    <w:rsid w:val="007C42EF"/>
    <w:rsid w:val="007C7134"/>
    <w:rsid w:val="007D144D"/>
    <w:rsid w:val="007D190F"/>
    <w:rsid w:val="007D2CC3"/>
    <w:rsid w:val="007D4DED"/>
    <w:rsid w:val="007D4F35"/>
    <w:rsid w:val="007D5765"/>
    <w:rsid w:val="007D5A58"/>
    <w:rsid w:val="007D64ED"/>
    <w:rsid w:val="007D7CB3"/>
    <w:rsid w:val="007D7E55"/>
    <w:rsid w:val="007D7E6B"/>
    <w:rsid w:val="007E0238"/>
    <w:rsid w:val="007E180C"/>
    <w:rsid w:val="007E1B88"/>
    <w:rsid w:val="007E3461"/>
    <w:rsid w:val="007E3A08"/>
    <w:rsid w:val="007E6708"/>
    <w:rsid w:val="007E6DD5"/>
    <w:rsid w:val="007E7ED9"/>
    <w:rsid w:val="007F027A"/>
    <w:rsid w:val="007F1AA1"/>
    <w:rsid w:val="007F469E"/>
    <w:rsid w:val="007F7ED7"/>
    <w:rsid w:val="00800B63"/>
    <w:rsid w:val="0080548D"/>
    <w:rsid w:val="008101E5"/>
    <w:rsid w:val="00811489"/>
    <w:rsid w:val="00811726"/>
    <w:rsid w:val="008117B4"/>
    <w:rsid w:val="00812DA9"/>
    <w:rsid w:val="008134D5"/>
    <w:rsid w:val="008136B4"/>
    <w:rsid w:val="008142D3"/>
    <w:rsid w:val="00814EAD"/>
    <w:rsid w:val="00815648"/>
    <w:rsid w:val="008160E8"/>
    <w:rsid w:val="00816BB0"/>
    <w:rsid w:val="00816EC9"/>
    <w:rsid w:val="00816F79"/>
    <w:rsid w:val="00817368"/>
    <w:rsid w:val="00817827"/>
    <w:rsid w:val="00817B9F"/>
    <w:rsid w:val="00820BC4"/>
    <w:rsid w:val="008210A9"/>
    <w:rsid w:val="00822276"/>
    <w:rsid w:val="008224F4"/>
    <w:rsid w:val="00823268"/>
    <w:rsid w:val="00824C26"/>
    <w:rsid w:val="00824E86"/>
    <w:rsid w:val="00825B24"/>
    <w:rsid w:val="0083328B"/>
    <w:rsid w:val="00833975"/>
    <w:rsid w:val="00833E77"/>
    <w:rsid w:val="008341EC"/>
    <w:rsid w:val="00834256"/>
    <w:rsid w:val="00835B66"/>
    <w:rsid w:val="00837794"/>
    <w:rsid w:val="00841699"/>
    <w:rsid w:val="00841C1C"/>
    <w:rsid w:val="00841ED7"/>
    <w:rsid w:val="0084252C"/>
    <w:rsid w:val="0084390E"/>
    <w:rsid w:val="00844067"/>
    <w:rsid w:val="008455C1"/>
    <w:rsid w:val="00845781"/>
    <w:rsid w:val="00846340"/>
    <w:rsid w:val="008469A6"/>
    <w:rsid w:val="00846BCD"/>
    <w:rsid w:val="00847314"/>
    <w:rsid w:val="00852171"/>
    <w:rsid w:val="00852B8E"/>
    <w:rsid w:val="008546EA"/>
    <w:rsid w:val="00856769"/>
    <w:rsid w:val="00856BA6"/>
    <w:rsid w:val="008575D7"/>
    <w:rsid w:val="00857759"/>
    <w:rsid w:val="00857E7C"/>
    <w:rsid w:val="00860E5C"/>
    <w:rsid w:val="008610B2"/>
    <w:rsid w:val="00862D02"/>
    <w:rsid w:val="00863BC8"/>
    <w:rsid w:val="00865044"/>
    <w:rsid w:val="00865335"/>
    <w:rsid w:val="008662F3"/>
    <w:rsid w:val="00866B11"/>
    <w:rsid w:val="00866CF5"/>
    <w:rsid w:val="00867CF7"/>
    <w:rsid w:val="00867D02"/>
    <w:rsid w:val="00872000"/>
    <w:rsid w:val="00872EC8"/>
    <w:rsid w:val="008737F7"/>
    <w:rsid w:val="00873813"/>
    <w:rsid w:val="00874C0E"/>
    <w:rsid w:val="0087503C"/>
    <w:rsid w:val="00875CB9"/>
    <w:rsid w:val="00876974"/>
    <w:rsid w:val="00880032"/>
    <w:rsid w:val="008803C6"/>
    <w:rsid w:val="00880DEE"/>
    <w:rsid w:val="00880FAA"/>
    <w:rsid w:val="008827CA"/>
    <w:rsid w:val="00884C9C"/>
    <w:rsid w:val="00885DFD"/>
    <w:rsid w:val="00886EC2"/>
    <w:rsid w:val="0088716C"/>
    <w:rsid w:val="0089155A"/>
    <w:rsid w:val="00892D93"/>
    <w:rsid w:val="0089312A"/>
    <w:rsid w:val="00893C09"/>
    <w:rsid w:val="0089515E"/>
    <w:rsid w:val="00895758"/>
    <w:rsid w:val="008965CC"/>
    <w:rsid w:val="00896654"/>
    <w:rsid w:val="008971BE"/>
    <w:rsid w:val="00897350"/>
    <w:rsid w:val="008973A5"/>
    <w:rsid w:val="008974E3"/>
    <w:rsid w:val="00897D92"/>
    <w:rsid w:val="008A01CB"/>
    <w:rsid w:val="008A12BE"/>
    <w:rsid w:val="008A1F32"/>
    <w:rsid w:val="008A3B92"/>
    <w:rsid w:val="008A4868"/>
    <w:rsid w:val="008A4D10"/>
    <w:rsid w:val="008A5507"/>
    <w:rsid w:val="008A5B4F"/>
    <w:rsid w:val="008A7581"/>
    <w:rsid w:val="008B01CE"/>
    <w:rsid w:val="008B096A"/>
    <w:rsid w:val="008B0BD0"/>
    <w:rsid w:val="008B16D0"/>
    <w:rsid w:val="008B17F2"/>
    <w:rsid w:val="008B209D"/>
    <w:rsid w:val="008B2268"/>
    <w:rsid w:val="008B3726"/>
    <w:rsid w:val="008B396C"/>
    <w:rsid w:val="008B5870"/>
    <w:rsid w:val="008C118D"/>
    <w:rsid w:val="008C11F5"/>
    <w:rsid w:val="008C1FBE"/>
    <w:rsid w:val="008C6F09"/>
    <w:rsid w:val="008C79DE"/>
    <w:rsid w:val="008D003E"/>
    <w:rsid w:val="008D0C0B"/>
    <w:rsid w:val="008D1711"/>
    <w:rsid w:val="008D1820"/>
    <w:rsid w:val="008D1C04"/>
    <w:rsid w:val="008D22E4"/>
    <w:rsid w:val="008D2884"/>
    <w:rsid w:val="008E0578"/>
    <w:rsid w:val="008E0BD6"/>
    <w:rsid w:val="008E3CB0"/>
    <w:rsid w:val="008E3E3C"/>
    <w:rsid w:val="008E5141"/>
    <w:rsid w:val="008E7327"/>
    <w:rsid w:val="008F0896"/>
    <w:rsid w:val="008F3BCE"/>
    <w:rsid w:val="008F3CE2"/>
    <w:rsid w:val="008F47CC"/>
    <w:rsid w:val="008F595E"/>
    <w:rsid w:val="008F7E9E"/>
    <w:rsid w:val="0090088E"/>
    <w:rsid w:val="00900ADF"/>
    <w:rsid w:val="009040BE"/>
    <w:rsid w:val="00904261"/>
    <w:rsid w:val="00904A44"/>
    <w:rsid w:val="0090595F"/>
    <w:rsid w:val="00905B60"/>
    <w:rsid w:val="00906DAE"/>
    <w:rsid w:val="00910EA9"/>
    <w:rsid w:val="009115B2"/>
    <w:rsid w:val="0091418F"/>
    <w:rsid w:val="009146AC"/>
    <w:rsid w:val="0091709C"/>
    <w:rsid w:val="00917307"/>
    <w:rsid w:val="00917379"/>
    <w:rsid w:val="00917A4A"/>
    <w:rsid w:val="00921BC5"/>
    <w:rsid w:val="00922961"/>
    <w:rsid w:val="00922F41"/>
    <w:rsid w:val="009235FC"/>
    <w:rsid w:val="00923630"/>
    <w:rsid w:val="0092402C"/>
    <w:rsid w:val="00926C4E"/>
    <w:rsid w:val="00930046"/>
    <w:rsid w:val="00930D28"/>
    <w:rsid w:val="009326FF"/>
    <w:rsid w:val="00933CC4"/>
    <w:rsid w:val="00934873"/>
    <w:rsid w:val="00935ACA"/>
    <w:rsid w:val="00940240"/>
    <w:rsid w:val="00940C39"/>
    <w:rsid w:val="00940E6B"/>
    <w:rsid w:val="00941A35"/>
    <w:rsid w:val="0094217E"/>
    <w:rsid w:val="00944511"/>
    <w:rsid w:val="0094464D"/>
    <w:rsid w:val="00944882"/>
    <w:rsid w:val="00944ACF"/>
    <w:rsid w:val="00946999"/>
    <w:rsid w:val="00946BF2"/>
    <w:rsid w:val="0094703D"/>
    <w:rsid w:val="00947547"/>
    <w:rsid w:val="009478AB"/>
    <w:rsid w:val="009511D6"/>
    <w:rsid w:val="00952698"/>
    <w:rsid w:val="00952BAF"/>
    <w:rsid w:val="00953EFB"/>
    <w:rsid w:val="00954389"/>
    <w:rsid w:val="009546CA"/>
    <w:rsid w:val="00954729"/>
    <w:rsid w:val="009552FB"/>
    <w:rsid w:val="00955558"/>
    <w:rsid w:val="00955C28"/>
    <w:rsid w:val="00956438"/>
    <w:rsid w:val="00956ADE"/>
    <w:rsid w:val="00956DF5"/>
    <w:rsid w:val="00957C45"/>
    <w:rsid w:val="0096038F"/>
    <w:rsid w:val="009609CF"/>
    <w:rsid w:val="00961C81"/>
    <w:rsid w:val="00961F9F"/>
    <w:rsid w:val="009630E4"/>
    <w:rsid w:val="0096482B"/>
    <w:rsid w:val="00964D4C"/>
    <w:rsid w:val="00964FC8"/>
    <w:rsid w:val="00966117"/>
    <w:rsid w:val="00966C0E"/>
    <w:rsid w:val="00967DB2"/>
    <w:rsid w:val="009709B5"/>
    <w:rsid w:val="00970A00"/>
    <w:rsid w:val="00971828"/>
    <w:rsid w:val="00971A9A"/>
    <w:rsid w:val="00971AF0"/>
    <w:rsid w:val="009721F0"/>
    <w:rsid w:val="00972CA5"/>
    <w:rsid w:val="00973E23"/>
    <w:rsid w:val="00974CB5"/>
    <w:rsid w:val="0097537A"/>
    <w:rsid w:val="00977189"/>
    <w:rsid w:val="009778A7"/>
    <w:rsid w:val="0098123A"/>
    <w:rsid w:val="0098171A"/>
    <w:rsid w:val="00982637"/>
    <w:rsid w:val="00983B1B"/>
    <w:rsid w:val="00983B39"/>
    <w:rsid w:val="00983CA7"/>
    <w:rsid w:val="00985AF0"/>
    <w:rsid w:val="00986E7B"/>
    <w:rsid w:val="0098735B"/>
    <w:rsid w:val="00987A88"/>
    <w:rsid w:val="009903F9"/>
    <w:rsid w:val="009920A5"/>
    <w:rsid w:val="0099312C"/>
    <w:rsid w:val="009935D3"/>
    <w:rsid w:val="0099368A"/>
    <w:rsid w:val="0099400D"/>
    <w:rsid w:val="00996E5D"/>
    <w:rsid w:val="00997458"/>
    <w:rsid w:val="00997E05"/>
    <w:rsid w:val="009A0C3E"/>
    <w:rsid w:val="009A109A"/>
    <w:rsid w:val="009A2020"/>
    <w:rsid w:val="009A5049"/>
    <w:rsid w:val="009A651F"/>
    <w:rsid w:val="009A6A64"/>
    <w:rsid w:val="009B0C75"/>
    <w:rsid w:val="009B23DD"/>
    <w:rsid w:val="009B542B"/>
    <w:rsid w:val="009B7A84"/>
    <w:rsid w:val="009B7BE1"/>
    <w:rsid w:val="009C06FF"/>
    <w:rsid w:val="009C2FDC"/>
    <w:rsid w:val="009C5A3A"/>
    <w:rsid w:val="009D1497"/>
    <w:rsid w:val="009D2214"/>
    <w:rsid w:val="009D299A"/>
    <w:rsid w:val="009D36C5"/>
    <w:rsid w:val="009D42EA"/>
    <w:rsid w:val="009D5608"/>
    <w:rsid w:val="009D5CC1"/>
    <w:rsid w:val="009D6B2B"/>
    <w:rsid w:val="009D6EF2"/>
    <w:rsid w:val="009D7BBE"/>
    <w:rsid w:val="009D7FE9"/>
    <w:rsid w:val="009E0F5B"/>
    <w:rsid w:val="009E166C"/>
    <w:rsid w:val="009E3698"/>
    <w:rsid w:val="009E4CC3"/>
    <w:rsid w:val="009E5499"/>
    <w:rsid w:val="009E64F4"/>
    <w:rsid w:val="009E7E1C"/>
    <w:rsid w:val="009E7E4A"/>
    <w:rsid w:val="009F0022"/>
    <w:rsid w:val="009F1B28"/>
    <w:rsid w:val="009F3018"/>
    <w:rsid w:val="009F37A8"/>
    <w:rsid w:val="009F3F71"/>
    <w:rsid w:val="009F43B2"/>
    <w:rsid w:val="009F44F6"/>
    <w:rsid w:val="009F5797"/>
    <w:rsid w:val="009F62EE"/>
    <w:rsid w:val="009F65F7"/>
    <w:rsid w:val="009F7B78"/>
    <w:rsid w:val="00A0015A"/>
    <w:rsid w:val="00A01F9B"/>
    <w:rsid w:val="00A026E1"/>
    <w:rsid w:val="00A02788"/>
    <w:rsid w:val="00A0351C"/>
    <w:rsid w:val="00A03B9D"/>
    <w:rsid w:val="00A07A32"/>
    <w:rsid w:val="00A11DCC"/>
    <w:rsid w:val="00A15376"/>
    <w:rsid w:val="00A16DDB"/>
    <w:rsid w:val="00A17B72"/>
    <w:rsid w:val="00A226DC"/>
    <w:rsid w:val="00A235E7"/>
    <w:rsid w:val="00A25245"/>
    <w:rsid w:val="00A25499"/>
    <w:rsid w:val="00A26FB2"/>
    <w:rsid w:val="00A3145E"/>
    <w:rsid w:val="00A32564"/>
    <w:rsid w:val="00A32F9E"/>
    <w:rsid w:val="00A33D69"/>
    <w:rsid w:val="00A353CA"/>
    <w:rsid w:val="00A35E03"/>
    <w:rsid w:val="00A401E3"/>
    <w:rsid w:val="00A403CB"/>
    <w:rsid w:val="00A413E3"/>
    <w:rsid w:val="00A41FFD"/>
    <w:rsid w:val="00A43F04"/>
    <w:rsid w:val="00A43F14"/>
    <w:rsid w:val="00A44879"/>
    <w:rsid w:val="00A4693B"/>
    <w:rsid w:val="00A52F41"/>
    <w:rsid w:val="00A54042"/>
    <w:rsid w:val="00A54A3E"/>
    <w:rsid w:val="00A550F5"/>
    <w:rsid w:val="00A56049"/>
    <w:rsid w:val="00A572F1"/>
    <w:rsid w:val="00A6045B"/>
    <w:rsid w:val="00A6238E"/>
    <w:rsid w:val="00A62E5A"/>
    <w:rsid w:val="00A64379"/>
    <w:rsid w:val="00A6453E"/>
    <w:rsid w:val="00A6500C"/>
    <w:rsid w:val="00A66F23"/>
    <w:rsid w:val="00A700C0"/>
    <w:rsid w:val="00A70C69"/>
    <w:rsid w:val="00A720B5"/>
    <w:rsid w:val="00A73327"/>
    <w:rsid w:val="00A73B87"/>
    <w:rsid w:val="00A74DA3"/>
    <w:rsid w:val="00A76719"/>
    <w:rsid w:val="00A76CA4"/>
    <w:rsid w:val="00A7720F"/>
    <w:rsid w:val="00A77CD1"/>
    <w:rsid w:val="00A80915"/>
    <w:rsid w:val="00A812A0"/>
    <w:rsid w:val="00A83773"/>
    <w:rsid w:val="00A84906"/>
    <w:rsid w:val="00A84ADF"/>
    <w:rsid w:val="00A84B3F"/>
    <w:rsid w:val="00A85572"/>
    <w:rsid w:val="00A85B2E"/>
    <w:rsid w:val="00A864B8"/>
    <w:rsid w:val="00A86765"/>
    <w:rsid w:val="00A87158"/>
    <w:rsid w:val="00A87B55"/>
    <w:rsid w:val="00A87D6E"/>
    <w:rsid w:val="00A91202"/>
    <w:rsid w:val="00A9397B"/>
    <w:rsid w:val="00A94037"/>
    <w:rsid w:val="00A9427B"/>
    <w:rsid w:val="00A954BF"/>
    <w:rsid w:val="00A957B5"/>
    <w:rsid w:val="00A96C51"/>
    <w:rsid w:val="00A96C6D"/>
    <w:rsid w:val="00A97AAE"/>
    <w:rsid w:val="00AA164C"/>
    <w:rsid w:val="00AA23FE"/>
    <w:rsid w:val="00AA2E50"/>
    <w:rsid w:val="00AA5AF7"/>
    <w:rsid w:val="00AA6F8B"/>
    <w:rsid w:val="00AA71BF"/>
    <w:rsid w:val="00AB0CB7"/>
    <w:rsid w:val="00AB14D7"/>
    <w:rsid w:val="00AB223F"/>
    <w:rsid w:val="00AB28C4"/>
    <w:rsid w:val="00AB2F15"/>
    <w:rsid w:val="00AB3948"/>
    <w:rsid w:val="00AB5665"/>
    <w:rsid w:val="00AB5DD7"/>
    <w:rsid w:val="00AC0277"/>
    <w:rsid w:val="00AC0920"/>
    <w:rsid w:val="00AC1D1A"/>
    <w:rsid w:val="00AC2BFF"/>
    <w:rsid w:val="00AC441C"/>
    <w:rsid w:val="00AC6F53"/>
    <w:rsid w:val="00AC706F"/>
    <w:rsid w:val="00AD0B0A"/>
    <w:rsid w:val="00AD0EA3"/>
    <w:rsid w:val="00AD10C8"/>
    <w:rsid w:val="00AD4417"/>
    <w:rsid w:val="00AD4CED"/>
    <w:rsid w:val="00AD5456"/>
    <w:rsid w:val="00AD5A3B"/>
    <w:rsid w:val="00AD65FB"/>
    <w:rsid w:val="00AD6B45"/>
    <w:rsid w:val="00AD7070"/>
    <w:rsid w:val="00AD7CA4"/>
    <w:rsid w:val="00AE19DF"/>
    <w:rsid w:val="00AE1E30"/>
    <w:rsid w:val="00AE1F30"/>
    <w:rsid w:val="00AE2AF9"/>
    <w:rsid w:val="00AE4221"/>
    <w:rsid w:val="00AE45CE"/>
    <w:rsid w:val="00AE6456"/>
    <w:rsid w:val="00AE6EA6"/>
    <w:rsid w:val="00AF17A8"/>
    <w:rsid w:val="00AF2A66"/>
    <w:rsid w:val="00AF2BEF"/>
    <w:rsid w:val="00AF3E52"/>
    <w:rsid w:val="00AF5044"/>
    <w:rsid w:val="00AF6FB8"/>
    <w:rsid w:val="00B028CE"/>
    <w:rsid w:val="00B053A2"/>
    <w:rsid w:val="00B05ACB"/>
    <w:rsid w:val="00B07BC4"/>
    <w:rsid w:val="00B1043B"/>
    <w:rsid w:val="00B1087C"/>
    <w:rsid w:val="00B10CDF"/>
    <w:rsid w:val="00B11AEF"/>
    <w:rsid w:val="00B12836"/>
    <w:rsid w:val="00B137AE"/>
    <w:rsid w:val="00B13822"/>
    <w:rsid w:val="00B142BA"/>
    <w:rsid w:val="00B1649F"/>
    <w:rsid w:val="00B207FC"/>
    <w:rsid w:val="00B209C0"/>
    <w:rsid w:val="00B20C26"/>
    <w:rsid w:val="00B20E91"/>
    <w:rsid w:val="00B23203"/>
    <w:rsid w:val="00B24513"/>
    <w:rsid w:val="00B247A6"/>
    <w:rsid w:val="00B25E3A"/>
    <w:rsid w:val="00B26F5C"/>
    <w:rsid w:val="00B32B55"/>
    <w:rsid w:val="00B3368D"/>
    <w:rsid w:val="00B34F23"/>
    <w:rsid w:val="00B3600C"/>
    <w:rsid w:val="00B3626B"/>
    <w:rsid w:val="00B36DA8"/>
    <w:rsid w:val="00B36DEC"/>
    <w:rsid w:val="00B37C99"/>
    <w:rsid w:val="00B4056E"/>
    <w:rsid w:val="00B40B4A"/>
    <w:rsid w:val="00B41C19"/>
    <w:rsid w:val="00B429BD"/>
    <w:rsid w:val="00B44223"/>
    <w:rsid w:val="00B444D2"/>
    <w:rsid w:val="00B45E8F"/>
    <w:rsid w:val="00B465D9"/>
    <w:rsid w:val="00B509B1"/>
    <w:rsid w:val="00B51B7F"/>
    <w:rsid w:val="00B51E39"/>
    <w:rsid w:val="00B54057"/>
    <w:rsid w:val="00B54D68"/>
    <w:rsid w:val="00B55F1B"/>
    <w:rsid w:val="00B56679"/>
    <w:rsid w:val="00B576E3"/>
    <w:rsid w:val="00B602EC"/>
    <w:rsid w:val="00B60310"/>
    <w:rsid w:val="00B6051C"/>
    <w:rsid w:val="00B6221B"/>
    <w:rsid w:val="00B6366B"/>
    <w:rsid w:val="00B636D7"/>
    <w:rsid w:val="00B6411A"/>
    <w:rsid w:val="00B64694"/>
    <w:rsid w:val="00B666CC"/>
    <w:rsid w:val="00B66ADC"/>
    <w:rsid w:val="00B67E02"/>
    <w:rsid w:val="00B71CB9"/>
    <w:rsid w:val="00B7383A"/>
    <w:rsid w:val="00B76CE4"/>
    <w:rsid w:val="00B77204"/>
    <w:rsid w:val="00B77A64"/>
    <w:rsid w:val="00B77E20"/>
    <w:rsid w:val="00B8020D"/>
    <w:rsid w:val="00B806E1"/>
    <w:rsid w:val="00B8135D"/>
    <w:rsid w:val="00B822B1"/>
    <w:rsid w:val="00B8346E"/>
    <w:rsid w:val="00B846E4"/>
    <w:rsid w:val="00B85145"/>
    <w:rsid w:val="00B854C7"/>
    <w:rsid w:val="00B877E9"/>
    <w:rsid w:val="00B92805"/>
    <w:rsid w:val="00B93A76"/>
    <w:rsid w:val="00B95079"/>
    <w:rsid w:val="00B9655C"/>
    <w:rsid w:val="00B96987"/>
    <w:rsid w:val="00B97739"/>
    <w:rsid w:val="00B97D73"/>
    <w:rsid w:val="00BA1171"/>
    <w:rsid w:val="00BA11D0"/>
    <w:rsid w:val="00BA1F84"/>
    <w:rsid w:val="00BA2F5B"/>
    <w:rsid w:val="00BA392C"/>
    <w:rsid w:val="00BA3A12"/>
    <w:rsid w:val="00BA43BC"/>
    <w:rsid w:val="00BA5608"/>
    <w:rsid w:val="00BA576D"/>
    <w:rsid w:val="00BA638A"/>
    <w:rsid w:val="00BA6B9B"/>
    <w:rsid w:val="00BA7885"/>
    <w:rsid w:val="00BB073F"/>
    <w:rsid w:val="00BB43C3"/>
    <w:rsid w:val="00BB4528"/>
    <w:rsid w:val="00BB4833"/>
    <w:rsid w:val="00BB486A"/>
    <w:rsid w:val="00BB49BD"/>
    <w:rsid w:val="00BB53C1"/>
    <w:rsid w:val="00BB623D"/>
    <w:rsid w:val="00BC0B61"/>
    <w:rsid w:val="00BC16B8"/>
    <w:rsid w:val="00BC2846"/>
    <w:rsid w:val="00BC28C5"/>
    <w:rsid w:val="00BC30AF"/>
    <w:rsid w:val="00BC36B6"/>
    <w:rsid w:val="00BC3C00"/>
    <w:rsid w:val="00BC5293"/>
    <w:rsid w:val="00BC7574"/>
    <w:rsid w:val="00BC766C"/>
    <w:rsid w:val="00BD01E1"/>
    <w:rsid w:val="00BD1D03"/>
    <w:rsid w:val="00BD2EFE"/>
    <w:rsid w:val="00BD345B"/>
    <w:rsid w:val="00BE0134"/>
    <w:rsid w:val="00BE0856"/>
    <w:rsid w:val="00BE0C92"/>
    <w:rsid w:val="00BE15FB"/>
    <w:rsid w:val="00BE262D"/>
    <w:rsid w:val="00BE34D1"/>
    <w:rsid w:val="00BE34F8"/>
    <w:rsid w:val="00BE6A29"/>
    <w:rsid w:val="00BE6C53"/>
    <w:rsid w:val="00BE6D99"/>
    <w:rsid w:val="00BE6F4B"/>
    <w:rsid w:val="00BE7163"/>
    <w:rsid w:val="00BE7264"/>
    <w:rsid w:val="00BE7965"/>
    <w:rsid w:val="00BE7AE2"/>
    <w:rsid w:val="00BE7B57"/>
    <w:rsid w:val="00BF0E8D"/>
    <w:rsid w:val="00BF0F2F"/>
    <w:rsid w:val="00BF3FA5"/>
    <w:rsid w:val="00BF3FE0"/>
    <w:rsid w:val="00BF4076"/>
    <w:rsid w:val="00BF522A"/>
    <w:rsid w:val="00BF5EA8"/>
    <w:rsid w:val="00BF604D"/>
    <w:rsid w:val="00BF605A"/>
    <w:rsid w:val="00BF6F5F"/>
    <w:rsid w:val="00BF7E75"/>
    <w:rsid w:val="00C00150"/>
    <w:rsid w:val="00C013E9"/>
    <w:rsid w:val="00C0174A"/>
    <w:rsid w:val="00C017A4"/>
    <w:rsid w:val="00C0238B"/>
    <w:rsid w:val="00C02A6A"/>
    <w:rsid w:val="00C03C7E"/>
    <w:rsid w:val="00C043FF"/>
    <w:rsid w:val="00C06058"/>
    <w:rsid w:val="00C06275"/>
    <w:rsid w:val="00C06321"/>
    <w:rsid w:val="00C07B86"/>
    <w:rsid w:val="00C10195"/>
    <w:rsid w:val="00C115A6"/>
    <w:rsid w:val="00C11808"/>
    <w:rsid w:val="00C14C7E"/>
    <w:rsid w:val="00C14E46"/>
    <w:rsid w:val="00C154F3"/>
    <w:rsid w:val="00C156E3"/>
    <w:rsid w:val="00C164EE"/>
    <w:rsid w:val="00C1790C"/>
    <w:rsid w:val="00C17B39"/>
    <w:rsid w:val="00C20059"/>
    <w:rsid w:val="00C204E8"/>
    <w:rsid w:val="00C21E09"/>
    <w:rsid w:val="00C228BB"/>
    <w:rsid w:val="00C230E4"/>
    <w:rsid w:val="00C23975"/>
    <w:rsid w:val="00C2411E"/>
    <w:rsid w:val="00C24C29"/>
    <w:rsid w:val="00C25174"/>
    <w:rsid w:val="00C27AFD"/>
    <w:rsid w:val="00C30A86"/>
    <w:rsid w:val="00C31632"/>
    <w:rsid w:val="00C3170A"/>
    <w:rsid w:val="00C3171F"/>
    <w:rsid w:val="00C33E18"/>
    <w:rsid w:val="00C35749"/>
    <w:rsid w:val="00C369E3"/>
    <w:rsid w:val="00C371F9"/>
    <w:rsid w:val="00C37C69"/>
    <w:rsid w:val="00C41DE4"/>
    <w:rsid w:val="00C4201C"/>
    <w:rsid w:val="00C42306"/>
    <w:rsid w:val="00C43F62"/>
    <w:rsid w:val="00C46540"/>
    <w:rsid w:val="00C46FCE"/>
    <w:rsid w:val="00C4768C"/>
    <w:rsid w:val="00C47B4A"/>
    <w:rsid w:val="00C501EA"/>
    <w:rsid w:val="00C502BE"/>
    <w:rsid w:val="00C50375"/>
    <w:rsid w:val="00C5038D"/>
    <w:rsid w:val="00C51190"/>
    <w:rsid w:val="00C51AB3"/>
    <w:rsid w:val="00C52627"/>
    <w:rsid w:val="00C54BA1"/>
    <w:rsid w:val="00C555C0"/>
    <w:rsid w:val="00C564FA"/>
    <w:rsid w:val="00C60E9B"/>
    <w:rsid w:val="00C629EA"/>
    <w:rsid w:val="00C62EB2"/>
    <w:rsid w:val="00C63EB9"/>
    <w:rsid w:val="00C649BA"/>
    <w:rsid w:val="00C666A0"/>
    <w:rsid w:val="00C67B3D"/>
    <w:rsid w:val="00C67D04"/>
    <w:rsid w:val="00C74516"/>
    <w:rsid w:val="00C74851"/>
    <w:rsid w:val="00C74FE1"/>
    <w:rsid w:val="00C7503F"/>
    <w:rsid w:val="00C766E6"/>
    <w:rsid w:val="00C76B42"/>
    <w:rsid w:val="00C779D0"/>
    <w:rsid w:val="00C77D9E"/>
    <w:rsid w:val="00C804C5"/>
    <w:rsid w:val="00C80992"/>
    <w:rsid w:val="00C81820"/>
    <w:rsid w:val="00C855A3"/>
    <w:rsid w:val="00C856B1"/>
    <w:rsid w:val="00C872ED"/>
    <w:rsid w:val="00C876FA"/>
    <w:rsid w:val="00C87783"/>
    <w:rsid w:val="00C87D72"/>
    <w:rsid w:val="00C90405"/>
    <w:rsid w:val="00C921F6"/>
    <w:rsid w:val="00C92B4F"/>
    <w:rsid w:val="00C92BBD"/>
    <w:rsid w:val="00C9376A"/>
    <w:rsid w:val="00C937F4"/>
    <w:rsid w:val="00C93802"/>
    <w:rsid w:val="00C93A5A"/>
    <w:rsid w:val="00C94042"/>
    <w:rsid w:val="00C94540"/>
    <w:rsid w:val="00C96751"/>
    <w:rsid w:val="00C97019"/>
    <w:rsid w:val="00CA09DF"/>
    <w:rsid w:val="00CA0E68"/>
    <w:rsid w:val="00CA11FD"/>
    <w:rsid w:val="00CA140B"/>
    <w:rsid w:val="00CA24A8"/>
    <w:rsid w:val="00CA26A8"/>
    <w:rsid w:val="00CA2BB2"/>
    <w:rsid w:val="00CA45AD"/>
    <w:rsid w:val="00CA6950"/>
    <w:rsid w:val="00CA712F"/>
    <w:rsid w:val="00CA7BA4"/>
    <w:rsid w:val="00CA7F25"/>
    <w:rsid w:val="00CB141A"/>
    <w:rsid w:val="00CB1896"/>
    <w:rsid w:val="00CB1973"/>
    <w:rsid w:val="00CB26A9"/>
    <w:rsid w:val="00CB4040"/>
    <w:rsid w:val="00CB5411"/>
    <w:rsid w:val="00CB5683"/>
    <w:rsid w:val="00CB79B4"/>
    <w:rsid w:val="00CC0814"/>
    <w:rsid w:val="00CC0CA1"/>
    <w:rsid w:val="00CC13AD"/>
    <w:rsid w:val="00CC20F5"/>
    <w:rsid w:val="00CC3AAF"/>
    <w:rsid w:val="00CC3F05"/>
    <w:rsid w:val="00CC4A7D"/>
    <w:rsid w:val="00CC5D90"/>
    <w:rsid w:val="00CC78BE"/>
    <w:rsid w:val="00CC78F0"/>
    <w:rsid w:val="00CD03D9"/>
    <w:rsid w:val="00CD11E0"/>
    <w:rsid w:val="00CD2BC9"/>
    <w:rsid w:val="00CD33D6"/>
    <w:rsid w:val="00CD6872"/>
    <w:rsid w:val="00CE0FEE"/>
    <w:rsid w:val="00CE11FE"/>
    <w:rsid w:val="00CE137C"/>
    <w:rsid w:val="00CE1A9C"/>
    <w:rsid w:val="00CE20AB"/>
    <w:rsid w:val="00CE4E8D"/>
    <w:rsid w:val="00CE5D2E"/>
    <w:rsid w:val="00CE71A8"/>
    <w:rsid w:val="00CE7685"/>
    <w:rsid w:val="00CE7BA3"/>
    <w:rsid w:val="00CF002E"/>
    <w:rsid w:val="00CF0A48"/>
    <w:rsid w:val="00CF138E"/>
    <w:rsid w:val="00CF394A"/>
    <w:rsid w:val="00CF3B74"/>
    <w:rsid w:val="00CF4468"/>
    <w:rsid w:val="00CF460F"/>
    <w:rsid w:val="00CF4A20"/>
    <w:rsid w:val="00CF5087"/>
    <w:rsid w:val="00CF5730"/>
    <w:rsid w:val="00CF669B"/>
    <w:rsid w:val="00CF74DB"/>
    <w:rsid w:val="00CF75A9"/>
    <w:rsid w:val="00CF7B8D"/>
    <w:rsid w:val="00D011E0"/>
    <w:rsid w:val="00D03D0F"/>
    <w:rsid w:val="00D0473C"/>
    <w:rsid w:val="00D048E5"/>
    <w:rsid w:val="00D05084"/>
    <w:rsid w:val="00D059B0"/>
    <w:rsid w:val="00D0624D"/>
    <w:rsid w:val="00D07DDC"/>
    <w:rsid w:val="00D07F61"/>
    <w:rsid w:val="00D10260"/>
    <w:rsid w:val="00D10911"/>
    <w:rsid w:val="00D10936"/>
    <w:rsid w:val="00D10B1E"/>
    <w:rsid w:val="00D1154C"/>
    <w:rsid w:val="00D13A3F"/>
    <w:rsid w:val="00D1439A"/>
    <w:rsid w:val="00D15D43"/>
    <w:rsid w:val="00D17489"/>
    <w:rsid w:val="00D17CD0"/>
    <w:rsid w:val="00D207E7"/>
    <w:rsid w:val="00D212AF"/>
    <w:rsid w:val="00D2235C"/>
    <w:rsid w:val="00D25502"/>
    <w:rsid w:val="00D261BB"/>
    <w:rsid w:val="00D304E3"/>
    <w:rsid w:val="00D30775"/>
    <w:rsid w:val="00D32752"/>
    <w:rsid w:val="00D32BC0"/>
    <w:rsid w:val="00D32C7E"/>
    <w:rsid w:val="00D3342F"/>
    <w:rsid w:val="00D346ED"/>
    <w:rsid w:val="00D34EA6"/>
    <w:rsid w:val="00D3563C"/>
    <w:rsid w:val="00D365AB"/>
    <w:rsid w:val="00D371C0"/>
    <w:rsid w:val="00D377D5"/>
    <w:rsid w:val="00D40D8B"/>
    <w:rsid w:val="00D443FB"/>
    <w:rsid w:val="00D4489F"/>
    <w:rsid w:val="00D46D4E"/>
    <w:rsid w:val="00D46E62"/>
    <w:rsid w:val="00D50732"/>
    <w:rsid w:val="00D50E2A"/>
    <w:rsid w:val="00D52450"/>
    <w:rsid w:val="00D53362"/>
    <w:rsid w:val="00D53F32"/>
    <w:rsid w:val="00D54310"/>
    <w:rsid w:val="00D543C8"/>
    <w:rsid w:val="00D55235"/>
    <w:rsid w:val="00D5647E"/>
    <w:rsid w:val="00D57C55"/>
    <w:rsid w:val="00D62A59"/>
    <w:rsid w:val="00D62C67"/>
    <w:rsid w:val="00D63AC2"/>
    <w:rsid w:val="00D6475A"/>
    <w:rsid w:val="00D652B3"/>
    <w:rsid w:val="00D671FE"/>
    <w:rsid w:val="00D67EEA"/>
    <w:rsid w:val="00D710A8"/>
    <w:rsid w:val="00D71445"/>
    <w:rsid w:val="00D72F21"/>
    <w:rsid w:val="00D733A4"/>
    <w:rsid w:val="00D73939"/>
    <w:rsid w:val="00D74AE8"/>
    <w:rsid w:val="00D76998"/>
    <w:rsid w:val="00D76A91"/>
    <w:rsid w:val="00D770CB"/>
    <w:rsid w:val="00D8173C"/>
    <w:rsid w:val="00D81CFC"/>
    <w:rsid w:val="00D82DB7"/>
    <w:rsid w:val="00D8311F"/>
    <w:rsid w:val="00D84ACB"/>
    <w:rsid w:val="00D92498"/>
    <w:rsid w:val="00D92A31"/>
    <w:rsid w:val="00D92C30"/>
    <w:rsid w:val="00D9364D"/>
    <w:rsid w:val="00D937CF"/>
    <w:rsid w:val="00D937FA"/>
    <w:rsid w:val="00D9443F"/>
    <w:rsid w:val="00D94EB5"/>
    <w:rsid w:val="00D9569F"/>
    <w:rsid w:val="00D9783E"/>
    <w:rsid w:val="00DA0D41"/>
    <w:rsid w:val="00DA132F"/>
    <w:rsid w:val="00DA19D3"/>
    <w:rsid w:val="00DA1EF2"/>
    <w:rsid w:val="00DA269D"/>
    <w:rsid w:val="00DA4E9A"/>
    <w:rsid w:val="00DA5005"/>
    <w:rsid w:val="00DA6939"/>
    <w:rsid w:val="00DA7A26"/>
    <w:rsid w:val="00DB04F8"/>
    <w:rsid w:val="00DB0649"/>
    <w:rsid w:val="00DB0DFC"/>
    <w:rsid w:val="00DB2D42"/>
    <w:rsid w:val="00DB388D"/>
    <w:rsid w:val="00DB593D"/>
    <w:rsid w:val="00DB5AFC"/>
    <w:rsid w:val="00DB7209"/>
    <w:rsid w:val="00DC0950"/>
    <w:rsid w:val="00DC19FB"/>
    <w:rsid w:val="00DC1ADD"/>
    <w:rsid w:val="00DC3B32"/>
    <w:rsid w:val="00DC4CCD"/>
    <w:rsid w:val="00DC585B"/>
    <w:rsid w:val="00DD08FF"/>
    <w:rsid w:val="00DD0E21"/>
    <w:rsid w:val="00DD1781"/>
    <w:rsid w:val="00DD2139"/>
    <w:rsid w:val="00DD2225"/>
    <w:rsid w:val="00DD229F"/>
    <w:rsid w:val="00DD27EE"/>
    <w:rsid w:val="00DD2F94"/>
    <w:rsid w:val="00DD57B5"/>
    <w:rsid w:val="00DD5E83"/>
    <w:rsid w:val="00DD5F87"/>
    <w:rsid w:val="00DD6875"/>
    <w:rsid w:val="00DD7F5B"/>
    <w:rsid w:val="00DE014F"/>
    <w:rsid w:val="00DE025E"/>
    <w:rsid w:val="00DE166B"/>
    <w:rsid w:val="00DE1F6D"/>
    <w:rsid w:val="00DE1FBD"/>
    <w:rsid w:val="00DE3008"/>
    <w:rsid w:val="00DE5933"/>
    <w:rsid w:val="00DF103F"/>
    <w:rsid w:val="00DF1E41"/>
    <w:rsid w:val="00DF3609"/>
    <w:rsid w:val="00DF360C"/>
    <w:rsid w:val="00DF4978"/>
    <w:rsid w:val="00DF5979"/>
    <w:rsid w:val="00DF5EDF"/>
    <w:rsid w:val="00DF6662"/>
    <w:rsid w:val="00E0549E"/>
    <w:rsid w:val="00E05549"/>
    <w:rsid w:val="00E05B70"/>
    <w:rsid w:val="00E1007E"/>
    <w:rsid w:val="00E10D1C"/>
    <w:rsid w:val="00E10F97"/>
    <w:rsid w:val="00E11022"/>
    <w:rsid w:val="00E11CEC"/>
    <w:rsid w:val="00E11CF9"/>
    <w:rsid w:val="00E12B65"/>
    <w:rsid w:val="00E153FD"/>
    <w:rsid w:val="00E1610F"/>
    <w:rsid w:val="00E16E86"/>
    <w:rsid w:val="00E20964"/>
    <w:rsid w:val="00E20D50"/>
    <w:rsid w:val="00E2117F"/>
    <w:rsid w:val="00E21F2F"/>
    <w:rsid w:val="00E220DE"/>
    <w:rsid w:val="00E22A4F"/>
    <w:rsid w:val="00E234CE"/>
    <w:rsid w:val="00E23A2A"/>
    <w:rsid w:val="00E23FD6"/>
    <w:rsid w:val="00E24E7A"/>
    <w:rsid w:val="00E25ADA"/>
    <w:rsid w:val="00E30DA9"/>
    <w:rsid w:val="00E3158B"/>
    <w:rsid w:val="00E316B7"/>
    <w:rsid w:val="00E32FDD"/>
    <w:rsid w:val="00E33B75"/>
    <w:rsid w:val="00E34897"/>
    <w:rsid w:val="00E352C2"/>
    <w:rsid w:val="00E36172"/>
    <w:rsid w:val="00E36881"/>
    <w:rsid w:val="00E40F30"/>
    <w:rsid w:val="00E42B14"/>
    <w:rsid w:val="00E43576"/>
    <w:rsid w:val="00E43AC9"/>
    <w:rsid w:val="00E46E66"/>
    <w:rsid w:val="00E5079B"/>
    <w:rsid w:val="00E50884"/>
    <w:rsid w:val="00E51139"/>
    <w:rsid w:val="00E51A65"/>
    <w:rsid w:val="00E51B83"/>
    <w:rsid w:val="00E52258"/>
    <w:rsid w:val="00E53968"/>
    <w:rsid w:val="00E5710C"/>
    <w:rsid w:val="00E571B1"/>
    <w:rsid w:val="00E60567"/>
    <w:rsid w:val="00E61403"/>
    <w:rsid w:val="00E643FC"/>
    <w:rsid w:val="00E646CD"/>
    <w:rsid w:val="00E65C89"/>
    <w:rsid w:val="00E66E05"/>
    <w:rsid w:val="00E71940"/>
    <w:rsid w:val="00E71C6C"/>
    <w:rsid w:val="00E75E13"/>
    <w:rsid w:val="00E76294"/>
    <w:rsid w:val="00E7686A"/>
    <w:rsid w:val="00E774E2"/>
    <w:rsid w:val="00E77599"/>
    <w:rsid w:val="00E800EF"/>
    <w:rsid w:val="00E81CC4"/>
    <w:rsid w:val="00E827E6"/>
    <w:rsid w:val="00E834DC"/>
    <w:rsid w:val="00E83D5A"/>
    <w:rsid w:val="00E84078"/>
    <w:rsid w:val="00E849FC"/>
    <w:rsid w:val="00E84BC7"/>
    <w:rsid w:val="00E8569B"/>
    <w:rsid w:val="00E86FC0"/>
    <w:rsid w:val="00E87165"/>
    <w:rsid w:val="00E8720E"/>
    <w:rsid w:val="00E87E3E"/>
    <w:rsid w:val="00E87ECD"/>
    <w:rsid w:val="00E9054F"/>
    <w:rsid w:val="00E90550"/>
    <w:rsid w:val="00E90F7B"/>
    <w:rsid w:val="00E90F95"/>
    <w:rsid w:val="00E92A4C"/>
    <w:rsid w:val="00E937E7"/>
    <w:rsid w:val="00E93A9E"/>
    <w:rsid w:val="00E941B8"/>
    <w:rsid w:val="00E966B0"/>
    <w:rsid w:val="00EA2067"/>
    <w:rsid w:val="00EA2309"/>
    <w:rsid w:val="00EA2910"/>
    <w:rsid w:val="00EA3E44"/>
    <w:rsid w:val="00EA49CB"/>
    <w:rsid w:val="00EA5190"/>
    <w:rsid w:val="00EA5831"/>
    <w:rsid w:val="00EA730D"/>
    <w:rsid w:val="00EB06DD"/>
    <w:rsid w:val="00EB0B88"/>
    <w:rsid w:val="00EB22BE"/>
    <w:rsid w:val="00EB2D55"/>
    <w:rsid w:val="00EB32BF"/>
    <w:rsid w:val="00EB4289"/>
    <w:rsid w:val="00EB5220"/>
    <w:rsid w:val="00EB568D"/>
    <w:rsid w:val="00EB5D5F"/>
    <w:rsid w:val="00EB6EBE"/>
    <w:rsid w:val="00EB7E73"/>
    <w:rsid w:val="00EB7EDB"/>
    <w:rsid w:val="00EC2557"/>
    <w:rsid w:val="00EC3C12"/>
    <w:rsid w:val="00EC5253"/>
    <w:rsid w:val="00EC5C37"/>
    <w:rsid w:val="00EC6076"/>
    <w:rsid w:val="00EC6ED6"/>
    <w:rsid w:val="00ED04EE"/>
    <w:rsid w:val="00ED2281"/>
    <w:rsid w:val="00ED299F"/>
    <w:rsid w:val="00ED4185"/>
    <w:rsid w:val="00ED4846"/>
    <w:rsid w:val="00ED4CA2"/>
    <w:rsid w:val="00ED697C"/>
    <w:rsid w:val="00ED7C8C"/>
    <w:rsid w:val="00EE0A67"/>
    <w:rsid w:val="00EE11B2"/>
    <w:rsid w:val="00EE1854"/>
    <w:rsid w:val="00EE1D82"/>
    <w:rsid w:val="00EE2E31"/>
    <w:rsid w:val="00EE3904"/>
    <w:rsid w:val="00EE3E59"/>
    <w:rsid w:val="00EE4303"/>
    <w:rsid w:val="00EE5861"/>
    <w:rsid w:val="00EE600E"/>
    <w:rsid w:val="00EE60E8"/>
    <w:rsid w:val="00EE6165"/>
    <w:rsid w:val="00EE7061"/>
    <w:rsid w:val="00EE7DAF"/>
    <w:rsid w:val="00EF0B67"/>
    <w:rsid w:val="00EF23EF"/>
    <w:rsid w:val="00EF25BD"/>
    <w:rsid w:val="00EF3B86"/>
    <w:rsid w:val="00EF4A53"/>
    <w:rsid w:val="00EF55F7"/>
    <w:rsid w:val="00EF6C5E"/>
    <w:rsid w:val="00EF71F1"/>
    <w:rsid w:val="00EF7308"/>
    <w:rsid w:val="00F004C1"/>
    <w:rsid w:val="00F01728"/>
    <w:rsid w:val="00F01D2A"/>
    <w:rsid w:val="00F01FE2"/>
    <w:rsid w:val="00F04BBE"/>
    <w:rsid w:val="00F070F3"/>
    <w:rsid w:val="00F072F0"/>
    <w:rsid w:val="00F07B57"/>
    <w:rsid w:val="00F1006B"/>
    <w:rsid w:val="00F107CA"/>
    <w:rsid w:val="00F122A2"/>
    <w:rsid w:val="00F134FC"/>
    <w:rsid w:val="00F167A1"/>
    <w:rsid w:val="00F16A01"/>
    <w:rsid w:val="00F17C6D"/>
    <w:rsid w:val="00F216A0"/>
    <w:rsid w:val="00F24FCB"/>
    <w:rsid w:val="00F25D22"/>
    <w:rsid w:val="00F25DA6"/>
    <w:rsid w:val="00F27D97"/>
    <w:rsid w:val="00F30A6D"/>
    <w:rsid w:val="00F30C48"/>
    <w:rsid w:val="00F31F61"/>
    <w:rsid w:val="00F32B66"/>
    <w:rsid w:val="00F34800"/>
    <w:rsid w:val="00F34BD3"/>
    <w:rsid w:val="00F34F16"/>
    <w:rsid w:val="00F36907"/>
    <w:rsid w:val="00F37F62"/>
    <w:rsid w:val="00F409C3"/>
    <w:rsid w:val="00F41167"/>
    <w:rsid w:val="00F412CA"/>
    <w:rsid w:val="00F418DA"/>
    <w:rsid w:val="00F41DCD"/>
    <w:rsid w:val="00F41FE0"/>
    <w:rsid w:val="00F4207E"/>
    <w:rsid w:val="00F420EA"/>
    <w:rsid w:val="00F42D31"/>
    <w:rsid w:val="00F435BA"/>
    <w:rsid w:val="00F43CC9"/>
    <w:rsid w:val="00F44DC5"/>
    <w:rsid w:val="00F454AC"/>
    <w:rsid w:val="00F47886"/>
    <w:rsid w:val="00F51999"/>
    <w:rsid w:val="00F52C87"/>
    <w:rsid w:val="00F54E25"/>
    <w:rsid w:val="00F55A22"/>
    <w:rsid w:val="00F56449"/>
    <w:rsid w:val="00F564A2"/>
    <w:rsid w:val="00F56E29"/>
    <w:rsid w:val="00F56ED2"/>
    <w:rsid w:val="00F5710C"/>
    <w:rsid w:val="00F57236"/>
    <w:rsid w:val="00F60271"/>
    <w:rsid w:val="00F61280"/>
    <w:rsid w:val="00F61E0F"/>
    <w:rsid w:val="00F6347E"/>
    <w:rsid w:val="00F640F9"/>
    <w:rsid w:val="00F6422E"/>
    <w:rsid w:val="00F652C5"/>
    <w:rsid w:val="00F659DB"/>
    <w:rsid w:val="00F66947"/>
    <w:rsid w:val="00F67A8F"/>
    <w:rsid w:val="00F70EDC"/>
    <w:rsid w:val="00F71521"/>
    <w:rsid w:val="00F71D0E"/>
    <w:rsid w:val="00F71DF1"/>
    <w:rsid w:val="00F73336"/>
    <w:rsid w:val="00F73C05"/>
    <w:rsid w:val="00F7436B"/>
    <w:rsid w:val="00F74B9B"/>
    <w:rsid w:val="00F756E8"/>
    <w:rsid w:val="00F76D89"/>
    <w:rsid w:val="00F82497"/>
    <w:rsid w:val="00F8462B"/>
    <w:rsid w:val="00F855F8"/>
    <w:rsid w:val="00F8590E"/>
    <w:rsid w:val="00F862DA"/>
    <w:rsid w:val="00F86503"/>
    <w:rsid w:val="00F90826"/>
    <w:rsid w:val="00F919BB"/>
    <w:rsid w:val="00F9328B"/>
    <w:rsid w:val="00F93BD9"/>
    <w:rsid w:val="00F94EF9"/>
    <w:rsid w:val="00F963AC"/>
    <w:rsid w:val="00F97CDE"/>
    <w:rsid w:val="00FA101E"/>
    <w:rsid w:val="00FA2257"/>
    <w:rsid w:val="00FA2CD8"/>
    <w:rsid w:val="00FA4184"/>
    <w:rsid w:val="00FA5596"/>
    <w:rsid w:val="00FA618E"/>
    <w:rsid w:val="00FA648C"/>
    <w:rsid w:val="00FA6F21"/>
    <w:rsid w:val="00FB00DC"/>
    <w:rsid w:val="00FB08E0"/>
    <w:rsid w:val="00FB276D"/>
    <w:rsid w:val="00FB5D26"/>
    <w:rsid w:val="00FB656F"/>
    <w:rsid w:val="00FB6690"/>
    <w:rsid w:val="00FB72FD"/>
    <w:rsid w:val="00FC0F7A"/>
    <w:rsid w:val="00FC2F15"/>
    <w:rsid w:val="00FC4802"/>
    <w:rsid w:val="00FC4C39"/>
    <w:rsid w:val="00FC5271"/>
    <w:rsid w:val="00FC5725"/>
    <w:rsid w:val="00FC605B"/>
    <w:rsid w:val="00FC60E0"/>
    <w:rsid w:val="00FC680A"/>
    <w:rsid w:val="00FC6BB4"/>
    <w:rsid w:val="00FC799F"/>
    <w:rsid w:val="00FD046F"/>
    <w:rsid w:val="00FD19C6"/>
    <w:rsid w:val="00FD1BBA"/>
    <w:rsid w:val="00FD24CC"/>
    <w:rsid w:val="00FD495C"/>
    <w:rsid w:val="00FD58F5"/>
    <w:rsid w:val="00FD637B"/>
    <w:rsid w:val="00FD63D3"/>
    <w:rsid w:val="00FE0B6C"/>
    <w:rsid w:val="00FE18CE"/>
    <w:rsid w:val="00FE24EC"/>
    <w:rsid w:val="00FE2682"/>
    <w:rsid w:val="00FE57EB"/>
    <w:rsid w:val="00FE6218"/>
    <w:rsid w:val="00FE634D"/>
    <w:rsid w:val="00FE6D25"/>
    <w:rsid w:val="00FE6FB1"/>
    <w:rsid w:val="00FF0295"/>
    <w:rsid w:val="00FF0A79"/>
    <w:rsid w:val="00FF0C10"/>
    <w:rsid w:val="00FF0D78"/>
    <w:rsid w:val="00FF0E35"/>
    <w:rsid w:val="00FF0F47"/>
    <w:rsid w:val="00FF0FD2"/>
    <w:rsid w:val="00FF4A66"/>
    <w:rsid w:val="00FF526B"/>
    <w:rsid w:val="00FF5EF4"/>
    <w:rsid w:val="00FF61B0"/>
    <w:rsid w:val="00FF7501"/>
    <w:rsid w:val="010D6029"/>
    <w:rsid w:val="011B3BFC"/>
    <w:rsid w:val="012104EA"/>
    <w:rsid w:val="01435E85"/>
    <w:rsid w:val="01455969"/>
    <w:rsid w:val="015F50A8"/>
    <w:rsid w:val="01694F4A"/>
    <w:rsid w:val="016F2141"/>
    <w:rsid w:val="01764D8C"/>
    <w:rsid w:val="0191487A"/>
    <w:rsid w:val="01AA1246"/>
    <w:rsid w:val="01BE118B"/>
    <w:rsid w:val="01C72872"/>
    <w:rsid w:val="01E06421"/>
    <w:rsid w:val="022A4273"/>
    <w:rsid w:val="028051BD"/>
    <w:rsid w:val="02973A10"/>
    <w:rsid w:val="02A91BA1"/>
    <w:rsid w:val="02AC21EF"/>
    <w:rsid w:val="02DD20B0"/>
    <w:rsid w:val="02FD35B1"/>
    <w:rsid w:val="0304594D"/>
    <w:rsid w:val="03362153"/>
    <w:rsid w:val="03441AC4"/>
    <w:rsid w:val="03584245"/>
    <w:rsid w:val="035B43DC"/>
    <w:rsid w:val="03960C2A"/>
    <w:rsid w:val="039726BC"/>
    <w:rsid w:val="03A85C76"/>
    <w:rsid w:val="03FC7F47"/>
    <w:rsid w:val="04036024"/>
    <w:rsid w:val="04153112"/>
    <w:rsid w:val="0416532D"/>
    <w:rsid w:val="0421246B"/>
    <w:rsid w:val="04257CF8"/>
    <w:rsid w:val="042A12A1"/>
    <w:rsid w:val="042D1B72"/>
    <w:rsid w:val="043A06FC"/>
    <w:rsid w:val="04440EE8"/>
    <w:rsid w:val="044A5D45"/>
    <w:rsid w:val="046A7D37"/>
    <w:rsid w:val="048831FC"/>
    <w:rsid w:val="048E5820"/>
    <w:rsid w:val="048F7A5B"/>
    <w:rsid w:val="04983481"/>
    <w:rsid w:val="051B4050"/>
    <w:rsid w:val="05200EEC"/>
    <w:rsid w:val="05971BBB"/>
    <w:rsid w:val="05A1512F"/>
    <w:rsid w:val="05A41C80"/>
    <w:rsid w:val="05AD5E9C"/>
    <w:rsid w:val="05DB6BF6"/>
    <w:rsid w:val="05E02986"/>
    <w:rsid w:val="05E749DF"/>
    <w:rsid w:val="05EC3946"/>
    <w:rsid w:val="05EF6923"/>
    <w:rsid w:val="06062039"/>
    <w:rsid w:val="061C4A1A"/>
    <w:rsid w:val="06545C0F"/>
    <w:rsid w:val="065D657B"/>
    <w:rsid w:val="0683530C"/>
    <w:rsid w:val="06956106"/>
    <w:rsid w:val="06982583"/>
    <w:rsid w:val="069B2543"/>
    <w:rsid w:val="06AA587D"/>
    <w:rsid w:val="06C0061B"/>
    <w:rsid w:val="06CC0BAD"/>
    <w:rsid w:val="06DF1386"/>
    <w:rsid w:val="07165266"/>
    <w:rsid w:val="07186440"/>
    <w:rsid w:val="073E6168"/>
    <w:rsid w:val="07475B54"/>
    <w:rsid w:val="074E6C54"/>
    <w:rsid w:val="07772040"/>
    <w:rsid w:val="07944BFB"/>
    <w:rsid w:val="07A96CD8"/>
    <w:rsid w:val="07E07279"/>
    <w:rsid w:val="07F4403B"/>
    <w:rsid w:val="07FF1F7D"/>
    <w:rsid w:val="08061E29"/>
    <w:rsid w:val="081B786A"/>
    <w:rsid w:val="081C34F7"/>
    <w:rsid w:val="082D04CD"/>
    <w:rsid w:val="084701D0"/>
    <w:rsid w:val="08501716"/>
    <w:rsid w:val="08604BD0"/>
    <w:rsid w:val="08822685"/>
    <w:rsid w:val="0889751E"/>
    <w:rsid w:val="08A25AD9"/>
    <w:rsid w:val="08B53C3A"/>
    <w:rsid w:val="09141BF4"/>
    <w:rsid w:val="09254C12"/>
    <w:rsid w:val="09317E9F"/>
    <w:rsid w:val="09391FC3"/>
    <w:rsid w:val="09531A49"/>
    <w:rsid w:val="09536D0E"/>
    <w:rsid w:val="098B1191"/>
    <w:rsid w:val="0990618A"/>
    <w:rsid w:val="09960598"/>
    <w:rsid w:val="099B12D9"/>
    <w:rsid w:val="09DD372A"/>
    <w:rsid w:val="09E74D12"/>
    <w:rsid w:val="09F37A54"/>
    <w:rsid w:val="09FD0EDC"/>
    <w:rsid w:val="0A1C6FA4"/>
    <w:rsid w:val="0A2546B2"/>
    <w:rsid w:val="0A4B1EB5"/>
    <w:rsid w:val="0A604E35"/>
    <w:rsid w:val="0A9E220A"/>
    <w:rsid w:val="0AB61997"/>
    <w:rsid w:val="0AD77EE1"/>
    <w:rsid w:val="0ADF5BEF"/>
    <w:rsid w:val="0AE623C5"/>
    <w:rsid w:val="0AEB18A7"/>
    <w:rsid w:val="0B242620"/>
    <w:rsid w:val="0B2F2A9B"/>
    <w:rsid w:val="0B2F7605"/>
    <w:rsid w:val="0B343FC1"/>
    <w:rsid w:val="0B3A60A2"/>
    <w:rsid w:val="0B4023C2"/>
    <w:rsid w:val="0B4C5E30"/>
    <w:rsid w:val="0B4D3131"/>
    <w:rsid w:val="0B4F56AD"/>
    <w:rsid w:val="0B72517D"/>
    <w:rsid w:val="0B8F1076"/>
    <w:rsid w:val="0BB0283D"/>
    <w:rsid w:val="0BC74CBE"/>
    <w:rsid w:val="0BD778FE"/>
    <w:rsid w:val="0BE36526"/>
    <w:rsid w:val="0BE93A11"/>
    <w:rsid w:val="0BF917FF"/>
    <w:rsid w:val="0BFC75F2"/>
    <w:rsid w:val="0C28597F"/>
    <w:rsid w:val="0C3507E5"/>
    <w:rsid w:val="0C3C1564"/>
    <w:rsid w:val="0C516DBB"/>
    <w:rsid w:val="0C524D46"/>
    <w:rsid w:val="0CA0003A"/>
    <w:rsid w:val="0CA5180B"/>
    <w:rsid w:val="0CB32B18"/>
    <w:rsid w:val="0CCF5348"/>
    <w:rsid w:val="0CF0339C"/>
    <w:rsid w:val="0D1B08A6"/>
    <w:rsid w:val="0D2B4535"/>
    <w:rsid w:val="0D3A4516"/>
    <w:rsid w:val="0D545781"/>
    <w:rsid w:val="0D5F12B2"/>
    <w:rsid w:val="0D703A42"/>
    <w:rsid w:val="0D7C5167"/>
    <w:rsid w:val="0D8A0D38"/>
    <w:rsid w:val="0DA106CB"/>
    <w:rsid w:val="0DA91A1B"/>
    <w:rsid w:val="0DCA496F"/>
    <w:rsid w:val="0DD21A63"/>
    <w:rsid w:val="0DD47CFA"/>
    <w:rsid w:val="0DE00927"/>
    <w:rsid w:val="0E0B4775"/>
    <w:rsid w:val="0E1E6F2A"/>
    <w:rsid w:val="0E313C30"/>
    <w:rsid w:val="0E3517AA"/>
    <w:rsid w:val="0E5D7413"/>
    <w:rsid w:val="0E722040"/>
    <w:rsid w:val="0EB309CF"/>
    <w:rsid w:val="0EBE46BE"/>
    <w:rsid w:val="0ED86AA2"/>
    <w:rsid w:val="0EFC3568"/>
    <w:rsid w:val="0F10031D"/>
    <w:rsid w:val="0F1B58AF"/>
    <w:rsid w:val="0F1D73F7"/>
    <w:rsid w:val="0F28054F"/>
    <w:rsid w:val="0F2F17B6"/>
    <w:rsid w:val="0F4D23A6"/>
    <w:rsid w:val="0FA86D47"/>
    <w:rsid w:val="0FAD4C0B"/>
    <w:rsid w:val="0FB31A8F"/>
    <w:rsid w:val="0FBB0195"/>
    <w:rsid w:val="0FED4881"/>
    <w:rsid w:val="10036C51"/>
    <w:rsid w:val="101653E5"/>
    <w:rsid w:val="103509C9"/>
    <w:rsid w:val="10397884"/>
    <w:rsid w:val="104C3C9D"/>
    <w:rsid w:val="10652957"/>
    <w:rsid w:val="107310C9"/>
    <w:rsid w:val="10950BFC"/>
    <w:rsid w:val="109C40C0"/>
    <w:rsid w:val="10B54F82"/>
    <w:rsid w:val="10C5661F"/>
    <w:rsid w:val="10D736FC"/>
    <w:rsid w:val="10DF7750"/>
    <w:rsid w:val="10F50192"/>
    <w:rsid w:val="11120BA9"/>
    <w:rsid w:val="111E4786"/>
    <w:rsid w:val="113B1AFF"/>
    <w:rsid w:val="113B4883"/>
    <w:rsid w:val="1153738E"/>
    <w:rsid w:val="115E7ECD"/>
    <w:rsid w:val="116B779F"/>
    <w:rsid w:val="118779A9"/>
    <w:rsid w:val="11891449"/>
    <w:rsid w:val="11C50FD8"/>
    <w:rsid w:val="11CD2BBC"/>
    <w:rsid w:val="11F06170"/>
    <w:rsid w:val="1206361F"/>
    <w:rsid w:val="120A2754"/>
    <w:rsid w:val="12102E87"/>
    <w:rsid w:val="12660E14"/>
    <w:rsid w:val="12713FB2"/>
    <w:rsid w:val="12715FEF"/>
    <w:rsid w:val="12836BC9"/>
    <w:rsid w:val="128C45EA"/>
    <w:rsid w:val="12960907"/>
    <w:rsid w:val="129A6B24"/>
    <w:rsid w:val="12A82B2B"/>
    <w:rsid w:val="12AA2654"/>
    <w:rsid w:val="12C22778"/>
    <w:rsid w:val="12C31E08"/>
    <w:rsid w:val="12C6727A"/>
    <w:rsid w:val="12CB1E2F"/>
    <w:rsid w:val="12D737E7"/>
    <w:rsid w:val="12DB4FD7"/>
    <w:rsid w:val="12E013E4"/>
    <w:rsid w:val="12EF7C19"/>
    <w:rsid w:val="12F06F24"/>
    <w:rsid w:val="12F7336F"/>
    <w:rsid w:val="131210FD"/>
    <w:rsid w:val="132E767A"/>
    <w:rsid w:val="13455959"/>
    <w:rsid w:val="13503997"/>
    <w:rsid w:val="13697AD6"/>
    <w:rsid w:val="136D60B5"/>
    <w:rsid w:val="137914BB"/>
    <w:rsid w:val="13821CDC"/>
    <w:rsid w:val="13920B3D"/>
    <w:rsid w:val="139831BE"/>
    <w:rsid w:val="139A17C6"/>
    <w:rsid w:val="139A6A10"/>
    <w:rsid w:val="13AB3240"/>
    <w:rsid w:val="13B3532D"/>
    <w:rsid w:val="13B557EA"/>
    <w:rsid w:val="13DF28E2"/>
    <w:rsid w:val="13E01475"/>
    <w:rsid w:val="13E31AF0"/>
    <w:rsid w:val="13E42476"/>
    <w:rsid w:val="13FA3575"/>
    <w:rsid w:val="1405562B"/>
    <w:rsid w:val="140E4EEE"/>
    <w:rsid w:val="14500201"/>
    <w:rsid w:val="14554456"/>
    <w:rsid w:val="14617079"/>
    <w:rsid w:val="1462715F"/>
    <w:rsid w:val="14641BB1"/>
    <w:rsid w:val="147668AE"/>
    <w:rsid w:val="147C5124"/>
    <w:rsid w:val="14811254"/>
    <w:rsid w:val="14A109A5"/>
    <w:rsid w:val="14A40768"/>
    <w:rsid w:val="14D60DC4"/>
    <w:rsid w:val="14E43031"/>
    <w:rsid w:val="14EF5692"/>
    <w:rsid w:val="15283CFE"/>
    <w:rsid w:val="154410F5"/>
    <w:rsid w:val="15665B61"/>
    <w:rsid w:val="157F0A64"/>
    <w:rsid w:val="15821C68"/>
    <w:rsid w:val="15A33236"/>
    <w:rsid w:val="15C23F41"/>
    <w:rsid w:val="15F26EA7"/>
    <w:rsid w:val="15F5154D"/>
    <w:rsid w:val="160722CF"/>
    <w:rsid w:val="16074934"/>
    <w:rsid w:val="161404C8"/>
    <w:rsid w:val="16155A6F"/>
    <w:rsid w:val="1664374B"/>
    <w:rsid w:val="168542E5"/>
    <w:rsid w:val="16947B35"/>
    <w:rsid w:val="16991253"/>
    <w:rsid w:val="16AE5FC1"/>
    <w:rsid w:val="16C51974"/>
    <w:rsid w:val="16D643E8"/>
    <w:rsid w:val="16D9487B"/>
    <w:rsid w:val="17095F5C"/>
    <w:rsid w:val="170F2C95"/>
    <w:rsid w:val="17173C5A"/>
    <w:rsid w:val="171D2131"/>
    <w:rsid w:val="17286003"/>
    <w:rsid w:val="17303C90"/>
    <w:rsid w:val="17406A0D"/>
    <w:rsid w:val="174378AE"/>
    <w:rsid w:val="174C04B6"/>
    <w:rsid w:val="1762096D"/>
    <w:rsid w:val="17655B5C"/>
    <w:rsid w:val="178E6F5E"/>
    <w:rsid w:val="178E7A6B"/>
    <w:rsid w:val="17A1129C"/>
    <w:rsid w:val="17AD0FA9"/>
    <w:rsid w:val="17AE07D2"/>
    <w:rsid w:val="17BC01D7"/>
    <w:rsid w:val="17BD134E"/>
    <w:rsid w:val="17D7693E"/>
    <w:rsid w:val="17E75E45"/>
    <w:rsid w:val="17E85FEE"/>
    <w:rsid w:val="17F02CB7"/>
    <w:rsid w:val="17F92BDA"/>
    <w:rsid w:val="18017063"/>
    <w:rsid w:val="18071995"/>
    <w:rsid w:val="18471160"/>
    <w:rsid w:val="18632CB2"/>
    <w:rsid w:val="188863B8"/>
    <w:rsid w:val="18B129F7"/>
    <w:rsid w:val="18D536D9"/>
    <w:rsid w:val="18E04256"/>
    <w:rsid w:val="18FC5AD9"/>
    <w:rsid w:val="19132FD1"/>
    <w:rsid w:val="19365280"/>
    <w:rsid w:val="193776F8"/>
    <w:rsid w:val="194C58CD"/>
    <w:rsid w:val="196B648B"/>
    <w:rsid w:val="19A02004"/>
    <w:rsid w:val="19A22E07"/>
    <w:rsid w:val="19C400F6"/>
    <w:rsid w:val="19DA1AF8"/>
    <w:rsid w:val="19F04EF6"/>
    <w:rsid w:val="1A0B3AE3"/>
    <w:rsid w:val="1A227DF3"/>
    <w:rsid w:val="1A3B5849"/>
    <w:rsid w:val="1A543778"/>
    <w:rsid w:val="1A6D64F1"/>
    <w:rsid w:val="1A943C18"/>
    <w:rsid w:val="1A946414"/>
    <w:rsid w:val="1A9E33CF"/>
    <w:rsid w:val="1ACC0B96"/>
    <w:rsid w:val="1AE42B39"/>
    <w:rsid w:val="1AF94720"/>
    <w:rsid w:val="1AFF15FA"/>
    <w:rsid w:val="1B1A5E79"/>
    <w:rsid w:val="1B287A81"/>
    <w:rsid w:val="1B577A54"/>
    <w:rsid w:val="1B68562A"/>
    <w:rsid w:val="1B6C3813"/>
    <w:rsid w:val="1B711413"/>
    <w:rsid w:val="1B764D9C"/>
    <w:rsid w:val="1B972BB3"/>
    <w:rsid w:val="1B9E4874"/>
    <w:rsid w:val="1BB1026F"/>
    <w:rsid w:val="1BBD4591"/>
    <w:rsid w:val="1BCA3DA6"/>
    <w:rsid w:val="1BE30A17"/>
    <w:rsid w:val="1BE76F69"/>
    <w:rsid w:val="1C4972C8"/>
    <w:rsid w:val="1C552E56"/>
    <w:rsid w:val="1C856D7D"/>
    <w:rsid w:val="1C862D9C"/>
    <w:rsid w:val="1CB351D4"/>
    <w:rsid w:val="1CBD75BE"/>
    <w:rsid w:val="1CED1549"/>
    <w:rsid w:val="1D0F22CB"/>
    <w:rsid w:val="1D4516B9"/>
    <w:rsid w:val="1D520DBD"/>
    <w:rsid w:val="1D6574F5"/>
    <w:rsid w:val="1D9A3E7A"/>
    <w:rsid w:val="1DA523A2"/>
    <w:rsid w:val="1DA672C3"/>
    <w:rsid w:val="1DAC4E73"/>
    <w:rsid w:val="1DB963DE"/>
    <w:rsid w:val="1DD83E2B"/>
    <w:rsid w:val="1DE90377"/>
    <w:rsid w:val="1DFE7106"/>
    <w:rsid w:val="1E167DFE"/>
    <w:rsid w:val="1E294F53"/>
    <w:rsid w:val="1E3C24EE"/>
    <w:rsid w:val="1E4A3743"/>
    <w:rsid w:val="1E8A3F0E"/>
    <w:rsid w:val="1E990543"/>
    <w:rsid w:val="1EA44F54"/>
    <w:rsid w:val="1ECA5E33"/>
    <w:rsid w:val="1ED35AA3"/>
    <w:rsid w:val="1EF24675"/>
    <w:rsid w:val="1F562A55"/>
    <w:rsid w:val="1F5F55A9"/>
    <w:rsid w:val="1F6933BA"/>
    <w:rsid w:val="1F775C04"/>
    <w:rsid w:val="1FA81CFF"/>
    <w:rsid w:val="1FD2438E"/>
    <w:rsid w:val="1FD4184C"/>
    <w:rsid w:val="1FD86ABB"/>
    <w:rsid w:val="200A5B20"/>
    <w:rsid w:val="20481D1F"/>
    <w:rsid w:val="204C7932"/>
    <w:rsid w:val="2058444D"/>
    <w:rsid w:val="20623AF3"/>
    <w:rsid w:val="206B65F7"/>
    <w:rsid w:val="206E499C"/>
    <w:rsid w:val="207A1BC0"/>
    <w:rsid w:val="20C66772"/>
    <w:rsid w:val="20CF4C0F"/>
    <w:rsid w:val="20F300A5"/>
    <w:rsid w:val="212542BE"/>
    <w:rsid w:val="214D574E"/>
    <w:rsid w:val="2154483D"/>
    <w:rsid w:val="215B2BCB"/>
    <w:rsid w:val="215E719C"/>
    <w:rsid w:val="21903E1C"/>
    <w:rsid w:val="219F0019"/>
    <w:rsid w:val="21B24DD5"/>
    <w:rsid w:val="21B6795C"/>
    <w:rsid w:val="21BC16A3"/>
    <w:rsid w:val="21CE1F3D"/>
    <w:rsid w:val="22004095"/>
    <w:rsid w:val="22073CD6"/>
    <w:rsid w:val="22364E30"/>
    <w:rsid w:val="226A1E07"/>
    <w:rsid w:val="226C4511"/>
    <w:rsid w:val="228E0894"/>
    <w:rsid w:val="2292476F"/>
    <w:rsid w:val="22B7113A"/>
    <w:rsid w:val="22D35E43"/>
    <w:rsid w:val="230839E1"/>
    <w:rsid w:val="2356678E"/>
    <w:rsid w:val="23773D7D"/>
    <w:rsid w:val="237E4FCF"/>
    <w:rsid w:val="238557C2"/>
    <w:rsid w:val="238778D9"/>
    <w:rsid w:val="2398326B"/>
    <w:rsid w:val="23A41386"/>
    <w:rsid w:val="23DD1C34"/>
    <w:rsid w:val="23F312F4"/>
    <w:rsid w:val="242A46D8"/>
    <w:rsid w:val="24465F84"/>
    <w:rsid w:val="244D2519"/>
    <w:rsid w:val="245060A9"/>
    <w:rsid w:val="247F3614"/>
    <w:rsid w:val="24B908BB"/>
    <w:rsid w:val="24C747AB"/>
    <w:rsid w:val="24D9783A"/>
    <w:rsid w:val="25046852"/>
    <w:rsid w:val="25220995"/>
    <w:rsid w:val="25233248"/>
    <w:rsid w:val="25425CA0"/>
    <w:rsid w:val="25582645"/>
    <w:rsid w:val="25631D29"/>
    <w:rsid w:val="25731827"/>
    <w:rsid w:val="257D0703"/>
    <w:rsid w:val="25807A81"/>
    <w:rsid w:val="259368FF"/>
    <w:rsid w:val="25B136FE"/>
    <w:rsid w:val="25D666F9"/>
    <w:rsid w:val="25D8373B"/>
    <w:rsid w:val="260B41A9"/>
    <w:rsid w:val="262207EF"/>
    <w:rsid w:val="26310B9E"/>
    <w:rsid w:val="263E26CA"/>
    <w:rsid w:val="26691DF7"/>
    <w:rsid w:val="269452DB"/>
    <w:rsid w:val="26973229"/>
    <w:rsid w:val="26990600"/>
    <w:rsid w:val="269B19ED"/>
    <w:rsid w:val="26FC512A"/>
    <w:rsid w:val="270A313A"/>
    <w:rsid w:val="271F70A5"/>
    <w:rsid w:val="273932A4"/>
    <w:rsid w:val="27A93E97"/>
    <w:rsid w:val="27B26AE2"/>
    <w:rsid w:val="27BD299A"/>
    <w:rsid w:val="27CC12AD"/>
    <w:rsid w:val="27D172E0"/>
    <w:rsid w:val="27DA2331"/>
    <w:rsid w:val="27EE4E6C"/>
    <w:rsid w:val="27F15F81"/>
    <w:rsid w:val="28021134"/>
    <w:rsid w:val="2818036D"/>
    <w:rsid w:val="281D7B5F"/>
    <w:rsid w:val="28370BFF"/>
    <w:rsid w:val="283A5DD8"/>
    <w:rsid w:val="283D3BE9"/>
    <w:rsid w:val="2845351D"/>
    <w:rsid w:val="285048C9"/>
    <w:rsid w:val="288E4D8F"/>
    <w:rsid w:val="28A14CC3"/>
    <w:rsid w:val="28C864B2"/>
    <w:rsid w:val="28E848A9"/>
    <w:rsid w:val="28FA6DCE"/>
    <w:rsid w:val="29255620"/>
    <w:rsid w:val="292A182C"/>
    <w:rsid w:val="292A3E11"/>
    <w:rsid w:val="292D16CA"/>
    <w:rsid w:val="29571E07"/>
    <w:rsid w:val="296F08C0"/>
    <w:rsid w:val="29C0238E"/>
    <w:rsid w:val="2A053B62"/>
    <w:rsid w:val="2A073A75"/>
    <w:rsid w:val="2A160E2D"/>
    <w:rsid w:val="2A1B5789"/>
    <w:rsid w:val="2A476F5A"/>
    <w:rsid w:val="2A727242"/>
    <w:rsid w:val="2A7F300D"/>
    <w:rsid w:val="2A804336"/>
    <w:rsid w:val="2A9D7595"/>
    <w:rsid w:val="2AB56AF2"/>
    <w:rsid w:val="2AB56FE8"/>
    <w:rsid w:val="2AB71C12"/>
    <w:rsid w:val="2AC25F8A"/>
    <w:rsid w:val="2AC90642"/>
    <w:rsid w:val="2AF02D2A"/>
    <w:rsid w:val="2AFB6279"/>
    <w:rsid w:val="2AFD34A8"/>
    <w:rsid w:val="2B0E718A"/>
    <w:rsid w:val="2B121AB3"/>
    <w:rsid w:val="2B2119A9"/>
    <w:rsid w:val="2B5816AE"/>
    <w:rsid w:val="2B745FE4"/>
    <w:rsid w:val="2B8509FC"/>
    <w:rsid w:val="2BA05488"/>
    <w:rsid w:val="2BAF0C24"/>
    <w:rsid w:val="2BB55194"/>
    <w:rsid w:val="2BB74C3B"/>
    <w:rsid w:val="2BC0300C"/>
    <w:rsid w:val="2BFB75AC"/>
    <w:rsid w:val="2C023D50"/>
    <w:rsid w:val="2C104FBF"/>
    <w:rsid w:val="2C4E36B9"/>
    <w:rsid w:val="2C5D00B9"/>
    <w:rsid w:val="2C600498"/>
    <w:rsid w:val="2C6C5ABB"/>
    <w:rsid w:val="2C7B6DD2"/>
    <w:rsid w:val="2C7E321E"/>
    <w:rsid w:val="2C7F2676"/>
    <w:rsid w:val="2CC24726"/>
    <w:rsid w:val="2CDE5E73"/>
    <w:rsid w:val="2CE109D5"/>
    <w:rsid w:val="2CED0394"/>
    <w:rsid w:val="2CF202EE"/>
    <w:rsid w:val="2D29120A"/>
    <w:rsid w:val="2D3006B4"/>
    <w:rsid w:val="2D332598"/>
    <w:rsid w:val="2D48397C"/>
    <w:rsid w:val="2D501C04"/>
    <w:rsid w:val="2D5B1F9D"/>
    <w:rsid w:val="2D84731D"/>
    <w:rsid w:val="2DC75055"/>
    <w:rsid w:val="2DE10948"/>
    <w:rsid w:val="2E012A1D"/>
    <w:rsid w:val="2E1B78B5"/>
    <w:rsid w:val="2E327327"/>
    <w:rsid w:val="2E4377E8"/>
    <w:rsid w:val="2E7F3BD6"/>
    <w:rsid w:val="2E9637FB"/>
    <w:rsid w:val="2EA11B8C"/>
    <w:rsid w:val="2EAD0B7A"/>
    <w:rsid w:val="2EC46569"/>
    <w:rsid w:val="2EE97C49"/>
    <w:rsid w:val="2EF875B2"/>
    <w:rsid w:val="2EFD0592"/>
    <w:rsid w:val="2EFE7FB8"/>
    <w:rsid w:val="2F0A3940"/>
    <w:rsid w:val="2F581C9B"/>
    <w:rsid w:val="2F63795C"/>
    <w:rsid w:val="2F944537"/>
    <w:rsid w:val="2F9E1E2F"/>
    <w:rsid w:val="2FA9509C"/>
    <w:rsid w:val="2FC51CEF"/>
    <w:rsid w:val="2FD3636C"/>
    <w:rsid w:val="2FD61904"/>
    <w:rsid w:val="2FDC6090"/>
    <w:rsid w:val="2FE105D4"/>
    <w:rsid w:val="2FEC5827"/>
    <w:rsid w:val="2FEF4E8F"/>
    <w:rsid w:val="300234B0"/>
    <w:rsid w:val="301A54F5"/>
    <w:rsid w:val="30357A1A"/>
    <w:rsid w:val="3042186F"/>
    <w:rsid w:val="30563009"/>
    <w:rsid w:val="305A13BC"/>
    <w:rsid w:val="305F1114"/>
    <w:rsid w:val="30AF0673"/>
    <w:rsid w:val="30CD7ED7"/>
    <w:rsid w:val="30F53A33"/>
    <w:rsid w:val="30F76F62"/>
    <w:rsid w:val="310A0859"/>
    <w:rsid w:val="31500D54"/>
    <w:rsid w:val="316151D2"/>
    <w:rsid w:val="31650175"/>
    <w:rsid w:val="3167550C"/>
    <w:rsid w:val="31883E99"/>
    <w:rsid w:val="31AB42FC"/>
    <w:rsid w:val="31D17E27"/>
    <w:rsid w:val="31DD5DD0"/>
    <w:rsid w:val="31F32BFB"/>
    <w:rsid w:val="31F91DC5"/>
    <w:rsid w:val="31FF26EA"/>
    <w:rsid w:val="321F2DC7"/>
    <w:rsid w:val="32395856"/>
    <w:rsid w:val="323C1DC2"/>
    <w:rsid w:val="326F3791"/>
    <w:rsid w:val="32921AF1"/>
    <w:rsid w:val="329842EE"/>
    <w:rsid w:val="32B500A7"/>
    <w:rsid w:val="32C92764"/>
    <w:rsid w:val="32CE4D6A"/>
    <w:rsid w:val="32D77563"/>
    <w:rsid w:val="32E27CEB"/>
    <w:rsid w:val="32F9566D"/>
    <w:rsid w:val="33007FE7"/>
    <w:rsid w:val="33074CB8"/>
    <w:rsid w:val="330B726F"/>
    <w:rsid w:val="331667B3"/>
    <w:rsid w:val="333B7803"/>
    <w:rsid w:val="33432D6E"/>
    <w:rsid w:val="33477940"/>
    <w:rsid w:val="334A3FEA"/>
    <w:rsid w:val="338E7339"/>
    <w:rsid w:val="33A331E9"/>
    <w:rsid w:val="33D2667B"/>
    <w:rsid w:val="33DA08AA"/>
    <w:rsid w:val="33E86433"/>
    <w:rsid w:val="33EF460C"/>
    <w:rsid w:val="341F6809"/>
    <w:rsid w:val="34287EA7"/>
    <w:rsid w:val="343D58B5"/>
    <w:rsid w:val="34596B5E"/>
    <w:rsid w:val="346E7E22"/>
    <w:rsid w:val="3496021D"/>
    <w:rsid w:val="349D2181"/>
    <w:rsid w:val="349E6073"/>
    <w:rsid w:val="34A41009"/>
    <w:rsid w:val="34BC18B5"/>
    <w:rsid w:val="34F42723"/>
    <w:rsid w:val="35065865"/>
    <w:rsid w:val="350A469D"/>
    <w:rsid w:val="35362BE4"/>
    <w:rsid w:val="353E3306"/>
    <w:rsid w:val="35437475"/>
    <w:rsid w:val="35494579"/>
    <w:rsid w:val="356D7E74"/>
    <w:rsid w:val="3594447D"/>
    <w:rsid w:val="35C46223"/>
    <w:rsid w:val="35EF7858"/>
    <w:rsid w:val="35FB24CB"/>
    <w:rsid w:val="360F6701"/>
    <w:rsid w:val="36133688"/>
    <w:rsid w:val="3620287D"/>
    <w:rsid w:val="36580963"/>
    <w:rsid w:val="366E7E8C"/>
    <w:rsid w:val="368521DE"/>
    <w:rsid w:val="36922DCA"/>
    <w:rsid w:val="36A22A1B"/>
    <w:rsid w:val="36A43530"/>
    <w:rsid w:val="36B757BB"/>
    <w:rsid w:val="36C148C7"/>
    <w:rsid w:val="36C87DCC"/>
    <w:rsid w:val="37003B26"/>
    <w:rsid w:val="37452628"/>
    <w:rsid w:val="378255DF"/>
    <w:rsid w:val="3797444D"/>
    <w:rsid w:val="379E3DFB"/>
    <w:rsid w:val="37B90BE8"/>
    <w:rsid w:val="37D635D9"/>
    <w:rsid w:val="37DC01F5"/>
    <w:rsid w:val="37E142CF"/>
    <w:rsid w:val="37E84938"/>
    <w:rsid w:val="380C7DC4"/>
    <w:rsid w:val="384D2D7D"/>
    <w:rsid w:val="38615AD6"/>
    <w:rsid w:val="386376E3"/>
    <w:rsid w:val="38652DB7"/>
    <w:rsid w:val="387E2E3A"/>
    <w:rsid w:val="388041E5"/>
    <w:rsid w:val="389A4ED3"/>
    <w:rsid w:val="38D97AAC"/>
    <w:rsid w:val="392F4880"/>
    <w:rsid w:val="39485D1D"/>
    <w:rsid w:val="39527308"/>
    <w:rsid w:val="39530089"/>
    <w:rsid w:val="39593406"/>
    <w:rsid w:val="39616F88"/>
    <w:rsid w:val="39926C95"/>
    <w:rsid w:val="39AF6BFD"/>
    <w:rsid w:val="39B53699"/>
    <w:rsid w:val="39B84773"/>
    <w:rsid w:val="39D07FDA"/>
    <w:rsid w:val="39D8054D"/>
    <w:rsid w:val="39E1772F"/>
    <w:rsid w:val="39E5766B"/>
    <w:rsid w:val="3A053414"/>
    <w:rsid w:val="3A5709F4"/>
    <w:rsid w:val="3A595D81"/>
    <w:rsid w:val="3A83364D"/>
    <w:rsid w:val="3AB12A8C"/>
    <w:rsid w:val="3B1967F9"/>
    <w:rsid w:val="3B38505F"/>
    <w:rsid w:val="3B3A182A"/>
    <w:rsid w:val="3B9E3B8B"/>
    <w:rsid w:val="3BB72A15"/>
    <w:rsid w:val="3BBC6F65"/>
    <w:rsid w:val="3BC639CA"/>
    <w:rsid w:val="3BE4618F"/>
    <w:rsid w:val="3C066F08"/>
    <w:rsid w:val="3C0945CE"/>
    <w:rsid w:val="3C172943"/>
    <w:rsid w:val="3C2737FE"/>
    <w:rsid w:val="3C2F6FCB"/>
    <w:rsid w:val="3C54734F"/>
    <w:rsid w:val="3C5A121B"/>
    <w:rsid w:val="3C5B1911"/>
    <w:rsid w:val="3C946E91"/>
    <w:rsid w:val="3C9862EA"/>
    <w:rsid w:val="3CCC402B"/>
    <w:rsid w:val="3CE368C0"/>
    <w:rsid w:val="3CE425D8"/>
    <w:rsid w:val="3CE83854"/>
    <w:rsid w:val="3CEB03F5"/>
    <w:rsid w:val="3CED4E43"/>
    <w:rsid w:val="3D0F48FB"/>
    <w:rsid w:val="3D1806C5"/>
    <w:rsid w:val="3D251CE7"/>
    <w:rsid w:val="3D2967BB"/>
    <w:rsid w:val="3D2E0C69"/>
    <w:rsid w:val="3D363575"/>
    <w:rsid w:val="3D3E7B87"/>
    <w:rsid w:val="3D4851A4"/>
    <w:rsid w:val="3D4C429F"/>
    <w:rsid w:val="3D4D34BC"/>
    <w:rsid w:val="3D6438A7"/>
    <w:rsid w:val="3D801979"/>
    <w:rsid w:val="3D8C258A"/>
    <w:rsid w:val="3DB4575B"/>
    <w:rsid w:val="3DBA4204"/>
    <w:rsid w:val="3DBA730F"/>
    <w:rsid w:val="3DC33D95"/>
    <w:rsid w:val="3DC9357C"/>
    <w:rsid w:val="3DD02612"/>
    <w:rsid w:val="3DE11772"/>
    <w:rsid w:val="3DED132A"/>
    <w:rsid w:val="3DF7346F"/>
    <w:rsid w:val="3E1028FB"/>
    <w:rsid w:val="3E4126D6"/>
    <w:rsid w:val="3E5E7343"/>
    <w:rsid w:val="3E6A08F3"/>
    <w:rsid w:val="3E7F534F"/>
    <w:rsid w:val="3E916D2C"/>
    <w:rsid w:val="3EC048E6"/>
    <w:rsid w:val="3EC67E95"/>
    <w:rsid w:val="3EDC1AC1"/>
    <w:rsid w:val="3EE42427"/>
    <w:rsid w:val="3F30684A"/>
    <w:rsid w:val="3F551B76"/>
    <w:rsid w:val="3F557942"/>
    <w:rsid w:val="3F561FB5"/>
    <w:rsid w:val="3F573F92"/>
    <w:rsid w:val="3F5A5D35"/>
    <w:rsid w:val="3F6B1F5B"/>
    <w:rsid w:val="3FA1272D"/>
    <w:rsid w:val="3FA832F6"/>
    <w:rsid w:val="3FD73028"/>
    <w:rsid w:val="3FEB3C2C"/>
    <w:rsid w:val="3FF9543E"/>
    <w:rsid w:val="3FF97FE0"/>
    <w:rsid w:val="3FFA6C1A"/>
    <w:rsid w:val="400725BE"/>
    <w:rsid w:val="40153F81"/>
    <w:rsid w:val="403776EF"/>
    <w:rsid w:val="404339FD"/>
    <w:rsid w:val="404E101B"/>
    <w:rsid w:val="405F3F0B"/>
    <w:rsid w:val="4061240A"/>
    <w:rsid w:val="4061277B"/>
    <w:rsid w:val="409C39FC"/>
    <w:rsid w:val="40BB62FB"/>
    <w:rsid w:val="40F02178"/>
    <w:rsid w:val="40F45F09"/>
    <w:rsid w:val="410729E6"/>
    <w:rsid w:val="41130B36"/>
    <w:rsid w:val="41233D95"/>
    <w:rsid w:val="413713F7"/>
    <w:rsid w:val="41523BBA"/>
    <w:rsid w:val="415B07AB"/>
    <w:rsid w:val="41635F55"/>
    <w:rsid w:val="41697F5C"/>
    <w:rsid w:val="416E7549"/>
    <w:rsid w:val="41720507"/>
    <w:rsid w:val="417A406F"/>
    <w:rsid w:val="41901244"/>
    <w:rsid w:val="419F13C7"/>
    <w:rsid w:val="41B9368C"/>
    <w:rsid w:val="41C87F0D"/>
    <w:rsid w:val="41D24967"/>
    <w:rsid w:val="41FB05C4"/>
    <w:rsid w:val="420706C4"/>
    <w:rsid w:val="421A1919"/>
    <w:rsid w:val="4235581C"/>
    <w:rsid w:val="42415447"/>
    <w:rsid w:val="424C00F3"/>
    <w:rsid w:val="425C610D"/>
    <w:rsid w:val="42857771"/>
    <w:rsid w:val="4286740D"/>
    <w:rsid w:val="428903DC"/>
    <w:rsid w:val="42AD0D83"/>
    <w:rsid w:val="42B023D8"/>
    <w:rsid w:val="42B83E3A"/>
    <w:rsid w:val="42C52AEC"/>
    <w:rsid w:val="42E021EA"/>
    <w:rsid w:val="42F0074A"/>
    <w:rsid w:val="43306714"/>
    <w:rsid w:val="43447EA2"/>
    <w:rsid w:val="434A697C"/>
    <w:rsid w:val="434E4D81"/>
    <w:rsid w:val="435506FA"/>
    <w:rsid w:val="436B5075"/>
    <w:rsid w:val="436F19E8"/>
    <w:rsid w:val="438E45F7"/>
    <w:rsid w:val="43A90069"/>
    <w:rsid w:val="43AF23AF"/>
    <w:rsid w:val="43B51A7E"/>
    <w:rsid w:val="43B8621C"/>
    <w:rsid w:val="43CA28BD"/>
    <w:rsid w:val="43DE3034"/>
    <w:rsid w:val="43E50648"/>
    <w:rsid w:val="43F2090B"/>
    <w:rsid w:val="441F1A28"/>
    <w:rsid w:val="44443E1C"/>
    <w:rsid w:val="44530E0A"/>
    <w:rsid w:val="445A0553"/>
    <w:rsid w:val="445E1AA3"/>
    <w:rsid w:val="447522A1"/>
    <w:rsid w:val="44865DE5"/>
    <w:rsid w:val="448715D8"/>
    <w:rsid w:val="44A11350"/>
    <w:rsid w:val="44A92F10"/>
    <w:rsid w:val="44B1639B"/>
    <w:rsid w:val="44BC650F"/>
    <w:rsid w:val="44C431D7"/>
    <w:rsid w:val="454F4AED"/>
    <w:rsid w:val="45647867"/>
    <w:rsid w:val="45651D8B"/>
    <w:rsid w:val="456C21AD"/>
    <w:rsid w:val="458B4D08"/>
    <w:rsid w:val="4593780C"/>
    <w:rsid w:val="45B462B4"/>
    <w:rsid w:val="45B478F8"/>
    <w:rsid w:val="45C3139C"/>
    <w:rsid w:val="45D065AB"/>
    <w:rsid w:val="45F12920"/>
    <w:rsid w:val="45F17F0A"/>
    <w:rsid w:val="45F821EF"/>
    <w:rsid w:val="46445004"/>
    <w:rsid w:val="464677AA"/>
    <w:rsid w:val="466C7E23"/>
    <w:rsid w:val="468D4CF1"/>
    <w:rsid w:val="46946482"/>
    <w:rsid w:val="469A6944"/>
    <w:rsid w:val="46B07934"/>
    <w:rsid w:val="46C4652A"/>
    <w:rsid w:val="46E86BE3"/>
    <w:rsid w:val="472F0C52"/>
    <w:rsid w:val="47352A8C"/>
    <w:rsid w:val="47431751"/>
    <w:rsid w:val="47462D0E"/>
    <w:rsid w:val="474B1BD3"/>
    <w:rsid w:val="47542800"/>
    <w:rsid w:val="479507AF"/>
    <w:rsid w:val="47A71BD2"/>
    <w:rsid w:val="47B8673C"/>
    <w:rsid w:val="47C905C3"/>
    <w:rsid w:val="47EF002C"/>
    <w:rsid w:val="48050383"/>
    <w:rsid w:val="481C0CDA"/>
    <w:rsid w:val="482C75E6"/>
    <w:rsid w:val="483112B0"/>
    <w:rsid w:val="483601F5"/>
    <w:rsid w:val="48496B99"/>
    <w:rsid w:val="48586FAC"/>
    <w:rsid w:val="4871506A"/>
    <w:rsid w:val="48A4316D"/>
    <w:rsid w:val="48B45DA1"/>
    <w:rsid w:val="48C13826"/>
    <w:rsid w:val="48F64019"/>
    <w:rsid w:val="48F823C3"/>
    <w:rsid w:val="49224C02"/>
    <w:rsid w:val="49244F48"/>
    <w:rsid w:val="493C2D24"/>
    <w:rsid w:val="494E5115"/>
    <w:rsid w:val="49886EFF"/>
    <w:rsid w:val="49C411C0"/>
    <w:rsid w:val="49C92659"/>
    <w:rsid w:val="49E3551C"/>
    <w:rsid w:val="49FD7896"/>
    <w:rsid w:val="4A107510"/>
    <w:rsid w:val="4A3B5F84"/>
    <w:rsid w:val="4A445565"/>
    <w:rsid w:val="4A4F0FFA"/>
    <w:rsid w:val="4A62414D"/>
    <w:rsid w:val="4A707767"/>
    <w:rsid w:val="4A9C2C23"/>
    <w:rsid w:val="4AA7505E"/>
    <w:rsid w:val="4AAE1748"/>
    <w:rsid w:val="4AB82017"/>
    <w:rsid w:val="4AC15CAE"/>
    <w:rsid w:val="4B4E3613"/>
    <w:rsid w:val="4B5632AA"/>
    <w:rsid w:val="4B90575B"/>
    <w:rsid w:val="4C1705E5"/>
    <w:rsid w:val="4C234017"/>
    <w:rsid w:val="4C30440B"/>
    <w:rsid w:val="4C473185"/>
    <w:rsid w:val="4C4B4BB6"/>
    <w:rsid w:val="4C525768"/>
    <w:rsid w:val="4C580DA1"/>
    <w:rsid w:val="4C5979A2"/>
    <w:rsid w:val="4C7257EE"/>
    <w:rsid w:val="4C91322C"/>
    <w:rsid w:val="4C9A25B0"/>
    <w:rsid w:val="4CBD6C03"/>
    <w:rsid w:val="4CCF73D6"/>
    <w:rsid w:val="4CDB2F0D"/>
    <w:rsid w:val="4CE370AE"/>
    <w:rsid w:val="4CE679B9"/>
    <w:rsid w:val="4D1C68F6"/>
    <w:rsid w:val="4D3803A9"/>
    <w:rsid w:val="4D3D4B44"/>
    <w:rsid w:val="4D563AC4"/>
    <w:rsid w:val="4D6F2C7F"/>
    <w:rsid w:val="4D7F2EB3"/>
    <w:rsid w:val="4D811B8F"/>
    <w:rsid w:val="4D9A5015"/>
    <w:rsid w:val="4DC666FF"/>
    <w:rsid w:val="4DC93810"/>
    <w:rsid w:val="4DF542F3"/>
    <w:rsid w:val="4E07168E"/>
    <w:rsid w:val="4E0B29DD"/>
    <w:rsid w:val="4E106194"/>
    <w:rsid w:val="4E153CE1"/>
    <w:rsid w:val="4E3605DF"/>
    <w:rsid w:val="4E7029CA"/>
    <w:rsid w:val="4E811BB7"/>
    <w:rsid w:val="4E8C7F55"/>
    <w:rsid w:val="4E94180E"/>
    <w:rsid w:val="4EDE6822"/>
    <w:rsid w:val="4EF03FE0"/>
    <w:rsid w:val="4F027B5D"/>
    <w:rsid w:val="4F0A6B4D"/>
    <w:rsid w:val="4F1069BE"/>
    <w:rsid w:val="4F145FBB"/>
    <w:rsid w:val="4F350502"/>
    <w:rsid w:val="4F352F32"/>
    <w:rsid w:val="4F550555"/>
    <w:rsid w:val="4F766B38"/>
    <w:rsid w:val="4F7A7289"/>
    <w:rsid w:val="4F843F1A"/>
    <w:rsid w:val="4FDE05F9"/>
    <w:rsid w:val="4FF42538"/>
    <w:rsid w:val="4FF55EAA"/>
    <w:rsid w:val="4FFB64FA"/>
    <w:rsid w:val="50011A91"/>
    <w:rsid w:val="50061B62"/>
    <w:rsid w:val="502106B5"/>
    <w:rsid w:val="50243273"/>
    <w:rsid w:val="503F1797"/>
    <w:rsid w:val="50480198"/>
    <w:rsid w:val="504C32CA"/>
    <w:rsid w:val="506C3D5F"/>
    <w:rsid w:val="509D45FD"/>
    <w:rsid w:val="50AD4BBE"/>
    <w:rsid w:val="50AE2DDC"/>
    <w:rsid w:val="50D663A1"/>
    <w:rsid w:val="50D82019"/>
    <w:rsid w:val="510052D3"/>
    <w:rsid w:val="51195A99"/>
    <w:rsid w:val="512831FB"/>
    <w:rsid w:val="513978CD"/>
    <w:rsid w:val="513E2175"/>
    <w:rsid w:val="513F76F9"/>
    <w:rsid w:val="5150122E"/>
    <w:rsid w:val="5159697E"/>
    <w:rsid w:val="515C12F7"/>
    <w:rsid w:val="515C296F"/>
    <w:rsid w:val="516849B5"/>
    <w:rsid w:val="518F4667"/>
    <w:rsid w:val="518F5425"/>
    <w:rsid w:val="519D22D5"/>
    <w:rsid w:val="51A10B01"/>
    <w:rsid w:val="51DD5DC0"/>
    <w:rsid w:val="51FD290E"/>
    <w:rsid w:val="520F57C9"/>
    <w:rsid w:val="522807E3"/>
    <w:rsid w:val="522D757C"/>
    <w:rsid w:val="52302BD9"/>
    <w:rsid w:val="52415E2D"/>
    <w:rsid w:val="52582329"/>
    <w:rsid w:val="528635F0"/>
    <w:rsid w:val="52AA65DA"/>
    <w:rsid w:val="52DA5A3E"/>
    <w:rsid w:val="52DC784B"/>
    <w:rsid w:val="52F61E27"/>
    <w:rsid w:val="531A0C51"/>
    <w:rsid w:val="531D15BB"/>
    <w:rsid w:val="534F0531"/>
    <w:rsid w:val="5371291E"/>
    <w:rsid w:val="53BA11E5"/>
    <w:rsid w:val="53CB3F39"/>
    <w:rsid w:val="5402534D"/>
    <w:rsid w:val="54043C96"/>
    <w:rsid w:val="541C1C0A"/>
    <w:rsid w:val="54232D0E"/>
    <w:rsid w:val="543270B9"/>
    <w:rsid w:val="543F7F9A"/>
    <w:rsid w:val="546A5135"/>
    <w:rsid w:val="546D2AB2"/>
    <w:rsid w:val="5483641E"/>
    <w:rsid w:val="548B150F"/>
    <w:rsid w:val="54923CF3"/>
    <w:rsid w:val="54EC23B8"/>
    <w:rsid w:val="54F03233"/>
    <w:rsid w:val="551F02B0"/>
    <w:rsid w:val="5538522E"/>
    <w:rsid w:val="55FA0765"/>
    <w:rsid w:val="56435E98"/>
    <w:rsid w:val="56441F20"/>
    <w:rsid w:val="5661622F"/>
    <w:rsid w:val="567B35B2"/>
    <w:rsid w:val="56851138"/>
    <w:rsid w:val="568E6439"/>
    <w:rsid w:val="56922484"/>
    <w:rsid w:val="569D136A"/>
    <w:rsid w:val="56A541F1"/>
    <w:rsid w:val="56BF03DB"/>
    <w:rsid w:val="56F166BB"/>
    <w:rsid w:val="57364BF2"/>
    <w:rsid w:val="573B0548"/>
    <w:rsid w:val="573E2312"/>
    <w:rsid w:val="575B68FD"/>
    <w:rsid w:val="57C33BE7"/>
    <w:rsid w:val="57F03748"/>
    <w:rsid w:val="58081C11"/>
    <w:rsid w:val="583C6047"/>
    <w:rsid w:val="58485979"/>
    <w:rsid w:val="58642A9F"/>
    <w:rsid w:val="586B481C"/>
    <w:rsid w:val="586D2766"/>
    <w:rsid w:val="58715330"/>
    <w:rsid w:val="588970E7"/>
    <w:rsid w:val="58AA239A"/>
    <w:rsid w:val="58AE2B43"/>
    <w:rsid w:val="58FA1408"/>
    <w:rsid w:val="59102830"/>
    <w:rsid w:val="59187AD9"/>
    <w:rsid w:val="59312022"/>
    <w:rsid w:val="593B2F74"/>
    <w:rsid w:val="5945077E"/>
    <w:rsid w:val="594D1550"/>
    <w:rsid w:val="59522F66"/>
    <w:rsid w:val="59660C68"/>
    <w:rsid w:val="597B6E11"/>
    <w:rsid w:val="599012CE"/>
    <w:rsid w:val="599817DE"/>
    <w:rsid w:val="599E4814"/>
    <w:rsid w:val="59A72E3D"/>
    <w:rsid w:val="59D07BB9"/>
    <w:rsid w:val="5A0D04B1"/>
    <w:rsid w:val="5A1B4E48"/>
    <w:rsid w:val="5A1E0839"/>
    <w:rsid w:val="5A215E44"/>
    <w:rsid w:val="5A2A04DA"/>
    <w:rsid w:val="5A735090"/>
    <w:rsid w:val="5A7E72EE"/>
    <w:rsid w:val="5A934442"/>
    <w:rsid w:val="5A975303"/>
    <w:rsid w:val="5A9E05C0"/>
    <w:rsid w:val="5AAD4CDA"/>
    <w:rsid w:val="5AF34EB8"/>
    <w:rsid w:val="5B47607B"/>
    <w:rsid w:val="5B8E3515"/>
    <w:rsid w:val="5B8F26E2"/>
    <w:rsid w:val="5B9959DA"/>
    <w:rsid w:val="5BA42227"/>
    <w:rsid w:val="5BDE2C1C"/>
    <w:rsid w:val="5BEF24E5"/>
    <w:rsid w:val="5C2C6A00"/>
    <w:rsid w:val="5C3E5C47"/>
    <w:rsid w:val="5C467ECC"/>
    <w:rsid w:val="5C5471AD"/>
    <w:rsid w:val="5C5F71E5"/>
    <w:rsid w:val="5C7B2DCA"/>
    <w:rsid w:val="5C8E2A1C"/>
    <w:rsid w:val="5CAF5DA1"/>
    <w:rsid w:val="5CB06720"/>
    <w:rsid w:val="5CB65090"/>
    <w:rsid w:val="5CCC615A"/>
    <w:rsid w:val="5CD54DC2"/>
    <w:rsid w:val="5D066B55"/>
    <w:rsid w:val="5D330005"/>
    <w:rsid w:val="5D4847A0"/>
    <w:rsid w:val="5D6F3E16"/>
    <w:rsid w:val="5D847E4C"/>
    <w:rsid w:val="5D8511BB"/>
    <w:rsid w:val="5DB6305D"/>
    <w:rsid w:val="5DB64B22"/>
    <w:rsid w:val="5DC04B82"/>
    <w:rsid w:val="5DC9279B"/>
    <w:rsid w:val="5DCA47BF"/>
    <w:rsid w:val="5DD04D60"/>
    <w:rsid w:val="5DE376A1"/>
    <w:rsid w:val="5E0F5ABE"/>
    <w:rsid w:val="5E162C6C"/>
    <w:rsid w:val="5E43527F"/>
    <w:rsid w:val="5E6F2DA5"/>
    <w:rsid w:val="5E7F472D"/>
    <w:rsid w:val="5EAE48AA"/>
    <w:rsid w:val="5EB436F9"/>
    <w:rsid w:val="5EBF7372"/>
    <w:rsid w:val="5EF37BD5"/>
    <w:rsid w:val="5EFE221D"/>
    <w:rsid w:val="5F5C30E5"/>
    <w:rsid w:val="5F694290"/>
    <w:rsid w:val="5F8160EB"/>
    <w:rsid w:val="5FD116E1"/>
    <w:rsid w:val="5FDD7CD8"/>
    <w:rsid w:val="5FDF19B1"/>
    <w:rsid w:val="5FFE19E9"/>
    <w:rsid w:val="60180DB8"/>
    <w:rsid w:val="602E0656"/>
    <w:rsid w:val="60316D48"/>
    <w:rsid w:val="60682519"/>
    <w:rsid w:val="6075333A"/>
    <w:rsid w:val="60CD0EC2"/>
    <w:rsid w:val="6138147B"/>
    <w:rsid w:val="61607563"/>
    <w:rsid w:val="61664E01"/>
    <w:rsid w:val="617C48C6"/>
    <w:rsid w:val="619A2E26"/>
    <w:rsid w:val="61CE10E0"/>
    <w:rsid w:val="61EB011C"/>
    <w:rsid w:val="61F754B2"/>
    <w:rsid w:val="62002A13"/>
    <w:rsid w:val="624A7157"/>
    <w:rsid w:val="624B597D"/>
    <w:rsid w:val="624E3A2C"/>
    <w:rsid w:val="62572417"/>
    <w:rsid w:val="626B33F6"/>
    <w:rsid w:val="62865532"/>
    <w:rsid w:val="629F32E4"/>
    <w:rsid w:val="62AA384B"/>
    <w:rsid w:val="62E22013"/>
    <w:rsid w:val="62F12662"/>
    <w:rsid w:val="63005331"/>
    <w:rsid w:val="632A780A"/>
    <w:rsid w:val="63596F7A"/>
    <w:rsid w:val="636813A7"/>
    <w:rsid w:val="638A735E"/>
    <w:rsid w:val="639456EF"/>
    <w:rsid w:val="63A57B87"/>
    <w:rsid w:val="63E03F01"/>
    <w:rsid w:val="63FA0916"/>
    <w:rsid w:val="6402249F"/>
    <w:rsid w:val="641111F2"/>
    <w:rsid w:val="641C6F17"/>
    <w:rsid w:val="64420D2A"/>
    <w:rsid w:val="645A5BA8"/>
    <w:rsid w:val="6476388A"/>
    <w:rsid w:val="6479751D"/>
    <w:rsid w:val="649D57C6"/>
    <w:rsid w:val="64A90005"/>
    <w:rsid w:val="64B15AF5"/>
    <w:rsid w:val="64B6677C"/>
    <w:rsid w:val="64C555C3"/>
    <w:rsid w:val="64CE6242"/>
    <w:rsid w:val="64E641E4"/>
    <w:rsid w:val="650F6D2F"/>
    <w:rsid w:val="656B0FF8"/>
    <w:rsid w:val="657A64ED"/>
    <w:rsid w:val="658259E9"/>
    <w:rsid w:val="65B50C94"/>
    <w:rsid w:val="65BC3EAF"/>
    <w:rsid w:val="65DE1DB1"/>
    <w:rsid w:val="65E0010A"/>
    <w:rsid w:val="65F55C79"/>
    <w:rsid w:val="662B65BD"/>
    <w:rsid w:val="663C68D4"/>
    <w:rsid w:val="66544C75"/>
    <w:rsid w:val="66671B0F"/>
    <w:rsid w:val="6676119C"/>
    <w:rsid w:val="669B182E"/>
    <w:rsid w:val="669D5667"/>
    <w:rsid w:val="66B111A5"/>
    <w:rsid w:val="66BB2177"/>
    <w:rsid w:val="66DA3B64"/>
    <w:rsid w:val="66DE4433"/>
    <w:rsid w:val="66E86BF3"/>
    <w:rsid w:val="66F34F50"/>
    <w:rsid w:val="67123EB4"/>
    <w:rsid w:val="67316185"/>
    <w:rsid w:val="673E16AF"/>
    <w:rsid w:val="67703AEB"/>
    <w:rsid w:val="67774900"/>
    <w:rsid w:val="67847BE2"/>
    <w:rsid w:val="67A15406"/>
    <w:rsid w:val="67A5165A"/>
    <w:rsid w:val="67BF7F32"/>
    <w:rsid w:val="67C2776F"/>
    <w:rsid w:val="67EA6FE8"/>
    <w:rsid w:val="68115B8F"/>
    <w:rsid w:val="681F5DB0"/>
    <w:rsid w:val="683A3503"/>
    <w:rsid w:val="68522DF2"/>
    <w:rsid w:val="686444E1"/>
    <w:rsid w:val="687F47F2"/>
    <w:rsid w:val="688E4FF9"/>
    <w:rsid w:val="68AC1872"/>
    <w:rsid w:val="68F265D6"/>
    <w:rsid w:val="68F30B77"/>
    <w:rsid w:val="68F91189"/>
    <w:rsid w:val="6923630A"/>
    <w:rsid w:val="692E1363"/>
    <w:rsid w:val="69327F82"/>
    <w:rsid w:val="693C350F"/>
    <w:rsid w:val="69746EC9"/>
    <w:rsid w:val="697C3AC6"/>
    <w:rsid w:val="69943146"/>
    <w:rsid w:val="69957F44"/>
    <w:rsid w:val="699D77D8"/>
    <w:rsid w:val="69A563B4"/>
    <w:rsid w:val="69B14C33"/>
    <w:rsid w:val="69BD2120"/>
    <w:rsid w:val="69EB3B55"/>
    <w:rsid w:val="6A0F6AFB"/>
    <w:rsid w:val="6A117D2E"/>
    <w:rsid w:val="6A2746D5"/>
    <w:rsid w:val="6A3948C5"/>
    <w:rsid w:val="6A566C42"/>
    <w:rsid w:val="6A930EB5"/>
    <w:rsid w:val="6AB75105"/>
    <w:rsid w:val="6AD32676"/>
    <w:rsid w:val="6AF66585"/>
    <w:rsid w:val="6B255C10"/>
    <w:rsid w:val="6B2C46C6"/>
    <w:rsid w:val="6B3076FD"/>
    <w:rsid w:val="6B3A77A7"/>
    <w:rsid w:val="6B416C04"/>
    <w:rsid w:val="6B617E56"/>
    <w:rsid w:val="6B6B3172"/>
    <w:rsid w:val="6B713AFF"/>
    <w:rsid w:val="6B872D17"/>
    <w:rsid w:val="6B8C2004"/>
    <w:rsid w:val="6B9C5E31"/>
    <w:rsid w:val="6BB51CF6"/>
    <w:rsid w:val="6BD31732"/>
    <w:rsid w:val="6BF23B00"/>
    <w:rsid w:val="6C007949"/>
    <w:rsid w:val="6C1F4581"/>
    <w:rsid w:val="6C3163D1"/>
    <w:rsid w:val="6C7E0EDA"/>
    <w:rsid w:val="6C8B18E3"/>
    <w:rsid w:val="6C955022"/>
    <w:rsid w:val="6CA6552D"/>
    <w:rsid w:val="6CA82D1F"/>
    <w:rsid w:val="6CD77A20"/>
    <w:rsid w:val="6CE937AE"/>
    <w:rsid w:val="6CF36FB3"/>
    <w:rsid w:val="6D106ABB"/>
    <w:rsid w:val="6D272FC4"/>
    <w:rsid w:val="6D4B509B"/>
    <w:rsid w:val="6D5C36B7"/>
    <w:rsid w:val="6D725E2F"/>
    <w:rsid w:val="6D7904B4"/>
    <w:rsid w:val="6D7C2BF2"/>
    <w:rsid w:val="6D9A7061"/>
    <w:rsid w:val="6D9D1EFD"/>
    <w:rsid w:val="6DAD25A9"/>
    <w:rsid w:val="6DB809FD"/>
    <w:rsid w:val="6DBD053D"/>
    <w:rsid w:val="6DC43618"/>
    <w:rsid w:val="6DC6512A"/>
    <w:rsid w:val="6DD11708"/>
    <w:rsid w:val="6DF36956"/>
    <w:rsid w:val="6E054825"/>
    <w:rsid w:val="6E071400"/>
    <w:rsid w:val="6E1A2F6E"/>
    <w:rsid w:val="6E2D0758"/>
    <w:rsid w:val="6E46320B"/>
    <w:rsid w:val="6E493C12"/>
    <w:rsid w:val="6E8A2F0E"/>
    <w:rsid w:val="6EAB1A6E"/>
    <w:rsid w:val="6EB132EC"/>
    <w:rsid w:val="6EBB6A8C"/>
    <w:rsid w:val="6EBF6F12"/>
    <w:rsid w:val="6ED304E9"/>
    <w:rsid w:val="6EDC35ED"/>
    <w:rsid w:val="6EE91D09"/>
    <w:rsid w:val="6F062ECF"/>
    <w:rsid w:val="6F0D5D57"/>
    <w:rsid w:val="6F2B6C9A"/>
    <w:rsid w:val="6F3B4C30"/>
    <w:rsid w:val="6F4D5E31"/>
    <w:rsid w:val="6F6822D7"/>
    <w:rsid w:val="6F933ED6"/>
    <w:rsid w:val="6FDB1563"/>
    <w:rsid w:val="6FE422D6"/>
    <w:rsid w:val="7043118C"/>
    <w:rsid w:val="708F6643"/>
    <w:rsid w:val="70915596"/>
    <w:rsid w:val="70A54381"/>
    <w:rsid w:val="70A60ED4"/>
    <w:rsid w:val="70BD199D"/>
    <w:rsid w:val="70BD5F2A"/>
    <w:rsid w:val="70CA55D4"/>
    <w:rsid w:val="70D26A76"/>
    <w:rsid w:val="70E067E6"/>
    <w:rsid w:val="70E21608"/>
    <w:rsid w:val="70EC73A0"/>
    <w:rsid w:val="71106DE5"/>
    <w:rsid w:val="713958AE"/>
    <w:rsid w:val="713B3162"/>
    <w:rsid w:val="715045BF"/>
    <w:rsid w:val="715B6FE4"/>
    <w:rsid w:val="716A731E"/>
    <w:rsid w:val="7170090F"/>
    <w:rsid w:val="718E0C0C"/>
    <w:rsid w:val="719E0789"/>
    <w:rsid w:val="71CB5A34"/>
    <w:rsid w:val="71D166CD"/>
    <w:rsid w:val="71DF07BE"/>
    <w:rsid w:val="71EE1175"/>
    <w:rsid w:val="7227266E"/>
    <w:rsid w:val="722863B8"/>
    <w:rsid w:val="72326FBC"/>
    <w:rsid w:val="72565E22"/>
    <w:rsid w:val="72597722"/>
    <w:rsid w:val="72617A36"/>
    <w:rsid w:val="7266063B"/>
    <w:rsid w:val="72791397"/>
    <w:rsid w:val="72A036CF"/>
    <w:rsid w:val="72C66E5D"/>
    <w:rsid w:val="72CE307E"/>
    <w:rsid w:val="72D05DA2"/>
    <w:rsid w:val="72D92B78"/>
    <w:rsid w:val="72E43C8E"/>
    <w:rsid w:val="72E91685"/>
    <w:rsid w:val="72FF013F"/>
    <w:rsid w:val="733B144B"/>
    <w:rsid w:val="734B7198"/>
    <w:rsid w:val="735815C0"/>
    <w:rsid w:val="73864AEF"/>
    <w:rsid w:val="73B16BB3"/>
    <w:rsid w:val="73E96B39"/>
    <w:rsid w:val="73F61526"/>
    <w:rsid w:val="73FD7457"/>
    <w:rsid w:val="741D6BB7"/>
    <w:rsid w:val="74357536"/>
    <w:rsid w:val="744761CC"/>
    <w:rsid w:val="74585B9E"/>
    <w:rsid w:val="745D4F24"/>
    <w:rsid w:val="747445F8"/>
    <w:rsid w:val="748D0031"/>
    <w:rsid w:val="74905234"/>
    <w:rsid w:val="74B43E68"/>
    <w:rsid w:val="74B62489"/>
    <w:rsid w:val="74BB01EE"/>
    <w:rsid w:val="74CD4CDF"/>
    <w:rsid w:val="74F579C3"/>
    <w:rsid w:val="74F76099"/>
    <w:rsid w:val="74FB2827"/>
    <w:rsid w:val="74FE3DF5"/>
    <w:rsid w:val="75024B07"/>
    <w:rsid w:val="75182CA9"/>
    <w:rsid w:val="751C0AF3"/>
    <w:rsid w:val="752264C2"/>
    <w:rsid w:val="752B3596"/>
    <w:rsid w:val="752D1340"/>
    <w:rsid w:val="753412AA"/>
    <w:rsid w:val="753D6CEF"/>
    <w:rsid w:val="754428A4"/>
    <w:rsid w:val="75802696"/>
    <w:rsid w:val="758B2C7D"/>
    <w:rsid w:val="75A817A8"/>
    <w:rsid w:val="75A86DBD"/>
    <w:rsid w:val="75C11697"/>
    <w:rsid w:val="75C42647"/>
    <w:rsid w:val="75C738D6"/>
    <w:rsid w:val="75DF6DEE"/>
    <w:rsid w:val="75E14175"/>
    <w:rsid w:val="760E500B"/>
    <w:rsid w:val="761456BC"/>
    <w:rsid w:val="76191DF6"/>
    <w:rsid w:val="762C4947"/>
    <w:rsid w:val="76350C75"/>
    <w:rsid w:val="763E2A8F"/>
    <w:rsid w:val="764A784F"/>
    <w:rsid w:val="767C34E0"/>
    <w:rsid w:val="767D155A"/>
    <w:rsid w:val="76BF130B"/>
    <w:rsid w:val="76CA6D53"/>
    <w:rsid w:val="76EE28B0"/>
    <w:rsid w:val="77073162"/>
    <w:rsid w:val="7744286A"/>
    <w:rsid w:val="774C0EC4"/>
    <w:rsid w:val="77597FD6"/>
    <w:rsid w:val="775D52BC"/>
    <w:rsid w:val="77600CC7"/>
    <w:rsid w:val="77907467"/>
    <w:rsid w:val="77C77A9E"/>
    <w:rsid w:val="77CB0CC4"/>
    <w:rsid w:val="77DE1129"/>
    <w:rsid w:val="77E1326B"/>
    <w:rsid w:val="783D1E9F"/>
    <w:rsid w:val="784248CF"/>
    <w:rsid w:val="785A6CDF"/>
    <w:rsid w:val="785B5909"/>
    <w:rsid w:val="786901EC"/>
    <w:rsid w:val="787B3FFA"/>
    <w:rsid w:val="78967EE6"/>
    <w:rsid w:val="78A95DA8"/>
    <w:rsid w:val="78AB7A90"/>
    <w:rsid w:val="78BE3759"/>
    <w:rsid w:val="78D244C8"/>
    <w:rsid w:val="78EE7123"/>
    <w:rsid w:val="78F76C86"/>
    <w:rsid w:val="79035B74"/>
    <w:rsid w:val="791457BA"/>
    <w:rsid w:val="79190D6A"/>
    <w:rsid w:val="7946076A"/>
    <w:rsid w:val="795B0E5A"/>
    <w:rsid w:val="796F1625"/>
    <w:rsid w:val="797340BF"/>
    <w:rsid w:val="797A2BF0"/>
    <w:rsid w:val="797B7979"/>
    <w:rsid w:val="79934B8A"/>
    <w:rsid w:val="799D45C0"/>
    <w:rsid w:val="79A71172"/>
    <w:rsid w:val="79AA137B"/>
    <w:rsid w:val="79BE55AA"/>
    <w:rsid w:val="79C356F2"/>
    <w:rsid w:val="79C4492E"/>
    <w:rsid w:val="79D8666A"/>
    <w:rsid w:val="7A026DB8"/>
    <w:rsid w:val="7A4477C1"/>
    <w:rsid w:val="7A4511C6"/>
    <w:rsid w:val="7A4A355B"/>
    <w:rsid w:val="7A4B6635"/>
    <w:rsid w:val="7A534D43"/>
    <w:rsid w:val="7A6D5E65"/>
    <w:rsid w:val="7A7C30BD"/>
    <w:rsid w:val="7A84278A"/>
    <w:rsid w:val="7A8D3AB1"/>
    <w:rsid w:val="7A9C1E04"/>
    <w:rsid w:val="7AB051E6"/>
    <w:rsid w:val="7ABB3B78"/>
    <w:rsid w:val="7AD0114E"/>
    <w:rsid w:val="7AD0466B"/>
    <w:rsid w:val="7AD65A03"/>
    <w:rsid w:val="7AE02E6F"/>
    <w:rsid w:val="7AE63A78"/>
    <w:rsid w:val="7B074467"/>
    <w:rsid w:val="7B102E53"/>
    <w:rsid w:val="7B183853"/>
    <w:rsid w:val="7B1C0B89"/>
    <w:rsid w:val="7B2A68B9"/>
    <w:rsid w:val="7B332530"/>
    <w:rsid w:val="7B434887"/>
    <w:rsid w:val="7B4B4BB4"/>
    <w:rsid w:val="7B525C06"/>
    <w:rsid w:val="7B55553F"/>
    <w:rsid w:val="7B5876EA"/>
    <w:rsid w:val="7B5C2826"/>
    <w:rsid w:val="7B943CCB"/>
    <w:rsid w:val="7BBF4C01"/>
    <w:rsid w:val="7BE43C23"/>
    <w:rsid w:val="7BF23B84"/>
    <w:rsid w:val="7C1F3E97"/>
    <w:rsid w:val="7C28169B"/>
    <w:rsid w:val="7C34507E"/>
    <w:rsid w:val="7C9376EC"/>
    <w:rsid w:val="7CAD62DE"/>
    <w:rsid w:val="7CB7696C"/>
    <w:rsid w:val="7CD72085"/>
    <w:rsid w:val="7CDA473E"/>
    <w:rsid w:val="7CDF40C4"/>
    <w:rsid w:val="7D184F8E"/>
    <w:rsid w:val="7D1D520E"/>
    <w:rsid w:val="7D2279C0"/>
    <w:rsid w:val="7D245A89"/>
    <w:rsid w:val="7D414A59"/>
    <w:rsid w:val="7D6C1353"/>
    <w:rsid w:val="7D702878"/>
    <w:rsid w:val="7D886042"/>
    <w:rsid w:val="7D891A57"/>
    <w:rsid w:val="7D8E3697"/>
    <w:rsid w:val="7D9022C9"/>
    <w:rsid w:val="7DA30250"/>
    <w:rsid w:val="7DA97FE3"/>
    <w:rsid w:val="7DAC213C"/>
    <w:rsid w:val="7DCE64ED"/>
    <w:rsid w:val="7DD40FA3"/>
    <w:rsid w:val="7DEC0802"/>
    <w:rsid w:val="7DEE0D87"/>
    <w:rsid w:val="7DF320CB"/>
    <w:rsid w:val="7DF4738C"/>
    <w:rsid w:val="7DF91223"/>
    <w:rsid w:val="7E071DD5"/>
    <w:rsid w:val="7E0A0EFA"/>
    <w:rsid w:val="7E360324"/>
    <w:rsid w:val="7E4A140C"/>
    <w:rsid w:val="7E5673DB"/>
    <w:rsid w:val="7E586A51"/>
    <w:rsid w:val="7E5C0436"/>
    <w:rsid w:val="7E5C5661"/>
    <w:rsid w:val="7E7A4DA3"/>
    <w:rsid w:val="7E7F62AA"/>
    <w:rsid w:val="7EBC6531"/>
    <w:rsid w:val="7EC67419"/>
    <w:rsid w:val="7F046AE7"/>
    <w:rsid w:val="7F226525"/>
    <w:rsid w:val="7F2455B7"/>
    <w:rsid w:val="7F3A22BE"/>
    <w:rsid w:val="7F482D79"/>
    <w:rsid w:val="7F495464"/>
    <w:rsid w:val="7F567CDE"/>
    <w:rsid w:val="7F821C8C"/>
    <w:rsid w:val="7F9A3827"/>
    <w:rsid w:val="7FB01AFB"/>
    <w:rsid w:val="7FD51B7C"/>
    <w:rsid w:val="7FE355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宋体" w:hAnsi="Times New Roman" w:eastAsia="宋体" w:cs="Times New Roman"/>
      <w:color w:val="000000"/>
      <w:sz w:val="24"/>
      <w:szCs w:val="24"/>
      <w:lang w:val="en-US" w:eastAsia="zh-CN" w:bidi="ar-SA"/>
    </w:rPr>
  </w:style>
  <w:style w:type="paragraph" w:styleId="3">
    <w:name w:val="heading 1"/>
    <w:basedOn w:val="1"/>
    <w:next w:val="1"/>
    <w:link w:val="47"/>
    <w:qFormat/>
    <w:uiPriority w:val="9"/>
    <w:pPr>
      <w:keepNext/>
      <w:keepLines/>
      <w:spacing w:before="340" w:after="330" w:line="576" w:lineRule="auto"/>
      <w:outlineLvl w:val="0"/>
    </w:pPr>
    <w:rPr>
      <w:rFonts w:hAnsi="Calibri"/>
      <w:b/>
      <w:color w:val="auto"/>
      <w:kern w:val="44"/>
      <w:sz w:val="44"/>
      <w:szCs w:val="20"/>
    </w:rPr>
  </w:style>
  <w:style w:type="paragraph" w:styleId="4">
    <w:name w:val="heading 2"/>
    <w:basedOn w:val="1"/>
    <w:next w:val="1"/>
    <w:link w:val="54"/>
    <w:qFormat/>
    <w:uiPriority w:val="0"/>
    <w:pPr>
      <w:keepNext/>
      <w:keepLines/>
      <w:spacing w:before="260" w:after="260" w:line="416" w:lineRule="auto"/>
      <w:outlineLvl w:val="1"/>
    </w:pPr>
    <w:rPr>
      <w:rFonts w:ascii="Cambria" w:hAnsi="Cambria"/>
      <w:b/>
      <w:color w:val="auto"/>
      <w:sz w:val="32"/>
    </w:rPr>
  </w:style>
  <w:style w:type="paragraph" w:styleId="5">
    <w:name w:val="heading 3"/>
    <w:basedOn w:val="1"/>
    <w:next w:val="1"/>
    <w:link w:val="62"/>
    <w:qFormat/>
    <w:uiPriority w:val="9"/>
    <w:pPr>
      <w:keepNext/>
      <w:keepLines/>
      <w:spacing w:before="260" w:after="260" w:line="413" w:lineRule="auto"/>
      <w:outlineLvl w:val="2"/>
    </w:pPr>
    <w:rPr>
      <w:rFonts w:ascii="Calibri" w:hAnsi="Calibri"/>
      <w:b/>
      <w:color w:val="auto"/>
      <w:sz w:val="32"/>
      <w:szCs w:val="20"/>
    </w:rPr>
  </w:style>
  <w:style w:type="paragraph" w:styleId="2">
    <w:name w:val="heading 4"/>
    <w:basedOn w:val="1"/>
    <w:next w:val="1"/>
    <w:link w:val="64"/>
    <w:qFormat/>
    <w:uiPriority w:val="0"/>
    <w:pPr>
      <w:keepNext/>
      <w:keepLines/>
      <w:spacing w:before="280" w:after="290" w:line="376" w:lineRule="auto"/>
      <w:outlineLvl w:val="3"/>
    </w:pPr>
    <w:rPr>
      <w:rFonts w:ascii="Calibri Light" w:hAnsi="Calibri Light"/>
      <w:b/>
      <w:bCs/>
      <w:sz w:val="28"/>
      <w:szCs w:val="28"/>
    </w:rPr>
  </w:style>
  <w:style w:type="paragraph" w:styleId="6">
    <w:name w:val="heading 5"/>
    <w:basedOn w:val="1"/>
    <w:next w:val="1"/>
    <w:link w:val="65"/>
    <w:qFormat/>
    <w:uiPriority w:val="0"/>
    <w:pPr>
      <w:keepNext/>
      <w:keepLines/>
      <w:spacing w:before="280" w:after="290" w:line="376" w:lineRule="auto"/>
      <w:outlineLvl w:val="4"/>
    </w:pPr>
    <w:rPr>
      <w:rFonts w:ascii="Times New Roman" w:hAnsi="Calibri"/>
      <w:b/>
      <w:bCs/>
      <w:sz w:val="28"/>
      <w:szCs w:val="28"/>
    </w:rPr>
  </w:style>
  <w:style w:type="paragraph" w:styleId="7">
    <w:name w:val="heading 6"/>
    <w:basedOn w:val="1"/>
    <w:next w:val="1"/>
    <w:unhideWhenUsed/>
    <w:qFormat/>
    <w:uiPriority w:val="0"/>
    <w:pPr>
      <w:spacing w:before="100" w:beforeAutospacing="1" w:after="100" w:afterAutospacing="1"/>
      <w:jc w:val="left"/>
      <w:outlineLvl w:val="5"/>
    </w:pPr>
    <w:rPr>
      <w:rFonts w:hint="eastAsia" w:hAnsi="宋体"/>
      <w:b/>
      <w:bCs/>
      <w:sz w:val="15"/>
      <w:szCs w:val="15"/>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qFormat/>
    <w:uiPriority w:val="0"/>
    <w:pPr>
      <w:ind w:left="2520" w:leftChars="1200"/>
    </w:pPr>
  </w:style>
  <w:style w:type="paragraph" w:styleId="9">
    <w:name w:val="Normal Indent"/>
    <w:basedOn w:val="1"/>
    <w:link w:val="61"/>
    <w:qFormat/>
    <w:uiPriority w:val="0"/>
    <w:pPr>
      <w:ind w:firstLine="200" w:firstLineChars="200"/>
    </w:pPr>
    <w:rPr>
      <w:rFonts w:hAnsi="Calibri"/>
      <w:color w:val="auto"/>
      <w:sz w:val="34"/>
      <w:szCs w:val="20"/>
    </w:rPr>
  </w:style>
  <w:style w:type="paragraph" w:styleId="10">
    <w:name w:val="Document Map"/>
    <w:basedOn w:val="1"/>
    <w:link w:val="70"/>
    <w:qFormat/>
    <w:uiPriority w:val="0"/>
    <w:rPr>
      <w:rFonts w:hAnsi="Calibri"/>
      <w:color w:val="auto"/>
      <w:sz w:val="18"/>
      <w:szCs w:val="18"/>
    </w:rPr>
  </w:style>
  <w:style w:type="paragraph" w:styleId="11">
    <w:name w:val="annotation text"/>
    <w:basedOn w:val="1"/>
    <w:link w:val="67"/>
    <w:qFormat/>
    <w:uiPriority w:val="0"/>
    <w:pPr>
      <w:jc w:val="left"/>
    </w:pPr>
    <w:rPr>
      <w:rFonts w:ascii="Calibri" w:hAnsi="Calibri"/>
      <w:color w:val="auto"/>
      <w:kern w:val="2"/>
      <w:sz w:val="21"/>
      <w:szCs w:val="20"/>
    </w:rPr>
  </w:style>
  <w:style w:type="paragraph" w:styleId="12">
    <w:name w:val="Body Text"/>
    <w:basedOn w:val="1"/>
    <w:next w:val="1"/>
    <w:link w:val="72"/>
    <w:qFormat/>
    <w:uiPriority w:val="0"/>
    <w:pPr>
      <w:spacing w:after="120"/>
    </w:pPr>
    <w:rPr>
      <w:rFonts w:hAnsi="Calibri"/>
      <w:color w:val="auto"/>
      <w:sz w:val="34"/>
    </w:rPr>
  </w:style>
  <w:style w:type="paragraph" w:styleId="13">
    <w:name w:val="Body Text Indent"/>
    <w:basedOn w:val="1"/>
    <w:link w:val="75"/>
    <w:qFormat/>
    <w:uiPriority w:val="0"/>
    <w:pPr>
      <w:widowControl w:val="0"/>
      <w:spacing w:after="120"/>
      <w:ind w:left="420" w:leftChars="200"/>
    </w:pPr>
    <w:rPr>
      <w:rFonts w:hAnsi="Calibri"/>
      <w:color w:val="auto"/>
      <w:sz w:val="34"/>
    </w:rPr>
  </w:style>
  <w:style w:type="paragraph" w:styleId="14">
    <w:name w:val="toc 5"/>
    <w:basedOn w:val="1"/>
    <w:next w:val="1"/>
    <w:qFormat/>
    <w:uiPriority w:val="0"/>
    <w:pPr>
      <w:ind w:left="1680" w:leftChars="800"/>
    </w:pPr>
  </w:style>
  <w:style w:type="paragraph" w:styleId="15">
    <w:name w:val="toc 3"/>
    <w:basedOn w:val="1"/>
    <w:next w:val="1"/>
    <w:qFormat/>
    <w:uiPriority w:val="39"/>
    <w:pPr>
      <w:ind w:left="840" w:leftChars="400"/>
    </w:pPr>
  </w:style>
  <w:style w:type="paragraph" w:styleId="16">
    <w:name w:val="Plain Text"/>
    <w:basedOn w:val="1"/>
    <w:link w:val="77"/>
    <w:qFormat/>
    <w:uiPriority w:val="0"/>
    <w:pPr>
      <w:widowControl w:val="0"/>
    </w:pPr>
    <w:rPr>
      <w:rFonts w:hAnsi="Courier New"/>
      <w:color w:val="auto"/>
      <w:kern w:val="2"/>
      <w:sz w:val="21"/>
    </w:rPr>
  </w:style>
  <w:style w:type="paragraph" w:styleId="17">
    <w:name w:val="toc 8"/>
    <w:basedOn w:val="1"/>
    <w:next w:val="1"/>
    <w:qFormat/>
    <w:uiPriority w:val="0"/>
    <w:pPr>
      <w:ind w:left="2940" w:leftChars="1400"/>
    </w:pPr>
  </w:style>
  <w:style w:type="paragraph" w:styleId="18">
    <w:name w:val="Date"/>
    <w:basedOn w:val="1"/>
    <w:next w:val="1"/>
    <w:link w:val="79"/>
    <w:qFormat/>
    <w:uiPriority w:val="0"/>
    <w:pPr>
      <w:ind w:left="100" w:leftChars="2500"/>
    </w:pPr>
    <w:rPr>
      <w:rFonts w:hAnsi="Calibri"/>
      <w:color w:val="auto"/>
      <w:sz w:val="34"/>
    </w:rPr>
  </w:style>
  <w:style w:type="paragraph" w:styleId="19">
    <w:name w:val="Body Text Indent 2"/>
    <w:basedOn w:val="1"/>
    <w:link w:val="57"/>
    <w:qFormat/>
    <w:uiPriority w:val="0"/>
    <w:pPr>
      <w:spacing w:after="120" w:line="480" w:lineRule="auto"/>
      <w:ind w:left="200" w:leftChars="200"/>
    </w:pPr>
    <w:rPr>
      <w:rFonts w:ascii="Calibri" w:hAnsi="Calibri"/>
    </w:rPr>
  </w:style>
  <w:style w:type="paragraph" w:styleId="20">
    <w:name w:val="Balloon Text"/>
    <w:basedOn w:val="1"/>
    <w:link w:val="59"/>
    <w:qFormat/>
    <w:uiPriority w:val="0"/>
    <w:rPr>
      <w:rFonts w:hAnsi="Calibri"/>
      <w:color w:val="auto"/>
      <w:sz w:val="18"/>
      <w:szCs w:val="18"/>
    </w:rPr>
  </w:style>
  <w:style w:type="paragraph" w:styleId="21">
    <w:name w:val="footer"/>
    <w:basedOn w:val="1"/>
    <w:link w:val="80"/>
    <w:qFormat/>
    <w:uiPriority w:val="0"/>
    <w:pPr>
      <w:tabs>
        <w:tab w:val="center" w:pos="4153"/>
        <w:tab w:val="right" w:pos="8306"/>
      </w:tabs>
      <w:snapToGrid w:val="0"/>
      <w:jc w:val="left"/>
    </w:pPr>
    <w:rPr>
      <w:rFonts w:hAnsi="Calibri"/>
      <w:color w:val="auto"/>
      <w:sz w:val="18"/>
      <w:szCs w:val="20"/>
    </w:rPr>
  </w:style>
  <w:style w:type="paragraph" w:styleId="22">
    <w:name w:val="header"/>
    <w:basedOn w:val="1"/>
    <w:link w:val="8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color w:val="auto"/>
      <w:sz w:val="18"/>
      <w:szCs w:val="20"/>
    </w:rPr>
  </w:style>
  <w:style w:type="paragraph" w:styleId="23">
    <w:name w:val="toc 1"/>
    <w:basedOn w:val="1"/>
    <w:next w:val="1"/>
    <w:qFormat/>
    <w:uiPriority w:val="39"/>
  </w:style>
  <w:style w:type="paragraph" w:styleId="24">
    <w:name w:val="toc 4"/>
    <w:basedOn w:val="1"/>
    <w:next w:val="1"/>
    <w:qFormat/>
    <w:uiPriority w:val="0"/>
    <w:pPr>
      <w:ind w:left="1260" w:leftChars="600"/>
    </w:pPr>
  </w:style>
  <w:style w:type="paragraph" w:styleId="25">
    <w:name w:val="footnote text"/>
    <w:basedOn w:val="1"/>
    <w:link w:val="52"/>
    <w:unhideWhenUsed/>
    <w:qFormat/>
    <w:uiPriority w:val="0"/>
    <w:pPr>
      <w:snapToGrid w:val="0"/>
      <w:jc w:val="left"/>
    </w:pPr>
    <w:rPr>
      <w:rFonts w:ascii="Calibri" w:hAnsi="Calibri"/>
      <w:color w:val="auto"/>
      <w:sz w:val="18"/>
      <w:szCs w:val="18"/>
    </w:rPr>
  </w:style>
  <w:style w:type="paragraph" w:styleId="26">
    <w:name w:val="toc 6"/>
    <w:basedOn w:val="1"/>
    <w:next w:val="1"/>
    <w:qFormat/>
    <w:uiPriority w:val="0"/>
    <w:pPr>
      <w:ind w:left="2100" w:leftChars="1000"/>
    </w:pPr>
  </w:style>
  <w:style w:type="paragraph" w:styleId="27">
    <w:name w:val="toc 2"/>
    <w:basedOn w:val="1"/>
    <w:next w:val="1"/>
    <w:qFormat/>
    <w:uiPriority w:val="39"/>
    <w:pPr>
      <w:ind w:left="420" w:leftChars="200"/>
    </w:pPr>
  </w:style>
  <w:style w:type="paragraph" w:styleId="28">
    <w:name w:val="toc 9"/>
    <w:basedOn w:val="1"/>
    <w:next w:val="1"/>
    <w:qFormat/>
    <w:uiPriority w:val="0"/>
    <w:pPr>
      <w:ind w:left="3360" w:leftChars="1600"/>
    </w:pPr>
  </w:style>
  <w:style w:type="paragraph" w:styleId="29">
    <w:name w:val="Normal (Web)"/>
    <w:basedOn w:val="1"/>
    <w:link w:val="82"/>
    <w:qFormat/>
    <w:uiPriority w:val="0"/>
    <w:pPr>
      <w:spacing w:before="100" w:beforeAutospacing="1" w:after="100" w:afterAutospacing="1"/>
      <w:jc w:val="left"/>
    </w:pPr>
    <w:rPr>
      <w:rFonts w:hAnsi="宋体"/>
      <w:color w:val="auto"/>
      <w:sz w:val="18"/>
      <w:szCs w:val="18"/>
    </w:rPr>
  </w:style>
  <w:style w:type="paragraph" w:styleId="30">
    <w:name w:val="Title"/>
    <w:basedOn w:val="1"/>
    <w:next w:val="1"/>
    <w:link w:val="60"/>
    <w:qFormat/>
    <w:uiPriority w:val="0"/>
    <w:pPr>
      <w:spacing w:before="240" w:after="60"/>
      <w:jc w:val="center"/>
      <w:outlineLvl w:val="0"/>
    </w:pPr>
    <w:rPr>
      <w:rFonts w:ascii="Cambria" w:hAnsi="Cambria"/>
      <w:b/>
      <w:bCs/>
      <w:sz w:val="32"/>
      <w:szCs w:val="32"/>
    </w:rPr>
  </w:style>
  <w:style w:type="paragraph" w:styleId="31">
    <w:name w:val="annotation subject"/>
    <w:basedOn w:val="11"/>
    <w:next w:val="11"/>
    <w:link w:val="69"/>
    <w:qFormat/>
    <w:uiPriority w:val="0"/>
    <w:rPr>
      <w:b/>
      <w:bCs/>
    </w:rPr>
  </w:style>
  <w:style w:type="paragraph" w:styleId="32">
    <w:name w:val="Body Text First Indent"/>
    <w:basedOn w:val="12"/>
    <w:next w:val="1"/>
    <w:unhideWhenUsed/>
    <w:qFormat/>
    <w:uiPriority w:val="0"/>
    <w:pPr>
      <w:ind w:firstLine="420" w:firstLineChars="100"/>
    </w:pPr>
    <w:rPr>
      <w:sz w:val="18"/>
      <w:szCs w:val="18"/>
    </w:rPr>
  </w:style>
  <w:style w:type="table" w:styleId="34">
    <w:name w:val="Table Grid"/>
    <w:basedOn w:val="33"/>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qFormat/>
    <w:uiPriority w:val="0"/>
    <w:rPr>
      <w:b/>
      <w:sz w:val="21"/>
      <w:szCs w:val="24"/>
    </w:rPr>
  </w:style>
  <w:style w:type="character" w:styleId="37">
    <w:name w:val="page number"/>
    <w:basedOn w:val="35"/>
    <w:qFormat/>
    <w:uiPriority w:val="0"/>
  </w:style>
  <w:style w:type="character" w:styleId="38">
    <w:name w:val="FollowedHyperlink"/>
    <w:qFormat/>
    <w:uiPriority w:val="0"/>
    <w:rPr>
      <w:rFonts w:hint="eastAsia" w:ascii="宋体" w:hAnsi="宋体" w:eastAsia="宋体" w:cs="宋体"/>
      <w:color w:val="000000"/>
      <w:sz w:val="18"/>
      <w:szCs w:val="18"/>
      <w:u w:val="none"/>
    </w:rPr>
  </w:style>
  <w:style w:type="character" w:styleId="39">
    <w:name w:val="Emphasis"/>
    <w:basedOn w:val="35"/>
    <w:qFormat/>
    <w:uiPriority w:val="0"/>
  </w:style>
  <w:style w:type="character" w:styleId="40">
    <w:name w:val="HTML Definition"/>
    <w:qFormat/>
    <w:uiPriority w:val="0"/>
    <w:rPr>
      <w:i/>
      <w:sz w:val="21"/>
      <w:szCs w:val="24"/>
    </w:rPr>
  </w:style>
  <w:style w:type="character" w:styleId="41">
    <w:name w:val="Hyperlink"/>
    <w:qFormat/>
    <w:uiPriority w:val="0"/>
    <w:rPr>
      <w:rFonts w:hint="default"/>
      <w:color w:val="0368A8"/>
    </w:rPr>
  </w:style>
  <w:style w:type="character" w:styleId="42">
    <w:name w:val="HTML Code"/>
    <w:qFormat/>
    <w:uiPriority w:val="0"/>
    <w:rPr>
      <w:rFonts w:hint="default" w:ascii="Menlo" w:hAnsi="Menlo" w:eastAsia="Menlo" w:cs="Menlo"/>
      <w:color w:val="C7254E"/>
      <w:sz w:val="21"/>
      <w:szCs w:val="21"/>
      <w:shd w:val="clear" w:color="auto" w:fill="F9F2F4"/>
    </w:rPr>
  </w:style>
  <w:style w:type="character" w:styleId="43">
    <w:name w:val="annotation reference"/>
    <w:qFormat/>
    <w:uiPriority w:val="0"/>
    <w:rPr>
      <w:sz w:val="21"/>
      <w:szCs w:val="21"/>
    </w:rPr>
  </w:style>
  <w:style w:type="character" w:styleId="44">
    <w:name w:val="footnote reference"/>
    <w:unhideWhenUsed/>
    <w:qFormat/>
    <w:uiPriority w:val="0"/>
    <w:rPr>
      <w:vertAlign w:val="superscript"/>
    </w:rPr>
  </w:style>
  <w:style w:type="character" w:styleId="45">
    <w:name w:val="HTML Keyboard"/>
    <w:qFormat/>
    <w:uiPriority w:val="0"/>
    <w:rPr>
      <w:rFonts w:hint="default" w:ascii="Menlo" w:hAnsi="Menlo" w:eastAsia="Menlo" w:cs="Menlo"/>
      <w:color w:val="FFFFFF"/>
      <w:sz w:val="21"/>
      <w:szCs w:val="21"/>
      <w:shd w:val="clear" w:color="auto" w:fill="333333"/>
    </w:rPr>
  </w:style>
  <w:style w:type="character" w:styleId="46">
    <w:name w:val="HTML Sample"/>
    <w:qFormat/>
    <w:uiPriority w:val="0"/>
    <w:rPr>
      <w:rFonts w:ascii="Menlo" w:hAnsi="Menlo" w:eastAsia="Menlo" w:cs="Menlo"/>
      <w:sz w:val="21"/>
      <w:szCs w:val="21"/>
    </w:rPr>
  </w:style>
  <w:style w:type="character" w:customStyle="1" w:styleId="47">
    <w:name w:val="标题 1 Char"/>
    <w:link w:val="3"/>
    <w:qFormat/>
    <w:uiPriority w:val="9"/>
    <w:rPr>
      <w:rFonts w:ascii="宋体"/>
      <w:b/>
      <w:kern w:val="44"/>
      <w:sz w:val="44"/>
    </w:rPr>
  </w:style>
  <w:style w:type="paragraph" w:customStyle="1" w:styleId="48">
    <w:name w:val="样式 10 磅"/>
    <w:qFormat/>
    <w:uiPriority w:val="0"/>
    <w:pPr>
      <w:widowControl w:val="0"/>
      <w:jc w:val="both"/>
    </w:pPr>
    <w:rPr>
      <w:rFonts w:ascii="Calibri" w:hAnsi="Calibri" w:eastAsia="宋体" w:cs="Times New Roman"/>
      <w:kern w:val="2"/>
      <w:sz w:val="21"/>
      <w:szCs w:val="24"/>
      <w:lang w:val="en-US" w:eastAsia="zh-CN" w:bidi="ar-SA"/>
    </w:rPr>
  </w:style>
  <w:style w:type="character" w:customStyle="1" w:styleId="49">
    <w:name w:val="列出段落 Char1"/>
    <w:link w:val="50"/>
    <w:qFormat/>
    <w:locked/>
    <w:uiPriority w:val="34"/>
    <w:rPr>
      <w:rFonts w:ascii="Calibri" w:hAnsi="Calibri" w:eastAsia="PMingLiU"/>
      <w:sz w:val="24"/>
      <w:szCs w:val="22"/>
      <w:lang w:eastAsia="zh-TW"/>
    </w:rPr>
  </w:style>
  <w:style w:type="paragraph" w:styleId="50">
    <w:name w:val="List Paragraph"/>
    <w:basedOn w:val="1"/>
    <w:link w:val="49"/>
    <w:qFormat/>
    <w:uiPriority w:val="34"/>
    <w:pPr>
      <w:widowControl w:val="0"/>
      <w:ind w:left="720"/>
      <w:jc w:val="left"/>
    </w:pPr>
    <w:rPr>
      <w:rFonts w:ascii="Calibri" w:hAnsi="Calibri" w:eastAsia="PMingLiU"/>
      <w:color w:val="auto"/>
      <w:szCs w:val="22"/>
      <w:lang w:eastAsia="zh-TW"/>
    </w:rPr>
  </w:style>
  <w:style w:type="character" w:customStyle="1" w:styleId="51">
    <w:name w:val="font31"/>
    <w:qFormat/>
    <w:uiPriority w:val="0"/>
    <w:rPr>
      <w:rFonts w:hint="eastAsia" w:ascii="宋体" w:hAnsi="宋体" w:eastAsia="宋体" w:cs="宋体"/>
      <w:color w:val="000000"/>
      <w:sz w:val="24"/>
      <w:szCs w:val="24"/>
      <w:u w:val="none"/>
    </w:rPr>
  </w:style>
  <w:style w:type="character" w:customStyle="1" w:styleId="52">
    <w:name w:val="脚注文本 Char"/>
    <w:link w:val="25"/>
    <w:semiHidden/>
    <w:qFormat/>
    <w:uiPriority w:val="0"/>
    <w:rPr>
      <w:sz w:val="18"/>
      <w:szCs w:val="18"/>
    </w:rPr>
  </w:style>
  <w:style w:type="character" w:customStyle="1" w:styleId="53">
    <w:name w:val="font151"/>
    <w:qFormat/>
    <w:uiPriority w:val="0"/>
    <w:rPr>
      <w:rFonts w:ascii="Courier New" w:hAnsi="Courier New" w:cs="Courier New"/>
      <w:color w:val="333333"/>
      <w:sz w:val="20"/>
      <w:szCs w:val="20"/>
      <w:u w:val="none"/>
    </w:rPr>
  </w:style>
  <w:style w:type="character" w:customStyle="1" w:styleId="54">
    <w:name w:val="标题 2 Char"/>
    <w:link w:val="4"/>
    <w:qFormat/>
    <w:uiPriority w:val="0"/>
    <w:rPr>
      <w:rFonts w:ascii="Cambria" w:hAnsi="Cambria"/>
      <w:b/>
      <w:sz w:val="32"/>
      <w:szCs w:val="24"/>
    </w:rPr>
  </w:style>
  <w:style w:type="character" w:customStyle="1" w:styleId="55">
    <w:name w:val="列出段落 Char"/>
    <w:link w:val="56"/>
    <w:qFormat/>
    <w:locked/>
    <w:uiPriority w:val="0"/>
    <w:rPr>
      <w:sz w:val="34"/>
      <w:szCs w:val="24"/>
    </w:rPr>
  </w:style>
  <w:style w:type="paragraph" w:customStyle="1" w:styleId="56">
    <w:name w:val="列出段落11"/>
    <w:basedOn w:val="1"/>
    <w:link w:val="55"/>
    <w:qFormat/>
    <w:uiPriority w:val="0"/>
    <w:pPr>
      <w:ind w:firstLine="420" w:firstLineChars="200"/>
    </w:pPr>
    <w:rPr>
      <w:rFonts w:ascii="Calibri" w:hAnsi="Calibri"/>
      <w:color w:val="auto"/>
      <w:sz w:val="34"/>
    </w:rPr>
  </w:style>
  <w:style w:type="character" w:customStyle="1" w:styleId="57">
    <w:name w:val="正文文本缩进 2 Char"/>
    <w:link w:val="19"/>
    <w:qFormat/>
    <w:uiPriority w:val="0"/>
    <w:rPr>
      <w:color w:val="000000"/>
      <w:sz w:val="24"/>
      <w:szCs w:val="24"/>
    </w:rPr>
  </w:style>
  <w:style w:type="character" w:customStyle="1" w:styleId="58">
    <w:name w:val="批注文字 Char1"/>
    <w:basedOn w:val="35"/>
    <w:qFormat/>
    <w:uiPriority w:val="99"/>
  </w:style>
  <w:style w:type="character" w:customStyle="1" w:styleId="59">
    <w:name w:val="批注框文本 Char"/>
    <w:link w:val="20"/>
    <w:qFormat/>
    <w:uiPriority w:val="0"/>
    <w:rPr>
      <w:rFonts w:ascii="宋体"/>
      <w:sz w:val="18"/>
      <w:szCs w:val="18"/>
    </w:rPr>
  </w:style>
  <w:style w:type="character" w:customStyle="1" w:styleId="60">
    <w:name w:val="标题 Char"/>
    <w:link w:val="30"/>
    <w:qFormat/>
    <w:uiPriority w:val="0"/>
    <w:rPr>
      <w:rFonts w:ascii="Cambria" w:hAnsi="Cambria"/>
      <w:b/>
      <w:bCs/>
      <w:color w:val="000000"/>
      <w:sz w:val="32"/>
      <w:szCs w:val="32"/>
    </w:rPr>
  </w:style>
  <w:style w:type="character" w:customStyle="1" w:styleId="61">
    <w:name w:val="正文缩进 Char"/>
    <w:link w:val="9"/>
    <w:qFormat/>
    <w:uiPriority w:val="0"/>
    <w:rPr>
      <w:rFonts w:ascii="宋体"/>
      <w:sz w:val="34"/>
    </w:rPr>
  </w:style>
  <w:style w:type="character" w:customStyle="1" w:styleId="62">
    <w:name w:val="标题 3 Char"/>
    <w:link w:val="5"/>
    <w:qFormat/>
    <w:uiPriority w:val="9"/>
    <w:rPr>
      <w:b/>
      <w:sz w:val="32"/>
    </w:rPr>
  </w:style>
  <w:style w:type="character" w:customStyle="1" w:styleId="63">
    <w:name w:val="font141"/>
    <w:qFormat/>
    <w:uiPriority w:val="0"/>
    <w:rPr>
      <w:rFonts w:ascii="Symbol" w:hAnsi="Symbol" w:cs="Symbol"/>
      <w:color w:val="003300"/>
      <w:sz w:val="20"/>
      <w:szCs w:val="20"/>
      <w:u w:val="none"/>
    </w:rPr>
  </w:style>
  <w:style w:type="character" w:customStyle="1" w:styleId="64">
    <w:name w:val="标题 4 Char"/>
    <w:link w:val="2"/>
    <w:qFormat/>
    <w:uiPriority w:val="0"/>
    <w:rPr>
      <w:rFonts w:ascii="Calibri Light" w:hAnsi="Calibri Light"/>
      <w:b/>
      <w:bCs/>
      <w:color w:val="000000"/>
      <w:sz w:val="28"/>
      <w:szCs w:val="28"/>
    </w:rPr>
  </w:style>
  <w:style w:type="character" w:customStyle="1" w:styleId="65">
    <w:name w:val="标题 5 Char"/>
    <w:link w:val="6"/>
    <w:qFormat/>
    <w:uiPriority w:val="0"/>
    <w:rPr>
      <w:rFonts w:ascii="Times New Roman"/>
      <w:b/>
      <w:bCs/>
      <w:color w:val="000000"/>
      <w:sz w:val="28"/>
      <w:szCs w:val="28"/>
    </w:rPr>
  </w:style>
  <w:style w:type="character" w:customStyle="1" w:styleId="66">
    <w:name w:val="font112"/>
    <w:qFormat/>
    <w:uiPriority w:val="0"/>
    <w:rPr>
      <w:rFonts w:hint="eastAsia" w:ascii="微软雅黑 Light" w:hAnsi="微软雅黑 Light" w:eastAsia="微软雅黑 Light" w:cs="微软雅黑 Light"/>
      <w:color w:val="333333"/>
      <w:sz w:val="20"/>
      <w:szCs w:val="20"/>
      <w:u w:val="none"/>
    </w:rPr>
  </w:style>
  <w:style w:type="character" w:customStyle="1" w:styleId="67">
    <w:name w:val="批注文字 Char"/>
    <w:link w:val="11"/>
    <w:qFormat/>
    <w:uiPriority w:val="0"/>
    <w:rPr>
      <w:kern w:val="2"/>
      <w:sz w:val="21"/>
    </w:rPr>
  </w:style>
  <w:style w:type="character" w:customStyle="1" w:styleId="68">
    <w:name w:val="font161"/>
    <w:qFormat/>
    <w:uiPriority w:val="0"/>
    <w:rPr>
      <w:rFonts w:ascii="Symbol" w:hAnsi="Symbol" w:cs="Symbol"/>
      <w:color w:val="003300"/>
      <w:sz w:val="20"/>
      <w:szCs w:val="20"/>
      <w:u w:val="none"/>
    </w:rPr>
  </w:style>
  <w:style w:type="character" w:customStyle="1" w:styleId="69">
    <w:name w:val="批注主题 Char"/>
    <w:link w:val="31"/>
    <w:qFormat/>
    <w:uiPriority w:val="0"/>
    <w:rPr>
      <w:b/>
      <w:bCs/>
      <w:kern w:val="2"/>
      <w:sz w:val="21"/>
    </w:rPr>
  </w:style>
  <w:style w:type="character" w:customStyle="1" w:styleId="70">
    <w:name w:val="文档结构图 Char"/>
    <w:link w:val="10"/>
    <w:qFormat/>
    <w:uiPriority w:val="0"/>
    <w:rPr>
      <w:rFonts w:ascii="宋体"/>
      <w:sz w:val="18"/>
      <w:szCs w:val="18"/>
    </w:rPr>
  </w:style>
  <w:style w:type="character" w:customStyle="1" w:styleId="71">
    <w:name w:val="font131"/>
    <w:qFormat/>
    <w:uiPriority w:val="0"/>
    <w:rPr>
      <w:rFonts w:hint="eastAsia" w:ascii="微软雅黑 Light" w:hAnsi="微软雅黑 Light" w:eastAsia="微软雅黑 Light" w:cs="微软雅黑 Light"/>
      <w:color w:val="003300"/>
      <w:sz w:val="20"/>
      <w:szCs w:val="20"/>
      <w:u w:val="none"/>
    </w:rPr>
  </w:style>
  <w:style w:type="character" w:customStyle="1" w:styleId="72">
    <w:name w:val="正文文本 Char"/>
    <w:link w:val="12"/>
    <w:qFormat/>
    <w:uiPriority w:val="0"/>
    <w:rPr>
      <w:rFonts w:ascii="宋体"/>
      <w:sz w:val="34"/>
      <w:szCs w:val="24"/>
    </w:rPr>
  </w:style>
  <w:style w:type="character" w:customStyle="1" w:styleId="73">
    <w:name w:val="z-窗体顶端 Char"/>
    <w:link w:val="74"/>
    <w:qFormat/>
    <w:uiPriority w:val="1"/>
    <w:rPr>
      <w:rFonts w:ascii="宋体" w:hAnsi="Times New Roman"/>
      <w:color w:val="000000"/>
      <w:kern w:val="2"/>
      <w:sz w:val="21"/>
      <w:szCs w:val="22"/>
      <w:lang w:val="en-US" w:eastAsia="zh-CN" w:bidi="ar-SA"/>
    </w:rPr>
  </w:style>
  <w:style w:type="paragraph" w:customStyle="1" w:styleId="74">
    <w:name w:val="z-窗体顶端2"/>
    <w:link w:val="73"/>
    <w:qFormat/>
    <w:uiPriority w:val="1"/>
    <w:pPr>
      <w:widowControl w:val="0"/>
      <w:jc w:val="both"/>
    </w:pPr>
    <w:rPr>
      <w:rFonts w:ascii="宋体" w:hAnsi="Times New Roman" w:eastAsia="宋体" w:cs="Times New Roman"/>
      <w:color w:val="000000"/>
      <w:kern w:val="2"/>
      <w:sz w:val="21"/>
      <w:szCs w:val="22"/>
      <w:lang w:val="en-US" w:eastAsia="zh-CN" w:bidi="ar-SA"/>
    </w:rPr>
  </w:style>
  <w:style w:type="character" w:customStyle="1" w:styleId="75">
    <w:name w:val="正文文本缩进 Char"/>
    <w:link w:val="13"/>
    <w:qFormat/>
    <w:uiPriority w:val="0"/>
    <w:rPr>
      <w:rFonts w:ascii="宋体"/>
      <w:sz w:val="34"/>
      <w:szCs w:val="24"/>
    </w:rPr>
  </w:style>
  <w:style w:type="character" w:customStyle="1" w:styleId="76">
    <w:name w:val="font41"/>
    <w:basedOn w:val="35"/>
    <w:qFormat/>
    <w:uiPriority w:val="0"/>
    <w:rPr>
      <w:rFonts w:hint="eastAsia" w:ascii="宋体" w:hAnsi="宋体" w:eastAsia="宋体" w:cs="宋体"/>
      <w:color w:val="000000"/>
      <w:sz w:val="24"/>
      <w:szCs w:val="24"/>
      <w:u w:val="none"/>
    </w:rPr>
  </w:style>
  <w:style w:type="character" w:customStyle="1" w:styleId="77">
    <w:name w:val="纯文本 Char"/>
    <w:link w:val="16"/>
    <w:qFormat/>
    <w:uiPriority w:val="0"/>
    <w:rPr>
      <w:rFonts w:ascii="宋体" w:hAnsi="Courier New"/>
      <w:kern w:val="2"/>
      <w:sz w:val="21"/>
      <w:szCs w:val="24"/>
    </w:rPr>
  </w:style>
  <w:style w:type="character" w:customStyle="1" w:styleId="78">
    <w:name w:val="font51"/>
    <w:qFormat/>
    <w:uiPriority w:val="0"/>
    <w:rPr>
      <w:rFonts w:hint="default" w:ascii="Times New Roman" w:hAnsi="Times New Roman" w:cs="Times New Roman"/>
      <w:color w:val="000000"/>
      <w:sz w:val="24"/>
      <w:szCs w:val="24"/>
      <w:u w:val="none"/>
    </w:rPr>
  </w:style>
  <w:style w:type="character" w:customStyle="1" w:styleId="79">
    <w:name w:val="日期 Char"/>
    <w:link w:val="18"/>
    <w:qFormat/>
    <w:uiPriority w:val="0"/>
    <w:rPr>
      <w:rFonts w:ascii="宋体"/>
      <w:sz w:val="34"/>
      <w:szCs w:val="24"/>
    </w:rPr>
  </w:style>
  <w:style w:type="character" w:customStyle="1" w:styleId="80">
    <w:name w:val="页脚 Char"/>
    <w:link w:val="21"/>
    <w:qFormat/>
    <w:uiPriority w:val="0"/>
    <w:rPr>
      <w:rFonts w:ascii="宋体"/>
      <w:sz w:val="18"/>
    </w:rPr>
  </w:style>
  <w:style w:type="character" w:customStyle="1" w:styleId="81">
    <w:name w:val="页眉 Char"/>
    <w:link w:val="22"/>
    <w:qFormat/>
    <w:uiPriority w:val="0"/>
    <w:rPr>
      <w:sz w:val="18"/>
    </w:rPr>
  </w:style>
  <w:style w:type="character" w:customStyle="1" w:styleId="82">
    <w:name w:val="普通(网站) Char"/>
    <w:link w:val="29"/>
    <w:qFormat/>
    <w:uiPriority w:val="0"/>
    <w:rPr>
      <w:rFonts w:ascii="宋体" w:hAnsi="宋体"/>
      <w:sz w:val="18"/>
      <w:szCs w:val="18"/>
    </w:rPr>
  </w:style>
  <w:style w:type="character" w:customStyle="1" w:styleId="83">
    <w:name w:val="font01"/>
    <w:qFormat/>
    <w:uiPriority w:val="0"/>
    <w:rPr>
      <w:rFonts w:hint="eastAsia" w:ascii="宋体" w:hAnsi="宋体" w:eastAsia="宋体" w:cs="宋体"/>
      <w:color w:val="000000"/>
      <w:sz w:val="24"/>
      <w:szCs w:val="24"/>
      <w:u w:val="none"/>
    </w:rPr>
  </w:style>
  <w:style w:type="character" w:customStyle="1" w:styleId="84">
    <w:name w:val="font61"/>
    <w:qFormat/>
    <w:uiPriority w:val="0"/>
    <w:rPr>
      <w:rFonts w:hint="eastAsia" w:ascii="宋体" w:hAnsi="宋体" w:eastAsia="宋体" w:cs="宋体"/>
      <w:color w:val="000000"/>
      <w:sz w:val="24"/>
      <w:szCs w:val="24"/>
      <w:u w:val="none"/>
    </w:rPr>
  </w:style>
  <w:style w:type="character" w:customStyle="1" w:styleId="85">
    <w:name w:val="font11"/>
    <w:qFormat/>
    <w:uiPriority w:val="0"/>
    <w:rPr>
      <w:rFonts w:hint="eastAsia" w:ascii="宋体" w:hAnsi="宋体" w:eastAsia="宋体" w:cs="宋体"/>
      <w:color w:val="0000FF"/>
      <w:sz w:val="24"/>
      <w:szCs w:val="24"/>
      <w:u w:val="single"/>
    </w:rPr>
  </w:style>
  <w:style w:type="character" w:customStyle="1" w:styleId="86">
    <w:name w:val="列出段落 Char3"/>
    <w:qFormat/>
    <w:locked/>
    <w:uiPriority w:val="34"/>
    <w:rPr>
      <w:rFonts w:ascii="Calibri" w:hAnsi="Calibri" w:eastAsia="PMingLiU" w:cs="Times New Roman"/>
      <w:color w:val="000000"/>
      <w:kern w:val="0"/>
      <w:sz w:val="24"/>
      <w:lang w:eastAsia="zh-TW"/>
    </w:rPr>
  </w:style>
  <w:style w:type="character" w:customStyle="1" w:styleId="87">
    <w:name w:val="font81"/>
    <w:qFormat/>
    <w:uiPriority w:val="0"/>
    <w:rPr>
      <w:rFonts w:ascii="Symbol" w:hAnsi="Symbol" w:cs="Symbol"/>
      <w:color w:val="003300"/>
      <w:sz w:val="20"/>
      <w:szCs w:val="20"/>
      <w:u w:val="none"/>
    </w:rPr>
  </w:style>
  <w:style w:type="character" w:customStyle="1" w:styleId="88">
    <w:name w:val="font21"/>
    <w:qFormat/>
    <w:uiPriority w:val="0"/>
    <w:rPr>
      <w:rFonts w:hint="eastAsia" w:ascii="微软雅黑 Light" w:hAnsi="微软雅黑 Light" w:eastAsia="微软雅黑 Light" w:cs="微软雅黑 Light"/>
      <w:color w:val="000000"/>
      <w:sz w:val="20"/>
      <w:szCs w:val="20"/>
      <w:u w:val="none"/>
    </w:rPr>
  </w:style>
  <w:style w:type="character" w:customStyle="1" w:styleId="89">
    <w:name w:val="font71"/>
    <w:qFormat/>
    <w:uiPriority w:val="0"/>
    <w:rPr>
      <w:rFonts w:ascii="Symbol" w:hAnsi="Symbol" w:cs="Symbol"/>
      <w:color w:val="003300"/>
      <w:sz w:val="20"/>
      <w:szCs w:val="20"/>
      <w:u w:val="none"/>
    </w:rPr>
  </w:style>
  <w:style w:type="character" w:customStyle="1" w:styleId="90">
    <w:name w:val="font101"/>
    <w:qFormat/>
    <w:uiPriority w:val="0"/>
    <w:rPr>
      <w:rFonts w:hint="eastAsia" w:ascii="微软雅黑 Light" w:hAnsi="微软雅黑 Light" w:eastAsia="微软雅黑 Light" w:cs="微软雅黑 Light"/>
      <w:color w:val="000000"/>
      <w:sz w:val="20"/>
      <w:szCs w:val="20"/>
      <w:u w:val="none"/>
    </w:rPr>
  </w:style>
  <w:style w:type="character" w:customStyle="1" w:styleId="91">
    <w:name w:val="font171"/>
    <w:qFormat/>
    <w:uiPriority w:val="0"/>
    <w:rPr>
      <w:rFonts w:ascii="Courier New" w:hAnsi="Courier New" w:cs="Courier New"/>
      <w:color w:val="333333"/>
      <w:sz w:val="20"/>
      <w:szCs w:val="20"/>
      <w:u w:val="none"/>
    </w:rPr>
  </w:style>
  <w:style w:type="paragraph" w:customStyle="1" w:styleId="92">
    <w:name w:val="Char"/>
    <w:basedOn w:val="1"/>
    <w:qFormat/>
    <w:uiPriority w:val="0"/>
    <w:pPr>
      <w:tabs>
        <w:tab w:val="left" w:pos="8280"/>
      </w:tabs>
      <w:spacing w:line="420" w:lineRule="auto"/>
      <w:ind w:left="2556" w:leftChars="600" w:right="737" w:rightChars="351" w:hanging="1296" w:hangingChars="461"/>
      <w:jc w:val="left"/>
    </w:pPr>
    <w:rPr>
      <w:rFonts w:ascii="Tahoma" w:hAnsi="Tahoma"/>
      <w:b/>
      <w:kern w:val="16"/>
      <w:sz w:val="28"/>
      <w:szCs w:val="28"/>
    </w:rPr>
  </w:style>
  <w:style w:type="paragraph" w:customStyle="1" w:styleId="93">
    <w:name w:val="默认段落字体 Para Char Char Char Char Char Char Char"/>
    <w:basedOn w:val="1"/>
    <w:qFormat/>
    <w:uiPriority w:val="0"/>
    <w:rPr>
      <w:rFonts w:ascii="Tahoma" w:hAnsi="Tahoma"/>
    </w:rPr>
  </w:style>
  <w:style w:type="paragraph" w:customStyle="1" w:styleId="94">
    <w:name w:val="列出段落1"/>
    <w:basedOn w:val="1"/>
    <w:qFormat/>
    <w:uiPriority w:val="34"/>
    <w:pPr>
      <w:ind w:firstLine="420" w:firstLineChars="200"/>
    </w:pPr>
  </w:style>
  <w:style w:type="paragraph" w:customStyle="1" w:styleId="95">
    <w:name w:val="正文首行缩进两字符"/>
    <w:basedOn w:val="1"/>
    <w:qFormat/>
    <w:uiPriority w:val="0"/>
    <w:pPr>
      <w:widowControl w:val="0"/>
      <w:spacing w:line="360" w:lineRule="auto"/>
      <w:ind w:firstLine="200" w:firstLineChars="200"/>
    </w:pPr>
  </w:style>
  <w:style w:type="paragraph" w:customStyle="1" w:styleId="96">
    <w:name w:val="Char Char1 Char Char Char Char Char Char Char Char Char Char Char Char Char Char"/>
    <w:basedOn w:val="1"/>
    <w:qFormat/>
    <w:uiPriority w:val="0"/>
    <w:pPr>
      <w:spacing w:after="160" w:line="240" w:lineRule="exact"/>
      <w:jc w:val="left"/>
    </w:pPr>
    <w:rPr>
      <w:rFonts w:ascii="Verdana" w:hAnsi="Verdana"/>
      <w:sz w:val="20"/>
      <w:lang w:eastAsia="en-US"/>
    </w:rPr>
  </w:style>
  <w:style w:type="paragraph" w:customStyle="1" w:styleId="97">
    <w:name w:val="样式 首行缩进:  2 字符"/>
    <w:basedOn w:val="1"/>
    <w:qFormat/>
    <w:uiPriority w:val="99"/>
    <w:pPr>
      <w:spacing w:line="400" w:lineRule="exact"/>
      <w:ind w:firstLine="200" w:firstLineChars="200"/>
    </w:pPr>
    <w:rPr>
      <w:rFonts w:cs="宋体"/>
    </w:rPr>
  </w:style>
  <w:style w:type="paragraph" w:customStyle="1" w:styleId="98">
    <w:name w:val="z-窗体顶端1"/>
    <w:qFormat/>
    <w:uiPriority w:val="1"/>
    <w:pPr>
      <w:widowControl w:val="0"/>
      <w:jc w:val="both"/>
    </w:pPr>
    <w:rPr>
      <w:rFonts w:ascii="宋体" w:hAnsi="Times New Roman" w:eastAsia="宋体" w:cs="Times New Roman"/>
      <w:color w:val="000000"/>
      <w:kern w:val="2"/>
      <w:sz w:val="21"/>
      <w:szCs w:val="22"/>
      <w:lang w:val="en-US" w:eastAsia="zh-CN" w:bidi="ar-SA"/>
    </w:rPr>
  </w:style>
  <w:style w:type="paragraph" w:customStyle="1" w:styleId="99">
    <w:name w:val="p15"/>
    <w:basedOn w:val="1"/>
    <w:qFormat/>
    <w:uiPriority w:val="0"/>
    <w:pPr>
      <w:spacing w:line="360" w:lineRule="auto"/>
      <w:ind w:firstLine="420"/>
      <w:jc w:val="left"/>
    </w:pPr>
    <w:rPr>
      <w:rFonts w:ascii="Arial" w:hAnsi="Arial" w:cs="Arial"/>
    </w:rPr>
  </w:style>
  <w:style w:type="paragraph" w:customStyle="1" w:styleId="100">
    <w:name w:val="Char Char1"/>
    <w:basedOn w:val="1"/>
    <w:qFormat/>
    <w:uiPriority w:val="0"/>
    <w:pPr>
      <w:tabs>
        <w:tab w:val="left" w:pos="1215"/>
      </w:tabs>
      <w:ind w:left="420" w:hanging="420"/>
    </w:pPr>
    <w:rPr>
      <w:sz w:val="21"/>
    </w:rPr>
  </w:style>
  <w:style w:type="paragraph" w:customStyle="1" w:styleId="101">
    <w:name w:val="表格"/>
    <w:basedOn w:val="1"/>
    <w:link w:val="118"/>
    <w:qFormat/>
    <w:uiPriority w:val="0"/>
    <w:pPr>
      <w:spacing w:line="400" w:lineRule="exact"/>
    </w:pPr>
  </w:style>
  <w:style w:type="paragraph" w:customStyle="1" w:styleId="102">
    <w:name w:val="样式1"/>
    <w:basedOn w:val="1"/>
    <w:qFormat/>
    <w:uiPriority w:val="0"/>
    <w:pPr>
      <w:widowControl w:val="0"/>
      <w:jc w:val="center"/>
      <w:outlineLvl w:val="0"/>
    </w:pPr>
    <w:rPr>
      <w:rFonts w:ascii="Times New Roman"/>
      <w:b/>
      <w:kern w:val="2"/>
      <w:sz w:val="32"/>
    </w:rPr>
  </w:style>
  <w:style w:type="paragraph" w:customStyle="1" w:styleId="103">
    <w:name w:val="正文-venustech"/>
    <w:basedOn w:val="1"/>
    <w:qFormat/>
    <w:uiPriority w:val="0"/>
    <w:pPr>
      <w:widowControl w:val="0"/>
      <w:spacing w:line="360" w:lineRule="auto"/>
      <w:ind w:firstLine="200" w:firstLineChars="200"/>
    </w:pPr>
    <w:rPr>
      <w:rFonts w:ascii="Calibri" w:hAnsi="Calibri"/>
      <w:kern w:val="2"/>
      <w:szCs w:val="22"/>
    </w:rPr>
  </w:style>
  <w:style w:type="paragraph" w:styleId="104">
    <w:name w:val="No Spacing"/>
    <w:qFormat/>
    <w:uiPriority w:val="1"/>
    <w:pPr>
      <w:widowControl w:val="0"/>
      <w:jc w:val="both"/>
    </w:pPr>
    <w:rPr>
      <w:rFonts w:ascii="宋体" w:hAnsi="Times New Roman" w:eastAsia="宋体" w:cs="Times New Roman"/>
      <w:color w:val="000000"/>
      <w:kern w:val="2"/>
      <w:sz w:val="21"/>
      <w:szCs w:val="22"/>
      <w:lang w:val="en-US" w:eastAsia="zh-CN" w:bidi="ar-SA"/>
    </w:rPr>
  </w:style>
  <w:style w:type="paragraph" w:customStyle="1" w:styleId="105">
    <w:name w:val="正文文本缩进1"/>
    <w:basedOn w:val="1"/>
    <w:qFormat/>
    <w:uiPriority w:val="0"/>
    <w:pPr>
      <w:spacing w:line="200" w:lineRule="exact"/>
      <w:ind w:firstLine="301"/>
    </w:pPr>
    <w:rPr>
      <w:rFonts w:hAnsi="Courier New"/>
      <w:spacing w:val="-4"/>
      <w:sz w:val="18"/>
    </w:rPr>
  </w:style>
  <w:style w:type="paragraph" w:customStyle="1" w:styleId="106">
    <w:name w:val="Table Paragraph"/>
    <w:basedOn w:val="1"/>
    <w:qFormat/>
    <w:uiPriority w:val="1"/>
    <w:pPr>
      <w:widowControl w:val="0"/>
      <w:autoSpaceDE w:val="0"/>
      <w:autoSpaceDN w:val="0"/>
      <w:adjustRightInd w:val="0"/>
      <w:jc w:val="left"/>
    </w:pPr>
  </w:style>
  <w:style w:type="paragraph" w:customStyle="1" w:styleId="107">
    <w:name w:val="正文1"/>
    <w:qFormat/>
    <w:uiPriority w:val="0"/>
    <w:pPr>
      <w:widowControl w:val="0"/>
      <w:adjustRightInd w:val="0"/>
      <w:spacing w:line="312" w:lineRule="atLeast"/>
      <w:jc w:val="both"/>
      <w:textAlignment w:val="baseline"/>
    </w:pPr>
    <w:rPr>
      <w:rFonts w:ascii="宋体" w:hAnsi="Times New Roman" w:eastAsia="宋体" w:cs="Times New Roman"/>
      <w:color w:val="000000"/>
      <w:sz w:val="34"/>
      <w:szCs w:val="24"/>
      <w:lang w:val="en-US" w:eastAsia="zh-CN" w:bidi="ar-SA"/>
    </w:rPr>
  </w:style>
  <w:style w:type="paragraph" w:customStyle="1" w:styleId="108">
    <w:name w:val="p0"/>
    <w:basedOn w:val="1"/>
    <w:qFormat/>
    <w:uiPriority w:val="0"/>
    <w:rPr>
      <w:rFonts w:cs="Calibri"/>
      <w:szCs w:val="21"/>
    </w:rPr>
  </w:style>
  <w:style w:type="paragraph" w:customStyle="1" w:styleId="109">
    <w:name w:val="彩色列表 - 强调文字颜色 11"/>
    <w:basedOn w:val="1"/>
    <w:qFormat/>
    <w:uiPriority w:val="99"/>
    <w:pPr>
      <w:widowControl w:val="0"/>
      <w:ind w:firstLine="420" w:firstLineChars="200"/>
    </w:pPr>
    <w:rPr>
      <w:rFonts w:ascii="Calibri" w:hAnsi="Calibri"/>
      <w:kern w:val="2"/>
      <w:sz w:val="21"/>
      <w:szCs w:val="22"/>
    </w:rPr>
  </w:style>
  <w:style w:type="paragraph" w:customStyle="1" w:styleId="110">
    <w:name w:val="正文 New New"/>
    <w:qFormat/>
    <w:uiPriority w:val="0"/>
    <w:pPr>
      <w:widowControl w:val="0"/>
      <w:jc w:val="both"/>
    </w:pPr>
    <w:rPr>
      <w:rFonts w:ascii="宋体" w:hAnsi="Times New Roman" w:eastAsia="宋体" w:cs="Times New Roman"/>
      <w:color w:val="000000"/>
      <w:kern w:val="2"/>
      <w:sz w:val="21"/>
      <w:szCs w:val="22"/>
      <w:lang w:val="en-US" w:eastAsia="zh-CN" w:bidi="ar-SA"/>
    </w:rPr>
  </w:style>
  <w:style w:type="paragraph" w:customStyle="1" w:styleId="111">
    <w:name w:val="样式"/>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12">
    <w:name w:val="列出段落4"/>
    <w:basedOn w:val="1"/>
    <w:qFormat/>
    <w:uiPriority w:val="34"/>
    <w:pPr>
      <w:widowControl w:val="0"/>
      <w:ind w:firstLine="420" w:firstLineChars="200"/>
    </w:pPr>
    <w:rPr>
      <w:rFonts w:ascii="Calibri" w:hAnsi="Calibri"/>
      <w:kern w:val="2"/>
      <w:sz w:val="21"/>
      <w:szCs w:val="22"/>
    </w:rPr>
  </w:style>
  <w:style w:type="paragraph" w:customStyle="1" w:styleId="113">
    <w:name w:val="列出段落2"/>
    <w:basedOn w:val="1"/>
    <w:unhideWhenUsed/>
    <w:qFormat/>
    <w:uiPriority w:val="99"/>
    <w:pPr>
      <w:ind w:firstLine="420" w:firstLineChars="200"/>
    </w:pPr>
  </w:style>
  <w:style w:type="paragraph" w:customStyle="1" w:styleId="114">
    <w:name w:val="修订1"/>
    <w:semiHidden/>
    <w:qFormat/>
    <w:uiPriority w:val="99"/>
    <w:rPr>
      <w:rFonts w:ascii="宋体" w:hAnsi="Times New Roman" w:eastAsia="宋体" w:cs="Times New Roman"/>
      <w:color w:val="000000"/>
      <w:sz w:val="24"/>
      <w:szCs w:val="24"/>
      <w:lang w:val="en-US" w:eastAsia="zh-CN" w:bidi="ar-SA"/>
    </w:rPr>
  </w:style>
  <w:style w:type="paragraph" w:customStyle="1" w:styleId="115">
    <w:name w:val="正文缩进1"/>
    <w:basedOn w:val="1"/>
    <w:qFormat/>
    <w:uiPriority w:val="0"/>
    <w:pPr>
      <w:widowControl w:val="0"/>
      <w:ind w:firstLine="420" w:firstLineChars="200"/>
    </w:pPr>
    <w:rPr>
      <w:rFonts w:ascii="Calibri" w:hAnsi="Calibri"/>
      <w:color w:val="auto"/>
      <w:kern w:val="2"/>
      <w:sz w:val="21"/>
    </w:rPr>
  </w:style>
  <w:style w:type="paragraph" w:customStyle="1" w:styleId="116">
    <w:name w:val="正文 New New New New"/>
    <w:qFormat/>
    <w:uiPriority w:val="0"/>
    <w:pPr>
      <w:widowControl w:val="0"/>
      <w:jc w:val="both"/>
    </w:pPr>
    <w:rPr>
      <w:rFonts w:ascii="Times New Roman" w:hAnsi="Times New Roman" w:eastAsia="宋体" w:cs="Times New Roman"/>
      <w:szCs w:val="24"/>
      <w:lang w:val="en-US" w:eastAsia="zh-CN" w:bidi="ar-SA"/>
    </w:rPr>
  </w:style>
  <w:style w:type="table" w:customStyle="1" w:styleId="117">
    <w:name w:val="Table Normal"/>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118">
    <w:name w:val="表格 字符"/>
    <w:link w:val="101"/>
    <w:qFormat/>
    <w:uiPriority w:val="0"/>
    <w:rPr>
      <w:rFonts w:ascii="宋体" w:hAnsi="Times New Roman"/>
      <w:color w:val="000000"/>
      <w:sz w:val="24"/>
      <w:szCs w:val="24"/>
    </w:rPr>
  </w:style>
  <w:style w:type="character" w:customStyle="1" w:styleId="119">
    <w:name w:val="button"/>
    <w:basedOn w:val="35"/>
    <w:qFormat/>
    <w:uiPriority w:val="0"/>
  </w:style>
  <w:style w:type="character" w:customStyle="1" w:styleId="120">
    <w:name w:val="old"/>
    <w:basedOn w:val="35"/>
    <w:qFormat/>
    <w:uiPriority w:val="0"/>
    <w:rPr>
      <w:color w:val="999999"/>
    </w:rPr>
  </w:style>
  <w:style w:type="character" w:customStyle="1" w:styleId="121">
    <w:name w:val="hour_am"/>
    <w:basedOn w:val="35"/>
    <w:qFormat/>
    <w:uiPriority w:val="0"/>
  </w:style>
  <w:style w:type="character" w:customStyle="1" w:styleId="122">
    <w:name w:val="hover3"/>
    <w:basedOn w:val="35"/>
    <w:qFormat/>
    <w:uiPriority w:val="0"/>
    <w:rPr>
      <w:shd w:val="clear" w:color="auto" w:fill="EEEEEE"/>
    </w:rPr>
  </w:style>
  <w:style w:type="character" w:customStyle="1" w:styleId="123">
    <w:name w:val="glyphicon4"/>
    <w:basedOn w:val="35"/>
    <w:qFormat/>
    <w:uiPriority w:val="0"/>
  </w:style>
  <w:style w:type="character" w:customStyle="1" w:styleId="124">
    <w:name w:val="hour_pm"/>
    <w:basedOn w:val="35"/>
    <w:qFormat/>
    <w:uiPriority w:val="0"/>
  </w:style>
  <w:style w:type="character" w:customStyle="1" w:styleId="125">
    <w:name w:val="indent"/>
    <w:basedOn w:val="35"/>
    <w:qFormat/>
    <w:uiPriority w:val="0"/>
  </w:style>
  <w:style w:type="character" w:customStyle="1" w:styleId="126">
    <w:name w:val="tmpztreemove_arrow"/>
    <w:basedOn w:val="35"/>
    <w:qFormat/>
    <w:uiPriority w:val="0"/>
    <w:rPr>
      <w:shd w:val="clear" w:color="auto" w:fill="FFFFFF"/>
    </w:rPr>
  </w:style>
  <w:style w:type="character" w:customStyle="1" w:styleId="127">
    <w:name w:val="hover2"/>
    <w:basedOn w:val="35"/>
    <w:qFormat/>
    <w:uiPriority w:val="0"/>
    <w:rPr>
      <w:shd w:val="clear" w:color="auto" w:fill="EEEEEE"/>
    </w:rPr>
  </w:style>
  <w:style w:type="paragraph" w:customStyle="1" w:styleId="128">
    <w:name w:val="title1"/>
    <w:basedOn w:val="1"/>
    <w:qFormat/>
    <w:uiPriority w:val="0"/>
    <w:pPr>
      <w:spacing w:before="100" w:beforeAutospacing="1" w:after="100" w:afterAutospacing="1"/>
      <w:jc w:val="left"/>
    </w:pPr>
    <w:rPr>
      <w:rFonts w:hAnsi="宋体" w:cs="宋体"/>
    </w:rPr>
  </w:style>
  <w:style w:type="paragraph" w:customStyle="1" w:styleId="129">
    <w:name w:val="Normal1"/>
    <w:qFormat/>
    <w:uiPriority w:val="99"/>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130">
    <w:name w:val="first-child"/>
    <w:basedOn w:val="35"/>
    <w:qFormat/>
    <w:uiPriority w:val="0"/>
  </w:style>
  <w:style w:type="character" w:customStyle="1" w:styleId="131">
    <w:name w:val="first-child1"/>
    <w:basedOn w:val="35"/>
    <w:qFormat/>
    <w:uiPriority w:val="0"/>
  </w:style>
  <w:style w:type="character" w:customStyle="1" w:styleId="132">
    <w:name w:val="first-child2"/>
    <w:basedOn w:val="35"/>
    <w:qFormat/>
    <w:uiPriority w:val="0"/>
  </w:style>
  <w:style w:type="character" w:customStyle="1" w:styleId="133">
    <w:name w:val="first-child3"/>
    <w:basedOn w:val="35"/>
    <w:qFormat/>
    <w:uiPriority w:val="0"/>
  </w:style>
  <w:style w:type="character" w:customStyle="1" w:styleId="134">
    <w:name w:val="nth-of-type(9)"/>
    <w:basedOn w:val="35"/>
    <w:qFormat/>
    <w:uiPriority w:val="0"/>
  </w:style>
  <w:style w:type="character" w:customStyle="1" w:styleId="135">
    <w:name w:val="nth-of-type(7)"/>
    <w:basedOn w:val="35"/>
    <w:qFormat/>
    <w:uiPriority w:val="0"/>
  </w:style>
  <w:style w:type="character" w:customStyle="1" w:styleId="136">
    <w:name w:val="nth-of-type(7)1"/>
    <w:basedOn w:val="35"/>
    <w:qFormat/>
    <w:uiPriority w:val="0"/>
  </w:style>
  <w:style w:type="character" w:customStyle="1" w:styleId="137">
    <w:name w:val="nth-of-type(7)2"/>
    <w:basedOn w:val="35"/>
    <w:qFormat/>
    <w:uiPriority w:val="0"/>
  </w:style>
  <w:style w:type="character" w:customStyle="1" w:styleId="138">
    <w:name w:val="nth-of-type(1)"/>
    <w:basedOn w:val="35"/>
    <w:qFormat/>
    <w:uiPriority w:val="0"/>
  </w:style>
  <w:style w:type="character" w:customStyle="1" w:styleId="139">
    <w:name w:val="nth-of-type(1)1"/>
    <w:basedOn w:val="35"/>
    <w:qFormat/>
    <w:uiPriority w:val="0"/>
  </w:style>
  <w:style w:type="character" w:customStyle="1" w:styleId="140">
    <w:name w:val="nth-of-type(1)2"/>
    <w:basedOn w:val="35"/>
    <w:qFormat/>
    <w:uiPriority w:val="0"/>
  </w:style>
  <w:style w:type="character" w:customStyle="1" w:styleId="141">
    <w:name w:val="nth-of-type(1)3"/>
    <w:basedOn w:val="35"/>
    <w:qFormat/>
    <w:uiPriority w:val="0"/>
  </w:style>
  <w:style w:type="character" w:customStyle="1" w:styleId="142">
    <w:name w:val="nth-of-type(1)4"/>
    <w:basedOn w:val="35"/>
    <w:qFormat/>
    <w:uiPriority w:val="0"/>
  </w:style>
  <w:style w:type="character" w:customStyle="1" w:styleId="143">
    <w:name w:val="nth-of-type(1)5"/>
    <w:basedOn w:val="35"/>
    <w:qFormat/>
    <w:uiPriority w:val="0"/>
  </w:style>
  <w:style w:type="character" w:customStyle="1" w:styleId="144">
    <w:name w:val="nth-of-type(1)6"/>
    <w:basedOn w:val="35"/>
    <w:qFormat/>
    <w:uiPriority w:val="0"/>
    <w:rPr>
      <w:sz w:val="21"/>
      <w:szCs w:val="21"/>
    </w:rPr>
  </w:style>
  <w:style w:type="character" w:customStyle="1" w:styleId="145">
    <w:name w:val="nth-of-type(1)7"/>
    <w:basedOn w:val="35"/>
    <w:qFormat/>
    <w:uiPriority w:val="0"/>
  </w:style>
  <w:style w:type="character" w:customStyle="1" w:styleId="146">
    <w:name w:val="nth-of-type(1)8"/>
    <w:basedOn w:val="35"/>
    <w:qFormat/>
    <w:uiPriority w:val="0"/>
  </w:style>
  <w:style w:type="character" w:customStyle="1" w:styleId="147">
    <w:name w:val="nth-of-type(1)9"/>
    <w:basedOn w:val="35"/>
    <w:qFormat/>
    <w:uiPriority w:val="0"/>
  </w:style>
  <w:style w:type="character" w:customStyle="1" w:styleId="148">
    <w:name w:val="nth-of-type(1)10"/>
    <w:basedOn w:val="35"/>
    <w:qFormat/>
    <w:uiPriority w:val="0"/>
    <w:rPr>
      <w:rFonts w:ascii="SourceHanSansCN-Regular" w:hAnsi="SourceHanSansCN-Regular" w:eastAsia="SourceHanSansCN-Regular" w:cs="SourceHanSansCN-Regular"/>
      <w:color w:val="FB560A"/>
      <w:sz w:val="21"/>
      <w:szCs w:val="21"/>
    </w:rPr>
  </w:style>
  <w:style w:type="character" w:customStyle="1" w:styleId="149">
    <w:name w:val="nth-of-type(1)11"/>
    <w:basedOn w:val="35"/>
    <w:qFormat/>
    <w:uiPriority w:val="0"/>
  </w:style>
  <w:style w:type="character" w:customStyle="1" w:styleId="150">
    <w:name w:val="nth-of-type(1)12"/>
    <w:basedOn w:val="35"/>
    <w:qFormat/>
    <w:uiPriority w:val="0"/>
  </w:style>
  <w:style w:type="character" w:customStyle="1" w:styleId="151">
    <w:name w:val="nth-of-type(1)13"/>
    <w:basedOn w:val="35"/>
    <w:qFormat/>
    <w:uiPriority w:val="0"/>
  </w:style>
  <w:style w:type="character" w:customStyle="1" w:styleId="152">
    <w:name w:val="nth-of-type(1)14"/>
    <w:basedOn w:val="35"/>
    <w:qFormat/>
    <w:uiPriority w:val="0"/>
  </w:style>
  <w:style w:type="character" w:customStyle="1" w:styleId="153">
    <w:name w:val="nth-of-type(1)15"/>
    <w:basedOn w:val="35"/>
    <w:qFormat/>
    <w:uiPriority w:val="0"/>
  </w:style>
  <w:style w:type="character" w:customStyle="1" w:styleId="154">
    <w:name w:val="nth-of-type(1)16"/>
    <w:basedOn w:val="35"/>
    <w:qFormat/>
    <w:uiPriority w:val="0"/>
  </w:style>
  <w:style w:type="character" w:customStyle="1" w:styleId="155">
    <w:name w:val="nth-of-type(1)17"/>
    <w:basedOn w:val="35"/>
    <w:qFormat/>
    <w:uiPriority w:val="0"/>
  </w:style>
  <w:style w:type="character" w:customStyle="1" w:styleId="156">
    <w:name w:val="nth-of-type(1)18"/>
    <w:basedOn w:val="35"/>
    <w:qFormat/>
    <w:uiPriority w:val="0"/>
  </w:style>
  <w:style w:type="character" w:customStyle="1" w:styleId="157">
    <w:name w:val="nth-of-type(8)"/>
    <w:basedOn w:val="35"/>
    <w:qFormat/>
    <w:uiPriority w:val="0"/>
  </w:style>
  <w:style w:type="character" w:customStyle="1" w:styleId="158">
    <w:name w:val="nth-of-type(3)"/>
    <w:basedOn w:val="35"/>
    <w:qFormat/>
    <w:uiPriority w:val="0"/>
  </w:style>
  <w:style w:type="character" w:customStyle="1" w:styleId="159">
    <w:name w:val="nth-of-type(3)1"/>
    <w:basedOn w:val="35"/>
    <w:qFormat/>
    <w:uiPriority w:val="0"/>
  </w:style>
  <w:style w:type="character" w:customStyle="1" w:styleId="160">
    <w:name w:val="nth-of-type(3)2"/>
    <w:basedOn w:val="35"/>
    <w:qFormat/>
    <w:uiPriority w:val="0"/>
  </w:style>
  <w:style w:type="character" w:customStyle="1" w:styleId="161">
    <w:name w:val="nth-of-type(3)3"/>
    <w:basedOn w:val="35"/>
    <w:qFormat/>
    <w:uiPriority w:val="0"/>
  </w:style>
  <w:style w:type="character" w:customStyle="1" w:styleId="162">
    <w:name w:val="nth-of-type(3)4"/>
    <w:basedOn w:val="35"/>
    <w:qFormat/>
    <w:uiPriority w:val="0"/>
    <w:rPr>
      <w:sz w:val="21"/>
      <w:szCs w:val="21"/>
    </w:rPr>
  </w:style>
  <w:style w:type="character" w:customStyle="1" w:styleId="163">
    <w:name w:val="nth-of-type(3)5"/>
    <w:basedOn w:val="35"/>
    <w:qFormat/>
    <w:uiPriority w:val="0"/>
  </w:style>
  <w:style w:type="character" w:customStyle="1" w:styleId="164">
    <w:name w:val="nth-of-type(3)6"/>
    <w:basedOn w:val="35"/>
    <w:qFormat/>
    <w:uiPriority w:val="0"/>
  </w:style>
  <w:style w:type="character" w:customStyle="1" w:styleId="165">
    <w:name w:val="nth-of-type(3)7"/>
    <w:basedOn w:val="35"/>
    <w:qFormat/>
    <w:uiPriority w:val="0"/>
  </w:style>
  <w:style w:type="character" w:customStyle="1" w:styleId="166">
    <w:name w:val="nth-of-type(6)"/>
    <w:basedOn w:val="35"/>
    <w:qFormat/>
    <w:uiPriority w:val="0"/>
  </w:style>
  <w:style w:type="character" w:customStyle="1" w:styleId="167">
    <w:name w:val="nth-of-type(6)1"/>
    <w:basedOn w:val="35"/>
    <w:qFormat/>
    <w:uiPriority w:val="0"/>
  </w:style>
  <w:style w:type="character" w:customStyle="1" w:styleId="168">
    <w:name w:val="nth-of-type(6)2"/>
    <w:basedOn w:val="35"/>
    <w:qFormat/>
    <w:uiPriority w:val="0"/>
  </w:style>
  <w:style w:type="character" w:customStyle="1" w:styleId="169">
    <w:name w:val="nth-of-type(6)3"/>
    <w:basedOn w:val="35"/>
    <w:qFormat/>
    <w:uiPriority w:val="0"/>
    <w:rPr>
      <w:color w:val="0082DF"/>
    </w:rPr>
  </w:style>
  <w:style w:type="character" w:customStyle="1" w:styleId="170">
    <w:name w:val="nth-of-type(6)4"/>
    <w:basedOn w:val="35"/>
    <w:qFormat/>
    <w:uiPriority w:val="0"/>
  </w:style>
  <w:style w:type="character" w:customStyle="1" w:styleId="171">
    <w:name w:val="nth-of-type(6)5"/>
    <w:basedOn w:val="35"/>
    <w:qFormat/>
    <w:uiPriority w:val="0"/>
  </w:style>
  <w:style w:type="character" w:customStyle="1" w:styleId="172">
    <w:name w:val="nth-of-type(2)"/>
    <w:basedOn w:val="35"/>
    <w:qFormat/>
    <w:uiPriority w:val="0"/>
  </w:style>
  <w:style w:type="character" w:customStyle="1" w:styleId="173">
    <w:name w:val="nth-of-type(2)1"/>
    <w:basedOn w:val="35"/>
    <w:qFormat/>
    <w:uiPriority w:val="0"/>
  </w:style>
  <w:style w:type="character" w:customStyle="1" w:styleId="174">
    <w:name w:val="nth-of-type(2)2"/>
    <w:basedOn w:val="35"/>
    <w:qFormat/>
    <w:uiPriority w:val="0"/>
  </w:style>
  <w:style w:type="character" w:customStyle="1" w:styleId="175">
    <w:name w:val="nth-of-type(2)3"/>
    <w:basedOn w:val="35"/>
    <w:qFormat/>
    <w:uiPriority w:val="0"/>
  </w:style>
  <w:style w:type="character" w:customStyle="1" w:styleId="176">
    <w:name w:val="nth-of-type(2)4"/>
    <w:basedOn w:val="35"/>
    <w:qFormat/>
    <w:uiPriority w:val="0"/>
    <w:rPr>
      <w:sz w:val="21"/>
      <w:szCs w:val="21"/>
    </w:rPr>
  </w:style>
  <w:style w:type="character" w:customStyle="1" w:styleId="177">
    <w:name w:val="nth-of-type(2)5"/>
    <w:basedOn w:val="35"/>
    <w:qFormat/>
    <w:uiPriority w:val="0"/>
  </w:style>
  <w:style w:type="character" w:customStyle="1" w:styleId="178">
    <w:name w:val="nth-of-type(2)6"/>
    <w:basedOn w:val="35"/>
    <w:qFormat/>
    <w:uiPriority w:val="0"/>
  </w:style>
  <w:style w:type="character" w:customStyle="1" w:styleId="179">
    <w:name w:val="nth-of-type(2)7"/>
    <w:basedOn w:val="35"/>
    <w:qFormat/>
    <w:uiPriority w:val="0"/>
  </w:style>
  <w:style w:type="character" w:customStyle="1" w:styleId="180">
    <w:name w:val="nth-of-type(2)8"/>
    <w:basedOn w:val="35"/>
    <w:qFormat/>
    <w:uiPriority w:val="0"/>
  </w:style>
  <w:style w:type="character" w:customStyle="1" w:styleId="181">
    <w:name w:val="nth-of-type(2)9"/>
    <w:basedOn w:val="35"/>
    <w:qFormat/>
    <w:uiPriority w:val="0"/>
  </w:style>
  <w:style w:type="character" w:customStyle="1" w:styleId="182">
    <w:name w:val="nth-of-type(2)10"/>
    <w:basedOn w:val="35"/>
    <w:qFormat/>
    <w:uiPriority w:val="0"/>
  </w:style>
  <w:style w:type="character" w:customStyle="1" w:styleId="183">
    <w:name w:val="nth-of-type(2)11"/>
    <w:basedOn w:val="35"/>
    <w:qFormat/>
    <w:uiPriority w:val="0"/>
  </w:style>
  <w:style w:type="character" w:customStyle="1" w:styleId="184">
    <w:name w:val="nth-of-type(2)12"/>
    <w:basedOn w:val="35"/>
    <w:qFormat/>
    <w:uiPriority w:val="0"/>
  </w:style>
  <w:style w:type="character" w:customStyle="1" w:styleId="185">
    <w:name w:val="nth-of-type(2)13"/>
    <w:basedOn w:val="35"/>
    <w:qFormat/>
    <w:uiPriority w:val="0"/>
  </w:style>
  <w:style w:type="character" w:customStyle="1" w:styleId="186">
    <w:name w:val="nth-of-type(2)14"/>
    <w:basedOn w:val="35"/>
    <w:qFormat/>
    <w:uiPriority w:val="0"/>
  </w:style>
  <w:style w:type="character" w:customStyle="1" w:styleId="187">
    <w:name w:val="nth-of-type(4)"/>
    <w:basedOn w:val="35"/>
    <w:qFormat/>
    <w:uiPriority w:val="0"/>
  </w:style>
  <w:style w:type="character" w:customStyle="1" w:styleId="188">
    <w:name w:val="nth-of-type(4)1"/>
    <w:basedOn w:val="35"/>
    <w:qFormat/>
    <w:uiPriority w:val="0"/>
  </w:style>
  <w:style w:type="character" w:customStyle="1" w:styleId="189">
    <w:name w:val="nth-of-type(4)2"/>
    <w:basedOn w:val="35"/>
    <w:qFormat/>
    <w:uiPriority w:val="0"/>
  </w:style>
  <w:style w:type="character" w:customStyle="1" w:styleId="190">
    <w:name w:val="nth-of-type(4)3"/>
    <w:basedOn w:val="35"/>
    <w:qFormat/>
    <w:uiPriority w:val="0"/>
  </w:style>
  <w:style w:type="character" w:customStyle="1" w:styleId="191">
    <w:name w:val="nth-of-type(4)4"/>
    <w:basedOn w:val="35"/>
    <w:qFormat/>
    <w:uiPriority w:val="0"/>
    <w:rPr>
      <w:sz w:val="21"/>
      <w:szCs w:val="21"/>
    </w:rPr>
  </w:style>
  <w:style w:type="character" w:customStyle="1" w:styleId="192">
    <w:name w:val="nth-of-type(4)5"/>
    <w:basedOn w:val="35"/>
    <w:qFormat/>
    <w:uiPriority w:val="0"/>
  </w:style>
  <w:style w:type="character" w:customStyle="1" w:styleId="193">
    <w:name w:val="nth-of-type(4)6"/>
    <w:basedOn w:val="35"/>
    <w:qFormat/>
    <w:uiPriority w:val="0"/>
  </w:style>
  <w:style w:type="character" w:customStyle="1" w:styleId="194">
    <w:name w:val="nth-of-type(4)7"/>
    <w:basedOn w:val="35"/>
    <w:qFormat/>
    <w:uiPriority w:val="0"/>
  </w:style>
  <w:style w:type="character" w:customStyle="1" w:styleId="195">
    <w:name w:val="nth-of-type(4)8"/>
    <w:basedOn w:val="35"/>
    <w:qFormat/>
    <w:uiPriority w:val="0"/>
  </w:style>
  <w:style w:type="character" w:customStyle="1" w:styleId="196">
    <w:name w:val="nth-of-type(5)"/>
    <w:basedOn w:val="35"/>
    <w:qFormat/>
    <w:uiPriority w:val="0"/>
  </w:style>
  <w:style w:type="character" w:customStyle="1" w:styleId="197">
    <w:name w:val="nth-of-type(5)1"/>
    <w:basedOn w:val="35"/>
    <w:qFormat/>
    <w:uiPriority w:val="0"/>
  </w:style>
  <w:style w:type="character" w:customStyle="1" w:styleId="198">
    <w:name w:val="nth-of-type(5)2"/>
    <w:basedOn w:val="35"/>
    <w:qFormat/>
    <w:uiPriority w:val="0"/>
    <w:rPr>
      <w:sz w:val="21"/>
      <w:szCs w:val="21"/>
    </w:rPr>
  </w:style>
  <w:style w:type="character" w:customStyle="1" w:styleId="199">
    <w:name w:val="nth-of-type(5)3"/>
    <w:basedOn w:val="35"/>
    <w:qFormat/>
    <w:uiPriority w:val="0"/>
  </w:style>
  <w:style w:type="character" w:customStyle="1" w:styleId="200">
    <w:name w:val="nth-of-type(5)4"/>
    <w:basedOn w:val="35"/>
    <w:qFormat/>
    <w:uiPriority w:val="0"/>
  </w:style>
  <w:style w:type="character" w:customStyle="1" w:styleId="201">
    <w:name w:val="nth-of-type(5)5"/>
    <w:basedOn w:val="35"/>
    <w:qFormat/>
    <w:uiPriority w:val="0"/>
  </w:style>
  <w:style w:type="character" w:customStyle="1" w:styleId="202">
    <w:name w:val="nth-of-type(5)6"/>
    <w:basedOn w:val="35"/>
    <w:qFormat/>
    <w:uiPriority w:val="0"/>
  </w:style>
  <w:style w:type="character" w:customStyle="1" w:styleId="203">
    <w:name w:val="nth-of-type(10)"/>
    <w:basedOn w:val="35"/>
    <w:qFormat/>
    <w:uiPriority w:val="0"/>
  </w:style>
  <w:style w:type="character" w:customStyle="1" w:styleId="204">
    <w:name w:val="titleshow"/>
    <w:basedOn w:val="35"/>
    <w:qFormat/>
    <w:uiPriority w:val="0"/>
    <w:rPr>
      <w:color w:val="3E464C"/>
    </w:rPr>
  </w:style>
  <w:style w:type="character" w:customStyle="1" w:styleId="205">
    <w:name w:val="nth-child(1)"/>
    <w:basedOn w:val="35"/>
    <w:qFormat/>
    <w:uiPriority w:val="0"/>
  </w:style>
  <w:style w:type="character" w:customStyle="1" w:styleId="206">
    <w:name w:val="layui-laypage-curr"/>
    <w:basedOn w:val="35"/>
    <w:qFormat/>
    <w:uiPriority w:val="0"/>
  </w:style>
  <w:style w:type="character" w:customStyle="1" w:styleId="207">
    <w:name w:val="before2"/>
    <w:basedOn w:val="35"/>
    <w:qFormat/>
    <w:uiPriority w:val="0"/>
    <w:rPr>
      <w:shd w:val="clear" w:color="auto" w:fill="C20E0C"/>
    </w:rPr>
  </w:style>
  <w:style w:type="character" w:customStyle="1" w:styleId="208">
    <w:name w:val="last-child1"/>
    <w:basedOn w:val="35"/>
    <w:qFormat/>
    <w:uiPriority w:val="0"/>
    <w:rPr>
      <w:color w:val="FFFFFF"/>
    </w:rPr>
  </w:style>
  <w:style w:type="character" w:customStyle="1" w:styleId="209">
    <w:name w:val="last-child2"/>
    <w:basedOn w:val="35"/>
    <w:qFormat/>
    <w:uiPriority w:val="0"/>
  </w:style>
  <w:style w:type="character" w:customStyle="1" w:styleId="210">
    <w:name w:val="last-child3"/>
    <w:basedOn w:val="35"/>
    <w:qFormat/>
    <w:uiPriority w:val="0"/>
  </w:style>
  <w:style w:type="character" w:customStyle="1" w:styleId="211">
    <w:name w:val="hover25"/>
    <w:basedOn w:val="35"/>
    <w:qFormat/>
    <w:uiPriority w:val="0"/>
    <w:rPr>
      <w:color w:val="167AE0"/>
    </w:rPr>
  </w:style>
  <w:style w:type="character" w:customStyle="1" w:styleId="212">
    <w:name w:val="hover26"/>
    <w:basedOn w:val="35"/>
    <w:qFormat/>
    <w:uiPriority w:val="0"/>
  </w:style>
  <w:style w:type="character" w:customStyle="1" w:styleId="213">
    <w:name w:val="nth-child(2)"/>
    <w:basedOn w:val="35"/>
    <w:qFormat/>
    <w:uiPriority w:val="0"/>
  </w:style>
  <w:style w:type="character" w:customStyle="1" w:styleId="214">
    <w:name w:val="nth-child(3)"/>
    <w:basedOn w:val="35"/>
    <w:qFormat/>
    <w:uiPriority w:val="0"/>
  </w:style>
  <w:style w:type="character" w:customStyle="1" w:styleId="215">
    <w:name w:val="lineshow"/>
    <w:basedOn w:val="35"/>
    <w:qFormat/>
    <w:uiPriority w:val="0"/>
  </w:style>
  <w:style w:type="character" w:customStyle="1" w:styleId="216">
    <w:name w:val="lineshow1"/>
    <w:basedOn w:val="35"/>
    <w:qFormat/>
    <w:uiPriority w:val="0"/>
  </w:style>
  <w:style w:type="character" w:customStyle="1" w:styleId="217">
    <w:name w:val="layui-this4"/>
    <w:basedOn w:val="35"/>
    <w:qFormat/>
    <w:uiPriority w:val="0"/>
    <w:rPr>
      <w:bdr w:val="single" w:color="EEEEEE" w:sz="6" w:space="0"/>
      <w:shd w:val="clear" w:color="auto" w:fill="FFFFFF"/>
    </w:rPr>
  </w:style>
  <w:style w:type="character" w:customStyle="1" w:styleId="218">
    <w:name w:val="first-child4"/>
    <w:basedOn w:val="35"/>
    <w:qFormat/>
    <w:uiPriority w:val="0"/>
  </w:style>
  <w:style w:type="character" w:customStyle="1" w:styleId="219">
    <w:name w:val="before"/>
    <w:basedOn w:val="35"/>
    <w:qFormat/>
    <w:uiPriority w:val="0"/>
    <w:rPr>
      <w:shd w:val="clear" w:color="auto" w:fill="C20E0C"/>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33CB45-4AFE-4938-953E-9DD142FA0CF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62</Pages>
  <Words>5309</Words>
  <Characters>30267</Characters>
  <Lines>252</Lines>
  <Paragraphs>71</Paragraphs>
  <TotalTime>1</TotalTime>
  <ScaleCrop>false</ScaleCrop>
  <LinksUpToDate>false</LinksUpToDate>
  <CharactersWithSpaces>35505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2020-04-08T02:51:00Z</dcterms:created>
  <dc:creator>Administrator</dc:creator>
  <cp:lastModifiedBy>川招连娟</cp:lastModifiedBy>
  <cp:lastPrinted>2021-11-15T07:26:00Z</cp:lastPrinted>
  <dcterms:modified xsi:type="dcterms:W3CDTF">2022-10-13T07:32:44Z</dcterms:modified>
  <dc:title>@簿出斟蠢爵｜爵曲蕊蕊。，露·惑爵塞涎·，零意爵蕊鳃</dc:title>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FA0070E3F7284E06B7713B5B9AED9CEE</vt:lpwstr>
  </property>
</Properties>
</file>