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560" w:lineRule="exact"/>
        <w:rPr>
          <w:rFonts w:hint="eastAsia" w:ascii="宋体" w:hAnsi="宋体" w:cs="宋体"/>
          <w:highlight w:val="none"/>
        </w:rPr>
      </w:pPr>
    </w:p>
    <w:p>
      <w:pPr>
        <w:pStyle w:val="4"/>
        <w:spacing w:line="560" w:lineRule="exact"/>
        <w:rPr>
          <w:rFonts w:ascii="宋体" w:hAnsi="宋体" w:cs="宋体"/>
          <w:highlight w:val="none"/>
        </w:rPr>
      </w:pPr>
      <w:r>
        <w:rPr>
          <w:rFonts w:hint="eastAsia" w:ascii="宋体" w:hAnsi="宋体" w:cs="宋体"/>
          <w:highlight w:val="none"/>
        </w:rPr>
        <w:t xml:space="preserve">  </w:t>
      </w:r>
    </w:p>
    <w:p>
      <w:pPr>
        <w:spacing w:line="360" w:lineRule="auto"/>
        <w:jc w:val="center"/>
        <w:rPr>
          <w:rFonts w:ascii="宋体" w:hAnsi="宋体" w:cs="宋体"/>
          <w:b/>
          <w:color w:val="auto"/>
          <w:sz w:val="56"/>
          <w:szCs w:val="56"/>
          <w:highlight w:val="none"/>
        </w:rPr>
      </w:pPr>
      <w:r>
        <w:rPr>
          <w:rFonts w:hint="eastAsia" w:ascii="宋体" w:hAnsi="宋体" w:cs="宋体"/>
          <w:b/>
          <w:color w:val="auto"/>
          <w:sz w:val="56"/>
          <w:szCs w:val="56"/>
          <w:highlight w:val="none"/>
        </w:rPr>
        <w:t>西安市长安区郭杜街道周家庄美丽村庄提升改造工程</w:t>
      </w:r>
    </w:p>
    <w:p>
      <w:pPr>
        <w:spacing w:line="480" w:lineRule="auto"/>
        <w:jc w:val="center"/>
        <w:rPr>
          <w:rFonts w:ascii="宋体" w:hAnsi="宋体" w:cs="宋体"/>
          <w:b/>
          <w:color w:val="auto"/>
          <w:sz w:val="52"/>
          <w:szCs w:val="52"/>
          <w:highlight w:val="none"/>
        </w:rPr>
      </w:pPr>
    </w:p>
    <w:p>
      <w:pPr>
        <w:spacing w:line="480" w:lineRule="auto"/>
        <w:jc w:val="center"/>
        <w:rPr>
          <w:rFonts w:ascii="宋体" w:hAnsi="宋体" w:cs="宋体"/>
          <w:b/>
          <w:color w:val="auto"/>
          <w:sz w:val="52"/>
          <w:szCs w:val="52"/>
          <w:highlight w:val="none"/>
        </w:rPr>
      </w:pPr>
    </w:p>
    <w:p>
      <w:pPr>
        <w:spacing w:line="480" w:lineRule="auto"/>
        <w:jc w:val="center"/>
        <w:rPr>
          <w:rFonts w:ascii="宋体" w:hAnsi="宋体" w:cs="宋体"/>
          <w:b/>
          <w:color w:val="auto"/>
          <w:sz w:val="56"/>
          <w:szCs w:val="56"/>
          <w:highlight w:val="none"/>
        </w:rPr>
      </w:pPr>
      <w:r>
        <w:rPr>
          <w:rFonts w:hint="eastAsia" w:ascii="宋体" w:hAnsi="宋体" w:cs="宋体"/>
          <w:b/>
          <w:color w:val="auto"/>
          <w:sz w:val="52"/>
          <w:szCs w:val="52"/>
          <w:highlight w:val="none"/>
        </w:rPr>
        <w:t>竞争性磋商文件</w:t>
      </w:r>
    </w:p>
    <w:p>
      <w:pPr>
        <w:tabs>
          <w:tab w:val="left" w:pos="2345"/>
          <w:tab w:val="center" w:pos="4716"/>
        </w:tabs>
        <w:spacing w:line="560" w:lineRule="exact"/>
        <w:jc w:val="center"/>
        <w:rPr>
          <w:rFonts w:ascii="宋体" w:hAnsi="宋体" w:cs="宋体"/>
          <w:b/>
          <w:color w:val="auto"/>
          <w:sz w:val="30"/>
          <w:szCs w:val="30"/>
          <w:highlight w:val="none"/>
        </w:rPr>
      </w:pPr>
      <w:r>
        <w:rPr>
          <w:rFonts w:hint="eastAsia" w:ascii="宋体" w:hAnsi="宋体" w:cs="宋体"/>
          <w:b/>
          <w:color w:val="auto"/>
          <w:sz w:val="30"/>
          <w:szCs w:val="30"/>
          <w:highlight w:val="none"/>
        </w:rPr>
        <w:t>项目编号：RKJY2022-007</w:t>
      </w:r>
    </w:p>
    <w:p>
      <w:pPr>
        <w:spacing w:line="560" w:lineRule="exact"/>
        <w:jc w:val="center"/>
        <w:rPr>
          <w:rFonts w:ascii="宋体" w:hAnsi="宋体" w:cs="宋体"/>
          <w:color w:val="auto"/>
          <w:sz w:val="28"/>
          <w:szCs w:val="28"/>
          <w:highlight w:val="none"/>
        </w:rPr>
      </w:pPr>
    </w:p>
    <w:p>
      <w:pPr>
        <w:spacing w:line="560" w:lineRule="exact"/>
        <w:jc w:val="center"/>
        <w:rPr>
          <w:rFonts w:ascii="宋体" w:hAnsi="宋体" w:cs="宋体"/>
          <w:b/>
          <w:color w:val="auto"/>
          <w:sz w:val="44"/>
          <w:szCs w:val="44"/>
          <w:highlight w:val="none"/>
        </w:rPr>
      </w:pPr>
    </w:p>
    <w:p>
      <w:pPr>
        <w:pStyle w:val="9"/>
        <w:spacing w:line="560" w:lineRule="exact"/>
        <w:rPr>
          <w:rFonts w:ascii="宋体" w:hAnsi="宋体" w:eastAsia="宋体" w:cs="宋体"/>
          <w:color w:val="auto"/>
          <w:highlight w:val="none"/>
        </w:rPr>
      </w:pPr>
    </w:p>
    <w:p>
      <w:pPr>
        <w:rPr>
          <w:rFonts w:ascii="宋体" w:hAnsi="宋体" w:cs="宋体"/>
          <w:color w:val="auto"/>
          <w:highlight w:val="none"/>
        </w:rPr>
      </w:pPr>
    </w:p>
    <w:p>
      <w:pPr>
        <w:pStyle w:val="2"/>
        <w:rPr>
          <w:color w:val="auto"/>
          <w:highlight w:val="none"/>
        </w:rPr>
      </w:pPr>
    </w:p>
    <w:p>
      <w:pPr>
        <w:pStyle w:val="19"/>
        <w:spacing w:line="360" w:lineRule="atLeast"/>
        <w:jc w:val="center"/>
        <w:rPr>
          <w:b/>
          <w:kern w:val="21"/>
          <w:sz w:val="32"/>
          <w:szCs w:val="32"/>
          <w:highlight w:val="none"/>
        </w:rPr>
      </w:pPr>
      <w:bookmarkStart w:id="0" w:name="_Toc26299"/>
      <w:bookmarkStart w:id="1" w:name="_Toc2750"/>
      <w:bookmarkStart w:id="2" w:name="_Toc31074"/>
      <w:bookmarkStart w:id="3" w:name="_Toc24885"/>
      <w:bookmarkStart w:id="4" w:name="_Toc7167"/>
      <w:r>
        <w:rPr>
          <w:rFonts w:hint="eastAsia"/>
          <w:b/>
          <w:kern w:val="21"/>
          <w:sz w:val="32"/>
          <w:szCs w:val="32"/>
          <w:highlight w:val="none"/>
          <w:u w:color="000000"/>
        </w:rPr>
        <w:t>采  购  人：西安市长安区郭杜街道办事处</w:t>
      </w:r>
    </w:p>
    <w:p>
      <w:pPr>
        <w:spacing w:line="900" w:lineRule="exact"/>
        <w:jc w:val="center"/>
        <w:rPr>
          <w:rFonts w:ascii="宋体" w:hAnsi="宋体" w:cs="宋体"/>
          <w:b/>
          <w:color w:val="auto"/>
          <w:kern w:val="21"/>
          <w:sz w:val="32"/>
          <w:szCs w:val="32"/>
          <w:highlight w:val="none"/>
        </w:rPr>
      </w:pPr>
      <w:r>
        <w:rPr>
          <w:rFonts w:hint="eastAsia" w:ascii="宋体" w:hAnsi="宋体" w:cs="宋体"/>
          <w:b/>
          <w:color w:val="auto"/>
          <w:kern w:val="21"/>
          <w:sz w:val="32"/>
          <w:szCs w:val="32"/>
          <w:highlight w:val="none"/>
        </w:rPr>
        <w:t>采购代理机构：融科匠业造价咨询有限公司</w:t>
      </w:r>
    </w:p>
    <w:p>
      <w:pPr>
        <w:spacing w:line="900" w:lineRule="exact"/>
        <w:ind w:firstLine="3534" w:firstLineChars="1100"/>
        <w:jc w:val="left"/>
        <w:rPr>
          <w:rFonts w:ascii="宋体" w:hAnsi="宋体" w:cs="宋体"/>
          <w:color w:val="auto"/>
          <w:kern w:val="21"/>
          <w:sz w:val="32"/>
          <w:szCs w:val="32"/>
          <w:highlight w:val="none"/>
        </w:rPr>
        <w:sectPr>
          <w:headerReference r:id="rId5" w:type="default"/>
          <w:footerReference r:id="rId6" w:type="default"/>
          <w:pgSz w:w="11906" w:h="16838"/>
          <w:pgMar w:top="1418" w:right="1469" w:bottom="1276" w:left="1259" w:header="851" w:footer="992" w:gutter="0"/>
          <w:cols w:space="720" w:num="1"/>
          <w:docGrid w:linePitch="312" w:charSpace="0"/>
        </w:sectPr>
      </w:pPr>
      <w:r>
        <w:rPr>
          <w:rFonts w:hint="eastAsia" w:ascii="宋体" w:hAnsi="宋体" w:cs="宋体"/>
          <w:b/>
          <w:color w:val="auto"/>
          <w:kern w:val="21"/>
          <w:sz w:val="32"/>
          <w:szCs w:val="32"/>
          <w:highlight w:val="none"/>
        </w:rPr>
        <w:t>二〇二二年三月</w:t>
      </w:r>
    </w:p>
    <w:p>
      <w:pPr>
        <w:spacing w:line="560" w:lineRule="exact"/>
        <w:jc w:val="center"/>
        <w:rPr>
          <w:rFonts w:ascii="宋体" w:hAnsi="宋体" w:cs="宋体"/>
          <w:color w:val="auto"/>
          <w:highlight w:val="none"/>
        </w:rPr>
      </w:pPr>
      <w:r>
        <w:rPr>
          <w:rFonts w:hint="eastAsia" w:ascii="宋体" w:hAnsi="宋体" w:cs="宋体"/>
          <w:b/>
          <w:bCs/>
          <w:color w:val="auto"/>
          <w:sz w:val="28"/>
          <w:szCs w:val="28"/>
          <w:highlight w:val="none"/>
          <w:lang w:val="zh-CN"/>
        </w:rPr>
        <w:t>目</w:t>
      </w:r>
      <w:r>
        <w:rPr>
          <w:rFonts w:hint="eastAsia" w:ascii="宋体" w:hAnsi="宋体" w:cs="宋体"/>
          <w:b/>
          <w:bCs/>
          <w:color w:val="auto"/>
          <w:sz w:val="28"/>
          <w:szCs w:val="28"/>
          <w:highlight w:val="none"/>
        </w:rPr>
        <w:t xml:space="preserve">   </w:t>
      </w:r>
      <w:r>
        <w:rPr>
          <w:rFonts w:hint="eastAsia" w:ascii="宋体" w:hAnsi="宋体" w:cs="宋体"/>
          <w:b/>
          <w:bCs/>
          <w:color w:val="auto"/>
          <w:sz w:val="28"/>
          <w:szCs w:val="28"/>
          <w:highlight w:val="none"/>
          <w:lang w:val="zh-CN"/>
        </w:rPr>
        <w:t xml:space="preserve"> 录</w:t>
      </w:r>
      <w:bookmarkEnd w:id="0"/>
      <w:bookmarkEnd w:id="1"/>
      <w:bookmarkEnd w:id="2"/>
      <w:bookmarkEnd w:id="3"/>
      <w:bookmarkEnd w:id="4"/>
    </w:p>
    <w:sdt>
      <w:sdtPr>
        <w:rPr>
          <w:rFonts w:hint="eastAsia" w:ascii="宋体" w:hAnsi="宋体" w:cs="宋体"/>
          <w:color w:val="auto"/>
          <w:highlight w:val="none"/>
        </w:rPr>
        <w:id w:val="147458443"/>
        <w:docPartObj>
          <w:docPartGallery w:val="Table of Contents"/>
          <w:docPartUnique/>
        </w:docPartObj>
      </w:sdtPr>
      <w:sdtEndPr>
        <w:rPr>
          <w:rFonts w:hint="eastAsia" w:ascii="宋体" w:hAnsi="宋体" w:cs="宋体"/>
          <w:color w:val="auto"/>
          <w:highlight w:val="none"/>
        </w:rPr>
      </w:sdtEndPr>
      <w:sdtContent>
        <w:p>
          <w:pPr>
            <w:spacing w:line="240" w:lineRule="auto"/>
            <w:jc w:val="center"/>
            <w:rPr>
              <w:rFonts w:ascii="宋体" w:hAnsi="宋体" w:cs="宋体"/>
              <w:color w:val="auto"/>
              <w:highlight w:val="none"/>
            </w:rPr>
          </w:pPr>
        </w:p>
        <w:p>
          <w:pPr>
            <w:pStyle w:val="55"/>
            <w:tabs>
              <w:tab w:val="right" w:leader="dot" w:pos="9746"/>
            </w:tabs>
            <w:rPr>
              <w:rFonts w:ascii="宋体" w:hAnsi="宋体" w:cs="宋体"/>
              <w:sz w:val="28"/>
              <w:szCs w:val="28"/>
              <w:highlight w:val="none"/>
            </w:rPr>
          </w:pPr>
          <w:r>
            <w:rPr>
              <w:rFonts w:hint="eastAsia" w:ascii="宋体" w:hAnsi="宋体" w:cs="宋体"/>
              <w:highlight w:val="none"/>
            </w:rPr>
            <w:fldChar w:fldCharType="begin"/>
          </w:r>
          <w:r>
            <w:rPr>
              <w:rFonts w:hint="eastAsia" w:ascii="宋体" w:hAnsi="宋体" w:cs="宋体"/>
              <w:highlight w:val="none"/>
            </w:rPr>
            <w:instrText xml:space="preserve">TOC \o "1-1" \h \u </w:instrText>
          </w:r>
          <w:r>
            <w:rPr>
              <w:rFonts w:hint="eastAsia" w:ascii="宋体" w:hAnsi="宋体" w:cs="宋体"/>
              <w:highlight w:val="none"/>
            </w:rPr>
            <w:fldChar w:fldCharType="separate"/>
          </w:r>
          <w:r>
            <w:rPr>
              <w:highlight w:val="none"/>
            </w:rPr>
            <w:fldChar w:fldCharType="begin"/>
          </w:r>
          <w:r>
            <w:rPr>
              <w:highlight w:val="none"/>
            </w:rPr>
            <w:instrText xml:space="preserve"> HYPERLINK \l "_Toc23940" </w:instrText>
          </w:r>
          <w:r>
            <w:rPr>
              <w:highlight w:val="none"/>
            </w:rPr>
            <w:fldChar w:fldCharType="separate"/>
          </w:r>
          <w:r>
            <w:rPr>
              <w:rFonts w:hint="eastAsia" w:ascii="宋体" w:hAnsi="宋体" w:cs="宋体"/>
              <w:sz w:val="28"/>
              <w:szCs w:val="28"/>
              <w:highlight w:val="none"/>
            </w:rPr>
            <w:t>第一部分 竞争性磋商公告</w:t>
          </w:r>
          <w:r>
            <w:rPr>
              <w:rFonts w:hint="eastAsia" w:ascii="宋体" w:hAnsi="宋体" w:cs="宋体"/>
              <w:sz w:val="28"/>
              <w:szCs w:val="28"/>
              <w:highlight w:val="none"/>
            </w:rPr>
            <w:tab/>
          </w: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PAGEREF _Toc23940 \h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1</w:t>
          </w:r>
          <w:r>
            <w:rPr>
              <w:rFonts w:hint="eastAsia" w:ascii="宋体" w:hAnsi="宋体" w:cs="宋体"/>
              <w:sz w:val="28"/>
              <w:szCs w:val="28"/>
              <w:highlight w:val="none"/>
            </w:rPr>
            <w:fldChar w:fldCharType="end"/>
          </w:r>
          <w:r>
            <w:rPr>
              <w:rFonts w:hint="eastAsia" w:ascii="宋体" w:hAnsi="宋体" w:cs="宋体"/>
              <w:sz w:val="28"/>
              <w:szCs w:val="28"/>
              <w:highlight w:val="none"/>
            </w:rPr>
            <w:fldChar w:fldCharType="end"/>
          </w:r>
        </w:p>
        <w:p>
          <w:pPr>
            <w:pStyle w:val="55"/>
            <w:tabs>
              <w:tab w:val="right" w:leader="dot" w:pos="9746"/>
            </w:tabs>
            <w:rPr>
              <w:rFonts w:ascii="宋体" w:hAnsi="宋体" w:cs="宋体"/>
              <w:sz w:val="28"/>
              <w:szCs w:val="28"/>
              <w:highlight w:val="none"/>
            </w:rPr>
          </w:pPr>
          <w:r>
            <w:rPr>
              <w:highlight w:val="none"/>
            </w:rPr>
            <w:fldChar w:fldCharType="begin"/>
          </w:r>
          <w:r>
            <w:rPr>
              <w:highlight w:val="none"/>
            </w:rPr>
            <w:instrText xml:space="preserve"> HYPERLINK \l "_Toc17699" </w:instrText>
          </w:r>
          <w:r>
            <w:rPr>
              <w:highlight w:val="none"/>
            </w:rPr>
            <w:fldChar w:fldCharType="separate"/>
          </w:r>
          <w:r>
            <w:rPr>
              <w:rFonts w:hint="eastAsia" w:ascii="宋体" w:hAnsi="宋体" w:cs="宋体"/>
              <w:sz w:val="28"/>
              <w:szCs w:val="28"/>
              <w:highlight w:val="none"/>
            </w:rPr>
            <w:t>第二部分 供应商须知</w:t>
          </w:r>
          <w:r>
            <w:rPr>
              <w:rFonts w:hint="eastAsia" w:ascii="宋体" w:hAnsi="宋体" w:cs="宋体"/>
              <w:sz w:val="28"/>
              <w:szCs w:val="28"/>
              <w:highlight w:val="none"/>
            </w:rPr>
            <w:tab/>
          </w: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PAGEREF _Toc17699 \h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5</w:t>
          </w:r>
          <w:r>
            <w:rPr>
              <w:rFonts w:hint="eastAsia" w:ascii="宋体" w:hAnsi="宋体" w:cs="宋体"/>
              <w:sz w:val="28"/>
              <w:szCs w:val="28"/>
              <w:highlight w:val="none"/>
            </w:rPr>
            <w:fldChar w:fldCharType="end"/>
          </w:r>
          <w:r>
            <w:rPr>
              <w:rFonts w:hint="eastAsia" w:ascii="宋体" w:hAnsi="宋体" w:cs="宋体"/>
              <w:sz w:val="28"/>
              <w:szCs w:val="28"/>
              <w:highlight w:val="none"/>
            </w:rPr>
            <w:fldChar w:fldCharType="end"/>
          </w:r>
        </w:p>
        <w:p>
          <w:pPr>
            <w:pStyle w:val="55"/>
            <w:tabs>
              <w:tab w:val="right" w:leader="dot" w:pos="9746"/>
            </w:tabs>
            <w:rPr>
              <w:rFonts w:ascii="宋体" w:hAnsi="宋体" w:cs="宋体"/>
              <w:sz w:val="28"/>
              <w:szCs w:val="28"/>
              <w:highlight w:val="none"/>
            </w:rPr>
          </w:pPr>
          <w:r>
            <w:rPr>
              <w:highlight w:val="none"/>
            </w:rPr>
            <w:fldChar w:fldCharType="begin"/>
          </w:r>
          <w:r>
            <w:rPr>
              <w:highlight w:val="none"/>
            </w:rPr>
            <w:instrText xml:space="preserve"> HYPERLINK \l "_Toc30254" </w:instrText>
          </w:r>
          <w:r>
            <w:rPr>
              <w:highlight w:val="none"/>
            </w:rPr>
            <w:fldChar w:fldCharType="separate"/>
          </w:r>
          <w:r>
            <w:rPr>
              <w:rFonts w:hint="eastAsia" w:ascii="宋体" w:hAnsi="宋体" w:cs="宋体"/>
              <w:sz w:val="28"/>
              <w:szCs w:val="28"/>
              <w:highlight w:val="none"/>
              <w:lang w:val="zh-CN"/>
            </w:rPr>
            <w:t>第三部分 磋商内容及商务要求</w:t>
          </w:r>
          <w:r>
            <w:rPr>
              <w:rFonts w:hint="eastAsia" w:ascii="宋体" w:hAnsi="宋体" w:cs="宋体"/>
              <w:sz w:val="28"/>
              <w:szCs w:val="28"/>
              <w:highlight w:val="none"/>
            </w:rPr>
            <w:tab/>
          </w: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PAGEREF _Toc30254 \h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30</w:t>
          </w:r>
          <w:r>
            <w:rPr>
              <w:rFonts w:hint="eastAsia" w:ascii="宋体" w:hAnsi="宋体" w:cs="宋体"/>
              <w:sz w:val="28"/>
              <w:szCs w:val="28"/>
              <w:highlight w:val="none"/>
            </w:rPr>
            <w:fldChar w:fldCharType="end"/>
          </w:r>
          <w:r>
            <w:rPr>
              <w:rFonts w:hint="eastAsia" w:ascii="宋体" w:hAnsi="宋体" w:cs="宋体"/>
              <w:sz w:val="28"/>
              <w:szCs w:val="28"/>
              <w:highlight w:val="none"/>
            </w:rPr>
            <w:fldChar w:fldCharType="end"/>
          </w:r>
        </w:p>
        <w:p>
          <w:pPr>
            <w:pStyle w:val="55"/>
            <w:tabs>
              <w:tab w:val="right" w:leader="dot" w:pos="9746"/>
            </w:tabs>
            <w:rPr>
              <w:rFonts w:ascii="宋体" w:hAnsi="宋体" w:cs="宋体"/>
              <w:sz w:val="28"/>
              <w:szCs w:val="28"/>
              <w:highlight w:val="none"/>
            </w:rPr>
          </w:pPr>
          <w:r>
            <w:rPr>
              <w:highlight w:val="none"/>
            </w:rPr>
            <w:fldChar w:fldCharType="begin"/>
          </w:r>
          <w:r>
            <w:rPr>
              <w:highlight w:val="none"/>
            </w:rPr>
            <w:instrText xml:space="preserve"> HYPERLINK \l "_Toc5895" </w:instrText>
          </w:r>
          <w:r>
            <w:rPr>
              <w:highlight w:val="none"/>
            </w:rPr>
            <w:fldChar w:fldCharType="separate"/>
          </w:r>
          <w:r>
            <w:rPr>
              <w:rFonts w:hint="eastAsia" w:ascii="宋体" w:hAnsi="宋体" w:cs="宋体"/>
              <w:sz w:val="28"/>
              <w:szCs w:val="28"/>
              <w:highlight w:val="none"/>
            </w:rPr>
            <w:t>第四部分 工程量清单</w:t>
          </w:r>
          <w:r>
            <w:rPr>
              <w:rFonts w:hint="eastAsia" w:ascii="宋体" w:hAnsi="宋体" w:cs="宋体"/>
              <w:sz w:val="28"/>
              <w:szCs w:val="28"/>
              <w:highlight w:val="none"/>
            </w:rPr>
            <w:tab/>
          </w: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PAGEREF _Toc5895 \h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31</w:t>
          </w:r>
          <w:r>
            <w:rPr>
              <w:rFonts w:hint="eastAsia" w:ascii="宋体" w:hAnsi="宋体" w:cs="宋体"/>
              <w:sz w:val="28"/>
              <w:szCs w:val="28"/>
              <w:highlight w:val="none"/>
            </w:rPr>
            <w:fldChar w:fldCharType="end"/>
          </w:r>
          <w:r>
            <w:rPr>
              <w:rFonts w:hint="eastAsia" w:ascii="宋体" w:hAnsi="宋体" w:cs="宋体"/>
              <w:sz w:val="28"/>
              <w:szCs w:val="28"/>
              <w:highlight w:val="none"/>
            </w:rPr>
            <w:fldChar w:fldCharType="end"/>
          </w:r>
        </w:p>
        <w:p>
          <w:pPr>
            <w:pStyle w:val="55"/>
            <w:tabs>
              <w:tab w:val="right" w:leader="dot" w:pos="9746"/>
            </w:tabs>
            <w:rPr>
              <w:rFonts w:ascii="宋体" w:hAnsi="宋体" w:cs="宋体"/>
              <w:sz w:val="28"/>
              <w:szCs w:val="28"/>
              <w:highlight w:val="none"/>
            </w:rPr>
          </w:pPr>
          <w:r>
            <w:rPr>
              <w:highlight w:val="none"/>
            </w:rPr>
            <w:fldChar w:fldCharType="begin"/>
          </w:r>
          <w:r>
            <w:rPr>
              <w:highlight w:val="none"/>
            </w:rPr>
            <w:instrText xml:space="preserve"> HYPERLINK \l "_Toc5502" </w:instrText>
          </w:r>
          <w:r>
            <w:rPr>
              <w:highlight w:val="none"/>
            </w:rPr>
            <w:fldChar w:fldCharType="separate"/>
          </w:r>
          <w:r>
            <w:rPr>
              <w:rFonts w:hint="eastAsia" w:ascii="宋体" w:hAnsi="宋体" w:cs="宋体"/>
              <w:sz w:val="28"/>
              <w:szCs w:val="28"/>
              <w:highlight w:val="none"/>
            </w:rPr>
            <w:t xml:space="preserve">第五部分 </w:t>
          </w:r>
          <w:r>
            <w:rPr>
              <w:rFonts w:hint="eastAsia" w:ascii="宋体" w:hAnsi="宋体" w:cs="宋体"/>
              <w:sz w:val="28"/>
              <w:szCs w:val="28"/>
              <w:highlight w:val="none"/>
              <w:lang w:val="zh-CN"/>
            </w:rPr>
            <w:t>政府采购合同（格式）</w:t>
          </w:r>
          <w:r>
            <w:rPr>
              <w:rFonts w:hint="eastAsia" w:ascii="宋体" w:hAnsi="宋体" w:cs="宋体"/>
              <w:sz w:val="28"/>
              <w:szCs w:val="28"/>
              <w:highlight w:val="none"/>
            </w:rPr>
            <w:tab/>
          </w: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PAGEREF _Toc5502 \h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32</w:t>
          </w:r>
          <w:r>
            <w:rPr>
              <w:rFonts w:hint="eastAsia" w:ascii="宋体" w:hAnsi="宋体" w:cs="宋体"/>
              <w:sz w:val="28"/>
              <w:szCs w:val="28"/>
              <w:highlight w:val="none"/>
            </w:rPr>
            <w:fldChar w:fldCharType="end"/>
          </w:r>
          <w:r>
            <w:rPr>
              <w:rFonts w:hint="eastAsia" w:ascii="宋体" w:hAnsi="宋体" w:cs="宋体"/>
              <w:sz w:val="28"/>
              <w:szCs w:val="28"/>
              <w:highlight w:val="none"/>
            </w:rPr>
            <w:fldChar w:fldCharType="end"/>
          </w:r>
        </w:p>
        <w:p>
          <w:pPr>
            <w:pStyle w:val="55"/>
            <w:tabs>
              <w:tab w:val="right" w:leader="dot" w:pos="9746"/>
            </w:tabs>
            <w:rPr>
              <w:rFonts w:ascii="宋体" w:hAnsi="宋体" w:cs="宋体"/>
              <w:highlight w:val="none"/>
            </w:rPr>
          </w:pPr>
          <w:r>
            <w:rPr>
              <w:highlight w:val="none"/>
            </w:rPr>
            <w:fldChar w:fldCharType="begin"/>
          </w:r>
          <w:r>
            <w:rPr>
              <w:highlight w:val="none"/>
            </w:rPr>
            <w:instrText xml:space="preserve"> HYPERLINK \l "_Toc10754" </w:instrText>
          </w:r>
          <w:r>
            <w:rPr>
              <w:highlight w:val="none"/>
            </w:rPr>
            <w:fldChar w:fldCharType="separate"/>
          </w:r>
          <w:r>
            <w:rPr>
              <w:rFonts w:hint="eastAsia" w:ascii="宋体" w:hAnsi="宋体" w:cs="宋体"/>
              <w:sz w:val="28"/>
              <w:szCs w:val="28"/>
              <w:highlight w:val="none"/>
              <w:lang w:val="zh-CN"/>
            </w:rPr>
            <w:t>第六部分</w:t>
          </w:r>
          <w:r>
            <w:rPr>
              <w:rFonts w:hint="eastAsia" w:ascii="宋体" w:hAnsi="宋体" w:cs="宋体"/>
              <w:sz w:val="28"/>
              <w:szCs w:val="28"/>
              <w:highlight w:val="none"/>
            </w:rPr>
            <w:t xml:space="preserve"> </w:t>
          </w:r>
          <w:r>
            <w:rPr>
              <w:rFonts w:hint="eastAsia" w:ascii="宋体" w:hAnsi="宋体" w:cs="宋体"/>
              <w:sz w:val="28"/>
              <w:szCs w:val="28"/>
              <w:highlight w:val="none"/>
              <w:lang w:val="zh-CN"/>
            </w:rPr>
            <w:t>竞争性磋商响应文件格式（格式）</w:t>
          </w:r>
          <w:r>
            <w:rPr>
              <w:rFonts w:hint="eastAsia" w:ascii="宋体" w:hAnsi="宋体" w:cs="宋体"/>
              <w:sz w:val="28"/>
              <w:szCs w:val="28"/>
              <w:highlight w:val="none"/>
            </w:rPr>
            <w:tab/>
          </w: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 PAGEREF _Toc10754 \h </w:instrText>
          </w:r>
          <w:r>
            <w:rPr>
              <w:rFonts w:hint="eastAsia" w:ascii="宋体" w:hAnsi="宋体" w:cs="宋体"/>
              <w:sz w:val="28"/>
              <w:szCs w:val="28"/>
              <w:highlight w:val="none"/>
            </w:rPr>
            <w:fldChar w:fldCharType="separate"/>
          </w:r>
          <w:r>
            <w:rPr>
              <w:rFonts w:hint="eastAsia" w:ascii="宋体" w:hAnsi="宋体" w:cs="宋体"/>
              <w:sz w:val="28"/>
              <w:szCs w:val="28"/>
              <w:highlight w:val="none"/>
            </w:rPr>
            <w:t>72</w:t>
          </w:r>
          <w:r>
            <w:rPr>
              <w:rFonts w:hint="eastAsia" w:ascii="宋体" w:hAnsi="宋体" w:cs="宋体"/>
              <w:sz w:val="28"/>
              <w:szCs w:val="28"/>
              <w:highlight w:val="none"/>
            </w:rPr>
            <w:fldChar w:fldCharType="end"/>
          </w:r>
          <w:r>
            <w:rPr>
              <w:rFonts w:hint="eastAsia" w:ascii="宋体" w:hAnsi="宋体" w:cs="宋体"/>
              <w:sz w:val="28"/>
              <w:szCs w:val="28"/>
              <w:highlight w:val="none"/>
            </w:rPr>
            <w:fldChar w:fldCharType="end"/>
          </w:r>
        </w:p>
        <w:p>
          <w:pPr>
            <w:pStyle w:val="55"/>
            <w:tabs>
              <w:tab w:val="right" w:leader="dot" w:pos="9746"/>
            </w:tabs>
            <w:rPr>
              <w:rFonts w:ascii="宋体" w:hAnsi="宋体" w:cs="宋体"/>
              <w:highlight w:val="none"/>
            </w:rPr>
          </w:pPr>
        </w:p>
        <w:p>
          <w:pPr>
            <w:rPr>
              <w:rFonts w:ascii="宋体" w:hAnsi="宋体" w:cs="宋体"/>
              <w:color w:val="auto"/>
              <w:highlight w:val="none"/>
            </w:rPr>
          </w:pPr>
          <w:r>
            <w:rPr>
              <w:rFonts w:hint="eastAsia" w:ascii="宋体" w:hAnsi="宋体" w:cs="宋体"/>
              <w:color w:val="auto"/>
              <w:highlight w:val="none"/>
            </w:rPr>
            <w:fldChar w:fldCharType="end"/>
          </w:r>
        </w:p>
      </w:sdtContent>
    </w:sdt>
    <w:p>
      <w:pPr>
        <w:widowControl w:val="0"/>
        <w:snapToGrid w:val="0"/>
        <w:spacing w:beforeLines="100" w:line="560" w:lineRule="exact"/>
        <w:rPr>
          <w:rFonts w:ascii="宋体" w:hAnsi="宋体" w:cs="宋体"/>
          <w:color w:val="auto"/>
          <w:sz w:val="28"/>
          <w:szCs w:val="28"/>
          <w:highlight w:val="none"/>
        </w:rPr>
        <w:sectPr>
          <w:footerReference r:id="rId9" w:type="first"/>
          <w:headerReference r:id="rId7" w:type="default"/>
          <w:footerReference r:id="rId8" w:type="default"/>
          <w:pgSz w:w="11906" w:h="16838"/>
          <w:pgMar w:top="1440" w:right="1080" w:bottom="1440" w:left="1080" w:header="284" w:footer="680" w:gutter="0"/>
          <w:pgNumType w:start="1"/>
          <w:cols w:space="720" w:num="1"/>
          <w:titlePg/>
          <w:docGrid w:type="lines" w:linePitch="312" w:charSpace="0"/>
        </w:sectPr>
      </w:pPr>
      <w:r>
        <w:rPr>
          <w:rFonts w:hint="eastAsia" w:ascii="宋体" w:hAnsi="宋体" w:cs="宋体"/>
          <w:color w:val="auto"/>
          <w:sz w:val="28"/>
          <w:szCs w:val="28"/>
          <w:highlight w:val="none"/>
        </w:rPr>
        <w:t xml:space="preserve"> </w:t>
      </w:r>
    </w:p>
    <w:p>
      <w:pPr>
        <w:pStyle w:val="3"/>
        <w:rPr>
          <w:rFonts w:ascii="宋体" w:hAnsi="宋体" w:cs="宋体"/>
          <w:color w:val="auto"/>
          <w:sz w:val="21"/>
          <w:szCs w:val="21"/>
          <w:highlight w:val="none"/>
        </w:rPr>
      </w:pPr>
      <w:bookmarkStart w:id="5" w:name="_Toc10863"/>
      <w:bookmarkStart w:id="6" w:name="_Toc493"/>
      <w:bookmarkStart w:id="7" w:name="_Toc30450"/>
      <w:bookmarkStart w:id="8" w:name="_Toc16565"/>
      <w:bookmarkStart w:id="9" w:name="_Toc4494"/>
      <w:bookmarkStart w:id="10" w:name="_Toc23940"/>
      <w:r>
        <w:rPr>
          <w:rFonts w:hint="eastAsia" w:ascii="宋体" w:hAnsi="宋体" w:cs="宋体"/>
          <w:color w:val="auto"/>
          <w:highlight w:val="none"/>
        </w:rPr>
        <w:t xml:space="preserve">第一部分 </w:t>
      </w:r>
      <w:bookmarkEnd w:id="5"/>
      <w:bookmarkEnd w:id="6"/>
      <w:bookmarkEnd w:id="7"/>
      <w:bookmarkEnd w:id="8"/>
      <w:bookmarkEnd w:id="9"/>
      <w:bookmarkStart w:id="11" w:name="_Toc14394"/>
      <w:bookmarkStart w:id="12" w:name="_Toc8581"/>
      <w:bookmarkStart w:id="13" w:name="_Toc15034"/>
      <w:r>
        <w:rPr>
          <w:rFonts w:hint="eastAsia" w:ascii="宋体" w:hAnsi="宋体" w:cs="宋体"/>
          <w:color w:val="auto"/>
          <w:highlight w:val="none"/>
        </w:rPr>
        <w:t>竞争性磋商公告</w:t>
      </w:r>
      <w:bookmarkEnd w:id="10"/>
    </w:p>
    <w:p>
      <w:pPr>
        <w:widowControl w:val="0"/>
        <w:spacing w:line="360" w:lineRule="auto"/>
        <w:ind w:firstLine="482" w:firstLineChars="200"/>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项目概况</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西安市长安区郭杜街道周家庄美丽村庄提升改造工程采购项目的潜在供应商应在融科匠业造价咨询有限公司（线上）获取采购文件，并于 2022年04月06日 14时00分 （北京时间）前提交响应文件。</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一、项目基本情况</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项目编号：RKJY2022-007</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项目名称：西安市长安区郭杜街道周家庄美丽村庄提升改造工程</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采购方式：竞争性磋商</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预算金额：3,000,000.00元</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采购需求：</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合同包1(西安市长安区郭杜街道周家庄美丽村庄提升改造工程):</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合同包预算金额：3,000,000.00元</w:t>
      </w:r>
    </w:p>
    <w:tbl>
      <w:tblPr>
        <w:tblStyle w:val="22"/>
        <w:tblW w:w="9525" w:type="dxa"/>
        <w:jc w:val="center"/>
        <w:tblLayout w:type="autofit"/>
        <w:tblCellMar>
          <w:top w:w="0" w:type="dxa"/>
          <w:left w:w="0" w:type="dxa"/>
          <w:bottom w:w="0" w:type="dxa"/>
          <w:right w:w="0" w:type="dxa"/>
        </w:tblCellMar>
      </w:tblPr>
      <w:tblGrid>
        <w:gridCol w:w="998"/>
        <w:gridCol w:w="1254"/>
        <w:gridCol w:w="1667"/>
        <w:gridCol w:w="1456"/>
        <w:gridCol w:w="1112"/>
        <w:gridCol w:w="1759"/>
        <w:gridCol w:w="1279"/>
      </w:tblGrid>
      <w:tr>
        <w:tblPrEx>
          <w:tblCellMar>
            <w:top w:w="0" w:type="dxa"/>
            <w:left w:w="0" w:type="dxa"/>
            <w:bottom w:w="0" w:type="dxa"/>
            <w:right w:w="0" w:type="dxa"/>
          </w:tblCellMar>
        </w:tblPrEx>
        <w:trPr>
          <w:trHeight w:val="1412" w:hRule="atLeast"/>
          <w:tblHeader/>
          <w:jc w:val="center"/>
        </w:trPr>
        <w:tc>
          <w:tcPr>
            <w:tcW w:w="9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品目号</w:t>
            </w:r>
          </w:p>
        </w:tc>
        <w:tc>
          <w:tcPr>
            <w:tcW w:w="12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品目名称</w:t>
            </w:r>
          </w:p>
        </w:tc>
        <w:tc>
          <w:tcPr>
            <w:tcW w:w="16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采购标的</w:t>
            </w:r>
          </w:p>
        </w:tc>
        <w:tc>
          <w:tcPr>
            <w:tcW w:w="14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数量（单位）</w:t>
            </w:r>
          </w:p>
        </w:tc>
        <w:tc>
          <w:tcPr>
            <w:tcW w:w="11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技术规格、参数及要求</w:t>
            </w:r>
          </w:p>
        </w:tc>
        <w:tc>
          <w:tcPr>
            <w:tcW w:w="17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品目预算(元)</w:t>
            </w:r>
          </w:p>
        </w:tc>
        <w:tc>
          <w:tcPr>
            <w:tcW w:w="127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最高限价(元)</w:t>
            </w:r>
          </w:p>
        </w:tc>
      </w:tr>
      <w:tr>
        <w:tblPrEx>
          <w:tblCellMar>
            <w:top w:w="0" w:type="dxa"/>
            <w:left w:w="0" w:type="dxa"/>
            <w:bottom w:w="0" w:type="dxa"/>
            <w:right w:w="0" w:type="dxa"/>
          </w:tblCellMar>
        </w:tblPrEx>
        <w:trPr>
          <w:trHeight w:val="1005" w:hRule="atLeast"/>
          <w:jc w:val="center"/>
        </w:trPr>
        <w:tc>
          <w:tcPr>
            <w:tcW w:w="9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1-1</w:t>
            </w:r>
          </w:p>
        </w:tc>
        <w:tc>
          <w:tcPr>
            <w:tcW w:w="12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园林绿化工程施工</w:t>
            </w:r>
          </w:p>
        </w:tc>
        <w:tc>
          <w:tcPr>
            <w:tcW w:w="16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周家庄美丽乡村提升</w:t>
            </w:r>
          </w:p>
        </w:tc>
        <w:tc>
          <w:tcPr>
            <w:tcW w:w="14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1(项)</w:t>
            </w:r>
          </w:p>
        </w:tc>
        <w:tc>
          <w:tcPr>
            <w:tcW w:w="11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详见采购文件</w:t>
            </w:r>
          </w:p>
        </w:tc>
        <w:tc>
          <w:tcPr>
            <w:tcW w:w="17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jc w:val="center"/>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3000000.00</w:t>
            </w:r>
          </w:p>
        </w:tc>
        <w:tc>
          <w:tcPr>
            <w:tcW w:w="127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spacing w:line="360" w:lineRule="auto"/>
              <w:ind w:firstLine="480" w:firstLineChars="200"/>
              <w:textAlignment w:val="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w:t>
            </w:r>
          </w:p>
        </w:tc>
      </w:tr>
    </w:tbl>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本合同包不接受联合体投标</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合同履行期限：2022年4月8日 00:00:00--2022年7月7日 00:00:00（具体服务起止日期可随合同签订时间相应顺延）</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二、申请人的资格要求：</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1.满足《中华人民共和国政府釆购法》第二十二条规定;</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2.落实政府采购政策需满足的资格要求：</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合同包1(西安市长安区郭杜街道周家庄美丽村庄提升改造工程)落实政府采购政策需满足的资格要求如下:</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政府采购促进中小企业发展管理办法》（财库〔2020〕46号）；2)《财政部司法部关于政府采购支持监狱企业发展有关问题的通知》（财库【2014】68号）；3）《财政部、民政部、中国残疾人联合会关于促进残疾人就业政府采购政策的通知》财库〔2017〕141号；4)《国务院办公厅关于建立政府强制采购节能产品制度的通知》（国办发【2007】51号）；5)《财政部、国家环保总局关于环境标志产品政府采购实施的意见》（财库[2006]90号）；6)《财政部办公厅关于政府采购进口产品管理有关问题的通知》（财办库[2008]248号）；7)陕西省财政厅关于印发《陕西省中小企业政府采购信用融资办法》（陕财办采〔2018〕23号）；8）《财政部国务院扶贫办关于运用政府采购政策支持脱贫攻坚的通知》（财库〔2019〕27号）；9）《财政部发展改革委生态环境部 市场监管总局关于调整优化节能产品、环境标志产品政府采购执行机制的通知》（财库〔2019〕9号）；10)政府采购扶持不发达地区和少数民族地区的政策；11）其他需要落实的政府采购政策。</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3.本项目的特定资格要求：</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合同包1(西安市长安区郭杜街道周家庄美丽村庄提升改造工程)特定资格要求如下:</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供应商为具有独立承担民事责任能力的法人、其他组织或自然人。企业法人应提供合法有效的标识有统一社会信用代码的营业执照；事业法人应提供事业单位法人证书；其他组织应提供合法登记证明文件；自然人应提供身份证；2）法定代表人授权书及被授权人身份证(法定代表人直接参加投标，须提交其身份证原件、复印件及法定代表人身份证明)；3）供应商须具备建筑工程施工总承包三级（含三级）及以上资质或市政公用工程施工总承包三级（含三级）及以上资质，具有有效的安全生产许可证；4）拟派项目经理须具有建筑工程专业二级及以上注册建造师证书或市政公用工程专业二级及以上注册建造师证书，具备有效的安全生产考核合格证书，在本单位注册且无在建工程；5）供应商及拟派项目经理应在“陕西省住房和城乡建设厅（http://js.shaanxi.gov.cn/）陕西省建筑市场监管与诚信信息发布平台”登记备案；省外企业须在陕西省建筑市场一体化平台（陕西建设网）企业库可查询（附完整的查询结果截图加盖公章）；6）财务状况报告：提供2018年至2020年度任意一年经审计的财务报告或在开标日期前六个月内其基本开户银行出具的资信证明，以上二种形式的证明资料提供任何一种即可；7）税收缴纳证明：提供供应商2020年至今任意一个月已缴纳的完税凭证或税务机关开具的完税证明（任意税种），依法免税的单位应提供相关证明材料；8）社会保障资金缴纳证明：提供供应商2020年至今任意一个月已缴纳的社会保障资金缴存单据或社保机构开具的社会保险参保缴费情况证明；依法不需要缴纳社会保障资金的应提供相关文件证明；9）提供具有履行本合同所必需的设备和专业技术能力的承诺；10）参加政府采购活动前3年内在经营活动中没有重大违法记录的书面声明；11）供应商不得为“信用中国”网站（www.creditchina.gov.cn）中列入重大税收违法案件当事人名单、供应商不得为中国执行信息公开网（http://zxgk.court.gov.cn/shixin/）中列入失信被执行人名单、不得为“中国政府采购网”（www.ccgp.gov.cn）政府采购严重违法失信行为记录名单中被财政部门禁止参加政府采购活动的供应商；12）本项目不接受联合体投标。</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三、获取采购文件</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时间：2022年03月24日至2022年03月30日，每天上午09:00:00至12:00:00，下午14:00:00至17:00:00（北京时间,法定节假日除外）</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地点：融科匠业造价咨询有限公司（线上）</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方式：在线获取</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售价：免费获取</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四、响应文件提交</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截止时间：2022年04月06日 14时00分00秒 （北京时间）</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地点：西安经济技术开发区草滩十路999号智巢创新空间E座5层北区（会议室）</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五、开启</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时间：2022年04月06日 14时00分00秒（北京时间）</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地点：西安经济技术开发区草滩十路999号智巢创新空间E座5层北区（会议室）</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六、公告期限</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自本公告发布之日起3个工作日。</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七、其他补充事宜</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请在本公告要求的时间内将介绍信、代理人身份证复印件加盖公章扫描成PDF文件以“项目编号+单位名称+报名人手机号及姓名+邮箱”为主题，通过邮件形式发送至1721697480@qq.com，待审核通过，代理机构将通过邮箱向报名成功的各供应商发售电子版竞争性磋商文件，请及时查收并回复。</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八、凡对本次采购提出询问，请按以下方式联系。</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1.釆购人信息</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名称：西安市长安区郭杜街道办事处</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地址：郭杜东街45号</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联系方式：18702909109</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2.釆购代理机构信息</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名称：融科匠业造价咨询有限公司</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地址：西安经济技术开发区草滩十路999号智巢创新空间E座5层北区</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联系方式：18391725472</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3.项目联系方式</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项目联系人：刘工</w:t>
      </w:r>
    </w:p>
    <w:p>
      <w:pPr>
        <w:widowControl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电话：18391725472</w:t>
      </w:r>
    </w:p>
    <w:p>
      <w:pPr>
        <w:widowControl w:val="0"/>
        <w:spacing w:line="360" w:lineRule="auto"/>
        <w:ind w:firstLine="480" w:firstLineChars="200"/>
        <w:jc w:val="right"/>
        <w:textAlignment w:val="auto"/>
        <w:rPr>
          <w:rFonts w:ascii="宋体" w:hAnsi="宋体" w:cs="宋体"/>
          <w:color w:val="auto"/>
          <w:sz w:val="24"/>
          <w:szCs w:val="24"/>
          <w:highlight w:val="none"/>
        </w:rPr>
      </w:pPr>
      <w:r>
        <w:rPr>
          <w:rFonts w:hint="eastAsia" w:ascii="宋体" w:hAnsi="宋体" w:cs="宋体"/>
          <w:color w:val="auto"/>
          <w:sz w:val="24"/>
          <w:szCs w:val="24"/>
          <w:highlight w:val="none"/>
        </w:rPr>
        <w:t>融科匠业造价咨询有限公司</w:t>
      </w:r>
    </w:p>
    <w:p>
      <w:pPr>
        <w:widowControl w:val="0"/>
        <w:spacing w:line="360" w:lineRule="auto"/>
        <w:ind w:firstLine="480" w:firstLineChars="200"/>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2022年03月23日</w:t>
      </w:r>
    </w:p>
    <w:p>
      <w:pPr>
        <w:widowControl w:val="0"/>
        <w:spacing w:line="360" w:lineRule="auto"/>
        <w:ind w:firstLine="480" w:firstLineChars="200"/>
        <w:textAlignment w:val="auto"/>
        <w:rPr>
          <w:rFonts w:ascii="宋体" w:hAnsi="宋体" w:cs="宋体"/>
          <w:color w:val="auto"/>
          <w:sz w:val="24"/>
          <w:szCs w:val="24"/>
          <w:highlight w:val="none"/>
        </w:rPr>
      </w:pPr>
    </w:p>
    <w:p>
      <w:pPr>
        <w:topLinePunct/>
        <w:spacing w:line="460" w:lineRule="exact"/>
        <w:ind w:left="3570" w:leftChars="1700" w:firstLine="420" w:firstLineChars="200"/>
        <w:rPr>
          <w:rFonts w:ascii="宋体" w:hAnsi="宋体" w:cs="宋体"/>
          <w:color w:val="auto"/>
          <w:szCs w:val="21"/>
          <w:highlight w:val="none"/>
        </w:rPr>
      </w:pPr>
    </w:p>
    <w:p>
      <w:pPr>
        <w:pStyle w:val="3"/>
        <w:rPr>
          <w:rFonts w:ascii="宋体" w:hAnsi="宋体" w:cs="宋体"/>
          <w:color w:val="auto"/>
          <w:highlight w:val="none"/>
        </w:rPr>
      </w:pPr>
      <w:bookmarkStart w:id="14" w:name="_Toc9218"/>
      <w:bookmarkStart w:id="15" w:name="_Toc17699"/>
    </w:p>
    <w:p>
      <w:pPr>
        <w:pStyle w:val="3"/>
        <w:rPr>
          <w:rFonts w:ascii="宋体" w:hAnsi="宋体" w:cs="宋体"/>
          <w:color w:val="auto"/>
          <w:highlight w:val="none"/>
        </w:rPr>
      </w:pPr>
    </w:p>
    <w:p>
      <w:pPr>
        <w:rPr>
          <w:rFonts w:ascii="宋体" w:hAnsi="宋体" w:cs="宋体"/>
          <w:color w:val="auto"/>
          <w:highlight w:val="none"/>
        </w:rPr>
      </w:pPr>
    </w:p>
    <w:p>
      <w:pPr>
        <w:pStyle w:val="2"/>
        <w:rPr>
          <w:rFonts w:ascii="宋体" w:hAnsi="宋体" w:cs="宋体"/>
          <w:color w:val="auto"/>
          <w:highlight w:val="none"/>
        </w:rPr>
      </w:pPr>
    </w:p>
    <w:p>
      <w:pPr>
        <w:rPr>
          <w:rFonts w:ascii="宋体" w:hAnsi="宋体" w:cs="宋体"/>
          <w:color w:val="auto"/>
          <w:highlight w:val="none"/>
        </w:rPr>
      </w:pPr>
    </w:p>
    <w:p>
      <w:pPr>
        <w:pStyle w:val="2"/>
        <w:rPr>
          <w:rFonts w:ascii="宋体" w:hAnsi="宋体" w:cs="宋体"/>
          <w:color w:val="auto"/>
          <w:highlight w:val="none"/>
        </w:rPr>
      </w:pPr>
    </w:p>
    <w:p>
      <w:pPr>
        <w:rPr>
          <w:rFonts w:ascii="宋体" w:hAnsi="宋体" w:cs="宋体"/>
          <w:color w:val="auto"/>
          <w:highlight w:val="none"/>
        </w:rPr>
      </w:pPr>
    </w:p>
    <w:p>
      <w:pPr>
        <w:pStyle w:val="2"/>
        <w:rPr>
          <w:rFonts w:ascii="宋体" w:hAnsi="宋体" w:cs="宋体"/>
          <w:color w:val="auto"/>
          <w:highlight w:val="none"/>
        </w:rPr>
      </w:pPr>
    </w:p>
    <w:p>
      <w:pPr>
        <w:rPr>
          <w:rFonts w:ascii="宋体" w:hAnsi="宋体" w:cs="宋体"/>
          <w:color w:val="auto"/>
          <w:highlight w:val="none"/>
        </w:rPr>
      </w:pPr>
    </w:p>
    <w:p>
      <w:pPr>
        <w:pStyle w:val="2"/>
        <w:rPr>
          <w:rFonts w:ascii="宋体" w:hAnsi="宋体" w:cs="宋体"/>
          <w:color w:val="auto"/>
          <w:highlight w:val="none"/>
        </w:rPr>
      </w:pPr>
    </w:p>
    <w:p>
      <w:pPr>
        <w:rPr>
          <w:rFonts w:ascii="宋体" w:hAnsi="宋体" w:cs="宋体"/>
          <w:color w:val="auto"/>
          <w:highlight w:val="none"/>
        </w:rPr>
      </w:pPr>
    </w:p>
    <w:p>
      <w:pPr>
        <w:pStyle w:val="2"/>
        <w:rPr>
          <w:rFonts w:ascii="宋体" w:hAnsi="宋体" w:cs="宋体"/>
          <w:color w:val="auto"/>
          <w:highlight w:val="none"/>
        </w:rPr>
      </w:pPr>
    </w:p>
    <w:p>
      <w:pPr>
        <w:rPr>
          <w:rFonts w:ascii="宋体" w:hAnsi="宋体" w:cs="宋体"/>
          <w:color w:val="auto"/>
          <w:highlight w:val="none"/>
        </w:rPr>
      </w:pPr>
    </w:p>
    <w:p>
      <w:pPr>
        <w:pStyle w:val="2"/>
        <w:rPr>
          <w:rFonts w:ascii="宋体" w:hAnsi="宋体" w:cs="宋体"/>
          <w:color w:val="auto"/>
          <w:highlight w:val="none"/>
        </w:rPr>
      </w:pPr>
    </w:p>
    <w:p>
      <w:pPr>
        <w:rPr>
          <w:rFonts w:ascii="宋体" w:hAnsi="宋体" w:cs="宋体"/>
          <w:color w:val="auto"/>
          <w:highlight w:val="none"/>
        </w:rPr>
      </w:pPr>
    </w:p>
    <w:p>
      <w:pPr>
        <w:pStyle w:val="2"/>
        <w:rPr>
          <w:rFonts w:ascii="宋体" w:hAnsi="宋体" w:cs="宋体"/>
          <w:color w:val="auto"/>
          <w:highlight w:val="none"/>
        </w:rPr>
      </w:pPr>
    </w:p>
    <w:p>
      <w:pPr>
        <w:rPr>
          <w:rFonts w:ascii="宋体" w:hAnsi="宋体" w:cs="宋体"/>
          <w:color w:val="auto"/>
          <w:highlight w:val="none"/>
        </w:rPr>
      </w:pPr>
    </w:p>
    <w:p>
      <w:pPr>
        <w:pStyle w:val="2"/>
        <w:rPr>
          <w:rFonts w:ascii="宋体" w:hAnsi="宋体" w:cs="宋体"/>
          <w:color w:val="auto"/>
          <w:highlight w:val="none"/>
        </w:rPr>
      </w:pPr>
    </w:p>
    <w:p>
      <w:pPr>
        <w:rPr>
          <w:rFonts w:ascii="宋体" w:hAnsi="宋体" w:cs="宋体"/>
          <w:color w:val="auto"/>
          <w:highlight w:val="none"/>
        </w:rPr>
      </w:pPr>
    </w:p>
    <w:p>
      <w:pPr>
        <w:pStyle w:val="2"/>
        <w:rPr>
          <w:rFonts w:ascii="宋体" w:hAnsi="宋体" w:cs="宋体"/>
          <w:color w:val="auto"/>
          <w:highlight w:val="none"/>
        </w:rPr>
      </w:pPr>
    </w:p>
    <w:p/>
    <w:p>
      <w:pPr>
        <w:pStyle w:val="2"/>
        <w:rPr>
          <w:highlight w:val="none"/>
        </w:rPr>
      </w:pPr>
    </w:p>
    <w:p>
      <w:pPr>
        <w:pStyle w:val="3"/>
        <w:rPr>
          <w:rFonts w:ascii="宋体" w:hAnsi="宋体" w:cs="宋体"/>
          <w:color w:val="auto"/>
          <w:highlight w:val="none"/>
        </w:rPr>
      </w:pPr>
      <w:r>
        <w:rPr>
          <w:rFonts w:hint="eastAsia" w:ascii="宋体" w:hAnsi="宋体" w:cs="宋体"/>
          <w:color w:val="auto"/>
          <w:highlight w:val="none"/>
        </w:rPr>
        <w:t>第二部分 供应商须知</w:t>
      </w:r>
      <w:bookmarkEnd w:id="11"/>
      <w:bookmarkEnd w:id="12"/>
      <w:bookmarkEnd w:id="13"/>
      <w:bookmarkEnd w:id="14"/>
      <w:bookmarkEnd w:id="15"/>
    </w:p>
    <w:p>
      <w:pPr>
        <w:spacing w:line="560" w:lineRule="exact"/>
        <w:jc w:val="center"/>
        <w:outlineLvl w:val="1"/>
        <w:rPr>
          <w:rFonts w:ascii="宋体" w:hAnsi="宋体" w:cs="宋体"/>
          <w:b/>
          <w:bCs/>
          <w:color w:val="auto"/>
          <w:sz w:val="28"/>
          <w:szCs w:val="24"/>
          <w:highlight w:val="none"/>
        </w:rPr>
      </w:pPr>
      <w:bookmarkStart w:id="16" w:name="_Toc4351"/>
      <w:bookmarkStart w:id="17" w:name="_Toc449368374"/>
      <w:bookmarkStart w:id="18" w:name="_Toc450138939"/>
      <w:r>
        <w:rPr>
          <w:rFonts w:hint="eastAsia" w:ascii="宋体" w:hAnsi="宋体" w:cs="宋体"/>
          <w:b/>
          <w:bCs/>
          <w:color w:val="auto"/>
          <w:sz w:val="28"/>
          <w:szCs w:val="24"/>
          <w:highlight w:val="none"/>
        </w:rPr>
        <w:t>一、供应商须知前附表</w:t>
      </w:r>
      <w:bookmarkEnd w:id="16"/>
      <w:bookmarkEnd w:id="17"/>
      <w:bookmarkEnd w:id="18"/>
    </w:p>
    <w:tbl>
      <w:tblPr>
        <w:tblStyle w:val="23"/>
        <w:tblpPr w:leftFromText="180" w:rightFromText="180" w:vertAnchor="text" w:horzAnchor="page" w:tblpX="1290" w:tblpY="461"/>
        <w:tblOverlap w:val="never"/>
        <w:tblW w:w="10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023"/>
        <w:gridCol w:w="7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32" w:type="dxa"/>
            <w:vAlign w:val="center"/>
          </w:tcPr>
          <w:p>
            <w:pPr>
              <w:pStyle w:val="11"/>
              <w:spacing w:line="240" w:lineRule="exact"/>
              <w:jc w:val="center"/>
              <w:rPr>
                <w:rFonts w:hAnsi="宋体" w:cs="宋体"/>
                <w:kern w:val="21"/>
                <w:szCs w:val="21"/>
                <w:highlight w:val="none"/>
              </w:rPr>
            </w:pPr>
            <w:bookmarkStart w:id="19" w:name="_Toc10880"/>
            <w:bookmarkStart w:id="20" w:name="_Toc449368375"/>
            <w:bookmarkStart w:id="21" w:name="_Toc450138940"/>
            <w:bookmarkStart w:id="22" w:name="_Toc12562"/>
          </w:p>
          <w:p>
            <w:pPr>
              <w:pStyle w:val="11"/>
              <w:spacing w:line="240" w:lineRule="exact"/>
              <w:jc w:val="center"/>
              <w:rPr>
                <w:rFonts w:hAnsi="宋体" w:cs="宋体"/>
                <w:kern w:val="21"/>
                <w:szCs w:val="21"/>
                <w:highlight w:val="none"/>
              </w:rPr>
            </w:pPr>
            <w:r>
              <w:rPr>
                <w:rFonts w:hint="eastAsia" w:hAnsi="宋体" w:cs="宋体"/>
                <w:kern w:val="21"/>
                <w:szCs w:val="21"/>
                <w:highlight w:val="none"/>
              </w:rPr>
              <w:t>序号</w:t>
            </w:r>
          </w:p>
          <w:p>
            <w:pPr>
              <w:pStyle w:val="11"/>
              <w:spacing w:line="240" w:lineRule="exact"/>
              <w:jc w:val="center"/>
              <w:rPr>
                <w:rFonts w:hAnsi="宋体" w:cs="宋体"/>
                <w:kern w:val="21"/>
                <w:szCs w:val="21"/>
                <w:highlight w:val="none"/>
              </w:rPr>
            </w:pPr>
          </w:p>
        </w:tc>
        <w:tc>
          <w:tcPr>
            <w:tcW w:w="2023" w:type="dxa"/>
            <w:vAlign w:val="center"/>
          </w:tcPr>
          <w:p>
            <w:pPr>
              <w:pStyle w:val="11"/>
              <w:spacing w:line="240" w:lineRule="exact"/>
              <w:jc w:val="center"/>
              <w:rPr>
                <w:rFonts w:hAnsi="宋体" w:cs="宋体"/>
                <w:kern w:val="21"/>
                <w:szCs w:val="21"/>
                <w:highlight w:val="none"/>
              </w:rPr>
            </w:pPr>
            <w:r>
              <w:rPr>
                <w:rFonts w:hint="eastAsia" w:hAnsi="宋体" w:cs="宋体"/>
                <w:kern w:val="21"/>
                <w:szCs w:val="21"/>
                <w:highlight w:val="none"/>
              </w:rPr>
              <w:t>内容</w:t>
            </w:r>
          </w:p>
        </w:tc>
        <w:tc>
          <w:tcPr>
            <w:tcW w:w="7264" w:type="dxa"/>
            <w:vAlign w:val="center"/>
          </w:tcPr>
          <w:p>
            <w:pPr>
              <w:pStyle w:val="11"/>
              <w:spacing w:line="240" w:lineRule="exact"/>
              <w:jc w:val="center"/>
              <w:rPr>
                <w:rFonts w:hAnsi="宋体" w:cs="宋体"/>
                <w:kern w:val="21"/>
                <w:szCs w:val="21"/>
                <w:highlight w:val="none"/>
              </w:rPr>
            </w:pPr>
            <w:r>
              <w:rPr>
                <w:rFonts w:hint="eastAsia" w:hAnsi="宋体" w:cs="宋体"/>
                <w:kern w:val="21"/>
                <w:szCs w:val="21"/>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732" w:type="dxa"/>
            <w:vAlign w:val="center"/>
          </w:tcPr>
          <w:p>
            <w:pPr>
              <w:pStyle w:val="11"/>
              <w:spacing w:line="400" w:lineRule="exact"/>
              <w:jc w:val="center"/>
              <w:rPr>
                <w:rFonts w:hAnsi="宋体" w:cs="宋体"/>
                <w:kern w:val="21"/>
                <w:szCs w:val="21"/>
                <w:highlight w:val="none"/>
              </w:rPr>
            </w:pPr>
            <w:r>
              <w:rPr>
                <w:rFonts w:hint="eastAsia" w:hAnsi="宋体" w:cs="宋体"/>
                <w:kern w:val="21"/>
                <w:szCs w:val="21"/>
                <w:highlight w:val="none"/>
              </w:rPr>
              <w:t>1</w:t>
            </w:r>
          </w:p>
        </w:tc>
        <w:tc>
          <w:tcPr>
            <w:tcW w:w="2023" w:type="dxa"/>
            <w:vAlign w:val="center"/>
          </w:tcPr>
          <w:p>
            <w:pPr>
              <w:pStyle w:val="11"/>
              <w:spacing w:line="400" w:lineRule="exact"/>
              <w:jc w:val="center"/>
              <w:rPr>
                <w:rFonts w:hAnsi="宋体" w:cs="宋体"/>
                <w:kern w:val="21"/>
                <w:szCs w:val="21"/>
                <w:highlight w:val="none"/>
              </w:rPr>
            </w:pPr>
            <w:r>
              <w:rPr>
                <w:rFonts w:hint="eastAsia" w:hAnsi="宋体" w:cs="宋体"/>
                <w:kern w:val="21"/>
                <w:szCs w:val="21"/>
                <w:highlight w:val="none"/>
              </w:rPr>
              <w:t>项目名称</w:t>
            </w:r>
          </w:p>
        </w:tc>
        <w:tc>
          <w:tcPr>
            <w:tcW w:w="7264" w:type="dxa"/>
            <w:vAlign w:val="center"/>
          </w:tcPr>
          <w:p>
            <w:pPr>
              <w:rPr>
                <w:rFonts w:ascii="宋体" w:hAnsi="宋体" w:cs="宋体"/>
                <w:color w:val="auto"/>
                <w:kern w:val="21"/>
                <w:szCs w:val="21"/>
                <w:highlight w:val="none"/>
              </w:rPr>
            </w:pPr>
            <w:r>
              <w:rPr>
                <w:rFonts w:hint="eastAsia" w:ascii="宋体" w:hAnsi="宋体" w:cs="宋体"/>
                <w:color w:val="auto"/>
                <w:kern w:val="21"/>
                <w:szCs w:val="21"/>
                <w:highlight w:val="none"/>
              </w:rPr>
              <w:t>西安市长安区郭杜街道周家庄美丽村庄提升改造工程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32" w:type="dxa"/>
            <w:vAlign w:val="center"/>
          </w:tcPr>
          <w:p>
            <w:pPr>
              <w:pStyle w:val="11"/>
              <w:spacing w:line="400" w:lineRule="exact"/>
              <w:jc w:val="center"/>
              <w:rPr>
                <w:rFonts w:hAnsi="宋体" w:cs="宋体"/>
                <w:kern w:val="21"/>
                <w:szCs w:val="21"/>
                <w:highlight w:val="none"/>
              </w:rPr>
            </w:pPr>
            <w:r>
              <w:rPr>
                <w:rFonts w:hint="eastAsia" w:hAnsi="宋体" w:cs="宋体"/>
                <w:kern w:val="21"/>
                <w:szCs w:val="21"/>
                <w:highlight w:val="none"/>
              </w:rPr>
              <w:t>2</w:t>
            </w:r>
          </w:p>
        </w:tc>
        <w:tc>
          <w:tcPr>
            <w:tcW w:w="2023" w:type="dxa"/>
            <w:vAlign w:val="center"/>
          </w:tcPr>
          <w:p>
            <w:pPr>
              <w:pStyle w:val="11"/>
              <w:spacing w:line="240" w:lineRule="exact"/>
              <w:jc w:val="center"/>
              <w:rPr>
                <w:rFonts w:hAnsi="宋体" w:cs="宋体"/>
                <w:kern w:val="21"/>
                <w:szCs w:val="21"/>
                <w:highlight w:val="none"/>
              </w:rPr>
            </w:pPr>
            <w:r>
              <w:rPr>
                <w:rFonts w:hint="eastAsia" w:hAnsi="宋体" w:cs="宋体"/>
                <w:kern w:val="21"/>
                <w:szCs w:val="21"/>
                <w:highlight w:val="none"/>
              </w:rPr>
              <w:t>项目编号</w:t>
            </w:r>
          </w:p>
        </w:tc>
        <w:tc>
          <w:tcPr>
            <w:tcW w:w="7264" w:type="dxa"/>
            <w:vAlign w:val="center"/>
          </w:tcPr>
          <w:p>
            <w:pPr>
              <w:pStyle w:val="11"/>
              <w:spacing w:line="240" w:lineRule="exact"/>
              <w:jc w:val="left"/>
              <w:rPr>
                <w:rFonts w:hAnsi="宋体" w:cs="宋体"/>
                <w:kern w:val="21"/>
                <w:szCs w:val="21"/>
                <w:highlight w:val="none"/>
              </w:rPr>
            </w:pPr>
            <w:r>
              <w:rPr>
                <w:rFonts w:hint="eastAsia" w:hAnsi="宋体" w:cs="宋体"/>
                <w:kern w:val="21"/>
                <w:szCs w:val="21"/>
                <w:highlight w:val="none"/>
              </w:rPr>
              <w:t>RKJY2022-007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732" w:type="dxa"/>
            <w:vAlign w:val="center"/>
          </w:tcPr>
          <w:p>
            <w:pPr>
              <w:pStyle w:val="11"/>
              <w:spacing w:line="400" w:lineRule="exact"/>
              <w:jc w:val="center"/>
              <w:rPr>
                <w:rFonts w:hAnsi="宋体" w:cs="宋体"/>
                <w:kern w:val="21"/>
                <w:szCs w:val="21"/>
                <w:highlight w:val="none"/>
              </w:rPr>
            </w:pPr>
            <w:r>
              <w:rPr>
                <w:rFonts w:hint="eastAsia" w:hAnsi="宋体" w:cs="宋体"/>
                <w:kern w:val="21"/>
                <w:szCs w:val="21"/>
                <w:highlight w:val="none"/>
              </w:rPr>
              <w:t>3</w:t>
            </w:r>
          </w:p>
        </w:tc>
        <w:tc>
          <w:tcPr>
            <w:tcW w:w="2023" w:type="dxa"/>
            <w:vAlign w:val="center"/>
          </w:tcPr>
          <w:p>
            <w:pPr>
              <w:pStyle w:val="11"/>
              <w:spacing w:line="400" w:lineRule="exact"/>
              <w:jc w:val="center"/>
              <w:rPr>
                <w:rFonts w:hAnsi="宋体" w:cs="宋体"/>
                <w:kern w:val="21"/>
                <w:szCs w:val="21"/>
                <w:highlight w:val="none"/>
              </w:rPr>
            </w:pPr>
            <w:r>
              <w:rPr>
                <w:rFonts w:hint="eastAsia" w:hAnsi="宋体" w:cs="宋体"/>
                <w:kern w:val="21"/>
                <w:szCs w:val="21"/>
                <w:highlight w:val="none"/>
              </w:rPr>
              <w:t>采购人</w:t>
            </w:r>
          </w:p>
        </w:tc>
        <w:tc>
          <w:tcPr>
            <w:tcW w:w="7264" w:type="dxa"/>
            <w:vAlign w:val="center"/>
          </w:tcPr>
          <w:p>
            <w:pPr>
              <w:spacing w:line="360" w:lineRule="auto"/>
              <w:rPr>
                <w:rFonts w:ascii="宋体" w:hAnsi="宋体" w:cs="宋体"/>
                <w:color w:val="auto"/>
                <w:kern w:val="2"/>
                <w:szCs w:val="21"/>
                <w:highlight w:val="none"/>
              </w:rPr>
            </w:pPr>
            <w:r>
              <w:rPr>
                <w:rFonts w:hint="eastAsia" w:ascii="宋体" w:hAnsi="宋体" w:cs="宋体"/>
                <w:color w:val="auto"/>
                <w:kern w:val="2"/>
                <w:szCs w:val="21"/>
                <w:highlight w:val="none"/>
              </w:rPr>
              <w:t>采购人名称：西安市长安区郭杜街道办事处</w:t>
            </w:r>
          </w:p>
          <w:p>
            <w:pPr>
              <w:spacing w:line="360" w:lineRule="auto"/>
              <w:rPr>
                <w:rFonts w:ascii="宋体" w:hAnsi="宋体" w:cs="宋体"/>
                <w:color w:val="auto"/>
                <w:kern w:val="2"/>
                <w:szCs w:val="21"/>
                <w:highlight w:val="none"/>
              </w:rPr>
            </w:pPr>
            <w:r>
              <w:rPr>
                <w:rFonts w:hint="eastAsia" w:ascii="宋体" w:hAnsi="宋体" w:cs="宋体"/>
                <w:color w:val="auto"/>
                <w:kern w:val="2"/>
                <w:szCs w:val="21"/>
                <w:highlight w:val="none"/>
              </w:rPr>
              <w:t xml:space="preserve">地址：郭杜东街45号 </w:t>
            </w:r>
          </w:p>
          <w:p>
            <w:pPr>
              <w:spacing w:line="360" w:lineRule="auto"/>
              <w:rPr>
                <w:rFonts w:ascii="宋体" w:hAnsi="宋体" w:cs="宋体"/>
                <w:color w:val="auto"/>
                <w:kern w:val="2"/>
                <w:szCs w:val="21"/>
                <w:highlight w:val="none"/>
              </w:rPr>
            </w:pPr>
            <w:r>
              <w:rPr>
                <w:rFonts w:hint="eastAsia" w:ascii="宋体" w:hAnsi="宋体" w:cs="宋体"/>
                <w:color w:val="auto"/>
                <w:kern w:val="2"/>
                <w:szCs w:val="21"/>
                <w:highlight w:val="none"/>
              </w:rPr>
              <w:t>联系人：西安市长安区郭杜街道办事处经办</w:t>
            </w:r>
          </w:p>
          <w:p>
            <w:pPr>
              <w:spacing w:line="360" w:lineRule="auto"/>
              <w:rPr>
                <w:rFonts w:ascii="宋体" w:hAnsi="宋体" w:cs="宋体"/>
                <w:color w:val="auto"/>
                <w:kern w:val="21"/>
                <w:szCs w:val="21"/>
                <w:highlight w:val="none"/>
              </w:rPr>
            </w:pPr>
            <w:r>
              <w:rPr>
                <w:rFonts w:hint="eastAsia" w:ascii="宋体" w:hAnsi="宋体" w:cs="宋体"/>
                <w:color w:val="auto"/>
                <w:kern w:val="2"/>
                <w:szCs w:val="21"/>
                <w:highlight w:val="none"/>
              </w:rPr>
              <w:t>电话：18702909109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732" w:type="dxa"/>
            <w:vAlign w:val="center"/>
          </w:tcPr>
          <w:p>
            <w:pPr>
              <w:pStyle w:val="11"/>
              <w:spacing w:line="400" w:lineRule="exact"/>
              <w:jc w:val="center"/>
              <w:rPr>
                <w:rFonts w:hAnsi="宋体" w:cs="宋体"/>
                <w:kern w:val="21"/>
                <w:szCs w:val="21"/>
                <w:highlight w:val="none"/>
              </w:rPr>
            </w:pPr>
            <w:r>
              <w:rPr>
                <w:rFonts w:hint="eastAsia" w:hAnsi="宋体" w:cs="宋体"/>
                <w:kern w:val="21"/>
                <w:szCs w:val="21"/>
                <w:highlight w:val="none"/>
              </w:rPr>
              <w:t>4</w:t>
            </w:r>
          </w:p>
        </w:tc>
        <w:tc>
          <w:tcPr>
            <w:tcW w:w="2023" w:type="dxa"/>
            <w:vAlign w:val="center"/>
          </w:tcPr>
          <w:p>
            <w:pPr>
              <w:spacing w:line="360" w:lineRule="auto"/>
              <w:jc w:val="center"/>
              <w:rPr>
                <w:rFonts w:ascii="宋体" w:hAnsi="宋体" w:cs="宋体"/>
                <w:color w:val="auto"/>
                <w:kern w:val="21"/>
                <w:szCs w:val="21"/>
                <w:highlight w:val="none"/>
              </w:rPr>
            </w:pPr>
            <w:r>
              <w:rPr>
                <w:rFonts w:hint="eastAsia" w:ascii="宋体" w:hAnsi="宋体" w:cs="宋体"/>
                <w:color w:val="auto"/>
                <w:kern w:val="2"/>
                <w:szCs w:val="21"/>
                <w:highlight w:val="none"/>
              </w:rPr>
              <w:t>采购代理机构</w:t>
            </w:r>
          </w:p>
        </w:tc>
        <w:tc>
          <w:tcPr>
            <w:tcW w:w="7264" w:type="dxa"/>
            <w:vAlign w:val="center"/>
          </w:tcPr>
          <w:p>
            <w:pPr>
              <w:spacing w:line="360" w:lineRule="auto"/>
              <w:rPr>
                <w:rFonts w:ascii="宋体" w:hAnsi="宋体" w:cs="宋体"/>
                <w:color w:val="auto"/>
                <w:kern w:val="2"/>
                <w:szCs w:val="21"/>
                <w:highlight w:val="none"/>
              </w:rPr>
            </w:pPr>
            <w:r>
              <w:rPr>
                <w:rFonts w:hint="eastAsia" w:ascii="宋体" w:hAnsi="宋体" w:cs="宋体"/>
                <w:color w:val="auto"/>
                <w:kern w:val="2"/>
                <w:szCs w:val="21"/>
                <w:highlight w:val="none"/>
              </w:rPr>
              <w:t>名  称：</w:t>
            </w:r>
            <w:r>
              <w:rPr>
                <w:rFonts w:hint="eastAsia"/>
                <w:kern w:val="2"/>
                <w:szCs w:val="22"/>
                <w:highlight w:val="none"/>
              </w:rPr>
              <w:t>融科匠业造价咨询有限公司</w:t>
            </w:r>
          </w:p>
          <w:p>
            <w:pPr>
              <w:spacing w:line="360" w:lineRule="auto"/>
              <w:rPr>
                <w:rFonts w:ascii="宋体" w:hAnsi="宋体" w:cs="宋体"/>
                <w:color w:val="auto"/>
                <w:kern w:val="2"/>
                <w:szCs w:val="21"/>
                <w:highlight w:val="none"/>
              </w:rPr>
            </w:pPr>
            <w:r>
              <w:rPr>
                <w:rFonts w:hint="eastAsia" w:ascii="宋体" w:hAnsi="宋体" w:cs="宋体"/>
                <w:color w:val="auto"/>
                <w:kern w:val="2"/>
                <w:szCs w:val="21"/>
                <w:highlight w:val="none"/>
              </w:rPr>
              <w:t>地  址：</w:t>
            </w:r>
            <w:r>
              <w:rPr>
                <w:rFonts w:hint="eastAsia"/>
                <w:kern w:val="2"/>
                <w:szCs w:val="22"/>
                <w:highlight w:val="none"/>
              </w:rPr>
              <w:t>西安经济技术开发区草滩十路999号智巢创新空间E座5层北区</w:t>
            </w:r>
            <w:r>
              <w:rPr>
                <w:rFonts w:hint="eastAsia" w:ascii="宋体" w:hAnsi="宋体" w:cs="宋体"/>
                <w:color w:val="auto"/>
                <w:kern w:val="2"/>
                <w:szCs w:val="21"/>
                <w:highlight w:val="none"/>
              </w:rPr>
              <w:t xml:space="preserve"> </w:t>
            </w:r>
          </w:p>
          <w:p>
            <w:pPr>
              <w:spacing w:line="360" w:lineRule="auto"/>
              <w:rPr>
                <w:rFonts w:ascii="宋体" w:hAnsi="宋体" w:cs="宋体"/>
                <w:color w:val="auto"/>
                <w:kern w:val="2"/>
                <w:szCs w:val="21"/>
                <w:highlight w:val="none"/>
              </w:rPr>
            </w:pPr>
            <w:r>
              <w:rPr>
                <w:rFonts w:hint="eastAsia" w:ascii="宋体" w:hAnsi="宋体" w:cs="宋体"/>
                <w:color w:val="auto"/>
                <w:kern w:val="2"/>
                <w:szCs w:val="21"/>
                <w:highlight w:val="none"/>
              </w:rPr>
              <w:t xml:space="preserve">联系人：刘工       </w:t>
            </w:r>
          </w:p>
          <w:p>
            <w:pPr>
              <w:rPr>
                <w:rFonts w:ascii="宋体" w:hAnsi="宋体" w:cs="宋体"/>
                <w:color w:val="auto"/>
                <w:kern w:val="21"/>
                <w:szCs w:val="21"/>
                <w:highlight w:val="none"/>
              </w:rPr>
            </w:pPr>
            <w:r>
              <w:rPr>
                <w:rFonts w:hint="eastAsia" w:ascii="宋体" w:hAnsi="宋体" w:cs="宋体"/>
                <w:color w:val="auto"/>
                <w:kern w:val="2"/>
                <w:szCs w:val="21"/>
                <w:highlight w:val="none"/>
              </w:rPr>
              <w:t>电  话：</w:t>
            </w:r>
            <w:r>
              <w:rPr>
                <w:rFonts w:hint="eastAsia"/>
                <w:kern w:val="2"/>
                <w:szCs w:val="22"/>
                <w:highlight w:val="none"/>
              </w:rPr>
              <w:t>18391725472</w:t>
            </w:r>
            <w:r>
              <w:rPr>
                <w:rFonts w:hint="eastAsia" w:ascii="宋体" w:hAnsi="宋体" w:cs="宋体"/>
                <w:color w:val="auto"/>
                <w:kern w:val="2"/>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32" w:type="dxa"/>
            <w:vAlign w:val="center"/>
          </w:tcPr>
          <w:p>
            <w:pPr>
              <w:spacing w:line="360" w:lineRule="auto"/>
              <w:jc w:val="center"/>
              <w:rPr>
                <w:rFonts w:ascii="宋体" w:hAnsi="宋体" w:cs="宋体"/>
                <w:color w:val="auto"/>
                <w:kern w:val="21"/>
                <w:szCs w:val="21"/>
                <w:highlight w:val="none"/>
              </w:rPr>
            </w:pPr>
            <w:r>
              <w:rPr>
                <w:rFonts w:hint="eastAsia" w:ascii="宋体" w:hAnsi="宋体" w:cs="宋体"/>
                <w:color w:val="auto"/>
                <w:kern w:val="2"/>
                <w:szCs w:val="21"/>
                <w:highlight w:val="none"/>
                <w:lang w:val="zh-CN"/>
              </w:rPr>
              <w:t>5</w:t>
            </w:r>
          </w:p>
        </w:tc>
        <w:tc>
          <w:tcPr>
            <w:tcW w:w="2023" w:type="dxa"/>
            <w:vAlign w:val="center"/>
          </w:tcPr>
          <w:p>
            <w:pPr>
              <w:spacing w:line="360" w:lineRule="auto"/>
              <w:jc w:val="center"/>
              <w:rPr>
                <w:rFonts w:ascii="宋体" w:hAnsi="宋体" w:cs="宋体"/>
                <w:color w:val="auto"/>
                <w:kern w:val="21"/>
                <w:szCs w:val="21"/>
                <w:highlight w:val="none"/>
              </w:rPr>
            </w:pPr>
            <w:r>
              <w:rPr>
                <w:rFonts w:hint="eastAsia" w:ascii="宋体" w:hAnsi="宋体" w:cs="宋体"/>
                <w:color w:val="auto"/>
                <w:kern w:val="2"/>
                <w:szCs w:val="21"/>
                <w:highlight w:val="none"/>
                <w:lang w:val="zh-CN"/>
              </w:rPr>
              <w:t>资金来源</w:t>
            </w:r>
          </w:p>
        </w:tc>
        <w:tc>
          <w:tcPr>
            <w:tcW w:w="7264" w:type="dxa"/>
            <w:vAlign w:val="center"/>
          </w:tcPr>
          <w:p>
            <w:pPr>
              <w:spacing w:line="360" w:lineRule="auto"/>
              <w:rPr>
                <w:rFonts w:ascii="宋体" w:hAnsi="宋体" w:cs="宋体"/>
                <w:color w:val="auto"/>
                <w:kern w:val="2"/>
                <w:szCs w:val="21"/>
                <w:highlight w:val="none"/>
              </w:rPr>
            </w:pPr>
            <w:r>
              <w:rPr>
                <w:rFonts w:hint="eastAsia" w:ascii="宋体" w:hAnsi="宋体" w:cs="宋体"/>
                <w:color w:val="auto"/>
                <w:kern w:val="2"/>
                <w:szCs w:val="21"/>
                <w:highlight w:val="none"/>
              </w:rPr>
              <w:t>其他财政资金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32" w:type="dxa"/>
            <w:vAlign w:val="center"/>
          </w:tcPr>
          <w:p>
            <w:pPr>
              <w:spacing w:line="360" w:lineRule="auto"/>
              <w:jc w:val="center"/>
              <w:rPr>
                <w:rFonts w:ascii="宋体" w:hAnsi="宋体" w:cs="宋体"/>
                <w:color w:val="auto"/>
                <w:kern w:val="21"/>
                <w:szCs w:val="21"/>
                <w:highlight w:val="none"/>
                <w:lang w:val="zh-CN"/>
              </w:rPr>
            </w:pPr>
            <w:r>
              <w:rPr>
                <w:rFonts w:hint="eastAsia" w:ascii="宋体" w:hAnsi="宋体" w:cs="宋体"/>
                <w:color w:val="auto"/>
                <w:kern w:val="2"/>
                <w:szCs w:val="21"/>
                <w:highlight w:val="none"/>
                <w:lang w:val="zh-CN"/>
              </w:rPr>
              <w:t>6</w:t>
            </w:r>
          </w:p>
        </w:tc>
        <w:tc>
          <w:tcPr>
            <w:tcW w:w="2023" w:type="dxa"/>
            <w:vAlign w:val="center"/>
          </w:tcPr>
          <w:p>
            <w:pPr>
              <w:spacing w:line="360" w:lineRule="auto"/>
              <w:jc w:val="center"/>
              <w:rPr>
                <w:rFonts w:ascii="宋体" w:hAnsi="宋体" w:cs="宋体"/>
                <w:color w:val="auto"/>
                <w:kern w:val="21"/>
                <w:szCs w:val="21"/>
                <w:highlight w:val="none"/>
                <w:lang w:val="zh-CN"/>
              </w:rPr>
            </w:pPr>
            <w:r>
              <w:rPr>
                <w:rFonts w:hint="eastAsia" w:ascii="宋体" w:hAnsi="宋体" w:cs="宋体"/>
                <w:color w:val="auto"/>
                <w:kern w:val="2"/>
                <w:szCs w:val="21"/>
                <w:highlight w:val="none"/>
              </w:rPr>
              <w:t>招标最高限价</w:t>
            </w:r>
          </w:p>
        </w:tc>
        <w:tc>
          <w:tcPr>
            <w:tcW w:w="7264" w:type="dxa"/>
            <w:vAlign w:val="center"/>
          </w:tcPr>
          <w:p>
            <w:pPr>
              <w:spacing w:line="400" w:lineRule="exact"/>
              <w:rPr>
                <w:rFonts w:ascii="宋体" w:hAnsi="宋体" w:cs="宋体"/>
                <w:color w:val="auto"/>
                <w:kern w:val="2"/>
                <w:szCs w:val="21"/>
                <w:highlight w:val="none"/>
              </w:rPr>
            </w:pPr>
            <w:r>
              <w:rPr>
                <w:rFonts w:hint="eastAsia" w:ascii="宋体" w:hAnsi="宋体" w:cs="宋体"/>
                <w:color w:val="auto"/>
                <w:kern w:val="2"/>
                <w:szCs w:val="21"/>
                <w:highlight w:val="none"/>
                <w:lang w:val="zh-CN"/>
              </w:rPr>
              <w:t>本项目</w:t>
            </w:r>
            <w:r>
              <w:rPr>
                <w:rFonts w:hint="eastAsia" w:ascii="宋体" w:hAnsi="宋体" w:cs="宋体"/>
                <w:color w:val="auto"/>
                <w:kern w:val="2"/>
                <w:szCs w:val="21"/>
                <w:highlight w:val="none"/>
              </w:rPr>
              <w:t>招标最高限价</w:t>
            </w:r>
            <w:r>
              <w:rPr>
                <w:rFonts w:hint="eastAsia" w:ascii="宋体" w:hAnsi="宋体" w:cs="宋体"/>
                <w:color w:val="auto"/>
                <w:kern w:val="2"/>
                <w:szCs w:val="21"/>
                <w:highlight w:val="none"/>
                <w:lang w:val="zh-CN"/>
              </w:rPr>
              <w:t>：</w:t>
            </w:r>
            <w:r>
              <w:rPr>
                <w:rFonts w:hint="eastAsia" w:ascii="宋体" w:hAnsi="宋体" w:cs="宋体"/>
                <w:color w:val="auto"/>
                <w:kern w:val="2"/>
                <w:szCs w:val="21"/>
                <w:highlight w:val="none"/>
              </w:rPr>
              <w:t>大写：贰佰玖拾玖万贰仟柒佰玖拾叁元零伍分，小写：2992793.05元</w:t>
            </w:r>
          </w:p>
          <w:p>
            <w:pPr>
              <w:spacing w:line="360" w:lineRule="auto"/>
              <w:rPr>
                <w:rFonts w:ascii="宋体" w:hAnsi="宋体" w:cs="宋体"/>
                <w:color w:val="auto"/>
                <w:kern w:val="21"/>
                <w:szCs w:val="21"/>
                <w:highlight w:val="none"/>
              </w:rPr>
            </w:pPr>
            <w:r>
              <w:rPr>
                <w:rFonts w:hint="eastAsia" w:ascii="宋体" w:hAnsi="宋体" w:cs="宋体"/>
                <w:color w:val="auto"/>
                <w:kern w:val="2"/>
                <w:szCs w:val="21"/>
                <w:highlight w:val="none"/>
                <w:lang w:val="zh-CN"/>
              </w:rPr>
              <w:t>供应商报价大于招标最高限价，作为不实质性响应竞争性磋商文件，按无效</w:t>
            </w:r>
            <w:r>
              <w:rPr>
                <w:rFonts w:hint="eastAsia" w:ascii="宋体" w:hAnsi="宋体" w:cs="宋体"/>
                <w:color w:val="auto"/>
                <w:kern w:val="2"/>
                <w:szCs w:val="21"/>
                <w:highlight w:val="none"/>
              </w:rPr>
              <w:t>标</w:t>
            </w:r>
            <w:r>
              <w:rPr>
                <w:rFonts w:hint="eastAsia" w:ascii="宋体" w:hAnsi="宋体" w:cs="宋体"/>
                <w:color w:val="auto"/>
                <w:kern w:val="2"/>
                <w:szCs w:val="21"/>
                <w:highlight w:val="none"/>
                <w:lang w:val="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32" w:type="dxa"/>
            <w:vAlign w:val="center"/>
          </w:tcPr>
          <w:p>
            <w:pPr>
              <w:spacing w:line="360" w:lineRule="auto"/>
              <w:jc w:val="center"/>
              <w:rPr>
                <w:rFonts w:ascii="宋体" w:hAnsi="宋体" w:cs="宋体"/>
                <w:color w:val="auto"/>
                <w:kern w:val="21"/>
                <w:szCs w:val="21"/>
                <w:highlight w:val="none"/>
              </w:rPr>
            </w:pPr>
            <w:r>
              <w:rPr>
                <w:rFonts w:hint="eastAsia" w:ascii="宋体" w:hAnsi="宋体" w:cs="宋体"/>
                <w:color w:val="auto"/>
                <w:kern w:val="2"/>
                <w:szCs w:val="21"/>
                <w:highlight w:val="none"/>
              </w:rPr>
              <w:t>7</w:t>
            </w:r>
          </w:p>
        </w:tc>
        <w:tc>
          <w:tcPr>
            <w:tcW w:w="2023" w:type="dxa"/>
            <w:vAlign w:val="center"/>
          </w:tcPr>
          <w:p>
            <w:pPr>
              <w:spacing w:line="360" w:lineRule="auto"/>
              <w:jc w:val="center"/>
              <w:rPr>
                <w:rFonts w:ascii="宋体" w:hAnsi="宋体" w:cs="宋体"/>
                <w:color w:val="auto"/>
                <w:kern w:val="21"/>
                <w:szCs w:val="21"/>
                <w:highlight w:val="none"/>
              </w:rPr>
            </w:pPr>
            <w:r>
              <w:rPr>
                <w:rFonts w:hint="eastAsia" w:ascii="宋体" w:hAnsi="宋体" w:cs="宋体"/>
                <w:color w:val="auto"/>
                <w:kern w:val="2"/>
                <w:szCs w:val="21"/>
                <w:highlight w:val="none"/>
              </w:rPr>
              <w:t>磋商有效期</w:t>
            </w:r>
          </w:p>
        </w:tc>
        <w:tc>
          <w:tcPr>
            <w:tcW w:w="7264" w:type="dxa"/>
            <w:vAlign w:val="center"/>
          </w:tcPr>
          <w:p>
            <w:pPr>
              <w:spacing w:line="360" w:lineRule="auto"/>
              <w:rPr>
                <w:rFonts w:ascii="宋体" w:hAnsi="宋体" w:cs="宋体"/>
                <w:color w:val="auto"/>
                <w:kern w:val="21"/>
                <w:szCs w:val="21"/>
                <w:highlight w:val="none"/>
              </w:rPr>
            </w:pPr>
            <w:r>
              <w:rPr>
                <w:rFonts w:hint="eastAsia" w:ascii="宋体" w:hAnsi="宋体" w:cs="宋体"/>
                <w:color w:val="auto"/>
                <w:kern w:val="2"/>
                <w:szCs w:val="21"/>
                <w:highlight w:val="none"/>
              </w:rPr>
              <w:t>磋商截止之日起90天内保持有效（日历天数）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32" w:type="dxa"/>
            <w:vAlign w:val="center"/>
          </w:tcPr>
          <w:p>
            <w:pPr>
              <w:pStyle w:val="11"/>
              <w:spacing w:line="400" w:lineRule="exact"/>
              <w:jc w:val="center"/>
              <w:rPr>
                <w:rFonts w:hAnsi="宋体" w:cs="宋体"/>
                <w:kern w:val="21"/>
                <w:szCs w:val="21"/>
                <w:highlight w:val="none"/>
              </w:rPr>
            </w:pPr>
            <w:r>
              <w:rPr>
                <w:rFonts w:hint="eastAsia" w:hAnsi="宋体" w:cs="宋体"/>
                <w:kern w:val="21"/>
                <w:szCs w:val="21"/>
                <w:highlight w:val="none"/>
              </w:rPr>
              <w:t>8</w:t>
            </w:r>
          </w:p>
        </w:tc>
        <w:tc>
          <w:tcPr>
            <w:tcW w:w="2023" w:type="dxa"/>
            <w:vAlign w:val="center"/>
          </w:tcPr>
          <w:p>
            <w:pPr>
              <w:pStyle w:val="11"/>
              <w:spacing w:line="400" w:lineRule="exact"/>
              <w:jc w:val="center"/>
              <w:rPr>
                <w:rFonts w:hAnsi="宋体" w:cs="宋体"/>
                <w:kern w:val="21"/>
                <w:szCs w:val="21"/>
                <w:highlight w:val="none"/>
              </w:rPr>
            </w:pPr>
            <w:r>
              <w:rPr>
                <w:rFonts w:hint="eastAsia" w:hAnsi="宋体" w:cs="宋体"/>
                <w:kern w:val="21"/>
                <w:szCs w:val="21"/>
                <w:highlight w:val="none"/>
              </w:rPr>
              <w:t>工期及质量要求</w:t>
            </w:r>
          </w:p>
        </w:tc>
        <w:tc>
          <w:tcPr>
            <w:tcW w:w="7264" w:type="dxa"/>
            <w:vAlign w:val="center"/>
          </w:tcPr>
          <w:p>
            <w:pPr>
              <w:pStyle w:val="11"/>
              <w:spacing w:line="400" w:lineRule="exact"/>
              <w:jc w:val="left"/>
              <w:rPr>
                <w:rFonts w:hAnsi="宋体" w:cs="宋体"/>
                <w:szCs w:val="21"/>
                <w:highlight w:val="none"/>
                <w:u w:color="000000"/>
              </w:rPr>
            </w:pPr>
            <w:r>
              <w:rPr>
                <w:rFonts w:hint="eastAsia" w:hAnsi="宋体" w:cs="宋体"/>
                <w:kern w:val="21"/>
                <w:szCs w:val="21"/>
                <w:highlight w:val="none"/>
              </w:rPr>
              <w:t>工期：90</w:t>
            </w:r>
            <w:r>
              <w:rPr>
                <w:rFonts w:hint="eastAsia" w:hAnsi="宋体" w:cs="宋体"/>
                <w:szCs w:val="21"/>
                <w:highlight w:val="none"/>
                <w:u w:color="000000"/>
                <w:lang w:val="zh-CN"/>
              </w:rPr>
              <w:t>日历天。</w:t>
            </w:r>
          </w:p>
          <w:p>
            <w:pPr>
              <w:pStyle w:val="11"/>
              <w:spacing w:line="400" w:lineRule="exact"/>
              <w:rPr>
                <w:rFonts w:hAnsi="宋体" w:cs="宋体"/>
                <w:kern w:val="21"/>
                <w:szCs w:val="21"/>
                <w:highlight w:val="none"/>
              </w:rPr>
            </w:pPr>
            <w:r>
              <w:rPr>
                <w:rFonts w:hint="eastAsia" w:hAnsi="宋体" w:cs="宋体"/>
                <w:kern w:val="21"/>
                <w:szCs w:val="21"/>
                <w:highlight w:val="none"/>
              </w:rPr>
              <w:t>质量：合格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trPr>
        <w:tc>
          <w:tcPr>
            <w:tcW w:w="732" w:type="dxa"/>
            <w:vAlign w:val="center"/>
          </w:tcPr>
          <w:p>
            <w:pPr>
              <w:pStyle w:val="11"/>
              <w:spacing w:line="400" w:lineRule="exact"/>
              <w:jc w:val="center"/>
              <w:rPr>
                <w:rFonts w:hAnsi="宋体" w:cs="宋体"/>
                <w:kern w:val="21"/>
                <w:szCs w:val="21"/>
                <w:highlight w:val="none"/>
              </w:rPr>
            </w:pPr>
            <w:r>
              <w:rPr>
                <w:rFonts w:hint="eastAsia" w:hAnsi="宋体" w:cs="宋体"/>
                <w:kern w:val="21"/>
                <w:szCs w:val="21"/>
                <w:highlight w:val="none"/>
              </w:rPr>
              <w:t>9</w:t>
            </w:r>
          </w:p>
        </w:tc>
        <w:tc>
          <w:tcPr>
            <w:tcW w:w="2023" w:type="dxa"/>
            <w:vAlign w:val="center"/>
          </w:tcPr>
          <w:p>
            <w:pPr>
              <w:pStyle w:val="11"/>
              <w:spacing w:line="400" w:lineRule="exact"/>
              <w:ind w:firstLine="105" w:firstLineChars="50"/>
              <w:rPr>
                <w:rFonts w:hAnsi="宋体" w:cs="宋体"/>
                <w:kern w:val="21"/>
                <w:szCs w:val="21"/>
                <w:highlight w:val="none"/>
              </w:rPr>
            </w:pPr>
            <w:r>
              <w:rPr>
                <w:rFonts w:hint="eastAsia" w:hAnsi="宋体" w:cs="宋体"/>
                <w:kern w:val="21"/>
                <w:szCs w:val="21"/>
                <w:highlight w:val="none"/>
              </w:rPr>
              <w:t>供应商资质及</w:t>
            </w:r>
          </w:p>
          <w:p>
            <w:pPr>
              <w:pStyle w:val="11"/>
              <w:spacing w:line="400" w:lineRule="exact"/>
              <w:ind w:firstLine="315" w:firstLineChars="150"/>
              <w:rPr>
                <w:rFonts w:hAnsi="宋体" w:cs="宋体"/>
                <w:kern w:val="21"/>
                <w:szCs w:val="21"/>
                <w:highlight w:val="none"/>
              </w:rPr>
            </w:pPr>
            <w:r>
              <w:rPr>
                <w:rFonts w:hint="eastAsia" w:hAnsi="宋体" w:cs="宋体"/>
                <w:kern w:val="21"/>
                <w:szCs w:val="21"/>
                <w:highlight w:val="none"/>
              </w:rPr>
              <w:t>信誉能力</w:t>
            </w:r>
          </w:p>
        </w:tc>
        <w:tc>
          <w:tcPr>
            <w:tcW w:w="7264" w:type="dxa"/>
            <w:vAlign w:val="center"/>
          </w:tcPr>
          <w:p>
            <w:pPr>
              <w:rPr>
                <w:rFonts w:ascii="宋体" w:hAnsi="宋体" w:cs="宋体"/>
                <w:color w:val="auto"/>
                <w:kern w:val="21"/>
                <w:szCs w:val="21"/>
                <w:highlight w:val="none"/>
              </w:rPr>
            </w:pPr>
            <w:r>
              <w:rPr>
                <w:rFonts w:hint="eastAsia"/>
                <w:kern w:val="2"/>
                <w:szCs w:val="22"/>
                <w:highlight w:val="none"/>
              </w:rPr>
              <w:t>1）供应商为具有独立承担民事责任能力的法人、其他组织或自然人。企业法人应提供合法有效的标识有统一社会信用代码的营业执照；事业法人应提供事业单位法人证书；其他组织应提供合法登记证明文件；自然人应提供身份证；2）法定代表人授权书及被授权人身份证(法定代表人直接参加投标，须提交其身份证原件、复印件及法定代表人身份</w:t>
            </w:r>
            <w:r>
              <w:rPr>
                <w:rFonts w:hint="eastAsia"/>
                <w:color w:val="auto"/>
                <w:kern w:val="2"/>
                <w:szCs w:val="22"/>
                <w:highlight w:val="none"/>
              </w:rPr>
              <w:t>证明)；3）供应商须具备建筑工程施工总承包三级（含三级）及以上资质或市政公用工程施工总承包三级（含三级）及以上资质，具有有效的安全生产许可证；4）拟派项目经理须具有建筑工程专业二级及以上注册建造师证书或市政公用工程专业二级及以上注册建造师证书，具备有效的安全生产考核合格证书，在本单位注册且无在建工程；5）供应商及拟派项目经理应在“陕西省住房和城乡</w:t>
            </w:r>
            <w:r>
              <w:rPr>
                <w:rFonts w:hint="eastAsia"/>
                <w:kern w:val="2"/>
                <w:szCs w:val="22"/>
                <w:highlight w:val="none"/>
              </w:rPr>
              <w:t>建设厅（http://js.shaanxi.gov.cn/）陕西省建筑市场监管与诚信信息发布平台”登记备案；省外企业须在陕西省建筑市场一体化平台（陕西建设网）企业库可查询（附完整的查询结果截图加盖公章）；6）财务状况报告：提供2018年至2020年度任意一年经审计的财务报告或在开标日期前六个月内其基本开户银行出具的资信证明，以上二种形式的证明资料提供任何一种即可；7）税收缴纳证明：提供供应商2020年至今任意一个月已缴纳的完税凭证或税务机关开具的完税证明（任意税种），依法免税的单位应提供相关证明材料；8）社会保障资金缴纳证明：提供供应商2020年至今任意一个月已缴纳的社会保障资金缴存单据或社保机构开具的社会保险参保缴费情况证明；依法不需要缴纳社会保障资金的应提供相关文件证明；9）提供具有履行本合同所必需的设备和专业技术能力的承诺；10）参加政府采购活动前3年内在经营活动中没有重大违法记录的书面声明；11）供应商不得为“信用中国”网站（www.creditchina.gov.cn）中列入重大税收违法案件当事人名单、供应商不得为中国执行信息公开网（http://zxgk.court.gov.cn/shixin/）中列入失信被执行人名单、不得为“中国政府采购网”（www.ccgp.gov.cn）政府采购严重违法失信行为记录名单中被财政部门禁止参加政府采购活动的供应商；12）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32" w:type="dxa"/>
            <w:vAlign w:val="center"/>
          </w:tcPr>
          <w:p>
            <w:pPr>
              <w:pStyle w:val="11"/>
              <w:spacing w:line="400" w:lineRule="exact"/>
              <w:jc w:val="center"/>
              <w:rPr>
                <w:rFonts w:hAnsi="宋体" w:cs="宋体"/>
                <w:kern w:val="21"/>
                <w:szCs w:val="21"/>
                <w:highlight w:val="none"/>
              </w:rPr>
            </w:pPr>
            <w:r>
              <w:rPr>
                <w:rFonts w:hint="eastAsia" w:hAnsi="宋体" w:cs="宋体"/>
                <w:kern w:val="21"/>
                <w:szCs w:val="21"/>
                <w:highlight w:val="none"/>
              </w:rPr>
              <w:t>10</w:t>
            </w:r>
          </w:p>
        </w:tc>
        <w:tc>
          <w:tcPr>
            <w:tcW w:w="2023" w:type="dxa"/>
            <w:vAlign w:val="center"/>
          </w:tcPr>
          <w:p>
            <w:pPr>
              <w:pStyle w:val="11"/>
              <w:spacing w:line="400" w:lineRule="exact"/>
              <w:jc w:val="center"/>
              <w:rPr>
                <w:rFonts w:hAnsi="宋体" w:cs="宋体"/>
                <w:szCs w:val="21"/>
                <w:highlight w:val="none"/>
                <w:u w:color="000000"/>
                <w:lang w:val="zh-CN"/>
              </w:rPr>
            </w:pPr>
            <w:r>
              <w:rPr>
                <w:rFonts w:hint="eastAsia" w:hAnsi="宋体" w:cs="宋体"/>
                <w:szCs w:val="21"/>
                <w:highlight w:val="none"/>
              </w:rPr>
              <w:t>磋商保证金</w:t>
            </w:r>
          </w:p>
        </w:tc>
        <w:tc>
          <w:tcPr>
            <w:tcW w:w="7264" w:type="dxa"/>
            <w:vAlign w:val="center"/>
          </w:tcPr>
          <w:p>
            <w:pPr>
              <w:pStyle w:val="8"/>
              <w:spacing w:line="380" w:lineRule="exact"/>
              <w:ind w:firstLine="0"/>
              <w:rPr>
                <w:rFonts w:ascii="宋体" w:hAnsi="宋体" w:cs="宋体"/>
                <w:kern w:val="2"/>
                <w:sz w:val="21"/>
                <w:szCs w:val="21"/>
                <w:highlight w:val="none"/>
                <w:u w:color="000000"/>
              </w:rPr>
            </w:pPr>
            <w:r>
              <w:rPr>
                <w:rFonts w:hint="eastAsia" w:ascii="宋体" w:hAnsi="宋体" w:cs="宋体"/>
                <w:color w:val="000000"/>
                <w:kern w:val="2"/>
                <w:sz w:val="21"/>
                <w:szCs w:val="21"/>
                <w:highlight w:val="none"/>
              </w:rPr>
              <w:t>根</w:t>
            </w:r>
            <w:r>
              <w:rPr>
                <w:rFonts w:hint="eastAsia" w:ascii="宋体" w:hAnsi="宋体" w:cs="宋体"/>
                <w:color w:val="000000"/>
                <w:kern w:val="2"/>
                <w:sz w:val="21"/>
                <w:szCs w:val="22"/>
                <w:highlight w:val="none"/>
                <w:u w:color="000000"/>
              </w:rPr>
              <w:t>据《西安市财政局关于促进政府采购公平竞争优化营商环境》（市财函【2020】617号文），本次项目无需缴纳磋商保证金。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32"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11</w:t>
            </w:r>
          </w:p>
        </w:tc>
        <w:tc>
          <w:tcPr>
            <w:tcW w:w="2023"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lang w:val="zh-CN"/>
              </w:rPr>
              <w:t>响应文件</w:t>
            </w:r>
            <w:r>
              <w:rPr>
                <w:rFonts w:hint="eastAsia" w:ascii="宋体" w:hAnsi="宋体" w:cs="宋体"/>
                <w:color w:val="auto"/>
                <w:kern w:val="21"/>
                <w:szCs w:val="21"/>
                <w:highlight w:val="none"/>
              </w:rPr>
              <w:t>装订及</w:t>
            </w:r>
          </w:p>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lang w:val="zh-CN"/>
              </w:rPr>
              <w:t>份数要求</w:t>
            </w:r>
          </w:p>
        </w:tc>
        <w:tc>
          <w:tcPr>
            <w:tcW w:w="7264" w:type="dxa"/>
            <w:vAlign w:val="center"/>
          </w:tcPr>
          <w:p>
            <w:pPr>
              <w:spacing w:line="360" w:lineRule="auto"/>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竞争性磋商响应文件正本及各副本分别装订成册（不得采用活页，采用胶装方式装订。</w:t>
            </w:r>
            <w:r>
              <w:rPr>
                <w:rFonts w:hint="eastAsia" w:ascii="宋体" w:hAnsi="宋体" w:cs="宋体"/>
                <w:color w:val="auto"/>
                <w:kern w:val="2"/>
                <w:szCs w:val="21"/>
                <w:highlight w:val="none"/>
              </w:rPr>
              <w:t>竞争性磋商响应文件由技术部分、商务部分组成的文件，不需要分别装订</w:t>
            </w:r>
            <w:r>
              <w:rPr>
                <w:rFonts w:hint="eastAsia" w:ascii="宋体" w:hAnsi="宋体" w:cs="宋体"/>
                <w:color w:val="auto"/>
                <w:kern w:val="2"/>
                <w:szCs w:val="21"/>
                <w:highlight w:val="none"/>
                <w:lang w:val="zh-CN"/>
              </w:rPr>
              <w:t>），正本壹份，副本贰份，电子文件叁份</w:t>
            </w:r>
            <w:r>
              <w:rPr>
                <w:rFonts w:hint="eastAsia" w:ascii="宋体" w:hAnsi="宋体" w:cs="宋体"/>
                <w:color w:val="0000FF"/>
                <w:kern w:val="2"/>
                <w:szCs w:val="21"/>
                <w:highlight w:val="none"/>
                <w:lang w:val="zh-CN"/>
              </w:rPr>
              <w:t>（</w:t>
            </w:r>
            <w:r>
              <w:rPr>
                <w:rFonts w:hint="eastAsia" w:ascii="宋体" w:hAnsi="宋体" w:cs="宋体"/>
                <w:color w:val="auto"/>
                <w:kern w:val="2"/>
                <w:szCs w:val="21"/>
                <w:highlight w:val="none"/>
                <w:lang w:val="zh-CN"/>
              </w:rPr>
              <w:t>光盘1张，U盘2个）。</w:t>
            </w:r>
          </w:p>
          <w:p>
            <w:pPr>
              <w:spacing w:line="400" w:lineRule="exact"/>
              <w:rPr>
                <w:rFonts w:ascii="宋体" w:hAnsi="宋体" w:cs="宋体"/>
                <w:color w:val="auto"/>
                <w:kern w:val="21"/>
                <w:szCs w:val="21"/>
                <w:highlight w:val="none"/>
              </w:rPr>
            </w:pPr>
            <w:r>
              <w:rPr>
                <w:rFonts w:hint="eastAsia" w:ascii="宋体" w:hAnsi="宋体" w:cs="宋体"/>
                <w:b/>
                <w:bCs/>
                <w:color w:val="auto"/>
                <w:kern w:val="2"/>
                <w:szCs w:val="21"/>
                <w:highlight w:val="none"/>
                <w:lang w:val="zh-CN"/>
              </w:rPr>
              <w:t>注：</w:t>
            </w:r>
            <w:r>
              <w:rPr>
                <w:rFonts w:hint="eastAsia" w:ascii="宋体" w:hAnsi="宋体" w:cs="宋体"/>
                <w:b/>
                <w:bCs/>
                <w:color w:val="auto"/>
                <w:kern w:val="2"/>
                <w:szCs w:val="21"/>
                <w:highlight w:val="none"/>
              </w:rPr>
              <w:t>电子文件包含：word版投标文件资料及广联达版本生成的电子投标书文件。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732"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12</w:t>
            </w:r>
          </w:p>
        </w:tc>
        <w:tc>
          <w:tcPr>
            <w:tcW w:w="2023"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lang w:val="zh-CN"/>
              </w:rPr>
              <w:t>竞争性磋商响应文件密封与标识</w:t>
            </w:r>
          </w:p>
        </w:tc>
        <w:tc>
          <w:tcPr>
            <w:tcW w:w="7264" w:type="dxa"/>
            <w:vAlign w:val="center"/>
          </w:tcPr>
          <w:p>
            <w:pPr>
              <w:spacing w:line="400" w:lineRule="exact"/>
              <w:rPr>
                <w:rFonts w:ascii="宋体" w:hAnsi="宋体" w:cs="宋体"/>
                <w:color w:val="auto"/>
                <w:kern w:val="21"/>
                <w:szCs w:val="21"/>
                <w:highlight w:val="none"/>
                <w:lang w:val="zh-CN"/>
              </w:rPr>
            </w:pPr>
            <w:r>
              <w:rPr>
                <w:rFonts w:hint="eastAsia" w:ascii="宋体" w:hAnsi="宋体" w:cs="宋体"/>
                <w:color w:val="auto"/>
                <w:kern w:val="21"/>
                <w:szCs w:val="21"/>
                <w:highlight w:val="none"/>
                <w:lang w:val="zh-CN"/>
              </w:rPr>
              <w:t>所有密封包装均应符合以下要求：</w:t>
            </w:r>
          </w:p>
          <w:p>
            <w:pPr>
              <w:numPr>
                <w:ilvl w:val="0"/>
                <w:numId w:val="1"/>
              </w:numPr>
              <w:spacing w:line="400" w:lineRule="exact"/>
              <w:rPr>
                <w:rFonts w:ascii="宋体" w:hAnsi="宋体" w:cs="宋体"/>
                <w:color w:val="auto"/>
                <w:kern w:val="21"/>
                <w:szCs w:val="21"/>
                <w:highlight w:val="none"/>
                <w:lang w:val="zh-CN"/>
              </w:rPr>
            </w:pPr>
            <w:r>
              <w:rPr>
                <w:rFonts w:hint="eastAsia" w:ascii="宋体" w:hAnsi="宋体" w:cs="宋体"/>
                <w:color w:val="auto"/>
                <w:kern w:val="21"/>
                <w:szCs w:val="21"/>
                <w:highlight w:val="none"/>
                <w:lang w:val="zh-CN"/>
              </w:rPr>
              <w:t>竞争性磋商响应文件正本、所有副本，应分别装袋密封，并在封套的封口处（封套两端折叠封口处）加盖供应商单位公章。电子文件密封于正本袋内。</w:t>
            </w:r>
          </w:p>
          <w:p>
            <w:pPr>
              <w:spacing w:line="400" w:lineRule="exact"/>
              <w:rPr>
                <w:rFonts w:ascii="宋体" w:hAnsi="宋体" w:cs="宋体"/>
                <w:color w:val="auto"/>
                <w:kern w:val="21"/>
                <w:szCs w:val="21"/>
                <w:highlight w:val="none"/>
                <w:lang w:val="zh-CN"/>
              </w:rPr>
            </w:pPr>
            <w:r>
              <w:rPr>
                <w:rFonts w:hint="eastAsia" w:ascii="宋体" w:hAnsi="宋体" w:cs="宋体"/>
                <w:color w:val="auto"/>
                <w:kern w:val="21"/>
                <w:szCs w:val="21"/>
                <w:highlight w:val="none"/>
                <w:lang w:val="zh-CN"/>
              </w:rPr>
              <w:t>（2）项目名称、项目编号、供应商名称、法定代表人或委托代理人签字或盖章，并加盖单位公章、标段号（如有）、地址、年月日、“正本”或“副本”、“于</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lang w:val="zh-CN"/>
              </w:rPr>
              <w:t>年</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lang w:val="zh-CN"/>
              </w:rPr>
              <w:t>月</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lang w:val="zh-CN"/>
              </w:rPr>
              <w:t>日</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lang w:val="zh-CN"/>
              </w:rPr>
              <w:t>前不得开启”字样。</w:t>
            </w:r>
          </w:p>
          <w:p>
            <w:pPr>
              <w:spacing w:line="400" w:lineRule="exact"/>
              <w:rPr>
                <w:rFonts w:ascii="宋体" w:hAnsi="宋体" w:cs="宋体"/>
                <w:color w:val="auto"/>
                <w:kern w:val="21"/>
                <w:szCs w:val="21"/>
                <w:highlight w:val="none"/>
                <w:lang w:val="zh-CN"/>
              </w:rPr>
            </w:pPr>
            <w:r>
              <w:rPr>
                <w:rFonts w:hint="eastAsia" w:ascii="宋体" w:hAnsi="宋体" w:cs="宋体"/>
                <w:color w:val="auto"/>
                <w:kern w:val="21"/>
                <w:szCs w:val="21"/>
                <w:highlight w:val="none"/>
                <w:lang w:val="zh-CN"/>
              </w:rPr>
              <w:t xml:space="preserve">（3）供应商应按照竞争性磋商文件“第六部分 </w:t>
            </w:r>
            <w:r>
              <w:rPr>
                <w:rFonts w:hint="eastAsia" w:ascii="宋体" w:hAnsi="宋体" w:cs="宋体"/>
                <w:color w:val="auto"/>
                <w:kern w:val="2"/>
                <w:szCs w:val="22"/>
                <w:highlight w:val="none"/>
                <w:lang w:val="zh-CN"/>
              </w:rPr>
              <w:t>竞争性磋商响应文件格式</w:t>
            </w:r>
            <w:r>
              <w:rPr>
                <w:rFonts w:hint="eastAsia" w:ascii="宋体" w:hAnsi="宋体" w:cs="宋体"/>
                <w:color w:val="auto"/>
                <w:kern w:val="21"/>
                <w:szCs w:val="21"/>
                <w:highlight w:val="none"/>
                <w:lang w:val="zh-CN"/>
              </w:rPr>
              <w:t>”中指明的要求进行签署、盖章。</w:t>
            </w:r>
          </w:p>
          <w:p>
            <w:pPr>
              <w:spacing w:line="400" w:lineRule="exact"/>
              <w:rPr>
                <w:rFonts w:ascii="宋体" w:hAnsi="宋体" w:cs="宋体"/>
                <w:color w:val="auto"/>
                <w:kern w:val="21"/>
                <w:szCs w:val="21"/>
                <w:highlight w:val="none"/>
              </w:rPr>
            </w:pPr>
            <w:r>
              <w:rPr>
                <w:rFonts w:hint="eastAsia" w:ascii="宋体" w:hAnsi="宋体" w:cs="宋体"/>
                <w:color w:val="auto"/>
                <w:kern w:val="21"/>
                <w:szCs w:val="21"/>
                <w:highlight w:val="none"/>
                <w:lang w:val="zh-CN"/>
              </w:rPr>
              <w:t>注：竞争性磋商响应文件如果未按上述规定密封和加写标记，采购代理机构将拒绝接收。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732"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13</w:t>
            </w:r>
          </w:p>
        </w:tc>
        <w:tc>
          <w:tcPr>
            <w:tcW w:w="2023"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
                <w:szCs w:val="21"/>
                <w:highlight w:val="none"/>
              </w:rPr>
              <w:t>磋商</w:t>
            </w:r>
            <w:r>
              <w:rPr>
                <w:rFonts w:hint="eastAsia" w:ascii="宋体" w:hAnsi="宋体" w:cs="宋体"/>
                <w:color w:val="auto"/>
                <w:kern w:val="21"/>
                <w:szCs w:val="21"/>
                <w:highlight w:val="none"/>
              </w:rPr>
              <w:t>时</w:t>
            </w:r>
          </w:p>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携带资料</w:t>
            </w:r>
          </w:p>
        </w:tc>
        <w:tc>
          <w:tcPr>
            <w:tcW w:w="7264" w:type="dxa"/>
          </w:tcPr>
          <w:p>
            <w:pPr>
              <w:rPr>
                <w:rFonts w:ascii="宋体" w:hAnsi="宋体" w:cs="宋体"/>
                <w:color w:val="auto"/>
                <w:kern w:val="21"/>
                <w:szCs w:val="21"/>
                <w:highlight w:val="none"/>
                <w:lang w:val="zh-CN"/>
              </w:rPr>
            </w:pPr>
            <w:r>
              <w:rPr>
                <w:rFonts w:hint="eastAsia"/>
                <w:kern w:val="2"/>
                <w:szCs w:val="22"/>
                <w:highlight w:val="none"/>
              </w:rPr>
              <w:t>1）供应商为具有独立承担民事责任能力的法人、其他组织或自然人。企业法人应提供合法有效的标识有统一社会信用代码的营业执照；事业法人应提供事业单位法人证书；其他组织</w:t>
            </w:r>
            <w:r>
              <w:rPr>
                <w:rFonts w:hint="eastAsia"/>
                <w:color w:val="auto"/>
                <w:kern w:val="2"/>
                <w:szCs w:val="22"/>
                <w:highlight w:val="none"/>
              </w:rPr>
              <w:t>应提供合法登记证明文件；自然人应提供身份证；2）法定代表人授权书及被授权人身份证(法定代表人直接参加投标，须提交其身份证原件、复印件及法定代表人身份证明)；3）供应商须具备建筑工程施工总承包三级（含三级）及以上资质或市政公用工程施工总承包三级（含三级）及以上资质，具有有效的安全生产许可证；4）拟派项目经理须具有建筑工程专业二级及以上注册建造师证书或市政公用工程专业二级及以上注册建造师证书，具备有效的安全生产考核合格证书，在本单位注册且无在建工程；5）供应商及拟派项目经理应在“陕西省住</w:t>
            </w:r>
            <w:r>
              <w:rPr>
                <w:rFonts w:hint="eastAsia"/>
                <w:kern w:val="2"/>
                <w:szCs w:val="22"/>
                <w:highlight w:val="none"/>
              </w:rPr>
              <w:t>房和城乡建设厅（http://js.shaanxi.gov.cn/）陕西省建筑市场监管与诚信信息发布平台”登记备案；省外企业须在陕西省建筑市场一体化平台（陕西建设网）企业库可查询（附完整的查询结果截图加盖公章）；6）财务状况报告：提供2018年至2020年度任意一年经审计的财务报告或在开标日期前六个月内其基本开户银行出具的资信证明，以上二种形式的证明资料提供任何一种即可；7）税收缴纳证明：提供供应商2020年至今任意一个月已缴纳的完税凭证或税务机关开具的完税证明（任意税种），依法免税的单位应提供相关证明材料；8）社会保障资金缴纳证明：提供供应商2020年至今任意一个月已缴纳的社会保障资金缴存单据或社保机构开具的社会保险参保缴费情况证明；依法不需要缴纳社会保障资金的应提供相关文件证明；9）提供具有履行本合同所必需的设备和专业技术能力的承诺；10）参加政府采购活动前3年内在经营活动中没有重大违法记录的书面声明；11）供应商不得为“信用中国”网站（www.creditchina.gov.cn）中列入重大税收违法案件当事人名单、供应商不得为中国执行信息公开网（http://zxgk.court.gov.cn/shixin/）中列入失信被执行人名单、不得为“中国政府采购网”（www.ccgp.gov.cn）政府采购严重违法失信行为记录名单中被财政部门禁止参加政府采购活动的供应商；12）本项目不接受联合体投标。</w:t>
            </w:r>
          </w:p>
          <w:p>
            <w:pPr>
              <w:spacing w:line="380" w:lineRule="exact"/>
              <w:rPr>
                <w:rFonts w:ascii="宋体" w:hAnsi="宋体" w:cs="宋体"/>
                <w:b/>
                <w:bCs/>
                <w:color w:val="auto"/>
                <w:kern w:val="2"/>
                <w:szCs w:val="22"/>
                <w:highlight w:val="none"/>
              </w:rPr>
            </w:pPr>
            <w:r>
              <w:rPr>
                <w:rFonts w:hint="eastAsia" w:ascii="宋体" w:hAnsi="宋体" w:cs="宋体"/>
                <w:b/>
                <w:bCs/>
                <w:color w:val="auto"/>
                <w:kern w:val="2"/>
                <w:szCs w:val="22"/>
                <w:highlight w:val="none"/>
                <w:lang w:val="zh-CN"/>
              </w:rPr>
              <w:t>注：</w:t>
            </w:r>
            <w:r>
              <w:rPr>
                <w:rFonts w:hint="eastAsia" w:ascii="宋体" w:hAnsi="宋体" w:cs="宋体"/>
                <w:b/>
                <w:bCs/>
                <w:color w:val="auto"/>
                <w:kern w:val="2"/>
                <w:szCs w:val="22"/>
                <w:highlight w:val="none"/>
              </w:rPr>
              <w:t>1）供应商如提供资信证明的，若银行开具的资信证明文本中有再次复印无效等字样，请将资信证明原件放入投标文件正本中；</w:t>
            </w:r>
          </w:p>
          <w:p>
            <w:pPr>
              <w:spacing w:line="380" w:lineRule="exact"/>
              <w:rPr>
                <w:rFonts w:ascii="宋体" w:hAnsi="宋体" w:cs="宋体"/>
                <w:b/>
                <w:bCs/>
                <w:color w:val="auto"/>
                <w:kern w:val="2"/>
                <w:szCs w:val="22"/>
                <w:highlight w:val="none"/>
                <w:lang w:val="zh-CN"/>
              </w:rPr>
            </w:pPr>
            <w:r>
              <w:rPr>
                <w:rFonts w:hint="eastAsia" w:ascii="宋体" w:hAnsi="宋体" w:cs="宋体"/>
                <w:b/>
                <w:bCs/>
                <w:color w:val="auto"/>
                <w:kern w:val="2"/>
                <w:szCs w:val="22"/>
                <w:highlight w:val="none"/>
              </w:rPr>
              <w:t>2）</w:t>
            </w:r>
            <w:r>
              <w:rPr>
                <w:rFonts w:hint="eastAsia" w:ascii="宋体" w:hAnsi="宋体" w:cs="宋体"/>
                <w:b/>
                <w:bCs/>
                <w:color w:val="auto"/>
                <w:kern w:val="2"/>
                <w:szCs w:val="22"/>
                <w:highlight w:val="none"/>
                <w:lang w:val="zh-CN"/>
              </w:rPr>
              <w:t>其中，第1至</w:t>
            </w:r>
            <w:r>
              <w:rPr>
                <w:rFonts w:hint="eastAsia" w:ascii="宋体" w:hAnsi="宋体" w:cs="宋体"/>
                <w:b/>
                <w:bCs/>
                <w:color w:val="auto"/>
                <w:kern w:val="2"/>
                <w:szCs w:val="22"/>
                <w:highlight w:val="none"/>
              </w:rPr>
              <w:t>12</w:t>
            </w:r>
            <w:r>
              <w:rPr>
                <w:rFonts w:hint="eastAsia" w:ascii="宋体" w:hAnsi="宋体" w:cs="宋体"/>
                <w:b/>
                <w:bCs/>
                <w:color w:val="auto"/>
                <w:kern w:val="2"/>
                <w:szCs w:val="22"/>
                <w:highlight w:val="none"/>
                <w:lang w:val="zh-CN"/>
              </w:rPr>
              <w:t>项在开标现场由采购人查验。</w:t>
            </w:r>
          </w:p>
          <w:p>
            <w:pPr>
              <w:spacing w:line="400" w:lineRule="exact"/>
              <w:rPr>
                <w:rFonts w:ascii="宋体" w:hAnsi="宋体" w:cs="宋体"/>
                <w:color w:val="auto"/>
                <w:kern w:val="21"/>
                <w:szCs w:val="21"/>
                <w:highlight w:val="none"/>
              </w:rPr>
            </w:pPr>
            <w:r>
              <w:rPr>
                <w:rFonts w:hint="eastAsia" w:ascii="宋体" w:hAnsi="宋体" w:cs="宋体"/>
                <w:b/>
                <w:bCs/>
                <w:color w:val="auto"/>
                <w:kern w:val="2"/>
                <w:szCs w:val="22"/>
                <w:highlight w:val="none"/>
                <w:lang w:val="zh-CN"/>
              </w:rPr>
              <w:t>以上资料原件或复印件如未携带或缺项，则按无效标处理。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32"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14</w:t>
            </w:r>
          </w:p>
        </w:tc>
        <w:tc>
          <w:tcPr>
            <w:tcW w:w="2023"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联合体投标</w:t>
            </w:r>
          </w:p>
        </w:tc>
        <w:tc>
          <w:tcPr>
            <w:tcW w:w="7264" w:type="dxa"/>
            <w:vAlign w:val="center"/>
          </w:tcPr>
          <w:p>
            <w:pPr>
              <w:spacing w:line="400" w:lineRule="exact"/>
              <w:jc w:val="left"/>
              <w:rPr>
                <w:rFonts w:ascii="宋体" w:hAnsi="宋体" w:cs="宋体"/>
                <w:color w:val="auto"/>
                <w:kern w:val="21"/>
                <w:szCs w:val="21"/>
                <w:highlight w:val="none"/>
              </w:rPr>
            </w:pPr>
            <w:r>
              <w:rPr>
                <w:rFonts w:hint="eastAsia" w:ascii="宋体" w:hAnsi="宋体" w:cs="宋体"/>
                <w:color w:val="auto"/>
                <w:kern w:val="21"/>
                <w:szCs w:val="21"/>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32"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15</w:t>
            </w:r>
          </w:p>
        </w:tc>
        <w:tc>
          <w:tcPr>
            <w:tcW w:w="2023"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踏勘现场</w:t>
            </w:r>
          </w:p>
        </w:tc>
        <w:tc>
          <w:tcPr>
            <w:tcW w:w="7264" w:type="dxa"/>
            <w:vAlign w:val="center"/>
          </w:tcPr>
          <w:p>
            <w:pPr>
              <w:spacing w:line="400" w:lineRule="exact"/>
              <w:jc w:val="left"/>
              <w:rPr>
                <w:rFonts w:ascii="宋体" w:hAnsi="宋体" w:cs="宋体"/>
                <w:color w:val="auto"/>
                <w:kern w:val="21"/>
                <w:szCs w:val="21"/>
                <w:highlight w:val="none"/>
              </w:rPr>
            </w:pPr>
            <w:r>
              <w:rPr>
                <w:rFonts w:hint="eastAsia" w:ascii="宋体" w:hAnsi="宋体" w:cs="宋体"/>
                <w:color w:val="auto"/>
                <w:kern w:val="21"/>
                <w:szCs w:val="21"/>
                <w:highlight w:val="none"/>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32"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16</w:t>
            </w:r>
          </w:p>
        </w:tc>
        <w:tc>
          <w:tcPr>
            <w:tcW w:w="2023" w:type="dxa"/>
            <w:vAlign w:val="center"/>
          </w:tcPr>
          <w:p>
            <w:pPr>
              <w:spacing w:line="360" w:lineRule="auto"/>
              <w:jc w:val="center"/>
              <w:rPr>
                <w:rFonts w:ascii="宋体" w:hAnsi="宋体" w:cs="宋体"/>
                <w:color w:val="auto"/>
                <w:kern w:val="21"/>
                <w:szCs w:val="21"/>
                <w:highlight w:val="none"/>
              </w:rPr>
            </w:pPr>
            <w:r>
              <w:rPr>
                <w:rFonts w:hint="eastAsia" w:ascii="宋体" w:hAnsi="宋体" w:cs="宋体"/>
                <w:color w:val="auto"/>
                <w:kern w:val="2"/>
                <w:szCs w:val="21"/>
                <w:highlight w:val="none"/>
              </w:rPr>
              <w:t>分包</w:t>
            </w:r>
          </w:p>
        </w:tc>
        <w:tc>
          <w:tcPr>
            <w:tcW w:w="7264" w:type="dxa"/>
            <w:vAlign w:val="center"/>
          </w:tcPr>
          <w:p>
            <w:pPr>
              <w:spacing w:line="360" w:lineRule="auto"/>
              <w:jc w:val="left"/>
              <w:rPr>
                <w:rFonts w:ascii="宋体" w:hAnsi="宋体" w:cs="宋体"/>
                <w:color w:val="auto"/>
                <w:kern w:val="21"/>
                <w:szCs w:val="21"/>
                <w:highlight w:val="none"/>
              </w:rPr>
            </w:pPr>
            <w:r>
              <w:rPr>
                <w:rFonts w:hint="eastAsia" w:ascii="宋体" w:hAnsi="宋体" w:cs="宋体"/>
                <w:color w:val="auto"/>
                <w:kern w:val="2"/>
                <w:szCs w:val="21"/>
                <w:highlight w:val="none"/>
              </w:rPr>
              <w:t>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32"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17</w:t>
            </w:r>
          </w:p>
        </w:tc>
        <w:tc>
          <w:tcPr>
            <w:tcW w:w="2023" w:type="dxa"/>
            <w:vAlign w:val="center"/>
          </w:tcPr>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偏离</w:t>
            </w:r>
          </w:p>
        </w:tc>
        <w:tc>
          <w:tcPr>
            <w:tcW w:w="7264" w:type="dxa"/>
            <w:vAlign w:val="center"/>
          </w:tcPr>
          <w:p>
            <w:pPr>
              <w:spacing w:line="360" w:lineRule="auto"/>
              <w:jc w:val="left"/>
              <w:rPr>
                <w:rFonts w:ascii="宋体" w:hAnsi="宋体" w:cs="宋体"/>
                <w:color w:val="auto"/>
                <w:kern w:val="2"/>
                <w:szCs w:val="21"/>
                <w:highlight w:val="none"/>
              </w:rPr>
            </w:pPr>
            <w:r>
              <w:rPr>
                <w:rFonts w:hint="eastAsia" w:ascii="宋体" w:hAnsi="宋体" w:cs="宋体"/>
                <w:color w:val="auto"/>
                <w:kern w:val="2"/>
                <w:szCs w:val="21"/>
                <w:highlight w:val="none"/>
              </w:rPr>
              <w:t>不允许，必须全面符合并响应竞争性磋商文件要求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32"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18</w:t>
            </w:r>
          </w:p>
        </w:tc>
        <w:tc>
          <w:tcPr>
            <w:tcW w:w="2023"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响应文件截止递交时间、地点</w:t>
            </w:r>
          </w:p>
        </w:tc>
        <w:tc>
          <w:tcPr>
            <w:tcW w:w="7264" w:type="dxa"/>
            <w:vAlign w:val="center"/>
          </w:tcPr>
          <w:p>
            <w:pPr>
              <w:spacing w:line="400" w:lineRule="exact"/>
              <w:rPr>
                <w:rFonts w:ascii="宋体" w:hAnsi="宋体" w:cs="宋体"/>
                <w:color w:val="auto"/>
                <w:kern w:val="21"/>
                <w:szCs w:val="21"/>
                <w:highlight w:val="none"/>
              </w:rPr>
            </w:pPr>
            <w:r>
              <w:rPr>
                <w:rFonts w:hint="eastAsia" w:ascii="宋体" w:hAnsi="宋体" w:cs="宋体"/>
                <w:color w:val="auto"/>
                <w:kern w:val="21"/>
                <w:szCs w:val="21"/>
                <w:highlight w:val="none"/>
              </w:rPr>
              <w:t>响应文件截止递交时间：</w:t>
            </w:r>
            <w:r>
              <w:rPr>
                <w:rFonts w:hint="eastAsia" w:ascii="宋体" w:hAnsi="宋体" w:cs="宋体"/>
                <w:color w:val="auto"/>
                <w:kern w:val="21"/>
                <w:szCs w:val="21"/>
                <w:highlight w:val="none"/>
                <w:lang w:val="zh-CN"/>
              </w:rPr>
              <w:t>20</w:t>
            </w:r>
            <w:r>
              <w:rPr>
                <w:rFonts w:hint="eastAsia" w:ascii="宋体" w:hAnsi="宋体" w:cs="宋体"/>
                <w:color w:val="auto"/>
                <w:kern w:val="21"/>
                <w:szCs w:val="21"/>
                <w:highlight w:val="none"/>
              </w:rPr>
              <w:t>22</w:t>
            </w:r>
            <w:r>
              <w:rPr>
                <w:rFonts w:hint="eastAsia" w:ascii="宋体" w:hAnsi="宋体" w:cs="宋体"/>
                <w:color w:val="auto"/>
                <w:kern w:val="21"/>
                <w:szCs w:val="21"/>
                <w:highlight w:val="none"/>
                <w:lang w:val="zh-CN"/>
              </w:rPr>
              <w:t>年</w:t>
            </w:r>
            <w:r>
              <w:rPr>
                <w:rFonts w:hint="eastAsia" w:ascii="宋体" w:hAnsi="宋体" w:cs="宋体"/>
                <w:color w:val="auto"/>
                <w:kern w:val="21"/>
                <w:szCs w:val="21"/>
                <w:highlight w:val="none"/>
              </w:rPr>
              <w:t>04</w:t>
            </w:r>
            <w:r>
              <w:rPr>
                <w:rFonts w:hint="eastAsia" w:ascii="宋体" w:hAnsi="宋体" w:cs="宋体"/>
                <w:color w:val="auto"/>
                <w:kern w:val="21"/>
                <w:szCs w:val="21"/>
                <w:highlight w:val="none"/>
                <w:lang w:val="zh-CN"/>
              </w:rPr>
              <w:t>月</w:t>
            </w:r>
            <w:r>
              <w:rPr>
                <w:rFonts w:hint="eastAsia" w:ascii="宋体" w:hAnsi="宋体" w:cs="宋体"/>
                <w:color w:val="auto"/>
                <w:kern w:val="21"/>
                <w:szCs w:val="21"/>
                <w:highlight w:val="none"/>
              </w:rPr>
              <w:t>06</w:t>
            </w:r>
            <w:r>
              <w:rPr>
                <w:rFonts w:hint="eastAsia" w:ascii="宋体" w:hAnsi="宋体" w:cs="宋体"/>
                <w:color w:val="auto"/>
                <w:kern w:val="21"/>
                <w:szCs w:val="21"/>
                <w:highlight w:val="none"/>
                <w:lang w:val="zh-CN"/>
              </w:rPr>
              <w:t>日</w:t>
            </w:r>
            <w:r>
              <w:rPr>
                <w:rFonts w:hint="eastAsia" w:ascii="宋体" w:hAnsi="宋体" w:cs="宋体"/>
                <w:color w:val="auto"/>
                <w:kern w:val="21"/>
                <w:szCs w:val="21"/>
                <w:highlight w:val="none"/>
              </w:rPr>
              <w:t>14</w:t>
            </w:r>
            <w:r>
              <w:rPr>
                <w:rFonts w:hint="eastAsia" w:ascii="宋体" w:hAnsi="宋体" w:cs="宋体"/>
                <w:color w:val="auto"/>
                <w:kern w:val="21"/>
                <w:szCs w:val="21"/>
                <w:highlight w:val="none"/>
                <w:lang w:val="zh-CN"/>
              </w:rPr>
              <w:t>:</w:t>
            </w:r>
            <w:r>
              <w:rPr>
                <w:rFonts w:hint="eastAsia" w:ascii="宋体" w:hAnsi="宋体" w:cs="宋体"/>
                <w:color w:val="auto"/>
                <w:kern w:val="21"/>
                <w:szCs w:val="21"/>
                <w:highlight w:val="none"/>
              </w:rPr>
              <w:t>0</w:t>
            </w:r>
            <w:r>
              <w:rPr>
                <w:rFonts w:hint="eastAsia" w:ascii="宋体" w:hAnsi="宋体" w:cs="宋体"/>
                <w:color w:val="auto"/>
                <w:kern w:val="21"/>
                <w:szCs w:val="21"/>
                <w:highlight w:val="none"/>
                <w:lang w:val="zh-CN"/>
              </w:rPr>
              <w:t>0</w:t>
            </w:r>
          </w:p>
          <w:p>
            <w:pPr>
              <w:spacing w:line="400" w:lineRule="exact"/>
              <w:rPr>
                <w:rFonts w:ascii="宋体" w:hAnsi="宋体" w:cs="宋体"/>
                <w:color w:val="auto"/>
                <w:kern w:val="21"/>
                <w:szCs w:val="21"/>
                <w:highlight w:val="none"/>
              </w:rPr>
            </w:pPr>
            <w:r>
              <w:rPr>
                <w:rFonts w:hint="eastAsia" w:ascii="宋体" w:hAnsi="宋体" w:cs="宋体"/>
                <w:color w:val="auto"/>
                <w:kern w:val="21"/>
                <w:szCs w:val="21"/>
                <w:highlight w:val="none"/>
              </w:rPr>
              <w:t>地点：西安经济技术开发区草滩十路999号智巢创新空间E座5层北区会议室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32"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19</w:t>
            </w:r>
          </w:p>
        </w:tc>
        <w:tc>
          <w:tcPr>
            <w:tcW w:w="2023"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磋商会议时间、地点</w:t>
            </w:r>
          </w:p>
        </w:tc>
        <w:tc>
          <w:tcPr>
            <w:tcW w:w="7264" w:type="dxa"/>
            <w:vAlign w:val="center"/>
          </w:tcPr>
          <w:p>
            <w:pPr>
              <w:spacing w:line="400" w:lineRule="exact"/>
              <w:rPr>
                <w:rFonts w:ascii="宋体" w:hAnsi="宋体" w:cs="宋体"/>
                <w:color w:val="auto"/>
                <w:kern w:val="21"/>
                <w:szCs w:val="21"/>
                <w:highlight w:val="none"/>
              </w:rPr>
            </w:pPr>
            <w:r>
              <w:rPr>
                <w:rFonts w:hint="eastAsia" w:ascii="宋体" w:hAnsi="宋体" w:cs="宋体"/>
                <w:color w:val="auto"/>
                <w:kern w:val="21"/>
                <w:szCs w:val="21"/>
                <w:highlight w:val="none"/>
              </w:rPr>
              <w:t>磋商时间：</w:t>
            </w:r>
            <w:r>
              <w:rPr>
                <w:rFonts w:hint="eastAsia" w:ascii="宋体" w:hAnsi="宋体" w:cs="宋体"/>
                <w:color w:val="auto"/>
                <w:kern w:val="21"/>
                <w:szCs w:val="21"/>
                <w:highlight w:val="none"/>
                <w:lang w:val="zh-CN"/>
              </w:rPr>
              <w:t>20</w:t>
            </w:r>
            <w:r>
              <w:rPr>
                <w:rFonts w:hint="eastAsia" w:ascii="宋体" w:hAnsi="宋体" w:cs="宋体"/>
                <w:color w:val="auto"/>
                <w:kern w:val="21"/>
                <w:szCs w:val="21"/>
                <w:highlight w:val="none"/>
              </w:rPr>
              <w:t>22</w:t>
            </w:r>
            <w:r>
              <w:rPr>
                <w:rFonts w:hint="eastAsia" w:ascii="宋体" w:hAnsi="宋体" w:cs="宋体"/>
                <w:color w:val="auto"/>
                <w:kern w:val="21"/>
                <w:szCs w:val="21"/>
                <w:highlight w:val="none"/>
                <w:lang w:val="zh-CN"/>
              </w:rPr>
              <w:t>年</w:t>
            </w:r>
            <w:r>
              <w:rPr>
                <w:rFonts w:hint="eastAsia" w:ascii="宋体" w:hAnsi="宋体" w:cs="宋体"/>
                <w:color w:val="auto"/>
                <w:kern w:val="21"/>
                <w:szCs w:val="21"/>
                <w:highlight w:val="none"/>
              </w:rPr>
              <w:t>04</w:t>
            </w:r>
            <w:r>
              <w:rPr>
                <w:rFonts w:hint="eastAsia" w:ascii="宋体" w:hAnsi="宋体" w:cs="宋体"/>
                <w:color w:val="auto"/>
                <w:kern w:val="21"/>
                <w:szCs w:val="21"/>
                <w:highlight w:val="none"/>
                <w:lang w:val="zh-CN"/>
              </w:rPr>
              <w:t>月</w:t>
            </w:r>
            <w:r>
              <w:rPr>
                <w:rFonts w:hint="eastAsia" w:ascii="宋体" w:hAnsi="宋体" w:cs="宋体"/>
                <w:color w:val="auto"/>
                <w:kern w:val="21"/>
                <w:szCs w:val="21"/>
                <w:highlight w:val="none"/>
              </w:rPr>
              <w:t>06</w:t>
            </w:r>
            <w:r>
              <w:rPr>
                <w:rFonts w:hint="eastAsia" w:ascii="宋体" w:hAnsi="宋体" w:cs="宋体"/>
                <w:color w:val="auto"/>
                <w:kern w:val="21"/>
                <w:szCs w:val="21"/>
                <w:highlight w:val="none"/>
                <w:lang w:val="zh-CN"/>
              </w:rPr>
              <w:t>日</w:t>
            </w:r>
            <w:r>
              <w:rPr>
                <w:rFonts w:hint="eastAsia" w:ascii="宋体" w:hAnsi="宋体" w:cs="宋体"/>
                <w:color w:val="auto"/>
                <w:kern w:val="21"/>
                <w:szCs w:val="21"/>
                <w:highlight w:val="none"/>
              </w:rPr>
              <w:t>14</w:t>
            </w:r>
            <w:r>
              <w:rPr>
                <w:rFonts w:hint="eastAsia" w:ascii="宋体" w:hAnsi="宋体" w:cs="宋体"/>
                <w:color w:val="auto"/>
                <w:kern w:val="21"/>
                <w:szCs w:val="21"/>
                <w:highlight w:val="none"/>
                <w:lang w:val="zh-CN"/>
              </w:rPr>
              <w:t>:</w:t>
            </w:r>
            <w:r>
              <w:rPr>
                <w:rFonts w:hint="eastAsia" w:ascii="宋体" w:hAnsi="宋体" w:cs="宋体"/>
                <w:color w:val="auto"/>
                <w:kern w:val="21"/>
                <w:szCs w:val="21"/>
                <w:highlight w:val="none"/>
              </w:rPr>
              <w:t>0</w:t>
            </w:r>
            <w:r>
              <w:rPr>
                <w:rFonts w:hint="eastAsia" w:ascii="宋体" w:hAnsi="宋体" w:cs="宋体"/>
                <w:color w:val="auto"/>
                <w:kern w:val="21"/>
                <w:szCs w:val="21"/>
                <w:highlight w:val="none"/>
                <w:lang w:val="zh-CN"/>
              </w:rPr>
              <w:t>0</w:t>
            </w:r>
          </w:p>
          <w:p>
            <w:pPr>
              <w:spacing w:line="400" w:lineRule="exact"/>
              <w:rPr>
                <w:rFonts w:ascii="宋体" w:hAnsi="宋体" w:cs="宋体"/>
                <w:color w:val="auto"/>
                <w:kern w:val="21"/>
                <w:szCs w:val="21"/>
                <w:highlight w:val="none"/>
              </w:rPr>
            </w:pPr>
            <w:r>
              <w:rPr>
                <w:rFonts w:hint="eastAsia" w:ascii="宋体" w:hAnsi="宋体" w:cs="宋体"/>
                <w:color w:val="auto"/>
                <w:kern w:val="21"/>
                <w:szCs w:val="21"/>
                <w:highlight w:val="none"/>
              </w:rPr>
              <w:t>磋商地点：西安经济技术开发区草滩十路999号智巢创新空间E座5层北区会议室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20</w:t>
            </w:r>
          </w:p>
        </w:tc>
        <w:tc>
          <w:tcPr>
            <w:tcW w:w="2023"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lang w:val="zh-CN"/>
              </w:rPr>
              <w:t>评审办法和标准</w:t>
            </w:r>
          </w:p>
        </w:tc>
        <w:tc>
          <w:tcPr>
            <w:tcW w:w="7264" w:type="dxa"/>
            <w:vAlign w:val="center"/>
          </w:tcPr>
          <w:p>
            <w:pPr>
              <w:spacing w:line="400" w:lineRule="exact"/>
              <w:rPr>
                <w:rFonts w:ascii="宋体" w:hAnsi="宋体" w:cs="宋体"/>
                <w:color w:val="auto"/>
                <w:kern w:val="21"/>
                <w:szCs w:val="21"/>
                <w:highlight w:val="none"/>
              </w:rPr>
            </w:pPr>
            <w:r>
              <w:rPr>
                <w:rFonts w:hint="eastAsia" w:ascii="宋体" w:hAnsi="宋体" w:cs="宋体"/>
                <w:color w:val="auto"/>
                <w:kern w:val="21"/>
                <w:szCs w:val="21"/>
                <w:highlight w:val="none"/>
              </w:rPr>
              <w:t>综合评分法，详见第二章（十四）评标办法和评标标准。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32"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21</w:t>
            </w:r>
          </w:p>
        </w:tc>
        <w:tc>
          <w:tcPr>
            <w:tcW w:w="2023"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合同签订地点</w:t>
            </w:r>
          </w:p>
        </w:tc>
        <w:tc>
          <w:tcPr>
            <w:tcW w:w="7264" w:type="dxa"/>
            <w:vAlign w:val="center"/>
          </w:tcPr>
          <w:p>
            <w:pPr>
              <w:spacing w:line="400" w:lineRule="exact"/>
              <w:rPr>
                <w:rFonts w:ascii="宋体" w:hAnsi="宋体" w:cs="宋体"/>
                <w:color w:val="auto"/>
                <w:kern w:val="21"/>
                <w:szCs w:val="21"/>
                <w:highlight w:val="none"/>
              </w:rPr>
            </w:pPr>
            <w:r>
              <w:rPr>
                <w:rFonts w:hint="eastAsia" w:ascii="宋体" w:hAnsi="宋体" w:cs="宋体"/>
                <w:color w:val="auto"/>
                <w:kern w:val="21"/>
                <w:szCs w:val="21"/>
                <w:highlight w:val="none"/>
              </w:rPr>
              <w:t>采购人与成交单位自行约定。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trPr>
        <w:tc>
          <w:tcPr>
            <w:tcW w:w="732" w:type="dxa"/>
            <w:vAlign w:val="center"/>
          </w:tcPr>
          <w:p>
            <w:pPr>
              <w:spacing w:line="40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22</w:t>
            </w:r>
          </w:p>
        </w:tc>
        <w:tc>
          <w:tcPr>
            <w:tcW w:w="2023" w:type="dxa"/>
            <w:vAlign w:val="center"/>
          </w:tcPr>
          <w:p>
            <w:pPr>
              <w:spacing w:line="360" w:lineRule="auto"/>
              <w:rPr>
                <w:rFonts w:ascii="宋体" w:hAnsi="宋体" w:cs="宋体"/>
                <w:b/>
                <w:bCs/>
                <w:color w:val="auto"/>
                <w:kern w:val="2"/>
                <w:szCs w:val="21"/>
                <w:highlight w:val="none"/>
              </w:rPr>
            </w:pPr>
            <w:r>
              <w:rPr>
                <w:rFonts w:hint="eastAsia" w:ascii="宋体" w:hAnsi="宋体" w:cs="宋体"/>
                <w:b/>
                <w:bCs/>
                <w:color w:val="auto"/>
                <w:kern w:val="2"/>
                <w:szCs w:val="21"/>
                <w:highlight w:val="none"/>
              </w:rPr>
              <w:t>采购代理服务费</w:t>
            </w:r>
          </w:p>
          <w:p>
            <w:pPr>
              <w:spacing w:line="400" w:lineRule="exact"/>
              <w:jc w:val="center"/>
              <w:rPr>
                <w:rFonts w:ascii="宋体" w:hAnsi="宋体" w:cs="宋体"/>
                <w:color w:val="auto"/>
                <w:kern w:val="21"/>
                <w:szCs w:val="21"/>
                <w:highlight w:val="none"/>
              </w:rPr>
            </w:pPr>
            <w:r>
              <w:rPr>
                <w:rFonts w:hint="eastAsia" w:ascii="宋体" w:hAnsi="宋体" w:cs="宋体"/>
                <w:b/>
                <w:bCs/>
                <w:color w:val="auto"/>
                <w:kern w:val="2"/>
                <w:szCs w:val="21"/>
                <w:highlight w:val="none"/>
              </w:rPr>
              <w:t>（成交服务费）</w:t>
            </w:r>
          </w:p>
        </w:tc>
        <w:tc>
          <w:tcPr>
            <w:tcW w:w="7264" w:type="dxa"/>
            <w:vAlign w:val="center"/>
          </w:tcPr>
          <w:p>
            <w:pPr>
              <w:spacing w:line="480" w:lineRule="exact"/>
              <w:rPr>
                <w:rFonts w:ascii="宋体" w:hAnsi="宋体" w:cs="宋体"/>
                <w:color w:val="auto"/>
                <w:kern w:val="21"/>
                <w:szCs w:val="21"/>
                <w:highlight w:val="none"/>
              </w:rPr>
            </w:pPr>
            <w:r>
              <w:rPr>
                <w:rFonts w:hint="eastAsia" w:ascii="宋体" w:hAnsi="宋体" w:cs="宋体"/>
                <w:b/>
                <w:bCs/>
                <w:color w:val="auto"/>
                <w:kern w:val="2"/>
                <w:szCs w:val="21"/>
                <w:highlight w:val="none"/>
              </w:rPr>
              <w:t>按照“国家计委关于印发《招标代理服务费管理暂行办法的通知》（计价格[2002]1980号）”及“陕西省物价局、陕西省住房和城乡建设厅文件（陕价行[2014]88号文）”规定收费标准收取。结算时，按照合同签订收取比例或金额计算招标代理服务费及造价咨询服务费。代理报酬的金额或收取比例： 大写：贰万捌仟元整；小写：28000.00元 。代理服务费由采购人在成交单位领取成交通知书前以转账或现金形式一次性付清。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732" w:type="dxa"/>
            <w:vAlign w:val="center"/>
          </w:tcPr>
          <w:p>
            <w:pPr>
              <w:spacing w:line="360" w:lineRule="auto"/>
              <w:jc w:val="center"/>
              <w:rPr>
                <w:rFonts w:ascii="宋体" w:hAnsi="宋体" w:cs="宋体"/>
                <w:color w:val="auto"/>
                <w:kern w:val="21"/>
                <w:szCs w:val="21"/>
                <w:highlight w:val="none"/>
              </w:rPr>
            </w:pPr>
            <w:r>
              <w:rPr>
                <w:rFonts w:hint="eastAsia" w:ascii="宋体" w:hAnsi="宋体" w:cs="宋体"/>
                <w:b/>
                <w:bCs/>
                <w:color w:val="auto"/>
                <w:kern w:val="2"/>
                <w:szCs w:val="21"/>
                <w:highlight w:val="none"/>
              </w:rPr>
              <w:t>23</w:t>
            </w:r>
          </w:p>
        </w:tc>
        <w:tc>
          <w:tcPr>
            <w:tcW w:w="2023" w:type="dxa"/>
            <w:vAlign w:val="center"/>
          </w:tcPr>
          <w:p>
            <w:pPr>
              <w:spacing w:line="360" w:lineRule="auto"/>
              <w:jc w:val="center"/>
              <w:rPr>
                <w:rFonts w:ascii="宋体" w:hAnsi="宋体" w:cs="宋体"/>
                <w:b/>
                <w:bCs/>
                <w:color w:val="auto"/>
                <w:kern w:val="2"/>
                <w:szCs w:val="21"/>
                <w:highlight w:val="none"/>
              </w:rPr>
            </w:pPr>
            <w:r>
              <w:rPr>
                <w:rFonts w:hint="eastAsia" w:ascii="宋体" w:hAnsi="宋体" w:cs="宋体"/>
                <w:b/>
                <w:bCs/>
                <w:color w:val="auto"/>
                <w:kern w:val="2"/>
                <w:szCs w:val="21"/>
                <w:highlight w:val="none"/>
              </w:rPr>
              <w:t>补充说明</w:t>
            </w:r>
          </w:p>
        </w:tc>
        <w:tc>
          <w:tcPr>
            <w:tcW w:w="7264" w:type="dxa"/>
            <w:vAlign w:val="center"/>
          </w:tcPr>
          <w:p>
            <w:pPr>
              <w:spacing w:line="360" w:lineRule="auto"/>
              <w:rPr>
                <w:rFonts w:ascii="宋体" w:hAnsi="宋体" w:cs="宋体"/>
                <w:b/>
                <w:bCs/>
                <w:color w:val="auto"/>
                <w:kern w:val="2"/>
                <w:szCs w:val="21"/>
                <w:highlight w:val="none"/>
              </w:rPr>
            </w:pPr>
            <w:r>
              <w:rPr>
                <w:rFonts w:hint="eastAsia" w:ascii="宋体" w:hAnsi="宋体" w:cs="宋体"/>
                <w:b/>
                <w:bCs/>
                <w:color w:val="auto"/>
                <w:kern w:val="2"/>
                <w:szCs w:val="21"/>
                <w:highlight w:val="none"/>
              </w:rPr>
              <w:t xml:space="preserve">致各供应商：陕西省政府采购网于2018年12月27日发布《陕西省财政厅关于政府采购供应商注册登记有关事项的通知》，请各供应商尽快完善在陕西省政府采购平台注册或及其它信息（公示期需5个工作日）。 如成交后还未入库，导致采购结果无法录入的，后果自行承担。 </w:t>
            </w:r>
          </w:p>
        </w:tc>
      </w:tr>
      <w:bookmarkEnd w:id="19"/>
    </w:tbl>
    <w:p>
      <w:pPr>
        <w:spacing w:line="480" w:lineRule="exact"/>
        <w:jc w:val="center"/>
        <w:outlineLvl w:val="1"/>
        <w:rPr>
          <w:rFonts w:ascii="宋体" w:hAnsi="宋体" w:cs="宋体"/>
          <w:b/>
          <w:bCs/>
          <w:color w:val="auto"/>
          <w:sz w:val="28"/>
          <w:szCs w:val="28"/>
          <w:highlight w:val="none"/>
        </w:rPr>
      </w:pPr>
      <w:r>
        <w:rPr>
          <w:rFonts w:hint="eastAsia" w:ascii="宋体" w:hAnsi="宋体" w:cs="宋体"/>
          <w:b/>
          <w:bCs/>
          <w:color w:val="auto"/>
          <w:sz w:val="28"/>
          <w:szCs w:val="28"/>
          <w:highlight w:val="none"/>
        </w:rPr>
        <w:t>二、供应商须知</w:t>
      </w:r>
      <w:bookmarkEnd w:id="20"/>
      <w:bookmarkEnd w:id="21"/>
      <w:bookmarkEnd w:id="22"/>
    </w:p>
    <w:p>
      <w:pPr>
        <w:spacing w:line="480" w:lineRule="exact"/>
        <w:jc w:val="center"/>
        <w:outlineLvl w:val="2"/>
        <w:rPr>
          <w:rFonts w:ascii="宋体" w:hAnsi="宋体" w:cs="宋体"/>
          <w:color w:val="auto"/>
          <w:sz w:val="28"/>
          <w:szCs w:val="28"/>
          <w:highlight w:val="none"/>
        </w:rPr>
      </w:pPr>
      <w:r>
        <w:rPr>
          <w:rFonts w:hint="eastAsia" w:ascii="宋体" w:hAnsi="宋体" w:cs="宋体"/>
          <w:b/>
          <w:color w:val="auto"/>
          <w:sz w:val="28"/>
          <w:szCs w:val="28"/>
          <w:highlight w:val="none"/>
        </w:rPr>
        <w:t>（一）</w:t>
      </w:r>
      <w:r>
        <w:rPr>
          <w:rFonts w:hint="eastAsia" w:ascii="宋体" w:hAnsi="宋体" w:cs="宋体"/>
          <w:b/>
          <w:color w:val="auto"/>
          <w:sz w:val="28"/>
          <w:szCs w:val="32"/>
          <w:highlight w:val="none"/>
        </w:rPr>
        <w:t>总  则</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1、本项目采用竞争性磋商方式。</w:t>
      </w:r>
    </w:p>
    <w:p>
      <w:pPr>
        <w:adjustRightInd w:val="0"/>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2、名词解释</w:t>
      </w:r>
    </w:p>
    <w:p>
      <w:pPr>
        <w:widowControl w:val="0"/>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（1）采购人：</w:t>
      </w:r>
      <w:r>
        <w:rPr>
          <w:rFonts w:hint="eastAsia"/>
          <w:highlight w:val="none"/>
        </w:rPr>
        <w:t>西安市长安区郭杜街道办事处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（2）采购代理机构：</w:t>
      </w:r>
      <w:r>
        <w:rPr>
          <w:rFonts w:hint="eastAsia"/>
          <w:highlight w:val="none"/>
        </w:rPr>
        <w:t>融科匠业造价咨询有限公司</w:t>
      </w:r>
    </w:p>
    <w:p>
      <w:pPr>
        <w:adjustRightInd w:val="0"/>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（3）供应商：是指响应和符合竞争性磋商文件规定资格条件要求的单位。</w:t>
      </w:r>
    </w:p>
    <w:p>
      <w:pPr>
        <w:adjustRightInd w:val="0"/>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3、磋商费用。供应商应自行承担所有与参加本次磋商有关的费用。不论磋商的结果如何，</w:t>
      </w:r>
      <w:r>
        <w:rPr>
          <w:rFonts w:hint="eastAsia"/>
          <w:kern w:val="2"/>
          <w:szCs w:val="22"/>
          <w:highlight w:val="none"/>
        </w:rPr>
        <w:t>融科匠业造价咨询有限公司</w:t>
      </w:r>
      <w:r>
        <w:rPr>
          <w:rFonts w:hint="eastAsia" w:ascii="宋体" w:hAnsi="宋体" w:cs="宋体"/>
          <w:color w:val="auto"/>
          <w:szCs w:val="21"/>
          <w:highlight w:val="none"/>
        </w:rPr>
        <w:t>和采购人在任何情况下均无义务和责任承担这些费用。</w:t>
      </w:r>
      <w:r>
        <w:rPr>
          <w:rFonts w:hint="eastAsia" w:ascii="宋体" w:hAnsi="宋体" w:cs="宋体"/>
          <w:color w:val="auto"/>
          <w:szCs w:val="21"/>
          <w:highlight w:val="none"/>
        </w:rPr>
        <w:br w:type="textWrapping"/>
      </w:r>
      <w:r>
        <w:rPr>
          <w:rFonts w:hint="eastAsia" w:ascii="宋体" w:hAnsi="宋体" w:cs="宋体"/>
          <w:color w:val="auto"/>
          <w:szCs w:val="21"/>
          <w:highlight w:val="none"/>
        </w:rPr>
        <w:t xml:space="preserve">    4、适用法律。本次招标活动及由本次招标产生的合同受中华人民共和国相关法律法规的制约和保护。</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5、竞争性磋商文件的约束力。供应商一旦购买了本竞争性磋商文件并参加磋商，即被认为接受了本竞争性磋商文件中的所有条件和规定。</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6、法定代表人为同一个人的两个及两个以上法人，母公司、全资子公司及其控股公司，都不得同时参加本项目同一标段的磋商。</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7、供应商应认真阅读竞争性磋商文件中所有的章节、条款、格式、规范和附件等要求。如果没有按照竞争性磋商文件要求编制竞争性磋商响应文件及提供相关资料，其风险由供应商自行承担。</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8、供应商所提供的所有资料（包括复印件）必须清晰，如因提供的资料难以辨认，其风险由供应商自负。</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9、本次采购不接受联合体投标。</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10、分包</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不允许，见供应商须知前附表。</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11、偏离</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不允许，见供应商须知前附表。</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12、代理代理机构对采购人拖欠成交单位合同款不承担任何连带或非连带的责任，任何情况下，成交单位若主张或要求其合同款相关的民事权利均只能直接针对采购人主张或要求。</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13、因本次招投标活动产生的一切纠纷（包括合同纠纷），有关各方应友好协商解决，协商不成，则向西安市仲裁委员会申请仲裁。 </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14、采购代理服务费：</w:t>
      </w:r>
    </w:p>
    <w:p>
      <w:pPr>
        <w:spacing w:line="480" w:lineRule="exact"/>
        <w:ind w:firstLine="422" w:firstLineChars="200"/>
        <w:rPr>
          <w:rFonts w:ascii="宋体" w:hAnsi="宋体" w:cs="宋体"/>
          <w:b/>
          <w:bCs/>
          <w:color w:val="auto"/>
          <w:szCs w:val="21"/>
          <w:highlight w:val="none"/>
        </w:rPr>
      </w:pPr>
      <w:r>
        <w:rPr>
          <w:rFonts w:hint="eastAsia" w:ascii="宋体" w:hAnsi="宋体" w:cs="宋体"/>
          <w:b/>
          <w:bCs/>
          <w:color w:val="auto"/>
          <w:kern w:val="2"/>
          <w:szCs w:val="21"/>
          <w:highlight w:val="none"/>
        </w:rPr>
        <w:t>按照“国家计委关于印发《招标代理服务费管理暂行办法的通知》（计价格[2002]1980号）”及“陕西省物价局、陕西省住房和城乡建设厅文件（陕价行[2014]88号文）”规定收费标准收取。结算时，按照合同签订收取比例或金额计算招标代理服务费及造价咨询服务费。代理报酬的金额或收取比例： 大写：贰万捌仟元整；小写：28000.00元 。</w:t>
      </w:r>
      <w:r>
        <w:rPr>
          <w:rFonts w:hint="eastAsia" w:ascii="宋体" w:hAnsi="宋体" w:cs="宋体"/>
          <w:b/>
          <w:bCs/>
          <w:color w:val="auto"/>
          <w:szCs w:val="21"/>
          <w:highlight w:val="none"/>
        </w:rPr>
        <w:t>代理服务费由采购人在成交单位领取成交通知书前以转账或现金形式一次性付清。</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15、本竞争性磋商文件不做电子签名。</w:t>
      </w:r>
    </w:p>
    <w:p>
      <w:pPr>
        <w:snapToGrid w:val="0"/>
        <w:spacing w:line="480" w:lineRule="exact"/>
        <w:ind w:firstLine="449" w:firstLineChars="214"/>
        <w:rPr>
          <w:rFonts w:ascii="宋体" w:hAnsi="宋体" w:cs="宋体"/>
          <w:b/>
          <w:color w:val="auto"/>
          <w:szCs w:val="21"/>
          <w:highlight w:val="none"/>
        </w:rPr>
      </w:pPr>
      <w:r>
        <w:rPr>
          <w:rFonts w:hint="eastAsia" w:ascii="宋体" w:hAnsi="宋体" w:cs="宋体"/>
          <w:color w:val="auto"/>
          <w:szCs w:val="21"/>
          <w:highlight w:val="none"/>
        </w:rPr>
        <w:t>16、本竞争性磋商文件的解释权属采购代理机构。</w:t>
      </w:r>
    </w:p>
    <w:p>
      <w:pPr>
        <w:spacing w:line="480" w:lineRule="exact"/>
        <w:jc w:val="center"/>
        <w:outlineLvl w:val="2"/>
        <w:rPr>
          <w:rFonts w:ascii="宋体" w:hAnsi="宋体" w:cs="宋体"/>
          <w:b/>
          <w:color w:val="auto"/>
          <w:sz w:val="28"/>
          <w:szCs w:val="28"/>
          <w:highlight w:val="none"/>
        </w:rPr>
      </w:pPr>
      <w:r>
        <w:rPr>
          <w:rFonts w:hint="eastAsia" w:ascii="宋体" w:hAnsi="宋体" w:cs="宋体"/>
          <w:b/>
          <w:color w:val="auto"/>
          <w:sz w:val="28"/>
          <w:szCs w:val="28"/>
          <w:highlight w:val="none"/>
        </w:rPr>
        <w:t>（二）竞争性磋商文件的澄清、质疑与投诉</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1、供应商认为磋商文件、</w:t>
      </w:r>
      <w:r>
        <w:rPr>
          <w:rFonts w:ascii="宋体" w:hAnsi="宋体" w:cs="宋体"/>
          <w:color w:val="auto"/>
          <w:szCs w:val="21"/>
          <w:highlight w:val="none"/>
        </w:rPr>
        <w:t>采购</w:t>
      </w:r>
      <w:r>
        <w:rPr>
          <w:rFonts w:hint="eastAsia" w:ascii="宋体" w:hAnsi="宋体" w:cs="宋体"/>
          <w:color w:val="auto"/>
          <w:szCs w:val="21"/>
          <w:highlight w:val="none"/>
        </w:rPr>
        <w:t>过程、中标或者成交结果使自己的权益受到损害的，可以在知道或者应知其权益受到损害之日起7个工作日内，以书面形式向</w:t>
      </w:r>
      <w:r>
        <w:rPr>
          <w:rFonts w:ascii="宋体" w:hAnsi="宋体" w:cs="宋体"/>
          <w:color w:val="auto"/>
          <w:szCs w:val="21"/>
          <w:highlight w:val="none"/>
        </w:rPr>
        <w:t>采购人</w:t>
      </w:r>
      <w:r>
        <w:rPr>
          <w:rFonts w:hint="eastAsia" w:ascii="宋体" w:hAnsi="宋体" w:cs="宋体"/>
          <w:color w:val="auto"/>
          <w:szCs w:val="21"/>
          <w:highlight w:val="none"/>
        </w:rPr>
        <w:t>、</w:t>
      </w:r>
      <w:r>
        <w:rPr>
          <w:rFonts w:ascii="宋体" w:hAnsi="宋体" w:cs="宋体"/>
          <w:color w:val="auto"/>
          <w:szCs w:val="21"/>
          <w:highlight w:val="none"/>
        </w:rPr>
        <w:t>采购</w:t>
      </w:r>
      <w:r>
        <w:rPr>
          <w:rFonts w:hint="eastAsia" w:ascii="宋体" w:hAnsi="宋体" w:cs="宋体"/>
          <w:color w:val="auto"/>
          <w:szCs w:val="21"/>
          <w:highlight w:val="none"/>
        </w:rPr>
        <w:t>代理机构提出质疑。</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可以委托代理人进行质疑和投诉。其授权委托书应当载明代理人的姓名或者名称、代理事项、具体权限、期限和相关事项。投标单位为自然人的，应当由本人签字；供应商为法人或者其他组织的，应当由法定代表人、主要负责人签字或者盖章，并加盖公章。代理人提出质疑和投诉，应当提交供应商签署的授权委托书。</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供应商提出质疑应当提交质疑函和必要的证明材料。质疑函应当包括下列内容：</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（一）供应商的姓名或者名称、地址、邮编、联系人及联系电话；</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（二）质疑项目的名称、编号；</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（三）具体、明确的质疑事项和与质疑事项相关的请求；</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（四）事实依据；</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（五）必要的法律依据；</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（六）提出质疑的日期。</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供应商为自然人的，应当由本人签字；供应商为法人或者其他组织的，应当由法定代表人、主要负责人，或者其授权代表签字或者盖章，并加盖公章。</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备注：1）供应商须在法定质疑期内一次性提出针对同一</w:t>
      </w:r>
      <w:r>
        <w:rPr>
          <w:rFonts w:ascii="宋体" w:hAnsi="宋体" w:cs="宋体"/>
          <w:color w:val="auto"/>
          <w:szCs w:val="21"/>
          <w:highlight w:val="none"/>
        </w:rPr>
        <w:t>采购</w:t>
      </w:r>
      <w:r>
        <w:rPr>
          <w:rFonts w:hint="eastAsia" w:ascii="宋体" w:hAnsi="宋体" w:cs="宋体"/>
          <w:color w:val="auto"/>
          <w:szCs w:val="21"/>
          <w:highlight w:val="none"/>
        </w:rPr>
        <w:t>程序环节的质疑。</w:t>
      </w:r>
    </w:p>
    <w:p>
      <w:pPr>
        <w:spacing w:line="480" w:lineRule="exact"/>
        <w:ind w:firstLine="1050" w:firstLineChars="500"/>
        <w:rPr>
          <w:rFonts w:ascii="宋体" w:hAnsi="宋体" w:cs="宋体"/>
          <w:color w:val="auto"/>
          <w:szCs w:val="21"/>
          <w:highlight w:val="none"/>
        </w:rPr>
      </w:pPr>
      <w:r>
        <w:rPr>
          <w:rFonts w:hint="eastAsia" w:ascii="宋体" w:hAnsi="宋体" w:cs="宋体"/>
          <w:color w:val="auto"/>
          <w:szCs w:val="21"/>
          <w:highlight w:val="none"/>
        </w:rPr>
        <w:t>2）</w:t>
      </w:r>
      <w:r>
        <w:rPr>
          <w:rFonts w:hint="eastAsia" w:ascii="华文仿宋" w:hAnsi="华文仿宋" w:cs="华文仿宋"/>
          <w:color w:val="auto"/>
          <w:highlight w:val="none"/>
        </w:rPr>
        <w:t>供应商提出质疑应当提交质疑函和必要的证明材料，并按财政部《质疑函范本》给定的格式进行填写，范本下载详见【财政部国库司（gks.mof.gov.cn）】网站〖首页•〉政府采购管理〗栏目中的《政府采购供应商质疑函范本》。</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1.1质疑有以下情形之一的，招标代理机构不予受理：</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（一）质疑人不是参与本次项目的供应商或潜在供应商；</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（二）质疑人与质疑事项不存在利害关系的；</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（三）未在法定期限内提出质疑的；</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（四）质疑未以书面形式提出，或质疑函主要内容构成不完整的，或缺乏必要的证明材料及证明材料不完整的；</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（五）质疑函没有合法有效的签字、盖章或授权的；</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（六）以非法手段取得证据、材料的；</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（七）质疑答复后，同一质疑人就同一事项再次提出质疑的；</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（八）不符合法律、法规、规章和政府采购监管机构规定的其他条件的。</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2、采购人、采购代理机构不得拒收质疑供应商在法定质疑期内发出的质疑函，应当在收到质疑函后7个工作日内作出答复，并以书面形式通知质疑供应商和其他有关供应商。</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质疑供应商对采购人、采购代理机构的答复不满意，或者采购人、采购代理机构未在规定时间内作出答复的，可以在答复期满后15个工作日内向政府采购质疑和投诉办法（中华人民共和国财政部令第94号）第六条规定的财政部门提起投诉。</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5、质疑函递交地址：</w:t>
      </w:r>
      <w:r>
        <w:rPr>
          <w:rFonts w:hint="eastAsia"/>
          <w:highlight w:val="none"/>
        </w:rPr>
        <w:t>西安经济技术开发区草滩十路999号智巢创新空间E座5层北区</w:t>
      </w:r>
    </w:p>
    <w:p>
      <w:pPr>
        <w:spacing w:line="48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highlight w:val="none"/>
        </w:rPr>
        <w:t>18391725472</w:t>
      </w:r>
    </w:p>
    <w:p>
      <w:pPr>
        <w:spacing w:line="480" w:lineRule="exact"/>
        <w:jc w:val="center"/>
        <w:outlineLvl w:val="2"/>
        <w:rPr>
          <w:rFonts w:ascii="宋体" w:hAnsi="宋体" w:cs="宋体"/>
          <w:b/>
          <w:color w:val="auto"/>
          <w:sz w:val="28"/>
          <w:szCs w:val="28"/>
          <w:highlight w:val="none"/>
        </w:rPr>
      </w:pPr>
      <w:r>
        <w:rPr>
          <w:rFonts w:hint="eastAsia" w:ascii="宋体" w:hAnsi="宋体" w:cs="宋体"/>
          <w:b/>
          <w:color w:val="auto"/>
          <w:sz w:val="28"/>
          <w:szCs w:val="28"/>
          <w:highlight w:val="none"/>
        </w:rPr>
        <w:t>（三）竞争性磋商响应文件的组成及编制</w:t>
      </w:r>
    </w:p>
    <w:p>
      <w:pPr>
        <w:snapToGrid w:val="0"/>
        <w:spacing w:line="48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1、竞争性磋商响应文件由技术部分、商务部分组成的文件。</w:t>
      </w:r>
    </w:p>
    <w:p>
      <w:pPr>
        <w:snapToGrid w:val="0"/>
        <w:spacing w:line="48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2、</w:t>
      </w:r>
      <w:r>
        <w:rPr>
          <w:rFonts w:hint="eastAsia" w:ascii="宋体" w:hAnsi="宋体" w:cs="宋体"/>
          <w:color w:val="auto"/>
          <w:szCs w:val="21"/>
          <w:highlight w:val="none"/>
        </w:rPr>
        <w:t>竞争性磋商响应文件必须使用简体中文,竞争性磋商响应文件中若有英文或其他语言文字的资料，应翻译成中文。</w:t>
      </w:r>
    </w:p>
    <w:p>
      <w:pPr>
        <w:snapToGrid w:val="0"/>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3、度量衡单位除竞争性磋商文件技术规格中另有规定外均采用中华人民共和国法定的计量单位。</w:t>
      </w:r>
    </w:p>
    <w:p>
      <w:pPr>
        <w:widowControl w:val="0"/>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4、竞争性磋商响应文件应以A4规格的纸张打印。</w:t>
      </w:r>
    </w:p>
    <w:p>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5、供应商应将竞争性磋商响应文件装订成册，并编排目录、标明页码。</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6、竞争性磋商响应文件应按照竞争性磋商文件给出的竞争性磋商响应文件格式按顺序编制。</w:t>
      </w:r>
    </w:p>
    <w:p>
      <w:pPr>
        <w:spacing w:line="480" w:lineRule="exact"/>
        <w:jc w:val="center"/>
        <w:outlineLvl w:val="2"/>
        <w:rPr>
          <w:rFonts w:ascii="宋体" w:hAnsi="宋体" w:cs="宋体"/>
          <w:b/>
          <w:color w:val="auto"/>
          <w:sz w:val="28"/>
          <w:szCs w:val="28"/>
          <w:highlight w:val="none"/>
        </w:rPr>
      </w:pPr>
      <w:r>
        <w:rPr>
          <w:rFonts w:hint="eastAsia" w:ascii="宋体" w:hAnsi="宋体" w:cs="宋体"/>
          <w:b/>
          <w:color w:val="auto"/>
          <w:sz w:val="28"/>
          <w:szCs w:val="28"/>
          <w:highlight w:val="none"/>
        </w:rPr>
        <w:t>（四）磋商报价</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 xml:space="preserve">1、磋商报价以人民币报价，供应商在填写磋商报价时，金额单位要统一，数字、文字要清晰。            </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2、总磋商报价等于各分项报价与各项费用之和，不得采用总价下浮的方式。</w:t>
      </w:r>
    </w:p>
    <w:p>
      <w:pPr>
        <w:spacing w:line="480" w:lineRule="exact"/>
        <w:ind w:firstLine="405" w:firstLineChars="192"/>
        <w:rPr>
          <w:rFonts w:ascii="宋体" w:hAnsi="宋体" w:cs="宋体"/>
          <w:b/>
          <w:color w:val="auto"/>
          <w:szCs w:val="21"/>
          <w:highlight w:val="none"/>
        </w:rPr>
      </w:pPr>
      <w:r>
        <w:rPr>
          <w:rFonts w:hint="eastAsia" w:ascii="宋体" w:hAnsi="宋体" w:cs="宋体"/>
          <w:b/>
          <w:color w:val="auto"/>
          <w:szCs w:val="21"/>
          <w:highlight w:val="none"/>
        </w:rPr>
        <w:t>3、采购最高限价</w:t>
      </w:r>
    </w:p>
    <w:p>
      <w:pPr>
        <w:spacing w:line="480" w:lineRule="exact"/>
        <w:ind w:firstLine="405" w:firstLineChars="192"/>
        <w:rPr>
          <w:rFonts w:ascii="宋体" w:hAnsi="宋体" w:cs="宋体"/>
          <w:b/>
          <w:color w:val="auto"/>
          <w:szCs w:val="21"/>
          <w:highlight w:val="none"/>
          <w:lang w:val="zh-CN"/>
        </w:rPr>
      </w:pPr>
      <w:r>
        <w:rPr>
          <w:rFonts w:hint="eastAsia" w:ascii="宋体" w:hAnsi="宋体" w:cs="宋体"/>
          <w:b/>
          <w:color w:val="auto"/>
          <w:szCs w:val="21"/>
          <w:highlight w:val="none"/>
          <w:lang w:val="zh-CN"/>
        </w:rPr>
        <w:t>供应商报价大于</w:t>
      </w:r>
      <w:r>
        <w:rPr>
          <w:rFonts w:hint="eastAsia" w:ascii="宋体" w:hAnsi="宋体" w:cs="宋体"/>
          <w:b/>
          <w:color w:val="auto"/>
          <w:szCs w:val="21"/>
          <w:highlight w:val="none"/>
        </w:rPr>
        <w:t>招标最高限价</w:t>
      </w:r>
      <w:r>
        <w:rPr>
          <w:rFonts w:hint="eastAsia" w:ascii="宋体" w:hAnsi="宋体" w:cs="宋体"/>
          <w:b/>
          <w:color w:val="auto"/>
          <w:szCs w:val="21"/>
          <w:highlight w:val="none"/>
          <w:lang w:val="zh-CN"/>
        </w:rPr>
        <w:t>，大写：贰佰玖拾玖万贰仟柒佰玖拾叁元零伍分，小写：2992793.05元</w:t>
      </w:r>
      <w:r>
        <w:rPr>
          <w:rFonts w:hint="eastAsia" w:ascii="宋体" w:hAnsi="宋体" w:cs="宋体"/>
          <w:b/>
          <w:color w:val="auto"/>
          <w:szCs w:val="21"/>
          <w:highlight w:val="none"/>
        </w:rPr>
        <w:t>，</w:t>
      </w:r>
      <w:r>
        <w:rPr>
          <w:rFonts w:hint="eastAsia" w:ascii="宋体" w:hAnsi="宋体" w:cs="宋体"/>
          <w:b/>
          <w:color w:val="auto"/>
          <w:szCs w:val="21"/>
          <w:highlight w:val="none"/>
          <w:lang w:val="zh-CN"/>
        </w:rPr>
        <w:t>作为不实质性响应竞争性磋商文件，均为无效报价，按无效</w:t>
      </w:r>
      <w:r>
        <w:rPr>
          <w:rFonts w:hint="eastAsia" w:ascii="宋体" w:hAnsi="宋体" w:cs="宋体"/>
          <w:b/>
          <w:color w:val="auto"/>
          <w:szCs w:val="21"/>
          <w:highlight w:val="none"/>
        </w:rPr>
        <w:t>标</w:t>
      </w:r>
      <w:r>
        <w:rPr>
          <w:rFonts w:hint="eastAsia" w:ascii="宋体" w:hAnsi="宋体" w:cs="宋体"/>
          <w:b/>
          <w:color w:val="auto"/>
          <w:szCs w:val="21"/>
          <w:highlight w:val="none"/>
          <w:lang w:val="zh-CN"/>
        </w:rPr>
        <w:t>处理。</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4、磋商报价中不得包含竞争性磋商文件要求以外的内容，否则，在评标时不予核减，但在授予合同时，采购人有权将这部分价格从其成交价格中扣除。</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总磋商价中不得缺漏竞争性磋商文件所要求的内容，否则，评标时将有效磋商中该项内容的最高价计入其评标总价，但在授予合同时，缺漏项目的报价视作已含在其他项目的报价中，这些项目将作为免费赠送而包含在合同内。</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本项目成交后综合单价除国家规定不可调整外，其余按降价比例（最后一次总报价/首次总报价）进行调整，调整后综合单价在合同执行过程中是固定不变的，不得以任何理由予以变更。供应商在报价时应自行踏勘现场，充分考虑施工过程中工程量及价格的风险因素并包含在此次磋商报价中，若因承包方原因产生额外费用，承包方自行承担。</w:t>
      </w:r>
    </w:p>
    <w:p>
      <w:pPr>
        <w:numPr>
          <w:ilvl w:val="0"/>
          <w:numId w:val="2"/>
        </w:numPr>
        <w:spacing w:line="480" w:lineRule="exact"/>
        <w:jc w:val="center"/>
        <w:outlineLvl w:val="2"/>
        <w:rPr>
          <w:rFonts w:ascii="宋体" w:hAnsi="宋体" w:cs="宋体"/>
          <w:b/>
          <w:color w:val="auto"/>
          <w:sz w:val="28"/>
          <w:szCs w:val="28"/>
          <w:highlight w:val="none"/>
        </w:rPr>
      </w:pPr>
      <w:r>
        <w:rPr>
          <w:rFonts w:hint="eastAsia" w:ascii="宋体" w:hAnsi="宋体" w:cs="宋体"/>
          <w:b/>
          <w:color w:val="auto"/>
          <w:sz w:val="28"/>
          <w:szCs w:val="28"/>
          <w:highlight w:val="none"/>
        </w:rPr>
        <w:t>磋商保证金</w:t>
      </w:r>
    </w:p>
    <w:p>
      <w:pPr>
        <w:spacing w:line="480" w:lineRule="exact"/>
        <w:ind w:firstLine="420" w:firstLineChars="200"/>
        <w:jc w:val="left"/>
        <w:outlineLvl w:val="2"/>
        <w:rPr>
          <w:kern w:val="2"/>
          <w:szCs w:val="22"/>
          <w:highlight w:val="none"/>
        </w:rPr>
      </w:pPr>
      <w:r>
        <w:rPr>
          <w:rFonts w:hint="eastAsia" w:ascii="宋体" w:hAnsi="宋体" w:cs="宋体"/>
          <w:kern w:val="2"/>
          <w:szCs w:val="22"/>
          <w:highlight w:val="none"/>
        </w:rPr>
        <w:t>根据《西安市财政局关于促进政府采购公平竞争优化营商环境》（市财函【2020】617号文），本次</w:t>
      </w:r>
      <w:r>
        <w:rPr>
          <w:rFonts w:hint="eastAsia"/>
          <w:kern w:val="2"/>
          <w:szCs w:val="22"/>
          <w:highlight w:val="none"/>
        </w:rPr>
        <w:t>项目无需缴纳磋商保证金。</w:t>
      </w:r>
    </w:p>
    <w:p>
      <w:pPr>
        <w:spacing w:line="480" w:lineRule="exact"/>
        <w:jc w:val="center"/>
        <w:outlineLvl w:val="2"/>
        <w:rPr>
          <w:rFonts w:ascii="宋体" w:hAnsi="宋体" w:cs="宋体"/>
          <w:b/>
          <w:color w:val="auto"/>
          <w:sz w:val="28"/>
          <w:szCs w:val="28"/>
          <w:highlight w:val="none"/>
        </w:rPr>
      </w:pPr>
      <w:r>
        <w:rPr>
          <w:rFonts w:hint="eastAsia" w:ascii="宋体" w:hAnsi="宋体" w:cs="宋体"/>
          <w:b/>
          <w:color w:val="auto"/>
          <w:sz w:val="28"/>
          <w:szCs w:val="28"/>
          <w:highlight w:val="none"/>
        </w:rPr>
        <w:t>（六）磋商有效期</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1、供应商的磋商从磋商截止之日起，在90天内保持有效。</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在特殊情况下，在原投标有效期届满之前，采购人可征得供应商的同意延长磋商标有效期。这种要求与答复均应采用书面形式。供应商可以拒绝采购人的这种要求。同意延长投标有效期的供应商既不能要求也不允许修改其竞争性磋商响应文件。</w:t>
      </w:r>
    </w:p>
    <w:p>
      <w:pPr>
        <w:spacing w:line="480" w:lineRule="exact"/>
        <w:jc w:val="center"/>
        <w:outlineLvl w:val="2"/>
        <w:rPr>
          <w:rFonts w:ascii="宋体" w:hAnsi="宋体" w:cs="宋体"/>
          <w:b/>
          <w:color w:val="auto"/>
          <w:sz w:val="28"/>
          <w:szCs w:val="28"/>
          <w:highlight w:val="none"/>
        </w:rPr>
      </w:pPr>
      <w:r>
        <w:rPr>
          <w:rFonts w:hint="eastAsia" w:ascii="宋体" w:hAnsi="宋体" w:cs="宋体"/>
          <w:b/>
          <w:color w:val="auto"/>
          <w:sz w:val="28"/>
          <w:szCs w:val="28"/>
          <w:highlight w:val="none"/>
        </w:rPr>
        <w:t>（七）竞争性磋商响应文件的正本和副本要求</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1、供应商应按照要求，准备正本一份、副本二份、电子文件三份(</w:t>
      </w:r>
      <w:r>
        <w:rPr>
          <w:rFonts w:hint="eastAsia" w:ascii="宋体" w:hAnsi="宋体" w:cs="宋体"/>
          <w:color w:val="auto"/>
          <w:kern w:val="2"/>
          <w:szCs w:val="21"/>
          <w:highlight w:val="none"/>
          <w:lang w:val="zh-CN"/>
        </w:rPr>
        <w:t>光盘1张，U盘2个</w:t>
      </w:r>
      <w:r>
        <w:rPr>
          <w:rFonts w:hint="eastAsia" w:ascii="宋体" w:hAnsi="宋体" w:cs="宋体"/>
          <w:color w:val="auto"/>
          <w:szCs w:val="21"/>
          <w:highlight w:val="none"/>
        </w:rPr>
        <w:t>)，每份竞争性磋商响应文件须清楚地标明“正本”或“副本”字样。一旦正本和副本不符，以正本为准。</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竞争性磋商响应文件的正本按照要求签署和盖章后，竞争性磋商响应文件的副本可以复印（不包括竞争性磋商响应文件的封面）但必须加盖鲜章，但正本和副本的内容必须相同。否则，评委误读误评的风险供应商必须自行承担。</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3、竞争性磋商响应文件不论是书写、打印或复制，均应做到清晰、整洁、规范。</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4、供应商递交的竞争性磋商响应文件（包括正本、所有副本）均不退还，请供应商自行做好备份。</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5、竞争性磋商响应文件正副本分开密封包装。</w:t>
      </w:r>
    </w:p>
    <w:p>
      <w:pPr>
        <w:spacing w:line="480" w:lineRule="exact"/>
        <w:jc w:val="center"/>
        <w:outlineLvl w:val="2"/>
        <w:rPr>
          <w:rFonts w:ascii="宋体" w:hAnsi="宋体" w:cs="宋体"/>
          <w:b/>
          <w:color w:val="auto"/>
          <w:sz w:val="28"/>
          <w:szCs w:val="28"/>
          <w:highlight w:val="none"/>
        </w:rPr>
      </w:pPr>
      <w:r>
        <w:rPr>
          <w:rFonts w:hint="eastAsia" w:ascii="宋体" w:hAnsi="宋体" w:cs="宋体"/>
          <w:b/>
          <w:color w:val="auto"/>
          <w:sz w:val="28"/>
          <w:szCs w:val="28"/>
          <w:highlight w:val="none"/>
        </w:rPr>
        <w:t>（八）竞争性磋商响应文件的签署、盖章</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在竞争性磋商文件给出的竞争性磋商响应文件格式中，凡是标明由供应商盖章的地方，竞争性磋商响应文件都必须加盖供应商统一对外的公章；凡是标明由法定代表人或委托代理人签字或盖章的，须签署姓名全称或加盖私章。竞争性磋商响应文件封套上有明确规定的必须由法定代表人或委托代理人签字盖章。        </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2、竞争性磋商响应文件不得行间插字、涂改或增删。如有修改错漏处，必须由供应商的法定代表人或其委托代理人签字并加盖供应商公章。</w:t>
      </w:r>
    </w:p>
    <w:p>
      <w:pPr>
        <w:spacing w:line="480" w:lineRule="exact"/>
        <w:jc w:val="center"/>
        <w:outlineLvl w:val="2"/>
        <w:rPr>
          <w:rFonts w:ascii="宋体" w:hAnsi="宋体" w:cs="宋体"/>
          <w:b/>
          <w:color w:val="auto"/>
          <w:sz w:val="28"/>
          <w:szCs w:val="28"/>
          <w:highlight w:val="none"/>
        </w:rPr>
      </w:pPr>
      <w:r>
        <w:rPr>
          <w:rFonts w:hint="eastAsia" w:ascii="宋体" w:hAnsi="宋体" w:cs="宋体"/>
          <w:b/>
          <w:color w:val="auto"/>
          <w:sz w:val="28"/>
          <w:szCs w:val="28"/>
          <w:highlight w:val="none"/>
        </w:rPr>
        <w:t>（九）竞争性磋商响应文件的密封</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1、供应商应将竞争性磋商响应文件正本、副本标明“正本”、“副本”的字样，并正副本分开密封包装，不论供应商成交与否，竞争性磋商响应文件均不退回。</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①封套上注明</w:t>
      </w:r>
      <w:r>
        <w:rPr>
          <w:rFonts w:hint="eastAsia" w:ascii="宋体" w:hAnsi="宋体" w:cs="宋体"/>
          <w:color w:val="auto"/>
          <w:szCs w:val="21"/>
          <w:highlight w:val="none"/>
          <w:lang w:val="zh-CN"/>
        </w:rPr>
        <w:t>项目名称、项目编号、供应商名称、法定代表人或委托代理人签字或盖章，并加盖单位公章、标段号（如有）、地址、年月日、“正本”或“副本”、</w:t>
      </w:r>
      <w:r>
        <w:rPr>
          <w:rFonts w:hint="eastAsia" w:ascii="宋体" w:hAnsi="宋体" w:cs="宋体"/>
          <w:color w:val="auto"/>
          <w:szCs w:val="21"/>
          <w:highlight w:val="none"/>
        </w:rPr>
        <w:t xml:space="preserve">“于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前不得开启”字样。</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②竞争性磋商响应文件密封要求：电子版文件密封在竞争性磋商响应文件正本内，正本、副本分开密封。</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2、如果封袋（盒）未按上述要求密封、加写标记或标注不清，采购人对误投或过早启封概不负责。未按上述规定提交的竞争性磋商响应文件，一切后果由供应商负责。</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3、在磋商截止时间后递交的竞争性磋商响应文件将被拒绝。</w:t>
      </w:r>
    </w:p>
    <w:p>
      <w:pPr>
        <w:spacing w:line="480" w:lineRule="exact"/>
        <w:jc w:val="center"/>
        <w:outlineLvl w:val="2"/>
        <w:rPr>
          <w:rFonts w:ascii="宋体" w:hAnsi="宋体" w:cs="宋体"/>
          <w:b/>
          <w:color w:val="auto"/>
          <w:sz w:val="28"/>
          <w:szCs w:val="28"/>
          <w:highlight w:val="none"/>
        </w:rPr>
      </w:pPr>
      <w:r>
        <w:rPr>
          <w:rFonts w:hint="eastAsia" w:ascii="宋体" w:hAnsi="宋体" w:cs="宋体"/>
          <w:b/>
          <w:color w:val="auto"/>
          <w:sz w:val="28"/>
          <w:szCs w:val="28"/>
          <w:highlight w:val="none"/>
        </w:rPr>
        <w:t>（十）竞争性磋商响应文件的递交</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1、供应商应在规定的时间和地点递交竞争性磋商响应文件。</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2、代理机构将拒绝迟交的竞争性磋商响应文件并原封退回。</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3、未按规定进行密封的竞争性磋商响应文件，代理机构将拒绝接受。</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供应商在递交竞争性磋商响应文件后，如果有修改和撤回要求，必须以书面形式通知代理机构名称，使代理机构能在投标截止时间前收到。其修改书或撤回通知书，应由法定代表人或其委托代理人签署，并在信封上注明“修改”或“撤回”字样。</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5、在磋商有效期内，供应商不得撤回竞争性磋商响应文件。</w:t>
      </w:r>
    </w:p>
    <w:p>
      <w:pPr>
        <w:pStyle w:val="4"/>
        <w:spacing w:line="480" w:lineRule="exact"/>
        <w:rPr>
          <w:rFonts w:ascii="宋体" w:hAnsi="宋体" w:cs="宋体"/>
          <w:sz w:val="28"/>
          <w:szCs w:val="28"/>
          <w:highlight w:val="none"/>
        </w:rPr>
      </w:pPr>
      <w:bookmarkStart w:id="23" w:name="_Toc19755"/>
      <w:bookmarkStart w:id="24" w:name="_Toc4188"/>
      <w:bookmarkStart w:id="25" w:name="_Toc22225"/>
      <w:bookmarkStart w:id="26" w:name="_Toc6472"/>
      <w:r>
        <w:rPr>
          <w:rFonts w:hint="eastAsia" w:ascii="宋体" w:hAnsi="宋体" w:cs="宋体"/>
          <w:sz w:val="28"/>
          <w:szCs w:val="28"/>
          <w:highlight w:val="none"/>
        </w:rPr>
        <w:t>（十一）磋商方法及程序</w:t>
      </w:r>
      <w:bookmarkEnd w:id="23"/>
      <w:bookmarkEnd w:id="24"/>
      <w:bookmarkEnd w:id="25"/>
      <w:bookmarkEnd w:id="26"/>
    </w:p>
    <w:p>
      <w:pPr>
        <w:pStyle w:val="4"/>
        <w:spacing w:line="480" w:lineRule="exact"/>
        <w:ind w:firstLine="420" w:firstLineChars="200"/>
        <w:jc w:val="both"/>
        <w:rPr>
          <w:rFonts w:ascii="宋体" w:hAnsi="宋体" w:cs="宋体"/>
          <w:b w:val="0"/>
          <w:sz w:val="21"/>
          <w:szCs w:val="21"/>
          <w:highlight w:val="none"/>
        </w:rPr>
      </w:pPr>
      <w:r>
        <w:rPr>
          <w:rFonts w:hint="eastAsia" w:ascii="宋体" w:hAnsi="宋体" w:cs="宋体"/>
          <w:b w:val="0"/>
          <w:sz w:val="21"/>
          <w:szCs w:val="21"/>
          <w:highlight w:val="none"/>
        </w:rPr>
        <w:t>（一）磋商方法：综合评分法。</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响应文件满足磋商文件全部实质性要求且按照评审因素的量化指标评审得分最高的供应商为成交候选人。</w:t>
      </w:r>
    </w:p>
    <w:p>
      <w:pPr>
        <w:spacing w:line="480" w:lineRule="exact"/>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rPr>
        <w:t>（二）磋商程序：</w:t>
      </w:r>
      <w:r>
        <w:rPr>
          <w:rFonts w:hint="eastAsia" w:ascii="宋体" w:hAnsi="宋体" w:cs="宋体"/>
          <w:color w:val="auto"/>
          <w:szCs w:val="21"/>
          <w:highlight w:val="none"/>
          <w:lang w:val="zh-CN"/>
        </w:rPr>
        <w:t>磋商的全过程分为不公布第一次磋商报价、供应商符合性及有效性、磋商过程、磋商承诺、第二次报价、综合评审等阶段。</w:t>
      </w:r>
    </w:p>
    <w:p>
      <w:pPr>
        <w:spacing w:line="480" w:lineRule="exact"/>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1、第一次报价：记录将各供应商的响应文件中的报价、工期等内容，报价不公开。</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lang w:val="zh-CN"/>
        </w:rPr>
        <w:t>2、供应商符合性及有效性审查：按照竞争性磋商文件中的要求对各供应商提供的竞争性磋商响应文件进行符合性及有效性审查，对于没有按竞争性磋商文件要求的供应商，不进入下一步评审程序。</w:t>
      </w:r>
    </w:p>
    <w:p>
      <w:pPr>
        <w:spacing w:line="480" w:lineRule="exact"/>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3、磋商过程</w:t>
      </w:r>
    </w:p>
    <w:p>
      <w:pPr>
        <w:spacing w:line="480" w:lineRule="exact"/>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磋商小组在符合性及有效性评审的基础上对各供应商的响应文件认真阅读，并对采购内容、商务报价、</w:t>
      </w:r>
      <w:r>
        <w:rPr>
          <w:rFonts w:hint="eastAsia" w:ascii="宋体" w:hAnsi="宋体" w:cs="宋体"/>
          <w:color w:val="auto"/>
          <w:szCs w:val="21"/>
          <w:highlight w:val="none"/>
        </w:rPr>
        <w:t>施工组织设计、近3年完成同类项目业绩、项目经理、合理化建议</w:t>
      </w:r>
      <w:r>
        <w:rPr>
          <w:rFonts w:hint="eastAsia" w:ascii="宋体" w:hAnsi="宋体" w:cs="宋体"/>
          <w:color w:val="auto"/>
          <w:szCs w:val="21"/>
          <w:highlight w:val="none"/>
          <w:lang w:val="zh-CN"/>
        </w:rPr>
        <w:t>等内容进行一对一的磋商。各供应商就磋商中的技术、商务、价格、服务等内容按要求进行补充、完善、澄清、承诺，但补充完善的内容必须在其授权范围内。磋商小组以补充、完善后的内容作为评审的依据。</w:t>
      </w:r>
    </w:p>
    <w:p>
      <w:pPr>
        <w:spacing w:line="480" w:lineRule="exact"/>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4、各供应商对磋商小组在磋商过程中的问题予以澄清说明，做出承诺，同时对报价及构成再次进行成本分析、核算，并在此基础上进行二次报价。</w:t>
      </w:r>
    </w:p>
    <w:p>
      <w:pPr>
        <w:spacing w:line="480" w:lineRule="exact"/>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5、磋商小组对各供应商磋商内容进行确认，进行二次报价，二次报价超过一次报价的，为无效报价，按无效文件处理。</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（1）在对所有供应商进行符合性及有效性审查后，不合格供应商的响应文件按无效处理，并告知有关供应商。</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2）磋商小组给予所有合格供应商一次最后报价（即二次报价）的机会。供应商要以书面形式提交最后报价（各合格供应商的最后报价将作为综合评分法中价格分的计算依据，并由其法定代表人或被授权人签字。已提交响应文件的供应商，在提交最后报价之前有权以书面形式退出磋商。    </w:t>
      </w:r>
    </w:p>
    <w:p>
      <w:pPr>
        <w:spacing w:line="480" w:lineRule="exact"/>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6、磋商小组以磋商响应文件、磋商承诺内容、二次报价为依据，按照评审办法，推荐成交候选单位。</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7、磋商文件的实质性变更</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（1）在磋商过程中，磋商小组可以根据磋商文件和磋商情况实质性变动采购需求中的技术、服务要求以及合同草案条款，但不得变动磋商文件中的其他内容。实质性变动的内容，须经采购人代表确认。</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（2）对磋商文件作出的实质性变动是磋商文件的有效组成部分，磋商小组将及时以书面形式同时通知所有参加磋商的供应商。</w:t>
      </w:r>
    </w:p>
    <w:p>
      <w:pPr>
        <w:spacing w:line="480" w:lineRule="exact"/>
        <w:ind w:firstLine="420" w:firstLineChars="200"/>
        <w:jc w:val="left"/>
        <w:rPr>
          <w:rFonts w:ascii="宋体" w:hAnsi="宋体" w:cs="宋体"/>
          <w:b/>
          <w:color w:val="auto"/>
          <w:szCs w:val="21"/>
          <w:highlight w:val="none"/>
        </w:rPr>
      </w:pPr>
      <w:r>
        <w:rPr>
          <w:rFonts w:hint="eastAsia" w:ascii="宋体" w:hAnsi="宋体" w:cs="宋体"/>
          <w:color w:val="auto"/>
          <w:szCs w:val="21"/>
          <w:highlight w:val="none"/>
        </w:rPr>
        <w:t>（3）供应商应当按照磋商文件的变动情况和磋商小组的要求重新提交响应文件，并由其法定代表人或授权代表签字或者加盖公章。</w:t>
      </w:r>
    </w:p>
    <w:p>
      <w:pPr>
        <w:spacing w:line="480" w:lineRule="exact"/>
        <w:jc w:val="center"/>
        <w:rPr>
          <w:rFonts w:ascii="宋体" w:hAnsi="宋体" w:cs="宋体"/>
          <w:b/>
          <w:color w:val="auto"/>
          <w:sz w:val="28"/>
          <w:szCs w:val="28"/>
          <w:highlight w:val="none"/>
        </w:rPr>
      </w:pPr>
      <w:r>
        <w:rPr>
          <w:rFonts w:hint="eastAsia" w:ascii="宋体" w:hAnsi="宋体" w:cs="宋体"/>
          <w:b/>
          <w:color w:val="auto"/>
          <w:sz w:val="28"/>
          <w:szCs w:val="28"/>
          <w:highlight w:val="none"/>
        </w:rPr>
        <w:t>（十二）开 标</w:t>
      </w:r>
    </w:p>
    <w:p>
      <w:pPr>
        <w:spacing w:line="480" w:lineRule="exact"/>
        <w:ind w:firstLine="220" w:firstLineChars="100"/>
        <w:jc w:val="left"/>
        <w:rPr>
          <w:rFonts w:ascii="宋体" w:hAnsi="宋体" w:cs="宋体"/>
          <w:color w:val="auto"/>
          <w:szCs w:val="21"/>
          <w:highlight w:val="none"/>
        </w:rPr>
      </w:pPr>
      <w:r>
        <w:rPr>
          <w:rFonts w:hint="eastAsia" w:ascii="宋体" w:hAnsi="宋体" w:cs="宋体"/>
          <w:color w:val="auto"/>
          <w:sz w:val="22"/>
          <w:szCs w:val="22"/>
          <w:highlight w:val="none"/>
        </w:rPr>
        <w:t xml:space="preserve"> </w:t>
      </w:r>
      <w:r>
        <w:rPr>
          <w:rFonts w:hint="eastAsia" w:ascii="宋体" w:hAnsi="宋体" w:cs="宋体"/>
          <w:color w:val="auto"/>
          <w:szCs w:val="21"/>
          <w:highlight w:val="none"/>
        </w:rPr>
        <w:t xml:space="preserve"> 1、采购人将按规定的时间和地点组织竞争性磋商，供应商应委派授权委托人或法定代表人（携带有效证件）准时参加，参加开标的授权委托人或法定代表人须签名以证明其出席。</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2、开标仪式由代理公司主持，采购人、监标人代表、监督代表、供应商代表以及有关工作人员参加。</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3、同意撤回的投标将不予开封。</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4、开标时，进行资格查验，请监标人查验:</w:t>
      </w:r>
    </w:p>
    <w:p>
      <w:pPr>
        <w:spacing w:line="48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供应商为具有独立承担民事责任能力的法人、其他组织或自然人。企业法人应提供合法有效的标识有统一社会信用代码的营业执照；事业法人应提供事业单位法人证书；其他组织应提供合法登记证明文件；自然人应提供身份证；2）法定代表人授权书及被授权人身份证(法定代表人直接参加投标，须提交其身份证原件、复印件及法定代表人身份证明)；3）供应商须具备建筑工程施工总承包三级（含三级）及以上资质或市政公用工程施工总承包三级（含三级）及以上资质，具有有效的安全生产许可证；4）拟派项目经理须具有建筑工程专业二级及以上注册建造师证书或市政公用工程专业二级及以上注册建造师证书，具备有效的安全生产考核合格证书，在本单位注册且无在建工程；5）供应商及拟派项目经理应在“陕西省住房和城乡建设厅（http://js.shaanxi.gov.cn/）陕西省建筑市场监管与诚信信息发布平台”登记备案；省外企业须在陕西省建筑市场一体化平台（陕西建设网）企业库可查询（附完整的查询结果截图加盖公章）；6）财务状况报告：提供2018年至2020年度任意一年经审计的财务报告或在开标日期前六个月内其基本开户银行出具的资信证明，以上二种形式的证明资料提供任何一种即可；7）税收缴纳证明：提供供应商2020年至今任意一个月已缴纳的完税凭证或税务机关开具的完税证明（任意税种），依法免税的单位应提供相关证明材料；8）社会保障资金缴纳证明：提供供应商2020年至今任意一个月已缴纳的社会保障资金缴存单据或社保机构开具的社会保险参保缴费情况证明；依法不需要缴纳社会保障资金的应提供相关文件证明；9）提供具有履行本合同所必需的设备和专业技术能力的承诺；10）参加政府采购活动前3年内在经营活动中没有重大违法记录的书面声明；11）供应商不得为“信用中国”网站（www.creditchina.gov.cn）中列入重大税收违法案件当事人名单、供应商不得为中国执行信息公开网（http://zxgk.court.gov.cn/shixin/）中列入失信被执行人名单、不得为“中国政府采购网”（www.ccgp.gov.cn）政府采购严重违法失信行为记录名单中被财政部门禁止参加政府采购活动的供应商；12）本项目不接受联合体投标。</w:t>
      </w:r>
    </w:p>
    <w:p>
      <w:pPr>
        <w:spacing w:line="480" w:lineRule="exact"/>
        <w:ind w:firstLine="420" w:firstLineChars="200"/>
        <w:jc w:val="left"/>
        <w:rPr>
          <w:rFonts w:ascii="宋体" w:hAnsi="宋体" w:cs="宋体"/>
          <w:color w:val="auto"/>
          <w:highlight w:val="none"/>
          <w:lang w:val="zh-CN"/>
        </w:rPr>
      </w:pPr>
      <w:r>
        <w:rPr>
          <w:rFonts w:hint="eastAsia" w:ascii="宋体" w:hAnsi="宋体" w:cs="宋体"/>
          <w:color w:val="auto"/>
          <w:highlight w:val="none"/>
          <w:lang w:val="zh-CN"/>
        </w:rPr>
        <w:t>注：其中，第1至</w:t>
      </w:r>
      <w:r>
        <w:rPr>
          <w:rFonts w:hint="eastAsia" w:ascii="宋体" w:hAnsi="宋体" w:cs="宋体"/>
          <w:color w:val="auto"/>
          <w:highlight w:val="none"/>
        </w:rPr>
        <w:t>12</w:t>
      </w:r>
      <w:r>
        <w:rPr>
          <w:rFonts w:hint="eastAsia" w:ascii="宋体" w:hAnsi="宋体" w:cs="宋体"/>
          <w:color w:val="auto"/>
          <w:highlight w:val="none"/>
          <w:lang w:val="zh-CN"/>
        </w:rPr>
        <w:t>项在开标现场由</w:t>
      </w:r>
      <w:r>
        <w:rPr>
          <w:rFonts w:hint="eastAsia" w:ascii="宋体" w:hAnsi="宋体" w:cs="宋体"/>
          <w:color w:val="auto"/>
          <w:highlight w:val="none"/>
        </w:rPr>
        <w:t>采购人</w:t>
      </w:r>
      <w:r>
        <w:rPr>
          <w:rFonts w:hint="eastAsia" w:ascii="宋体" w:hAnsi="宋体" w:cs="宋体"/>
          <w:color w:val="auto"/>
          <w:highlight w:val="none"/>
          <w:lang w:val="zh-CN"/>
        </w:rPr>
        <w:t>查验。</w:t>
      </w:r>
    </w:p>
    <w:p>
      <w:pPr>
        <w:spacing w:line="480" w:lineRule="exact"/>
        <w:ind w:firstLine="420" w:firstLineChars="200"/>
        <w:jc w:val="left"/>
        <w:rPr>
          <w:rFonts w:ascii="宋体" w:hAnsi="宋体" w:cs="宋体"/>
          <w:color w:val="auto"/>
          <w:highlight w:val="none"/>
          <w:lang w:val="zh-CN"/>
        </w:rPr>
      </w:pPr>
      <w:r>
        <w:rPr>
          <w:rFonts w:hint="eastAsia" w:ascii="宋体" w:hAnsi="宋体" w:cs="宋体"/>
          <w:color w:val="auto"/>
          <w:highlight w:val="none"/>
          <w:lang w:val="zh-CN"/>
        </w:rPr>
        <w:t>以上资料提供原件或复印件加盖单位公章，如未携带或缺项，则按</w:t>
      </w:r>
      <w:r>
        <w:rPr>
          <w:rFonts w:hint="eastAsia" w:ascii="宋体" w:hAnsi="宋体" w:cs="宋体"/>
          <w:color w:val="auto"/>
          <w:highlight w:val="none"/>
        </w:rPr>
        <w:t>无效</w:t>
      </w:r>
      <w:r>
        <w:rPr>
          <w:rFonts w:hint="eastAsia" w:ascii="宋体" w:hAnsi="宋体" w:cs="宋体"/>
          <w:color w:val="auto"/>
          <w:highlight w:val="none"/>
          <w:lang w:val="zh-CN"/>
        </w:rPr>
        <w:t>标处理。</w:t>
      </w:r>
    </w:p>
    <w:p>
      <w:pPr>
        <w:pStyle w:val="19"/>
        <w:spacing w:before="0" w:beforeAutospacing="0" w:after="0" w:afterAutospacing="0" w:line="480" w:lineRule="exact"/>
        <w:ind w:firstLine="420" w:firstLineChars="200"/>
        <w:rPr>
          <w:sz w:val="21"/>
          <w:szCs w:val="21"/>
          <w:highlight w:val="none"/>
        </w:rPr>
      </w:pPr>
      <w:r>
        <w:rPr>
          <w:rFonts w:hint="eastAsia"/>
          <w:kern w:val="2"/>
          <w:sz w:val="21"/>
          <w:szCs w:val="21"/>
          <w:highlight w:val="none"/>
        </w:rPr>
        <w:t>5、请</w:t>
      </w:r>
      <w:r>
        <w:rPr>
          <w:rFonts w:hint="eastAsia"/>
          <w:sz w:val="21"/>
          <w:szCs w:val="21"/>
          <w:highlight w:val="none"/>
        </w:rPr>
        <w:t>监标人</w:t>
      </w:r>
      <w:r>
        <w:rPr>
          <w:rFonts w:hint="eastAsia"/>
          <w:kern w:val="2"/>
          <w:sz w:val="21"/>
          <w:szCs w:val="21"/>
          <w:highlight w:val="none"/>
        </w:rPr>
        <w:t>、供应商代表查验竞争性磋商响应文件密封情况，确认无误后，主持人将当众宣读竞争性磋商响应文件的供应商名称、正副本份数、电子文件份数、签字盖章是否齐全等，以及采购人认为合适的其他详细内容。</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6、采购人做好开标记录并存档备查，开标记录应包括开标时宣读的主要内容。</w:t>
      </w:r>
    </w:p>
    <w:p>
      <w:pPr>
        <w:spacing w:line="48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7、供应商在报价时不允许采用选择性报价，否则将被视为无效投标。</w:t>
      </w:r>
    </w:p>
    <w:p>
      <w:pPr>
        <w:spacing w:line="480" w:lineRule="exact"/>
        <w:jc w:val="center"/>
        <w:rPr>
          <w:rFonts w:ascii="宋体" w:hAnsi="宋体" w:cs="宋体"/>
          <w:b/>
          <w:color w:val="auto"/>
          <w:sz w:val="28"/>
          <w:szCs w:val="28"/>
          <w:highlight w:val="none"/>
        </w:rPr>
      </w:pPr>
      <w:r>
        <w:rPr>
          <w:rFonts w:hint="eastAsia" w:ascii="宋体" w:hAnsi="宋体" w:cs="宋体"/>
          <w:b/>
          <w:color w:val="auto"/>
          <w:sz w:val="28"/>
          <w:szCs w:val="28"/>
          <w:highlight w:val="none"/>
        </w:rPr>
        <w:t>（十三）评 标</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评审工作由为该项目专门组织的评标委员会（简称评委会）进行。为确保评标工作公平、公正，根据《中华人民共和国政府采购法》的有关规定成立评标委员会。评标委员会（有关专家）在政府采购专家库中随机抽取。开标后，采购人、监标人、会将首先对供应商进行资格审查，当发现供应商或其竞争性磋商响应文件存在下列情况时，将直接判定供应商的资格不符合要求：</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（1）供应商资格不满足磋商资格规定的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（2）供应商正受到重大未决诉讼案件影响的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2、未通过符合性及有效性审查的供应商，将不再进入后续评标程序。</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3、符合性及有效性审查时，评委会将审查竞争性磋商响应文件是否完整，有无计算上的错误，文件的签署是否符合要求等。如果发现磋商报价存在计算或表述上错误，则将按下列原则进行修改：</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①开标一览表内容与竞争性磋商响应文件中明细表内容不一致的，以开标一览表为准；</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②竞争性磋商响应文件的大写金额和小写金额不一致的，以大写金额为准；</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③合价金额与按单价汇总金额不一致的，以单价金额计算结果为准；</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④分项合价之和与总价不符时，以分项合价之和为准；</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⑤单价金额小数点有明显错位的，应以总价为准，并修改单价。</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4、评委会将按上述修正错误的方法调整竞争性磋商响应文件中的磋商报价，调整后的价格应对供应商人具有约束力。如果供应商不接受调整后的价格，则其投标将被拒绝。无论供应商是接受或是拒绝调整后的价格，都应当由法定代表人或委托代理人签字予以书面确认。</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5、在详细评标之前，评委会将审查每份竞争性磋商响应文件是否实质上响应了竞争性磋商文件的要求。实质上响应的投标应该是与竞争性磋商文件要求的全部条款、条件和规格相符，没有重大偏离或保留的磋商。所谓重大偏离或保留是指实质上影响合同的服务范围、质量和性能，或者实质上与竞争性磋商文件的要求不一致，而且限制了采购人的权利或减轻了供应商的义务。纠正这些偏离或保留将会对其他实质上响应要求的供应商的竞争地位产生不公正的影响。</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6、评委会判定竞争性磋商响应文件的响应性只根据竞争性磋商响应文件本身的内容，而不寻求外部的证据，但磋商有不真实不正确的内容时除外。</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7、如果竞争性磋商响应文件实质上没有响应竞争性磋商文件的要求，评委会将予以拒绝，供应商不得通过修正或撤销不符合要求的偏离或保留，而使其磋商成为实质上响应的磋商。</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8、供应商简单地复印或照搬竞争性磋商文件中的技术规格作为其竞争性磋商响应文件的一部分，将有可能导致其投标无效。</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9、评委会可以要求供应商通过澄清说明修正其竞争性磋商响应文件中含义不明确的内容，但是澄清说明不得超出竞争性磋商响应文件的范围或改变竞争性磋商响应文件的实质性内容</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10、无效投标</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竞争性磋商响应文件属下列情况之一的，按照无效投标处理：</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（1）未按照竞争性磋商文件规定密封、签署、盖章的；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（2）不具备竞争性磋商文件中规定资格要求的；</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（3）竞争性磋商响应文件未加盖单位公章、法定代表人、法人授权委托代理人未按竞争性磋商文件格式要求签字或盖章的。</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（4）供应商所提供的证件原件名称、名字与资质文件所提交的资格资料名称、名字不符或在磋商中弄虚作假的。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（5）竞争性磋商响应文件正本缺页的，竞争性磋商响应文件实质性内容字迹辨认不清的。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（6）质量、工期任何一项不满足竞争性磋商文件要求的，但不含优于竞争性磋商文件要求的。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（7）未按竞争性磋商文件要求提交竞争性磋商响应文件资料的。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（8）供应商组成联合体磋商的。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（9）供应商未按要求提供相应证件（开标现场所验证件）的。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（10）根据评标委员会的评定，竞争性磋商响应文件中明显使用不平衡报价恶意竞标的。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（11）专家评审过程中，专家要求审查竞争性磋商响应文件电子版内容时，电子版文件无法正常打开或竞争性磋商响应文件电子版内容与文字书面竞争性磋商响应文件（正本）内容不一致的。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（12）供应商在报价时采用选择性报价；</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（13）磋商证明文件或服务不满足竞争性磋商文件的实质性要求；</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（14）不符合法律、法规和竞争性磋商文件中规定的其他实质性要求的。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（15）磋商中出现串标、围标的。</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（16）磋商总价高于最高限价的。</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11、比较与评价。评委会按竞争性磋商文件规定的评标方法和标准，对实质性响应的竞争性磋商响应文件进行评分。</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12、评标过程的保密。评委会成员或者参加评标的其他人员均不得向他人透露对竞争性磋商响应文件的评审和比较以及与评标有关的其他情况。</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13、评委会有权否决全部投标。</w:t>
      </w:r>
    </w:p>
    <w:p>
      <w:pPr>
        <w:spacing w:line="480" w:lineRule="exact"/>
        <w:jc w:val="center"/>
        <w:rPr>
          <w:rFonts w:ascii="宋体" w:hAnsi="宋体" w:cs="宋体"/>
          <w:b/>
          <w:color w:val="auto"/>
          <w:sz w:val="28"/>
          <w:szCs w:val="28"/>
          <w:highlight w:val="none"/>
        </w:rPr>
      </w:pPr>
      <w:bookmarkStart w:id="27" w:name="_Toc449368376"/>
      <w:bookmarkStart w:id="28" w:name="_Toc450138941"/>
      <w:r>
        <w:rPr>
          <w:rFonts w:hint="eastAsia" w:ascii="宋体" w:hAnsi="宋体" w:cs="宋体"/>
          <w:b/>
          <w:color w:val="auto"/>
          <w:sz w:val="28"/>
          <w:szCs w:val="28"/>
          <w:highlight w:val="none"/>
        </w:rPr>
        <w:t>（十四）评标办法和评审标准</w:t>
      </w:r>
    </w:p>
    <w:bookmarkEnd w:id="27"/>
    <w:bookmarkEnd w:id="28"/>
    <w:p>
      <w:pPr>
        <w:spacing w:line="480" w:lineRule="exact"/>
        <w:rPr>
          <w:rFonts w:ascii="宋体" w:hAnsi="宋体" w:cs="宋体"/>
          <w:b/>
          <w:color w:val="auto"/>
          <w:szCs w:val="21"/>
          <w:highlight w:val="none"/>
        </w:rPr>
      </w:pPr>
      <w:r>
        <w:rPr>
          <w:rFonts w:hint="eastAsia" w:ascii="宋体" w:hAnsi="宋体" w:cs="宋体"/>
          <w:color w:val="auto"/>
          <w:szCs w:val="21"/>
          <w:highlight w:val="none"/>
        </w:rPr>
        <w:t>1</w:t>
      </w:r>
      <w:r>
        <w:rPr>
          <w:rFonts w:hint="eastAsia" w:ascii="宋体" w:hAnsi="宋体" w:cs="宋体"/>
          <w:b/>
          <w:color w:val="auto"/>
          <w:szCs w:val="21"/>
          <w:highlight w:val="none"/>
        </w:rPr>
        <w:t>、评标原则</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（1）公平、公正、科学择优；</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（2）质量符合国家各项规定规范标准，工期满足竞争性磋商文件要求，项目实施方案合理可行；</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（3）报价为合理低价，且不低于成本价；本项目不保证最低投标报价人中标；</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（4）禁止不正当竞争。</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1.评分内容及步骤</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1）评审内容：</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a.符合性及有效性审查内容</w:t>
      </w:r>
    </w:p>
    <w:tbl>
      <w:tblPr>
        <w:tblStyle w:val="22"/>
        <w:tblW w:w="9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2226"/>
        <w:gridCol w:w="6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649" w:type="dxa"/>
            <w:vAlign w:val="center"/>
          </w:tcPr>
          <w:p>
            <w:pPr>
              <w:tabs>
                <w:tab w:val="left" w:pos="0"/>
              </w:tabs>
              <w:adjustRightInd w:val="0"/>
              <w:snapToGrid w:val="0"/>
              <w:spacing w:line="480" w:lineRule="exact"/>
              <w:jc w:val="center"/>
              <w:rPr>
                <w:rFonts w:ascii="宋体" w:hAnsi="宋体" w:cs="宋体"/>
                <w:b/>
                <w:color w:val="auto"/>
                <w:kern w:val="2"/>
                <w:szCs w:val="21"/>
                <w:highlight w:val="none"/>
              </w:rPr>
            </w:pPr>
            <w:r>
              <w:rPr>
                <w:rFonts w:hint="eastAsia" w:ascii="宋体" w:hAnsi="宋体" w:cs="宋体"/>
                <w:b/>
                <w:color w:val="auto"/>
                <w:kern w:val="2"/>
                <w:szCs w:val="21"/>
                <w:highlight w:val="none"/>
              </w:rPr>
              <w:t>序号</w:t>
            </w:r>
          </w:p>
        </w:tc>
        <w:tc>
          <w:tcPr>
            <w:tcW w:w="2226" w:type="dxa"/>
            <w:vAlign w:val="center"/>
          </w:tcPr>
          <w:p>
            <w:pPr>
              <w:tabs>
                <w:tab w:val="left" w:pos="0"/>
              </w:tabs>
              <w:adjustRightInd w:val="0"/>
              <w:snapToGrid w:val="0"/>
              <w:spacing w:line="480" w:lineRule="exact"/>
              <w:jc w:val="center"/>
              <w:rPr>
                <w:rFonts w:ascii="宋体" w:hAnsi="宋体" w:cs="宋体"/>
                <w:b/>
                <w:color w:val="auto"/>
                <w:kern w:val="2"/>
                <w:szCs w:val="21"/>
                <w:highlight w:val="none"/>
              </w:rPr>
            </w:pPr>
            <w:r>
              <w:rPr>
                <w:rFonts w:hint="eastAsia" w:ascii="宋体" w:hAnsi="宋体" w:cs="宋体"/>
                <w:b/>
                <w:color w:val="auto"/>
                <w:kern w:val="2"/>
                <w:szCs w:val="21"/>
                <w:highlight w:val="none"/>
              </w:rPr>
              <w:t>评审因素</w:t>
            </w:r>
          </w:p>
        </w:tc>
        <w:tc>
          <w:tcPr>
            <w:tcW w:w="6784" w:type="dxa"/>
            <w:vAlign w:val="center"/>
          </w:tcPr>
          <w:p>
            <w:pPr>
              <w:tabs>
                <w:tab w:val="left" w:pos="0"/>
              </w:tabs>
              <w:adjustRightInd w:val="0"/>
              <w:snapToGrid w:val="0"/>
              <w:spacing w:line="480" w:lineRule="exact"/>
              <w:jc w:val="center"/>
              <w:rPr>
                <w:rFonts w:ascii="宋体" w:hAnsi="宋体" w:cs="宋体"/>
                <w:b/>
                <w:color w:val="auto"/>
                <w:kern w:val="2"/>
                <w:szCs w:val="21"/>
                <w:highlight w:val="none"/>
              </w:rPr>
            </w:pPr>
            <w:r>
              <w:rPr>
                <w:rFonts w:hint="eastAsia" w:ascii="宋体" w:hAnsi="宋体" w:cs="宋体"/>
                <w:b/>
                <w:color w:val="auto"/>
                <w:kern w:val="2"/>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49"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1</w:t>
            </w:r>
          </w:p>
        </w:tc>
        <w:tc>
          <w:tcPr>
            <w:tcW w:w="2226"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竞争性磋商响应文件的签署盖章</w:t>
            </w:r>
          </w:p>
        </w:tc>
        <w:tc>
          <w:tcPr>
            <w:tcW w:w="6784" w:type="dxa"/>
            <w:vAlign w:val="center"/>
          </w:tcPr>
          <w:p>
            <w:pPr>
              <w:tabs>
                <w:tab w:val="left" w:pos="0"/>
              </w:tabs>
              <w:adjustRightInd w:val="0"/>
              <w:snapToGrid w:val="0"/>
              <w:spacing w:line="480" w:lineRule="exact"/>
              <w:rPr>
                <w:rFonts w:ascii="宋体" w:hAnsi="宋体" w:cs="宋体"/>
                <w:color w:val="auto"/>
                <w:kern w:val="2"/>
                <w:szCs w:val="21"/>
                <w:highlight w:val="none"/>
              </w:rPr>
            </w:pPr>
            <w:r>
              <w:rPr>
                <w:rFonts w:hint="eastAsia" w:ascii="宋体" w:hAnsi="宋体" w:cs="宋体"/>
                <w:color w:val="auto"/>
                <w:kern w:val="2"/>
                <w:szCs w:val="21"/>
                <w:highlight w:val="none"/>
              </w:rPr>
              <w:t>竞争性磋商响应文件按照竞争性磋商文件规定盖章签字齐全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49"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2</w:t>
            </w:r>
          </w:p>
        </w:tc>
        <w:tc>
          <w:tcPr>
            <w:tcW w:w="2226"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竞争性磋商响应文件格式</w:t>
            </w:r>
          </w:p>
        </w:tc>
        <w:tc>
          <w:tcPr>
            <w:tcW w:w="6784" w:type="dxa"/>
            <w:vAlign w:val="center"/>
          </w:tcPr>
          <w:p>
            <w:pPr>
              <w:tabs>
                <w:tab w:val="left" w:pos="0"/>
              </w:tabs>
              <w:adjustRightInd w:val="0"/>
              <w:snapToGrid w:val="0"/>
              <w:spacing w:line="480" w:lineRule="exact"/>
              <w:rPr>
                <w:rFonts w:ascii="宋体" w:hAnsi="宋体" w:cs="宋体"/>
                <w:color w:val="auto"/>
                <w:kern w:val="2"/>
                <w:szCs w:val="21"/>
                <w:highlight w:val="none"/>
              </w:rPr>
            </w:pPr>
            <w:r>
              <w:rPr>
                <w:rFonts w:hint="eastAsia" w:ascii="宋体" w:hAnsi="宋体" w:cs="宋体"/>
                <w:color w:val="auto"/>
                <w:kern w:val="2"/>
                <w:szCs w:val="21"/>
                <w:highlight w:val="none"/>
              </w:rPr>
              <w:t>应符合“第六部分 竞争性磋商响应文件格式”要求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49"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3</w:t>
            </w:r>
          </w:p>
        </w:tc>
        <w:tc>
          <w:tcPr>
            <w:tcW w:w="2226"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竞争性磋商响应文件份数</w:t>
            </w:r>
          </w:p>
        </w:tc>
        <w:tc>
          <w:tcPr>
            <w:tcW w:w="6784" w:type="dxa"/>
            <w:vAlign w:val="center"/>
          </w:tcPr>
          <w:p>
            <w:pPr>
              <w:tabs>
                <w:tab w:val="left" w:pos="0"/>
              </w:tabs>
              <w:adjustRightInd w:val="0"/>
              <w:snapToGrid w:val="0"/>
              <w:spacing w:line="480" w:lineRule="exact"/>
              <w:rPr>
                <w:rFonts w:ascii="宋体" w:hAnsi="宋体" w:cs="宋体"/>
                <w:color w:val="auto"/>
                <w:kern w:val="2"/>
                <w:szCs w:val="21"/>
                <w:highlight w:val="none"/>
              </w:rPr>
            </w:pPr>
            <w:r>
              <w:rPr>
                <w:rFonts w:hint="eastAsia" w:ascii="宋体" w:hAnsi="宋体" w:cs="宋体"/>
                <w:color w:val="auto"/>
                <w:kern w:val="2"/>
                <w:szCs w:val="21"/>
                <w:highlight w:val="none"/>
              </w:rPr>
              <w:t>应符合“供应商须知前附表”11条规定的正本、副本、电子文件数量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4</w:t>
            </w:r>
          </w:p>
        </w:tc>
        <w:tc>
          <w:tcPr>
            <w:tcW w:w="2226"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磋商有效期</w:t>
            </w:r>
          </w:p>
        </w:tc>
        <w:tc>
          <w:tcPr>
            <w:tcW w:w="6784" w:type="dxa"/>
            <w:vAlign w:val="center"/>
          </w:tcPr>
          <w:p>
            <w:pPr>
              <w:tabs>
                <w:tab w:val="left" w:pos="0"/>
              </w:tabs>
              <w:adjustRightInd w:val="0"/>
              <w:snapToGrid w:val="0"/>
              <w:spacing w:line="480" w:lineRule="exact"/>
              <w:rPr>
                <w:rFonts w:ascii="宋体" w:hAnsi="宋体" w:cs="宋体"/>
                <w:color w:val="auto"/>
                <w:kern w:val="2"/>
                <w:szCs w:val="21"/>
                <w:highlight w:val="none"/>
              </w:rPr>
            </w:pPr>
            <w:r>
              <w:rPr>
                <w:rFonts w:hint="eastAsia" w:ascii="宋体" w:hAnsi="宋体" w:cs="宋体"/>
                <w:color w:val="auto"/>
                <w:kern w:val="2"/>
                <w:szCs w:val="21"/>
                <w:highlight w:val="none"/>
              </w:rPr>
              <w:t>应满足竞争性磋商文件中规定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49"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5</w:t>
            </w:r>
          </w:p>
        </w:tc>
        <w:tc>
          <w:tcPr>
            <w:tcW w:w="2226"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工期</w:t>
            </w:r>
          </w:p>
        </w:tc>
        <w:tc>
          <w:tcPr>
            <w:tcW w:w="6784" w:type="dxa"/>
            <w:vAlign w:val="center"/>
          </w:tcPr>
          <w:p>
            <w:pPr>
              <w:tabs>
                <w:tab w:val="left" w:pos="0"/>
              </w:tabs>
              <w:adjustRightInd w:val="0"/>
              <w:snapToGrid w:val="0"/>
              <w:spacing w:line="480" w:lineRule="exact"/>
              <w:rPr>
                <w:rFonts w:ascii="宋体" w:hAnsi="宋体" w:cs="宋体"/>
                <w:color w:val="auto"/>
                <w:kern w:val="2"/>
                <w:szCs w:val="21"/>
                <w:highlight w:val="none"/>
              </w:rPr>
            </w:pPr>
            <w:r>
              <w:rPr>
                <w:rFonts w:hint="eastAsia" w:ascii="宋体" w:hAnsi="宋体" w:cs="宋体"/>
                <w:color w:val="auto"/>
                <w:kern w:val="2"/>
                <w:szCs w:val="21"/>
                <w:highlight w:val="none"/>
              </w:rPr>
              <w:t>应满足竞争性磋商文件中规定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49"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6</w:t>
            </w:r>
          </w:p>
        </w:tc>
        <w:tc>
          <w:tcPr>
            <w:tcW w:w="2226"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报价</w:t>
            </w:r>
          </w:p>
        </w:tc>
        <w:tc>
          <w:tcPr>
            <w:tcW w:w="6784" w:type="dxa"/>
            <w:vAlign w:val="center"/>
          </w:tcPr>
          <w:p>
            <w:pPr>
              <w:tabs>
                <w:tab w:val="left" w:pos="0"/>
              </w:tabs>
              <w:adjustRightInd w:val="0"/>
              <w:snapToGrid w:val="0"/>
              <w:spacing w:line="480" w:lineRule="exact"/>
              <w:rPr>
                <w:rFonts w:ascii="宋体" w:hAnsi="宋体" w:cs="宋体"/>
                <w:color w:val="auto"/>
                <w:kern w:val="2"/>
                <w:szCs w:val="21"/>
                <w:highlight w:val="none"/>
              </w:rPr>
            </w:pPr>
            <w:r>
              <w:rPr>
                <w:rFonts w:hint="eastAsia" w:ascii="宋体" w:hAnsi="宋体" w:cs="宋体"/>
                <w:color w:val="auto"/>
                <w:kern w:val="2"/>
                <w:szCs w:val="21"/>
                <w:highlight w:val="none"/>
              </w:rPr>
              <w:t>投标报价满足最高限价要求的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49"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7</w:t>
            </w:r>
          </w:p>
        </w:tc>
        <w:tc>
          <w:tcPr>
            <w:tcW w:w="2226" w:type="dxa"/>
            <w:vAlign w:val="center"/>
          </w:tcPr>
          <w:p>
            <w:pPr>
              <w:tabs>
                <w:tab w:val="left" w:pos="0"/>
              </w:tabs>
              <w:adjustRightInd w:val="0"/>
              <w:snapToGrid w:val="0"/>
              <w:spacing w:line="480" w:lineRule="exact"/>
              <w:jc w:val="center"/>
              <w:rPr>
                <w:rFonts w:ascii="宋体" w:hAnsi="宋体" w:cs="宋体"/>
                <w:color w:val="auto"/>
                <w:kern w:val="2"/>
                <w:szCs w:val="21"/>
                <w:highlight w:val="none"/>
              </w:rPr>
            </w:pPr>
            <w:r>
              <w:rPr>
                <w:rFonts w:hint="eastAsia" w:ascii="宋体" w:hAnsi="宋体" w:cs="宋体"/>
                <w:color w:val="auto"/>
                <w:kern w:val="2"/>
                <w:szCs w:val="21"/>
                <w:highlight w:val="none"/>
              </w:rPr>
              <w:t>付款方式</w:t>
            </w:r>
          </w:p>
        </w:tc>
        <w:tc>
          <w:tcPr>
            <w:tcW w:w="6784" w:type="dxa"/>
            <w:vAlign w:val="center"/>
          </w:tcPr>
          <w:p>
            <w:pPr>
              <w:tabs>
                <w:tab w:val="left" w:pos="0"/>
              </w:tabs>
              <w:adjustRightInd w:val="0"/>
              <w:snapToGrid w:val="0"/>
              <w:spacing w:line="480" w:lineRule="exact"/>
              <w:rPr>
                <w:rFonts w:ascii="宋体" w:hAnsi="宋体" w:cs="宋体"/>
                <w:color w:val="auto"/>
                <w:kern w:val="2"/>
                <w:szCs w:val="21"/>
                <w:highlight w:val="none"/>
              </w:rPr>
            </w:pPr>
            <w:r>
              <w:rPr>
                <w:rFonts w:hint="eastAsia" w:ascii="宋体" w:hAnsi="宋体" w:cs="宋体"/>
                <w:color w:val="auto"/>
                <w:kern w:val="2"/>
                <w:szCs w:val="21"/>
                <w:highlight w:val="none"/>
              </w:rPr>
              <w:t>应满足竞争性磋商文件中规定</w:t>
            </w:r>
          </w:p>
        </w:tc>
      </w:tr>
    </w:tbl>
    <w:p>
      <w:pPr>
        <w:pStyle w:val="40"/>
        <w:spacing w:line="480" w:lineRule="exact"/>
        <w:ind w:firstLine="420" w:firstLineChars="200"/>
        <w:rPr>
          <w:rFonts w:ascii="宋体" w:hAnsi="宋体" w:cs="宋体"/>
          <w:szCs w:val="21"/>
          <w:highlight w:val="none"/>
        </w:rPr>
      </w:pPr>
      <w:r>
        <w:rPr>
          <w:rFonts w:hint="eastAsia" w:ascii="宋体" w:hAnsi="宋体" w:cs="宋体"/>
          <w:szCs w:val="21"/>
          <w:highlight w:val="none"/>
        </w:rPr>
        <w:t xml:space="preserve">注：符合性及有效性审查时，当任何一项不符合竞争性磋商文件要求时，其竞争性磋商响应文件即为不合格，不得参加详细评审，不能作为成交候选单位。 </w:t>
      </w:r>
    </w:p>
    <w:p>
      <w:pPr>
        <w:pStyle w:val="40"/>
        <w:spacing w:line="480" w:lineRule="exact"/>
        <w:ind w:firstLine="420" w:firstLineChars="200"/>
        <w:rPr>
          <w:rFonts w:ascii="宋体" w:hAnsi="宋体" w:cs="宋体"/>
          <w:szCs w:val="21"/>
          <w:highlight w:val="none"/>
        </w:rPr>
      </w:pPr>
      <w:r>
        <w:rPr>
          <w:rFonts w:hint="eastAsia" w:ascii="宋体" w:hAnsi="宋体" w:cs="宋体"/>
          <w:szCs w:val="21"/>
          <w:highlight w:val="none"/>
        </w:rPr>
        <w:t>评标委员会认为供应商的报价明显低于其他通过符合性审查供应商的报价，有可能影响服务质量或者不能诚信履约的，应当要求其在评标现场合理的时间内提供书面说明，必要时提交相关证明材料；供应商不能证明其报价合理性的，评标委员会应当将其作为无效投标处理。</w:t>
      </w:r>
    </w:p>
    <w:p>
      <w:pPr>
        <w:spacing w:line="48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b.竞争性磋商响应文件详细评审</w:t>
      </w:r>
      <w:r>
        <w:rPr>
          <w:rFonts w:hint="eastAsia" w:ascii="宋体" w:hAnsi="宋体" w:cs="宋体"/>
          <w:color w:val="auto"/>
          <w:kern w:val="2"/>
          <w:szCs w:val="21"/>
          <w:highlight w:val="none"/>
        </w:rPr>
        <w:t>：评审内容为</w:t>
      </w:r>
      <w:r>
        <w:rPr>
          <w:rFonts w:hint="eastAsia" w:ascii="宋体" w:hAnsi="宋体" w:cs="宋体"/>
          <w:color w:val="auto"/>
          <w:szCs w:val="21"/>
          <w:highlight w:val="none"/>
        </w:rPr>
        <w:t>价格、施工组织设计、近3年完成同类项目业绩、项目经理、合理化建议等。</w:t>
      </w:r>
    </w:p>
    <w:p>
      <w:pPr>
        <w:spacing w:line="480" w:lineRule="exact"/>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2）评审步骤：</w:t>
      </w:r>
    </w:p>
    <w:p>
      <w:pPr>
        <w:spacing w:line="48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 xml:space="preserve">A.符合性及有效性审查； </w:t>
      </w:r>
    </w:p>
    <w:p>
      <w:pPr>
        <w:spacing w:line="48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B.竞争性磋商响应文件评审；</w:t>
      </w:r>
    </w:p>
    <w:p>
      <w:pPr>
        <w:spacing w:line="480" w:lineRule="exact"/>
        <w:ind w:firstLine="525" w:firstLineChars="250"/>
        <w:rPr>
          <w:rFonts w:ascii="宋体" w:hAnsi="宋体" w:cs="宋体"/>
          <w:color w:val="auto"/>
          <w:kern w:val="2"/>
          <w:szCs w:val="21"/>
          <w:highlight w:val="none"/>
        </w:rPr>
      </w:pPr>
      <w:r>
        <w:rPr>
          <w:rFonts w:hint="eastAsia" w:ascii="宋体" w:hAnsi="宋体" w:cs="宋体"/>
          <w:color w:val="auto"/>
          <w:szCs w:val="21"/>
          <w:highlight w:val="none"/>
        </w:rPr>
        <w:t>C.确定入评单位。</w:t>
      </w:r>
    </w:p>
    <w:p>
      <w:pPr>
        <w:spacing w:line="48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（1）入评单位条件</w:t>
      </w:r>
    </w:p>
    <w:p>
      <w:pPr>
        <w:spacing w:line="48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①符合性及有效性审查合格单位；</w:t>
      </w:r>
    </w:p>
    <w:p>
      <w:pPr>
        <w:spacing w:line="48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②工期满足竞争性磋商文件要求；</w:t>
      </w:r>
    </w:p>
    <w:p>
      <w:pPr>
        <w:spacing w:line="48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③供应商服务质量符合采购质量要求；</w:t>
      </w:r>
    </w:p>
    <w:p>
      <w:pPr>
        <w:spacing w:line="48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④供应商完全响应竞争性磋商文件和合同条款的全部内容。</w:t>
      </w:r>
    </w:p>
    <w:p>
      <w:pPr>
        <w:spacing w:line="48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（2）入评单位确定</w:t>
      </w:r>
    </w:p>
    <w:p>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全部符合入评单位条件的供应商才能成为入评单位；未成为入评单位的供应商,不得进入评审。</w:t>
      </w:r>
    </w:p>
    <w:p>
      <w:pPr>
        <w:spacing w:line="48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⑤评审竞争性磋商响应文件。</w:t>
      </w:r>
    </w:p>
    <w:p>
      <w:pPr>
        <w:spacing w:line="48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⑥确定成交候选人。</w:t>
      </w:r>
    </w:p>
    <w:p>
      <w:pPr>
        <w:spacing w:line="480" w:lineRule="exact"/>
        <w:ind w:firstLine="613" w:firstLineChars="292"/>
        <w:rPr>
          <w:rFonts w:ascii="宋体" w:hAnsi="宋体" w:cs="宋体"/>
          <w:color w:val="auto"/>
          <w:szCs w:val="21"/>
          <w:highlight w:val="none"/>
        </w:rPr>
      </w:pPr>
      <w:r>
        <w:rPr>
          <w:rFonts w:hint="eastAsia" w:ascii="宋体" w:hAnsi="宋体" w:cs="宋体"/>
          <w:color w:val="auto"/>
          <w:szCs w:val="21"/>
          <w:highlight w:val="none"/>
        </w:rPr>
        <w:t>3）竞争性磋商响应文件评审项评分标准：</w:t>
      </w:r>
    </w:p>
    <w:p>
      <w:pPr>
        <w:spacing w:line="48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初步评审办法                                 合格制</w:t>
      </w:r>
    </w:p>
    <w:p>
      <w:pPr>
        <w:spacing w:line="48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详细评审办法                                 100分</w:t>
      </w:r>
    </w:p>
    <w:p>
      <w:pPr>
        <w:spacing w:line="48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其中：</w:t>
      </w:r>
    </w:p>
    <w:p>
      <w:pPr>
        <w:spacing w:line="48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磋商总报价                                    30分</w:t>
      </w:r>
    </w:p>
    <w:p>
      <w:pPr>
        <w:spacing w:line="48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施工组织设计                                  55分</w:t>
      </w:r>
      <w:r>
        <w:rPr>
          <w:rFonts w:hint="eastAsia" w:ascii="宋体" w:hAnsi="宋体" w:cs="宋体"/>
          <w:color w:val="auto"/>
          <w:szCs w:val="21"/>
          <w:highlight w:val="none"/>
        </w:rPr>
        <w:tab/>
      </w:r>
    </w:p>
    <w:p>
      <w:pPr>
        <w:spacing w:line="48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近3年完成同类项目业绩                         9分</w:t>
      </w:r>
    </w:p>
    <w:p>
      <w:pPr>
        <w:spacing w:line="48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项目经理                                       2分</w:t>
      </w:r>
    </w:p>
    <w:p>
      <w:pPr>
        <w:spacing w:line="480" w:lineRule="exact"/>
        <w:ind w:firstLine="630" w:firstLineChars="300"/>
        <w:rPr>
          <w:rFonts w:ascii="宋体" w:hAnsi="宋体" w:cs="宋体"/>
          <w:color w:val="auto"/>
          <w:szCs w:val="21"/>
          <w:highlight w:val="none"/>
          <w:lang w:val="zh-CN"/>
        </w:rPr>
      </w:pPr>
      <w:r>
        <w:rPr>
          <w:rFonts w:hint="eastAsia" w:ascii="宋体" w:hAnsi="宋体" w:cs="宋体"/>
          <w:color w:val="auto"/>
          <w:szCs w:val="21"/>
          <w:highlight w:val="none"/>
        </w:rPr>
        <w:t>合理化建议                                     4分</w:t>
      </w:r>
    </w:p>
    <w:p>
      <w:pPr>
        <w:widowControl w:val="0"/>
        <w:spacing w:line="480" w:lineRule="exact"/>
        <w:textAlignment w:val="auto"/>
        <w:rPr>
          <w:rFonts w:ascii="宋体" w:hAnsi="宋体" w:cs="宋体"/>
          <w:b/>
          <w:color w:val="auto"/>
          <w:szCs w:val="21"/>
          <w:highlight w:val="none"/>
        </w:rPr>
      </w:pPr>
      <w:r>
        <w:rPr>
          <w:rFonts w:hint="eastAsia" w:ascii="宋体" w:hAnsi="宋体" w:cs="宋体"/>
          <w:b/>
          <w:color w:val="auto"/>
          <w:szCs w:val="21"/>
          <w:highlight w:val="none"/>
        </w:rPr>
        <w:t>2.评标办法</w:t>
      </w:r>
    </w:p>
    <w:p>
      <w:pPr>
        <w:widowControl w:val="0"/>
        <w:spacing w:line="480" w:lineRule="exact"/>
        <w:textAlignment w:val="auto"/>
        <w:rPr>
          <w:rFonts w:ascii="宋体" w:hAnsi="宋体" w:cs="宋体"/>
          <w:b/>
          <w:color w:val="auto"/>
          <w:szCs w:val="21"/>
          <w:highlight w:val="none"/>
        </w:rPr>
      </w:pPr>
      <w:r>
        <w:rPr>
          <w:rFonts w:hint="eastAsia" w:ascii="宋体" w:hAnsi="宋体" w:cs="宋体"/>
          <w:b/>
          <w:color w:val="auto"/>
          <w:szCs w:val="21"/>
          <w:highlight w:val="none"/>
        </w:rPr>
        <w:t>2.1、详细评审办法（综合评分法）</w:t>
      </w:r>
    </w:p>
    <w:tbl>
      <w:tblPr>
        <w:tblStyle w:val="22"/>
        <w:tblW w:w="942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81"/>
        <w:gridCol w:w="1300"/>
        <w:gridCol w:w="891"/>
        <w:gridCol w:w="655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7" w:hRule="atLeast"/>
          <w:tblHeader/>
          <w:jc w:val="center"/>
        </w:trPr>
        <w:tc>
          <w:tcPr>
            <w:tcW w:w="681"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序号</w:t>
            </w:r>
          </w:p>
        </w:tc>
        <w:tc>
          <w:tcPr>
            <w:tcW w:w="1300"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评分项目</w:t>
            </w:r>
          </w:p>
        </w:tc>
        <w:tc>
          <w:tcPr>
            <w:tcW w:w="891"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满分值</w:t>
            </w:r>
          </w:p>
        </w:tc>
        <w:tc>
          <w:tcPr>
            <w:tcW w:w="6554"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评分内容及标准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253" w:hRule="atLeast"/>
          <w:tblHeader/>
          <w:jc w:val="center"/>
        </w:trPr>
        <w:tc>
          <w:tcPr>
            <w:tcW w:w="681"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1</w:t>
            </w:r>
          </w:p>
        </w:tc>
        <w:tc>
          <w:tcPr>
            <w:tcW w:w="1300"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价格</w:t>
            </w:r>
          </w:p>
        </w:tc>
        <w:tc>
          <w:tcPr>
            <w:tcW w:w="891"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 xml:space="preserve">30分 </w:t>
            </w:r>
          </w:p>
        </w:tc>
        <w:tc>
          <w:tcPr>
            <w:tcW w:w="6554" w:type="dxa"/>
            <w:vAlign w:val="center"/>
          </w:tcPr>
          <w:p>
            <w:pPr>
              <w:rPr>
                <w:rFonts w:ascii="宋体" w:hAnsi="宋体" w:cs="宋体"/>
                <w:color w:val="auto"/>
                <w:kern w:val="2"/>
                <w:szCs w:val="22"/>
                <w:highlight w:val="none"/>
              </w:rPr>
            </w:pPr>
            <w:r>
              <w:rPr>
                <w:rFonts w:hint="eastAsia" w:ascii="宋体" w:hAnsi="宋体" w:cs="宋体"/>
                <w:color w:val="auto"/>
                <w:kern w:val="2"/>
                <w:szCs w:val="22"/>
                <w:highlight w:val="none"/>
              </w:rPr>
              <w:t>价格分采用低价优先法计算，即满足磋商文件要求的最低报价为基准价,价格分为满分30分，其他供应商的价格得分：报价得分=(基准价/报价)×30，报价大于最高限价的按无效报价处理。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77" w:hRule="atLeast"/>
          <w:tblHeader/>
          <w:jc w:val="center"/>
        </w:trPr>
        <w:tc>
          <w:tcPr>
            <w:tcW w:w="681" w:type="dxa"/>
            <w:vMerge w:val="restart"/>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2</w:t>
            </w:r>
          </w:p>
          <w:p>
            <w:pPr>
              <w:jc w:val="center"/>
              <w:rPr>
                <w:rFonts w:ascii="宋体" w:hAnsi="宋体" w:cs="宋体"/>
                <w:color w:val="auto"/>
                <w:kern w:val="2"/>
                <w:szCs w:val="22"/>
                <w:highlight w:val="none"/>
              </w:rPr>
            </w:pPr>
          </w:p>
        </w:tc>
        <w:tc>
          <w:tcPr>
            <w:tcW w:w="1300" w:type="dxa"/>
            <w:vMerge w:val="restart"/>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施工组织设计</w:t>
            </w:r>
          </w:p>
          <w:p>
            <w:pPr>
              <w:jc w:val="center"/>
              <w:rPr>
                <w:rFonts w:ascii="宋体" w:hAnsi="宋体" w:cs="宋体"/>
                <w:color w:val="auto"/>
                <w:kern w:val="2"/>
                <w:szCs w:val="22"/>
                <w:highlight w:val="none"/>
              </w:rPr>
            </w:pPr>
          </w:p>
        </w:tc>
        <w:tc>
          <w:tcPr>
            <w:tcW w:w="891" w:type="dxa"/>
            <w:vMerge w:val="restart"/>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55分</w:t>
            </w:r>
          </w:p>
          <w:p>
            <w:pPr>
              <w:jc w:val="center"/>
              <w:rPr>
                <w:rFonts w:ascii="宋体" w:hAnsi="宋体" w:cs="宋体"/>
                <w:color w:val="auto"/>
                <w:kern w:val="2"/>
                <w:szCs w:val="22"/>
                <w:highlight w:val="none"/>
              </w:rPr>
            </w:pPr>
          </w:p>
        </w:tc>
        <w:tc>
          <w:tcPr>
            <w:tcW w:w="6554" w:type="dxa"/>
            <w:vAlign w:val="center"/>
          </w:tcPr>
          <w:p>
            <w:pPr>
              <w:rPr>
                <w:rFonts w:ascii="宋体" w:hAnsi="宋体" w:cs="宋体"/>
                <w:color w:val="auto"/>
                <w:kern w:val="2"/>
                <w:szCs w:val="22"/>
                <w:highlight w:val="none"/>
              </w:rPr>
            </w:pPr>
            <w:r>
              <w:rPr>
                <w:rFonts w:hint="eastAsia" w:ascii="宋体" w:hAnsi="宋体" w:cs="宋体"/>
                <w:color w:val="auto"/>
                <w:kern w:val="2"/>
                <w:szCs w:val="22"/>
                <w:highlight w:val="none"/>
              </w:rPr>
              <w:t>1) 确保工程质量的技术组织措施；(0-5分)；</w:t>
            </w:r>
          </w:p>
          <w:p>
            <w:pPr>
              <w:rPr>
                <w:rFonts w:ascii="宋体" w:hAnsi="宋体" w:cs="宋体"/>
                <w:color w:val="auto"/>
                <w:kern w:val="2"/>
                <w:szCs w:val="22"/>
                <w:highlight w:val="none"/>
              </w:rPr>
            </w:pPr>
            <w:r>
              <w:rPr>
                <w:rFonts w:hint="eastAsia" w:ascii="宋体" w:hAnsi="宋体" w:cs="宋体"/>
                <w:color w:val="auto"/>
                <w:kern w:val="2"/>
                <w:szCs w:val="22"/>
                <w:highlight w:val="none"/>
              </w:rPr>
              <w:t>措施内容科学可行，有针对性且内容丰富，得3-5分；</w:t>
            </w:r>
          </w:p>
          <w:p>
            <w:pPr>
              <w:rPr>
                <w:rFonts w:ascii="宋体" w:hAnsi="宋体" w:cs="宋体"/>
                <w:color w:val="auto"/>
                <w:kern w:val="2"/>
                <w:szCs w:val="22"/>
                <w:highlight w:val="none"/>
              </w:rPr>
            </w:pPr>
            <w:r>
              <w:rPr>
                <w:rFonts w:hint="eastAsia" w:ascii="宋体" w:hAnsi="宋体" w:cs="宋体"/>
                <w:color w:val="auto"/>
                <w:kern w:val="2"/>
                <w:szCs w:val="22"/>
                <w:highlight w:val="none"/>
              </w:rPr>
              <w:t>措施内容较为科学可行，有针对性，得0-3分；</w:t>
            </w:r>
          </w:p>
          <w:p>
            <w:pPr>
              <w:rPr>
                <w:rFonts w:ascii="宋体" w:hAnsi="宋体" w:cs="宋体"/>
                <w:color w:val="auto"/>
                <w:kern w:val="2"/>
                <w:szCs w:val="22"/>
                <w:highlight w:val="none"/>
              </w:rPr>
            </w:pPr>
            <w:r>
              <w:rPr>
                <w:rFonts w:hint="eastAsia" w:ascii="宋体" w:hAnsi="宋体" w:cs="宋体"/>
                <w:color w:val="auto"/>
                <w:kern w:val="2"/>
                <w:szCs w:val="22"/>
                <w:highlight w:val="none"/>
              </w:rPr>
              <w:t>不提供不得分。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6" w:hRule="atLeast"/>
          <w:tblHeader/>
          <w:jc w:val="center"/>
        </w:trPr>
        <w:tc>
          <w:tcPr>
            <w:tcW w:w="681" w:type="dxa"/>
            <w:vMerge w:val="continue"/>
            <w:vAlign w:val="center"/>
          </w:tcPr>
          <w:p>
            <w:pPr>
              <w:jc w:val="center"/>
              <w:rPr>
                <w:rFonts w:ascii="宋体" w:hAnsi="宋体" w:cs="宋体"/>
                <w:color w:val="auto"/>
                <w:kern w:val="2"/>
                <w:szCs w:val="22"/>
                <w:highlight w:val="none"/>
              </w:rPr>
            </w:pPr>
          </w:p>
        </w:tc>
        <w:tc>
          <w:tcPr>
            <w:tcW w:w="1300" w:type="dxa"/>
            <w:vMerge w:val="continue"/>
            <w:vAlign w:val="center"/>
          </w:tcPr>
          <w:p>
            <w:pPr>
              <w:jc w:val="center"/>
              <w:rPr>
                <w:rFonts w:ascii="宋体" w:hAnsi="宋体" w:cs="宋体"/>
                <w:color w:val="auto"/>
                <w:kern w:val="2"/>
                <w:szCs w:val="22"/>
                <w:highlight w:val="none"/>
              </w:rPr>
            </w:pPr>
          </w:p>
        </w:tc>
        <w:tc>
          <w:tcPr>
            <w:tcW w:w="891" w:type="dxa"/>
            <w:vMerge w:val="continue"/>
            <w:vAlign w:val="center"/>
          </w:tcPr>
          <w:p>
            <w:pPr>
              <w:jc w:val="center"/>
              <w:rPr>
                <w:rFonts w:ascii="宋体" w:hAnsi="宋体" w:cs="宋体"/>
                <w:color w:val="auto"/>
                <w:kern w:val="2"/>
                <w:szCs w:val="22"/>
                <w:highlight w:val="none"/>
              </w:rPr>
            </w:pPr>
          </w:p>
        </w:tc>
        <w:tc>
          <w:tcPr>
            <w:tcW w:w="6554" w:type="dxa"/>
            <w:vAlign w:val="center"/>
          </w:tcPr>
          <w:p>
            <w:pPr>
              <w:rPr>
                <w:rFonts w:ascii="宋体" w:hAnsi="宋体" w:cs="宋体"/>
                <w:color w:val="auto"/>
                <w:kern w:val="2"/>
                <w:szCs w:val="22"/>
                <w:highlight w:val="none"/>
              </w:rPr>
            </w:pPr>
            <w:r>
              <w:rPr>
                <w:rFonts w:hint="eastAsia" w:ascii="宋体" w:hAnsi="宋体" w:cs="宋体"/>
                <w:color w:val="auto"/>
                <w:kern w:val="2"/>
                <w:szCs w:val="22"/>
                <w:highlight w:val="none"/>
              </w:rPr>
              <w:t>2) 确保安全施工保证措施；(0-5分)</w:t>
            </w:r>
          </w:p>
          <w:p>
            <w:pPr>
              <w:rPr>
                <w:rFonts w:ascii="宋体" w:hAnsi="宋体" w:cs="宋体"/>
                <w:color w:val="auto"/>
                <w:kern w:val="2"/>
                <w:szCs w:val="22"/>
                <w:highlight w:val="none"/>
              </w:rPr>
            </w:pPr>
            <w:r>
              <w:rPr>
                <w:rFonts w:hint="eastAsia" w:ascii="宋体" w:hAnsi="宋体" w:cs="宋体"/>
                <w:color w:val="auto"/>
                <w:kern w:val="2"/>
                <w:szCs w:val="22"/>
                <w:highlight w:val="none"/>
              </w:rPr>
              <w:t>措施内容全面、具体，得3-5分；</w:t>
            </w:r>
          </w:p>
          <w:p>
            <w:pPr>
              <w:rPr>
                <w:rFonts w:ascii="宋体" w:hAnsi="宋体" w:cs="宋体"/>
                <w:color w:val="auto"/>
                <w:kern w:val="2"/>
                <w:szCs w:val="22"/>
                <w:highlight w:val="none"/>
              </w:rPr>
            </w:pPr>
            <w:r>
              <w:rPr>
                <w:rFonts w:hint="eastAsia" w:ascii="宋体" w:hAnsi="宋体" w:cs="宋体"/>
                <w:color w:val="auto"/>
                <w:kern w:val="2"/>
                <w:szCs w:val="22"/>
                <w:highlight w:val="none"/>
              </w:rPr>
              <w:t>措施内容不够全面，得0-3分；</w:t>
            </w:r>
          </w:p>
          <w:p>
            <w:pPr>
              <w:rPr>
                <w:rFonts w:ascii="宋体" w:hAnsi="宋体" w:cs="宋体"/>
                <w:color w:val="auto"/>
                <w:kern w:val="2"/>
                <w:szCs w:val="22"/>
                <w:highlight w:val="none"/>
              </w:rPr>
            </w:pPr>
            <w:r>
              <w:rPr>
                <w:rFonts w:hint="eastAsia" w:ascii="宋体" w:hAnsi="宋体" w:cs="宋体"/>
                <w:color w:val="auto"/>
                <w:kern w:val="2"/>
                <w:szCs w:val="22"/>
                <w:highlight w:val="none"/>
              </w:rPr>
              <w:t>不提供不得分。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6" w:hRule="atLeast"/>
          <w:tblHeader/>
          <w:jc w:val="center"/>
        </w:trPr>
        <w:tc>
          <w:tcPr>
            <w:tcW w:w="681" w:type="dxa"/>
            <w:vMerge w:val="continue"/>
            <w:vAlign w:val="center"/>
          </w:tcPr>
          <w:p>
            <w:pPr>
              <w:jc w:val="center"/>
              <w:rPr>
                <w:rFonts w:ascii="宋体" w:hAnsi="宋体" w:cs="宋体"/>
                <w:color w:val="auto"/>
                <w:kern w:val="2"/>
                <w:szCs w:val="22"/>
                <w:highlight w:val="none"/>
              </w:rPr>
            </w:pPr>
          </w:p>
        </w:tc>
        <w:tc>
          <w:tcPr>
            <w:tcW w:w="1300" w:type="dxa"/>
            <w:vMerge w:val="continue"/>
            <w:vAlign w:val="center"/>
          </w:tcPr>
          <w:p>
            <w:pPr>
              <w:jc w:val="center"/>
              <w:rPr>
                <w:rFonts w:ascii="宋体" w:hAnsi="宋体" w:cs="宋体"/>
                <w:color w:val="auto"/>
                <w:kern w:val="2"/>
                <w:szCs w:val="22"/>
                <w:highlight w:val="none"/>
              </w:rPr>
            </w:pPr>
          </w:p>
        </w:tc>
        <w:tc>
          <w:tcPr>
            <w:tcW w:w="891" w:type="dxa"/>
            <w:vMerge w:val="continue"/>
            <w:vAlign w:val="center"/>
          </w:tcPr>
          <w:p>
            <w:pPr>
              <w:jc w:val="center"/>
              <w:rPr>
                <w:rFonts w:ascii="宋体" w:hAnsi="宋体" w:cs="宋体"/>
                <w:color w:val="auto"/>
                <w:kern w:val="2"/>
                <w:szCs w:val="22"/>
                <w:highlight w:val="none"/>
              </w:rPr>
            </w:pPr>
          </w:p>
        </w:tc>
        <w:tc>
          <w:tcPr>
            <w:tcW w:w="6554" w:type="dxa"/>
            <w:vAlign w:val="center"/>
          </w:tcPr>
          <w:p>
            <w:pPr>
              <w:rPr>
                <w:rFonts w:ascii="宋体" w:hAnsi="宋体" w:cs="宋体"/>
                <w:color w:val="auto"/>
                <w:kern w:val="2"/>
                <w:szCs w:val="22"/>
                <w:highlight w:val="none"/>
              </w:rPr>
            </w:pPr>
            <w:r>
              <w:rPr>
                <w:rFonts w:hint="eastAsia" w:ascii="宋体" w:hAnsi="宋体" w:cs="宋体"/>
                <w:color w:val="auto"/>
                <w:kern w:val="2"/>
                <w:szCs w:val="22"/>
                <w:highlight w:val="none"/>
              </w:rPr>
              <w:t>3) 确保文明施工及环境保护的技术组织措施；(0-5分)</w:t>
            </w:r>
          </w:p>
          <w:p>
            <w:pPr>
              <w:rPr>
                <w:rFonts w:ascii="宋体" w:hAnsi="宋体" w:cs="宋体"/>
                <w:color w:val="auto"/>
                <w:kern w:val="2"/>
                <w:szCs w:val="22"/>
                <w:highlight w:val="none"/>
              </w:rPr>
            </w:pPr>
            <w:r>
              <w:rPr>
                <w:rFonts w:hint="eastAsia" w:ascii="宋体" w:hAnsi="宋体" w:cs="宋体"/>
                <w:color w:val="auto"/>
                <w:kern w:val="2"/>
                <w:szCs w:val="22"/>
                <w:highlight w:val="none"/>
              </w:rPr>
              <w:t>措施内容科学具体，有针对性，得3-5分；</w:t>
            </w:r>
          </w:p>
          <w:p>
            <w:pPr>
              <w:rPr>
                <w:rFonts w:ascii="宋体" w:hAnsi="宋体" w:cs="宋体"/>
                <w:color w:val="auto"/>
                <w:kern w:val="2"/>
                <w:szCs w:val="22"/>
                <w:highlight w:val="none"/>
              </w:rPr>
            </w:pPr>
            <w:r>
              <w:rPr>
                <w:rFonts w:hint="eastAsia" w:ascii="宋体" w:hAnsi="宋体" w:cs="宋体"/>
                <w:color w:val="auto"/>
                <w:kern w:val="2"/>
                <w:szCs w:val="22"/>
                <w:highlight w:val="none"/>
              </w:rPr>
              <w:t>措施内容不够具体，得0-3分。</w:t>
            </w:r>
          </w:p>
          <w:p>
            <w:pPr>
              <w:rPr>
                <w:rFonts w:ascii="宋体" w:hAnsi="宋体" w:cs="宋体"/>
                <w:color w:val="auto"/>
                <w:kern w:val="2"/>
                <w:szCs w:val="22"/>
                <w:highlight w:val="none"/>
              </w:rPr>
            </w:pPr>
            <w:r>
              <w:rPr>
                <w:rFonts w:hint="eastAsia" w:ascii="宋体" w:hAnsi="宋体" w:cs="宋体"/>
                <w:color w:val="auto"/>
                <w:kern w:val="2"/>
                <w:szCs w:val="22"/>
                <w:highlight w:val="none"/>
              </w:rPr>
              <w:t>不提供不得分。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6" w:hRule="atLeast"/>
          <w:tblHeader/>
          <w:jc w:val="center"/>
        </w:trPr>
        <w:tc>
          <w:tcPr>
            <w:tcW w:w="681" w:type="dxa"/>
            <w:vMerge w:val="continue"/>
            <w:vAlign w:val="center"/>
          </w:tcPr>
          <w:p>
            <w:pPr>
              <w:jc w:val="center"/>
              <w:rPr>
                <w:rFonts w:ascii="宋体" w:hAnsi="宋体" w:cs="宋体"/>
                <w:color w:val="auto"/>
                <w:kern w:val="2"/>
                <w:szCs w:val="22"/>
                <w:highlight w:val="none"/>
              </w:rPr>
            </w:pPr>
          </w:p>
        </w:tc>
        <w:tc>
          <w:tcPr>
            <w:tcW w:w="1300" w:type="dxa"/>
            <w:vMerge w:val="continue"/>
            <w:vAlign w:val="center"/>
          </w:tcPr>
          <w:p>
            <w:pPr>
              <w:jc w:val="center"/>
              <w:rPr>
                <w:rFonts w:ascii="宋体" w:hAnsi="宋体" w:cs="宋体"/>
                <w:color w:val="auto"/>
                <w:kern w:val="2"/>
                <w:szCs w:val="22"/>
                <w:highlight w:val="none"/>
              </w:rPr>
            </w:pPr>
          </w:p>
        </w:tc>
        <w:tc>
          <w:tcPr>
            <w:tcW w:w="891" w:type="dxa"/>
            <w:vMerge w:val="continue"/>
            <w:vAlign w:val="center"/>
          </w:tcPr>
          <w:p>
            <w:pPr>
              <w:jc w:val="center"/>
              <w:rPr>
                <w:rFonts w:ascii="宋体" w:hAnsi="宋体" w:cs="宋体"/>
                <w:color w:val="auto"/>
                <w:kern w:val="2"/>
                <w:szCs w:val="22"/>
                <w:highlight w:val="none"/>
              </w:rPr>
            </w:pPr>
          </w:p>
        </w:tc>
        <w:tc>
          <w:tcPr>
            <w:tcW w:w="6554" w:type="dxa"/>
            <w:vAlign w:val="center"/>
          </w:tcPr>
          <w:p>
            <w:pPr>
              <w:rPr>
                <w:rFonts w:ascii="宋体" w:hAnsi="宋体" w:cs="宋体"/>
                <w:color w:val="auto"/>
                <w:kern w:val="2"/>
                <w:szCs w:val="22"/>
                <w:highlight w:val="none"/>
              </w:rPr>
            </w:pPr>
            <w:r>
              <w:rPr>
                <w:rFonts w:hint="eastAsia" w:ascii="宋体" w:hAnsi="宋体" w:cs="宋体"/>
                <w:color w:val="auto"/>
                <w:kern w:val="2"/>
                <w:szCs w:val="22"/>
                <w:highlight w:val="none"/>
              </w:rPr>
              <w:t>4) 确保工期的技术组织措施；(0-5分)</w:t>
            </w:r>
          </w:p>
          <w:p>
            <w:pPr>
              <w:rPr>
                <w:rFonts w:ascii="宋体" w:hAnsi="宋体" w:cs="宋体"/>
                <w:color w:val="auto"/>
                <w:kern w:val="2"/>
                <w:szCs w:val="22"/>
                <w:highlight w:val="none"/>
              </w:rPr>
            </w:pPr>
            <w:r>
              <w:rPr>
                <w:rFonts w:hint="eastAsia" w:ascii="宋体" w:hAnsi="宋体" w:cs="宋体"/>
                <w:color w:val="auto"/>
                <w:kern w:val="2"/>
                <w:szCs w:val="22"/>
                <w:highlight w:val="none"/>
              </w:rPr>
              <w:t>措施内容科学具体，有针对性，得3-5分；</w:t>
            </w:r>
          </w:p>
          <w:p>
            <w:pPr>
              <w:rPr>
                <w:rFonts w:ascii="宋体" w:hAnsi="宋体" w:cs="宋体"/>
                <w:color w:val="auto"/>
                <w:kern w:val="2"/>
                <w:szCs w:val="22"/>
                <w:highlight w:val="none"/>
              </w:rPr>
            </w:pPr>
            <w:r>
              <w:rPr>
                <w:rFonts w:hint="eastAsia" w:ascii="宋体" w:hAnsi="宋体" w:cs="宋体"/>
                <w:color w:val="auto"/>
                <w:kern w:val="2"/>
                <w:szCs w:val="22"/>
                <w:highlight w:val="none"/>
              </w:rPr>
              <w:t>措施内容不够具体，得0-3分。</w:t>
            </w:r>
          </w:p>
          <w:p>
            <w:pPr>
              <w:rPr>
                <w:rFonts w:ascii="宋体" w:hAnsi="宋体" w:cs="宋体"/>
                <w:color w:val="auto"/>
                <w:kern w:val="2"/>
                <w:szCs w:val="22"/>
                <w:highlight w:val="none"/>
              </w:rPr>
            </w:pPr>
            <w:r>
              <w:rPr>
                <w:rFonts w:hint="eastAsia" w:ascii="宋体" w:hAnsi="宋体" w:cs="宋体"/>
                <w:color w:val="auto"/>
                <w:kern w:val="2"/>
                <w:szCs w:val="22"/>
                <w:highlight w:val="none"/>
              </w:rPr>
              <w:t>不提供不得分。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6" w:hRule="atLeast"/>
          <w:tblHeader/>
          <w:jc w:val="center"/>
        </w:trPr>
        <w:tc>
          <w:tcPr>
            <w:tcW w:w="681" w:type="dxa"/>
            <w:vMerge w:val="continue"/>
            <w:vAlign w:val="center"/>
          </w:tcPr>
          <w:p>
            <w:pPr>
              <w:jc w:val="center"/>
              <w:rPr>
                <w:rFonts w:ascii="宋体" w:hAnsi="宋体" w:cs="宋体"/>
                <w:color w:val="auto"/>
                <w:kern w:val="2"/>
                <w:szCs w:val="22"/>
                <w:highlight w:val="none"/>
              </w:rPr>
            </w:pPr>
          </w:p>
        </w:tc>
        <w:tc>
          <w:tcPr>
            <w:tcW w:w="1300" w:type="dxa"/>
            <w:vMerge w:val="continue"/>
            <w:vAlign w:val="center"/>
          </w:tcPr>
          <w:p>
            <w:pPr>
              <w:jc w:val="center"/>
              <w:rPr>
                <w:rFonts w:ascii="宋体" w:hAnsi="宋体" w:cs="宋体"/>
                <w:color w:val="auto"/>
                <w:kern w:val="2"/>
                <w:szCs w:val="22"/>
                <w:highlight w:val="none"/>
              </w:rPr>
            </w:pPr>
          </w:p>
        </w:tc>
        <w:tc>
          <w:tcPr>
            <w:tcW w:w="891" w:type="dxa"/>
            <w:vMerge w:val="continue"/>
            <w:vAlign w:val="center"/>
          </w:tcPr>
          <w:p>
            <w:pPr>
              <w:jc w:val="center"/>
              <w:rPr>
                <w:rFonts w:ascii="宋体" w:hAnsi="宋体" w:cs="宋体"/>
                <w:color w:val="auto"/>
                <w:kern w:val="2"/>
                <w:szCs w:val="22"/>
                <w:highlight w:val="none"/>
              </w:rPr>
            </w:pPr>
          </w:p>
        </w:tc>
        <w:tc>
          <w:tcPr>
            <w:tcW w:w="6554" w:type="dxa"/>
            <w:vAlign w:val="center"/>
          </w:tcPr>
          <w:p>
            <w:pPr>
              <w:rPr>
                <w:rFonts w:ascii="宋体" w:hAnsi="宋体" w:cs="宋体"/>
                <w:color w:val="auto"/>
                <w:kern w:val="2"/>
                <w:szCs w:val="22"/>
                <w:highlight w:val="none"/>
              </w:rPr>
            </w:pPr>
            <w:r>
              <w:rPr>
                <w:rFonts w:hint="eastAsia" w:ascii="宋体" w:hAnsi="宋体" w:cs="宋体"/>
                <w:color w:val="auto"/>
                <w:kern w:val="2"/>
                <w:szCs w:val="22"/>
                <w:highlight w:val="none"/>
              </w:rPr>
              <w:t>5) 施工方案及项目部组成人员；(0-8分)</w:t>
            </w:r>
          </w:p>
          <w:p>
            <w:pPr>
              <w:spacing w:line="300" w:lineRule="exact"/>
              <w:jc w:val="left"/>
              <w:rPr>
                <w:rFonts w:ascii="宋体" w:hAnsi="宋体" w:cs="宋体"/>
                <w:color w:val="auto"/>
                <w:kern w:val="2"/>
                <w:szCs w:val="22"/>
                <w:highlight w:val="none"/>
              </w:rPr>
            </w:pPr>
            <w:r>
              <w:rPr>
                <w:rFonts w:hint="eastAsia" w:ascii="宋体" w:hAnsi="宋体" w:cs="宋体"/>
                <w:color w:val="auto"/>
                <w:kern w:val="2"/>
                <w:szCs w:val="22"/>
                <w:highlight w:val="none"/>
              </w:rPr>
              <w:t>方案、人员配置全面、具体、可行、科学合理，得5-8分；</w:t>
            </w:r>
          </w:p>
          <w:p>
            <w:pPr>
              <w:spacing w:line="300" w:lineRule="exact"/>
              <w:jc w:val="left"/>
              <w:rPr>
                <w:rFonts w:ascii="宋体" w:hAnsi="宋体" w:cs="宋体"/>
                <w:color w:val="auto"/>
                <w:kern w:val="2"/>
                <w:szCs w:val="22"/>
                <w:highlight w:val="none"/>
              </w:rPr>
            </w:pPr>
            <w:r>
              <w:rPr>
                <w:rFonts w:hint="eastAsia" w:ascii="宋体" w:hAnsi="宋体" w:cs="宋体"/>
                <w:color w:val="auto"/>
                <w:kern w:val="2"/>
                <w:szCs w:val="22"/>
                <w:highlight w:val="none"/>
              </w:rPr>
              <w:t>方案、人员配置较为合理、规范，得3-5分；</w:t>
            </w:r>
          </w:p>
          <w:p>
            <w:pPr>
              <w:spacing w:line="300" w:lineRule="exact"/>
              <w:jc w:val="left"/>
              <w:rPr>
                <w:rFonts w:ascii="宋体" w:hAnsi="宋体" w:cs="宋体"/>
                <w:color w:val="auto"/>
                <w:kern w:val="2"/>
                <w:szCs w:val="22"/>
                <w:highlight w:val="none"/>
              </w:rPr>
            </w:pPr>
            <w:r>
              <w:rPr>
                <w:rFonts w:hint="eastAsia" w:ascii="宋体" w:hAnsi="宋体" w:cs="宋体"/>
                <w:color w:val="auto"/>
                <w:kern w:val="2"/>
                <w:szCs w:val="22"/>
                <w:highlight w:val="none"/>
              </w:rPr>
              <w:t>方案、人员配置简单，得0-3分。</w:t>
            </w:r>
          </w:p>
          <w:p>
            <w:pPr>
              <w:spacing w:line="300" w:lineRule="exact"/>
              <w:jc w:val="left"/>
              <w:rPr>
                <w:color w:val="auto"/>
                <w:kern w:val="2"/>
                <w:szCs w:val="22"/>
                <w:highlight w:val="none"/>
              </w:rPr>
            </w:pPr>
            <w:r>
              <w:rPr>
                <w:rFonts w:hint="eastAsia" w:ascii="宋体" w:hAnsi="宋体" w:cs="宋体"/>
                <w:color w:val="auto"/>
                <w:kern w:val="2"/>
                <w:szCs w:val="22"/>
                <w:highlight w:val="none"/>
              </w:rPr>
              <w:t>不提供不得分。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6" w:hRule="atLeast"/>
          <w:tblHeader/>
          <w:jc w:val="center"/>
        </w:trPr>
        <w:tc>
          <w:tcPr>
            <w:tcW w:w="681" w:type="dxa"/>
            <w:vMerge w:val="continue"/>
            <w:vAlign w:val="center"/>
          </w:tcPr>
          <w:p>
            <w:pPr>
              <w:jc w:val="center"/>
              <w:rPr>
                <w:rFonts w:ascii="宋体" w:hAnsi="宋体" w:cs="宋体"/>
                <w:color w:val="auto"/>
                <w:kern w:val="2"/>
                <w:szCs w:val="22"/>
                <w:highlight w:val="none"/>
              </w:rPr>
            </w:pPr>
          </w:p>
        </w:tc>
        <w:tc>
          <w:tcPr>
            <w:tcW w:w="1300" w:type="dxa"/>
            <w:vMerge w:val="continue"/>
            <w:vAlign w:val="center"/>
          </w:tcPr>
          <w:p>
            <w:pPr>
              <w:jc w:val="center"/>
              <w:rPr>
                <w:rFonts w:ascii="宋体" w:hAnsi="宋体" w:cs="宋体"/>
                <w:color w:val="auto"/>
                <w:kern w:val="2"/>
                <w:szCs w:val="22"/>
                <w:highlight w:val="none"/>
              </w:rPr>
            </w:pPr>
          </w:p>
        </w:tc>
        <w:tc>
          <w:tcPr>
            <w:tcW w:w="891" w:type="dxa"/>
            <w:vMerge w:val="continue"/>
            <w:vAlign w:val="center"/>
          </w:tcPr>
          <w:p>
            <w:pPr>
              <w:jc w:val="center"/>
              <w:rPr>
                <w:rFonts w:ascii="宋体" w:hAnsi="宋体" w:cs="宋体"/>
                <w:color w:val="auto"/>
                <w:kern w:val="2"/>
                <w:szCs w:val="22"/>
                <w:highlight w:val="none"/>
              </w:rPr>
            </w:pPr>
          </w:p>
        </w:tc>
        <w:tc>
          <w:tcPr>
            <w:tcW w:w="6554" w:type="dxa"/>
            <w:vAlign w:val="center"/>
          </w:tcPr>
          <w:p>
            <w:pPr>
              <w:rPr>
                <w:rFonts w:ascii="宋体" w:hAnsi="宋体" w:cs="宋体"/>
                <w:color w:val="auto"/>
                <w:kern w:val="2"/>
                <w:szCs w:val="22"/>
                <w:highlight w:val="none"/>
              </w:rPr>
            </w:pPr>
            <w:r>
              <w:rPr>
                <w:rFonts w:hint="eastAsia" w:ascii="宋体" w:hAnsi="宋体" w:cs="宋体"/>
                <w:color w:val="auto"/>
                <w:kern w:val="2"/>
                <w:szCs w:val="22"/>
                <w:highlight w:val="none"/>
              </w:rPr>
              <w:t>6) 施工机械配备及材料投入计划；(0-7分)</w:t>
            </w:r>
          </w:p>
          <w:p>
            <w:pPr>
              <w:spacing w:line="300" w:lineRule="exact"/>
              <w:jc w:val="left"/>
              <w:rPr>
                <w:rFonts w:ascii="宋体" w:hAnsi="宋体" w:cs="宋体"/>
                <w:color w:val="auto"/>
                <w:kern w:val="2"/>
                <w:szCs w:val="22"/>
                <w:highlight w:val="none"/>
              </w:rPr>
            </w:pPr>
            <w:r>
              <w:rPr>
                <w:rFonts w:hint="eastAsia" w:ascii="宋体" w:hAnsi="宋体" w:cs="宋体"/>
                <w:color w:val="auto"/>
                <w:kern w:val="2"/>
                <w:szCs w:val="22"/>
                <w:highlight w:val="none"/>
              </w:rPr>
              <w:t>施工机械配备及材料全面、具体、可行、科学合理，得5-7分；</w:t>
            </w:r>
          </w:p>
          <w:p>
            <w:pPr>
              <w:spacing w:line="300" w:lineRule="exact"/>
              <w:jc w:val="left"/>
              <w:rPr>
                <w:rFonts w:ascii="宋体" w:hAnsi="宋体" w:cs="宋体"/>
                <w:color w:val="auto"/>
                <w:kern w:val="2"/>
                <w:szCs w:val="22"/>
                <w:highlight w:val="none"/>
              </w:rPr>
            </w:pPr>
            <w:r>
              <w:rPr>
                <w:rFonts w:hint="eastAsia" w:ascii="宋体" w:hAnsi="宋体" w:cs="宋体"/>
                <w:color w:val="auto"/>
                <w:kern w:val="2"/>
                <w:szCs w:val="22"/>
                <w:highlight w:val="none"/>
              </w:rPr>
              <w:t>施工机械配备及材料较为合理、规范，得2-5分；</w:t>
            </w:r>
          </w:p>
          <w:p>
            <w:pPr>
              <w:rPr>
                <w:rFonts w:ascii="宋体" w:hAnsi="宋体" w:cs="宋体"/>
                <w:color w:val="auto"/>
                <w:kern w:val="2"/>
                <w:szCs w:val="22"/>
                <w:highlight w:val="none"/>
              </w:rPr>
            </w:pPr>
            <w:r>
              <w:rPr>
                <w:rFonts w:hint="eastAsia" w:ascii="宋体" w:hAnsi="宋体" w:cs="宋体"/>
                <w:color w:val="auto"/>
                <w:kern w:val="2"/>
                <w:szCs w:val="22"/>
                <w:highlight w:val="none"/>
              </w:rPr>
              <w:t>施工机械配备及材料简单，得0-2分。</w:t>
            </w:r>
          </w:p>
          <w:p>
            <w:pPr>
              <w:rPr>
                <w:rFonts w:ascii="宋体" w:hAnsi="宋体" w:cs="宋体"/>
                <w:color w:val="auto"/>
                <w:kern w:val="2"/>
                <w:szCs w:val="22"/>
                <w:highlight w:val="none"/>
              </w:rPr>
            </w:pPr>
            <w:r>
              <w:rPr>
                <w:rFonts w:hint="eastAsia" w:ascii="宋体" w:hAnsi="宋体" w:cs="宋体"/>
                <w:color w:val="auto"/>
                <w:kern w:val="2"/>
                <w:szCs w:val="22"/>
                <w:highlight w:val="none"/>
              </w:rPr>
              <w:t>不提供不得分。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6" w:hRule="atLeast"/>
          <w:tblHeader/>
          <w:jc w:val="center"/>
        </w:trPr>
        <w:tc>
          <w:tcPr>
            <w:tcW w:w="681" w:type="dxa"/>
            <w:vMerge w:val="continue"/>
            <w:vAlign w:val="center"/>
          </w:tcPr>
          <w:p>
            <w:pPr>
              <w:jc w:val="center"/>
              <w:rPr>
                <w:rFonts w:ascii="宋体" w:hAnsi="宋体" w:cs="宋体"/>
                <w:color w:val="auto"/>
                <w:kern w:val="2"/>
                <w:szCs w:val="22"/>
                <w:highlight w:val="none"/>
              </w:rPr>
            </w:pPr>
          </w:p>
        </w:tc>
        <w:tc>
          <w:tcPr>
            <w:tcW w:w="1300" w:type="dxa"/>
            <w:vMerge w:val="continue"/>
            <w:vAlign w:val="center"/>
          </w:tcPr>
          <w:p>
            <w:pPr>
              <w:jc w:val="center"/>
              <w:rPr>
                <w:rFonts w:ascii="宋体" w:hAnsi="宋体" w:cs="宋体"/>
                <w:color w:val="auto"/>
                <w:kern w:val="2"/>
                <w:szCs w:val="22"/>
                <w:highlight w:val="none"/>
              </w:rPr>
            </w:pPr>
          </w:p>
        </w:tc>
        <w:tc>
          <w:tcPr>
            <w:tcW w:w="891" w:type="dxa"/>
            <w:vMerge w:val="continue"/>
            <w:vAlign w:val="center"/>
          </w:tcPr>
          <w:p>
            <w:pPr>
              <w:jc w:val="center"/>
              <w:rPr>
                <w:rFonts w:ascii="宋体" w:hAnsi="宋体" w:cs="宋体"/>
                <w:color w:val="auto"/>
                <w:kern w:val="2"/>
                <w:szCs w:val="22"/>
                <w:highlight w:val="none"/>
              </w:rPr>
            </w:pPr>
          </w:p>
        </w:tc>
        <w:tc>
          <w:tcPr>
            <w:tcW w:w="6554" w:type="dxa"/>
            <w:vAlign w:val="center"/>
          </w:tcPr>
          <w:p>
            <w:pPr>
              <w:spacing w:line="300" w:lineRule="exact"/>
              <w:jc w:val="left"/>
              <w:rPr>
                <w:rFonts w:ascii="宋体" w:hAnsi="宋体" w:cs="宋体"/>
                <w:color w:val="auto"/>
                <w:kern w:val="2"/>
                <w:szCs w:val="22"/>
                <w:highlight w:val="none"/>
              </w:rPr>
            </w:pPr>
            <w:r>
              <w:rPr>
                <w:rFonts w:hint="eastAsia" w:ascii="宋体" w:hAnsi="宋体" w:cs="宋体"/>
                <w:color w:val="auto"/>
                <w:kern w:val="2"/>
                <w:szCs w:val="22"/>
                <w:highlight w:val="none"/>
              </w:rPr>
              <w:t>7) 施工进度表或施工网络图；(0-5分)</w:t>
            </w:r>
          </w:p>
          <w:p>
            <w:pPr>
              <w:spacing w:line="300" w:lineRule="exact"/>
              <w:jc w:val="left"/>
              <w:rPr>
                <w:rFonts w:ascii="宋体" w:hAnsi="宋体" w:cs="宋体"/>
                <w:color w:val="auto"/>
                <w:kern w:val="2"/>
                <w:szCs w:val="22"/>
                <w:highlight w:val="none"/>
              </w:rPr>
            </w:pPr>
            <w:r>
              <w:rPr>
                <w:rFonts w:hint="eastAsia" w:ascii="宋体" w:hAnsi="宋体" w:cs="宋体"/>
                <w:color w:val="auto"/>
                <w:kern w:val="2"/>
                <w:szCs w:val="22"/>
                <w:highlight w:val="none"/>
              </w:rPr>
              <w:t>进度计划全面、科学、合理，得3-5分；</w:t>
            </w:r>
          </w:p>
          <w:p>
            <w:pPr>
              <w:spacing w:line="300" w:lineRule="exact"/>
              <w:jc w:val="left"/>
              <w:rPr>
                <w:rFonts w:ascii="宋体" w:hAnsi="宋体" w:cs="宋体"/>
                <w:color w:val="auto"/>
                <w:kern w:val="2"/>
                <w:szCs w:val="22"/>
                <w:highlight w:val="none"/>
              </w:rPr>
            </w:pPr>
            <w:r>
              <w:rPr>
                <w:rFonts w:hint="eastAsia" w:ascii="宋体" w:hAnsi="宋体" w:cs="宋体"/>
                <w:color w:val="auto"/>
                <w:kern w:val="2"/>
                <w:szCs w:val="22"/>
                <w:highlight w:val="none"/>
              </w:rPr>
              <w:t>进度计划不够全面、科学、合理，得0-3分；</w:t>
            </w:r>
          </w:p>
          <w:p>
            <w:pPr>
              <w:spacing w:line="300" w:lineRule="exact"/>
              <w:jc w:val="left"/>
              <w:rPr>
                <w:rFonts w:ascii="宋体" w:hAnsi="宋体" w:cs="宋体"/>
                <w:color w:val="auto"/>
                <w:kern w:val="2"/>
                <w:szCs w:val="22"/>
                <w:highlight w:val="none"/>
              </w:rPr>
            </w:pPr>
            <w:r>
              <w:rPr>
                <w:rFonts w:hint="eastAsia" w:ascii="宋体" w:hAnsi="宋体" w:cs="宋体"/>
                <w:color w:val="auto"/>
                <w:kern w:val="2"/>
                <w:szCs w:val="22"/>
                <w:highlight w:val="none"/>
              </w:rPr>
              <w:t>不提供不得分。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6" w:hRule="atLeast"/>
          <w:tblHeader/>
          <w:jc w:val="center"/>
        </w:trPr>
        <w:tc>
          <w:tcPr>
            <w:tcW w:w="681" w:type="dxa"/>
            <w:vMerge w:val="continue"/>
            <w:vAlign w:val="center"/>
          </w:tcPr>
          <w:p>
            <w:pPr>
              <w:jc w:val="center"/>
              <w:rPr>
                <w:rFonts w:ascii="宋体" w:hAnsi="宋体" w:cs="宋体"/>
                <w:color w:val="auto"/>
                <w:kern w:val="2"/>
                <w:szCs w:val="22"/>
                <w:highlight w:val="none"/>
              </w:rPr>
            </w:pPr>
          </w:p>
        </w:tc>
        <w:tc>
          <w:tcPr>
            <w:tcW w:w="1300" w:type="dxa"/>
            <w:vMerge w:val="continue"/>
            <w:vAlign w:val="center"/>
          </w:tcPr>
          <w:p>
            <w:pPr>
              <w:jc w:val="center"/>
              <w:rPr>
                <w:rFonts w:ascii="宋体" w:hAnsi="宋体" w:cs="宋体"/>
                <w:color w:val="auto"/>
                <w:kern w:val="2"/>
                <w:szCs w:val="22"/>
                <w:highlight w:val="none"/>
              </w:rPr>
            </w:pPr>
          </w:p>
        </w:tc>
        <w:tc>
          <w:tcPr>
            <w:tcW w:w="891" w:type="dxa"/>
            <w:vMerge w:val="continue"/>
            <w:vAlign w:val="center"/>
          </w:tcPr>
          <w:p>
            <w:pPr>
              <w:jc w:val="center"/>
              <w:rPr>
                <w:rFonts w:ascii="宋体" w:hAnsi="宋体" w:cs="宋体"/>
                <w:color w:val="auto"/>
                <w:kern w:val="2"/>
                <w:szCs w:val="22"/>
                <w:highlight w:val="none"/>
              </w:rPr>
            </w:pPr>
          </w:p>
        </w:tc>
        <w:tc>
          <w:tcPr>
            <w:tcW w:w="6554" w:type="dxa"/>
            <w:vAlign w:val="center"/>
          </w:tcPr>
          <w:p>
            <w:pPr>
              <w:rPr>
                <w:rFonts w:ascii="宋体" w:hAnsi="宋体" w:cs="宋体"/>
                <w:color w:val="auto"/>
                <w:kern w:val="2"/>
                <w:szCs w:val="22"/>
                <w:highlight w:val="none"/>
              </w:rPr>
            </w:pPr>
            <w:r>
              <w:rPr>
                <w:rFonts w:hint="eastAsia" w:ascii="宋体" w:hAnsi="宋体" w:cs="宋体"/>
                <w:color w:val="auto"/>
                <w:kern w:val="2"/>
                <w:szCs w:val="22"/>
                <w:highlight w:val="none"/>
              </w:rPr>
              <w:t>8) 劳动力安排计划及劳务分包情况表；(0-5分)</w:t>
            </w:r>
          </w:p>
          <w:p>
            <w:pPr>
              <w:spacing w:line="300" w:lineRule="exact"/>
              <w:jc w:val="left"/>
              <w:rPr>
                <w:rFonts w:ascii="宋体" w:hAnsi="宋体" w:cs="宋体"/>
                <w:color w:val="auto"/>
                <w:kern w:val="2"/>
                <w:szCs w:val="22"/>
                <w:highlight w:val="none"/>
              </w:rPr>
            </w:pPr>
            <w:r>
              <w:rPr>
                <w:rFonts w:hint="eastAsia" w:ascii="宋体" w:hAnsi="宋体" w:cs="宋体"/>
                <w:color w:val="auto"/>
                <w:kern w:val="2"/>
                <w:szCs w:val="22"/>
                <w:highlight w:val="none"/>
              </w:rPr>
              <w:t>劳动力安排计划等全面、科学、合理，得3-5分；</w:t>
            </w:r>
          </w:p>
          <w:p>
            <w:pPr>
              <w:spacing w:line="300" w:lineRule="exact"/>
              <w:jc w:val="left"/>
              <w:rPr>
                <w:rFonts w:ascii="宋体" w:hAnsi="宋体" w:cs="宋体"/>
                <w:color w:val="auto"/>
                <w:kern w:val="2"/>
                <w:szCs w:val="22"/>
                <w:highlight w:val="none"/>
              </w:rPr>
            </w:pPr>
            <w:r>
              <w:rPr>
                <w:rFonts w:hint="eastAsia" w:ascii="宋体" w:hAnsi="宋体" w:cs="宋体"/>
                <w:color w:val="auto"/>
                <w:kern w:val="2"/>
                <w:szCs w:val="22"/>
                <w:highlight w:val="none"/>
              </w:rPr>
              <w:t>劳动力安排计划等不够全面、科学、合理，得0-3分；</w:t>
            </w:r>
          </w:p>
          <w:p>
            <w:pPr>
              <w:rPr>
                <w:rFonts w:ascii="宋体" w:hAnsi="宋体" w:cs="宋体"/>
                <w:color w:val="auto"/>
                <w:kern w:val="2"/>
                <w:szCs w:val="22"/>
                <w:highlight w:val="none"/>
              </w:rPr>
            </w:pPr>
            <w:r>
              <w:rPr>
                <w:rFonts w:hint="eastAsia" w:ascii="宋体" w:hAnsi="宋体" w:cs="宋体"/>
                <w:color w:val="auto"/>
                <w:kern w:val="2"/>
                <w:szCs w:val="22"/>
                <w:highlight w:val="none"/>
              </w:rPr>
              <w:t>不提供不得分。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6" w:hRule="atLeast"/>
          <w:tblHeader/>
          <w:jc w:val="center"/>
        </w:trPr>
        <w:tc>
          <w:tcPr>
            <w:tcW w:w="681" w:type="dxa"/>
            <w:vMerge w:val="continue"/>
            <w:vAlign w:val="center"/>
          </w:tcPr>
          <w:p>
            <w:pPr>
              <w:jc w:val="center"/>
              <w:rPr>
                <w:rFonts w:ascii="宋体" w:hAnsi="宋体" w:cs="宋体"/>
                <w:color w:val="auto"/>
                <w:kern w:val="2"/>
                <w:szCs w:val="22"/>
                <w:highlight w:val="none"/>
              </w:rPr>
            </w:pPr>
          </w:p>
        </w:tc>
        <w:tc>
          <w:tcPr>
            <w:tcW w:w="1300" w:type="dxa"/>
            <w:vMerge w:val="continue"/>
            <w:vAlign w:val="center"/>
          </w:tcPr>
          <w:p>
            <w:pPr>
              <w:jc w:val="center"/>
              <w:rPr>
                <w:rFonts w:ascii="宋体" w:hAnsi="宋体" w:cs="宋体"/>
                <w:color w:val="auto"/>
                <w:kern w:val="2"/>
                <w:szCs w:val="22"/>
                <w:highlight w:val="none"/>
              </w:rPr>
            </w:pPr>
          </w:p>
        </w:tc>
        <w:tc>
          <w:tcPr>
            <w:tcW w:w="891" w:type="dxa"/>
            <w:vMerge w:val="continue"/>
            <w:vAlign w:val="center"/>
          </w:tcPr>
          <w:p>
            <w:pPr>
              <w:jc w:val="center"/>
              <w:rPr>
                <w:rFonts w:ascii="宋体" w:hAnsi="宋体" w:cs="宋体"/>
                <w:color w:val="auto"/>
                <w:kern w:val="2"/>
                <w:szCs w:val="22"/>
                <w:highlight w:val="none"/>
              </w:rPr>
            </w:pPr>
          </w:p>
        </w:tc>
        <w:tc>
          <w:tcPr>
            <w:tcW w:w="6554" w:type="dxa"/>
            <w:vAlign w:val="center"/>
          </w:tcPr>
          <w:p>
            <w:pPr>
              <w:numPr>
                <w:ilvl w:val="0"/>
                <w:numId w:val="3"/>
              </w:numPr>
              <w:rPr>
                <w:rFonts w:ascii="宋体" w:hAnsi="宋体" w:cs="宋体"/>
                <w:color w:val="auto"/>
                <w:kern w:val="2"/>
                <w:szCs w:val="22"/>
                <w:highlight w:val="none"/>
              </w:rPr>
            </w:pPr>
            <w:r>
              <w:rPr>
                <w:rFonts w:hint="eastAsia" w:ascii="宋体" w:hAnsi="宋体" w:cs="宋体"/>
                <w:color w:val="auto"/>
                <w:kern w:val="2"/>
                <w:szCs w:val="22"/>
                <w:highlight w:val="none"/>
              </w:rPr>
              <w:t>施工现场总平面布置图；(0-5分)</w:t>
            </w:r>
          </w:p>
          <w:p>
            <w:pPr>
              <w:rPr>
                <w:rFonts w:ascii="宋体" w:hAnsi="宋体" w:cs="宋体"/>
                <w:color w:val="auto"/>
                <w:kern w:val="2"/>
                <w:szCs w:val="22"/>
                <w:highlight w:val="none"/>
              </w:rPr>
            </w:pPr>
            <w:r>
              <w:rPr>
                <w:rFonts w:hint="eastAsia" w:ascii="宋体" w:hAnsi="宋体" w:cs="宋体"/>
                <w:color w:val="auto"/>
                <w:kern w:val="2"/>
                <w:szCs w:val="22"/>
                <w:highlight w:val="none"/>
              </w:rPr>
              <w:t>安排全面、科学、合理，得3-5分；</w:t>
            </w:r>
          </w:p>
          <w:p>
            <w:pPr>
              <w:spacing w:line="300" w:lineRule="exact"/>
              <w:jc w:val="left"/>
              <w:rPr>
                <w:rFonts w:ascii="宋体" w:hAnsi="宋体" w:cs="宋体"/>
                <w:color w:val="auto"/>
                <w:kern w:val="2"/>
                <w:szCs w:val="22"/>
                <w:highlight w:val="none"/>
              </w:rPr>
            </w:pPr>
            <w:r>
              <w:rPr>
                <w:rFonts w:hint="eastAsia" w:ascii="宋体" w:hAnsi="宋体" w:cs="宋体"/>
                <w:color w:val="auto"/>
                <w:kern w:val="2"/>
                <w:szCs w:val="22"/>
                <w:highlight w:val="none"/>
              </w:rPr>
              <w:t>安排计划不够全面、科学、合理，得0-3分；</w:t>
            </w:r>
          </w:p>
          <w:p>
            <w:pPr>
              <w:rPr>
                <w:rFonts w:ascii="宋体" w:hAnsi="宋体" w:cs="宋体"/>
                <w:color w:val="auto"/>
                <w:kern w:val="2"/>
                <w:szCs w:val="22"/>
                <w:highlight w:val="none"/>
              </w:rPr>
            </w:pPr>
            <w:r>
              <w:rPr>
                <w:rFonts w:hint="eastAsia" w:ascii="宋体" w:hAnsi="宋体" w:cs="宋体"/>
                <w:color w:val="auto"/>
                <w:kern w:val="2"/>
                <w:szCs w:val="22"/>
                <w:highlight w:val="none"/>
              </w:rPr>
              <w:t>不提供不得分。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6" w:hRule="atLeast"/>
          <w:tblHeader/>
          <w:jc w:val="center"/>
        </w:trPr>
        <w:tc>
          <w:tcPr>
            <w:tcW w:w="681" w:type="dxa"/>
            <w:vMerge w:val="continue"/>
            <w:vAlign w:val="center"/>
          </w:tcPr>
          <w:p>
            <w:pPr>
              <w:jc w:val="center"/>
              <w:rPr>
                <w:rFonts w:ascii="宋体" w:hAnsi="宋体" w:cs="宋体"/>
                <w:color w:val="auto"/>
                <w:kern w:val="2"/>
                <w:szCs w:val="22"/>
                <w:highlight w:val="none"/>
              </w:rPr>
            </w:pPr>
          </w:p>
        </w:tc>
        <w:tc>
          <w:tcPr>
            <w:tcW w:w="1300" w:type="dxa"/>
            <w:vMerge w:val="continue"/>
            <w:vAlign w:val="center"/>
          </w:tcPr>
          <w:p>
            <w:pPr>
              <w:jc w:val="center"/>
              <w:rPr>
                <w:rFonts w:ascii="宋体" w:hAnsi="宋体" w:cs="宋体"/>
                <w:color w:val="auto"/>
                <w:kern w:val="2"/>
                <w:szCs w:val="22"/>
                <w:highlight w:val="none"/>
              </w:rPr>
            </w:pPr>
          </w:p>
        </w:tc>
        <w:tc>
          <w:tcPr>
            <w:tcW w:w="891" w:type="dxa"/>
            <w:vMerge w:val="continue"/>
            <w:vAlign w:val="center"/>
          </w:tcPr>
          <w:p>
            <w:pPr>
              <w:jc w:val="center"/>
              <w:rPr>
                <w:rFonts w:ascii="宋体" w:hAnsi="宋体" w:cs="宋体"/>
                <w:color w:val="auto"/>
                <w:kern w:val="2"/>
                <w:szCs w:val="22"/>
                <w:highlight w:val="none"/>
              </w:rPr>
            </w:pPr>
          </w:p>
        </w:tc>
        <w:tc>
          <w:tcPr>
            <w:tcW w:w="6554" w:type="dxa"/>
            <w:vAlign w:val="center"/>
          </w:tcPr>
          <w:p>
            <w:pPr>
              <w:rPr>
                <w:rFonts w:ascii="宋体" w:hAnsi="宋体" w:cs="宋体"/>
                <w:color w:val="auto"/>
                <w:kern w:val="2"/>
                <w:szCs w:val="22"/>
                <w:highlight w:val="none"/>
              </w:rPr>
            </w:pPr>
            <w:r>
              <w:rPr>
                <w:rFonts w:hint="eastAsia" w:ascii="宋体" w:hAnsi="宋体" w:cs="宋体"/>
                <w:color w:val="auto"/>
                <w:kern w:val="2"/>
                <w:szCs w:val="22"/>
                <w:highlight w:val="none"/>
              </w:rPr>
              <w:t>10）防污减霾措施；(0-5分)</w:t>
            </w:r>
          </w:p>
          <w:p>
            <w:pPr>
              <w:rPr>
                <w:rFonts w:ascii="宋体" w:hAnsi="宋体" w:cs="宋体"/>
                <w:color w:val="auto"/>
                <w:kern w:val="2"/>
                <w:szCs w:val="22"/>
                <w:highlight w:val="none"/>
              </w:rPr>
            </w:pPr>
            <w:r>
              <w:rPr>
                <w:rFonts w:hint="eastAsia" w:ascii="宋体" w:hAnsi="宋体" w:cs="宋体"/>
                <w:color w:val="auto"/>
                <w:kern w:val="2"/>
                <w:szCs w:val="22"/>
                <w:highlight w:val="none"/>
              </w:rPr>
              <w:t>措施内容科学具体，有针对性，得3-5分；</w:t>
            </w:r>
          </w:p>
          <w:p>
            <w:pPr>
              <w:rPr>
                <w:rFonts w:ascii="宋体" w:hAnsi="宋体" w:cs="宋体"/>
                <w:color w:val="auto"/>
                <w:kern w:val="2"/>
                <w:szCs w:val="22"/>
                <w:highlight w:val="none"/>
              </w:rPr>
            </w:pPr>
            <w:r>
              <w:rPr>
                <w:rFonts w:hint="eastAsia" w:ascii="宋体" w:hAnsi="宋体" w:cs="宋体"/>
                <w:color w:val="auto"/>
                <w:kern w:val="2"/>
                <w:szCs w:val="22"/>
                <w:highlight w:val="none"/>
              </w:rPr>
              <w:t>措施内容不够具体，得0-3分。</w:t>
            </w:r>
          </w:p>
          <w:p>
            <w:pPr>
              <w:rPr>
                <w:color w:val="auto"/>
                <w:kern w:val="2"/>
                <w:szCs w:val="22"/>
                <w:highlight w:val="none"/>
              </w:rPr>
            </w:pPr>
            <w:r>
              <w:rPr>
                <w:rFonts w:hint="eastAsia" w:ascii="宋体" w:hAnsi="宋体" w:cs="宋体"/>
                <w:color w:val="auto"/>
                <w:kern w:val="2"/>
                <w:szCs w:val="22"/>
                <w:highlight w:val="none"/>
              </w:rPr>
              <w:t>不提供不得分。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66" w:hRule="atLeast"/>
          <w:tblHeader/>
          <w:jc w:val="center"/>
        </w:trPr>
        <w:tc>
          <w:tcPr>
            <w:tcW w:w="681"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3</w:t>
            </w:r>
          </w:p>
        </w:tc>
        <w:tc>
          <w:tcPr>
            <w:tcW w:w="1300"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近年完成同类项目业绩</w:t>
            </w:r>
          </w:p>
        </w:tc>
        <w:tc>
          <w:tcPr>
            <w:tcW w:w="891"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9分</w:t>
            </w:r>
          </w:p>
        </w:tc>
        <w:tc>
          <w:tcPr>
            <w:tcW w:w="6554" w:type="dxa"/>
            <w:vAlign w:val="center"/>
          </w:tcPr>
          <w:p>
            <w:pPr>
              <w:jc w:val="left"/>
              <w:rPr>
                <w:rFonts w:ascii="宋体" w:hAnsi="宋体" w:cs="宋体"/>
                <w:color w:val="auto"/>
                <w:kern w:val="2"/>
                <w:szCs w:val="22"/>
                <w:highlight w:val="none"/>
              </w:rPr>
            </w:pPr>
            <w:r>
              <w:rPr>
                <w:rFonts w:hint="eastAsia" w:ascii="宋体" w:hAnsi="宋体" w:cs="宋体"/>
                <w:color w:val="auto"/>
                <w:kern w:val="2"/>
                <w:szCs w:val="22"/>
                <w:highlight w:val="none"/>
              </w:rPr>
              <w:t>每提供1份近年内(2018年1月1日以后签订)的同类项目业绩或中标通知书扫描件或复印件计3分，最高计9分。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66" w:hRule="atLeast"/>
          <w:tblHeader/>
          <w:jc w:val="center"/>
        </w:trPr>
        <w:tc>
          <w:tcPr>
            <w:tcW w:w="681"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4</w:t>
            </w:r>
          </w:p>
        </w:tc>
        <w:tc>
          <w:tcPr>
            <w:tcW w:w="1300"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项目经理</w:t>
            </w:r>
          </w:p>
        </w:tc>
        <w:tc>
          <w:tcPr>
            <w:tcW w:w="891"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2分</w:t>
            </w:r>
          </w:p>
        </w:tc>
        <w:tc>
          <w:tcPr>
            <w:tcW w:w="6554" w:type="dxa"/>
            <w:vAlign w:val="center"/>
          </w:tcPr>
          <w:p>
            <w:pPr>
              <w:jc w:val="left"/>
              <w:rPr>
                <w:rFonts w:ascii="宋体" w:hAnsi="宋体" w:cs="宋体"/>
                <w:color w:val="auto"/>
                <w:kern w:val="2"/>
                <w:szCs w:val="22"/>
                <w:highlight w:val="none"/>
              </w:rPr>
            </w:pPr>
            <w:r>
              <w:rPr>
                <w:rFonts w:hint="eastAsia" w:ascii="宋体" w:hAnsi="宋体" w:cs="宋体"/>
                <w:color w:val="auto"/>
                <w:kern w:val="2"/>
                <w:szCs w:val="22"/>
                <w:highlight w:val="none"/>
              </w:rPr>
              <w:t>拟派项目经理具有高级职称得2分，中级职称得1分，中级以下职称和无职称得0分。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65" w:hRule="atLeast"/>
          <w:tblHeader/>
          <w:jc w:val="center"/>
        </w:trPr>
        <w:tc>
          <w:tcPr>
            <w:tcW w:w="681"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5</w:t>
            </w:r>
          </w:p>
        </w:tc>
        <w:tc>
          <w:tcPr>
            <w:tcW w:w="1300"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合理化建议</w:t>
            </w:r>
          </w:p>
        </w:tc>
        <w:tc>
          <w:tcPr>
            <w:tcW w:w="891"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4分</w:t>
            </w:r>
          </w:p>
        </w:tc>
        <w:tc>
          <w:tcPr>
            <w:tcW w:w="6554" w:type="dxa"/>
            <w:vAlign w:val="center"/>
          </w:tcPr>
          <w:p>
            <w:pPr>
              <w:jc w:val="left"/>
              <w:rPr>
                <w:rFonts w:ascii="宋体" w:hAnsi="宋体" w:cs="宋体"/>
                <w:color w:val="auto"/>
                <w:kern w:val="2"/>
                <w:szCs w:val="22"/>
                <w:highlight w:val="none"/>
              </w:rPr>
            </w:pPr>
            <w:r>
              <w:rPr>
                <w:rFonts w:hint="eastAsia" w:ascii="宋体" w:hAnsi="宋体" w:cs="宋体"/>
                <w:color w:val="auto"/>
                <w:kern w:val="2"/>
                <w:szCs w:val="22"/>
                <w:highlight w:val="none"/>
              </w:rPr>
              <w:t>供应商针对本项目建设，提出合理化建议（包含但不限于有效控制质量、节能减排、减低成本等），评审小组根据其产生的有效性、实用性、经济性，综合评审。</w:t>
            </w:r>
          </w:p>
          <w:p>
            <w:pPr>
              <w:jc w:val="left"/>
              <w:rPr>
                <w:rFonts w:ascii="宋体" w:hAnsi="宋体" w:cs="宋体"/>
                <w:color w:val="auto"/>
                <w:kern w:val="2"/>
                <w:szCs w:val="22"/>
                <w:highlight w:val="none"/>
              </w:rPr>
            </w:pPr>
            <w:r>
              <w:rPr>
                <w:rFonts w:hint="eastAsia" w:ascii="宋体" w:hAnsi="宋体" w:cs="宋体"/>
                <w:color w:val="auto"/>
                <w:kern w:val="2"/>
                <w:szCs w:val="22"/>
                <w:highlight w:val="none"/>
              </w:rPr>
              <w:t>建议详尽、全面、高效、合理，可实施性强，得2-4分；</w:t>
            </w:r>
          </w:p>
          <w:p>
            <w:pPr>
              <w:jc w:val="left"/>
              <w:rPr>
                <w:rFonts w:ascii="宋体" w:hAnsi="宋体" w:cs="宋体"/>
                <w:color w:val="auto"/>
                <w:kern w:val="2"/>
                <w:szCs w:val="22"/>
                <w:highlight w:val="none"/>
              </w:rPr>
            </w:pPr>
            <w:r>
              <w:rPr>
                <w:rFonts w:hint="eastAsia" w:ascii="宋体" w:hAnsi="宋体" w:cs="宋体"/>
                <w:color w:val="auto"/>
                <w:kern w:val="2"/>
                <w:szCs w:val="22"/>
                <w:highlight w:val="none"/>
              </w:rPr>
              <w:t>建议有效、合理，具有一定实施性，得0-2分。</w:t>
            </w:r>
          </w:p>
          <w:p>
            <w:pPr>
              <w:jc w:val="left"/>
              <w:rPr>
                <w:rFonts w:ascii="宋体" w:hAnsi="宋体" w:cs="宋体"/>
                <w:color w:val="auto"/>
                <w:kern w:val="2"/>
                <w:szCs w:val="22"/>
                <w:highlight w:val="none"/>
              </w:rPr>
            </w:pPr>
            <w:r>
              <w:rPr>
                <w:rFonts w:hint="eastAsia" w:ascii="宋体" w:hAnsi="宋体" w:cs="宋体"/>
                <w:color w:val="auto"/>
                <w:kern w:val="2"/>
                <w:szCs w:val="22"/>
                <w:highlight w:val="none"/>
              </w:rPr>
              <w:t>不提供不得分。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0" w:hRule="atLeast"/>
          <w:tblHeader/>
          <w:jc w:val="center"/>
        </w:trPr>
        <w:tc>
          <w:tcPr>
            <w:tcW w:w="1981" w:type="dxa"/>
            <w:gridSpan w:val="2"/>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合计</w:t>
            </w:r>
          </w:p>
        </w:tc>
        <w:tc>
          <w:tcPr>
            <w:tcW w:w="891" w:type="dxa"/>
            <w:vAlign w:val="center"/>
          </w:tcPr>
          <w:p>
            <w:pPr>
              <w:jc w:val="center"/>
              <w:rPr>
                <w:rFonts w:ascii="宋体" w:hAnsi="宋体" w:cs="宋体"/>
                <w:color w:val="auto"/>
                <w:kern w:val="2"/>
                <w:szCs w:val="22"/>
                <w:highlight w:val="none"/>
              </w:rPr>
            </w:pPr>
            <w:r>
              <w:rPr>
                <w:rFonts w:hint="eastAsia" w:ascii="宋体" w:hAnsi="宋体" w:cs="宋体"/>
                <w:color w:val="auto"/>
                <w:kern w:val="2"/>
                <w:szCs w:val="22"/>
                <w:highlight w:val="none"/>
              </w:rPr>
              <w:t>100分</w:t>
            </w:r>
          </w:p>
        </w:tc>
        <w:tc>
          <w:tcPr>
            <w:tcW w:w="6554" w:type="dxa"/>
            <w:vAlign w:val="center"/>
          </w:tcPr>
          <w:p>
            <w:pPr>
              <w:rPr>
                <w:rFonts w:ascii="宋体" w:hAnsi="宋体" w:cs="宋体"/>
                <w:color w:val="auto"/>
                <w:kern w:val="2"/>
                <w:szCs w:val="22"/>
                <w:highlight w:val="none"/>
              </w:rPr>
            </w:pPr>
            <w:r>
              <w:rPr>
                <w:rFonts w:hint="eastAsia" w:ascii="宋体" w:hAnsi="宋体" w:cs="宋体"/>
                <w:color w:val="auto"/>
                <w:kern w:val="2"/>
                <w:szCs w:val="22"/>
                <w:highlight w:val="none"/>
              </w:rPr>
              <w:t>总得分=1至5项所含内容</w:t>
            </w:r>
          </w:p>
        </w:tc>
      </w:tr>
    </w:tbl>
    <w:p>
      <w:pPr>
        <w:numPr>
          <w:ilvl w:val="0"/>
          <w:numId w:val="4"/>
        </w:numPr>
        <w:spacing w:line="480" w:lineRule="exact"/>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供应商总得分相同时，则依次比较施工组织设计、近年完成同类项目业绩、项目经理、</w:t>
      </w:r>
      <w:r>
        <w:rPr>
          <w:rFonts w:hint="eastAsia" w:ascii="宋体" w:hAnsi="宋体" w:cs="宋体"/>
          <w:color w:val="auto"/>
          <w:highlight w:val="none"/>
        </w:rPr>
        <w:t>合理化建议</w:t>
      </w:r>
      <w:r>
        <w:rPr>
          <w:rFonts w:hint="eastAsia" w:ascii="宋体" w:hAnsi="宋体" w:cs="宋体"/>
          <w:color w:val="auto"/>
          <w:szCs w:val="21"/>
          <w:highlight w:val="none"/>
          <w:lang w:val="zh-CN"/>
        </w:rPr>
        <w:t>。单项得分高者优先，决定中标候选顺序。</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4、本项目落实政府采购政策</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4.1、投标企业政府采购政策</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（1）中小企业落实政府采购政策</w:t>
      </w:r>
    </w:p>
    <w:p>
      <w:pPr>
        <w:spacing w:line="4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zh-CN"/>
        </w:rPr>
        <w:t>①采购活动执行《政府采购促进中小企业发展管理办法》的通知财库〔2020〕46号的规定。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w:t>
      </w:r>
      <w:r>
        <w:rPr>
          <w:rFonts w:hint="eastAsia" w:ascii="宋体" w:hAnsi="宋体" w:cs="宋体"/>
          <w:color w:val="auto"/>
          <w:szCs w:val="21"/>
          <w:highlight w:val="none"/>
        </w:rPr>
        <w:t>同的从业人员。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spacing w:line="4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②中小企业参加政府采购活动，应当出具本办法规定的《中小企业声明函》，否则不得享受相关中小企业扶持政策。任何单位和个人不得要求供应商提供《中小企业声明函》之外的中小企业身份证明文件。（2）</w:t>
      </w:r>
      <w:r>
        <w:rPr>
          <w:rFonts w:hint="eastAsia" w:ascii="宋体" w:hAnsi="宋体" w:cs="宋体"/>
          <w:color w:val="auto"/>
          <w:szCs w:val="21"/>
          <w:highlight w:val="none"/>
          <w:lang w:val="zh-CN"/>
        </w:rPr>
        <w:t>监狱和戒毒企业</w:t>
      </w:r>
      <w:r>
        <w:rPr>
          <w:rFonts w:hint="eastAsia" w:ascii="宋体" w:hAnsi="宋体" w:cs="宋体"/>
          <w:color w:val="auto"/>
          <w:szCs w:val="21"/>
          <w:highlight w:val="none"/>
        </w:rPr>
        <w:t>落实政府采购政策</w:t>
      </w:r>
    </w:p>
    <w:p>
      <w:pPr>
        <w:spacing w:line="4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zh-CN"/>
        </w:rPr>
        <w:t>监狱和戒毒企业应符合《财政部</w:t>
      </w:r>
      <w:r>
        <w:rPr>
          <w:rFonts w:hint="eastAsia" w:ascii="宋体" w:hAnsi="宋体" w:cs="宋体"/>
          <w:color w:val="auto"/>
          <w:szCs w:val="21"/>
          <w:highlight w:val="none"/>
        </w:rPr>
        <w:t>、司法部关于政府采购支持监狱企业发展有关问题的通知》--财库[2014]68号</w:t>
      </w:r>
      <w:r>
        <w:rPr>
          <w:rFonts w:hint="eastAsia" w:ascii="宋体" w:hAnsi="宋体" w:cs="宋体"/>
          <w:color w:val="auto"/>
          <w:szCs w:val="21"/>
          <w:highlight w:val="none"/>
          <w:lang w:val="zh-CN"/>
        </w:rPr>
        <w:t>，并提供由省级以上监狱管理局、戒毒管理局(含新疆生产建设兵团)出具的属于监狱企业的证明，</w:t>
      </w:r>
      <w:r>
        <w:rPr>
          <w:rFonts w:hint="eastAsia" w:ascii="宋体" w:hAnsi="宋体" w:cs="宋体"/>
          <w:color w:val="auto"/>
          <w:szCs w:val="21"/>
          <w:highlight w:val="none"/>
        </w:rPr>
        <w:t>开标时提供原件备查。</w:t>
      </w:r>
    </w:p>
    <w:p>
      <w:pPr>
        <w:spacing w:line="4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（3）残疾人福利性单位落实政府采购政策</w:t>
      </w:r>
    </w:p>
    <w:p>
      <w:pPr>
        <w:spacing w:line="4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①省民政厅、省财政厅和省残联联合出台《关于政府采购优先购买福利性企业产品和服务的意见》（陕民发（2015）1号），要求进一步促进福利性企业（福利性企业指社会福利企业和集中安排残疾人就业单位）持续健康发展，有效解决残疾人集中就业问题，充分发挥政府采购政策功能。</w:t>
      </w:r>
    </w:p>
    <w:p>
      <w:pPr>
        <w:spacing w:line="4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②残疾人福利性单位应符合财库〔2017〕141号规定，提供本单位制造的货物、承担的项目或者服务（以下简称产品），或者提供其他残疾人福利性单位制造的货物（不包括使用非残疾人福利性单位注册商标的货物）。</w:t>
      </w:r>
    </w:p>
    <w:p>
      <w:pPr>
        <w:spacing w:line="4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③投标供应商须按照财库〔2017〕141号规定，提供《残疾人福利性单位声明函》，并对声明的真实性负责。以此为依据享受政府采购政策。</w:t>
      </w:r>
    </w:p>
    <w:p>
      <w:pPr>
        <w:spacing w:line="4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④中标、中标供应商为残疾人福利性单位的，采购人或者其委托的采购代理机构应当随中标、中标结果同时公告其《残疾人福利性单位声明函》，接受社会监督。</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（4）投标供应商应如实提供以上证明文件，如存在虚假应标，将取消其投标资格。</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4.</w:t>
      </w:r>
      <w:r>
        <w:rPr>
          <w:rFonts w:hint="eastAsia" w:ascii="宋体" w:hAnsi="宋体" w:cs="宋体"/>
          <w:color w:val="auto"/>
          <w:szCs w:val="21"/>
          <w:highlight w:val="none"/>
          <w:lang w:val="zh-CN"/>
        </w:rPr>
        <w:t>2、投标产品政府采购政策</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（1）节能产品</w:t>
      </w:r>
      <w:r>
        <w:rPr>
          <w:rFonts w:hint="eastAsia" w:ascii="宋体" w:hAnsi="宋体" w:cs="宋体"/>
          <w:color w:val="auto"/>
          <w:szCs w:val="21"/>
          <w:highlight w:val="none"/>
          <w:lang w:val="zh-CN"/>
        </w:rPr>
        <w:t>根据《国务院办公厅关于建立政府强制采购节能产品制度的通知》</w:t>
      </w:r>
      <w:r>
        <w:rPr>
          <w:rFonts w:hint="eastAsia" w:ascii="宋体" w:hAnsi="宋体" w:cs="宋体"/>
          <w:color w:val="auto"/>
          <w:szCs w:val="21"/>
          <w:highlight w:val="none"/>
        </w:rPr>
        <w:t>（</w:t>
      </w:r>
      <w:r>
        <w:rPr>
          <w:rFonts w:hint="eastAsia" w:ascii="宋体" w:hAnsi="宋体" w:cs="宋体"/>
          <w:color w:val="auto"/>
          <w:szCs w:val="21"/>
          <w:highlight w:val="none"/>
          <w:lang w:val="zh-CN"/>
        </w:rPr>
        <w:t>国办发[2007] 51号</w:t>
      </w:r>
      <w:r>
        <w:rPr>
          <w:rFonts w:hint="eastAsia" w:ascii="宋体" w:hAnsi="宋体" w:cs="宋体"/>
          <w:color w:val="auto"/>
          <w:szCs w:val="21"/>
          <w:highlight w:val="none"/>
        </w:rPr>
        <w:t>）</w:t>
      </w:r>
      <w:r>
        <w:rPr>
          <w:rFonts w:hint="eastAsia" w:ascii="宋体" w:hAnsi="宋体" w:cs="宋体"/>
          <w:color w:val="auto"/>
          <w:szCs w:val="21"/>
          <w:highlight w:val="none"/>
          <w:lang w:val="zh-CN"/>
        </w:rPr>
        <w:t>的规定</w:t>
      </w:r>
      <w:r>
        <w:rPr>
          <w:rFonts w:hint="eastAsia" w:ascii="宋体" w:hAnsi="宋体" w:cs="宋体"/>
          <w:color w:val="auto"/>
          <w:szCs w:val="21"/>
          <w:highlight w:val="none"/>
        </w:rPr>
        <w:t>，</w:t>
      </w:r>
      <w:r>
        <w:rPr>
          <w:rFonts w:hint="eastAsia" w:ascii="宋体" w:hAnsi="宋体" w:cs="宋体"/>
          <w:color w:val="auto"/>
          <w:szCs w:val="21"/>
          <w:highlight w:val="none"/>
          <w:lang w:val="zh-CN"/>
        </w:rPr>
        <w:t>以中国政府采购网</w:t>
      </w:r>
      <w:r>
        <w:rPr>
          <w:rFonts w:hint="eastAsia" w:ascii="宋体" w:hAnsi="宋体" w:cs="宋体"/>
          <w:color w:val="auto"/>
          <w:szCs w:val="21"/>
          <w:highlight w:val="none"/>
        </w:rPr>
        <w:t>（</w:t>
      </w:r>
      <w:r>
        <w:rPr>
          <w:rFonts w:hint="eastAsia" w:ascii="宋体" w:hAnsi="宋体" w:cs="宋体"/>
          <w:color w:val="auto"/>
          <w:szCs w:val="21"/>
          <w:highlight w:val="none"/>
          <w:lang w:val="zh-CN"/>
        </w:rPr>
        <w:t>http://www.ccgp.gov.cn/</w:t>
      </w:r>
      <w:r>
        <w:rPr>
          <w:rFonts w:hint="eastAsia" w:ascii="宋体" w:hAnsi="宋体" w:cs="宋体"/>
          <w:color w:val="auto"/>
          <w:szCs w:val="21"/>
          <w:highlight w:val="none"/>
        </w:rPr>
        <w:t>）</w:t>
      </w:r>
      <w:r>
        <w:rPr>
          <w:rFonts w:hint="eastAsia" w:ascii="宋体" w:hAnsi="宋体" w:cs="宋体"/>
          <w:color w:val="auto"/>
          <w:szCs w:val="21"/>
          <w:highlight w:val="none"/>
          <w:lang w:val="zh-CN"/>
        </w:rPr>
        <w:t>公布的最新一期节能产品政府采购清单为准。</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（2）环境标志产品</w:t>
      </w:r>
      <w:r>
        <w:rPr>
          <w:rFonts w:hint="eastAsia" w:ascii="宋体" w:hAnsi="宋体" w:cs="宋体"/>
          <w:color w:val="auto"/>
          <w:szCs w:val="21"/>
          <w:highlight w:val="none"/>
          <w:lang w:val="zh-CN"/>
        </w:rPr>
        <w:t>根据《环境标志产品政府采购实施的意见》</w:t>
      </w:r>
      <w:r>
        <w:rPr>
          <w:rFonts w:hint="eastAsia" w:ascii="宋体" w:hAnsi="宋体" w:cs="宋体"/>
          <w:color w:val="auto"/>
          <w:szCs w:val="21"/>
          <w:highlight w:val="none"/>
        </w:rPr>
        <w:t>（</w:t>
      </w:r>
      <w:r>
        <w:rPr>
          <w:rFonts w:hint="eastAsia" w:ascii="宋体" w:hAnsi="宋体" w:cs="宋体"/>
          <w:color w:val="auto"/>
          <w:szCs w:val="21"/>
          <w:highlight w:val="none"/>
          <w:lang w:val="zh-CN"/>
        </w:rPr>
        <w:t>财库</w:t>
      </w:r>
      <w:r>
        <w:rPr>
          <w:rFonts w:hint="eastAsia" w:ascii="宋体" w:hAnsi="宋体" w:cs="宋体"/>
          <w:color w:val="auto"/>
          <w:szCs w:val="21"/>
          <w:highlight w:val="none"/>
        </w:rPr>
        <w:t>[2006]90</w:t>
      </w:r>
      <w:r>
        <w:rPr>
          <w:rFonts w:hint="eastAsia" w:ascii="宋体" w:hAnsi="宋体" w:cs="宋体"/>
          <w:color w:val="auto"/>
          <w:szCs w:val="21"/>
          <w:highlight w:val="none"/>
          <w:lang w:val="zh-CN"/>
        </w:rPr>
        <w:t>号</w:t>
      </w:r>
      <w:r>
        <w:rPr>
          <w:rFonts w:hint="eastAsia" w:ascii="宋体" w:hAnsi="宋体" w:cs="宋体"/>
          <w:color w:val="auto"/>
          <w:szCs w:val="21"/>
          <w:highlight w:val="none"/>
        </w:rPr>
        <w:t>）</w:t>
      </w:r>
      <w:r>
        <w:rPr>
          <w:rFonts w:hint="eastAsia" w:ascii="宋体" w:hAnsi="宋体" w:cs="宋体"/>
          <w:color w:val="auto"/>
          <w:szCs w:val="21"/>
          <w:highlight w:val="none"/>
          <w:lang w:val="zh-CN"/>
        </w:rPr>
        <w:t>的规定</w:t>
      </w:r>
      <w:r>
        <w:rPr>
          <w:rFonts w:hint="eastAsia" w:ascii="宋体" w:hAnsi="宋体" w:cs="宋体"/>
          <w:color w:val="auto"/>
          <w:szCs w:val="21"/>
          <w:highlight w:val="none"/>
        </w:rPr>
        <w:t>，</w:t>
      </w:r>
      <w:r>
        <w:rPr>
          <w:rFonts w:hint="eastAsia" w:ascii="宋体" w:hAnsi="宋体" w:cs="宋体"/>
          <w:color w:val="auto"/>
          <w:szCs w:val="21"/>
          <w:highlight w:val="none"/>
          <w:lang w:val="zh-CN"/>
        </w:rPr>
        <w:t>以中国政府采购网</w:t>
      </w:r>
      <w:r>
        <w:rPr>
          <w:rFonts w:hint="eastAsia" w:ascii="宋体" w:hAnsi="宋体" w:cs="宋体"/>
          <w:color w:val="auto"/>
          <w:szCs w:val="21"/>
          <w:highlight w:val="none"/>
        </w:rPr>
        <w:t>（http://www.ccgp.gov.cn/）</w:t>
      </w:r>
      <w:r>
        <w:rPr>
          <w:rFonts w:hint="eastAsia" w:ascii="宋体" w:hAnsi="宋体" w:cs="宋体"/>
          <w:color w:val="auto"/>
          <w:szCs w:val="21"/>
          <w:highlight w:val="none"/>
          <w:lang w:val="zh-CN"/>
        </w:rPr>
        <w:t>公布的最新一期环境标志产品政府采购清单为准。</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（3）</w:t>
      </w:r>
      <w:r>
        <w:rPr>
          <w:rFonts w:hint="eastAsia" w:ascii="宋体" w:hAnsi="宋体" w:cs="宋体"/>
          <w:color w:val="auto"/>
          <w:szCs w:val="21"/>
          <w:highlight w:val="none"/>
          <w:lang w:val="zh-CN"/>
        </w:rPr>
        <w:t>投标供应商在投标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优惠明细表及属于清单内产品的证明资料的不给予优惠。</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（4）</w:t>
      </w:r>
      <w:r>
        <w:rPr>
          <w:rFonts w:hint="eastAsia" w:ascii="宋体" w:hAnsi="宋体" w:cs="宋体"/>
          <w:color w:val="auto"/>
          <w:szCs w:val="21"/>
          <w:highlight w:val="none"/>
          <w:lang w:val="zh-CN"/>
        </w:rPr>
        <w:t>若节能、环保、环境标志清单内的产品仅是构成投标产品的部件、组件或零件的，则该投标产品不享受鼓励优惠政策。</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（5）</w:t>
      </w:r>
      <w:r>
        <w:rPr>
          <w:rFonts w:hint="eastAsia" w:ascii="宋体" w:hAnsi="宋体" w:cs="宋体"/>
          <w:color w:val="auto"/>
          <w:szCs w:val="21"/>
          <w:highlight w:val="none"/>
          <w:lang w:val="zh-CN"/>
        </w:rPr>
        <w:t>同一标段的节能、环保、环境标志产品部分优惠只对属于清单内的非强制类产品进行优惠，强制类产品不给予优惠。</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（6）</w:t>
      </w:r>
      <w:r>
        <w:rPr>
          <w:rFonts w:hint="eastAsia" w:ascii="宋体" w:hAnsi="宋体" w:cs="宋体"/>
          <w:color w:val="auto"/>
          <w:szCs w:val="21"/>
          <w:highlight w:val="none"/>
          <w:lang w:val="zh-CN"/>
        </w:rPr>
        <w:t>节能、环保、环境标志产品不重复优惠；同时列入国家级清单和省级清单的产品不重复优惠。</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（7）</w:t>
      </w:r>
      <w:r>
        <w:rPr>
          <w:rFonts w:hint="eastAsia" w:ascii="宋体" w:hAnsi="宋体" w:cs="宋体"/>
          <w:color w:val="auto"/>
          <w:szCs w:val="21"/>
          <w:highlight w:val="none"/>
          <w:lang w:val="zh-CN"/>
        </w:rPr>
        <w:t>获得上述认证的产品在投标时应提供有效证明材料。以上所有证明文件复印件须加盖供应商公章并注明“与原件一致”，否则不予优惠。</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4.</w:t>
      </w:r>
      <w:r>
        <w:rPr>
          <w:rFonts w:hint="eastAsia" w:ascii="宋体" w:hAnsi="宋体" w:cs="宋体"/>
          <w:color w:val="auto"/>
          <w:szCs w:val="21"/>
          <w:highlight w:val="none"/>
          <w:lang w:val="zh-CN"/>
        </w:rPr>
        <w:t>3、价格优惠比例</w:t>
      </w:r>
    </w:p>
    <w:p>
      <w:pPr>
        <w:spacing w:line="4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zh-CN"/>
        </w:rPr>
        <w:t>投标企业优惠比例</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符合招标文件规定的小微企业、监狱企业或</w:t>
      </w:r>
      <w:r>
        <w:rPr>
          <w:rFonts w:hint="eastAsia" w:ascii="宋体" w:hAnsi="宋体" w:cs="宋体"/>
          <w:color w:val="auto"/>
          <w:szCs w:val="21"/>
          <w:highlight w:val="none"/>
        </w:rPr>
        <w:t>残疾人福利性单位</w:t>
      </w:r>
      <w:r>
        <w:rPr>
          <w:rFonts w:hint="eastAsia" w:ascii="宋体" w:hAnsi="宋体" w:cs="宋体"/>
          <w:color w:val="auto"/>
          <w:szCs w:val="21"/>
          <w:highlight w:val="none"/>
          <w:lang w:val="zh-CN"/>
        </w:rPr>
        <w:t>优惠条件的供应商，价格给予6%的扣除（不重复优惠，最高为</w:t>
      </w:r>
      <w:r>
        <w:rPr>
          <w:rFonts w:hint="eastAsia" w:ascii="宋体" w:hAnsi="宋体" w:cs="宋体"/>
          <w:color w:val="auto"/>
          <w:szCs w:val="21"/>
          <w:highlight w:val="none"/>
        </w:rPr>
        <w:t>5</w:t>
      </w:r>
      <w:r>
        <w:rPr>
          <w:rFonts w:hint="eastAsia" w:ascii="宋体" w:hAnsi="宋体" w:cs="宋体"/>
          <w:color w:val="auto"/>
          <w:szCs w:val="21"/>
          <w:highlight w:val="none"/>
          <w:lang w:val="zh-CN"/>
        </w:rPr>
        <w:t>%），用扣除后的价格参与评审。</w:t>
      </w:r>
    </w:p>
    <w:p>
      <w:pPr>
        <w:spacing w:line="4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（2）</w:t>
      </w:r>
      <w:r>
        <w:rPr>
          <w:rFonts w:hint="eastAsia" w:ascii="宋体" w:hAnsi="宋体" w:cs="宋体"/>
          <w:color w:val="auto"/>
          <w:szCs w:val="21"/>
          <w:highlight w:val="none"/>
          <w:lang w:val="zh-CN"/>
        </w:rPr>
        <w:t>投标产品优惠比例</w:t>
      </w:r>
    </w:p>
    <w:p>
      <w:pPr>
        <w:spacing w:line="460" w:lineRule="exact"/>
        <w:ind w:firstLine="420" w:firstLineChars="200"/>
        <w:rPr>
          <w:rFonts w:ascii="宋体" w:hAnsi="宋体" w:cs="宋体"/>
          <w:color w:val="auto"/>
          <w:kern w:val="2"/>
          <w:szCs w:val="21"/>
          <w:highlight w:val="none"/>
        </w:rPr>
      </w:pPr>
      <w:r>
        <w:rPr>
          <w:rFonts w:hint="eastAsia" w:ascii="宋体" w:hAnsi="宋体" w:cs="宋体"/>
          <w:color w:val="auto"/>
          <w:szCs w:val="21"/>
          <w:highlight w:val="none"/>
          <w:lang w:val="zh-CN"/>
        </w:rPr>
        <w:t>投标产品为节能、环保、环境标志产品清单中的产品，符合招标文件要求的，价格给予6%的扣除（不重复优惠，最高为6%），用扣除后的价格参与评审。</w:t>
      </w:r>
    </w:p>
    <w:p>
      <w:pPr>
        <w:pStyle w:val="2"/>
        <w:ind w:left="0" w:leftChars="0"/>
        <w:rPr>
          <w:color w:val="auto"/>
          <w:highlight w:val="none"/>
          <w:lang w:val="zh-CN"/>
        </w:rPr>
      </w:pPr>
    </w:p>
    <w:p>
      <w:pPr>
        <w:spacing w:line="480" w:lineRule="exact"/>
        <w:ind w:left="211"/>
        <w:jc w:val="center"/>
        <w:rPr>
          <w:rFonts w:ascii="宋体" w:hAnsi="宋体" w:cs="宋体"/>
          <w:b/>
          <w:color w:val="auto"/>
          <w:sz w:val="28"/>
          <w:szCs w:val="28"/>
          <w:highlight w:val="none"/>
        </w:rPr>
      </w:pPr>
      <w:r>
        <w:rPr>
          <w:rFonts w:hint="eastAsia" w:ascii="宋体" w:hAnsi="宋体" w:cs="宋体"/>
          <w:b/>
          <w:color w:val="auto"/>
          <w:sz w:val="28"/>
          <w:szCs w:val="28"/>
          <w:highlight w:val="none"/>
        </w:rPr>
        <w:t>（十五）推荐成交候选人</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1、评委会将向采购人推荐1-3名成交候选人。</w:t>
      </w:r>
    </w:p>
    <w:p>
      <w:pPr>
        <w:spacing w:line="480" w:lineRule="exact"/>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2、供应商得分相同时，按竞争性磋商响应文件综合响应程度得分高者优先，决定成交候选顺序。</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3、采购人对成交候选人进行确认，签订合同等事宜。</w:t>
      </w:r>
    </w:p>
    <w:p>
      <w:pPr>
        <w:spacing w:line="480" w:lineRule="exact"/>
        <w:jc w:val="center"/>
        <w:rPr>
          <w:rFonts w:ascii="宋体" w:hAnsi="宋体" w:cs="宋体"/>
          <w:b/>
          <w:color w:val="auto"/>
          <w:sz w:val="28"/>
          <w:szCs w:val="28"/>
          <w:highlight w:val="none"/>
        </w:rPr>
      </w:pPr>
      <w:r>
        <w:rPr>
          <w:rFonts w:hint="eastAsia" w:ascii="宋体" w:hAnsi="宋体" w:cs="宋体"/>
          <w:b/>
          <w:color w:val="auto"/>
          <w:sz w:val="28"/>
          <w:szCs w:val="28"/>
          <w:highlight w:val="none"/>
        </w:rPr>
        <w:t xml:space="preserve"> （十六）确定成交单位及签订合同</w:t>
      </w:r>
    </w:p>
    <w:p>
      <w:pPr>
        <w:spacing w:line="480" w:lineRule="exact"/>
        <w:ind w:firstLine="403" w:firstLineChars="192"/>
        <w:rPr>
          <w:rFonts w:ascii="宋体" w:hAnsi="宋体" w:cs="宋体"/>
          <w:color w:val="auto"/>
          <w:szCs w:val="21"/>
          <w:highlight w:val="none"/>
        </w:rPr>
      </w:pPr>
      <w:bookmarkStart w:id="29" w:name="_Toc1004"/>
      <w:bookmarkStart w:id="30" w:name="_Toc10579"/>
      <w:bookmarkStart w:id="31" w:name="_Toc23888"/>
      <w:bookmarkStart w:id="32" w:name="_Toc450138942"/>
      <w:bookmarkStart w:id="33" w:name="_Toc30861"/>
      <w:bookmarkStart w:id="34" w:name="_Toc6518"/>
      <w:r>
        <w:rPr>
          <w:rFonts w:hint="eastAsia" w:ascii="宋体" w:hAnsi="宋体" w:cs="宋体"/>
          <w:color w:val="auto"/>
          <w:szCs w:val="21"/>
          <w:highlight w:val="none"/>
        </w:rPr>
        <w:t>1、确定成交人。代理机构将于采购人依法确定成交人后发布成交公告，并向成交人发出成交通知书。成交人在接到通知后，必须在5个工作日内领取成交通知书并由采购人交纳采购代理服务费。</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2、采购人在签订合同时，保留根据项目实际情况在合法范围内进行调整的权力，包括对货物数量及服务予以增加或减少。</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3、签订合同。</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（1）成交人应及时与采购人签订合同，代理机构作为见证方见证。</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（2）如果成交人未能按规定领取成交通知书并签约，</w:t>
      </w:r>
      <w:r>
        <w:rPr>
          <w:rFonts w:hint="eastAsia" w:ascii="宋体" w:hAnsi="宋体" w:cs="宋体"/>
          <w:color w:val="auto"/>
          <w:spacing w:val="-4"/>
          <w:szCs w:val="21"/>
          <w:highlight w:val="none"/>
        </w:rPr>
        <w:t>经监管部门同意后，</w:t>
      </w:r>
      <w:r>
        <w:rPr>
          <w:rFonts w:hint="eastAsia" w:ascii="宋体" w:hAnsi="宋体" w:cs="宋体"/>
          <w:color w:val="auto"/>
          <w:szCs w:val="21"/>
          <w:highlight w:val="none"/>
        </w:rPr>
        <w:t>采购人将取消其成交资格。在此情况下将另选成交人或重新招标。</w:t>
      </w:r>
    </w:p>
    <w:p>
      <w:pPr>
        <w:spacing w:line="48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4、竞争性磋商文件、成交人的竞争性磋商响应文件、对竞争性磋商响应文件的书面澄清、成交通知书等均作为合同的附件，是合同的组成部分。</w:t>
      </w:r>
    </w:p>
    <w:p>
      <w:pPr>
        <w:spacing w:line="480" w:lineRule="exact"/>
        <w:jc w:val="center"/>
        <w:rPr>
          <w:rFonts w:ascii="宋体" w:hAnsi="宋体" w:cs="宋体"/>
          <w:b/>
          <w:color w:val="auto"/>
          <w:sz w:val="28"/>
          <w:szCs w:val="28"/>
          <w:highlight w:val="none"/>
        </w:rPr>
      </w:pPr>
      <w:bookmarkStart w:id="35" w:name="_Toc1185"/>
      <w:bookmarkStart w:id="36" w:name="_Toc7524"/>
      <w:r>
        <w:rPr>
          <w:rFonts w:hint="eastAsia" w:ascii="宋体" w:hAnsi="宋体" w:cs="宋体"/>
          <w:b/>
          <w:color w:val="auto"/>
          <w:sz w:val="28"/>
          <w:szCs w:val="28"/>
          <w:highlight w:val="none"/>
        </w:rPr>
        <w:t xml:space="preserve"> （十七）信用担保</w:t>
      </w:r>
      <w:bookmarkEnd w:id="35"/>
      <w:r>
        <w:rPr>
          <w:rFonts w:hint="eastAsia" w:ascii="宋体" w:hAnsi="宋体" w:cs="宋体"/>
          <w:b/>
          <w:color w:val="auto"/>
          <w:sz w:val="28"/>
          <w:szCs w:val="28"/>
          <w:highlight w:val="none"/>
        </w:rPr>
        <w:t>及信用融资</w:t>
      </w:r>
      <w:bookmarkEnd w:id="36"/>
    </w:p>
    <w:p>
      <w:pPr>
        <w:widowControl w:val="0"/>
        <w:spacing w:line="500" w:lineRule="exact"/>
        <w:ind w:firstLine="480" w:firstLineChars="200"/>
        <w:textAlignment w:val="auto"/>
        <w:rPr>
          <w:rFonts w:ascii="宋体" w:hAnsi="宋体" w:cs="宋体"/>
          <w:kern w:val="2"/>
          <w:sz w:val="24"/>
          <w:highlight w:val="none"/>
        </w:rPr>
      </w:pPr>
      <w:r>
        <w:rPr>
          <w:rFonts w:hint="eastAsia" w:ascii="宋体" w:hAnsi="宋体" w:cs="宋体"/>
          <w:kern w:val="2"/>
          <w:sz w:val="24"/>
          <w:highlight w:val="none"/>
        </w:rPr>
        <w:t>根据陕西省财政厅关于印发《陕西省中小企业政府采购信用融资办法》（陕财办采〔2018〕23号）和《陕西省财政厅关于加快推进我省中小企业政府采购信用融资工作的通知》（陕财办采〔2020〕15号）文件精神，有融资需求的供应商可根据自身情况，在陕西省政府采购信用融资平台（含各市分平台）自主选择金融机构及其融资产品，凭政府采购中标（成交）通知书或政府采购合同向金融机构提出融资申请。</w:t>
      </w:r>
    </w:p>
    <w:p>
      <w:pPr>
        <w:widowControl w:val="0"/>
        <w:spacing w:line="500" w:lineRule="exact"/>
        <w:ind w:firstLine="480" w:firstLineChars="200"/>
        <w:textAlignment w:val="auto"/>
        <w:rPr>
          <w:rFonts w:ascii="宋体" w:hAnsi="宋体" w:cs="宋体"/>
          <w:kern w:val="2"/>
          <w:sz w:val="24"/>
          <w:highlight w:val="none"/>
        </w:rPr>
      </w:pPr>
      <w:r>
        <w:rPr>
          <w:rFonts w:hint="eastAsia" w:ascii="宋体" w:hAnsi="宋体" w:cs="宋体"/>
          <w:kern w:val="2"/>
          <w:sz w:val="24"/>
          <w:highlight w:val="none"/>
        </w:rPr>
        <w:t>具体操作流程见附件。</w:t>
      </w:r>
    </w:p>
    <w:p>
      <w:pPr>
        <w:spacing w:line="560" w:lineRule="exact"/>
        <w:jc w:val="left"/>
        <w:rPr>
          <w:rFonts w:ascii="宋体" w:hAnsi="宋体" w:cs="宋体"/>
          <w:color w:val="auto"/>
          <w:szCs w:val="21"/>
          <w:highlight w:val="none"/>
        </w:rPr>
      </w:pPr>
    </w:p>
    <w:p>
      <w:pPr>
        <w:pStyle w:val="11"/>
        <w:rPr>
          <w:rFonts w:hAnsi="宋体" w:cs="宋体"/>
          <w:szCs w:val="21"/>
          <w:highlight w:val="none"/>
        </w:rPr>
      </w:pPr>
    </w:p>
    <w:p>
      <w:pPr>
        <w:rPr>
          <w:rFonts w:ascii="宋体" w:hAnsi="宋体" w:cs="宋体"/>
          <w:color w:val="auto"/>
          <w:szCs w:val="21"/>
          <w:highlight w:val="none"/>
        </w:rPr>
      </w:pPr>
    </w:p>
    <w:p>
      <w:pPr>
        <w:pStyle w:val="11"/>
        <w:rPr>
          <w:rFonts w:hAnsi="宋体" w:cs="宋体"/>
          <w:szCs w:val="21"/>
          <w:highlight w:val="none"/>
        </w:rPr>
      </w:pPr>
    </w:p>
    <w:p>
      <w:pPr>
        <w:rPr>
          <w:rFonts w:ascii="宋体" w:hAnsi="宋体" w:cs="宋体"/>
          <w:color w:val="auto"/>
          <w:szCs w:val="21"/>
          <w:highlight w:val="none"/>
        </w:rPr>
      </w:pPr>
    </w:p>
    <w:p>
      <w:pPr>
        <w:pStyle w:val="11"/>
        <w:rPr>
          <w:rFonts w:hAnsi="宋体" w:cs="宋体"/>
          <w:szCs w:val="21"/>
          <w:highlight w:val="none"/>
        </w:rPr>
      </w:pPr>
    </w:p>
    <w:p>
      <w:pPr>
        <w:rPr>
          <w:rFonts w:ascii="宋体" w:hAnsi="宋体" w:cs="宋体"/>
          <w:color w:val="auto"/>
          <w:szCs w:val="21"/>
          <w:highlight w:val="none"/>
        </w:rPr>
      </w:pPr>
    </w:p>
    <w:p>
      <w:pPr>
        <w:pStyle w:val="11"/>
        <w:rPr>
          <w:rFonts w:hAnsi="宋体" w:cs="宋体"/>
          <w:szCs w:val="21"/>
          <w:highlight w:val="none"/>
        </w:rPr>
      </w:pPr>
    </w:p>
    <w:p>
      <w:pPr>
        <w:rPr>
          <w:rFonts w:ascii="宋体" w:hAnsi="宋体" w:cs="宋体"/>
          <w:color w:val="auto"/>
          <w:szCs w:val="21"/>
          <w:highlight w:val="none"/>
        </w:rPr>
      </w:pPr>
    </w:p>
    <w:p>
      <w:pPr>
        <w:pStyle w:val="11"/>
        <w:rPr>
          <w:rFonts w:hAnsi="宋体" w:cs="宋体"/>
          <w:szCs w:val="21"/>
          <w:highlight w:val="none"/>
        </w:rPr>
      </w:pPr>
    </w:p>
    <w:p>
      <w:pPr>
        <w:rPr>
          <w:rFonts w:ascii="宋体" w:hAnsi="宋体" w:cs="宋体"/>
          <w:color w:val="auto"/>
          <w:szCs w:val="21"/>
          <w:highlight w:val="none"/>
        </w:rPr>
      </w:pPr>
    </w:p>
    <w:p>
      <w:pPr>
        <w:pStyle w:val="11"/>
        <w:rPr>
          <w:rFonts w:hAnsi="宋体" w:cs="宋体"/>
          <w:szCs w:val="21"/>
          <w:highlight w:val="none"/>
        </w:rPr>
      </w:pPr>
    </w:p>
    <w:p>
      <w:pPr>
        <w:rPr>
          <w:rFonts w:ascii="宋体" w:hAnsi="宋体" w:cs="宋体"/>
          <w:color w:val="auto"/>
          <w:szCs w:val="21"/>
          <w:highlight w:val="none"/>
        </w:rPr>
      </w:pPr>
    </w:p>
    <w:p>
      <w:pPr>
        <w:ind w:firstLine="280" w:firstLineChars="100"/>
        <w:rPr>
          <w:rFonts w:asciiTheme="minorEastAsia" w:hAnsiTheme="minorEastAsia" w:eastAsiaTheme="minorEastAsia" w:cstheme="minorEastAsia"/>
          <w:spacing w:val="30"/>
          <w:sz w:val="28"/>
          <w:szCs w:val="28"/>
          <w:highlight w:val="none"/>
        </w:rPr>
      </w:pPr>
      <w:r>
        <w:rPr>
          <w:rFonts w:hint="eastAsia" w:asciiTheme="minorEastAsia" w:hAnsiTheme="minorEastAsia" w:eastAsiaTheme="minorEastAsia" w:cstheme="minorEastAsia"/>
          <w:color w:val="333333"/>
          <w:sz w:val="28"/>
          <w:szCs w:val="28"/>
          <w:highlight w:val="none"/>
          <w:shd w:val="clear" w:color="auto" w:fill="FFFFFF"/>
        </w:rPr>
        <w:t>附件1</w:t>
      </w:r>
    </w:p>
    <w:p>
      <w:pPr>
        <w:widowControl w:val="0"/>
        <w:spacing w:line="500" w:lineRule="exact"/>
        <w:ind w:firstLine="482" w:firstLineChars="200"/>
        <w:jc w:val="center"/>
        <w:textAlignment w:val="auto"/>
        <w:rPr>
          <w:rFonts w:ascii="宋体" w:hAnsi="宋体" w:cs="宋体"/>
          <w:b/>
          <w:bCs/>
          <w:kern w:val="2"/>
          <w:sz w:val="24"/>
          <w:highlight w:val="none"/>
        </w:rPr>
      </w:pPr>
      <w:r>
        <w:rPr>
          <w:rFonts w:hint="eastAsia" w:ascii="宋体" w:hAnsi="宋体" w:cs="宋体"/>
          <w:b/>
          <w:bCs/>
          <w:kern w:val="2"/>
          <w:sz w:val="24"/>
          <w:highlight w:val="none"/>
        </w:rPr>
        <w:t>“政采贷”业务介绍</w:t>
      </w:r>
    </w:p>
    <w:p>
      <w:pPr>
        <w:widowControl w:val="0"/>
        <w:spacing w:line="500" w:lineRule="exact"/>
        <w:ind w:firstLine="480" w:firstLineChars="200"/>
        <w:textAlignment w:val="auto"/>
        <w:rPr>
          <w:rFonts w:ascii="宋体" w:hAnsi="宋体" w:cs="宋体"/>
          <w:kern w:val="2"/>
          <w:sz w:val="24"/>
          <w:highlight w:val="none"/>
        </w:rPr>
      </w:pPr>
      <w:r>
        <w:rPr>
          <w:rFonts w:hint="eastAsia" w:ascii="宋体" w:hAnsi="宋体" w:cs="宋体"/>
          <w:kern w:val="2"/>
          <w:sz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pPr>
        <w:widowControl w:val="0"/>
        <w:spacing w:line="500" w:lineRule="exact"/>
        <w:ind w:firstLine="480" w:firstLineChars="200"/>
        <w:textAlignment w:val="auto"/>
        <w:rPr>
          <w:rFonts w:ascii="宋体" w:hAnsi="宋体" w:cs="宋体"/>
          <w:sz w:val="24"/>
          <w:highlight w:val="none"/>
        </w:rPr>
      </w:pPr>
    </w:p>
    <w:p>
      <w:pPr>
        <w:ind w:firstLine="320" w:firstLineChars="100"/>
        <w:rPr>
          <w:rFonts w:ascii="黑体" w:hAnsi="黑体" w:eastAsia="黑体" w:cs="黑体"/>
          <w:color w:val="333333"/>
          <w:sz w:val="32"/>
          <w:szCs w:val="32"/>
          <w:highlight w:val="none"/>
          <w:shd w:val="clear" w:color="auto" w:fill="FFFFFF"/>
        </w:rPr>
      </w:pPr>
    </w:p>
    <w:p>
      <w:pPr>
        <w:ind w:firstLine="320" w:firstLineChars="100"/>
        <w:rPr>
          <w:rFonts w:ascii="黑体" w:hAnsi="黑体" w:eastAsia="黑体" w:cs="黑体"/>
          <w:color w:val="333333"/>
          <w:sz w:val="32"/>
          <w:szCs w:val="32"/>
          <w:highlight w:val="none"/>
          <w:shd w:val="clear" w:color="auto" w:fill="FFFFFF"/>
        </w:rPr>
      </w:pPr>
    </w:p>
    <w:p>
      <w:pPr>
        <w:ind w:firstLine="320" w:firstLineChars="100"/>
        <w:rPr>
          <w:rFonts w:ascii="黑体" w:hAnsi="黑体" w:eastAsia="黑体" w:cs="黑体"/>
          <w:color w:val="333333"/>
          <w:sz w:val="32"/>
          <w:szCs w:val="32"/>
          <w:highlight w:val="none"/>
          <w:shd w:val="clear" w:color="auto" w:fill="FFFFFF"/>
        </w:rPr>
      </w:pPr>
    </w:p>
    <w:p>
      <w:pPr>
        <w:ind w:firstLine="320" w:firstLineChars="100"/>
        <w:rPr>
          <w:rFonts w:ascii="黑体" w:hAnsi="黑体" w:eastAsia="黑体" w:cs="黑体"/>
          <w:color w:val="333333"/>
          <w:sz w:val="32"/>
          <w:szCs w:val="32"/>
          <w:highlight w:val="none"/>
          <w:shd w:val="clear" w:color="auto" w:fill="FFFFFF"/>
        </w:rPr>
      </w:pPr>
    </w:p>
    <w:p>
      <w:pPr>
        <w:ind w:firstLine="320" w:firstLineChars="100"/>
        <w:rPr>
          <w:rFonts w:ascii="黑体" w:hAnsi="黑体" w:eastAsia="黑体" w:cs="黑体"/>
          <w:color w:val="333333"/>
          <w:sz w:val="32"/>
          <w:szCs w:val="32"/>
          <w:highlight w:val="none"/>
          <w:shd w:val="clear" w:color="auto" w:fill="FFFFFF"/>
        </w:rPr>
      </w:pPr>
      <w:r>
        <w:rPr>
          <w:rFonts w:hint="eastAsia" w:ascii="黑体" w:hAnsi="黑体" w:eastAsia="黑体" w:cs="黑体"/>
          <w:color w:val="333333"/>
          <w:sz w:val="32"/>
          <w:szCs w:val="32"/>
          <w:highlight w:val="none"/>
          <w:shd w:val="clear" w:color="auto" w:fill="FFFFFF"/>
        </w:rPr>
        <w:br w:type="page"/>
      </w:r>
    </w:p>
    <w:p>
      <w:pPr>
        <w:ind w:firstLine="280" w:firstLineChars="100"/>
        <w:rPr>
          <w:rFonts w:asciiTheme="minorEastAsia" w:hAnsiTheme="minorEastAsia" w:eastAsiaTheme="minorEastAsia" w:cstheme="minorEastAsia"/>
          <w:color w:val="333333"/>
          <w:sz w:val="28"/>
          <w:szCs w:val="28"/>
          <w:highlight w:val="none"/>
          <w:shd w:val="clear" w:color="auto" w:fill="FFFFFF"/>
        </w:rPr>
      </w:pPr>
      <w:r>
        <w:rPr>
          <w:rFonts w:hint="eastAsia" w:asciiTheme="minorEastAsia" w:hAnsiTheme="minorEastAsia" w:eastAsiaTheme="minorEastAsia" w:cstheme="minorEastAsia"/>
          <w:color w:val="333333"/>
          <w:sz w:val="28"/>
          <w:szCs w:val="28"/>
          <w:highlight w:val="none"/>
          <w:shd w:val="clear" w:color="auto" w:fill="FFFFFF"/>
        </w:rPr>
        <w:t>附件2</w:t>
      </w:r>
    </w:p>
    <w:p>
      <w:pPr>
        <w:jc w:val="center"/>
        <w:rPr>
          <w:rFonts w:ascii="宋体" w:hAnsi="宋体" w:cs="宋体"/>
          <w:b/>
          <w:bCs/>
          <w:spacing w:val="-4"/>
          <w:w w:val="95"/>
          <w:kern w:val="2"/>
          <w:sz w:val="28"/>
          <w:szCs w:val="28"/>
          <w:highlight w:val="none"/>
        </w:rPr>
      </w:pPr>
      <w:r>
        <w:rPr>
          <w:rFonts w:hint="eastAsia" w:ascii="宋体" w:hAnsi="宋体" w:cs="宋体"/>
          <w:b/>
          <w:bCs/>
          <w:kern w:val="2"/>
          <w:sz w:val="24"/>
          <w:highlight w:val="none"/>
        </w:rPr>
        <w:t>陕西政府采购供应商信用融资信息服务平台操作手册</w:t>
      </w:r>
    </w:p>
    <w:p>
      <w:pPr>
        <w:pStyle w:val="9"/>
        <w:autoSpaceDE w:val="0"/>
        <w:autoSpaceDN w:val="0"/>
        <w:spacing w:line="590" w:lineRule="exact"/>
        <w:ind w:firstLine="480" w:firstLineChars="200"/>
        <w:rPr>
          <w:rFonts w:ascii="宋体" w:hAnsi="宋体" w:eastAsia="宋体" w:cs="宋体"/>
          <w:kern w:val="2"/>
          <w:sz w:val="24"/>
          <w:highlight w:val="none"/>
        </w:rPr>
      </w:pPr>
      <w:r>
        <w:rPr>
          <w:rFonts w:hint="eastAsia" w:ascii="宋体" w:hAnsi="宋体" w:eastAsia="宋体" w:cs="宋体"/>
          <w:kern w:val="2"/>
          <w:sz w:val="24"/>
          <w:highlight w:val="none"/>
        </w:rPr>
        <w:t>陕西政府采购供应商信用融资信息服务平台主要功能为：供应商凭中标项目或成交合提交融资意向，查看融资申请进度等功能，本操作手册将详细说明这些功能。</w:t>
      </w:r>
    </w:p>
    <w:p>
      <w:pPr>
        <w:pStyle w:val="9"/>
        <w:autoSpaceDE w:val="0"/>
        <w:autoSpaceDN w:val="0"/>
        <w:spacing w:line="590" w:lineRule="exact"/>
        <w:ind w:firstLine="480" w:firstLineChars="200"/>
        <w:rPr>
          <w:rFonts w:ascii="宋体" w:hAnsi="宋体" w:eastAsia="宋体" w:cs="宋体"/>
          <w:kern w:val="2"/>
          <w:sz w:val="24"/>
          <w:highlight w:val="none"/>
        </w:rPr>
      </w:pPr>
      <w:r>
        <w:rPr>
          <w:rFonts w:hint="eastAsia" w:ascii="宋体" w:hAnsi="宋体" w:eastAsia="宋体" w:cs="宋体"/>
          <w:kern w:val="2"/>
          <w:sz w:val="24"/>
          <w:highlight w:val="none"/>
        </w:rPr>
        <w:t>1、首页</w:t>
      </w:r>
    </w:p>
    <w:p>
      <w:pPr>
        <w:pStyle w:val="9"/>
        <w:autoSpaceDE w:val="0"/>
        <w:autoSpaceDN w:val="0"/>
        <w:spacing w:line="590" w:lineRule="exact"/>
        <w:ind w:firstLine="480" w:firstLineChars="200"/>
        <w:rPr>
          <w:rFonts w:ascii="宋体" w:hAnsi="宋体" w:eastAsia="宋体" w:cs="宋体"/>
          <w:kern w:val="2"/>
          <w:sz w:val="24"/>
          <w:highlight w:val="none"/>
        </w:rPr>
      </w:pPr>
      <w:r>
        <w:rPr>
          <w:rFonts w:hint="eastAsia" w:ascii="宋体" w:hAnsi="宋体" w:eastAsia="宋体" w:cs="宋体"/>
          <w:kern w:val="2"/>
          <w:sz w:val="24"/>
          <w:highlight w:val="none"/>
        </w:rPr>
        <w:t>平台首页主要呈现陕西政府采购信用融资相关政策法规、基本操作流程及供应商帮助内容，供应商企业可由登录注册模块登录平台。</w:t>
      </w:r>
    </w:p>
    <w:p>
      <w:pPr>
        <w:pStyle w:val="9"/>
        <w:autoSpaceDE w:val="0"/>
        <w:autoSpaceDN w:val="0"/>
        <w:spacing w:line="590" w:lineRule="exact"/>
        <w:ind w:firstLine="480" w:firstLineChars="200"/>
        <w:jc w:val="left"/>
        <w:rPr>
          <w:rFonts w:ascii="宋体" w:hAnsi="宋体" w:eastAsia="宋体" w:cs="宋体"/>
          <w:kern w:val="2"/>
          <w:sz w:val="24"/>
          <w:highlight w:val="none"/>
        </w:rPr>
      </w:pPr>
      <w:r>
        <w:rPr>
          <w:rFonts w:hint="eastAsia" w:ascii="宋体" w:hAnsi="宋体" w:eastAsia="宋体" w:cs="宋体"/>
          <w:kern w:val="2"/>
          <w:sz w:val="24"/>
          <w:highlight w:val="none"/>
        </w:rPr>
        <w:t>2、登录</w:t>
      </w:r>
    </w:p>
    <w:p>
      <w:pPr>
        <w:pStyle w:val="9"/>
        <w:autoSpaceDE w:val="0"/>
        <w:autoSpaceDN w:val="0"/>
        <w:spacing w:line="590" w:lineRule="exact"/>
        <w:jc w:val="left"/>
        <w:rPr>
          <w:rFonts w:ascii="宋体" w:hAnsi="宋体" w:eastAsia="宋体" w:cs="宋体"/>
          <w:kern w:val="2"/>
          <w:sz w:val="24"/>
          <w:highlight w:val="none"/>
        </w:rPr>
      </w:pPr>
      <w:r>
        <w:rPr>
          <w:rFonts w:hint="eastAsia" w:ascii="宋体" w:hAnsi="宋体" w:eastAsia="宋体" w:cs="宋体"/>
          <w:kern w:val="2"/>
          <w:sz w:val="24"/>
          <w:highlight w:val="none"/>
        </w:rPr>
        <w:t xml:space="preserve">    陕西政府采购网的中标企业可用手机号注册用户，注册时需要填写企业名称及社会统一信用代码等信息，如下图：</w:t>
      </w:r>
    </w:p>
    <w:p>
      <w:pPr>
        <w:pStyle w:val="9"/>
        <w:jc w:val="center"/>
        <w:rPr>
          <w:rFonts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478780" cy="3080385"/>
            <wp:effectExtent l="0" t="0" r="7620" b="13335"/>
            <wp:docPr id="15"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mmexport1630048836254"/>
                    <pic:cNvPicPr>
                      <a:picLocks noChangeAspect="1"/>
                    </pic:cNvPicPr>
                  </pic:nvPicPr>
                  <pic:blipFill>
                    <a:blip r:embed="rId21" cstate="print"/>
                    <a:stretch>
                      <a:fillRect/>
                    </a:stretch>
                  </pic:blipFill>
                  <pic:spPr>
                    <a:xfrm>
                      <a:off x="0" y="0"/>
                      <a:ext cx="5478780" cy="3080385"/>
                    </a:xfrm>
                    <a:prstGeom prst="rect">
                      <a:avLst/>
                    </a:prstGeom>
                    <a:noFill/>
                    <a:ln>
                      <a:noFill/>
                    </a:ln>
                  </pic:spPr>
                </pic:pic>
              </a:graphicData>
            </a:graphic>
          </wp:inline>
        </w:drawing>
      </w:r>
    </w:p>
    <w:p>
      <w:pPr>
        <w:pStyle w:val="9"/>
        <w:spacing w:before="69"/>
        <w:rPr>
          <w:rFonts w:ascii="宋体" w:hAnsi="宋体" w:eastAsia="宋体" w:cs="宋体"/>
          <w:kern w:val="2"/>
          <w:sz w:val="24"/>
          <w:highlight w:val="none"/>
        </w:rPr>
      </w:pPr>
      <w:r>
        <w:rPr>
          <w:rFonts w:hint="eastAsia" w:ascii="宋体" w:hAnsi="宋体" w:eastAsia="宋体" w:cs="宋体"/>
          <w:sz w:val="24"/>
          <w:szCs w:val="24"/>
          <w:highlight w:val="none"/>
        </w:rPr>
        <w:t xml:space="preserve">     </w:t>
      </w:r>
      <w:r>
        <w:rPr>
          <w:rFonts w:hint="eastAsia" w:ascii="宋体" w:hAnsi="宋体" w:eastAsia="宋体" w:cs="宋体"/>
          <w:kern w:val="2"/>
          <w:sz w:val="24"/>
          <w:highlight w:val="none"/>
        </w:rPr>
        <w:t>注册成功后，凭手机登录平台，如下图，点击首页：</w:t>
      </w:r>
    </w:p>
    <w:p>
      <w:pPr>
        <w:pStyle w:val="9"/>
        <w:spacing w:before="1"/>
        <w:jc w:val="center"/>
        <w:rPr>
          <w:rFonts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478780" cy="3080385"/>
            <wp:effectExtent l="0" t="0" r="7620" b="13335"/>
            <wp:docPr id="14"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2"/>
                    <pic:cNvPicPr>
                      <a:picLocks noChangeAspect="1"/>
                    </pic:cNvPicPr>
                  </pic:nvPicPr>
                  <pic:blipFill>
                    <a:blip r:embed="rId22" cstate="print"/>
                    <a:stretch>
                      <a:fillRect/>
                    </a:stretch>
                  </pic:blipFill>
                  <pic:spPr>
                    <a:xfrm>
                      <a:off x="0" y="0"/>
                      <a:ext cx="5478780" cy="3080385"/>
                    </a:xfrm>
                    <a:prstGeom prst="rect">
                      <a:avLst/>
                    </a:prstGeom>
                    <a:noFill/>
                    <a:ln>
                      <a:noFill/>
                    </a:ln>
                  </pic:spPr>
                </pic:pic>
              </a:graphicData>
            </a:graphic>
          </wp:inline>
        </w:drawing>
      </w:r>
    </w:p>
    <w:p>
      <w:pPr>
        <w:pStyle w:val="9"/>
        <w:autoSpaceDE w:val="0"/>
        <w:autoSpaceDN w:val="0"/>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kern w:val="2"/>
          <w:sz w:val="24"/>
          <w:highlight w:val="none"/>
        </w:rPr>
        <w:t>、</w:t>
      </w:r>
      <w:r>
        <w:rPr>
          <w:rFonts w:hint="eastAsia" w:ascii="宋体" w:hAnsi="宋体" w:eastAsia="宋体" w:cs="宋体"/>
          <w:sz w:val="24"/>
          <w:szCs w:val="24"/>
          <w:highlight w:val="none"/>
        </w:rPr>
        <w:t>点击“可融资项目/合同”，再点击申请贷款：</w:t>
      </w:r>
    </w:p>
    <w:p>
      <w:pPr>
        <w:pStyle w:val="9"/>
        <w:autoSpaceDE w:val="0"/>
        <w:autoSpaceDN w:val="0"/>
        <w:rPr>
          <w:rFonts w:ascii="宋体" w:hAnsi="宋体" w:eastAsia="宋体" w:cs="宋体"/>
          <w:sz w:val="24"/>
          <w:szCs w:val="24"/>
          <w:highlight w:val="none"/>
        </w:rPr>
      </w:pPr>
    </w:p>
    <w:p>
      <w:pPr>
        <w:pStyle w:val="9"/>
        <w:autoSpaceDE w:val="0"/>
        <w:autoSpaceDN w:val="0"/>
        <w:rPr>
          <w:rFonts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rPr>
        <w:drawing>
          <wp:inline distT="0" distB="0" distL="114300" distR="114300">
            <wp:extent cx="5464175" cy="3072130"/>
            <wp:effectExtent l="0" t="0" r="6985" b="6350"/>
            <wp:docPr id="1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5"/>
                    <pic:cNvPicPr>
                      <a:picLocks noChangeAspect="1"/>
                    </pic:cNvPicPr>
                  </pic:nvPicPr>
                  <pic:blipFill>
                    <a:blip r:embed="rId23" cstate="print"/>
                    <a:stretch>
                      <a:fillRect/>
                    </a:stretch>
                  </pic:blipFill>
                  <pic:spPr>
                    <a:xfrm>
                      <a:off x="0" y="0"/>
                      <a:ext cx="5464175" cy="3072130"/>
                    </a:xfrm>
                    <a:prstGeom prst="rect">
                      <a:avLst/>
                    </a:prstGeom>
                    <a:noFill/>
                    <a:ln>
                      <a:noFill/>
                    </a:ln>
                  </pic:spPr>
                </pic:pic>
              </a:graphicData>
            </a:graphic>
          </wp:inline>
        </w:drawing>
      </w:r>
    </w:p>
    <w:p>
      <w:pPr>
        <w:pStyle w:val="9"/>
        <w:rPr>
          <w:rFonts w:ascii="宋体" w:hAnsi="宋体" w:eastAsia="宋体" w:cs="宋体"/>
          <w:sz w:val="24"/>
          <w:szCs w:val="24"/>
          <w:highlight w:val="none"/>
        </w:rPr>
      </w:pPr>
    </w:p>
    <w:p>
      <w:pPr>
        <w:pStyle w:val="9"/>
        <w:ind w:firstLine="480" w:firstLineChars="200"/>
        <w:rPr>
          <w:rFonts w:ascii="宋体" w:hAnsi="宋体" w:eastAsia="宋体" w:cs="宋体"/>
          <w:kern w:val="2"/>
          <w:sz w:val="24"/>
          <w:highlight w:val="none"/>
        </w:rPr>
      </w:pPr>
      <w:r>
        <w:rPr>
          <w:rFonts w:hint="eastAsia" w:ascii="宋体" w:hAnsi="宋体" w:eastAsia="宋体" w:cs="宋体"/>
          <w:kern w:val="2"/>
          <w:sz w:val="24"/>
          <w:highlight w:val="none"/>
        </w:rPr>
        <w:t>4、勾选融资意向书：</w:t>
      </w:r>
    </w:p>
    <w:p>
      <w:pPr>
        <w:pStyle w:val="9"/>
        <w:jc w:val="center"/>
        <w:rPr>
          <w:rFonts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464175" cy="3072130"/>
            <wp:effectExtent l="0" t="0" r="6985" b="6350"/>
            <wp:docPr id="12"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4"/>
                    <pic:cNvPicPr>
                      <a:picLocks noChangeAspect="1"/>
                    </pic:cNvPicPr>
                  </pic:nvPicPr>
                  <pic:blipFill>
                    <a:blip r:embed="rId24" cstate="print"/>
                    <a:stretch>
                      <a:fillRect/>
                    </a:stretch>
                  </pic:blipFill>
                  <pic:spPr>
                    <a:xfrm>
                      <a:off x="0" y="0"/>
                      <a:ext cx="5464175" cy="3072130"/>
                    </a:xfrm>
                    <a:prstGeom prst="rect">
                      <a:avLst/>
                    </a:prstGeom>
                    <a:noFill/>
                    <a:ln>
                      <a:noFill/>
                    </a:ln>
                  </pic:spPr>
                </pic:pic>
              </a:graphicData>
            </a:graphic>
          </wp:inline>
        </w:drawing>
      </w:r>
    </w:p>
    <w:p>
      <w:pPr>
        <w:pStyle w:val="9"/>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kern w:val="2"/>
          <w:sz w:val="24"/>
          <w:highlight w:val="none"/>
        </w:rPr>
        <w:t>、</w:t>
      </w:r>
      <w:r>
        <w:rPr>
          <w:rFonts w:hint="eastAsia" w:ascii="宋体" w:hAnsi="宋体" w:eastAsia="宋体" w:cs="宋体"/>
          <w:sz w:val="24"/>
          <w:szCs w:val="24"/>
          <w:highlight w:val="none"/>
        </w:rPr>
        <w:t>页面下拉，输入贷款金额、预计用款周期、可接受利率、贷款资金用途，点击保存，选择办理贷款机构所在地，例如：长安区韦曲街道，然后点击下一步。</w:t>
      </w:r>
    </w:p>
    <w:p>
      <w:pPr>
        <w:pStyle w:val="9"/>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478780" cy="3080385"/>
            <wp:effectExtent l="0" t="0" r="7620" b="13335"/>
            <wp:docPr id="11"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6"/>
                    <pic:cNvPicPr>
                      <a:picLocks noChangeAspect="1"/>
                    </pic:cNvPicPr>
                  </pic:nvPicPr>
                  <pic:blipFill>
                    <a:blip r:embed="rId25" cstate="print"/>
                    <a:stretch>
                      <a:fillRect/>
                    </a:stretch>
                  </pic:blipFill>
                  <pic:spPr>
                    <a:xfrm>
                      <a:off x="0" y="0"/>
                      <a:ext cx="5478780" cy="3080385"/>
                    </a:xfrm>
                    <a:prstGeom prst="rect">
                      <a:avLst/>
                    </a:prstGeom>
                    <a:noFill/>
                    <a:ln>
                      <a:noFill/>
                    </a:ln>
                  </pic:spPr>
                </pic:pic>
              </a:graphicData>
            </a:graphic>
          </wp:inline>
        </w:drawing>
      </w:r>
    </w:p>
    <w:p>
      <w:pPr>
        <w:pStyle w:val="9"/>
        <w:spacing w:before="10"/>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w:t>
      </w:r>
      <w:r>
        <w:rPr>
          <w:rFonts w:hint="eastAsia" w:ascii="宋体" w:hAnsi="宋体" w:eastAsia="宋体" w:cs="宋体"/>
          <w:kern w:val="2"/>
          <w:sz w:val="24"/>
          <w:highlight w:val="none"/>
        </w:rPr>
        <w:t>、</w:t>
      </w:r>
      <w:r>
        <w:rPr>
          <w:rFonts w:hint="eastAsia" w:ascii="宋体" w:hAnsi="宋体" w:eastAsia="宋体" w:cs="宋体"/>
          <w:sz w:val="24"/>
          <w:szCs w:val="24"/>
          <w:highlight w:val="none"/>
        </w:rPr>
        <w:t>在意向银行列点击提交贷款意向并确定：</w:t>
      </w:r>
    </w:p>
    <w:p>
      <w:pPr>
        <w:pStyle w:val="9"/>
        <w:spacing w:before="10"/>
        <w:jc w:val="center"/>
        <w:rPr>
          <w:rFonts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478780" cy="3080385"/>
            <wp:effectExtent l="0" t="0" r="7620" b="13335"/>
            <wp:docPr id="10"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8"/>
                    <pic:cNvPicPr>
                      <a:picLocks noChangeAspect="1"/>
                    </pic:cNvPicPr>
                  </pic:nvPicPr>
                  <pic:blipFill>
                    <a:blip r:embed="rId26" cstate="print"/>
                    <a:stretch>
                      <a:fillRect/>
                    </a:stretch>
                  </pic:blipFill>
                  <pic:spPr>
                    <a:xfrm>
                      <a:off x="0" y="0"/>
                      <a:ext cx="5478780" cy="3080385"/>
                    </a:xfrm>
                    <a:prstGeom prst="rect">
                      <a:avLst/>
                    </a:prstGeom>
                    <a:noFill/>
                    <a:ln>
                      <a:noFill/>
                    </a:ln>
                  </pic:spPr>
                </pic:pic>
              </a:graphicData>
            </a:graphic>
          </wp:inline>
        </w:drawing>
      </w:r>
    </w:p>
    <w:p>
      <w:pPr>
        <w:pStyle w:val="9"/>
        <w:spacing w:before="10"/>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7</w:t>
      </w:r>
      <w:r>
        <w:rPr>
          <w:rFonts w:hint="eastAsia" w:ascii="宋体" w:hAnsi="宋体" w:eastAsia="宋体" w:cs="宋体"/>
          <w:kern w:val="2"/>
          <w:sz w:val="24"/>
          <w:highlight w:val="none"/>
        </w:rPr>
        <w:t>、</w:t>
      </w:r>
      <w:r>
        <w:rPr>
          <w:rFonts w:hint="eastAsia" w:ascii="宋体" w:hAnsi="宋体" w:eastAsia="宋体" w:cs="宋体"/>
          <w:sz w:val="24"/>
          <w:szCs w:val="24"/>
          <w:highlight w:val="none"/>
        </w:rPr>
        <w:t>在申请进度栏即可查看本笔融资进度：</w:t>
      </w:r>
    </w:p>
    <w:p>
      <w:pPr>
        <w:rPr>
          <w:highlight w:val="none"/>
        </w:rPr>
      </w:pPr>
    </w:p>
    <w:p>
      <w:pPr>
        <w:pStyle w:val="9"/>
        <w:spacing w:before="10"/>
        <w:jc w:val="center"/>
        <w:rPr>
          <w:rFonts w:ascii="宋体" w:hAnsi="宋体" w:eastAsia="宋体" w:cs="宋体"/>
          <w:sz w:val="28"/>
          <w:szCs w:val="28"/>
          <w:highlight w:val="none"/>
        </w:rPr>
      </w:pPr>
      <w:r>
        <w:rPr>
          <w:rFonts w:hint="eastAsia" w:ascii="宋体" w:hAnsi="宋体" w:eastAsia="宋体" w:cs="宋体"/>
          <w:sz w:val="24"/>
          <w:szCs w:val="24"/>
          <w:highlight w:val="none"/>
        </w:rPr>
        <w:drawing>
          <wp:inline distT="0" distB="0" distL="114300" distR="114300">
            <wp:extent cx="5464175" cy="3072130"/>
            <wp:effectExtent l="0" t="0" r="6985" b="6350"/>
            <wp:docPr id="1"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10"/>
                    <pic:cNvPicPr>
                      <a:picLocks noChangeAspect="1"/>
                    </pic:cNvPicPr>
                  </pic:nvPicPr>
                  <pic:blipFill>
                    <a:blip r:embed="rId27" cstate="print"/>
                    <a:stretch>
                      <a:fillRect/>
                    </a:stretch>
                  </pic:blipFill>
                  <pic:spPr>
                    <a:xfrm>
                      <a:off x="0" y="0"/>
                      <a:ext cx="5464175" cy="3072130"/>
                    </a:xfrm>
                    <a:prstGeom prst="rect">
                      <a:avLst/>
                    </a:prstGeom>
                    <a:noFill/>
                    <a:ln>
                      <a:noFill/>
                    </a:ln>
                  </pic:spPr>
                </pic:pic>
              </a:graphicData>
            </a:graphic>
          </wp:inline>
        </w:drawing>
      </w:r>
    </w:p>
    <w:p>
      <w:pPr>
        <w:pStyle w:val="9"/>
        <w:ind w:left="122"/>
        <w:rPr>
          <w:rFonts w:ascii="宋体" w:hAnsi="宋体" w:eastAsia="宋体" w:cs="宋体"/>
          <w:sz w:val="28"/>
          <w:szCs w:val="28"/>
          <w:highlight w:val="none"/>
        </w:rPr>
      </w:pPr>
      <w:r>
        <w:rPr>
          <w:rFonts w:hint="eastAsia" w:ascii="宋体" w:hAnsi="宋体" w:eastAsia="宋体" w:cs="宋体"/>
          <w:sz w:val="28"/>
          <w:szCs w:val="28"/>
          <w:highlight w:val="none"/>
        </w:rPr>
        <w:t xml:space="preserve"> </w:t>
      </w:r>
    </w:p>
    <w:p>
      <w:pPr>
        <w:rPr>
          <w:rFonts w:ascii="微软雅黑" w:hAnsi="微软雅黑" w:eastAsia="微软雅黑" w:cs="微软雅黑"/>
          <w:color w:val="333333"/>
          <w:sz w:val="24"/>
          <w:highlight w:val="none"/>
          <w:shd w:val="clear" w:color="auto" w:fill="FFFFFF"/>
        </w:rPr>
      </w:pPr>
    </w:p>
    <w:p>
      <w:pPr>
        <w:rPr>
          <w:rFonts w:ascii="微软雅黑" w:hAnsi="微软雅黑" w:eastAsia="微软雅黑" w:cs="微软雅黑"/>
          <w:color w:val="333333"/>
          <w:sz w:val="24"/>
          <w:highlight w:val="none"/>
          <w:shd w:val="clear" w:color="auto" w:fill="FFFFFF"/>
        </w:rPr>
      </w:pPr>
    </w:p>
    <w:p>
      <w:pPr>
        <w:rPr>
          <w:rFonts w:ascii="微软雅黑" w:hAnsi="微软雅黑" w:eastAsia="微软雅黑" w:cs="微软雅黑"/>
          <w:color w:val="333333"/>
          <w:sz w:val="24"/>
          <w:highlight w:val="none"/>
          <w:shd w:val="clear" w:color="auto" w:fill="FFFFFF"/>
        </w:rPr>
      </w:pPr>
    </w:p>
    <w:p>
      <w:pPr>
        <w:rPr>
          <w:rFonts w:ascii="微软雅黑" w:hAnsi="微软雅黑" w:eastAsia="微软雅黑" w:cs="微软雅黑"/>
          <w:color w:val="333333"/>
          <w:sz w:val="24"/>
          <w:highlight w:val="none"/>
          <w:shd w:val="clear" w:color="auto" w:fill="FFFFFF"/>
        </w:rPr>
      </w:pPr>
      <w:r>
        <w:rPr>
          <w:rFonts w:ascii="微软雅黑" w:hAnsi="微软雅黑" w:eastAsia="微软雅黑" w:cs="微软雅黑"/>
          <w:color w:val="333333"/>
          <w:sz w:val="24"/>
          <w:highlight w:val="none"/>
          <w:shd w:val="clear" w:color="auto" w:fill="FFFFFF"/>
        </w:rPr>
        <w:br w:type="page"/>
      </w:r>
    </w:p>
    <w:p>
      <w:pPr>
        <w:ind w:firstLine="280" w:firstLineChars="100"/>
        <w:rPr>
          <w:rFonts w:asciiTheme="minorEastAsia" w:hAnsiTheme="minorEastAsia" w:eastAsiaTheme="minorEastAsia" w:cstheme="minorEastAsia"/>
          <w:color w:val="333333"/>
          <w:sz w:val="28"/>
          <w:szCs w:val="28"/>
          <w:highlight w:val="none"/>
          <w:shd w:val="clear" w:color="auto" w:fill="FFFFFF"/>
        </w:rPr>
      </w:pPr>
      <w:r>
        <w:rPr>
          <w:rFonts w:hint="eastAsia" w:asciiTheme="minorEastAsia" w:hAnsiTheme="minorEastAsia" w:eastAsiaTheme="minorEastAsia" w:cstheme="minorEastAsia"/>
          <w:color w:val="333333"/>
          <w:sz w:val="28"/>
          <w:szCs w:val="28"/>
          <w:highlight w:val="none"/>
          <w:shd w:val="clear" w:color="auto" w:fill="FFFFFF"/>
        </w:rPr>
        <w:t>附件3</w:t>
      </w:r>
    </w:p>
    <w:tbl>
      <w:tblPr>
        <w:tblStyle w:val="22"/>
        <w:tblpPr w:leftFromText="180" w:rightFromText="180" w:vertAnchor="text" w:horzAnchor="page" w:tblpX="1585" w:tblpY="614"/>
        <w:tblOverlap w:val="never"/>
        <w:tblW w:w="8970" w:type="dxa"/>
        <w:tblInd w:w="0" w:type="dxa"/>
        <w:tblLayout w:type="fixed"/>
        <w:tblCellMar>
          <w:top w:w="0" w:type="dxa"/>
          <w:left w:w="108" w:type="dxa"/>
          <w:bottom w:w="0" w:type="dxa"/>
          <w:right w:w="108" w:type="dxa"/>
        </w:tblCellMar>
      </w:tblPr>
      <w:tblGrid>
        <w:gridCol w:w="750"/>
        <w:gridCol w:w="3716"/>
        <w:gridCol w:w="2224"/>
        <w:gridCol w:w="2280"/>
      </w:tblGrid>
      <w:tr>
        <w:tblPrEx>
          <w:tblCellMar>
            <w:top w:w="0" w:type="dxa"/>
            <w:left w:w="108" w:type="dxa"/>
            <w:bottom w:w="0" w:type="dxa"/>
            <w:right w:w="108" w:type="dxa"/>
          </w:tblCellMar>
        </w:tblPrEx>
        <w:trPr>
          <w:trHeight w:val="1060" w:hRule="atLeast"/>
        </w:trPr>
        <w:tc>
          <w:tcPr>
            <w:tcW w:w="8970" w:type="dxa"/>
            <w:gridSpan w:val="4"/>
            <w:tcBorders>
              <w:top w:val="nil"/>
              <w:left w:val="nil"/>
              <w:bottom w:val="nil"/>
              <w:right w:val="nil"/>
            </w:tcBorders>
            <w:noWrap/>
            <w:vAlign w:val="center"/>
          </w:tcPr>
          <w:p>
            <w:pPr>
              <w:jc w:val="center"/>
              <w:textAlignment w:val="center"/>
              <w:rPr>
                <w:rFonts w:ascii="方正小标宋简体" w:hAnsi="方正小标宋简体" w:eastAsia="方正小标宋简体" w:cs="方正小标宋简体"/>
                <w:kern w:val="2"/>
                <w:sz w:val="36"/>
                <w:szCs w:val="36"/>
                <w:highlight w:val="none"/>
              </w:rPr>
            </w:pPr>
            <w:r>
              <w:rPr>
                <w:rFonts w:hint="eastAsia" w:ascii="方正小标宋简体" w:hAnsi="方正小标宋简体" w:eastAsia="方正小标宋简体" w:cs="方正小标宋简体"/>
                <w:sz w:val="36"/>
                <w:szCs w:val="36"/>
                <w:highlight w:val="none"/>
              </w:rPr>
              <w:t>长安区开展政采贷业务银行联系方式</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bCs/>
                <w:kern w:val="2"/>
                <w:sz w:val="22"/>
                <w:szCs w:val="22"/>
                <w:highlight w:val="none"/>
              </w:rPr>
            </w:pPr>
            <w:r>
              <w:rPr>
                <w:rFonts w:hint="eastAsia" w:ascii="宋体" w:hAnsi="宋体" w:cs="宋体"/>
                <w:b/>
                <w:bCs/>
                <w:sz w:val="22"/>
                <w:szCs w:val="22"/>
                <w:highlight w:val="none"/>
              </w:rPr>
              <w:t>序号</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bCs/>
                <w:kern w:val="2"/>
                <w:sz w:val="24"/>
                <w:szCs w:val="24"/>
                <w:highlight w:val="none"/>
              </w:rPr>
            </w:pPr>
            <w:r>
              <w:rPr>
                <w:rFonts w:hint="eastAsia" w:ascii="宋体" w:hAnsi="宋体" w:cs="宋体"/>
                <w:b/>
                <w:bCs/>
                <w:sz w:val="24"/>
                <w:szCs w:val="24"/>
                <w:highlight w:val="none"/>
              </w:rPr>
              <w:t>银行名称</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bCs/>
                <w:kern w:val="2"/>
                <w:sz w:val="24"/>
                <w:szCs w:val="24"/>
                <w:highlight w:val="none"/>
              </w:rPr>
            </w:pPr>
            <w:r>
              <w:rPr>
                <w:rFonts w:hint="eastAsia" w:ascii="宋体" w:hAnsi="宋体" w:cs="宋体"/>
                <w:b/>
                <w:bCs/>
                <w:sz w:val="24"/>
                <w:szCs w:val="24"/>
                <w:highlight w:val="none"/>
              </w:rPr>
              <w:t>联系人</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bCs/>
                <w:kern w:val="2"/>
                <w:sz w:val="24"/>
                <w:szCs w:val="24"/>
                <w:highlight w:val="none"/>
              </w:rPr>
            </w:pPr>
            <w:r>
              <w:rPr>
                <w:rFonts w:hint="eastAsia" w:ascii="宋体" w:hAnsi="宋体" w:cs="宋体"/>
                <w:b/>
                <w:bCs/>
                <w:sz w:val="24"/>
                <w:szCs w:val="24"/>
                <w:highlight w:val="none"/>
              </w:rPr>
              <w:t>电话</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2"/>
                <w:szCs w:val="22"/>
                <w:highlight w:val="none"/>
              </w:rPr>
            </w:pPr>
            <w:r>
              <w:rPr>
                <w:rFonts w:hint="eastAsia" w:ascii="宋体" w:hAnsi="宋体" w:cs="宋体"/>
                <w:sz w:val="22"/>
                <w:szCs w:val="22"/>
                <w:highlight w:val="none"/>
              </w:rPr>
              <w:t>1</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中信银行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张天宇</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15102968497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2"/>
                <w:szCs w:val="22"/>
                <w:highlight w:val="none"/>
              </w:rPr>
            </w:pPr>
            <w:r>
              <w:rPr>
                <w:rFonts w:hint="eastAsia" w:ascii="宋体" w:hAnsi="宋体" w:cs="宋体"/>
                <w:sz w:val="22"/>
                <w:szCs w:val="22"/>
                <w:highlight w:val="none"/>
              </w:rPr>
              <w:t>2</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中国银行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王  羡</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029-81563158</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2"/>
                <w:szCs w:val="22"/>
                <w:highlight w:val="none"/>
              </w:rPr>
            </w:pPr>
            <w:r>
              <w:rPr>
                <w:rFonts w:hint="eastAsia" w:ascii="宋体" w:hAnsi="宋体" w:cs="宋体"/>
                <w:sz w:val="22"/>
                <w:szCs w:val="22"/>
                <w:highlight w:val="none"/>
              </w:rPr>
              <w:t>3</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西安市长安区农村信用合作联社</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高  锋</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029-89230551</w:t>
            </w:r>
          </w:p>
        </w:tc>
      </w:tr>
      <w:tr>
        <w:tblPrEx>
          <w:tblCellMar>
            <w:top w:w="0" w:type="dxa"/>
            <w:left w:w="108" w:type="dxa"/>
            <w:bottom w:w="0" w:type="dxa"/>
            <w:right w:w="108" w:type="dxa"/>
          </w:tblCellMar>
        </w:tblPrEx>
        <w:trPr>
          <w:trHeight w:val="600" w:hRule="atLeast"/>
        </w:trPr>
        <w:tc>
          <w:tcPr>
            <w:tcW w:w="750"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2"/>
                <w:szCs w:val="22"/>
                <w:highlight w:val="none"/>
              </w:rPr>
            </w:pPr>
            <w:r>
              <w:rPr>
                <w:rFonts w:hint="eastAsia" w:ascii="宋体" w:hAnsi="宋体" w:cs="宋体"/>
                <w:sz w:val="22"/>
                <w:szCs w:val="22"/>
                <w:highlight w:val="none"/>
              </w:rPr>
              <w:t>4</w:t>
            </w:r>
          </w:p>
        </w:tc>
        <w:tc>
          <w:tcPr>
            <w:tcW w:w="3716"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浦发银行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雷  超</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13992895375</w:t>
            </w:r>
          </w:p>
        </w:tc>
      </w:tr>
      <w:tr>
        <w:tblPrEx>
          <w:tblCellMar>
            <w:top w:w="0" w:type="dxa"/>
            <w:left w:w="108" w:type="dxa"/>
            <w:bottom w:w="0" w:type="dxa"/>
            <w:right w:w="108" w:type="dxa"/>
          </w:tblCellMar>
        </w:tblPrEx>
        <w:trPr>
          <w:trHeight w:val="600" w:hRule="atLeast"/>
        </w:trPr>
        <w:tc>
          <w:tcPr>
            <w:tcW w:w="7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kern w:val="2"/>
                <w:sz w:val="22"/>
                <w:szCs w:val="22"/>
                <w:highlight w:val="none"/>
              </w:rPr>
            </w:pPr>
          </w:p>
        </w:tc>
        <w:tc>
          <w:tcPr>
            <w:tcW w:w="37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kern w:val="2"/>
                <w:sz w:val="24"/>
                <w:szCs w:val="24"/>
                <w:highlight w:val="none"/>
              </w:rPr>
            </w:pPr>
          </w:p>
        </w:tc>
        <w:tc>
          <w:tcPr>
            <w:tcW w:w="222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李  昊</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15209277417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2"/>
                <w:szCs w:val="22"/>
                <w:highlight w:val="none"/>
              </w:rPr>
            </w:pPr>
            <w:r>
              <w:rPr>
                <w:rFonts w:hint="eastAsia" w:ascii="宋体" w:hAnsi="宋体" w:cs="宋体"/>
                <w:sz w:val="22"/>
                <w:szCs w:val="22"/>
                <w:highlight w:val="none"/>
              </w:rPr>
              <w:t>5</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北京银行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陈  明</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18149209660</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2"/>
                <w:szCs w:val="22"/>
                <w:highlight w:val="none"/>
              </w:rPr>
            </w:pPr>
            <w:r>
              <w:rPr>
                <w:rFonts w:hint="eastAsia" w:ascii="宋体" w:hAnsi="宋体" w:cs="宋体"/>
                <w:sz w:val="22"/>
                <w:szCs w:val="22"/>
                <w:highlight w:val="none"/>
              </w:rPr>
              <w:t>6</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兴业银行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孙  健</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18591051627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2"/>
                <w:szCs w:val="22"/>
                <w:highlight w:val="none"/>
              </w:rPr>
            </w:pPr>
            <w:r>
              <w:rPr>
                <w:rFonts w:hint="eastAsia" w:ascii="宋体" w:hAnsi="宋体" w:cs="宋体"/>
                <w:sz w:val="22"/>
                <w:szCs w:val="22"/>
                <w:highlight w:val="none"/>
              </w:rPr>
              <w:t>7</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中国建设银行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孙振荣</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18792546729</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2"/>
                <w:szCs w:val="22"/>
                <w:highlight w:val="none"/>
              </w:rPr>
            </w:pPr>
            <w:r>
              <w:rPr>
                <w:rFonts w:hint="eastAsia" w:ascii="宋体" w:hAnsi="宋体" w:cs="宋体"/>
                <w:sz w:val="22"/>
                <w:szCs w:val="22"/>
                <w:highlight w:val="none"/>
              </w:rPr>
              <w:t>8</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中国工商银行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李碧莹</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kern w:val="2"/>
                <w:sz w:val="24"/>
                <w:szCs w:val="24"/>
                <w:highlight w:val="none"/>
              </w:rPr>
            </w:pPr>
            <w:r>
              <w:rPr>
                <w:rFonts w:hint="eastAsia" w:ascii="宋体" w:hAnsi="宋体" w:cs="宋体"/>
                <w:sz w:val="24"/>
                <w:szCs w:val="24"/>
                <w:highlight w:val="none"/>
              </w:rPr>
              <w:t>13809159860</w:t>
            </w:r>
          </w:p>
        </w:tc>
      </w:tr>
    </w:tbl>
    <w:p>
      <w:pPr>
        <w:pStyle w:val="11"/>
        <w:rPr>
          <w:highlight w:val="none"/>
        </w:rPr>
        <w:sectPr>
          <w:footerReference r:id="rId11" w:type="first"/>
          <w:footerReference r:id="rId10" w:type="default"/>
          <w:pgSz w:w="11906" w:h="16838"/>
          <w:pgMar w:top="1440" w:right="1080" w:bottom="1440" w:left="1080" w:header="284" w:footer="680" w:gutter="0"/>
          <w:pgNumType w:start="1"/>
          <w:cols w:space="720" w:num="1"/>
          <w:docGrid w:type="lines" w:linePitch="312" w:charSpace="0"/>
        </w:sectPr>
      </w:pPr>
    </w:p>
    <w:p>
      <w:pPr>
        <w:pStyle w:val="3"/>
        <w:numPr>
          <w:ilvl w:val="0"/>
          <w:numId w:val="5"/>
        </w:numPr>
        <w:rPr>
          <w:rFonts w:ascii="宋体" w:hAnsi="宋体" w:cs="宋体"/>
          <w:color w:val="auto"/>
          <w:highlight w:val="none"/>
        </w:rPr>
      </w:pPr>
      <w:r>
        <w:rPr>
          <w:rFonts w:hint="eastAsia" w:ascii="宋体" w:hAnsi="宋体" w:cs="宋体"/>
          <w:color w:val="auto"/>
          <w:highlight w:val="none"/>
          <w:lang w:val="zh-CN"/>
        </w:rPr>
        <w:t xml:space="preserve"> </w:t>
      </w:r>
      <w:bookmarkStart w:id="37" w:name="_Toc30254"/>
      <w:r>
        <w:rPr>
          <w:rFonts w:hint="eastAsia" w:ascii="宋体" w:hAnsi="宋体" w:cs="宋体"/>
          <w:color w:val="auto"/>
          <w:highlight w:val="none"/>
          <w:lang w:val="zh-CN"/>
        </w:rPr>
        <w:t>磋商内容及商务要求</w:t>
      </w:r>
      <w:bookmarkEnd w:id="29"/>
      <w:bookmarkEnd w:id="30"/>
      <w:bookmarkEnd w:id="31"/>
      <w:bookmarkEnd w:id="32"/>
      <w:bookmarkEnd w:id="33"/>
      <w:bookmarkEnd w:id="34"/>
      <w:bookmarkEnd w:id="37"/>
      <w:bookmarkStart w:id="38" w:name="_Toc24115"/>
      <w:bookmarkStart w:id="39" w:name="_Toc26038"/>
      <w:bookmarkStart w:id="40" w:name="_Toc25253"/>
      <w:bookmarkStart w:id="41" w:name="_Toc3773"/>
      <w:bookmarkStart w:id="42" w:name="_Toc15858"/>
    </w:p>
    <w:p>
      <w:pPr>
        <w:spacing w:line="360" w:lineRule="auto"/>
        <w:ind w:firstLine="422" w:firstLineChars="200"/>
        <w:outlineLvl w:val="1"/>
        <w:rPr>
          <w:rFonts w:ascii="宋体" w:hAnsi="宋体" w:cs="宋体"/>
          <w:b/>
          <w:bCs/>
          <w:color w:val="auto"/>
          <w:szCs w:val="21"/>
          <w:highlight w:val="none"/>
        </w:rPr>
      </w:pPr>
      <w:bookmarkStart w:id="43" w:name="_Toc17264"/>
      <w:r>
        <w:rPr>
          <w:rFonts w:hint="eastAsia" w:ascii="宋体" w:hAnsi="宋体" w:cs="宋体"/>
          <w:b/>
          <w:bCs/>
          <w:color w:val="auto"/>
          <w:szCs w:val="21"/>
          <w:highlight w:val="none"/>
        </w:rPr>
        <w:t>1、项目名称：</w:t>
      </w:r>
      <w:bookmarkEnd w:id="43"/>
    </w:p>
    <w:p>
      <w:pPr>
        <w:spacing w:line="360" w:lineRule="auto"/>
        <w:ind w:firstLine="420" w:firstLineChars="200"/>
        <w:outlineLvl w:val="1"/>
        <w:rPr>
          <w:rFonts w:ascii="宋体" w:hAnsi="宋体" w:cs="宋体"/>
          <w:color w:val="auto"/>
          <w:kern w:val="21"/>
          <w:szCs w:val="21"/>
          <w:highlight w:val="none"/>
        </w:rPr>
      </w:pPr>
      <w:bookmarkStart w:id="44" w:name="_Toc32464"/>
      <w:r>
        <w:rPr>
          <w:rFonts w:hint="eastAsia" w:ascii="宋体" w:hAnsi="宋体" w:cs="宋体"/>
          <w:color w:val="auto"/>
          <w:kern w:val="21"/>
          <w:szCs w:val="21"/>
          <w:highlight w:val="none"/>
        </w:rPr>
        <w:t>西安市长安区郭杜街道周家庄美丽村庄提升改造工程</w:t>
      </w:r>
    </w:p>
    <w:p>
      <w:pPr>
        <w:spacing w:line="360" w:lineRule="auto"/>
        <w:ind w:firstLine="422" w:firstLineChars="200"/>
        <w:outlineLvl w:val="1"/>
        <w:rPr>
          <w:rFonts w:ascii="宋体" w:hAnsi="宋体" w:cs="宋体"/>
          <w:b/>
          <w:bCs/>
          <w:color w:val="auto"/>
          <w:szCs w:val="21"/>
          <w:highlight w:val="none"/>
        </w:rPr>
      </w:pPr>
      <w:r>
        <w:rPr>
          <w:rFonts w:hint="eastAsia" w:ascii="宋体" w:hAnsi="宋体" w:cs="宋体"/>
          <w:b/>
          <w:bCs/>
          <w:color w:val="auto"/>
          <w:szCs w:val="21"/>
          <w:highlight w:val="none"/>
        </w:rPr>
        <w:t>2、工程概况：</w:t>
      </w:r>
      <w:bookmarkEnd w:id="44"/>
    </w:p>
    <w:p>
      <w:pPr>
        <w:spacing w:line="360" w:lineRule="auto"/>
        <w:ind w:firstLine="420" w:firstLineChars="200"/>
        <w:rPr>
          <w:rFonts w:ascii="宋体" w:hAnsi="宋体" w:cs="宋体"/>
          <w:color w:val="auto"/>
          <w:szCs w:val="21"/>
          <w:highlight w:val="none"/>
        </w:rPr>
      </w:pPr>
      <w:bookmarkStart w:id="45" w:name="_Toc14792"/>
      <w:r>
        <w:rPr>
          <w:rFonts w:hint="eastAsia" w:ascii="宋体" w:hAnsi="宋体" w:cs="宋体"/>
          <w:color w:val="auto"/>
          <w:szCs w:val="21"/>
          <w:highlight w:val="none"/>
        </w:rPr>
        <w:t>西安市长安区郭杜街道周家庄美丽村庄提升改造工程，1项，采购预算：3000000.00元，项目概况：包含危房拆除及改造；砖砌围墙；外墙面改造；店面招牌，村标；场地平整，场地绿化，砌筑台阶及铺设道牙；花墙、花池、花坛及树池；新增垃圾台；村道边墙面绘画等工程。详见竞争性磋商文件和工程量清单，简要技术要求、用途：</w:t>
      </w:r>
      <w:r>
        <w:rPr>
          <w:rFonts w:hint="eastAsia"/>
          <w:highlight w:val="none"/>
        </w:rPr>
        <w:t xml:space="preserve"> 美丽村庄提升改造</w:t>
      </w:r>
    </w:p>
    <w:p>
      <w:pPr>
        <w:spacing w:line="360" w:lineRule="auto"/>
        <w:ind w:firstLine="422" w:firstLineChars="200"/>
        <w:outlineLvl w:val="1"/>
        <w:rPr>
          <w:rFonts w:ascii="宋体" w:hAnsi="宋体" w:cs="宋体"/>
          <w:b/>
          <w:bCs/>
          <w:color w:val="auto"/>
          <w:szCs w:val="21"/>
          <w:highlight w:val="none"/>
        </w:rPr>
      </w:pPr>
      <w:r>
        <w:rPr>
          <w:rFonts w:hint="eastAsia" w:ascii="宋体" w:hAnsi="宋体" w:cs="宋体"/>
          <w:b/>
          <w:bCs/>
          <w:color w:val="auto"/>
          <w:szCs w:val="21"/>
          <w:highlight w:val="none"/>
        </w:rPr>
        <w:t>3、工期及施工要求等</w:t>
      </w:r>
      <w:bookmarkEnd w:id="45"/>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1）工期：90日历天。</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2）质量等级：合格。</w:t>
      </w:r>
    </w:p>
    <w:p>
      <w:pPr>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3）付款进度：按照实际工程量价款80%进行结算支付，累计支付至合同款项的80%时暂停支付，待竣工验收合格后一周内支付至合同总价的85%（含工程预付款和进度款），工程结算审计后支付至结算总价的97%，余3%待保修期满后30天内无质量问题一次付清。</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4）承包人的工程质量应符合国家、省、市或行业的工程建设标准、规范的要求。</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5）本项目有关施工、技术标准等级为国家或行业要求的合格标准。</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6）成交单位必须自行施工，不得转包。</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7）成交单位在施工过程中若工程质量和施工管理达不到竞争性磋商文件要求及响应承诺，采购人有权终止合同，所受经济损失应由成交单位承担，并应承担采购人相应的经济损失及其他损失。</w:t>
      </w:r>
    </w:p>
    <w:p>
      <w:pPr>
        <w:spacing w:line="500" w:lineRule="exact"/>
        <w:ind w:firstLine="420" w:firstLineChars="200"/>
        <w:rPr>
          <w:rFonts w:ascii="宋体" w:hAnsi="宋体" w:cs="宋体"/>
          <w:color w:val="auto"/>
          <w:szCs w:val="21"/>
          <w:highlight w:val="none"/>
        </w:rPr>
      </w:pPr>
    </w:p>
    <w:p>
      <w:pPr>
        <w:pStyle w:val="58"/>
        <w:rPr>
          <w:rFonts w:ascii="宋体" w:hAnsi="宋体" w:cs="宋体"/>
          <w:color w:val="auto"/>
          <w:szCs w:val="21"/>
          <w:highlight w:val="none"/>
        </w:rPr>
      </w:pPr>
    </w:p>
    <w:p>
      <w:pPr>
        <w:pStyle w:val="58"/>
        <w:rPr>
          <w:rFonts w:ascii="宋体" w:hAnsi="宋体" w:cs="宋体"/>
          <w:color w:val="auto"/>
          <w:highlight w:val="none"/>
        </w:rPr>
      </w:pPr>
    </w:p>
    <w:p>
      <w:pPr>
        <w:pStyle w:val="58"/>
        <w:rPr>
          <w:rFonts w:ascii="宋体" w:hAnsi="宋体" w:cs="宋体"/>
          <w:color w:val="auto"/>
          <w:highlight w:val="none"/>
        </w:rPr>
      </w:pPr>
    </w:p>
    <w:p>
      <w:pPr>
        <w:pStyle w:val="58"/>
        <w:rPr>
          <w:rFonts w:ascii="宋体" w:hAnsi="宋体" w:cs="宋体"/>
          <w:color w:val="auto"/>
          <w:highlight w:val="none"/>
        </w:rPr>
      </w:pPr>
    </w:p>
    <w:p>
      <w:pPr>
        <w:pStyle w:val="58"/>
        <w:rPr>
          <w:rFonts w:ascii="宋体" w:hAnsi="宋体" w:cs="宋体"/>
          <w:color w:val="auto"/>
          <w:highlight w:val="none"/>
        </w:rPr>
      </w:pPr>
    </w:p>
    <w:p>
      <w:pPr>
        <w:pStyle w:val="58"/>
        <w:rPr>
          <w:rFonts w:ascii="宋体" w:hAnsi="宋体" w:cs="宋体"/>
          <w:color w:val="auto"/>
          <w:highlight w:val="none"/>
        </w:rPr>
      </w:pPr>
    </w:p>
    <w:p>
      <w:pPr>
        <w:pStyle w:val="58"/>
        <w:rPr>
          <w:rFonts w:ascii="宋体" w:hAnsi="宋体" w:cs="宋体"/>
          <w:color w:val="auto"/>
          <w:highlight w:val="none"/>
        </w:rPr>
      </w:pPr>
    </w:p>
    <w:p>
      <w:pPr>
        <w:pStyle w:val="58"/>
        <w:rPr>
          <w:rFonts w:ascii="宋体" w:hAnsi="宋体" w:cs="宋体"/>
          <w:color w:val="auto"/>
          <w:highlight w:val="none"/>
        </w:rPr>
      </w:pPr>
    </w:p>
    <w:p>
      <w:pPr>
        <w:pStyle w:val="58"/>
        <w:rPr>
          <w:rFonts w:ascii="宋体" w:hAnsi="宋体" w:cs="宋体"/>
          <w:color w:val="auto"/>
          <w:highlight w:val="none"/>
        </w:rPr>
      </w:pPr>
    </w:p>
    <w:p>
      <w:pPr>
        <w:pStyle w:val="58"/>
        <w:rPr>
          <w:rFonts w:ascii="宋体" w:hAnsi="宋体" w:cs="宋体"/>
          <w:color w:val="auto"/>
          <w:highlight w:val="none"/>
        </w:rPr>
      </w:pPr>
    </w:p>
    <w:p>
      <w:pPr>
        <w:pStyle w:val="3"/>
        <w:numPr>
          <w:ilvl w:val="0"/>
          <w:numId w:val="5"/>
        </w:numPr>
        <w:rPr>
          <w:rFonts w:ascii="宋体" w:hAnsi="宋体" w:cs="宋体"/>
          <w:color w:val="auto"/>
          <w:highlight w:val="none"/>
        </w:rPr>
      </w:pPr>
      <w:r>
        <w:rPr>
          <w:rFonts w:hint="eastAsia" w:ascii="宋体" w:hAnsi="宋体" w:cs="宋体"/>
          <w:color w:val="auto"/>
          <w:highlight w:val="none"/>
          <w:lang w:val="zh-CN"/>
        </w:rPr>
        <w:t xml:space="preserve"> </w:t>
      </w:r>
      <w:bookmarkStart w:id="46" w:name="_Toc5895"/>
      <w:r>
        <w:rPr>
          <w:rFonts w:hint="eastAsia" w:ascii="宋体" w:hAnsi="宋体" w:cs="宋体"/>
          <w:color w:val="auto"/>
          <w:highlight w:val="none"/>
        </w:rPr>
        <w:t>工程量清单</w:t>
      </w:r>
      <w:bookmarkEnd w:id="38"/>
      <w:bookmarkEnd w:id="46"/>
    </w:p>
    <w:p>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详见电子版</w:t>
      </w:r>
    </w:p>
    <w:p>
      <w:pPr>
        <w:pStyle w:val="9"/>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19"/>
        <w:spacing w:before="0" w:beforeAutospacing="0" w:after="0" w:afterAutospacing="0" w:line="500" w:lineRule="exact"/>
        <w:ind w:firstLine="480" w:firstLineChars="200"/>
        <w:rPr>
          <w:highlight w:val="none"/>
        </w:rPr>
      </w:pPr>
      <w:bookmarkStart w:id="47" w:name="_Toc5268_WPSOffice_Level2"/>
      <w:bookmarkStart w:id="48" w:name="_Toc21132_WPSOffice_Level2"/>
    </w:p>
    <w:bookmarkEnd w:id="47"/>
    <w:bookmarkEnd w:id="48"/>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p>
      <w:pPr>
        <w:pStyle w:val="38"/>
        <w:rPr>
          <w:rFonts w:hAnsi="宋体" w:cs="宋体"/>
          <w:szCs w:val="21"/>
          <w:highlight w:val="none"/>
          <w:lang w:val="zh-CN"/>
        </w:rPr>
      </w:pPr>
    </w:p>
    <w:bookmarkEnd w:id="39"/>
    <w:p>
      <w:pPr>
        <w:pStyle w:val="3"/>
        <w:rPr>
          <w:rFonts w:ascii="宋体" w:hAnsi="宋体" w:cs="宋体"/>
          <w:color w:val="auto"/>
          <w:highlight w:val="none"/>
        </w:rPr>
      </w:pPr>
      <w:bookmarkStart w:id="49" w:name="_Toc383012293"/>
      <w:bookmarkStart w:id="50" w:name="_Toc5502"/>
      <w:bookmarkStart w:id="51" w:name="_Toc29399"/>
      <w:bookmarkStart w:id="52" w:name="_Toc26803"/>
      <w:r>
        <w:rPr>
          <w:rFonts w:hint="eastAsia" w:ascii="宋体" w:hAnsi="宋体" w:cs="宋体"/>
          <w:color w:val="auto"/>
          <w:highlight w:val="none"/>
        </w:rPr>
        <w:t>第五部分 合同</w:t>
      </w:r>
      <w:bookmarkEnd w:id="49"/>
      <w:r>
        <w:rPr>
          <w:rFonts w:hint="eastAsia" w:ascii="宋体" w:hAnsi="宋体" w:cs="宋体"/>
          <w:color w:val="auto"/>
          <w:highlight w:val="none"/>
        </w:rPr>
        <w:t>格式</w:t>
      </w:r>
      <w:bookmarkEnd w:id="50"/>
      <w:bookmarkEnd w:id="51"/>
      <w:bookmarkEnd w:id="52"/>
    </w:p>
    <w:p>
      <w:pPr>
        <w:jc w:val="left"/>
        <w:rPr>
          <w:rFonts w:ascii="宋体" w:hAnsi="宋体" w:cs="宋体"/>
          <w:bCs/>
          <w:color w:val="auto"/>
          <w:kern w:val="21"/>
          <w:sz w:val="32"/>
          <w:szCs w:val="32"/>
          <w:highlight w:val="none"/>
        </w:rPr>
      </w:pPr>
      <w:bookmarkStart w:id="53" w:name="_Toc4456"/>
      <w:bookmarkStart w:id="54" w:name="_Toc3408"/>
      <w:bookmarkStart w:id="55" w:name="_Toc6418"/>
      <w:bookmarkStart w:id="56" w:name="_Toc21675"/>
      <w:bookmarkStart w:id="57" w:name="_Toc11013"/>
      <w:r>
        <w:rPr>
          <w:rFonts w:hint="eastAsia" w:ascii="宋体" w:hAnsi="宋体" w:cs="宋体"/>
          <w:bCs/>
          <w:color w:val="auto"/>
          <w:kern w:val="21"/>
          <w:sz w:val="32"/>
          <w:szCs w:val="32"/>
          <w:highlight w:val="none"/>
        </w:rPr>
        <w:t>（GF—2017—0201）</w:t>
      </w:r>
    </w:p>
    <w:p>
      <w:pPr>
        <w:rPr>
          <w:rFonts w:ascii="宋体" w:hAnsi="宋体" w:cs="宋体"/>
          <w:b/>
          <w:color w:val="auto"/>
          <w:kern w:val="21"/>
          <w:sz w:val="52"/>
          <w:szCs w:val="52"/>
          <w:highlight w:val="none"/>
        </w:rPr>
      </w:pPr>
    </w:p>
    <w:p>
      <w:pPr>
        <w:jc w:val="center"/>
        <w:rPr>
          <w:rFonts w:ascii="宋体" w:hAnsi="宋体" w:cs="宋体"/>
          <w:b/>
          <w:color w:val="auto"/>
          <w:kern w:val="21"/>
          <w:sz w:val="52"/>
          <w:szCs w:val="52"/>
          <w:highlight w:val="none"/>
        </w:rPr>
      </w:pPr>
    </w:p>
    <w:p>
      <w:pPr>
        <w:jc w:val="center"/>
        <w:rPr>
          <w:rFonts w:ascii="宋体" w:hAnsi="宋体" w:cs="宋体"/>
          <w:b/>
          <w:color w:val="auto"/>
          <w:kern w:val="21"/>
          <w:sz w:val="52"/>
          <w:szCs w:val="52"/>
          <w:highlight w:val="none"/>
        </w:rPr>
      </w:pPr>
    </w:p>
    <w:p>
      <w:pPr>
        <w:jc w:val="center"/>
        <w:rPr>
          <w:rFonts w:ascii="宋体" w:hAnsi="宋体" w:cs="宋体"/>
          <w:b/>
          <w:color w:val="auto"/>
          <w:kern w:val="21"/>
          <w:sz w:val="52"/>
          <w:szCs w:val="52"/>
          <w:highlight w:val="none"/>
        </w:rPr>
      </w:pPr>
      <w:r>
        <w:rPr>
          <w:rFonts w:hint="eastAsia" w:ascii="宋体" w:hAnsi="宋体" w:cs="宋体"/>
          <w:b/>
          <w:color w:val="auto"/>
          <w:kern w:val="21"/>
          <w:sz w:val="52"/>
          <w:szCs w:val="52"/>
          <w:highlight w:val="none"/>
        </w:rPr>
        <w:t>建设工程施工合同</w:t>
      </w:r>
      <w:r>
        <w:rPr>
          <w:rFonts w:hint="eastAsia" w:ascii="宋体" w:hAnsi="宋体" w:cs="宋体"/>
          <w:b/>
          <w:color w:val="auto"/>
          <w:kern w:val="21"/>
          <w:sz w:val="52"/>
          <w:szCs w:val="52"/>
          <w:highlight w:val="none"/>
        </w:rPr>
        <w:br w:type="textWrapping"/>
      </w:r>
    </w:p>
    <w:p>
      <w:pPr>
        <w:jc w:val="center"/>
        <w:rPr>
          <w:rFonts w:ascii="宋体" w:hAnsi="宋体" w:cs="宋体"/>
          <w:b/>
          <w:color w:val="auto"/>
          <w:kern w:val="21"/>
          <w:sz w:val="52"/>
          <w:szCs w:val="52"/>
          <w:highlight w:val="none"/>
        </w:rPr>
      </w:pPr>
    </w:p>
    <w:p>
      <w:pPr>
        <w:jc w:val="center"/>
        <w:rPr>
          <w:rFonts w:ascii="宋体" w:hAnsi="宋体" w:cs="宋体"/>
          <w:b/>
          <w:color w:val="auto"/>
          <w:kern w:val="21"/>
          <w:sz w:val="72"/>
          <w:szCs w:val="72"/>
          <w:highlight w:val="none"/>
        </w:rPr>
      </w:pPr>
    </w:p>
    <w:p>
      <w:pPr>
        <w:rPr>
          <w:rFonts w:ascii="宋体" w:hAnsi="宋体" w:cs="宋体"/>
          <w:b/>
          <w:color w:val="auto"/>
          <w:kern w:val="21"/>
          <w:sz w:val="28"/>
          <w:szCs w:val="28"/>
          <w:highlight w:val="none"/>
        </w:rPr>
      </w:pPr>
    </w:p>
    <w:p>
      <w:pPr>
        <w:rPr>
          <w:rFonts w:ascii="宋体" w:hAnsi="宋体" w:cs="宋体"/>
          <w:b/>
          <w:color w:val="auto"/>
          <w:kern w:val="21"/>
          <w:sz w:val="28"/>
          <w:szCs w:val="28"/>
          <w:highlight w:val="none"/>
        </w:rPr>
      </w:pPr>
    </w:p>
    <w:p>
      <w:pPr>
        <w:rPr>
          <w:rFonts w:ascii="宋体" w:hAnsi="宋体" w:cs="宋体"/>
          <w:b/>
          <w:color w:val="auto"/>
          <w:kern w:val="21"/>
          <w:sz w:val="28"/>
          <w:szCs w:val="28"/>
          <w:highlight w:val="none"/>
        </w:rPr>
      </w:pPr>
    </w:p>
    <w:p>
      <w:pPr>
        <w:rPr>
          <w:rFonts w:ascii="宋体" w:hAnsi="宋体" w:cs="宋体"/>
          <w:b/>
          <w:color w:val="auto"/>
          <w:kern w:val="21"/>
          <w:sz w:val="28"/>
          <w:szCs w:val="28"/>
          <w:highlight w:val="none"/>
        </w:rPr>
      </w:pPr>
    </w:p>
    <w:p>
      <w:pPr>
        <w:rPr>
          <w:rFonts w:ascii="宋体" w:hAnsi="宋体" w:cs="宋体"/>
          <w:b/>
          <w:color w:val="auto"/>
          <w:kern w:val="21"/>
          <w:sz w:val="28"/>
          <w:szCs w:val="28"/>
          <w:highlight w:val="none"/>
        </w:rPr>
      </w:pPr>
    </w:p>
    <w:p>
      <w:pPr>
        <w:ind w:right="2719" w:rightChars="1295" w:firstLine="2738" w:firstLineChars="1304"/>
        <w:jc w:val="distribute"/>
        <w:rPr>
          <w:rFonts w:ascii="宋体" w:hAnsi="宋体" w:cs="宋体"/>
          <w:b/>
          <w:color w:val="auto"/>
          <w:kern w:val="21"/>
          <w:sz w:val="32"/>
          <w:szCs w:val="28"/>
          <w:highlight w:val="none"/>
        </w:rPr>
      </w:pPr>
      <w:r>
        <w:rPr>
          <w:rFonts w:ascii="宋体" w:hAnsi="宋体" w:cs="宋体"/>
          <w:color w:val="auto"/>
          <w:kern w:val="21"/>
          <w:highlight w:val="none"/>
        </w:rPr>
        <w:pict>
          <v:shape id="_x0000_s1026" o:spid="_x0000_s1026" o:spt="202" type="#_x0000_t202" style="position:absolute;left:0pt;margin-left:371.75pt;margin-top:9.45pt;height:36pt;width:57pt;z-index:251663360;mso-width-relative:page;mso-height-relative:page;" filled="f" stroked="t" coordsize="21600,21600" o:gfxdata="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&#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sKLazZAAAACQEAAA8AAAAAAAAAAQAgAAAAIgAAAGRy&#10;cy9kb3ducmV2LnhtbFBLAQIUABQAAAAIAIdO4kCuO5i/BAIAAAwEAAAOAAAAAAAAAAEAIAAAACgB&#10;AABkcnMvZTJvRG9jLnhtbFBLBQYAAAAABgAGAFkBAACeBQAAAAA=&#10;">
            <v:path/>
            <v:fill on="f" focussize="0,0"/>
            <v:stroke color="#FFFFFF" joinstyle="miter"/>
            <v:imagedata o:title=""/>
            <o:lock v:ext="edit"/>
            <v:textbox>
              <w:txbxContent>
                <w:p>
                  <w:pPr>
                    <w:rPr>
                      <w:b/>
                      <w:bCs/>
                      <w:sz w:val="32"/>
                    </w:rPr>
                  </w:pPr>
                  <w:r>
                    <w:rPr>
                      <w:rFonts w:hint="eastAsia"/>
                      <w:b/>
                      <w:bCs/>
                      <w:sz w:val="32"/>
                    </w:rPr>
                    <w:t>制定</w:t>
                  </w:r>
                </w:p>
              </w:txbxContent>
            </v:textbox>
          </v:shape>
        </w:pict>
      </w:r>
      <w:r>
        <w:rPr>
          <w:rFonts w:hint="eastAsia" w:ascii="宋体" w:hAnsi="宋体" w:cs="宋体"/>
          <w:b/>
          <w:color w:val="auto"/>
          <w:kern w:val="21"/>
          <w:sz w:val="32"/>
          <w:szCs w:val="28"/>
          <w:highlight w:val="none"/>
        </w:rPr>
        <w:t>住房城乡建设部</w:t>
      </w:r>
    </w:p>
    <w:p>
      <w:pPr>
        <w:ind w:right="2719" w:rightChars="1295" w:firstLine="2750" w:firstLineChars="856"/>
        <w:jc w:val="distribute"/>
        <w:rPr>
          <w:rFonts w:ascii="宋体" w:hAnsi="宋体" w:cs="宋体"/>
          <w:b/>
          <w:color w:val="auto"/>
          <w:kern w:val="21"/>
          <w:sz w:val="32"/>
          <w:szCs w:val="28"/>
          <w:highlight w:val="none"/>
        </w:rPr>
      </w:pPr>
      <w:r>
        <w:rPr>
          <w:rFonts w:hint="eastAsia" w:ascii="宋体" w:hAnsi="宋体" w:cs="宋体"/>
          <w:b/>
          <w:color w:val="auto"/>
          <w:kern w:val="21"/>
          <w:sz w:val="32"/>
          <w:szCs w:val="28"/>
          <w:highlight w:val="none"/>
        </w:rPr>
        <w:t>国家工商行政管理总局</w:t>
      </w:r>
    </w:p>
    <w:p>
      <w:pPr>
        <w:rPr>
          <w:rFonts w:ascii="宋体" w:hAnsi="宋体" w:cs="宋体"/>
          <w:b/>
          <w:color w:val="auto"/>
          <w:kern w:val="21"/>
          <w:highlight w:val="none"/>
        </w:rPr>
      </w:pPr>
    </w:p>
    <w:p>
      <w:pPr>
        <w:pStyle w:val="5"/>
        <w:jc w:val="both"/>
        <w:rPr>
          <w:rFonts w:ascii="宋体" w:hAnsi="宋体" w:cs="宋体"/>
          <w:color w:val="auto"/>
          <w:kern w:val="21"/>
          <w:szCs w:val="28"/>
          <w:highlight w:val="none"/>
        </w:rPr>
        <w:sectPr>
          <w:footerReference r:id="rId13" w:type="first"/>
          <w:footerReference r:id="rId12" w:type="default"/>
          <w:pgSz w:w="11906" w:h="16838"/>
          <w:pgMar w:top="1440" w:right="1080" w:bottom="1440" w:left="1080" w:header="851" w:footer="992" w:gutter="0"/>
          <w:cols w:space="720" w:num="1"/>
          <w:docGrid w:type="lines" w:linePitch="312" w:charSpace="0"/>
        </w:sectPr>
      </w:pPr>
      <w:bookmarkStart w:id="58" w:name="_Toc351203480"/>
      <w:bookmarkStart w:id="59" w:name="_Toc296503025"/>
      <w:bookmarkStart w:id="60" w:name="_Toc296890982"/>
    </w:p>
    <w:p>
      <w:pPr>
        <w:pStyle w:val="5"/>
        <w:widowControl w:val="0"/>
        <w:spacing w:line="480" w:lineRule="exact"/>
        <w:rPr>
          <w:rFonts w:ascii="宋体" w:hAnsi="宋体" w:cs="宋体"/>
          <w:b w:val="0"/>
          <w:color w:val="auto"/>
          <w:kern w:val="21"/>
          <w:sz w:val="22"/>
          <w:szCs w:val="22"/>
          <w:highlight w:val="none"/>
        </w:rPr>
      </w:pPr>
      <w:r>
        <w:rPr>
          <w:rFonts w:hint="eastAsia" w:ascii="宋体" w:hAnsi="宋体" w:cs="宋体"/>
          <w:color w:val="auto"/>
          <w:kern w:val="21"/>
          <w:sz w:val="22"/>
          <w:szCs w:val="22"/>
          <w:highlight w:val="none"/>
        </w:rPr>
        <w:t>第一部分 合同协议书</w:t>
      </w:r>
      <w:bookmarkEnd w:id="58"/>
      <w:bookmarkEnd w:id="59"/>
      <w:bookmarkEnd w:id="60"/>
    </w:p>
    <w:p>
      <w:pPr>
        <w:widowControl w:val="0"/>
        <w:spacing w:line="480" w:lineRule="exact"/>
        <w:textAlignment w:val="auto"/>
        <w:rPr>
          <w:rFonts w:ascii="宋体" w:hAnsi="宋体" w:cs="宋体"/>
          <w:b/>
          <w:color w:val="auto"/>
          <w:kern w:val="21"/>
          <w:szCs w:val="21"/>
          <w:highlight w:val="none"/>
          <w:u w:val="single"/>
        </w:rPr>
      </w:pPr>
      <w:r>
        <w:rPr>
          <w:rFonts w:hint="eastAsia" w:ascii="宋体" w:hAnsi="宋体" w:cs="宋体"/>
          <w:b/>
          <w:color w:val="auto"/>
          <w:kern w:val="21"/>
          <w:szCs w:val="21"/>
          <w:highlight w:val="none"/>
        </w:rPr>
        <w:t>发包人（全称）：</w:t>
      </w:r>
      <w:r>
        <w:rPr>
          <w:rFonts w:hint="eastAsia" w:ascii="宋体" w:hAnsi="宋体" w:cs="宋体"/>
          <w:b/>
          <w:color w:val="auto"/>
          <w:kern w:val="21"/>
          <w:szCs w:val="21"/>
          <w:highlight w:val="none"/>
          <w:u w:val="single"/>
        </w:rPr>
        <w:t>                       </w:t>
      </w:r>
    </w:p>
    <w:p>
      <w:pPr>
        <w:widowControl w:val="0"/>
        <w:spacing w:line="480" w:lineRule="exact"/>
        <w:textAlignment w:val="auto"/>
        <w:rPr>
          <w:rFonts w:ascii="宋体" w:hAnsi="宋体" w:cs="宋体"/>
          <w:b/>
          <w:color w:val="auto"/>
          <w:kern w:val="21"/>
          <w:szCs w:val="21"/>
          <w:highlight w:val="none"/>
          <w:u w:val="single"/>
        </w:rPr>
      </w:pPr>
      <w:r>
        <w:rPr>
          <w:rFonts w:hint="eastAsia" w:ascii="宋体" w:hAnsi="宋体" w:cs="宋体"/>
          <w:b/>
          <w:color w:val="auto"/>
          <w:kern w:val="21"/>
          <w:szCs w:val="21"/>
          <w:highlight w:val="none"/>
        </w:rPr>
        <w:t>承包人（全称）：</w:t>
      </w:r>
      <w:r>
        <w:rPr>
          <w:rFonts w:hint="eastAsia" w:ascii="宋体" w:hAnsi="宋体" w:cs="宋体"/>
          <w:b/>
          <w:color w:val="auto"/>
          <w:kern w:val="21"/>
          <w:szCs w:val="21"/>
          <w:highlight w:val="none"/>
          <w:u w:val="single"/>
        </w:rPr>
        <w:t>                      </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根据《中华人民共和国民法典》、《中华人民共和国建筑法》及有关法律规定，遵循平等、自愿、公平和诚实信用的原则，双方就</w:t>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施工及有关事项协商一致，共同达成如下协议：</w:t>
      </w:r>
    </w:p>
    <w:p>
      <w:pPr>
        <w:pStyle w:val="6"/>
        <w:widowControl w:val="0"/>
        <w:tabs>
          <w:tab w:val="left" w:pos="864"/>
        </w:tabs>
        <w:spacing w:before="120" w:after="120" w:line="480" w:lineRule="exact"/>
        <w:textAlignment w:val="auto"/>
        <w:rPr>
          <w:rFonts w:ascii="宋体" w:hAnsi="宋体" w:eastAsia="宋体" w:cs="宋体"/>
          <w:bCs w:val="0"/>
          <w:color w:val="auto"/>
          <w:kern w:val="21"/>
          <w:sz w:val="21"/>
          <w:szCs w:val="21"/>
          <w:highlight w:val="none"/>
        </w:rPr>
      </w:pPr>
      <w:r>
        <w:rPr>
          <w:rFonts w:hint="eastAsia" w:ascii="宋体" w:hAnsi="宋体" w:eastAsia="宋体" w:cs="宋体"/>
          <w:bCs w:val="0"/>
          <w:color w:val="auto"/>
          <w:kern w:val="21"/>
          <w:sz w:val="21"/>
          <w:szCs w:val="21"/>
          <w:highlight w:val="none"/>
        </w:rPr>
        <w:t xml:space="preserve">   </w:t>
      </w:r>
      <w:r>
        <w:rPr>
          <w:rFonts w:hint="eastAsia" w:ascii="宋体" w:hAnsi="宋体" w:eastAsia="宋体" w:cs="宋体"/>
          <w:b w:val="0"/>
          <w:color w:val="auto"/>
          <w:kern w:val="21"/>
          <w:sz w:val="21"/>
          <w:szCs w:val="21"/>
          <w:highlight w:val="none"/>
        </w:rPr>
        <w:t xml:space="preserve"> </w:t>
      </w:r>
      <w:bookmarkStart w:id="61" w:name="_Toc351203481"/>
      <w:r>
        <w:rPr>
          <w:rFonts w:hint="eastAsia" w:ascii="宋体" w:hAnsi="宋体" w:eastAsia="宋体" w:cs="宋体"/>
          <w:b w:val="0"/>
          <w:color w:val="auto"/>
          <w:kern w:val="21"/>
          <w:sz w:val="21"/>
          <w:szCs w:val="21"/>
          <w:highlight w:val="none"/>
        </w:rPr>
        <w:t>一、工程概况</w:t>
      </w:r>
      <w:bookmarkEnd w:id="61"/>
    </w:p>
    <w:p>
      <w:pPr>
        <w:spacing w:line="560" w:lineRule="exact"/>
        <w:ind w:firstLine="420" w:firstLineChars="200"/>
        <w:rPr>
          <w:rFonts w:ascii="宋体" w:hAnsi="宋体" w:cs="宋体"/>
          <w:color w:val="auto"/>
          <w:kern w:val="21"/>
          <w:szCs w:val="21"/>
          <w:highlight w:val="none"/>
          <w:u w:val="single"/>
        </w:rPr>
      </w:pPr>
      <w:r>
        <w:rPr>
          <w:rFonts w:hint="eastAsia" w:ascii="宋体" w:hAnsi="宋体" w:cs="宋体"/>
          <w:bCs/>
          <w:color w:val="auto"/>
          <w:kern w:val="21"/>
          <w:szCs w:val="21"/>
          <w:highlight w:val="none"/>
        </w:rPr>
        <w:t>1.工程名称：</w:t>
      </w:r>
      <w:r>
        <w:rPr>
          <w:rFonts w:hint="eastAsia" w:ascii="宋体" w:hAnsi="宋体" w:cs="宋体"/>
          <w:color w:val="auto"/>
          <w:kern w:val="21"/>
          <w:szCs w:val="21"/>
          <w:highlight w:val="none"/>
          <w:u w:val="single"/>
        </w:rPr>
        <w:t xml:space="preserve">                                         </w:t>
      </w:r>
      <w:r>
        <w:rPr>
          <w:rFonts w:hint="eastAsia" w:ascii="宋体" w:hAnsi="宋体" w:cs="宋体"/>
          <w:bCs/>
          <w:color w:val="auto"/>
          <w:kern w:val="21"/>
          <w:szCs w:val="21"/>
          <w:highlight w:val="none"/>
        </w:rPr>
        <w:t>。</w:t>
      </w:r>
    </w:p>
    <w:p>
      <w:pPr>
        <w:widowControl w:val="0"/>
        <w:spacing w:line="480" w:lineRule="exact"/>
        <w:ind w:firstLine="411" w:firstLineChars="196"/>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2.工程地点：</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widowControl w:val="0"/>
        <w:spacing w:line="480" w:lineRule="exact"/>
        <w:ind w:firstLine="411" w:firstLineChars="196"/>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3.工程立项批准文号：</w:t>
      </w:r>
      <w:r>
        <w:rPr>
          <w:rFonts w:hint="eastAsia" w:ascii="宋体" w:hAnsi="宋体" w:cs="宋体"/>
          <w:color w:val="auto"/>
          <w:kern w:val="21"/>
          <w:szCs w:val="21"/>
          <w:highlight w:val="none"/>
          <w:u w:val="single"/>
        </w:rPr>
        <w:t xml:space="preserve">           </w:t>
      </w:r>
      <w:r>
        <w:rPr>
          <w:rFonts w:hint="eastAsia" w:ascii="宋体" w:hAnsi="宋体" w:cs="宋体"/>
          <w:bCs/>
          <w:color w:val="auto"/>
          <w:kern w:val="21"/>
          <w:szCs w:val="21"/>
          <w:highlight w:val="none"/>
        </w:rPr>
        <w:t>。</w:t>
      </w:r>
    </w:p>
    <w:p>
      <w:pPr>
        <w:widowControl w:val="0"/>
        <w:spacing w:line="480" w:lineRule="exact"/>
        <w:ind w:firstLine="411" w:firstLineChars="196"/>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4.资金来源：</w:t>
      </w:r>
      <w:r>
        <w:rPr>
          <w:rFonts w:hint="eastAsia" w:ascii="宋体" w:hAnsi="宋体" w:cs="宋体"/>
          <w:color w:val="auto"/>
          <w:kern w:val="21"/>
          <w:szCs w:val="21"/>
          <w:highlight w:val="none"/>
          <w:u w:val="single"/>
        </w:rPr>
        <w:t xml:space="preserve">                                 </w:t>
      </w:r>
      <w:r>
        <w:rPr>
          <w:rFonts w:hint="eastAsia" w:ascii="宋体" w:hAnsi="宋体" w:cs="宋体"/>
          <w:bCs/>
          <w:color w:val="auto"/>
          <w:kern w:val="21"/>
          <w:szCs w:val="21"/>
          <w:highlight w:val="none"/>
        </w:rPr>
        <w:t>。</w:t>
      </w:r>
    </w:p>
    <w:p>
      <w:pPr>
        <w:widowControl w:val="0"/>
        <w:spacing w:line="480" w:lineRule="exact"/>
        <w:ind w:firstLine="411" w:firstLineChars="196"/>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5.工程内容：</w:t>
      </w:r>
      <w:r>
        <w:rPr>
          <w:rFonts w:hint="eastAsia" w:ascii="宋体" w:hAnsi="宋体" w:cs="宋体"/>
          <w:color w:val="auto"/>
          <w:kern w:val="21"/>
          <w:szCs w:val="21"/>
          <w:highlight w:val="none"/>
          <w:u w:val="single"/>
        </w:rPr>
        <w:t xml:space="preserve">                                         </w:t>
      </w:r>
      <w:r>
        <w:rPr>
          <w:rFonts w:hint="eastAsia" w:ascii="宋体" w:hAnsi="宋体" w:cs="宋体"/>
          <w:bCs/>
          <w:color w:val="auto"/>
          <w:kern w:val="21"/>
          <w:szCs w:val="21"/>
          <w:highlight w:val="none"/>
        </w:rPr>
        <w:t>。</w:t>
      </w:r>
    </w:p>
    <w:p>
      <w:pPr>
        <w:widowControl w:val="0"/>
        <w:spacing w:line="480" w:lineRule="exact"/>
        <w:ind w:firstLine="411" w:firstLineChars="196"/>
        <w:textAlignment w:val="auto"/>
        <w:rPr>
          <w:rFonts w:ascii="宋体" w:hAnsi="宋体" w:cs="宋体"/>
          <w:bCs/>
          <w:color w:val="auto"/>
          <w:kern w:val="21"/>
          <w:szCs w:val="21"/>
          <w:highlight w:val="none"/>
        </w:rPr>
      </w:pPr>
      <w:r>
        <w:rPr>
          <w:rFonts w:hint="eastAsia" w:ascii="宋体" w:hAnsi="宋体" w:cs="宋体"/>
          <w:color w:val="auto"/>
          <w:kern w:val="21"/>
          <w:szCs w:val="21"/>
          <w:highlight w:val="none"/>
        </w:rPr>
        <w:t>群体工程应附《承包人承揽工程项目一览表》（附件1）。</w:t>
      </w:r>
    </w:p>
    <w:p>
      <w:pPr>
        <w:widowControl w:val="0"/>
        <w:spacing w:line="480" w:lineRule="exact"/>
        <w:ind w:firstLine="411" w:firstLineChars="196"/>
        <w:textAlignment w:val="auto"/>
        <w:rPr>
          <w:rFonts w:ascii="宋体" w:hAnsi="宋体" w:cs="宋体"/>
          <w:color w:val="auto"/>
          <w:kern w:val="21"/>
          <w:szCs w:val="21"/>
          <w:highlight w:val="none"/>
        </w:rPr>
      </w:pPr>
      <w:r>
        <w:rPr>
          <w:rFonts w:hint="eastAsia" w:ascii="宋体" w:hAnsi="宋体" w:cs="宋体"/>
          <w:bCs/>
          <w:color w:val="auto"/>
          <w:kern w:val="21"/>
          <w:szCs w:val="21"/>
          <w:highlight w:val="none"/>
        </w:rPr>
        <w:t>6.工程承包范围：</w:t>
      </w:r>
      <w:r>
        <w:rPr>
          <w:rFonts w:hint="eastAsia" w:ascii="宋体" w:hAnsi="宋体" w:cs="宋体"/>
          <w:color w:val="auto"/>
          <w:kern w:val="21"/>
          <w:szCs w:val="21"/>
          <w:highlight w:val="none"/>
          <w:u w:val="single"/>
        </w:rPr>
        <w:t>详见施工图纸和工程量清单</w:t>
      </w:r>
      <w:r>
        <w:rPr>
          <w:rFonts w:hint="eastAsia" w:ascii="宋体" w:hAnsi="宋体" w:cs="宋体"/>
          <w:color w:val="auto"/>
          <w:kern w:val="21"/>
          <w:szCs w:val="21"/>
          <w:highlight w:val="none"/>
        </w:rPr>
        <w:t>。</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r>
        <w:rPr>
          <w:rFonts w:hint="eastAsia" w:ascii="宋体" w:hAnsi="宋体" w:eastAsia="宋体" w:cs="宋体"/>
          <w:b w:val="0"/>
          <w:color w:val="auto"/>
          <w:kern w:val="21"/>
          <w:sz w:val="21"/>
          <w:szCs w:val="21"/>
          <w:highlight w:val="none"/>
        </w:rPr>
        <w:t xml:space="preserve">   </w:t>
      </w:r>
      <w:bookmarkStart w:id="62" w:name="_Toc351203482"/>
      <w:r>
        <w:rPr>
          <w:rFonts w:hint="eastAsia" w:ascii="宋体" w:hAnsi="宋体" w:eastAsia="宋体" w:cs="宋体"/>
          <w:b w:val="0"/>
          <w:color w:val="auto"/>
          <w:kern w:val="21"/>
          <w:sz w:val="21"/>
          <w:szCs w:val="21"/>
          <w:highlight w:val="none"/>
        </w:rPr>
        <w:t>二、合同工期</w:t>
      </w:r>
      <w:bookmarkEnd w:id="62"/>
    </w:p>
    <w:p>
      <w:pPr>
        <w:widowControl w:val="0"/>
        <w:spacing w:line="480" w:lineRule="exact"/>
        <w:ind w:firstLine="459"/>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计划开工日期：</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年</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月</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日。</w:t>
      </w:r>
    </w:p>
    <w:p>
      <w:pPr>
        <w:widowControl w:val="0"/>
        <w:spacing w:line="480" w:lineRule="exact"/>
        <w:ind w:firstLine="459"/>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计划竣工日期：</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年</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月</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日。</w:t>
      </w:r>
    </w:p>
    <w:p>
      <w:pPr>
        <w:widowControl w:val="0"/>
        <w:spacing w:line="480" w:lineRule="exact"/>
        <w:ind w:firstLine="459"/>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工期总日历天数：</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天。工期总日历天数与根据前述计划开竣工日期计算的工期天数不一致的，以工期总日历天数为准。</w:t>
      </w:r>
    </w:p>
    <w:p>
      <w:pPr>
        <w:pStyle w:val="6"/>
        <w:widowControl w:val="0"/>
        <w:tabs>
          <w:tab w:val="left" w:pos="864"/>
        </w:tabs>
        <w:spacing w:before="120" w:after="120" w:line="480" w:lineRule="exact"/>
        <w:textAlignment w:val="auto"/>
        <w:rPr>
          <w:rFonts w:ascii="宋体" w:hAnsi="宋体" w:eastAsia="宋体" w:cs="宋体"/>
          <w:bCs w:val="0"/>
          <w:color w:val="auto"/>
          <w:kern w:val="21"/>
          <w:sz w:val="21"/>
          <w:szCs w:val="21"/>
          <w:highlight w:val="none"/>
        </w:rPr>
      </w:pPr>
      <w:r>
        <w:rPr>
          <w:rFonts w:hint="eastAsia" w:ascii="宋体" w:hAnsi="宋体" w:eastAsia="宋体" w:cs="宋体"/>
          <w:bCs w:val="0"/>
          <w:color w:val="auto"/>
          <w:kern w:val="21"/>
          <w:sz w:val="21"/>
          <w:szCs w:val="21"/>
          <w:highlight w:val="none"/>
        </w:rPr>
        <w:t xml:space="preserve">    </w:t>
      </w:r>
      <w:bookmarkStart w:id="63" w:name="_Toc351203483"/>
      <w:r>
        <w:rPr>
          <w:rFonts w:hint="eastAsia" w:ascii="宋体" w:hAnsi="宋体" w:eastAsia="宋体" w:cs="宋体"/>
          <w:b w:val="0"/>
          <w:color w:val="auto"/>
          <w:kern w:val="21"/>
          <w:sz w:val="21"/>
          <w:szCs w:val="21"/>
          <w:highlight w:val="none"/>
        </w:rPr>
        <w:t>三、质量标准</w:t>
      </w:r>
      <w:bookmarkEnd w:id="63"/>
    </w:p>
    <w:p>
      <w:pPr>
        <w:widowControl w:val="0"/>
        <w:spacing w:line="480" w:lineRule="exact"/>
        <w:ind w:firstLine="459"/>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工程质量符合</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等级标准。</w:t>
      </w:r>
    </w:p>
    <w:p>
      <w:pPr>
        <w:pStyle w:val="6"/>
        <w:widowControl w:val="0"/>
        <w:tabs>
          <w:tab w:val="left" w:pos="864"/>
        </w:tabs>
        <w:spacing w:before="120" w:after="120" w:line="480" w:lineRule="exact"/>
        <w:textAlignment w:val="auto"/>
        <w:rPr>
          <w:rFonts w:ascii="宋体" w:hAnsi="宋体" w:eastAsia="宋体" w:cs="宋体"/>
          <w:bCs w:val="0"/>
          <w:color w:val="auto"/>
          <w:kern w:val="21"/>
          <w:sz w:val="21"/>
          <w:szCs w:val="21"/>
          <w:highlight w:val="none"/>
        </w:rPr>
      </w:pPr>
      <w:r>
        <w:rPr>
          <w:rFonts w:hint="eastAsia" w:ascii="宋体" w:hAnsi="宋体" w:eastAsia="宋体" w:cs="宋体"/>
          <w:bCs w:val="0"/>
          <w:color w:val="auto"/>
          <w:kern w:val="21"/>
          <w:sz w:val="21"/>
          <w:szCs w:val="21"/>
          <w:highlight w:val="none"/>
        </w:rPr>
        <w:t xml:space="preserve">   </w:t>
      </w:r>
      <w:r>
        <w:rPr>
          <w:rFonts w:hint="eastAsia" w:ascii="宋体" w:hAnsi="宋体" w:eastAsia="宋体" w:cs="宋体"/>
          <w:b w:val="0"/>
          <w:color w:val="auto"/>
          <w:kern w:val="21"/>
          <w:sz w:val="21"/>
          <w:szCs w:val="21"/>
          <w:highlight w:val="none"/>
        </w:rPr>
        <w:t xml:space="preserve"> </w:t>
      </w:r>
      <w:bookmarkStart w:id="64" w:name="_Toc351203484"/>
      <w:r>
        <w:rPr>
          <w:rFonts w:hint="eastAsia" w:ascii="宋体" w:hAnsi="宋体" w:eastAsia="宋体" w:cs="宋体"/>
          <w:b w:val="0"/>
          <w:color w:val="auto"/>
          <w:kern w:val="21"/>
          <w:sz w:val="21"/>
          <w:szCs w:val="21"/>
          <w:highlight w:val="none"/>
        </w:rPr>
        <w:t>四、签约合同价与合同价格形式</w:t>
      </w:r>
      <w:bookmarkEnd w:id="64"/>
      <w:r>
        <w:rPr>
          <w:rFonts w:hint="eastAsia" w:ascii="宋体" w:hAnsi="宋体" w:eastAsia="宋体" w:cs="宋体"/>
          <w:b w:val="0"/>
          <w:color w:val="auto"/>
          <w:kern w:val="21"/>
          <w:sz w:val="21"/>
          <w:szCs w:val="21"/>
          <w:highlight w:val="none"/>
        </w:rPr>
        <w:tab/>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1.签约合同价为：</w:t>
      </w:r>
    </w:p>
    <w:p>
      <w:pPr>
        <w:widowControl w:val="0"/>
        <w:spacing w:line="480" w:lineRule="exact"/>
        <w:ind w:firstLine="525" w:firstLineChars="25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人民币（大写）</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元)；</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其中：</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（1）安全文明施工费：</w:t>
      </w:r>
    </w:p>
    <w:p>
      <w:pPr>
        <w:widowControl w:val="0"/>
        <w:spacing w:line="480" w:lineRule="exact"/>
        <w:ind w:firstLine="945" w:firstLineChars="45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人民币（大写）</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元)；</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（2）材料和工程设备暂估价金额：</w:t>
      </w:r>
    </w:p>
    <w:p>
      <w:pPr>
        <w:widowControl w:val="0"/>
        <w:spacing w:line="480" w:lineRule="exact"/>
        <w:ind w:firstLine="945" w:firstLineChars="45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人民币（大写）</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元)；</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（3）专业工程暂估价金额：</w:t>
      </w:r>
    </w:p>
    <w:p>
      <w:pPr>
        <w:widowControl w:val="0"/>
        <w:spacing w:line="480" w:lineRule="exact"/>
        <w:ind w:firstLine="945" w:firstLineChars="45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人民币（大写）</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元)；</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（4）暂列金额：</w:t>
      </w:r>
    </w:p>
    <w:p>
      <w:pPr>
        <w:widowControl w:val="0"/>
        <w:spacing w:line="480" w:lineRule="exact"/>
        <w:ind w:firstLine="945" w:firstLineChars="45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人民币（大写）</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元)。</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2.合同价格形式：</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u w:val="single"/>
          <w:lang w:val="en-US" w:eastAsia="zh-CN"/>
        </w:rPr>
        <w:t xml:space="preserve">       </w:t>
      </w:r>
      <w:r>
        <w:rPr>
          <w:rFonts w:hint="eastAsia" w:ascii="宋体" w:hAnsi="宋体" w:cs="宋体"/>
          <w:color w:val="auto"/>
          <w:kern w:val="21"/>
          <w:szCs w:val="21"/>
          <w:highlight w:val="none"/>
          <w:u w:val="single"/>
          <w:lang w:eastAsia="zh-CN"/>
        </w:rPr>
        <w:t>固定总价合同</w:t>
      </w:r>
      <w:r>
        <w:rPr>
          <w:rFonts w:hint="eastAsia" w:ascii="宋体" w:hAnsi="宋体" w:cs="宋体"/>
          <w:color w:val="auto"/>
          <w:kern w:val="21"/>
          <w:szCs w:val="21"/>
          <w:highlight w:val="none"/>
          <w:u w:val="single"/>
          <w:lang w:val="en-US" w:eastAsia="zh-CN"/>
        </w:rPr>
        <w:t xml:space="preserve">       </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r>
        <w:rPr>
          <w:rFonts w:hint="eastAsia" w:ascii="宋体" w:hAnsi="宋体" w:eastAsia="宋体" w:cs="宋体"/>
          <w:bCs w:val="0"/>
          <w:color w:val="auto"/>
          <w:kern w:val="21"/>
          <w:sz w:val="21"/>
          <w:szCs w:val="21"/>
          <w:highlight w:val="none"/>
        </w:rPr>
        <w:t xml:space="preserve">   </w:t>
      </w:r>
      <w:r>
        <w:rPr>
          <w:rFonts w:hint="eastAsia" w:ascii="宋体" w:hAnsi="宋体" w:eastAsia="宋体" w:cs="宋体"/>
          <w:b w:val="0"/>
          <w:color w:val="auto"/>
          <w:kern w:val="21"/>
          <w:sz w:val="21"/>
          <w:szCs w:val="21"/>
          <w:highlight w:val="none"/>
        </w:rPr>
        <w:t xml:space="preserve"> </w:t>
      </w:r>
      <w:bookmarkStart w:id="65" w:name="_Toc351203485"/>
      <w:r>
        <w:rPr>
          <w:rFonts w:hint="eastAsia" w:ascii="宋体" w:hAnsi="宋体" w:eastAsia="宋体" w:cs="宋体"/>
          <w:b w:val="0"/>
          <w:color w:val="auto"/>
          <w:kern w:val="21"/>
          <w:sz w:val="21"/>
          <w:szCs w:val="21"/>
          <w:highlight w:val="none"/>
        </w:rPr>
        <w:t>五、</w:t>
      </w:r>
      <w:bookmarkEnd w:id="65"/>
      <w:r>
        <w:rPr>
          <w:rFonts w:hint="eastAsia" w:ascii="宋体" w:hAnsi="宋体" w:eastAsia="宋体" w:cs="宋体"/>
          <w:b w:val="0"/>
          <w:color w:val="auto"/>
          <w:kern w:val="21"/>
          <w:sz w:val="21"/>
          <w:szCs w:val="21"/>
          <w:highlight w:val="none"/>
        </w:rPr>
        <w:t>项目经理</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承包人项目经理：</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pStyle w:val="6"/>
        <w:widowControl w:val="0"/>
        <w:tabs>
          <w:tab w:val="left" w:pos="864"/>
        </w:tabs>
        <w:spacing w:before="120" w:after="120" w:line="480" w:lineRule="exact"/>
        <w:textAlignment w:val="auto"/>
        <w:rPr>
          <w:rFonts w:ascii="宋体" w:hAnsi="宋体" w:eastAsia="宋体" w:cs="宋体"/>
          <w:bCs w:val="0"/>
          <w:color w:val="auto"/>
          <w:kern w:val="21"/>
          <w:sz w:val="21"/>
          <w:szCs w:val="21"/>
          <w:highlight w:val="none"/>
        </w:rPr>
      </w:pPr>
      <w:r>
        <w:rPr>
          <w:rFonts w:hint="eastAsia" w:ascii="宋体" w:hAnsi="宋体" w:eastAsia="宋体" w:cs="宋体"/>
          <w:bCs w:val="0"/>
          <w:color w:val="auto"/>
          <w:kern w:val="21"/>
          <w:sz w:val="21"/>
          <w:szCs w:val="21"/>
          <w:highlight w:val="none"/>
        </w:rPr>
        <w:t xml:space="preserve">   </w:t>
      </w:r>
      <w:r>
        <w:rPr>
          <w:rFonts w:hint="eastAsia" w:ascii="宋体" w:hAnsi="宋体" w:eastAsia="宋体" w:cs="宋体"/>
          <w:b w:val="0"/>
          <w:color w:val="auto"/>
          <w:kern w:val="21"/>
          <w:sz w:val="21"/>
          <w:szCs w:val="21"/>
          <w:highlight w:val="none"/>
        </w:rPr>
        <w:t xml:space="preserve"> </w:t>
      </w:r>
      <w:bookmarkStart w:id="66" w:name="_Toc351203486"/>
      <w:r>
        <w:rPr>
          <w:rFonts w:hint="eastAsia" w:ascii="宋体" w:hAnsi="宋体" w:eastAsia="宋体" w:cs="宋体"/>
          <w:b w:val="0"/>
          <w:color w:val="auto"/>
          <w:kern w:val="21"/>
          <w:sz w:val="21"/>
          <w:szCs w:val="21"/>
          <w:highlight w:val="none"/>
        </w:rPr>
        <w:t>六、合同文件构成</w:t>
      </w:r>
      <w:bookmarkEnd w:id="66"/>
    </w:p>
    <w:p>
      <w:pPr>
        <w:widowControl w:val="0"/>
        <w:spacing w:line="480" w:lineRule="exact"/>
        <w:ind w:firstLine="420" w:firstLineChars="200"/>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本协议书与下列文件一起构成合同文件：</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（1）成交通知书（如果有）；</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xml:space="preserve">（2）投标函及其附录（如果有）； </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（3）专用合同条款及其附件；</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（4）通用合同条款；</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（5）技术标准和要求；</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（6）图纸；</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（7）已标价工程量清单或预算书；</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（8）其他合同文件。</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在合同订立及履行过程中形成的与合同有关的文件均构成合同文件组成部分。</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上述各项合同文件包括合同当事人就该项合同文件所作出的补充和修改，属于同一类内容的文件，应以最新签署的为准。专用合同条款及其附件须经合同当事人签字或盖章。</w:t>
      </w:r>
    </w:p>
    <w:p>
      <w:pPr>
        <w:pStyle w:val="6"/>
        <w:widowControl w:val="0"/>
        <w:tabs>
          <w:tab w:val="left" w:pos="864"/>
        </w:tabs>
        <w:spacing w:before="120" w:after="120" w:line="480" w:lineRule="exact"/>
        <w:textAlignment w:val="auto"/>
        <w:rPr>
          <w:rFonts w:ascii="宋体" w:hAnsi="宋体" w:eastAsia="宋体" w:cs="宋体"/>
          <w:b w:val="0"/>
          <w:bCs w:val="0"/>
          <w:color w:val="auto"/>
          <w:kern w:val="21"/>
          <w:sz w:val="21"/>
          <w:szCs w:val="21"/>
          <w:highlight w:val="none"/>
        </w:rPr>
      </w:pPr>
      <w:r>
        <w:rPr>
          <w:rFonts w:hint="eastAsia" w:ascii="宋体" w:hAnsi="宋体" w:eastAsia="宋体" w:cs="宋体"/>
          <w:b w:val="0"/>
          <w:bCs w:val="0"/>
          <w:color w:val="auto"/>
          <w:kern w:val="21"/>
          <w:sz w:val="21"/>
          <w:szCs w:val="21"/>
          <w:highlight w:val="none"/>
        </w:rPr>
        <w:t xml:space="preserve">   </w:t>
      </w:r>
      <w:r>
        <w:rPr>
          <w:rFonts w:hint="eastAsia" w:ascii="宋体" w:hAnsi="宋体" w:eastAsia="宋体" w:cs="宋体"/>
          <w:b w:val="0"/>
          <w:color w:val="auto"/>
          <w:kern w:val="21"/>
          <w:sz w:val="21"/>
          <w:szCs w:val="21"/>
          <w:highlight w:val="none"/>
        </w:rPr>
        <w:t xml:space="preserve"> </w:t>
      </w:r>
      <w:bookmarkStart w:id="67" w:name="_Toc351203487"/>
      <w:r>
        <w:rPr>
          <w:rFonts w:hint="eastAsia" w:ascii="宋体" w:hAnsi="宋体" w:eastAsia="宋体" w:cs="宋体"/>
          <w:b w:val="0"/>
          <w:color w:val="auto"/>
          <w:kern w:val="21"/>
          <w:sz w:val="21"/>
          <w:szCs w:val="21"/>
          <w:highlight w:val="none"/>
        </w:rPr>
        <w:t>七、承诺</w:t>
      </w:r>
      <w:bookmarkEnd w:id="67"/>
    </w:p>
    <w:p>
      <w:pPr>
        <w:widowControl w:val="0"/>
        <w:spacing w:line="480" w:lineRule="exact"/>
        <w:ind w:firstLine="420" w:firstLineChars="200"/>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1.发包人承诺按照法律规定履行项目审批手续、筹集工程建设资金并按照合同约定的期限和方式支付合同价款。</w:t>
      </w:r>
    </w:p>
    <w:p>
      <w:pPr>
        <w:widowControl w:val="0"/>
        <w:spacing w:line="460" w:lineRule="exact"/>
        <w:ind w:firstLine="420" w:firstLineChars="200"/>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2.承包人承诺按照法律规定及合同约定组织完成工程施工，确保工程质量和安全，不进行转包及违法分包，并在缺陷责任期及保修期内承担相应的工程维修责任。</w:t>
      </w:r>
    </w:p>
    <w:p>
      <w:pPr>
        <w:widowControl w:val="0"/>
        <w:spacing w:line="460" w:lineRule="exact"/>
        <w:ind w:firstLine="420" w:firstLineChars="200"/>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3.发包人和承包人通过招投标形式签订合同的，双方理解并承诺不再就同一工程另行签订与合同实质性内容相背离的协议。</w:t>
      </w:r>
    </w:p>
    <w:p>
      <w:pPr>
        <w:widowControl w:val="0"/>
        <w:spacing w:line="460" w:lineRule="exact"/>
        <w:textAlignment w:val="auto"/>
        <w:rPr>
          <w:rFonts w:ascii="宋体" w:hAnsi="宋体" w:cs="宋体"/>
          <w:bCs/>
          <w:color w:val="auto"/>
          <w:kern w:val="21"/>
          <w:szCs w:val="21"/>
          <w:highlight w:val="none"/>
        </w:rPr>
      </w:pPr>
      <w:bookmarkStart w:id="68" w:name="_Toc351203488"/>
      <w:r>
        <w:rPr>
          <w:rFonts w:hint="eastAsia" w:ascii="宋体" w:hAnsi="宋体" w:cs="宋体"/>
          <w:b/>
          <w:color w:val="auto"/>
          <w:kern w:val="21"/>
          <w:szCs w:val="21"/>
          <w:highlight w:val="none"/>
        </w:rPr>
        <w:t xml:space="preserve">    八、词语含义</w:t>
      </w:r>
      <w:bookmarkEnd w:id="68"/>
    </w:p>
    <w:p>
      <w:pPr>
        <w:widowControl w:val="0"/>
        <w:spacing w:line="460" w:lineRule="exact"/>
        <w:ind w:firstLine="420" w:firstLineChars="200"/>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本协议书中词语含义与第二部分通用合同条款中赋予的含义相同。</w:t>
      </w:r>
    </w:p>
    <w:p>
      <w:pPr>
        <w:pStyle w:val="6"/>
        <w:widowControl w:val="0"/>
        <w:tabs>
          <w:tab w:val="left" w:pos="864"/>
        </w:tabs>
        <w:spacing w:before="120" w:after="120" w:line="460" w:lineRule="exact"/>
        <w:textAlignment w:val="auto"/>
        <w:rPr>
          <w:rFonts w:ascii="宋体" w:hAnsi="宋体" w:eastAsia="宋体" w:cs="宋体"/>
          <w:bCs w:val="0"/>
          <w:color w:val="auto"/>
          <w:kern w:val="21"/>
          <w:sz w:val="21"/>
          <w:szCs w:val="21"/>
          <w:highlight w:val="none"/>
        </w:rPr>
      </w:pPr>
      <w:r>
        <w:rPr>
          <w:rFonts w:hint="eastAsia" w:ascii="宋体" w:hAnsi="宋体" w:eastAsia="宋体" w:cs="宋体"/>
          <w:bCs w:val="0"/>
          <w:color w:val="auto"/>
          <w:kern w:val="21"/>
          <w:sz w:val="21"/>
          <w:szCs w:val="21"/>
          <w:highlight w:val="none"/>
        </w:rPr>
        <w:t xml:space="preserve">  </w:t>
      </w:r>
      <w:r>
        <w:rPr>
          <w:rFonts w:hint="eastAsia" w:ascii="宋体" w:hAnsi="宋体" w:eastAsia="宋体" w:cs="宋体"/>
          <w:b w:val="0"/>
          <w:color w:val="auto"/>
          <w:kern w:val="21"/>
          <w:sz w:val="21"/>
          <w:szCs w:val="21"/>
          <w:highlight w:val="none"/>
        </w:rPr>
        <w:t xml:space="preserve">  </w:t>
      </w:r>
      <w:bookmarkStart w:id="69" w:name="_Toc351203489"/>
      <w:r>
        <w:rPr>
          <w:rFonts w:hint="eastAsia" w:ascii="宋体" w:hAnsi="宋体" w:eastAsia="宋体" w:cs="宋体"/>
          <w:b w:val="0"/>
          <w:color w:val="auto"/>
          <w:kern w:val="21"/>
          <w:sz w:val="21"/>
          <w:szCs w:val="21"/>
          <w:highlight w:val="none"/>
        </w:rPr>
        <w:t>九、签订时间</w:t>
      </w:r>
      <w:bookmarkEnd w:id="69"/>
    </w:p>
    <w:p>
      <w:pPr>
        <w:widowControl w:val="0"/>
        <w:spacing w:line="460" w:lineRule="exact"/>
        <w:ind w:firstLine="420" w:firstLineChars="200"/>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本合同于</w:t>
      </w:r>
      <w:r>
        <w:rPr>
          <w:rFonts w:hint="eastAsia" w:ascii="宋体" w:hAnsi="宋体" w:cs="宋体"/>
          <w:bCs/>
          <w:color w:val="auto"/>
          <w:kern w:val="21"/>
          <w:szCs w:val="21"/>
          <w:highlight w:val="none"/>
          <w:u w:val="single"/>
        </w:rPr>
        <w:t xml:space="preserve">         </w:t>
      </w:r>
      <w:r>
        <w:rPr>
          <w:rFonts w:hint="eastAsia" w:ascii="宋体" w:hAnsi="宋体" w:cs="宋体"/>
          <w:bCs/>
          <w:color w:val="auto"/>
          <w:kern w:val="21"/>
          <w:szCs w:val="21"/>
          <w:highlight w:val="none"/>
        </w:rPr>
        <w:t>年</w:t>
      </w:r>
      <w:r>
        <w:rPr>
          <w:rFonts w:hint="eastAsia" w:ascii="宋体" w:hAnsi="宋体" w:cs="宋体"/>
          <w:bCs/>
          <w:color w:val="auto"/>
          <w:kern w:val="21"/>
          <w:szCs w:val="21"/>
          <w:highlight w:val="none"/>
          <w:u w:val="single"/>
        </w:rPr>
        <w:t xml:space="preserve">          </w:t>
      </w:r>
      <w:r>
        <w:rPr>
          <w:rFonts w:hint="eastAsia" w:ascii="宋体" w:hAnsi="宋体" w:cs="宋体"/>
          <w:bCs/>
          <w:color w:val="auto"/>
          <w:kern w:val="21"/>
          <w:szCs w:val="21"/>
          <w:highlight w:val="none"/>
        </w:rPr>
        <w:t>月</w:t>
      </w:r>
      <w:r>
        <w:rPr>
          <w:rFonts w:hint="eastAsia" w:ascii="宋体" w:hAnsi="宋体" w:cs="宋体"/>
          <w:bCs/>
          <w:color w:val="auto"/>
          <w:kern w:val="21"/>
          <w:szCs w:val="21"/>
          <w:highlight w:val="none"/>
          <w:u w:val="single"/>
        </w:rPr>
        <w:t xml:space="preserve">            </w:t>
      </w:r>
      <w:r>
        <w:rPr>
          <w:rFonts w:hint="eastAsia" w:ascii="宋体" w:hAnsi="宋体" w:cs="宋体"/>
          <w:bCs/>
          <w:color w:val="auto"/>
          <w:kern w:val="21"/>
          <w:szCs w:val="21"/>
          <w:highlight w:val="none"/>
        </w:rPr>
        <w:t>日签订。</w:t>
      </w:r>
    </w:p>
    <w:p>
      <w:pPr>
        <w:pStyle w:val="6"/>
        <w:widowControl w:val="0"/>
        <w:tabs>
          <w:tab w:val="left" w:pos="864"/>
        </w:tabs>
        <w:spacing w:before="120" w:after="120" w:line="460" w:lineRule="exact"/>
        <w:textAlignment w:val="auto"/>
        <w:rPr>
          <w:rFonts w:ascii="宋体" w:hAnsi="宋体" w:eastAsia="宋体" w:cs="宋体"/>
          <w:bCs w:val="0"/>
          <w:color w:val="auto"/>
          <w:kern w:val="21"/>
          <w:sz w:val="21"/>
          <w:szCs w:val="21"/>
          <w:highlight w:val="none"/>
        </w:rPr>
      </w:pPr>
      <w:r>
        <w:rPr>
          <w:rFonts w:hint="eastAsia" w:ascii="宋体" w:hAnsi="宋体" w:eastAsia="宋体" w:cs="宋体"/>
          <w:bCs w:val="0"/>
          <w:color w:val="auto"/>
          <w:kern w:val="21"/>
          <w:sz w:val="21"/>
          <w:szCs w:val="21"/>
          <w:highlight w:val="none"/>
        </w:rPr>
        <w:t xml:space="preserve">    </w:t>
      </w:r>
      <w:bookmarkStart w:id="70" w:name="_Toc351203490"/>
      <w:r>
        <w:rPr>
          <w:rFonts w:hint="eastAsia" w:ascii="宋体" w:hAnsi="宋体" w:eastAsia="宋体" w:cs="宋体"/>
          <w:b w:val="0"/>
          <w:color w:val="auto"/>
          <w:kern w:val="21"/>
          <w:sz w:val="21"/>
          <w:szCs w:val="21"/>
          <w:highlight w:val="none"/>
        </w:rPr>
        <w:t>十、签订地点</w:t>
      </w:r>
      <w:bookmarkEnd w:id="70"/>
    </w:p>
    <w:p>
      <w:pPr>
        <w:widowControl w:val="0"/>
        <w:spacing w:line="460" w:lineRule="exact"/>
        <w:ind w:firstLine="420" w:firstLineChars="200"/>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本合同在</w:t>
      </w:r>
      <w:r>
        <w:rPr>
          <w:rFonts w:hint="eastAsia" w:ascii="宋体" w:hAnsi="宋体" w:cs="宋体"/>
          <w:bCs/>
          <w:color w:val="auto"/>
          <w:kern w:val="21"/>
          <w:szCs w:val="21"/>
          <w:highlight w:val="none"/>
          <w:u w:val="single"/>
        </w:rPr>
        <w:t xml:space="preserve">                                    </w:t>
      </w:r>
      <w:r>
        <w:rPr>
          <w:rFonts w:hint="eastAsia" w:ascii="宋体" w:hAnsi="宋体" w:cs="宋体"/>
          <w:bCs/>
          <w:color w:val="auto"/>
          <w:kern w:val="21"/>
          <w:szCs w:val="21"/>
          <w:highlight w:val="none"/>
        </w:rPr>
        <w:t>签订。</w:t>
      </w:r>
    </w:p>
    <w:p>
      <w:pPr>
        <w:pStyle w:val="6"/>
        <w:widowControl w:val="0"/>
        <w:tabs>
          <w:tab w:val="left" w:pos="864"/>
        </w:tabs>
        <w:spacing w:before="120" w:after="120" w:line="460" w:lineRule="exact"/>
        <w:textAlignment w:val="auto"/>
        <w:rPr>
          <w:rFonts w:ascii="宋体" w:hAnsi="宋体" w:eastAsia="宋体" w:cs="宋体"/>
          <w:bCs w:val="0"/>
          <w:color w:val="auto"/>
          <w:kern w:val="21"/>
          <w:sz w:val="21"/>
          <w:szCs w:val="21"/>
          <w:highlight w:val="none"/>
        </w:rPr>
      </w:pPr>
      <w:r>
        <w:rPr>
          <w:rFonts w:hint="eastAsia" w:ascii="宋体" w:hAnsi="宋体" w:eastAsia="宋体" w:cs="宋体"/>
          <w:bCs w:val="0"/>
          <w:color w:val="auto"/>
          <w:kern w:val="21"/>
          <w:sz w:val="21"/>
          <w:szCs w:val="21"/>
          <w:highlight w:val="none"/>
        </w:rPr>
        <w:t xml:space="preserve">    </w:t>
      </w:r>
      <w:bookmarkStart w:id="71" w:name="_Toc351203491"/>
      <w:r>
        <w:rPr>
          <w:rFonts w:hint="eastAsia" w:ascii="宋体" w:hAnsi="宋体" w:eastAsia="宋体" w:cs="宋体"/>
          <w:b w:val="0"/>
          <w:color w:val="auto"/>
          <w:kern w:val="21"/>
          <w:sz w:val="21"/>
          <w:szCs w:val="21"/>
          <w:highlight w:val="none"/>
        </w:rPr>
        <w:t>十一、补充协议</w:t>
      </w:r>
      <w:bookmarkEnd w:id="71"/>
    </w:p>
    <w:p>
      <w:pPr>
        <w:widowControl w:val="0"/>
        <w:spacing w:line="460" w:lineRule="exact"/>
        <w:ind w:firstLine="420" w:firstLineChars="200"/>
        <w:textAlignment w:val="auto"/>
        <w:rPr>
          <w:rFonts w:ascii="宋体" w:hAnsi="宋体" w:cs="宋体"/>
          <w:b/>
          <w:bCs/>
          <w:color w:val="auto"/>
          <w:kern w:val="21"/>
          <w:szCs w:val="21"/>
          <w:highlight w:val="none"/>
        </w:rPr>
      </w:pPr>
      <w:r>
        <w:rPr>
          <w:rFonts w:hint="eastAsia" w:ascii="宋体" w:hAnsi="宋体" w:cs="宋体"/>
          <w:bCs/>
          <w:color w:val="auto"/>
          <w:kern w:val="21"/>
          <w:szCs w:val="21"/>
          <w:highlight w:val="none"/>
        </w:rPr>
        <w:t>合同未尽事宜，合同当事人另行签订补充协议，补充协议是合同的组成部分。</w:t>
      </w:r>
    </w:p>
    <w:p>
      <w:pPr>
        <w:pStyle w:val="6"/>
        <w:widowControl w:val="0"/>
        <w:tabs>
          <w:tab w:val="left" w:pos="864"/>
        </w:tabs>
        <w:spacing w:before="120" w:after="120" w:line="460" w:lineRule="exact"/>
        <w:textAlignment w:val="auto"/>
        <w:rPr>
          <w:rFonts w:ascii="宋体" w:hAnsi="宋体" w:eastAsia="宋体" w:cs="宋体"/>
          <w:bCs w:val="0"/>
          <w:color w:val="auto"/>
          <w:kern w:val="21"/>
          <w:sz w:val="21"/>
          <w:szCs w:val="21"/>
          <w:highlight w:val="none"/>
        </w:rPr>
      </w:pPr>
      <w:r>
        <w:rPr>
          <w:rFonts w:hint="eastAsia" w:ascii="宋体" w:hAnsi="宋体" w:eastAsia="宋体" w:cs="宋体"/>
          <w:bCs w:val="0"/>
          <w:color w:val="auto"/>
          <w:kern w:val="21"/>
          <w:sz w:val="21"/>
          <w:szCs w:val="21"/>
          <w:highlight w:val="none"/>
        </w:rPr>
        <w:t xml:space="preserve">    </w:t>
      </w:r>
      <w:bookmarkStart w:id="72" w:name="_Toc351203492"/>
      <w:r>
        <w:rPr>
          <w:rFonts w:hint="eastAsia" w:ascii="宋体" w:hAnsi="宋体" w:eastAsia="宋体" w:cs="宋体"/>
          <w:b w:val="0"/>
          <w:color w:val="auto"/>
          <w:kern w:val="21"/>
          <w:sz w:val="21"/>
          <w:szCs w:val="21"/>
          <w:highlight w:val="none"/>
        </w:rPr>
        <w:t>十二、合同生效</w:t>
      </w:r>
      <w:bookmarkEnd w:id="72"/>
    </w:p>
    <w:p>
      <w:pPr>
        <w:widowControl w:val="0"/>
        <w:spacing w:line="460" w:lineRule="exact"/>
        <w:ind w:firstLine="420" w:firstLineChars="200"/>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本合同自</w:t>
      </w:r>
      <w:r>
        <w:rPr>
          <w:rFonts w:hint="eastAsia" w:ascii="宋体" w:hAnsi="宋体" w:cs="宋体"/>
          <w:bCs/>
          <w:color w:val="auto"/>
          <w:kern w:val="21"/>
          <w:szCs w:val="21"/>
          <w:highlight w:val="none"/>
          <w:u w:val="single"/>
        </w:rPr>
        <w:t xml:space="preserve">                                   </w:t>
      </w:r>
      <w:r>
        <w:rPr>
          <w:rFonts w:hint="eastAsia" w:ascii="宋体" w:hAnsi="宋体" w:cs="宋体"/>
          <w:bCs/>
          <w:color w:val="auto"/>
          <w:kern w:val="21"/>
          <w:szCs w:val="21"/>
          <w:highlight w:val="none"/>
        </w:rPr>
        <w:t>生效。</w:t>
      </w:r>
    </w:p>
    <w:p>
      <w:pPr>
        <w:pStyle w:val="6"/>
        <w:widowControl w:val="0"/>
        <w:tabs>
          <w:tab w:val="left" w:pos="864"/>
        </w:tabs>
        <w:spacing w:before="120" w:after="120" w:line="460" w:lineRule="exact"/>
        <w:textAlignment w:val="auto"/>
        <w:rPr>
          <w:rFonts w:ascii="宋体" w:hAnsi="宋体" w:eastAsia="宋体" w:cs="宋体"/>
          <w:bCs w:val="0"/>
          <w:color w:val="auto"/>
          <w:kern w:val="21"/>
          <w:sz w:val="21"/>
          <w:szCs w:val="21"/>
          <w:highlight w:val="none"/>
        </w:rPr>
      </w:pPr>
      <w:r>
        <w:rPr>
          <w:rFonts w:hint="eastAsia" w:ascii="宋体" w:hAnsi="宋体" w:eastAsia="宋体" w:cs="宋体"/>
          <w:bCs w:val="0"/>
          <w:color w:val="auto"/>
          <w:kern w:val="21"/>
          <w:sz w:val="21"/>
          <w:szCs w:val="21"/>
          <w:highlight w:val="none"/>
        </w:rPr>
        <w:t xml:space="preserve">    </w:t>
      </w:r>
      <w:bookmarkStart w:id="73" w:name="_Toc351203493"/>
      <w:r>
        <w:rPr>
          <w:rFonts w:hint="eastAsia" w:ascii="宋体" w:hAnsi="宋体" w:eastAsia="宋体" w:cs="宋体"/>
          <w:b w:val="0"/>
          <w:color w:val="auto"/>
          <w:kern w:val="21"/>
          <w:sz w:val="21"/>
          <w:szCs w:val="21"/>
          <w:highlight w:val="none"/>
        </w:rPr>
        <w:t>十三、合同份数</w:t>
      </w:r>
      <w:bookmarkEnd w:id="73"/>
    </w:p>
    <w:p>
      <w:pPr>
        <w:widowControl w:val="0"/>
        <w:spacing w:line="460" w:lineRule="exact"/>
        <w:ind w:firstLine="420" w:firstLineChars="200"/>
        <w:textAlignment w:val="auto"/>
        <w:rPr>
          <w:rFonts w:ascii="宋体" w:hAnsi="宋体" w:cs="宋体"/>
          <w:bCs/>
          <w:color w:val="auto"/>
          <w:kern w:val="21"/>
          <w:szCs w:val="21"/>
          <w:highlight w:val="none"/>
        </w:rPr>
      </w:pPr>
      <w:r>
        <w:rPr>
          <w:rFonts w:hint="eastAsia" w:ascii="宋体" w:hAnsi="宋体" w:cs="宋体"/>
          <w:bCs/>
          <w:color w:val="auto"/>
          <w:kern w:val="21"/>
          <w:szCs w:val="21"/>
          <w:highlight w:val="none"/>
        </w:rPr>
        <w:t>本合同一式</w:t>
      </w:r>
      <w:r>
        <w:rPr>
          <w:rFonts w:hint="eastAsia" w:ascii="宋体" w:hAnsi="宋体" w:cs="宋体"/>
          <w:bCs/>
          <w:color w:val="auto"/>
          <w:kern w:val="21"/>
          <w:szCs w:val="21"/>
          <w:highlight w:val="none"/>
          <w:u w:val="single"/>
        </w:rPr>
        <w:t xml:space="preserve">    </w:t>
      </w:r>
      <w:r>
        <w:rPr>
          <w:rFonts w:hint="eastAsia" w:ascii="宋体" w:hAnsi="宋体" w:cs="宋体"/>
          <w:bCs/>
          <w:color w:val="auto"/>
          <w:kern w:val="21"/>
          <w:szCs w:val="21"/>
          <w:highlight w:val="none"/>
        </w:rPr>
        <w:t>份，均具有同等法律效力，发包人执</w:t>
      </w:r>
      <w:r>
        <w:rPr>
          <w:rFonts w:hint="eastAsia" w:ascii="宋体" w:hAnsi="宋体" w:cs="宋体"/>
          <w:bCs/>
          <w:color w:val="auto"/>
          <w:kern w:val="21"/>
          <w:szCs w:val="21"/>
          <w:highlight w:val="none"/>
          <w:u w:val="single"/>
        </w:rPr>
        <w:t xml:space="preserve">    </w:t>
      </w:r>
      <w:r>
        <w:rPr>
          <w:rFonts w:hint="eastAsia" w:ascii="宋体" w:hAnsi="宋体" w:cs="宋体"/>
          <w:bCs/>
          <w:color w:val="auto"/>
          <w:kern w:val="21"/>
          <w:szCs w:val="21"/>
          <w:highlight w:val="none"/>
        </w:rPr>
        <w:t>份，承包人执</w:t>
      </w:r>
      <w:r>
        <w:rPr>
          <w:rFonts w:hint="eastAsia" w:ascii="宋体" w:hAnsi="宋体" w:cs="宋体"/>
          <w:bCs/>
          <w:color w:val="auto"/>
          <w:kern w:val="21"/>
          <w:szCs w:val="21"/>
          <w:highlight w:val="none"/>
          <w:u w:val="single"/>
        </w:rPr>
        <w:t xml:space="preserve">    </w:t>
      </w:r>
      <w:r>
        <w:rPr>
          <w:rFonts w:hint="eastAsia" w:ascii="宋体" w:hAnsi="宋体" w:cs="宋体"/>
          <w:bCs/>
          <w:color w:val="auto"/>
          <w:kern w:val="21"/>
          <w:szCs w:val="21"/>
          <w:highlight w:val="none"/>
        </w:rPr>
        <w:t>份。</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  (公章)                        承包人：  (公章)</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法定代表人或其委托代理人（签字）：      法定代表人或其委托代理人（签字）：</w:t>
      </w:r>
    </w:p>
    <w:p>
      <w:pPr>
        <w:widowControl w:val="0"/>
        <w:tabs>
          <w:tab w:val="left" w:pos="4410"/>
        </w:tabs>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组织机构代码：</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 xml:space="preserve">          组织机构代码：</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 xml:space="preserve">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地  址：</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 xml:space="preserve">          地  址：</w:t>
      </w:r>
      <w:r>
        <w:rPr>
          <w:rFonts w:hint="eastAsia" w:ascii="宋体" w:hAnsi="宋体" w:cs="宋体"/>
          <w:color w:val="auto"/>
          <w:kern w:val="21"/>
          <w:szCs w:val="21"/>
          <w:highlight w:val="none"/>
          <w:u w:val="single"/>
        </w:rPr>
        <w:t xml:space="preserve">   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邮政编码：</w:t>
      </w:r>
      <w:r>
        <w:rPr>
          <w:rFonts w:hint="eastAsia" w:ascii="宋体" w:hAnsi="宋体" w:cs="宋体"/>
          <w:color w:val="auto"/>
          <w:kern w:val="21"/>
          <w:szCs w:val="21"/>
          <w:highlight w:val="none"/>
          <w:u w:val="single"/>
        </w:rPr>
        <w:t xml:space="preserve">        </w:t>
      </w:r>
      <w:r>
        <w:rPr>
          <w:rFonts w:hint="eastAsia" w:ascii="宋体" w:hAnsi="宋体" w:cs="宋体"/>
          <w:color w:val="auto"/>
          <w:kern w:val="21"/>
          <w:szCs w:val="21"/>
          <w:highlight w:val="none"/>
        </w:rPr>
        <w:t xml:space="preserve">          邮政编码：</w:t>
      </w:r>
      <w:r>
        <w:rPr>
          <w:rFonts w:hint="eastAsia" w:ascii="宋体" w:hAnsi="宋体" w:cs="宋体"/>
          <w:color w:val="auto"/>
          <w:kern w:val="21"/>
          <w:szCs w:val="21"/>
          <w:highlight w:val="none"/>
          <w:u w:val="single"/>
        </w:rPr>
        <w:t xml:space="preserve">  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法定代表人：</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 xml:space="preserve">          法定代表人：</w:t>
      </w:r>
      <w:r>
        <w:rPr>
          <w:rFonts w:hint="eastAsia" w:ascii="宋体" w:hAnsi="宋体" w:cs="宋体"/>
          <w:color w:val="auto"/>
          <w:kern w:val="21"/>
          <w:szCs w:val="21"/>
          <w:highlight w:val="none"/>
          <w:u w:val="single"/>
        </w:rPr>
        <w:t xml:space="preserve">      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委托代理人：</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委托代理人：</w:t>
      </w:r>
      <w:r>
        <w:rPr>
          <w:rFonts w:hint="eastAsia" w:ascii="宋体" w:hAnsi="宋体" w:cs="宋体"/>
          <w:color w:val="auto"/>
          <w:kern w:val="21"/>
          <w:szCs w:val="21"/>
          <w:highlight w:val="none"/>
          <w:u w:val="single"/>
        </w:rPr>
        <w:t xml:space="preserve">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电  话：</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 xml:space="preserve">          电  话：</w:t>
      </w:r>
      <w:r>
        <w:rPr>
          <w:rFonts w:hint="eastAsia" w:ascii="宋体" w:hAnsi="宋体" w:cs="宋体"/>
          <w:color w:val="auto"/>
          <w:kern w:val="21"/>
          <w:szCs w:val="21"/>
          <w:highlight w:val="none"/>
          <w:u w:val="single"/>
        </w:rPr>
        <w:t xml:space="preserve">   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传  真：</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 xml:space="preserve">          传  真：</w:t>
      </w:r>
      <w:r>
        <w:rPr>
          <w:rFonts w:hint="eastAsia" w:ascii="宋体" w:hAnsi="宋体" w:cs="宋体"/>
          <w:color w:val="auto"/>
          <w:kern w:val="21"/>
          <w:szCs w:val="21"/>
          <w:highlight w:val="none"/>
          <w:u w:val="single"/>
        </w:rPr>
        <w:t xml:space="preserve">      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电子信箱：</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电子信箱：</w:t>
      </w:r>
      <w:r>
        <w:rPr>
          <w:rFonts w:hint="eastAsia" w:ascii="宋体" w:hAnsi="宋体" w:cs="宋体"/>
          <w:color w:val="auto"/>
          <w:kern w:val="21"/>
          <w:szCs w:val="21"/>
          <w:highlight w:val="none"/>
          <w:u w:val="single"/>
        </w:rPr>
        <w:t xml:space="preserve">    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开户银行：</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 xml:space="preserve">          开户银行：</w:t>
      </w:r>
      <w:r>
        <w:rPr>
          <w:rFonts w:hint="eastAsia" w:ascii="宋体" w:hAnsi="宋体" w:cs="宋体"/>
          <w:color w:val="auto"/>
          <w:kern w:val="21"/>
          <w:szCs w:val="21"/>
          <w:highlight w:val="none"/>
          <w:u w:val="single"/>
        </w:rPr>
        <w:t xml:space="preserve">    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账  号：</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 xml:space="preserve">          账  号：</w:t>
      </w:r>
      <w:r>
        <w:rPr>
          <w:rFonts w:hint="eastAsia" w:ascii="宋体" w:hAnsi="宋体" w:cs="宋体"/>
          <w:color w:val="auto"/>
          <w:kern w:val="21"/>
          <w:szCs w:val="21"/>
          <w:highlight w:val="none"/>
          <w:u w:val="single"/>
        </w:rPr>
        <w:t xml:space="preserve">         </w:t>
      </w:r>
    </w:p>
    <w:p>
      <w:pPr>
        <w:pStyle w:val="5"/>
        <w:widowControl w:val="0"/>
        <w:spacing w:line="440" w:lineRule="exact"/>
        <w:textAlignment w:val="auto"/>
        <w:rPr>
          <w:rFonts w:ascii="宋体" w:hAnsi="宋体" w:cs="宋体"/>
          <w:color w:val="auto"/>
          <w:kern w:val="21"/>
          <w:sz w:val="22"/>
          <w:szCs w:val="22"/>
          <w:highlight w:val="none"/>
        </w:rPr>
      </w:pPr>
      <w:r>
        <w:rPr>
          <w:rFonts w:hint="eastAsia" w:ascii="宋体" w:hAnsi="宋体" w:cs="宋体"/>
          <w:color w:val="auto"/>
          <w:kern w:val="21"/>
          <w:sz w:val="22"/>
          <w:szCs w:val="22"/>
          <w:highlight w:val="none"/>
        </w:rPr>
        <w:br w:type="page"/>
      </w:r>
      <w:bookmarkStart w:id="74" w:name="_Toc351203494"/>
      <w:r>
        <w:rPr>
          <w:rFonts w:hint="eastAsia" w:ascii="宋体" w:hAnsi="宋体" w:cs="宋体"/>
          <w:color w:val="auto"/>
          <w:kern w:val="21"/>
          <w:sz w:val="22"/>
          <w:szCs w:val="22"/>
          <w:highlight w:val="none"/>
        </w:rPr>
        <w:t>第二部分 通用合同条款</w:t>
      </w:r>
      <w:bookmarkEnd w:id="74"/>
      <w:bookmarkStart w:id="75" w:name="_Toc337558727"/>
    </w:p>
    <w:bookmarkEnd w:id="75"/>
    <w:p>
      <w:pPr>
        <w:pStyle w:val="5"/>
        <w:widowControl w:val="0"/>
        <w:spacing w:line="500" w:lineRule="exact"/>
        <w:ind w:firstLine="420" w:firstLineChars="200"/>
        <w:rPr>
          <w:rFonts w:ascii="宋体" w:hAnsi="宋体" w:cs="宋体"/>
          <w:color w:val="auto"/>
          <w:kern w:val="21"/>
          <w:sz w:val="22"/>
          <w:szCs w:val="22"/>
          <w:highlight w:val="none"/>
        </w:rPr>
      </w:pPr>
      <w:bookmarkStart w:id="76" w:name="_Toc351203632"/>
      <w:r>
        <w:rPr>
          <w:rFonts w:hint="eastAsia" w:ascii="宋体" w:hAnsi="宋体" w:cs="宋体"/>
          <w:b w:val="0"/>
          <w:color w:val="auto"/>
          <w:kern w:val="21"/>
          <w:sz w:val="21"/>
          <w:szCs w:val="21"/>
          <w:highlight w:val="none"/>
        </w:rPr>
        <w:t>通用合同条款采用住房城乡建设部、国家工商行政管理总局制定的《建设工程施工合同(示范文本)》（GF—2017—0201），详见该示范文本。</w:t>
      </w:r>
      <w:r>
        <w:rPr>
          <w:rFonts w:hint="eastAsia" w:ascii="宋体" w:hAnsi="宋体" w:cs="宋体"/>
          <w:color w:val="auto"/>
          <w:kern w:val="21"/>
          <w:sz w:val="22"/>
          <w:szCs w:val="22"/>
          <w:highlight w:val="none"/>
        </w:rPr>
        <w:br w:type="page"/>
      </w:r>
      <w:r>
        <w:rPr>
          <w:rFonts w:hint="eastAsia" w:ascii="宋体" w:hAnsi="宋体" w:cs="宋体"/>
          <w:color w:val="auto"/>
          <w:sz w:val="22"/>
          <w:szCs w:val="22"/>
          <w:highlight w:val="none"/>
        </w:rPr>
        <w:t>第三部分 专用合同条款</w:t>
      </w:r>
      <w:bookmarkEnd w:id="76"/>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77" w:name="_Toc351203633"/>
      <w:r>
        <w:rPr>
          <w:rFonts w:hint="eastAsia" w:ascii="宋体" w:hAnsi="宋体" w:eastAsia="宋体" w:cs="宋体"/>
          <w:b w:val="0"/>
          <w:color w:val="auto"/>
          <w:kern w:val="21"/>
          <w:sz w:val="21"/>
          <w:szCs w:val="21"/>
          <w:highlight w:val="none"/>
        </w:rPr>
        <w:t>1</w:t>
      </w:r>
      <w:bookmarkStart w:id="78" w:name="_Toc292559866"/>
      <w:bookmarkStart w:id="79" w:name="_Toc296944495"/>
      <w:bookmarkStart w:id="80" w:name="_Toc296890984"/>
      <w:bookmarkStart w:id="81" w:name="_Toc292559361"/>
      <w:bookmarkStart w:id="82" w:name="_Toc296347155"/>
      <w:bookmarkStart w:id="83" w:name="_Toc297120456"/>
      <w:bookmarkStart w:id="84" w:name="_Toc297048342"/>
      <w:bookmarkStart w:id="85" w:name="_Toc296346657"/>
      <w:bookmarkStart w:id="86" w:name="_Toc296891196"/>
      <w:bookmarkStart w:id="87" w:name="_Toc296503156"/>
      <w:r>
        <w:rPr>
          <w:rFonts w:hint="eastAsia" w:ascii="宋体" w:hAnsi="宋体" w:eastAsia="宋体" w:cs="宋体"/>
          <w:b w:val="0"/>
          <w:color w:val="auto"/>
          <w:kern w:val="21"/>
          <w:sz w:val="21"/>
          <w:szCs w:val="21"/>
          <w:highlight w:val="none"/>
        </w:rPr>
        <w:t>. 一般约定</w:t>
      </w:r>
      <w:bookmarkEnd w:id="77"/>
    </w:p>
    <w:bookmarkEnd w:id="78"/>
    <w:bookmarkEnd w:id="79"/>
    <w:bookmarkEnd w:id="80"/>
    <w:bookmarkEnd w:id="81"/>
    <w:bookmarkEnd w:id="82"/>
    <w:bookmarkEnd w:id="83"/>
    <w:bookmarkEnd w:id="84"/>
    <w:bookmarkEnd w:id="85"/>
    <w:bookmarkEnd w:id="86"/>
    <w:bookmarkEnd w:id="87"/>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88" w:name="_Toc22407"/>
      <w:r>
        <w:rPr>
          <w:rFonts w:hint="eastAsia" w:ascii="宋体" w:hAnsi="宋体" w:cs="宋体"/>
          <w:color w:val="auto"/>
          <w:kern w:val="21"/>
          <w:szCs w:val="21"/>
          <w:highlight w:val="none"/>
        </w:rPr>
        <w:t>1.1 词语定义</w:t>
      </w:r>
      <w:bookmarkEnd w:id="88"/>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1.1.1合同</w:t>
      </w:r>
    </w:p>
    <w:p>
      <w:pPr>
        <w:widowControl w:val="0"/>
        <w:spacing w:line="480" w:lineRule="exact"/>
        <w:ind w:left="1331" w:leftChars="284" w:hanging="735" w:hangingChars="35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1.1.1.1其他合同文件包括：</w:t>
      </w:r>
      <w:r>
        <w:rPr>
          <w:rFonts w:hint="eastAsia" w:ascii="宋体" w:hAnsi="宋体" w:cs="宋体"/>
          <w:color w:val="auto"/>
          <w:kern w:val="21"/>
          <w:szCs w:val="21"/>
          <w:highlight w:val="none"/>
          <w:u w:val="single"/>
        </w:rPr>
        <w:t>成交通知书、竞争性磋商文件、答疑纪要及工程量清单、投标书、工程报价单或预算书及其附件、图纸、标准、规范及有关技术文件。</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1.1.2 合同当事人及其他相关方</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1.1.2.4监理人：</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名    称：</w:t>
      </w:r>
      <w:r>
        <w:rPr>
          <w:rFonts w:hint="eastAsia" w:ascii="宋体" w:hAnsi="宋体" w:cs="宋体"/>
          <w:color w:val="auto"/>
          <w:kern w:val="21"/>
          <w:szCs w:val="21"/>
          <w:highlight w:val="none"/>
          <w:u w:val="single"/>
        </w:rPr>
        <w:t xml:space="preserve">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资质类别和等级：</w:t>
      </w:r>
      <w:r>
        <w:rPr>
          <w:rFonts w:hint="eastAsia" w:ascii="宋体" w:hAnsi="宋体" w:cs="宋体"/>
          <w:color w:val="auto"/>
          <w:kern w:val="21"/>
          <w:szCs w:val="21"/>
          <w:highlight w:val="none"/>
          <w:u w:val="single"/>
        </w:rPr>
        <w:t>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联系电话：</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电子信箱：</w:t>
      </w:r>
      <w:r>
        <w:rPr>
          <w:rFonts w:hint="eastAsia" w:ascii="宋体" w:hAnsi="宋体" w:cs="宋体"/>
          <w:color w:val="auto"/>
          <w:kern w:val="21"/>
          <w:szCs w:val="21"/>
          <w:highlight w:val="none"/>
          <w:u w:val="single"/>
        </w:rPr>
        <w:t>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通信地址：</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1.1.2.5 设计人：</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名    称：</w:t>
      </w:r>
      <w:r>
        <w:rPr>
          <w:rFonts w:hint="eastAsia" w:ascii="宋体" w:hAnsi="宋体" w:cs="宋体"/>
          <w:color w:val="auto"/>
          <w:kern w:val="21"/>
          <w:szCs w:val="21"/>
          <w:highlight w:val="none"/>
          <w:u w:val="single"/>
        </w:rPr>
        <w:t xml:space="preserve">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资质类别和等级：</w:t>
      </w:r>
      <w:r>
        <w:rPr>
          <w:rFonts w:hint="eastAsia" w:ascii="宋体" w:hAnsi="宋体" w:cs="宋体"/>
          <w:color w:val="auto"/>
          <w:kern w:val="21"/>
          <w:szCs w:val="21"/>
          <w:highlight w:val="none"/>
          <w:u w:val="single"/>
        </w:rPr>
        <w:t>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联系电话：</w:t>
      </w:r>
      <w:r>
        <w:rPr>
          <w:rFonts w:hint="eastAsia" w:ascii="宋体" w:hAnsi="宋体" w:cs="宋体"/>
          <w:color w:val="auto"/>
          <w:kern w:val="21"/>
          <w:szCs w:val="21"/>
          <w:highlight w:val="none"/>
          <w:u w:val="single"/>
        </w:rPr>
        <w:t>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电子信箱：</w:t>
      </w:r>
      <w:r>
        <w:rPr>
          <w:rFonts w:hint="eastAsia" w:ascii="宋体" w:hAnsi="宋体" w:cs="宋体"/>
          <w:color w:val="auto"/>
          <w:kern w:val="21"/>
          <w:szCs w:val="21"/>
          <w:highlight w:val="none"/>
          <w:u w:val="single"/>
        </w:rPr>
        <w:t xml:space="preserve">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通信地址：</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1.1.3 工程和设备</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1.1.3.7 作为施工现场组成部分的其他场所包括：</w:t>
      </w:r>
      <w:r>
        <w:rPr>
          <w:rFonts w:hint="eastAsia" w:ascii="宋体" w:hAnsi="宋体" w:cs="宋体"/>
          <w:color w:val="auto"/>
          <w:kern w:val="21"/>
          <w:szCs w:val="21"/>
          <w:highlight w:val="none"/>
          <w:u w:val="single"/>
        </w:rPr>
        <w:t xml:space="preserve">符合通用条款规定的发包人提供的施工场地和发包人指定的施工作业区域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1.1.3.9 永久占地包括：</w:t>
      </w:r>
      <w:r>
        <w:rPr>
          <w:rFonts w:hint="eastAsia" w:ascii="宋体" w:hAnsi="宋体" w:cs="宋体"/>
          <w:color w:val="auto"/>
          <w:kern w:val="21"/>
          <w:szCs w:val="21"/>
          <w:highlight w:val="none"/>
          <w:u w:val="single"/>
        </w:rPr>
        <w:t xml:space="preserve">依据设计图纸确定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1.1.3.10 临时占地包括：</w:t>
      </w:r>
      <w:r>
        <w:rPr>
          <w:rFonts w:hint="eastAsia" w:ascii="宋体" w:hAnsi="宋体" w:cs="宋体"/>
          <w:color w:val="auto"/>
          <w:kern w:val="21"/>
          <w:szCs w:val="21"/>
          <w:highlight w:val="none"/>
          <w:u w:val="single"/>
        </w:rPr>
        <w:t>双方在合同履行过程中确定</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xml:space="preserve">1.3法律 </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适用于合同的其他规范性文件：</w:t>
      </w:r>
      <w:r>
        <w:rPr>
          <w:rFonts w:hint="eastAsia" w:ascii="宋体" w:hAnsi="宋体" w:cs="宋体"/>
          <w:color w:val="auto"/>
          <w:kern w:val="21"/>
          <w:szCs w:val="21"/>
          <w:highlight w:val="none"/>
          <w:u w:val="single"/>
        </w:rPr>
        <w:t>《中华人民共和国建筑法》、《中华人民共和国民法典》、《中华人民共和国招投标法》及陕西省有关建设工程质量、安全文明施工、环境保护、治污减霾等陕西省、西安市 相关规定</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1.4 标准和规范</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1.4.1适用于工程的标准规范包括：</w:t>
      </w:r>
      <w:r>
        <w:rPr>
          <w:rFonts w:hint="eastAsia" w:ascii="宋体" w:hAnsi="宋体" w:cs="宋体"/>
          <w:color w:val="auto"/>
          <w:kern w:val="21"/>
          <w:szCs w:val="21"/>
          <w:highlight w:val="none"/>
          <w:u w:val="single"/>
        </w:rPr>
        <w:t>适用于工程的现行国家标准、行业标准、工程所在地的地方性标准，以及相应的规范、规程等。这些标准和规范由承包人自行购买，并承担相关费用</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1.4.2 发包人提供国外标准、规范的名称：</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发包人提供国外标准、规范的份数：</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发包人提供国外标准、规范的名称：</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1.4.3发包人对工程的技术标准和功能要求的特殊要求:</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89" w:name="_Toc28992"/>
      <w:r>
        <w:rPr>
          <w:rFonts w:hint="eastAsia" w:ascii="宋体" w:hAnsi="宋体" w:cs="宋体"/>
          <w:color w:val="auto"/>
          <w:kern w:val="21"/>
          <w:szCs w:val="21"/>
          <w:highlight w:val="none"/>
        </w:rPr>
        <w:t>1.5 合同文件的优先顺序</w:t>
      </w:r>
      <w:bookmarkEnd w:id="89"/>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合同文件组成及优先顺序为：</w:t>
      </w:r>
      <w:r>
        <w:rPr>
          <w:rFonts w:hint="eastAsia" w:ascii="宋体" w:hAnsi="宋体" w:cs="宋体"/>
          <w:color w:val="auto"/>
          <w:kern w:val="21"/>
          <w:szCs w:val="21"/>
          <w:highlight w:val="none"/>
          <w:u w:val="single"/>
        </w:rPr>
        <w:t xml:space="preserve"> 1、本合同协议书；2、成交通知书；3、本合同专用条款；4、竞争性磋商文件、答疑纪要及工程量清单；5、最终版投标响应文件；6、通用条款；7、标准、规范及有关技术文件；8、施工图纸。</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90" w:name="_Toc26552"/>
      <w:r>
        <w:rPr>
          <w:rFonts w:hint="eastAsia" w:ascii="宋体" w:hAnsi="宋体" w:cs="宋体"/>
          <w:color w:val="auto"/>
          <w:kern w:val="21"/>
          <w:szCs w:val="21"/>
          <w:highlight w:val="none"/>
        </w:rPr>
        <w:t>1.6 图纸和承包人文件</w:t>
      </w:r>
      <w:bookmarkEnd w:id="90"/>
      <w:r>
        <w:rPr>
          <w:rFonts w:hint="eastAsia" w:ascii="宋体" w:hAnsi="宋体" w:cs="宋体"/>
          <w:color w:val="auto"/>
          <w:kern w:val="21"/>
          <w:szCs w:val="21"/>
          <w:highlight w:val="none"/>
        </w:rPr>
        <w:tab/>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1.6.1 图纸的提供</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发包人向承包人提供图纸的期限：</w:t>
      </w:r>
      <w:r>
        <w:rPr>
          <w:rFonts w:hint="eastAsia" w:ascii="宋体" w:hAnsi="宋体" w:cs="宋体"/>
          <w:color w:val="auto"/>
          <w:kern w:val="21"/>
          <w:szCs w:val="21"/>
          <w:highlight w:val="none"/>
          <w:u w:val="single"/>
        </w:rPr>
        <w:t>合同签订后</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发包人向承包人提供图纸的数量：</w:t>
      </w:r>
      <w:r>
        <w:rPr>
          <w:rFonts w:hint="eastAsia" w:ascii="宋体" w:hAnsi="宋体" w:cs="宋体"/>
          <w:color w:val="auto"/>
          <w:kern w:val="21"/>
          <w:szCs w:val="21"/>
          <w:highlight w:val="none"/>
          <w:u w:val="single"/>
        </w:rPr>
        <w:t>5天内提供四套（不含竣工图纸）</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发包人向承包人提供图纸的内容：</w:t>
      </w:r>
      <w:r>
        <w:rPr>
          <w:rFonts w:hint="eastAsia" w:ascii="宋体" w:hAnsi="宋体" w:cs="宋体"/>
          <w:color w:val="auto"/>
          <w:kern w:val="21"/>
          <w:szCs w:val="21"/>
          <w:highlight w:val="none"/>
          <w:u w:val="single"/>
        </w:rPr>
        <w:t>施工图</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1.6.4 承包人文件</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需要由承包人提供的文件，包括：</w:t>
      </w:r>
      <w:r>
        <w:rPr>
          <w:rFonts w:hint="eastAsia" w:ascii="宋体" w:hAnsi="宋体" w:cs="宋体"/>
          <w:color w:val="auto"/>
          <w:kern w:val="21"/>
          <w:szCs w:val="21"/>
          <w:highlight w:val="none"/>
          <w:u w:val="single"/>
        </w:rPr>
        <w:t xml:space="preserve">开工报告、施工总进度计划、详细工程进度计划、工作量报表、施工用电、用水计划等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承包人提供的文件的期限为：</w:t>
      </w:r>
      <w:r>
        <w:rPr>
          <w:rFonts w:hint="eastAsia" w:ascii="宋体" w:hAnsi="宋体" w:cs="宋体"/>
          <w:color w:val="auto"/>
          <w:kern w:val="21"/>
          <w:szCs w:val="21"/>
          <w:highlight w:val="none"/>
          <w:u w:val="single"/>
        </w:rPr>
        <w:t xml:space="preserve">签订合同后3天提供项目部人员组成、资质，开工前7天向发包人提交详细施工组织设计，每月25日前向发包人、监理单位提供本月完成工程量报表，下月进度计划表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承包人提供的文件的数量为：</w:t>
      </w:r>
      <w:r>
        <w:rPr>
          <w:rFonts w:hint="eastAsia" w:ascii="宋体" w:hAnsi="宋体" w:cs="宋体"/>
          <w:color w:val="auto"/>
          <w:kern w:val="21"/>
          <w:szCs w:val="21"/>
          <w:highlight w:val="none"/>
          <w:u w:val="single"/>
        </w:rPr>
        <w:t>2套</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承包人提供的文件的形式为：</w:t>
      </w:r>
      <w:r>
        <w:rPr>
          <w:rFonts w:hint="eastAsia" w:ascii="宋体" w:hAnsi="宋体" w:cs="宋体"/>
          <w:color w:val="auto"/>
          <w:kern w:val="21"/>
          <w:szCs w:val="21"/>
          <w:highlight w:val="none"/>
          <w:u w:val="single"/>
        </w:rPr>
        <w:t>书面</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发包人审批承包人文件的期限：</w:t>
      </w:r>
      <w:r>
        <w:rPr>
          <w:rFonts w:hint="eastAsia" w:ascii="宋体" w:hAnsi="宋体" w:cs="宋体"/>
          <w:color w:val="auto"/>
          <w:kern w:val="21"/>
          <w:szCs w:val="21"/>
          <w:highlight w:val="none"/>
          <w:u w:val="single"/>
        </w:rPr>
        <w:t>7天内</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1.6.5 现场图纸准备</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关于现场图纸准备的约定：</w:t>
      </w:r>
      <w:r>
        <w:rPr>
          <w:rFonts w:hint="eastAsia" w:ascii="宋体" w:hAnsi="宋体" w:cs="宋体"/>
          <w:color w:val="auto"/>
          <w:kern w:val="21"/>
          <w:szCs w:val="21"/>
          <w:highlight w:val="none"/>
          <w:u w:val="single"/>
        </w:rPr>
        <w:t>工程文件负有保密义务，不得任意扩大接触和使用范围，不得泄露给与本工程无关的其他人员。发包人无需支付保密措施费用。因承包人原因造成泄密的，应承担赔偿损失等法律责任。</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91" w:name="_Toc21462"/>
      <w:r>
        <w:rPr>
          <w:rFonts w:hint="eastAsia" w:ascii="宋体" w:hAnsi="宋体" w:cs="宋体"/>
          <w:color w:val="auto"/>
          <w:kern w:val="21"/>
          <w:szCs w:val="21"/>
          <w:highlight w:val="none"/>
        </w:rPr>
        <w:t>1.7 联络</w:t>
      </w:r>
      <w:bookmarkEnd w:id="91"/>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1.7.1发包人和承包人应当在</w:t>
      </w:r>
      <w:r>
        <w:rPr>
          <w:rFonts w:hint="eastAsia" w:ascii="宋体" w:hAnsi="宋体" w:cs="宋体"/>
          <w:color w:val="auto"/>
          <w:kern w:val="21"/>
          <w:szCs w:val="21"/>
          <w:highlight w:val="none"/>
          <w:u w:val="single"/>
        </w:rPr>
        <w:t xml:space="preserve"> 2 </w:t>
      </w:r>
      <w:r>
        <w:rPr>
          <w:rFonts w:hint="eastAsia" w:ascii="宋体" w:hAnsi="宋体" w:cs="宋体"/>
          <w:color w:val="auto"/>
          <w:kern w:val="21"/>
          <w:szCs w:val="21"/>
          <w:highlight w:val="none"/>
        </w:rPr>
        <w:t>天内将与合同有关的通知、批准、证明、证书、指示、指令、要求、请求、同意、意见、确定和决定等书面函件送达对方当事人。</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1.7.2 发包人接收文件的地点：</w:t>
      </w:r>
      <w:r>
        <w:rPr>
          <w:rFonts w:hint="eastAsia" w:ascii="宋体" w:hAnsi="宋体" w:cs="宋体"/>
          <w:color w:val="auto"/>
          <w:kern w:val="21"/>
          <w:szCs w:val="21"/>
          <w:highlight w:val="none"/>
          <w:u w:val="single"/>
        </w:rPr>
        <w:t>发包人施工现场办公室；</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发包人指定的接收人为：</w:t>
      </w:r>
      <w:r>
        <w:rPr>
          <w:rFonts w:hint="eastAsia" w:ascii="宋体" w:hAnsi="宋体" w:cs="宋体"/>
          <w:color w:val="auto"/>
          <w:kern w:val="21"/>
          <w:szCs w:val="21"/>
          <w:highlight w:val="none"/>
          <w:u w:val="single"/>
        </w:rPr>
        <w:t>该标段甲方代表 。</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承包人接收文件的地点：</w:t>
      </w:r>
      <w:r>
        <w:rPr>
          <w:rFonts w:hint="eastAsia" w:ascii="宋体" w:hAnsi="宋体" w:cs="宋体"/>
          <w:color w:val="auto"/>
          <w:kern w:val="21"/>
          <w:szCs w:val="21"/>
          <w:highlight w:val="none"/>
          <w:u w:val="single"/>
        </w:rPr>
        <w:t>承包人施工现场办公室 ；</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承包人指定的接收人为：</w:t>
      </w:r>
      <w:r>
        <w:rPr>
          <w:rFonts w:hint="eastAsia" w:ascii="宋体" w:hAnsi="宋体" w:cs="宋体"/>
          <w:color w:val="auto"/>
          <w:kern w:val="21"/>
          <w:szCs w:val="21"/>
          <w:highlight w:val="none"/>
          <w:u w:val="single"/>
        </w:rPr>
        <w:t>承包方项目经理 。</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监理人接收文件的地点：</w:t>
      </w:r>
      <w:r>
        <w:rPr>
          <w:rFonts w:hint="eastAsia" w:ascii="宋体" w:hAnsi="宋体" w:cs="宋体"/>
          <w:color w:val="auto"/>
          <w:kern w:val="21"/>
          <w:szCs w:val="21"/>
          <w:highlight w:val="none"/>
          <w:u w:val="single"/>
        </w:rPr>
        <w:t>项目总监办公室；</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监理人指定的接收人为：</w:t>
      </w:r>
      <w:r>
        <w:rPr>
          <w:rFonts w:hint="eastAsia" w:ascii="宋体" w:hAnsi="宋体" w:cs="宋体"/>
          <w:color w:val="auto"/>
          <w:kern w:val="21"/>
          <w:szCs w:val="21"/>
          <w:highlight w:val="none"/>
          <w:u w:val="single"/>
        </w:rPr>
        <w:t>总监理工程师 。</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92" w:name="_Toc4510"/>
      <w:r>
        <w:rPr>
          <w:rFonts w:hint="eastAsia" w:ascii="宋体" w:hAnsi="宋体" w:cs="宋体"/>
          <w:color w:val="auto"/>
          <w:kern w:val="21"/>
          <w:szCs w:val="21"/>
          <w:highlight w:val="none"/>
        </w:rPr>
        <w:t>1.10 交通运输</w:t>
      </w:r>
      <w:bookmarkEnd w:id="92"/>
    </w:p>
    <w:p>
      <w:pPr>
        <w:widowControl w:val="0"/>
        <w:spacing w:line="480" w:lineRule="exact"/>
        <w:ind w:firstLine="420" w:firstLineChars="200"/>
        <w:textAlignment w:val="auto"/>
        <w:outlineLvl w:val="0"/>
        <w:rPr>
          <w:rFonts w:ascii="宋体" w:hAnsi="宋体" w:cs="宋体"/>
          <w:color w:val="auto"/>
          <w:kern w:val="21"/>
          <w:szCs w:val="21"/>
          <w:highlight w:val="none"/>
        </w:rPr>
      </w:pPr>
      <w:bookmarkStart w:id="93" w:name="_Toc16334"/>
      <w:r>
        <w:rPr>
          <w:rFonts w:hint="eastAsia" w:ascii="宋体" w:hAnsi="宋体" w:cs="宋体"/>
          <w:color w:val="auto"/>
          <w:kern w:val="21"/>
          <w:szCs w:val="21"/>
          <w:highlight w:val="none"/>
        </w:rPr>
        <w:t>1</w:t>
      </w:r>
      <w:bookmarkStart w:id="94" w:name="_Toc312677986"/>
      <w:bookmarkStart w:id="95" w:name="_Toc304295521"/>
      <w:bookmarkStart w:id="96" w:name="_Toc303539100"/>
      <w:bookmarkStart w:id="97" w:name="_Toc300934943"/>
      <w:bookmarkStart w:id="98" w:name="_Toc318581155"/>
      <w:r>
        <w:rPr>
          <w:rFonts w:hint="eastAsia" w:ascii="宋体" w:hAnsi="宋体" w:cs="宋体"/>
          <w:color w:val="auto"/>
          <w:kern w:val="21"/>
          <w:szCs w:val="21"/>
          <w:highlight w:val="none"/>
        </w:rPr>
        <w:t>.10.1 出入现场的权利</w:t>
      </w:r>
      <w:bookmarkEnd w:id="93"/>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关于出入现场的权利的约定：</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w:t>
      </w:r>
    </w:p>
    <w:bookmarkEnd w:id="94"/>
    <w:bookmarkEnd w:id="95"/>
    <w:bookmarkEnd w:id="96"/>
    <w:bookmarkEnd w:id="97"/>
    <w:bookmarkEnd w:id="98"/>
    <w:p>
      <w:pPr>
        <w:widowControl w:val="0"/>
        <w:spacing w:line="480" w:lineRule="exact"/>
        <w:ind w:firstLine="420" w:firstLineChars="200"/>
        <w:jc w:val="left"/>
        <w:textAlignment w:val="auto"/>
        <w:outlineLvl w:val="0"/>
        <w:rPr>
          <w:rFonts w:ascii="宋体" w:hAnsi="宋体" w:cs="宋体"/>
          <w:color w:val="auto"/>
          <w:kern w:val="21"/>
          <w:szCs w:val="21"/>
          <w:highlight w:val="none"/>
        </w:rPr>
      </w:pPr>
      <w:bookmarkStart w:id="99" w:name="_Toc29909"/>
      <w:r>
        <w:rPr>
          <w:rFonts w:hint="eastAsia" w:ascii="宋体" w:hAnsi="宋体" w:cs="宋体"/>
          <w:color w:val="auto"/>
          <w:kern w:val="21"/>
          <w:szCs w:val="21"/>
          <w:highlight w:val="none"/>
        </w:rPr>
        <w:t>1</w:t>
      </w:r>
      <w:bookmarkStart w:id="100" w:name="_Toc318581156"/>
      <w:bookmarkStart w:id="101" w:name="_Toc312677987"/>
      <w:bookmarkStart w:id="102" w:name="_Toc303539101"/>
      <w:bookmarkStart w:id="103" w:name="_Toc300934944"/>
      <w:bookmarkStart w:id="104" w:name="_Toc304295522"/>
      <w:r>
        <w:rPr>
          <w:rFonts w:hint="eastAsia" w:ascii="宋体" w:hAnsi="宋体" w:cs="宋体"/>
          <w:color w:val="auto"/>
          <w:kern w:val="21"/>
          <w:szCs w:val="21"/>
          <w:highlight w:val="none"/>
        </w:rPr>
        <w:t>.10.3 场内交通</w:t>
      </w:r>
      <w:bookmarkEnd w:id="99"/>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关于场外交通和场内交通的边界的约定：</w:t>
      </w:r>
      <w:r>
        <w:rPr>
          <w:rFonts w:hint="eastAsia" w:ascii="宋体" w:hAnsi="宋体" w:cs="宋体"/>
          <w:color w:val="auto"/>
          <w:kern w:val="21"/>
          <w:szCs w:val="21"/>
          <w:highlight w:val="none"/>
          <w:u w:val="single"/>
        </w:rPr>
        <w:t>发包人确定的施工场地界面为准</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关于发包人向承包人免费提供满足工程施工需要的场内道路和交通设施的约定：</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bookmarkEnd w:id="100"/>
      <w:bookmarkEnd w:id="101"/>
      <w:bookmarkEnd w:id="102"/>
      <w:bookmarkEnd w:id="103"/>
      <w:bookmarkEnd w:id="104"/>
      <w:r>
        <w:rPr>
          <w:rFonts w:hint="eastAsia" w:ascii="宋体" w:hAnsi="宋体" w:cs="宋体"/>
          <w:color w:val="auto"/>
          <w:kern w:val="21"/>
          <w:szCs w:val="21"/>
          <w:highlight w:val="none"/>
        </w:rPr>
        <w:t xml:space="preserve">  </w:t>
      </w:r>
      <w:bookmarkStart w:id="105" w:name="_Toc318581157"/>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1.10.4超大件和超重件的运输</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运输超大件或超重件所需的道路和桥梁临时加固改造费用和其他有关费用由</w:t>
      </w:r>
      <w:r>
        <w:rPr>
          <w:rFonts w:hint="eastAsia" w:ascii="宋体" w:hAnsi="宋体" w:cs="宋体"/>
          <w:color w:val="auto"/>
          <w:kern w:val="21"/>
          <w:szCs w:val="21"/>
          <w:highlight w:val="none"/>
          <w:u w:val="single"/>
        </w:rPr>
        <w:t xml:space="preserve">承包人 </w:t>
      </w:r>
      <w:r>
        <w:rPr>
          <w:rFonts w:hint="eastAsia" w:ascii="宋体" w:hAnsi="宋体" w:cs="宋体"/>
          <w:color w:val="auto"/>
          <w:kern w:val="21"/>
          <w:szCs w:val="21"/>
          <w:highlight w:val="none"/>
        </w:rPr>
        <w:t>承担。</w:t>
      </w:r>
    </w:p>
    <w:bookmarkEnd w:id="105"/>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106" w:name="_Toc29798"/>
      <w:r>
        <w:rPr>
          <w:rFonts w:hint="eastAsia" w:ascii="宋体" w:hAnsi="宋体" w:cs="宋体"/>
          <w:color w:val="auto"/>
          <w:kern w:val="21"/>
          <w:szCs w:val="21"/>
          <w:highlight w:val="none"/>
        </w:rPr>
        <w:t>1.11 知识产权</w:t>
      </w:r>
      <w:bookmarkEnd w:id="106"/>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kern w:val="21"/>
          <w:szCs w:val="21"/>
          <w:highlight w:val="none"/>
          <w:u w:val="single"/>
        </w:rPr>
        <w:t xml:space="preserve">发包人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关于发包人提供的上述文件的使用限制的要求：</w:t>
      </w:r>
      <w:r>
        <w:rPr>
          <w:rFonts w:hint="eastAsia" w:ascii="宋体" w:hAnsi="宋体" w:cs="宋体"/>
          <w:color w:val="auto"/>
          <w:kern w:val="21"/>
          <w:szCs w:val="21"/>
          <w:highlight w:val="none"/>
          <w:u w:val="single"/>
        </w:rPr>
        <w:t>至工程竣工验收之日</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1.11.2 关于承包人为实施工程所编制文件的著作权的归属：</w:t>
      </w:r>
      <w:r>
        <w:rPr>
          <w:rFonts w:hint="eastAsia" w:ascii="宋体" w:hAnsi="宋体" w:cs="宋体"/>
          <w:color w:val="auto"/>
          <w:kern w:val="21"/>
          <w:szCs w:val="21"/>
          <w:highlight w:val="none"/>
          <w:u w:val="single"/>
        </w:rPr>
        <w:t xml:space="preserve">承包人 </w:t>
      </w:r>
      <w:r>
        <w:rPr>
          <w:rFonts w:hint="eastAsia" w:ascii="宋体" w:hAnsi="宋体" w:cs="宋体"/>
          <w:color w:val="auto"/>
          <w:kern w:val="21"/>
          <w:szCs w:val="21"/>
          <w:highlight w:val="none"/>
        </w:rPr>
        <w:t>。</w:t>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关于承包人提供的上述文件的使用限制的要求：</w:t>
      </w:r>
      <w:r>
        <w:rPr>
          <w:rFonts w:hint="eastAsia" w:ascii="宋体" w:hAnsi="宋体" w:cs="宋体"/>
          <w:color w:val="auto"/>
          <w:kern w:val="21"/>
          <w:szCs w:val="21"/>
          <w:highlight w:val="none"/>
          <w:u w:val="single"/>
        </w:rPr>
        <w:t xml:space="preserve">至工程竣工验收结算后  </w:t>
      </w:r>
      <w:r>
        <w:rPr>
          <w:rFonts w:hint="eastAsia" w:ascii="宋体" w:hAnsi="宋体" w:cs="宋体"/>
          <w:color w:val="auto"/>
          <w:kern w:val="21"/>
          <w:szCs w:val="21"/>
          <w:highlight w:val="none"/>
        </w:rPr>
        <w:t>。</w:t>
      </w:r>
    </w:p>
    <w:p>
      <w:pPr>
        <w:widowControl w:val="0"/>
        <w:spacing w:line="480" w:lineRule="exact"/>
        <w:ind w:firstLine="420" w:firstLineChars="200"/>
        <w:textAlignment w:val="auto"/>
        <w:outlineLvl w:val="0"/>
        <w:rPr>
          <w:rFonts w:ascii="宋体" w:hAnsi="宋体" w:cs="宋体"/>
          <w:color w:val="auto"/>
          <w:kern w:val="21"/>
          <w:szCs w:val="21"/>
          <w:highlight w:val="none"/>
        </w:rPr>
      </w:pPr>
      <w:bookmarkStart w:id="107" w:name="_Toc16754"/>
      <w:r>
        <w:rPr>
          <w:rFonts w:hint="eastAsia" w:ascii="宋体" w:hAnsi="宋体" w:cs="宋体"/>
          <w:color w:val="auto"/>
          <w:kern w:val="21"/>
          <w:szCs w:val="21"/>
          <w:highlight w:val="none"/>
        </w:rPr>
        <w:t>1.11.4 承包人在施工过程中所采用的专利、专有技术、技术秘密的使用费的承担方式：</w:t>
      </w:r>
      <w:r>
        <w:rPr>
          <w:rFonts w:hint="eastAsia" w:ascii="宋体" w:hAnsi="宋体" w:cs="宋体"/>
          <w:color w:val="auto"/>
          <w:kern w:val="21"/>
          <w:szCs w:val="21"/>
          <w:highlight w:val="none"/>
          <w:u w:val="single"/>
        </w:rPr>
        <w:t xml:space="preserve">自行承担 </w:t>
      </w:r>
      <w:r>
        <w:rPr>
          <w:rFonts w:hint="eastAsia" w:ascii="宋体" w:hAnsi="宋体" w:cs="宋体"/>
          <w:color w:val="auto"/>
          <w:kern w:val="21"/>
          <w:szCs w:val="21"/>
          <w:highlight w:val="none"/>
        </w:rPr>
        <w:t>。</w:t>
      </w:r>
      <w:bookmarkEnd w:id="107"/>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1.13工程量清单错误的修正</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出现工程量清单错误时，是否调整合同价格：</w:t>
      </w:r>
      <w:r>
        <w:rPr>
          <w:rFonts w:hint="eastAsia" w:ascii="宋体" w:hAnsi="宋体" w:cs="宋体"/>
          <w:color w:val="auto"/>
          <w:kern w:val="21"/>
          <w:szCs w:val="21"/>
          <w:highlight w:val="none"/>
          <w:u w:val="single"/>
        </w:rPr>
        <w:t xml:space="preserve">    /    </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允许调整合同价格的工程量偏差范围：</w:t>
      </w:r>
      <w:r>
        <w:rPr>
          <w:rFonts w:hint="eastAsia" w:ascii="宋体" w:hAnsi="宋体" w:cs="宋体"/>
          <w:color w:val="auto"/>
          <w:kern w:val="21"/>
          <w:szCs w:val="21"/>
          <w:highlight w:val="none"/>
          <w:u w:val="single"/>
        </w:rPr>
        <w:t xml:space="preserve">    /    </w:t>
      </w:r>
    </w:p>
    <w:p>
      <w:pPr>
        <w:widowControl w:val="0"/>
        <w:spacing w:line="480" w:lineRule="exact"/>
        <w:ind w:right="-50" w:rightChars="-24"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除专用合同条款另有约定外，发包人提供的工程量清单，应被认为是准确的和完整的。出现下列情形之一时，发包人应予以修正，并相应调整合同价格：</w:t>
      </w:r>
    </w:p>
    <w:p>
      <w:pPr>
        <w:widowControl w:val="0"/>
        <w:spacing w:line="480" w:lineRule="exact"/>
        <w:ind w:right="-50" w:rightChars="-24"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（1）工程量清单存在缺项、漏项的；</w:t>
      </w:r>
    </w:p>
    <w:p>
      <w:pPr>
        <w:widowControl w:val="0"/>
        <w:spacing w:line="480" w:lineRule="exact"/>
        <w:ind w:right="-50" w:rightChars="-24"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（2）工程量清单偏差超出专用合同条款约定的工程量偏差范围的；</w:t>
      </w:r>
    </w:p>
    <w:p>
      <w:pPr>
        <w:widowControl w:val="0"/>
        <w:spacing w:line="480" w:lineRule="exact"/>
        <w:ind w:right="-50" w:rightChars="-24"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（3）未按照国家现行计量规范强制性规定计量的。</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108" w:name="_Toc351203634"/>
      <w:r>
        <w:rPr>
          <w:rFonts w:hint="eastAsia" w:ascii="宋体" w:hAnsi="宋体" w:eastAsia="宋体" w:cs="宋体"/>
          <w:b w:val="0"/>
          <w:color w:val="auto"/>
          <w:kern w:val="21"/>
          <w:sz w:val="21"/>
          <w:szCs w:val="21"/>
          <w:highlight w:val="none"/>
        </w:rPr>
        <w:t>2</w:t>
      </w:r>
      <w:bookmarkStart w:id="109" w:name="_Toc296890985"/>
      <w:bookmarkStart w:id="110" w:name="_Toc292559362"/>
      <w:bookmarkStart w:id="111" w:name="_Toc296891197"/>
      <w:bookmarkStart w:id="112" w:name="_Toc292559867"/>
      <w:bookmarkStart w:id="113" w:name="_Toc297048343"/>
      <w:bookmarkStart w:id="114" w:name="_Toc296503157"/>
      <w:bookmarkStart w:id="115" w:name="_Toc296347156"/>
      <w:bookmarkStart w:id="116" w:name="_Toc296944496"/>
      <w:bookmarkStart w:id="117" w:name="_Toc296346658"/>
      <w:bookmarkStart w:id="118" w:name="_Toc297120457"/>
      <w:r>
        <w:rPr>
          <w:rFonts w:hint="eastAsia" w:ascii="宋体" w:hAnsi="宋体" w:eastAsia="宋体" w:cs="宋体"/>
          <w:b w:val="0"/>
          <w:color w:val="auto"/>
          <w:kern w:val="21"/>
          <w:sz w:val="21"/>
          <w:szCs w:val="21"/>
          <w:highlight w:val="none"/>
        </w:rPr>
        <w:t>. 发包人</w:t>
      </w:r>
      <w:bookmarkEnd w:id="108"/>
    </w:p>
    <w:bookmarkEnd w:id="109"/>
    <w:bookmarkEnd w:id="110"/>
    <w:bookmarkEnd w:id="111"/>
    <w:bookmarkEnd w:id="112"/>
    <w:bookmarkEnd w:id="113"/>
    <w:bookmarkEnd w:id="114"/>
    <w:bookmarkEnd w:id="115"/>
    <w:bookmarkEnd w:id="116"/>
    <w:bookmarkEnd w:id="117"/>
    <w:bookmarkEnd w:id="118"/>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119" w:name="_Toc16389"/>
      <w:r>
        <w:rPr>
          <w:rFonts w:hint="eastAsia" w:ascii="宋体" w:hAnsi="宋体" w:cs="宋体"/>
          <w:color w:val="auto"/>
          <w:kern w:val="21"/>
          <w:szCs w:val="21"/>
          <w:highlight w:val="none"/>
        </w:rPr>
        <w:t>2.2 发包人代表</w:t>
      </w:r>
      <w:bookmarkEnd w:id="119"/>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发包人代表：</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姓    名：</w:t>
      </w:r>
      <w:r>
        <w:rPr>
          <w:rFonts w:hint="eastAsia" w:ascii="宋体" w:hAnsi="宋体" w:cs="宋体"/>
          <w:color w:val="auto"/>
          <w:kern w:val="21"/>
          <w:szCs w:val="21"/>
          <w:highlight w:val="none"/>
          <w:u w:val="single"/>
        </w:rPr>
        <w:t>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身份证号：</w:t>
      </w:r>
      <w:r>
        <w:rPr>
          <w:rFonts w:hint="eastAsia" w:ascii="宋体" w:hAnsi="宋体" w:cs="宋体"/>
          <w:color w:val="auto"/>
          <w:kern w:val="21"/>
          <w:szCs w:val="21"/>
          <w:highlight w:val="none"/>
          <w:u w:val="single"/>
        </w:rPr>
        <w:t>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职    务：</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联系电话：</w:t>
      </w:r>
      <w:r>
        <w:rPr>
          <w:rFonts w:hint="eastAsia" w:ascii="宋体" w:hAnsi="宋体" w:cs="宋体"/>
          <w:color w:val="auto"/>
          <w:kern w:val="21"/>
          <w:szCs w:val="21"/>
          <w:highlight w:val="none"/>
          <w:u w:val="single"/>
        </w:rPr>
        <w:t>  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电子信箱：</w:t>
      </w:r>
      <w:r>
        <w:rPr>
          <w:rFonts w:hint="eastAsia" w:ascii="宋体" w:hAnsi="宋体" w:cs="宋体"/>
          <w:color w:val="auto"/>
          <w:kern w:val="21"/>
          <w:szCs w:val="21"/>
          <w:highlight w:val="none"/>
          <w:u w:val="single"/>
        </w:rPr>
        <w:t>  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通信地址：</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b/>
          <w:color w:val="auto"/>
          <w:kern w:val="21"/>
          <w:szCs w:val="21"/>
          <w:highlight w:val="none"/>
        </w:rPr>
      </w:pPr>
      <w:r>
        <w:rPr>
          <w:rFonts w:hint="eastAsia" w:ascii="宋体" w:hAnsi="宋体" w:cs="宋体"/>
          <w:color w:val="auto"/>
          <w:kern w:val="21"/>
          <w:szCs w:val="21"/>
          <w:highlight w:val="none"/>
        </w:rPr>
        <w:t>发包人对发包人代表的授权范围如下：</w:t>
      </w:r>
      <w:r>
        <w:rPr>
          <w:rFonts w:hint="eastAsia" w:ascii="宋体" w:hAnsi="宋体" w:cs="宋体"/>
          <w:color w:val="auto"/>
          <w:kern w:val="21"/>
          <w:szCs w:val="21"/>
          <w:highlight w:val="none"/>
          <w:u w:val="single"/>
        </w:rPr>
        <w:t>督促指导监理工程师行使职权，协调施工现场各方面的关系，协调工程质量、进度和安全文明施工中存在的问题，解决有关设计和技术签证，办理、签认现场经济技术签证，审核工程进度报表</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120" w:name="_Toc30805"/>
      <w:r>
        <w:rPr>
          <w:rFonts w:hint="eastAsia" w:ascii="宋体" w:hAnsi="宋体" w:cs="宋体"/>
          <w:color w:val="auto"/>
          <w:kern w:val="21"/>
          <w:szCs w:val="21"/>
          <w:highlight w:val="none"/>
        </w:rPr>
        <w:t>2.4 施工现场、施工条件和基础资料的提供</w:t>
      </w:r>
      <w:bookmarkEnd w:id="120"/>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2.4.1 提供施工现场</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关于发包人移交施工现场的期限要求:</w:t>
      </w:r>
      <w:r>
        <w:rPr>
          <w:rFonts w:hint="eastAsia" w:ascii="宋体" w:hAnsi="宋体" w:cs="宋体"/>
          <w:color w:val="auto"/>
          <w:kern w:val="21"/>
          <w:szCs w:val="21"/>
          <w:highlight w:val="none"/>
          <w:u w:val="single"/>
        </w:rPr>
        <w:t>提前7天，满足工程开工条件</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2.4.2 提供施工条件</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关于发包人应负责提供施工所需要的条件，包括：</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w:t>
      </w:r>
      <w:r>
        <w:rPr>
          <w:rFonts w:hint="eastAsia" w:ascii="宋体" w:hAnsi="宋体" w:cs="宋体"/>
          <w:color w:val="auto"/>
          <w:kern w:val="21"/>
          <w:szCs w:val="21"/>
          <w:highlight w:val="none"/>
          <w:u w:val="single"/>
        </w:rPr>
        <w:t>发包人指定水源（在现场）、电源位置，承包人负责从发包人指定水源、电源位置接至工地现场，承包人自备水、电表、水电管线（由发包人组织承包人现场勘察，具体管线长度由承包人自行考虑），所有费用自理，发生的水电费用由承包人按表计量缴纳</w:t>
      </w:r>
      <w:r>
        <w:rPr>
          <w:rFonts w:hint="eastAsia" w:ascii="宋体" w:hAnsi="宋体" w:cs="宋体"/>
          <w:color w:val="auto"/>
          <w:kern w:val="21"/>
          <w:szCs w:val="21"/>
          <w:highlight w:val="none"/>
        </w:rPr>
        <w:t>。</w:t>
      </w:r>
    </w:p>
    <w:p>
      <w:pPr>
        <w:widowControl w:val="0"/>
        <w:spacing w:line="480" w:lineRule="exact"/>
        <w:ind w:right="-50" w:rightChars="-24"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（2）施工场地与公共道路的通道开通时间和要求：</w:t>
      </w:r>
      <w:r>
        <w:rPr>
          <w:rFonts w:hint="eastAsia" w:ascii="宋体" w:hAnsi="宋体" w:cs="宋体"/>
          <w:color w:val="auto"/>
          <w:kern w:val="21"/>
          <w:szCs w:val="21"/>
          <w:highlight w:val="none"/>
          <w:u w:val="single"/>
        </w:rPr>
        <w:t>开工前完成施工现场平整，且保证开通通道</w:t>
      </w:r>
      <w:r>
        <w:rPr>
          <w:rFonts w:hint="eastAsia" w:ascii="宋体" w:hAnsi="宋体" w:cs="宋体"/>
          <w:color w:val="auto"/>
          <w:kern w:val="21"/>
          <w:szCs w:val="21"/>
          <w:highlight w:val="none"/>
        </w:rPr>
        <w:t>。</w:t>
      </w:r>
    </w:p>
    <w:p>
      <w:pPr>
        <w:widowControl w:val="0"/>
        <w:spacing w:line="480" w:lineRule="exact"/>
        <w:ind w:right="-50" w:rightChars="-24"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（3）工程地质和地下管线资料的提供时间：</w:t>
      </w:r>
      <w:r>
        <w:rPr>
          <w:rFonts w:hint="eastAsia" w:ascii="宋体" w:hAnsi="宋体" w:cs="宋体"/>
          <w:color w:val="auto"/>
          <w:kern w:val="21"/>
          <w:szCs w:val="21"/>
          <w:highlight w:val="none"/>
          <w:u w:val="single"/>
        </w:rPr>
        <w:t>开工前书面提供</w:t>
      </w:r>
      <w:r>
        <w:rPr>
          <w:rFonts w:hint="eastAsia" w:ascii="宋体" w:hAnsi="宋体" w:cs="宋体"/>
          <w:color w:val="auto"/>
          <w:kern w:val="21"/>
          <w:szCs w:val="21"/>
          <w:highlight w:val="none"/>
        </w:rPr>
        <w:t>。</w:t>
      </w:r>
    </w:p>
    <w:p>
      <w:pPr>
        <w:widowControl w:val="0"/>
        <w:spacing w:line="480" w:lineRule="exact"/>
        <w:ind w:right="-50" w:rightChars="-24"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（4）施工所需证件、批件：</w:t>
      </w:r>
      <w:r>
        <w:rPr>
          <w:rFonts w:hint="eastAsia" w:ascii="宋体" w:hAnsi="宋体" w:cs="宋体"/>
          <w:color w:val="auto"/>
          <w:kern w:val="21"/>
          <w:szCs w:val="21"/>
          <w:highlight w:val="none"/>
          <w:u w:val="single"/>
        </w:rPr>
        <w:t>开工前向有关部门办理施工所需证件、批件或临时用地及占道申报批准手续</w:t>
      </w:r>
      <w:r>
        <w:rPr>
          <w:rFonts w:hint="eastAsia" w:ascii="宋体" w:hAnsi="宋体" w:cs="宋体"/>
          <w:color w:val="auto"/>
          <w:kern w:val="21"/>
          <w:szCs w:val="21"/>
          <w:highlight w:val="none"/>
        </w:rPr>
        <w:t>。</w:t>
      </w:r>
    </w:p>
    <w:p>
      <w:pPr>
        <w:widowControl w:val="0"/>
        <w:spacing w:line="480" w:lineRule="exact"/>
        <w:ind w:right="-50" w:rightChars="-24"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（5）水准点与座标控制点交验要求：</w:t>
      </w:r>
      <w:r>
        <w:rPr>
          <w:rFonts w:hint="eastAsia" w:ascii="宋体" w:hAnsi="宋体" w:cs="宋体"/>
          <w:color w:val="auto"/>
          <w:kern w:val="21"/>
          <w:szCs w:val="21"/>
          <w:highlight w:val="none"/>
          <w:u w:val="single"/>
        </w:rPr>
        <w:t>开工前将水准点与坐标控制点以书面形式交给承包人并进行现场交验</w:t>
      </w:r>
      <w:r>
        <w:rPr>
          <w:rFonts w:hint="eastAsia" w:ascii="宋体" w:hAnsi="宋体" w:cs="宋体"/>
          <w:color w:val="auto"/>
          <w:kern w:val="21"/>
          <w:szCs w:val="21"/>
          <w:highlight w:val="none"/>
        </w:rPr>
        <w:t>。</w:t>
      </w:r>
    </w:p>
    <w:p>
      <w:pPr>
        <w:widowControl w:val="0"/>
        <w:spacing w:line="480" w:lineRule="exact"/>
        <w:ind w:right="-50" w:rightChars="-24"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（6）图纸会审和设计交底时间：</w:t>
      </w:r>
      <w:r>
        <w:rPr>
          <w:rFonts w:hint="eastAsia" w:ascii="宋体" w:hAnsi="宋体" w:cs="宋体"/>
          <w:color w:val="auto"/>
          <w:kern w:val="21"/>
          <w:szCs w:val="21"/>
          <w:highlight w:val="none"/>
          <w:u w:val="single"/>
        </w:rPr>
        <w:t>开工后三日内组织承包人和设计单位进行图纸会审，向承包人进行设计交底，及时签发交底会议纪要</w:t>
      </w:r>
      <w:r>
        <w:rPr>
          <w:rFonts w:hint="eastAsia" w:ascii="宋体" w:hAnsi="宋体" w:cs="宋体"/>
          <w:color w:val="auto"/>
          <w:kern w:val="21"/>
          <w:szCs w:val="21"/>
          <w:highlight w:val="none"/>
        </w:rPr>
        <w:t>。</w:t>
      </w:r>
    </w:p>
    <w:p>
      <w:pPr>
        <w:widowControl w:val="0"/>
        <w:spacing w:line="480" w:lineRule="exact"/>
        <w:ind w:right="-50" w:rightChars="-24"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（7）协调处理施工场地周围地下管线和邻近建筑物、构筑物（含文物保护建筑）、古树名木的保护工作：</w:t>
      </w:r>
      <w:r>
        <w:rPr>
          <w:rFonts w:hint="eastAsia" w:ascii="宋体" w:hAnsi="宋体" w:cs="宋体"/>
          <w:color w:val="auto"/>
          <w:kern w:val="21"/>
          <w:szCs w:val="21"/>
          <w:highlight w:val="none"/>
          <w:u w:val="single"/>
        </w:rPr>
        <w:t>如发包人提出特殊保护措施，承包人应予以执行，费用由发包人承担（承包人未按发包人指示或未按操作规程造成的损失除外）</w:t>
      </w:r>
      <w:r>
        <w:rPr>
          <w:rFonts w:hint="eastAsia" w:ascii="宋体" w:hAnsi="宋体" w:cs="宋体"/>
          <w:color w:val="auto"/>
          <w:kern w:val="21"/>
          <w:szCs w:val="21"/>
          <w:highlight w:val="none"/>
        </w:rPr>
        <w:t>。</w:t>
      </w:r>
    </w:p>
    <w:p>
      <w:pPr>
        <w:widowControl w:val="0"/>
        <w:spacing w:line="480" w:lineRule="exact"/>
        <w:ind w:right="-50" w:rightChars="-24"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（8）双方约定发包人应做的其他工作：</w:t>
      </w:r>
      <w:r>
        <w:rPr>
          <w:rFonts w:hint="eastAsia" w:ascii="宋体" w:hAnsi="宋体" w:cs="宋体"/>
          <w:color w:val="auto"/>
          <w:kern w:val="21"/>
          <w:szCs w:val="21"/>
          <w:highlight w:val="none"/>
          <w:u w:val="single"/>
        </w:rPr>
        <w:t>另行约定</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121" w:name="_Toc17339"/>
      <w:r>
        <w:rPr>
          <w:rFonts w:hint="eastAsia" w:ascii="宋体" w:hAnsi="宋体" w:cs="宋体"/>
          <w:color w:val="auto"/>
          <w:kern w:val="21"/>
          <w:szCs w:val="21"/>
          <w:highlight w:val="none"/>
        </w:rPr>
        <w:t>2.5 资金来源证明及支付担保</w:t>
      </w:r>
      <w:bookmarkEnd w:id="121"/>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发包人提供资金来源证明的期限要求：</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发包人是否提供支付担保：</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发包人提供支付担保的形式：</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122" w:name="_Toc351203635"/>
      <w:r>
        <w:rPr>
          <w:rFonts w:hint="eastAsia" w:ascii="宋体" w:hAnsi="宋体" w:eastAsia="宋体" w:cs="宋体"/>
          <w:b w:val="0"/>
          <w:color w:val="auto"/>
          <w:kern w:val="21"/>
          <w:sz w:val="21"/>
          <w:szCs w:val="21"/>
          <w:highlight w:val="none"/>
        </w:rPr>
        <w:t>3</w:t>
      </w:r>
      <w:bookmarkStart w:id="123" w:name="_Toc292559868"/>
      <w:bookmarkStart w:id="124" w:name="_Toc296944497"/>
      <w:bookmarkStart w:id="125" w:name="_Toc296890986"/>
      <w:bookmarkStart w:id="126" w:name="_Toc296346659"/>
      <w:bookmarkStart w:id="127" w:name="_Toc297120458"/>
      <w:bookmarkStart w:id="128" w:name="_Toc296503158"/>
      <w:bookmarkStart w:id="129" w:name="_Toc292559363"/>
      <w:bookmarkStart w:id="130" w:name="_Toc296347157"/>
      <w:bookmarkStart w:id="131" w:name="_Toc296891198"/>
      <w:bookmarkStart w:id="132" w:name="_Toc297048344"/>
      <w:r>
        <w:rPr>
          <w:rFonts w:hint="eastAsia" w:ascii="宋体" w:hAnsi="宋体" w:eastAsia="宋体" w:cs="宋体"/>
          <w:b w:val="0"/>
          <w:color w:val="auto"/>
          <w:kern w:val="21"/>
          <w:sz w:val="21"/>
          <w:szCs w:val="21"/>
          <w:highlight w:val="none"/>
        </w:rPr>
        <w:t>. 承包人</w:t>
      </w:r>
      <w:bookmarkEnd w:id="122"/>
    </w:p>
    <w:bookmarkEnd w:id="123"/>
    <w:bookmarkEnd w:id="124"/>
    <w:bookmarkEnd w:id="125"/>
    <w:bookmarkEnd w:id="126"/>
    <w:bookmarkEnd w:id="127"/>
    <w:bookmarkEnd w:id="128"/>
    <w:bookmarkEnd w:id="129"/>
    <w:bookmarkEnd w:id="130"/>
    <w:bookmarkEnd w:id="131"/>
    <w:bookmarkEnd w:id="132"/>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3.1 承包人的一般义务</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（9）承包人提交的竣工资料的内容：</w:t>
      </w:r>
      <w:r>
        <w:rPr>
          <w:rFonts w:hint="eastAsia" w:ascii="宋体" w:hAnsi="宋体" w:cs="宋体"/>
          <w:color w:val="auto"/>
          <w:kern w:val="21"/>
          <w:szCs w:val="21"/>
          <w:highlight w:val="none"/>
          <w:u w:val="single"/>
        </w:rPr>
        <w:t>承包人向发包人提交完整的竣工资料及竣工图，并提供电子文档</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承包人需要提交的竣工资料套数：</w:t>
      </w:r>
      <w:r>
        <w:rPr>
          <w:rFonts w:hint="eastAsia" w:ascii="宋体" w:hAnsi="宋体" w:cs="宋体"/>
          <w:color w:val="auto"/>
          <w:kern w:val="21"/>
          <w:szCs w:val="21"/>
          <w:highlight w:val="none"/>
          <w:u w:val="single"/>
        </w:rPr>
        <w:t>贰套</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承包人提交的竣工资料的费用承担：</w:t>
      </w:r>
      <w:r>
        <w:rPr>
          <w:rFonts w:hint="eastAsia" w:ascii="宋体" w:hAnsi="宋体" w:cs="宋体"/>
          <w:color w:val="auto"/>
          <w:kern w:val="21"/>
          <w:szCs w:val="21"/>
          <w:highlight w:val="none"/>
          <w:u w:val="single"/>
        </w:rPr>
        <w:t>由承包人承担</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承包人提交的竣工资料移交时间：</w:t>
      </w:r>
      <w:r>
        <w:rPr>
          <w:rFonts w:hint="eastAsia" w:ascii="宋体" w:hAnsi="宋体" w:cs="宋体"/>
          <w:color w:val="auto"/>
          <w:kern w:val="21"/>
          <w:szCs w:val="21"/>
          <w:highlight w:val="none"/>
          <w:u w:val="single"/>
        </w:rPr>
        <w:t>工程竣工验收合格后1个月内。</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承包人提交的竣工资料形式要求：</w:t>
      </w:r>
      <w:r>
        <w:rPr>
          <w:rFonts w:hint="eastAsia" w:ascii="宋体" w:hAnsi="宋体" w:cs="宋体"/>
          <w:color w:val="auto"/>
          <w:kern w:val="21"/>
          <w:szCs w:val="21"/>
          <w:highlight w:val="none"/>
          <w:u w:val="single"/>
        </w:rPr>
        <w:t>书面及电子文档</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（10）承包人应履行的其他义务：</w:t>
      </w:r>
      <w:r>
        <w:rPr>
          <w:rFonts w:hint="eastAsia" w:ascii="宋体" w:hAnsi="宋体" w:cs="宋体"/>
          <w:color w:val="auto"/>
          <w:kern w:val="21"/>
          <w:szCs w:val="21"/>
          <w:highlight w:val="none"/>
          <w:u w:val="single"/>
        </w:rPr>
        <w:t xml:space="preserve">     /     。</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3.2 项目经理</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3.2.1 项目经理：</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姓    名：</w:t>
      </w:r>
      <w:r>
        <w:rPr>
          <w:rFonts w:hint="eastAsia" w:ascii="宋体" w:hAnsi="宋体" w:cs="宋体"/>
          <w:color w:val="auto"/>
          <w:kern w:val="21"/>
          <w:szCs w:val="21"/>
          <w:highlight w:val="none"/>
          <w:u w:val="single"/>
        </w:rPr>
        <w:t>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身份证号：</w:t>
      </w:r>
      <w:r>
        <w:rPr>
          <w:rFonts w:hint="eastAsia" w:ascii="宋体" w:hAnsi="宋体" w:cs="宋体"/>
          <w:color w:val="auto"/>
          <w:kern w:val="21"/>
          <w:szCs w:val="21"/>
          <w:highlight w:val="none"/>
          <w:u w:val="single"/>
        </w:rPr>
        <w:t>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建造师执业资格等级：</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建造师注册证书号：</w:t>
      </w:r>
      <w:r>
        <w:rPr>
          <w:rFonts w:hint="eastAsia" w:ascii="宋体" w:hAnsi="宋体" w:cs="宋体"/>
          <w:color w:val="auto"/>
          <w:kern w:val="21"/>
          <w:szCs w:val="21"/>
          <w:highlight w:val="none"/>
          <w:u w:val="single"/>
        </w:rPr>
        <w:t>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建造师执业印章号：</w:t>
      </w:r>
      <w:r>
        <w:rPr>
          <w:rFonts w:hint="eastAsia" w:ascii="宋体" w:hAnsi="宋体" w:cs="宋体"/>
          <w:color w:val="auto"/>
          <w:kern w:val="21"/>
          <w:szCs w:val="21"/>
          <w:highlight w:val="none"/>
          <w:u w:val="single"/>
        </w:rPr>
        <w:t>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安全生产考核合格证书号：</w:t>
      </w:r>
      <w:r>
        <w:rPr>
          <w:rFonts w:hint="eastAsia" w:ascii="宋体" w:hAnsi="宋体" w:cs="宋体"/>
          <w:color w:val="auto"/>
          <w:kern w:val="21"/>
          <w:szCs w:val="21"/>
          <w:highlight w:val="none"/>
          <w:u w:val="single"/>
        </w:rPr>
        <w:t>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联系电话：</w:t>
      </w:r>
      <w:r>
        <w:rPr>
          <w:rFonts w:hint="eastAsia" w:ascii="宋体" w:hAnsi="宋体" w:cs="宋体"/>
          <w:color w:val="auto"/>
          <w:kern w:val="21"/>
          <w:szCs w:val="21"/>
          <w:highlight w:val="none"/>
          <w:u w:val="single"/>
        </w:rPr>
        <w:t>  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电子信箱：</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通信地址：</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承包人对项目经理的授权范围如下：</w:t>
      </w:r>
      <w:r>
        <w:rPr>
          <w:rFonts w:hint="eastAsia" w:ascii="宋体" w:hAnsi="宋体" w:cs="宋体"/>
          <w:color w:val="auto"/>
          <w:kern w:val="21"/>
          <w:szCs w:val="21"/>
          <w:highlight w:val="none"/>
          <w:u w:val="single"/>
        </w:rPr>
        <w:t>代表承包人履行合同全部内容</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关于项目经理每月在施工现场的时间要求：</w:t>
      </w:r>
      <w:r>
        <w:rPr>
          <w:rFonts w:hint="eastAsia" w:ascii="宋体" w:hAnsi="宋体" w:cs="宋体"/>
          <w:color w:val="auto"/>
          <w:kern w:val="21"/>
          <w:szCs w:val="21"/>
          <w:highlight w:val="none"/>
          <w:u w:val="single"/>
        </w:rPr>
        <w:t xml:space="preserve">每月不少于25日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承包人未提交劳动合同，以及没有为项目经理缴纳社会保险证明的违约责任：</w:t>
      </w:r>
      <w:r>
        <w:rPr>
          <w:rFonts w:hint="eastAsia" w:ascii="宋体" w:hAnsi="宋体" w:cs="宋体"/>
          <w:color w:val="auto"/>
          <w:kern w:val="21"/>
          <w:szCs w:val="21"/>
          <w:highlight w:val="none"/>
          <w:u w:val="single"/>
        </w:rPr>
        <w:t>发包人有权要求更换项目经理，并要求承包人承担5000元的违约金，由此增加的费用和延误的工期由承包人承担。</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项目经理未经批准，擅自离开施工现场的违约责任：</w:t>
      </w:r>
      <w:r>
        <w:rPr>
          <w:rFonts w:hint="eastAsia" w:ascii="宋体" w:hAnsi="宋体" w:cs="宋体"/>
          <w:color w:val="auto"/>
          <w:kern w:val="21"/>
          <w:szCs w:val="21"/>
          <w:highlight w:val="none"/>
          <w:u w:val="single"/>
        </w:rPr>
        <w:t>每发现一次，处以1000元罚款，承包人承担上述违约给发包人造成的一切损失</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3.2.3 承包人擅自更换项目经理的违约责任：</w:t>
      </w:r>
      <w:r>
        <w:rPr>
          <w:rFonts w:hint="eastAsia" w:ascii="宋体" w:hAnsi="宋体" w:cs="宋体"/>
          <w:color w:val="auto"/>
          <w:kern w:val="21"/>
          <w:szCs w:val="21"/>
          <w:highlight w:val="none"/>
          <w:u w:val="single"/>
        </w:rPr>
        <w:t>每发现一次，处以5000元罚款，承包人承担上述违约给发包人造成的一切损失</w:t>
      </w:r>
      <w:r>
        <w:rPr>
          <w:rFonts w:hint="eastAsia" w:ascii="宋体" w:hAnsi="宋体" w:cs="宋体"/>
          <w:color w:val="auto"/>
          <w:kern w:val="21"/>
          <w:szCs w:val="21"/>
          <w:highlight w:val="none"/>
        </w:rPr>
        <w:t>。</w:t>
      </w:r>
    </w:p>
    <w:p>
      <w:pPr>
        <w:widowControl w:val="0"/>
        <w:spacing w:line="480" w:lineRule="exact"/>
        <w:textAlignment w:val="auto"/>
        <w:outlineLvl w:val="0"/>
        <w:rPr>
          <w:rFonts w:ascii="宋体" w:hAnsi="宋体" w:cs="宋体"/>
          <w:color w:val="auto"/>
          <w:kern w:val="21"/>
          <w:szCs w:val="21"/>
          <w:highlight w:val="none"/>
        </w:rPr>
      </w:pPr>
      <w:r>
        <w:rPr>
          <w:rFonts w:hint="eastAsia" w:ascii="宋体" w:hAnsi="宋体" w:cs="宋体"/>
          <w:color w:val="auto"/>
          <w:kern w:val="21"/>
          <w:szCs w:val="21"/>
          <w:highlight w:val="none"/>
        </w:rPr>
        <w:t xml:space="preserve">    </w:t>
      </w:r>
      <w:bookmarkStart w:id="133" w:name="_Toc4925"/>
      <w:r>
        <w:rPr>
          <w:rFonts w:hint="eastAsia" w:ascii="宋体" w:hAnsi="宋体" w:cs="宋体"/>
          <w:color w:val="auto"/>
          <w:kern w:val="21"/>
          <w:szCs w:val="21"/>
          <w:highlight w:val="none"/>
        </w:rPr>
        <w:t>3.2.4 承包人无正当理由拒绝更换项目经理的违约责任：</w:t>
      </w:r>
      <w:r>
        <w:rPr>
          <w:rFonts w:hint="eastAsia" w:ascii="宋体" w:hAnsi="宋体" w:cs="宋体"/>
          <w:color w:val="auto"/>
          <w:kern w:val="21"/>
          <w:szCs w:val="21"/>
          <w:highlight w:val="none"/>
          <w:u w:val="single"/>
        </w:rPr>
        <w:t>处以5000元罚款，承包人承担上述违约给发包人造成的一切损失</w:t>
      </w:r>
      <w:r>
        <w:rPr>
          <w:rFonts w:hint="eastAsia" w:ascii="宋体" w:hAnsi="宋体" w:cs="宋体"/>
          <w:color w:val="auto"/>
          <w:kern w:val="21"/>
          <w:szCs w:val="21"/>
          <w:highlight w:val="none"/>
        </w:rPr>
        <w:t>。</w:t>
      </w:r>
      <w:bookmarkEnd w:id="133"/>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3.3 承包人人员</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3.3.1 承包人提交项目管理机构及施工现场管理人员安排报告的期限：</w:t>
      </w:r>
      <w:r>
        <w:rPr>
          <w:rFonts w:hint="eastAsia" w:ascii="宋体" w:hAnsi="宋体" w:cs="宋体"/>
          <w:color w:val="auto"/>
          <w:kern w:val="21"/>
          <w:szCs w:val="21"/>
          <w:highlight w:val="none"/>
          <w:u w:val="single"/>
        </w:rPr>
        <w:t>进场7日前。</w:t>
      </w:r>
    </w:p>
    <w:p>
      <w:pPr>
        <w:widowControl w:val="0"/>
        <w:spacing w:line="480" w:lineRule="exact"/>
        <w:ind w:firstLine="48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3.3.3承包人无正当理由拒绝撤换主要施工管理人员的违约责任：</w:t>
      </w:r>
      <w:r>
        <w:rPr>
          <w:rFonts w:hint="eastAsia" w:ascii="宋体" w:hAnsi="宋体" w:cs="宋体"/>
          <w:color w:val="auto"/>
          <w:kern w:val="21"/>
          <w:szCs w:val="21"/>
          <w:highlight w:val="none"/>
          <w:u w:val="single"/>
        </w:rPr>
        <w:t>每发现一次，处以500元/人罚款，承包人承担上述违约给发包人造成的一切损失。</w:t>
      </w:r>
    </w:p>
    <w:p>
      <w:pPr>
        <w:widowControl w:val="0"/>
        <w:spacing w:line="480" w:lineRule="exact"/>
        <w:ind w:firstLine="48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3.3.4 承包人主要施工管理人员离开施工现场的批准要求：</w:t>
      </w:r>
      <w:r>
        <w:rPr>
          <w:rFonts w:hint="eastAsia" w:ascii="宋体" w:hAnsi="宋体" w:cs="宋体"/>
          <w:color w:val="auto"/>
          <w:kern w:val="21"/>
          <w:szCs w:val="21"/>
          <w:highlight w:val="none"/>
          <w:u w:val="single"/>
        </w:rPr>
        <w:t>由发包人代表批准 。</w:t>
      </w:r>
    </w:p>
    <w:p>
      <w:pPr>
        <w:widowControl w:val="0"/>
        <w:spacing w:line="480" w:lineRule="exact"/>
        <w:ind w:firstLine="48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3.3.5承包人擅自更换主要施工管理人员的违约责任：</w:t>
      </w:r>
      <w:r>
        <w:rPr>
          <w:rFonts w:hint="eastAsia" w:ascii="宋体" w:hAnsi="宋体" w:cs="宋体"/>
          <w:color w:val="auto"/>
          <w:kern w:val="21"/>
          <w:szCs w:val="21"/>
          <w:highlight w:val="none"/>
          <w:u w:val="single"/>
        </w:rPr>
        <w:t>每发现一次，处以500元罚款，承包人承担上述违约给发包人造成的一切损失。</w:t>
      </w:r>
    </w:p>
    <w:p>
      <w:pPr>
        <w:widowControl w:val="0"/>
        <w:spacing w:line="480" w:lineRule="exact"/>
        <w:ind w:firstLine="48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承包人主要施工管理人员擅自离开施工现场的违约责任：</w:t>
      </w:r>
      <w:r>
        <w:rPr>
          <w:rFonts w:hint="eastAsia" w:ascii="宋体" w:hAnsi="宋体" w:cs="宋体"/>
          <w:color w:val="auto"/>
          <w:kern w:val="21"/>
          <w:szCs w:val="21"/>
          <w:highlight w:val="none"/>
          <w:u w:val="single"/>
        </w:rPr>
        <w:t>每发现一次，处以500元罚款，承包人承担上述违约给发包人造成的一切损失。</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w:t>
      </w:r>
      <w:bookmarkStart w:id="134" w:name="_Toc300934945"/>
      <w:bookmarkStart w:id="135" w:name="_Toc303539102"/>
      <w:bookmarkStart w:id="136" w:name="_Toc292559869"/>
      <w:bookmarkStart w:id="137" w:name="_Toc296944498"/>
      <w:bookmarkStart w:id="138" w:name="_Toc296503159"/>
      <w:bookmarkStart w:id="139" w:name="_Toc296890987"/>
      <w:bookmarkStart w:id="140" w:name="_Toc304295523"/>
      <w:bookmarkStart w:id="141" w:name="_Toc297216151"/>
      <w:bookmarkStart w:id="142" w:name="_Toc296891199"/>
      <w:bookmarkStart w:id="143" w:name="_Toc296347158"/>
      <w:bookmarkStart w:id="144" w:name="_Toc297123492"/>
      <w:bookmarkStart w:id="145" w:name="_Toc292559364"/>
      <w:bookmarkStart w:id="146" w:name="_Toc312677988"/>
      <w:bookmarkStart w:id="147" w:name="_Toc297048345"/>
      <w:bookmarkStart w:id="148" w:name="_Toc297120459"/>
      <w:bookmarkStart w:id="149" w:name="_Toc296346660"/>
      <w:r>
        <w:rPr>
          <w:rFonts w:hint="eastAsia" w:ascii="宋体" w:hAnsi="宋体" w:cs="宋体"/>
          <w:color w:val="auto"/>
          <w:kern w:val="21"/>
          <w:szCs w:val="21"/>
          <w:highlight w:val="none"/>
        </w:rPr>
        <w:t>.5 分包</w:t>
      </w:r>
    </w:p>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w:t>
      </w:r>
      <w:bookmarkStart w:id="150" w:name="_Toc297048346"/>
      <w:bookmarkStart w:id="151" w:name="_Toc292559365"/>
      <w:bookmarkStart w:id="152" w:name="_Toc303539103"/>
      <w:bookmarkStart w:id="153" w:name="_Toc300934946"/>
      <w:bookmarkStart w:id="154" w:name="_Toc296503160"/>
      <w:bookmarkStart w:id="155" w:name="_Toc296891200"/>
      <w:bookmarkStart w:id="156" w:name="_Toc296890988"/>
      <w:bookmarkStart w:id="157" w:name="_Toc297120460"/>
      <w:bookmarkStart w:id="158" w:name="_Toc297123493"/>
      <w:bookmarkStart w:id="159" w:name="_Toc304295524"/>
      <w:bookmarkStart w:id="160" w:name="_Toc292559870"/>
      <w:bookmarkStart w:id="161" w:name="_Toc297216152"/>
      <w:bookmarkStart w:id="162" w:name="_Toc296347159"/>
      <w:bookmarkStart w:id="163" w:name="_Toc296944499"/>
      <w:bookmarkStart w:id="164" w:name="_Toc296346661"/>
      <w:bookmarkStart w:id="165" w:name="_Toc318581158"/>
      <w:bookmarkStart w:id="166" w:name="_Toc312677989"/>
      <w:r>
        <w:rPr>
          <w:rFonts w:hint="eastAsia" w:ascii="宋体" w:hAnsi="宋体" w:cs="宋体"/>
          <w:color w:val="auto"/>
          <w:kern w:val="21"/>
          <w:szCs w:val="21"/>
          <w:highlight w:val="none"/>
        </w:rPr>
        <w:t>.5.1 分包的一般约定</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禁止分包的工程包括：</w:t>
      </w:r>
      <w:r>
        <w:rPr>
          <w:rFonts w:hint="eastAsia" w:ascii="宋体" w:hAnsi="宋体" w:cs="宋体"/>
          <w:color w:val="auto"/>
          <w:kern w:val="21"/>
          <w:szCs w:val="21"/>
          <w:highlight w:val="none"/>
          <w:u w:val="single"/>
        </w:rPr>
        <w:t xml:space="preserve">全部  </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主体结构、关键性工作的范围：</w:t>
      </w:r>
      <w:r>
        <w:rPr>
          <w:rFonts w:hint="eastAsia" w:ascii="宋体" w:hAnsi="宋体" w:cs="宋体"/>
          <w:color w:val="auto"/>
          <w:kern w:val="21"/>
          <w:szCs w:val="21"/>
          <w:highlight w:val="none"/>
          <w:u w:val="single"/>
        </w:rPr>
        <w:t>施工图全部内容。</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Start w:id="167" w:name="_Toc296944500"/>
      <w:bookmarkStart w:id="168" w:name="_Toc304295525"/>
      <w:bookmarkStart w:id="169" w:name="_Toc296347160"/>
      <w:bookmarkStart w:id="170" w:name="_Toc296346662"/>
      <w:bookmarkStart w:id="171" w:name="_Toc297120461"/>
      <w:bookmarkStart w:id="172" w:name="_Toc300934947"/>
      <w:bookmarkStart w:id="173" w:name="_Toc296503161"/>
      <w:bookmarkStart w:id="174" w:name="_Toc296890989"/>
      <w:bookmarkStart w:id="175" w:name="_Toc297123494"/>
      <w:bookmarkStart w:id="176" w:name="_Toc297048347"/>
      <w:bookmarkStart w:id="177" w:name="_Toc297216153"/>
      <w:bookmarkStart w:id="178" w:name="_Toc296891201"/>
      <w:bookmarkStart w:id="179" w:name="_Toc303539104"/>
    </w:p>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xml:space="preserve">    3</w:t>
      </w:r>
      <w:bookmarkStart w:id="180" w:name="_Toc318581159"/>
      <w:bookmarkStart w:id="181" w:name="_Toc312677990"/>
      <w:r>
        <w:rPr>
          <w:rFonts w:hint="eastAsia" w:ascii="宋体" w:hAnsi="宋体" w:cs="宋体"/>
          <w:color w:val="auto"/>
          <w:kern w:val="21"/>
          <w:szCs w:val="21"/>
          <w:highlight w:val="none"/>
        </w:rPr>
        <w:t>.5.2分包的确定</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允许分包的专业工程包括：</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其他关于分包的约定：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3.5.4 分包合同价款</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关于分包合同价款支付的约定：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bookmarkEnd w:id="180"/>
    <w:bookmarkEnd w:id="181"/>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3.6 工程照管与成品、半成品保护</w:t>
      </w:r>
    </w:p>
    <w:p>
      <w:pPr>
        <w:widowControl w:val="0"/>
        <w:spacing w:before="120" w:after="120"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承包人负责照管工程及工程相关的材料、工程设备的起始时间：</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3.7 履约担保</w:t>
      </w:r>
    </w:p>
    <w:p>
      <w:pPr>
        <w:widowControl w:val="0"/>
        <w:spacing w:line="480" w:lineRule="exact"/>
        <w:ind w:firstLine="480"/>
        <w:jc w:val="left"/>
        <w:textAlignment w:val="auto"/>
        <w:rPr>
          <w:rFonts w:ascii="宋体" w:hAnsi="宋体" w:cs="宋体"/>
          <w:color w:val="auto"/>
          <w:kern w:val="21"/>
          <w:szCs w:val="21"/>
          <w:highlight w:val="none"/>
          <w:u w:val="single"/>
        </w:rPr>
      </w:pPr>
      <w:bookmarkStart w:id="182" w:name="_Toc351203636"/>
      <w:r>
        <w:rPr>
          <w:rFonts w:hint="eastAsia" w:ascii="宋体" w:hAnsi="宋体" w:cs="宋体"/>
          <w:color w:val="auto"/>
          <w:kern w:val="21"/>
          <w:szCs w:val="21"/>
          <w:highlight w:val="none"/>
        </w:rPr>
        <w:t>承包人是否提供履约担保：</w:t>
      </w:r>
      <w:r>
        <w:rPr>
          <w:rFonts w:hint="eastAsia" w:ascii="宋体" w:hAnsi="宋体" w:cs="宋体"/>
          <w:color w:val="auto"/>
          <w:kern w:val="21"/>
          <w:szCs w:val="21"/>
          <w:highlight w:val="none"/>
          <w:u w:val="single"/>
        </w:rPr>
        <w:t>/。</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r>
        <w:rPr>
          <w:rFonts w:hint="eastAsia" w:ascii="宋体" w:hAnsi="宋体" w:eastAsia="宋体" w:cs="宋体"/>
          <w:b w:val="0"/>
          <w:color w:val="auto"/>
          <w:kern w:val="21"/>
          <w:sz w:val="21"/>
          <w:szCs w:val="21"/>
          <w:highlight w:val="none"/>
        </w:rPr>
        <w:t>4</w:t>
      </w:r>
      <w:bookmarkStart w:id="183" w:name="_Toc297120462"/>
      <w:bookmarkStart w:id="184" w:name="_Toc267251413"/>
      <w:bookmarkStart w:id="185" w:name="_Toc296503162"/>
      <w:bookmarkStart w:id="186" w:name="_Toc292559366"/>
      <w:bookmarkStart w:id="187" w:name="_Toc296944501"/>
      <w:bookmarkStart w:id="188" w:name="_Toc292559871"/>
      <w:bookmarkStart w:id="189" w:name="_Toc297048348"/>
      <w:bookmarkStart w:id="190" w:name="_Toc296346663"/>
      <w:bookmarkStart w:id="191" w:name="_Toc296347161"/>
      <w:bookmarkStart w:id="192" w:name="_Toc296890990"/>
      <w:bookmarkStart w:id="193" w:name="_Toc296891202"/>
      <w:r>
        <w:rPr>
          <w:rFonts w:hint="eastAsia" w:ascii="宋体" w:hAnsi="宋体" w:eastAsia="宋体" w:cs="宋体"/>
          <w:b w:val="0"/>
          <w:color w:val="auto"/>
          <w:kern w:val="21"/>
          <w:sz w:val="21"/>
          <w:szCs w:val="21"/>
          <w:highlight w:val="none"/>
        </w:rPr>
        <w:t>. 监</w:t>
      </w:r>
      <w:bookmarkEnd w:id="183"/>
      <w:bookmarkEnd w:id="184"/>
      <w:bookmarkEnd w:id="185"/>
      <w:bookmarkEnd w:id="186"/>
      <w:bookmarkEnd w:id="187"/>
      <w:bookmarkEnd w:id="188"/>
      <w:bookmarkEnd w:id="189"/>
      <w:bookmarkEnd w:id="190"/>
      <w:bookmarkEnd w:id="191"/>
      <w:bookmarkEnd w:id="192"/>
      <w:bookmarkEnd w:id="193"/>
      <w:r>
        <w:rPr>
          <w:rFonts w:hint="eastAsia" w:ascii="宋体" w:hAnsi="宋体" w:eastAsia="宋体" w:cs="宋体"/>
          <w:b w:val="0"/>
          <w:color w:val="auto"/>
          <w:kern w:val="21"/>
          <w:sz w:val="21"/>
          <w:szCs w:val="21"/>
          <w:highlight w:val="none"/>
        </w:rPr>
        <w:t>理人</w:t>
      </w:r>
      <w:bookmarkEnd w:id="182"/>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4.1监理人的一般规定</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关于监理人的监理内容：</w:t>
      </w:r>
      <w:r>
        <w:rPr>
          <w:rFonts w:hint="eastAsia" w:ascii="宋体" w:hAnsi="宋体" w:cs="宋体"/>
          <w:color w:val="auto"/>
          <w:kern w:val="21"/>
          <w:szCs w:val="21"/>
          <w:highlight w:val="none"/>
          <w:u w:val="single"/>
        </w:rPr>
        <w:t>依据监理合同行使权力 。</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关于监理人的监理权限：</w:t>
      </w:r>
      <w:r>
        <w:rPr>
          <w:rFonts w:hint="eastAsia" w:ascii="宋体" w:hAnsi="宋体" w:cs="宋体"/>
          <w:color w:val="auto"/>
          <w:kern w:val="21"/>
          <w:szCs w:val="21"/>
          <w:highlight w:val="none"/>
          <w:u w:val="single"/>
        </w:rPr>
        <w:t>依据监理合同行使权力 。</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u w:val="single"/>
        </w:rPr>
        <w:t>需要取得发包人批准才能行使的职权：工程洽商、设计变更、工程签证、工程延期、发包人指定价材料的认质认价、工程款支付结算等在决策之前需经发包方代表同意签字  。</w:t>
      </w:r>
      <w:r>
        <w:rPr>
          <w:rFonts w:hint="eastAsia" w:ascii="宋体" w:hAnsi="宋体" w:cs="宋体"/>
          <w:color w:val="auto"/>
          <w:kern w:val="21"/>
          <w:szCs w:val="21"/>
          <w:highlight w:val="none"/>
        </w:rPr>
        <w:t xml:space="preserve">  </w:t>
      </w:r>
    </w:p>
    <w:p>
      <w:pPr>
        <w:widowControl w:val="0"/>
        <w:spacing w:line="480" w:lineRule="exact"/>
        <w:ind w:firstLine="420" w:firstLineChars="200"/>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关于监理人在施工现场的办公场所、生活场所的提供和费用承担的约定</w:t>
      </w:r>
      <w:r>
        <w:rPr>
          <w:rFonts w:hint="eastAsia" w:ascii="宋体" w:hAnsi="宋体" w:cs="宋体"/>
          <w:color w:val="auto"/>
          <w:kern w:val="21"/>
          <w:szCs w:val="21"/>
          <w:highlight w:val="none"/>
          <w:u w:val="single"/>
        </w:rPr>
        <w:t>：由监理人承担 。</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4.2 监理人员</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总监理工程师：</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姓    名：</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职    务：</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监理工程师执业资格证书号：</w:t>
      </w:r>
      <w:r>
        <w:rPr>
          <w:rFonts w:hint="eastAsia" w:ascii="宋体" w:hAnsi="宋体" w:cs="宋体"/>
          <w:color w:val="auto"/>
          <w:kern w:val="21"/>
          <w:szCs w:val="21"/>
          <w:highlight w:val="none"/>
          <w:u w:val="single"/>
        </w:rPr>
        <w:t>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联系电话：</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电子信箱：</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通信地址：</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关于监理人的其他约定：</w:t>
      </w:r>
      <w:r>
        <w:rPr>
          <w:rFonts w:hint="eastAsia" w:ascii="宋体" w:hAnsi="宋体" w:cs="宋体"/>
          <w:color w:val="auto"/>
          <w:kern w:val="21"/>
          <w:szCs w:val="21"/>
          <w:highlight w:val="none"/>
          <w:u w:val="single"/>
        </w:rPr>
        <w:t>  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4.4 商定或确定</w:t>
      </w:r>
    </w:p>
    <w:p>
      <w:pPr>
        <w:widowControl w:val="0"/>
        <w:spacing w:line="480" w:lineRule="exact"/>
        <w:ind w:firstLine="420" w:firstLineChars="200"/>
        <w:textAlignment w:val="auto"/>
        <w:rPr>
          <w:rFonts w:ascii="宋体" w:hAnsi="宋体" w:cs="宋体"/>
          <w:color w:val="auto"/>
          <w:kern w:val="21"/>
          <w:szCs w:val="21"/>
          <w:highlight w:val="none"/>
        </w:rPr>
      </w:pPr>
      <w:bookmarkStart w:id="194" w:name="_Toc267251418"/>
      <w:r>
        <w:rPr>
          <w:rFonts w:hint="eastAsia" w:ascii="宋体" w:hAnsi="宋体" w:cs="宋体"/>
          <w:color w:val="auto"/>
          <w:kern w:val="21"/>
          <w:szCs w:val="21"/>
          <w:highlight w:val="none"/>
        </w:rPr>
        <w:t>在发包人和承包人不能通过协商达成一致意见时，发包人授权监理人对以下事项进行确定：</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195" w:name="_Toc351203637"/>
      <w:r>
        <w:rPr>
          <w:rFonts w:hint="eastAsia" w:ascii="宋体" w:hAnsi="宋体" w:eastAsia="宋体" w:cs="宋体"/>
          <w:b w:val="0"/>
          <w:color w:val="auto"/>
          <w:kern w:val="21"/>
          <w:sz w:val="21"/>
          <w:szCs w:val="21"/>
          <w:highlight w:val="none"/>
        </w:rPr>
        <w:t>5</w:t>
      </w:r>
      <w:bookmarkEnd w:id="194"/>
      <w:bookmarkStart w:id="196" w:name="_Toc292559367"/>
      <w:bookmarkStart w:id="197" w:name="_Toc296891203"/>
      <w:bookmarkStart w:id="198" w:name="_Toc296503163"/>
      <w:bookmarkStart w:id="199" w:name="_Toc296347162"/>
      <w:bookmarkStart w:id="200" w:name="_Toc296346664"/>
      <w:bookmarkStart w:id="201" w:name="_Toc292559872"/>
      <w:bookmarkStart w:id="202" w:name="_Toc296890991"/>
      <w:bookmarkStart w:id="203" w:name="_Toc296944502"/>
      <w:bookmarkStart w:id="204" w:name="_Toc297048349"/>
      <w:bookmarkStart w:id="205" w:name="_Toc297120463"/>
      <w:r>
        <w:rPr>
          <w:rFonts w:hint="eastAsia" w:ascii="宋体" w:hAnsi="宋体" w:eastAsia="宋体" w:cs="宋体"/>
          <w:b w:val="0"/>
          <w:color w:val="auto"/>
          <w:kern w:val="21"/>
          <w:sz w:val="21"/>
          <w:szCs w:val="21"/>
          <w:highlight w:val="none"/>
        </w:rPr>
        <w:t>. 工程质量</w:t>
      </w:r>
      <w:bookmarkEnd w:id="195"/>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206" w:name="_Toc9098"/>
      <w:r>
        <w:rPr>
          <w:rFonts w:hint="eastAsia" w:ascii="宋体" w:hAnsi="宋体" w:cs="宋体"/>
          <w:color w:val="auto"/>
          <w:kern w:val="21"/>
          <w:szCs w:val="21"/>
          <w:highlight w:val="none"/>
        </w:rPr>
        <w:t>5.1 质量要求</w:t>
      </w:r>
      <w:bookmarkEnd w:id="206"/>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5</w:t>
      </w:r>
      <w:bookmarkStart w:id="207" w:name="_Toc297216155"/>
      <w:bookmarkStart w:id="208" w:name="_Toc312677997"/>
      <w:bookmarkStart w:id="209" w:name="_Toc297123496"/>
      <w:bookmarkStart w:id="210" w:name="_Toc318581164"/>
      <w:bookmarkStart w:id="211" w:name="_Toc303539106"/>
      <w:bookmarkStart w:id="212" w:name="_Toc304295527"/>
      <w:bookmarkStart w:id="213" w:name="_Toc300934949"/>
      <w:r>
        <w:rPr>
          <w:rFonts w:hint="eastAsia" w:ascii="宋体" w:hAnsi="宋体" w:cs="宋体"/>
          <w:color w:val="auto"/>
          <w:kern w:val="21"/>
          <w:szCs w:val="21"/>
          <w:highlight w:val="none"/>
        </w:rPr>
        <w:t>.1.1 特殊质量标准和要求：</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关于工程奖项的约定：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214" w:name="_Toc31321"/>
      <w:r>
        <w:rPr>
          <w:rFonts w:hint="eastAsia" w:ascii="宋体" w:hAnsi="宋体" w:cs="宋体"/>
          <w:color w:val="auto"/>
          <w:kern w:val="21"/>
          <w:szCs w:val="21"/>
          <w:highlight w:val="none"/>
        </w:rPr>
        <w:t>5.3 隐蔽工程检查</w:t>
      </w:r>
      <w:bookmarkEnd w:id="214"/>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xml:space="preserve">5.3.2承包人提前通知监理人隐蔽工程检查的期限的约定： </w:t>
      </w:r>
      <w:r>
        <w:rPr>
          <w:rFonts w:hint="eastAsia" w:ascii="宋体" w:hAnsi="宋体" w:cs="宋体"/>
          <w:color w:val="auto"/>
          <w:kern w:val="21"/>
          <w:szCs w:val="21"/>
          <w:highlight w:val="none"/>
          <w:u w:val="single"/>
        </w:rPr>
        <w:t xml:space="preserve">24小时前 </w:t>
      </w:r>
      <w:r>
        <w:rPr>
          <w:rFonts w:hint="eastAsia" w:ascii="宋体" w:hAnsi="宋体" w:cs="宋体"/>
          <w:color w:val="auto"/>
          <w:kern w:val="21"/>
          <w:szCs w:val="21"/>
          <w:highlight w:val="none"/>
        </w:rPr>
        <w:t xml:space="preserve">  。</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监理人不能按时进行检查时，应提前</w:t>
      </w:r>
      <w:r>
        <w:rPr>
          <w:rFonts w:hint="eastAsia" w:ascii="宋体" w:hAnsi="宋体" w:cs="宋体"/>
          <w:color w:val="auto"/>
          <w:kern w:val="21"/>
          <w:szCs w:val="21"/>
          <w:highlight w:val="none"/>
          <w:u w:val="single"/>
        </w:rPr>
        <w:t xml:space="preserve">24 </w:t>
      </w:r>
      <w:r>
        <w:rPr>
          <w:rFonts w:hint="eastAsia" w:ascii="宋体" w:hAnsi="宋体" w:cs="宋体"/>
          <w:color w:val="auto"/>
          <w:kern w:val="21"/>
          <w:szCs w:val="21"/>
          <w:highlight w:val="none"/>
        </w:rPr>
        <w:t>小时提交书面延期要求。</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关于延期最长不得超过：</w:t>
      </w:r>
      <w:r>
        <w:rPr>
          <w:rFonts w:hint="eastAsia" w:ascii="宋体" w:hAnsi="宋体" w:cs="宋体"/>
          <w:color w:val="auto"/>
          <w:kern w:val="21"/>
          <w:szCs w:val="21"/>
          <w:highlight w:val="none"/>
          <w:u w:val="single"/>
        </w:rPr>
        <w:t xml:space="preserve"> 24</w:t>
      </w:r>
      <w:r>
        <w:rPr>
          <w:rFonts w:hint="eastAsia" w:ascii="宋体" w:hAnsi="宋体" w:cs="宋体"/>
          <w:color w:val="auto"/>
          <w:kern w:val="21"/>
          <w:szCs w:val="21"/>
          <w:highlight w:val="none"/>
        </w:rPr>
        <w:t xml:space="preserve"> 小时。</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215" w:name="_Toc351203638"/>
      <w:r>
        <w:rPr>
          <w:rFonts w:hint="eastAsia" w:ascii="宋体" w:hAnsi="宋体" w:eastAsia="宋体" w:cs="宋体"/>
          <w:b w:val="0"/>
          <w:color w:val="auto"/>
          <w:kern w:val="21"/>
          <w:sz w:val="21"/>
          <w:szCs w:val="21"/>
          <w:highlight w:val="none"/>
        </w:rPr>
        <w:t>6. 安全文明施工与环境保护</w:t>
      </w:r>
      <w:bookmarkEnd w:id="215"/>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6.1安全文明施工</w:t>
      </w:r>
    </w:p>
    <w:bookmarkEnd w:id="207"/>
    <w:bookmarkEnd w:id="208"/>
    <w:bookmarkEnd w:id="209"/>
    <w:bookmarkEnd w:id="210"/>
    <w:bookmarkEnd w:id="211"/>
    <w:bookmarkEnd w:id="212"/>
    <w:bookmarkEnd w:id="213"/>
    <w:p>
      <w:pPr>
        <w:widowControl w:val="0"/>
        <w:spacing w:line="480" w:lineRule="exact"/>
        <w:ind w:firstLine="420" w:firstLineChars="200"/>
        <w:jc w:val="left"/>
        <w:textAlignment w:val="auto"/>
        <w:rPr>
          <w:rFonts w:ascii="宋体" w:hAnsi="宋体" w:cs="宋体"/>
          <w:color w:val="auto"/>
          <w:kern w:val="21"/>
          <w:szCs w:val="21"/>
          <w:highlight w:val="none"/>
        </w:rPr>
      </w:pPr>
      <w:bookmarkStart w:id="216" w:name="_Toc351203639"/>
      <w:r>
        <w:rPr>
          <w:rFonts w:hint="eastAsia" w:ascii="宋体" w:hAnsi="宋体" w:cs="宋体"/>
          <w:color w:val="auto"/>
          <w:kern w:val="21"/>
          <w:szCs w:val="21"/>
          <w:highlight w:val="none"/>
        </w:rPr>
        <w:t>6.1.1 项目安全生产的达标目标及相应事项的约定：</w:t>
      </w:r>
      <w:r>
        <w:rPr>
          <w:rFonts w:hint="eastAsia" w:ascii="宋体" w:hAnsi="宋体" w:cs="宋体"/>
          <w:color w:val="auto"/>
          <w:kern w:val="21"/>
          <w:szCs w:val="21"/>
          <w:highlight w:val="none"/>
          <w:u w:val="single"/>
        </w:rPr>
        <w:t xml:space="preserve">要求达到《建筑施工安全检查标准》（JGJ59-2011）标准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6.1.4 关于治安保卫的特别约定：承包人应遵守发包人治安保安相关制度和要求，统一管理施工场地的治安保卫事项，履行合同工程的治安保卫职责，施工安全责任由承包人负责。</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关于编制施工场地治安管理计划的约定：</w:t>
      </w:r>
      <w:r>
        <w:rPr>
          <w:rFonts w:hint="eastAsia" w:ascii="宋体" w:hAnsi="宋体" w:cs="宋体"/>
          <w:color w:val="auto"/>
          <w:kern w:val="21"/>
          <w:szCs w:val="21"/>
          <w:highlight w:val="none"/>
          <w:u w:val="single"/>
        </w:rPr>
        <w:t>承包人编制，发包人、监理人审核</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6.1.5 文明施工</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合同当事人对文明施工的要求：</w:t>
      </w:r>
      <w:r>
        <w:rPr>
          <w:rFonts w:hint="eastAsia" w:ascii="宋体" w:hAnsi="宋体" w:cs="宋体"/>
          <w:color w:val="auto"/>
          <w:kern w:val="21"/>
          <w:szCs w:val="21"/>
          <w:highlight w:val="none"/>
          <w:u w:val="single"/>
        </w:rPr>
        <w:t xml:space="preserve"> 达到国家强制要求规定，以及发包人规定要求。</w:t>
      </w:r>
    </w:p>
    <w:p>
      <w:pPr>
        <w:widowControl w:val="0"/>
        <w:spacing w:line="480" w:lineRule="exact"/>
        <w:ind w:firstLine="48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6.1.6 关于安全文明施工费支付比例和支付期限的约定：</w:t>
      </w:r>
      <w:r>
        <w:rPr>
          <w:rFonts w:hint="eastAsia" w:ascii="宋体" w:hAnsi="宋体" w:cs="宋体"/>
          <w:color w:val="auto"/>
          <w:kern w:val="21"/>
          <w:szCs w:val="21"/>
          <w:highlight w:val="none"/>
          <w:u w:val="single"/>
        </w:rPr>
        <w:t>安全文明施工措施费 在开工前一次性足额支付给承包人。安全防护、文明施工措施费用由承包人专款专用，不得挪作他用，并在财务管理中单独列支。</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r>
        <w:rPr>
          <w:rFonts w:hint="eastAsia" w:ascii="宋体" w:hAnsi="宋体" w:eastAsia="宋体" w:cs="宋体"/>
          <w:b w:val="0"/>
          <w:color w:val="auto"/>
          <w:kern w:val="21"/>
          <w:sz w:val="21"/>
          <w:szCs w:val="21"/>
          <w:highlight w:val="none"/>
        </w:rPr>
        <w:t>7. 工期和进度</w:t>
      </w:r>
      <w:bookmarkEnd w:id="216"/>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7.1 施工组织设计</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7.1.1 合同当事人约定的施工组织设计应包括的其他内容：</w:t>
      </w:r>
      <w:r>
        <w:rPr>
          <w:rFonts w:hint="eastAsia" w:ascii="宋体" w:hAnsi="宋体" w:cs="宋体"/>
          <w:color w:val="auto"/>
          <w:kern w:val="21"/>
          <w:szCs w:val="21"/>
          <w:highlight w:val="none"/>
          <w:u w:val="single"/>
        </w:rPr>
        <w:t xml:space="preserve"> 执行通用条款</w:t>
      </w:r>
      <w:r>
        <w:rPr>
          <w:rFonts w:hint="eastAsia" w:ascii="宋体" w:hAnsi="宋体" w:cs="宋体"/>
          <w:color w:val="auto"/>
          <w:kern w:val="21"/>
          <w:szCs w:val="21"/>
          <w:highlight w:val="none"/>
        </w:rPr>
        <w:t>。</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7.1.2 施工组织设计的提交和修改</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承包人提交详细施工组织设计的期限的约定：</w:t>
      </w:r>
      <w:r>
        <w:rPr>
          <w:rFonts w:hint="eastAsia" w:ascii="宋体" w:hAnsi="宋体" w:cs="宋体"/>
          <w:color w:val="auto"/>
          <w:kern w:val="21"/>
          <w:szCs w:val="21"/>
          <w:highlight w:val="none"/>
          <w:u w:val="single"/>
        </w:rPr>
        <w:t xml:space="preserve">开工前7天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发包人和监理人在收到详细的施工组织设计后确认或提出修改意见的期限：</w:t>
      </w:r>
      <w:r>
        <w:rPr>
          <w:rFonts w:hint="eastAsia" w:ascii="宋体" w:hAnsi="宋体" w:cs="宋体"/>
          <w:color w:val="auto"/>
          <w:kern w:val="21"/>
          <w:szCs w:val="21"/>
          <w:highlight w:val="none"/>
          <w:u w:val="single"/>
        </w:rPr>
        <w:t>7天内</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w:t>
      </w:r>
      <w:bookmarkStart w:id="217" w:name="_Toc300934966"/>
      <w:bookmarkStart w:id="218" w:name="_Toc312677479"/>
      <w:bookmarkStart w:id="219" w:name="_Toc303539123"/>
      <w:bookmarkStart w:id="220" w:name="_Toc297216173"/>
      <w:bookmarkStart w:id="221" w:name="_Toc304295541"/>
      <w:bookmarkStart w:id="222" w:name="_Toc297123514"/>
      <w:bookmarkStart w:id="223" w:name="_Toc312678005"/>
      <w:r>
        <w:rPr>
          <w:rFonts w:hint="eastAsia" w:ascii="宋体" w:hAnsi="宋体" w:cs="宋体"/>
          <w:color w:val="auto"/>
          <w:kern w:val="21"/>
          <w:szCs w:val="21"/>
          <w:highlight w:val="none"/>
        </w:rPr>
        <w:t>.2 施工进度计划</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7.2.2 施工进度计划的修订</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发包人和监理人在收到修订的施工进度计划后确认或提出修改意见的期限：</w:t>
      </w:r>
      <w:r>
        <w:rPr>
          <w:rFonts w:hint="eastAsia" w:ascii="宋体" w:hAnsi="宋体" w:cs="宋体"/>
          <w:color w:val="auto"/>
          <w:kern w:val="21"/>
          <w:szCs w:val="21"/>
          <w:highlight w:val="none"/>
          <w:u w:val="single"/>
        </w:rPr>
        <w:t xml:space="preserve">7天内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7.3 开工</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7.3.1 开工准备</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关于承包人提交工程开工报审表的期限：</w:t>
      </w:r>
      <w:r>
        <w:rPr>
          <w:rFonts w:hint="eastAsia" w:ascii="宋体" w:hAnsi="宋体" w:cs="宋体"/>
          <w:color w:val="auto"/>
          <w:kern w:val="21"/>
          <w:szCs w:val="21"/>
          <w:highlight w:val="none"/>
          <w:u w:val="single"/>
        </w:rPr>
        <w:t xml:space="preserve">监理单位要求后的7天内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关于发包人应完成的其他开工准备工作及期限：</w:t>
      </w:r>
      <w:r>
        <w:rPr>
          <w:rFonts w:hint="eastAsia" w:ascii="宋体" w:hAnsi="宋体" w:cs="宋体"/>
          <w:color w:val="auto"/>
          <w:kern w:val="21"/>
          <w:szCs w:val="21"/>
          <w:highlight w:val="none"/>
          <w:u w:val="single"/>
        </w:rPr>
        <w:t>承包人进场之前的15天内</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关于承包人应完成的其他开工准备工作及期限：</w:t>
      </w:r>
      <w:r>
        <w:rPr>
          <w:rFonts w:hint="eastAsia" w:ascii="宋体" w:hAnsi="宋体" w:cs="宋体"/>
          <w:color w:val="auto"/>
          <w:kern w:val="21"/>
          <w:szCs w:val="21"/>
          <w:highlight w:val="none"/>
          <w:u w:val="single"/>
        </w:rPr>
        <w:t xml:space="preserve">正式进场前的7天内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7.3.2开工通知</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因发包人原因造成监理人未能在计划开工日期之日起</w:t>
      </w:r>
      <w:r>
        <w:rPr>
          <w:rFonts w:hint="eastAsia" w:ascii="宋体" w:hAnsi="宋体" w:cs="宋体"/>
          <w:color w:val="auto"/>
          <w:kern w:val="21"/>
          <w:szCs w:val="21"/>
          <w:highlight w:val="none"/>
          <w:u w:val="single"/>
        </w:rPr>
        <w:t xml:space="preserve"> 10 </w:t>
      </w:r>
      <w:r>
        <w:rPr>
          <w:rFonts w:hint="eastAsia" w:ascii="宋体" w:hAnsi="宋体" w:cs="宋体"/>
          <w:color w:val="auto"/>
          <w:kern w:val="21"/>
          <w:szCs w:val="21"/>
          <w:highlight w:val="none"/>
        </w:rPr>
        <w:t>天内发出开工通知的，承包人有权提出价格调整要求，或者解除合同。</w:t>
      </w:r>
    </w:p>
    <w:bookmarkEnd w:id="217"/>
    <w:bookmarkEnd w:id="218"/>
    <w:bookmarkEnd w:id="219"/>
    <w:bookmarkEnd w:id="220"/>
    <w:bookmarkEnd w:id="221"/>
    <w:bookmarkEnd w:id="222"/>
    <w:bookmarkEnd w:id="223"/>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7.4 测量放线</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7.4.1发包人通过监理人向承包人提供测量基准点、基准线和水准点及其书面资料的期限：</w:t>
      </w:r>
      <w:r>
        <w:rPr>
          <w:rFonts w:hint="eastAsia" w:ascii="宋体" w:hAnsi="宋体" w:cs="宋体"/>
          <w:color w:val="auto"/>
          <w:kern w:val="21"/>
          <w:szCs w:val="21"/>
          <w:highlight w:val="none"/>
          <w:u w:val="single"/>
        </w:rPr>
        <w:t>承包人进场后的15天内</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w:t>
      </w:r>
      <w:bookmarkStart w:id="224" w:name="_Toc312678010"/>
      <w:bookmarkStart w:id="225" w:name="_Toc300934968"/>
      <w:bookmarkStart w:id="226" w:name="_Toc303539125"/>
      <w:bookmarkStart w:id="227" w:name="_Toc312677484"/>
      <w:bookmarkStart w:id="228" w:name="_Toc297216175"/>
      <w:bookmarkStart w:id="229" w:name="_Toc304295546"/>
      <w:bookmarkStart w:id="230" w:name="_Toc297123516"/>
      <w:r>
        <w:rPr>
          <w:rFonts w:hint="eastAsia" w:ascii="宋体" w:hAnsi="宋体" w:cs="宋体"/>
          <w:color w:val="auto"/>
          <w:kern w:val="21"/>
          <w:szCs w:val="21"/>
          <w:highlight w:val="none"/>
        </w:rPr>
        <w:t>.5 工期延误</w:t>
      </w:r>
    </w:p>
    <w:bookmarkEnd w:id="224"/>
    <w:bookmarkEnd w:id="225"/>
    <w:bookmarkEnd w:id="226"/>
    <w:bookmarkEnd w:id="227"/>
    <w:bookmarkEnd w:id="228"/>
    <w:bookmarkEnd w:id="229"/>
    <w:bookmarkEnd w:id="230"/>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7.5.1 因发包人原因导致工期延误</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因发包人原因导致工期延误的其他情形：</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w:t>
      </w:r>
      <w:bookmarkStart w:id="231" w:name="_Toc318581169"/>
      <w:bookmarkStart w:id="232" w:name="_Toc312678012"/>
      <w:bookmarkStart w:id="233" w:name="_Toc312677486"/>
      <w:bookmarkStart w:id="234" w:name="_Toc303539127"/>
      <w:bookmarkStart w:id="235" w:name="_Toc297216177"/>
      <w:bookmarkStart w:id="236" w:name="_Toc300934970"/>
      <w:bookmarkStart w:id="237" w:name="_Toc297123518"/>
      <w:bookmarkStart w:id="238" w:name="_Toc304295548"/>
      <w:r>
        <w:rPr>
          <w:rFonts w:hint="eastAsia" w:ascii="宋体" w:hAnsi="宋体" w:cs="宋体"/>
          <w:color w:val="auto"/>
          <w:kern w:val="21"/>
          <w:szCs w:val="21"/>
          <w:highlight w:val="none"/>
        </w:rPr>
        <w:t>.5.2 因承包人原因导致工期延误</w:t>
      </w:r>
    </w:p>
    <w:bookmarkEnd w:id="231"/>
    <w:bookmarkEnd w:id="232"/>
    <w:bookmarkEnd w:id="233"/>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因</w:t>
      </w:r>
      <w:bookmarkStart w:id="239" w:name="_Toc312678013"/>
      <w:bookmarkStart w:id="240" w:name="_Toc312677487"/>
      <w:bookmarkStart w:id="241" w:name="_Toc318581170"/>
      <w:r>
        <w:rPr>
          <w:rFonts w:hint="eastAsia" w:ascii="宋体" w:hAnsi="宋体" w:cs="宋体"/>
          <w:color w:val="auto"/>
          <w:kern w:val="21"/>
          <w:szCs w:val="21"/>
          <w:highlight w:val="none"/>
        </w:rPr>
        <w:t>承包人原因造成工期延误，逾期竣工违约金的计算方法为：</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u w:val="single"/>
        </w:rPr>
        <w:t xml:space="preserve">因承包人原因总工期每推迟一天处罚1000元/天 </w:t>
      </w:r>
      <w:r>
        <w:rPr>
          <w:rFonts w:hint="eastAsia" w:ascii="宋体" w:hAnsi="宋体" w:cs="宋体"/>
          <w:color w:val="auto"/>
          <w:kern w:val="21"/>
          <w:szCs w:val="21"/>
          <w:highlight w:val="none"/>
        </w:rPr>
        <w:t>。</w:t>
      </w:r>
      <w:bookmarkEnd w:id="234"/>
      <w:bookmarkEnd w:id="235"/>
      <w:bookmarkEnd w:id="236"/>
      <w:bookmarkEnd w:id="237"/>
      <w:bookmarkEnd w:id="238"/>
      <w:bookmarkEnd w:id="239"/>
      <w:bookmarkEnd w:id="240"/>
    </w:p>
    <w:bookmarkEnd w:id="241"/>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因承包人原因造成工期延误，逾</w:t>
      </w:r>
      <w:bookmarkStart w:id="242" w:name="_Toc318581171"/>
      <w:bookmarkStart w:id="243" w:name="_Toc312678014"/>
      <w:r>
        <w:rPr>
          <w:rFonts w:hint="eastAsia" w:ascii="宋体" w:hAnsi="宋体" w:cs="宋体"/>
          <w:color w:val="auto"/>
          <w:kern w:val="21"/>
          <w:szCs w:val="21"/>
          <w:highlight w:val="none"/>
        </w:rPr>
        <w:t>期竣工违约金的上限：</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bookmarkEnd w:id="242"/>
    <w:bookmarkEnd w:id="243"/>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w:t>
      </w:r>
      <w:bookmarkStart w:id="244" w:name="_Toc304295549"/>
      <w:bookmarkStart w:id="245" w:name="_Toc300934971"/>
      <w:bookmarkStart w:id="246" w:name="_Toc297123519"/>
      <w:bookmarkStart w:id="247" w:name="_Toc312678015"/>
      <w:bookmarkStart w:id="248" w:name="_Toc303539128"/>
      <w:bookmarkStart w:id="249" w:name="_Toc297216178"/>
      <w:r>
        <w:rPr>
          <w:rFonts w:hint="eastAsia" w:ascii="宋体" w:hAnsi="宋体" w:cs="宋体"/>
          <w:color w:val="auto"/>
          <w:kern w:val="21"/>
          <w:szCs w:val="21"/>
          <w:highlight w:val="none"/>
        </w:rPr>
        <w:t>.6 不</w:t>
      </w:r>
      <w:bookmarkEnd w:id="244"/>
      <w:bookmarkEnd w:id="245"/>
      <w:bookmarkEnd w:id="246"/>
      <w:bookmarkEnd w:id="247"/>
      <w:bookmarkEnd w:id="248"/>
      <w:bookmarkEnd w:id="249"/>
      <w:r>
        <w:rPr>
          <w:rFonts w:hint="eastAsia" w:ascii="宋体" w:hAnsi="宋体" w:cs="宋体"/>
          <w:color w:val="auto"/>
          <w:kern w:val="21"/>
          <w:szCs w:val="21"/>
          <w:highlight w:val="none"/>
        </w:rPr>
        <w:t>利物质条件</w:t>
      </w:r>
    </w:p>
    <w:p>
      <w:pPr>
        <w:widowControl w:val="0"/>
        <w:spacing w:line="480" w:lineRule="exact"/>
        <w:ind w:firstLine="420" w:firstLineChars="200"/>
        <w:jc w:val="left"/>
        <w:textAlignment w:val="auto"/>
        <w:rPr>
          <w:rFonts w:ascii="宋体" w:hAnsi="宋体" w:cs="宋体"/>
          <w:color w:val="auto"/>
          <w:kern w:val="21"/>
          <w:szCs w:val="21"/>
          <w:highlight w:val="none"/>
        </w:rPr>
      </w:pPr>
      <w:bookmarkStart w:id="250" w:name="_Toc304295550"/>
      <w:bookmarkStart w:id="251" w:name="_Toc303539129"/>
      <w:bookmarkStart w:id="252" w:name="_Toc300934972"/>
      <w:bookmarkStart w:id="253" w:name="_Toc297216179"/>
      <w:bookmarkStart w:id="254" w:name="_Toc297123520"/>
      <w:bookmarkStart w:id="255" w:name="_Toc312678016"/>
      <w:bookmarkStart w:id="256" w:name="_Toc318581172"/>
      <w:r>
        <w:rPr>
          <w:rFonts w:hint="eastAsia" w:ascii="宋体" w:hAnsi="宋体" w:cs="宋体"/>
          <w:color w:val="auto"/>
          <w:kern w:val="21"/>
          <w:szCs w:val="21"/>
          <w:highlight w:val="none"/>
        </w:rPr>
        <w:t>不利物质条件的其他情形和有关约定：</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bookmarkEnd w:id="250"/>
    <w:bookmarkEnd w:id="251"/>
    <w:bookmarkEnd w:id="252"/>
    <w:bookmarkEnd w:id="253"/>
    <w:bookmarkEnd w:id="254"/>
    <w:bookmarkEnd w:id="255"/>
    <w:bookmarkEnd w:id="256"/>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w:t>
      </w:r>
      <w:bookmarkStart w:id="257" w:name="_Toc304295551"/>
      <w:bookmarkStart w:id="258" w:name="_Toc303539130"/>
      <w:bookmarkStart w:id="259" w:name="_Toc312678017"/>
      <w:bookmarkStart w:id="260" w:name="_Toc297216180"/>
      <w:bookmarkStart w:id="261" w:name="_Toc300934973"/>
      <w:bookmarkStart w:id="262" w:name="_Toc297123521"/>
      <w:r>
        <w:rPr>
          <w:rFonts w:hint="eastAsia" w:ascii="宋体" w:hAnsi="宋体" w:cs="宋体"/>
          <w:color w:val="auto"/>
          <w:kern w:val="21"/>
          <w:szCs w:val="21"/>
          <w:highlight w:val="none"/>
        </w:rPr>
        <w:t>.7异常恶劣的气候条件</w:t>
      </w:r>
    </w:p>
    <w:bookmarkEnd w:id="257"/>
    <w:bookmarkEnd w:id="258"/>
    <w:bookmarkEnd w:id="259"/>
    <w:bookmarkEnd w:id="260"/>
    <w:bookmarkEnd w:id="261"/>
    <w:bookmarkEnd w:id="262"/>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发包人和承包人同意以下情形视为异常恶劣的气候条件：</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263" w:name="_Toc4664"/>
      <w:r>
        <w:rPr>
          <w:rFonts w:hint="eastAsia" w:ascii="宋体" w:hAnsi="宋体" w:cs="宋体"/>
          <w:color w:val="auto"/>
          <w:kern w:val="21"/>
          <w:szCs w:val="21"/>
          <w:highlight w:val="none"/>
        </w:rPr>
        <w:t>7.9 提前竣工的奖励</w:t>
      </w:r>
      <w:bookmarkEnd w:id="263"/>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7.9.2提前竣工的奖励：</w:t>
      </w:r>
      <w:r>
        <w:rPr>
          <w:rFonts w:hint="eastAsia" w:ascii="宋体" w:hAnsi="宋体" w:cs="宋体"/>
          <w:color w:val="auto"/>
          <w:kern w:val="21"/>
          <w:szCs w:val="21"/>
          <w:highlight w:val="none"/>
          <w:u w:val="single"/>
        </w:rPr>
        <w:t xml:space="preserve"> 每提前一天相应给予1000元/天奖励 </w:t>
      </w:r>
      <w:r>
        <w:rPr>
          <w:rFonts w:hint="eastAsia" w:ascii="宋体" w:hAnsi="宋体" w:cs="宋体"/>
          <w:color w:val="auto"/>
          <w:kern w:val="21"/>
          <w:szCs w:val="21"/>
          <w:highlight w:val="none"/>
        </w:rPr>
        <w:t>。</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264" w:name="_Toc351203640"/>
      <w:r>
        <w:rPr>
          <w:rFonts w:hint="eastAsia" w:ascii="宋体" w:hAnsi="宋体" w:eastAsia="宋体" w:cs="宋体"/>
          <w:b w:val="0"/>
          <w:color w:val="auto"/>
          <w:kern w:val="21"/>
          <w:sz w:val="21"/>
          <w:szCs w:val="21"/>
          <w:highlight w:val="none"/>
        </w:rPr>
        <w:t>8. 材料与设备</w:t>
      </w:r>
      <w:bookmarkEnd w:id="264"/>
    </w:p>
    <w:bookmarkEnd w:id="196"/>
    <w:bookmarkEnd w:id="197"/>
    <w:bookmarkEnd w:id="198"/>
    <w:bookmarkEnd w:id="199"/>
    <w:bookmarkEnd w:id="200"/>
    <w:bookmarkEnd w:id="201"/>
    <w:bookmarkEnd w:id="202"/>
    <w:bookmarkEnd w:id="203"/>
    <w:bookmarkEnd w:id="204"/>
    <w:bookmarkEnd w:id="205"/>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8</w:t>
      </w:r>
      <w:bookmarkStart w:id="265" w:name="_Toc296347166"/>
      <w:bookmarkStart w:id="266" w:name="_Toc303539136"/>
      <w:bookmarkStart w:id="267" w:name="_Toc296891207"/>
      <w:bookmarkStart w:id="268" w:name="_Toc312678019"/>
      <w:bookmarkStart w:id="269" w:name="_Toc296944506"/>
      <w:bookmarkStart w:id="270" w:name="_Toc312677493"/>
      <w:bookmarkStart w:id="271" w:name="_Toc296503167"/>
      <w:bookmarkStart w:id="272" w:name="_Toc297120467"/>
      <w:bookmarkStart w:id="273" w:name="_Toc300934979"/>
      <w:bookmarkStart w:id="274" w:name="_Toc297216186"/>
      <w:bookmarkStart w:id="275" w:name="_Toc296346668"/>
      <w:bookmarkStart w:id="276" w:name="_Toc292559372"/>
      <w:bookmarkStart w:id="277" w:name="_Toc304295556"/>
      <w:bookmarkStart w:id="278" w:name="_Toc280868654"/>
      <w:bookmarkStart w:id="279" w:name="_Toc297123527"/>
      <w:bookmarkStart w:id="280" w:name="_Toc292559877"/>
      <w:bookmarkStart w:id="281" w:name="_Toc296890995"/>
      <w:bookmarkStart w:id="282" w:name="_Toc297048353"/>
      <w:bookmarkStart w:id="283" w:name="_Toc280868656"/>
      <w:bookmarkStart w:id="284" w:name="_Toc280868655"/>
      <w:bookmarkStart w:id="285" w:name="_Toc267251424"/>
      <w:r>
        <w:rPr>
          <w:rFonts w:hint="eastAsia" w:ascii="宋体" w:hAnsi="宋体" w:cs="宋体"/>
          <w:color w:val="auto"/>
          <w:kern w:val="21"/>
          <w:szCs w:val="21"/>
          <w:highlight w:val="none"/>
        </w:rPr>
        <w:t>.4材料与工程设备的保管与使用</w:t>
      </w:r>
    </w:p>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8</w:t>
      </w:r>
      <w:bookmarkStart w:id="286" w:name="_Toc292559878"/>
      <w:bookmarkStart w:id="287" w:name="_Toc292559373"/>
      <w:bookmarkStart w:id="288" w:name="_Toc297123528"/>
      <w:bookmarkStart w:id="289" w:name="_Toc312677494"/>
      <w:bookmarkStart w:id="290" w:name="_Toc296944507"/>
      <w:bookmarkStart w:id="291" w:name="_Toc312678020"/>
      <w:bookmarkStart w:id="292" w:name="_Toc296346669"/>
      <w:bookmarkStart w:id="293" w:name="_Toc318581173"/>
      <w:bookmarkStart w:id="294" w:name="_Toc297120468"/>
      <w:bookmarkStart w:id="295" w:name="_Toc297048354"/>
      <w:bookmarkStart w:id="296" w:name="_Toc303539137"/>
      <w:bookmarkStart w:id="297" w:name="_Toc296347167"/>
      <w:bookmarkStart w:id="298" w:name="_Toc297216187"/>
      <w:bookmarkStart w:id="299" w:name="_Toc296890996"/>
      <w:bookmarkStart w:id="300" w:name="_Toc296503168"/>
      <w:bookmarkStart w:id="301" w:name="_Toc304295557"/>
      <w:bookmarkStart w:id="302" w:name="_Toc296891208"/>
      <w:bookmarkStart w:id="303" w:name="_Toc300934980"/>
      <w:r>
        <w:rPr>
          <w:rFonts w:hint="eastAsia" w:ascii="宋体" w:hAnsi="宋体" w:cs="宋体"/>
          <w:color w:val="auto"/>
          <w:kern w:val="21"/>
          <w:szCs w:val="21"/>
          <w:highlight w:val="none"/>
        </w:rPr>
        <w:t>.4.1发包人供应的材料设备的保管费用的承担：</w:t>
      </w:r>
      <w:r>
        <w:rPr>
          <w:rFonts w:hint="eastAsia" w:ascii="宋体" w:hAnsi="宋体" w:cs="宋体"/>
          <w:color w:val="auto"/>
          <w:kern w:val="21"/>
          <w:szCs w:val="21"/>
          <w:highlight w:val="none"/>
          <w:u w:val="single"/>
        </w:rPr>
        <w:t xml:space="preserve">由承包人承担 </w:t>
      </w:r>
      <w:r>
        <w:rPr>
          <w:rFonts w:hint="eastAsia" w:ascii="宋体" w:hAnsi="宋体" w:cs="宋体"/>
          <w:color w:val="auto"/>
          <w:kern w:val="21"/>
          <w:szCs w:val="21"/>
          <w:highlight w:val="none"/>
        </w:rPr>
        <w:t>。</w:t>
      </w:r>
      <w:bookmarkEnd w:id="286"/>
      <w:bookmarkEnd w:id="287"/>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304" w:name="_Toc7010"/>
      <w:r>
        <w:rPr>
          <w:rFonts w:hint="eastAsia" w:ascii="宋体" w:hAnsi="宋体" w:cs="宋体"/>
          <w:color w:val="auto"/>
          <w:kern w:val="21"/>
          <w:szCs w:val="21"/>
          <w:highlight w:val="none"/>
        </w:rPr>
        <w:t>8.6 样品</w:t>
      </w:r>
      <w:bookmarkEnd w:id="304"/>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8.6.1</w:t>
      </w:r>
      <w:r>
        <w:rPr>
          <w:rFonts w:hint="eastAsia" w:ascii="宋体" w:hAnsi="宋体" w:cs="宋体"/>
          <w:color w:val="auto"/>
          <w:kern w:val="21"/>
          <w:szCs w:val="21"/>
          <w:highlight w:val="none"/>
        </w:rPr>
        <w:tab/>
      </w:r>
      <w:r>
        <w:rPr>
          <w:rFonts w:hint="eastAsia" w:ascii="宋体" w:hAnsi="宋体" w:cs="宋体"/>
          <w:color w:val="auto"/>
          <w:kern w:val="21"/>
          <w:szCs w:val="21"/>
          <w:highlight w:val="none"/>
        </w:rPr>
        <w:t>样品的报送与封存</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需要承包人报送样品的材料或工程设备，样品的种类、名称、规格、数量要求：</w:t>
      </w:r>
      <w:r>
        <w:rPr>
          <w:rFonts w:hint="eastAsia" w:ascii="宋体" w:hAnsi="宋体" w:cs="宋体"/>
          <w:color w:val="auto"/>
          <w:kern w:val="21"/>
          <w:szCs w:val="21"/>
          <w:highlight w:val="none"/>
          <w:u w:val="single"/>
        </w:rPr>
        <w:t>按管理部门要求和发包人需求确定执行</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305" w:name="_Toc23681"/>
      <w:r>
        <w:rPr>
          <w:rFonts w:hint="eastAsia" w:ascii="宋体" w:hAnsi="宋体" w:cs="宋体"/>
          <w:color w:val="auto"/>
          <w:kern w:val="21"/>
          <w:szCs w:val="21"/>
          <w:highlight w:val="none"/>
        </w:rPr>
        <w:t>8.8 施工设备和临时设施</w:t>
      </w:r>
      <w:bookmarkEnd w:id="305"/>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8.8.1 承包人提供的施工设备和临时设施</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关于修建临时设施费用承担的约定：</w:t>
      </w:r>
      <w:r>
        <w:rPr>
          <w:rFonts w:hint="eastAsia" w:ascii="宋体" w:hAnsi="宋体" w:cs="宋体"/>
          <w:color w:val="auto"/>
          <w:kern w:val="21"/>
          <w:szCs w:val="21"/>
          <w:highlight w:val="none"/>
          <w:u w:val="single"/>
        </w:rPr>
        <w:t>承包人承担</w:t>
      </w:r>
      <w:r>
        <w:rPr>
          <w:rFonts w:hint="eastAsia" w:ascii="宋体" w:hAnsi="宋体" w:cs="宋体"/>
          <w:color w:val="auto"/>
          <w:kern w:val="21"/>
          <w:szCs w:val="21"/>
          <w:highlight w:val="none"/>
        </w:rPr>
        <w:t>。</w:t>
      </w:r>
    </w:p>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306" w:name="_Toc351203641"/>
      <w:r>
        <w:rPr>
          <w:rFonts w:hint="eastAsia" w:ascii="宋体" w:hAnsi="宋体" w:eastAsia="宋体" w:cs="宋体"/>
          <w:b w:val="0"/>
          <w:color w:val="auto"/>
          <w:kern w:val="21"/>
          <w:sz w:val="21"/>
          <w:szCs w:val="21"/>
          <w:highlight w:val="none"/>
        </w:rPr>
        <w:t>9</w:t>
      </w:r>
      <w:bookmarkEnd w:id="283"/>
      <w:bookmarkEnd w:id="284"/>
      <w:bookmarkEnd w:id="285"/>
      <w:bookmarkStart w:id="307" w:name="_Toc312677495"/>
      <w:bookmarkStart w:id="308" w:name="_Toc303539139"/>
      <w:bookmarkStart w:id="309" w:name="_Toc297123533"/>
      <w:bookmarkStart w:id="310" w:name="_Toc300934982"/>
      <w:bookmarkStart w:id="311" w:name="_Toc312678021"/>
      <w:bookmarkStart w:id="312" w:name="_Toc297216192"/>
      <w:bookmarkStart w:id="313" w:name="_Toc304295559"/>
      <w:bookmarkStart w:id="314" w:name="_Toc292559378"/>
      <w:bookmarkStart w:id="315" w:name="_Toc297048359"/>
      <w:bookmarkStart w:id="316" w:name="_Toc267251428"/>
      <w:bookmarkStart w:id="317" w:name="_Toc292559883"/>
      <w:bookmarkStart w:id="318" w:name="_Toc267251427"/>
      <w:bookmarkStart w:id="319" w:name="_Toc296944512"/>
      <w:bookmarkStart w:id="320" w:name="_Toc296503173"/>
      <w:bookmarkStart w:id="321" w:name="_Toc296891213"/>
      <w:bookmarkStart w:id="322" w:name="_Toc297120473"/>
      <w:bookmarkStart w:id="323" w:name="_Toc296347172"/>
      <w:bookmarkStart w:id="324" w:name="_Toc296346674"/>
      <w:bookmarkStart w:id="325" w:name="_Toc296891001"/>
      <w:r>
        <w:rPr>
          <w:rFonts w:hint="eastAsia" w:ascii="宋体" w:hAnsi="宋体" w:eastAsia="宋体" w:cs="宋体"/>
          <w:b w:val="0"/>
          <w:color w:val="auto"/>
          <w:kern w:val="21"/>
          <w:sz w:val="21"/>
          <w:szCs w:val="21"/>
          <w:highlight w:val="none"/>
        </w:rPr>
        <w:t>. 试验与检验</w:t>
      </w:r>
      <w:bookmarkEnd w:id="306"/>
    </w:p>
    <w:bookmarkEnd w:id="307"/>
    <w:bookmarkEnd w:id="308"/>
    <w:bookmarkEnd w:id="309"/>
    <w:bookmarkEnd w:id="310"/>
    <w:bookmarkEnd w:id="311"/>
    <w:bookmarkEnd w:id="312"/>
    <w:bookmarkEnd w:id="313"/>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9</w:t>
      </w:r>
      <w:bookmarkStart w:id="326" w:name="_Toc297216193"/>
      <w:bookmarkStart w:id="327" w:name="_Toc303539140"/>
      <w:bookmarkStart w:id="328" w:name="_Toc312678022"/>
      <w:bookmarkStart w:id="329" w:name="_Toc312677496"/>
      <w:bookmarkStart w:id="330" w:name="_Toc297123534"/>
      <w:bookmarkStart w:id="331" w:name="_Toc304295560"/>
      <w:bookmarkStart w:id="332" w:name="_Toc300934983"/>
      <w:r>
        <w:rPr>
          <w:rFonts w:hint="eastAsia" w:ascii="宋体" w:hAnsi="宋体" w:cs="宋体"/>
          <w:color w:val="auto"/>
          <w:kern w:val="21"/>
          <w:szCs w:val="21"/>
          <w:highlight w:val="none"/>
        </w:rPr>
        <w:t>.1试验设备与试验人员</w:t>
      </w:r>
    </w:p>
    <w:bookmarkEnd w:id="326"/>
    <w:bookmarkEnd w:id="327"/>
    <w:bookmarkEnd w:id="328"/>
    <w:bookmarkEnd w:id="329"/>
    <w:bookmarkEnd w:id="330"/>
    <w:bookmarkEnd w:id="331"/>
    <w:bookmarkEnd w:id="332"/>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9</w:t>
      </w:r>
      <w:bookmarkStart w:id="333" w:name="_Toc303539141"/>
      <w:bookmarkStart w:id="334" w:name="_Toc312678023"/>
      <w:bookmarkStart w:id="335" w:name="_Toc304295561"/>
      <w:bookmarkStart w:id="336" w:name="_Toc297123535"/>
      <w:bookmarkStart w:id="337" w:name="_Toc312677497"/>
      <w:bookmarkStart w:id="338" w:name="_Toc300934984"/>
      <w:bookmarkStart w:id="339" w:name="_Toc297216194"/>
      <w:bookmarkStart w:id="340" w:name="_Toc318581174"/>
      <w:r>
        <w:rPr>
          <w:rFonts w:hint="eastAsia" w:ascii="宋体" w:hAnsi="宋体" w:cs="宋体"/>
          <w:color w:val="auto"/>
          <w:kern w:val="21"/>
          <w:szCs w:val="21"/>
          <w:highlight w:val="none"/>
        </w:rPr>
        <w:t>.1.2 试验设备</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施工现场需要配置的试验场所：</w:t>
      </w:r>
      <w:bookmarkEnd w:id="333"/>
      <w:bookmarkEnd w:id="334"/>
      <w:bookmarkEnd w:id="335"/>
      <w:bookmarkEnd w:id="336"/>
      <w:bookmarkEnd w:id="337"/>
      <w:bookmarkEnd w:id="338"/>
      <w:bookmarkEnd w:id="339"/>
      <w:bookmarkStart w:id="341" w:name="_Toc297216195"/>
      <w:bookmarkStart w:id="342" w:name="_Toc304295562"/>
      <w:bookmarkStart w:id="343" w:name="_Toc300934985"/>
      <w:bookmarkStart w:id="344" w:name="_Toc312678024"/>
      <w:bookmarkStart w:id="345" w:name="_Toc312677498"/>
      <w:bookmarkStart w:id="346" w:name="_Toc303539142"/>
      <w:bookmarkStart w:id="347" w:name="_Toc297123536"/>
      <w:r>
        <w:rPr>
          <w:rFonts w:hint="eastAsia" w:ascii="宋体" w:hAnsi="宋体" w:cs="宋体"/>
          <w:color w:val="auto"/>
          <w:kern w:val="21"/>
          <w:szCs w:val="21"/>
          <w:highlight w:val="none"/>
          <w:u w:val="single"/>
        </w:rPr>
        <w:t xml:space="preserve">按有关规定执行 </w:t>
      </w:r>
      <w:r>
        <w:rPr>
          <w:rFonts w:hint="eastAsia" w:ascii="宋体" w:hAnsi="宋体" w:cs="宋体"/>
          <w:color w:val="auto"/>
          <w:kern w:val="21"/>
          <w:szCs w:val="21"/>
          <w:highlight w:val="none"/>
        </w:rPr>
        <w:t xml:space="preserve">。 </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施工现场需要配备的试验设备：</w:t>
      </w:r>
      <w:r>
        <w:rPr>
          <w:rFonts w:hint="eastAsia" w:ascii="宋体" w:hAnsi="宋体" w:cs="宋体"/>
          <w:color w:val="auto"/>
          <w:kern w:val="21"/>
          <w:szCs w:val="21"/>
          <w:highlight w:val="none"/>
          <w:u w:val="single"/>
        </w:rPr>
        <w:t xml:space="preserve">按有关规定执行 </w:t>
      </w:r>
      <w:r>
        <w:rPr>
          <w:rFonts w:hint="eastAsia" w:ascii="宋体" w:hAnsi="宋体" w:cs="宋体"/>
          <w:color w:val="auto"/>
          <w:kern w:val="21"/>
          <w:szCs w:val="21"/>
          <w:highlight w:val="none"/>
        </w:rPr>
        <w:t>。</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施工现场需要具备的其他试验条件：</w:t>
      </w:r>
      <w:r>
        <w:rPr>
          <w:rFonts w:hint="eastAsia" w:ascii="宋体" w:hAnsi="宋体" w:cs="宋体"/>
          <w:color w:val="auto"/>
          <w:kern w:val="21"/>
          <w:szCs w:val="21"/>
          <w:highlight w:val="none"/>
          <w:u w:val="single"/>
        </w:rPr>
        <w:t>按有关规定执行</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348" w:name="_Toc22147"/>
      <w:r>
        <w:rPr>
          <w:rFonts w:hint="eastAsia" w:ascii="宋体" w:hAnsi="宋体" w:cs="宋体"/>
          <w:color w:val="auto"/>
          <w:kern w:val="21"/>
          <w:szCs w:val="21"/>
          <w:highlight w:val="none"/>
        </w:rPr>
        <w:t>9.4 现场工艺试验</w:t>
      </w:r>
      <w:bookmarkEnd w:id="348"/>
      <w:r>
        <w:rPr>
          <w:rFonts w:hint="eastAsia" w:ascii="宋体" w:hAnsi="宋体" w:cs="宋体"/>
          <w:color w:val="auto"/>
          <w:kern w:val="21"/>
          <w:szCs w:val="21"/>
          <w:highlight w:val="none"/>
        </w:rPr>
        <w:t xml:space="preserve"> </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现场工艺试验的有关约定：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bookmarkEnd w:id="340"/>
    <w:bookmarkEnd w:id="341"/>
    <w:bookmarkEnd w:id="342"/>
    <w:bookmarkEnd w:id="343"/>
    <w:bookmarkEnd w:id="344"/>
    <w:bookmarkEnd w:id="345"/>
    <w:bookmarkEnd w:id="346"/>
    <w:bookmarkEnd w:id="347"/>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349" w:name="_Toc351203642"/>
      <w:r>
        <w:rPr>
          <w:rFonts w:hint="eastAsia" w:ascii="宋体" w:hAnsi="宋体" w:eastAsia="宋体" w:cs="宋体"/>
          <w:b w:val="0"/>
          <w:color w:val="auto"/>
          <w:kern w:val="21"/>
          <w:sz w:val="21"/>
          <w:szCs w:val="21"/>
          <w:highlight w:val="none"/>
        </w:rPr>
        <w:t>1</w:t>
      </w:r>
      <w:bookmarkEnd w:id="314"/>
      <w:bookmarkEnd w:id="315"/>
      <w:bookmarkEnd w:id="316"/>
      <w:bookmarkEnd w:id="317"/>
      <w:bookmarkEnd w:id="318"/>
      <w:bookmarkEnd w:id="319"/>
      <w:bookmarkEnd w:id="320"/>
      <w:bookmarkEnd w:id="321"/>
      <w:bookmarkEnd w:id="322"/>
      <w:bookmarkEnd w:id="323"/>
      <w:bookmarkEnd w:id="324"/>
      <w:bookmarkEnd w:id="325"/>
      <w:bookmarkStart w:id="350" w:name="_Toc292559903"/>
      <w:bookmarkStart w:id="351" w:name="_Toc296347192"/>
      <w:bookmarkStart w:id="352" w:name="_Toc297123540"/>
      <w:bookmarkStart w:id="353" w:name="_Toc296944532"/>
      <w:bookmarkStart w:id="354" w:name="_Toc296891233"/>
      <w:bookmarkStart w:id="355" w:name="_Toc296346694"/>
      <w:bookmarkStart w:id="356" w:name="_Toc300934989"/>
      <w:bookmarkStart w:id="357" w:name="_Toc297048379"/>
      <w:bookmarkStart w:id="358" w:name="_Toc296503193"/>
      <w:bookmarkStart w:id="359" w:name="_Toc296891021"/>
      <w:bookmarkStart w:id="360" w:name="_Toc303539146"/>
      <w:bookmarkStart w:id="361" w:name="_Toc292559398"/>
      <w:bookmarkStart w:id="362" w:name="_Toc304295566"/>
      <w:bookmarkStart w:id="363" w:name="_Toc297120493"/>
      <w:bookmarkStart w:id="364" w:name="_Toc297216199"/>
      <w:bookmarkStart w:id="365" w:name="_Toc312678025"/>
      <w:bookmarkStart w:id="366" w:name="_Toc312677499"/>
      <w:bookmarkStart w:id="367" w:name="_Toc267251433"/>
      <w:bookmarkStart w:id="368" w:name="_Toc267251441"/>
      <w:bookmarkStart w:id="369" w:name="_Toc267251437"/>
      <w:bookmarkStart w:id="370" w:name="_Toc267251435"/>
      <w:bookmarkStart w:id="371" w:name="_Toc267251439"/>
      <w:bookmarkStart w:id="372" w:name="_Toc267251440"/>
      <w:bookmarkStart w:id="373" w:name="_Toc267251442"/>
      <w:r>
        <w:rPr>
          <w:rFonts w:hint="eastAsia" w:ascii="宋体" w:hAnsi="宋体" w:eastAsia="宋体" w:cs="宋体"/>
          <w:b w:val="0"/>
          <w:color w:val="auto"/>
          <w:kern w:val="21"/>
          <w:sz w:val="21"/>
          <w:szCs w:val="21"/>
          <w:highlight w:val="none"/>
        </w:rPr>
        <w:t>0. 变更</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bookmarkEnd w:id="365"/>
    <w:bookmarkEnd w:id="366"/>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w:t>
      </w:r>
      <w:bookmarkStart w:id="374" w:name="_Toc296503194"/>
      <w:bookmarkStart w:id="375" w:name="_Toc296891022"/>
      <w:bookmarkStart w:id="376" w:name="_Toc297216200"/>
      <w:bookmarkStart w:id="377" w:name="_Toc297123541"/>
      <w:bookmarkStart w:id="378" w:name="_Toc296347193"/>
      <w:bookmarkStart w:id="379" w:name="_Toc296346695"/>
      <w:bookmarkStart w:id="380" w:name="_Toc296891234"/>
      <w:bookmarkStart w:id="381" w:name="_Toc304295567"/>
      <w:bookmarkStart w:id="382" w:name="_Toc303539147"/>
      <w:bookmarkStart w:id="383" w:name="_Toc297048380"/>
      <w:bookmarkStart w:id="384" w:name="_Toc296944533"/>
      <w:bookmarkStart w:id="385" w:name="_Toc292559904"/>
      <w:bookmarkStart w:id="386" w:name="_Toc297120494"/>
      <w:bookmarkStart w:id="387" w:name="_Toc292559399"/>
      <w:bookmarkStart w:id="388" w:name="_Toc300934990"/>
      <w:bookmarkStart w:id="389" w:name="_Toc312677500"/>
      <w:bookmarkStart w:id="390" w:name="_Toc312678026"/>
      <w:r>
        <w:rPr>
          <w:rFonts w:hint="eastAsia" w:ascii="宋体" w:hAnsi="宋体" w:cs="宋体"/>
          <w:color w:val="auto"/>
          <w:kern w:val="21"/>
          <w:szCs w:val="21"/>
          <w:highlight w:val="none"/>
        </w:rPr>
        <w:t>0.1变更的范围</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关于变更的范围的约定：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391" w:name="_Toc30414"/>
      <w:r>
        <w:rPr>
          <w:rFonts w:hint="eastAsia" w:ascii="宋体" w:hAnsi="宋体" w:cs="宋体"/>
          <w:color w:val="auto"/>
          <w:kern w:val="21"/>
          <w:szCs w:val="21"/>
          <w:highlight w:val="none"/>
        </w:rPr>
        <w:t>10.4 变更估价</w:t>
      </w:r>
      <w:bookmarkEnd w:id="391"/>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10.4.1 变更估价原则</w:t>
      </w:r>
    </w:p>
    <w:p>
      <w:pPr>
        <w:widowControl w:val="0"/>
        <w:adjustRightInd w:val="0"/>
        <w:snapToGrid w:val="0"/>
        <w:spacing w:line="480" w:lineRule="exact"/>
        <w:ind w:firstLine="436" w:firstLineChars="208"/>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 xml:space="preserve">关于变更估价的约定: </w:t>
      </w:r>
      <w:r>
        <w:rPr>
          <w:rFonts w:hint="eastAsia" w:ascii="宋体" w:hAnsi="宋体" w:cs="宋体"/>
          <w:color w:val="auto"/>
          <w:kern w:val="21"/>
          <w:szCs w:val="21"/>
          <w:highlight w:val="none"/>
          <w:u w:val="single"/>
        </w:rPr>
        <w:t xml:space="preserve"> / </w:t>
      </w:r>
    </w:p>
    <w:p>
      <w:pPr>
        <w:widowControl w:val="0"/>
        <w:spacing w:line="480" w:lineRule="exact"/>
        <w:ind w:right="-50" w:rightChars="-24"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10.4.2 变更估价程序</w:t>
      </w:r>
      <w:r>
        <w:rPr>
          <w:rFonts w:hint="eastAsia" w:ascii="宋体" w:hAnsi="宋体" w:cs="宋体"/>
          <w:color w:val="auto"/>
          <w:kern w:val="21"/>
          <w:szCs w:val="21"/>
          <w:highlight w:val="none"/>
          <w:lang w:val="en-US" w:eastAsia="zh-CN"/>
        </w:rPr>
        <w:t xml:space="preserve"> :</w:t>
      </w:r>
      <w:r>
        <w:rPr>
          <w:rFonts w:hint="eastAsia" w:ascii="宋体" w:hAnsi="宋体" w:cs="宋体"/>
          <w:color w:val="auto"/>
          <w:kern w:val="21"/>
          <w:szCs w:val="21"/>
          <w:highlight w:val="none"/>
          <w:u w:val="single"/>
        </w:rPr>
        <w:t>/</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Start w:id="392" w:name="_Toc292559907"/>
      <w:bookmarkStart w:id="393" w:name="_Toc297048383"/>
      <w:bookmarkStart w:id="394" w:name="_Toc297120497"/>
      <w:bookmarkStart w:id="395" w:name="_Toc297216203"/>
      <w:bookmarkStart w:id="396" w:name="_Toc296503197"/>
      <w:bookmarkStart w:id="397" w:name="_Toc297123544"/>
      <w:bookmarkStart w:id="398" w:name="_Toc296891025"/>
      <w:bookmarkStart w:id="399" w:name="_Toc303539150"/>
      <w:bookmarkStart w:id="400" w:name="_Toc296347196"/>
      <w:bookmarkStart w:id="401" w:name="_Toc296944536"/>
      <w:bookmarkStart w:id="402" w:name="_Toc292559402"/>
      <w:bookmarkStart w:id="403" w:name="_Toc296346698"/>
      <w:bookmarkStart w:id="404" w:name="_Toc296891237"/>
      <w:bookmarkStart w:id="405" w:name="_Toc300934993"/>
      <w:bookmarkStart w:id="406" w:name="_Toc312677503"/>
      <w:bookmarkStart w:id="407" w:name="_Toc304295570"/>
      <w:bookmarkStart w:id="408" w:name="_Toc312678029"/>
      <w:r>
        <w:rPr>
          <w:rFonts w:hint="eastAsia" w:ascii="宋体" w:hAnsi="宋体" w:cs="宋体"/>
          <w:color w:val="auto"/>
          <w:kern w:val="21"/>
          <w:szCs w:val="21"/>
          <w:highlight w:val="none"/>
        </w:rPr>
        <w:t>0.5承</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Start w:id="409" w:name="_Toc292559913"/>
      <w:bookmarkStart w:id="410" w:name="_Toc296891243"/>
      <w:bookmarkStart w:id="411" w:name="_Toc296944542"/>
      <w:bookmarkStart w:id="412" w:name="_Toc296347202"/>
      <w:bookmarkStart w:id="413" w:name="_Toc296503203"/>
      <w:bookmarkStart w:id="414" w:name="_Toc292559408"/>
      <w:bookmarkStart w:id="415" w:name="_Toc296346704"/>
      <w:bookmarkStart w:id="416" w:name="_Toc297216204"/>
      <w:bookmarkStart w:id="417" w:name="_Toc296891031"/>
      <w:bookmarkStart w:id="418" w:name="_Toc297123545"/>
      <w:bookmarkStart w:id="419" w:name="_Toc303539151"/>
      <w:bookmarkStart w:id="420" w:name="_Toc297048389"/>
      <w:bookmarkStart w:id="421" w:name="_Toc300934994"/>
      <w:bookmarkStart w:id="422" w:name="_Toc297120503"/>
      <w:r>
        <w:rPr>
          <w:rFonts w:hint="eastAsia" w:ascii="宋体" w:hAnsi="宋体" w:cs="宋体"/>
          <w:color w:val="auto"/>
          <w:kern w:val="21"/>
          <w:szCs w:val="21"/>
          <w:highlight w:val="none"/>
        </w:rPr>
        <w:t>包人的合理化建议</w:t>
      </w:r>
    </w:p>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监理人审查承包人合理化建议的期限：</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发包人审批承包人合理化建议的期限：</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承</w:t>
      </w:r>
      <w:bookmarkStart w:id="423" w:name="_Toc318581175"/>
      <w:bookmarkStart w:id="424" w:name="_Toc297120504"/>
      <w:bookmarkStart w:id="425" w:name="_Toc296347203"/>
      <w:bookmarkStart w:id="426" w:name="_Toc312677504"/>
      <w:bookmarkStart w:id="427" w:name="_Toc296891032"/>
      <w:bookmarkStart w:id="428" w:name="_Toc296944543"/>
      <w:bookmarkStart w:id="429" w:name="_Toc297123546"/>
      <w:bookmarkStart w:id="430" w:name="_Toc297216205"/>
      <w:bookmarkStart w:id="431" w:name="_Toc297048390"/>
      <w:bookmarkStart w:id="432" w:name="_Toc292559409"/>
      <w:bookmarkStart w:id="433" w:name="_Toc296891244"/>
      <w:bookmarkStart w:id="434" w:name="_Toc300934995"/>
      <w:bookmarkStart w:id="435" w:name="_Toc292559914"/>
      <w:bookmarkStart w:id="436" w:name="_Toc296346705"/>
      <w:bookmarkStart w:id="437" w:name="_Toc296503204"/>
      <w:bookmarkStart w:id="438" w:name="_Toc312678030"/>
      <w:bookmarkStart w:id="439" w:name="_Toc304295571"/>
      <w:bookmarkStart w:id="440" w:name="_Toc303539152"/>
      <w:r>
        <w:rPr>
          <w:rFonts w:hint="eastAsia" w:ascii="宋体" w:hAnsi="宋体" w:cs="宋体"/>
          <w:color w:val="auto"/>
          <w:kern w:val="21"/>
          <w:szCs w:val="21"/>
          <w:highlight w:val="none"/>
        </w:rPr>
        <w:t>包人提出的合理化建议降低了合同价格或者提高了工程经济效益的奖励的方法和金额为：</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441" w:name="_Toc22435"/>
      <w:r>
        <w:rPr>
          <w:rFonts w:hint="eastAsia" w:ascii="宋体" w:hAnsi="宋体" w:cs="宋体"/>
          <w:color w:val="auto"/>
          <w:kern w:val="21"/>
          <w:szCs w:val="21"/>
          <w:highlight w:val="none"/>
        </w:rPr>
        <w:t>1</w:t>
      </w:r>
      <w:bookmarkStart w:id="442" w:name="_Toc296891239"/>
      <w:bookmarkStart w:id="443" w:name="_Toc297216207"/>
      <w:bookmarkStart w:id="444" w:name="_Toc296346700"/>
      <w:bookmarkStart w:id="445" w:name="_Toc303539154"/>
      <w:bookmarkStart w:id="446" w:name="_Toc297048385"/>
      <w:bookmarkStart w:id="447" w:name="_Toc297120499"/>
      <w:bookmarkStart w:id="448" w:name="_Toc296891027"/>
      <w:bookmarkStart w:id="449" w:name="_Toc312678033"/>
      <w:bookmarkStart w:id="450" w:name="_Toc300934997"/>
      <w:bookmarkStart w:id="451" w:name="_Toc296944538"/>
      <w:bookmarkStart w:id="452" w:name="_Toc292559404"/>
      <w:bookmarkStart w:id="453" w:name="_Toc312677507"/>
      <w:bookmarkStart w:id="454" w:name="_Toc292559909"/>
      <w:bookmarkStart w:id="455" w:name="_Toc296347198"/>
      <w:bookmarkStart w:id="456" w:name="_Toc304295574"/>
      <w:bookmarkStart w:id="457" w:name="_Toc297123548"/>
      <w:bookmarkStart w:id="458" w:name="_Toc296503199"/>
      <w:r>
        <w:rPr>
          <w:rFonts w:hint="eastAsia" w:ascii="宋体" w:hAnsi="宋体" w:cs="宋体"/>
          <w:color w:val="auto"/>
          <w:kern w:val="21"/>
          <w:szCs w:val="21"/>
          <w:highlight w:val="none"/>
        </w:rPr>
        <w:t>0.7 暂估价</w:t>
      </w:r>
      <w:bookmarkEnd w:id="441"/>
    </w:p>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暂</w:t>
      </w:r>
      <w:bookmarkStart w:id="459" w:name="_Toc318581176"/>
      <w:bookmarkStart w:id="460" w:name="_Toc312677508"/>
      <w:bookmarkStart w:id="461" w:name="_Toc312678034"/>
      <w:r>
        <w:rPr>
          <w:rFonts w:hint="eastAsia" w:ascii="宋体" w:hAnsi="宋体" w:cs="宋体"/>
          <w:color w:val="auto"/>
          <w:kern w:val="21"/>
          <w:szCs w:val="21"/>
          <w:highlight w:val="none"/>
        </w:rPr>
        <w:t>估价材料和工程设备的明细详见附件11：《暂估价一览表》。</w:t>
      </w:r>
    </w:p>
    <w:bookmarkEnd w:id="459"/>
    <w:bookmarkEnd w:id="460"/>
    <w:bookmarkEnd w:id="461"/>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w:t>
      </w:r>
      <w:bookmarkStart w:id="462" w:name="_Toc312678035"/>
      <w:bookmarkStart w:id="463" w:name="_Toc312677509"/>
      <w:bookmarkStart w:id="464" w:name="_Toc318581177"/>
      <w:r>
        <w:rPr>
          <w:rFonts w:hint="eastAsia" w:ascii="宋体" w:hAnsi="宋体" w:cs="宋体"/>
          <w:color w:val="auto"/>
          <w:kern w:val="21"/>
          <w:szCs w:val="21"/>
          <w:highlight w:val="none"/>
        </w:rPr>
        <w:t>0.7.1 依法必须招标的暂估价项目</w:t>
      </w:r>
    </w:p>
    <w:bookmarkEnd w:id="462"/>
    <w:bookmarkEnd w:id="463"/>
    <w:bookmarkEnd w:id="464"/>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对于依法必须招标的暂估价项目的确认和批准采取第</w:t>
      </w:r>
      <w:r>
        <w:rPr>
          <w:rFonts w:hint="eastAsia" w:ascii="宋体" w:hAnsi="宋体" w:cs="宋体"/>
          <w:color w:val="auto"/>
          <w:kern w:val="21"/>
          <w:szCs w:val="21"/>
          <w:highlight w:val="none"/>
          <w:u w:val="single"/>
        </w:rPr>
        <w:t xml:space="preserve">  2  </w:t>
      </w:r>
      <w:r>
        <w:rPr>
          <w:rFonts w:hint="eastAsia" w:ascii="宋体" w:hAnsi="宋体" w:cs="宋体"/>
          <w:color w:val="auto"/>
          <w:kern w:val="21"/>
          <w:szCs w:val="21"/>
          <w:highlight w:val="none"/>
        </w:rPr>
        <w:t>种方式确定。</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10.7.2 不属于依法必须招标的暂估价项目</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对于不属于依法必须招标的暂估价项目的确认和批准采取第</w:t>
      </w:r>
      <w:r>
        <w:rPr>
          <w:rFonts w:hint="eastAsia" w:ascii="宋体" w:hAnsi="宋体" w:cs="宋体"/>
          <w:color w:val="auto"/>
          <w:kern w:val="21"/>
          <w:szCs w:val="21"/>
          <w:highlight w:val="none"/>
          <w:u w:val="single"/>
        </w:rPr>
        <w:t xml:space="preserve"> 1  </w:t>
      </w:r>
      <w:r>
        <w:rPr>
          <w:rFonts w:hint="eastAsia" w:ascii="宋体" w:hAnsi="宋体" w:cs="宋体"/>
          <w:color w:val="auto"/>
          <w:kern w:val="21"/>
          <w:szCs w:val="21"/>
          <w:highlight w:val="none"/>
        </w:rPr>
        <w:t xml:space="preserve"> 种方式确定。</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第3种方式：承包人直接实施的暂估价项目</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承包人直接实施的暂估价项目的约定：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10.8 暂列金额</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合同当事人关于暂列金额使用的约定：</w:t>
      </w:r>
      <w:r>
        <w:rPr>
          <w:rFonts w:hint="eastAsia" w:ascii="宋体" w:hAnsi="宋体" w:cs="宋体"/>
          <w:color w:val="auto"/>
          <w:kern w:val="21"/>
          <w:szCs w:val="21"/>
          <w:highlight w:val="none"/>
          <w:u w:val="single"/>
        </w:rPr>
        <w:t xml:space="preserve"> 签订合同时计入合同总金额，竣工结算时统一核算，发包人根据实际情况，有权决定暂列项目的实施 </w:t>
      </w:r>
      <w:r>
        <w:rPr>
          <w:rFonts w:hint="eastAsia" w:ascii="宋体" w:hAnsi="宋体" w:cs="宋体"/>
          <w:color w:val="auto"/>
          <w:kern w:val="21"/>
          <w:szCs w:val="21"/>
          <w:highlight w:val="none"/>
        </w:rPr>
        <w:t>。</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465" w:name="_Toc351203643"/>
      <w:r>
        <w:rPr>
          <w:rFonts w:hint="eastAsia" w:ascii="宋体" w:hAnsi="宋体" w:eastAsia="宋体" w:cs="宋体"/>
          <w:b w:val="0"/>
          <w:color w:val="auto"/>
          <w:kern w:val="21"/>
          <w:sz w:val="21"/>
          <w:szCs w:val="21"/>
          <w:highlight w:val="none"/>
        </w:rPr>
        <w:t>11. 价格调整</w:t>
      </w:r>
      <w:bookmarkEnd w:id="465"/>
    </w:p>
    <w:p>
      <w:pPr>
        <w:widowControl w:val="0"/>
        <w:spacing w:after="120" w:line="480" w:lineRule="exact"/>
        <w:ind w:firstLine="420" w:firstLineChars="200"/>
        <w:textAlignment w:val="auto"/>
        <w:rPr>
          <w:rFonts w:ascii="宋体" w:hAnsi="宋体" w:cs="宋体"/>
          <w:color w:val="auto"/>
          <w:kern w:val="21"/>
          <w:szCs w:val="21"/>
          <w:highlight w:val="none"/>
        </w:rPr>
      </w:pPr>
      <w:bookmarkStart w:id="466" w:name="_Toc296503201"/>
      <w:bookmarkStart w:id="467" w:name="_Toc297120501"/>
      <w:bookmarkStart w:id="468" w:name="_Toc312678039"/>
      <w:bookmarkStart w:id="469" w:name="_Toc303539157"/>
      <w:bookmarkStart w:id="470" w:name="_Toc292559911"/>
      <w:bookmarkStart w:id="471" w:name="_Toc300935000"/>
      <w:bookmarkStart w:id="472" w:name="_Toc296891029"/>
      <w:bookmarkStart w:id="473" w:name="_Toc296944540"/>
      <w:bookmarkStart w:id="474" w:name="_Toc296891241"/>
      <w:bookmarkStart w:id="475" w:name="_Toc292559406"/>
      <w:bookmarkStart w:id="476" w:name="_Toc296346702"/>
      <w:bookmarkStart w:id="477" w:name="_Toc296347200"/>
      <w:bookmarkStart w:id="478" w:name="_Toc297048387"/>
      <w:bookmarkStart w:id="479" w:name="_Toc297123550"/>
      <w:bookmarkStart w:id="480" w:name="_Toc304295577"/>
      <w:bookmarkStart w:id="481" w:name="_Toc297216209"/>
      <w:r>
        <w:rPr>
          <w:rFonts w:hint="eastAsia" w:ascii="宋体" w:hAnsi="宋体" w:cs="宋体"/>
          <w:color w:val="auto"/>
          <w:kern w:val="21"/>
          <w:szCs w:val="21"/>
          <w:highlight w:val="none"/>
        </w:rPr>
        <w:t>11.1 市场价格波动引起的调整</w:t>
      </w:r>
    </w:p>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市场价格波动是否调整合同价格的约定：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因市场价格波动调整合同价格，采用以下第</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种方式对合同价格进行调整：</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第1种方式：采用价格指数进行价格调整。</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关于各可调因子、定值和变值权重，以及基本价格指数及其来源的约定：</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lang w:val="en-US" w:eastAsia="zh-CN"/>
        </w:rPr>
        <w:t>/</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第2种方式：采用</w:t>
      </w:r>
      <w:r>
        <w:rPr>
          <w:rFonts w:hint="eastAsia" w:ascii="宋体" w:hAnsi="宋体" w:cs="宋体"/>
          <w:b/>
          <w:bCs/>
          <w:color w:val="auto"/>
          <w:kern w:val="21"/>
          <w:szCs w:val="21"/>
          <w:highlight w:val="none"/>
        </w:rPr>
        <w:t>陕西工程造价信息</w:t>
      </w:r>
      <w:r>
        <w:rPr>
          <w:rFonts w:hint="eastAsia" w:ascii="宋体" w:hAnsi="宋体" w:cs="宋体"/>
          <w:color w:val="auto"/>
          <w:kern w:val="21"/>
          <w:szCs w:val="21"/>
          <w:highlight w:val="none"/>
        </w:rPr>
        <w:t>进行价格调整。</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（2）关于基准价格的约定：</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lang w:val="en-US" w:eastAsia="zh-CN"/>
        </w:rPr>
        <w:t>/</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lang w:val="en-US" w:eastAsia="zh-CN"/>
        </w:rPr>
        <w:t>/</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%时，或材料单价跌幅以已标价工程量清单或预算书中载明材料单价为基础超过</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lang w:val="en-US" w:eastAsia="zh-CN"/>
        </w:rPr>
        <w:t>/</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%时，其超过部分据实调整。</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lang w:val="en-US" w:eastAsia="zh-CN"/>
        </w:rPr>
        <w:t>/</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%时，材料单价涨幅以已标价工程量清单或预算书中载明材料单价为基础超过</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lang w:val="en-US" w:eastAsia="zh-CN"/>
        </w:rPr>
        <w:t>/</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%时，其超过部分据实调整。</w:t>
      </w:r>
    </w:p>
    <w:p>
      <w:pPr>
        <w:widowControl w:val="0"/>
        <w:spacing w:line="480" w:lineRule="exact"/>
        <w:ind w:firstLine="645"/>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lang w:val="en-US" w:eastAsia="zh-CN"/>
        </w:rPr>
        <w:t>/</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%时，其超过部分据实调整。</w:t>
      </w:r>
    </w:p>
    <w:p>
      <w:pPr>
        <w:widowControl w:val="0"/>
        <w:spacing w:line="480" w:lineRule="exact"/>
        <w:ind w:firstLine="645"/>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第3种方式：其他价格调整方式：</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bookmarkEnd w:id="367"/>
    <w:bookmarkEnd w:id="368"/>
    <w:bookmarkEnd w:id="369"/>
    <w:bookmarkEnd w:id="370"/>
    <w:bookmarkEnd w:id="371"/>
    <w:bookmarkEnd w:id="372"/>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482" w:name="_Toc296503205"/>
      <w:bookmarkStart w:id="483" w:name="_Toc296347204"/>
      <w:bookmarkStart w:id="484" w:name="_Toc296944544"/>
      <w:bookmarkStart w:id="485" w:name="_Toc297048391"/>
      <w:bookmarkStart w:id="486" w:name="_Toc297120505"/>
      <w:bookmarkStart w:id="487" w:name="_Toc296346706"/>
      <w:bookmarkStart w:id="488" w:name="_Toc292559410"/>
      <w:bookmarkStart w:id="489" w:name="_Toc296891033"/>
      <w:bookmarkStart w:id="490" w:name="_Toc292559915"/>
      <w:bookmarkStart w:id="491" w:name="_Toc296891245"/>
      <w:bookmarkStart w:id="492" w:name="_Toc351203644"/>
      <w:bookmarkStart w:id="493" w:name="_Toc304295579"/>
      <w:bookmarkStart w:id="494" w:name="_Toc312678040"/>
      <w:bookmarkStart w:id="495" w:name="_Toc297216211"/>
      <w:bookmarkStart w:id="496" w:name="_Toc297123552"/>
      <w:bookmarkStart w:id="497" w:name="_Toc303539159"/>
      <w:bookmarkStart w:id="498" w:name="_Toc300935002"/>
      <w:r>
        <w:rPr>
          <w:rFonts w:hint="eastAsia" w:ascii="宋体" w:hAnsi="宋体" w:eastAsia="宋体" w:cs="宋体"/>
          <w:b w:val="0"/>
          <w:color w:val="auto"/>
          <w:kern w:val="21"/>
          <w:sz w:val="21"/>
          <w:szCs w:val="21"/>
          <w:highlight w:val="none"/>
        </w:rPr>
        <w:t xml:space="preserve">12. </w:t>
      </w:r>
      <w:bookmarkEnd w:id="482"/>
      <w:bookmarkEnd w:id="483"/>
      <w:bookmarkEnd w:id="484"/>
      <w:bookmarkEnd w:id="485"/>
      <w:bookmarkEnd w:id="486"/>
      <w:bookmarkEnd w:id="487"/>
      <w:bookmarkEnd w:id="488"/>
      <w:bookmarkEnd w:id="489"/>
      <w:bookmarkEnd w:id="490"/>
      <w:bookmarkEnd w:id="491"/>
      <w:r>
        <w:rPr>
          <w:rFonts w:hint="eastAsia" w:ascii="宋体" w:hAnsi="宋体" w:eastAsia="宋体" w:cs="宋体"/>
          <w:b w:val="0"/>
          <w:color w:val="auto"/>
          <w:kern w:val="21"/>
          <w:sz w:val="21"/>
          <w:szCs w:val="21"/>
          <w:highlight w:val="none"/>
        </w:rPr>
        <w:t>合同价格、计量与支付</w:t>
      </w:r>
      <w:bookmarkEnd w:id="492"/>
    </w:p>
    <w:bookmarkEnd w:id="493"/>
    <w:bookmarkEnd w:id="494"/>
    <w:bookmarkEnd w:id="495"/>
    <w:bookmarkEnd w:id="496"/>
    <w:bookmarkEnd w:id="497"/>
    <w:bookmarkEnd w:id="498"/>
    <w:p>
      <w:pPr>
        <w:widowControl w:val="0"/>
        <w:spacing w:after="120" w:line="480" w:lineRule="exact"/>
        <w:ind w:firstLine="420" w:firstLineChars="200"/>
        <w:textAlignment w:val="auto"/>
        <w:rPr>
          <w:rFonts w:ascii="宋体" w:hAnsi="宋体" w:cs="宋体"/>
          <w:color w:val="auto"/>
          <w:kern w:val="21"/>
          <w:szCs w:val="21"/>
          <w:highlight w:val="none"/>
        </w:rPr>
      </w:pPr>
      <w:bookmarkStart w:id="499" w:name="_Toc292559411"/>
      <w:bookmarkStart w:id="500" w:name="_Toc292559916"/>
      <w:bookmarkStart w:id="501" w:name="_Toc267251461"/>
      <w:bookmarkStart w:id="502" w:name="_Toc296503206"/>
      <w:bookmarkStart w:id="503" w:name="_Toc296346707"/>
      <w:bookmarkStart w:id="504" w:name="_Toc297120506"/>
      <w:bookmarkStart w:id="505" w:name="_Toc296944545"/>
      <w:bookmarkStart w:id="506" w:name="_Toc296891246"/>
      <w:bookmarkStart w:id="507" w:name="_Toc296891034"/>
      <w:bookmarkStart w:id="508" w:name="_Toc296347205"/>
      <w:bookmarkStart w:id="509" w:name="_Toc297048392"/>
      <w:bookmarkStart w:id="510" w:name="_Toc303539160"/>
      <w:bookmarkStart w:id="511" w:name="_Toc297216212"/>
      <w:bookmarkStart w:id="512" w:name="_Toc300935003"/>
      <w:bookmarkStart w:id="513" w:name="_Toc304295580"/>
      <w:bookmarkStart w:id="514" w:name="_Toc297123553"/>
      <w:bookmarkStart w:id="515" w:name="_Toc312678041"/>
      <w:r>
        <w:rPr>
          <w:rFonts w:hint="eastAsia" w:ascii="宋体" w:hAnsi="宋体" w:cs="宋体"/>
          <w:color w:val="auto"/>
          <w:kern w:val="21"/>
          <w:szCs w:val="21"/>
          <w:highlight w:val="none"/>
        </w:rPr>
        <w:t>12.1 合</w:t>
      </w:r>
      <w:bookmarkEnd w:id="499"/>
      <w:bookmarkEnd w:id="500"/>
      <w:bookmarkEnd w:id="501"/>
      <w:r>
        <w:rPr>
          <w:rFonts w:hint="eastAsia" w:ascii="宋体" w:hAnsi="宋体" w:cs="宋体"/>
          <w:color w:val="auto"/>
          <w:kern w:val="21"/>
          <w:szCs w:val="21"/>
          <w:highlight w:val="none"/>
        </w:rPr>
        <w:t>同价</w:t>
      </w:r>
      <w:bookmarkEnd w:id="502"/>
      <w:bookmarkEnd w:id="503"/>
      <w:bookmarkEnd w:id="504"/>
      <w:bookmarkEnd w:id="505"/>
      <w:bookmarkEnd w:id="506"/>
      <w:bookmarkEnd w:id="507"/>
      <w:bookmarkEnd w:id="508"/>
      <w:bookmarkEnd w:id="509"/>
      <w:r>
        <w:rPr>
          <w:rFonts w:hint="eastAsia" w:ascii="宋体" w:hAnsi="宋体" w:cs="宋体"/>
          <w:color w:val="auto"/>
          <w:kern w:val="21"/>
          <w:szCs w:val="21"/>
          <w:highlight w:val="none"/>
        </w:rPr>
        <w:t>格形式</w:t>
      </w:r>
    </w:p>
    <w:bookmarkEnd w:id="510"/>
    <w:bookmarkEnd w:id="511"/>
    <w:bookmarkEnd w:id="512"/>
    <w:bookmarkEnd w:id="513"/>
    <w:bookmarkEnd w:id="514"/>
    <w:bookmarkEnd w:id="515"/>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1、单价合同。</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综合单价包含的风险范围：</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风险费用的计算方法：</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风险范围以外合同价格的调整方法</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2、总价合同。</w:t>
      </w:r>
    </w:p>
    <w:p>
      <w:pPr>
        <w:widowControl w:val="0"/>
        <w:spacing w:line="480" w:lineRule="exact"/>
        <w:ind w:firstLine="420" w:firstLineChars="200"/>
        <w:jc w:val="left"/>
        <w:textAlignment w:val="auto"/>
        <w:rPr>
          <w:rFonts w:hint="eastAsia" w:ascii="宋体" w:hAnsi="宋体" w:eastAsia="宋体" w:cs="宋体"/>
          <w:color w:val="auto"/>
          <w:kern w:val="21"/>
          <w:szCs w:val="21"/>
          <w:highlight w:val="none"/>
          <w:u w:val="single" w:color="auto"/>
        </w:rPr>
      </w:pPr>
      <w:r>
        <w:rPr>
          <w:rFonts w:hint="eastAsia" w:ascii="宋体" w:hAnsi="宋体" w:cs="宋体"/>
          <w:color w:val="auto"/>
          <w:kern w:val="21"/>
          <w:szCs w:val="21"/>
          <w:highlight w:val="none"/>
        </w:rPr>
        <w:t>总价包含的风险范围：</w:t>
      </w:r>
      <w:r>
        <w:rPr>
          <w:rFonts w:hint="eastAsia" w:ascii="宋体" w:hAnsi="宋体" w:eastAsia="宋体" w:cs="宋体"/>
          <w:color w:val="auto"/>
          <w:kern w:val="21"/>
          <w:sz w:val="21"/>
          <w:szCs w:val="21"/>
          <w:highlight w:val="none"/>
          <w:u w:val="single"/>
        </w:rPr>
        <w:t>在施工图约定的范围内</w:t>
      </w:r>
      <w:r>
        <w:rPr>
          <w:rFonts w:hint="eastAsia" w:ascii="宋体" w:hAnsi="宋体" w:eastAsia="宋体" w:cs="宋体"/>
          <w:color w:val="auto"/>
          <w:kern w:val="21"/>
          <w:sz w:val="21"/>
          <w:szCs w:val="21"/>
          <w:highlight w:val="none"/>
          <w:u w:val="single"/>
          <w:lang w:eastAsia="zh-CN"/>
        </w:rPr>
        <w:t>及</w:t>
      </w:r>
      <w:r>
        <w:rPr>
          <w:rFonts w:hint="eastAsia" w:ascii="宋体" w:hAnsi="宋体" w:eastAsia="宋体" w:cs="宋体"/>
          <w:color w:val="auto"/>
          <w:kern w:val="21"/>
          <w:sz w:val="21"/>
          <w:szCs w:val="21"/>
          <w:highlight w:val="none"/>
          <w:u w:val="single"/>
        </w:rPr>
        <w:t>已标价工程量清单</w:t>
      </w:r>
      <w:r>
        <w:rPr>
          <w:rFonts w:hint="eastAsia" w:ascii="宋体" w:hAnsi="宋体" w:eastAsia="宋体" w:cs="宋体"/>
          <w:color w:val="auto"/>
          <w:kern w:val="21"/>
          <w:sz w:val="21"/>
          <w:szCs w:val="21"/>
          <w:highlight w:val="none"/>
          <w:u w:val="single"/>
          <w:lang w:eastAsia="zh-CN"/>
        </w:rPr>
        <w:t>内的工程量增减，签约</w:t>
      </w:r>
      <w:r>
        <w:rPr>
          <w:rFonts w:hint="eastAsia" w:ascii="宋体" w:hAnsi="宋体" w:eastAsia="宋体" w:cs="宋体"/>
          <w:color w:val="auto"/>
          <w:kern w:val="21"/>
          <w:sz w:val="21"/>
          <w:szCs w:val="21"/>
          <w:highlight w:val="none"/>
          <w:u w:val="single"/>
        </w:rPr>
        <w:t>合同价不作调整。</w:t>
      </w:r>
      <w:r>
        <w:rPr>
          <w:rFonts w:hint="eastAsia" w:ascii="宋体" w:hAnsi="宋体" w:eastAsia="宋体" w:cs="宋体"/>
          <w:color w:val="auto"/>
          <w:kern w:val="21"/>
          <w:szCs w:val="21"/>
          <w:highlight w:val="none"/>
          <w:u w:val="single" w:color="auto"/>
        </w:rPr>
        <w:t>工程总造价包含完成全部合同内容及可能涉及的各方面因素、风险和费用， 同时也包括驻地建设费用、</w:t>
      </w:r>
      <w:r>
        <w:rPr>
          <w:rFonts w:hint="eastAsia" w:ascii="宋体" w:hAnsi="宋体" w:eastAsia="宋体" w:cs="宋体"/>
          <w:color w:val="auto"/>
          <w:kern w:val="21"/>
          <w:szCs w:val="21"/>
          <w:highlight w:val="none"/>
          <w:u w:val="single" w:color="auto"/>
          <w:lang w:eastAsia="zh-CN"/>
        </w:rPr>
        <w:t>人工</w:t>
      </w:r>
      <w:r>
        <w:rPr>
          <w:rFonts w:hint="eastAsia" w:ascii="宋体" w:hAnsi="宋体" w:eastAsia="宋体" w:cs="宋体"/>
          <w:color w:val="auto"/>
          <w:kern w:val="21"/>
          <w:szCs w:val="21"/>
          <w:highlight w:val="none"/>
          <w:u w:val="single" w:color="auto"/>
        </w:rPr>
        <w:t>、材料、机械、质检（自检）、安装、维护、缺陷修复、管理、保险、利润等费用，</w:t>
      </w:r>
      <w:r>
        <w:rPr>
          <w:rFonts w:hint="eastAsia" w:ascii="宋体" w:hAnsi="宋体" w:eastAsia="宋体" w:cs="宋体"/>
          <w:color w:val="auto"/>
          <w:kern w:val="21"/>
          <w:szCs w:val="21"/>
          <w:highlight w:val="none"/>
          <w:u w:val="single" w:color="auto"/>
          <w:lang w:eastAsia="zh-CN"/>
        </w:rPr>
        <w:t>招标文件</w:t>
      </w:r>
      <w:r>
        <w:rPr>
          <w:rFonts w:hint="eastAsia" w:ascii="宋体" w:hAnsi="宋体" w:eastAsia="宋体" w:cs="宋体"/>
          <w:color w:val="auto"/>
          <w:kern w:val="21"/>
          <w:szCs w:val="21"/>
          <w:highlight w:val="none"/>
          <w:u w:val="single" w:color="auto"/>
        </w:rPr>
        <w:t>及合同明示或暗示的所有责任、义务、风险。</w:t>
      </w:r>
    </w:p>
    <w:p>
      <w:pPr>
        <w:widowControl w:val="0"/>
        <w:spacing w:line="480" w:lineRule="exact"/>
        <w:ind w:firstLine="420" w:firstLineChars="200"/>
        <w:jc w:val="left"/>
        <w:textAlignment w:val="auto"/>
        <w:rPr>
          <w:rFonts w:hint="eastAsia" w:ascii="宋体" w:hAnsi="宋体" w:cs="宋体"/>
          <w:color w:val="auto"/>
          <w:kern w:val="21"/>
          <w:szCs w:val="21"/>
          <w:highlight w:val="none"/>
        </w:rPr>
      </w:pPr>
      <w:r>
        <w:rPr>
          <w:rFonts w:hint="eastAsia" w:ascii="宋体" w:hAnsi="宋体" w:eastAsia="宋体" w:cs="宋体"/>
          <w:color w:val="auto"/>
          <w:kern w:val="21"/>
          <w:sz w:val="21"/>
          <w:szCs w:val="21"/>
          <w:highlight w:val="none"/>
          <w:u w:val="single"/>
        </w:rPr>
        <w:t>因法律法规、市场变化及政策因素导致的人工费、材料费、机械费的价格浮动；工程造价管理机构的价格调整；本合同通用条款17.1规定以外发生的自然灾害、雨季施工的防雨措施费、停水、停电及停窝工的费用</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风险费用的计算方法：</w:t>
      </w:r>
      <w:r>
        <w:rPr>
          <w:rFonts w:hint="eastAsia" w:ascii="宋体" w:hAnsi="宋体" w:eastAsia="宋体" w:cs="宋体"/>
          <w:color w:val="auto"/>
          <w:kern w:val="21"/>
          <w:sz w:val="21"/>
          <w:szCs w:val="21"/>
          <w:highlight w:val="none"/>
          <w:u w:val="single"/>
        </w:rPr>
        <w:t>在约定的风险范围内</w:t>
      </w:r>
      <w:r>
        <w:rPr>
          <w:rFonts w:hint="eastAsia" w:ascii="宋体" w:hAnsi="宋体" w:eastAsia="宋体" w:cs="宋体"/>
          <w:color w:val="auto"/>
          <w:kern w:val="21"/>
          <w:sz w:val="21"/>
          <w:szCs w:val="21"/>
          <w:highlight w:val="none"/>
          <w:u w:val="single"/>
          <w:lang w:eastAsia="zh-CN"/>
        </w:rPr>
        <w:t>签约</w:t>
      </w:r>
      <w:r>
        <w:rPr>
          <w:rFonts w:hint="eastAsia" w:ascii="宋体" w:hAnsi="宋体" w:eastAsia="宋体" w:cs="宋体"/>
          <w:color w:val="auto"/>
          <w:kern w:val="21"/>
          <w:sz w:val="21"/>
          <w:szCs w:val="21"/>
          <w:highlight w:val="none"/>
          <w:u w:val="single"/>
        </w:rPr>
        <w:t>合同价不再调整</w:t>
      </w:r>
      <w:r>
        <w:rPr>
          <w:rFonts w:hint="eastAsia" w:ascii="宋体" w:hAnsi="宋体" w:cs="宋体"/>
          <w:color w:val="auto"/>
          <w:kern w:val="21"/>
          <w:szCs w:val="21"/>
          <w:highlight w:val="none"/>
        </w:rPr>
        <w:t>。</w:t>
      </w:r>
    </w:p>
    <w:p>
      <w:pPr>
        <w:widowControl w:val="0"/>
        <w:spacing w:line="480" w:lineRule="exact"/>
        <w:ind w:firstLine="420" w:firstLineChars="200"/>
        <w:jc w:val="left"/>
        <w:rPr>
          <w:rFonts w:ascii="宋体" w:hAnsi="宋体" w:cs="宋体"/>
          <w:color w:val="auto"/>
          <w:kern w:val="21"/>
          <w:szCs w:val="21"/>
          <w:highlight w:val="none"/>
        </w:rPr>
      </w:pPr>
      <w:r>
        <w:rPr>
          <w:rFonts w:hint="eastAsia" w:ascii="宋体" w:hAnsi="宋体" w:cs="宋体"/>
          <w:color w:val="auto"/>
          <w:kern w:val="21"/>
          <w:szCs w:val="21"/>
          <w:highlight w:val="none"/>
        </w:rPr>
        <w:t>风险范围以外合同价格的调整方法：</w:t>
      </w:r>
      <w:r>
        <w:rPr>
          <w:rFonts w:hint="eastAsia" w:ascii="宋体" w:hAnsi="宋体" w:cs="宋体"/>
          <w:color w:val="auto"/>
          <w:kern w:val="21"/>
          <w:szCs w:val="21"/>
          <w:highlight w:val="none"/>
          <w:u w:val="single"/>
        </w:rPr>
        <w:t xml:space="preserve">因甲方设计变更应依照招标文件、答疑纪要、设计变更、现场签证、发包人认质认价单进行调整。 </w:t>
      </w:r>
      <w:r>
        <w:rPr>
          <w:rFonts w:hint="eastAsia" w:ascii="宋体" w:hAnsi="宋体" w:cs="宋体"/>
          <w:color w:val="auto"/>
          <w:kern w:val="21"/>
          <w:szCs w:val="21"/>
          <w:highlight w:val="none"/>
        </w:rPr>
        <w:t>。</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3、其他价格方式：</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rPr>
          <w:rFonts w:ascii="宋体" w:hAnsi="宋体" w:cs="宋体"/>
          <w:color w:val="auto"/>
          <w:kern w:val="21"/>
          <w:szCs w:val="21"/>
          <w:highlight w:val="none"/>
        </w:rPr>
      </w:pPr>
      <w:bookmarkStart w:id="516" w:name="_Toc297216213"/>
      <w:bookmarkStart w:id="517" w:name="_Toc312678042"/>
      <w:bookmarkStart w:id="518" w:name="_Toc300935004"/>
      <w:bookmarkStart w:id="519" w:name="_Toc297123554"/>
      <w:bookmarkStart w:id="520" w:name="_Toc303539161"/>
      <w:bookmarkStart w:id="521" w:name="_Toc304295581"/>
      <w:bookmarkStart w:id="522" w:name="_Toc296347206"/>
      <w:bookmarkStart w:id="523" w:name="_Toc297048393"/>
      <w:bookmarkStart w:id="524" w:name="_Toc296944546"/>
      <w:bookmarkStart w:id="525" w:name="_Toc296891247"/>
      <w:bookmarkStart w:id="526" w:name="_Toc292559412"/>
      <w:bookmarkStart w:id="527" w:name="_Toc292559917"/>
      <w:bookmarkStart w:id="528" w:name="_Toc296891035"/>
      <w:bookmarkStart w:id="529" w:name="_Toc296503207"/>
      <w:bookmarkStart w:id="530" w:name="_Toc297120507"/>
      <w:bookmarkStart w:id="531" w:name="_Toc296346708"/>
      <w:r>
        <w:rPr>
          <w:rFonts w:hint="eastAsia" w:ascii="宋体" w:hAnsi="宋体" w:cs="宋体"/>
          <w:color w:val="auto"/>
          <w:kern w:val="21"/>
          <w:szCs w:val="21"/>
          <w:highlight w:val="none"/>
        </w:rPr>
        <w:t>12.2 预付款</w:t>
      </w:r>
    </w:p>
    <w:bookmarkEnd w:id="516"/>
    <w:bookmarkEnd w:id="517"/>
    <w:bookmarkEnd w:id="518"/>
    <w:bookmarkEnd w:id="519"/>
    <w:bookmarkEnd w:id="520"/>
    <w:bookmarkEnd w:id="521"/>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12.2.1预付款的支付</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预付款支付比例或金额：</w:t>
      </w:r>
      <w:r>
        <w:rPr>
          <w:rFonts w:hint="eastAsia" w:ascii="宋体" w:hAnsi="宋体" w:cs="宋体"/>
          <w:color w:val="auto"/>
          <w:kern w:val="21"/>
          <w:szCs w:val="21"/>
          <w:highlight w:val="none"/>
          <w:u w:val="singl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预付款支付期限：</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预付款扣回的方式：</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12.2.2 预付款担保</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承包人提交预付款担保的期限：</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预付款担保的形式为：</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bookmarkEnd w:id="522"/>
    <w:bookmarkEnd w:id="523"/>
    <w:bookmarkEnd w:id="524"/>
    <w:bookmarkEnd w:id="525"/>
    <w:bookmarkEnd w:id="526"/>
    <w:bookmarkEnd w:id="527"/>
    <w:bookmarkEnd w:id="528"/>
    <w:bookmarkEnd w:id="529"/>
    <w:bookmarkEnd w:id="530"/>
    <w:bookmarkEnd w:id="531"/>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12.3 计量</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12.3.1 计量原则</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工程量计算规则：</w:t>
      </w:r>
      <w:r>
        <w:rPr>
          <w:rFonts w:hint="eastAsia" w:ascii="宋体" w:hAnsi="宋体" w:cs="宋体"/>
          <w:color w:val="auto"/>
          <w:kern w:val="21"/>
          <w:szCs w:val="21"/>
          <w:highlight w:val="none"/>
          <w:u w:val="single"/>
        </w:rPr>
        <w:t>执行《陕西省建设工程工程量清单计价规则（2009）》  。</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12.3.2 计量周期</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关于计量周期的约定：</w:t>
      </w:r>
      <w:r>
        <w:rPr>
          <w:rFonts w:hint="eastAsia" w:ascii="宋体" w:hAnsi="宋体" w:cs="宋体"/>
          <w:color w:val="auto"/>
          <w:kern w:val="21"/>
          <w:szCs w:val="21"/>
          <w:highlight w:val="none"/>
          <w:u w:val="single"/>
        </w:rPr>
        <w:t xml:space="preserve">按月进行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12.3.3 单价合同的计量</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关于单价合同计量的约定：</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12.3.4 总价合同的计量</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关于总价合同计量的约定：</w:t>
      </w:r>
      <w:r>
        <w:rPr>
          <w:rFonts w:hint="eastAsia" w:ascii="宋体" w:hAnsi="宋体" w:cs="宋体"/>
          <w:color w:val="auto"/>
          <w:kern w:val="21"/>
          <w:szCs w:val="21"/>
          <w:highlight w:val="none"/>
          <w:u w:val="single"/>
        </w:rPr>
        <w:t>按</w:t>
      </w:r>
      <w:r>
        <w:rPr>
          <w:rFonts w:hint="eastAsia" w:ascii="宋体" w:hAnsi="宋体" w:eastAsia="宋体" w:cs="宋体"/>
          <w:color w:val="auto"/>
          <w:kern w:val="21"/>
          <w:sz w:val="21"/>
          <w:szCs w:val="21"/>
          <w:highlight w:val="none"/>
          <w:u w:val="single"/>
        </w:rPr>
        <w:t>已标价工程量清单</w:t>
      </w:r>
      <w:r>
        <w:rPr>
          <w:rFonts w:hint="eastAsia" w:ascii="宋体" w:hAnsi="宋体" w:eastAsia="宋体" w:cs="宋体"/>
          <w:color w:val="auto"/>
          <w:kern w:val="21"/>
          <w:sz w:val="21"/>
          <w:szCs w:val="21"/>
          <w:highlight w:val="none"/>
          <w:u w:val="single"/>
          <w:lang w:eastAsia="zh-CN"/>
        </w:rPr>
        <w:t>内的工程量</w:t>
      </w:r>
      <w:r>
        <w:rPr>
          <w:rFonts w:hint="eastAsia" w:ascii="宋体" w:hAnsi="宋体" w:cs="宋体"/>
          <w:color w:val="auto"/>
          <w:kern w:val="21"/>
          <w:szCs w:val="21"/>
          <w:highlight w:val="none"/>
          <w:u w:val="single"/>
        </w:rPr>
        <w:t xml:space="preserve">计量，风险外部分按实际完成工程量计量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12.3.5总价合同采用支付分解表计量支付的，是否适用第12.3.4 项〔总价合同的计量〕约定进行计量：</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12.3.6 其他价格形式合同的计量</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其他价格形式的计量方式和程序：</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12.4 工程进度款支付</w:t>
      </w:r>
    </w:p>
    <w:p>
      <w:pPr>
        <w:widowControl w:val="0"/>
        <w:spacing w:line="480" w:lineRule="exact"/>
        <w:ind w:firstLine="420" w:firstLineChars="200"/>
        <w:jc w:val="left"/>
        <w:textAlignment w:val="auto"/>
        <w:rPr>
          <w:rFonts w:ascii="宋体" w:hAnsi="宋体" w:cs="宋体"/>
          <w:color w:val="auto"/>
          <w:kern w:val="21"/>
          <w:szCs w:val="21"/>
          <w:highlight w:val="none"/>
        </w:rPr>
      </w:pPr>
      <w:bookmarkStart w:id="532" w:name="_Toc296346712"/>
      <w:bookmarkStart w:id="533" w:name="_Toc296503211"/>
      <w:bookmarkStart w:id="534" w:name="_Toc296891251"/>
      <w:bookmarkStart w:id="535" w:name="_Toc297048397"/>
      <w:bookmarkStart w:id="536" w:name="_Toc297216215"/>
      <w:bookmarkStart w:id="537" w:name="_Toc296891039"/>
      <w:bookmarkStart w:id="538" w:name="_Toc300935006"/>
      <w:bookmarkStart w:id="539" w:name="_Toc297123556"/>
      <w:bookmarkStart w:id="540" w:name="_Toc296944550"/>
      <w:bookmarkStart w:id="541" w:name="_Toc292559416"/>
      <w:bookmarkStart w:id="542" w:name="_Toc303539163"/>
      <w:bookmarkStart w:id="543" w:name="_Toc292559921"/>
      <w:bookmarkStart w:id="544" w:name="_Toc296347210"/>
      <w:bookmarkStart w:id="545" w:name="_Toc297120511"/>
      <w:r>
        <w:rPr>
          <w:rFonts w:hint="eastAsia" w:ascii="宋体" w:hAnsi="宋体" w:cs="宋体"/>
          <w:color w:val="auto"/>
          <w:kern w:val="21"/>
          <w:szCs w:val="21"/>
          <w:highlight w:val="none"/>
        </w:rPr>
        <w:t>12.4.1 付款周期</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关于付款周期的约定：</w:t>
      </w:r>
      <w:r>
        <w:rPr>
          <w:rFonts w:hint="eastAsia" w:ascii="宋体" w:hAnsi="宋体" w:cs="宋体"/>
          <w:color w:val="auto"/>
          <w:kern w:val="21"/>
          <w:szCs w:val="21"/>
          <w:highlight w:val="none"/>
          <w:u w:val="single"/>
        </w:rPr>
        <w:t>按月完成进度80%支付。</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12.4.2 进度付款申请单的编制</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关于进度付款申请单编制的约定：按</w:t>
      </w:r>
      <w:r>
        <w:rPr>
          <w:rFonts w:hint="eastAsia" w:ascii="宋体" w:hAnsi="宋体" w:cs="宋体"/>
          <w:color w:val="auto"/>
          <w:kern w:val="21"/>
          <w:szCs w:val="21"/>
          <w:highlight w:val="none"/>
          <w:u w:val="single"/>
        </w:rPr>
        <w:t>照付款节点时完成的工程量并经监理签字确认。</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Pr>
          <w:rFonts w:hint="eastAsia" w:ascii="宋体" w:hAnsi="宋体" w:cs="宋体"/>
          <w:color w:val="auto"/>
          <w:kern w:val="21"/>
          <w:szCs w:val="21"/>
          <w:highlight w:val="none"/>
        </w:rPr>
        <w:t>2.4.3 进度付款申请单的提交</w:t>
      </w:r>
    </w:p>
    <w:p>
      <w:pPr>
        <w:widowControl w:val="0"/>
        <w:spacing w:line="480" w:lineRule="exact"/>
        <w:ind w:firstLine="420" w:firstLineChars="200"/>
        <w:jc w:val="left"/>
        <w:textAlignment w:val="auto"/>
        <w:rPr>
          <w:rFonts w:ascii="宋体" w:hAnsi="宋体" w:cs="宋体"/>
          <w:color w:val="FF0000"/>
          <w:kern w:val="21"/>
          <w:szCs w:val="21"/>
          <w:highlight w:val="none"/>
          <w:u w:val="single"/>
        </w:rPr>
      </w:pPr>
      <w:r>
        <w:rPr>
          <w:rFonts w:hint="eastAsia" w:ascii="宋体" w:hAnsi="宋体" w:cs="宋体"/>
          <w:color w:val="auto"/>
          <w:kern w:val="21"/>
          <w:szCs w:val="21"/>
          <w:highlight w:val="none"/>
        </w:rPr>
        <w:t>（1）单价合同进度付款申请单提交的约定：</w:t>
      </w:r>
      <w:r>
        <w:rPr>
          <w:rFonts w:hint="eastAsia" w:ascii="宋体" w:hAnsi="宋体" w:cs="宋体"/>
          <w:color w:val="auto"/>
          <w:kern w:val="21"/>
          <w:szCs w:val="21"/>
          <w:highlight w:val="none"/>
          <w:u w:val="single"/>
        </w:rPr>
        <w:t xml:space="preserve"> /。</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（2）总价合同进度付款申请单提交的约定：</w:t>
      </w:r>
      <w:r>
        <w:rPr>
          <w:rFonts w:hint="eastAsia" w:ascii="宋体" w:hAnsi="宋体" w:cs="宋体"/>
          <w:color w:val="auto"/>
          <w:kern w:val="21"/>
          <w:szCs w:val="21"/>
          <w:highlight w:val="none"/>
          <w:u w:val="single"/>
        </w:rPr>
        <w:t xml:space="preserve"> 按照实际工程量价款80%进行结算支付，累计支付至合同款项的80%时暂停支付，待竣工验收合格后一周内支付至合同总价的85%（含工程预付款和进度款），工程结算审计后支付至结算总价的97%，余3%待保修期满后30天内无质量问题一次付清。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（3）其他价格形式合同进度付款申请单提交的约定：</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12.4.4 进度款审核和支付</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（1）监理人审查并报送发包人的期限：</w:t>
      </w:r>
      <w:r>
        <w:rPr>
          <w:rFonts w:hint="eastAsia" w:ascii="宋体" w:hAnsi="宋体" w:cs="宋体"/>
          <w:color w:val="auto"/>
          <w:kern w:val="21"/>
          <w:szCs w:val="21"/>
          <w:highlight w:val="none"/>
          <w:u w:val="single"/>
        </w:rPr>
        <w:t>7天 。</w:t>
      </w:r>
    </w:p>
    <w:p>
      <w:pPr>
        <w:widowControl w:val="0"/>
        <w:spacing w:line="480" w:lineRule="exact"/>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发包人完成审批并签发进度款支付证书的期限：</w:t>
      </w:r>
      <w:r>
        <w:rPr>
          <w:rFonts w:hint="eastAsia" w:ascii="宋体" w:hAnsi="宋体" w:cs="宋体"/>
          <w:color w:val="auto"/>
          <w:kern w:val="21"/>
          <w:szCs w:val="21"/>
          <w:highlight w:val="none"/>
          <w:u w:val="single"/>
        </w:rPr>
        <w:t>7天 。</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（2）发包人支付进度款的期限：</w:t>
      </w:r>
      <w:r>
        <w:rPr>
          <w:rFonts w:hint="eastAsia" w:ascii="宋体" w:hAnsi="宋体" w:cs="宋体"/>
          <w:color w:val="auto"/>
          <w:kern w:val="21"/>
          <w:szCs w:val="21"/>
          <w:highlight w:val="none"/>
          <w:u w:val="single"/>
        </w:rPr>
        <w:t xml:space="preserve"> 完成进度款审批手续并开具等额发票后7天内支付 。</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发包人逾期支付进度款的违约金的计算方式：</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525" w:firstLineChars="25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12.4.6 支付分解表的编制</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2、总价合同支付分解表的编制与审批：</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3、单价合同的总价项目支付分解表的编制与审批：</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bookmarkEnd w:id="373"/>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546" w:name="_Toc351203645"/>
      <w:bookmarkStart w:id="547" w:name="_Toc292559929"/>
      <w:bookmarkStart w:id="548" w:name="_Toc296346720"/>
      <w:bookmarkStart w:id="549" w:name="_Toc296891259"/>
      <w:bookmarkStart w:id="550" w:name="_Toc297120519"/>
      <w:bookmarkStart w:id="551" w:name="_Toc297123564"/>
      <w:bookmarkStart w:id="552" w:name="_Toc296503219"/>
      <w:bookmarkStart w:id="553" w:name="_Toc304295593"/>
      <w:bookmarkStart w:id="554" w:name="_Toc292559424"/>
      <w:bookmarkStart w:id="555" w:name="_Toc303539172"/>
      <w:bookmarkStart w:id="556" w:name="_Toc297216223"/>
      <w:bookmarkStart w:id="557" w:name="_Toc296944558"/>
      <w:bookmarkStart w:id="558" w:name="_Toc297048405"/>
      <w:bookmarkStart w:id="559" w:name="_Toc296891047"/>
      <w:bookmarkStart w:id="560" w:name="_Toc312678053"/>
      <w:bookmarkStart w:id="561" w:name="_Toc300935015"/>
      <w:bookmarkStart w:id="562" w:name="_Toc296347218"/>
      <w:r>
        <w:rPr>
          <w:rFonts w:hint="eastAsia" w:ascii="宋体" w:hAnsi="宋体" w:eastAsia="宋体" w:cs="宋体"/>
          <w:b w:val="0"/>
          <w:color w:val="auto"/>
          <w:kern w:val="21"/>
          <w:sz w:val="21"/>
          <w:szCs w:val="21"/>
          <w:highlight w:val="none"/>
        </w:rPr>
        <w:t>13. 验收和工程试车</w:t>
      </w:r>
      <w:bookmarkEnd w:id="546"/>
    </w:p>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13.1 分部分项工程验收</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13.1.2监理人不能按时进行验收时，应提前</w:t>
      </w:r>
      <w:r>
        <w:rPr>
          <w:rFonts w:hint="eastAsia" w:ascii="宋体" w:hAnsi="宋体" w:cs="宋体"/>
          <w:color w:val="auto"/>
          <w:kern w:val="21"/>
          <w:szCs w:val="21"/>
          <w:highlight w:val="none"/>
          <w:u w:val="single"/>
        </w:rPr>
        <w:t xml:space="preserve"> 24  </w:t>
      </w:r>
      <w:r>
        <w:rPr>
          <w:rFonts w:hint="eastAsia" w:ascii="宋体" w:hAnsi="宋体" w:cs="宋体"/>
          <w:color w:val="auto"/>
          <w:kern w:val="21"/>
          <w:szCs w:val="21"/>
          <w:highlight w:val="none"/>
        </w:rPr>
        <w:t>小时提交书面延期要求。</w:t>
      </w:r>
    </w:p>
    <w:p>
      <w:pPr>
        <w:widowControl w:val="0"/>
        <w:spacing w:line="480" w:lineRule="exact"/>
        <w:ind w:firstLine="420" w:firstLineChars="200"/>
        <w:jc w:val="left"/>
        <w:textAlignment w:val="auto"/>
        <w:rPr>
          <w:rFonts w:ascii="宋体" w:hAnsi="宋体" w:cs="宋体"/>
          <w:b/>
          <w:color w:val="auto"/>
          <w:kern w:val="21"/>
          <w:szCs w:val="21"/>
          <w:highlight w:val="none"/>
        </w:rPr>
      </w:pPr>
      <w:r>
        <w:rPr>
          <w:rFonts w:hint="eastAsia" w:ascii="宋体" w:hAnsi="宋体" w:cs="宋体"/>
          <w:color w:val="auto"/>
          <w:kern w:val="21"/>
          <w:szCs w:val="21"/>
          <w:highlight w:val="none"/>
        </w:rPr>
        <w:t>关于延期最长不得超过：</w:t>
      </w:r>
      <w:r>
        <w:rPr>
          <w:rFonts w:hint="eastAsia" w:ascii="宋体" w:hAnsi="宋体" w:cs="宋体"/>
          <w:color w:val="auto"/>
          <w:kern w:val="21"/>
          <w:szCs w:val="21"/>
          <w:highlight w:val="none"/>
          <w:u w:val="single"/>
        </w:rPr>
        <w:t xml:space="preserve"> 24  </w:t>
      </w:r>
      <w:r>
        <w:rPr>
          <w:rFonts w:hint="eastAsia" w:ascii="宋体" w:hAnsi="宋体" w:cs="宋体"/>
          <w:color w:val="auto"/>
          <w:kern w:val="21"/>
          <w:szCs w:val="21"/>
          <w:highlight w:val="none"/>
        </w:rPr>
        <w:t>小时。</w:t>
      </w:r>
    </w:p>
    <w:p>
      <w:pPr>
        <w:widowControl w:val="0"/>
        <w:spacing w:after="120" w:line="480" w:lineRule="exact"/>
        <w:ind w:firstLine="420" w:firstLineChars="200"/>
        <w:textAlignment w:val="auto"/>
        <w:rPr>
          <w:rFonts w:ascii="宋体" w:hAnsi="宋体" w:cs="宋体"/>
          <w:color w:val="auto"/>
          <w:kern w:val="21"/>
          <w:szCs w:val="21"/>
          <w:highlight w:val="none"/>
        </w:rPr>
      </w:pPr>
      <w:bookmarkStart w:id="563" w:name="_Toc296944562"/>
      <w:bookmarkStart w:id="564" w:name="_Toc297048409"/>
      <w:bookmarkStart w:id="565" w:name="_Toc303539173"/>
      <w:bookmarkStart w:id="566" w:name="_Toc312678056"/>
      <w:bookmarkStart w:id="567" w:name="_Toc292559933"/>
      <w:bookmarkStart w:id="568" w:name="_Toc296346724"/>
      <w:bookmarkStart w:id="569" w:name="_Toc304295596"/>
      <w:bookmarkStart w:id="570" w:name="_Toc296891263"/>
      <w:bookmarkStart w:id="571" w:name="_Toc296891051"/>
      <w:bookmarkStart w:id="572" w:name="_Toc296347222"/>
      <w:bookmarkStart w:id="573" w:name="_Toc297120523"/>
      <w:bookmarkStart w:id="574" w:name="_Toc292559428"/>
      <w:bookmarkStart w:id="575" w:name="_Toc297216224"/>
      <w:bookmarkStart w:id="576" w:name="_Toc297123565"/>
      <w:bookmarkStart w:id="577" w:name="_Toc300935016"/>
      <w:bookmarkStart w:id="578" w:name="_Toc296503223"/>
      <w:bookmarkStart w:id="579" w:name="_Toc267251473"/>
      <w:bookmarkStart w:id="580" w:name="_Toc267251475"/>
      <w:bookmarkStart w:id="581" w:name="_Toc267251472"/>
      <w:bookmarkStart w:id="582" w:name="_Toc267251470"/>
      <w:bookmarkStart w:id="583" w:name="_Toc267251471"/>
      <w:bookmarkStart w:id="584" w:name="_Toc267251474"/>
      <w:bookmarkStart w:id="585" w:name="_Toc267251476"/>
      <w:r>
        <w:rPr>
          <w:rFonts w:hint="eastAsia" w:ascii="宋体" w:hAnsi="宋体" w:cs="宋体"/>
          <w:color w:val="auto"/>
          <w:kern w:val="21"/>
          <w:szCs w:val="21"/>
          <w:highlight w:val="none"/>
        </w:rPr>
        <w:t>13.2 竣工验收</w:t>
      </w:r>
    </w:p>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Pr>
        <w:widowControl w:val="0"/>
        <w:spacing w:line="480" w:lineRule="exact"/>
        <w:ind w:firstLine="420" w:firstLineChars="200"/>
        <w:jc w:val="left"/>
        <w:textAlignment w:val="auto"/>
        <w:rPr>
          <w:rFonts w:ascii="宋体" w:hAnsi="宋体" w:cs="宋体"/>
          <w:color w:val="auto"/>
          <w:kern w:val="21"/>
          <w:szCs w:val="21"/>
          <w:highlight w:val="none"/>
        </w:rPr>
      </w:pPr>
      <w:bookmarkStart w:id="586" w:name="_Toc280868704"/>
      <w:bookmarkStart w:id="587" w:name="_Toc280868705"/>
      <w:bookmarkStart w:id="588" w:name="_Toc280868706"/>
      <w:bookmarkStart w:id="589" w:name="_Toc280868707"/>
      <w:bookmarkStart w:id="590" w:name="_Toc280868708"/>
      <w:bookmarkStart w:id="591" w:name="_Toc280868709"/>
      <w:r>
        <w:rPr>
          <w:rFonts w:hint="eastAsia" w:ascii="宋体" w:hAnsi="宋体" w:cs="宋体"/>
          <w:color w:val="auto"/>
          <w:kern w:val="21"/>
          <w:szCs w:val="21"/>
          <w:highlight w:val="none"/>
        </w:rPr>
        <w:t>13.2.2竣工验收程序</w:t>
      </w:r>
    </w:p>
    <w:bookmarkEnd w:id="586"/>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关于竣工验收程序的约定：</w:t>
      </w:r>
      <w:r>
        <w:rPr>
          <w:rFonts w:hint="eastAsia" w:ascii="宋体" w:hAnsi="宋体" w:cs="宋体"/>
          <w:color w:val="auto"/>
          <w:kern w:val="21"/>
          <w:szCs w:val="21"/>
          <w:highlight w:val="none"/>
          <w:u w:val="single"/>
        </w:rPr>
        <w:t xml:space="preserve">执行通用条款 </w:t>
      </w:r>
    </w:p>
    <w:p>
      <w:pPr>
        <w:widowControl w:val="0"/>
        <w:spacing w:line="480" w:lineRule="exact"/>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发包人不按照本项约定组织竣工验收、颁发工程接收证书的违约金的计算方法：</w:t>
      </w:r>
      <w:r>
        <w:rPr>
          <w:rFonts w:hint="eastAsia" w:ascii="宋体" w:hAnsi="宋体" w:cs="宋体"/>
          <w:color w:val="auto"/>
          <w:kern w:val="21"/>
          <w:szCs w:val="21"/>
          <w:highlight w:val="none"/>
          <w:u w:val="single"/>
        </w:rPr>
        <w:t>执行通用条款 。</w:t>
      </w:r>
    </w:p>
    <w:bookmarkEnd w:id="587"/>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13.2.5移交、接收全部与部分工程</w:t>
      </w:r>
    </w:p>
    <w:bookmarkEnd w:id="588"/>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承包人向发包人移交工程的期限：</w:t>
      </w:r>
      <w:r>
        <w:rPr>
          <w:rFonts w:hint="eastAsia" w:ascii="宋体" w:hAnsi="宋体" w:cs="宋体"/>
          <w:color w:val="auto"/>
          <w:kern w:val="21"/>
          <w:szCs w:val="21"/>
          <w:highlight w:val="none"/>
          <w:u w:val="single"/>
        </w:rPr>
        <w:t>验收整改合格后7天内 。</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发包人未按本合同约定接收全部或部分工程的，违约金的计算方法为：</w:t>
      </w:r>
      <w:r>
        <w:rPr>
          <w:rFonts w:hint="eastAsia" w:ascii="宋体" w:hAnsi="宋体" w:cs="宋体"/>
          <w:color w:val="auto"/>
          <w:kern w:val="21"/>
          <w:szCs w:val="21"/>
          <w:highlight w:val="none"/>
          <w:u w:val="single"/>
        </w:rPr>
        <w:t>执行通用条款 。</w:t>
      </w:r>
    </w:p>
    <w:bookmarkEnd w:id="589"/>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承包人未按时移交工程的，违约金的计算方法为：</w:t>
      </w:r>
      <w:r>
        <w:rPr>
          <w:rFonts w:hint="eastAsia" w:ascii="宋体" w:hAnsi="宋体" w:cs="宋体"/>
          <w:color w:val="auto"/>
          <w:kern w:val="21"/>
          <w:szCs w:val="21"/>
          <w:highlight w:val="none"/>
          <w:u w:val="single"/>
        </w:rPr>
        <w:t xml:space="preserve"> 逾期一天按照合同金额的万分之三执行。</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13.3 工程试车</w:t>
      </w:r>
    </w:p>
    <w:bookmarkEnd w:id="590"/>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13.3.1 试车程序</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工程试车内容：</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（1）单机无负荷试车费用由</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承担；</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（2）无负荷联动试车费用由</w:t>
      </w:r>
      <w:r>
        <w:rPr>
          <w:rFonts w:hint="eastAsia" w:ascii="宋体" w:hAnsi="宋体" w:cs="宋体"/>
          <w:color w:val="auto"/>
          <w:kern w:val="21"/>
          <w:szCs w:val="21"/>
          <w:highlight w:val="none"/>
          <w:u w:val="single"/>
        </w:rPr>
        <w:t xml:space="preserve">承包人 </w:t>
      </w:r>
      <w:r>
        <w:rPr>
          <w:rFonts w:hint="eastAsia" w:ascii="宋体" w:hAnsi="宋体" w:cs="宋体"/>
          <w:color w:val="auto"/>
          <w:kern w:val="21"/>
          <w:szCs w:val="21"/>
          <w:highlight w:val="none"/>
        </w:rPr>
        <w:t>承担。</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13.3.3 投料试车</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关于投料试车相关事项的约定：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592" w:name="_Toc27124"/>
      <w:r>
        <w:rPr>
          <w:rFonts w:hint="eastAsia" w:ascii="宋体" w:hAnsi="宋体" w:cs="宋体"/>
          <w:color w:val="auto"/>
          <w:kern w:val="21"/>
          <w:szCs w:val="21"/>
          <w:highlight w:val="none"/>
        </w:rPr>
        <w:t>13.6 竣工退场</w:t>
      </w:r>
      <w:bookmarkEnd w:id="592"/>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13.6.1 竣工退场</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承包人完成竣工退场的期限：</w:t>
      </w:r>
      <w:r>
        <w:rPr>
          <w:rFonts w:hint="eastAsia" w:ascii="宋体" w:hAnsi="宋体" w:cs="宋体"/>
          <w:color w:val="auto"/>
          <w:kern w:val="21"/>
          <w:szCs w:val="21"/>
          <w:highlight w:val="none"/>
          <w:u w:val="single"/>
        </w:rPr>
        <w:t xml:space="preserve"> 验收整改合格后15日内 </w:t>
      </w:r>
      <w:r>
        <w:rPr>
          <w:rFonts w:hint="eastAsia" w:ascii="宋体" w:hAnsi="宋体" w:cs="宋体"/>
          <w:color w:val="auto"/>
          <w:kern w:val="21"/>
          <w:szCs w:val="21"/>
          <w:highlight w:val="none"/>
        </w:rPr>
        <w:t>。</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593" w:name="_Toc351203646"/>
      <w:r>
        <w:rPr>
          <w:rFonts w:hint="eastAsia" w:ascii="宋体" w:hAnsi="宋体" w:eastAsia="宋体" w:cs="宋体"/>
          <w:b w:val="0"/>
          <w:color w:val="auto"/>
          <w:kern w:val="21"/>
          <w:sz w:val="21"/>
          <w:szCs w:val="21"/>
          <w:highlight w:val="none"/>
        </w:rPr>
        <w:t>14. 竣工结算</w:t>
      </w:r>
      <w:bookmarkEnd w:id="593"/>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14.1 竣工结算申请</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承包人提交竣工结算申请单的期限：</w:t>
      </w:r>
      <w:r>
        <w:rPr>
          <w:rFonts w:hint="eastAsia" w:ascii="宋体" w:hAnsi="宋体" w:cs="宋体"/>
          <w:color w:val="auto"/>
          <w:kern w:val="21"/>
          <w:szCs w:val="21"/>
          <w:highlight w:val="none"/>
          <w:u w:val="single"/>
        </w:rPr>
        <w:t>为竣工验收合格后28日内</w:t>
      </w:r>
      <w:r>
        <w:rPr>
          <w:rFonts w:hint="eastAsia" w:ascii="宋体" w:hAnsi="宋体" w:cs="宋体"/>
          <w:color w:val="auto"/>
          <w:kern w:val="21"/>
          <w:szCs w:val="21"/>
          <w:highlight w:val="none"/>
        </w:rPr>
        <w:t>。</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竣工结算申请单应包括的内容：</w:t>
      </w:r>
      <w:r>
        <w:rPr>
          <w:rFonts w:hint="eastAsia" w:ascii="宋体" w:hAnsi="宋体" w:cs="宋体"/>
          <w:color w:val="auto"/>
          <w:kern w:val="21"/>
          <w:szCs w:val="21"/>
          <w:highlight w:val="none"/>
          <w:u w:val="single"/>
        </w:rPr>
        <w:t>执行通用条款</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594" w:name="_Toc26307"/>
      <w:r>
        <w:rPr>
          <w:rFonts w:hint="eastAsia" w:ascii="宋体" w:hAnsi="宋体" w:cs="宋体"/>
          <w:color w:val="auto"/>
          <w:kern w:val="21"/>
          <w:szCs w:val="21"/>
          <w:highlight w:val="none"/>
        </w:rPr>
        <w:t>14.2 竣工结算审核</w:t>
      </w:r>
      <w:bookmarkEnd w:id="594"/>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发包人审批竣工付款申请单的期限：</w:t>
      </w:r>
      <w:r>
        <w:rPr>
          <w:rFonts w:hint="eastAsia" w:ascii="宋体" w:hAnsi="宋体" w:cs="宋体"/>
          <w:color w:val="auto"/>
          <w:kern w:val="21"/>
          <w:szCs w:val="21"/>
          <w:highlight w:val="none"/>
          <w:u w:val="single"/>
        </w:rPr>
        <w:t xml:space="preserve"> 完成竣工结算审核后，承包人提交竣工付款申请15日内。</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发包人完成竣工付款的期限：</w:t>
      </w:r>
      <w:r>
        <w:rPr>
          <w:rFonts w:hint="eastAsia" w:ascii="宋体" w:hAnsi="宋体" w:cs="宋体"/>
          <w:color w:val="auto"/>
          <w:kern w:val="21"/>
          <w:szCs w:val="21"/>
          <w:highlight w:val="none"/>
          <w:u w:val="single"/>
        </w:rPr>
        <w:t xml:space="preserve">批准竣工付款申请后15日内 </w:t>
      </w:r>
      <w:r>
        <w:rPr>
          <w:rFonts w:hint="eastAsia" w:ascii="宋体" w:hAnsi="宋体" w:cs="宋体"/>
          <w:color w:val="auto"/>
          <w:kern w:val="21"/>
          <w:szCs w:val="21"/>
          <w:highlight w:val="none"/>
        </w:rPr>
        <w:t>。</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关于竣工付款证书异议部分复核的方式和程序：待异议解决后一并支付。</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14.4 最终结清</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14.4.1 最终结清申请单</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承包人提交最终结清申请单的份数：</w:t>
      </w:r>
      <w:r>
        <w:rPr>
          <w:rFonts w:hint="eastAsia" w:ascii="宋体" w:hAnsi="宋体" w:cs="宋体"/>
          <w:color w:val="auto"/>
          <w:kern w:val="21"/>
          <w:szCs w:val="21"/>
          <w:highlight w:val="none"/>
          <w:u w:val="single"/>
        </w:rPr>
        <w:t xml:space="preserve">4份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承包人提交最终结算申请单的期限：</w:t>
      </w:r>
      <w:r>
        <w:rPr>
          <w:rFonts w:hint="eastAsia" w:ascii="宋体" w:hAnsi="宋体" w:cs="宋体"/>
          <w:color w:val="auto"/>
          <w:kern w:val="21"/>
          <w:szCs w:val="21"/>
          <w:highlight w:val="none"/>
          <w:u w:val="single"/>
        </w:rPr>
        <w:t xml:space="preserve"> 工程竣工后28天内  。 </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u w:val="single"/>
        </w:rPr>
        <w:t>14.4.2 最终结清证书和支付</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（1）发包人完成最终结清申请单的审批并颁发最终结清证书的期限：</w:t>
      </w:r>
      <w:r>
        <w:rPr>
          <w:rFonts w:hint="eastAsia" w:ascii="宋体" w:hAnsi="宋体" w:cs="宋体"/>
          <w:color w:val="auto"/>
          <w:kern w:val="21"/>
          <w:szCs w:val="21"/>
          <w:highlight w:val="none"/>
          <w:u w:val="single"/>
        </w:rPr>
        <w:t>收到最终结清申请单28天内  。</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（2）发包人完成支付的期限：</w:t>
      </w:r>
      <w:r>
        <w:rPr>
          <w:rFonts w:hint="eastAsia" w:ascii="宋体" w:hAnsi="宋体" w:cs="宋体"/>
          <w:color w:val="auto"/>
          <w:kern w:val="21"/>
          <w:szCs w:val="21"/>
          <w:highlight w:val="none"/>
          <w:u w:val="single"/>
        </w:rPr>
        <w:t xml:space="preserve"> 发出最终结清证书14天内 。</w:t>
      </w:r>
    </w:p>
    <w:bookmarkEnd w:id="579"/>
    <w:bookmarkEnd w:id="580"/>
    <w:bookmarkEnd w:id="581"/>
    <w:bookmarkEnd w:id="582"/>
    <w:bookmarkEnd w:id="583"/>
    <w:bookmarkEnd w:id="584"/>
    <w:bookmarkEnd w:id="585"/>
    <w:bookmarkEnd w:id="591"/>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595" w:name="_Toc351203647"/>
      <w:bookmarkStart w:id="596" w:name="_Toc267251483"/>
      <w:bookmarkStart w:id="597" w:name="_Toc267251484"/>
      <w:bookmarkStart w:id="598" w:name="_Toc267251482"/>
      <w:bookmarkStart w:id="599" w:name="_Toc267251485"/>
      <w:bookmarkStart w:id="600" w:name="_Toc267251488"/>
      <w:bookmarkStart w:id="601" w:name="_Toc267251486"/>
      <w:bookmarkStart w:id="602" w:name="_Toc267251489"/>
      <w:bookmarkStart w:id="603" w:name="_Toc267251490"/>
      <w:bookmarkStart w:id="604" w:name="_Toc267251495"/>
      <w:bookmarkStart w:id="605" w:name="_Toc267251497"/>
      <w:bookmarkStart w:id="606" w:name="_Toc267251501"/>
      <w:bookmarkStart w:id="607" w:name="_Toc267251496"/>
      <w:bookmarkStart w:id="608" w:name="_Toc267251503"/>
      <w:bookmarkStart w:id="609" w:name="_Toc267251493"/>
      <w:bookmarkStart w:id="610" w:name="_Toc267251502"/>
      <w:bookmarkStart w:id="611" w:name="_Toc267251491"/>
      <w:bookmarkStart w:id="612" w:name="_Toc267251498"/>
      <w:bookmarkStart w:id="613" w:name="_Toc267251492"/>
      <w:bookmarkStart w:id="614" w:name="_Toc267251499"/>
      <w:bookmarkStart w:id="615" w:name="_Toc267251494"/>
      <w:bookmarkStart w:id="616" w:name="_Toc267251504"/>
      <w:bookmarkStart w:id="617" w:name="_Toc267251506"/>
      <w:bookmarkStart w:id="618" w:name="_Toc267251507"/>
      <w:bookmarkStart w:id="619" w:name="_Toc267251508"/>
      <w:bookmarkStart w:id="620" w:name="_Toc267251513"/>
      <w:bookmarkStart w:id="621" w:name="_Toc267251515"/>
      <w:bookmarkStart w:id="622" w:name="_Toc267251511"/>
      <w:bookmarkStart w:id="623" w:name="_Toc267251510"/>
      <w:bookmarkStart w:id="624" w:name="_Toc267251514"/>
      <w:bookmarkStart w:id="625" w:name="_Toc267251509"/>
      <w:r>
        <w:rPr>
          <w:rFonts w:hint="eastAsia" w:ascii="宋体" w:hAnsi="宋体" w:eastAsia="宋体" w:cs="宋体"/>
          <w:b w:val="0"/>
          <w:color w:val="auto"/>
          <w:kern w:val="21"/>
          <w:sz w:val="21"/>
          <w:szCs w:val="21"/>
          <w:highlight w:val="none"/>
        </w:rPr>
        <w:t>15. 缺陷责任期与保修</w:t>
      </w:r>
      <w:bookmarkEnd w:id="595"/>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15.2缺陷责任期</w:t>
      </w:r>
      <w:bookmarkEnd w:id="596"/>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缺陷责任期的具体期限：</w:t>
      </w:r>
      <w:r>
        <w:rPr>
          <w:rFonts w:hint="eastAsia" w:ascii="宋体" w:hAnsi="宋体" w:cs="宋体"/>
          <w:color w:val="auto"/>
          <w:kern w:val="21"/>
          <w:szCs w:val="21"/>
          <w:highlight w:val="none"/>
          <w:u w:val="single"/>
        </w:rPr>
        <w:t xml:space="preserve"> 2年 。</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626" w:name="_Toc7803"/>
      <w:r>
        <w:rPr>
          <w:rFonts w:hint="eastAsia" w:ascii="宋体" w:hAnsi="宋体" w:cs="宋体"/>
          <w:color w:val="auto"/>
          <w:kern w:val="21"/>
          <w:szCs w:val="21"/>
          <w:highlight w:val="none"/>
        </w:rPr>
        <w:t>15.3 质量保证金</w:t>
      </w:r>
      <w:bookmarkEnd w:id="626"/>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关于是否扣留质量保证金的约定：</w:t>
      </w:r>
      <w:r>
        <w:rPr>
          <w:rFonts w:hint="eastAsia" w:ascii="宋体" w:hAnsi="宋体" w:cs="宋体"/>
          <w:color w:val="auto"/>
          <w:kern w:val="21"/>
          <w:szCs w:val="21"/>
          <w:highlight w:val="none"/>
          <w:u w:val="single"/>
        </w:rPr>
        <w:t xml:space="preserve">是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在工程项目竣工前，承包人按专用合同条款第3.7条提供履约担保的，发包人不得同时预留工程质量保证金。</w:t>
      </w:r>
    </w:p>
    <w:p>
      <w:pPr>
        <w:widowControl w:val="0"/>
        <w:spacing w:line="480" w:lineRule="exact"/>
        <w:ind w:firstLine="420" w:firstLineChars="200"/>
        <w:jc w:val="left"/>
        <w:textAlignment w:val="auto"/>
        <w:outlineLvl w:val="0"/>
        <w:rPr>
          <w:rFonts w:ascii="宋体" w:hAnsi="宋体" w:cs="宋体"/>
          <w:color w:val="auto"/>
          <w:kern w:val="21"/>
          <w:szCs w:val="21"/>
          <w:highlight w:val="none"/>
        </w:rPr>
      </w:pPr>
      <w:bookmarkStart w:id="627" w:name="_Toc20628"/>
      <w:r>
        <w:rPr>
          <w:rFonts w:hint="eastAsia" w:ascii="宋体" w:hAnsi="宋体" w:cs="宋体"/>
          <w:color w:val="auto"/>
          <w:kern w:val="21"/>
          <w:szCs w:val="21"/>
          <w:highlight w:val="none"/>
        </w:rPr>
        <w:t>15.3.1 承包人提供质量保证金的方式</w:t>
      </w:r>
      <w:bookmarkEnd w:id="627"/>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质量保证金采用以下第</w:t>
      </w:r>
      <w:r>
        <w:rPr>
          <w:rFonts w:hint="eastAsia" w:ascii="宋体" w:hAnsi="宋体" w:cs="宋体"/>
          <w:color w:val="auto"/>
          <w:kern w:val="21"/>
          <w:szCs w:val="21"/>
          <w:highlight w:val="none"/>
          <w:u w:val="single"/>
        </w:rPr>
        <w:t xml:space="preserve">  （2）   </w:t>
      </w:r>
      <w:r>
        <w:rPr>
          <w:rFonts w:hint="eastAsia" w:ascii="宋体" w:hAnsi="宋体" w:cs="宋体"/>
          <w:color w:val="auto"/>
          <w:kern w:val="21"/>
          <w:szCs w:val="21"/>
          <w:highlight w:val="none"/>
        </w:rPr>
        <w:t>种方式：</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（1）质量保证金保函，保证金额为：</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 xml:space="preserve">； </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w:t>
      </w:r>
      <w:r>
        <w:rPr>
          <w:rFonts w:hint="eastAsia" w:ascii="宋体" w:hAnsi="宋体" w:cs="宋体"/>
          <w:color w:val="auto"/>
          <w:kern w:val="21"/>
          <w:szCs w:val="21"/>
          <w:highlight w:val="none"/>
          <w:u w:val="single"/>
        </w:rPr>
        <w:t>3</w:t>
      </w:r>
      <w:r>
        <w:rPr>
          <w:rFonts w:hint="eastAsia" w:ascii="宋体" w:hAnsi="宋体" w:cs="宋体"/>
          <w:color w:val="auto"/>
          <w:kern w:val="21"/>
          <w:szCs w:val="21"/>
          <w:highlight w:val="none"/>
        </w:rPr>
        <w:t>%的工程款；</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（3）其他方式:</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outlineLvl w:val="0"/>
        <w:rPr>
          <w:rFonts w:ascii="宋体" w:hAnsi="宋体" w:cs="宋体"/>
          <w:color w:val="auto"/>
          <w:kern w:val="21"/>
          <w:szCs w:val="21"/>
          <w:highlight w:val="none"/>
        </w:rPr>
      </w:pPr>
      <w:bookmarkStart w:id="628" w:name="_Toc17273"/>
      <w:r>
        <w:rPr>
          <w:rFonts w:hint="eastAsia" w:ascii="宋体" w:hAnsi="宋体" w:cs="宋体"/>
          <w:color w:val="auto"/>
          <w:kern w:val="21"/>
          <w:szCs w:val="21"/>
          <w:highlight w:val="none"/>
        </w:rPr>
        <w:t>15.3.2 质量保证金的扣留</w:t>
      </w:r>
      <w:bookmarkEnd w:id="628"/>
      <w:r>
        <w:rPr>
          <w:rFonts w:hint="eastAsia" w:ascii="宋体" w:hAnsi="宋体" w:cs="宋体"/>
          <w:color w:val="auto"/>
          <w:kern w:val="21"/>
          <w:szCs w:val="21"/>
          <w:highlight w:val="none"/>
        </w:rPr>
        <w:t xml:space="preserve"> </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质量保证金的扣留采取以下第</w:t>
      </w:r>
      <w:r>
        <w:rPr>
          <w:rFonts w:hint="eastAsia" w:ascii="宋体" w:hAnsi="宋体" w:cs="宋体"/>
          <w:color w:val="auto"/>
          <w:kern w:val="21"/>
          <w:szCs w:val="21"/>
          <w:highlight w:val="none"/>
          <w:u w:val="single"/>
        </w:rPr>
        <w:t xml:space="preserve"> 2 </w:t>
      </w:r>
      <w:r>
        <w:rPr>
          <w:rFonts w:hint="eastAsia" w:ascii="宋体" w:hAnsi="宋体" w:cs="宋体"/>
          <w:color w:val="auto"/>
          <w:kern w:val="21"/>
          <w:szCs w:val="21"/>
          <w:highlight w:val="none"/>
        </w:rPr>
        <w:t>种方式：</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（1）在支付工程进度款时逐次扣留，在此情形下，质量保证金的计算基数不包括预付款的支付、扣回以及价格调整的金额；</w:t>
      </w:r>
    </w:p>
    <w:p>
      <w:pPr>
        <w:widowControl w:val="0"/>
        <w:autoSpaceDE w:val="0"/>
        <w:autoSpaceDN w:val="0"/>
        <w:adjustRightInd w:val="0"/>
        <w:spacing w:line="480" w:lineRule="exact"/>
        <w:ind w:firstLine="420" w:firstLineChars="200"/>
        <w:jc w:val="left"/>
        <w:textAlignment w:val="auto"/>
        <w:outlineLvl w:val="0"/>
        <w:rPr>
          <w:rFonts w:ascii="宋体" w:hAnsi="宋体" w:cs="宋体"/>
          <w:color w:val="auto"/>
          <w:kern w:val="21"/>
          <w:szCs w:val="21"/>
          <w:highlight w:val="none"/>
        </w:rPr>
      </w:pPr>
      <w:bookmarkStart w:id="629" w:name="_Toc20590"/>
      <w:r>
        <w:rPr>
          <w:rFonts w:hint="eastAsia" w:ascii="宋体" w:hAnsi="宋体" w:cs="宋体"/>
          <w:color w:val="auto"/>
          <w:kern w:val="21"/>
          <w:szCs w:val="21"/>
          <w:highlight w:val="none"/>
        </w:rPr>
        <w:t>（2）工程竣工结算时一次性扣留质量保证金；</w:t>
      </w:r>
      <w:bookmarkEnd w:id="629"/>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（3）其他扣留方式:</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关于质量保证金的补充约定：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bookmarkEnd w:id="597"/>
    <w:bookmarkEnd w:id="598"/>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15.4保修</w:t>
      </w:r>
    </w:p>
    <w:bookmarkEnd w:id="599"/>
    <w:p>
      <w:pPr>
        <w:widowControl w:val="0"/>
        <w:spacing w:line="480" w:lineRule="exact"/>
        <w:ind w:firstLine="409" w:firstLineChars="195"/>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15.4.1 保修责任</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工程保修期为：</w:t>
      </w:r>
      <w:r>
        <w:rPr>
          <w:rFonts w:hint="eastAsia" w:ascii="宋体" w:hAnsi="宋体" w:cs="宋体"/>
          <w:color w:val="auto"/>
          <w:kern w:val="21"/>
          <w:szCs w:val="21"/>
          <w:highlight w:val="none"/>
          <w:u w:val="single"/>
        </w:rPr>
        <w:t xml:space="preserve">按照工程保修书内容执行 </w:t>
      </w:r>
      <w:r>
        <w:rPr>
          <w:rFonts w:hint="eastAsia" w:ascii="宋体" w:hAnsi="宋体" w:cs="宋体"/>
          <w:color w:val="auto"/>
          <w:kern w:val="21"/>
          <w:szCs w:val="21"/>
          <w:highlight w:val="none"/>
        </w:rPr>
        <w:t>。</w:t>
      </w:r>
    </w:p>
    <w:p>
      <w:pPr>
        <w:widowControl w:val="0"/>
        <w:spacing w:line="480" w:lineRule="exact"/>
        <w:ind w:firstLine="409" w:firstLineChars="195"/>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15.4.3 修复通知</w:t>
      </w:r>
    </w:p>
    <w:p>
      <w:pPr>
        <w:widowControl w:val="0"/>
        <w:spacing w:line="480" w:lineRule="exact"/>
        <w:ind w:firstLine="409" w:firstLineChars="195"/>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承包人收到保修通知并到达工程现场的合理时间：</w:t>
      </w:r>
      <w:r>
        <w:rPr>
          <w:rFonts w:hint="eastAsia" w:ascii="宋体" w:hAnsi="宋体" w:cs="宋体"/>
          <w:color w:val="auto"/>
          <w:kern w:val="21"/>
          <w:szCs w:val="21"/>
          <w:highlight w:val="none"/>
          <w:u w:val="single"/>
        </w:rPr>
        <w:t>承包人在接到保修通知之时起24小时内派人到达现场开展保修工作.承包人不能在约定期限内派人到达现场开展保修工作的,或发包人无法与承包人委托的保修负责人取得联系的，在24小时后由发包人委托他人维修,维修费用由承包方全部承担。</w:t>
      </w:r>
    </w:p>
    <w:bookmarkEnd w:id="600"/>
    <w:bookmarkEnd w:id="601"/>
    <w:bookmarkEnd w:id="602"/>
    <w:bookmarkEnd w:id="603"/>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630" w:name="_Toc351203648"/>
      <w:bookmarkStart w:id="631" w:name="_Toc280868717"/>
      <w:bookmarkStart w:id="632" w:name="_Toc280868718"/>
      <w:r>
        <w:rPr>
          <w:rFonts w:hint="eastAsia" w:ascii="宋体" w:hAnsi="宋体" w:eastAsia="宋体" w:cs="宋体"/>
          <w:b w:val="0"/>
          <w:color w:val="auto"/>
          <w:kern w:val="21"/>
          <w:sz w:val="21"/>
          <w:szCs w:val="21"/>
          <w:highlight w:val="none"/>
        </w:rPr>
        <w:t>16. 违约</w:t>
      </w:r>
      <w:bookmarkEnd w:id="630"/>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633" w:name="_Toc13585"/>
      <w:r>
        <w:rPr>
          <w:rFonts w:hint="eastAsia" w:ascii="宋体" w:hAnsi="宋体" w:cs="宋体"/>
          <w:color w:val="auto"/>
          <w:kern w:val="21"/>
          <w:szCs w:val="21"/>
          <w:highlight w:val="none"/>
        </w:rPr>
        <w:t>16.1 发包人违约</w:t>
      </w:r>
      <w:bookmarkEnd w:id="633"/>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16.1.1发包人违约的情形</w:t>
      </w:r>
    </w:p>
    <w:p>
      <w:pPr>
        <w:widowControl w:val="0"/>
        <w:spacing w:line="480" w:lineRule="exact"/>
        <w:ind w:left="1109" w:leftChars="228" w:hanging="630" w:hangingChars="3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发包人违约的其他情形：</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left="1050" w:hanging="1050" w:hangingChars="5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xml:space="preserve">    16.1.2 发包人违约的责任</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发包人违约责任的承担方式和计算方法：</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（1）因发包人原因未能在计划开工日期前7天内下达开工通知的违约责任：</w:t>
      </w:r>
      <w:r>
        <w:rPr>
          <w:rFonts w:hint="eastAsia" w:ascii="宋体" w:hAnsi="宋体" w:cs="宋体"/>
          <w:color w:val="auto"/>
          <w:kern w:val="21"/>
          <w:szCs w:val="21"/>
          <w:highlight w:val="none"/>
          <w:u w:val="single"/>
        </w:rPr>
        <w:t xml:space="preserve"> 承包人有权提出顺延开工日期的要求 。</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（2）因发包人原因未能按合同约定支付合同价款的违约责任：</w:t>
      </w:r>
      <w:r>
        <w:rPr>
          <w:rFonts w:hint="eastAsia" w:ascii="宋体" w:hAnsi="宋体" w:cs="宋体"/>
          <w:color w:val="auto"/>
          <w:kern w:val="21"/>
          <w:szCs w:val="21"/>
          <w:highlight w:val="none"/>
          <w:u w:val="single"/>
        </w:rPr>
        <w:t>双方另行确定 。</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（3）发包人违反第10.1款〔变更的范围〕第（2）项约定，自行实施被取消的工作或转由他人实施的违约责任：</w:t>
      </w:r>
      <w:r>
        <w:rPr>
          <w:rFonts w:hint="eastAsia" w:ascii="宋体" w:hAnsi="宋体" w:cs="宋体"/>
          <w:color w:val="auto"/>
          <w:kern w:val="21"/>
          <w:szCs w:val="21"/>
          <w:highlight w:val="none"/>
          <w:u w:val="single"/>
        </w:rPr>
        <w:t>双方另行确定</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kern w:val="21"/>
          <w:szCs w:val="21"/>
          <w:highlight w:val="none"/>
          <w:u w:val="single"/>
        </w:rPr>
        <w:t>双方另行确定 。</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（5）因发包人违反合同约定造成暂停施工的违约责任：</w:t>
      </w:r>
      <w:r>
        <w:rPr>
          <w:rFonts w:hint="eastAsia" w:ascii="宋体" w:hAnsi="宋体" w:cs="宋体"/>
          <w:color w:val="auto"/>
          <w:kern w:val="21"/>
          <w:szCs w:val="21"/>
          <w:highlight w:val="none"/>
          <w:u w:val="single"/>
        </w:rPr>
        <w:t xml:space="preserve">双方另行确定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（6）发包人无正当理由没有在约定期限内发出复工指示，导致承包人无法复工的违约责任：</w:t>
      </w:r>
      <w:r>
        <w:rPr>
          <w:rFonts w:hint="eastAsia" w:ascii="宋体" w:hAnsi="宋体" w:cs="宋体"/>
          <w:color w:val="auto"/>
          <w:kern w:val="21"/>
          <w:szCs w:val="21"/>
          <w:highlight w:val="none"/>
          <w:u w:val="single"/>
        </w:rPr>
        <w:t xml:space="preserve"> 双方另行确定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（7）其他：</w:t>
      </w:r>
      <w:r>
        <w:rPr>
          <w:rFonts w:hint="eastAsia" w:ascii="宋体" w:hAnsi="宋体" w:cs="宋体"/>
          <w:color w:val="auto"/>
          <w:kern w:val="21"/>
          <w:szCs w:val="21"/>
          <w:highlight w:val="none"/>
          <w:u w:val="single"/>
        </w:rPr>
        <w:t xml:space="preserve">双方另行确定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16.1.3 因发包人违约解除合同</w:t>
      </w:r>
    </w:p>
    <w:p>
      <w:pPr>
        <w:widowControl w:val="0"/>
        <w:autoSpaceDE w:val="0"/>
        <w:autoSpaceDN w:val="0"/>
        <w:adjustRightInd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承包人按16.1.1项〔发包人违约的情形〕约定暂停施工满</w:t>
      </w:r>
      <w:r>
        <w:rPr>
          <w:rFonts w:hint="eastAsia" w:ascii="宋体" w:hAnsi="宋体" w:cs="宋体"/>
          <w:color w:val="auto"/>
          <w:kern w:val="21"/>
          <w:szCs w:val="21"/>
          <w:highlight w:val="none"/>
          <w:u w:val="single"/>
        </w:rPr>
        <w:t xml:space="preserve"> 60 </w:t>
      </w:r>
      <w:r>
        <w:rPr>
          <w:rFonts w:hint="eastAsia" w:ascii="宋体" w:hAnsi="宋体" w:cs="宋体"/>
          <w:color w:val="auto"/>
          <w:kern w:val="21"/>
          <w:szCs w:val="21"/>
          <w:highlight w:val="none"/>
        </w:rPr>
        <w:t>天后发包人仍不纠正其违约行为并致使合同目的不能实现的，承包人有权解除合同。</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634" w:name="_Toc28495"/>
      <w:r>
        <w:rPr>
          <w:rFonts w:hint="eastAsia" w:ascii="宋体" w:hAnsi="宋体" w:cs="宋体"/>
          <w:color w:val="auto"/>
          <w:kern w:val="21"/>
          <w:szCs w:val="21"/>
          <w:highlight w:val="none"/>
        </w:rPr>
        <w:t>16.2 承包人违约</w:t>
      </w:r>
      <w:bookmarkEnd w:id="634"/>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16.2.1 承包人违约的情形</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承包人违约的其他情形：</w:t>
      </w:r>
      <w:r>
        <w:rPr>
          <w:rFonts w:hint="eastAsia" w:ascii="宋体" w:hAnsi="宋体" w:cs="宋体"/>
          <w:color w:val="auto"/>
          <w:kern w:val="21"/>
          <w:szCs w:val="21"/>
          <w:highlight w:val="none"/>
          <w:u w:val="single"/>
        </w:rPr>
        <w:t xml:space="preserve"> 双方另行确定。</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16.2.2承包人违约的责任</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承包人违约责任的承担方式和计算方法：</w:t>
      </w:r>
      <w:r>
        <w:rPr>
          <w:rFonts w:hint="eastAsia" w:ascii="宋体" w:hAnsi="宋体" w:cs="宋体"/>
          <w:color w:val="auto"/>
          <w:kern w:val="21"/>
          <w:szCs w:val="21"/>
          <w:highlight w:val="none"/>
          <w:u w:val="single"/>
        </w:rPr>
        <w:t xml:space="preserve"> 承包人应承担因其违约行为而增加的费用和（或）延误的工期，给发包人造成损失的，由承包人弥补损失并承担责任。</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16.2.3 因承包人违约解除合同</w:t>
      </w:r>
    </w:p>
    <w:p>
      <w:pPr>
        <w:widowControl w:val="0"/>
        <w:spacing w:before="120" w:after="120"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关于承包人违约解除合同的特别约定：</w:t>
      </w:r>
      <w:r>
        <w:rPr>
          <w:rFonts w:hint="eastAsia" w:ascii="宋体" w:hAnsi="宋体" w:cs="宋体"/>
          <w:color w:val="auto"/>
          <w:kern w:val="21"/>
          <w:szCs w:val="21"/>
          <w:highlight w:val="none"/>
          <w:u w:val="single"/>
        </w:rPr>
        <w:t xml:space="preserve"> 双方另行确定</w:t>
      </w:r>
      <w:r>
        <w:rPr>
          <w:rFonts w:hint="eastAsia" w:ascii="宋体" w:hAnsi="宋体" w:cs="宋体"/>
          <w:color w:val="auto"/>
          <w:kern w:val="21"/>
          <w:szCs w:val="21"/>
          <w:highlight w:val="none"/>
        </w:rPr>
        <w:t>。</w:t>
      </w:r>
    </w:p>
    <w:p>
      <w:pPr>
        <w:widowControl w:val="0"/>
        <w:spacing w:before="120"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21"/>
          <w:szCs w:val="21"/>
          <w:highlight w:val="none"/>
          <w:u w:val="single"/>
        </w:rPr>
        <w:t>双方另行确定</w:t>
      </w:r>
      <w:r>
        <w:rPr>
          <w:rFonts w:hint="eastAsia" w:ascii="宋体" w:hAnsi="宋体" w:cs="宋体"/>
          <w:color w:val="auto"/>
          <w:kern w:val="21"/>
          <w:szCs w:val="21"/>
          <w:highlight w:val="none"/>
        </w:rPr>
        <w:t>。</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635" w:name="_Toc351203649"/>
      <w:r>
        <w:rPr>
          <w:rFonts w:hint="eastAsia" w:ascii="宋体" w:hAnsi="宋体" w:eastAsia="宋体" w:cs="宋体"/>
          <w:b w:val="0"/>
          <w:color w:val="auto"/>
          <w:kern w:val="21"/>
          <w:sz w:val="21"/>
          <w:szCs w:val="21"/>
          <w:highlight w:val="none"/>
        </w:rPr>
        <w:t>17. 不可抗力</w:t>
      </w:r>
      <w:bookmarkEnd w:id="635"/>
      <w:r>
        <w:rPr>
          <w:rFonts w:hint="eastAsia" w:ascii="宋体" w:hAnsi="宋体" w:eastAsia="宋体" w:cs="宋体"/>
          <w:b w:val="0"/>
          <w:color w:val="auto"/>
          <w:kern w:val="21"/>
          <w:sz w:val="21"/>
          <w:szCs w:val="21"/>
          <w:highlight w:val="none"/>
        </w:rPr>
        <w:t xml:space="preserve"> </w:t>
      </w:r>
      <w:bookmarkEnd w:id="631"/>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17.1 不可抗力的确认</w:t>
      </w:r>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 xml:space="preserve">除通用合同条款约定的不可抗力事件之外，视为不可抗力的其他情形： </w:t>
      </w:r>
      <w:r>
        <w:rPr>
          <w:rFonts w:hint="eastAsia" w:ascii="宋体" w:hAnsi="宋体" w:cs="宋体"/>
          <w:color w:val="auto"/>
          <w:kern w:val="21"/>
          <w:szCs w:val="21"/>
          <w:highlight w:val="none"/>
          <w:u w:val="single"/>
        </w:rPr>
        <w:t xml:space="preserve"> 无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636" w:name="_Toc10255"/>
      <w:r>
        <w:rPr>
          <w:rFonts w:hint="eastAsia" w:ascii="宋体" w:hAnsi="宋体" w:cs="宋体"/>
          <w:color w:val="auto"/>
          <w:kern w:val="21"/>
          <w:szCs w:val="21"/>
          <w:highlight w:val="none"/>
        </w:rPr>
        <w:t>17.4 因不可抗力解除合同</w:t>
      </w:r>
      <w:bookmarkEnd w:id="636"/>
    </w:p>
    <w:p>
      <w:pPr>
        <w:widowControl w:val="0"/>
        <w:spacing w:line="480" w:lineRule="exact"/>
        <w:ind w:firstLine="480"/>
        <w:jc w:val="left"/>
        <w:textAlignment w:val="auto"/>
        <w:rPr>
          <w:rFonts w:ascii="宋体" w:hAnsi="宋体" w:cs="宋体"/>
          <w:color w:val="auto"/>
          <w:kern w:val="21"/>
          <w:szCs w:val="21"/>
          <w:highlight w:val="none"/>
        </w:rPr>
      </w:pPr>
      <w:bookmarkStart w:id="637" w:name="_Toc351203650"/>
      <w:r>
        <w:rPr>
          <w:rFonts w:hint="eastAsia" w:ascii="宋体" w:hAnsi="宋体" w:cs="宋体"/>
          <w:color w:val="auto"/>
          <w:kern w:val="21"/>
          <w:szCs w:val="21"/>
          <w:highlight w:val="none"/>
        </w:rPr>
        <w:t>合同解除后，双方各自承担自己的损失。</w:t>
      </w:r>
    </w:p>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r>
        <w:rPr>
          <w:rFonts w:hint="eastAsia" w:ascii="宋体" w:hAnsi="宋体" w:eastAsia="宋体" w:cs="宋体"/>
          <w:b w:val="0"/>
          <w:color w:val="auto"/>
          <w:kern w:val="21"/>
          <w:sz w:val="21"/>
          <w:szCs w:val="21"/>
          <w:highlight w:val="none"/>
        </w:rPr>
        <w:t>18. 保险</w:t>
      </w:r>
      <w:bookmarkEnd w:id="637"/>
    </w:p>
    <w:bookmarkEnd w:id="632"/>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18.1 工程保险</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关于工程保险的特别约定：</w:t>
      </w:r>
      <w:r>
        <w:rPr>
          <w:rFonts w:hint="eastAsia" w:ascii="宋体" w:hAnsi="宋体" w:cs="宋体"/>
          <w:color w:val="auto"/>
          <w:kern w:val="21"/>
          <w:szCs w:val="21"/>
          <w:highlight w:val="none"/>
          <w:u w:val="single"/>
        </w:rPr>
        <w:t>承包方应投保建筑工程一切险及第三方意外险</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638" w:name="_Toc10129"/>
      <w:r>
        <w:rPr>
          <w:rFonts w:hint="eastAsia" w:ascii="宋体" w:hAnsi="宋体" w:cs="宋体"/>
          <w:color w:val="auto"/>
          <w:kern w:val="21"/>
          <w:szCs w:val="21"/>
          <w:highlight w:val="none"/>
        </w:rPr>
        <w:t>18.3 其他保险</w:t>
      </w:r>
      <w:bookmarkEnd w:id="638"/>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关于其他保险的约定：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承包人是否应为其施工设备等办理财产保险：</w:t>
      </w:r>
      <w:r>
        <w:rPr>
          <w:rFonts w:hint="eastAsia" w:ascii="宋体" w:hAnsi="宋体" w:cs="宋体"/>
          <w:color w:val="auto"/>
          <w:kern w:val="21"/>
          <w:szCs w:val="21"/>
          <w:highlight w:val="none"/>
          <w:u w:val="single"/>
        </w:rPr>
        <w:t xml:space="preserve">执行通用条款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18.7 通知义务</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关于变更保险合同时的通知义务的约定：</w:t>
      </w:r>
      <w:r>
        <w:rPr>
          <w:rFonts w:hint="eastAsia" w:ascii="宋体" w:hAnsi="宋体" w:cs="宋体"/>
          <w:color w:val="auto"/>
          <w:kern w:val="21"/>
          <w:szCs w:val="21"/>
          <w:highlight w:val="none"/>
          <w:u w:val="single"/>
        </w:rPr>
        <w:t xml:space="preserve">执行通用条款   </w:t>
      </w:r>
      <w:r>
        <w:rPr>
          <w:rFonts w:hint="eastAsia" w:ascii="宋体" w:hAnsi="宋体" w:cs="宋体"/>
          <w:color w:val="auto"/>
          <w:kern w:val="21"/>
          <w:szCs w:val="21"/>
          <w:highlight w:val="none"/>
        </w:rPr>
        <w:t>。</w:t>
      </w:r>
    </w:p>
    <w:bookmarkEnd w:id="604"/>
    <w:bookmarkEnd w:id="605"/>
    <w:bookmarkEnd w:id="606"/>
    <w:bookmarkEnd w:id="607"/>
    <w:bookmarkEnd w:id="608"/>
    <w:bookmarkEnd w:id="609"/>
    <w:bookmarkEnd w:id="610"/>
    <w:bookmarkEnd w:id="611"/>
    <w:bookmarkEnd w:id="612"/>
    <w:bookmarkEnd w:id="613"/>
    <w:bookmarkEnd w:id="614"/>
    <w:bookmarkEnd w:id="615"/>
    <w:p>
      <w:pPr>
        <w:pStyle w:val="6"/>
        <w:widowControl w:val="0"/>
        <w:tabs>
          <w:tab w:val="left" w:pos="864"/>
        </w:tabs>
        <w:spacing w:before="120" w:after="120" w:line="480" w:lineRule="exact"/>
        <w:textAlignment w:val="auto"/>
        <w:rPr>
          <w:rFonts w:ascii="宋体" w:hAnsi="宋体" w:eastAsia="宋体" w:cs="宋体"/>
          <w:b w:val="0"/>
          <w:color w:val="auto"/>
          <w:kern w:val="21"/>
          <w:sz w:val="21"/>
          <w:szCs w:val="21"/>
          <w:highlight w:val="none"/>
        </w:rPr>
      </w:pPr>
      <w:bookmarkStart w:id="639" w:name="_Toc351203651"/>
      <w:r>
        <w:rPr>
          <w:rFonts w:hint="eastAsia" w:ascii="宋体" w:hAnsi="宋体" w:eastAsia="宋体" w:cs="宋体"/>
          <w:b w:val="0"/>
          <w:color w:val="auto"/>
          <w:kern w:val="21"/>
          <w:sz w:val="21"/>
          <w:szCs w:val="21"/>
          <w:highlight w:val="none"/>
        </w:rPr>
        <w:t>20. 争议解决</w:t>
      </w:r>
      <w:bookmarkEnd w:id="639"/>
    </w:p>
    <w:bookmarkEnd w:id="616"/>
    <w:bookmarkEnd w:id="617"/>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640" w:name="_Toc19257"/>
      <w:r>
        <w:rPr>
          <w:rFonts w:hint="eastAsia" w:ascii="宋体" w:hAnsi="宋体" w:cs="宋体"/>
          <w:color w:val="auto"/>
          <w:kern w:val="21"/>
          <w:szCs w:val="21"/>
          <w:highlight w:val="none"/>
        </w:rPr>
        <w:t>20.3 争</w:t>
      </w:r>
      <w:bookmarkEnd w:id="618"/>
      <w:r>
        <w:rPr>
          <w:rFonts w:hint="eastAsia" w:ascii="宋体" w:hAnsi="宋体" w:cs="宋体"/>
          <w:color w:val="auto"/>
          <w:kern w:val="21"/>
          <w:szCs w:val="21"/>
          <w:highlight w:val="none"/>
        </w:rPr>
        <w:t>议评审</w:t>
      </w:r>
      <w:bookmarkEnd w:id="640"/>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合同当事人是否同意将工程争议提交争议评审小组决定：</w:t>
      </w:r>
      <w:r>
        <w:rPr>
          <w:rFonts w:hint="eastAsia" w:ascii="宋体" w:hAnsi="宋体" w:cs="宋体"/>
          <w:color w:val="auto"/>
          <w:kern w:val="21"/>
          <w:szCs w:val="21"/>
          <w:highlight w:val="none"/>
          <w:u w:val="single"/>
        </w:rPr>
        <w:t xml:space="preserve"> 不同意  </w:t>
      </w:r>
      <w:r>
        <w:rPr>
          <w:rFonts w:hint="eastAsia" w:ascii="宋体" w:hAnsi="宋体" w:cs="宋体"/>
          <w:color w:val="auto"/>
          <w:kern w:val="21"/>
          <w:szCs w:val="21"/>
          <w:highlight w:val="none"/>
        </w:rPr>
        <w:t xml:space="preserve">。  </w:t>
      </w:r>
    </w:p>
    <w:p>
      <w:pPr>
        <w:widowControl w:val="0"/>
        <w:spacing w:line="480" w:lineRule="exact"/>
        <w:ind w:firstLine="420" w:firstLineChars="200"/>
        <w:jc w:val="left"/>
        <w:textAlignment w:val="auto"/>
        <w:outlineLvl w:val="0"/>
        <w:rPr>
          <w:rFonts w:ascii="宋体" w:hAnsi="宋体" w:cs="宋体"/>
          <w:color w:val="auto"/>
          <w:kern w:val="21"/>
          <w:szCs w:val="21"/>
          <w:highlight w:val="none"/>
        </w:rPr>
      </w:pPr>
      <w:bookmarkStart w:id="641" w:name="_Toc23402"/>
      <w:r>
        <w:rPr>
          <w:rFonts w:hint="eastAsia" w:ascii="宋体" w:hAnsi="宋体" w:cs="宋体"/>
          <w:color w:val="auto"/>
          <w:kern w:val="21"/>
          <w:szCs w:val="21"/>
          <w:highlight w:val="none"/>
        </w:rPr>
        <w:t>20.3.1 争议评审小组的确定</w:t>
      </w:r>
      <w:bookmarkEnd w:id="641"/>
    </w:p>
    <w:p>
      <w:pPr>
        <w:widowControl w:val="0"/>
        <w:spacing w:line="480" w:lineRule="exact"/>
        <w:ind w:firstLine="420" w:firstLineChars="2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争议评审小组成员的确定：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选定争议评审员的期限：</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争议评审小组成员的报酬承担方式：</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其他事项的约定：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autoSpaceDE w:val="0"/>
        <w:autoSpaceDN w:val="0"/>
        <w:adjustRightInd w:val="0"/>
        <w:spacing w:line="480" w:lineRule="exact"/>
        <w:ind w:firstLine="420" w:firstLineChars="200"/>
        <w:jc w:val="left"/>
        <w:textAlignment w:val="auto"/>
        <w:outlineLvl w:val="0"/>
        <w:rPr>
          <w:rFonts w:ascii="宋体" w:hAnsi="宋体" w:cs="宋体"/>
          <w:color w:val="auto"/>
          <w:kern w:val="21"/>
          <w:szCs w:val="21"/>
          <w:highlight w:val="none"/>
        </w:rPr>
      </w:pPr>
      <w:bookmarkStart w:id="642" w:name="_Toc21578"/>
      <w:r>
        <w:rPr>
          <w:rFonts w:hint="eastAsia" w:ascii="宋体" w:hAnsi="宋体" w:cs="宋体"/>
          <w:color w:val="auto"/>
          <w:kern w:val="21"/>
          <w:szCs w:val="21"/>
          <w:highlight w:val="none"/>
        </w:rPr>
        <w:t>20.3.2 争议评审小组的决定</w:t>
      </w:r>
      <w:bookmarkEnd w:id="642"/>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合同当事人关于本项的约定：</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after="120" w:line="480" w:lineRule="exact"/>
        <w:ind w:firstLine="420" w:firstLineChars="200"/>
        <w:textAlignment w:val="auto"/>
        <w:outlineLvl w:val="0"/>
        <w:rPr>
          <w:rFonts w:ascii="宋体" w:hAnsi="宋体" w:cs="宋体"/>
          <w:color w:val="auto"/>
          <w:kern w:val="21"/>
          <w:szCs w:val="21"/>
          <w:highlight w:val="none"/>
        </w:rPr>
      </w:pPr>
      <w:bookmarkStart w:id="643" w:name="_Toc23684"/>
      <w:r>
        <w:rPr>
          <w:rFonts w:hint="eastAsia" w:ascii="宋体" w:hAnsi="宋体" w:cs="宋体"/>
          <w:color w:val="auto"/>
          <w:kern w:val="21"/>
          <w:szCs w:val="21"/>
          <w:highlight w:val="none"/>
        </w:rPr>
        <w:t>20.4仲裁或诉讼</w:t>
      </w:r>
      <w:bookmarkEnd w:id="619"/>
      <w:bookmarkEnd w:id="643"/>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因合同及合同有关事项发生的争议，按下列第</w:t>
      </w:r>
      <w:r>
        <w:rPr>
          <w:rFonts w:hint="eastAsia" w:ascii="宋体" w:hAnsi="宋体" w:cs="宋体"/>
          <w:color w:val="auto"/>
          <w:kern w:val="21"/>
          <w:szCs w:val="21"/>
          <w:highlight w:val="none"/>
          <w:u w:val="single"/>
        </w:rPr>
        <w:t>（2）</w:t>
      </w:r>
      <w:r>
        <w:rPr>
          <w:rFonts w:hint="eastAsia" w:ascii="宋体" w:hAnsi="宋体" w:cs="宋体"/>
          <w:color w:val="auto"/>
          <w:kern w:val="21"/>
          <w:szCs w:val="21"/>
          <w:highlight w:val="none"/>
        </w:rPr>
        <w:t>种方式解决：</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（1）向</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仲裁委员会申请仲裁；</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（2）向</w:t>
      </w:r>
      <w:r>
        <w:rPr>
          <w:rFonts w:hint="eastAsia" w:ascii="宋体" w:hAnsi="宋体" w:cs="宋体"/>
          <w:color w:val="auto"/>
          <w:kern w:val="21"/>
          <w:szCs w:val="21"/>
          <w:highlight w:val="none"/>
          <w:u w:val="single"/>
        </w:rPr>
        <w:t xml:space="preserve">工程所在地 </w:t>
      </w:r>
      <w:r>
        <w:rPr>
          <w:rFonts w:hint="eastAsia" w:ascii="宋体" w:hAnsi="宋体" w:cs="宋体"/>
          <w:color w:val="auto"/>
          <w:kern w:val="21"/>
          <w:szCs w:val="21"/>
          <w:highlight w:val="none"/>
        </w:rPr>
        <w:t>人民法院起诉。</w:t>
      </w:r>
      <w:bookmarkEnd w:id="620"/>
      <w:bookmarkEnd w:id="621"/>
      <w:bookmarkEnd w:id="622"/>
      <w:bookmarkEnd w:id="623"/>
      <w:bookmarkEnd w:id="624"/>
      <w:bookmarkEnd w:id="625"/>
    </w:p>
    <w:p>
      <w:pPr>
        <w:widowControl w:val="0"/>
        <w:spacing w:line="480" w:lineRule="exact"/>
        <w:jc w:val="left"/>
        <w:textAlignment w:val="auto"/>
        <w:rPr>
          <w:rFonts w:ascii="宋体" w:hAnsi="宋体" w:cs="宋体"/>
          <w:b/>
          <w:color w:val="auto"/>
          <w:kern w:val="21"/>
          <w:szCs w:val="21"/>
          <w:highlight w:val="none"/>
        </w:rPr>
      </w:pPr>
      <w:r>
        <w:rPr>
          <w:rFonts w:hint="eastAsia" w:ascii="宋体" w:hAnsi="宋体" w:cs="宋体"/>
          <w:color w:val="auto"/>
          <w:kern w:val="21"/>
          <w:szCs w:val="21"/>
          <w:highlight w:val="none"/>
        </w:rPr>
        <w:br w:type="page"/>
      </w:r>
      <w:bookmarkStart w:id="644" w:name="_Toc351203652"/>
      <w:r>
        <w:rPr>
          <w:rFonts w:hint="eastAsia" w:ascii="宋体" w:hAnsi="宋体" w:cs="宋体"/>
          <w:b/>
          <w:color w:val="auto"/>
          <w:kern w:val="21"/>
          <w:szCs w:val="21"/>
          <w:highlight w:val="none"/>
        </w:rPr>
        <w:t>附件</w:t>
      </w:r>
      <w:bookmarkEnd w:id="644"/>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协议书附件：</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附件1：承包人承揽工程项目一览表</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专用合同条款附件：</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附件2：发包人供应材料设备一览表</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附件3：工程质量保修书</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附件4：主要建设工程文件目录</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附件5：承包人用于本工程施工的机械设备表</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附件6：承包人主要施工管理人员表</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附件7：分包人主要施工管理人员表</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附件8：履约担保格式</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附件9：预付款担保格式</w:t>
      </w:r>
    </w:p>
    <w:p>
      <w:pPr>
        <w:widowControl w:val="0"/>
        <w:spacing w:line="48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附件10：支付担保格式</w:t>
      </w:r>
    </w:p>
    <w:p>
      <w:pPr>
        <w:widowControl w:val="0"/>
        <w:spacing w:line="480" w:lineRule="exact"/>
        <w:jc w:val="left"/>
        <w:textAlignment w:val="auto"/>
        <w:rPr>
          <w:rFonts w:ascii="宋体" w:hAnsi="宋体" w:cs="宋体"/>
          <w:color w:val="auto"/>
          <w:kern w:val="21"/>
          <w:szCs w:val="21"/>
          <w:highlight w:val="none"/>
        </w:rPr>
        <w:sectPr>
          <w:footerReference r:id="rId15" w:type="first"/>
          <w:footerReference r:id="rId14" w:type="default"/>
          <w:pgSz w:w="11906" w:h="16838"/>
          <w:pgMar w:top="1440" w:right="1080" w:bottom="1440" w:left="1080" w:header="851" w:footer="992" w:gutter="0"/>
          <w:cols w:space="720" w:num="1"/>
          <w:titlePg/>
          <w:docGrid w:type="lines" w:linePitch="312" w:charSpace="0"/>
        </w:sectPr>
      </w:pPr>
      <w:r>
        <w:rPr>
          <w:rFonts w:hint="eastAsia" w:ascii="宋体" w:hAnsi="宋体" w:cs="宋体"/>
          <w:color w:val="auto"/>
          <w:kern w:val="21"/>
          <w:szCs w:val="21"/>
          <w:highlight w:val="none"/>
        </w:rPr>
        <w:t>附件11：暂估价一览表</w:t>
      </w:r>
    </w:p>
    <w:p>
      <w:pPr>
        <w:widowControl w:val="0"/>
        <w:spacing w:beforeLines="50" w:afterLines="50" w:line="340" w:lineRule="exact"/>
        <w:jc w:val="left"/>
        <w:rPr>
          <w:rFonts w:ascii="宋体" w:hAnsi="宋体" w:cs="宋体"/>
          <w:color w:val="auto"/>
          <w:kern w:val="21"/>
          <w:szCs w:val="21"/>
          <w:highlight w:val="none"/>
        </w:rPr>
      </w:pPr>
      <w:r>
        <w:rPr>
          <w:rFonts w:hint="eastAsia" w:ascii="宋体" w:hAnsi="宋体" w:cs="宋体"/>
          <w:color w:val="auto"/>
          <w:kern w:val="21"/>
          <w:szCs w:val="21"/>
          <w:highlight w:val="none"/>
        </w:rPr>
        <w:t>附件1：</w:t>
      </w:r>
    </w:p>
    <w:p>
      <w:pPr>
        <w:widowControl w:val="0"/>
        <w:spacing w:beforeLines="50" w:afterLines="50"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承包人承揽工程项目一览表</w:t>
      </w:r>
    </w:p>
    <w:tbl>
      <w:tblPr>
        <w:tblStyle w:val="22"/>
        <w:tblW w:w="14601"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308"/>
        <w:gridCol w:w="2519"/>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单位工程名称</w:t>
            </w:r>
          </w:p>
        </w:tc>
        <w:tc>
          <w:tcPr>
            <w:tcW w:w="1843"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建设规模</w:t>
            </w:r>
          </w:p>
        </w:tc>
        <w:tc>
          <w:tcPr>
            <w:tcW w:w="1308"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建筑面积(平方米)</w:t>
            </w:r>
          </w:p>
        </w:tc>
        <w:tc>
          <w:tcPr>
            <w:tcW w:w="2519"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结构形式</w:t>
            </w:r>
          </w:p>
        </w:tc>
        <w:tc>
          <w:tcPr>
            <w:tcW w:w="850"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层数</w:t>
            </w:r>
          </w:p>
        </w:tc>
        <w:tc>
          <w:tcPr>
            <w:tcW w:w="1560"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生产能力</w:t>
            </w:r>
          </w:p>
        </w:tc>
        <w:tc>
          <w:tcPr>
            <w:tcW w:w="2126"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设备安装内容</w:t>
            </w:r>
          </w:p>
        </w:tc>
        <w:tc>
          <w:tcPr>
            <w:tcW w:w="1417"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合同价格（元）</w:t>
            </w:r>
          </w:p>
        </w:tc>
        <w:tc>
          <w:tcPr>
            <w:tcW w:w="851"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开工日期</w:t>
            </w:r>
          </w:p>
        </w:tc>
        <w:tc>
          <w:tcPr>
            <w:tcW w:w="850"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843"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08"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519"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560"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126"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7"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843"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08"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519"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56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126"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843"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08"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519"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56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126"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84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0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519"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56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12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843"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08"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519"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56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126"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84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0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519"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56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12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843"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08"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519"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56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126"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843"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08"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519"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56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126"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84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0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519"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56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12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843"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08"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519"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56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126"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84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0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519"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56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212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bl>
    <w:p>
      <w:pPr>
        <w:widowControl w:val="0"/>
        <w:spacing w:line="340" w:lineRule="exact"/>
        <w:rPr>
          <w:rFonts w:ascii="宋体" w:hAnsi="宋体" w:cs="宋体"/>
          <w:b/>
          <w:color w:val="auto"/>
          <w:kern w:val="21"/>
          <w:szCs w:val="21"/>
          <w:highlight w:val="none"/>
        </w:rPr>
        <w:sectPr>
          <w:pgSz w:w="16838" w:h="11906" w:orient="landscape"/>
          <w:pgMar w:top="1554" w:right="1418" w:bottom="1531" w:left="1418" w:header="851" w:footer="992" w:gutter="0"/>
          <w:cols w:space="720" w:num="1"/>
          <w:titlePg/>
          <w:docGrid w:type="linesAndChars" w:linePitch="312" w:charSpace="0"/>
        </w:sectPr>
      </w:pPr>
    </w:p>
    <w:p>
      <w:pPr>
        <w:widowControl w:val="0"/>
        <w:spacing w:line="340" w:lineRule="exact"/>
        <w:rPr>
          <w:rFonts w:ascii="宋体" w:hAnsi="宋体" w:cs="宋体"/>
          <w:color w:val="auto"/>
          <w:kern w:val="21"/>
          <w:szCs w:val="21"/>
          <w:highlight w:val="none"/>
        </w:rPr>
      </w:pPr>
      <w:r>
        <w:rPr>
          <w:rFonts w:hint="eastAsia" w:ascii="宋体" w:hAnsi="宋体" w:cs="宋体"/>
          <w:color w:val="auto"/>
          <w:kern w:val="21"/>
          <w:szCs w:val="21"/>
          <w:highlight w:val="none"/>
        </w:rPr>
        <w:t>附</w:t>
      </w:r>
      <w:bookmarkStart w:id="645" w:name="_Toc267261692"/>
      <w:bookmarkStart w:id="646" w:name="_Toc296346726"/>
      <w:bookmarkStart w:id="647" w:name="_Toc296347224"/>
      <w:bookmarkStart w:id="648" w:name="_Toc296891265"/>
      <w:bookmarkStart w:id="649" w:name="_Toc296891053"/>
      <w:bookmarkStart w:id="650" w:name="_Toc296944564"/>
      <w:bookmarkStart w:id="651" w:name="_Toc296503225"/>
      <w:r>
        <w:rPr>
          <w:rFonts w:hint="eastAsia" w:ascii="宋体" w:hAnsi="宋体" w:cs="宋体"/>
          <w:color w:val="auto"/>
          <w:kern w:val="21"/>
          <w:szCs w:val="21"/>
          <w:highlight w:val="none"/>
        </w:rPr>
        <w:t>件2：</w:t>
      </w:r>
    </w:p>
    <w:bookmarkEnd w:id="645"/>
    <w:bookmarkEnd w:id="646"/>
    <w:bookmarkEnd w:id="647"/>
    <w:bookmarkEnd w:id="648"/>
    <w:bookmarkEnd w:id="649"/>
    <w:bookmarkEnd w:id="650"/>
    <w:bookmarkEnd w:id="651"/>
    <w:p>
      <w:pPr>
        <w:widowControl w:val="0"/>
        <w:spacing w:beforeLines="50" w:afterLines="50"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发包人供应材料设备一览表</w:t>
      </w:r>
    </w:p>
    <w:tbl>
      <w:tblPr>
        <w:tblStyle w:val="22"/>
        <w:tblW w:w="107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序号</w:t>
            </w:r>
          </w:p>
        </w:tc>
        <w:tc>
          <w:tcPr>
            <w:tcW w:w="1276"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 xml:space="preserve">  材料、</w:t>
            </w:r>
          </w:p>
          <w:p>
            <w:pPr>
              <w:pStyle w:val="9"/>
              <w:keepNext/>
              <w:snapToGrid/>
              <w:spacing w:line="340" w:lineRule="exact"/>
              <w:ind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设备品种</w:t>
            </w:r>
          </w:p>
        </w:tc>
        <w:tc>
          <w:tcPr>
            <w:tcW w:w="1418"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规格型号</w:t>
            </w:r>
          </w:p>
        </w:tc>
        <w:tc>
          <w:tcPr>
            <w:tcW w:w="940"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单位</w:t>
            </w:r>
          </w:p>
        </w:tc>
        <w:tc>
          <w:tcPr>
            <w:tcW w:w="851"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数量</w:t>
            </w:r>
          </w:p>
        </w:tc>
        <w:tc>
          <w:tcPr>
            <w:tcW w:w="1044"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单价（元）</w:t>
            </w:r>
          </w:p>
        </w:tc>
        <w:tc>
          <w:tcPr>
            <w:tcW w:w="992"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质量等级</w:t>
            </w:r>
          </w:p>
        </w:tc>
        <w:tc>
          <w:tcPr>
            <w:tcW w:w="851"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供应时间</w:t>
            </w:r>
          </w:p>
        </w:tc>
        <w:tc>
          <w:tcPr>
            <w:tcW w:w="1487"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送达地点</w:t>
            </w:r>
          </w:p>
        </w:tc>
        <w:tc>
          <w:tcPr>
            <w:tcW w:w="992"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40"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44"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7"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4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44"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4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4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4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4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4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4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4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4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4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4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4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4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widowControl w:val="0"/>
              <w:spacing w:line="340" w:lineRule="exact"/>
              <w:jc w:val="center"/>
              <w:rPr>
                <w:rFonts w:ascii="宋体" w:hAnsi="宋体" w:cs="宋体"/>
                <w:color w:val="auto"/>
                <w:kern w:val="21"/>
                <w:szCs w:val="21"/>
                <w:highlight w:val="none"/>
              </w:rPr>
            </w:pPr>
          </w:p>
        </w:tc>
        <w:tc>
          <w:tcPr>
            <w:tcW w:w="1276" w:type="dxa"/>
            <w:vAlign w:val="center"/>
          </w:tcPr>
          <w:p>
            <w:pPr>
              <w:widowControl w:val="0"/>
              <w:spacing w:line="340" w:lineRule="exact"/>
              <w:jc w:val="center"/>
              <w:rPr>
                <w:rFonts w:ascii="宋体" w:hAnsi="宋体" w:cs="宋体"/>
                <w:color w:val="auto"/>
                <w:kern w:val="21"/>
                <w:szCs w:val="21"/>
                <w:highlight w:val="none"/>
              </w:rPr>
            </w:pPr>
          </w:p>
        </w:tc>
        <w:tc>
          <w:tcPr>
            <w:tcW w:w="1418" w:type="dxa"/>
            <w:vAlign w:val="center"/>
          </w:tcPr>
          <w:p>
            <w:pPr>
              <w:widowControl w:val="0"/>
              <w:spacing w:line="340" w:lineRule="exact"/>
              <w:jc w:val="center"/>
              <w:rPr>
                <w:rFonts w:ascii="宋体" w:hAnsi="宋体" w:cs="宋体"/>
                <w:color w:val="auto"/>
                <w:kern w:val="21"/>
                <w:szCs w:val="21"/>
                <w:highlight w:val="none"/>
              </w:rPr>
            </w:pPr>
          </w:p>
        </w:tc>
        <w:tc>
          <w:tcPr>
            <w:tcW w:w="940"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044"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487"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4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4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9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widowControl w:val="0"/>
              <w:spacing w:line="340" w:lineRule="exact"/>
              <w:jc w:val="center"/>
              <w:rPr>
                <w:rFonts w:ascii="宋体" w:hAnsi="宋体" w:cs="宋体"/>
                <w:color w:val="auto"/>
                <w:kern w:val="21"/>
                <w:szCs w:val="21"/>
                <w:highlight w:val="none"/>
              </w:rPr>
            </w:pPr>
          </w:p>
        </w:tc>
        <w:tc>
          <w:tcPr>
            <w:tcW w:w="1276" w:type="dxa"/>
            <w:vAlign w:val="center"/>
          </w:tcPr>
          <w:p>
            <w:pPr>
              <w:widowControl w:val="0"/>
              <w:spacing w:line="340" w:lineRule="exact"/>
              <w:jc w:val="center"/>
              <w:rPr>
                <w:rFonts w:ascii="宋体" w:hAnsi="宋体" w:cs="宋体"/>
                <w:color w:val="auto"/>
                <w:kern w:val="21"/>
                <w:szCs w:val="21"/>
                <w:highlight w:val="none"/>
              </w:rPr>
            </w:pPr>
          </w:p>
        </w:tc>
        <w:tc>
          <w:tcPr>
            <w:tcW w:w="1418" w:type="dxa"/>
            <w:vAlign w:val="center"/>
          </w:tcPr>
          <w:p>
            <w:pPr>
              <w:widowControl w:val="0"/>
              <w:spacing w:line="340" w:lineRule="exact"/>
              <w:jc w:val="center"/>
              <w:rPr>
                <w:rFonts w:ascii="宋体" w:hAnsi="宋体" w:cs="宋体"/>
                <w:color w:val="auto"/>
                <w:kern w:val="21"/>
                <w:szCs w:val="21"/>
                <w:highlight w:val="none"/>
              </w:rPr>
            </w:pPr>
          </w:p>
        </w:tc>
        <w:tc>
          <w:tcPr>
            <w:tcW w:w="940"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044"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487"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widowControl w:val="0"/>
              <w:spacing w:line="340" w:lineRule="exact"/>
              <w:jc w:val="center"/>
              <w:rPr>
                <w:rFonts w:ascii="宋体" w:hAnsi="宋体" w:cs="宋体"/>
                <w:color w:val="auto"/>
                <w:kern w:val="21"/>
                <w:szCs w:val="21"/>
                <w:highlight w:val="none"/>
              </w:rPr>
            </w:pPr>
          </w:p>
        </w:tc>
        <w:tc>
          <w:tcPr>
            <w:tcW w:w="1276" w:type="dxa"/>
            <w:vAlign w:val="center"/>
          </w:tcPr>
          <w:p>
            <w:pPr>
              <w:widowControl w:val="0"/>
              <w:spacing w:line="340" w:lineRule="exact"/>
              <w:jc w:val="center"/>
              <w:rPr>
                <w:rFonts w:ascii="宋体" w:hAnsi="宋体" w:cs="宋体"/>
                <w:color w:val="auto"/>
                <w:kern w:val="21"/>
                <w:szCs w:val="21"/>
                <w:highlight w:val="none"/>
              </w:rPr>
            </w:pPr>
          </w:p>
        </w:tc>
        <w:tc>
          <w:tcPr>
            <w:tcW w:w="1418" w:type="dxa"/>
            <w:vAlign w:val="center"/>
          </w:tcPr>
          <w:p>
            <w:pPr>
              <w:widowControl w:val="0"/>
              <w:spacing w:line="340" w:lineRule="exact"/>
              <w:jc w:val="center"/>
              <w:rPr>
                <w:rFonts w:ascii="宋体" w:hAnsi="宋体" w:cs="宋体"/>
                <w:color w:val="auto"/>
                <w:kern w:val="21"/>
                <w:szCs w:val="21"/>
                <w:highlight w:val="none"/>
              </w:rPr>
            </w:pPr>
          </w:p>
        </w:tc>
        <w:tc>
          <w:tcPr>
            <w:tcW w:w="940"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044"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487"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widowControl w:val="0"/>
              <w:spacing w:line="340" w:lineRule="exact"/>
              <w:jc w:val="center"/>
              <w:rPr>
                <w:rFonts w:ascii="宋体" w:hAnsi="宋体" w:cs="宋体"/>
                <w:color w:val="auto"/>
                <w:kern w:val="21"/>
                <w:szCs w:val="21"/>
                <w:highlight w:val="none"/>
              </w:rPr>
            </w:pPr>
          </w:p>
        </w:tc>
        <w:tc>
          <w:tcPr>
            <w:tcW w:w="1276" w:type="dxa"/>
            <w:vAlign w:val="center"/>
          </w:tcPr>
          <w:p>
            <w:pPr>
              <w:widowControl w:val="0"/>
              <w:spacing w:line="340" w:lineRule="exact"/>
              <w:jc w:val="center"/>
              <w:rPr>
                <w:rFonts w:ascii="宋体" w:hAnsi="宋体" w:cs="宋体"/>
                <w:color w:val="auto"/>
                <w:kern w:val="21"/>
                <w:szCs w:val="21"/>
                <w:highlight w:val="none"/>
              </w:rPr>
            </w:pPr>
          </w:p>
        </w:tc>
        <w:tc>
          <w:tcPr>
            <w:tcW w:w="1418" w:type="dxa"/>
            <w:vAlign w:val="center"/>
          </w:tcPr>
          <w:p>
            <w:pPr>
              <w:widowControl w:val="0"/>
              <w:spacing w:line="340" w:lineRule="exact"/>
              <w:jc w:val="center"/>
              <w:rPr>
                <w:rFonts w:ascii="宋体" w:hAnsi="宋体" w:cs="宋体"/>
                <w:color w:val="auto"/>
                <w:kern w:val="21"/>
                <w:szCs w:val="21"/>
                <w:highlight w:val="none"/>
              </w:rPr>
            </w:pPr>
          </w:p>
        </w:tc>
        <w:tc>
          <w:tcPr>
            <w:tcW w:w="940"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044"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487"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widowControl w:val="0"/>
              <w:spacing w:line="340" w:lineRule="exact"/>
              <w:jc w:val="center"/>
              <w:rPr>
                <w:rFonts w:ascii="宋体" w:hAnsi="宋体" w:cs="宋体"/>
                <w:color w:val="auto"/>
                <w:kern w:val="21"/>
                <w:szCs w:val="21"/>
                <w:highlight w:val="none"/>
              </w:rPr>
            </w:pPr>
          </w:p>
        </w:tc>
        <w:tc>
          <w:tcPr>
            <w:tcW w:w="1276" w:type="dxa"/>
            <w:vAlign w:val="center"/>
          </w:tcPr>
          <w:p>
            <w:pPr>
              <w:widowControl w:val="0"/>
              <w:spacing w:line="340" w:lineRule="exact"/>
              <w:jc w:val="center"/>
              <w:rPr>
                <w:rFonts w:ascii="宋体" w:hAnsi="宋体" w:cs="宋体"/>
                <w:color w:val="auto"/>
                <w:kern w:val="21"/>
                <w:szCs w:val="21"/>
                <w:highlight w:val="none"/>
              </w:rPr>
            </w:pPr>
          </w:p>
        </w:tc>
        <w:tc>
          <w:tcPr>
            <w:tcW w:w="1418" w:type="dxa"/>
            <w:vAlign w:val="center"/>
          </w:tcPr>
          <w:p>
            <w:pPr>
              <w:widowControl w:val="0"/>
              <w:spacing w:line="340" w:lineRule="exact"/>
              <w:jc w:val="center"/>
              <w:rPr>
                <w:rFonts w:ascii="宋体" w:hAnsi="宋体" w:cs="宋体"/>
                <w:color w:val="auto"/>
                <w:kern w:val="21"/>
                <w:szCs w:val="21"/>
                <w:highlight w:val="none"/>
              </w:rPr>
            </w:pPr>
          </w:p>
        </w:tc>
        <w:tc>
          <w:tcPr>
            <w:tcW w:w="940"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044"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487"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widowControl w:val="0"/>
              <w:spacing w:line="340" w:lineRule="exact"/>
              <w:jc w:val="center"/>
              <w:rPr>
                <w:rFonts w:ascii="宋体" w:hAnsi="宋体" w:cs="宋体"/>
                <w:color w:val="auto"/>
                <w:kern w:val="21"/>
                <w:szCs w:val="21"/>
                <w:highlight w:val="none"/>
              </w:rPr>
            </w:pPr>
          </w:p>
        </w:tc>
        <w:tc>
          <w:tcPr>
            <w:tcW w:w="1276" w:type="dxa"/>
            <w:vAlign w:val="center"/>
          </w:tcPr>
          <w:p>
            <w:pPr>
              <w:widowControl w:val="0"/>
              <w:spacing w:line="340" w:lineRule="exact"/>
              <w:jc w:val="center"/>
              <w:rPr>
                <w:rFonts w:ascii="宋体" w:hAnsi="宋体" w:cs="宋体"/>
                <w:color w:val="auto"/>
                <w:kern w:val="21"/>
                <w:szCs w:val="21"/>
                <w:highlight w:val="none"/>
              </w:rPr>
            </w:pPr>
          </w:p>
        </w:tc>
        <w:tc>
          <w:tcPr>
            <w:tcW w:w="1418" w:type="dxa"/>
            <w:vAlign w:val="center"/>
          </w:tcPr>
          <w:p>
            <w:pPr>
              <w:widowControl w:val="0"/>
              <w:spacing w:line="340" w:lineRule="exact"/>
              <w:jc w:val="center"/>
              <w:rPr>
                <w:rFonts w:ascii="宋体" w:hAnsi="宋体" w:cs="宋体"/>
                <w:color w:val="auto"/>
                <w:kern w:val="21"/>
                <w:szCs w:val="21"/>
                <w:highlight w:val="none"/>
              </w:rPr>
            </w:pPr>
          </w:p>
        </w:tc>
        <w:tc>
          <w:tcPr>
            <w:tcW w:w="940"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044"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487"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widowControl w:val="0"/>
              <w:spacing w:line="340" w:lineRule="exact"/>
              <w:jc w:val="center"/>
              <w:rPr>
                <w:rFonts w:ascii="宋体" w:hAnsi="宋体" w:cs="宋体"/>
                <w:color w:val="auto"/>
                <w:kern w:val="21"/>
                <w:szCs w:val="21"/>
                <w:highlight w:val="none"/>
              </w:rPr>
            </w:pPr>
          </w:p>
        </w:tc>
        <w:tc>
          <w:tcPr>
            <w:tcW w:w="1276" w:type="dxa"/>
            <w:vAlign w:val="center"/>
          </w:tcPr>
          <w:p>
            <w:pPr>
              <w:widowControl w:val="0"/>
              <w:spacing w:line="340" w:lineRule="exact"/>
              <w:jc w:val="center"/>
              <w:rPr>
                <w:rFonts w:ascii="宋体" w:hAnsi="宋体" w:cs="宋体"/>
                <w:color w:val="auto"/>
                <w:kern w:val="21"/>
                <w:szCs w:val="21"/>
                <w:highlight w:val="none"/>
              </w:rPr>
            </w:pPr>
          </w:p>
        </w:tc>
        <w:tc>
          <w:tcPr>
            <w:tcW w:w="1418" w:type="dxa"/>
            <w:vAlign w:val="center"/>
          </w:tcPr>
          <w:p>
            <w:pPr>
              <w:widowControl w:val="0"/>
              <w:spacing w:line="340" w:lineRule="exact"/>
              <w:jc w:val="center"/>
              <w:rPr>
                <w:rFonts w:ascii="宋体" w:hAnsi="宋体" w:cs="宋体"/>
                <w:color w:val="auto"/>
                <w:kern w:val="21"/>
                <w:szCs w:val="21"/>
                <w:highlight w:val="none"/>
              </w:rPr>
            </w:pPr>
          </w:p>
        </w:tc>
        <w:tc>
          <w:tcPr>
            <w:tcW w:w="940"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044"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487"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widowControl w:val="0"/>
              <w:spacing w:line="340" w:lineRule="exact"/>
              <w:jc w:val="center"/>
              <w:rPr>
                <w:rFonts w:ascii="宋体" w:hAnsi="宋体" w:cs="宋体"/>
                <w:color w:val="auto"/>
                <w:kern w:val="21"/>
                <w:szCs w:val="21"/>
                <w:highlight w:val="none"/>
              </w:rPr>
            </w:pPr>
          </w:p>
        </w:tc>
        <w:tc>
          <w:tcPr>
            <w:tcW w:w="1276" w:type="dxa"/>
            <w:vAlign w:val="center"/>
          </w:tcPr>
          <w:p>
            <w:pPr>
              <w:widowControl w:val="0"/>
              <w:spacing w:line="340" w:lineRule="exact"/>
              <w:jc w:val="center"/>
              <w:rPr>
                <w:rFonts w:ascii="宋体" w:hAnsi="宋体" w:cs="宋体"/>
                <w:color w:val="auto"/>
                <w:kern w:val="21"/>
                <w:szCs w:val="21"/>
                <w:highlight w:val="none"/>
              </w:rPr>
            </w:pPr>
          </w:p>
        </w:tc>
        <w:tc>
          <w:tcPr>
            <w:tcW w:w="1418" w:type="dxa"/>
            <w:vAlign w:val="center"/>
          </w:tcPr>
          <w:p>
            <w:pPr>
              <w:widowControl w:val="0"/>
              <w:spacing w:line="340" w:lineRule="exact"/>
              <w:jc w:val="center"/>
              <w:rPr>
                <w:rFonts w:ascii="宋体" w:hAnsi="宋体" w:cs="宋体"/>
                <w:color w:val="auto"/>
                <w:kern w:val="21"/>
                <w:szCs w:val="21"/>
                <w:highlight w:val="none"/>
              </w:rPr>
            </w:pPr>
          </w:p>
        </w:tc>
        <w:tc>
          <w:tcPr>
            <w:tcW w:w="940"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044"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487"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pPr>
              <w:widowControl w:val="0"/>
              <w:spacing w:line="340" w:lineRule="exact"/>
              <w:jc w:val="center"/>
              <w:rPr>
                <w:rFonts w:ascii="宋体" w:hAnsi="宋体" w:cs="宋体"/>
                <w:color w:val="auto"/>
                <w:kern w:val="21"/>
                <w:szCs w:val="21"/>
                <w:highlight w:val="none"/>
              </w:rPr>
            </w:pPr>
          </w:p>
        </w:tc>
        <w:tc>
          <w:tcPr>
            <w:tcW w:w="1276" w:type="dxa"/>
            <w:vAlign w:val="center"/>
          </w:tcPr>
          <w:p>
            <w:pPr>
              <w:widowControl w:val="0"/>
              <w:spacing w:line="340" w:lineRule="exact"/>
              <w:jc w:val="center"/>
              <w:rPr>
                <w:rFonts w:ascii="宋体" w:hAnsi="宋体" w:cs="宋体"/>
                <w:color w:val="auto"/>
                <w:kern w:val="21"/>
                <w:szCs w:val="21"/>
                <w:highlight w:val="none"/>
              </w:rPr>
            </w:pPr>
          </w:p>
        </w:tc>
        <w:tc>
          <w:tcPr>
            <w:tcW w:w="1418" w:type="dxa"/>
            <w:vAlign w:val="center"/>
          </w:tcPr>
          <w:p>
            <w:pPr>
              <w:widowControl w:val="0"/>
              <w:spacing w:line="340" w:lineRule="exact"/>
              <w:jc w:val="center"/>
              <w:rPr>
                <w:rFonts w:ascii="宋体" w:hAnsi="宋体" w:cs="宋体"/>
                <w:color w:val="auto"/>
                <w:kern w:val="21"/>
                <w:szCs w:val="21"/>
                <w:highlight w:val="none"/>
              </w:rPr>
            </w:pPr>
          </w:p>
        </w:tc>
        <w:tc>
          <w:tcPr>
            <w:tcW w:w="940"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044"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c>
          <w:tcPr>
            <w:tcW w:w="851" w:type="dxa"/>
            <w:vAlign w:val="center"/>
          </w:tcPr>
          <w:p>
            <w:pPr>
              <w:widowControl w:val="0"/>
              <w:spacing w:line="340" w:lineRule="exact"/>
              <w:jc w:val="center"/>
              <w:rPr>
                <w:rFonts w:ascii="宋体" w:hAnsi="宋体" w:cs="宋体"/>
                <w:color w:val="auto"/>
                <w:kern w:val="21"/>
                <w:szCs w:val="21"/>
                <w:highlight w:val="none"/>
              </w:rPr>
            </w:pPr>
          </w:p>
        </w:tc>
        <w:tc>
          <w:tcPr>
            <w:tcW w:w="1487" w:type="dxa"/>
            <w:vAlign w:val="center"/>
          </w:tcPr>
          <w:p>
            <w:pPr>
              <w:widowControl w:val="0"/>
              <w:spacing w:line="340" w:lineRule="exact"/>
              <w:jc w:val="center"/>
              <w:rPr>
                <w:rFonts w:ascii="宋体" w:hAnsi="宋体" w:cs="宋体"/>
                <w:color w:val="auto"/>
                <w:kern w:val="21"/>
                <w:szCs w:val="21"/>
                <w:highlight w:val="none"/>
              </w:rPr>
            </w:pPr>
          </w:p>
        </w:tc>
        <w:tc>
          <w:tcPr>
            <w:tcW w:w="992" w:type="dxa"/>
            <w:vAlign w:val="center"/>
          </w:tcPr>
          <w:p>
            <w:pPr>
              <w:widowControl w:val="0"/>
              <w:spacing w:line="340" w:lineRule="exact"/>
              <w:jc w:val="center"/>
              <w:rPr>
                <w:rFonts w:ascii="宋体" w:hAnsi="宋体" w:cs="宋体"/>
                <w:color w:val="auto"/>
                <w:kern w:val="21"/>
                <w:szCs w:val="21"/>
                <w:highlight w:val="none"/>
              </w:rPr>
            </w:pPr>
          </w:p>
        </w:tc>
      </w:tr>
    </w:tbl>
    <w:p>
      <w:pPr>
        <w:widowControl w:val="0"/>
        <w:spacing w:line="340" w:lineRule="exact"/>
        <w:rPr>
          <w:rFonts w:ascii="宋体" w:hAnsi="宋体" w:cs="宋体"/>
          <w:color w:val="auto"/>
          <w:kern w:val="21"/>
          <w:szCs w:val="21"/>
          <w:highlight w:val="none"/>
        </w:rPr>
      </w:pPr>
    </w:p>
    <w:p>
      <w:pPr>
        <w:widowControl w:val="0"/>
        <w:spacing w:line="340" w:lineRule="exact"/>
        <w:rPr>
          <w:rFonts w:ascii="宋体" w:hAnsi="宋体" w:cs="宋体"/>
          <w:color w:val="auto"/>
          <w:kern w:val="21"/>
          <w:szCs w:val="21"/>
          <w:highlight w:val="none"/>
        </w:rPr>
      </w:pPr>
    </w:p>
    <w:p>
      <w:pPr>
        <w:widowControl w:val="0"/>
        <w:spacing w:line="340" w:lineRule="exact"/>
        <w:rPr>
          <w:rFonts w:ascii="宋体" w:hAnsi="宋体" w:cs="宋体"/>
          <w:color w:val="auto"/>
          <w:kern w:val="21"/>
          <w:szCs w:val="21"/>
          <w:highlight w:val="none"/>
        </w:rPr>
      </w:pPr>
    </w:p>
    <w:p>
      <w:pPr>
        <w:widowControl w:val="0"/>
        <w:spacing w:line="340" w:lineRule="exact"/>
        <w:rPr>
          <w:rFonts w:ascii="宋体" w:hAnsi="宋体" w:cs="宋体"/>
          <w:color w:val="auto"/>
          <w:kern w:val="21"/>
          <w:szCs w:val="21"/>
          <w:highlight w:val="none"/>
        </w:rPr>
      </w:pPr>
    </w:p>
    <w:p>
      <w:pPr>
        <w:widowControl w:val="0"/>
        <w:spacing w:line="340" w:lineRule="exact"/>
        <w:rPr>
          <w:rFonts w:ascii="宋体" w:hAnsi="宋体" w:cs="宋体"/>
          <w:color w:val="auto"/>
          <w:kern w:val="21"/>
          <w:szCs w:val="21"/>
          <w:highlight w:val="none"/>
        </w:rPr>
      </w:pPr>
    </w:p>
    <w:p>
      <w:pPr>
        <w:widowControl w:val="0"/>
        <w:spacing w:line="340" w:lineRule="exact"/>
        <w:rPr>
          <w:rFonts w:ascii="宋体" w:hAnsi="宋体" w:cs="宋体"/>
          <w:color w:val="auto"/>
          <w:kern w:val="21"/>
          <w:szCs w:val="21"/>
          <w:highlight w:val="none"/>
        </w:rPr>
      </w:pPr>
      <w:r>
        <w:rPr>
          <w:rFonts w:hint="eastAsia" w:ascii="宋体" w:hAnsi="宋体" w:cs="宋体"/>
          <w:color w:val="auto"/>
          <w:kern w:val="21"/>
          <w:szCs w:val="21"/>
          <w:highlight w:val="none"/>
        </w:rPr>
        <w:t>附</w:t>
      </w:r>
      <w:bookmarkStart w:id="652" w:name="_Toc267261693"/>
      <w:bookmarkStart w:id="653" w:name="_Toc296891054"/>
      <w:bookmarkStart w:id="654" w:name="_Toc296944565"/>
      <w:bookmarkStart w:id="655" w:name="_Toc296503226"/>
      <w:bookmarkStart w:id="656" w:name="_Toc296891266"/>
      <w:bookmarkStart w:id="657" w:name="_Toc296346727"/>
      <w:bookmarkStart w:id="658" w:name="_Toc296347225"/>
      <w:r>
        <w:rPr>
          <w:rFonts w:hint="eastAsia" w:ascii="宋体" w:hAnsi="宋体" w:cs="宋体"/>
          <w:color w:val="auto"/>
          <w:kern w:val="21"/>
          <w:szCs w:val="21"/>
          <w:highlight w:val="none"/>
        </w:rPr>
        <w:t>件3：</w:t>
      </w:r>
      <w:bookmarkEnd w:id="652"/>
      <w:bookmarkEnd w:id="653"/>
      <w:bookmarkEnd w:id="654"/>
      <w:bookmarkEnd w:id="655"/>
      <w:bookmarkEnd w:id="656"/>
      <w:bookmarkEnd w:id="657"/>
      <w:bookmarkEnd w:id="658"/>
      <w:r>
        <w:rPr>
          <w:rFonts w:hint="eastAsia" w:ascii="宋体" w:hAnsi="宋体" w:cs="宋体"/>
          <w:color w:val="auto"/>
          <w:kern w:val="21"/>
          <w:szCs w:val="21"/>
          <w:highlight w:val="none"/>
        </w:rPr>
        <w:t xml:space="preserve">    </w:t>
      </w:r>
    </w:p>
    <w:p>
      <w:pPr>
        <w:widowControl w:val="0"/>
        <w:spacing w:beforeLines="50" w:afterLines="50"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工程质量保修书</w:t>
      </w:r>
    </w:p>
    <w:p>
      <w:pPr>
        <w:widowControl w:val="0"/>
        <w:spacing w:line="340" w:lineRule="exact"/>
        <w:ind w:firstLine="420" w:firstLineChars="200"/>
        <w:rPr>
          <w:rFonts w:ascii="宋体" w:hAnsi="宋体" w:cs="宋体"/>
          <w:color w:val="auto"/>
          <w:kern w:val="21"/>
          <w:szCs w:val="21"/>
          <w:highlight w:val="none"/>
        </w:rPr>
      </w:pPr>
      <w:r>
        <w:rPr>
          <w:rFonts w:hint="eastAsia" w:ascii="宋体" w:hAnsi="宋体" w:cs="宋体"/>
          <w:color w:val="auto"/>
          <w:kern w:val="21"/>
          <w:szCs w:val="21"/>
          <w:highlight w:val="none"/>
        </w:rPr>
        <w:t>发包人（全称）：</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w:t>
      </w:r>
    </w:p>
    <w:p>
      <w:pPr>
        <w:widowControl w:val="0"/>
        <w:spacing w:line="340" w:lineRule="exact"/>
        <w:rPr>
          <w:rFonts w:ascii="宋体" w:hAnsi="宋体" w:cs="宋体"/>
          <w:color w:val="auto"/>
          <w:kern w:val="21"/>
          <w:szCs w:val="21"/>
          <w:highlight w:val="none"/>
        </w:rPr>
      </w:pPr>
      <w:r>
        <w:rPr>
          <w:rFonts w:hint="eastAsia" w:ascii="宋体" w:hAnsi="宋体" w:cs="宋体"/>
          <w:color w:val="auto"/>
          <w:kern w:val="21"/>
          <w:szCs w:val="21"/>
          <w:highlight w:val="none"/>
        </w:rPr>
        <w:t>　　承包人（全称）：</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w:t>
      </w:r>
    </w:p>
    <w:p>
      <w:pPr>
        <w:widowControl w:val="0"/>
        <w:spacing w:line="440" w:lineRule="exact"/>
        <w:textAlignment w:val="auto"/>
        <w:rPr>
          <w:rFonts w:ascii="宋体" w:hAnsi="宋体" w:cs="宋体"/>
          <w:color w:val="auto"/>
          <w:kern w:val="21"/>
          <w:szCs w:val="21"/>
          <w:highlight w:val="none"/>
        </w:rPr>
      </w:pPr>
    </w:p>
    <w:p>
      <w:pPr>
        <w:widowControl w:val="0"/>
        <w:spacing w:line="440" w:lineRule="exact"/>
        <w:ind w:left="2310" w:hanging="2310" w:hangingChars="1100"/>
        <w:jc w:val="lef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　　发包人和承包人根据《中华人民共和国建筑法》和《建设工程质量管理条例》，经协商一致就</w:t>
      </w:r>
      <w:r>
        <w:rPr>
          <w:rFonts w:hint="eastAsia" w:ascii="宋体" w:hAnsi="宋体" w:cs="宋体"/>
          <w:color w:val="auto"/>
          <w:kern w:val="21"/>
          <w:szCs w:val="21"/>
          <w:highlight w:val="none"/>
          <w:u w:val="single"/>
        </w:rPr>
        <w:t xml:space="preserve">      </w:t>
      </w:r>
    </w:p>
    <w:p>
      <w:pPr>
        <w:widowControl w:val="0"/>
        <w:spacing w:line="440" w:lineRule="exact"/>
        <w:ind w:left="2310" w:hanging="2310" w:hangingChars="11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签订工程质量保修书。</w:t>
      </w:r>
    </w:p>
    <w:p>
      <w:pPr>
        <w:widowControl w:val="0"/>
        <w:spacing w:line="440" w:lineRule="exact"/>
        <w:textAlignment w:val="auto"/>
        <w:outlineLvl w:val="0"/>
        <w:rPr>
          <w:rFonts w:ascii="宋体" w:hAnsi="宋体" w:cs="宋体"/>
          <w:color w:val="auto"/>
          <w:kern w:val="21"/>
          <w:szCs w:val="21"/>
          <w:highlight w:val="none"/>
        </w:rPr>
      </w:pPr>
      <w:r>
        <w:rPr>
          <w:rFonts w:hint="eastAsia" w:ascii="宋体" w:hAnsi="宋体" w:cs="宋体"/>
          <w:color w:val="auto"/>
          <w:kern w:val="21"/>
          <w:szCs w:val="21"/>
          <w:highlight w:val="none"/>
        </w:rPr>
        <w:t>　　</w:t>
      </w:r>
      <w:bookmarkStart w:id="659" w:name="_Toc23991"/>
      <w:r>
        <w:rPr>
          <w:rFonts w:hint="eastAsia" w:ascii="宋体" w:hAnsi="宋体" w:cs="宋体"/>
          <w:color w:val="auto"/>
          <w:kern w:val="21"/>
          <w:szCs w:val="21"/>
          <w:highlight w:val="none"/>
        </w:rPr>
        <w:t>一、工程质量保修范围和内容</w:t>
      </w:r>
      <w:bookmarkEnd w:id="659"/>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承包人在质量保修期内，按照有关法律规定和合同约定，承担工程质量保修责任。</w:t>
      </w:r>
    </w:p>
    <w:p>
      <w:pPr>
        <w:widowControl w:val="0"/>
        <w:spacing w:line="440" w:lineRule="exact"/>
        <w:ind w:firstLine="48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widowControl w:val="0"/>
        <w:spacing w:line="440" w:lineRule="exact"/>
        <w:ind w:firstLine="480"/>
        <w:textAlignment w:val="auto"/>
        <w:rPr>
          <w:rFonts w:ascii="宋体" w:hAnsi="宋体" w:cs="宋体"/>
          <w:b/>
          <w:color w:val="auto"/>
          <w:kern w:val="21"/>
          <w:szCs w:val="21"/>
          <w:highlight w:val="none"/>
        </w:rPr>
      </w:pPr>
      <w:r>
        <w:rPr>
          <w:rFonts w:hint="eastAsia" w:ascii="宋体" w:hAnsi="宋体" w:cs="宋体"/>
          <w:color w:val="auto"/>
          <w:kern w:val="21"/>
          <w:szCs w:val="21"/>
          <w:highlight w:val="none"/>
          <w:u w:val="single"/>
        </w:rPr>
        <w:t xml:space="preserve">电气管线、给排水管道、设备安装工程2 年 </w:t>
      </w:r>
      <w:r>
        <w:rPr>
          <w:rFonts w:hint="eastAsia" w:ascii="宋体" w:hAnsi="宋体" w:cs="宋体"/>
          <w:b/>
          <w:color w:val="auto"/>
          <w:kern w:val="21"/>
          <w:szCs w:val="21"/>
          <w:highlight w:val="none"/>
        </w:rPr>
        <w:t>　　</w:t>
      </w:r>
    </w:p>
    <w:p>
      <w:pPr>
        <w:widowControl w:val="0"/>
        <w:spacing w:line="440" w:lineRule="exact"/>
        <w:ind w:firstLine="48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二、质量保修期</w:t>
      </w:r>
    </w:p>
    <w:p>
      <w:pPr>
        <w:widowControl w:val="0"/>
        <w:spacing w:line="44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根据《建设工程质量管理条例》及有关规定，工程的质量保修期如下：</w:t>
      </w:r>
    </w:p>
    <w:p>
      <w:pPr>
        <w:widowControl w:val="0"/>
        <w:spacing w:line="440" w:lineRule="exact"/>
        <w:ind w:firstLine="630" w:firstLineChars="3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1．地基基础工程和主体结构工程为设计文件规定的工程合理使用年限；</w:t>
      </w:r>
    </w:p>
    <w:p>
      <w:pPr>
        <w:widowControl w:val="0"/>
        <w:spacing w:line="440" w:lineRule="exact"/>
        <w:ind w:firstLine="630" w:firstLineChars="3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2．屋面防水工程、有防水要求的卫生间、房间和外墙面的防渗为</w:t>
      </w:r>
      <w:r>
        <w:rPr>
          <w:rFonts w:hint="eastAsia" w:ascii="宋体" w:hAnsi="宋体" w:cs="宋体"/>
          <w:color w:val="auto"/>
          <w:kern w:val="21"/>
          <w:szCs w:val="21"/>
          <w:highlight w:val="none"/>
          <w:u w:val="single"/>
        </w:rPr>
        <w:t xml:space="preserve">   5   </w:t>
      </w:r>
      <w:r>
        <w:rPr>
          <w:rFonts w:hint="eastAsia" w:ascii="宋体" w:hAnsi="宋体" w:cs="宋体"/>
          <w:color w:val="auto"/>
          <w:kern w:val="21"/>
          <w:szCs w:val="21"/>
          <w:highlight w:val="none"/>
        </w:rPr>
        <w:t>年；</w:t>
      </w:r>
    </w:p>
    <w:p>
      <w:pPr>
        <w:widowControl w:val="0"/>
        <w:spacing w:line="440" w:lineRule="exact"/>
        <w:ind w:firstLine="630" w:firstLineChars="3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3．装修工程为</w:t>
      </w:r>
      <w:r>
        <w:rPr>
          <w:rFonts w:hint="eastAsia" w:ascii="宋体" w:hAnsi="宋体" w:cs="宋体"/>
          <w:color w:val="auto"/>
          <w:kern w:val="21"/>
          <w:szCs w:val="21"/>
          <w:highlight w:val="none"/>
          <w:u w:val="single"/>
        </w:rPr>
        <w:t xml:space="preserve">   2     </w:t>
      </w:r>
      <w:r>
        <w:rPr>
          <w:rFonts w:hint="eastAsia" w:ascii="宋体" w:hAnsi="宋体" w:cs="宋体"/>
          <w:color w:val="auto"/>
          <w:kern w:val="21"/>
          <w:szCs w:val="21"/>
          <w:highlight w:val="none"/>
        </w:rPr>
        <w:t>年；</w:t>
      </w:r>
    </w:p>
    <w:p>
      <w:pPr>
        <w:widowControl w:val="0"/>
        <w:spacing w:line="440" w:lineRule="exact"/>
        <w:ind w:firstLine="630" w:firstLineChars="3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4．电气管线、给排水管道、设备安装工程为</w:t>
      </w:r>
      <w:r>
        <w:rPr>
          <w:rFonts w:hint="eastAsia" w:ascii="宋体" w:hAnsi="宋体" w:cs="宋体"/>
          <w:color w:val="auto"/>
          <w:kern w:val="21"/>
          <w:szCs w:val="21"/>
          <w:highlight w:val="none"/>
          <w:u w:val="single"/>
        </w:rPr>
        <w:t xml:space="preserve">   2  </w:t>
      </w:r>
      <w:r>
        <w:rPr>
          <w:rFonts w:hint="eastAsia" w:ascii="宋体" w:hAnsi="宋体" w:cs="宋体"/>
          <w:color w:val="auto"/>
          <w:kern w:val="21"/>
          <w:szCs w:val="21"/>
          <w:highlight w:val="none"/>
        </w:rPr>
        <w:t>年；</w:t>
      </w:r>
    </w:p>
    <w:p>
      <w:pPr>
        <w:widowControl w:val="0"/>
        <w:spacing w:line="440" w:lineRule="exact"/>
        <w:ind w:firstLine="630" w:firstLineChars="3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5．供热与供冷系统为</w:t>
      </w:r>
      <w:r>
        <w:rPr>
          <w:rFonts w:hint="eastAsia" w:ascii="宋体" w:hAnsi="宋体" w:cs="宋体"/>
          <w:color w:val="auto"/>
          <w:kern w:val="21"/>
          <w:szCs w:val="21"/>
          <w:highlight w:val="none"/>
          <w:u w:val="single"/>
        </w:rPr>
        <w:t xml:space="preserve">  2    </w:t>
      </w:r>
      <w:r>
        <w:rPr>
          <w:rFonts w:hint="eastAsia" w:ascii="宋体" w:hAnsi="宋体" w:cs="宋体"/>
          <w:color w:val="auto"/>
          <w:kern w:val="21"/>
          <w:szCs w:val="21"/>
          <w:highlight w:val="none"/>
        </w:rPr>
        <w:t>个采暖期、供冷期；</w:t>
      </w:r>
    </w:p>
    <w:p>
      <w:pPr>
        <w:widowControl w:val="0"/>
        <w:spacing w:line="440" w:lineRule="exact"/>
        <w:ind w:firstLine="630" w:firstLineChars="3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6．住宅小区内的给排水设施、道路等配套工程为</w:t>
      </w:r>
      <w:r>
        <w:rPr>
          <w:rFonts w:hint="eastAsia" w:ascii="宋体" w:hAnsi="宋体" w:cs="宋体"/>
          <w:color w:val="auto"/>
          <w:kern w:val="21"/>
          <w:szCs w:val="21"/>
          <w:highlight w:val="none"/>
          <w:u w:val="single"/>
        </w:rPr>
        <w:t xml:space="preserve">   2   </w:t>
      </w:r>
      <w:r>
        <w:rPr>
          <w:rFonts w:hint="eastAsia" w:ascii="宋体" w:hAnsi="宋体" w:cs="宋体"/>
          <w:color w:val="auto"/>
          <w:kern w:val="21"/>
          <w:szCs w:val="21"/>
          <w:highlight w:val="none"/>
        </w:rPr>
        <w:t>年；</w:t>
      </w:r>
    </w:p>
    <w:p>
      <w:pPr>
        <w:widowControl w:val="0"/>
        <w:spacing w:line="440" w:lineRule="exact"/>
        <w:ind w:firstLine="630" w:firstLineChars="3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7．其他项目保修期限约定如下：</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质量保修期自工程竣工验收合格之日起计算。</w:t>
      </w:r>
    </w:p>
    <w:p>
      <w:pPr>
        <w:widowControl w:val="0"/>
        <w:spacing w:line="440" w:lineRule="exact"/>
        <w:ind w:firstLine="420" w:firstLineChars="200"/>
        <w:textAlignment w:val="auto"/>
        <w:outlineLvl w:val="0"/>
        <w:rPr>
          <w:rFonts w:ascii="宋体" w:hAnsi="宋体" w:cs="宋体"/>
          <w:color w:val="auto"/>
          <w:kern w:val="21"/>
          <w:szCs w:val="21"/>
          <w:highlight w:val="none"/>
        </w:rPr>
      </w:pPr>
      <w:bookmarkStart w:id="660" w:name="_Toc29990"/>
      <w:r>
        <w:rPr>
          <w:rFonts w:hint="eastAsia" w:ascii="宋体" w:hAnsi="宋体" w:cs="宋体"/>
          <w:color w:val="auto"/>
          <w:kern w:val="21"/>
          <w:szCs w:val="21"/>
          <w:highlight w:val="none"/>
        </w:rPr>
        <w:t>三、缺陷责任期</w:t>
      </w:r>
      <w:bookmarkEnd w:id="660"/>
    </w:p>
    <w:p>
      <w:pPr>
        <w:widowControl w:val="0"/>
        <w:spacing w:line="44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工程缺陷责任期为</w:t>
      </w:r>
      <w:r>
        <w:rPr>
          <w:rFonts w:hint="eastAsia" w:ascii="宋体" w:hAnsi="宋体" w:cs="宋体"/>
          <w:color w:val="auto"/>
          <w:kern w:val="21"/>
          <w:szCs w:val="21"/>
          <w:highlight w:val="none"/>
          <w:u w:val="single"/>
        </w:rPr>
        <w:t xml:space="preserve"> 24</w:t>
      </w:r>
      <w:r>
        <w:rPr>
          <w:rFonts w:hint="eastAsia" w:ascii="宋体" w:hAnsi="宋体" w:cs="宋体"/>
          <w:color w:val="auto"/>
          <w:kern w:val="21"/>
          <w:szCs w:val="21"/>
          <w:highlight w:val="none"/>
        </w:rPr>
        <w:t>个月，缺陷责任期自工程通过竣工验收之日起计算。单位工程先于全部工程进行验收，单位工程缺陷责任期自单位工程验收合格之日起算。</w:t>
      </w:r>
    </w:p>
    <w:p>
      <w:pPr>
        <w:widowControl w:val="0"/>
        <w:spacing w:line="44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缺陷责任期终止后，发包人应退还剩余的质量保证金。</w:t>
      </w:r>
    </w:p>
    <w:p>
      <w:pPr>
        <w:widowControl w:val="0"/>
        <w:spacing w:line="440" w:lineRule="exact"/>
        <w:textAlignment w:val="auto"/>
        <w:outlineLvl w:val="0"/>
        <w:rPr>
          <w:rFonts w:ascii="宋体" w:hAnsi="宋体" w:cs="宋体"/>
          <w:color w:val="auto"/>
          <w:kern w:val="21"/>
          <w:szCs w:val="21"/>
          <w:highlight w:val="none"/>
        </w:rPr>
      </w:pPr>
      <w:r>
        <w:rPr>
          <w:rFonts w:hint="eastAsia" w:ascii="宋体" w:hAnsi="宋体" w:cs="宋体"/>
          <w:color w:val="auto"/>
          <w:kern w:val="21"/>
          <w:szCs w:val="21"/>
          <w:highlight w:val="none"/>
        </w:rPr>
        <w:t xml:space="preserve">    </w:t>
      </w:r>
      <w:bookmarkStart w:id="661" w:name="_Toc25520"/>
      <w:r>
        <w:rPr>
          <w:rFonts w:hint="eastAsia" w:ascii="宋体" w:hAnsi="宋体" w:cs="宋体"/>
          <w:color w:val="auto"/>
          <w:kern w:val="21"/>
          <w:szCs w:val="21"/>
          <w:highlight w:val="none"/>
        </w:rPr>
        <w:t>四、质量保修责任</w:t>
      </w:r>
      <w:bookmarkEnd w:id="661"/>
    </w:p>
    <w:p>
      <w:pPr>
        <w:widowControl w:val="0"/>
        <w:spacing w:line="440" w:lineRule="exact"/>
        <w:ind w:left="105" w:leftChars="50" w:firstLine="430" w:firstLineChars="205"/>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1．属于保修范围、内容的项目，承包人应当在接到保修通知之日起7天内派人保修。承包人不在约定期限内派人保修的，发包人可以委托他人修理。</w:t>
      </w:r>
    </w:p>
    <w:p>
      <w:pPr>
        <w:widowControl w:val="0"/>
        <w:spacing w:line="440" w:lineRule="exact"/>
        <w:ind w:left="105" w:leftChars="50" w:firstLine="430" w:firstLineChars="205"/>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2．发生紧急事故需抢修的，承包人在接到事故通知后，应当立即到达事故现场抢修。</w:t>
      </w:r>
    </w:p>
    <w:p>
      <w:pPr>
        <w:widowControl w:val="0"/>
        <w:spacing w:line="440" w:lineRule="exact"/>
        <w:ind w:left="105" w:leftChars="50" w:firstLine="430" w:firstLineChars="205"/>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widowControl w:val="0"/>
        <w:spacing w:line="440" w:lineRule="exact"/>
        <w:ind w:left="420" w:leftChars="200" w:firstLine="105" w:firstLineChars="5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4．质量保修完成后，由发包人组织验收。</w:t>
      </w:r>
    </w:p>
    <w:p>
      <w:pPr>
        <w:widowControl w:val="0"/>
        <w:spacing w:line="440" w:lineRule="exact"/>
        <w:textAlignment w:val="auto"/>
        <w:outlineLvl w:val="0"/>
        <w:rPr>
          <w:rFonts w:ascii="宋体" w:hAnsi="宋体" w:cs="宋体"/>
          <w:color w:val="auto"/>
          <w:kern w:val="21"/>
          <w:szCs w:val="21"/>
          <w:highlight w:val="none"/>
        </w:rPr>
      </w:pPr>
      <w:r>
        <w:rPr>
          <w:rFonts w:hint="eastAsia" w:ascii="宋体" w:hAnsi="宋体" w:cs="宋体"/>
          <w:color w:val="auto"/>
          <w:kern w:val="21"/>
          <w:szCs w:val="21"/>
          <w:highlight w:val="none"/>
        </w:rPr>
        <w:t>　　</w:t>
      </w:r>
      <w:bookmarkStart w:id="662" w:name="_Toc10178"/>
      <w:r>
        <w:rPr>
          <w:rFonts w:hint="eastAsia" w:ascii="宋体" w:hAnsi="宋体" w:cs="宋体"/>
          <w:color w:val="auto"/>
          <w:kern w:val="21"/>
          <w:szCs w:val="21"/>
          <w:highlight w:val="none"/>
        </w:rPr>
        <w:t>五、保修费用</w:t>
      </w:r>
      <w:bookmarkEnd w:id="662"/>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保修费用由造成质量缺陷的责任方承担。</w:t>
      </w:r>
    </w:p>
    <w:p>
      <w:pPr>
        <w:widowControl w:val="0"/>
        <w:spacing w:line="440" w:lineRule="exact"/>
        <w:ind w:firstLine="600"/>
        <w:jc w:val="left"/>
        <w:textAlignment w:val="auto"/>
        <w:outlineLvl w:val="0"/>
        <w:rPr>
          <w:rFonts w:ascii="宋体" w:hAnsi="宋体" w:cs="宋体"/>
          <w:color w:val="auto"/>
          <w:kern w:val="21"/>
          <w:szCs w:val="21"/>
          <w:highlight w:val="none"/>
        </w:rPr>
      </w:pPr>
      <w:bookmarkStart w:id="663" w:name="_Toc25072"/>
      <w:r>
        <w:rPr>
          <w:rFonts w:hint="eastAsia" w:ascii="宋体" w:hAnsi="宋体" w:cs="宋体"/>
          <w:b/>
          <w:color w:val="auto"/>
          <w:kern w:val="21"/>
          <w:szCs w:val="21"/>
          <w:highlight w:val="none"/>
        </w:rPr>
        <w:t>六</w:t>
      </w:r>
      <w:r>
        <w:rPr>
          <w:rFonts w:hint="eastAsia" w:ascii="宋体" w:hAnsi="宋体" w:cs="宋体"/>
          <w:color w:val="auto"/>
          <w:kern w:val="21"/>
          <w:szCs w:val="21"/>
          <w:highlight w:val="none"/>
        </w:rPr>
        <w:t>、双方约定的其他工程质量保修事项：</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w:t>
      </w:r>
      <w:bookmarkEnd w:id="663"/>
    </w:p>
    <w:p>
      <w:pPr>
        <w:widowControl w:val="0"/>
        <w:spacing w:line="440" w:lineRule="exact"/>
        <w:ind w:firstLine="399" w:firstLineChars="19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工程质量保修书由发包人、承包人在工程竣工验收前共同签署，作为施工合同附件，其有效期限至保修期满。</w:t>
      </w:r>
    </w:p>
    <w:p>
      <w:pPr>
        <w:widowControl w:val="0"/>
        <w:spacing w:line="440" w:lineRule="exact"/>
        <w:ind w:firstLine="420"/>
        <w:textAlignment w:val="auto"/>
        <w:rPr>
          <w:rFonts w:ascii="宋体" w:hAnsi="宋体" w:cs="宋体"/>
          <w:color w:val="auto"/>
          <w:kern w:val="21"/>
          <w:szCs w:val="21"/>
          <w:highlight w:val="none"/>
        </w:rPr>
      </w:pP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发包人(公章)：</w:t>
      </w:r>
      <w:r>
        <w:rPr>
          <w:rFonts w:hint="eastAsia" w:ascii="宋体" w:hAnsi="宋体" w:cs="宋体"/>
          <w:color w:val="auto"/>
          <w:kern w:val="21"/>
          <w:szCs w:val="21"/>
          <w:highlight w:val="none"/>
          <w:u w:val="single"/>
        </w:rPr>
        <w:t xml:space="preserve">        </w:t>
      </w:r>
      <w:r>
        <w:rPr>
          <w:rFonts w:hint="eastAsia" w:ascii="宋体" w:hAnsi="宋体" w:cs="宋体"/>
          <w:color w:val="auto"/>
          <w:kern w:val="21"/>
          <w:szCs w:val="21"/>
          <w:highlight w:val="none"/>
        </w:rPr>
        <w:t xml:space="preserve"> 承包人(公章)：</w:t>
      </w:r>
      <w:r>
        <w:rPr>
          <w:rFonts w:hint="eastAsia" w:ascii="宋体" w:hAnsi="宋体" w:cs="宋体"/>
          <w:color w:val="auto"/>
          <w:kern w:val="21"/>
          <w:szCs w:val="21"/>
          <w:highlight w:val="none"/>
          <w:u w:val="single"/>
        </w:rPr>
        <w:t xml:space="preserve">          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地  址：</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 xml:space="preserve"> 地  址：</w:t>
      </w:r>
      <w:r>
        <w:rPr>
          <w:rFonts w:hint="eastAsia" w:ascii="宋体" w:hAnsi="宋体" w:cs="宋体"/>
          <w:color w:val="auto"/>
          <w:kern w:val="21"/>
          <w:szCs w:val="21"/>
          <w:highlight w:val="none"/>
          <w:u w:val="single"/>
        </w:rPr>
        <w:t xml:space="preserve"> 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法定代表人(签字)：</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法定代表人(签字)：</w:t>
      </w:r>
      <w:r>
        <w:rPr>
          <w:rFonts w:hint="eastAsia" w:ascii="宋体" w:hAnsi="宋体" w:cs="宋体"/>
          <w:color w:val="auto"/>
          <w:kern w:val="21"/>
          <w:szCs w:val="21"/>
          <w:highlight w:val="none"/>
          <w:u w:val="single"/>
        </w:rPr>
        <w:t xml:space="preserve">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委托代理人(签字)：</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委托代理人(签字)：</w:t>
      </w:r>
      <w:r>
        <w:rPr>
          <w:rFonts w:hint="eastAsia" w:ascii="宋体" w:hAnsi="宋体" w:cs="宋体"/>
          <w:color w:val="auto"/>
          <w:kern w:val="21"/>
          <w:szCs w:val="21"/>
          <w:highlight w:val="none"/>
          <w:u w:val="single"/>
        </w:rPr>
        <w:t xml:space="preserve">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电  话：</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电  话：</w:t>
      </w:r>
      <w:r>
        <w:rPr>
          <w:rFonts w:hint="eastAsia" w:ascii="宋体" w:hAnsi="宋体" w:cs="宋体"/>
          <w:color w:val="auto"/>
          <w:kern w:val="21"/>
          <w:szCs w:val="21"/>
          <w:highlight w:val="none"/>
          <w:u w:val="single"/>
        </w:rPr>
        <w:t xml:space="preserve">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传  真：</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传  真：</w:t>
      </w:r>
      <w:r>
        <w:rPr>
          <w:rFonts w:hint="eastAsia" w:ascii="宋体" w:hAnsi="宋体" w:cs="宋体"/>
          <w:color w:val="auto"/>
          <w:kern w:val="21"/>
          <w:szCs w:val="21"/>
          <w:highlight w:val="none"/>
          <w:u w:val="single"/>
        </w:rPr>
        <w:t xml:space="preserve">  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开户银行：</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开户银行：</w:t>
      </w:r>
      <w:r>
        <w:rPr>
          <w:rFonts w:hint="eastAsia" w:ascii="宋体" w:hAnsi="宋体" w:cs="宋体"/>
          <w:color w:val="auto"/>
          <w:kern w:val="21"/>
          <w:szCs w:val="21"/>
          <w:highlight w:val="none"/>
          <w:u w:val="single"/>
        </w:rPr>
        <w:t xml:space="preserve">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账  号：</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 xml:space="preserve">  账  号：</w:t>
      </w:r>
      <w:r>
        <w:rPr>
          <w:rFonts w:hint="eastAsia" w:ascii="宋体" w:hAnsi="宋体" w:cs="宋体"/>
          <w:color w:val="auto"/>
          <w:kern w:val="21"/>
          <w:szCs w:val="21"/>
          <w:highlight w:val="none"/>
          <w:u w:val="single"/>
        </w:rPr>
        <w:t xml:space="preserve">     </w:t>
      </w:r>
    </w:p>
    <w:p>
      <w:pPr>
        <w:widowControl w:val="0"/>
        <w:spacing w:line="44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邮政编码：</w:t>
      </w:r>
      <w:r>
        <w:rPr>
          <w:rFonts w:hint="eastAsia" w:ascii="宋体" w:hAnsi="宋体" w:cs="宋体"/>
          <w:color w:val="auto"/>
          <w:kern w:val="21"/>
          <w:szCs w:val="21"/>
          <w:highlight w:val="none"/>
          <w:u w:val="single"/>
        </w:rPr>
        <w:t xml:space="preserve">     </w:t>
      </w:r>
      <w:r>
        <w:rPr>
          <w:rFonts w:hint="eastAsia" w:ascii="宋体" w:hAnsi="宋体" w:cs="宋体"/>
          <w:color w:val="auto"/>
          <w:kern w:val="21"/>
          <w:szCs w:val="21"/>
          <w:highlight w:val="none"/>
        </w:rPr>
        <w:t xml:space="preserve"> 邮政编码：</w:t>
      </w:r>
      <w:r>
        <w:rPr>
          <w:rFonts w:hint="eastAsia" w:ascii="宋体" w:hAnsi="宋体" w:cs="宋体"/>
          <w:color w:val="auto"/>
          <w:kern w:val="21"/>
          <w:szCs w:val="21"/>
          <w:highlight w:val="none"/>
          <w:u w:val="single"/>
        </w:rPr>
        <w:t xml:space="preserve">   </w:t>
      </w:r>
    </w:p>
    <w:p>
      <w:pPr>
        <w:widowControl w:val="0"/>
        <w:spacing w:line="340" w:lineRule="exact"/>
        <w:rPr>
          <w:rFonts w:ascii="宋体" w:hAnsi="宋体" w:cs="宋体"/>
          <w:color w:val="auto"/>
          <w:kern w:val="21"/>
          <w:szCs w:val="21"/>
          <w:highlight w:val="none"/>
        </w:rPr>
      </w:pPr>
      <w:r>
        <w:rPr>
          <w:rFonts w:hint="eastAsia" w:ascii="宋体" w:hAnsi="宋体" w:cs="宋体"/>
          <w:b/>
          <w:color w:val="auto"/>
          <w:kern w:val="21"/>
          <w:szCs w:val="21"/>
          <w:highlight w:val="none"/>
        </w:rPr>
        <w:br w:type="page"/>
      </w:r>
      <w:r>
        <w:rPr>
          <w:rFonts w:hint="eastAsia" w:ascii="宋体" w:hAnsi="宋体" w:cs="宋体"/>
          <w:color w:val="auto"/>
          <w:kern w:val="21"/>
          <w:szCs w:val="21"/>
          <w:highlight w:val="none"/>
        </w:rPr>
        <w:t>附件4：</w:t>
      </w:r>
    </w:p>
    <w:p>
      <w:pPr>
        <w:widowControl w:val="0"/>
        <w:spacing w:beforeLines="50" w:afterLines="50"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主要建设工程文件目录</w:t>
      </w:r>
    </w:p>
    <w:tbl>
      <w:tblPr>
        <w:tblStyle w:val="22"/>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文件名称</w:t>
            </w:r>
          </w:p>
        </w:tc>
        <w:tc>
          <w:tcPr>
            <w:tcW w:w="1276"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套数</w:t>
            </w:r>
          </w:p>
        </w:tc>
        <w:tc>
          <w:tcPr>
            <w:tcW w:w="1450"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费用（元）</w:t>
            </w:r>
          </w:p>
        </w:tc>
        <w:tc>
          <w:tcPr>
            <w:tcW w:w="1243"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质量</w:t>
            </w:r>
          </w:p>
        </w:tc>
        <w:tc>
          <w:tcPr>
            <w:tcW w:w="1450" w:type="dxa"/>
            <w:tcBorders>
              <w:top w:val="single" w:color="auto" w:sz="12" w:space="0"/>
              <w:bottom w:val="double" w:color="auto" w:sz="6" w:space="0"/>
            </w:tcBorders>
          </w:tcPr>
          <w:p>
            <w:pPr>
              <w:widowControl w:val="0"/>
              <w:spacing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移交时间</w:t>
            </w:r>
          </w:p>
        </w:tc>
        <w:tc>
          <w:tcPr>
            <w:tcW w:w="1667" w:type="dxa"/>
            <w:tcBorders>
              <w:top w:val="single" w:color="auto" w:sz="12" w:space="0"/>
              <w:bottom w:val="double" w:color="auto" w:sz="6" w:space="0"/>
            </w:tcBorders>
          </w:tcPr>
          <w:p>
            <w:pPr>
              <w:widowControl w:val="0"/>
              <w:spacing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43"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667"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43"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667"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4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66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4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66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4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66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4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66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4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66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4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66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widowControl w:val="0"/>
              <w:spacing w:line="340" w:lineRule="exact"/>
              <w:rPr>
                <w:rFonts w:ascii="宋体" w:hAnsi="宋体" w:cs="宋体"/>
                <w:color w:val="auto"/>
                <w:kern w:val="21"/>
                <w:szCs w:val="21"/>
                <w:highlight w:val="none"/>
              </w:rPr>
            </w:pPr>
          </w:p>
        </w:tc>
        <w:tc>
          <w:tcPr>
            <w:tcW w:w="1276"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243"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667"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76"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243"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667"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widowControl w:val="0"/>
              <w:spacing w:line="340" w:lineRule="exact"/>
              <w:rPr>
                <w:rFonts w:ascii="宋体" w:hAnsi="宋体" w:cs="宋体"/>
                <w:color w:val="auto"/>
                <w:kern w:val="21"/>
                <w:szCs w:val="21"/>
                <w:highlight w:val="none"/>
              </w:rPr>
            </w:pPr>
          </w:p>
        </w:tc>
        <w:tc>
          <w:tcPr>
            <w:tcW w:w="1276"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243"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667"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widowControl w:val="0"/>
              <w:spacing w:line="340" w:lineRule="exact"/>
              <w:rPr>
                <w:rFonts w:ascii="宋体" w:hAnsi="宋体" w:cs="宋体"/>
                <w:color w:val="auto"/>
                <w:kern w:val="21"/>
                <w:szCs w:val="21"/>
                <w:highlight w:val="none"/>
              </w:rPr>
            </w:pPr>
          </w:p>
        </w:tc>
        <w:tc>
          <w:tcPr>
            <w:tcW w:w="1276"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243"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667"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widowControl w:val="0"/>
              <w:spacing w:line="340" w:lineRule="exact"/>
              <w:rPr>
                <w:rFonts w:ascii="宋体" w:hAnsi="宋体" w:cs="宋体"/>
                <w:color w:val="auto"/>
                <w:kern w:val="21"/>
                <w:szCs w:val="21"/>
                <w:highlight w:val="none"/>
              </w:rPr>
            </w:pPr>
          </w:p>
        </w:tc>
        <w:tc>
          <w:tcPr>
            <w:tcW w:w="1276"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243"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667"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widowControl w:val="0"/>
              <w:spacing w:line="340" w:lineRule="exact"/>
              <w:rPr>
                <w:rFonts w:ascii="宋体" w:hAnsi="宋体" w:cs="宋体"/>
                <w:color w:val="auto"/>
                <w:kern w:val="21"/>
                <w:szCs w:val="21"/>
                <w:highlight w:val="none"/>
              </w:rPr>
            </w:pPr>
          </w:p>
        </w:tc>
        <w:tc>
          <w:tcPr>
            <w:tcW w:w="1276"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243"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667"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widowControl w:val="0"/>
              <w:spacing w:line="340" w:lineRule="exact"/>
              <w:rPr>
                <w:rFonts w:ascii="宋体" w:hAnsi="宋体" w:cs="宋体"/>
                <w:color w:val="auto"/>
                <w:kern w:val="21"/>
                <w:szCs w:val="21"/>
                <w:highlight w:val="none"/>
              </w:rPr>
            </w:pPr>
          </w:p>
        </w:tc>
        <w:tc>
          <w:tcPr>
            <w:tcW w:w="1276"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243"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667"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widowControl w:val="0"/>
              <w:spacing w:line="340" w:lineRule="exact"/>
              <w:rPr>
                <w:rFonts w:ascii="宋体" w:hAnsi="宋体" w:cs="宋体"/>
                <w:color w:val="auto"/>
                <w:kern w:val="21"/>
                <w:szCs w:val="21"/>
                <w:highlight w:val="none"/>
              </w:rPr>
            </w:pPr>
          </w:p>
        </w:tc>
        <w:tc>
          <w:tcPr>
            <w:tcW w:w="1276"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243"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667"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widowControl w:val="0"/>
              <w:spacing w:line="340" w:lineRule="exact"/>
              <w:rPr>
                <w:rFonts w:ascii="宋体" w:hAnsi="宋体" w:cs="宋体"/>
                <w:color w:val="auto"/>
                <w:kern w:val="21"/>
                <w:szCs w:val="21"/>
                <w:highlight w:val="none"/>
              </w:rPr>
            </w:pPr>
          </w:p>
        </w:tc>
        <w:tc>
          <w:tcPr>
            <w:tcW w:w="1276"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243"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667"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widowControl w:val="0"/>
              <w:spacing w:line="340" w:lineRule="exact"/>
              <w:rPr>
                <w:rFonts w:ascii="宋体" w:hAnsi="宋体" w:cs="宋体"/>
                <w:color w:val="auto"/>
                <w:kern w:val="21"/>
                <w:szCs w:val="21"/>
                <w:highlight w:val="none"/>
              </w:rPr>
            </w:pPr>
          </w:p>
        </w:tc>
        <w:tc>
          <w:tcPr>
            <w:tcW w:w="1276"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243"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667"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widowControl w:val="0"/>
              <w:spacing w:line="340" w:lineRule="exact"/>
              <w:rPr>
                <w:rFonts w:ascii="宋体" w:hAnsi="宋体" w:cs="宋体"/>
                <w:color w:val="auto"/>
                <w:kern w:val="21"/>
                <w:szCs w:val="21"/>
                <w:highlight w:val="none"/>
              </w:rPr>
            </w:pPr>
          </w:p>
        </w:tc>
        <w:tc>
          <w:tcPr>
            <w:tcW w:w="1276"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243" w:type="dxa"/>
          </w:tcPr>
          <w:p>
            <w:pPr>
              <w:widowControl w:val="0"/>
              <w:spacing w:line="340" w:lineRule="exact"/>
              <w:rPr>
                <w:rFonts w:ascii="宋体" w:hAnsi="宋体" w:cs="宋体"/>
                <w:color w:val="auto"/>
                <w:kern w:val="21"/>
                <w:szCs w:val="21"/>
                <w:highlight w:val="none"/>
              </w:rPr>
            </w:pPr>
          </w:p>
        </w:tc>
        <w:tc>
          <w:tcPr>
            <w:tcW w:w="1450" w:type="dxa"/>
          </w:tcPr>
          <w:p>
            <w:pPr>
              <w:widowControl w:val="0"/>
              <w:spacing w:line="340" w:lineRule="exact"/>
              <w:rPr>
                <w:rFonts w:ascii="宋体" w:hAnsi="宋体" w:cs="宋体"/>
                <w:color w:val="auto"/>
                <w:kern w:val="21"/>
                <w:szCs w:val="21"/>
                <w:highlight w:val="none"/>
              </w:rPr>
            </w:pPr>
          </w:p>
        </w:tc>
        <w:tc>
          <w:tcPr>
            <w:tcW w:w="1667" w:type="dxa"/>
          </w:tcPr>
          <w:p>
            <w:pPr>
              <w:widowControl w:val="0"/>
              <w:spacing w:line="340" w:lineRule="exact"/>
              <w:rPr>
                <w:rFonts w:ascii="宋体" w:hAnsi="宋体" w:cs="宋体"/>
                <w:color w:val="auto"/>
                <w:kern w:val="21"/>
                <w:szCs w:val="21"/>
                <w:highlight w:val="none"/>
              </w:rPr>
            </w:pPr>
          </w:p>
        </w:tc>
      </w:tr>
    </w:tbl>
    <w:p>
      <w:pPr>
        <w:widowControl w:val="0"/>
        <w:spacing w:line="340" w:lineRule="exact"/>
        <w:rPr>
          <w:rFonts w:ascii="宋体" w:hAnsi="宋体" w:cs="宋体"/>
          <w:color w:val="auto"/>
          <w:kern w:val="21"/>
          <w:szCs w:val="21"/>
          <w:highlight w:val="none"/>
        </w:rPr>
      </w:pPr>
    </w:p>
    <w:p>
      <w:pPr>
        <w:widowControl w:val="0"/>
        <w:spacing w:line="340" w:lineRule="exact"/>
        <w:rPr>
          <w:rFonts w:ascii="宋体" w:hAnsi="宋体" w:cs="宋体"/>
          <w:color w:val="auto"/>
          <w:kern w:val="21"/>
          <w:szCs w:val="21"/>
          <w:highlight w:val="none"/>
        </w:rPr>
      </w:pPr>
      <w:r>
        <w:rPr>
          <w:rFonts w:hint="eastAsia" w:ascii="宋体" w:hAnsi="宋体" w:cs="宋体"/>
          <w:color w:val="auto"/>
          <w:kern w:val="21"/>
          <w:szCs w:val="21"/>
          <w:highlight w:val="none"/>
        </w:rPr>
        <w:br w:type="page"/>
      </w:r>
      <w:r>
        <w:rPr>
          <w:rFonts w:hint="eastAsia" w:ascii="宋体" w:hAnsi="宋体" w:cs="宋体"/>
          <w:color w:val="auto"/>
          <w:kern w:val="21"/>
          <w:szCs w:val="21"/>
          <w:highlight w:val="none"/>
        </w:rPr>
        <w:t>附</w:t>
      </w:r>
      <w:bookmarkStart w:id="664" w:name="_Toc296944566"/>
      <w:bookmarkStart w:id="665" w:name="_Toc267261698"/>
      <w:bookmarkStart w:id="666" w:name="_Toc296347226"/>
      <w:bookmarkStart w:id="667" w:name="_Toc296891267"/>
      <w:bookmarkStart w:id="668" w:name="_Toc296346728"/>
      <w:bookmarkStart w:id="669" w:name="_Toc296891055"/>
      <w:bookmarkStart w:id="670" w:name="_Toc296503227"/>
      <w:r>
        <w:rPr>
          <w:rFonts w:hint="eastAsia" w:ascii="宋体" w:hAnsi="宋体" w:cs="宋体"/>
          <w:color w:val="auto"/>
          <w:kern w:val="21"/>
          <w:szCs w:val="21"/>
          <w:highlight w:val="none"/>
        </w:rPr>
        <w:t>件5：</w:t>
      </w:r>
    </w:p>
    <w:bookmarkEnd w:id="664"/>
    <w:bookmarkEnd w:id="665"/>
    <w:bookmarkEnd w:id="666"/>
    <w:bookmarkEnd w:id="667"/>
    <w:bookmarkEnd w:id="668"/>
    <w:bookmarkEnd w:id="669"/>
    <w:bookmarkEnd w:id="670"/>
    <w:p>
      <w:pPr>
        <w:widowControl w:val="0"/>
        <w:spacing w:beforeLines="50" w:afterLines="50"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承包人用于本工程施工的机械设备表</w:t>
      </w:r>
    </w:p>
    <w:tbl>
      <w:tblPr>
        <w:tblStyle w:val="22"/>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序号</w:t>
            </w:r>
          </w:p>
        </w:tc>
        <w:tc>
          <w:tcPr>
            <w:tcW w:w="1418"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机械或设备名称</w:t>
            </w:r>
          </w:p>
        </w:tc>
        <w:tc>
          <w:tcPr>
            <w:tcW w:w="850"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规格型号</w:t>
            </w:r>
          </w:p>
        </w:tc>
        <w:tc>
          <w:tcPr>
            <w:tcW w:w="1058"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数量</w:t>
            </w:r>
          </w:p>
        </w:tc>
        <w:tc>
          <w:tcPr>
            <w:tcW w:w="880"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产地</w:t>
            </w:r>
          </w:p>
        </w:tc>
        <w:tc>
          <w:tcPr>
            <w:tcW w:w="1020"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制造</w:t>
            </w:r>
          </w:p>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年份</w:t>
            </w:r>
          </w:p>
        </w:tc>
        <w:tc>
          <w:tcPr>
            <w:tcW w:w="1480"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额定功率(kW)</w:t>
            </w:r>
          </w:p>
        </w:tc>
        <w:tc>
          <w:tcPr>
            <w:tcW w:w="1020"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生产能力</w:t>
            </w:r>
          </w:p>
        </w:tc>
        <w:tc>
          <w:tcPr>
            <w:tcW w:w="921"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58"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80"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0"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21" w:type="dxa"/>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58"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8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21"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5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2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5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2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5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2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5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2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5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2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5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2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widowControl w:val="0"/>
              <w:spacing w:line="340" w:lineRule="exact"/>
              <w:rPr>
                <w:rFonts w:ascii="宋体" w:hAnsi="宋体" w:cs="宋体"/>
                <w:color w:val="auto"/>
                <w:kern w:val="21"/>
                <w:szCs w:val="21"/>
                <w:highlight w:val="none"/>
              </w:rPr>
            </w:pPr>
          </w:p>
        </w:tc>
        <w:tc>
          <w:tcPr>
            <w:tcW w:w="1418" w:type="dxa"/>
          </w:tcPr>
          <w:p>
            <w:pPr>
              <w:widowControl w:val="0"/>
              <w:spacing w:line="340" w:lineRule="exact"/>
              <w:rPr>
                <w:rFonts w:ascii="宋体" w:hAnsi="宋体" w:cs="宋体"/>
                <w:color w:val="auto"/>
                <w:kern w:val="21"/>
                <w:szCs w:val="21"/>
                <w:highlight w:val="none"/>
              </w:rPr>
            </w:pPr>
          </w:p>
        </w:tc>
        <w:tc>
          <w:tcPr>
            <w:tcW w:w="850" w:type="dxa"/>
          </w:tcPr>
          <w:p>
            <w:pPr>
              <w:widowControl w:val="0"/>
              <w:spacing w:line="340" w:lineRule="exact"/>
              <w:rPr>
                <w:rFonts w:ascii="宋体" w:hAnsi="宋体" w:cs="宋体"/>
                <w:color w:val="auto"/>
                <w:kern w:val="21"/>
                <w:szCs w:val="21"/>
                <w:highlight w:val="none"/>
              </w:rPr>
            </w:pPr>
          </w:p>
        </w:tc>
        <w:tc>
          <w:tcPr>
            <w:tcW w:w="1058" w:type="dxa"/>
          </w:tcPr>
          <w:p>
            <w:pPr>
              <w:widowControl w:val="0"/>
              <w:spacing w:line="340" w:lineRule="exact"/>
              <w:rPr>
                <w:rFonts w:ascii="宋体" w:hAnsi="宋体" w:cs="宋体"/>
                <w:color w:val="auto"/>
                <w:kern w:val="21"/>
                <w:szCs w:val="21"/>
                <w:highlight w:val="none"/>
              </w:rPr>
            </w:pPr>
          </w:p>
        </w:tc>
        <w:tc>
          <w:tcPr>
            <w:tcW w:w="8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14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921"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5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8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8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020"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921"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widowControl w:val="0"/>
              <w:spacing w:line="340" w:lineRule="exact"/>
              <w:rPr>
                <w:rFonts w:ascii="宋体" w:hAnsi="宋体" w:cs="宋体"/>
                <w:color w:val="auto"/>
                <w:kern w:val="21"/>
                <w:szCs w:val="21"/>
                <w:highlight w:val="none"/>
              </w:rPr>
            </w:pPr>
          </w:p>
        </w:tc>
        <w:tc>
          <w:tcPr>
            <w:tcW w:w="1418" w:type="dxa"/>
          </w:tcPr>
          <w:p>
            <w:pPr>
              <w:widowControl w:val="0"/>
              <w:spacing w:line="340" w:lineRule="exact"/>
              <w:rPr>
                <w:rFonts w:ascii="宋体" w:hAnsi="宋体" w:cs="宋体"/>
                <w:color w:val="auto"/>
                <w:kern w:val="21"/>
                <w:szCs w:val="21"/>
                <w:highlight w:val="none"/>
              </w:rPr>
            </w:pPr>
          </w:p>
        </w:tc>
        <w:tc>
          <w:tcPr>
            <w:tcW w:w="850" w:type="dxa"/>
          </w:tcPr>
          <w:p>
            <w:pPr>
              <w:widowControl w:val="0"/>
              <w:spacing w:line="340" w:lineRule="exact"/>
              <w:rPr>
                <w:rFonts w:ascii="宋体" w:hAnsi="宋体" w:cs="宋体"/>
                <w:color w:val="auto"/>
                <w:kern w:val="21"/>
                <w:szCs w:val="21"/>
                <w:highlight w:val="none"/>
              </w:rPr>
            </w:pPr>
          </w:p>
        </w:tc>
        <w:tc>
          <w:tcPr>
            <w:tcW w:w="1058" w:type="dxa"/>
          </w:tcPr>
          <w:p>
            <w:pPr>
              <w:widowControl w:val="0"/>
              <w:spacing w:line="340" w:lineRule="exact"/>
              <w:rPr>
                <w:rFonts w:ascii="宋体" w:hAnsi="宋体" w:cs="宋体"/>
                <w:color w:val="auto"/>
                <w:kern w:val="21"/>
                <w:szCs w:val="21"/>
                <w:highlight w:val="none"/>
              </w:rPr>
            </w:pPr>
          </w:p>
        </w:tc>
        <w:tc>
          <w:tcPr>
            <w:tcW w:w="8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14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921"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widowControl w:val="0"/>
              <w:spacing w:line="340" w:lineRule="exact"/>
              <w:rPr>
                <w:rFonts w:ascii="宋体" w:hAnsi="宋体" w:cs="宋体"/>
                <w:color w:val="auto"/>
                <w:kern w:val="21"/>
                <w:szCs w:val="21"/>
                <w:highlight w:val="none"/>
              </w:rPr>
            </w:pPr>
          </w:p>
        </w:tc>
        <w:tc>
          <w:tcPr>
            <w:tcW w:w="1418" w:type="dxa"/>
          </w:tcPr>
          <w:p>
            <w:pPr>
              <w:widowControl w:val="0"/>
              <w:spacing w:line="340" w:lineRule="exact"/>
              <w:rPr>
                <w:rFonts w:ascii="宋体" w:hAnsi="宋体" w:cs="宋体"/>
                <w:color w:val="auto"/>
                <w:kern w:val="21"/>
                <w:szCs w:val="21"/>
                <w:highlight w:val="none"/>
              </w:rPr>
            </w:pPr>
          </w:p>
        </w:tc>
        <w:tc>
          <w:tcPr>
            <w:tcW w:w="850" w:type="dxa"/>
          </w:tcPr>
          <w:p>
            <w:pPr>
              <w:widowControl w:val="0"/>
              <w:spacing w:line="340" w:lineRule="exact"/>
              <w:rPr>
                <w:rFonts w:ascii="宋体" w:hAnsi="宋体" w:cs="宋体"/>
                <w:color w:val="auto"/>
                <w:kern w:val="21"/>
                <w:szCs w:val="21"/>
                <w:highlight w:val="none"/>
              </w:rPr>
            </w:pPr>
          </w:p>
        </w:tc>
        <w:tc>
          <w:tcPr>
            <w:tcW w:w="1058" w:type="dxa"/>
          </w:tcPr>
          <w:p>
            <w:pPr>
              <w:widowControl w:val="0"/>
              <w:spacing w:line="340" w:lineRule="exact"/>
              <w:rPr>
                <w:rFonts w:ascii="宋体" w:hAnsi="宋体" w:cs="宋体"/>
                <w:color w:val="auto"/>
                <w:kern w:val="21"/>
                <w:szCs w:val="21"/>
                <w:highlight w:val="none"/>
              </w:rPr>
            </w:pPr>
          </w:p>
        </w:tc>
        <w:tc>
          <w:tcPr>
            <w:tcW w:w="8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14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921"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widowControl w:val="0"/>
              <w:spacing w:line="340" w:lineRule="exact"/>
              <w:rPr>
                <w:rFonts w:ascii="宋体" w:hAnsi="宋体" w:cs="宋体"/>
                <w:color w:val="auto"/>
                <w:kern w:val="21"/>
                <w:szCs w:val="21"/>
                <w:highlight w:val="none"/>
              </w:rPr>
            </w:pPr>
          </w:p>
        </w:tc>
        <w:tc>
          <w:tcPr>
            <w:tcW w:w="1418" w:type="dxa"/>
          </w:tcPr>
          <w:p>
            <w:pPr>
              <w:widowControl w:val="0"/>
              <w:spacing w:line="340" w:lineRule="exact"/>
              <w:rPr>
                <w:rFonts w:ascii="宋体" w:hAnsi="宋体" w:cs="宋体"/>
                <w:color w:val="auto"/>
                <w:kern w:val="21"/>
                <w:szCs w:val="21"/>
                <w:highlight w:val="none"/>
              </w:rPr>
            </w:pPr>
          </w:p>
        </w:tc>
        <w:tc>
          <w:tcPr>
            <w:tcW w:w="850" w:type="dxa"/>
          </w:tcPr>
          <w:p>
            <w:pPr>
              <w:widowControl w:val="0"/>
              <w:spacing w:line="340" w:lineRule="exact"/>
              <w:rPr>
                <w:rFonts w:ascii="宋体" w:hAnsi="宋体" w:cs="宋体"/>
                <w:color w:val="auto"/>
                <w:kern w:val="21"/>
                <w:szCs w:val="21"/>
                <w:highlight w:val="none"/>
              </w:rPr>
            </w:pPr>
          </w:p>
        </w:tc>
        <w:tc>
          <w:tcPr>
            <w:tcW w:w="1058" w:type="dxa"/>
          </w:tcPr>
          <w:p>
            <w:pPr>
              <w:widowControl w:val="0"/>
              <w:spacing w:line="340" w:lineRule="exact"/>
              <w:rPr>
                <w:rFonts w:ascii="宋体" w:hAnsi="宋体" w:cs="宋体"/>
                <w:color w:val="auto"/>
                <w:kern w:val="21"/>
                <w:szCs w:val="21"/>
                <w:highlight w:val="none"/>
              </w:rPr>
            </w:pPr>
          </w:p>
        </w:tc>
        <w:tc>
          <w:tcPr>
            <w:tcW w:w="8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14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921"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widowControl w:val="0"/>
              <w:spacing w:line="340" w:lineRule="exact"/>
              <w:rPr>
                <w:rFonts w:ascii="宋体" w:hAnsi="宋体" w:cs="宋体"/>
                <w:color w:val="auto"/>
                <w:kern w:val="21"/>
                <w:szCs w:val="21"/>
                <w:highlight w:val="none"/>
              </w:rPr>
            </w:pPr>
          </w:p>
        </w:tc>
        <w:tc>
          <w:tcPr>
            <w:tcW w:w="1418" w:type="dxa"/>
          </w:tcPr>
          <w:p>
            <w:pPr>
              <w:widowControl w:val="0"/>
              <w:spacing w:line="340" w:lineRule="exact"/>
              <w:rPr>
                <w:rFonts w:ascii="宋体" w:hAnsi="宋体" w:cs="宋体"/>
                <w:color w:val="auto"/>
                <w:kern w:val="21"/>
                <w:szCs w:val="21"/>
                <w:highlight w:val="none"/>
              </w:rPr>
            </w:pPr>
          </w:p>
        </w:tc>
        <w:tc>
          <w:tcPr>
            <w:tcW w:w="850" w:type="dxa"/>
          </w:tcPr>
          <w:p>
            <w:pPr>
              <w:widowControl w:val="0"/>
              <w:spacing w:line="340" w:lineRule="exact"/>
              <w:rPr>
                <w:rFonts w:ascii="宋体" w:hAnsi="宋体" w:cs="宋体"/>
                <w:color w:val="auto"/>
                <w:kern w:val="21"/>
                <w:szCs w:val="21"/>
                <w:highlight w:val="none"/>
              </w:rPr>
            </w:pPr>
          </w:p>
        </w:tc>
        <w:tc>
          <w:tcPr>
            <w:tcW w:w="1058" w:type="dxa"/>
          </w:tcPr>
          <w:p>
            <w:pPr>
              <w:widowControl w:val="0"/>
              <w:spacing w:line="340" w:lineRule="exact"/>
              <w:rPr>
                <w:rFonts w:ascii="宋体" w:hAnsi="宋体" w:cs="宋体"/>
                <w:color w:val="auto"/>
                <w:kern w:val="21"/>
                <w:szCs w:val="21"/>
                <w:highlight w:val="none"/>
              </w:rPr>
            </w:pPr>
          </w:p>
        </w:tc>
        <w:tc>
          <w:tcPr>
            <w:tcW w:w="8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14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921"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widowControl w:val="0"/>
              <w:spacing w:line="340" w:lineRule="exact"/>
              <w:rPr>
                <w:rFonts w:ascii="宋体" w:hAnsi="宋体" w:cs="宋体"/>
                <w:color w:val="auto"/>
                <w:kern w:val="21"/>
                <w:szCs w:val="21"/>
                <w:highlight w:val="none"/>
              </w:rPr>
            </w:pPr>
          </w:p>
        </w:tc>
        <w:tc>
          <w:tcPr>
            <w:tcW w:w="1418" w:type="dxa"/>
          </w:tcPr>
          <w:p>
            <w:pPr>
              <w:widowControl w:val="0"/>
              <w:spacing w:line="340" w:lineRule="exact"/>
              <w:rPr>
                <w:rFonts w:ascii="宋体" w:hAnsi="宋体" w:cs="宋体"/>
                <w:color w:val="auto"/>
                <w:kern w:val="21"/>
                <w:szCs w:val="21"/>
                <w:highlight w:val="none"/>
              </w:rPr>
            </w:pPr>
          </w:p>
        </w:tc>
        <w:tc>
          <w:tcPr>
            <w:tcW w:w="850" w:type="dxa"/>
          </w:tcPr>
          <w:p>
            <w:pPr>
              <w:widowControl w:val="0"/>
              <w:spacing w:line="340" w:lineRule="exact"/>
              <w:rPr>
                <w:rFonts w:ascii="宋体" w:hAnsi="宋体" w:cs="宋体"/>
                <w:color w:val="auto"/>
                <w:kern w:val="21"/>
                <w:szCs w:val="21"/>
                <w:highlight w:val="none"/>
              </w:rPr>
            </w:pPr>
          </w:p>
        </w:tc>
        <w:tc>
          <w:tcPr>
            <w:tcW w:w="1058" w:type="dxa"/>
          </w:tcPr>
          <w:p>
            <w:pPr>
              <w:widowControl w:val="0"/>
              <w:spacing w:line="340" w:lineRule="exact"/>
              <w:rPr>
                <w:rFonts w:ascii="宋体" w:hAnsi="宋体" w:cs="宋体"/>
                <w:color w:val="auto"/>
                <w:kern w:val="21"/>
                <w:szCs w:val="21"/>
                <w:highlight w:val="none"/>
              </w:rPr>
            </w:pPr>
          </w:p>
        </w:tc>
        <w:tc>
          <w:tcPr>
            <w:tcW w:w="8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14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921"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widowControl w:val="0"/>
              <w:spacing w:line="340" w:lineRule="exact"/>
              <w:rPr>
                <w:rFonts w:ascii="宋体" w:hAnsi="宋体" w:cs="宋体"/>
                <w:color w:val="auto"/>
                <w:kern w:val="21"/>
                <w:szCs w:val="21"/>
                <w:highlight w:val="none"/>
              </w:rPr>
            </w:pPr>
          </w:p>
        </w:tc>
        <w:tc>
          <w:tcPr>
            <w:tcW w:w="1418" w:type="dxa"/>
          </w:tcPr>
          <w:p>
            <w:pPr>
              <w:widowControl w:val="0"/>
              <w:spacing w:line="340" w:lineRule="exact"/>
              <w:rPr>
                <w:rFonts w:ascii="宋体" w:hAnsi="宋体" w:cs="宋体"/>
                <w:color w:val="auto"/>
                <w:kern w:val="21"/>
                <w:szCs w:val="21"/>
                <w:highlight w:val="none"/>
              </w:rPr>
            </w:pPr>
          </w:p>
        </w:tc>
        <w:tc>
          <w:tcPr>
            <w:tcW w:w="850" w:type="dxa"/>
          </w:tcPr>
          <w:p>
            <w:pPr>
              <w:widowControl w:val="0"/>
              <w:spacing w:line="340" w:lineRule="exact"/>
              <w:rPr>
                <w:rFonts w:ascii="宋体" w:hAnsi="宋体" w:cs="宋体"/>
                <w:color w:val="auto"/>
                <w:kern w:val="21"/>
                <w:szCs w:val="21"/>
                <w:highlight w:val="none"/>
              </w:rPr>
            </w:pPr>
          </w:p>
        </w:tc>
        <w:tc>
          <w:tcPr>
            <w:tcW w:w="1058" w:type="dxa"/>
          </w:tcPr>
          <w:p>
            <w:pPr>
              <w:widowControl w:val="0"/>
              <w:spacing w:line="340" w:lineRule="exact"/>
              <w:rPr>
                <w:rFonts w:ascii="宋体" w:hAnsi="宋体" w:cs="宋体"/>
                <w:color w:val="auto"/>
                <w:kern w:val="21"/>
                <w:szCs w:val="21"/>
                <w:highlight w:val="none"/>
              </w:rPr>
            </w:pPr>
          </w:p>
        </w:tc>
        <w:tc>
          <w:tcPr>
            <w:tcW w:w="8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14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921"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widowControl w:val="0"/>
              <w:spacing w:line="340" w:lineRule="exact"/>
              <w:rPr>
                <w:rFonts w:ascii="宋体" w:hAnsi="宋体" w:cs="宋体"/>
                <w:color w:val="auto"/>
                <w:kern w:val="21"/>
                <w:szCs w:val="21"/>
                <w:highlight w:val="none"/>
              </w:rPr>
            </w:pPr>
          </w:p>
        </w:tc>
        <w:tc>
          <w:tcPr>
            <w:tcW w:w="1418" w:type="dxa"/>
          </w:tcPr>
          <w:p>
            <w:pPr>
              <w:widowControl w:val="0"/>
              <w:spacing w:line="340" w:lineRule="exact"/>
              <w:rPr>
                <w:rFonts w:ascii="宋体" w:hAnsi="宋体" w:cs="宋体"/>
                <w:color w:val="auto"/>
                <w:kern w:val="21"/>
                <w:szCs w:val="21"/>
                <w:highlight w:val="none"/>
              </w:rPr>
            </w:pPr>
          </w:p>
        </w:tc>
        <w:tc>
          <w:tcPr>
            <w:tcW w:w="850" w:type="dxa"/>
          </w:tcPr>
          <w:p>
            <w:pPr>
              <w:widowControl w:val="0"/>
              <w:spacing w:line="340" w:lineRule="exact"/>
              <w:rPr>
                <w:rFonts w:ascii="宋体" w:hAnsi="宋体" w:cs="宋体"/>
                <w:color w:val="auto"/>
                <w:kern w:val="21"/>
                <w:szCs w:val="21"/>
                <w:highlight w:val="none"/>
              </w:rPr>
            </w:pPr>
          </w:p>
        </w:tc>
        <w:tc>
          <w:tcPr>
            <w:tcW w:w="1058" w:type="dxa"/>
          </w:tcPr>
          <w:p>
            <w:pPr>
              <w:widowControl w:val="0"/>
              <w:spacing w:line="340" w:lineRule="exact"/>
              <w:rPr>
                <w:rFonts w:ascii="宋体" w:hAnsi="宋体" w:cs="宋体"/>
                <w:color w:val="auto"/>
                <w:kern w:val="21"/>
                <w:szCs w:val="21"/>
                <w:highlight w:val="none"/>
              </w:rPr>
            </w:pPr>
          </w:p>
        </w:tc>
        <w:tc>
          <w:tcPr>
            <w:tcW w:w="8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14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921"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widowControl w:val="0"/>
              <w:spacing w:line="340" w:lineRule="exact"/>
              <w:rPr>
                <w:rFonts w:ascii="宋体" w:hAnsi="宋体" w:cs="宋体"/>
                <w:color w:val="auto"/>
                <w:kern w:val="21"/>
                <w:szCs w:val="21"/>
                <w:highlight w:val="none"/>
              </w:rPr>
            </w:pPr>
          </w:p>
        </w:tc>
        <w:tc>
          <w:tcPr>
            <w:tcW w:w="1418" w:type="dxa"/>
          </w:tcPr>
          <w:p>
            <w:pPr>
              <w:widowControl w:val="0"/>
              <w:spacing w:line="340" w:lineRule="exact"/>
              <w:rPr>
                <w:rFonts w:ascii="宋体" w:hAnsi="宋体" w:cs="宋体"/>
                <w:color w:val="auto"/>
                <w:kern w:val="21"/>
                <w:szCs w:val="21"/>
                <w:highlight w:val="none"/>
              </w:rPr>
            </w:pPr>
          </w:p>
        </w:tc>
        <w:tc>
          <w:tcPr>
            <w:tcW w:w="850" w:type="dxa"/>
          </w:tcPr>
          <w:p>
            <w:pPr>
              <w:widowControl w:val="0"/>
              <w:spacing w:line="340" w:lineRule="exact"/>
              <w:rPr>
                <w:rFonts w:ascii="宋体" w:hAnsi="宋体" w:cs="宋体"/>
                <w:color w:val="auto"/>
                <w:kern w:val="21"/>
                <w:szCs w:val="21"/>
                <w:highlight w:val="none"/>
              </w:rPr>
            </w:pPr>
          </w:p>
        </w:tc>
        <w:tc>
          <w:tcPr>
            <w:tcW w:w="1058" w:type="dxa"/>
          </w:tcPr>
          <w:p>
            <w:pPr>
              <w:widowControl w:val="0"/>
              <w:spacing w:line="340" w:lineRule="exact"/>
              <w:rPr>
                <w:rFonts w:ascii="宋体" w:hAnsi="宋体" w:cs="宋体"/>
                <w:color w:val="auto"/>
                <w:kern w:val="21"/>
                <w:szCs w:val="21"/>
                <w:highlight w:val="none"/>
              </w:rPr>
            </w:pPr>
          </w:p>
        </w:tc>
        <w:tc>
          <w:tcPr>
            <w:tcW w:w="8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14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921" w:type="dxa"/>
          </w:tcPr>
          <w:p>
            <w:pPr>
              <w:widowControl w:val="0"/>
              <w:spacing w:line="340" w:lineRule="exact"/>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pPr>
              <w:widowControl w:val="0"/>
              <w:spacing w:line="340" w:lineRule="exact"/>
              <w:rPr>
                <w:rFonts w:ascii="宋体" w:hAnsi="宋体" w:cs="宋体"/>
                <w:color w:val="auto"/>
                <w:kern w:val="21"/>
                <w:szCs w:val="21"/>
                <w:highlight w:val="none"/>
              </w:rPr>
            </w:pPr>
          </w:p>
        </w:tc>
        <w:tc>
          <w:tcPr>
            <w:tcW w:w="1418" w:type="dxa"/>
          </w:tcPr>
          <w:p>
            <w:pPr>
              <w:widowControl w:val="0"/>
              <w:spacing w:line="340" w:lineRule="exact"/>
              <w:rPr>
                <w:rFonts w:ascii="宋体" w:hAnsi="宋体" w:cs="宋体"/>
                <w:color w:val="auto"/>
                <w:kern w:val="21"/>
                <w:szCs w:val="21"/>
                <w:highlight w:val="none"/>
              </w:rPr>
            </w:pPr>
          </w:p>
        </w:tc>
        <w:tc>
          <w:tcPr>
            <w:tcW w:w="850" w:type="dxa"/>
          </w:tcPr>
          <w:p>
            <w:pPr>
              <w:widowControl w:val="0"/>
              <w:spacing w:line="340" w:lineRule="exact"/>
              <w:rPr>
                <w:rFonts w:ascii="宋体" w:hAnsi="宋体" w:cs="宋体"/>
                <w:color w:val="auto"/>
                <w:kern w:val="21"/>
                <w:szCs w:val="21"/>
                <w:highlight w:val="none"/>
              </w:rPr>
            </w:pPr>
          </w:p>
        </w:tc>
        <w:tc>
          <w:tcPr>
            <w:tcW w:w="1058" w:type="dxa"/>
          </w:tcPr>
          <w:p>
            <w:pPr>
              <w:widowControl w:val="0"/>
              <w:spacing w:line="340" w:lineRule="exact"/>
              <w:rPr>
                <w:rFonts w:ascii="宋体" w:hAnsi="宋体" w:cs="宋体"/>
                <w:color w:val="auto"/>
                <w:kern w:val="21"/>
                <w:szCs w:val="21"/>
                <w:highlight w:val="none"/>
              </w:rPr>
            </w:pPr>
          </w:p>
        </w:tc>
        <w:tc>
          <w:tcPr>
            <w:tcW w:w="8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1480" w:type="dxa"/>
          </w:tcPr>
          <w:p>
            <w:pPr>
              <w:widowControl w:val="0"/>
              <w:spacing w:line="340" w:lineRule="exact"/>
              <w:rPr>
                <w:rFonts w:ascii="宋体" w:hAnsi="宋体" w:cs="宋体"/>
                <w:color w:val="auto"/>
                <w:kern w:val="21"/>
                <w:szCs w:val="21"/>
                <w:highlight w:val="none"/>
              </w:rPr>
            </w:pPr>
          </w:p>
        </w:tc>
        <w:tc>
          <w:tcPr>
            <w:tcW w:w="1020" w:type="dxa"/>
          </w:tcPr>
          <w:p>
            <w:pPr>
              <w:widowControl w:val="0"/>
              <w:spacing w:line="340" w:lineRule="exact"/>
              <w:rPr>
                <w:rFonts w:ascii="宋体" w:hAnsi="宋体" w:cs="宋体"/>
                <w:color w:val="auto"/>
                <w:kern w:val="21"/>
                <w:szCs w:val="21"/>
                <w:highlight w:val="none"/>
              </w:rPr>
            </w:pPr>
          </w:p>
        </w:tc>
        <w:tc>
          <w:tcPr>
            <w:tcW w:w="921" w:type="dxa"/>
          </w:tcPr>
          <w:p>
            <w:pPr>
              <w:widowControl w:val="0"/>
              <w:spacing w:line="340" w:lineRule="exact"/>
              <w:rPr>
                <w:rFonts w:ascii="宋体" w:hAnsi="宋体" w:cs="宋体"/>
                <w:color w:val="auto"/>
                <w:kern w:val="21"/>
                <w:szCs w:val="21"/>
                <w:highlight w:val="none"/>
              </w:rPr>
            </w:pPr>
          </w:p>
        </w:tc>
      </w:tr>
    </w:tbl>
    <w:p>
      <w:pPr>
        <w:widowControl w:val="0"/>
        <w:spacing w:line="340" w:lineRule="exact"/>
        <w:rPr>
          <w:rFonts w:ascii="宋体" w:hAnsi="宋体" w:cs="宋体"/>
          <w:color w:val="auto"/>
          <w:kern w:val="21"/>
          <w:szCs w:val="21"/>
          <w:highlight w:val="none"/>
        </w:rPr>
      </w:pPr>
    </w:p>
    <w:p>
      <w:pPr>
        <w:widowControl w:val="0"/>
        <w:spacing w:line="340" w:lineRule="exact"/>
        <w:rPr>
          <w:rFonts w:ascii="宋体" w:hAnsi="宋体" w:cs="宋体"/>
          <w:color w:val="auto"/>
          <w:kern w:val="21"/>
          <w:szCs w:val="21"/>
          <w:highlight w:val="none"/>
        </w:rPr>
      </w:pPr>
    </w:p>
    <w:p>
      <w:pPr>
        <w:widowControl w:val="0"/>
        <w:spacing w:line="340" w:lineRule="exact"/>
        <w:rPr>
          <w:rFonts w:ascii="宋体" w:hAnsi="宋体" w:cs="宋体"/>
          <w:color w:val="auto"/>
          <w:kern w:val="21"/>
          <w:szCs w:val="21"/>
          <w:highlight w:val="none"/>
        </w:rPr>
      </w:pPr>
    </w:p>
    <w:p>
      <w:pPr>
        <w:widowControl w:val="0"/>
        <w:spacing w:line="340" w:lineRule="exact"/>
        <w:rPr>
          <w:rFonts w:ascii="宋体" w:hAnsi="宋体" w:cs="宋体"/>
          <w:color w:val="auto"/>
          <w:kern w:val="21"/>
          <w:szCs w:val="21"/>
          <w:highlight w:val="none"/>
        </w:rPr>
      </w:pPr>
      <w:r>
        <w:rPr>
          <w:rFonts w:hint="eastAsia" w:ascii="宋体" w:hAnsi="宋体" w:cs="宋体"/>
          <w:color w:val="auto"/>
          <w:kern w:val="21"/>
          <w:szCs w:val="21"/>
          <w:highlight w:val="none"/>
        </w:rPr>
        <w:t>附</w:t>
      </w:r>
      <w:bookmarkStart w:id="671" w:name="_Toc296891056"/>
      <w:bookmarkStart w:id="672" w:name="_Toc267261699"/>
      <w:bookmarkStart w:id="673" w:name="_Toc296944567"/>
      <w:bookmarkStart w:id="674" w:name="_Toc296503228"/>
      <w:bookmarkStart w:id="675" w:name="_Toc296347227"/>
      <w:bookmarkStart w:id="676" w:name="_Toc296346729"/>
      <w:bookmarkStart w:id="677" w:name="_Toc296891268"/>
      <w:r>
        <w:rPr>
          <w:rFonts w:hint="eastAsia" w:ascii="宋体" w:hAnsi="宋体" w:cs="宋体"/>
          <w:color w:val="auto"/>
          <w:kern w:val="21"/>
          <w:szCs w:val="21"/>
          <w:highlight w:val="none"/>
        </w:rPr>
        <w:t>件6：</w:t>
      </w:r>
    </w:p>
    <w:bookmarkEnd w:id="671"/>
    <w:bookmarkEnd w:id="672"/>
    <w:bookmarkEnd w:id="673"/>
    <w:bookmarkEnd w:id="674"/>
    <w:bookmarkEnd w:id="675"/>
    <w:bookmarkEnd w:id="676"/>
    <w:bookmarkEnd w:id="677"/>
    <w:p>
      <w:pPr>
        <w:widowControl w:val="0"/>
        <w:spacing w:beforeLines="50" w:afterLines="50"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承包人主要施工管理人员表</w:t>
      </w:r>
    </w:p>
    <w:tbl>
      <w:tblPr>
        <w:tblStyle w:val="22"/>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名    称</w:t>
            </w:r>
          </w:p>
        </w:tc>
        <w:tc>
          <w:tcPr>
            <w:tcW w:w="1418"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姓名</w:t>
            </w:r>
          </w:p>
        </w:tc>
        <w:tc>
          <w:tcPr>
            <w:tcW w:w="1134"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职务</w:t>
            </w:r>
          </w:p>
        </w:tc>
        <w:tc>
          <w:tcPr>
            <w:tcW w:w="1134"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职称</w:t>
            </w:r>
          </w:p>
        </w:tc>
        <w:tc>
          <w:tcPr>
            <w:tcW w:w="4252"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项目主管</w:t>
            </w:r>
          </w:p>
        </w:tc>
        <w:tc>
          <w:tcPr>
            <w:tcW w:w="1418"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其他人员</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项目经理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项目副经理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技术负责人</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造价管理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质量管理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材料管理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计划管理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安全管理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vMerge w:val="restart"/>
            <w:tcBorders>
              <w:top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其他人员</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Borders>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tcBorders>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tcBorders>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tcBorders>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vMerge w:val="continue"/>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Borders>
              <w:bottom w:val="single" w:color="auto" w:sz="12"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tcBorders>
              <w:bottom w:val="single" w:color="auto" w:sz="12"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tcBorders>
              <w:bottom w:val="single" w:color="auto" w:sz="12"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tcBorders>
              <w:bottom w:val="single" w:color="auto" w:sz="12"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bl>
    <w:p>
      <w:pPr>
        <w:widowControl w:val="0"/>
        <w:spacing w:line="340" w:lineRule="exact"/>
        <w:rPr>
          <w:rFonts w:ascii="宋体" w:hAnsi="宋体" w:cs="宋体"/>
          <w:color w:val="auto"/>
          <w:kern w:val="21"/>
          <w:szCs w:val="21"/>
          <w:highlight w:val="none"/>
        </w:rPr>
      </w:pPr>
      <w:r>
        <w:rPr>
          <w:rFonts w:hint="eastAsia" w:ascii="宋体" w:hAnsi="宋体" w:cs="宋体"/>
          <w:color w:val="auto"/>
          <w:kern w:val="21"/>
          <w:szCs w:val="21"/>
          <w:highlight w:val="none"/>
        </w:rPr>
        <w:br w:type="page"/>
      </w:r>
      <w:r>
        <w:rPr>
          <w:rFonts w:hint="eastAsia" w:ascii="宋体" w:hAnsi="宋体" w:cs="宋体"/>
          <w:color w:val="auto"/>
          <w:kern w:val="21"/>
          <w:szCs w:val="21"/>
          <w:highlight w:val="none"/>
        </w:rPr>
        <w:t>附</w:t>
      </w:r>
      <w:bookmarkStart w:id="678" w:name="_Toc296891269"/>
      <w:bookmarkStart w:id="679" w:name="_Toc296503229"/>
      <w:bookmarkStart w:id="680" w:name="_Toc296347228"/>
      <w:bookmarkStart w:id="681" w:name="_Toc296891057"/>
      <w:bookmarkStart w:id="682" w:name="_Toc296346730"/>
      <w:bookmarkStart w:id="683" w:name="_Toc296944568"/>
      <w:r>
        <w:rPr>
          <w:rFonts w:hint="eastAsia" w:ascii="宋体" w:hAnsi="宋体" w:cs="宋体"/>
          <w:color w:val="auto"/>
          <w:kern w:val="21"/>
          <w:szCs w:val="21"/>
          <w:highlight w:val="none"/>
        </w:rPr>
        <w:t>件7：</w:t>
      </w:r>
    </w:p>
    <w:bookmarkEnd w:id="678"/>
    <w:bookmarkEnd w:id="679"/>
    <w:bookmarkEnd w:id="680"/>
    <w:bookmarkEnd w:id="681"/>
    <w:bookmarkEnd w:id="682"/>
    <w:bookmarkEnd w:id="683"/>
    <w:p>
      <w:pPr>
        <w:widowControl w:val="0"/>
        <w:spacing w:beforeLines="50" w:afterLines="50"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分包人主要施工管理人员表</w:t>
      </w:r>
    </w:p>
    <w:tbl>
      <w:tblPr>
        <w:tblStyle w:val="22"/>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名    称</w:t>
            </w:r>
          </w:p>
        </w:tc>
        <w:tc>
          <w:tcPr>
            <w:tcW w:w="1418"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姓名</w:t>
            </w:r>
          </w:p>
        </w:tc>
        <w:tc>
          <w:tcPr>
            <w:tcW w:w="1134"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职务</w:t>
            </w:r>
          </w:p>
        </w:tc>
        <w:tc>
          <w:tcPr>
            <w:tcW w:w="1134"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职称</w:t>
            </w:r>
          </w:p>
        </w:tc>
        <w:tc>
          <w:tcPr>
            <w:tcW w:w="4252" w:type="dxa"/>
            <w:tcBorders>
              <w:top w:val="single" w:color="auto" w:sz="12" w:space="0"/>
              <w:bottom w:val="doub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项目主管</w:t>
            </w:r>
          </w:p>
        </w:tc>
        <w:tc>
          <w:tcPr>
            <w:tcW w:w="1418"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tcBorders>
              <w:top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其他人员</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项目经理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项目副经理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技术负责人</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造价管理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质量管理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材料管理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计划管理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安全管理</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vMerge w:val="restart"/>
            <w:tcBorders>
              <w:top w:val="single" w:color="auto" w:sz="6"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其他人员</w:t>
            </w: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Borders>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tcBorders>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tcBorders>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tcBorders>
              <w:bottom w:val="nil"/>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vMerge w:val="continue"/>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Borders>
              <w:bottom w:val="single" w:color="auto" w:sz="12"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tcBorders>
              <w:bottom w:val="single" w:color="auto" w:sz="12"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1134" w:type="dxa"/>
            <w:tcBorders>
              <w:bottom w:val="single" w:color="auto" w:sz="12"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c>
          <w:tcPr>
            <w:tcW w:w="4252" w:type="dxa"/>
            <w:tcBorders>
              <w:bottom w:val="single" w:color="auto" w:sz="12" w:space="0"/>
            </w:tcBorders>
            <w:vAlign w:val="center"/>
          </w:tcPr>
          <w:p>
            <w:pPr>
              <w:pStyle w:val="9"/>
              <w:keepNext/>
              <w:snapToGrid/>
              <w:spacing w:line="340" w:lineRule="exact"/>
              <w:ind w:left="63" w:right="63"/>
              <w:rPr>
                <w:rFonts w:ascii="宋体" w:hAnsi="宋体" w:eastAsia="宋体" w:cs="宋体"/>
                <w:color w:val="auto"/>
                <w:kern w:val="21"/>
                <w:sz w:val="21"/>
                <w:szCs w:val="21"/>
                <w:highlight w:val="none"/>
              </w:rPr>
            </w:pPr>
          </w:p>
        </w:tc>
      </w:tr>
    </w:tbl>
    <w:p>
      <w:pPr>
        <w:widowControl w:val="0"/>
        <w:spacing w:line="340" w:lineRule="exact"/>
        <w:rPr>
          <w:rFonts w:ascii="宋体" w:hAnsi="宋体" w:cs="宋体"/>
          <w:color w:val="auto"/>
          <w:kern w:val="21"/>
          <w:szCs w:val="21"/>
          <w:highlight w:val="none"/>
        </w:rPr>
      </w:pPr>
      <w:r>
        <w:rPr>
          <w:rFonts w:hint="eastAsia" w:ascii="宋体" w:hAnsi="宋体" w:cs="宋体"/>
          <w:color w:val="auto"/>
          <w:kern w:val="21"/>
          <w:szCs w:val="21"/>
          <w:highlight w:val="none"/>
        </w:rPr>
        <w:br w:type="page"/>
      </w:r>
      <w:bookmarkStart w:id="684" w:name="_Toc267261701"/>
      <w:r>
        <w:rPr>
          <w:rFonts w:hint="eastAsia" w:ascii="宋体" w:hAnsi="宋体" w:cs="宋体"/>
          <w:color w:val="auto"/>
          <w:kern w:val="21"/>
          <w:szCs w:val="21"/>
          <w:highlight w:val="none"/>
        </w:rPr>
        <w:t>附</w:t>
      </w:r>
      <w:bookmarkStart w:id="685" w:name="_Toc296347230"/>
      <w:bookmarkStart w:id="686" w:name="_Toc296944570"/>
      <w:bookmarkStart w:id="687" w:name="_Toc296891271"/>
      <w:bookmarkStart w:id="688" w:name="_Toc296891059"/>
      <w:bookmarkStart w:id="689" w:name="_Toc296346732"/>
      <w:bookmarkStart w:id="690" w:name="_Toc296503231"/>
      <w:r>
        <w:rPr>
          <w:rFonts w:hint="eastAsia" w:ascii="宋体" w:hAnsi="宋体" w:cs="宋体"/>
          <w:color w:val="auto"/>
          <w:kern w:val="21"/>
          <w:szCs w:val="21"/>
          <w:highlight w:val="none"/>
        </w:rPr>
        <w:t>件8：</w:t>
      </w:r>
    </w:p>
    <w:bookmarkEnd w:id="684"/>
    <w:bookmarkEnd w:id="685"/>
    <w:bookmarkEnd w:id="686"/>
    <w:bookmarkEnd w:id="687"/>
    <w:bookmarkEnd w:id="688"/>
    <w:bookmarkEnd w:id="689"/>
    <w:bookmarkEnd w:id="690"/>
    <w:p>
      <w:pPr>
        <w:widowControl w:val="0"/>
        <w:spacing w:beforeLines="50" w:afterLines="50"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履约担保</w:t>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rPr>
        <w:t>（发包人名称）：</w:t>
      </w:r>
    </w:p>
    <w:p>
      <w:pPr>
        <w:widowControl w:val="0"/>
        <w:spacing w:line="480" w:lineRule="exact"/>
        <w:textAlignment w:val="auto"/>
        <w:rPr>
          <w:rFonts w:ascii="宋体" w:hAnsi="宋体" w:cs="宋体"/>
          <w:color w:val="auto"/>
          <w:kern w:val="21"/>
          <w:szCs w:val="21"/>
          <w:highlight w:val="none"/>
        </w:rPr>
      </w:pP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鉴于</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（发包人名称，以下简称“发包人”）与</w:t>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xml:space="preserve"> </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（承包人名称）（以下称“承包人”）于</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年</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月</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日就</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（工程名称）施工及有关事项协商一致共同签订《建设工程施工合同》。我方愿意无条件地、不可撤销地就承包人履行与你方签订的合同，向你方提供连带责任担保。 </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 担保金额人民币（大写）</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元（¥</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 担保有效期自你方与承包人签订的合同生效之日起至你方签发或应签发工程接收证书之日止。</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 在本担保有效期内，因承包人违反合同约定的义务给你方造成经济损失时，我方在收到你方以书面形式提出的在担保金额内的赔偿要求后，在7天内无条件支付。</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4. 你方和承包人按合同约定变更合同时，我方承担本担保规定的义务不变。</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5. 因本保函发生的纠纷，可由双方协商解决，协商不成的，任何一方均可提请</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仲裁委员会仲裁。</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6. 本保函自我方法定代表人（或其授权代理人）签字并加盖公章之日起生效。</w:t>
      </w:r>
    </w:p>
    <w:p>
      <w:pPr>
        <w:widowControl w:val="0"/>
        <w:spacing w:line="480" w:lineRule="exact"/>
        <w:textAlignment w:val="auto"/>
        <w:rPr>
          <w:rFonts w:ascii="宋体" w:hAnsi="宋体" w:cs="宋体"/>
          <w:color w:val="auto"/>
          <w:kern w:val="21"/>
          <w:szCs w:val="21"/>
          <w:highlight w:val="none"/>
        </w:rPr>
      </w:pP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担 保 人：</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（盖单位章）</w:t>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法定代表人或其委托代理人：</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（签字）</w:t>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地    址：</w:t>
      </w:r>
      <w:r>
        <w:rPr>
          <w:rFonts w:hint="eastAsia" w:ascii="宋体" w:hAnsi="宋体" w:cs="宋体"/>
          <w:color w:val="auto"/>
          <w:kern w:val="21"/>
          <w:szCs w:val="21"/>
          <w:highlight w:val="none"/>
          <w:u w:val="single"/>
        </w:rPr>
        <w:t xml:space="preserve">                                      </w:t>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邮政编码：</w:t>
      </w:r>
      <w:r>
        <w:rPr>
          <w:rFonts w:hint="eastAsia" w:ascii="宋体" w:hAnsi="宋体" w:cs="宋体"/>
          <w:color w:val="auto"/>
          <w:kern w:val="21"/>
          <w:szCs w:val="21"/>
          <w:highlight w:val="none"/>
          <w:u w:val="single"/>
        </w:rPr>
        <w:t xml:space="preserve">                                      </w:t>
      </w:r>
    </w:p>
    <w:p>
      <w:pPr>
        <w:widowControl w:val="0"/>
        <w:spacing w:line="480" w:lineRule="exac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电    话：</w:t>
      </w:r>
      <w:r>
        <w:rPr>
          <w:rFonts w:hint="eastAsia" w:ascii="宋体" w:hAnsi="宋体" w:cs="宋体"/>
          <w:color w:val="auto"/>
          <w:kern w:val="21"/>
          <w:szCs w:val="21"/>
          <w:highlight w:val="none"/>
          <w:u w:val="single"/>
        </w:rPr>
        <w:t xml:space="preserve">                                      </w:t>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传    真：</w:t>
      </w:r>
      <w:r>
        <w:rPr>
          <w:rFonts w:hint="eastAsia" w:ascii="宋体" w:hAnsi="宋体" w:cs="宋体"/>
          <w:color w:val="auto"/>
          <w:kern w:val="21"/>
          <w:szCs w:val="21"/>
          <w:highlight w:val="none"/>
          <w:u w:val="single"/>
        </w:rPr>
        <w:t xml:space="preserve">                                      </w:t>
      </w:r>
    </w:p>
    <w:p>
      <w:pPr>
        <w:widowControl w:val="0"/>
        <w:spacing w:line="480" w:lineRule="exact"/>
        <w:jc w:val="left"/>
        <w:textAlignment w:val="auto"/>
        <w:rPr>
          <w:rFonts w:ascii="宋体" w:hAnsi="宋体" w:cs="宋体"/>
          <w:color w:val="auto"/>
          <w:kern w:val="21"/>
          <w:szCs w:val="21"/>
          <w:highlight w:val="none"/>
          <w:u w:val="single"/>
        </w:rPr>
      </w:pPr>
    </w:p>
    <w:p>
      <w:pPr>
        <w:widowControl w:val="0"/>
        <w:spacing w:line="480" w:lineRule="exact"/>
        <w:ind w:left="1329" w:hanging="1329" w:hangingChars="633"/>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xml:space="preserve">               </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年</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月</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日</w:t>
      </w:r>
    </w:p>
    <w:p>
      <w:pPr>
        <w:widowControl w:val="0"/>
        <w:spacing w:line="480" w:lineRule="exact"/>
        <w:ind w:left="1329" w:hanging="1329" w:hangingChars="633"/>
        <w:textAlignment w:val="auto"/>
        <w:rPr>
          <w:rFonts w:ascii="宋体" w:hAnsi="宋体" w:cs="宋体"/>
          <w:color w:val="auto"/>
          <w:kern w:val="21"/>
          <w:szCs w:val="21"/>
          <w:highlight w:val="none"/>
        </w:rPr>
      </w:pPr>
    </w:p>
    <w:p>
      <w:pPr>
        <w:widowControl w:val="0"/>
        <w:spacing w:line="480" w:lineRule="exact"/>
        <w:ind w:left="1329" w:hanging="1329" w:hangingChars="633"/>
        <w:rPr>
          <w:rFonts w:ascii="宋体" w:hAnsi="宋体" w:cs="宋体"/>
          <w:color w:val="auto"/>
          <w:kern w:val="21"/>
          <w:szCs w:val="21"/>
          <w:highlight w:val="none"/>
        </w:rPr>
      </w:pPr>
    </w:p>
    <w:p>
      <w:pPr>
        <w:pStyle w:val="9"/>
        <w:spacing w:line="480" w:lineRule="exact"/>
        <w:rPr>
          <w:rFonts w:ascii="宋体" w:hAnsi="宋体" w:eastAsia="宋体" w:cs="宋体"/>
          <w:color w:val="auto"/>
          <w:kern w:val="21"/>
          <w:sz w:val="21"/>
          <w:szCs w:val="21"/>
          <w:highlight w:val="none"/>
        </w:rPr>
      </w:pPr>
    </w:p>
    <w:p>
      <w:pPr>
        <w:spacing w:line="480" w:lineRule="exact"/>
        <w:rPr>
          <w:rFonts w:ascii="宋体" w:hAnsi="宋体" w:cs="宋体"/>
          <w:color w:val="auto"/>
          <w:kern w:val="21"/>
          <w:szCs w:val="21"/>
          <w:highlight w:val="none"/>
        </w:rPr>
      </w:pPr>
    </w:p>
    <w:p>
      <w:pPr>
        <w:widowControl w:val="0"/>
        <w:spacing w:line="480" w:lineRule="exact"/>
        <w:rPr>
          <w:rFonts w:ascii="宋体" w:hAnsi="宋体" w:cs="宋体"/>
          <w:color w:val="auto"/>
          <w:kern w:val="21"/>
          <w:szCs w:val="21"/>
          <w:highlight w:val="none"/>
        </w:rPr>
      </w:pPr>
      <w:r>
        <w:rPr>
          <w:rFonts w:hint="eastAsia" w:ascii="宋体" w:hAnsi="宋体" w:cs="宋体"/>
          <w:color w:val="auto"/>
          <w:kern w:val="21"/>
          <w:szCs w:val="21"/>
          <w:highlight w:val="none"/>
        </w:rPr>
        <w:t>附</w:t>
      </w:r>
      <w:bookmarkStart w:id="691" w:name="_Toc296503232"/>
      <w:bookmarkStart w:id="692" w:name="_Toc267261702"/>
      <w:bookmarkStart w:id="693" w:name="_Toc296347231"/>
      <w:bookmarkStart w:id="694" w:name="_Toc296944571"/>
      <w:bookmarkStart w:id="695" w:name="_Toc296346733"/>
      <w:bookmarkStart w:id="696" w:name="_Toc296891060"/>
      <w:bookmarkStart w:id="697" w:name="_Toc296891272"/>
      <w:r>
        <w:rPr>
          <w:rFonts w:hint="eastAsia" w:ascii="宋体" w:hAnsi="宋体" w:cs="宋体"/>
          <w:color w:val="auto"/>
          <w:kern w:val="21"/>
          <w:szCs w:val="21"/>
          <w:highlight w:val="none"/>
        </w:rPr>
        <w:t>件9 ：</w:t>
      </w:r>
    </w:p>
    <w:bookmarkEnd w:id="691"/>
    <w:bookmarkEnd w:id="692"/>
    <w:bookmarkEnd w:id="693"/>
    <w:bookmarkEnd w:id="694"/>
    <w:bookmarkEnd w:id="695"/>
    <w:bookmarkEnd w:id="696"/>
    <w:bookmarkEnd w:id="697"/>
    <w:p>
      <w:pPr>
        <w:widowControl w:val="0"/>
        <w:spacing w:beforeLines="50" w:afterLines="50" w:line="48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预付款担保</w:t>
      </w:r>
    </w:p>
    <w:p>
      <w:pPr>
        <w:widowControl w:val="0"/>
        <w:spacing w:line="480" w:lineRule="exact"/>
        <w:rPr>
          <w:rFonts w:ascii="宋体" w:hAnsi="宋体" w:cs="宋体"/>
          <w:color w:val="auto"/>
          <w:kern w:val="21"/>
          <w:szCs w:val="21"/>
          <w:highlight w:val="none"/>
        </w:rPr>
      </w:pP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 xml:space="preserve"> （发包人名称）：</w:t>
      </w:r>
    </w:p>
    <w:p>
      <w:pPr>
        <w:widowControl w:val="0"/>
        <w:spacing w:line="480" w:lineRule="exact"/>
        <w:textAlignment w:val="auto"/>
        <w:rPr>
          <w:rFonts w:ascii="宋体" w:hAnsi="宋体" w:cs="宋体"/>
          <w:color w:val="auto"/>
          <w:kern w:val="21"/>
          <w:szCs w:val="21"/>
          <w:highlight w:val="none"/>
        </w:rPr>
      </w:pP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根据</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（承包人名称）（以下称“承包人”）与</w:t>
      </w:r>
    </w:p>
    <w:p>
      <w:pPr>
        <w:widowControl w:val="0"/>
        <w:spacing w:line="480" w:lineRule="exact"/>
        <w:textAlignment w:val="auto"/>
        <w:outlineLvl w:val="0"/>
        <w:rPr>
          <w:rFonts w:ascii="宋体" w:hAnsi="宋体" w:cs="宋体"/>
          <w:color w:val="auto"/>
          <w:kern w:val="21"/>
          <w:szCs w:val="21"/>
          <w:highlight w:val="none"/>
        </w:rPr>
      </w:pPr>
      <w:r>
        <w:rPr>
          <w:rFonts w:hint="eastAsia" w:ascii="宋体" w:hAnsi="宋体" w:cs="宋体"/>
          <w:color w:val="auto"/>
          <w:kern w:val="21"/>
          <w:szCs w:val="21"/>
          <w:highlight w:val="none"/>
          <w:u w:val="single"/>
        </w:rPr>
        <w:t xml:space="preserve">                        </w:t>
      </w:r>
      <w:bookmarkStart w:id="698" w:name="_Toc16361"/>
      <w:r>
        <w:rPr>
          <w:rFonts w:hint="eastAsia" w:ascii="宋体" w:hAnsi="宋体" w:cs="宋体"/>
          <w:color w:val="auto"/>
          <w:kern w:val="21"/>
          <w:szCs w:val="21"/>
          <w:highlight w:val="none"/>
        </w:rPr>
        <w:t>（发包人名称）（以下简称“发包人”）</w:t>
      </w:r>
      <w:bookmarkEnd w:id="698"/>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于</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年</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月</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日签订的</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 担保金额人民币（大写）</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元（¥</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 担保有效期自预付款支付给承包人起生效，至你方签发的进度款支付证书说明已完全扣清止。</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widowControl w:val="0"/>
        <w:spacing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4. 你方和承包人按合同约定变更合同时，我方承担本保函规定的义务不变。</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5. 因本保函发生的纠纷，可由双方协商解决，协商不成的，任何一方均可提请</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仲裁委员会仲裁。</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6. 本保函自我方法定代表人（或其授权代理人）签字并加盖公章之日起生效。</w:t>
      </w:r>
    </w:p>
    <w:p>
      <w:pPr>
        <w:widowControl w:val="0"/>
        <w:spacing w:line="480" w:lineRule="exact"/>
        <w:textAlignment w:val="auto"/>
        <w:rPr>
          <w:rFonts w:ascii="宋体" w:hAnsi="宋体" w:cs="宋体"/>
          <w:color w:val="auto"/>
          <w:kern w:val="21"/>
          <w:szCs w:val="21"/>
          <w:highlight w:val="none"/>
        </w:rPr>
      </w:pP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担保人：</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（盖单位章）</w:t>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法定代表人或其委托代理人：</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（签字）</w:t>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地    址：</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p>
    <w:p>
      <w:pPr>
        <w:widowControl w:val="0"/>
        <w:spacing w:line="480" w:lineRule="exac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邮政编码：</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p>
    <w:p>
      <w:pPr>
        <w:widowControl w:val="0"/>
        <w:spacing w:line="480" w:lineRule="exac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电    话：</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p>
    <w:p>
      <w:pPr>
        <w:widowControl w:val="0"/>
        <w:spacing w:line="480" w:lineRule="exact"/>
        <w:textAlignment w:val="auto"/>
        <w:rPr>
          <w:rFonts w:ascii="宋体" w:hAnsi="宋体" w:cs="宋体"/>
          <w:color w:val="auto"/>
          <w:kern w:val="21"/>
          <w:szCs w:val="21"/>
          <w:highlight w:val="none"/>
          <w:u w:val="single"/>
        </w:rPr>
      </w:pPr>
      <w:r>
        <w:rPr>
          <w:rFonts w:hint="eastAsia" w:ascii="宋体" w:hAnsi="宋体" w:cs="宋体"/>
          <w:color w:val="auto"/>
          <w:kern w:val="21"/>
          <w:szCs w:val="21"/>
          <w:highlight w:val="none"/>
        </w:rPr>
        <w:t>传    真：</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r>
        <w:rPr>
          <w:rFonts w:hint="eastAsia" w:ascii="宋体" w:hAnsi="宋体" w:cs="宋体"/>
          <w:color w:val="auto"/>
          <w:kern w:val="21"/>
          <w:szCs w:val="21"/>
          <w:highlight w:val="none"/>
          <w:u w:val="single"/>
        </w:rPr>
        <w:tab/>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xml:space="preserve">  </w:t>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xml:space="preserve">           </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年</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月</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日</w:t>
      </w:r>
    </w:p>
    <w:p>
      <w:pPr>
        <w:widowControl w:val="0"/>
        <w:spacing w:line="480" w:lineRule="exact"/>
        <w:textAlignment w:val="auto"/>
        <w:rPr>
          <w:rFonts w:ascii="宋体" w:hAnsi="宋体" w:cs="宋体"/>
          <w:color w:val="auto"/>
          <w:kern w:val="21"/>
          <w:szCs w:val="21"/>
          <w:highlight w:val="none"/>
        </w:rPr>
      </w:pPr>
      <w:r>
        <w:rPr>
          <w:rFonts w:hint="eastAsia" w:ascii="宋体" w:hAnsi="宋体" w:cs="宋体"/>
          <w:b/>
          <w:color w:val="auto"/>
          <w:kern w:val="21"/>
          <w:szCs w:val="21"/>
          <w:highlight w:val="none"/>
        </w:rPr>
        <w:br w:type="page"/>
      </w:r>
      <w:r>
        <w:rPr>
          <w:rFonts w:hint="eastAsia" w:ascii="宋体" w:hAnsi="宋体" w:cs="宋体"/>
          <w:color w:val="auto"/>
          <w:kern w:val="21"/>
          <w:szCs w:val="21"/>
          <w:highlight w:val="none"/>
        </w:rPr>
        <w:t>附</w:t>
      </w:r>
      <w:bookmarkStart w:id="699" w:name="_Toc296944572"/>
      <w:bookmarkStart w:id="700" w:name="_Toc296346734"/>
      <w:bookmarkStart w:id="701" w:name="_Toc296891273"/>
      <w:bookmarkStart w:id="702" w:name="_Toc296891061"/>
      <w:bookmarkStart w:id="703" w:name="_Toc296347232"/>
      <w:bookmarkStart w:id="704" w:name="_Toc296503233"/>
      <w:r>
        <w:rPr>
          <w:rFonts w:hint="eastAsia" w:ascii="宋体" w:hAnsi="宋体" w:cs="宋体"/>
          <w:color w:val="auto"/>
          <w:kern w:val="21"/>
          <w:szCs w:val="21"/>
          <w:highlight w:val="none"/>
        </w:rPr>
        <w:t xml:space="preserve">件10:  </w:t>
      </w:r>
    </w:p>
    <w:bookmarkEnd w:id="699"/>
    <w:bookmarkEnd w:id="700"/>
    <w:bookmarkEnd w:id="701"/>
    <w:bookmarkEnd w:id="702"/>
    <w:bookmarkEnd w:id="703"/>
    <w:bookmarkEnd w:id="704"/>
    <w:p>
      <w:pPr>
        <w:widowControl w:val="0"/>
        <w:spacing w:beforeLines="50" w:afterLines="50"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支付担保</w:t>
      </w:r>
    </w:p>
    <w:p>
      <w:pPr>
        <w:widowControl w:val="0"/>
        <w:spacing w:line="420" w:lineRule="exact"/>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（承包人）：</w:t>
      </w:r>
    </w:p>
    <w:p>
      <w:pPr>
        <w:widowControl w:val="0"/>
        <w:spacing w:line="420" w:lineRule="exact"/>
        <w:jc w:val="left"/>
        <w:textAlignment w:val="auto"/>
        <w:rPr>
          <w:rFonts w:ascii="宋体" w:hAnsi="宋体" w:cs="宋体"/>
          <w:color w:val="auto"/>
          <w:kern w:val="21"/>
          <w:szCs w:val="21"/>
          <w:highlight w:val="none"/>
        </w:rPr>
      </w:pP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鉴于你方作为承包人已经与</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（发包人名称）（以下称“发包人”）于</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年</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月</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日签订了</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（工程名称）《建设工程施工合同》（以下称“主合同”），应发包人的申请，我方愿就发包人履行主合同约定的工程款支付义务以保证的方式向你方提供如下担保：</w:t>
      </w:r>
    </w:p>
    <w:p>
      <w:pPr>
        <w:widowControl w:val="0"/>
        <w:spacing w:line="480" w:lineRule="exact"/>
        <w:ind w:firstLine="420" w:firstLineChars="200"/>
        <w:jc w:val="left"/>
        <w:textAlignment w:val="auto"/>
        <w:outlineLvl w:val="0"/>
        <w:rPr>
          <w:rFonts w:ascii="宋体" w:hAnsi="宋体" w:cs="宋体"/>
          <w:color w:val="auto"/>
          <w:kern w:val="21"/>
          <w:szCs w:val="21"/>
          <w:highlight w:val="none"/>
        </w:rPr>
      </w:pPr>
      <w:bookmarkStart w:id="705" w:name="_Toc24930"/>
      <w:r>
        <w:rPr>
          <w:rFonts w:hint="eastAsia" w:ascii="宋体" w:hAnsi="宋体" w:cs="宋体"/>
          <w:color w:val="auto"/>
          <w:kern w:val="21"/>
          <w:szCs w:val="21"/>
          <w:highlight w:val="none"/>
        </w:rPr>
        <w:t>一、保证的范围及保证金额</w:t>
      </w:r>
      <w:bookmarkEnd w:id="705"/>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 我方的保证范围是主合同约定的工程款。</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 本保函所称主合同约定的工程款是指主合同约定的除工程质量保证金以外的合同价款。</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 我方保证的金额是主合同约定的工程款的</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%，数额最高不超过人民币元（大写：</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w:t>
      </w:r>
    </w:p>
    <w:p>
      <w:pPr>
        <w:widowControl w:val="0"/>
        <w:spacing w:line="480" w:lineRule="exact"/>
        <w:ind w:firstLine="420" w:firstLineChars="200"/>
        <w:jc w:val="left"/>
        <w:textAlignment w:val="auto"/>
        <w:outlineLvl w:val="0"/>
        <w:rPr>
          <w:rFonts w:ascii="宋体" w:hAnsi="宋体" w:cs="宋体"/>
          <w:color w:val="auto"/>
          <w:kern w:val="21"/>
          <w:szCs w:val="21"/>
          <w:highlight w:val="none"/>
        </w:rPr>
      </w:pPr>
      <w:bookmarkStart w:id="706" w:name="_Toc26615"/>
      <w:r>
        <w:rPr>
          <w:rFonts w:hint="eastAsia" w:ascii="宋体" w:hAnsi="宋体" w:cs="宋体"/>
          <w:color w:val="auto"/>
          <w:kern w:val="21"/>
          <w:szCs w:val="21"/>
          <w:highlight w:val="none"/>
        </w:rPr>
        <w:t>二、保证的方式及保证期间</w:t>
      </w:r>
      <w:bookmarkEnd w:id="706"/>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 我方保证的方式为：连带责任保证。</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 我方保证的期间为：自本合同生效之日起至主合同约定的工程款支付完毕之日后</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日内。</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 你方与发包人协议变更工程款支付日期的，经我方书面同意后，保证期间按照变更后的支付日期做相应调整。</w:t>
      </w:r>
    </w:p>
    <w:p>
      <w:pPr>
        <w:widowControl w:val="0"/>
        <w:spacing w:line="480" w:lineRule="exact"/>
        <w:ind w:firstLine="420" w:firstLineChars="200"/>
        <w:jc w:val="left"/>
        <w:textAlignment w:val="auto"/>
        <w:outlineLvl w:val="0"/>
        <w:rPr>
          <w:rFonts w:ascii="宋体" w:hAnsi="宋体" w:cs="宋体"/>
          <w:color w:val="auto"/>
          <w:kern w:val="21"/>
          <w:szCs w:val="21"/>
          <w:highlight w:val="none"/>
        </w:rPr>
      </w:pPr>
      <w:bookmarkStart w:id="707" w:name="_Toc31657"/>
      <w:r>
        <w:rPr>
          <w:rFonts w:hint="eastAsia" w:ascii="宋体" w:hAnsi="宋体" w:cs="宋体"/>
          <w:color w:val="auto"/>
          <w:kern w:val="21"/>
          <w:szCs w:val="21"/>
          <w:highlight w:val="none"/>
        </w:rPr>
        <w:t>三、承担保证责任的形式</w:t>
      </w:r>
      <w:bookmarkEnd w:id="707"/>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我方承担保证责任的形式是代为支付。发包人未按主合同约定向你方支付工程款的，由我方在保证金额内代为支付。</w:t>
      </w:r>
    </w:p>
    <w:p>
      <w:pPr>
        <w:widowControl w:val="0"/>
        <w:spacing w:line="480" w:lineRule="exact"/>
        <w:ind w:firstLine="420" w:firstLineChars="200"/>
        <w:jc w:val="left"/>
        <w:textAlignment w:val="auto"/>
        <w:outlineLvl w:val="0"/>
        <w:rPr>
          <w:rFonts w:ascii="宋体" w:hAnsi="宋体" w:cs="宋体"/>
          <w:color w:val="auto"/>
          <w:kern w:val="21"/>
          <w:szCs w:val="21"/>
          <w:highlight w:val="none"/>
        </w:rPr>
      </w:pPr>
      <w:bookmarkStart w:id="708" w:name="_Toc20719"/>
      <w:r>
        <w:rPr>
          <w:rFonts w:hint="eastAsia" w:ascii="宋体" w:hAnsi="宋体" w:cs="宋体"/>
          <w:color w:val="auto"/>
          <w:kern w:val="21"/>
          <w:szCs w:val="21"/>
          <w:highlight w:val="none"/>
        </w:rPr>
        <w:t>四、代偿的安排</w:t>
      </w:r>
      <w:bookmarkEnd w:id="708"/>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 你方要求我方承担保证责任的，应向我方发出书面索赔通知及发包人未支付主合同约定工程款的证明材料。索赔通知应写明要求索赔的金额，支付款项应到达的账号。</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 我方收到你方的书面索赔通知及相应的证明材料后７天内无条件支付。</w:t>
      </w:r>
    </w:p>
    <w:p>
      <w:pPr>
        <w:widowControl w:val="0"/>
        <w:spacing w:line="480" w:lineRule="exact"/>
        <w:ind w:firstLine="420" w:firstLineChars="200"/>
        <w:jc w:val="left"/>
        <w:textAlignment w:val="auto"/>
        <w:outlineLvl w:val="0"/>
        <w:rPr>
          <w:rFonts w:ascii="宋体" w:hAnsi="宋体" w:cs="宋体"/>
          <w:color w:val="auto"/>
          <w:kern w:val="21"/>
          <w:szCs w:val="21"/>
          <w:highlight w:val="none"/>
        </w:rPr>
      </w:pPr>
      <w:bookmarkStart w:id="709" w:name="_Toc19455"/>
      <w:r>
        <w:rPr>
          <w:rFonts w:hint="eastAsia" w:ascii="宋体" w:hAnsi="宋体" w:cs="宋体"/>
          <w:color w:val="auto"/>
          <w:kern w:val="21"/>
          <w:szCs w:val="21"/>
          <w:highlight w:val="none"/>
        </w:rPr>
        <w:t>五、保证责任的解除</w:t>
      </w:r>
      <w:bookmarkEnd w:id="709"/>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 在本保函承诺的保证期间内，你方未书面向我方主张保证责任的，自保证期间届满次日起，我方保证责任解除。</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 发包人按主合同约定履行了工程款的全部支付义务的，自本保函承诺的保证期间届满次日起，我方保证责任解除。</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 我方按照本保函向你方履行保证责任所支付金额达到本保函保证金额时，自我方向你方支付（支付款项从我方账户划出）之日起，保证责任即解除。</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4. 按照法律法规的规定或出现应解除我方保证责任的其他情形的，我方在本保函项下的保证责任亦解除。</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5. 我方解除保证责任后，你方应自我方保证责任解除之日起</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个工作日内，将本保函原件返还我方。</w:t>
      </w:r>
    </w:p>
    <w:p>
      <w:pPr>
        <w:widowControl w:val="0"/>
        <w:spacing w:line="480" w:lineRule="exact"/>
        <w:ind w:firstLine="420" w:firstLineChars="200"/>
        <w:jc w:val="left"/>
        <w:textAlignment w:val="auto"/>
        <w:outlineLvl w:val="0"/>
        <w:rPr>
          <w:rFonts w:ascii="宋体" w:hAnsi="宋体" w:cs="宋体"/>
          <w:color w:val="auto"/>
          <w:kern w:val="21"/>
          <w:szCs w:val="21"/>
          <w:highlight w:val="none"/>
        </w:rPr>
      </w:pPr>
      <w:bookmarkStart w:id="710" w:name="_Toc9819"/>
      <w:r>
        <w:rPr>
          <w:rFonts w:hint="eastAsia" w:ascii="宋体" w:hAnsi="宋体" w:cs="宋体"/>
          <w:color w:val="auto"/>
          <w:kern w:val="21"/>
          <w:szCs w:val="21"/>
          <w:highlight w:val="none"/>
        </w:rPr>
        <w:t>六、免责条款</w:t>
      </w:r>
      <w:bookmarkEnd w:id="710"/>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 因你方违约致使发包人不能履行义务的，我方不承担保证责任。</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 依照法律法规的规定或你方与发包人的另行约定，免除发包人部分或全部义务的，我方亦免除其相应的保证责任。</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pPr>
        <w:widowControl w:val="0"/>
        <w:spacing w:line="480" w:lineRule="exact"/>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4. 因不可抗力造成发包人不能履行义务的，我方不承担保证责任。</w:t>
      </w:r>
    </w:p>
    <w:p>
      <w:pPr>
        <w:widowControl w:val="0"/>
        <w:spacing w:line="480" w:lineRule="exact"/>
        <w:ind w:firstLine="420" w:firstLineChars="200"/>
        <w:jc w:val="left"/>
        <w:textAlignment w:val="auto"/>
        <w:outlineLvl w:val="0"/>
        <w:rPr>
          <w:rFonts w:ascii="宋体" w:hAnsi="宋体" w:cs="宋体"/>
          <w:color w:val="auto"/>
          <w:kern w:val="21"/>
          <w:szCs w:val="21"/>
          <w:highlight w:val="none"/>
        </w:rPr>
      </w:pPr>
      <w:bookmarkStart w:id="711" w:name="_Toc16401"/>
      <w:r>
        <w:rPr>
          <w:rFonts w:hint="eastAsia" w:ascii="宋体" w:hAnsi="宋体" w:cs="宋体"/>
          <w:color w:val="auto"/>
          <w:kern w:val="21"/>
          <w:szCs w:val="21"/>
          <w:highlight w:val="none"/>
        </w:rPr>
        <w:t>七、争议解决</w:t>
      </w:r>
      <w:bookmarkEnd w:id="711"/>
    </w:p>
    <w:p>
      <w:pPr>
        <w:widowControl w:val="0"/>
        <w:spacing w:after="120" w:line="480" w:lineRule="exact"/>
        <w:ind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因本保函或本保函相关事项发生的纠纷，可由双方协商解决，协商不成的，按下列第</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种方式解决：</w:t>
      </w:r>
    </w:p>
    <w:p>
      <w:pPr>
        <w:widowControl w:val="0"/>
        <w:spacing w:line="360" w:lineRule="auto"/>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（1）向</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仲裁委员会申请仲裁；</w:t>
      </w:r>
    </w:p>
    <w:p>
      <w:pPr>
        <w:widowControl w:val="0"/>
        <w:spacing w:line="360" w:lineRule="auto"/>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（2）向</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人民法院起诉。</w:t>
      </w:r>
    </w:p>
    <w:p>
      <w:pPr>
        <w:widowControl w:val="0"/>
        <w:spacing w:line="360" w:lineRule="auto"/>
        <w:ind w:firstLine="420" w:firstLineChars="200"/>
        <w:jc w:val="left"/>
        <w:textAlignment w:val="auto"/>
        <w:outlineLvl w:val="0"/>
        <w:rPr>
          <w:rFonts w:ascii="宋体" w:hAnsi="宋体" w:cs="宋体"/>
          <w:color w:val="auto"/>
          <w:kern w:val="21"/>
          <w:szCs w:val="21"/>
          <w:highlight w:val="none"/>
        </w:rPr>
      </w:pPr>
      <w:bookmarkStart w:id="712" w:name="_Toc5692"/>
      <w:r>
        <w:rPr>
          <w:rFonts w:hint="eastAsia" w:ascii="宋体" w:hAnsi="宋体" w:cs="宋体"/>
          <w:color w:val="auto"/>
          <w:kern w:val="21"/>
          <w:szCs w:val="21"/>
          <w:highlight w:val="none"/>
        </w:rPr>
        <w:t>八、保函的生效</w:t>
      </w:r>
      <w:bookmarkEnd w:id="712"/>
    </w:p>
    <w:p>
      <w:pPr>
        <w:widowControl w:val="0"/>
        <w:spacing w:line="360" w:lineRule="auto"/>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本保函自我方法定代表人（或其授权代理人）签字并加盖公章之日起生效。</w:t>
      </w:r>
    </w:p>
    <w:p>
      <w:pPr>
        <w:widowControl w:val="0"/>
        <w:spacing w:line="360" w:lineRule="auto"/>
        <w:ind w:right="600"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担保人：</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（盖章）</w:t>
      </w:r>
    </w:p>
    <w:p>
      <w:pPr>
        <w:widowControl w:val="0"/>
        <w:spacing w:line="360" w:lineRule="auto"/>
        <w:ind w:right="1200" w:firstLine="420" w:firstLineChars="200"/>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法定代表人或委托代理人：</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（签字）</w:t>
      </w:r>
    </w:p>
    <w:p>
      <w:pPr>
        <w:widowControl w:val="0"/>
        <w:spacing w:line="360" w:lineRule="auto"/>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地    址：</w:t>
      </w:r>
      <w:r>
        <w:rPr>
          <w:rFonts w:hint="eastAsia" w:ascii="宋体" w:hAnsi="宋体" w:cs="宋体"/>
          <w:color w:val="auto"/>
          <w:kern w:val="21"/>
          <w:szCs w:val="21"/>
          <w:highlight w:val="none"/>
          <w:u w:val="single"/>
        </w:rPr>
        <w:t xml:space="preserve">                                        </w:t>
      </w:r>
    </w:p>
    <w:p>
      <w:pPr>
        <w:widowControl w:val="0"/>
        <w:spacing w:line="360" w:lineRule="auto"/>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邮政编码：</w:t>
      </w:r>
      <w:r>
        <w:rPr>
          <w:rFonts w:hint="eastAsia" w:ascii="宋体" w:hAnsi="宋体" w:cs="宋体"/>
          <w:color w:val="auto"/>
          <w:kern w:val="21"/>
          <w:szCs w:val="21"/>
          <w:highlight w:val="none"/>
          <w:u w:val="single"/>
        </w:rPr>
        <w:t xml:space="preserve">                                        </w:t>
      </w:r>
    </w:p>
    <w:p>
      <w:pPr>
        <w:widowControl w:val="0"/>
        <w:spacing w:line="360" w:lineRule="auto"/>
        <w:ind w:firstLine="420" w:firstLineChars="2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传    真：</w:t>
      </w:r>
      <w:r>
        <w:rPr>
          <w:rFonts w:hint="eastAsia" w:ascii="宋体" w:hAnsi="宋体" w:cs="宋体"/>
          <w:color w:val="auto"/>
          <w:kern w:val="21"/>
          <w:szCs w:val="21"/>
          <w:highlight w:val="none"/>
          <w:u w:val="single"/>
        </w:rPr>
        <w:t xml:space="preserve">                                        </w:t>
      </w:r>
    </w:p>
    <w:p>
      <w:pPr>
        <w:widowControl w:val="0"/>
        <w:spacing w:line="360" w:lineRule="auto"/>
        <w:ind w:right="150" w:firstLine="840" w:firstLineChars="400"/>
        <w:jc w:val="lef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t xml:space="preserve">       </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年</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月</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日</w:t>
      </w:r>
    </w:p>
    <w:p>
      <w:pPr>
        <w:widowControl w:val="0"/>
        <w:spacing w:line="420" w:lineRule="exact"/>
        <w:textAlignment w:val="auto"/>
        <w:rPr>
          <w:rFonts w:ascii="宋体" w:hAnsi="宋体" w:cs="宋体"/>
          <w:color w:val="auto"/>
          <w:kern w:val="21"/>
          <w:szCs w:val="21"/>
          <w:highlight w:val="none"/>
        </w:rPr>
      </w:pPr>
      <w:r>
        <w:rPr>
          <w:rFonts w:hint="eastAsia" w:ascii="宋体" w:hAnsi="宋体" w:cs="宋体"/>
          <w:color w:val="auto"/>
          <w:kern w:val="21"/>
          <w:szCs w:val="21"/>
          <w:highlight w:val="none"/>
        </w:rPr>
        <w:br w:type="page"/>
      </w:r>
      <w:r>
        <w:rPr>
          <w:rFonts w:hint="eastAsia" w:ascii="宋体" w:hAnsi="宋体" w:cs="宋体"/>
          <w:color w:val="auto"/>
          <w:kern w:val="21"/>
          <w:szCs w:val="21"/>
          <w:highlight w:val="none"/>
        </w:rPr>
        <w:t>附件11：</w:t>
      </w:r>
    </w:p>
    <w:p>
      <w:pPr>
        <w:widowControl w:val="0"/>
        <w:spacing w:beforeLines="50" w:afterLines="50" w:line="340" w:lineRule="exact"/>
        <w:jc w:val="center"/>
        <w:outlineLvl w:val="0"/>
        <w:rPr>
          <w:rFonts w:ascii="宋体" w:hAnsi="宋体" w:cs="宋体"/>
          <w:color w:val="auto"/>
          <w:kern w:val="21"/>
          <w:szCs w:val="21"/>
          <w:highlight w:val="none"/>
        </w:rPr>
      </w:pPr>
      <w:bookmarkStart w:id="713" w:name="_Toc4293"/>
      <w:r>
        <w:rPr>
          <w:rFonts w:hint="eastAsia" w:ascii="宋体" w:hAnsi="宋体" w:cs="宋体"/>
          <w:color w:val="auto"/>
          <w:kern w:val="21"/>
          <w:szCs w:val="21"/>
          <w:highlight w:val="none"/>
        </w:rPr>
        <w:t>11-1：材料暂估价表</w:t>
      </w:r>
      <w:bookmarkEnd w:id="713"/>
    </w:p>
    <w:tbl>
      <w:tblPr>
        <w:tblStyle w:val="22"/>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序号</w:t>
            </w:r>
          </w:p>
        </w:tc>
        <w:tc>
          <w:tcPr>
            <w:tcW w:w="1984"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名称</w:t>
            </w:r>
          </w:p>
        </w:tc>
        <w:tc>
          <w:tcPr>
            <w:tcW w:w="851"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单位</w:t>
            </w:r>
          </w:p>
        </w:tc>
        <w:tc>
          <w:tcPr>
            <w:tcW w:w="774"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数量</w:t>
            </w:r>
          </w:p>
        </w:tc>
        <w:tc>
          <w:tcPr>
            <w:tcW w:w="1352"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单价（元）</w:t>
            </w:r>
          </w:p>
        </w:tc>
        <w:tc>
          <w:tcPr>
            <w:tcW w:w="1418"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合价（元）</w:t>
            </w:r>
          </w:p>
        </w:tc>
        <w:tc>
          <w:tcPr>
            <w:tcW w:w="1701"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bl>
    <w:p>
      <w:pPr>
        <w:widowControl w:val="0"/>
        <w:spacing w:beforeLines="50" w:afterLines="50" w:line="340" w:lineRule="exact"/>
        <w:rPr>
          <w:rFonts w:ascii="宋体" w:hAnsi="宋体" w:cs="宋体"/>
          <w:color w:val="auto"/>
          <w:kern w:val="21"/>
          <w:szCs w:val="21"/>
          <w:highlight w:val="none"/>
        </w:rPr>
      </w:pPr>
    </w:p>
    <w:p>
      <w:pPr>
        <w:widowControl w:val="0"/>
        <w:spacing w:beforeLines="50" w:afterLines="50" w:line="340" w:lineRule="exact"/>
        <w:jc w:val="center"/>
        <w:rPr>
          <w:rFonts w:ascii="宋体" w:hAnsi="宋体" w:cs="宋体"/>
          <w:color w:val="auto"/>
          <w:kern w:val="21"/>
          <w:szCs w:val="21"/>
          <w:highlight w:val="none"/>
        </w:rPr>
      </w:pPr>
    </w:p>
    <w:p>
      <w:pPr>
        <w:widowControl w:val="0"/>
        <w:spacing w:beforeLines="50" w:afterLines="50" w:line="340" w:lineRule="exact"/>
        <w:jc w:val="center"/>
        <w:rPr>
          <w:rFonts w:ascii="宋体" w:hAnsi="宋体" w:cs="宋体"/>
          <w:color w:val="auto"/>
          <w:kern w:val="21"/>
          <w:szCs w:val="21"/>
          <w:highlight w:val="none"/>
        </w:rPr>
      </w:pPr>
    </w:p>
    <w:p>
      <w:pPr>
        <w:widowControl w:val="0"/>
        <w:spacing w:beforeLines="50" w:afterLines="50" w:line="340" w:lineRule="exact"/>
        <w:jc w:val="center"/>
        <w:rPr>
          <w:rFonts w:ascii="宋体" w:hAnsi="宋体" w:cs="宋体"/>
          <w:color w:val="auto"/>
          <w:kern w:val="21"/>
          <w:szCs w:val="21"/>
          <w:highlight w:val="none"/>
        </w:rPr>
      </w:pPr>
    </w:p>
    <w:p>
      <w:pPr>
        <w:widowControl w:val="0"/>
        <w:spacing w:beforeLines="50" w:afterLines="50" w:line="340" w:lineRule="exact"/>
        <w:jc w:val="center"/>
        <w:rPr>
          <w:rFonts w:ascii="宋体" w:hAnsi="宋体" w:cs="宋体"/>
          <w:color w:val="auto"/>
          <w:kern w:val="21"/>
          <w:szCs w:val="21"/>
          <w:highlight w:val="none"/>
        </w:rPr>
      </w:pPr>
    </w:p>
    <w:p>
      <w:pPr>
        <w:widowControl w:val="0"/>
        <w:spacing w:beforeLines="50" w:afterLines="50" w:line="340" w:lineRule="exact"/>
        <w:jc w:val="center"/>
        <w:rPr>
          <w:rFonts w:ascii="宋体" w:hAnsi="宋体" w:cs="宋体"/>
          <w:color w:val="auto"/>
          <w:kern w:val="21"/>
          <w:szCs w:val="21"/>
          <w:highlight w:val="none"/>
        </w:rPr>
      </w:pPr>
    </w:p>
    <w:p>
      <w:pPr>
        <w:widowControl w:val="0"/>
        <w:spacing w:beforeLines="50" w:afterLines="50" w:line="340" w:lineRule="exact"/>
        <w:jc w:val="center"/>
        <w:rPr>
          <w:rFonts w:ascii="宋体" w:hAnsi="宋体" w:cs="宋体"/>
          <w:color w:val="auto"/>
          <w:kern w:val="21"/>
          <w:szCs w:val="21"/>
          <w:highlight w:val="none"/>
        </w:rPr>
      </w:pPr>
    </w:p>
    <w:p>
      <w:pPr>
        <w:widowControl w:val="0"/>
        <w:spacing w:beforeLines="50" w:afterLines="50"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t>11-2：工程设备暂估价表</w:t>
      </w:r>
    </w:p>
    <w:tbl>
      <w:tblPr>
        <w:tblStyle w:val="22"/>
        <w:tblW w:w="907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序号</w:t>
            </w:r>
          </w:p>
        </w:tc>
        <w:tc>
          <w:tcPr>
            <w:tcW w:w="1984"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名称</w:t>
            </w:r>
          </w:p>
        </w:tc>
        <w:tc>
          <w:tcPr>
            <w:tcW w:w="851"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单位</w:t>
            </w:r>
          </w:p>
        </w:tc>
        <w:tc>
          <w:tcPr>
            <w:tcW w:w="774"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数量</w:t>
            </w:r>
          </w:p>
        </w:tc>
        <w:tc>
          <w:tcPr>
            <w:tcW w:w="1352"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单价（元）</w:t>
            </w:r>
          </w:p>
        </w:tc>
        <w:tc>
          <w:tcPr>
            <w:tcW w:w="1418"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合价（元）</w:t>
            </w:r>
          </w:p>
        </w:tc>
        <w:tc>
          <w:tcPr>
            <w:tcW w:w="1701" w:type="dxa"/>
            <w:tcBorders>
              <w:top w:val="single" w:color="auto" w:sz="12" w:space="0"/>
              <w:bottom w:val="doub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Borders>
              <w:top w:val="double" w:color="auto" w:sz="6" w:space="0"/>
              <w:bottom w:val="single" w:color="auto" w:sz="6" w:space="0"/>
            </w:tcBorders>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Borders>
              <w:top w:val="nil"/>
            </w:tcBorders>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98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851"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774"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352"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418" w:type="dxa"/>
          </w:tcPr>
          <w:p>
            <w:pPr>
              <w:pStyle w:val="9"/>
              <w:keepNext/>
              <w:snapToGrid/>
              <w:spacing w:line="340" w:lineRule="exact"/>
              <w:ind w:left="63" w:right="63"/>
              <w:rPr>
                <w:rFonts w:ascii="宋体" w:hAnsi="宋体" w:eastAsia="宋体" w:cs="宋体"/>
                <w:color w:val="auto"/>
                <w:kern w:val="21"/>
                <w:sz w:val="21"/>
                <w:szCs w:val="21"/>
                <w:highlight w:val="none"/>
              </w:rPr>
            </w:pPr>
          </w:p>
        </w:tc>
        <w:tc>
          <w:tcPr>
            <w:tcW w:w="1701" w:type="dxa"/>
          </w:tcPr>
          <w:p>
            <w:pPr>
              <w:pStyle w:val="9"/>
              <w:keepNext/>
              <w:snapToGrid/>
              <w:spacing w:line="340" w:lineRule="exact"/>
              <w:ind w:left="63" w:right="63"/>
              <w:rPr>
                <w:rFonts w:ascii="宋体" w:hAnsi="宋体" w:eastAsia="宋体" w:cs="宋体"/>
                <w:color w:val="auto"/>
                <w:kern w:val="21"/>
                <w:sz w:val="21"/>
                <w:szCs w:val="21"/>
                <w:highlight w:val="none"/>
              </w:rPr>
            </w:pPr>
          </w:p>
        </w:tc>
      </w:tr>
    </w:tbl>
    <w:p>
      <w:pPr>
        <w:widowControl w:val="0"/>
        <w:spacing w:line="340" w:lineRule="exact"/>
        <w:rPr>
          <w:rFonts w:ascii="宋体" w:hAnsi="宋体" w:cs="宋体"/>
          <w:color w:val="auto"/>
          <w:kern w:val="21"/>
          <w:szCs w:val="21"/>
          <w:highlight w:val="none"/>
        </w:rPr>
      </w:pPr>
    </w:p>
    <w:p>
      <w:pPr>
        <w:widowControl w:val="0"/>
        <w:spacing w:beforeLines="50" w:afterLines="50" w:line="340" w:lineRule="exact"/>
        <w:jc w:val="center"/>
        <w:rPr>
          <w:rFonts w:ascii="宋体" w:hAnsi="宋体" w:cs="宋体"/>
          <w:color w:val="auto"/>
          <w:kern w:val="21"/>
          <w:szCs w:val="21"/>
          <w:highlight w:val="none"/>
        </w:rPr>
      </w:pPr>
      <w:r>
        <w:rPr>
          <w:rFonts w:hint="eastAsia" w:ascii="宋体" w:hAnsi="宋体" w:cs="宋体"/>
          <w:color w:val="auto"/>
          <w:kern w:val="21"/>
          <w:szCs w:val="21"/>
          <w:highlight w:val="none"/>
        </w:rPr>
        <w:br w:type="page"/>
      </w:r>
      <w:r>
        <w:rPr>
          <w:rFonts w:hint="eastAsia" w:ascii="宋体" w:hAnsi="宋体" w:cs="宋体"/>
          <w:color w:val="auto"/>
          <w:kern w:val="21"/>
          <w:szCs w:val="21"/>
          <w:highlight w:val="none"/>
        </w:rPr>
        <w:t>11-3：专业工程暂估价表</w:t>
      </w:r>
    </w:p>
    <w:tbl>
      <w:tblPr>
        <w:tblStyle w:val="22"/>
        <w:tblW w:w="79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93"/>
        <w:gridCol w:w="1791"/>
        <w:gridCol w:w="4223"/>
        <w:gridCol w:w="11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5" w:hRule="atLeast"/>
          <w:jc w:val="center"/>
        </w:trPr>
        <w:tc>
          <w:tcPr>
            <w:tcW w:w="793" w:type="dxa"/>
            <w:tcBorders>
              <w:top w:val="single" w:color="auto" w:sz="12" w:space="0"/>
              <w:bottom w:val="double" w:color="auto" w:sz="6" w:space="0"/>
            </w:tcBorders>
          </w:tcPr>
          <w:p>
            <w:pPr>
              <w:rPr>
                <w:rFonts w:ascii="宋体" w:hAnsi="宋体" w:cs="宋体"/>
                <w:color w:val="auto"/>
                <w:kern w:val="2"/>
                <w:szCs w:val="21"/>
                <w:highlight w:val="none"/>
              </w:rPr>
            </w:pPr>
            <w:r>
              <w:rPr>
                <w:rFonts w:hint="eastAsia" w:ascii="宋体" w:hAnsi="宋体" w:cs="宋体"/>
                <w:color w:val="auto"/>
                <w:kern w:val="2"/>
                <w:szCs w:val="21"/>
                <w:highlight w:val="none"/>
              </w:rPr>
              <w:t>序号</w:t>
            </w:r>
          </w:p>
        </w:tc>
        <w:tc>
          <w:tcPr>
            <w:tcW w:w="1791" w:type="dxa"/>
            <w:tcBorders>
              <w:top w:val="single" w:color="auto" w:sz="12" w:space="0"/>
              <w:bottom w:val="double" w:color="auto" w:sz="6" w:space="0"/>
            </w:tcBorders>
          </w:tcPr>
          <w:p>
            <w:pPr>
              <w:rPr>
                <w:rFonts w:ascii="宋体" w:hAnsi="宋体" w:cs="宋体"/>
                <w:color w:val="auto"/>
                <w:kern w:val="2"/>
                <w:szCs w:val="21"/>
                <w:highlight w:val="none"/>
              </w:rPr>
            </w:pPr>
            <w:r>
              <w:rPr>
                <w:rFonts w:hint="eastAsia" w:ascii="宋体" w:hAnsi="宋体" w:cs="宋体"/>
                <w:color w:val="auto"/>
                <w:kern w:val="2"/>
                <w:szCs w:val="21"/>
                <w:highlight w:val="none"/>
              </w:rPr>
              <w:t>专业工程名称</w:t>
            </w:r>
          </w:p>
        </w:tc>
        <w:tc>
          <w:tcPr>
            <w:tcW w:w="4223" w:type="dxa"/>
            <w:tcBorders>
              <w:top w:val="single" w:color="auto" w:sz="12" w:space="0"/>
              <w:bottom w:val="double" w:color="auto" w:sz="6" w:space="0"/>
            </w:tcBorders>
          </w:tcPr>
          <w:p>
            <w:pPr>
              <w:rPr>
                <w:rFonts w:ascii="宋体" w:hAnsi="宋体" w:cs="宋体"/>
                <w:color w:val="auto"/>
                <w:kern w:val="2"/>
                <w:szCs w:val="21"/>
                <w:highlight w:val="none"/>
              </w:rPr>
            </w:pPr>
            <w:r>
              <w:rPr>
                <w:rFonts w:hint="eastAsia" w:ascii="宋体" w:hAnsi="宋体" w:cs="宋体"/>
                <w:color w:val="auto"/>
                <w:kern w:val="2"/>
                <w:szCs w:val="21"/>
                <w:highlight w:val="none"/>
              </w:rPr>
              <w:t>工程内容</w:t>
            </w:r>
          </w:p>
        </w:tc>
        <w:tc>
          <w:tcPr>
            <w:tcW w:w="1151" w:type="dxa"/>
            <w:tcBorders>
              <w:top w:val="single" w:color="auto" w:sz="12" w:space="0"/>
              <w:bottom w:val="double" w:color="auto" w:sz="6" w:space="0"/>
            </w:tcBorders>
          </w:tcPr>
          <w:p>
            <w:pPr>
              <w:rPr>
                <w:rFonts w:ascii="宋体" w:hAnsi="宋体" w:cs="宋体"/>
                <w:color w:val="auto"/>
                <w:kern w:val="2"/>
                <w:szCs w:val="21"/>
                <w:highlight w:val="none"/>
              </w:rPr>
            </w:pPr>
            <w:r>
              <w:rPr>
                <w:rFonts w:hint="eastAsia" w:ascii="宋体" w:hAnsi="宋体" w:cs="宋体"/>
                <w:color w:val="auto"/>
                <w:kern w:val="2"/>
                <w:szCs w:val="21"/>
                <w:highlight w:val="none"/>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0" w:hRule="atLeast"/>
          <w:jc w:val="center"/>
        </w:trPr>
        <w:tc>
          <w:tcPr>
            <w:tcW w:w="793" w:type="dxa"/>
            <w:tcBorders>
              <w:top w:val="double" w:color="auto" w:sz="6" w:space="0"/>
              <w:bottom w:val="single" w:color="auto" w:sz="6" w:space="0"/>
            </w:tcBorders>
          </w:tcPr>
          <w:p>
            <w:pPr>
              <w:rPr>
                <w:rFonts w:ascii="宋体" w:hAnsi="宋体" w:cs="宋体"/>
                <w:color w:val="auto"/>
                <w:kern w:val="2"/>
                <w:szCs w:val="21"/>
                <w:highlight w:val="none"/>
              </w:rPr>
            </w:pPr>
          </w:p>
        </w:tc>
        <w:tc>
          <w:tcPr>
            <w:tcW w:w="1791" w:type="dxa"/>
            <w:tcBorders>
              <w:top w:val="double" w:color="auto" w:sz="6" w:space="0"/>
              <w:bottom w:val="single" w:color="auto" w:sz="6" w:space="0"/>
            </w:tcBorders>
          </w:tcPr>
          <w:p>
            <w:pPr>
              <w:rPr>
                <w:rFonts w:ascii="宋体" w:hAnsi="宋体" w:cs="宋体"/>
                <w:color w:val="auto"/>
                <w:kern w:val="2"/>
                <w:szCs w:val="21"/>
                <w:highlight w:val="none"/>
              </w:rPr>
            </w:pPr>
          </w:p>
        </w:tc>
        <w:tc>
          <w:tcPr>
            <w:tcW w:w="4223" w:type="dxa"/>
            <w:tcBorders>
              <w:top w:val="double" w:color="auto" w:sz="6" w:space="0"/>
              <w:bottom w:val="single" w:color="auto" w:sz="6" w:space="0"/>
            </w:tcBorders>
          </w:tcPr>
          <w:p>
            <w:pPr>
              <w:rPr>
                <w:rFonts w:ascii="宋体" w:hAnsi="宋体" w:cs="宋体"/>
                <w:color w:val="auto"/>
                <w:kern w:val="2"/>
                <w:szCs w:val="21"/>
                <w:highlight w:val="none"/>
              </w:rPr>
            </w:pPr>
          </w:p>
        </w:tc>
        <w:tc>
          <w:tcPr>
            <w:tcW w:w="1151" w:type="dxa"/>
            <w:tcBorders>
              <w:top w:val="double" w:color="auto" w:sz="6" w:space="0"/>
              <w:bottom w:val="single" w:color="auto" w:sz="6" w:space="0"/>
            </w:tcBorders>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Borders>
              <w:top w:val="nil"/>
            </w:tcBorders>
          </w:tcPr>
          <w:p>
            <w:pPr>
              <w:rPr>
                <w:rFonts w:ascii="宋体" w:hAnsi="宋体" w:cs="宋体"/>
                <w:color w:val="auto"/>
                <w:kern w:val="2"/>
                <w:szCs w:val="21"/>
                <w:highlight w:val="none"/>
              </w:rPr>
            </w:pPr>
          </w:p>
        </w:tc>
        <w:tc>
          <w:tcPr>
            <w:tcW w:w="1791" w:type="dxa"/>
            <w:tcBorders>
              <w:top w:val="nil"/>
            </w:tcBorders>
          </w:tcPr>
          <w:p>
            <w:pPr>
              <w:rPr>
                <w:rFonts w:ascii="宋体" w:hAnsi="宋体" w:cs="宋体"/>
                <w:color w:val="auto"/>
                <w:kern w:val="2"/>
                <w:szCs w:val="21"/>
                <w:highlight w:val="none"/>
              </w:rPr>
            </w:pPr>
          </w:p>
        </w:tc>
        <w:tc>
          <w:tcPr>
            <w:tcW w:w="4223" w:type="dxa"/>
            <w:tcBorders>
              <w:top w:val="nil"/>
            </w:tcBorders>
          </w:tcPr>
          <w:p>
            <w:pPr>
              <w:rPr>
                <w:rFonts w:ascii="宋体" w:hAnsi="宋体" w:cs="宋体"/>
                <w:color w:val="auto"/>
                <w:kern w:val="2"/>
                <w:szCs w:val="21"/>
                <w:highlight w:val="none"/>
              </w:rPr>
            </w:pPr>
          </w:p>
        </w:tc>
        <w:tc>
          <w:tcPr>
            <w:tcW w:w="1151" w:type="dxa"/>
            <w:tcBorders>
              <w:top w:val="nil"/>
            </w:tcBorders>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Borders>
              <w:top w:val="nil"/>
            </w:tcBorders>
          </w:tcPr>
          <w:p>
            <w:pPr>
              <w:rPr>
                <w:rFonts w:ascii="宋体" w:hAnsi="宋体" w:cs="宋体"/>
                <w:color w:val="auto"/>
                <w:kern w:val="2"/>
                <w:szCs w:val="21"/>
                <w:highlight w:val="none"/>
              </w:rPr>
            </w:pPr>
          </w:p>
        </w:tc>
        <w:tc>
          <w:tcPr>
            <w:tcW w:w="1791" w:type="dxa"/>
            <w:tcBorders>
              <w:top w:val="nil"/>
            </w:tcBorders>
          </w:tcPr>
          <w:p>
            <w:pPr>
              <w:rPr>
                <w:rFonts w:ascii="宋体" w:hAnsi="宋体" w:cs="宋体"/>
                <w:color w:val="auto"/>
                <w:kern w:val="2"/>
                <w:szCs w:val="21"/>
                <w:highlight w:val="none"/>
              </w:rPr>
            </w:pPr>
          </w:p>
        </w:tc>
        <w:tc>
          <w:tcPr>
            <w:tcW w:w="4223" w:type="dxa"/>
            <w:tcBorders>
              <w:top w:val="nil"/>
            </w:tcBorders>
          </w:tcPr>
          <w:p>
            <w:pPr>
              <w:rPr>
                <w:rFonts w:ascii="宋体" w:hAnsi="宋体" w:cs="宋体"/>
                <w:color w:val="auto"/>
                <w:kern w:val="2"/>
                <w:szCs w:val="21"/>
                <w:highlight w:val="none"/>
              </w:rPr>
            </w:pPr>
          </w:p>
        </w:tc>
        <w:tc>
          <w:tcPr>
            <w:tcW w:w="1151" w:type="dxa"/>
            <w:tcBorders>
              <w:top w:val="nil"/>
            </w:tcBorders>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0" w:hRule="atLeast"/>
          <w:jc w:val="center"/>
        </w:trPr>
        <w:tc>
          <w:tcPr>
            <w:tcW w:w="793" w:type="dxa"/>
          </w:tcPr>
          <w:p>
            <w:pPr>
              <w:rPr>
                <w:rFonts w:ascii="宋体" w:hAnsi="宋体" w:cs="宋体"/>
                <w:color w:val="auto"/>
                <w:kern w:val="2"/>
                <w:szCs w:val="21"/>
                <w:highlight w:val="none"/>
              </w:rPr>
            </w:pPr>
          </w:p>
        </w:tc>
        <w:tc>
          <w:tcPr>
            <w:tcW w:w="1791" w:type="dxa"/>
          </w:tcPr>
          <w:p>
            <w:pPr>
              <w:rPr>
                <w:rFonts w:ascii="宋体" w:hAnsi="宋体" w:cs="宋体"/>
                <w:color w:val="auto"/>
                <w:kern w:val="2"/>
                <w:szCs w:val="21"/>
                <w:highlight w:val="none"/>
              </w:rPr>
            </w:pPr>
          </w:p>
        </w:tc>
        <w:tc>
          <w:tcPr>
            <w:tcW w:w="4223" w:type="dxa"/>
          </w:tcPr>
          <w:p>
            <w:pPr>
              <w:rPr>
                <w:rFonts w:ascii="宋体" w:hAnsi="宋体" w:cs="宋体"/>
                <w:color w:val="auto"/>
                <w:kern w:val="2"/>
                <w:szCs w:val="21"/>
                <w:highlight w:val="none"/>
              </w:rPr>
            </w:pPr>
          </w:p>
        </w:tc>
        <w:tc>
          <w:tcPr>
            <w:tcW w:w="1151" w:type="dxa"/>
          </w:tcPr>
          <w:p>
            <w:pP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0" w:hRule="atLeast"/>
          <w:jc w:val="center"/>
        </w:trPr>
        <w:tc>
          <w:tcPr>
            <w:tcW w:w="7958" w:type="dxa"/>
            <w:gridSpan w:val="4"/>
          </w:tcPr>
          <w:p>
            <w:pPr>
              <w:rPr>
                <w:rFonts w:ascii="宋体" w:hAnsi="宋体" w:cs="宋体"/>
                <w:color w:val="auto"/>
                <w:kern w:val="2"/>
                <w:szCs w:val="21"/>
                <w:highlight w:val="none"/>
              </w:rPr>
            </w:pPr>
            <w:r>
              <w:rPr>
                <w:rFonts w:hint="eastAsia" w:ascii="宋体" w:hAnsi="宋体" w:cs="宋体"/>
                <w:color w:val="auto"/>
                <w:kern w:val="2"/>
                <w:szCs w:val="21"/>
                <w:highlight w:val="none"/>
              </w:rPr>
              <w:t>小计：</w:t>
            </w:r>
          </w:p>
        </w:tc>
      </w:tr>
    </w:tbl>
    <w:p>
      <w:pPr>
        <w:pStyle w:val="3"/>
        <w:spacing w:line="560" w:lineRule="exact"/>
        <w:jc w:val="both"/>
        <w:rPr>
          <w:rFonts w:ascii="宋体" w:hAnsi="宋体" w:cs="宋体"/>
          <w:color w:val="auto"/>
          <w:sz w:val="22"/>
          <w:highlight w:val="none"/>
          <w:lang w:val="zh-CN"/>
        </w:rPr>
      </w:pPr>
    </w:p>
    <w:p>
      <w:pPr>
        <w:rPr>
          <w:rFonts w:ascii="宋体" w:hAnsi="宋体" w:cs="宋体"/>
          <w:color w:val="auto"/>
          <w:highlight w:val="none"/>
          <w:lang w:val="zh-CN"/>
        </w:rPr>
      </w:pPr>
    </w:p>
    <w:p>
      <w:pPr>
        <w:pStyle w:val="9"/>
        <w:rPr>
          <w:rFonts w:ascii="宋体" w:hAnsi="宋体" w:eastAsia="宋体" w:cs="宋体"/>
          <w:color w:val="auto"/>
          <w:highlight w:val="none"/>
          <w:lang w:val="zh-CN"/>
        </w:rPr>
      </w:pPr>
    </w:p>
    <w:p>
      <w:pPr>
        <w:rPr>
          <w:rFonts w:ascii="宋体" w:hAnsi="宋体" w:eastAsia="宋体" w:cs="宋体"/>
          <w:color w:val="auto"/>
          <w:highlight w:val="none"/>
          <w:lang w:val="zh-CN"/>
        </w:rPr>
      </w:pPr>
    </w:p>
    <w:p>
      <w:pPr>
        <w:pStyle w:val="2"/>
        <w:rPr>
          <w:highlight w:val="none"/>
          <w:lang w:val="zh-CN"/>
        </w:rPr>
      </w:pPr>
    </w:p>
    <w:p>
      <w:pPr>
        <w:pStyle w:val="3"/>
        <w:spacing w:line="560" w:lineRule="exact"/>
        <w:rPr>
          <w:rFonts w:ascii="宋体" w:hAnsi="宋体" w:cs="宋体"/>
          <w:bCs/>
          <w:color w:val="auto"/>
          <w:sz w:val="32"/>
          <w:szCs w:val="32"/>
          <w:highlight w:val="none"/>
        </w:rPr>
      </w:pPr>
      <w:bookmarkStart w:id="714" w:name="_Toc10754"/>
      <w:r>
        <w:rPr>
          <w:rFonts w:hint="eastAsia" w:ascii="宋体" w:hAnsi="宋体" w:cs="宋体"/>
          <w:color w:val="auto"/>
          <w:highlight w:val="none"/>
          <w:lang w:val="zh-CN"/>
        </w:rPr>
        <w:t>第六部分</w:t>
      </w:r>
      <w:r>
        <w:rPr>
          <w:rFonts w:hint="eastAsia" w:ascii="宋体" w:hAnsi="宋体" w:cs="宋体"/>
          <w:color w:val="auto"/>
          <w:highlight w:val="none"/>
        </w:rPr>
        <w:t xml:space="preserve">  </w:t>
      </w:r>
      <w:r>
        <w:rPr>
          <w:rFonts w:hint="eastAsia" w:ascii="宋体" w:hAnsi="宋体" w:cs="宋体"/>
          <w:color w:val="auto"/>
          <w:highlight w:val="none"/>
          <w:lang w:val="zh-CN"/>
        </w:rPr>
        <w:t>竞争性磋商响应文件格式（格式）</w:t>
      </w:r>
      <w:bookmarkEnd w:id="40"/>
      <w:bookmarkEnd w:id="41"/>
      <w:bookmarkEnd w:id="53"/>
      <w:bookmarkEnd w:id="54"/>
      <w:bookmarkEnd w:id="55"/>
      <w:bookmarkEnd w:id="56"/>
      <w:bookmarkEnd w:id="57"/>
      <w:bookmarkEnd w:id="714"/>
    </w:p>
    <w:bookmarkEnd w:id="42"/>
    <w:p>
      <w:pPr>
        <w:spacing w:line="360" w:lineRule="exact"/>
        <w:rPr>
          <w:rFonts w:ascii="宋体" w:hAnsi="宋体" w:cs="宋体"/>
          <w:b/>
          <w:color w:val="auto"/>
          <w:kern w:val="21"/>
          <w:sz w:val="32"/>
          <w:szCs w:val="32"/>
          <w:highlight w:val="none"/>
        </w:rPr>
      </w:pPr>
    </w:p>
    <w:p>
      <w:pPr>
        <w:autoSpaceDE w:val="0"/>
        <w:autoSpaceDN w:val="0"/>
        <w:adjustRightInd w:val="0"/>
        <w:snapToGrid w:val="0"/>
        <w:spacing w:line="360" w:lineRule="auto"/>
        <w:jc w:val="right"/>
        <w:rPr>
          <w:rFonts w:ascii="宋体" w:hAnsi="宋体" w:cs="宋体"/>
          <w:b/>
          <w:bCs/>
          <w:color w:val="auto"/>
          <w:kern w:val="21"/>
          <w:sz w:val="32"/>
          <w:szCs w:val="32"/>
          <w:highlight w:val="none"/>
          <w:lang w:val="zh-CN"/>
        </w:rPr>
      </w:pPr>
    </w:p>
    <w:p>
      <w:pPr>
        <w:autoSpaceDE w:val="0"/>
        <w:autoSpaceDN w:val="0"/>
        <w:adjustRightInd w:val="0"/>
        <w:snapToGrid w:val="0"/>
        <w:spacing w:line="360" w:lineRule="auto"/>
        <w:jc w:val="right"/>
        <w:outlineLvl w:val="0"/>
        <w:rPr>
          <w:rFonts w:ascii="宋体" w:hAnsi="宋体" w:cs="宋体"/>
          <w:b/>
          <w:bCs/>
          <w:color w:val="auto"/>
          <w:kern w:val="21"/>
          <w:sz w:val="32"/>
          <w:szCs w:val="32"/>
          <w:highlight w:val="none"/>
          <w:lang w:val="zh-CN"/>
        </w:rPr>
      </w:pPr>
      <w:bookmarkStart w:id="715" w:name="_Toc2517"/>
      <w:bookmarkStart w:id="716" w:name="_Toc9870"/>
      <w:bookmarkStart w:id="717" w:name="_Toc16579"/>
      <w:r>
        <w:rPr>
          <w:rFonts w:hint="eastAsia" w:ascii="宋体" w:hAnsi="宋体" w:cs="宋体"/>
          <w:b/>
          <w:bCs/>
          <w:color w:val="auto"/>
          <w:kern w:val="21"/>
          <w:sz w:val="32"/>
          <w:szCs w:val="32"/>
          <w:highlight w:val="none"/>
          <w:lang w:val="zh-CN"/>
        </w:rPr>
        <w:t>正本/副本</w:t>
      </w:r>
      <w:bookmarkEnd w:id="715"/>
      <w:bookmarkEnd w:id="716"/>
      <w:bookmarkEnd w:id="717"/>
    </w:p>
    <w:p>
      <w:pPr>
        <w:spacing w:beforeLines="100" w:afterLines="100"/>
        <w:jc w:val="center"/>
        <w:rPr>
          <w:rFonts w:ascii="宋体" w:hAnsi="宋体" w:cs="宋体"/>
          <w:b/>
          <w:bCs/>
          <w:color w:val="auto"/>
          <w:kern w:val="21"/>
          <w:sz w:val="44"/>
          <w:szCs w:val="44"/>
          <w:highlight w:val="none"/>
        </w:rPr>
      </w:pPr>
      <w:r>
        <w:rPr>
          <w:rFonts w:hint="eastAsia" w:ascii="宋体" w:hAnsi="宋体" w:cs="宋体"/>
          <w:b/>
          <w:bCs/>
          <w:color w:val="auto"/>
          <w:kern w:val="21"/>
          <w:sz w:val="44"/>
          <w:szCs w:val="44"/>
          <w:highlight w:val="none"/>
        </w:rPr>
        <w:t>西安市长安区郭杜街道周家庄美丽村庄提升</w:t>
      </w:r>
    </w:p>
    <w:p>
      <w:pPr>
        <w:spacing w:beforeLines="100" w:afterLines="100"/>
        <w:jc w:val="center"/>
        <w:rPr>
          <w:rFonts w:ascii="宋体" w:hAnsi="宋体" w:cs="宋体"/>
          <w:b/>
          <w:bCs/>
          <w:color w:val="auto"/>
          <w:kern w:val="21"/>
          <w:sz w:val="44"/>
          <w:szCs w:val="44"/>
          <w:highlight w:val="none"/>
          <w:lang w:val="zh-CN"/>
        </w:rPr>
      </w:pPr>
      <w:r>
        <w:rPr>
          <w:rFonts w:hint="eastAsia" w:ascii="宋体" w:hAnsi="宋体" w:cs="宋体"/>
          <w:b/>
          <w:bCs/>
          <w:color w:val="auto"/>
          <w:kern w:val="21"/>
          <w:sz w:val="44"/>
          <w:szCs w:val="44"/>
          <w:highlight w:val="none"/>
        </w:rPr>
        <w:t>改造工程</w:t>
      </w:r>
    </w:p>
    <w:p>
      <w:pPr>
        <w:spacing w:beforeLines="100" w:afterLines="100"/>
        <w:jc w:val="center"/>
        <w:rPr>
          <w:rFonts w:ascii="宋体" w:hAnsi="宋体" w:cs="宋体"/>
          <w:color w:val="auto"/>
          <w:kern w:val="21"/>
          <w:sz w:val="44"/>
          <w:szCs w:val="44"/>
          <w:highlight w:val="none"/>
        </w:rPr>
      </w:pPr>
    </w:p>
    <w:p>
      <w:pPr>
        <w:spacing w:beforeLines="100" w:afterLines="100"/>
        <w:jc w:val="center"/>
        <w:rPr>
          <w:rFonts w:ascii="宋体" w:hAnsi="宋体" w:cs="宋体"/>
          <w:b/>
          <w:bCs/>
          <w:color w:val="auto"/>
          <w:kern w:val="21"/>
          <w:sz w:val="44"/>
          <w:szCs w:val="44"/>
          <w:highlight w:val="none"/>
        </w:rPr>
      </w:pPr>
      <w:bookmarkStart w:id="718" w:name="_Toc642"/>
      <w:bookmarkStart w:id="719" w:name="_Toc9092"/>
      <w:bookmarkStart w:id="720" w:name="_Toc1935"/>
    </w:p>
    <w:p>
      <w:pPr>
        <w:spacing w:beforeLines="100" w:afterLines="100"/>
        <w:jc w:val="center"/>
        <w:rPr>
          <w:rFonts w:ascii="宋体" w:hAnsi="宋体" w:cs="宋体"/>
          <w:b/>
          <w:bCs/>
          <w:color w:val="auto"/>
          <w:kern w:val="21"/>
          <w:sz w:val="44"/>
          <w:szCs w:val="44"/>
          <w:highlight w:val="none"/>
        </w:rPr>
      </w:pPr>
    </w:p>
    <w:p>
      <w:pPr>
        <w:spacing w:beforeLines="100" w:afterLines="100"/>
        <w:jc w:val="center"/>
        <w:rPr>
          <w:rFonts w:ascii="宋体" w:hAnsi="宋体" w:cs="宋体"/>
          <w:b/>
          <w:bCs/>
          <w:color w:val="auto"/>
          <w:kern w:val="21"/>
          <w:sz w:val="44"/>
          <w:szCs w:val="44"/>
          <w:highlight w:val="none"/>
        </w:rPr>
      </w:pPr>
      <w:r>
        <w:rPr>
          <w:rFonts w:hint="eastAsia" w:ascii="宋体" w:hAnsi="宋体" w:cs="宋体"/>
          <w:b/>
          <w:bCs/>
          <w:color w:val="auto"/>
          <w:kern w:val="21"/>
          <w:sz w:val="44"/>
          <w:szCs w:val="44"/>
          <w:highlight w:val="none"/>
        </w:rPr>
        <w:t>响应文件</w:t>
      </w:r>
      <w:bookmarkEnd w:id="718"/>
      <w:bookmarkEnd w:id="719"/>
      <w:bookmarkEnd w:id="720"/>
    </w:p>
    <w:p>
      <w:pPr>
        <w:spacing w:beforeLines="100" w:afterLines="100"/>
        <w:jc w:val="center"/>
        <w:rPr>
          <w:rFonts w:ascii="宋体" w:hAnsi="宋体" w:cs="宋体"/>
          <w:b/>
          <w:bCs/>
          <w:color w:val="auto"/>
          <w:kern w:val="21"/>
          <w:sz w:val="44"/>
          <w:szCs w:val="44"/>
          <w:highlight w:val="none"/>
        </w:rPr>
      </w:pPr>
      <w:bookmarkStart w:id="721" w:name="_Toc4725"/>
      <w:bookmarkStart w:id="722" w:name="_Toc17386"/>
      <w:bookmarkStart w:id="723" w:name="_Toc9519"/>
      <w:r>
        <w:rPr>
          <w:rFonts w:hint="eastAsia" w:ascii="宋体" w:hAnsi="宋体" w:cs="宋体"/>
          <w:b/>
          <w:bCs/>
          <w:color w:val="auto"/>
          <w:kern w:val="21"/>
          <w:sz w:val="44"/>
          <w:szCs w:val="44"/>
          <w:highlight w:val="none"/>
        </w:rPr>
        <w:t>项目编号：</w:t>
      </w:r>
      <w:bookmarkEnd w:id="721"/>
      <w:bookmarkEnd w:id="722"/>
      <w:bookmarkEnd w:id="723"/>
    </w:p>
    <w:p>
      <w:pPr>
        <w:spacing w:beforeLines="100" w:afterLines="100"/>
        <w:rPr>
          <w:rFonts w:ascii="宋体" w:hAnsi="宋体" w:cs="宋体"/>
          <w:color w:val="auto"/>
          <w:kern w:val="21"/>
          <w:sz w:val="36"/>
          <w:szCs w:val="36"/>
          <w:highlight w:val="none"/>
        </w:rPr>
      </w:pPr>
    </w:p>
    <w:p>
      <w:pPr>
        <w:pStyle w:val="9"/>
        <w:rPr>
          <w:rFonts w:ascii="宋体" w:hAnsi="宋体" w:eastAsia="宋体" w:cs="宋体"/>
          <w:color w:val="auto"/>
          <w:highlight w:val="none"/>
        </w:rPr>
      </w:pPr>
    </w:p>
    <w:p>
      <w:pPr>
        <w:pStyle w:val="50"/>
        <w:spacing w:line="360" w:lineRule="auto"/>
        <w:rPr>
          <w:rFonts w:ascii="宋体" w:hAnsi="宋体" w:cs="宋体"/>
          <w:kern w:val="21"/>
          <w:sz w:val="28"/>
          <w:highlight w:val="none"/>
        </w:rPr>
      </w:pPr>
    </w:p>
    <w:p>
      <w:pPr>
        <w:pStyle w:val="50"/>
        <w:spacing w:line="360" w:lineRule="auto"/>
        <w:ind w:firstLine="560" w:firstLineChars="200"/>
        <w:outlineLvl w:val="0"/>
        <w:rPr>
          <w:rFonts w:ascii="宋体" w:hAnsi="宋体" w:cs="宋体"/>
          <w:kern w:val="21"/>
          <w:sz w:val="28"/>
          <w:szCs w:val="28"/>
          <w:highlight w:val="none"/>
        </w:rPr>
      </w:pPr>
      <w:bookmarkStart w:id="724" w:name="_Toc13631"/>
      <w:bookmarkStart w:id="725" w:name="_Toc18458"/>
      <w:bookmarkStart w:id="726" w:name="_Toc3209"/>
      <w:r>
        <w:rPr>
          <w:rFonts w:hint="eastAsia" w:ascii="宋体" w:hAnsi="宋体" w:cs="宋体"/>
          <w:kern w:val="21"/>
          <w:sz w:val="28"/>
          <w:szCs w:val="28"/>
          <w:highlight w:val="none"/>
        </w:rPr>
        <w:t>供 应 商：</w:t>
      </w:r>
      <w:r>
        <w:rPr>
          <w:rFonts w:hint="eastAsia" w:ascii="宋体" w:hAnsi="宋体" w:cs="宋体"/>
          <w:kern w:val="21"/>
          <w:sz w:val="28"/>
          <w:szCs w:val="28"/>
          <w:highlight w:val="none"/>
          <w:u w:val="single"/>
        </w:rPr>
        <w:t xml:space="preserve">                               （盖单位公章）</w:t>
      </w:r>
      <w:bookmarkEnd w:id="724"/>
      <w:bookmarkEnd w:id="725"/>
      <w:bookmarkEnd w:id="726"/>
    </w:p>
    <w:p>
      <w:pPr>
        <w:pStyle w:val="50"/>
        <w:spacing w:line="360" w:lineRule="auto"/>
        <w:ind w:firstLine="560" w:firstLineChars="200"/>
        <w:outlineLvl w:val="0"/>
        <w:rPr>
          <w:rFonts w:ascii="宋体" w:hAnsi="宋体" w:cs="宋体"/>
          <w:kern w:val="21"/>
          <w:sz w:val="28"/>
          <w:szCs w:val="28"/>
          <w:highlight w:val="none"/>
          <w:u w:val="single"/>
        </w:rPr>
      </w:pPr>
      <w:bookmarkStart w:id="727" w:name="_Toc28674"/>
      <w:bookmarkStart w:id="728" w:name="_Toc19093"/>
      <w:bookmarkStart w:id="729" w:name="_Toc18592"/>
      <w:r>
        <w:rPr>
          <w:rFonts w:hint="eastAsia" w:ascii="宋体" w:hAnsi="宋体" w:cs="宋体"/>
          <w:kern w:val="21"/>
          <w:sz w:val="28"/>
          <w:szCs w:val="28"/>
          <w:highlight w:val="none"/>
        </w:rPr>
        <w:t>法定代表人或委托代理人：</w:t>
      </w:r>
      <w:r>
        <w:rPr>
          <w:rFonts w:hint="eastAsia" w:ascii="宋体" w:hAnsi="宋体" w:cs="宋体"/>
          <w:kern w:val="21"/>
          <w:sz w:val="28"/>
          <w:szCs w:val="28"/>
          <w:highlight w:val="none"/>
          <w:u w:val="single"/>
        </w:rPr>
        <w:t xml:space="preserve">                 （签字或盖章）</w:t>
      </w:r>
      <w:bookmarkEnd w:id="727"/>
      <w:bookmarkEnd w:id="728"/>
      <w:bookmarkEnd w:id="729"/>
    </w:p>
    <w:p>
      <w:pPr>
        <w:pStyle w:val="50"/>
        <w:spacing w:line="360" w:lineRule="auto"/>
        <w:ind w:firstLine="560" w:firstLineChars="200"/>
        <w:outlineLvl w:val="0"/>
        <w:rPr>
          <w:rFonts w:ascii="宋体" w:hAnsi="宋体" w:cs="宋体"/>
          <w:kern w:val="21"/>
          <w:sz w:val="28"/>
          <w:szCs w:val="28"/>
          <w:highlight w:val="none"/>
          <w:u w:val="single"/>
        </w:rPr>
      </w:pPr>
      <w:bookmarkStart w:id="730" w:name="_Toc18579"/>
      <w:bookmarkStart w:id="731" w:name="_Toc2231"/>
      <w:bookmarkStart w:id="732" w:name="_Toc29136"/>
      <w:r>
        <w:rPr>
          <w:rFonts w:hint="eastAsia" w:ascii="宋体" w:hAnsi="宋体" w:cs="宋体"/>
          <w:kern w:val="21"/>
          <w:sz w:val="28"/>
          <w:szCs w:val="28"/>
          <w:highlight w:val="none"/>
        </w:rPr>
        <w:t>供应商地址：</w:t>
      </w:r>
      <w:bookmarkEnd w:id="730"/>
      <w:bookmarkEnd w:id="731"/>
      <w:bookmarkEnd w:id="732"/>
      <w:r>
        <w:rPr>
          <w:rFonts w:hint="eastAsia" w:ascii="宋体" w:hAnsi="宋体" w:cs="宋体"/>
          <w:kern w:val="21"/>
          <w:sz w:val="28"/>
          <w:szCs w:val="28"/>
          <w:highlight w:val="none"/>
          <w:u w:val="single"/>
        </w:rPr>
        <w:t xml:space="preserve">                                           </w:t>
      </w:r>
    </w:p>
    <w:p>
      <w:pPr>
        <w:pStyle w:val="50"/>
        <w:spacing w:line="360" w:lineRule="auto"/>
        <w:ind w:firstLine="560" w:firstLineChars="200"/>
        <w:outlineLvl w:val="0"/>
        <w:rPr>
          <w:rFonts w:ascii="宋体" w:hAnsi="宋体" w:cs="宋体"/>
          <w:kern w:val="21"/>
          <w:sz w:val="28"/>
          <w:szCs w:val="28"/>
          <w:highlight w:val="none"/>
          <w:u w:val="single"/>
        </w:rPr>
      </w:pPr>
      <w:bookmarkStart w:id="733" w:name="_Toc10472"/>
      <w:bookmarkStart w:id="734" w:name="_Toc31495"/>
      <w:bookmarkStart w:id="735" w:name="_Toc20851"/>
      <w:r>
        <w:rPr>
          <w:rFonts w:hint="eastAsia" w:ascii="宋体" w:hAnsi="宋体" w:cs="宋体"/>
          <w:kern w:val="21"/>
          <w:sz w:val="28"/>
          <w:szCs w:val="28"/>
          <w:highlight w:val="none"/>
        </w:rPr>
        <w:t>邮   编：</w:t>
      </w:r>
      <w:bookmarkEnd w:id="733"/>
      <w:bookmarkEnd w:id="734"/>
      <w:bookmarkEnd w:id="735"/>
      <w:r>
        <w:rPr>
          <w:rFonts w:hint="eastAsia" w:ascii="宋体" w:hAnsi="宋体" w:cs="宋体"/>
          <w:kern w:val="21"/>
          <w:sz w:val="28"/>
          <w:szCs w:val="28"/>
          <w:highlight w:val="none"/>
          <w:u w:val="single"/>
        </w:rPr>
        <w:t xml:space="preserve">                                              </w:t>
      </w:r>
    </w:p>
    <w:p>
      <w:pPr>
        <w:pStyle w:val="50"/>
        <w:spacing w:line="360" w:lineRule="auto"/>
        <w:ind w:firstLine="560" w:firstLineChars="200"/>
        <w:outlineLvl w:val="0"/>
        <w:rPr>
          <w:rFonts w:ascii="宋体" w:hAnsi="宋体" w:cs="宋体"/>
          <w:kern w:val="21"/>
          <w:sz w:val="28"/>
          <w:szCs w:val="28"/>
          <w:highlight w:val="none"/>
          <w:u w:val="single"/>
        </w:rPr>
      </w:pPr>
      <w:bookmarkStart w:id="736" w:name="_Toc13609"/>
      <w:bookmarkStart w:id="737" w:name="_Toc496"/>
      <w:bookmarkStart w:id="738" w:name="_Toc12529"/>
      <w:r>
        <w:rPr>
          <w:rFonts w:hint="eastAsia" w:ascii="宋体" w:hAnsi="宋体" w:cs="宋体"/>
          <w:kern w:val="21"/>
          <w:sz w:val="28"/>
          <w:szCs w:val="28"/>
          <w:highlight w:val="none"/>
        </w:rPr>
        <w:t>联系电话：</w:t>
      </w:r>
      <w:bookmarkEnd w:id="736"/>
      <w:bookmarkEnd w:id="737"/>
      <w:bookmarkEnd w:id="738"/>
      <w:r>
        <w:rPr>
          <w:rFonts w:hint="eastAsia" w:ascii="宋体" w:hAnsi="宋体" w:cs="宋体"/>
          <w:kern w:val="21"/>
          <w:sz w:val="28"/>
          <w:szCs w:val="28"/>
          <w:highlight w:val="none"/>
          <w:u w:val="single"/>
        </w:rPr>
        <w:t xml:space="preserve">                                             </w:t>
      </w:r>
    </w:p>
    <w:p>
      <w:pPr>
        <w:pStyle w:val="50"/>
        <w:spacing w:line="360" w:lineRule="auto"/>
        <w:ind w:firstLine="560" w:firstLineChars="200"/>
        <w:outlineLvl w:val="0"/>
        <w:rPr>
          <w:rFonts w:ascii="宋体" w:hAnsi="宋体" w:cs="宋体"/>
          <w:kern w:val="21"/>
          <w:sz w:val="28"/>
          <w:szCs w:val="28"/>
          <w:highlight w:val="none"/>
          <w:u w:val="single"/>
        </w:rPr>
      </w:pPr>
      <w:r>
        <w:rPr>
          <w:rFonts w:hint="eastAsia" w:ascii="宋体" w:hAnsi="宋体" w:cs="宋体"/>
          <w:kern w:val="21"/>
          <w:sz w:val="28"/>
          <w:szCs w:val="28"/>
          <w:highlight w:val="none"/>
        </w:rPr>
        <w:t>日     期：</w:t>
      </w:r>
      <w:r>
        <w:rPr>
          <w:rFonts w:hint="eastAsia" w:ascii="宋体" w:hAnsi="宋体" w:cs="宋体"/>
          <w:kern w:val="21"/>
          <w:sz w:val="28"/>
          <w:szCs w:val="28"/>
          <w:highlight w:val="none"/>
          <w:u w:val="single"/>
        </w:rPr>
        <w:t xml:space="preserve">                                            </w:t>
      </w:r>
    </w:p>
    <w:p>
      <w:pPr>
        <w:pStyle w:val="9"/>
        <w:jc w:val="center"/>
        <w:outlineLvl w:val="0"/>
        <w:rPr>
          <w:rFonts w:hint="eastAsia" w:ascii="宋体" w:hAnsi="宋体" w:eastAsia="宋体" w:cs="宋体"/>
          <w:color w:val="auto"/>
          <w:kern w:val="21"/>
          <w:sz w:val="44"/>
          <w:szCs w:val="44"/>
          <w:highlight w:val="none"/>
        </w:rPr>
      </w:pPr>
      <w:bookmarkStart w:id="739" w:name="_Toc19508"/>
      <w:bookmarkStart w:id="740" w:name="_Toc18210"/>
      <w:bookmarkStart w:id="741" w:name="_Toc17082"/>
    </w:p>
    <w:p>
      <w:pPr>
        <w:pStyle w:val="9"/>
        <w:jc w:val="center"/>
        <w:outlineLvl w:val="0"/>
        <w:rPr>
          <w:rFonts w:ascii="宋体" w:hAnsi="宋体" w:eastAsia="宋体" w:cs="宋体"/>
          <w:color w:val="auto"/>
          <w:sz w:val="44"/>
          <w:szCs w:val="44"/>
          <w:highlight w:val="none"/>
        </w:rPr>
      </w:pPr>
      <w:bookmarkStart w:id="815" w:name="_GoBack"/>
      <w:bookmarkEnd w:id="815"/>
      <w:r>
        <w:rPr>
          <w:rFonts w:hint="eastAsia" w:ascii="宋体" w:hAnsi="宋体" w:eastAsia="宋体" w:cs="宋体"/>
          <w:color w:val="auto"/>
          <w:kern w:val="21"/>
          <w:sz w:val="44"/>
          <w:szCs w:val="44"/>
          <w:highlight w:val="none"/>
        </w:rPr>
        <w:t>目  录</w:t>
      </w:r>
      <w:bookmarkEnd w:id="739"/>
      <w:bookmarkEnd w:id="740"/>
      <w:bookmarkEnd w:id="741"/>
    </w:p>
    <w:p>
      <w:pPr>
        <w:spacing w:line="360" w:lineRule="auto"/>
        <w:outlineLvl w:val="0"/>
        <w:rPr>
          <w:rFonts w:ascii="宋体" w:hAnsi="宋体" w:cs="宋体"/>
          <w:color w:val="auto"/>
          <w:szCs w:val="21"/>
          <w:highlight w:val="none"/>
        </w:rPr>
      </w:pPr>
      <w:bookmarkStart w:id="742" w:name="_Toc3253"/>
      <w:bookmarkStart w:id="743" w:name="_Toc24355"/>
      <w:bookmarkStart w:id="744" w:name="_Toc32749"/>
      <w:r>
        <w:rPr>
          <w:rFonts w:hint="eastAsia" w:ascii="宋体" w:hAnsi="宋体" w:cs="宋体"/>
          <w:color w:val="auto"/>
          <w:szCs w:val="21"/>
          <w:highlight w:val="none"/>
        </w:rPr>
        <w:t>一、商务部分</w:t>
      </w:r>
      <w:bookmarkEnd w:id="742"/>
      <w:bookmarkEnd w:id="743"/>
      <w:bookmarkEnd w:id="744"/>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1、开标一览表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2、投标函</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3、法定代表人身份证明</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4、法定代表人授权委托书</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5、中小企业声明函</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6、残疾人福利性单位声明函</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7、监狱企业证明函</w:t>
      </w:r>
    </w:p>
    <w:p>
      <w:pPr>
        <w:spacing w:line="360" w:lineRule="auto"/>
        <w:outlineLvl w:val="0"/>
        <w:rPr>
          <w:rFonts w:ascii="宋体" w:hAnsi="宋体" w:cs="宋体"/>
          <w:color w:val="auto"/>
          <w:szCs w:val="21"/>
          <w:highlight w:val="none"/>
        </w:rPr>
      </w:pPr>
      <w:bookmarkStart w:id="745" w:name="_Toc6466"/>
      <w:bookmarkStart w:id="746" w:name="_Toc12589"/>
      <w:bookmarkStart w:id="747" w:name="_Toc859"/>
      <w:r>
        <w:rPr>
          <w:rFonts w:hint="eastAsia" w:ascii="宋体" w:hAnsi="宋体" w:cs="宋体"/>
          <w:color w:val="auto"/>
          <w:szCs w:val="21"/>
          <w:highlight w:val="none"/>
        </w:rPr>
        <w:t>二、 技术部分</w:t>
      </w:r>
      <w:bookmarkEnd w:id="745"/>
      <w:bookmarkEnd w:id="746"/>
      <w:bookmarkEnd w:id="747"/>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1、施工组织设计</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2、近年完成同类项目业绩</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3、合理化建议</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4、资质文件</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5、其他证明材料</w:t>
      </w:r>
    </w:p>
    <w:p>
      <w:pPr>
        <w:pStyle w:val="9"/>
        <w:rPr>
          <w:rFonts w:ascii="宋体" w:hAnsi="宋体" w:eastAsia="宋体" w:cs="宋体"/>
          <w:b/>
          <w:color w:val="auto"/>
          <w:kern w:val="21"/>
          <w:sz w:val="32"/>
          <w:szCs w:val="32"/>
          <w:highlight w:val="none"/>
        </w:rPr>
      </w:pPr>
    </w:p>
    <w:p>
      <w:pPr>
        <w:rPr>
          <w:rFonts w:ascii="宋体" w:hAnsi="宋体" w:cs="宋体"/>
          <w:b/>
          <w:color w:val="auto"/>
          <w:kern w:val="21"/>
          <w:sz w:val="32"/>
          <w:szCs w:val="32"/>
          <w:highlight w:val="none"/>
        </w:rPr>
      </w:pPr>
    </w:p>
    <w:p>
      <w:pPr>
        <w:rPr>
          <w:rFonts w:ascii="宋体" w:hAnsi="宋体" w:cs="宋体"/>
          <w:b/>
          <w:color w:val="auto"/>
          <w:kern w:val="21"/>
          <w:sz w:val="32"/>
          <w:szCs w:val="32"/>
          <w:highlight w:val="none"/>
        </w:rPr>
      </w:pPr>
    </w:p>
    <w:p>
      <w:pPr>
        <w:pStyle w:val="9"/>
        <w:rPr>
          <w:rFonts w:ascii="宋体" w:hAnsi="宋体" w:eastAsia="宋体" w:cs="宋体"/>
          <w:b/>
          <w:color w:val="auto"/>
          <w:kern w:val="21"/>
          <w:sz w:val="32"/>
          <w:szCs w:val="32"/>
          <w:highlight w:val="none"/>
        </w:rPr>
      </w:pPr>
    </w:p>
    <w:p>
      <w:pPr>
        <w:rPr>
          <w:rFonts w:ascii="宋体" w:hAnsi="宋体" w:cs="宋体"/>
          <w:b/>
          <w:color w:val="auto"/>
          <w:kern w:val="21"/>
          <w:sz w:val="32"/>
          <w:szCs w:val="32"/>
          <w:highlight w:val="none"/>
        </w:rPr>
      </w:pPr>
    </w:p>
    <w:p>
      <w:pPr>
        <w:pStyle w:val="9"/>
        <w:rPr>
          <w:rFonts w:ascii="宋体" w:hAnsi="宋体" w:eastAsia="宋体" w:cs="宋体"/>
          <w:b/>
          <w:color w:val="auto"/>
          <w:kern w:val="21"/>
          <w:sz w:val="32"/>
          <w:szCs w:val="32"/>
          <w:highlight w:val="none"/>
        </w:rPr>
      </w:pPr>
    </w:p>
    <w:p>
      <w:pPr>
        <w:pStyle w:val="20"/>
        <w:ind w:firstLine="321"/>
        <w:rPr>
          <w:rFonts w:ascii="宋体" w:hAnsi="宋体" w:eastAsia="宋体" w:cs="宋体"/>
          <w:b/>
          <w:kern w:val="21"/>
          <w:sz w:val="32"/>
          <w:szCs w:val="32"/>
          <w:highlight w:val="none"/>
        </w:rPr>
      </w:pPr>
    </w:p>
    <w:p>
      <w:pPr>
        <w:pStyle w:val="20"/>
        <w:ind w:firstLine="321"/>
        <w:rPr>
          <w:rFonts w:ascii="宋体" w:hAnsi="宋体" w:eastAsia="宋体" w:cs="宋体"/>
          <w:b/>
          <w:kern w:val="21"/>
          <w:sz w:val="32"/>
          <w:szCs w:val="32"/>
          <w:highlight w:val="none"/>
        </w:rPr>
      </w:pPr>
    </w:p>
    <w:p>
      <w:pPr>
        <w:pStyle w:val="20"/>
        <w:ind w:firstLine="321"/>
        <w:rPr>
          <w:rFonts w:ascii="宋体" w:hAnsi="宋体" w:eastAsia="宋体" w:cs="宋体"/>
          <w:b/>
          <w:kern w:val="21"/>
          <w:sz w:val="32"/>
          <w:szCs w:val="32"/>
          <w:highlight w:val="none"/>
        </w:rPr>
      </w:pPr>
    </w:p>
    <w:p>
      <w:pPr>
        <w:pStyle w:val="20"/>
        <w:ind w:firstLine="321"/>
        <w:rPr>
          <w:rFonts w:ascii="宋体" w:hAnsi="宋体" w:eastAsia="宋体" w:cs="宋体"/>
          <w:b/>
          <w:kern w:val="21"/>
          <w:sz w:val="32"/>
          <w:szCs w:val="32"/>
          <w:highlight w:val="none"/>
        </w:rPr>
      </w:pPr>
    </w:p>
    <w:p>
      <w:pPr>
        <w:rPr>
          <w:rFonts w:ascii="宋体" w:hAnsi="宋体" w:cs="宋体"/>
          <w:b/>
          <w:color w:val="auto"/>
          <w:kern w:val="21"/>
          <w:sz w:val="32"/>
          <w:szCs w:val="32"/>
          <w:highlight w:val="none"/>
        </w:rPr>
      </w:pPr>
    </w:p>
    <w:p>
      <w:pPr>
        <w:pStyle w:val="4"/>
        <w:rPr>
          <w:rFonts w:ascii="宋体" w:hAnsi="宋体" w:cs="宋体"/>
          <w:highlight w:val="none"/>
        </w:rPr>
      </w:pPr>
    </w:p>
    <w:p>
      <w:pPr>
        <w:rPr>
          <w:rFonts w:ascii="宋体" w:hAnsi="宋体" w:cs="宋体"/>
          <w:color w:val="auto"/>
          <w:highlight w:val="none"/>
        </w:rPr>
      </w:pPr>
    </w:p>
    <w:p>
      <w:pPr>
        <w:pStyle w:val="4"/>
        <w:rPr>
          <w:rFonts w:ascii="宋体" w:hAnsi="宋体" w:cs="宋体"/>
          <w:kern w:val="21"/>
          <w:highlight w:val="none"/>
        </w:rPr>
      </w:pPr>
      <w:bookmarkStart w:id="748" w:name="_Toc31606"/>
      <w:bookmarkStart w:id="749" w:name="_Toc6505"/>
      <w:bookmarkStart w:id="750" w:name="_Toc28793"/>
      <w:r>
        <w:rPr>
          <w:rFonts w:hint="eastAsia" w:ascii="宋体" w:hAnsi="宋体" w:cs="宋体"/>
          <w:kern w:val="21"/>
          <w:highlight w:val="none"/>
        </w:rPr>
        <w:t>一、商务部分</w:t>
      </w:r>
      <w:bookmarkEnd w:id="748"/>
      <w:bookmarkEnd w:id="749"/>
      <w:bookmarkEnd w:id="750"/>
    </w:p>
    <w:p>
      <w:pPr>
        <w:pStyle w:val="5"/>
        <w:rPr>
          <w:rFonts w:ascii="宋体" w:hAnsi="宋体" w:cs="宋体"/>
          <w:color w:val="auto"/>
          <w:kern w:val="21"/>
          <w:highlight w:val="none"/>
        </w:rPr>
      </w:pPr>
      <w:r>
        <w:rPr>
          <w:rFonts w:hint="eastAsia" w:ascii="宋体" w:hAnsi="宋体" w:cs="宋体"/>
          <w:color w:val="auto"/>
          <w:kern w:val="21"/>
          <w:highlight w:val="none"/>
        </w:rPr>
        <w:t>1、开标一览表</w:t>
      </w:r>
    </w:p>
    <w:tbl>
      <w:tblPr>
        <w:tblStyle w:val="22"/>
        <w:tblW w:w="96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78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98" w:hRule="exact"/>
          <w:jc w:val="center"/>
        </w:trPr>
        <w:tc>
          <w:tcPr>
            <w:tcW w:w="1812" w:type="dxa"/>
            <w:tcBorders>
              <w:top w:val="single" w:color="auto" w:sz="12" w:space="0"/>
              <w:bottom w:val="single" w:color="auto" w:sz="12" w:space="0"/>
              <w:right w:val="single" w:color="auto" w:sz="12" w:space="0"/>
            </w:tcBorders>
            <w:vAlign w:val="center"/>
          </w:tcPr>
          <w:p>
            <w:pPr>
              <w:spacing w:line="460" w:lineRule="exact"/>
              <w:jc w:val="center"/>
              <w:rPr>
                <w:rFonts w:ascii="宋体" w:hAnsi="宋体" w:cs="宋体"/>
                <w:color w:val="auto"/>
                <w:kern w:val="21"/>
                <w:sz w:val="22"/>
                <w:szCs w:val="22"/>
                <w:highlight w:val="none"/>
              </w:rPr>
            </w:pPr>
            <w:r>
              <w:rPr>
                <w:rFonts w:hint="eastAsia" w:ascii="宋体" w:hAnsi="宋体" w:cs="宋体"/>
                <w:color w:val="auto"/>
                <w:kern w:val="21"/>
                <w:sz w:val="22"/>
                <w:szCs w:val="22"/>
                <w:highlight w:val="none"/>
              </w:rPr>
              <w:t>项目名称</w:t>
            </w:r>
          </w:p>
        </w:tc>
        <w:tc>
          <w:tcPr>
            <w:tcW w:w="7836" w:type="dxa"/>
            <w:tcBorders>
              <w:top w:val="single" w:color="auto" w:sz="12" w:space="0"/>
              <w:left w:val="single" w:color="auto" w:sz="12" w:space="0"/>
              <w:bottom w:val="single" w:color="auto" w:sz="12" w:space="0"/>
            </w:tcBorders>
            <w:vAlign w:val="center"/>
          </w:tcPr>
          <w:p>
            <w:pPr>
              <w:spacing w:line="360" w:lineRule="auto"/>
              <w:jc w:val="left"/>
              <w:rPr>
                <w:rFonts w:ascii="宋体" w:hAnsi="宋体" w:cs="宋体"/>
                <w:color w:val="auto"/>
                <w:kern w:val="21"/>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3" w:hRule="exact"/>
          <w:jc w:val="center"/>
        </w:trPr>
        <w:tc>
          <w:tcPr>
            <w:tcW w:w="1812" w:type="dxa"/>
            <w:tcBorders>
              <w:top w:val="single" w:color="auto" w:sz="12" w:space="0"/>
              <w:right w:val="single" w:color="auto" w:sz="12" w:space="0"/>
            </w:tcBorders>
            <w:vAlign w:val="center"/>
          </w:tcPr>
          <w:p>
            <w:pPr>
              <w:spacing w:line="460" w:lineRule="exact"/>
              <w:jc w:val="center"/>
              <w:rPr>
                <w:rFonts w:ascii="宋体" w:hAnsi="宋体" w:cs="宋体"/>
                <w:color w:val="auto"/>
                <w:kern w:val="21"/>
                <w:sz w:val="22"/>
                <w:szCs w:val="22"/>
                <w:highlight w:val="none"/>
              </w:rPr>
            </w:pPr>
            <w:r>
              <w:rPr>
                <w:rFonts w:hint="eastAsia" w:ascii="宋体" w:hAnsi="宋体" w:cs="宋体"/>
                <w:color w:val="auto"/>
                <w:kern w:val="21"/>
                <w:sz w:val="22"/>
                <w:szCs w:val="22"/>
                <w:highlight w:val="none"/>
              </w:rPr>
              <w:t>项目编号</w:t>
            </w:r>
          </w:p>
        </w:tc>
        <w:tc>
          <w:tcPr>
            <w:tcW w:w="7836" w:type="dxa"/>
            <w:tcBorders>
              <w:top w:val="single" w:color="auto" w:sz="12" w:space="0"/>
              <w:left w:val="single" w:color="auto" w:sz="12" w:space="0"/>
            </w:tcBorders>
            <w:vAlign w:val="center"/>
          </w:tcPr>
          <w:p>
            <w:pPr>
              <w:rPr>
                <w:rFonts w:ascii="宋体" w:hAnsi="宋体" w:cs="宋体"/>
                <w:color w:val="auto"/>
                <w:kern w:val="21"/>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9" w:hRule="exact"/>
          <w:jc w:val="center"/>
        </w:trPr>
        <w:tc>
          <w:tcPr>
            <w:tcW w:w="1812" w:type="dxa"/>
            <w:tcBorders>
              <w:right w:val="single" w:color="auto" w:sz="12" w:space="0"/>
            </w:tcBorders>
            <w:vAlign w:val="center"/>
          </w:tcPr>
          <w:p>
            <w:pPr>
              <w:spacing w:line="460" w:lineRule="exact"/>
              <w:jc w:val="center"/>
              <w:rPr>
                <w:rFonts w:ascii="宋体" w:hAnsi="宋体" w:cs="宋体"/>
                <w:color w:val="auto"/>
                <w:kern w:val="21"/>
                <w:sz w:val="22"/>
                <w:szCs w:val="22"/>
                <w:highlight w:val="none"/>
              </w:rPr>
            </w:pPr>
            <w:r>
              <w:rPr>
                <w:rFonts w:hint="eastAsia" w:ascii="宋体" w:hAnsi="宋体" w:cs="宋体"/>
                <w:color w:val="auto"/>
                <w:kern w:val="21"/>
                <w:sz w:val="22"/>
                <w:szCs w:val="22"/>
                <w:highlight w:val="none"/>
              </w:rPr>
              <w:t>供应商名称</w:t>
            </w:r>
          </w:p>
        </w:tc>
        <w:tc>
          <w:tcPr>
            <w:tcW w:w="7836" w:type="dxa"/>
            <w:tcBorders>
              <w:left w:val="single" w:color="auto" w:sz="12" w:space="0"/>
            </w:tcBorders>
          </w:tcPr>
          <w:p>
            <w:pPr>
              <w:pStyle w:val="12"/>
              <w:spacing w:line="460" w:lineRule="exact"/>
              <w:ind w:left="86" w:leftChars="41"/>
              <w:rPr>
                <w:rFonts w:ascii="宋体" w:hAnsi="宋体" w:eastAsia="宋体" w:cs="宋体"/>
                <w:kern w:val="21"/>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21" w:hRule="exact"/>
          <w:jc w:val="center"/>
        </w:trPr>
        <w:tc>
          <w:tcPr>
            <w:tcW w:w="1812" w:type="dxa"/>
            <w:tcBorders>
              <w:right w:val="single" w:color="auto" w:sz="12" w:space="0"/>
            </w:tcBorders>
            <w:vAlign w:val="center"/>
          </w:tcPr>
          <w:p>
            <w:pPr>
              <w:spacing w:line="360" w:lineRule="auto"/>
              <w:jc w:val="center"/>
              <w:rPr>
                <w:rFonts w:ascii="宋体" w:hAnsi="宋体" w:cs="宋体"/>
                <w:color w:val="auto"/>
                <w:kern w:val="21"/>
                <w:sz w:val="22"/>
                <w:szCs w:val="22"/>
                <w:highlight w:val="none"/>
              </w:rPr>
            </w:pPr>
            <w:r>
              <w:rPr>
                <w:rFonts w:hint="eastAsia" w:ascii="宋体" w:hAnsi="宋体" w:cs="宋体"/>
                <w:color w:val="auto"/>
                <w:kern w:val="21"/>
                <w:sz w:val="22"/>
                <w:szCs w:val="22"/>
                <w:highlight w:val="none"/>
              </w:rPr>
              <w:t>总投标价\工期\质量标准</w:t>
            </w:r>
          </w:p>
        </w:tc>
        <w:tc>
          <w:tcPr>
            <w:tcW w:w="7836" w:type="dxa"/>
            <w:tcBorders>
              <w:left w:val="single" w:color="auto" w:sz="12" w:space="0"/>
            </w:tcBorders>
            <w:vAlign w:val="center"/>
          </w:tcPr>
          <w:p>
            <w:pPr>
              <w:spacing w:line="360" w:lineRule="auto"/>
              <w:rPr>
                <w:rFonts w:ascii="宋体" w:hAnsi="宋体" w:cs="宋体"/>
                <w:color w:val="auto"/>
                <w:kern w:val="21"/>
                <w:sz w:val="22"/>
                <w:szCs w:val="22"/>
                <w:highlight w:val="none"/>
              </w:rPr>
            </w:pPr>
            <w:r>
              <w:rPr>
                <w:rFonts w:hint="eastAsia" w:ascii="宋体" w:hAnsi="宋体" w:cs="宋体"/>
                <w:color w:val="auto"/>
                <w:kern w:val="21"/>
                <w:sz w:val="22"/>
                <w:szCs w:val="22"/>
                <w:highlight w:val="none"/>
              </w:rPr>
              <w:t>总投标价 （大写）：</w:t>
            </w:r>
            <w:r>
              <w:rPr>
                <w:rFonts w:hint="eastAsia" w:ascii="宋体" w:hAnsi="宋体" w:cs="宋体"/>
                <w:color w:val="auto"/>
                <w:kern w:val="21"/>
                <w:sz w:val="22"/>
                <w:szCs w:val="22"/>
                <w:highlight w:val="none"/>
                <w:u w:val="single"/>
              </w:rPr>
              <w:t xml:space="preserve">                    </w:t>
            </w:r>
          </w:p>
          <w:p>
            <w:pPr>
              <w:spacing w:line="360" w:lineRule="auto"/>
              <w:ind w:firstLine="1100" w:firstLineChars="500"/>
              <w:rPr>
                <w:rFonts w:ascii="宋体" w:hAnsi="宋体" w:cs="宋体"/>
                <w:color w:val="auto"/>
                <w:kern w:val="21"/>
                <w:sz w:val="22"/>
                <w:szCs w:val="22"/>
                <w:highlight w:val="none"/>
              </w:rPr>
            </w:pPr>
            <w:r>
              <w:rPr>
                <w:rFonts w:hint="eastAsia" w:ascii="宋体" w:hAnsi="宋体" w:cs="宋体"/>
                <w:color w:val="auto"/>
                <w:kern w:val="21"/>
                <w:sz w:val="22"/>
                <w:szCs w:val="22"/>
                <w:highlight w:val="none"/>
              </w:rPr>
              <w:t>(小写) ：</w:t>
            </w:r>
            <w:r>
              <w:rPr>
                <w:rFonts w:hint="eastAsia" w:ascii="宋体" w:hAnsi="宋体" w:cs="宋体"/>
                <w:color w:val="auto"/>
                <w:kern w:val="21"/>
                <w:sz w:val="22"/>
                <w:szCs w:val="22"/>
                <w:highlight w:val="none"/>
                <w:u w:val="single"/>
              </w:rPr>
              <w:t xml:space="preserve">                    </w:t>
            </w:r>
            <w:r>
              <w:rPr>
                <w:rFonts w:hint="eastAsia" w:ascii="宋体" w:hAnsi="宋体" w:cs="宋体"/>
                <w:color w:val="auto"/>
                <w:kern w:val="21"/>
                <w:sz w:val="22"/>
                <w:szCs w:val="22"/>
                <w:highlight w:val="none"/>
              </w:rPr>
              <w:t>元</w:t>
            </w:r>
          </w:p>
          <w:p>
            <w:pPr>
              <w:spacing w:line="360" w:lineRule="auto"/>
              <w:rPr>
                <w:rFonts w:ascii="宋体" w:hAnsi="宋体" w:cs="宋体"/>
                <w:color w:val="auto"/>
                <w:kern w:val="2"/>
                <w:sz w:val="22"/>
                <w:szCs w:val="22"/>
                <w:highlight w:val="none"/>
                <w:u w:val="single"/>
              </w:rPr>
            </w:pPr>
            <w:r>
              <w:rPr>
                <w:rFonts w:hint="eastAsia" w:ascii="宋体" w:hAnsi="宋体" w:cs="宋体"/>
                <w:color w:val="auto"/>
                <w:kern w:val="21"/>
                <w:sz w:val="22"/>
                <w:szCs w:val="22"/>
                <w:highlight w:val="none"/>
              </w:rPr>
              <w:t>工期：</w:t>
            </w:r>
            <w:r>
              <w:rPr>
                <w:rFonts w:hint="eastAsia" w:ascii="宋体" w:hAnsi="宋体" w:cs="宋体"/>
                <w:color w:val="auto"/>
                <w:kern w:val="21"/>
                <w:sz w:val="22"/>
                <w:szCs w:val="22"/>
                <w:highlight w:val="none"/>
                <w:u w:val="single"/>
              </w:rPr>
              <w:t xml:space="preserve">          </w:t>
            </w:r>
            <w:r>
              <w:rPr>
                <w:rFonts w:hint="eastAsia" w:ascii="宋体" w:hAnsi="宋体" w:cs="宋体"/>
                <w:color w:val="auto"/>
                <w:kern w:val="21"/>
                <w:sz w:val="22"/>
                <w:szCs w:val="22"/>
                <w:highlight w:val="none"/>
              </w:rPr>
              <w:t>日历天</w:t>
            </w:r>
          </w:p>
          <w:p>
            <w:pPr>
              <w:spacing w:line="360" w:lineRule="auto"/>
              <w:rPr>
                <w:rFonts w:ascii="宋体" w:hAnsi="宋体" w:cs="宋体"/>
                <w:color w:val="auto"/>
                <w:kern w:val="21"/>
                <w:sz w:val="22"/>
                <w:szCs w:val="22"/>
                <w:highlight w:val="none"/>
              </w:rPr>
            </w:pPr>
            <w:r>
              <w:rPr>
                <w:rFonts w:hint="eastAsia" w:ascii="宋体" w:hAnsi="宋体" w:cs="宋体"/>
                <w:color w:val="auto"/>
                <w:kern w:val="21"/>
                <w:sz w:val="22"/>
                <w:szCs w:val="22"/>
                <w:highlight w:val="none"/>
              </w:rPr>
              <w:t>质量标准：</w:t>
            </w:r>
            <w:r>
              <w:rPr>
                <w:rFonts w:hint="eastAsia" w:ascii="宋体" w:hAnsi="宋体" w:cs="宋体"/>
                <w:color w:val="auto"/>
                <w:kern w:val="21"/>
                <w:sz w:val="22"/>
                <w:szCs w:val="22"/>
                <w:highlight w:val="none"/>
                <w:u w:val="single"/>
              </w:rPr>
              <w:t xml:space="preserve">          </w:t>
            </w:r>
            <w:r>
              <w:rPr>
                <w:rFonts w:hint="eastAsia" w:ascii="宋体" w:hAnsi="宋体" w:cs="宋体"/>
                <w:color w:val="auto"/>
                <w:kern w:val="21"/>
                <w:sz w:val="22"/>
                <w:szCs w:val="22"/>
                <w:highlight w:val="none"/>
              </w:rPr>
              <w:t>（合格/不合格）</w:t>
            </w:r>
          </w:p>
        </w:tc>
      </w:tr>
    </w:tbl>
    <w:p>
      <w:pPr>
        <w:widowControl w:val="0"/>
        <w:snapToGrid w:val="0"/>
        <w:spacing w:line="460" w:lineRule="exact"/>
        <w:ind w:left="2940" w:leftChars="1400" w:firstLine="632" w:firstLineChars="300"/>
        <w:rPr>
          <w:rFonts w:ascii="宋体" w:hAnsi="宋体" w:cs="宋体"/>
          <w:b/>
          <w:color w:val="auto"/>
          <w:kern w:val="21"/>
          <w:szCs w:val="21"/>
          <w:highlight w:val="none"/>
        </w:rPr>
      </w:pPr>
    </w:p>
    <w:p>
      <w:pPr>
        <w:widowControl w:val="0"/>
        <w:snapToGrid w:val="0"/>
        <w:spacing w:line="460" w:lineRule="exact"/>
        <w:ind w:left="2940" w:leftChars="1400" w:firstLine="632" w:firstLineChars="300"/>
        <w:rPr>
          <w:rFonts w:ascii="宋体" w:hAnsi="宋体" w:cs="宋体"/>
          <w:b/>
          <w:color w:val="auto"/>
          <w:kern w:val="21"/>
          <w:szCs w:val="21"/>
          <w:highlight w:val="none"/>
        </w:rPr>
      </w:pPr>
    </w:p>
    <w:p>
      <w:pPr>
        <w:spacing w:line="480" w:lineRule="auto"/>
        <w:rPr>
          <w:rFonts w:ascii="宋体" w:hAnsi="宋体" w:cs="宋体"/>
          <w:color w:val="auto"/>
          <w:kern w:val="21"/>
          <w:sz w:val="22"/>
          <w:szCs w:val="22"/>
          <w:highlight w:val="none"/>
        </w:rPr>
      </w:pPr>
      <w:r>
        <w:rPr>
          <w:rFonts w:hint="eastAsia" w:ascii="宋体" w:hAnsi="宋体" w:cs="宋体"/>
          <w:color w:val="auto"/>
          <w:kern w:val="21"/>
          <w:szCs w:val="21"/>
          <w:highlight w:val="none"/>
        </w:rPr>
        <w:t xml:space="preserve">                        </w:t>
      </w:r>
      <w:r>
        <w:rPr>
          <w:rFonts w:hint="eastAsia" w:ascii="宋体" w:hAnsi="宋体" w:cs="宋体"/>
          <w:color w:val="auto"/>
          <w:kern w:val="21"/>
          <w:sz w:val="22"/>
          <w:szCs w:val="22"/>
          <w:highlight w:val="none"/>
        </w:rPr>
        <w:t xml:space="preserve">   供 应 商：</w:t>
      </w:r>
      <w:r>
        <w:rPr>
          <w:rFonts w:hint="eastAsia" w:ascii="宋体" w:hAnsi="宋体" w:cs="宋体"/>
          <w:color w:val="auto"/>
          <w:kern w:val="21"/>
          <w:sz w:val="22"/>
          <w:szCs w:val="22"/>
          <w:highlight w:val="none"/>
          <w:u w:val="single"/>
        </w:rPr>
        <w:t xml:space="preserve">                            </w:t>
      </w:r>
      <w:r>
        <w:rPr>
          <w:rFonts w:hint="eastAsia" w:ascii="宋体" w:hAnsi="宋体" w:cs="宋体"/>
          <w:color w:val="auto"/>
          <w:kern w:val="21"/>
          <w:sz w:val="22"/>
          <w:szCs w:val="22"/>
          <w:highlight w:val="none"/>
        </w:rPr>
        <w:t>(盖单位公章)</w:t>
      </w:r>
    </w:p>
    <w:p>
      <w:pPr>
        <w:spacing w:line="480" w:lineRule="auto"/>
        <w:ind w:firstLine="2860" w:firstLineChars="1300"/>
        <w:rPr>
          <w:rFonts w:ascii="宋体" w:hAnsi="宋体" w:cs="宋体"/>
          <w:color w:val="auto"/>
          <w:kern w:val="21"/>
          <w:sz w:val="22"/>
          <w:szCs w:val="22"/>
          <w:highlight w:val="none"/>
        </w:rPr>
      </w:pPr>
      <w:r>
        <w:rPr>
          <w:rFonts w:hint="eastAsia" w:ascii="宋体" w:hAnsi="宋体" w:cs="宋体"/>
          <w:color w:val="auto"/>
          <w:kern w:val="21"/>
          <w:sz w:val="22"/>
          <w:szCs w:val="22"/>
          <w:highlight w:val="none"/>
        </w:rPr>
        <w:t>法定代表人或委托代理人：</w:t>
      </w:r>
      <w:r>
        <w:rPr>
          <w:rFonts w:hint="eastAsia" w:ascii="宋体" w:hAnsi="宋体" w:cs="宋体"/>
          <w:color w:val="auto"/>
          <w:kern w:val="21"/>
          <w:sz w:val="22"/>
          <w:szCs w:val="22"/>
          <w:highlight w:val="none"/>
          <w:u w:val="single"/>
        </w:rPr>
        <w:t xml:space="preserve">               </w:t>
      </w:r>
      <w:r>
        <w:rPr>
          <w:rFonts w:hint="eastAsia" w:ascii="宋体" w:hAnsi="宋体" w:cs="宋体"/>
          <w:color w:val="auto"/>
          <w:kern w:val="21"/>
          <w:sz w:val="22"/>
          <w:szCs w:val="22"/>
          <w:highlight w:val="none"/>
        </w:rPr>
        <w:t>(签字或盖章)</w:t>
      </w:r>
    </w:p>
    <w:p>
      <w:pPr>
        <w:spacing w:line="480" w:lineRule="auto"/>
        <w:ind w:firstLine="1100" w:firstLineChars="500"/>
        <w:rPr>
          <w:rFonts w:ascii="宋体" w:hAnsi="宋体" w:cs="宋体"/>
          <w:color w:val="auto"/>
          <w:kern w:val="21"/>
          <w:sz w:val="22"/>
          <w:szCs w:val="22"/>
          <w:highlight w:val="none"/>
        </w:rPr>
      </w:pPr>
      <w:r>
        <w:rPr>
          <w:rFonts w:hint="eastAsia" w:ascii="宋体" w:hAnsi="宋体" w:cs="宋体"/>
          <w:color w:val="auto"/>
          <w:kern w:val="21"/>
          <w:sz w:val="22"/>
          <w:szCs w:val="22"/>
          <w:highlight w:val="none"/>
        </w:rPr>
        <w:t xml:space="preserve">                日     期：  </w:t>
      </w:r>
      <w:r>
        <w:rPr>
          <w:rFonts w:hint="eastAsia" w:ascii="宋体" w:hAnsi="宋体" w:cs="宋体"/>
          <w:color w:val="auto"/>
          <w:kern w:val="21"/>
          <w:sz w:val="22"/>
          <w:szCs w:val="22"/>
          <w:highlight w:val="none"/>
          <w:u w:val="single"/>
        </w:rPr>
        <w:t xml:space="preserve">         </w:t>
      </w:r>
      <w:r>
        <w:rPr>
          <w:rFonts w:hint="eastAsia" w:ascii="宋体" w:hAnsi="宋体" w:cs="宋体"/>
          <w:color w:val="auto"/>
          <w:kern w:val="21"/>
          <w:sz w:val="22"/>
          <w:szCs w:val="22"/>
          <w:highlight w:val="none"/>
        </w:rPr>
        <w:t>年</w:t>
      </w:r>
      <w:r>
        <w:rPr>
          <w:rFonts w:hint="eastAsia" w:ascii="宋体" w:hAnsi="宋体" w:cs="宋体"/>
          <w:color w:val="auto"/>
          <w:kern w:val="21"/>
          <w:sz w:val="22"/>
          <w:szCs w:val="22"/>
          <w:highlight w:val="none"/>
          <w:u w:val="single"/>
        </w:rPr>
        <w:t xml:space="preserve">          </w:t>
      </w:r>
      <w:r>
        <w:rPr>
          <w:rFonts w:hint="eastAsia" w:ascii="宋体" w:hAnsi="宋体" w:cs="宋体"/>
          <w:color w:val="auto"/>
          <w:kern w:val="21"/>
          <w:sz w:val="22"/>
          <w:szCs w:val="22"/>
          <w:highlight w:val="none"/>
        </w:rPr>
        <w:t>月</w:t>
      </w:r>
      <w:r>
        <w:rPr>
          <w:rFonts w:hint="eastAsia" w:ascii="宋体" w:hAnsi="宋体" w:cs="宋体"/>
          <w:color w:val="auto"/>
          <w:kern w:val="21"/>
          <w:sz w:val="22"/>
          <w:szCs w:val="22"/>
          <w:highlight w:val="none"/>
          <w:u w:val="single"/>
        </w:rPr>
        <w:t xml:space="preserve">            </w:t>
      </w:r>
      <w:r>
        <w:rPr>
          <w:rFonts w:hint="eastAsia" w:ascii="宋体" w:hAnsi="宋体" w:cs="宋体"/>
          <w:color w:val="auto"/>
          <w:kern w:val="21"/>
          <w:sz w:val="22"/>
          <w:szCs w:val="22"/>
          <w:highlight w:val="none"/>
        </w:rPr>
        <w:t xml:space="preserve">日 </w:t>
      </w:r>
    </w:p>
    <w:p>
      <w:pPr>
        <w:widowControl w:val="0"/>
        <w:snapToGrid w:val="0"/>
        <w:spacing w:beforeLines="100" w:afterLines="100" w:line="360" w:lineRule="auto"/>
        <w:jc w:val="center"/>
        <w:rPr>
          <w:rFonts w:ascii="宋体" w:hAnsi="宋体" w:cs="宋体"/>
          <w:color w:val="auto"/>
          <w:kern w:val="21"/>
          <w:szCs w:val="21"/>
          <w:highlight w:val="none"/>
        </w:rPr>
      </w:pPr>
    </w:p>
    <w:p>
      <w:pPr>
        <w:pStyle w:val="2"/>
        <w:rPr>
          <w:rFonts w:ascii="宋体" w:hAnsi="宋体" w:cs="宋体"/>
          <w:color w:val="auto"/>
          <w:kern w:val="21"/>
          <w:szCs w:val="21"/>
          <w:highlight w:val="none"/>
        </w:rPr>
      </w:pPr>
    </w:p>
    <w:p>
      <w:pPr>
        <w:rPr>
          <w:rFonts w:ascii="宋体" w:hAnsi="宋体" w:cs="宋体"/>
          <w:color w:val="auto"/>
          <w:kern w:val="21"/>
          <w:szCs w:val="21"/>
          <w:highlight w:val="none"/>
        </w:rPr>
      </w:pPr>
    </w:p>
    <w:p>
      <w:pPr>
        <w:pStyle w:val="2"/>
        <w:rPr>
          <w:color w:val="auto"/>
          <w:highlight w:val="none"/>
        </w:rPr>
      </w:pPr>
    </w:p>
    <w:p>
      <w:pPr>
        <w:widowControl w:val="0"/>
        <w:snapToGrid w:val="0"/>
        <w:spacing w:beforeLines="100" w:afterLines="100" w:line="360" w:lineRule="auto"/>
        <w:rPr>
          <w:rFonts w:ascii="宋体" w:hAnsi="宋体" w:cs="宋体"/>
          <w:color w:val="auto"/>
          <w:kern w:val="21"/>
          <w:sz w:val="24"/>
          <w:szCs w:val="24"/>
          <w:highlight w:val="none"/>
        </w:rPr>
      </w:pPr>
    </w:p>
    <w:p>
      <w:pPr>
        <w:pStyle w:val="5"/>
        <w:rPr>
          <w:rFonts w:ascii="宋体" w:hAnsi="宋体" w:cs="宋体"/>
          <w:color w:val="auto"/>
          <w:kern w:val="21"/>
          <w:highlight w:val="none"/>
        </w:rPr>
      </w:pPr>
      <w:r>
        <w:rPr>
          <w:rFonts w:hint="eastAsia" w:ascii="宋体" w:hAnsi="宋体" w:cs="宋体"/>
          <w:color w:val="auto"/>
          <w:kern w:val="21"/>
          <w:highlight w:val="none"/>
        </w:rPr>
        <w:t>磋商报价表格格式</w:t>
      </w:r>
    </w:p>
    <w:p>
      <w:pPr>
        <w:snapToGrid w:val="0"/>
        <w:spacing w:line="600" w:lineRule="exact"/>
        <w:ind w:firstLine="632" w:firstLineChars="300"/>
        <w:rPr>
          <w:rFonts w:ascii="宋体" w:hAnsi="宋体" w:cs="宋体"/>
          <w:b/>
          <w:bCs/>
          <w:color w:val="auto"/>
          <w:szCs w:val="21"/>
          <w:highlight w:val="none"/>
        </w:rPr>
      </w:pPr>
      <w:r>
        <w:rPr>
          <w:rFonts w:hint="eastAsia" w:ascii="宋体" w:hAnsi="宋体" w:cs="宋体"/>
          <w:b/>
          <w:bCs/>
          <w:color w:val="auto"/>
          <w:szCs w:val="21"/>
          <w:highlight w:val="none"/>
        </w:rPr>
        <w:t>已标价工程量清单报价表包括但不限于以下表格。（表格样式以</w:t>
      </w:r>
      <w:r>
        <w:rPr>
          <w:rFonts w:hint="eastAsia" w:ascii="宋体" w:hAnsi="宋体" w:cs="宋体"/>
          <w:b/>
          <w:bCs/>
          <w:color w:val="auto"/>
          <w:spacing w:val="4"/>
          <w:szCs w:val="21"/>
          <w:highlight w:val="none"/>
        </w:rPr>
        <w:t>计价</w:t>
      </w:r>
      <w:r>
        <w:rPr>
          <w:rFonts w:hint="eastAsia" w:ascii="宋体" w:hAnsi="宋体" w:cs="宋体"/>
          <w:b/>
          <w:bCs/>
          <w:color w:val="auto"/>
          <w:szCs w:val="21"/>
          <w:highlight w:val="none"/>
        </w:rPr>
        <w:t>软件生成格式为准）</w:t>
      </w:r>
    </w:p>
    <w:p>
      <w:pPr>
        <w:adjustRightInd w:val="0"/>
        <w:snapToGrid w:val="0"/>
        <w:spacing w:line="700" w:lineRule="exact"/>
        <w:ind w:firstLine="420" w:firstLineChars="200"/>
        <w:rPr>
          <w:rFonts w:ascii="宋体" w:hAnsi="宋体" w:cs="宋体"/>
          <w:color w:val="auto"/>
          <w:szCs w:val="21"/>
          <w:highlight w:val="none"/>
        </w:rPr>
      </w:pPr>
      <w:r>
        <w:rPr>
          <w:highlight w:val="none"/>
        </w:rPr>
        <w:fldChar w:fldCharType="begin"/>
      </w:r>
      <w:r>
        <w:rPr>
          <w:highlight w:val="none"/>
        </w:rPr>
        <w:instrText xml:space="preserve"> HYPERLINK \l "报价表一" </w:instrText>
      </w:r>
      <w:r>
        <w:rPr>
          <w:highlight w:val="none"/>
        </w:rPr>
        <w:fldChar w:fldCharType="separate"/>
      </w:r>
      <w:r>
        <w:rPr>
          <w:rFonts w:hint="eastAsia" w:ascii="宋体" w:hAnsi="宋体" w:cs="宋体"/>
          <w:color w:val="auto"/>
          <w:szCs w:val="21"/>
          <w:highlight w:val="none"/>
        </w:rPr>
        <w:t>报价表一、投</w:t>
      </w:r>
      <w:bookmarkStart w:id="751" w:name="_Hlt131220688"/>
      <w:r>
        <w:rPr>
          <w:rFonts w:hint="eastAsia" w:ascii="宋体" w:hAnsi="宋体" w:cs="宋体"/>
          <w:color w:val="auto"/>
          <w:szCs w:val="21"/>
          <w:highlight w:val="none"/>
        </w:rPr>
        <w:t>标</w:t>
      </w:r>
      <w:bookmarkEnd w:id="751"/>
      <w:r>
        <w:rPr>
          <w:rFonts w:hint="eastAsia" w:ascii="宋体" w:hAnsi="宋体" w:cs="宋体"/>
          <w:color w:val="auto"/>
          <w:szCs w:val="21"/>
          <w:highlight w:val="none"/>
        </w:rPr>
        <w:t>总价</w:t>
      </w:r>
      <w:r>
        <w:rPr>
          <w:rFonts w:hint="eastAsia" w:ascii="宋体" w:hAnsi="宋体" w:cs="宋体"/>
          <w:color w:val="auto"/>
          <w:szCs w:val="21"/>
          <w:highlight w:val="none"/>
        </w:rPr>
        <w:fldChar w:fldCharType="end"/>
      </w:r>
    </w:p>
    <w:p>
      <w:pPr>
        <w:snapToGrid w:val="0"/>
        <w:spacing w:line="6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报价表二、</w:t>
      </w:r>
      <w:r>
        <w:rPr>
          <w:highlight w:val="none"/>
        </w:rPr>
        <w:fldChar w:fldCharType="begin"/>
      </w:r>
      <w:r>
        <w:rPr>
          <w:highlight w:val="none"/>
        </w:rPr>
        <w:instrText xml:space="preserve"> HYPERLINK \l "报价表二" </w:instrText>
      </w:r>
      <w:r>
        <w:rPr>
          <w:highlight w:val="none"/>
        </w:rPr>
        <w:fldChar w:fldCharType="separate"/>
      </w:r>
      <w:r>
        <w:rPr>
          <w:rFonts w:hint="eastAsia" w:ascii="宋体" w:hAnsi="宋体" w:cs="宋体"/>
          <w:color w:val="auto"/>
          <w:szCs w:val="21"/>
          <w:highlight w:val="none"/>
        </w:rPr>
        <w:t>工</w:t>
      </w:r>
      <w:bookmarkStart w:id="752" w:name="_Hlt131220693"/>
      <w:bookmarkStart w:id="753" w:name="_Hlt131220690"/>
      <w:r>
        <w:rPr>
          <w:rFonts w:hint="eastAsia" w:ascii="宋体" w:hAnsi="宋体" w:cs="宋体"/>
          <w:color w:val="auto"/>
          <w:szCs w:val="21"/>
          <w:highlight w:val="none"/>
        </w:rPr>
        <w:t>程</w:t>
      </w:r>
      <w:bookmarkEnd w:id="752"/>
      <w:bookmarkEnd w:id="753"/>
      <w:bookmarkStart w:id="754" w:name="_Hlt131220696"/>
      <w:r>
        <w:rPr>
          <w:rFonts w:hint="eastAsia" w:ascii="宋体" w:hAnsi="宋体" w:cs="宋体"/>
          <w:color w:val="auto"/>
          <w:szCs w:val="21"/>
          <w:highlight w:val="none"/>
        </w:rPr>
        <w:t>项</w:t>
      </w:r>
      <w:bookmarkEnd w:id="754"/>
      <w:r>
        <w:rPr>
          <w:rFonts w:hint="eastAsia" w:ascii="宋体" w:hAnsi="宋体" w:cs="宋体"/>
          <w:color w:val="auto"/>
          <w:szCs w:val="21"/>
          <w:highlight w:val="none"/>
        </w:rPr>
        <w:t>目总</w:t>
      </w:r>
      <w:bookmarkStart w:id="755" w:name="_Hlt131220699"/>
      <w:r>
        <w:rPr>
          <w:rFonts w:hint="eastAsia" w:ascii="宋体" w:hAnsi="宋体" w:cs="宋体"/>
          <w:color w:val="auto"/>
          <w:szCs w:val="21"/>
          <w:highlight w:val="none"/>
        </w:rPr>
        <w:t>造</w:t>
      </w:r>
      <w:bookmarkEnd w:id="755"/>
      <w:r>
        <w:rPr>
          <w:rFonts w:hint="eastAsia" w:ascii="宋体" w:hAnsi="宋体" w:cs="宋体"/>
          <w:color w:val="auto"/>
          <w:szCs w:val="21"/>
          <w:highlight w:val="none"/>
        </w:rPr>
        <w:t>价表</w:t>
      </w:r>
      <w:bookmarkStart w:id="756" w:name="_Hlt131218605"/>
      <w:bookmarkEnd w:id="756"/>
      <w:r>
        <w:rPr>
          <w:rFonts w:hint="eastAsia" w:ascii="宋体" w:hAnsi="宋体" w:cs="宋体"/>
          <w:color w:val="auto"/>
          <w:szCs w:val="21"/>
          <w:highlight w:val="none"/>
        </w:rPr>
        <w:fldChar w:fldCharType="end"/>
      </w:r>
    </w:p>
    <w:p>
      <w:pPr>
        <w:snapToGrid w:val="0"/>
        <w:spacing w:line="600" w:lineRule="exact"/>
        <w:ind w:firstLine="420" w:firstLineChars="200"/>
        <w:rPr>
          <w:rFonts w:ascii="宋体" w:hAnsi="宋体" w:cs="宋体"/>
          <w:color w:val="auto"/>
          <w:szCs w:val="21"/>
          <w:highlight w:val="none"/>
        </w:rPr>
      </w:pPr>
      <w:r>
        <w:rPr>
          <w:highlight w:val="none"/>
        </w:rPr>
        <w:fldChar w:fldCharType="begin"/>
      </w:r>
      <w:r>
        <w:rPr>
          <w:highlight w:val="none"/>
        </w:rPr>
        <w:instrText xml:space="preserve"> HYPERLINK \l "报价表三" </w:instrText>
      </w:r>
      <w:r>
        <w:rPr>
          <w:highlight w:val="none"/>
        </w:rPr>
        <w:fldChar w:fldCharType="separate"/>
      </w:r>
      <w:r>
        <w:rPr>
          <w:rFonts w:hint="eastAsia" w:ascii="宋体" w:hAnsi="宋体" w:cs="宋体"/>
          <w:color w:val="auto"/>
          <w:szCs w:val="21"/>
          <w:highlight w:val="none"/>
        </w:rPr>
        <w:t>报价表三、单</w:t>
      </w:r>
      <w:bookmarkStart w:id="757" w:name="_Hlt131220739"/>
      <w:r>
        <w:rPr>
          <w:rFonts w:hint="eastAsia" w:ascii="宋体" w:hAnsi="宋体" w:cs="宋体"/>
          <w:color w:val="auto"/>
          <w:szCs w:val="21"/>
          <w:highlight w:val="none"/>
        </w:rPr>
        <w:t>项</w:t>
      </w:r>
      <w:bookmarkEnd w:id="757"/>
      <w:r>
        <w:rPr>
          <w:rFonts w:hint="eastAsia" w:ascii="宋体" w:hAnsi="宋体" w:cs="宋体"/>
          <w:color w:val="auto"/>
          <w:szCs w:val="21"/>
          <w:highlight w:val="none"/>
        </w:rPr>
        <w:t>工程造价汇总表</w:t>
      </w:r>
      <w:r>
        <w:rPr>
          <w:rFonts w:hint="eastAsia" w:ascii="宋体" w:hAnsi="宋体" w:cs="宋体"/>
          <w:color w:val="auto"/>
          <w:szCs w:val="21"/>
          <w:highlight w:val="none"/>
        </w:rPr>
        <w:fldChar w:fldCharType="end"/>
      </w:r>
    </w:p>
    <w:p>
      <w:pPr>
        <w:snapToGrid w:val="0"/>
        <w:spacing w:line="600" w:lineRule="exact"/>
        <w:ind w:firstLine="420" w:firstLineChars="200"/>
        <w:rPr>
          <w:rFonts w:ascii="宋体" w:hAnsi="宋体" w:cs="宋体"/>
          <w:color w:val="auto"/>
          <w:szCs w:val="21"/>
          <w:highlight w:val="none"/>
        </w:rPr>
      </w:pPr>
      <w:r>
        <w:rPr>
          <w:highlight w:val="none"/>
        </w:rPr>
        <w:fldChar w:fldCharType="begin"/>
      </w:r>
      <w:r>
        <w:rPr>
          <w:highlight w:val="none"/>
        </w:rPr>
        <w:instrText xml:space="preserve"> HYPERLINK \l "报价表四" </w:instrText>
      </w:r>
      <w:r>
        <w:rPr>
          <w:highlight w:val="none"/>
        </w:rPr>
        <w:fldChar w:fldCharType="separate"/>
      </w:r>
      <w:r>
        <w:rPr>
          <w:rFonts w:hint="eastAsia" w:ascii="宋体" w:hAnsi="宋体" w:cs="宋体"/>
          <w:color w:val="auto"/>
          <w:szCs w:val="21"/>
          <w:highlight w:val="none"/>
        </w:rPr>
        <w:t>报价表四、单位工</w:t>
      </w:r>
      <w:bookmarkStart w:id="758" w:name="_Hlt131220771"/>
      <w:r>
        <w:rPr>
          <w:rFonts w:hint="eastAsia" w:ascii="宋体" w:hAnsi="宋体" w:cs="宋体"/>
          <w:color w:val="auto"/>
          <w:szCs w:val="21"/>
          <w:highlight w:val="none"/>
        </w:rPr>
        <w:t>程</w:t>
      </w:r>
      <w:bookmarkEnd w:id="758"/>
      <w:r>
        <w:rPr>
          <w:rFonts w:hint="eastAsia" w:ascii="宋体" w:hAnsi="宋体" w:cs="宋体"/>
          <w:color w:val="auto"/>
          <w:szCs w:val="21"/>
          <w:highlight w:val="none"/>
        </w:rPr>
        <w:t>造价汇总表</w:t>
      </w:r>
      <w:bookmarkStart w:id="759" w:name="_Hlt131218609"/>
      <w:bookmarkEnd w:id="759"/>
      <w:r>
        <w:rPr>
          <w:rFonts w:hint="eastAsia" w:ascii="宋体" w:hAnsi="宋体" w:cs="宋体"/>
          <w:color w:val="auto"/>
          <w:szCs w:val="21"/>
          <w:highlight w:val="none"/>
        </w:rPr>
        <w:fldChar w:fldCharType="end"/>
      </w:r>
    </w:p>
    <w:p>
      <w:pPr>
        <w:snapToGrid w:val="0"/>
        <w:spacing w:line="600" w:lineRule="exact"/>
        <w:ind w:firstLine="420" w:firstLineChars="200"/>
        <w:rPr>
          <w:rFonts w:ascii="宋体" w:hAnsi="宋体" w:cs="宋体"/>
          <w:color w:val="auto"/>
          <w:szCs w:val="21"/>
          <w:highlight w:val="none"/>
        </w:rPr>
      </w:pPr>
      <w:r>
        <w:rPr>
          <w:highlight w:val="none"/>
        </w:rPr>
        <w:fldChar w:fldCharType="begin"/>
      </w:r>
      <w:r>
        <w:rPr>
          <w:highlight w:val="none"/>
        </w:rPr>
        <w:instrText xml:space="preserve"> HYPERLINK \l "报价表五" </w:instrText>
      </w:r>
      <w:r>
        <w:rPr>
          <w:highlight w:val="none"/>
        </w:rPr>
        <w:fldChar w:fldCharType="separate"/>
      </w:r>
      <w:r>
        <w:rPr>
          <w:rFonts w:hint="eastAsia" w:ascii="宋体" w:hAnsi="宋体" w:cs="宋体"/>
          <w:color w:val="auto"/>
          <w:szCs w:val="21"/>
          <w:highlight w:val="none"/>
        </w:rPr>
        <w:t>报价表五、分部分项</w:t>
      </w:r>
      <w:bookmarkStart w:id="760" w:name="_Hlt131220935"/>
      <w:r>
        <w:rPr>
          <w:rFonts w:hint="eastAsia" w:ascii="宋体" w:hAnsi="宋体" w:cs="宋体"/>
          <w:color w:val="auto"/>
          <w:szCs w:val="21"/>
          <w:highlight w:val="none"/>
        </w:rPr>
        <w:t>工</w:t>
      </w:r>
      <w:bookmarkEnd w:id="760"/>
      <w:r>
        <w:rPr>
          <w:rFonts w:hint="eastAsia" w:ascii="宋体" w:hAnsi="宋体" w:cs="宋体"/>
          <w:color w:val="auto"/>
          <w:szCs w:val="21"/>
          <w:highlight w:val="none"/>
        </w:rPr>
        <w:t>程清单计价表</w:t>
      </w:r>
      <w:r>
        <w:rPr>
          <w:rFonts w:hint="eastAsia" w:ascii="宋体" w:hAnsi="宋体" w:cs="宋体"/>
          <w:color w:val="auto"/>
          <w:szCs w:val="21"/>
          <w:highlight w:val="none"/>
        </w:rPr>
        <w:fldChar w:fldCharType="end"/>
      </w:r>
    </w:p>
    <w:p>
      <w:pPr>
        <w:snapToGrid w:val="0"/>
        <w:spacing w:line="600" w:lineRule="exact"/>
        <w:ind w:firstLine="420" w:firstLineChars="200"/>
        <w:rPr>
          <w:rFonts w:ascii="宋体" w:hAnsi="宋体" w:cs="宋体"/>
          <w:color w:val="auto"/>
          <w:szCs w:val="21"/>
          <w:highlight w:val="none"/>
        </w:rPr>
      </w:pPr>
      <w:r>
        <w:rPr>
          <w:highlight w:val="none"/>
        </w:rPr>
        <w:fldChar w:fldCharType="begin"/>
      </w:r>
      <w:r>
        <w:rPr>
          <w:highlight w:val="none"/>
        </w:rPr>
        <w:instrText xml:space="preserve"> HYPERLINK \l "报价表六" </w:instrText>
      </w:r>
      <w:r>
        <w:rPr>
          <w:highlight w:val="none"/>
        </w:rPr>
        <w:fldChar w:fldCharType="separate"/>
      </w:r>
      <w:r>
        <w:rPr>
          <w:rFonts w:hint="eastAsia" w:ascii="宋体" w:hAnsi="宋体" w:cs="宋体"/>
          <w:color w:val="auto"/>
          <w:szCs w:val="21"/>
          <w:highlight w:val="none"/>
        </w:rPr>
        <w:t>报价表六、措施项目清</w:t>
      </w:r>
      <w:bookmarkStart w:id="761" w:name="_Hlt131220850"/>
      <w:r>
        <w:rPr>
          <w:rFonts w:hint="eastAsia" w:ascii="宋体" w:hAnsi="宋体" w:cs="宋体"/>
          <w:color w:val="auto"/>
          <w:szCs w:val="21"/>
          <w:highlight w:val="none"/>
        </w:rPr>
        <w:t>单</w:t>
      </w:r>
      <w:bookmarkEnd w:id="761"/>
      <w:r>
        <w:rPr>
          <w:rFonts w:hint="eastAsia" w:ascii="宋体" w:hAnsi="宋体" w:cs="宋体"/>
          <w:color w:val="auto"/>
          <w:szCs w:val="21"/>
          <w:highlight w:val="none"/>
        </w:rPr>
        <w:t>计价表</w:t>
      </w:r>
      <w:r>
        <w:rPr>
          <w:rFonts w:hint="eastAsia" w:ascii="宋体" w:hAnsi="宋体" w:cs="宋体"/>
          <w:color w:val="auto"/>
          <w:szCs w:val="21"/>
          <w:highlight w:val="none"/>
        </w:rPr>
        <w:fldChar w:fldCharType="end"/>
      </w:r>
      <w:bookmarkStart w:id="762" w:name="_Hlt131218665"/>
    </w:p>
    <w:p>
      <w:pPr>
        <w:snapToGrid w:val="0"/>
        <w:spacing w:line="600" w:lineRule="exact"/>
        <w:ind w:firstLine="420" w:firstLineChars="200"/>
        <w:rPr>
          <w:rFonts w:ascii="宋体" w:hAnsi="宋体" w:cs="宋体"/>
          <w:color w:val="auto"/>
          <w:szCs w:val="21"/>
          <w:highlight w:val="none"/>
        </w:rPr>
      </w:pPr>
      <w:r>
        <w:rPr>
          <w:highlight w:val="none"/>
        </w:rPr>
        <w:fldChar w:fldCharType="begin"/>
      </w:r>
      <w:r>
        <w:rPr>
          <w:highlight w:val="none"/>
        </w:rPr>
        <w:instrText xml:space="preserve"> HYPERLINK \l "报价表七" </w:instrText>
      </w:r>
      <w:r>
        <w:rPr>
          <w:highlight w:val="none"/>
        </w:rPr>
        <w:fldChar w:fldCharType="separate"/>
      </w:r>
      <w:r>
        <w:rPr>
          <w:rFonts w:hint="eastAsia" w:ascii="宋体" w:hAnsi="宋体" w:cs="宋体"/>
          <w:color w:val="auto"/>
          <w:szCs w:val="21"/>
          <w:highlight w:val="none"/>
        </w:rPr>
        <w:t>报价</w:t>
      </w:r>
      <w:bookmarkEnd w:id="762"/>
      <w:r>
        <w:rPr>
          <w:rFonts w:hint="eastAsia" w:ascii="宋体" w:hAnsi="宋体" w:cs="宋体"/>
          <w:color w:val="auto"/>
          <w:szCs w:val="21"/>
          <w:highlight w:val="none"/>
        </w:rPr>
        <w:t>表七、其他项目清单计价表</w:t>
      </w:r>
      <w:r>
        <w:rPr>
          <w:rFonts w:hint="eastAsia" w:ascii="宋体" w:hAnsi="宋体" w:cs="宋体"/>
          <w:color w:val="auto"/>
          <w:szCs w:val="21"/>
          <w:highlight w:val="none"/>
        </w:rPr>
        <w:fldChar w:fldCharType="end"/>
      </w:r>
    </w:p>
    <w:p>
      <w:pPr>
        <w:snapToGrid w:val="0"/>
        <w:spacing w:line="6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报价表八、规费、税金项目清单计价表</w:t>
      </w:r>
    </w:p>
    <w:p>
      <w:pPr>
        <w:snapToGrid w:val="0"/>
        <w:spacing w:line="6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报价表九、</w:t>
      </w:r>
      <w:bookmarkStart w:id="763" w:name="_Hlt130847341"/>
      <w:bookmarkEnd w:id="763"/>
      <w:r>
        <w:rPr>
          <w:rFonts w:hint="eastAsia" w:ascii="宋体" w:hAnsi="宋体" w:cs="宋体"/>
          <w:color w:val="auto"/>
          <w:szCs w:val="21"/>
          <w:highlight w:val="none"/>
        </w:rPr>
        <w:t>主要材料价格表</w:t>
      </w:r>
    </w:p>
    <w:p>
      <w:pPr>
        <w:snapToGrid w:val="0"/>
        <w:spacing w:line="600" w:lineRule="exact"/>
        <w:ind w:firstLine="420" w:firstLineChars="200"/>
        <w:rPr>
          <w:rFonts w:ascii="宋体" w:hAnsi="宋体" w:cs="宋体"/>
          <w:color w:val="auto"/>
          <w:szCs w:val="21"/>
          <w:highlight w:val="none"/>
        </w:rPr>
      </w:pPr>
    </w:p>
    <w:p>
      <w:pPr>
        <w:snapToGrid w:val="0"/>
        <w:spacing w:line="600" w:lineRule="exact"/>
        <w:ind w:firstLine="420" w:firstLineChars="200"/>
        <w:rPr>
          <w:rFonts w:ascii="宋体" w:hAnsi="宋体" w:cs="宋体"/>
          <w:color w:val="auto"/>
          <w:szCs w:val="21"/>
          <w:highlight w:val="none"/>
        </w:rPr>
      </w:pPr>
    </w:p>
    <w:p>
      <w:pPr>
        <w:snapToGrid w:val="0"/>
        <w:spacing w:line="600" w:lineRule="exact"/>
        <w:ind w:firstLine="420" w:firstLineChars="200"/>
        <w:rPr>
          <w:rFonts w:ascii="宋体" w:hAnsi="宋体" w:cs="宋体"/>
          <w:color w:val="auto"/>
          <w:szCs w:val="21"/>
          <w:highlight w:val="none"/>
        </w:rPr>
      </w:pPr>
    </w:p>
    <w:p>
      <w:pPr>
        <w:snapToGrid w:val="0"/>
        <w:spacing w:line="600" w:lineRule="exact"/>
        <w:ind w:firstLine="420" w:firstLineChars="200"/>
        <w:rPr>
          <w:rFonts w:ascii="宋体" w:hAnsi="宋体" w:cs="宋体"/>
          <w:color w:val="auto"/>
          <w:szCs w:val="21"/>
          <w:highlight w:val="none"/>
        </w:rPr>
      </w:pPr>
    </w:p>
    <w:p>
      <w:pPr>
        <w:snapToGrid w:val="0"/>
        <w:spacing w:line="600" w:lineRule="exact"/>
        <w:ind w:firstLine="420" w:firstLineChars="200"/>
        <w:rPr>
          <w:rFonts w:ascii="宋体" w:hAnsi="宋体" w:cs="宋体"/>
          <w:color w:val="auto"/>
          <w:szCs w:val="21"/>
          <w:highlight w:val="none"/>
        </w:rPr>
      </w:pPr>
    </w:p>
    <w:p>
      <w:pPr>
        <w:snapToGrid w:val="0"/>
        <w:spacing w:line="600" w:lineRule="exact"/>
        <w:ind w:firstLine="420" w:firstLineChars="200"/>
        <w:rPr>
          <w:rFonts w:ascii="宋体" w:hAnsi="宋体" w:cs="宋体"/>
          <w:color w:val="auto"/>
          <w:szCs w:val="21"/>
          <w:highlight w:val="none"/>
        </w:rPr>
      </w:pPr>
    </w:p>
    <w:p>
      <w:pPr>
        <w:snapToGrid w:val="0"/>
        <w:spacing w:line="600" w:lineRule="exact"/>
        <w:ind w:firstLine="420" w:firstLineChars="200"/>
        <w:rPr>
          <w:rFonts w:ascii="宋体" w:hAnsi="宋体" w:cs="宋体"/>
          <w:color w:val="auto"/>
          <w:szCs w:val="21"/>
          <w:highlight w:val="none"/>
        </w:rPr>
      </w:pPr>
    </w:p>
    <w:p>
      <w:pPr>
        <w:snapToGrid w:val="0"/>
        <w:spacing w:line="600" w:lineRule="exact"/>
        <w:ind w:firstLine="420" w:firstLineChars="200"/>
        <w:rPr>
          <w:rFonts w:ascii="宋体" w:hAnsi="宋体" w:cs="宋体"/>
          <w:color w:val="auto"/>
          <w:szCs w:val="21"/>
          <w:highlight w:val="none"/>
        </w:rPr>
      </w:pPr>
    </w:p>
    <w:p>
      <w:pPr>
        <w:pStyle w:val="4"/>
        <w:rPr>
          <w:rFonts w:ascii="宋体" w:hAnsi="宋体" w:cs="宋体"/>
          <w:highlight w:val="none"/>
        </w:rPr>
      </w:pPr>
    </w:p>
    <w:p>
      <w:pPr>
        <w:snapToGrid w:val="0"/>
        <w:spacing w:line="600" w:lineRule="exact"/>
        <w:ind w:firstLine="420" w:firstLineChars="200"/>
        <w:rPr>
          <w:rFonts w:ascii="宋体" w:hAnsi="宋体" w:cs="宋体"/>
          <w:color w:val="auto"/>
          <w:szCs w:val="21"/>
          <w:highlight w:val="none"/>
        </w:rPr>
      </w:pPr>
    </w:p>
    <w:p>
      <w:pPr>
        <w:snapToGrid w:val="0"/>
        <w:spacing w:line="600" w:lineRule="exact"/>
        <w:ind w:firstLine="420" w:firstLineChars="200"/>
        <w:rPr>
          <w:rFonts w:ascii="宋体" w:hAnsi="宋体" w:cs="宋体"/>
          <w:color w:val="auto"/>
          <w:szCs w:val="21"/>
          <w:highlight w:val="none"/>
        </w:rPr>
      </w:pPr>
    </w:p>
    <w:p>
      <w:pPr>
        <w:snapToGrid w:val="0"/>
        <w:spacing w:line="600" w:lineRule="exact"/>
        <w:ind w:firstLine="420" w:firstLineChars="200"/>
        <w:rPr>
          <w:rFonts w:ascii="宋体" w:hAnsi="宋体" w:cs="宋体"/>
          <w:color w:val="auto"/>
          <w:szCs w:val="21"/>
          <w:highlight w:val="none"/>
        </w:rPr>
      </w:pPr>
    </w:p>
    <w:p>
      <w:pPr>
        <w:pStyle w:val="12"/>
        <w:spacing w:line="560" w:lineRule="exact"/>
        <w:ind w:firstLine="640" w:firstLineChars="200"/>
        <w:rPr>
          <w:rFonts w:ascii="宋体" w:hAnsi="宋体" w:eastAsia="宋体" w:cs="宋体"/>
          <w:sz w:val="21"/>
          <w:szCs w:val="21"/>
          <w:highlight w:val="none"/>
          <w:u w:val="single"/>
        </w:rPr>
      </w:pPr>
      <w:r>
        <w:rPr>
          <w:rFonts w:hint="eastAsia" w:ascii="宋体" w:hAnsi="宋体" w:eastAsia="宋体" w:cs="宋体"/>
          <w:highlight w:val="none"/>
          <w:u w:val="single"/>
        </w:rPr>
        <w:br w:type="page"/>
      </w:r>
    </w:p>
    <w:p>
      <w:pPr>
        <w:pStyle w:val="5"/>
        <w:rPr>
          <w:rFonts w:ascii="宋体" w:hAnsi="宋体" w:cs="宋体"/>
          <w:color w:val="auto"/>
          <w:kern w:val="21"/>
          <w:highlight w:val="none"/>
        </w:rPr>
      </w:pPr>
      <w:r>
        <w:rPr>
          <w:rFonts w:hint="eastAsia" w:ascii="宋体" w:hAnsi="宋体" w:cs="宋体"/>
          <w:color w:val="auto"/>
          <w:kern w:val="21"/>
          <w:highlight w:val="none"/>
        </w:rPr>
        <w:t>2、投标函</w:t>
      </w:r>
    </w:p>
    <w:p>
      <w:pPr>
        <w:spacing w:line="560" w:lineRule="exact"/>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（采购人名称）：</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根据贵方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（项目名称、项目编号）竞争性磋商文件的要求，经详细审阅和研究，我方完全理解并同意放弃对这方面有不明及误解的权利。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1、我方愿按照竞争性磋商文件中的要求进行磋商，提供所需一切其它相关服务。</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2、我方的磋商报价为人民币（大写）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（小写：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元）。工程质量达到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，项目经理为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，证书编号：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。其中：总磋商报价包含了项目完成前的全部费用，包括验收费用、其他费用及所有价内价外税金及合理利润等。</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3、本项目工期为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4、我方如果中标，保证做到以下承诺：</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(1)承诺如果我们的投标被接受，我们保证按规定时间与采购单位签订合同。</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(2)同意遵照竞争性磋商文件的全部内容，承担竞争性磋商文件中规定的全部责任和义务。</w:t>
      </w:r>
    </w:p>
    <w:p>
      <w:pPr>
        <w:pStyle w:val="9"/>
        <w:spacing w:line="560" w:lineRule="exac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(3)愿意承担直至合同签订时止为此项投标所开支的一切费用。</w:t>
      </w:r>
    </w:p>
    <w:p>
      <w:pPr>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(4)我方理解，采购人无义务必须接受报价最低的磋商报价，并有权拒绝所有的磋商。</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(5)保证在领取成交通知书之前向代理机构一次性支付代理服务费。</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(6)同意供应商须知前附表规定的磋商有效期，在此期间，本竞争性磋商响应文件始终对我们具有约束力，并可随时被接受。</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(7)采购人如需考察我方或用户，我方给予积极配合。</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(8)我方本次磋商所提供的资料都是真实的，并同意可以进一步提供与本次磋商有关的资质证书及其他资料。</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(9)本竞争性磋商响应文件磋商有效期：磋商截止之日起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天内保持有效（日历天数）。</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(10)我方提供以下开户行、账号，供退还投标保证金及结算合同款（如果中标）： </w:t>
      </w:r>
    </w:p>
    <w:p>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户名（全称）：</w:t>
      </w:r>
      <w:r>
        <w:rPr>
          <w:rFonts w:hint="eastAsia" w:ascii="宋体" w:hAnsi="宋体" w:cs="宋体"/>
          <w:color w:val="auto"/>
          <w:szCs w:val="21"/>
          <w:highlight w:val="none"/>
          <w:u w:val="single"/>
        </w:rPr>
        <w:t xml:space="preserve">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开户行：</w:t>
      </w:r>
      <w:r>
        <w:rPr>
          <w:rFonts w:hint="eastAsia" w:ascii="宋体" w:hAnsi="宋体" w:cs="宋体"/>
          <w:color w:val="auto"/>
          <w:szCs w:val="21"/>
          <w:highlight w:val="none"/>
          <w:u w:val="single"/>
        </w:rPr>
        <w:t xml:space="preserve">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账号（请填完整）：</w:t>
      </w:r>
      <w:r>
        <w:rPr>
          <w:rFonts w:hint="eastAsia" w:ascii="宋体" w:hAnsi="宋体" w:cs="宋体"/>
          <w:color w:val="auto"/>
          <w:szCs w:val="21"/>
          <w:highlight w:val="none"/>
          <w:u w:val="single"/>
        </w:rPr>
        <w:t xml:space="preserve">                             </w:t>
      </w:r>
    </w:p>
    <w:p>
      <w:pPr>
        <w:pStyle w:val="12"/>
        <w:spacing w:line="560" w:lineRule="exact"/>
        <w:ind w:firstLine="420" w:firstLineChars="200"/>
        <w:rPr>
          <w:rFonts w:ascii="宋体" w:hAnsi="宋体" w:eastAsia="宋体" w:cs="宋体"/>
          <w:sz w:val="21"/>
          <w:szCs w:val="21"/>
          <w:highlight w:val="none"/>
        </w:rPr>
      </w:pPr>
      <w:r>
        <w:rPr>
          <w:rFonts w:hint="eastAsia" w:ascii="宋体" w:hAnsi="宋体" w:eastAsia="宋体" w:cs="宋体"/>
          <w:sz w:val="21"/>
          <w:szCs w:val="21"/>
          <w:highlight w:val="none"/>
        </w:rPr>
        <w:t>供应商：</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（盖单位公章） </w:t>
      </w:r>
    </w:p>
    <w:p>
      <w:pPr>
        <w:pStyle w:val="12"/>
        <w:spacing w:line="560" w:lineRule="exact"/>
        <w:ind w:firstLine="404" w:firstLineChars="200"/>
        <w:rPr>
          <w:rFonts w:ascii="宋体" w:hAnsi="宋体" w:eastAsia="宋体" w:cs="宋体"/>
          <w:sz w:val="21"/>
          <w:szCs w:val="21"/>
          <w:highlight w:val="none"/>
        </w:rPr>
      </w:pPr>
      <w:r>
        <w:rPr>
          <w:rFonts w:hint="eastAsia" w:ascii="宋体" w:hAnsi="宋体" w:eastAsia="宋体" w:cs="宋体"/>
          <w:spacing w:val="-4"/>
          <w:sz w:val="21"/>
          <w:szCs w:val="21"/>
          <w:highlight w:val="none"/>
        </w:rPr>
        <w:t>法定代表人或委托代理人</w:t>
      </w:r>
      <w:r>
        <w:rPr>
          <w:rFonts w:hint="eastAsia" w:ascii="宋体" w:hAnsi="宋体" w:eastAsia="宋体" w:cs="宋体"/>
          <w:sz w:val="21"/>
          <w:szCs w:val="21"/>
          <w:highlight w:val="none"/>
        </w:rPr>
        <w:t>：</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（签字或盖章）  </w:t>
      </w:r>
    </w:p>
    <w:p>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固定联系电话：</w:t>
      </w:r>
      <w:r>
        <w:rPr>
          <w:rFonts w:hint="eastAsia" w:ascii="宋体" w:hAnsi="宋体" w:cs="宋体"/>
          <w:color w:val="auto"/>
          <w:szCs w:val="21"/>
          <w:highlight w:val="none"/>
          <w:u w:val="single"/>
        </w:rPr>
        <w:t xml:space="preserve">                                 </w:t>
      </w:r>
    </w:p>
    <w:p>
      <w:pPr>
        <w:spacing w:line="5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手机：</w:t>
      </w:r>
      <w:r>
        <w:rPr>
          <w:rFonts w:hint="eastAsia" w:ascii="宋体" w:hAnsi="宋体" w:cs="宋体"/>
          <w:color w:val="auto"/>
          <w:szCs w:val="21"/>
          <w:highlight w:val="none"/>
          <w:u w:val="single"/>
        </w:rPr>
        <w:t xml:space="preserve">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传真电话：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pStyle w:val="12"/>
        <w:spacing w:line="560" w:lineRule="exact"/>
        <w:ind w:firstLine="404" w:firstLineChars="200"/>
        <w:rPr>
          <w:rFonts w:ascii="宋体" w:hAnsi="宋体" w:eastAsia="宋体" w:cs="宋体"/>
          <w:spacing w:val="-4"/>
          <w:sz w:val="21"/>
          <w:szCs w:val="21"/>
          <w:highlight w:val="none"/>
        </w:rPr>
      </w:pPr>
      <w:r>
        <w:rPr>
          <w:rFonts w:hint="eastAsia" w:ascii="宋体" w:hAnsi="宋体" w:eastAsia="宋体" w:cs="宋体"/>
          <w:spacing w:val="-4"/>
          <w:sz w:val="21"/>
          <w:szCs w:val="21"/>
          <w:highlight w:val="none"/>
        </w:rPr>
        <w:t>日期：</w:t>
      </w:r>
      <w:r>
        <w:rPr>
          <w:rFonts w:hint="eastAsia" w:ascii="宋体" w:hAnsi="宋体" w:eastAsia="宋体" w:cs="宋体"/>
          <w:spacing w:val="-4"/>
          <w:sz w:val="21"/>
          <w:szCs w:val="21"/>
          <w:highlight w:val="none"/>
          <w:u w:val="single"/>
        </w:rPr>
        <w:t xml:space="preserve">                                            </w:t>
      </w:r>
      <w:r>
        <w:rPr>
          <w:rFonts w:hint="eastAsia" w:ascii="宋体" w:hAnsi="宋体" w:eastAsia="宋体" w:cs="宋体"/>
          <w:spacing w:val="-4"/>
          <w:sz w:val="21"/>
          <w:szCs w:val="21"/>
          <w:highlight w:val="none"/>
        </w:rPr>
        <w:t xml:space="preserve"> </w:t>
      </w:r>
    </w:p>
    <w:p>
      <w:pPr>
        <w:pStyle w:val="12"/>
        <w:spacing w:line="560" w:lineRule="exact"/>
        <w:ind w:firstLine="404" w:firstLineChars="200"/>
        <w:rPr>
          <w:rFonts w:ascii="宋体" w:hAnsi="宋体" w:eastAsia="宋体" w:cs="宋体"/>
          <w:spacing w:val="-4"/>
          <w:sz w:val="21"/>
          <w:szCs w:val="21"/>
          <w:highlight w:val="none"/>
        </w:rPr>
      </w:pPr>
      <w:r>
        <w:rPr>
          <w:rFonts w:hint="eastAsia" w:ascii="宋体" w:hAnsi="宋体" w:eastAsia="宋体" w:cs="宋体"/>
          <w:spacing w:val="-4"/>
          <w:sz w:val="21"/>
          <w:szCs w:val="21"/>
          <w:highlight w:val="none"/>
        </w:rPr>
        <w:t>邮政编码：</w:t>
      </w:r>
      <w:r>
        <w:rPr>
          <w:rFonts w:hint="eastAsia" w:ascii="宋体" w:hAnsi="宋体" w:eastAsia="宋体" w:cs="宋体"/>
          <w:spacing w:val="-4"/>
          <w:sz w:val="21"/>
          <w:szCs w:val="21"/>
          <w:highlight w:val="none"/>
          <w:u w:val="single"/>
        </w:rPr>
        <w:t xml:space="preserve">                                        </w:t>
      </w:r>
    </w:p>
    <w:p>
      <w:pPr>
        <w:pStyle w:val="12"/>
        <w:spacing w:line="560" w:lineRule="exact"/>
        <w:ind w:firstLine="404" w:firstLineChars="200"/>
        <w:rPr>
          <w:rFonts w:ascii="宋体" w:hAnsi="宋体" w:eastAsia="宋体" w:cs="宋体"/>
          <w:spacing w:val="-4"/>
          <w:sz w:val="21"/>
          <w:szCs w:val="21"/>
          <w:highlight w:val="none"/>
        </w:rPr>
      </w:pPr>
      <w:r>
        <w:rPr>
          <w:rFonts w:hint="eastAsia" w:ascii="宋体" w:hAnsi="宋体" w:eastAsia="宋体" w:cs="宋体"/>
          <w:spacing w:val="-4"/>
          <w:sz w:val="21"/>
          <w:szCs w:val="21"/>
          <w:highlight w:val="none"/>
        </w:rPr>
        <w:t>详细地址：</w:t>
      </w:r>
      <w:r>
        <w:rPr>
          <w:rFonts w:hint="eastAsia" w:ascii="宋体" w:hAnsi="宋体" w:eastAsia="宋体" w:cs="宋体"/>
          <w:spacing w:val="-4"/>
          <w:sz w:val="21"/>
          <w:szCs w:val="21"/>
          <w:highlight w:val="none"/>
          <w:u w:val="single"/>
        </w:rPr>
        <w:t xml:space="preserve">                                        </w:t>
      </w:r>
      <w:r>
        <w:rPr>
          <w:rFonts w:hint="eastAsia" w:ascii="宋体" w:hAnsi="宋体" w:eastAsia="宋体" w:cs="宋体"/>
          <w:spacing w:val="-4"/>
          <w:sz w:val="21"/>
          <w:szCs w:val="21"/>
          <w:highlight w:val="none"/>
        </w:rPr>
        <w:t xml:space="preserve"> </w:t>
      </w:r>
    </w:p>
    <w:p>
      <w:pPr>
        <w:pStyle w:val="12"/>
        <w:spacing w:line="560" w:lineRule="exact"/>
        <w:ind w:firstLine="404" w:firstLineChars="200"/>
        <w:rPr>
          <w:rFonts w:ascii="宋体" w:hAnsi="宋体" w:eastAsia="宋体" w:cs="宋体"/>
          <w:spacing w:val="-4"/>
          <w:sz w:val="21"/>
          <w:szCs w:val="21"/>
          <w:highlight w:val="none"/>
        </w:rPr>
      </w:pPr>
      <w:r>
        <w:rPr>
          <w:rFonts w:hint="eastAsia" w:ascii="宋体" w:hAnsi="宋体" w:eastAsia="宋体" w:cs="宋体"/>
          <w:spacing w:val="-4"/>
          <w:sz w:val="21"/>
          <w:szCs w:val="21"/>
          <w:highlight w:val="none"/>
        </w:rPr>
        <w:t>电子信箱：</w:t>
      </w:r>
      <w:r>
        <w:rPr>
          <w:rFonts w:hint="eastAsia" w:ascii="宋体" w:hAnsi="宋体" w:eastAsia="宋体" w:cs="宋体"/>
          <w:spacing w:val="-4"/>
          <w:sz w:val="21"/>
          <w:szCs w:val="21"/>
          <w:highlight w:val="none"/>
          <w:u w:val="single"/>
        </w:rPr>
        <w:t xml:space="preserve">                                        </w:t>
      </w:r>
      <w:r>
        <w:rPr>
          <w:rFonts w:hint="eastAsia" w:ascii="宋体" w:hAnsi="宋体" w:eastAsia="宋体" w:cs="宋体"/>
          <w:spacing w:val="-4"/>
          <w:sz w:val="21"/>
          <w:szCs w:val="21"/>
          <w:highlight w:val="none"/>
        </w:rPr>
        <w:t xml:space="preserve"> </w:t>
      </w:r>
    </w:p>
    <w:p>
      <w:pPr>
        <w:pStyle w:val="12"/>
        <w:spacing w:line="560" w:lineRule="exact"/>
        <w:ind w:firstLine="404" w:firstLineChars="200"/>
        <w:rPr>
          <w:rFonts w:ascii="宋体" w:hAnsi="宋体" w:eastAsia="宋体" w:cs="宋体"/>
          <w:spacing w:val="-4"/>
          <w:sz w:val="21"/>
          <w:szCs w:val="21"/>
          <w:highlight w:val="none"/>
        </w:rPr>
      </w:pPr>
    </w:p>
    <w:p>
      <w:pPr>
        <w:pStyle w:val="12"/>
        <w:spacing w:line="560" w:lineRule="exact"/>
        <w:ind w:firstLine="404" w:firstLineChars="200"/>
        <w:rPr>
          <w:rFonts w:ascii="宋体" w:hAnsi="宋体" w:eastAsia="宋体" w:cs="宋体"/>
          <w:spacing w:val="-4"/>
          <w:sz w:val="21"/>
          <w:szCs w:val="21"/>
          <w:highlight w:val="none"/>
        </w:rPr>
      </w:pPr>
    </w:p>
    <w:p>
      <w:pPr>
        <w:pStyle w:val="12"/>
        <w:spacing w:line="560" w:lineRule="exact"/>
        <w:ind w:firstLine="404" w:firstLineChars="200"/>
        <w:rPr>
          <w:rFonts w:ascii="宋体" w:hAnsi="宋体" w:eastAsia="宋体" w:cs="宋体"/>
          <w:spacing w:val="-4"/>
          <w:sz w:val="21"/>
          <w:szCs w:val="21"/>
          <w:highlight w:val="none"/>
        </w:rPr>
      </w:pPr>
    </w:p>
    <w:p>
      <w:pPr>
        <w:pStyle w:val="12"/>
        <w:spacing w:line="560" w:lineRule="exact"/>
        <w:ind w:firstLine="404" w:firstLineChars="200"/>
        <w:rPr>
          <w:rFonts w:ascii="宋体" w:hAnsi="宋体" w:eastAsia="宋体" w:cs="宋体"/>
          <w:spacing w:val="-4"/>
          <w:sz w:val="21"/>
          <w:szCs w:val="21"/>
          <w:highlight w:val="none"/>
        </w:rPr>
      </w:pPr>
    </w:p>
    <w:p>
      <w:pPr>
        <w:pStyle w:val="12"/>
        <w:spacing w:line="560" w:lineRule="exact"/>
        <w:ind w:firstLine="404" w:firstLineChars="200"/>
        <w:rPr>
          <w:rFonts w:ascii="宋体" w:hAnsi="宋体" w:eastAsia="宋体" w:cs="宋体"/>
          <w:spacing w:val="-4"/>
          <w:sz w:val="21"/>
          <w:szCs w:val="21"/>
          <w:highlight w:val="none"/>
        </w:rPr>
      </w:pPr>
    </w:p>
    <w:p>
      <w:pPr>
        <w:pStyle w:val="12"/>
        <w:spacing w:line="560" w:lineRule="exact"/>
        <w:ind w:firstLine="404" w:firstLineChars="200"/>
        <w:rPr>
          <w:rFonts w:ascii="宋体" w:hAnsi="宋体" w:eastAsia="宋体" w:cs="宋体"/>
          <w:spacing w:val="-4"/>
          <w:sz w:val="21"/>
          <w:szCs w:val="21"/>
          <w:highlight w:val="none"/>
        </w:rPr>
      </w:pPr>
    </w:p>
    <w:p>
      <w:pPr>
        <w:pStyle w:val="12"/>
        <w:spacing w:line="560" w:lineRule="exact"/>
        <w:ind w:firstLine="404" w:firstLineChars="200"/>
        <w:rPr>
          <w:rFonts w:ascii="宋体" w:hAnsi="宋体" w:eastAsia="宋体" w:cs="宋体"/>
          <w:spacing w:val="-4"/>
          <w:sz w:val="21"/>
          <w:szCs w:val="21"/>
          <w:highlight w:val="none"/>
        </w:rPr>
      </w:pPr>
    </w:p>
    <w:p>
      <w:pPr>
        <w:pStyle w:val="12"/>
        <w:spacing w:line="560" w:lineRule="exact"/>
        <w:ind w:firstLine="404" w:firstLineChars="200"/>
        <w:rPr>
          <w:rFonts w:ascii="宋体" w:hAnsi="宋体" w:eastAsia="宋体" w:cs="宋体"/>
          <w:spacing w:val="-4"/>
          <w:sz w:val="21"/>
          <w:szCs w:val="21"/>
          <w:highlight w:val="none"/>
        </w:rPr>
      </w:pPr>
    </w:p>
    <w:p>
      <w:pPr>
        <w:rPr>
          <w:rFonts w:ascii="宋体" w:hAnsi="宋体" w:cs="宋体"/>
          <w:color w:val="auto"/>
          <w:spacing w:val="-4"/>
          <w:szCs w:val="21"/>
          <w:highlight w:val="none"/>
        </w:rPr>
      </w:pPr>
    </w:p>
    <w:p>
      <w:pPr>
        <w:pStyle w:val="9"/>
        <w:rPr>
          <w:rFonts w:ascii="宋体" w:hAnsi="宋体" w:eastAsia="宋体" w:cs="宋体"/>
          <w:color w:val="auto"/>
          <w:highlight w:val="none"/>
        </w:rPr>
      </w:pPr>
    </w:p>
    <w:p>
      <w:pPr>
        <w:pStyle w:val="12"/>
        <w:spacing w:line="560" w:lineRule="exact"/>
        <w:ind w:firstLine="404" w:firstLineChars="200"/>
        <w:rPr>
          <w:rFonts w:ascii="宋体" w:hAnsi="宋体" w:eastAsia="宋体" w:cs="宋体"/>
          <w:spacing w:val="-4"/>
          <w:sz w:val="21"/>
          <w:szCs w:val="21"/>
          <w:highlight w:val="none"/>
        </w:rPr>
      </w:pPr>
    </w:p>
    <w:p>
      <w:pPr>
        <w:rPr>
          <w:rFonts w:ascii="宋体" w:hAnsi="宋体" w:cs="宋体"/>
          <w:color w:val="auto"/>
          <w:spacing w:val="-4"/>
          <w:szCs w:val="21"/>
          <w:highlight w:val="none"/>
        </w:rPr>
      </w:pPr>
    </w:p>
    <w:p>
      <w:pPr>
        <w:pStyle w:val="8"/>
        <w:rPr>
          <w:rFonts w:ascii="宋体" w:hAnsi="宋体" w:cs="宋体"/>
          <w:spacing w:val="-4"/>
          <w:sz w:val="21"/>
          <w:szCs w:val="21"/>
          <w:highlight w:val="none"/>
        </w:rPr>
      </w:pPr>
    </w:p>
    <w:p>
      <w:pPr>
        <w:rPr>
          <w:color w:val="auto"/>
          <w:highlight w:val="none"/>
        </w:rPr>
      </w:pPr>
    </w:p>
    <w:p>
      <w:pPr>
        <w:rPr>
          <w:rFonts w:ascii="宋体" w:hAnsi="宋体" w:cs="宋体"/>
          <w:color w:val="auto"/>
          <w:spacing w:val="-4"/>
          <w:szCs w:val="21"/>
          <w:highlight w:val="none"/>
        </w:rPr>
      </w:pPr>
    </w:p>
    <w:p>
      <w:pPr>
        <w:pStyle w:val="58"/>
        <w:rPr>
          <w:rFonts w:ascii="宋体" w:hAnsi="宋体" w:cs="宋体"/>
          <w:color w:val="auto"/>
          <w:highlight w:val="none"/>
        </w:rPr>
      </w:pPr>
    </w:p>
    <w:p>
      <w:pPr>
        <w:pStyle w:val="12"/>
        <w:spacing w:line="560" w:lineRule="exact"/>
        <w:ind w:firstLine="404" w:firstLineChars="200"/>
        <w:rPr>
          <w:rFonts w:ascii="宋体" w:hAnsi="宋体" w:eastAsia="宋体" w:cs="宋体"/>
          <w:spacing w:val="-4"/>
          <w:sz w:val="21"/>
          <w:szCs w:val="21"/>
          <w:highlight w:val="none"/>
        </w:rPr>
      </w:pPr>
    </w:p>
    <w:p>
      <w:pPr>
        <w:pStyle w:val="12"/>
        <w:spacing w:line="560" w:lineRule="exact"/>
        <w:jc w:val="center"/>
        <w:rPr>
          <w:rFonts w:ascii="宋体" w:hAnsi="宋体" w:eastAsia="宋体" w:cs="宋体"/>
          <w:b/>
          <w:bCs/>
          <w:kern w:val="21"/>
          <w:sz w:val="28"/>
          <w:szCs w:val="32"/>
          <w:highlight w:val="none"/>
          <w:u w:color="000000"/>
        </w:rPr>
      </w:pPr>
      <w:r>
        <w:rPr>
          <w:rFonts w:hint="eastAsia" w:ascii="宋体" w:hAnsi="宋体" w:eastAsia="宋体" w:cs="宋体"/>
          <w:b/>
          <w:bCs/>
          <w:kern w:val="21"/>
          <w:sz w:val="28"/>
          <w:szCs w:val="32"/>
          <w:highlight w:val="none"/>
          <w:u w:color="000000"/>
        </w:rPr>
        <w:t>3、法定代表人身份证明</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单位性质：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（供应商名称）的法定代表人。</w:t>
      </w:r>
    </w:p>
    <w:p>
      <w:pPr>
        <w:spacing w:line="560" w:lineRule="exact"/>
        <w:ind w:firstLine="840" w:firstLineChars="400"/>
        <w:rPr>
          <w:rFonts w:ascii="宋体" w:hAnsi="宋体" w:cs="宋体"/>
          <w:color w:val="auto"/>
          <w:szCs w:val="21"/>
          <w:highlight w:val="none"/>
        </w:rPr>
      </w:pPr>
      <w:r>
        <w:rPr>
          <w:rFonts w:hint="eastAsia" w:ascii="宋体" w:hAnsi="宋体" w:cs="宋体"/>
          <w:color w:val="auto"/>
          <w:szCs w:val="21"/>
          <w:highlight w:val="none"/>
        </w:rPr>
        <w:t>特此证明。</w:t>
      </w:r>
    </w:p>
    <w:p>
      <w:pPr>
        <w:spacing w:line="560" w:lineRule="exact"/>
        <w:rPr>
          <w:rFonts w:ascii="宋体" w:hAnsi="宋体" w:cs="宋体"/>
          <w:color w:val="auto"/>
          <w:szCs w:val="21"/>
          <w:highlight w:val="none"/>
        </w:rPr>
      </w:pPr>
    </w:p>
    <w:p>
      <w:pPr>
        <w:autoSpaceDE w:val="0"/>
        <w:autoSpaceDN w:val="0"/>
        <w:adjustRightInd w:val="0"/>
        <w:snapToGrid w:val="0"/>
        <w:spacing w:beforeLines="50" w:line="560" w:lineRule="exact"/>
        <w:jc w:val="left"/>
        <w:rPr>
          <w:rFonts w:ascii="宋体" w:hAnsi="宋体" w:cs="宋体"/>
          <w:color w:val="auto"/>
          <w:szCs w:val="21"/>
          <w:highlight w:val="none"/>
        </w:rPr>
      </w:pPr>
      <w:r>
        <w:rPr>
          <w:rFonts w:hint="eastAsia" w:ascii="宋体" w:hAnsi="宋体" w:cs="宋体"/>
          <w:color w:val="auto"/>
          <w:szCs w:val="21"/>
          <w:highlight w:val="none"/>
        </w:rPr>
        <w:t>附：法定代表人身份证复印件</w:t>
      </w:r>
    </w:p>
    <w:p>
      <w:pPr>
        <w:snapToGrid w:val="0"/>
        <w:spacing w:line="560" w:lineRule="exact"/>
        <w:rPr>
          <w:rFonts w:ascii="宋体" w:hAnsi="宋体" w:cs="宋体"/>
          <w:color w:val="auto"/>
          <w:szCs w:val="21"/>
          <w:highlight w:val="none"/>
        </w:rPr>
      </w:pPr>
    </w:p>
    <w:p>
      <w:pPr>
        <w:adjustRightInd w:val="0"/>
        <w:snapToGrid w:val="0"/>
        <w:spacing w:line="560" w:lineRule="exact"/>
        <w:ind w:right="420"/>
        <w:rPr>
          <w:rFonts w:ascii="宋体" w:hAnsi="宋体" w:cs="宋体"/>
          <w:color w:val="auto"/>
          <w:szCs w:val="21"/>
          <w:highlight w:val="none"/>
        </w:rPr>
      </w:pPr>
    </w:p>
    <w:p>
      <w:pPr>
        <w:adjustRightInd w:val="0"/>
        <w:snapToGrid w:val="0"/>
        <w:spacing w:line="560" w:lineRule="exact"/>
        <w:ind w:right="420"/>
        <w:rPr>
          <w:rFonts w:ascii="宋体" w:hAnsi="宋体" w:cs="宋体"/>
          <w:color w:val="auto"/>
          <w:szCs w:val="21"/>
          <w:highlight w:val="none"/>
        </w:rPr>
      </w:pPr>
    </w:p>
    <w:p>
      <w:pPr>
        <w:spacing w:line="560" w:lineRule="exact"/>
        <w:rPr>
          <w:rFonts w:ascii="宋体" w:hAnsi="宋体" w:cs="宋体"/>
          <w:b/>
          <w:color w:val="auto"/>
          <w:szCs w:val="21"/>
          <w:highlight w:val="none"/>
        </w:rPr>
      </w:pPr>
    </w:p>
    <w:p>
      <w:pPr>
        <w:spacing w:line="560" w:lineRule="exact"/>
        <w:ind w:firstLine="3150" w:firstLineChars="1500"/>
        <w:rPr>
          <w:rFonts w:ascii="宋体" w:hAnsi="宋体" w:cs="宋体"/>
          <w:color w:val="auto"/>
          <w:szCs w:val="21"/>
          <w:highlight w:val="none"/>
        </w:rPr>
      </w:pPr>
      <w:r>
        <w:rPr>
          <w:rFonts w:hint="eastAsia" w:ascii="宋体" w:hAnsi="宋体" w:cs="宋体"/>
          <w:color w:val="auto"/>
          <w:szCs w:val="21"/>
          <w:highlight w:val="none"/>
        </w:rPr>
        <w:t>供应商：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（盖单位公章）</w:t>
      </w:r>
    </w:p>
    <w:p>
      <w:pPr>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w:t>
      </w:r>
    </w:p>
    <w:p>
      <w:pPr>
        <w:spacing w:line="560" w:lineRule="exact"/>
        <w:ind w:firstLine="3150" w:firstLineChars="1500"/>
        <w:rPr>
          <w:rFonts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pacing w:line="240" w:lineRule="auto"/>
        <w:rPr>
          <w:rFonts w:ascii="宋体" w:hAnsi="宋体" w:cs="宋体"/>
          <w:color w:val="auto"/>
          <w:kern w:val="21"/>
          <w:szCs w:val="21"/>
          <w:highlight w:val="none"/>
        </w:rPr>
      </w:pPr>
    </w:p>
    <w:p>
      <w:pPr>
        <w:spacing w:line="240" w:lineRule="auto"/>
        <w:rPr>
          <w:rFonts w:ascii="宋体" w:hAnsi="宋体" w:cs="宋体"/>
          <w:color w:val="auto"/>
          <w:kern w:val="21"/>
          <w:szCs w:val="21"/>
          <w:highlight w:val="none"/>
        </w:rPr>
      </w:pPr>
      <w:r>
        <w:rPr>
          <w:rFonts w:hint="eastAsia" w:ascii="宋体" w:hAnsi="宋体" w:cs="宋体"/>
          <w:color w:val="auto"/>
          <w:kern w:val="21"/>
          <w:szCs w:val="21"/>
          <w:highlight w:val="none"/>
        </w:rPr>
        <w:t xml:space="preserve"> </w:t>
      </w:r>
    </w:p>
    <w:p>
      <w:pPr>
        <w:spacing w:line="240" w:lineRule="auto"/>
        <w:rPr>
          <w:rFonts w:ascii="宋体" w:hAnsi="宋体" w:cs="宋体"/>
          <w:color w:val="auto"/>
          <w:kern w:val="21"/>
          <w:szCs w:val="21"/>
          <w:highlight w:val="none"/>
        </w:rPr>
      </w:pPr>
    </w:p>
    <w:p>
      <w:pPr>
        <w:spacing w:line="240" w:lineRule="auto"/>
        <w:rPr>
          <w:rFonts w:ascii="宋体" w:hAnsi="宋体" w:cs="宋体"/>
          <w:color w:val="auto"/>
          <w:kern w:val="21"/>
          <w:sz w:val="24"/>
          <w:szCs w:val="24"/>
          <w:highlight w:val="none"/>
        </w:rPr>
      </w:pPr>
    </w:p>
    <w:p>
      <w:pPr>
        <w:spacing w:line="240" w:lineRule="auto"/>
        <w:rPr>
          <w:rFonts w:ascii="宋体" w:hAnsi="宋体" w:cs="宋体"/>
          <w:color w:val="auto"/>
          <w:kern w:val="21"/>
          <w:sz w:val="24"/>
          <w:szCs w:val="24"/>
          <w:highlight w:val="none"/>
        </w:rPr>
      </w:pPr>
    </w:p>
    <w:p>
      <w:pPr>
        <w:spacing w:line="240" w:lineRule="auto"/>
        <w:rPr>
          <w:rFonts w:ascii="宋体" w:hAnsi="宋体" w:cs="宋体"/>
          <w:color w:val="auto"/>
          <w:kern w:val="21"/>
          <w:highlight w:val="none"/>
        </w:rPr>
      </w:pPr>
    </w:p>
    <w:p>
      <w:pPr>
        <w:spacing w:line="240" w:lineRule="auto"/>
        <w:rPr>
          <w:rFonts w:ascii="宋体" w:hAnsi="宋体" w:cs="宋体"/>
          <w:color w:val="auto"/>
          <w:kern w:val="21"/>
          <w:highlight w:val="none"/>
        </w:rPr>
      </w:pPr>
    </w:p>
    <w:p>
      <w:pPr>
        <w:spacing w:line="240" w:lineRule="auto"/>
        <w:rPr>
          <w:rFonts w:ascii="宋体" w:hAnsi="宋体" w:cs="宋体"/>
          <w:color w:val="auto"/>
          <w:kern w:val="21"/>
          <w:highlight w:val="none"/>
        </w:rPr>
      </w:pPr>
    </w:p>
    <w:p>
      <w:pPr>
        <w:spacing w:line="240" w:lineRule="auto"/>
        <w:rPr>
          <w:rFonts w:ascii="宋体" w:hAnsi="宋体" w:cs="宋体"/>
          <w:color w:val="auto"/>
          <w:kern w:val="21"/>
          <w:highlight w:val="none"/>
        </w:rPr>
      </w:pPr>
    </w:p>
    <w:p>
      <w:pPr>
        <w:pStyle w:val="9"/>
        <w:rPr>
          <w:rFonts w:ascii="宋体" w:hAnsi="宋体" w:eastAsia="宋体" w:cs="宋体"/>
          <w:color w:val="auto"/>
          <w:kern w:val="21"/>
          <w:highlight w:val="none"/>
        </w:rPr>
      </w:pPr>
    </w:p>
    <w:p>
      <w:pPr>
        <w:rPr>
          <w:rFonts w:ascii="宋体" w:hAnsi="宋体" w:cs="宋体"/>
          <w:color w:val="auto"/>
          <w:kern w:val="21"/>
          <w:highlight w:val="none"/>
        </w:rPr>
      </w:pPr>
    </w:p>
    <w:p>
      <w:pPr>
        <w:pStyle w:val="5"/>
        <w:rPr>
          <w:rFonts w:ascii="宋体" w:hAnsi="宋体" w:cs="宋体"/>
          <w:color w:val="auto"/>
          <w:kern w:val="21"/>
          <w:highlight w:val="none"/>
        </w:rPr>
      </w:pPr>
      <w:r>
        <w:rPr>
          <w:rFonts w:hint="eastAsia" w:ascii="宋体" w:hAnsi="宋体" w:cs="宋体"/>
          <w:color w:val="auto"/>
          <w:kern w:val="21"/>
          <w:highlight w:val="none"/>
        </w:rPr>
        <w:t>4、法定代表人授权委托书</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（供应商名称）的法定代表人，现委托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（姓名）为我方代理人。代理人根据授权，以我方名义签署、澄清、说明、补正、递交、撤回、修改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”(项目名称、项目编号)全权处理与该项目磋商、评审答疑、签订合同以及与合同执行有关的一切事务，其法律后果由我方承担。</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委托期限：</w:t>
      </w:r>
      <w:r>
        <w:rPr>
          <w:rFonts w:hint="eastAsia" w:ascii="宋体" w:hAnsi="宋体" w:cs="宋体"/>
          <w:color w:val="auto"/>
          <w:szCs w:val="21"/>
          <w:highlight w:val="none"/>
          <w:u w:val="single"/>
        </w:rPr>
        <w:t xml:space="preserve"> 磋商截止之日起(     )天内保持有效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代理人无转委托权。</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附：（1）法定代表人身份证复印件</w:t>
      </w:r>
    </w:p>
    <w:p>
      <w:pPr>
        <w:spacing w:line="560" w:lineRule="exact"/>
        <w:outlineLvl w:val="0"/>
        <w:rPr>
          <w:rFonts w:ascii="宋体" w:hAnsi="宋体" w:cs="宋体"/>
          <w:color w:val="auto"/>
          <w:szCs w:val="21"/>
          <w:highlight w:val="none"/>
        </w:rPr>
      </w:pPr>
      <w:r>
        <w:rPr>
          <w:rFonts w:hint="eastAsia" w:ascii="宋体" w:hAnsi="宋体" w:cs="宋体"/>
          <w:color w:val="auto"/>
          <w:szCs w:val="21"/>
          <w:highlight w:val="none"/>
        </w:rPr>
        <w:t xml:space="preserve">    </w:t>
      </w:r>
      <w:bookmarkStart w:id="764" w:name="_Toc449368383"/>
      <w:bookmarkStart w:id="765" w:name="_Toc450138948"/>
      <w:r>
        <w:rPr>
          <w:rFonts w:hint="eastAsia" w:ascii="宋体" w:hAnsi="宋体" w:cs="宋体"/>
          <w:color w:val="auto"/>
          <w:szCs w:val="21"/>
          <w:highlight w:val="none"/>
        </w:rPr>
        <w:t xml:space="preserve">    </w:t>
      </w:r>
      <w:bookmarkStart w:id="766" w:name="_Toc24356"/>
      <w:bookmarkStart w:id="767" w:name="_Toc1381"/>
      <w:bookmarkStart w:id="768" w:name="_Toc23309"/>
      <w:bookmarkStart w:id="769" w:name="_Toc31409"/>
      <w:bookmarkStart w:id="770" w:name="_Toc16137"/>
      <w:bookmarkStart w:id="771" w:name="_Toc17978"/>
      <w:bookmarkStart w:id="772" w:name="_Toc22105"/>
      <w:bookmarkStart w:id="773" w:name="_Toc12251"/>
      <w:bookmarkStart w:id="774" w:name="_Toc22139"/>
      <w:bookmarkStart w:id="775" w:name="_Toc213"/>
      <w:r>
        <w:rPr>
          <w:rFonts w:hint="eastAsia" w:ascii="宋体" w:hAnsi="宋体" w:cs="宋体"/>
          <w:color w:val="auto"/>
          <w:szCs w:val="21"/>
          <w:highlight w:val="none"/>
        </w:rPr>
        <w:t>（2）委托代理人身份证</w:t>
      </w:r>
      <w:bookmarkEnd w:id="764"/>
      <w:bookmarkEnd w:id="765"/>
      <w:r>
        <w:rPr>
          <w:rFonts w:hint="eastAsia" w:ascii="宋体" w:hAnsi="宋体" w:cs="宋体"/>
          <w:color w:val="auto"/>
          <w:szCs w:val="21"/>
          <w:highlight w:val="none"/>
        </w:rPr>
        <w:t>复印件</w:t>
      </w:r>
      <w:bookmarkEnd w:id="766"/>
      <w:bookmarkEnd w:id="767"/>
      <w:bookmarkEnd w:id="768"/>
      <w:bookmarkEnd w:id="769"/>
      <w:bookmarkEnd w:id="770"/>
      <w:bookmarkEnd w:id="771"/>
      <w:bookmarkEnd w:id="772"/>
      <w:bookmarkEnd w:id="773"/>
      <w:bookmarkEnd w:id="774"/>
      <w:bookmarkEnd w:id="775"/>
    </w:p>
    <w:p>
      <w:pPr>
        <w:spacing w:line="560" w:lineRule="exact"/>
        <w:ind w:firstLine="1102" w:firstLineChars="525"/>
        <w:rPr>
          <w:rFonts w:ascii="宋体" w:hAnsi="宋体" w:cs="宋体"/>
          <w:color w:val="auto"/>
          <w:szCs w:val="21"/>
          <w:highlight w:val="none"/>
        </w:rPr>
      </w:pPr>
      <w:r>
        <w:rPr>
          <w:rFonts w:hint="eastAsia" w:ascii="宋体" w:hAnsi="宋体" w:cs="宋体"/>
          <w:color w:val="auto"/>
          <w:szCs w:val="21"/>
          <w:highlight w:val="none"/>
        </w:rPr>
        <w:t>供应商：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（加盖单位公章）</w:t>
      </w:r>
    </w:p>
    <w:p>
      <w:pPr>
        <w:spacing w:line="560" w:lineRule="exact"/>
        <w:ind w:firstLine="1102" w:firstLineChars="525"/>
        <w:rPr>
          <w:rFonts w:ascii="宋体" w:hAnsi="宋体" w:cs="宋体"/>
          <w:color w:val="auto"/>
          <w:szCs w:val="21"/>
          <w:highlight w:val="none"/>
        </w:rPr>
      </w:pPr>
      <w:r>
        <w:rPr>
          <w:rFonts w:hint="eastAsia" w:ascii="宋体" w:hAnsi="宋体" w:cs="宋体"/>
          <w:color w:val="auto"/>
          <w:szCs w:val="21"/>
          <w:highlight w:val="none"/>
        </w:rPr>
        <w:t>法定代表人：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（签字或盖章）</w:t>
      </w:r>
    </w:p>
    <w:p>
      <w:pPr>
        <w:spacing w:line="560" w:lineRule="exact"/>
        <w:ind w:firstLine="1102" w:firstLineChars="525"/>
        <w:rPr>
          <w:rFonts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pPr>
        <w:spacing w:line="560" w:lineRule="exact"/>
        <w:ind w:firstLine="1102" w:firstLineChars="525"/>
        <w:rPr>
          <w:rFonts w:ascii="宋体" w:hAnsi="宋体" w:cs="宋体"/>
          <w:color w:val="auto"/>
          <w:szCs w:val="21"/>
          <w:highlight w:val="none"/>
        </w:rPr>
      </w:pPr>
      <w:r>
        <w:rPr>
          <w:rFonts w:hint="eastAsia" w:ascii="宋体" w:hAnsi="宋体" w:cs="宋体"/>
          <w:color w:val="auto"/>
          <w:szCs w:val="21"/>
          <w:highlight w:val="none"/>
        </w:rPr>
        <w:t>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（签字或盖章）</w:t>
      </w:r>
    </w:p>
    <w:p>
      <w:pPr>
        <w:spacing w:line="560" w:lineRule="exact"/>
        <w:ind w:firstLine="1102" w:firstLineChars="525"/>
        <w:rPr>
          <w:rFonts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pPr>
        <w:spacing w:line="560" w:lineRule="exact"/>
        <w:ind w:firstLine="1102" w:firstLineChars="525"/>
        <w:rPr>
          <w:rFonts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jc w:val="center"/>
        <w:rPr>
          <w:rFonts w:ascii="宋体" w:hAnsi="宋体" w:cs="宋体"/>
          <w:b/>
          <w:color w:val="auto"/>
          <w:kern w:val="21"/>
          <w:szCs w:val="21"/>
          <w:highlight w:val="none"/>
        </w:rPr>
      </w:pPr>
    </w:p>
    <w:p>
      <w:pPr>
        <w:jc w:val="center"/>
        <w:rPr>
          <w:rFonts w:ascii="宋体" w:hAnsi="宋体" w:cs="宋体"/>
          <w:b/>
          <w:color w:val="auto"/>
          <w:kern w:val="21"/>
          <w:szCs w:val="21"/>
          <w:highlight w:val="none"/>
        </w:rPr>
      </w:pPr>
    </w:p>
    <w:p>
      <w:pPr>
        <w:jc w:val="center"/>
        <w:rPr>
          <w:rFonts w:ascii="宋体" w:hAnsi="宋体" w:cs="宋体"/>
          <w:b/>
          <w:color w:val="auto"/>
          <w:kern w:val="21"/>
          <w:szCs w:val="21"/>
          <w:highlight w:val="none"/>
        </w:rPr>
      </w:pPr>
    </w:p>
    <w:p>
      <w:pPr>
        <w:jc w:val="center"/>
        <w:rPr>
          <w:rFonts w:ascii="宋体" w:hAnsi="宋体" w:cs="宋体"/>
          <w:b/>
          <w:color w:val="auto"/>
          <w:kern w:val="21"/>
          <w:szCs w:val="21"/>
          <w:highlight w:val="none"/>
        </w:rPr>
      </w:pPr>
      <w:r>
        <w:rPr>
          <w:rFonts w:hint="eastAsia" w:ascii="宋体" w:hAnsi="宋体" w:cs="宋体"/>
          <w:color w:val="auto"/>
          <w:kern w:val="21"/>
          <w:szCs w:val="21"/>
          <w:highlight w:val="none"/>
        </w:rPr>
        <w:t xml:space="preserve"> </w:t>
      </w:r>
    </w:p>
    <w:p>
      <w:pPr>
        <w:spacing w:line="240" w:lineRule="auto"/>
        <w:rPr>
          <w:rFonts w:ascii="宋体" w:hAnsi="宋体" w:cs="宋体"/>
          <w:b/>
          <w:color w:val="auto"/>
          <w:kern w:val="21"/>
          <w:szCs w:val="21"/>
          <w:highlight w:val="none"/>
        </w:rPr>
      </w:pPr>
    </w:p>
    <w:p>
      <w:pPr>
        <w:spacing w:line="240" w:lineRule="auto"/>
        <w:rPr>
          <w:rFonts w:ascii="宋体" w:hAnsi="宋体" w:cs="宋体"/>
          <w:b/>
          <w:color w:val="auto"/>
          <w:kern w:val="21"/>
          <w:szCs w:val="21"/>
          <w:highlight w:val="none"/>
        </w:rPr>
      </w:pPr>
    </w:p>
    <w:p>
      <w:pPr>
        <w:spacing w:line="240" w:lineRule="auto"/>
        <w:rPr>
          <w:rFonts w:ascii="宋体" w:hAnsi="宋体" w:cs="宋体"/>
          <w:b/>
          <w:color w:val="auto"/>
          <w:kern w:val="21"/>
          <w:sz w:val="32"/>
          <w:szCs w:val="32"/>
          <w:highlight w:val="none"/>
        </w:rPr>
      </w:pPr>
    </w:p>
    <w:p>
      <w:pPr>
        <w:pStyle w:val="4"/>
        <w:rPr>
          <w:rFonts w:ascii="宋体" w:hAnsi="宋体" w:cs="宋体"/>
          <w:kern w:val="21"/>
          <w:sz w:val="32"/>
          <w:szCs w:val="32"/>
          <w:highlight w:val="none"/>
        </w:rPr>
      </w:pPr>
    </w:p>
    <w:p>
      <w:pPr>
        <w:rPr>
          <w:rFonts w:ascii="宋体" w:hAnsi="宋体" w:cs="宋体"/>
          <w:b/>
          <w:color w:val="auto"/>
          <w:kern w:val="21"/>
          <w:sz w:val="32"/>
          <w:szCs w:val="32"/>
          <w:highlight w:val="none"/>
        </w:rPr>
      </w:pPr>
    </w:p>
    <w:p>
      <w:pPr>
        <w:pStyle w:val="4"/>
        <w:rPr>
          <w:rFonts w:ascii="宋体" w:hAnsi="宋体" w:cs="宋体"/>
          <w:highlight w:val="none"/>
        </w:rPr>
      </w:pPr>
    </w:p>
    <w:p>
      <w:pPr>
        <w:jc w:val="center"/>
        <w:rPr>
          <w:rFonts w:ascii="宋体" w:hAnsi="宋体" w:cs="宋体"/>
          <w:b/>
          <w:color w:val="auto"/>
          <w:kern w:val="21"/>
          <w:sz w:val="28"/>
          <w:szCs w:val="28"/>
          <w:highlight w:val="none"/>
        </w:rPr>
      </w:pPr>
    </w:p>
    <w:p>
      <w:pPr>
        <w:ind w:left="720"/>
        <w:jc w:val="center"/>
        <w:rPr>
          <w:rFonts w:ascii="宋体" w:hAnsi="宋体" w:cs="宋体"/>
          <w:b/>
          <w:color w:val="auto"/>
          <w:kern w:val="21"/>
          <w:sz w:val="28"/>
          <w:szCs w:val="28"/>
          <w:highlight w:val="none"/>
        </w:rPr>
      </w:pPr>
    </w:p>
    <w:p>
      <w:pPr>
        <w:pStyle w:val="9"/>
        <w:rPr>
          <w:rFonts w:ascii="宋体" w:hAnsi="宋体" w:eastAsia="宋体" w:cs="宋体"/>
          <w:color w:val="auto"/>
          <w:highlight w:val="none"/>
        </w:rPr>
        <w:sectPr>
          <w:footerReference r:id="rId16" w:type="default"/>
          <w:pgSz w:w="11906" w:h="16838"/>
          <w:pgMar w:top="1440" w:right="1080" w:bottom="1440" w:left="1080" w:header="851" w:footer="992" w:gutter="0"/>
          <w:cols w:space="720" w:num="1"/>
          <w:docGrid w:linePitch="312" w:charSpace="0"/>
        </w:sectPr>
      </w:pPr>
    </w:p>
    <w:p>
      <w:pPr>
        <w:pStyle w:val="5"/>
        <w:spacing w:line="560" w:lineRule="exact"/>
        <w:ind w:left="2310" w:firstLine="281" w:firstLineChars="100"/>
        <w:jc w:val="both"/>
        <w:rPr>
          <w:rFonts w:ascii="宋体" w:hAnsi="宋体" w:cs="宋体"/>
          <w:color w:val="auto"/>
          <w:highlight w:val="none"/>
        </w:rPr>
      </w:pPr>
      <w:bookmarkStart w:id="776" w:name="_Toc13853"/>
      <w:bookmarkStart w:id="777" w:name="_Toc13973"/>
      <w:bookmarkStart w:id="778" w:name="_Toc22056"/>
      <w:bookmarkStart w:id="779" w:name="_Toc11164"/>
      <w:r>
        <w:rPr>
          <w:rFonts w:hint="eastAsia" w:ascii="宋体" w:hAnsi="宋体" w:cs="宋体"/>
          <w:color w:val="auto"/>
          <w:highlight w:val="none"/>
        </w:rPr>
        <w:t>5.1中小企业声明函（货物）（若是）</w:t>
      </w:r>
      <w:bookmarkEnd w:id="776"/>
    </w:p>
    <w:p>
      <w:pPr>
        <w:rPr>
          <w:rFonts w:ascii="宋体" w:hAnsi="宋体" w:cs="宋体"/>
          <w:color w:val="auto"/>
          <w:highlight w:val="none"/>
        </w:rPr>
      </w:pP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本公司郑重声明，根据《政府采购促进中小企业发展管理办法》（财库[2020]46号）的规定，本公司参加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 xml:space="preserve">采购活动，提供的货物全部由符合政策要求的中小企业制造。相关企业（含联合体中的中小企业、签订分包意向协议的中小企业）的具体情况如下：          </w:t>
      </w:r>
    </w:p>
    <w:p>
      <w:pPr>
        <w:numPr>
          <w:ilvl w:val="0"/>
          <w:numId w:val="6"/>
        </w:num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（标的名称），属于（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）；制造商为（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 xml:space="preserve">     （中型企业、小型企业、微型企业）</w:t>
      </w:r>
      <w:r>
        <w:rPr>
          <w:rFonts w:hint="eastAsia" w:ascii="宋体" w:hAnsi="宋体" w:cs="宋体"/>
          <w:color w:val="auto"/>
          <w:szCs w:val="21"/>
          <w:highlight w:val="none"/>
        </w:rPr>
        <w:t>；</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（标的名称），属于（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）；制造商为（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 xml:space="preserve">     （中型企业、小型企业、微型企业）</w:t>
      </w:r>
      <w:r>
        <w:rPr>
          <w:rFonts w:hint="eastAsia" w:ascii="宋体" w:hAnsi="宋体" w:cs="宋体"/>
          <w:color w:val="auto"/>
          <w:szCs w:val="21"/>
          <w:highlight w:val="none"/>
        </w:rPr>
        <w:t>；</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p>
    <w:p>
      <w:pPr>
        <w:pStyle w:val="53"/>
        <w:spacing w:line="480" w:lineRule="auto"/>
        <w:ind w:firstLine="420" w:firstLineChars="200"/>
        <w:rPr>
          <w:rFonts w:ascii="宋体" w:hAnsi="宋体" w:cs="宋体"/>
          <w:b w:val="0"/>
          <w:bCs/>
          <w:color w:val="auto"/>
          <w:szCs w:val="21"/>
          <w:highlight w:val="none"/>
        </w:rPr>
      </w:pPr>
      <w:r>
        <w:rPr>
          <w:rFonts w:hint="eastAsia" w:ascii="宋体" w:hAnsi="宋体" w:cs="宋体"/>
          <w:b w:val="0"/>
          <w:bCs/>
          <w:color w:val="auto"/>
          <w:szCs w:val="21"/>
          <w:highlight w:val="none"/>
        </w:rPr>
        <w:t>以上企业，不属于大企业的分支机构，不存在控股股东为大企业的情形，也不存在与大企业的负责人为同一人的情形。</w:t>
      </w:r>
    </w:p>
    <w:p>
      <w:pPr>
        <w:pStyle w:val="54"/>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pPr>
        <w:spacing w:line="560" w:lineRule="exact"/>
        <w:ind w:firstLine="2310" w:firstLineChars="1100"/>
        <w:jc w:val="right"/>
        <w:rPr>
          <w:rFonts w:ascii="宋体" w:hAnsi="宋体" w:cs="宋体"/>
          <w:color w:val="auto"/>
          <w:szCs w:val="21"/>
          <w:highlight w:val="none"/>
          <w:u w:val="single"/>
        </w:rPr>
      </w:pPr>
      <w:r>
        <w:rPr>
          <w:rFonts w:hint="eastAsia" w:ascii="宋体" w:hAnsi="宋体" w:cs="宋体"/>
          <w:color w:val="auto"/>
          <w:szCs w:val="21"/>
          <w:highlight w:val="none"/>
        </w:rPr>
        <w:t>供应商：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（加盖单位公章）</w:t>
      </w:r>
    </w:p>
    <w:p>
      <w:pPr>
        <w:spacing w:line="560" w:lineRule="exact"/>
        <w:ind w:firstLine="2310" w:firstLineChars="1100"/>
        <w:jc w:val="center"/>
        <w:rPr>
          <w:rFonts w:ascii="宋体" w:hAnsi="宋体" w:cs="宋体"/>
          <w:color w:val="auto"/>
          <w:szCs w:val="21"/>
          <w:highlight w:val="none"/>
        </w:rPr>
      </w:pPr>
      <w:r>
        <w:rPr>
          <w:rFonts w:hint="eastAsia" w:ascii="宋体" w:hAnsi="宋体" w:cs="宋体"/>
          <w:color w:val="auto"/>
          <w:szCs w:val="21"/>
          <w:highlight w:val="none"/>
        </w:rPr>
        <w:t xml:space="preserve">                           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pStyle w:val="53"/>
        <w:rPr>
          <w:rFonts w:ascii="宋体" w:hAnsi="宋体" w:cs="宋体"/>
          <w:color w:val="auto"/>
          <w:szCs w:val="21"/>
          <w:highlight w:val="none"/>
        </w:rPr>
      </w:pPr>
    </w:p>
    <w:p>
      <w:pPr>
        <w:pStyle w:val="54"/>
        <w:rPr>
          <w:rFonts w:ascii="宋体" w:hAnsi="宋体" w:cs="宋体"/>
          <w:color w:val="auto"/>
          <w:szCs w:val="21"/>
          <w:highlight w:val="none"/>
        </w:rPr>
      </w:pPr>
    </w:p>
    <w:p>
      <w:pPr>
        <w:rPr>
          <w:rFonts w:ascii="宋体" w:hAnsi="宋体" w:cs="宋体"/>
          <w:color w:val="auto"/>
          <w:szCs w:val="21"/>
          <w:highlight w:val="none"/>
        </w:rPr>
      </w:pPr>
    </w:p>
    <w:p>
      <w:pPr>
        <w:pStyle w:val="53"/>
        <w:rPr>
          <w:rFonts w:ascii="宋体" w:hAnsi="宋体" w:cs="宋体"/>
          <w:color w:val="auto"/>
          <w:szCs w:val="21"/>
          <w:highlight w:val="none"/>
        </w:rPr>
      </w:pPr>
    </w:p>
    <w:p>
      <w:pPr>
        <w:pStyle w:val="54"/>
        <w:rPr>
          <w:rFonts w:ascii="宋体" w:hAnsi="宋体" w:cs="宋体"/>
          <w:color w:val="auto"/>
          <w:highlight w:val="none"/>
        </w:rPr>
      </w:pPr>
    </w:p>
    <w:p>
      <w:pPr>
        <w:pStyle w:val="53"/>
        <w:spacing w:line="480" w:lineRule="auto"/>
        <w:ind w:firstLine="420" w:firstLineChars="200"/>
        <w:rPr>
          <w:rFonts w:ascii="宋体" w:hAnsi="宋体" w:cs="宋体"/>
          <w:b w:val="0"/>
          <w:bCs/>
          <w:color w:val="auto"/>
          <w:szCs w:val="21"/>
          <w:highlight w:val="none"/>
        </w:rPr>
      </w:pPr>
      <w:r>
        <w:rPr>
          <w:rFonts w:hint="eastAsia" w:ascii="宋体" w:hAnsi="宋体" w:cs="宋体"/>
          <w:b w:val="0"/>
          <w:bCs/>
          <w:color w:val="auto"/>
          <w:szCs w:val="21"/>
          <w:highlight w:val="none"/>
        </w:rPr>
        <w:t>注：从业人员、营业收入、资产总额填报上一年度数据，无上一年度数据的新成立企业可不填报。</w:t>
      </w:r>
    </w:p>
    <w:p>
      <w:pPr>
        <w:pStyle w:val="53"/>
        <w:rPr>
          <w:rFonts w:ascii="宋体" w:hAnsi="宋体" w:cs="宋体"/>
          <w:color w:val="auto"/>
          <w:highlight w:val="none"/>
        </w:rPr>
        <w:sectPr>
          <w:footerReference r:id="rId17" w:type="default"/>
          <w:pgSz w:w="11906" w:h="16838"/>
          <w:pgMar w:top="1440" w:right="1083" w:bottom="1440" w:left="1083" w:header="851" w:footer="992" w:gutter="0"/>
          <w:cols w:space="0" w:num="1"/>
          <w:docGrid w:linePitch="312" w:charSpace="0"/>
        </w:sectPr>
      </w:pPr>
    </w:p>
    <w:p>
      <w:pPr>
        <w:pStyle w:val="5"/>
        <w:spacing w:line="560" w:lineRule="exact"/>
        <w:ind w:left="2310" w:firstLine="281" w:firstLineChars="100"/>
        <w:jc w:val="both"/>
        <w:rPr>
          <w:rFonts w:ascii="宋体" w:hAnsi="宋体" w:cs="宋体"/>
          <w:color w:val="auto"/>
          <w:highlight w:val="none"/>
        </w:rPr>
      </w:pPr>
      <w:bookmarkStart w:id="780" w:name="_Toc6758"/>
      <w:bookmarkStart w:id="781" w:name="_Toc10634"/>
      <w:bookmarkStart w:id="782" w:name="_Toc14796"/>
      <w:r>
        <w:rPr>
          <w:rFonts w:hint="eastAsia" w:ascii="宋体" w:hAnsi="宋体" w:cs="宋体"/>
          <w:color w:val="auto"/>
          <w:highlight w:val="none"/>
        </w:rPr>
        <w:t>5.2中小企业声明函（工程、服务）</w:t>
      </w:r>
      <w:bookmarkEnd w:id="780"/>
      <w:bookmarkEnd w:id="781"/>
      <w:r>
        <w:rPr>
          <w:rFonts w:hint="eastAsia" w:ascii="宋体" w:hAnsi="宋体" w:cs="宋体"/>
          <w:color w:val="auto"/>
          <w:highlight w:val="none"/>
        </w:rPr>
        <w:t>（若是）</w:t>
      </w:r>
      <w:bookmarkEnd w:id="782"/>
    </w:p>
    <w:p>
      <w:pPr>
        <w:rPr>
          <w:rFonts w:ascii="宋体" w:hAnsi="宋体" w:cs="宋体"/>
          <w:color w:val="auto"/>
          <w:highlight w:val="none"/>
        </w:rPr>
      </w:pP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本公司郑重声明，根据《政府采购促进中小企业发展管理办法》（财库[2020]46号）的规定，本公司参加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 xml:space="preserve">的（项目名称）采购活动，工程的施工单位全部为符合政策要求的中小企业（或者：服务全部由符合政策要求的中小企业承接）。相关企业（含联合体中的中小企业、签订分包意向协议的中小企业）的具体情况如下：          </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（标的名称），属于（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）；承建（承接）企业为（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 xml:space="preserve">     （中型企业、小型企业、微型企业）</w:t>
      </w:r>
      <w:r>
        <w:rPr>
          <w:rFonts w:hint="eastAsia" w:ascii="宋体" w:hAnsi="宋体" w:cs="宋体"/>
          <w:color w:val="auto"/>
          <w:szCs w:val="21"/>
          <w:highlight w:val="none"/>
        </w:rPr>
        <w:t>；</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（标的名称），属于（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）；承建（承接）企业为（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 xml:space="preserve">     （中型企业、小型企业、微型企业）</w:t>
      </w:r>
      <w:r>
        <w:rPr>
          <w:rFonts w:hint="eastAsia" w:ascii="宋体" w:hAnsi="宋体" w:cs="宋体"/>
          <w:color w:val="auto"/>
          <w:szCs w:val="21"/>
          <w:highlight w:val="none"/>
        </w:rPr>
        <w:t>；</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p>
    <w:p>
      <w:pPr>
        <w:pStyle w:val="53"/>
        <w:spacing w:line="480" w:lineRule="auto"/>
        <w:ind w:firstLine="420" w:firstLineChars="200"/>
        <w:rPr>
          <w:rFonts w:ascii="宋体" w:hAnsi="宋体" w:cs="宋体"/>
          <w:b w:val="0"/>
          <w:bCs/>
          <w:color w:val="auto"/>
          <w:szCs w:val="21"/>
          <w:highlight w:val="none"/>
        </w:rPr>
      </w:pPr>
      <w:r>
        <w:rPr>
          <w:rFonts w:hint="eastAsia" w:ascii="宋体" w:hAnsi="宋体" w:cs="宋体"/>
          <w:b w:val="0"/>
          <w:bCs/>
          <w:color w:val="auto"/>
          <w:szCs w:val="21"/>
          <w:highlight w:val="none"/>
        </w:rPr>
        <w:t>以上企业，不属于大企业的分支机构，不存在控股股东为大企业的情形，也不存在与大企业的负责人为同一人的情形。</w:t>
      </w:r>
    </w:p>
    <w:p>
      <w:pPr>
        <w:pStyle w:val="54"/>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pPr>
        <w:spacing w:line="560" w:lineRule="exact"/>
        <w:ind w:firstLine="2310" w:firstLineChars="1100"/>
        <w:jc w:val="right"/>
        <w:rPr>
          <w:rFonts w:ascii="宋体" w:hAnsi="宋体" w:cs="宋体"/>
          <w:color w:val="auto"/>
          <w:szCs w:val="21"/>
          <w:highlight w:val="none"/>
          <w:u w:val="single"/>
        </w:rPr>
      </w:pPr>
      <w:r>
        <w:rPr>
          <w:rFonts w:hint="eastAsia" w:ascii="宋体" w:hAnsi="宋体" w:cs="宋体"/>
          <w:color w:val="auto"/>
          <w:szCs w:val="21"/>
          <w:highlight w:val="none"/>
        </w:rPr>
        <w:t>供应商：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（加盖单位公章）</w:t>
      </w:r>
    </w:p>
    <w:p>
      <w:pPr>
        <w:spacing w:line="560" w:lineRule="exact"/>
        <w:ind w:firstLine="2310" w:firstLineChars="1100"/>
        <w:jc w:val="center"/>
        <w:rPr>
          <w:rFonts w:ascii="宋体" w:hAnsi="宋体" w:cs="宋体"/>
          <w:color w:val="auto"/>
          <w:szCs w:val="21"/>
          <w:highlight w:val="none"/>
        </w:rPr>
      </w:pPr>
      <w:r>
        <w:rPr>
          <w:rFonts w:hint="eastAsia" w:ascii="宋体" w:hAnsi="宋体" w:cs="宋体"/>
          <w:color w:val="auto"/>
          <w:szCs w:val="21"/>
          <w:highlight w:val="none"/>
        </w:rPr>
        <w:t xml:space="preserve">                           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pStyle w:val="53"/>
        <w:rPr>
          <w:rFonts w:ascii="宋体" w:hAnsi="宋体" w:cs="宋体"/>
          <w:color w:val="auto"/>
          <w:szCs w:val="21"/>
          <w:highlight w:val="none"/>
        </w:rPr>
      </w:pPr>
    </w:p>
    <w:p>
      <w:pPr>
        <w:pStyle w:val="54"/>
        <w:rPr>
          <w:rFonts w:ascii="宋体" w:hAnsi="宋体" w:cs="宋体"/>
          <w:color w:val="auto"/>
          <w:szCs w:val="21"/>
          <w:highlight w:val="none"/>
        </w:rPr>
      </w:pPr>
    </w:p>
    <w:p>
      <w:pPr>
        <w:rPr>
          <w:rFonts w:ascii="宋体" w:hAnsi="宋体" w:cs="宋体"/>
          <w:color w:val="auto"/>
          <w:szCs w:val="21"/>
          <w:highlight w:val="none"/>
        </w:rPr>
      </w:pPr>
    </w:p>
    <w:p>
      <w:pPr>
        <w:pStyle w:val="53"/>
        <w:rPr>
          <w:rFonts w:ascii="宋体" w:hAnsi="宋体" w:cs="宋体"/>
          <w:color w:val="auto"/>
          <w:highlight w:val="none"/>
        </w:rPr>
      </w:pPr>
    </w:p>
    <w:p>
      <w:pPr>
        <w:pStyle w:val="53"/>
        <w:spacing w:line="480" w:lineRule="auto"/>
        <w:ind w:firstLine="420" w:firstLineChars="200"/>
        <w:rPr>
          <w:rFonts w:ascii="宋体" w:hAnsi="宋体" w:cs="宋体"/>
          <w:color w:val="auto"/>
          <w:highlight w:val="none"/>
        </w:rPr>
        <w:sectPr>
          <w:pgSz w:w="11906" w:h="16838"/>
          <w:pgMar w:top="1440" w:right="1083" w:bottom="1440" w:left="1083" w:header="851" w:footer="992" w:gutter="0"/>
          <w:cols w:space="0" w:num="1"/>
          <w:docGrid w:linePitch="312" w:charSpace="0"/>
        </w:sectPr>
      </w:pPr>
      <w:r>
        <w:rPr>
          <w:rFonts w:hint="eastAsia" w:ascii="宋体" w:hAnsi="宋体" w:cs="宋体"/>
          <w:b w:val="0"/>
          <w:bCs/>
          <w:color w:val="auto"/>
          <w:szCs w:val="21"/>
          <w:highlight w:val="none"/>
        </w:rPr>
        <w:t>注：从业人员、营业收入、资产总额填报上一年度数据，无上一年度数据的新成立企业可不填报</w:t>
      </w:r>
    </w:p>
    <w:p>
      <w:pPr>
        <w:pStyle w:val="5"/>
        <w:spacing w:line="560" w:lineRule="exact"/>
        <w:rPr>
          <w:rFonts w:ascii="宋体" w:hAnsi="宋体" w:cs="宋体"/>
          <w:color w:val="auto"/>
          <w:highlight w:val="none"/>
        </w:rPr>
      </w:pPr>
      <w:bookmarkStart w:id="783" w:name="_Toc7760"/>
      <w:r>
        <w:rPr>
          <w:rFonts w:hint="eastAsia" w:ascii="宋体" w:hAnsi="宋体" w:cs="宋体"/>
          <w:color w:val="auto"/>
          <w:highlight w:val="none"/>
        </w:rPr>
        <w:t>6、残疾人福利性单位声明函（若是）</w:t>
      </w:r>
      <w:bookmarkEnd w:id="783"/>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项目名称（项目编号：____）的采购活动提供本单位制造的货物（由本单位承担工程/提供服务），或者提供其他残疾人福利性单位制造的货物（不包括使用非残疾人福利性单位注册商标的货物）。</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pPr>
        <w:pStyle w:val="9"/>
        <w:spacing w:line="560" w:lineRule="exact"/>
        <w:rPr>
          <w:rFonts w:ascii="宋体" w:hAnsi="宋体" w:eastAsia="宋体" w:cs="宋体"/>
          <w:color w:val="auto"/>
          <w:highlight w:val="none"/>
        </w:rPr>
      </w:pPr>
    </w:p>
    <w:p>
      <w:pPr>
        <w:spacing w:line="560" w:lineRule="exact"/>
        <w:ind w:firstLine="2310" w:firstLineChars="1100"/>
        <w:jc w:val="right"/>
        <w:rPr>
          <w:rFonts w:ascii="宋体" w:hAnsi="宋体" w:cs="宋体"/>
          <w:color w:val="auto"/>
          <w:szCs w:val="21"/>
          <w:highlight w:val="none"/>
          <w:u w:val="single"/>
        </w:rPr>
      </w:pPr>
      <w:r>
        <w:rPr>
          <w:rFonts w:hint="eastAsia" w:ascii="宋体" w:hAnsi="宋体" w:cs="宋体"/>
          <w:color w:val="auto"/>
          <w:szCs w:val="21"/>
          <w:highlight w:val="none"/>
        </w:rPr>
        <w:t>供应商：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（加盖单位公章）</w:t>
      </w:r>
    </w:p>
    <w:p>
      <w:pPr>
        <w:spacing w:line="560" w:lineRule="exact"/>
        <w:ind w:firstLine="2310" w:firstLineChars="1100"/>
        <w:jc w:val="center"/>
        <w:rPr>
          <w:rFonts w:ascii="宋体" w:hAnsi="宋体" w:cs="宋体"/>
          <w:color w:val="auto"/>
          <w:highlight w:val="none"/>
        </w:rPr>
      </w:pPr>
      <w:r>
        <w:rPr>
          <w:rFonts w:hint="eastAsia" w:ascii="宋体" w:hAnsi="宋体" w:cs="宋体"/>
          <w:color w:val="auto"/>
          <w:szCs w:val="21"/>
          <w:highlight w:val="none"/>
        </w:rPr>
        <w:t xml:space="preserve">                           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ind w:firstLine="420" w:firstLineChars="200"/>
        <w:jc w:val="left"/>
        <w:rPr>
          <w:rFonts w:ascii="宋体" w:hAnsi="宋体" w:cs="宋体"/>
          <w:color w:val="auto"/>
          <w:highlight w:val="none"/>
        </w:rPr>
      </w:pPr>
      <w:r>
        <w:rPr>
          <w:rFonts w:hint="eastAsia" w:ascii="宋体" w:hAnsi="宋体" w:cs="宋体"/>
          <w:color w:val="auto"/>
          <w:highlight w:val="none"/>
        </w:rPr>
        <w:t>备注：根据《财政部 民政部 中国残疾人联合会关于促进残疾人就业政府采购政策的通知》（财库〔2017〕141号）的规定：</w:t>
      </w:r>
    </w:p>
    <w:p>
      <w:pPr>
        <w:ind w:firstLine="420" w:firstLineChars="200"/>
        <w:jc w:val="left"/>
        <w:rPr>
          <w:rFonts w:ascii="宋体" w:hAnsi="宋体" w:cs="宋体"/>
          <w:color w:val="auto"/>
          <w:highlight w:val="none"/>
        </w:rPr>
      </w:pPr>
      <w:r>
        <w:rPr>
          <w:rFonts w:hint="eastAsia" w:ascii="宋体" w:hAnsi="宋体" w:cs="宋体"/>
          <w:color w:val="auto"/>
          <w:highlight w:val="none"/>
        </w:rPr>
        <w:t>一、享受政府采购支持政策的残疾人福利性单位应当同时满足以下条件：</w:t>
      </w:r>
    </w:p>
    <w:p>
      <w:pPr>
        <w:ind w:firstLine="420" w:firstLineChars="200"/>
        <w:jc w:val="left"/>
        <w:rPr>
          <w:rFonts w:ascii="宋体" w:hAnsi="宋体" w:cs="宋体"/>
          <w:color w:val="auto"/>
          <w:highlight w:val="none"/>
        </w:rPr>
      </w:pPr>
      <w:r>
        <w:rPr>
          <w:rFonts w:hint="eastAsia" w:ascii="宋体" w:hAnsi="宋体" w:cs="宋体"/>
          <w:color w:val="auto"/>
          <w:highlight w:val="none"/>
        </w:rPr>
        <w:t>（一）安置的残疾人占本单位在职职工人数的比例不低于25%（含25%），并且安置的残疾人人数不少于10人（含10人）；</w:t>
      </w:r>
    </w:p>
    <w:p>
      <w:pPr>
        <w:ind w:firstLine="420" w:firstLineChars="200"/>
        <w:jc w:val="left"/>
        <w:rPr>
          <w:rFonts w:ascii="宋体" w:hAnsi="宋体" w:cs="宋体"/>
          <w:color w:val="auto"/>
          <w:highlight w:val="none"/>
        </w:rPr>
      </w:pPr>
      <w:r>
        <w:rPr>
          <w:rFonts w:hint="eastAsia" w:ascii="宋体" w:hAnsi="宋体" w:cs="宋体"/>
          <w:color w:val="auto"/>
          <w:highlight w:val="none"/>
        </w:rPr>
        <w:t>（二）依法与安置的每位残疾人签订了一年以上（含一年）的劳动合同或服务协议；</w:t>
      </w:r>
    </w:p>
    <w:p>
      <w:pPr>
        <w:ind w:firstLine="420" w:firstLineChars="200"/>
        <w:jc w:val="left"/>
        <w:rPr>
          <w:rFonts w:ascii="宋体" w:hAnsi="宋体" w:cs="宋体"/>
          <w:color w:val="auto"/>
          <w:szCs w:val="22"/>
          <w:highlight w:val="none"/>
        </w:rPr>
      </w:pPr>
      <w:r>
        <w:rPr>
          <w:rFonts w:hint="eastAsia" w:ascii="宋体" w:hAnsi="宋体" w:cs="宋体"/>
          <w:color w:val="auto"/>
          <w:szCs w:val="22"/>
          <w:highlight w:val="none"/>
        </w:rPr>
        <w:t>（三）为安置的每位残疾人按月足额缴纳了基本养老保险、基本医疗保险、失业保险、工伤保险和生育保险等社会保险费；</w:t>
      </w:r>
    </w:p>
    <w:p>
      <w:pPr>
        <w:ind w:firstLine="420" w:firstLineChars="200"/>
        <w:jc w:val="left"/>
        <w:rPr>
          <w:rFonts w:ascii="宋体" w:hAnsi="宋体" w:cs="宋体"/>
          <w:color w:val="auto"/>
          <w:szCs w:val="22"/>
          <w:highlight w:val="none"/>
        </w:rPr>
      </w:pPr>
      <w:r>
        <w:rPr>
          <w:rFonts w:hint="eastAsia" w:ascii="宋体" w:hAnsi="宋体" w:cs="宋体"/>
          <w:color w:val="auto"/>
          <w:szCs w:val="22"/>
          <w:highlight w:val="none"/>
        </w:rPr>
        <w:t>（四）通过银行等金融机构向安置的每位残疾人，按月支付了不低于单位所在区县适用的经省级人民政府批准的月最低工资标准的工资；</w:t>
      </w:r>
    </w:p>
    <w:p>
      <w:pPr>
        <w:ind w:firstLine="420" w:firstLineChars="200"/>
        <w:jc w:val="left"/>
        <w:rPr>
          <w:rFonts w:ascii="宋体" w:hAnsi="宋体" w:cs="宋体"/>
          <w:color w:val="auto"/>
          <w:szCs w:val="22"/>
          <w:highlight w:val="none"/>
        </w:rPr>
      </w:pPr>
      <w:r>
        <w:rPr>
          <w:rFonts w:hint="eastAsia" w:ascii="宋体" w:hAnsi="宋体" w:cs="宋体"/>
          <w:color w:val="auto"/>
          <w:szCs w:val="22"/>
          <w:highlight w:val="none"/>
        </w:rPr>
        <w:t>（五）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ind w:firstLine="420" w:firstLineChars="200"/>
        <w:jc w:val="center"/>
        <w:rPr>
          <w:rFonts w:ascii="宋体" w:hAnsi="宋体" w:cs="宋体"/>
          <w:b/>
          <w:bCs/>
          <w:color w:val="auto"/>
          <w:sz w:val="24"/>
          <w:szCs w:val="24"/>
          <w:highlight w:val="none"/>
        </w:rPr>
      </w:pPr>
      <w:r>
        <w:rPr>
          <w:rFonts w:hint="eastAsia" w:ascii="宋体" w:hAnsi="宋体" w:cs="宋体"/>
          <w:color w:val="auto"/>
          <w:szCs w:val="22"/>
          <w:highlight w:val="none"/>
        </w:rPr>
        <w:t>二、成交、成交供应商为残疾人福利性单位的，采购人或者其委托的采购代理机构应当随成交、成交结果同时公告其《残疾人福利性单位声明函》，接受社会监督。</w:t>
      </w:r>
      <w:r>
        <w:rPr>
          <w:rFonts w:hint="eastAsia" w:ascii="宋体" w:hAnsi="宋体" w:cs="宋体"/>
          <w:color w:val="auto"/>
          <w:szCs w:val="22"/>
          <w:highlight w:val="none"/>
        </w:rPr>
        <w:br w:type="page"/>
      </w:r>
      <w:r>
        <w:rPr>
          <w:rFonts w:hint="eastAsia" w:ascii="宋体" w:hAnsi="宋体" w:cs="宋体"/>
          <w:b/>
          <w:bCs/>
          <w:color w:val="auto"/>
          <w:sz w:val="24"/>
          <w:szCs w:val="24"/>
          <w:highlight w:val="none"/>
        </w:rPr>
        <w:t>7、监狱企业证明函（若是）</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监狱企业参加政府采购活动时，应当提供由省级以上监狱管理局、戒毒管理局（含新疆生产建设兵团）出具的属于监狱企业的证明文件</w:t>
      </w:r>
    </w:p>
    <w:p>
      <w:pPr>
        <w:spacing w:beforeLines="50" w:afterLines="50" w:line="460" w:lineRule="exact"/>
        <w:rPr>
          <w:rFonts w:ascii="宋体" w:hAnsi="宋体" w:cs="宋体"/>
          <w:b/>
          <w:color w:val="auto"/>
          <w:sz w:val="32"/>
          <w:szCs w:val="32"/>
          <w:highlight w:val="none"/>
        </w:rPr>
      </w:pPr>
    </w:p>
    <w:p>
      <w:pPr>
        <w:spacing w:beforeLines="50" w:afterLines="50" w:line="460" w:lineRule="exact"/>
        <w:rPr>
          <w:rFonts w:ascii="宋体" w:hAnsi="宋体" w:cs="宋体"/>
          <w:b/>
          <w:color w:val="auto"/>
          <w:sz w:val="32"/>
          <w:szCs w:val="32"/>
          <w:highlight w:val="none"/>
        </w:rPr>
      </w:pPr>
    </w:p>
    <w:p>
      <w:pPr>
        <w:spacing w:beforeLines="50" w:afterLines="50" w:line="460" w:lineRule="exact"/>
        <w:rPr>
          <w:rFonts w:ascii="宋体" w:hAnsi="宋体" w:cs="宋体"/>
          <w:b/>
          <w:color w:val="auto"/>
          <w:sz w:val="32"/>
          <w:szCs w:val="32"/>
          <w:highlight w:val="none"/>
        </w:rPr>
      </w:pPr>
    </w:p>
    <w:p>
      <w:pPr>
        <w:spacing w:beforeLines="50" w:afterLines="50" w:line="460" w:lineRule="exact"/>
        <w:rPr>
          <w:rFonts w:ascii="宋体" w:hAnsi="宋体" w:cs="宋体"/>
          <w:b/>
          <w:color w:val="auto"/>
          <w:sz w:val="32"/>
          <w:szCs w:val="32"/>
          <w:highlight w:val="none"/>
        </w:rPr>
      </w:pPr>
    </w:p>
    <w:p>
      <w:pPr>
        <w:pStyle w:val="9"/>
        <w:rPr>
          <w:rFonts w:ascii="宋体" w:hAnsi="宋体" w:eastAsia="宋体" w:cs="宋体"/>
          <w:b/>
          <w:color w:val="auto"/>
          <w:sz w:val="32"/>
          <w:szCs w:val="32"/>
          <w:highlight w:val="none"/>
        </w:rPr>
      </w:pPr>
    </w:p>
    <w:p>
      <w:pPr>
        <w:rPr>
          <w:rFonts w:ascii="宋体" w:hAnsi="宋体" w:cs="宋体"/>
          <w:b/>
          <w:color w:val="auto"/>
          <w:sz w:val="32"/>
          <w:szCs w:val="32"/>
          <w:highlight w:val="none"/>
        </w:rPr>
      </w:pPr>
    </w:p>
    <w:p>
      <w:pPr>
        <w:pStyle w:val="9"/>
        <w:rPr>
          <w:rFonts w:ascii="宋体" w:hAnsi="宋体" w:eastAsia="宋体" w:cs="宋体"/>
          <w:b/>
          <w:color w:val="auto"/>
          <w:sz w:val="32"/>
          <w:szCs w:val="32"/>
          <w:highlight w:val="none"/>
        </w:rPr>
      </w:pPr>
    </w:p>
    <w:p>
      <w:pPr>
        <w:rPr>
          <w:rFonts w:ascii="宋体" w:hAnsi="宋体" w:cs="宋体"/>
          <w:b/>
          <w:color w:val="auto"/>
          <w:sz w:val="32"/>
          <w:szCs w:val="32"/>
          <w:highlight w:val="none"/>
        </w:rPr>
      </w:pPr>
    </w:p>
    <w:p>
      <w:pPr>
        <w:pStyle w:val="9"/>
        <w:rPr>
          <w:rFonts w:ascii="宋体" w:hAnsi="宋体" w:eastAsia="宋体" w:cs="宋体"/>
          <w:b/>
          <w:color w:val="auto"/>
          <w:sz w:val="32"/>
          <w:szCs w:val="32"/>
          <w:highlight w:val="none"/>
        </w:rPr>
      </w:pPr>
    </w:p>
    <w:p>
      <w:pPr>
        <w:rPr>
          <w:rFonts w:ascii="宋体" w:hAnsi="宋体" w:cs="宋体"/>
          <w:b/>
          <w:color w:val="auto"/>
          <w:sz w:val="32"/>
          <w:szCs w:val="32"/>
          <w:highlight w:val="none"/>
        </w:rPr>
      </w:pPr>
    </w:p>
    <w:p>
      <w:pPr>
        <w:pStyle w:val="9"/>
        <w:rPr>
          <w:rFonts w:ascii="宋体" w:hAnsi="宋体" w:eastAsia="宋体" w:cs="宋体"/>
          <w:b/>
          <w:color w:val="auto"/>
          <w:sz w:val="32"/>
          <w:szCs w:val="32"/>
          <w:highlight w:val="none"/>
        </w:rPr>
      </w:pPr>
    </w:p>
    <w:p>
      <w:pPr>
        <w:rPr>
          <w:rFonts w:ascii="宋体" w:hAnsi="宋体" w:cs="宋体"/>
          <w:b/>
          <w:color w:val="auto"/>
          <w:sz w:val="32"/>
          <w:szCs w:val="32"/>
          <w:highlight w:val="none"/>
        </w:rPr>
      </w:pPr>
    </w:p>
    <w:p>
      <w:pPr>
        <w:pStyle w:val="9"/>
        <w:rPr>
          <w:rFonts w:ascii="宋体" w:hAnsi="宋体" w:eastAsia="宋体" w:cs="宋体"/>
          <w:b/>
          <w:color w:val="auto"/>
          <w:sz w:val="32"/>
          <w:szCs w:val="32"/>
          <w:highlight w:val="none"/>
        </w:rPr>
      </w:pPr>
    </w:p>
    <w:p>
      <w:pPr>
        <w:rPr>
          <w:rFonts w:ascii="宋体" w:hAnsi="宋体" w:cs="宋体"/>
          <w:b/>
          <w:color w:val="auto"/>
          <w:sz w:val="32"/>
          <w:szCs w:val="32"/>
          <w:highlight w:val="none"/>
        </w:rPr>
      </w:pPr>
    </w:p>
    <w:p>
      <w:pPr>
        <w:pStyle w:val="9"/>
        <w:rPr>
          <w:rFonts w:ascii="宋体" w:hAnsi="宋体" w:eastAsia="宋体" w:cs="宋体"/>
          <w:b/>
          <w:color w:val="auto"/>
          <w:sz w:val="32"/>
          <w:szCs w:val="32"/>
          <w:highlight w:val="none"/>
        </w:rPr>
      </w:pPr>
    </w:p>
    <w:p>
      <w:pPr>
        <w:rPr>
          <w:rFonts w:ascii="宋体" w:hAnsi="宋体" w:cs="宋体"/>
          <w:b/>
          <w:color w:val="auto"/>
          <w:sz w:val="32"/>
          <w:szCs w:val="32"/>
          <w:highlight w:val="none"/>
        </w:rPr>
      </w:pPr>
    </w:p>
    <w:p>
      <w:pPr>
        <w:pStyle w:val="9"/>
        <w:rPr>
          <w:rFonts w:ascii="宋体" w:hAnsi="宋体" w:eastAsia="宋体" w:cs="宋体"/>
          <w:b/>
          <w:color w:val="auto"/>
          <w:sz w:val="32"/>
          <w:szCs w:val="32"/>
          <w:highlight w:val="none"/>
        </w:rPr>
      </w:pPr>
    </w:p>
    <w:p>
      <w:pPr>
        <w:rPr>
          <w:rFonts w:ascii="宋体" w:hAnsi="宋体" w:cs="宋体"/>
          <w:b/>
          <w:color w:val="auto"/>
          <w:sz w:val="32"/>
          <w:szCs w:val="32"/>
          <w:highlight w:val="none"/>
        </w:rPr>
      </w:pPr>
    </w:p>
    <w:p>
      <w:pPr>
        <w:pStyle w:val="9"/>
        <w:rPr>
          <w:rFonts w:ascii="宋体" w:hAnsi="宋体" w:eastAsia="宋体" w:cs="宋体"/>
          <w:b/>
          <w:color w:val="auto"/>
          <w:sz w:val="32"/>
          <w:szCs w:val="32"/>
          <w:highlight w:val="none"/>
        </w:rPr>
      </w:pPr>
    </w:p>
    <w:p>
      <w:pPr>
        <w:pStyle w:val="4"/>
        <w:spacing w:line="416" w:lineRule="atLeast"/>
        <w:jc w:val="left"/>
        <w:rPr>
          <w:rFonts w:asciiTheme="minorEastAsia" w:hAnsiTheme="minorEastAsia" w:eastAsiaTheme="minorEastAsia" w:cstheme="minorEastAsia"/>
          <w:sz w:val="24"/>
          <w:szCs w:val="24"/>
          <w:highlight w:val="none"/>
        </w:rPr>
      </w:pPr>
      <w:bookmarkStart w:id="784" w:name="_Toc18536"/>
      <w:bookmarkStart w:id="785" w:name="_Toc13245"/>
      <w:bookmarkStart w:id="786" w:name="_Toc8642"/>
      <w:r>
        <w:rPr>
          <w:rFonts w:hint="eastAsia" w:asciiTheme="minorEastAsia" w:hAnsiTheme="minorEastAsia" w:eastAsiaTheme="minorEastAsia" w:cstheme="minorEastAsia"/>
          <w:sz w:val="24"/>
          <w:szCs w:val="24"/>
          <w:highlight w:val="none"/>
        </w:rPr>
        <w:t>附件1</w:t>
      </w:r>
      <w:bookmarkEnd w:id="784"/>
    </w:p>
    <w:p>
      <w:pPr>
        <w:pStyle w:val="4"/>
        <w:spacing w:line="416" w:lineRule="atLeast"/>
        <w:rPr>
          <w:rFonts w:asciiTheme="minorEastAsia" w:hAnsiTheme="minorEastAsia" w:eastAsiaTheme="minorEastAsia" w:cstheme="minorEastAsia"/>
          <w:sz w:val="24"/>
          <w:szCs w:val="24"/>
          <w:highlight w:val="none"/>
        </w:rPr>
      </w:pPr>
      <w:bookmarkStart w:id="787" w:name="_Toc10093"/>
      <w:r>
        <w:rPr>
          <w:rFonts w:hint="eastAsia" w:asciiTheme="minorEastAsia" w:hAnsiTheme="minorEastAsia" w:eastAsiaTheme="minorEastAsia" w:cstheme="minorEastAsia"/>
          <w:sz w:val="24"/>
          <w:szCs w:val="24"/>
          <w:highlight w:val="none"/>
        </w:rPr>
        <w:t>商务偏离表</w:t>
      </w:r>
      <w:bookmarkEnd w:id="785"/>
      <w:bookmarkEnd w:id="786"/>
      <w:bookmarkEnd w:id="787"/>
    </w:p>
    <w:p>
      <w:pPr>
        <w:pStyle w:val="4"/>
        <w:spacing w:line="416" w:lineRule="atLeast"/>
        <w:ind w:firstLine="422" w:firstLineChars="200"/>
        <w:jc w:val="left"/>
        <w:rPr>
          <w:rFonts w:asciiTheme="minorEastAsia" w:hAnsiTheme="minorEastAsia" w:eastAsiaTheme="minorEastAsia" w:cstheme="minorEastAsia"/>
          <w:sz w:val="21"/>
          <w:szCs w:val="21"/>
          <w:highlight w:val="none"/>
        </w:rPr>
      </w:pPr>
      <w:bookmarkStart w:id="788" w:name="_Toc18627"/>
      <w:r>
        <w:rPr>
          <w:rFonts w:hint="eastAsia" w:asciiTheme="minorEastAsia" w:hAnsiTheme="minorEastAsia" w:eastAsiaTheme="minorEastAsia" w:cstheme="minorEastAsia"/>
          <w:sz w:val="21"/>
          <w:szCs w:val="21"/>
          <w:highlight w:val="none"/>
        </w:rPr>
        <w:t>供应商名称：</w:t>
      </w:r>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              项目编号：</w:t>
      </w:r>
      <w:bookmarkEnd w:id="788"/>
      <w:r>
        <w:rPr>
          <w:rFonts w:hint="eastAsia" w:asciiTheme="minorEastAsia" w:hAnsiTheme="minorEastAsia" w:eastAsiaTheme="minorEastAsia" w:cstheme="minorEastAsia"/>
          <w:sz w:val="21"/>
          <w:szCs w:val="21"/>
          <w:highlight w:val="none"/>
          <w:u w:val="single"/>
        </w:rPr>
        <w:t xml:space="preserve">                 </w:t>
      </w:r>
      <w:r>
        <w:rPr>
          <w:rFonts w:hint="eastAsia" w:asciiTheme="minorEastAsia" w:hAnsiTheme="minorEastAsia" w:eastAsiaTheme="minorEastAsia" w:cstheme="minorEastAsia"/>
          <w:sz w:val="21"/>
          <w:szCs w:val="21"/>
          <w:highlight w:val="none"/>
        </w:rPr>
        <w:t xml:space="preserve"> </w:t>
      </w:r>
    </w:p>
    <w:p>
      <w:pPr>
        <w:rPr>
          <w:color w:val="auto"/>
          <w:szCs w:val="21"/>
          <w:highlight w:val="none"/>
        </w:rPr>
      </w:pPr>
    </w:p>
    <w:tbl>
      <w:tblPr>
        <w:tblStyle w:val="22"/>
        <w:tblW w:w="93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2131"/>
        <w:gridCol w:w="2010"/>
        <w:gridCol w:w="2436"/>
        <w:gridCol w:w="1367"/>
        <w:gridCol w:w="14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8" w:hRule="atLeast"/>
          <w:jc w:val="center"/>
        </w:trPr>
        <w:tc>
          <w:tcPr>
            <w:tcW w:w="2131" w:type="dxa"/>
            <w:vAlign w:val="center"/>
          </w:tcPr>
          <w:p>
            <w:pPr>
              <w:spacing w:line="36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名称</w:t>
            </w:r>
          </w:p>
        </w:tc>
        <w:tc>
          <w:tcPr>
            <w:tcW w:w="2010" w:type="dxa"/>
            <w:vAlign w:val="center"/>
          </w:tcPr>
          <w:p>
            <w:pPr>
              <w:spacing w:line="36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磋商文件商务要求</w:t>
            </w:r>
          </w:p>
        </w:tc>
        <w:tc>
          <w:tcPr>
            <w:tcW w:w="2436" w:type="dxa"/>
            <w:vAlign w:val="center"/>
          </w:tcPr>
          <w:p>
            <w:pPr>
              <w:spacing w:line="36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响应文件商务响应</w:t>
            </w:r>
          </w:p>
        </w:tc>
        <w:tc>
          <w:tcPr>
            <w:tcW w:w="1367" w:type="dxa"/>
            <w:vAlign w:val="center"/>
          </w:tcPr>
          <w:p>
            <w:pPr>
              <w:spacing w:line="36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偏离情况</w:t>
            </w:r>
          </w:p>
        </w:tc>
        <w:tc>
          <w:tcPr>
            <w:tcW w:w="1440" w:type="dxa"/>
            <w:vAlign w:val="center"/>
          </w:tcPr>
          <w:p>
            <w:pPr>
              <w:spacing w:line="36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19" w:hRule="atLeast"/>
          <w:jc w:val="center"/>
        </w:trPr>
        <w:tc>
          <w:tcPr>
            <w:tcW w:w="2131" w:type="dxa"/>
            <w:vAlign w:val="center"/>
          </w:tcPr>
          <w:p>
            <w:pPr>
              <w:spacing w:line="36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付款方式</w:t>
            </w:r>
          </w:p>
        </w:tc>
        <w:tc>
          <w:tcPr>
            <w:tcW w:w="2010"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2436"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1367"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1440"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atLeast"/>
          <w:jc w:val="center"/>
        </w:trPr>
        <w:tc>
          <w:tcPr>
            <w:tcW w:w="2131" w:type="dxa"/>
            <w:vAlign w:val="center"/>
          </w:tcPr>
          <w:p>
            <w:pPr>
              <w:spacing w:line="36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工期</w:t>
            </w:r>
          </w:p>
        </w:tc>
        <w:tc>
          <w:tcPr>
            <w:tcW w:w="2010"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2436"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1367"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1440"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atLeast"/>
          <w:jc w:val="center"/>
        </w:trPr>
        <w:tc>
          <w:tcPr>
            <w:tcW w:w="2131" w:type="dxa"/>
            <w:vAlign w:val="center"/>
          </w:tcPr>
          <w:p>
            <w:pPr>
              <w:spacing w:line="360" w:lineRule="auto"/>
              <w:jc w:val="center"/>
              <w:rPr>
                <w:rFonts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w:t>
            </w:r>
          </w:p>
        </w:tc>
        <w:tc>
          <w:tcPr>
            <w:tcW w:w="2010"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2436"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1367"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1440"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atLeast"/>
          <w:jc w:val="center"/>
        </w:trPr>
        <w:tc>
          <w:tcPr>
            <w:tcW w:w="2131"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2010"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2436"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1367"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1440"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atLeast"/>
          <w:jc w:val="center"/>
        </w:trPr>
        <w:tc>
          <w:tcPr>
            <w:tcW w:w="2131"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2010"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2436"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1367"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1440"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atLeast"/>
          <w:jc w:val="center"/>
        </w:trPr>
        <w:tc>
          <w:tcPr>
            <w:tcW w:w="2131"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2010"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2436"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1367"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c>
          <w:tcPr>
            <w:tcW w:w="1440" w:type="dxa"/>
            <w:vAlign w:val="center"/>
          </w:tcPr>
          <w:p>
            <w:pPr>
              <w:spacing w:line="360" w:lineRule="auto"/>
              <w:jc w:val="center"/>
              <w:rPr>
                <w:rFonts w:asciiTheme="minorEastAsia" w:hAnsiTheme="minorEastAsia" w:eastAsiaTheme="minorEastAsia" w:cstheme="minorEastAsia"/>
                <w:color w:val="auto"/>
                <w:kern w:val="2"/>
                <w:szCs w:val="21"/>
                <w:highlight w:val="none"/>
              </w:rPr>
            </w:pPr>
          </w:p>
        </w:tc>
      </w:tr>
    </w:tbl>
    <w:p>
      <w:pPr>
        <w:spacing w:line="360" w:lineRule="auto"/>
        <w:rPr>
          <w:rFonts w:asciiTheme="minorEastAsia" w:hAnsiTheme="minorEastAsia" w:eastAsiaTheme="minorEastAsia" w:cstheme="minorEastAsia"/>
          <w:color w:val="auto"/>
          <w:szCs w:val="21"/>
          <w:highlight w:val="none"/>
        </w:rPr>
      </w:pPr>
    </w:p>
    <w:p>
      <w:pPr>
        <w:autoSpaceDE w:val="0"/>
        <w:autoSpaceDN w:val="0"/>
        <w:adjustRightInd w:val="0"/>
        <w:spacing w:line="360" w:lineRule="auto"/>
        <w:rPr>
          <w:rFonts w:ascii="宋体" w:hAnsi="宋体" w:cs="宋体"/>
          <w:color w:val="auto"/>
          <w:kern w:val="2"/>
          <w:szCs w:val="21"/>
          <w:highlight w:val="none"/>
        </w:rPr>
      </w:pPr>
      <w:r>
        <w:rPr>
          <w:rFonts w:hint="eastAsia" w:ascii="宋体" w:hAnsi="宋体" w:cs="宋体"/>
          <w:color w:val="auto"/>
          <w:kern w:val="2"/>
          <w:szCs w:val="21"/>
          <w:highlight w:val="none"/>
        </w:rPr>
        <w:t>说明：</w:t>
      </w:r>
    </w:p>
    <w:p>
      <w:pPr>
        <w:autoSpaceDE w:val="0"/>
        <w:autoSpaceDN w:val="0"/>
        <w:adjustRightInd w:val="0"/>
        <w:spacing w:line="36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1、按照商务条款如实填写（包括</w:t>
      </w:r>
      <w:r>
        <w:rPr>
          <w:rFonts w:hint="eastAsia" w:asciiTheme="minorEastAsia" w:hAnsiTheme="minorEastAsia" w:eastAsiaTheme="minorEastAsia" w:cstheme="minorEastAsia"/>
          <w:color w:val="auto"/>
          <w:szCs w:val="21"/>
          <w:highlight w:val="none"/>
        </w:rPr>
        <w:t>工期</w:t>
      </w:r>
      <w:r>
        <w:rPr>
          <w:rFonts w:hint="eastAsia" w:ascii="宋体" w:hAnsi="宋体" w:cs="宋体"/>
          <w:color w:val="auto"/>
          <w:kern w:val="2"/>
          <w:szCs w:val="21"/>
          <w:highlight w:val="none"/>
        </w:rPr>
        <w:t>、</w:t>
      </w:r>
      <w:r>
        <w:rPr>
          <w:rFonts w:hint="eastAsia"/>
          <w:color w:val="auto"/>
          <w:szCs w:val="21"/>
          <w:highlight w:val="none"/>
        </w:rPr>
        <w:t>付款方</w:t>
      </w:r>
      <w:r>
        <w:rPr>
          <w:rFonts w:hint="eastAsia" w:ascii="宋体" w:hAnsi="宋体" w:cs="宋体"/>
          <w:color w:val="auto"/>
          <w:kern w:val="2"/>
          <w:szCs w:val="21"/>
          <w:highlight w:val="none"/>
        </w:rPr>
        <w:t>式等）。</w:t>
      </w:r>
    </w:p>
    <w:p>
      <w:pPr>
        <w:autoSpaceDE w:val="0"/>
        <w:autoSpaceDN w:val="0"/>
        <w:adjustRightInd w:val="0"/>
        <w:spacing w:line="36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rPr>
        <w:t>2、响应说明填写：优于、相同、低于。</w:t>
      </w:r>
    </w:p>
    <w:p>
      <w:pPr>
        <w:rPr>
          <w:rFonts w:asciiTheme="minorEastAsia" w:hAnsiTheme="minorEastAsia" w:eastAsiaTheme="minorEastAsia" w:cstheme="minorEastAsia"/>
          <w:color w:val="auto"/>
          <w:szCs w:val="21"/>
          <w:highlight w:val="none"/>
        </w:rPr>
      </w:pPr>
    </w:p>
    <w:p>
      <w:pPr>
        <w:pStyle w:val="8"/>
        <w:rPr>
          <w:rFonts w:asciiTheme="minorEastAsia" w:hAnsiTheme="minorEastAsia" w:eastAsiaTheme="minorEastAsia" w:cstheme="minorEastAsia"/>
          <w:sz w:val="21"/>
          <w:szCs w:val="21"/>
          <w:highlight w:val="none"/>
        </w:rPr>
      </w:pPr>
    </w:p>
    <w:p>
      <w:pPr>
        <w:ind w:firstLine="3780" w:firstLineChars="1800"/>
        <w:rPr>
          <w:rFonts w:ascii="宋体" w:hAnsi="宋体" w:cs="宋体"/>
          <w:color w:val="auto"/>
          <w:szCs w:val="21"/>
          <w:highlight w:val="none"/>
        </w:rPr>
      </w:pPr>
      <w:r>
        <w:rPr>
          <w:rFonts w:hint="eastAsia" w:ascii="宋体" w:hAnsi="宋体" w:cs="宋体"/>
          <w:color w:val="auto"/>
          <w:szCs w:val="21"/>
          <w:highlight w:val="none"/>
        </w:rPr>
        <w:t xml:space="preserve"> 供 应 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(盖单位公章)</w:t>
      </w:r>
    </w:p>
    <w:p>
      <w:pPr>
        <w:rPr>
          <w:rFonts w:ascii="宋体" w:hAnsi="宋体" w:cs="宋体"/>
          <w:color w:val="auto"/>
          <w:szCs w:val="21"/>
          <w:highlight w:val="none"/>
        </w:rPr>
      </w:pPr>
    </w:p>
    <w:p>
      <w:pPr>
        <w:ind w:firstLine="3780" w:firstLineChars="1800"/>
        <w:rPr>
          <w:rFonts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(签字或盖章)</w:t>
      </w:r>
    </w:p>
    <w:p>
      <w:pPr>
        <w:ind w:firstLine="1050" w:firstLineChars="500"/>
        <w:rPr>
          <w:rFonts w:ascii="宋体" w:hAnsi="宋体" w:cs="宋体"/>
          <w:color w:val="auto"/>
          <w:szCs w:val="21"/>
          <w:highlight w:val="none"/>
        </w:rPr>
      </w:pPr>
      <w:r>
        <w:rPr>
          <w:rFonts w:hint="eastAsia" w:ascii="宋体" w:hAnsi="宋体" w:cs="宋体"/>
          <w:color w:val="auto"/>
          <w:szCs w:val="21"/>
          <w:highlight w:val="none"/>
        </w:rPr>
        <w:t xml:space="preserve"> </w:t>
      </w:r>
    </w:p>
    <w:p>
      <w:pPr>
        <w:adjustRightInd w:val="0"/>
        <w:snapToGrid w:val="0"/>
        <w:spacing w:line="360" w:lineRule="auto"/>
        <w:rPr>
          <w:rFonts w:ascii="宋体" w:hAnsi="宋体" w:cs="宋体"/>
          <w:color w:val="auto"/>
          <w:sz w:val="24"/>
          <w:highlight w:val="none"/>
        </w:rPr>
      </w:pPr>
      <w:r>
        <w:rPr>
          <w:rFonts w:hint="eastAsia" w:ascii="宋体" w:hAnsi="宋体" w:cs="宋体"/>
          <w:color w:val="auto"/>
          <w:szCs w:val="21"/>
          <w:highlight w:val="none"/>
        </w:rPr>
        <w:t xml:space="preserve">                                     日     期：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p>
    <w:p>
      <w:pPr>
        <w:adjustRightInd w:val="0"/>
        <w:snapToGrid w:val="0"/>
        <w:spacing w:line="360" w:lineRule="auto"/>
        <w:rPr>
          <w:rFonts w:ascii="宋体" w:hAnsi="宋体" w:cs="宋体"/>
          <w:color w:val="auto"/>
          <w:sz w:val="24"/>
          <w:highlight w:val="none"/>
        </w:rPr>
      </w:pPr>
    </w:p>
    <w:p>
      <w:pPr>
        <w:adjustRightInd w:val="0"/>
        <w:snapToGrid w:val="0"/>
        <w:spacing w:line="360" w:lineRule="auto"/>
        <w:rPr>
          <w:rFonts w:ascii="宋体" w:hAnsi="宋体" w:cs="宋体"/>
          <w:color w:val="auto"/>
          <w:sz w:val="24"/>
          <w:highlight w:val="none"/>
        </w:rPr>
      </w:pPr>
    </w:p>
    <w:p>
      <w:pPr>
        <w:adjustRightInd w:val="0"/>
        <w:snapToGrid w:val="0"/>
        <w:spacing w:line="360" w:lineRule="auto"/>
        <w:rPr>
          <w:rFonts w:ascii="宋体" w:hAnsi="宋体" w:cs="宋体"/>
          <w:color w:val="auto"/>
          <w:sz w:val="24"/>
          <w:highlight w:val="none"/>
        </w:rPr>
      </w:pPr>
    </w:p>
    <w:p>
      <w:pPr>
        <w:adjustRightInd w:val="0"/>
        <w:snapToGrid w:val="0"/>
        <w:spacing w:line="360" w:lineRule="auto"/>
        <w:rPr>
          <w:rFonts w:ascii="宋体" w:hAnsi="宋体" w:cs="宋体"/>
          <w:color w:val="auto"/>
          <w:sz w:val="24"/>
          <w:highlight w:val="none"/>
        </w:rPr>
      </w:pPr>
    </w:p>
    <w:p>
      <w:pPr>
        <w:adjustRightInd w:val="0"/>
        <w:snapToGrid w:val="0"/>
        <w:spacing w:line="360" w:lineRule="auto"/>
        <w:rPr>
          <w:rFonts w:ascii="宋体" w:hAnsi="宋体" w:cs="宋体"/>
          <w:color w:val="auto"/>
          <w:sz w:val="24"/>
          <w:highlight w:val="none"/>
        </w:rPr>
      </w:pPr>
    </w:p>
    <w:p>
      <w:pPr>
        <w:adjustRightInd w:val="0"/>
        <w:snapToGrid w:val="0"/>
        <w:spacing w:line="360" w:lineRule="auto"/>
        <w:rPr>
          <w:rFonts w:ascii="宋体" w:hAnsi="宋体" w:cs="宋体"/>
          <w:color w:val="auto"/>
          <w:sz w:val="24"/>
          <w:highlight w:val="none"/>
        </w:rPr>
      </w:pPr>
    </w:p>
    <w:p>
      <w:pPr>
        <w:pStyle w:val="12"/>
        <w:spacing w:line="560" w:lineRule="exact"/>
        <w:ind w:firstLine="420" w:firstLineChars="200"/>
        <w:rPr>
          <w:rFonts w:ascii="宋体" w:hAnsi="宋体" w:eastAsia="宋体" w:cs="宋体"/>
          <w:sz w:val="21"/>
          <w:szCs w:val="21"/>
          <w:highlight w:val="none"/>
          <w:u w:val="single"/>
        </w:rPr>
      </w:pPr>
    </w:p>
    <w:p>
      <w:pPr>
        <w:pStyle w:val="4"/>
        <w:rPr>
          <w:rFonts w:ascii="宋体" w:hAnsi="宋体" w:cs="宋体"/>
          <w:kern w:val="21"/>
          <w:szCs w:val="22"/>
          <w:highlight w:val="none"/>
        </w:rPr>
      </w:pPr>
      <w:r>
        <w:rPr>
          <w:rFonts w:hint="eastAsia" w:ascii="宋体" w:hAnsi="宋体" w:cs="宋体"/>
          <w:kern w:val="21"/>
          <w:szCs w:val="22"/>
          <w:highlight w:val="none"/>
        </w:rPr>
        <w:t>二、技术部分</w:t>
      </w:r>
      <w:bookmarkEnd w:id="777"/>
      <w:bookmarkEnd w:id="778"/>
      <w:bookmarkEnd w:id="779"/>
    </w:p>
    <w:p>
      <w:pPr>
        <w:spacing w:line="560" w:lineRule="exact"/>
        <w:rPr>
          <w:rFonts w:ascii="宋体" w:hAnsi="宋体" w:cs="宋体"/>
          <w:b/>
          <w:bCs/>
          <w:color w:val="auto"/>
          <w:sz w:val="22"/>
          <w:szCs w:val="22"/>
          <w:highlight w:val="none"/>
        </w:rPr>
      </w:pPr>
      <w:bookmarkStart w:id="789" w:name="_Toc27544"/>
      <w:bookmarkStart w:id="790" w:name="_Toc5654"/>
      <w:r>
        <w:rPr>
          <w:rFonts w:hint="eastAsia" w:ascii="宋体" w:hAnsi="宋体" w:cs="宋体"/>
          <w:b/>
          <w:bCs/>
          <w:color w:val="auto"/>
          <w:sz w:val="22"/>
          <w:szCs w:val="22"/>
          <w:highlight w:val="none"/>
        </w:rPr>
        <w:t>1、施工组织设计</w:t>
      </w:r>
      <w:bookmarkEnd w:id="789"/>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确保工程质量的技术组织措施；</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 确保安全施工保证措施；</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 确保文明施工及环境保护的技术组织措施；</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 确保工期的技术组织措施；</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 施工方案及项目部组成人员；</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 施工机械配备及材料投入计划；</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 施工进度表或施工网络图；</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 劳动力安排计划及劳务分包情况表；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 施工现场总平面布置图；</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 防污减霾措施；</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施工组织设计除采用文字表述外可附下列图表，图表及格式要求附后。</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附表一  拟投入本招标项目的主要施工设备表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附表二  劳动力计划表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附表三  计划开、竣工日期和施工进度网络图</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附表四  施工总平面图</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附表五  项目经理简历表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附表六  拟派往人员组成情况表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附表七  主要项目管理人员简历</w:t>
      </w:r>
    </w:p>
    <w:p>
      <w:pPr>
        <w:spacing w:line="360" w:lineRule="auto"/>
        <w:ind w:firstLine="440" w:firstLineChars="200"/>
        <w:jc w:val="left"/>
        <w:outlineLvl w:val="0"/>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color w:val="auto"/>
          <w:highlight w:val="none"/>
        </w:rPr>
      </w:pPr>
    </w:p>
    <w:bookmarkEnd w:id="790"/>
    <w:p>
      <w:pPr>
        <w:spacing w:line="560" w:lineRule="exact"/>
        <w:rPr>
          <w:rFonts w:ascii="宋体" w:hAnsi="宋体" w:cs="宋体"/>
          <w:b/>
          <w:bCs/>
          <w:color w:val="auto"/>
          <w:kern w:val="21"/>
          <w:sz w:val="22"/>
          <w:szCs w:val="22"/>
          <w:highlight w:val="none"/>
          <w:lang w:val="zh-CN"/>
        </w:rPr>
      </w:pPr>
      <w:r>
        <w:rPr>
          <w:rFonts w:hint="eastAsia" w:ascii="宋体" w:hAnsi="宋体" w:cs="宋体"/>
          <w:b/>
          <w:bCs/>
          <w:color w:val="auto"/>
          <w:kern w:val="21"/>
          <w:sz w:val="22"/>
          <w:szCs w:val="22"/>
          <w:highlight w:val="none"/>
          <w:lang w:val="zh-CN"/>
        </w:rPr>
        <w:t>2、近年完成同类项目业绩（根据评标办法要求，格式自拟）</w:t>
      </w: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color w:val="auto"/>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rFonts w:ascii="宋体" w:hAnsi="宋体" w:cs="宋体"/>
          <w:color w:val="auto"/>
          <w:kern w:val="21"/>
          <w:sz w:val="22"/>
          <w:szCs w:val="22"/>
          <w:highlight w:val="none"/>
        </w:rPr>
      </w:pPr>
    </w:p>
    <w:p>
      <w:pPr>
        <w:pStyle w:val="2"/>
        <w:rPr>
          <w:rFonts w:ascii="宋体" w:hAnsi="宋体" w:cs="宋体"/>
          <w:color w:val="auto"/>
          <w:kern w:val="21"/>
          <w:sz w:val="22"/>
          <w:szCs w:val="22"/>
          <w:highlight w:val="none"/>
        </w:rPr>
      </w:pPr>
    </w:p>
    <w:p>
      <w:pPr>
        <w:rPr>
          <w:color w:val="auto"/>
          <w:highlight w:val="none"/>
        </w:rPr>
      </w:pPr>
    </w:p>
    <w:p>
      <w:pPr>
        <w:pStyle w:val="2"/>
        <w:rPr>
          <w:color w:val="auto"/>
          <w:highlight w:val="none"/>
        </w:rPr>
      </w:pPr>
    </w:p>
    <w:p>
      <w:pPr>
        <w:pStyle w:val="5"/>
        <w:spacing w:line="360" w:lineRule="auto"/>
        <w:jc w:val="left"/>
        <w:rPr>
          <w:rFonts w:ascii="宋体" w:hAnsi="宋体" w:cs="宋体"/>
          <w:color w:val="auto"/>
          <w:kern w:val="21"/>
          <w:sz w:val="22"/>
          <w:szCs w:val="22"/>
          <w:highlight w:val="none"/>
        </w:rPr>
      </w:pPr>
      <w:r>
        <w:rPr>
          <w:rFonts w:hint="eastAsia" w:ascii="宋体" w:hAnsi="宋体" w:cs="宋体"/>
          <w:color w:val="auto"/>
          <w:kern w:val="21"/>
          <w:sz w:val="22"/>
          <w:szCs w:val="22"/>
          <w:highlight w:val="none"/>
        </w:rPr>
        <w:t>3、</w:t>
      </w:r>
      <w:r>
        <w:rPr>
          <w:rFonts w:hint="eastAsia" w:ascii="宋体" w:hAnsi="宋体" w:cs="宋体"/>
          <w:color w:val="auto"/>
          <w:kern w:val="21"/>
          <w:sz w:val="22"/>
          <w:szCs w:val="22"/>
          <w:highlight w:val="none"/>
          <w:lang w:val="zh-CN"/>
        </w:rPr>
        <w:t>合理化建议</w:t>
      </w: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pStyle w:val="5"/>
        <w:spacing w:line="360" w:lineRule="auto"/>
        <w:ind w:firstLine="442" w:firstLineChars="200"/>
        <w:jc w:val="left"/>
        <w:rPr>
          <w:rFonts w:ascii="宋体" w:hAnsi="宋体" w:cs="宋体"/>
          <w:color w:val="auto"/>
          <w:kern w:val="21"/>
          <w:sz w:val="22"/>
          <w:szCs w:val="22"/>
          <w:highlight w:val="none"/>
        </w:rPr>
      </w:pPr>
    </w:p>
    <w:p>
      <w:pPr>
        <w:spacing w:line="560" w:lineRule="exact"/>
        <w:ind w:left="210"/>
        <w:rPr>
          <w:rFonts w:ascii="宋体" w:hAnsi="宋体" w:cs="宋体"/>
          <w:b/>
          <w:bCs/>
          <w:color w:val="auto"/>
          <w:sz w:val="22"/>
          <w:szCs w:val="22"/>
          <w:highlight w:val="none"/>
        </w:rPr>
      </w:pPr>
      <w:r>
        <w:rPr>
          <w:rFonts w:hint="eastAsia" w:ascii="宋体" w:hAnsi="宋体" w:cs="宋体"/>
          <w:b/>
          <w:bCs/>
          <w:color w:val="auto"/>
          <w:sz w:val="22"/>
          <w:szCs w:val="22"/>
          <w:highlight w:val="none"/>
        </w:rPr>
        <w:t>4、资质文件</w:t>
      </w:r>
    </w:p>
    <w:p>
      <w:pPr>
        <w:pStyle w:val="8"/>
        <w:spacing w:line="500" w:lineRule="exact"/>
        <w:ind w:firstLine="420" w:firstLineChars="200"/>
        <w:rPr>
          <w:rFonts w:asciiTheme="minorEastAsia" w:hAnsiTheme="minorEastAsia" w:eastAsiaTheme="minorEastAsia" w:cstheme="minorEastAsia"/>
          <w:bCs/>
          <w:sz w:val="21"/>
          <w:szCs w:val="21"/>
          <w:highlight w:val="none"/>
          <w:shd w:val="clear" w:color="auto" w:fill="FFFFFF"/>
        </w:rPr>
      </w:pPr>
      <w:r>
        <w:rPr>
          <w:rFonts w:hint="eastAsia" w:asciiTheme="minorEastAsia" w:hAnsiTheme="minorEastAsia" w:eastAsiaTheme="minorEastAsia" w:cstheme="minorEastAsia"/>
          <w:bCs/>
          <w:sz w:val="21"/>
          <w:szCs w:val="21"/>
          <w:highlight w:val="none"/>
          <w:shd w:val="clear" w:color="auto" w:fill="FFFFFF"/>
        </w:rPr>
        <w:t>（一)基本资格条件：符合《中华人民共和国政府采购法》第二十二条的规定；</w:t>
      </w:r>
    </w:p>
    <w:p>
      <w:pPr>
        <w:widowControl w:val="0"/>
        <w:spacing w:line="400" w:lineRule="exact"/>
        <w:ind w:firstLine="420" w:firstLineChars="200"/>
        <w:textAlignment w:val="auto"/>
        <w:rPr>
          <w:rFonts w:asciiTheme="minorEastAsia" w:hAnsiTheme="minorEastAsia" w:eastAsiaTheme="minorEastAsia" w:cstheme="minorEastAsia"/>
          <w:bCs/>
          <w:color w:val="auto"/>
          <w:szCs w:val="21"/>
          <w:highlight w:val="none"/>
          <w:shd w:val="clear" w:color="auto" w:fill="FFFFFF"/>
        </w:rPr>
      </w:pPr>
      <w:r>
        <w:rPr>
          <w:rFonts w:hint="eastAsia" w:asciiTheme="minorEastAsia" w:hAnsiTheme="minorEastAsia" w:eastAsiaTheme="minorEastAsia" w:cstheme="minorEastAsia"/>
          <w:bCs/>
          <w:color w:val="auto"/>
          <w:szCs w:val="21"/>
          <w:highlight w:val="none"/>
          <w:shd w:val="clear" w:color="auto" w:fill="FFFFFF"/>
        </w:rPr>
        <w:t>（二）本项目的特定资格要求：</w:t>
      </w:r>
    </w:p>
    <w:p>
      <w:pPr>
        <w:pStyle w:val="8"/>
        <w:spacing w:line="500" w:lineRule="exact"/>
        <w:ind w:firstLine="420" w:firstLineChars="200"/>
        <w:rPr>
          <w:rFonts w:asciiTheme="minorEastAsia" w:hAnsiTheme="minorEastAsia" w:eastAsiaTheme="minorEastAsia" w:cstheme="minorEastAsia"/>
          <w:bCs/>
          <w:sz w:val="21"/>
          <w:szCs w:val="21"/>
          <w:highlight w:val="none"/>
          <w:shd w:val="clear" w:color="auto" w:fill="FFFFFF"/>
        </w:rPr>
      </w:pPr>
      <w:r>
        <w:rPr>
          <w:rFonts w:hint="eastAsia" w:asciiTheme="minorEastAsia" w:hAnsiTheme="minorEastAsia" w:eastAsiaTheme="minorEastAsia" w:cstheme="minorEastAsia"/>
          <w:bCs/>
          <w:sz w:val="21"/>
          <w:szCs w:val="21"/>
          <w:highlight w:val="none"/>
          <w:shd w:val="clear" w:color="auto" w:fill="FFFFFF"/>
        </w:rPr>
        <w:t>1）供应商为具有独立承担民事责任能力的法人、其他组织或自然人。企业法人应提供合法有效的标识有统一社会信用代码的营业执照；事业法人应提供事业单位法人证书；其他组织应提供合法登记证明文件；自然人应提供身份证；2）法定代表人授权书及被授权人身份证(法定代表人直接参加投标，须提交其身份证复印件及法定代表人身份证明)；3）供应商须具备建筑工程施工总承包三级（含三级）及以上资质或市政公用工程施工总承包三级（含三级）及以上资质，具有有效的安全生产许可证；4）拟派项目经理须具有建筑工程专业二级及以上注册建造师证书或市政公用工程专业二级及以上注册建造师证书，具备有效的安全生产考核合格证书，在本单位注册且无在建工程；5）供应商及拟派项目经理应在“陕西省住房和城乡建设厅（http://js.shaanxi.gov.cn/）陕西省建筑市场监管与诚信信息发布平台”登记备案；省外企业须在陕西省建筑市场一体化平台（陕西建设网）企业库可查询（附完整的查询结果截图加盖公章）；6）财务状况报告：提供2018年至2020年度任意一年经审计的财务报告或在开标日期前六个月内其基本开户银行出具的资信证明，以上二种形式的证明资料提供任何一种即可；7）税收缴纳证明：提供供应商2020年至今任意一个月已缴纳的完税凭证或税务机关开具的完税证明（任意税种），依法免税的单位应提供相关证明材料；8）社会保障资金缴纳证明：提供供应商2020年至今任意一个月已缴纳的社会保障资金缴存单据或社保机构开具的社会保险参保缴费情况证明；依法不需要缴纳社会保障资金的应提供相关文件证明；9）提供具有履行本合同所必需的设备和专业技术能力的承诺；10）参加政府采购活动前3年内在经营活动中没有重大违法记录的书面声明；11）供应商不得为“信用中国”网站（www.creditchina.gov.cn）中列入重大税收违法案件当事人名单、供应商不得为中国执行信息公开网（http://zxgk.court.gov.cn/shixin/）中列入失信被执行人名单、不得为“中国政府采购网”（www.ccgp.gov.cn）政府采购严重违法失信行为记录名单中被财政部门禁止参加政府采购活动的供应商；12）本项目不接受联合体投标。</w:t>
      </w:r>
    </w:p>
    <w:p>
      <w:pPr>
        <w:pStyle w:val="8"/>
        <w:spacing w:line="500" w:lineRule="exact"/>
        <w:ind w:firstLine="0"/>
        <w:rPr>
          <w:rFonts w:asciiTheme="minorEastAsia" w:hAnsiTheme="minorEastAsia" w:eastAsiaTheme="minorEastAsia" w:cstheme="minorEastAsia"/>
          <w:b/>
          <w:sz w:val="21"/>
          <w:szCs w:val="21"/>
          <w:highlight w:val="none"/>
          <w:shd w:val="clear" w:color="auto" w:fill="FFFFFF"/>
        </w:rPr>
      </w:pPr>
      <w:r>
        <w:rPr>
          <w:rFonts w:hint="eastAsia" w:asciiTheme="minorEastAsia" w:hAnsiTheme="minorEastAsia" w:eastAsiaTheme="minorEastAsia" w:cstheme="minorEastAsia"/>
          <w:b/>
          <w:sz w:val="21"/>
          <w:szCs w:val="21"/>
          <w:highlight w:val="none"/>
          <w:shd w:val="clear" w:color="auto" w:fill="FFFFFF"/>
        </w:rPr>
        <w:t>5、其他证明材料</w:t>
      </w:r>
    </w:p>
    <w:p>
      <w:pPr>
        <w:spacing w:line="360" w:lineRule="auto"/>
        <w:rPr>
          <w:rFonts w:ascii="宋体" w:hAnsi="宋体" w:cs="宋体"/>
          <w:b/>
          <w:bCs/>
          <w:color w:val="auto"/>
          <w:szCs w:val="21"/>
          <w:highlight w:val="none"/>
        </w:rPr>
      </w:pPr>
      <w:r>
        <w:rPr>
          <w:rFonts w:hint="eastAsia" w:ascii="宋体" w:hAnsi="宋体" w:cs="宋体"/>
          <w:b/>
          <w:bCs/>
          <w:color w:val="auto"/>
          <w:sz w:val="22"/>
          <w:szCs w:val="22"/>
          <w:highlight w:val="none"/>
        </w:rPr>
        <w:t>注：格式由供应商自行拟定，技术部分内容包含竞争性磋商文件评标办法中技术部分所含全部内容。</w:t>
      </w:r>
      <w:bookmarkStart w:id="791" w:name="_Toc5997"/>
      <w:bookmarkStart w:id="792" w:name="_Toc30526"/>
      <w:bookmarkStart w:id="793" w:name="_Toc11070"/>
    </w:p>
    <w:p>
      <w:pPr>
        <w:spacing w:line="480" w:lineRule="exact"/>
        <w:rPr>
          <w:rFonts w:ascii="宋体" w:hAnsi="宋体" w:cs="宋体"/>
          <w:b/>
          <w:bCs/>
          <w:color w:val="auto"/>
          <w:szCs w:val="21"/>
          <w:highlight w:val="none"/>
        </w:rPr>
      </w:pPr>
    </w:p>
    <w:p>
      <w:pPr>
        <w:spacing w:line="480" w:lineRule="exact"/>
        <w:rPr>
          <w:rFonts w:ascii="宋体" w:hAnsi="宋体" w:cs="宋体"/>
          <w:b/>
          <w:bCs/>
          <w:color w:val="auto"/>
          <w:highlight w:val="none"/>
        </w:rPr>
      </w:pPr>
    </w:p>
    <w:p>
      <w:pPr>
        <w:spacing w:line="480" w:lineRule="exact"/>
        <w:rPr>
          <w:rFonts w:ascii="宋体" w:hAnsi="宋体" w:cs="宋体"/>
          <w:b/>
          <w:bCs/>
          <w:color w:val="auto"/>
          <w:highlight w:val="none"/>
        </w:rPr>
      </w:pPr>
    </w:p>
    <w:p>
      <w:pPr>
        <w:spacing w:line="480" w:lineRule="exact"/>
        <w:rPr>
          <w:rFonts w:ascii="宋体" w:hAnsi="宋体" w:cs="宋体"/>
          <w:color w:val="auto"/>
          <w:highlight w:val="none"/>
        </w:rPr>
      </w:pPr>
    </w:p>
    <w:p>
      <w:pPr>
        <w:pStyle w:val="9"/>
        <w:rPr>
          <w:rFonts w:ascii="宋体" w:hAnsi="宋体" w:eastAsia="宋体" w:cs="宋体"/>
          <w:color w:val="auto"/>
          <w:highlight w:val="none"/>
        </w:rPr>
      </w:pPr>
    </w:p>
    <w:p>
      <w:pPr>
        <w:autoSpaceDE w:val="0"/>
        <w:autoSpaceDN w:val="0"/>
        <w:adjustRightInd w:val="0"/>
        <w:spacing w:line="360" w:lineRule="auto"/>
        <w:jc w:val="center"/>
        <w:rPr>
          <w:rFonts w:ascii="宋体" w:hAnsi="宋体" w:cs="宋体"/>
          <w:color w:val="auto"/>
          <w:sz w:val="28"/>
          <w:szCs w:val="28"/>
          <w:highlight w:val="none"/>
        </w:rPr>
      </w:pPr>
      <w:r>
        <w:rPr>
          <w:rFonts w:hint="eastAsia" w:ascii="宋体" w:hAnsi="宋体" w:cs="宋体"/>
          <w:b/>
          <w:bCs/>
          <w:color w:val="auto"/>
          <w:sz w:val="28"/>
          <w:szCs w:val="28"/>
          <w:highlight w:val="none"/>
          <w:lang w:val="zh-CN"/>
        </w:rPr>
        <w:t>供应商承诺书</w:t>
      </w:r>
    </w:p>
    <w:p>
      <w:pPr>
        <w:spacing w:line="460" w:lineRule="exact"/>
        <w:ind w:firstLine="403" w:firstLineChars="192"/>
        <w:rPr>
          <w:rFonts w:ascii="宋体" w:hAnsi="宋体" w:cs="宋体"/>
          <w:color w:val="auto"/>
          <w:kern w:val="21"/>
          <w:szCs w:val="21"/>
          <w:highlight w:val="none"/>
          <w:lang w:val="zh-CN"/>
        </w:rPr>
      </w:pPr>
      <w:r>
        <w:rPr>
          <w:rFonts w:hint="eastAsia" w:ascii="宋体" w:hAnsi="宋体" w:cs="宋体"/>
          <w:color w:val="auto"/>
          <w:kern w:val="21"/>
          <w:szCs w:val="21"/>
          <w:highlight w:val="none"/>
          <w:lang w:val="zh-CN"/>
        </w:rPr>
        <w:t xml:space="preserve"> </w:t>
      </w:r>
      <w:r>
        <w:rPr>
          <w:rFonts w:hint="eastAsia" w:ascii="宋体" w:hAnsi="宋体" w:cs="宋体"/>
          <w:color w:val="auto"/>
          <w:kern w:val="21"/>
          <w:szCs w:val="21"/>
          <w:highlight w:val="none"/>
          <w:u w:val="single"/>
          <w:lang w:val="zh-CN"/>
        </w:rPr>
        <w:t xml:space="preserve">  （采购人名称）      </w:t>
      </w:r>
      <w:r>
        <w:rPr>
          <w:rFonts w:hint="eastAsia" w:ascii="宋体" w:hAnsi="宋体" w:cs="宋体"/>
          <w:color w:val="auto"/>
          <w:kern w:val="21"/>
          <w:szCs w:val="21"/>
          <w:highlight w:val="none"/>
          <w:lang w:val="zh-CN"/>
        </w:rPr>
        <w:t>：</w:t>
      </w:r>
    </w:p>
    <w:p>
      <w:pPr>
        <w:spacing w:line="460" w:lineRule="exact"/>
        <w:ind w:firstLine="403" w:firstLineChars="192"/>
        <w:rPr>
          <w:rFonts w:ascii="宋体" w:hAnsi="宋体" w:cs="宋体"/>
          <w:color w:val="auto"/>
          <w:kern w:val="21"/>
          <w:szCs w:val="21"/>
          <w:highlight w:val="none"/>
          <w:lang w:val="zh-CN"/>
        </w:rPr>
      </w:pPr>
      <w:r>
        <w:rPr>
          <w:rFonts w:hint="eastAsia" w:ascii="宋体" w:hAnsi="宋体" w:cs="宋体"/>
          <w:color w:val="auto"/>
          <w:kern w:val="21"/>
          <w:szCs w:val="21"/>
          <w:highlight w:val="none"/>
          <w:lang w:val="zh-CN"/>
        </w:rPr>
        <w:t>作为参加</w:t>
      </w:r>
      <w:r>
        <w:rPr>
          <w:rFonts w:hint="eastAsia" w:ascii="宋体" w:hAnsi="宋体" w:cs="宋体"/>
          <w:color w:val="auto"/>
          <w:kern w:val="21"/>
          <w:szCs w:val="21"/>
          <w:highlight w:val="none"/>
          <w:u w:val="single"/>
        </w:rPr>
        <w:t xml:space="preserve">                  </w:t>
      </w:r>
      <w:r>
        <w:rPr>
          <w:rFonts w:hint="eastAsia" w:ascii="宋体" w:hAnsi="宋体" w:cs="宋体"/>
          <w:color w:val="auto"/>
          <w:kern w:val="21"/>
          <w:szCs w:val="21"/>
          <w:highlight w:val="none"/>
        </w:rPr>
        <w:t>（项目名称）</w:t>
      </w:r>
      <w:r>
        <w:rPr>
          <w:rFonts w:hint="eastAsia" w:ascii="宋体" w:hAnsi="宋体" w:cs="宋体"/>
          <w:color w:val="auto"/>
          <w:kern w:val="21"/>
          <w:szCs w:val="21"/>
          <w:highlight w:val="none"/>
          <w:lang w:val="zh-CN"/>
        </w:rPr>
        <w:t>的供应商，本公司郑重承诺：</w:t>
      </w:r>
    </w:p>
    <w:p>
      <w:pPr>
        <w:spacing w:line="460" w:lineRule="exact"/>
        <w:ind w:firstLine="403" w:firstLineChars="192"/>
        <w:rPr>
          <w:rFonts w:ascii="宋体" w:hAnsi="宋体" w:cs="宋体"/>
          <w:color w:val="auto"/>
          <w:kern w:val="21"/>
          <w:szCs w:val="21"/>
          <w:highlight w:val="none"/>
          <w:lang w:val="zh-CN"/>
        </w:rPr>
      </w:pPr>
      <w:r>
        <w:rPr>
          <w:rFonts w:hint="eastAsia" w:ascii="宋体" w:hAnsi="宋体" w:cs="宋体"/>
          <w:color w:val="auto"/>
          <w:kern w:val="21"/>
          <w:szCs w:val="21"/>
          <w:highlight w:val="none"/>
          <w:lang w:val="zh-CN"/>
        </w:rPr>
        <w:t>一、在参加本项目投标之前不存在被依法禁止经营行为、财产被接管或冻结的情况，如有隐瞒实情，愿承担一切责任及后果。</w:t>
      </w:r>
    </w:p>
    <w:p>
      <w:pPr>
        <w:spacing w:line="460" w:lineRule="exact"/>
        <w:ind w:firstLine="403" w:firstLineChars="192"/>
        <w:rPr>
          <w:rFonts w:ascii="宋体" w:hAnsi="宋体" w:cs="宋体"/>
          <w:color w:val="auto"/>
          <w:kern w:val="21"/>
          <w:szCs w:val="21"/>
          <w:highlight w:val="none"/>
          <w:lang w:val="zh-CN"/>
        </w:rPr>
      </w:pPr>
      <w:r>
        <w:rPr>
          <w:rFonts w:hint="eastAsia" w:ascii="宋体" w:hAnsi="宋体" w:cs="宋体"/>
          <w:color w:val="auto"/>
          <w:kern w:val="21"/>
          <w:szCs w:val="21"/>
          <w:highlight w:val="none"/>
          <w:lang w:val="zh-CN"/>
        </w:rPr>
        <w:t>二、近三年受到有关行政主管部门的行政处理、不良行为记录为</w:t>
      </w:r>
      <w:r>
        <w:rPr>
          <w:rFonts w:hint="eastAsia" w:ascii="宋体" w:hAnsi="宋体" w:cs="宋体"/>
          <w:color w:val="auto"/>
          <w:kern w:val="21"/>
          <w:szCs w:val="21"/>
          <w:highlight w:val="none"/>
          <w:u w:val="single"/>
          <w:lang w:val="zh-CN"/>
        </w:rPr>
        <w:t xml:space="preserve">    </w:t>
      </w:r>
      <w:r>
        <w:rPr>
          <w:rFonts w:hint="eastAsia" w:ascii="宋体" w:hAnsi="宋体" w:cs="宋体"/>
          <w:color w:val="auto"/>
          <w:kern w:val="21"/>
          <w:szCs w:val="21"/>
          <w:highlight w:val="none"/>
          <w:lang w:val="zh-CN"/>
        </w:rPr>
        <w:t>次（没有填零），如有隐瞒实情，愿承担一切责任及后果。</w:t>
      </w:r>
    </w:p>
    <w:p>
      <w:pPr>
        <w:spacing w:line="460" w:lineRule="exact"/>
        <w:ind w:firstLine="403" w:firstLineChars="192"/>
        <w:rPr>
          <w:rFonts w:ascii="宋体" w:hAnsi="宋体" w:cs="宋体"/>
          <w:color w:val="auto"/>
          <w:kern w:val="21"/>
          <w:szCs w:val="21"/>
          <w:highlight w:val="none"/>
          <w:lang w:val="zh-CN"/>
        </w:rPr>
      </w:pPr>
      <w:r>
        <w:rPr>
          <w:rFonts w:hint="eastAsia" w:ascii="宋体" w:hAnsi="宋体" w:cs="宋体"/>
          <w:color w:val="auto"/>
          <w:kern w:val="21"/>
          <w:szCs w:val="21"/>
          <w:highlight w:val="none"/>
          <w:lang w:val="zh-CN"/>
        </w:rPr>
        <w:t>三、参加本次投标提交的所有资质证明文件及业绩证明文件是真实的、有效的，如有隐瞒实情，愿承担一切责任及后果。</w:t>
      </w:r>
    </w:p>
    <w:p>
      <w:pPr>
        <w:spacing w:line="460" w:lineRule="exact"/>
        <w:ind w:firstLine="403" w:firstLineChars="192"/>
        <w:rPr>
          <w:rFonts w:ascii="宋体" w:hAnsi="宋体" w:cs="宋体"/>
          <w:color w:val="auto"/>
          <w:kern w:val="21"/>
          <w:szCs w:val="21"/>
          <w:highlight w:val="none"/>
          <w:lang w:val="zh-CN"/>
        </w:rPr>
      </w:pPr>
      <w:r>
        <w:rPr>
          <w:rFonts w:hint="eastAsia" w:ascii="宋体" w:hAnsi="宋体" w:cs="宋体"/>
          <w:color w:val="auto"/>
          <w:kern w:val="21"/>
          <w:szCs w:val="21"/>
          <w:highlight w:val="none"/>
          <w:lang w:val="zh-CN"/>
        </w:rPr>
        <w:t>四、近三年因产品问题（水货、替代品、次品、翻新品等）的不法行为记录为</w:t>
      </w:r>
      <w:r>
        <w:rPr>
          <w:rFonts w:hint="eastAsia" w:ascii="宋体" w:hAnsi="宋体" w:cs="宋体"/>
          <w:color w:val="auto"/>
          <w:kern w:val="21"/>
          <w:szCs w:val="21"/>
          <w:highlight w:val="none"/>
          <w:u w:val="single"/>
          <w:lang w:val="zh-CN"/>
        </w:rPr>
        <w:t xml:space="preserve">     </w:t>
      </w:r>
      <w:r>
        <w:rPr>
          <w:rFonts w:hint="eastAsia" w:ascii="宋体" w:hAnsi="宋体" w:cs="宋体"/>
          <w:color w:val="auto"/>
          <w:kern w:val="21"/>
          <w:szCs w:val="21"/>
          <w:highlight w:val="none"/>
          <w:lang w:val="zh-CN"/>
        </w:rPr>
        <w:t>次（没有填零），如有隐瞒实情，愿承担一切责任及后果。</w:t>
      </w:r>
    </w:p>
    <w:p>
      <w:pPr>
        <w:spacing w:line="460" w:lineRule="exact"/>
        <w:ind w:firstLine="403" w:firstLineChars="192"/>
        <w:rPr>
          <w:rFonts w:ascii="宋体" w:hAnsi="宋体" w:cs="宋体"/>
          <w:color w:val="auto"/>
          <w:kern w:val="21"/>
          <w:szCs w:val="21"/>
          <w:highlight w:val="none"/>
          <w:lang w:val="zh-CN"/>
        </w:rPr>
      </w:pPr>
      <w:r>
        <w:rPr>
          <w:rFonts w:hint="eastAsia" w:ascii="宋体" w:hAnsi="宋体" w:cs="宋体"/>
          <w:color w:val="auto"/>
          <w:kern w:val="21"/>
          <w:szCs w:val="21"/>
          <w:highlight w:val="none"/>
          <w:lang w:val="zh-CN"/>
        </w:rPr>
        <w:t>五、成交后，在工程施工、结算、保修等各个环节上，不拖欠农民工工资。</w:t>
      </w:r>
    </w:p>
    <w:p>
      <w:pPr>
        <w:spacing w:line="460" w:lineRule="exact"/>
        <w:ind w:firstLine="403" w:firstLineChars="192"/>
        <w:rPr>
          <w:rFonts w:ascii="宋体" w:hAnsi="宋体" w:cs="宋体"/>
          <w:color w:val="auto"/>
          <w:kern w:val="21"/>
          <w:szCs w:val="21"/>
          <w:highlight w:val="none"/>
          <w:lang w:val="zh-CN"/>
        </w:rPr>
      </w:pPr>
    </w:p>
    <w:p>
      <w:pPr>
        <w:spacing w:line="360" w:lineRule="auto"/>
        <w:ind w:firstLine="1680" w:firstLineChars="800"/>
        <w:rPr>
          <w:rFonts w:ascii="宋体" w:hAnsi="宋体" w:cs="宋体"/>
          <w:color w:val="auto"/>
          <w:szCs w:val="21"/>
          <w:highlight w:val="none"/>
        </w:rPr>
      </w:pPr>
    </w:p>
    <w:p>
      <w:pPr>
        <w:spacing w:line="360" w:lineRule="auto"/>
        <w:ind w:firstLine="1680" w:firstLineChars="800"/>
        <w:rPr>
          <w:rFonts w:ascii="宋体" w:hAnsi="宋体" w:cs="宋体"/>
          <w:color w:val="auto"/>
          <w:szCs w:val="21"/>
          <w:highlight w:val="none"/>
        </w:rPr>
      </w:pPr>
    </w:p>
    <w:p>
      <w:pPr>
        <w:spacing w:line="360" w:lineRule="auto"/>
        <w:ind w:firstLine="1680" w:firstLineChars="800"/>
        <w:rPr>
          <w:rFonts w:ascii="宋体" w:hAnsi="宋体" w:cs="宋体"/>
          <w:color w:val="auto"/>
          <w:szCs w:val="21"/>
          <w:highlight w:val="none"/>
        </w:rPr>
      </w:pPr>
    </w:p>
    <w:p>
      <w:pPr>
        <w:spacing w:line="480" w:lineRule="auto"/>
        <w:ind w:firstLine="5040" w:firstLineChars="2400"/>
        <w:rPr>
          <w:rFonts w:ascii="宋体" w:hAnsi="宋体" w:cs="宋体"/>
          <w:color w:val="auto"/>
          <w:szCs w:val="21"/>
          <w:highlight w:val="none"/>
          <w:u w:val="single"/>
        </w:rPr>
      </w:pPr>
      <w:r>
        <w:rPr>
          <w:rFonts w:hint="eastAsia" w:ascii="宋体" w:hAnsi="宋体" w:cs="宋体"/>
          <w:color w:val="auto"/>
          <w:szCs w:val="21"/>
          <w:highlight w:val="none"/>
        </w:rPr>
        <w:t>供应商（公章）：</w:t>
      </w:r>
      <w:r>
        <w:rPr>
          <w:rFonts w:hint="eastAsia" w:ascii="宋体" w:hAnsi="宋体" w:cs="宋体"/>
          <w:color w:val="auto"/>
          <w:szCs w:val="21"/>
          <w:highlight w:val="none"/>
          <w:u w:val="single"/>
        </w:rPr>
        <w:t xml:space="preserve">                         </w:t>
      </w:r>
    </w:p>
    <w:p>
      <w:pPr>
        <w:spacing w:line="480" w:lineRule="auto"/>
        <w:ind w:firstLine="5040" w:firstLineChars="2400"/>
        <w:rPr>
          <w:rFonts w:ascii="宋体" w:hAnsi="宋体" w:cs="宋体"/>
          <w:color w:val="auto"/>
          <w:szCs w:val="21"/>
          <w:highlight w:val="none"/>
          <w:u w:val="single"/>
        </w:rPr>
      </w:pPr>
      <w:r>
        <w:rPr>
          <w:rFonts w:hint="eastAsia" w:ascii="宋体" w:hAnsi="宋体" w:cs="宋体"/>
          <w:color w:val="auto"/>
          <w:szCs w:val="21"/>
          <w:highlight w:val="none"/>
        </w:rPr>
        <w:t>法定代表人（签字或盖章）：</w:t>
      </w:r>
      <w:r>
        <w:rPr>
          <w:rFonts w:hint="eastAsia" w:ascii="宋体" w:hAnsi="宋体" w:cs="宋体"/>
          <w:color w:val="auto"/>
          <w:szCs w:val="21"/>
          <w:highlight w:val="none"/>
          <w:u w:val="single"/>
        </w:rPr>
        <w:t xml:space="preserve">               </w:t>
      </w:r>
    </w:p>
    <w:p>
      <w:pPr>
        <w:autoSpaceDE w:val="0"/>
        <w:autoSpaceDN w:val="0"/>
        <w:adjustRightInd w:val="0"/>
        <w:spacing w:line="480" w:lineRule="auto"/>
        <w:ind w:firstLine="5040" w:firstLineChars="2400"/>
        <w:rPr>
          <w:rFonts w:ascii="宋体" w:hAnsi="宋体" w:cs="宋体"/>
          <w:color w:val="auto"/>
          <w:szCs w:val="21"/>
          <w:highlight w:val="none"/>
          <w:u w:val="singl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pPr>
        <w:pStyle w:val="21"/>
        <w:rPr>
          <w:rFonts w:ascii="宋体" w:hAnsi="宋体" w:cs="宋体"/>
          <w:color w:val="auto"/>
          <w:highlight w:val="none"/>
        </w:rPr>
      </w:pPr>
    </w:p>
    <w:p>
      <w:pPr>
        <w:pStyle w:val="21"/>
        <w:rPr>
          <w:rFonts w:ascii="宋体" w:hAnsi="宋体" w:cs="宋体"/>
          <w:color w:val="auto"/>
          <w:highlight w:val="none"/>
        </w:rPr>
      </w:pPr>
    </w:p>
    <w:p>
      <w:pPr>
        <w:pStyle w:val="21"/>
        <w:rPr>
          <w:rFonts w:ascii="宋体" w:hAnsi="宋体" w:cs="宋体"/>
          <w:color w:val="auto"/>
          <w:highlight w:val="none"/>
        </w:rPr>
      </w:pPr>
    </w:p>
    <w:p>
      <w:pPr>
        <w:pStyle w:val="21"/>
        <w:rPr>
          <w:rFonts w:ascii="宋体" w:hAnsi="宋体" w:cs="宋体"/>
          <w:color w:val="auto"/>
          <w:highlight w:val="none"/>
        </w:rPr>
      </w:pPr>
    </w:p>
    <w:p>
      <w:pPr>
        <w:pStyle w:val="21"/>
        <w:rPr>
          <w:rFonts w:ascii="宋体" w:hAnsi="宋体" w:cs="宋体"/>
          <w:color w:val="auto"/>
          <w:highlight w:val="none"/>
        </w:rPr>
      </w:pPr>
    </w:p>
    <w:p>
      <w:pPr>
        <w:pStyle w:val="21"/>
        <w:rPr>
          <w:rFonts w:ascii="宋体" w:hAnsi="宋体" w:cs="宋体"/>
          <w:color w:val="auto"/>
          <w:highlight w:val="none"/>
        </w:rPr>
      </w:pPr>
    </w:p>
    <w:p>
      <w:pPr>
        <w:pStyle w:val="21"/>
        <w:rPr>
          <w:rFonts w:ascii="宋体" w:hAnsi="宋体" w:cs="宋体"/>
          <w:color w:val="auto"/>
          <w:highlight w:val="none"/>
        </w:rPr>
      </w:pPr>
    </w:p>
    <w:p>
      <w:pPr>
        <w:pStyle w:val="21"/>
        <w:rPr>
          <w:rFonts w:ascii="宋体" w:hAnsi="宋体" w:cs="宋体"/>
          <w:color w:val="auto"/>
          <w:highlight w:val="none"/>
        </w:rPr>
      </w:pPr>
    </w:p>
    <w:p>
      <w:pPr>
        <w:pStyle w:val="21"/>
        <w:rPr>
          <w:rFonts w:ascii="宋体" w:hAnsi="宋体" w:cs="宋体"/>
          <w:color w:val="auto"/>
          <w:highlight w:val="none"/>
        </w:rPr>
      </w:pPr>
    </w:p>
    <w:p>
      <w:pPr>
        <w:pStyle w:val="21"/>
        <w:rPr>
          <w:rFonts w:ascii="宋体" w:hAnsi="宋体" w:cs="宋体"/>
          <w:color w:val="auto"/>
          <w:highlight w:val="none"/>
        </w:rPr>
      </w:pPr>
    </w:p>
    <w:p>
      <w:pPr>
        <w:pStyle w:val="21"/>
        <w:rPr>
          <w:rFonts w:ascii="宋体" w:hAnsi="宋体" w:cs="宋体"/>
          <w:color w:val="auto"/>
          <w:highlight w:val="none"/>
        </w:rPr>
      </w:pPr>
    </w:p>
    <w:p>
      <w:pPr>
        <w:pStyle w:val="21"/>
        <w:rPr>
          <w:rFonts w:ascii="宋体" w:hAnsi="宋体" w:cs="宋体"/>
          <w:color w:val="auto"/>
          <w:highlight w:val="none"/>
        </w:rPr>
      </w:pPr>
    </w:p>
    <w:p>
      <w:pPr>
        <w:autoSpaceDE w:val="0"/>
        <w:autoSpaceDN w:val="0"/>
        <w:adjustRightInd w:val="0"/>
        <w:snapToGrid w:val="0"/>
        <w:spacing w:line="360" w:lineRule="auto"/>
        <w:jc w:val="center"/>
        <w:rPr>
          <w:rFonts w:ascii="宋体" w:hAnsi="宋体" w:cs="宋体"/>
          <w:b/>
          <w:bCs/>
          <w:color w:val="auto"/>
          <w:szCs w:val="21"/>
          <w:highlight w:val="none"/>
        </w:rPr>
      </w:pPr>
      <w:bookmarkStart w:id="794" w:name="_Toc482775582"/>
      <w:r>
        <w:rPr>
          <w:rFonts w:hint="eastAsia" w:ascii="宋体" w:hAnsi="宋体" w:cs="宋体"/>
          <w:b/>
          <w:bCs/>
          <w:color w:val="auto"/>
          <w:sz w:val="28"/>
          <w:szCs w:val="28"/>
          <w:highlight w:val="none"/>
        </w:rPr>
        <w:t>供应商企业关系关联承诺书</w:t>
      </w:r>
      <w:bookmarkEnd w:id="794"/>
    </w:p>
    <w:p>
      <w:pPr>
        <w:autoSpaceDE w:val="0"/>
        <w:autoSpaceDN w:val="0"/>
        <w:adjustRightInd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一、供应商在本项目投标中，不存在与其它供应商负责人为同一人，有控股、管理等关联关系承诺。</w:t>
      </w:r>
    </w:p>
    <w:p>
      <w:pPr>
        <w:autoSpaceDE w:val="0"/>
        <w:autoSpaceDN w:val="0"/>
        <w:adjustRightInd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1.管理关系说明：</w:t>
      </w:r>
    </w:p>
    <w:p>
      <w:pPr>
        <w:autoSpaceDE w:val="0"/>
        <w:autoSpaceDN w:val="0"/>
        <w:adjustRightInd w:val="0"/>
        <w:spacing w:line="48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我单位管理的具有独立法人的下属单位：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(没有填无)。</w:t>
      </w:r>
    </w:p>
    <w:p>
      <w:pPr>
        <w:autoSpaceDE w:val="0"/>
        <w:autoSpaceDN w:val="0"/>
        <w:adjustRightInd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我单位的上级管理单位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(没有填无)。</w:t>
      </w:r>
    </w:p>
    <w:p>
      <w:pPr>
        <w:autoSpaceDE w:val="0"/>
        <w:autoSpaceDN w:val="0"/>
        <w:adjustRightInd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2.股权关系说明：</w:t>
      </w:r>
    </w:p>
    <w:p>
      <w:pPr>
        <w:autoSpaceDE w:val="0"/>
        <w:autoSpaceDN w:val="0"/>
        <w:adjustRightInd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我单位控股的单位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(没有填无) 。</w:t>
      </w:r>
    </w:p>
    <w:p>
      <w:pPr>
        <w:autoSpaceDE w:val="0"/>
        <w:autoSpaceDN w:val="0"/>
        <w:adjustRightInd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我单位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(没有填无)被</w:t>
      </w:r>
      <w:r>
        <w:rPr>
          <w:rFonts w:hint="eastAsia" w:ascii="宋体" w:hAnsi="宋体" w:cs="宋体"/>
          <w:color w:val="auto"/>
          <w:szCs w:val="21"/>
          <w:highlight w:val="none"/>
          <w:u w:val="single"/>
        </w:rPr>
        <w:t xml:space="preserve">   （控股单位全称）  </w:t>
      </w:r>
      <w:r>
        <w:rPr>
          <w:rFonts w:hint="eastAsia" w:ascii="宋体" w:hAnsi="宋体" w:cs="宋体"/>
          <w:color w:val="auto"/>
          <w:szCs w:val="21"/>
          <w:highlight w:val="none"/>
        </w:rPr>
        <w:t>单位控股。</w:t>
      </w:r>
    </w:p>
    <w:p>
      <w:pPr>
        <w:autoSpaceDE w:val="0"/>
        <w:autoSpaceDN w:val="0"/>
        <w:adjustRightInd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3.单位负责人：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(没有填无)。</w:t>
      </w:r>
    </w:p>
    <w:p>
      <w:pPr>
        <w:autoSpaceDE w:val="0"/>
        <w:autoSpaceDN w:val="0"/>
        <w:adjustRightInd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二、我单位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（是或否） 为本采购项目提供过整体设计、规范编制或者项目管理、监理、检测等服务的供应商。</w:t>
      </w:r>
    </w:p>
    <w:p>
      <w:pPr>
        <w:autoSpaceDE w:val="0"/>
        <w:autoSpaceDN w:val="0"/>
        <w:adjustRightInd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三、其他与本项目有关的利害关系说明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(没有填无)。</w:t>
      </w:r>
    </w:p>
    <w:p>
      <w:pPr>
        <w:autoSpaceDE w:val="0"/>
        <w:autoSpaceDN w:val="0"/>
        <w:adjustRightInd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我单位承诺以上说明真实有效，无虚假内容或隐瞒。</w:t>
      </w:r>
    </w:p>
    <w:p>
      <w:pPr>
        <w:autoSpaceDE w:val="0"/>
        <w:autoSpaceDN w:val="0"/>
        <w:adjustRightInd w:val="0"/>
        <w:spacing w:line="480" w:lineRule="auto"/>
        <w:rPr>
          <w:rFonts w:ascii="宋体" w:hAnsi="宋体" w:cs="宋体"/>
          <w:color w:val="auto"/>
          <w:szCs w:val="21"/>
          <w:highlight w:val="none"/>
        </w:rPr>
      </w:pPr>
    </w:p>
    <w:p>
      <w:pPr>
        <w:autoSpaceDE w:val="0"/>
        <w:autoSpaceDN w:val="0"/>
        <w:adjustRightInd w:val="0"/>
        <w:spacing w:line="480" w:lineRule="auto"/>
        <w:jc w:val="center"/>
        <w:rPr>
          <w:rFonts w:ascii="宋体" w:hAnsi="宋体" w:cs="宋体"/>
          <w:b/>
          <w:bCs/>
          <w:color w:val="auto"/>
          <w:szCs w:val="21"/>
          <w:highlight w:val="none"/>
        </w:rPr>
      </w:pPr>
    </w:p>
    <w:p>
      <w:pPr>
        <w:autoSpaceDE w:val="0"/>
        <w:autoSpaceDN w:val="0"/>
        <w:adjustRightInd w:val="0"/>
        <w:spacing w:line="480" w:lineRule="auto"/>
        <w:jc w:val="center"/>
        <w:rPr>
          <w:rFonts w:ascii="宋体" w:hAnsi="宋体" w:cs="宋体"/>
          <w:b/>
          <w:bCs/>
          <w:color w:val="auto"/>
          <w:szCs w:val="21"/>
          <w:highlight w:val="none"/>
        </w:rPr>
      </w:pPr>
    </w:p>
    <w:p>
      <w:pPr>
        <w:spacing w:line="480" w:lineRule="auto"/>
        <w:ind w:firstLine="4410" w:firstLineChars="2100"/>
        <w:rPr>
          <w:rFonts w:ascii="宋体" w:hAnsi="宋体" w:cs="宋体"/>
          <w:color w:val="auto"/>
          <w:szCs w:val="21"/>
          <w:highlight w:val="none"/>
          <w:u w:val="single"/>
        </w:rPr>
      </w:pPr>
      <w:r>
        <w:rPr>
          <w:rFonts w:hint="eastAsia" w:ascii="宋体" w:hAnsi="宋体" w:cs="宋体"/>
          <w:color w:val="auto"/>
          <w:szCs w:val="21"/>
          <w:highlight w:val="none"/>
        </w:rPr>
        <w:t>供应商（公章）：</w:t>
      </w:r>
      <w:r>
        <w:rPr>
          <w:rFonts w:hint="eastAsia" w:ascii="宋体" w:hAnsi="宋体" w:cs="宋体"/>
          <w:color w:val="auto"/>
          <w:szCs w:val="21"/>
          <w:highlight w:val="none"/>
          <w:u w:val="single"/>
        </w:rPr>
        <w:t xml:space="preserve">                         </w:t>
      </w:r>
    </w:p>
    <w:p>
      <w:pPr>
        <w:spacing w:line="480" w:lineRule="auto"/>
        <w:ind w:firstLine="4410" w:firstLineChars="2100"/>
        <w:rPr>
          <w:rFonts w:ascii="宋体" w:hAnsi="宋体" w:cs="宋体"/>
          <w:color w:val="auto"/>
          <w:szCs w:val="21"/>
          <w:highlight w:val="none"/>
          <w:u w:val="single"/>
        </w:rPr>
      </w:pPr>
      <w:r>
        <w:rPr>
          <w:rFonts w:hint="eastAsia" w:ascii="宋体" w:hAnsi="宋体" w:cs="宋体"/>
          <w:color w:val="auto"/>
          <w:szCs w:val="21"/>
          <w:highlight w:val="none"/>
        </w:rPr>
        <w:t>法定代表（签字或盖章）：</w:t>
      </w:r>
      <w:r>
        <w:rPr>
          <w:rFonts w:hint="eastAsia" w:ascii="宋体" w:hAnsi="宋体" w:cs="宋体"/>
          <w:color w:val="auto"/>
          <w:szCs w:val="21"/>
          <w:highlight w:val="none"/>
          <w:u w:val="single"/>
        </w:rPr>
        <w:t xml:space="preserve">                 </w:t>
      </w:r>
    </w:p>
    <w:p>
      <w:pPr>
        <w:spacing w:line="480" w:lineRule="auto"/>
        <w:ind w:firstLine="4410" w:firstLineChars="2100"/>
        <w:rPr>
          <w:rFonts w:ascii="宋体" w:hAnsi="宋体" w:cs="宋体"/>
          <w:color w:val="auto"/>
          <w:szCs w:val="21"/>
          <w:highlight w:val="none"/>
          <w:u w:val="singl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pPr>
        <w:adjustRightInd w:val="0"/>
        <w:snapToGrid w:val="0"/>
        <w:spacing w:line="360" w:lineRule="auto"/>
        <w:jc w:val="center"/>
        <w:rPr>
          <w:rFonts w:ascii="宋体" w:hAnsi="宋体" w:cs="宋体"/>
          <w:b/>
          <w:bCs/>
          <w:color w:val="auto"/>
          <w:szCs w:val="21"/>
          <w:highlight w:val="none"/>
        </w:rPr>
      </w:pPr>
      <w:r>
        <w:rPr>
          <w:rFonts w:hint="eastAsia" w:ascii="宋体" w:hAnsi="宋体" w:cs="宋体"/>
          <w:color w:val="auto"/>
          <w:szCs w:val="21"/>
          <w:highlight w:val="none"/>
          <w:u w:val="single"/>
        </w:rPr>
        <w:br w:type="page"/>
      </w:r>
      <w:bookmarkStart w:id="795" w:name="_Toc482775583"/>
      <w:r>
        <w:rPr>
          <w:rFonts w:hint="eastAsia" w:ascii="宋体" w:hAnsi="宋体" w:cs="宋体"/>
          <w:b/>
          <w:bCs/>
          <w:color w:val="auto"/>
          <w:sz w:val="28"/>
          <w:szCs w:val="28"/>
          <w:highlight w:val="none"/>
        </w:rPr>
        <w:t>拒绝政府采购领域商业贿赂承诺书</w:t>
      </w:r>
      <w:bookmarkEnd w:id="795"/>
    </w:p>
    <w:p>
      <w:pPr>
        <w:autoSpaceDE w:val="0"/>
        <w:autoSpaceDN w:val="0"/>
        <w:adjustRightInd w:val="0"/>
        <w:spacing w:line="48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为响应党中央、国务院关于治理政府采购领域商业贿赂行为的号召，我公司在此庄严承诺：</w:t>
      </w:r>
      <w:r>
        <w:rPr>
          <w:rFonts w:hint="eastAsia" w:ascii="宋体" w:hAnsi="宋体" w:cs="宋体"/>
          <w:color w:val="auto"/>
          <w:szCs w:val="21"/>
          <w:highlight w:val="none"/>
          <w:lang w:val="zh-CN"/>
        </w:rPr>
        <w:br w:type="textWrapping"/>
      </w:r>
      <w:r>
        <w:rPr>
          <w:rFonts w:hint="eastAsia" w:ascii="宋体" w:hAnsi="宋体" w:cs="宋体"/>
          <w:color w:val="auto"/>
          <w:szCs w:val="21"/>
          <w:highlight w:val="none"/>
          <w:lang w:val="zh-CN"/>
        </w:rPr>
        <w:t xml:space="preserve">    一、在参与政府采购活动中遵纪守法、诚信经营、公平竞标。</w:t>
      </w:r>
      <w:r>
        <w:rPr>
          <w:rFonts w:hint="eastAsia" w:ascii="宋体" w:hAnsi="宋体" w:cs="宋体"/>
          <w:color w:val="auto"/>
          <w:szCs w:val="21"/>
          <w:highlight w:val="none"/>
          <w:lang w:val="zh-CN"/>
        </w:rPr>
        <w:br w:type="textWrapping"/>
      </w:r>
      <w:r>
        <w:rPr>
          <w:rFonts w:hint="eastAsia" w:ascii="宋体" w:hAnsi="宋体" w:cs="宋体"/>
          <w:color w:val="auto"/>
          <w:szCs w:val="21"/>
          <w:highlight w:val="none"/>
          <w:lang w:val="zh-CN"/>
        </w:rPr>
        <w:t xml:space="preserve">    二、不向政府采购人、采购代理机构和政府采购评审专家进行任何形式的商业贿赂以谋取交易机会。</w:t>
      </w:r>
      <w:r>
        <w:rPr>
          <w:rFonts w:hint="eastAsia" w:ascii="宋体" w:hAnsi="宋体" w:cs="宋体"/>
          <w:color w:val="auto"/>
          <w:szCs w:val="21"/>
          <w:highlight w:val="none"/>
          <w:lang w:val="zh-CN"/>
        </w:rPr>
        <w:br w:type="textWrapping"/>
      </w:r>
      <w:r>
        <w:rPr>
          <w:rFonts w:hint="eastAsia" w:ascii="宋体" w:hAnsi="宋体" w:cs="宋体"/>
          <w:color w:val="auto"/>
          <w:szCs w:val="21"/>
          <w:highlight w:val="none"/>
          <w:lang w:val="zh-CN"/>
        </w:rPr>
        <w:t xml:space="preserve">    三、不向政府采购代理机构和采购人提供虚假资质证明文件或采用虚假应标方式参与政府采购市场竞争并谋取中标、成交。</w:t>
      </w:r>
      <w:r>
        <w:rPr>
          <w:rFonts w:hint="eastAsia" w:ascii="宋体" w:hAnsi="宋体" w:cs="宋体"/>
          <w:color w:val="auto"/>
          <w:szCs w:val="21"/>
          <w:highlight w:val="none"/>
          <w:lang w:val="zh-CN"/>
        </w:rPr>
        <w:br w:type="textWrapping"/>
      </w:r>
      <w:r>
        <w:rPr>
          <w:rFonts w:hint="eastAsia" w:ascii="宋体" w:hAnsi="宋体" w:cs="宋体"/>
          <w:color w:val="auto"/>
          <w:szCs w:val="21"/>
          <w:highlight w:val="none"/>
          <w:lang w:val="zh-CN"/>
        </w:rPr>
        <w:t xml:space="preserve">    四、不采取“围标、陪标”等商业欺诈手段获得政府采购订单。</w:t>
      </w:r>
      <w:r>
        <w:rPr>
          <w:rFonts w:hint="eastAsia" w:ascii="宋体" w:hAnsi="宋体" w:cs="宋体"/>
          <w:color w:val="auto"/>
          <w:szCs w:val="21"/>
          <w:highlight w:val="none"/>
          <w:lang w:val="zh-CN"/>
        </w:rPr>
        <w:br w:type="textWrapping"/>
      </w:r>
      <w:r>
        <w:rPr>
          <w:rFonts w:hint="eastAsia" w:ascii="宋体" w:hAnsi="宋体" w:cs="宋体"/>
          <w:color w:val="auto"/>
          <w:szCs w:val="21"/>
          <w:highlight w:val="none"/>
          <w:lang w:val="zh-CN"/>
        </w:rPr>
        <w:t xml:space="preserve">    五、不采取不正当手段诋毁、排挤其他供应商。</w:t>
      </w:r>
      <w:r>
        <w:rPr>
          <w:rFonts w:hint="eastAsia" w:ascii="宋体" w:hAnsi="宋体" w:cs="宋体"/>
          <w:color w:val="auto"/>
          <w:szCs w:val="21"/>
          <w:highlight w:val="none"/>
          <w:lang w:val="zh-CN"/>
        </w:rPr>
        <w:br w:type="textWrapping"/>
      </w:r>
      <w:r>
        <w:rPr>
          <w:rFonts w:hint="eastAsia" w:ascii="宋体" w:hAnsi="宋体" w:cs="宋体"/>
          <w:color w:val="auto"/>
          <w:szCs w:val="21"/>
          <w:highlight w:val="none"/>
          <w:lang w:val="zh-CN"/>
        </w:rPr>
        <w:t xml:space="preserve">    六、不在提供货物和服务时“偷梁换柱、以次充好”损害采购人的合法权益。</w:t>
      </w:r>
      <w:r>
        <w:rPr>
          <w:rFonts w:hint="eastAsia" w:ascii="宋体" w:hAnsi="宋体" w:cs="宋体"/>
          <w:color w:val="auto"/>
          <w:szCs w:val="21"/>
          <w:highlight w:val="none"/>
          <w:lang w:val="zh-CN"/>
        </w:rPr>
        <w:br w:type="textWrapping"/>
      </w:r>
      <w:r>
        <w:rPr>
          <w:rFonts w:hint="eastAsia" w:ascii="宋体" w:hAnsi="宋体" w:cs="宋体"/>
          <w:color w:val="auto"/>
          <w:szCs w:val="21"/>
          <w:highlight w:val="none"/>
          <w:lang w:val="zh-CN"/>
        </w:rPr>
        <w:t xml:space="preserve">    七、不与采购人、采购代理机构、政府采购评审专家或其它供应商恶意串通，进行质疑和投诉，维护政府采购市场秩序。</w:t>
      </w:r>
      <w:r>
        <w:rPr>
          <w:rFonts w:hint="eastAsia" w:ascii="宋体" w:hAnsi="宋体" w:cs="宋体"/>
          <w:color w:val="auto"/>
          <w:szCs w:val="21"/>
          <w:highlight w:val="none"/>
          <w:lang w:val="zh-CN"/>
        </w:rPr>
        <w:br w:type="textWrapping"/>
      </w:r>
      <w:r>
        <w:rPr>
          <w:rFonts w:hint="eastAsia" w:ascii="宋体" w:hAnsi="宋体" w:cs="宋体"/>
          <w:color w:val="auto"/>
          <w:szCs w:val="21"/>
          <w:highlight w:val="none"/>
          <w:lang w:val="zh-CN"/>
        </w:rPr>
        <w:t xml:space="preserve">    八、尊重和接受政府采购监督管理部门的监督和政府采购代理机构招标采购要求，承担因违约行为给采购人造成的损失。</w:t>
      </w:r>
      <w:r>
        <w:rPr>
          <w:rFonts w:hint="eastAsia" w:ascii="宋体" w:hAnsi="宋体" w:cs="宋体"/>
          <w:color w:val="auto"/>
          <w:szCs w:val="21"/>
          <w:highlight w:val="none"/>
          <w:lang w:val="zh-CN"/>
        </w:rPr>
        <w:br w:type="textWrapping"/>
      </w:r>
      <w:r>
        <w:rPr>
          <w:rFonts w:hint="eastAsia" w:ascii="宋体" w:hAnsi="宋体" w:cs="宋体"/>
          <w:color w:val="auto"/>
          <w:szCs w:val="21"/>
          <w:highlight w:val="none"/>
          <w:lang w:val="zh-CN"/>
        </w:rPr>
        <w:t xml:space="preserve">    九、不发生其他有悖于政府采购公开、公平、公正和诚信原则的行为</w:t>
      </w:r>
    </w:p>
    <w:p>
      <w:pPr>
        <w:spacing w:line="480" w:lineRule="auto"/>
        <w:ind w:firstLine="1680" w:firstLineChars="800"/>
        <w:rPr>
          <w:rFonts w:ascii="宋体" w:hAnsi="宋体" w:cs="宋体"/>
          <w:color w:val="auto"/>
          <w:szCs w:val="21"/>
          <w:highlight w:val="none"/>
        </w:rPr>
      </w:pPr>
    </w:p>
    <w:p>
      <w:pPr>
        <w:spacing w:line="480" w:lineRule="auto"/>
        <w:ind w:firstLine="5250" w:firstLineChars="2500"/>
        <w:rPr>
          <w:rFonts w:ascii="宋体" w:hAnsi="宋体" w:cs="宋体"/>
          <w:color w:val="auto"/>
          <w:szCs w:val="21"/>
          <w:highlight w:val="none"/>
          <w:u w:val="single"/>
        </w:rPr>
      </w:pPr>
      <w:r>
        <w:rPr>
          <w:rFonts w:hint="eastAsia" w:ascii="宋体" w:hAnsi="宋体" w:cs="宋体"/>
          <w:color w:val="auto"/>
          <w:szCs w:val="21"/>
          <w:highlight w:val="none"/>
        </w:rPr>
        <w:t>供应商（公章）：</w:t>
      </w:r>
      <w:r>
        <w:rPr>
          <w:rFonts w:hint="eastAsia" w:ascii="宋体" w:hAnsi="宋体" w:cs="宋体"/>
          <w:color w:val="auto"/>
          <w:szCs w:val="21"/>
          <w:highlight w:val="none"/>
          <w:u w:val="single"/>
        </w:rPr>
        <w:t xml:space="preserve">                         </w:t>
      </w:r>
    </w:p>
    <w:p>
      <w:pPr>
        <w:spacing w:line="480" w:lineRule="auto"/>
        <w:ind w:firstLine="5250" w:firstLineChars="2500"/>
        <w:rPr>
          <w:rFonts w:ascii="宋体" w:hAnsi="宋体" w:cs="宋体"/>
          <w:color w:val="auto"/>
          <w:szCs w:val="21"/>
          <w:highlight w:val="none"/>
          <w:u w:val="single"/>
        </w:rPr>
      </w:pPr>
      <w:r>
        <w:rPr>
          <w:rFonts w:hint="eastAsia" w:ascii="宋体" w:hAnsi="宋体" w:cs="宋体"/>
          <w:color w:val="auto"/>
          <w:szCs w:val="21"/>
          <w:highlight w:val="none"/>
        </w:rPr>
        <w:t>法定代表人（签字或盖章）：</w:t>
      </w:r>
      <w:r>
        <w:rPr>
          <w:rFonts w:hint="eastAsia" w:ascii="宋体" w:hAnsi="宋体" w:cs="宋体"/>
          <w:color w:val="auto"/>
          <w:szCs w:val="21"/>
          <w:highlight w:val="none"/>
          <w:u w:val="single"/>
        </w:rPr>
        <w:t xml:space="preserve">               </w:t>
      </w:r>
    </w:p>
    <w:p>
      <w:pPr>
        <w:spacing w:line="480" w:lineRule="auto"/>
        <w:ind w:firstLine="5250" w:firstLineChars="2500"/>
        <w:rPr>
          <w:rFonts w:ascii="宋体" w:hAnsi="宋体" w:cs="宋体"/>
          <w:b/>
          <w:bCs/>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pPr>
        <w:pStyle w:val="20"/>
        <w:ind w:firstLine="211"/>
        <w:rPr>
          <w:rFonts w:ascii="宋体" w:hAnsi="宋体" w:eastAsia="宋体" w:cs="宋体"/>
          <w:b/>
          <w:bCs/>
          <w:sz w:val="21"/>
          <w:szCs w:val="21"/>
          <w:highlight w:val="none"/>
        </w:rPr>
      </w:pPr>
    </w:p>
    <w:p>
      <w:pPr>
        <w:pStyle w:val="20"/>
        <w:ind w:firstLine="211"/>
        <w:rPr>
          <w:rFonts w:ascii="宋体" w:hAnsi="宋体" w:eastAsia="宋体" w:cs="宋体"/>
          <w:b/>
          <w:bCs/>
          <w:sz w:val="21"/>
          <w:szCs w:val="21"/>
          <w:highlight w:val="none"/>
        </w:rPr>
      </w:pPr>
    </w:p>
    <w:p>
      <w:pPr>
        <w:pStyle w:val="20"/>
        <w:ind w:firstLine="211"/>
        <w:rPr>
          <w:rFonts w:ascii="宋体" w:hAnsi="宋体" w:eastAsia="宋体" w:cs="宋体"/>
          <w:b/>
          <w:bCs/>
          <w:sz w:val="21"/>
          <w:szCs w:val="21"/>
          <w:highlight w:val="none"/>
        </w:rPr>
      </w:pPr>
    </w:p>
    <w:p>
      <w:pPr>
        <w:pStyle w:val="20"/>
        <w:ind w:firstLine="211"/>
        <w:rPr>
          <w:rFonts w:ascii="宋体" w:hAnsi="宋体" w:eastAsia="宋体" w:cs="宋体"/>
          <w:b/>
          <w:bCs/>
          <w:sz w:val="21"/>
          <w:szCs w:val="21"/>
          <w:highlight w:val="none"/>
        </w:rPr>
      </w:pPr>
    </w:p>
    <w:p>
      <w:pPr>
        <w:pStyle w:val="20"/>
        <w:ind w:firstLine="211"/>
        <w:rPr>
          <w:rFonts w:ascii="宋体" w:hAnsi="宋体" w:eastAsia="宋体" w:cs="宋体"/>
          <w:b/>
          <w:bCs/>
          <w:sz w:val="21"/>
          <w:szCs w:val="21"/>
          <w:highlight w:val="none"/>
        </w:rPr>
      </w:pPr>
    </w:p>
    <w:p>
      <w:pPr>
        <w:pStyle w:val="20"/>
        <w:ind w:firstLine="211"/>
        <w:rPr>
          <w:rFonts w:ascii="宋体" w:hAnsi="宋体" w:eastAsia="宋体" w:cs="宋体"/>
          <w:b/>
          <w:bCs/>
          <w:sz w:val="21"/>
          <w:szCs w:val="21"/>
          <w:highlight w:val="none"/>
        </w:rPr>
      </w:pPr>
    </w:p>
    <w:p>
      <w:pPr>
        <w:pStyle w:val="20"/>
        <w:ind w:firstLine="211"/>
        <w:rPr>
          <w:rFonts w:ascii="宋体" w:hAnsi="宋体" w:eastAsia="宋体" w:cs="宋体"/>
          <w:b/>
          <w:bCs/>
          <w:sz w:val="21"/>
          <w:szCs w:val="21"/>
          <w:highlight w:val="none"/>
        </w:rPr>
      </w:pPr>
    </w:p>
    <w:p>
      <w:pPr>
        <w:pStyle w:val="20"/>
        <w:ind w:firstLine="211"/>
        <w:rPr>
          <w:rFonts w:ascii="宋体" w:hAnsi="宋体" w:eastAsia="宋体" w:cs="宋体"/>
          <w:b/>
          <w:bCs/>
          <w:sz w:val="21"/>
          <w:szCs w:val="21"/>
          <w:highlight w:val="none"/>
        </w:rPr>
      </w:pPr>
    </w:p>
    <w:p>
      <w:pPr>
        <w:rPr>
          <w:rFonts w:ascii="宋体" w:hAnsi="宋体" w:eastAsia="宋体" w:cs="宋体"/>
          <w:b/>
          <w:bCs/>
          <w:sz w:val="21"/>
          <w:szCs w:val="21"/>
          <w:highlight w:val="none"/>
        </w:rPr>
      </w:pPr>
    </w:p>
    <w:p>
      <w:pPr>
        <w:pStyle w:val="2"/>
        <w:rPr>
          <w:rFonts w:ascii="宋体" w:hAnsi="宋体" w:eastAsia="宋体" w:cs="宋体"/>
          <w:b/>
          <w:bCs/>
          <w:sz w:val="21"/>
          <w:szCs w:val="21"/>
          <w:highlight w:val="none"/>
        </w:rPr>
      </w:pPr>
    </w:p>
    <w:p/>
    <w:p>
      <w:pPr>
        <w:pStyle w:val="20"/>
        <w:ind w:firstLine="211"/>
        <w:rPr>
          <w:rFonts w:ascii="宋体" w:hAnsi="宋体" w:eastAsia="宋体" w:cs="宋体"/>
          <w:b/>
          <w:bCs/>
          <w:sz w:val="21"/>
          <w:szCs w:val="21"/>
          <w:highlight w:val="none"/>
        </w:rPr>
      </w:pPr>
    </w:p>
    <w:p>
      <w:pPr>
        <w:pStyle w:val="20"/>
        <w:ind w:firstLine="211"/>
        <w:rPr>
          <w:rFonts w:ascii="宋体" w:hAnsi="宋体" w:eastAsia="宋体" w:cs="宋体"/>
          <w:b/>
          <w:bCs/>
          <w:sz w:val="21"/>
          <w:szCs w:val="21"/>
          <w:highlight w:val="none"/>
        </w:rPr>
      </w:pPr>
    </w:p>
    <w:p>
      <w:pPr>
        <w:adjustRightInd w:val="0"/>
        <w:snapToGrid w:val="0"/>
        <w:spacing w:line="360" w:lineRule="auto"/>
        <w:jc w:val="center"/>
        <w:outlineLvl w:val="0"/>
        <w:rPr>
          <w:rFonts w:ascii="宋体" w:hAnsi="宋体" w:cs="宋体"/>
          <w:b/>
          <w:bCs/>
          <w:color w:val="auto"/>
          <w:sz w:val="28"/>
          <w:szCs w:val="28"/>
          <w:highlight w:val="none"/>
        </w:rPr>
      </w:pPr>
      <w:bookmarkStart w:id="796" w:name="_Toc21497"/>
      <w:bookmarkStart w:id="797" w:name="_Toc6548"/>
      <w:bookmarkStart w:id="798" w:name="_Toc9614"/>
      <w:bookmarkStart w:id="799" w:name="_Toc4764"/>
      <w:bookmarkStart w:id="800" w:name="_Toc1397"/>
      <w:r>
        <w:rPr>
          <w:rFonts w:hint="eastAsia" w:ascii="宋体" w:hAnsi="宋体" w:cs="宋体"/>
          <w:b/>
          <w:bCs/>
          <w:color w:val="auto"/>
          <w:sz w:val="28"/>
          <w:szCs w:val="28"/>
          <w:highlight w:val="none"/>
        </w:rPr>
        <w:t>具有履行本合同所必需的设备和专业技术能力的承诺函</w:t>
      </w:r>
      <w:bookmarkEnd w:id="796"/>
      <w:bookmarkEnd w:id="797"/>
      <w:bookmarkEnd w:id="798"/>
      <w:bookmarkEnd w:id="799"/>
      <w:bookmarkEnd w:id="800"/>
    </w:p>
    <w:p>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 </w:t>
      </w:r>
    </w:p>
    <w:p>
      <w:pPr>
        <w:spacing w:line="480" w:lineRule="exact"/>
        <w:jc w:val="left"/>
        <w:rPr>
          <w:rFonts w:ascii="宋体" w:hAnsi="宋体" w:cs="宋体"/>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p>
    <w:p>
      <w:pPr>
        <w:spacing w:line="480" w:lineRule="exact"/>
        <w:jc w:val="left"/>
        <w:rPr>
          <w:rFonts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480" w:lineRule="exact"/>
        <w:jc w:val="left"/>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 xml:space="preserve">              （采购人）</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u w:val="single"/>
        </w:rPr>
        <w:t xml:space="preserve">             （供应商）</w:t>
      </w:r>
      <w:r>
        <w:rPr>
          <w:rFonts w:hint="eastAsia" w:ascii="宋体" w:hAnsi="宋体" w:cs="宋体"/>
          <w:color w:val="auto"/>
          <w:szCs w:val="21"/>
          <w:highlight w:val="none"/>
        </w:rPr>
        <w:t>郑重声明，我公司具有履行合同所必需的设备和专业技术能力，在合同签订前后随时愿意提供相关证明材料，符合法律法规规定的资格条件。我方对以上声明负全部法律责任。</w:t>
      </w:r>
    </w:p>
    <w:p>
      <w:pPr>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特此声明。</w:t>
      </w:r>
    </w:p>
    <w:p>
      <w:pPr>
        <w:spacing w:line="480" w:lineRule="exact"/>
        <w:ind w:firstLine="2730" w:firstLineChars="1300"/>
        <w:rPr>
          <w:rFonts w:ascii="宋体" w:hAnsi="宋体" w:cs="宋体"/>
          <w:color w:val="auto"/>
          <w:szCs w:val="21"/>
          <w:highlight w:val="none"/>
        </w:rPr>
      </w:pPr>
      <w:r>
        <w:rPr>
          <w:rFonts w:hint="eastAsia" w:ascii="宋体" w:hAnsi="宋体" w:cs="宋体"/>
          <w:color w:val="auto"/>
          <w:szCs w:val="21"/>
          <w:highlight w:val="none"/>
        </w:rPr>
        <w:t>供应商：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（盖单位公章）</w:t>
      </w:r>
    </w:p>
    <w:p>
      <w:pPr>
        <w:spacing w:beforeLines="100" w:afterLines="100" w:line="480" w:lineRule="exact"/>
        <w:ind w:firstLine="2730" w:firstLineChars="1300"/>
        <w:rPr>
          <w:rFonts w:ascii="宋体" w:hAnsi="宋体" w:cs="宋体"/>
          <w:bCs/>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（签字或盖章）</w:t>
      </w:r>
    </w:p>
    <w:p>
      <w:pPr>
        <w:spacing w:line="480" w:lineRule="exact"/>
        <w:ind w:right="504" w:firstLine="2730" w:firstLineChars="1300"/>
        <w:rPr>
          <w:rFonts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月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pStyle w:val="20"/>
        <w:ind w:firstLine="211"/>
        <w:rPr>
          <w:rFonts w:ascii="宋体" w:hAnsi="宋体" w:eastAsia="宋体" w:cs="宋体"/>
          <w:b/>
          <w:bCs/>
          <w:sz w:val="21"/>
          <w:szCs w:val="21"/>
          <w:highlight w:val="none"/>
        </w:rPr>
      </w:pPr>
    </w:p>
    <w:p>
      <w:pPr>
        <w:pStyle w:val="20"/>
        <w:ind w:firstLine="211"/>
        <w:rPr>
          <w:rFonts w:ascii="宋体" w:hAnsi="宋体" w:eastAsia="宋体" w:cs="宋体"/>
          <w:b/>
          <w:bCs/>
          <w:sz w:val="21"/>
          <w:szCs w:val="21"/>
          <w:highlight w:val="none"/>
        </w:rPr>
      </w:pPr>
    </w:p>
    <w:p>
      <w:pPr>
        <w:pStyle w:val="20"/>
        <w:ind w:firstLine="211"/>
        <w:rPr>
          <w:rFonts w:ascii="宋体" w:hAnsi="宋体" w:eastAsia="宋体" w:cs="宋体"/>
          <w:b/>
          <w:bCs/>
          <w:sz w:val="21"/>
          <w:szCs w:val="21"/>
          <w:highlight w:val="none"/>
        </w:rPr>
      </w:pPr>
    </w:p>
    <w:p>
      <w:pPr>
        <w:pStyle w:val="20"/>
        <w:ind w:firstLine="211"/>
        <w:rPr>
          <w:rFonts w:ascii="宋体" w:hAnsi="宋体" w:eastAsia="宋体" w:cs="宋体"/>
          <w:b/>
          <w:bCs/>
          <w:sz w:val="21"/>
          <w:szCs w:val="21"/>
          <w:highlight w:val="none"/>
        </w:rPr>
      </w:pPr>
    </w:p>
    <w:p>
      <w:pPr>
        <w:rPr>
          <w:rFonts w:ascii="宋体" w:hAnsi="宋体" w:cs="宋体"/>
          <w:b/>
          <w:bCs/>
          <w:color w:val="auto"/>
          <w:szCs w:val="21"/>
          <w:highlight w:val="none"/>
        </w:rPr>
      </w:pPr>
    </w:p>
    <w:p>
      <w:pPr>
        <w:pStyle w:val="2"/>
        <w:rPr>
          <w:rFonts w:ascii="宋体" w:hAnsi="宋体" w:cs="宋体"/>
          <w:b/>
          <w:bCs/>
          <w:color w:val="auto"/>
          <w:szCs w:val="21"/>
          <w:highlight w:val="none"/>
        </w:rPr>
      </w:pPr>
    </w:p>
    <w:p>
      <w:pPr>
        <w:rPr>
          <w:rFonts w:ascii="宋体" w:hAnsi="宋体" w:cs="宋体"/>
          <w:b/>
          <w:bCs/>
          <w:color w:val="auto"/>
          <w:szCs w:val="21"/>
          <w:highlight w:val="none"/>
        </w:rPr>
      </w:pPr>
    </w:p>
    <w:p>
      <w:pPr>
        <w:pStyle w:val="2"/>
        <w:rPr>
          <w:rFonts w:ascii="宋体" w:hAnsi="宋体" w:cs="宋体"/>
          <w:b/>
          <w:bCs/>
          <w:color w:val="auto"/>
          <w:szCs w:val="21"/>
          <w:highlight w:val="none"/>
        </w:rPr>
      </w:pPr>
    </w:p>
    <w:p>
      <w:pPr>
        <w:rPr>
          <w:rFonts w:ascii="宋体" w:hAnsi="宋体" w:cs="宋体"/>
          <w:b/>
          <w:bCs/>
          <w:color w:val="auto"/>
          <w:szCs w:val="21"/>
          <w:highlight w:val="none"/>
        </w:rPr>
      </w:pPr>
    </w:p>
    <w:p>
      <w:pPr>
        <w:pStyle w:val="2"/>
        <w:rPr>
          <w:rFonts w:ascii="宋体" w:hAnsi="宋体" w:cs="宋体"/>
          <w:b/>
          <w:bCs/>
          <w:color w:val="auto"/>
          <w:szCs w:val="21"/>
          <w:highlight w:val="none"/>
        </w:rPr>
      </w:pPr>
    </w:p>
    <w:p>
      <w:pPr>
        <w:rPr>
          <w:rFonts w:ascii="宋体" w:hAnsi="宋体" w:cs="宋体"/>
          <w:b/>
          <w:bCs/>
          <w:color w:val="auto"/>
          <w:szCs w:val="21"/>
          <w:highlight w:val="none"/>
        </w:rPr>
      </w:pPr>
    </w:p>
    <w:p>
      <w:pPr>
        <w:pStyle w:val="2"/>
        <w:rPr>
          <w:rFonts w:ascii="宋体" w:hAnsi="宋体" w:cs="宋体"/>
          <w:b/>
          <w:bCs/>
          <w:color w:val="auto"/>
          <w:szCs w:val="21"/>
          <w:highlight w:val="none"/>
        </w:rPr>
      </w:pPr>
    </w:p>
    <w:p>
      <w:pPr>
        <w:rPr>
          <w:rFonts w:ascii="宋体" w:hAnsi="宋体" w:cs="宋体"/>
          <w:b/>
          <w:bCs/>
          <w:color w:val="auto"/>
          <w:szCs w:val="21"/>
          <w:highlight w:val="none"/>
        </w:rPr>
      </w:pPr>
    </w:p>
    <w:p>
      <w:pPr>
        <w:pStyle w:val="2"/>
        <w:rPr>
          <w:rFonts w:ascii="宋体" w:hAnsi="宋体" w:cs="宋体"/>
          <w:b/>
          <w:bCs/>
          <w:color w:val="auto"/>
          <w:szCs w:val="21"/>
          <w:highlight w:val="none"/>
        </w:rPr>
      </w:pPr>
    </w:p>
    <w:p>
      <w:pPr>
        <w:rPr>
          <w:rFonts w:ascii="宋体" w:hAnsi="宋体" w:cs="宋体"/>
          <w:b/>
          <w:bCs/>
          <w:color w:val="auto"/>
          <w:szCs w:val="21"/>
          <w:highlight w:val="none"/>
        </w:rPr>
      </w:pPr>
    </w:p>
    <w:p>
      <w:pPr>
        <w:pStyle w:val="2"/>
        <w:rPr>
          <w:rFonts w:ascii="宋体" w:hAnsi="宋体" w:cs="宋体"/>
          <w:b/>
          <w:bCs/>
          <w:color w:val="auto"/>
          <w:szCs w:val="21"/>
          <w:highlight w:val="none"/>
        </w:rPr>
      </w:pPr>
    </w:p>
    <w:p>
      <w:pPr>
        <w:rPr>
          <w:rFonts w:ascii="宋体" w:hAnsi="宋体" w:cs="宋体"/>
          <w:b/>
          <w:bCs/>
          <w:color w:val="auto"/>
          <w:szCs w:val="21"/>
          <w:highlight w:val="none"/>
        </w:rPr>
      </w:pPr>
    </w:p>
    <w:p>
      <w:pPr>
        <w:pStyle w:val="2"/>
        <w:rPr>
          <w:color w:val="auto"/>
          <w:highlight w:val="none"/>
        </w:rPr>
      </w:pPr>
    </w:p>
    <w:p>
      <w:pPr>
        <w:pStyle w:val="20"/>
        <w:ind w:firstLine="211"/>
        <w:rPr>
          <w:rFonts w:ascii="宋体" w:hAnsi="宋体" w:eastAsia="宋体" w:cs="宋体"/>
          <w:b/>
          <w:bCs/>
          <w:sz w:val="21"/>
          <w:szCs w:val="21"/>
          <w:highlight w:val="none"/>
        </w:rPr>
      </w:pPr>
    </w:p>
    <w:p>
      <w:pPr>
        <w:pStyle w:val="20"/>
        <w:ind w:firstLine="211"/>
        <w:rPr>
          <w:rFonts w:ascii="宋体" w:hAnsi="宋体" w:eastAsia="宋体" w:cs="宋体"/>
          <w:b/>
          <w:bCs/>
          <w:sz w:val="21"/>
          <w:szCs w:val="21"/>
          <w:highlight w:val="none"/>
        </w:rPr>
      </w:pPr>
    </w:p>
    <w:p>
      <w:pPr>
        <w:pStyle w:val="9"/>
        <w:rPr>
          <w:rFonts w:ascii="宋体" w:hAnsi="宋体" w:eastAsia="宋体" w:cs="宋体"/>
          <w:color w:val="auto"/>
          <w:highlight w:val="none"/>
        </w:rPr>
      </w:pPr>
    </w:p>
    <w:p>
      <w:pPr>
        <w:pStyle w:val="6"/>
        <w:tabs>
          <w:tab w:val="left" w:pos="864"/>
        </w:tabs>
        <w:rPr>
          <w:rFonts w:ascii="宋体" w:hAnsi="宋体" w:eastAsia="宋体" w:cs="宋体"/>
          <w:color w:val="auto"/>
          <w:sz w:val="21"/>
          <w:szCs w:val="21"/>
          <w:highlight w:val="none"/>
        </w:rPr>
      </w:pPr>
      <w:bookmarkStart w:id="801" w:name="_Toc14090"/>
      <w:r>
        <w:rPr>
          <w:rFonts w:hint="eastAsia" w:ascii="宋体" w:hAnsi="宋体" w:eastAsia="宋体" w:cs="宋体"/>
          <w:color w:val="auto"/>
          <w:sz w:val="21"/>
          <w:szCs w:val="21"/>
          <w:highlight w:val="none"/>
        </w:rPr>
        <w:t>附表一  拟投入本招标项目的主要施工设备表</w:t>
      </w:r>
      <w:bookmarkEnd w:id="801"/>
    </w:p>
    <w:tbl>
      <w:tblPr>
        <w:tblStyle w:val="22"/>
        <w:tblW w:w="93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185"/>
        <w:gridCol w:w="795"/>
        <w:gridCol w:w="816"/>
        <w:gridCol w:w="816"/>
        <w:gridCol w:w="1080"/>
        <w:gridCol w:w="1260"/>
        <w:gridCol w:w="973"/>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20" w:type="dxa"/>
            <w:vAlign w:val="center"/>
          </w:tcPr>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序号</w:t>
            </w:r>
          </w:p>
        </w:tc>
        <w:tc>
          <w:tcPr>
            <w:tcW w:w="1185" w:type="dxa"/>
            <w:vAlign w:val="center"/>
          </w:tcPr>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设备名称</w:t>
            </w:r>
          </w:p>
        </w:tc>
        <w:tc>
          <w:tcPr>
            <w:tcW w:w="795" w:type="dxa"/>
            <w:vAlign w:val="center"/>
          </w:tcPr>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型号</w:t>
            </w:r>
          </w:p>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规格</w:t>
            </w:r>
          </w:p>
        </w:tc>
        <w:tc>
          <w:tcPr>
            <w:tcW w:w="816" w:type="dxa"/>
            <w:vAlign w:val="center"/>
          </w:tcPr>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数量</w:t>
            </w:r>
          </w:p>
        </w:tc>
        <w:tc>
          <w:tcPr>
            <w:tcW w:w="816" w:type="dxa"/>
            <w:vAlign w:val="center"/>
          </w:tcPr>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国别</w:t>
            </w:r>
          </w:p>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产地</w:t>
            </w:r>
          </w:p>
        </w:tc>
        <w:tc>
          <w:tcPr>
            <w:tcW w:w="1080" w:type="dxa"/>
            <w:vAlign w:val="center"/>
          </w:tcPr>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制造</w:t>
            </w:r>
          </w:p>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年份</w:t>
            </w:r>
          </w:p>
        </w:tc>
        <w:tc>
          <w:tcPr>
            <w:tcW w:w="1260" w:type="dxa"/>
            <w:vAlign w:val="center"/>
          </w:tcPr>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额定功率</w:t>
            </w:r>
          </w:p>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 KW )</w:t>
            </w:r>
          </w:p>
        </w:tc>
        <w:tc>
          <w:tcPr>
            <w:tcW w:w="973" w:type="dxa"/>
            <w:vAlign w:val="center"/>
          </w:tcPr>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生产</w:t>
            </w:r>
          </w:p>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能力</w:t>
            </w:r>
          </w:p>
        </w:tc>
        <w:tc>
          <w:tcPr>
            <w:tcW w:w="1692" w:type="dxa"/>
            <w:vAlign w:val="center"/>
          </w:tcPr>
          <w:p>
            <w:pPr>
              <w:spacing w:line="36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ind w:firstLine="420" w:firstLineChars="200"/>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7"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7"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720" w:type="dxa"/>
          </w:tcPr>
          <w:p>
            <w:pPr>
              <w:spacing w:line="360" w:lineRule="auto"/>
              <w:rPr>
                <w:rFonts w:ascii="宋体" w:hAnsi="宋体" w:cs="宋体"/>
                <w:color w:val="auto"/>
                <w:kern w:val="2"/>
                <w:szCs w:val="21"/>
                <w:highlight w:val="none"/>
              </w:rPr>
            </w:pPr>
          </w:p>
        </w:tc>
        <w:tc>
          <w:tcPr>
            <w:tcW w:w="1185" w:type="dxa"/>
          </w:tcPr>
          <w:p>
            <w:pPr>
              <w:spacing w:line="360" w:lineRule="auto"/>
              <w:rPr>
                <w:rFonts w:ascii="宋体" w:hAnsi="宋体" w:cs="宋体"/>
                <w:color w:val="auto"/>
                <w:kern w:val="2"/>
                <w:szCs w:val="21"/>
                <w:highlight w:val="none"/>
              </w:rPr>
            </w:pPr>
          </w:p>
        </w:tc>
        <w:tc>
          <w:tcPr>
            <w:tcW w:w="795"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816" w:type="dxa"/>
          </w:tcPr>
          <w:p>
            <w:pPr>
              <w:spacing w:line="360" w:lineRule="auto"/>
              <w:rPr>
                <w:rFonts w:ascii="宋体" w:hAnsi="宋体" w:cs="宋体"/>
                <w:color w:val="auto"/>
                <w:kern w:val="2"/>
                <w:szCs w:val="21"/>
                <w:highlight w:val="none"/>
              </w:rPr>
            </w:pPr>
          </w:p>
        </w:tc>
        <w:tc>
          <w:tcPr>
            <w:tcW w:w="1080" w:type="dxa"/>
          </w:tcPr>
          <w:p>
            <w:pPr>
              <w:spacing w:line="360" w:lineRule="auto"/>
              <w:rPr>
                <w:rFonts w:ascii="宋体" w:hAnsi="宋体" w:cs="宋体"/>
                <w:color w:val="auto"/>
                <w:kern w:val="2"/>
                <w:szCs w:val="21"/>
                <w:highlight w:val="none"/>
              </w:rPr>
            </w:pPr>
          </w:p>
        </w:tc>
        <w:tc>
          <w:tcPr>
            <w:tcW w:w="1260" w:type="dxa"/>
          </w:tcPr>
          <w:p>
            <w:pPr>
              <w:spacing w:line="360" w:lineRule="auto"/>
              <w:rPr>
                <w:rFonts w:ascii="宋体" w:hAnsi="宋体" w:cs="宋体"/>
                <w:color w:val="auto"/>
                <w:kern w:val="2"/>
                <w:szCs w:val="21"/>
                <w:highlight w:val="none"/>
              </w:rPr>
            </w:pPr>
          </w:p>
        </w:tc>
        <w:tc>
          <w:tcPr>
            <w:tcW w:w="973" w:type="dxa"/>
          </w:tcPr>
          <w:p>
            <w:pPr>
              <w:spacing w:line="360" w:lineRule="auto"/>
              <w:rPr>
                <w:rFonts w:ascii="宋体" w:hAnsi="宋体" w:cs="宋体"/>
                <w:color w:val="auto"/>
                <w:kern w:val="2"/>
                <w:szCs w:val="21"/>
                <w:highlight w:val="none"/>
              </w:rPr>
            </w:pPr>
          </w:p>
        </w:tc>
        <w:tc>
          <w:tcPr>
            <w:tcW w:w="1692" w:type="dxa"/>
          </w:tcPr>
          <w:p>
            <w:pPr>
              <w:spacing w:line="360" w:lineRule="auto"/>
              <w:rPr>
                <w:rFonts w:ascii="宋体" w:hAnsi="宋体" w:cs="宋体"/>
                <w:color w:val="auto"/>
                <w:kern w:val="2"/>
                <w:szCs w:val="21"/>
                <w:highlight w:val="none"/>
              </w:rPr>
            </w:pPr>
          </w:p>
        </w:tc>
      </w:tr>
    </w:tbl>
    <w:p>
      <w:pPr>
        <w:spacing w:line="360" w:lineRule="auto"/>
        <w:ind w:firstLine="420" w:firstLineChars="200"/>
        <w:rPr>
          <w:rFonts w:ascii="宋体" w:hAnsi="宋体" w:cs="宋体"/>
          <w:color w:val="auto"/>
          <w:szCs w:val="21"/>
          <w:highlight w:val="none"/>
        </w:rPr>
        <w:sectPr>
          <w:pgSz w:w="11906" w:h="16838"/>
          <w:pgMar w:top="1440" w:right="1080" w:bottom="1440" w:left="1080" w:header="851" w:footer="992" w:gutter="0"/>
          <w:cols w:space="720" w:num="1"/>
          <w:docGrid w:linePitch="312" w:charSpace="0"/>
        </w:sectPr>
      </w:pPr>
    </w:p>
    <w:p>
      <w:pPr>
        <w:pStyle w:val="6"/>
        <w:tabs>
          <w:tab w:val="left" w:pos="864"/>
        </w:tabs>
        <w:spacing w:line="240" w:lineRule="auto"/>
        <w:jc w:val="left"/>
        <w:rPr>
          <w:rFonts w:ascii="宋体" w:hAnsi="宋体" w:eastAsia="宋体" w:cs="宋体"/>
          <w:color w:val="auto"/>
          <w:sz w:val="21"/>
          <w:szCs w:val="21"/>
          <w:highlight w:val="none"/>
        </w:rPr>
      </w:pPr>
      <w:bookmarkStart w:id="802" w:name="_Toc31926"/>
      <w:bookmarkStart w:id="803" w:name="_Toc23592"/>
      <w:bookmarkStart w:id="804" w:name="_Toc21380"/>
      <w:r>
        <w:rPr>
          <w:rFonts w:hint="eastAsia" w:ascii="宋体" w:hAnsi="宋体" w:eastAsia="宋体" w:cs="宋体"/>
          <w:color w:val="auto"/>
          <w:sz w:val="21"/>
          <w:szCs w:val="21"/>
          <w:highlight w:val="none"/>
        </w:rPr>
        <w:t>附表二  劳动力计划表</w:t>
      </w:r>
      <w:bookmarkEnd w:id="802"/>
      <w:bookmarkEnd w:id="803"/>
      <w:bookmarkEnd w:id="804"/>
    </w:p>
    <w:p>
      <w:pPr>
        <w:rPr>
          <w:rFonts w:ascii="宋体" w:hAnsi="宋体" w:cs="宋体"/>
          <w:color w:val="auto"/>
          <w:szCs w:val="21"/>
          <w:highlight w:val="none"/>
        </w:rPr>
      </w:pPr>
      <w:r>
        <w:rPr>
          <w:rFonts w:hint="eastAsia" w:ascii="宋体" w:hAnsi="宋体" w:cs="宋体"/>
          <w:color w:val="auto"/>
          <w:szCs w:val="21"/>
          <w:highlight w:val="none"/>
        </w:rPr>
        <w:t xml:space="preserve">  单位：人</w:t>
      </w:r>
    </w:p>
    <w:tbl>
      <w:tblPr>
        <w:tblStyle w:val="22"/>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57"/>
        <w:gridCol w:w="1257"/>
        <w:gridCol w:w="1258"/>
        <w:gridCol w:w="1257"/>
        <w:gridCol w:w="1258"/>
        <w:gridCol w:w="1257"/>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rPr>
                <w:rFonts w:ascii="宋体" w:hAnsi="宋体" w:cs="宋体"/>
                <w:color w:val="auto"/>
                <w:kern w:val="2"/>
                <w:szCs w:val="21"/>
                <w:highlight w:val="none"/>
              </w:rPr>
            </w:pPr>
            <w:r>
              <w:rPr>
                <w:rFonts w:hint="eastAsia" w:ascii="宋体" w:hAnsi="宋体" w:cs="宋体"/>
                <w:color w:val="auto"/>
                <w:kern w:val="2"/>
                <w:szCs w:val="21"/>
                <w:highlight w:val="none"/>
              </w:rPr>
              <w:t>工种</w:t>
            </w:r>
          </w:p>
        </w:tc>
        <w:tc>
          <w:tcPr>
            <w:tcW w:w="8802" w:type="dxa"/>
            <w:gridSpan w:val="7"/>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jc w:val="center"/>
              <w:rPr>
                <w:rFonts w:ascii="宋体" w:hAnsi="宋体" w:cs="宋体"/>
                <w:color w:val="auto"/>
                <w:kern w:val="2"/>
                <w:szCs w:val="21"/>
                <w:highlight w:val="none"/>
              </w:rPr>
            </w:pPr>
            <w:r>
              <w:rPr>
                <w:rFonts w:hint="eastAsia" w:ascii="宋体" w:hAnsi="宋体" w:cs="宋体"/>
                <w:color w:val="auto"/>
                <w:kern w:val="2"/>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7"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c>
          <w:tcPr>
            <w:tcW w:w="1258" w:type="dxa"/>
            <w:tcBorders>
              <w:top w:val="outset" w:color="auto" w:sz="6" w:space="0"/>
              <w:left w:val="outset" w:color="auto" w:sz="6" w:space="0"/>
              <w:bottom w:val="outset" w:color="auto" w:sz="6" w:space="0"/>
              <w:right w:val="outset" w:color="auto" w:sz="6" w:space="0"/>
            </w:tcBorders>
            <w:vAlign w:val="center"/>
          </w:tcPr>
          <w:p>
            <w:pPr>
              <w:spacing w:line="360" w:lineRule="auto"/>
              <w:ind w:firstLine="420" w:firstLineChars="200"/>
              <w:rPr>
                <w:rFonts w:ascii="宋体" w:hAnsi="宋体" w:cs="宋体"/>
                <w:color w:val="auto"/>
                <w:kern w:val="2"/>
                <w:szCs w:val="21"/>
                <w:highlight w:val="none"/>
              </w:rPr>
            </w:pPr>
          </w:p>
        </w:tc>
      </w:tr>
    </w:tbl>
    <w:p>
      <w:pPr>
        <w:spacing w:line="360" w:lineRule="auto"/>
        <w:rPr>
          <w:rFonts w:ascii="宋体" w:hAnsi="宋体" w:cs="宋体"/>
          <w:color w:val="auto"/>
          <w:szCs w:val="21"/>
          <w:highlight w:val="none"/>
        </w:rPr>
        <w:sectPr>
          <w:pgSz w:w="11906" w:h="16838"/>
          <w:pgMar w:top="1418" w:right="1588" w:bottom="1418" w:left="1588" w:header="851" w:footer="992" w:gutter="0"/>
          <w:cols w:space="720" w:num="1"/>
          <w:docGrid w:linePitch="312" w:charSpace="0"/>
        </w:sectPr>
      </w:pPr>
    </w:p>
    <w:p>
      <w:pPr>
        <w:pStyle w:val="6"/>
        <w:tabs>
          <w:tab w:val="left" w:pos="864"/>
        </w:tabs>
        <w:rPr>
          <w:rFonts w:ascii="宋体" w:hAnsi="宋体" w:eastAsia="宋体" w:cs="宋体"/>
          <w:color w:val="auto"/>
          <w:sz w:val="21"/>
          <w:szCs w:val="21"/>
          <w:highlight w:val="none"/>
        </w:rPr>
      </w:pPr>
      <w:bookmarkStart w:id="805" w:name="_Toc6676"/>
      <w:bookmarkStart w:id="806" w:name="_Toc11934"/>
      <w:bookmarkStart w:id="807" w:name="_Toc20281"/>
      <w:r>
        <w:rPr>
          <w:rFonts w:hint="eastAsia" w:ascii="宋体" w:hAnsi="宋体" w:eastAsia="宋体" w:cs="宋体"/>
          <w:color w:val="auto"/>
          <w:sz w:val="21"/>
          <w:szCs w:val="21"/>
          <w:highlight w:val="none"/>
        </w:rPr>
        <w:t>附表三  计划开、竣工日期和施工进度网络图</w:t>
      </w:r>
      <w:bookmarkEnd w:id="805"/>
      <w:bookmarkEnd w:id="806"/>
      <w:bookmarkEnd w:id="807"/>
    </w:p>
    <w:p>
      <w:pPr>
        <w:rPr>
          <w:rFonts w:ascii="宋体" w:hAnsi="宋体" w:cs="宋体"/>
          <w:color w:val="auto"/>
          <w:szCs w:val="21"/>
          <w:highlight w:val="none"/>
        </w:r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1．供应商应递交施工进度网络图或施工进度表，说明按竞争性磋商文件要求的计划工期进行施工的各个关键日期。</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2．施工进度表可采用网络图（或横道图）表示。</w:t>
      </w:r>
    </w:p>
    <w:p>
      <w:pPr>
        <w:spacing w:line="360" w:lineRule="auto"/>
        <w:ind w:firstLine="420" w:firstLineChars="200"/>
        <w:rPr>
          <w:rFonts w:ascii="宋体" w:hAnsi="宋体" w:cs="宋体"/>
          <w:color w:val="auto"/>
          <w:szCs w:val="21"/>
          <w:highlight w:val="none"/>
        </w:rPr>
        <w:sectPr>
          <w:pgSz w:w="11906" w:h="16838"/>
          <w:pgMar w:top="1418" w:right="1588" w:bottom="1418" w:left="1588" w:header="851" w:footer="992" w:gutter="0"/>
          <w:cols w:space="720" w:num="1"/>
          <w:docGrid w:linePitch="312" w:charSpace="0"/>
        </w:sectPr>
      </w:pPr>
    </w:p>
    <w:p>
      <w:pPr>
        <w:pStyle w:val="6"/>
        <w:tabs>
          <w:tab w:val="left" w:pos="864"/>
        </w:tabs>
        <w:rPr>
          <w:rFonts w:ascii="宋体" w:hAnsi="宋体" w:eastAsia="宋体" w:cs="宋体"/>
          <w:color w:val="auto"/>
          <w:sz w:val="21"/>
          <w:szCs w:val="21"/>
          <w:highlight w:val="none"/>
        </w:rPr>
      </w:pPr>
      <w:bookmarkStart w:id="808" w:name="_Toc16603"/>
      <w:bookmarkStart w:id="809" w:name="_Toc4599"/>
      <w:bookmarkStart w:id="810" w:name="_Toc99"/>
      <w:r>
        <w:rPr>
          <w:rFonts w:hint="eastAsia" w:ascii="宋体" w:hAnsi="宋体" w:eastAsia="宋体" w:cs="宋体"/>
          <w:color w:val="auto"/>
          <w:sz w:val="21"/>
          <w:szCs w:val="21"/>
          <w:highlight w:val="none"/>
        </w:rPr>
        <w:t>附表四  施工总平面图</w:t>
      </w:r>
      <w:bookmarkEnd w:id="808"/>
      <w:bookmarkEnd w:id="809"/>
      <w:bookmarkEnd w:id="810"/>
    </w:p>
    <w:bookmarkEnd w:id="791"/>
    <w:bookmarkEnd w:id="792"/>
    <w:p>
      <w:pPr>
        <w:spacing w:line="360" w:lineRule="auto"/>
        <w:ind w:firstLine="420" w:firstLineChars="200"/>
        <w:rPr>
          <w:rFonts w:ascii="宋体" w:hAnsi="宋体" w:cs="宋体"/>
          <w:color w:val="auto"/>
          <w:szCs w:val="21"/>
          <w:highlight w:val="none"/>
        </w:rPr>
        <w:sectPr>
          <w:pgSz w:w="11906" w:h="16838"/>
          <w:pgMar w:top="1440" w:right="1080" w:bottom="1440" w:left="1080" w:header="851" w:footer="992" w:gutter="0"/>
          <w:cols w:space="720" w:num="1"/>
          <w:docGrid w:linePitch="312" w:charSpace="0"/>
        </w:sectPr>
      </w:pPr>
      <w:bookmarkStart w:id="811" w:name="_Toc22146"/>
      <w:r>
        <w:rPr>
          <w:rFonts w:hint="eastAsia" w:ascii="宋体" w:hAnsi="宋体" w:cs="宋体"/>
          <w:color w:val="auto"/>
          <w:szCs w:val="21"/>
          <w:highlight w:val="none"/>
        </w:rPr>
        <w:t>供应商应递交一份施工总平面图，绘出现场临时设施布置图表并附文字说明，说明临时设施、加工车间、现场办公、设备及仓储等设施的情况和布置</w:t>
      </w:r>
    </w:p>
    <w:p>
      <w:pPr>
        <w:outlineLvl w:val="0"/>
        <w:rPr>
          <w:rFonts w:ascii="宋体" w:hAnsi="宋体" w:cs="宋体"/>
          <w:b/>
          <w:bCs/>
          <w:color w:val="auto"/>
          <w:kern w:val="21"/>
          <w:szCs w:val="21"/>
          <w:highlight w:val="none"/>
        </w:rPr>
      </w:pPr>
      <w:r>
        <w:rPr>
          <w:rFonts w:hint="eastAsia" w:ascii="宋体" w:hAnsi="宋体" w:cs="宋体"/>
          <w:b/>
          <w:bCs/>
          <w:color w:val="auto"/>
          <w:kern w:val="21"/>
          <w:szCs w:val="21"/>
          <w:highlight w:val="none"/>
        </w:rPr>
        <w:t>附表五  项目经理简历表</w:t>
      </w:r>
      <w:bookmarkEnd w:id="811"/>
    </w:p>
    <w:tbl>
      <w:tblPr>
        <w:tblStyle w:val="22"/>
        <w:tblW w:w="91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8"/>
        <w:gridCol w:w="1892"/>
        <w:gridCol w:w="665"/>
        <w:gridCol w:w="222"/>
        <w:gridCol w:w="1557"/>
        <w:gridCol w:w="169"/>
        <w:gridCol w:w="1569"/>
        <w:gridCol w:w="18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23" w:type="dxa"/>
            <w:gridSpan w:val="2"/>
            <w:tcBorders>
              <w:top w:val="single" w:color="auto" w:sz="12" w:space="0"/>
            </w:tcBorders>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姓名</w:t>
            </w:r>
          </w:p>
        </w:tc>
        <w:tc>
          <w:tcPr>
            <w:tcW w:w="1892" w:type="dxa"/>
            <w:tcBorders>
              <w:top w:val="single" w:color="auto" w:sz="12" w:space="0"/>
            </w:tcBorders>
            <w:vAlign w:val="center"/>
          </w:tcPr>
          <w:p>
            <w:pPr>
              <w:jc w:val="center"/>
              <w:rPr>
                <w:rFonts w:ascii="宋体" w:hAnsi="宋体" w:cs="宋体"/>
                <w:color w:val="auto"/>
                <w:kern w:val="21"/>
                <w:szCs w:val="21"/>
                <w:highlight w:val="none"/>
              </w:rPr>
            </w:pPr>
          </w:p>
        </w:tc>
        <w:tc>
          <w:tcPr>
            <w:tcW w:w="887" w:type="dxa"/>
            <w:gridSpan w:val="2"/>
            <w:tcBorders>
              <w:top w:val="single" w:color="auto" w:sz="12" w:space="0"/>
            </w:tcBorders>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年龄</w:t>
            </w:r>
          </w:p>
        </w:tc>
        <w:tc>
          <w:tcPr>
            <w:tcW w:w="1557" w:type="dxa"/>
            <w:tcBorders>
              <w:top w:val="single" w:color="auto" w:sz="12" w:space="0"/>
            </w:tcBorders>
            <w:vAlign w:val="center"/>
          </w:tcPr>
          <w:p>
            <w:pPr>
              <w:jc w:val="center"/>
              <w:rPr>
                <w:rFonts w:ascii="宋体" w:hAnsi="宋体" w:cs="宋体"/>
                <w:color w:val="auto"/>
                <w:kern w:val="21"/>
                <w:szCs w:val="21"/>
                <w:highlight w:val="none"/>
              </w:rPr>
            </w:pPr>
          </w:p>
        </w:tc>
        <w:tc>
          <w:tcPr>
            <w:tcW w:w="1738" w:type="dxa"/>
            <w:gridSpan w:val="2"/>
            <w:tcBorders>
              <w:top w:val="single" w:color="auto" w:sz="12" w:space="0"/>
            </w:tcBorders>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学历</w:t>
            </w:r>
          </w:p>
        </w:tc>
        <w:tc>
          <w:tcPr>
            <w:tcW w:w="1890" w:type="dxa"/>
            <w:tcBorders>
              <w:top w:val="single" w:color="auto" w:sz="12" w:space="0"/>
            </w:tcBorders>
            <w:vAlign w:val="center"/>
          </w:tcPr>
          <w:p>
            <w:pPr>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23" w:type="dxa"/>
            <w:gridSpan w:val="2"/>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职称</w:t>
            </w:r>
          </w:p>
        </w:tc>
        <w:tc>
          <w:tcPr>
            <w:tcW w:w="1892" w:type="dxa"/>
            <w:vAlign w:val="center"/>
          </w:tcPr>
          <w:p>
            <w:pPr>
              <w:jc w:val="center"/>
              <w:rPr>
                <w:rFonts w:ascii="宋体" w:hAnsi="宋体" w:cs="宋体"/>
                <w:color w:val="auto"/>
                <w:kern w:val="21"/>
                <w:szCs w:val="21"/>
                <w:highlight w:val="none"/>
              </w:rPr>
            </w:pPr>
          </w:p>
        </w:tc>
        <w:tc>
          <w:tcPr>
            <w:tcW w:w="887" w:type="dxa"/>
            <w:gridSpan w:val="2"/>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职务</w:t>
            </w:r>
          </w:p>
        </w:tc>
        <w:tc>
          <w:tcPr>
            <w:tcW w:w="1557" w:type="dxa"/>
            <w:vAlign w:val="center"/>
          </w:tcPr>
          <w:p>
            <w:pPr>
              <w:jc w:val="center"/>
              <w:rPr>
                <w:rFonts w:ascii="宋体" w:hAnsi="宋体" w:cs="宋体"/>
                <w:color w:val="auto"/>
                <w:kern w:val="21"/>
                <w:szCs w:val="21"/>
                <w:highlight w:val="none"/>
              </w:rPr>
            </w:pPr>
          </w:p>
        </w:tc>
        <w:tc>
          <w:tcPr>
            <w:tcW w:w="1738" w:type="dxa"/>
            <w:gridSpan w:val="2"/>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拟在本合同任职</w:t>
            </w:r>
          </w:p>
        </w:tc>
        <w:tc>
          <w:tcPr>
            <w:tcW w:w="1890" w:type="dxa"/>
            <w:vAlign w:val="center"/>
          </w:tcPr>
          <w:p>
            <w:pPr>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23" w:type="dxa"/>
            <w:gridSpan w:val="2"/>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毕业学校</w:t>
            </w:r>
          </w:p>
        </w:tc>
        <w:tc>
          <w:tcPr>
            <w:tcW w:w="7964" w:type="dxa"/>
            <w:gridSpan w:val="7"/>
            <w:vAlign w:val="center"/>
          </w:tcPr>
          <w:p>
            <w:pPr>
              <w:ind w:firstLine="840" w:firstLineChars="400"/>
              <w:jc w:val="center"/>
              <w:rPr>
                <w:rFonts w:ascii="宋体" w:hAnsi="宋体" w:cs="宋体"/>
                <w:color w:val="auto"/>
                <w:kern w:val="21"/>
                <w:szCs w:val="21"/>
                <w:highlight w:val="none"/>
              </w:rPr>
            </w:pPr>
            <w:r>
              <w:rPr>
                <w:rFonts w:hint="eastAsia" w:ascii="宋体" w:hAnsi="宋体" w:cs="宋体"/>
                <w:color w:val="auto"/>
                <w:kern w:val="21"/>
                <w:szCs w:val="21"/>
                <w:highlight w:val="none"/>
              </w:rPr>
              <w:t>年毕业于         学校           专业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187" w:type="dxa"/>
            <w:gridSpan w:val="9"/>
            <w:vAlign w:val="center"/>
          </w:tcPr>
          <w:p>
            <w:pPr>
              <w:ind w:firstLine="420" w:firstLineChars="200"/>
              <w:jc w:val="center"/>
              <w:rPr>
                <w:rFonts w:ascii="宋体" w:hAnsi="宋体" w:cs="宋体"/>
                <w:color w:val="auto"/>
                <w:kern w:val="21"/>
                <w:szCs w:val="21"/>
                <w:highlight w:val="none"/>
              </w:rPr>
            </w:pPr>
            <w:r>
              <w:rPr>
                <w:rFonts w:hint="eastAsia" w:ascii="宋体" w:hAnsi="宋体" w:cs="宋体"/>
                <w:color w:val="auto"/>
                <w:kern w:val="21"/>
                <w:szCs w:val="21"/>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15" w:type="dxa"/>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时间</w:t>
            </w:r>
          </w:p>
        </w:tc>
        <w:tc>
          <w:tcPr>
            <w:tcW w:w="2565" w:type="dxa"/>
            <w:gridSpan w:val="3"/>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参加过的项目</w:t>
            </w:r>
          </w:p>
        </w:tc>
        <w:tc>
          <w:tcPr>
            <w:tcW w:w="1948" w:type="dxa"/>
            <w:gridSpan w:val="3"/>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担任职务</w:t>
            </w:r>
          </w:p>
        </w:tc>
        <w:tc>
          <w:tcPr>
            <w:tcW w:w="3459" w:type="dxa"/>
            <w:gridSpan w:val="2"/>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15" w:type="dxa"/>
            <w:vAlign w:val="center"/>
          </w:tcPr>
          <w:p>
            <w:pPr>
              <w:jc w:val="center"/>
              <w:rPr>
                <w:rFonts w:ascii="宋体" w:hAnsi="宋体" w:cs="宋体"/>
                <w:color w:val="auto"/>
                <w:kern w:val="21"/>
                <w:szCs w:val="21"/>
                <w:highlight w:val="none"/>
              </w:rPr>
            </w:pPr>
          </w:p>
        </w:tc>
        <w:tc>
          <w:tcPr>
            <w:tcW w:w="2565" w:type="dxa"/>
            <w:gridSpan w:val="3"/>
            <w:vAlign w:val="center"/>
          </w:tcPr>
          <w:p>
            <w:pPr>
              <w:jc w:val="center"/>
              <w:rPr>
                <w:rFonts w:ascii="宋体" w:hAnsi="宋体" w:cs="宋体"/>
                <w:color w:val="auto"/>
                <w:kern w:val="21"/>
                <w:szCs w:val="21"/>
                <w:highlight w:val="none"/>
              </w:rPr>
            </w:pPr>
          </w:p>
        </w:tc>
        <w:tc>
          <w:tcPr>
            <w:tcW w:w="1948" w:type="dxa"/>
            <w:gridSpan w:val="3"/>
            <w:vAlign w:val="center"/>
          </w:tcPr>
          <w:p>
            <w:pPr>
              <w:jc w:val="center"/>
              <w:rPr>
                <w:rFonts w:ascii="宋体" w:hAnsi="宋体" w:cs="宋体"/>
                <w:color w:val="auto"/>
                <w:kern w:val="21"/>
                <w:szCs w:val="21"/>
                <w:highlight w:val="none"/>
              </w:rPr>
            </w:pPr>
          </w:p>
        </w:tc>
        <w:tc>
          <w:tcPr>
            <w:tcW w:w="3459" w:type="dxa"/>
            <w:gridSpan w:val="2"/>
            <w:vAlign w:val="center"/>
          </w:tcPr>
          <w:p>
            <w:pPr>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15" w:type="dxa"/>
            <w:vAlign w:val="center"/>
          </w:tcPr>
          <w:p>
            <w:pPr>
              <w:jc w:val="center"/>
              <w:rPr>
                <w:rFonts w:ascii="宋体" w:hAnsi="宋体" w:cs="宋体"/>
                <w:color w:val="auto"/>
                <w:kern w:val="21"/>
                <w:szCs w:val="21"/>
                <w:highlight w:val="none"/>
              </w:rPr>
            </w:pPr>
          </w:p>
        </w:tc>
        <w:tc>
          <w:tcPr>
            <w:tcW w:w="2565" w:type="dxa"/>
            <w:gridSpan w:val="3"/>
            <w:vAlign w:val="center"/>
          </w:tcPr>
          <w:p>
            <w:pPr>
              <w:jc w:val="center"/>
              <w:rPr>
                <w:rFonts w:ascii="宋体" w:hAnsi="宋体" w:cs="宋体"/>
                <w:color w:val="auto"/>
                <w:kern w:val="21"/>
                <w:szCs w:val="21"/>
                <w:highlight w:val="none"/>
              </w:rPr>
            </w:pPr>
          </w:p>
        </w:tc>
        <w:tc>
          <w:tcPr>
            <w:tcW w:w="1948" w:type="dxa"/>
            <w:gridSpan w:val="3"/>
            <w:vAlign w:val="center"/>
          </w:tcPr>
          <w:p>
            <w:pPr>
              <w:jc w:val="center"/>
              <w:rPr>
                <w:rFonts w:ascii="宋体" w:hAnsi="宋体" w:cs="宋体"/>
                <w:color w:val="auto"/>
                <w:kern w:val="21"/>
                <w:szCs w:val="21"/>
                <w:highlight w:val="none"/>
              </w:rPr>
            </w:pPr>
          </w:p>
        </w:tc>
        <w:tc>
          <w:tcPr>
            <w:tcW w:w="3459" w:type="dxa"/>
            <w:gridSpan w:val="2"/>
            <w:vAlign w:val="center"/>
          </w:tcPr>
          <w:p>
            <w:pPr>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15" w:type="dxa"/>
            <w:vAlign w:val="center"/>
          </w:tcPr>
          <w:p>
            <w:pPr>
              <w:jc w:val="center"/>
              <w:rPr>
                <w:rFonts w:ascii="宋体" w:hAnsi="宋体" w:cs="宋体"/>
                <w:color w:val="auto"/>
                <w:kern w:val="21"/>
                <w:szCs w:val="21"/>
                <w:highlight w:val="none"/>
              </w:rPr>
            </w:pPr>
          </w:p>
        </w:tc>
        <w:tc>
          <w:tcPr>
            <w:tcW w:w="2565" w:type="dxa"/>
            <w:gridSpan w:val="3"/>
            <w:vAlign w:val="center"/>
          </w:tcPr>
          <w:p>
            <w:pPr>
              <w:jc w:val="center"/>
              <w:rPr>
                <w:rFonts w:ascii="宋体" w:hAnsi="宋体" w:cs="宋体"/>
                <w:color w:val="auto"/>
                <w:kern w:val="21"/>
                <w:szCs w:val="21"/>
                <w:highlight w:val="none"/>
              </w:rPr>
            </w:pPr>
          </w:p>
        </w:tc>
        <w:tc>
          <w:tcPr>
            <w:tcW w:w="1948" w:type="dxa"/>
            <w:gridSpan w:val="3"/>
            <w:vAlign w:val="center"/>
          </w:tcPr>
          <w:p>
            <w:pPr>
              <w:jc w:val="center"/>
              <w:rPr>
                <w:rFonts w:ascii="宋体" w:hAnsi="宋体" w:cs="宋体"/>
                <w:color w:val="auto"/>
                <w:kern w:val="21"/>
                <w:szCs w:val="21"/>
                <w:highlight w:val="none"/>
              </w:rPr>
            </w:pPr>
          </w:p>
        </w:tc>
        <w:tc>
          <w:tcPr>
            <w:tcW w:w="3459" w:type="dxa"/>
            <w:gridSpan w:val="2"/>
            <w:vAlign w:val="center"/>
          </w:tcPr>
          <w:p>
            <w:pPr>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15" w:type="dxa"/>
            <w:vAlign w:val="center"/>
          </w:tcPr>
          <w:p>
            <w:pPr>
              <w:jc w:val="center"/>
              <w:rPr>
                <w:rFonts w:ascii="宋体" w:hAnsi="宋体" w:cs="宋体"/>
                <w:color w:val="auto"/>
                <w:kern w:val="21"/>
                <w:szCs w:val="21"/>
                <w:highlight w:val="none"/>
              </w:rPr>
            </w:pPr>
          </w:p>
        </w:tc>
        <w:tc>
          <w:tcPr>
            <w:tcW w:w="2565" w:type="dxa"/>
            <w:gridSpan w:val="3"/>
            <w:vAlign w:val="center"/>
          </w:tcPr>
          <w:p>
            <w:pPr>
              <w:jc w:val="center"/>
              <w:rPr>
                <w:rFonts w:ascii="宋体" w:hAnsi="宋体" w:cs="宋体"/>
                <w:color w:val="auto"/>
                <w:kern w:val="21"/>
                <w:szCs w:val="21"/>
                <w:highlight w:val="none"/>
              </w:rPr>
            </w:pPr>
          </w:p>
        </w:tc>
        <w:tc>
          <w:tcPr>
            <w:tcW w:w="1948" w:type="dxa"/>
            <w:gridSpan w:val="3"/>
            <w:vAlign w:val="center"/>
          </w:tcPr>
          <w:p>
            <w:pPr>
              <w:jc w:val="center"/>
              <w:rPr>
                <w:rFonts w:ascii="宋体" w:hAnsi="宋体" w:cs="宋体"/>
                <w:color w:val="auto"/>
                <w:kern w:val="21"/>
                <w:szCs w:val="21"/>
                <w:highlight w:val="none"/>
              </w:rPr>
            </w:pPr>
          </w:p>
        </w:tc>
        <w:tc>
          <w:tcPr>
            <w:tcW w:w="3459" w:type="dxa"/>
            <w:gridSpan w:val="2"/>
            <w:vAlign w:val="center"/>
          </w:tcPr>
          <w:p>
            <w:pPr>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15" w:type="dxa"/>
            <w:vAlign w:val="center"/>
          </w:tcPr>
          <w:p>
            <w:pPr>
              <w:jc w:val="center"/>
              <w:rPr>
                <w:rFonts w:ascii="宋体" w:hAnsi="宋体" w:cs="宋体"/>
                <w:color w:val="auto"/>
                <w:kern w:val="21"/>
                <w:szCs w:val="21"/>
                <w:highlight w:val="none"/>
              </w:rPr>
            </w:pPr>
          </w:p>
        </w:tc>
        <w:tc>
          <w:tcPr>
            <w:tcW w:w="2565" w:type="dxa"/>
            <w:gridSpan w:val="3"/>
            <w:vAlign w:val="center"/>
          </w:tcPr>
          <w:p>
            <w:pPr>
              <w:jc w:val="center"/>
              <w:rPr>
                <w:rFonts w:ascii="宋体" w:hAnsi="宋体" w:cs="宋体"/>
                <w:color w:val="auto"/>
                <w:kern w:val="21"/>
                <w:szCs w:val="21"/>
                <w:highlight w:val="none"/>
              </w:rPr>
            </w:pPr>
          </w:p>
        </w:tc>
        <w:tc>
          <w:tcPr>
            <w:tcW w:w="1948" w:type="dxa"/>
            <w:gridSpan w:val="3"/>
            <w:vAlign w:val="center"/>
          </w:tcPr>
          <w:p>
            <w:pPr>
              <w:jc w:val="center"/>
              <w:rPr>
                <w:rFonts w:ascii="宋体" w:hAnsi="宋体" w:cs="宋体"/>
                <w:color w:val="auto"/>
                <w:kern w:val="21"/>
                <w:szCs w:val="21"/>
                <w:highlight w:val="none"/>
              </w:rPr>
            </w:pPr>
          </w:p>
        </w:tc>
        <w:tc>
          <w:tcPr>
            <w:tcW w:w="3459" w:type="dxa"/>
            <w:gridSpan w:val="2"/>
            <w:vAlign w:val="center"/>
          </w:tcPr>
          <w:p>
            <w:pPr>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15" w:type="dxa"/>
            <w:vAlign w:val="center"/>
          </w:tcPr>
          <w:p>
            <w:pPr>
              <w:jc w:val="center"/>
              <w:rPr>
                <w:rFonts w:ascii="宋体" w:hAnsi="宋体" w:cs="宋体"/>
                <w:color w:val="auto"/>
                <w:kern w:val="21"/>
                <w:szCs w:val="21"/>
                <w:highlight w:val="none"/>
              </w:rPr>
            </w:pPr>
          </w:p>
        </w:tc>
        <w:tc>
          <w:tcPr>
            <w:tcW w:w="2565" w:type="dxa"/>
            <w:gridSpan w:val="3"/>
            <w:vAlign w:val="center"/>
          </w:tcPr>
          <w:p>
            <w:pPr>
              <w:jc w:val="center"/>
              <w:rPr>
                <w:rFonts w:ascii="宋体" w:hAnsi="宋体" w:cs="宋体"/>
                <w:color w:val="auto"/>
                <w:kern w:val="21"/>
                <w:szCs w:val="21"/>
                <w:highlight w:val="none"/>
              </w:rPr>
            </w:pPr>
          </w:p>
        </w:tc>
        <w:tc>
          <w:tcPr>
            <w:tcW w:w="1948" w:type="dxa"/>
            <w:gridSpan w:val="3"/>
            <w:vAlign w:val="center"/>
          </w:tcPr>
          <w:p>
            <w:pPr>
              <w:jc w:val="center"/>
              <w:rPr>
                <w:rFonts w:ascii="宋体" w:hAnsi="宋体" w:cs="宋体"/>
                <w:color w:val="auto"/>
                <w:kern w:val="21"/>
                <w:szCs w:val="21"/>
                <w:highlight w:val="none"/>
              </w:rPr>
            </w:pPr>
          </w:p>
        </w:tc>
        <w:tc>
          <w:tcPr>
            <w:tcW w:w="3459" w:type="dxa"/>
            <w:gridSpan w:val="2"/>
            <w:vAlign w:val="center"/>
          </w:tcPr>
          <w:p>
            <w:pPr>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15" w:type="dxa"/>
            <w:vAlign w:val="center"/>
          </w:tcPr>
          <w:p>
            <w:pPr>
              <w:jc w:val="center"/>
              <w:rPr>
                <w:rFonts w:ascii="宋体" w:hAnsi="宋体" w:cs="宋体"/>
                <w:color w:val="auto"/>
                <w:kern w:val="21"/>
                <w:szCs w:val="21"/>
                <w:highlight w:val="none"/>
              </w:rPr>
            </w:pPr>
          </w:p>
        </w:tc>
        <w:tc>
          <w:tcPr>
            <w:tcW w:w="2565" w:type="dxa"/>
            <w:gridSpan w:val="3"/>
            <w:vAlign w:val="center"/>
          </w:tcPr>
          <w:p>
            <w:pPr>
              <w:jc w:val="center"/>
              <w:rPr>
                <w:rFonts w:ascii="宋体" w:hAnsi="宋体" w:cs="宋体"/>
                <w:color w:val="auto"/>
                <w:kern w:val="21"/>
                <w:szCs w:val="21"/>
                <w:highlight w:val="none"/>
              </w:rPr>
            </w:pPr>
          </w:p>
        </w:tc>
        <w:tc>
          <w:tcPr>
            <w:tcW w:w="1948" w:type="dxa"/>
            <w:gridSpan w:val="3"/>
            <w:vAlign w:val="center"/>
          </w:tcPr>
          <w:p>
            <w:pPr>
              <w:jc w:val="center"/>
              <w:rPr>
                <w:rFonts w:ascii="宋体" w:hAnsi="宋体" w:cs="宋体"/>
                <w:color w:val="auto"/>
                <w:kern w:val="21"/>
                <w:szCs w:val="21"/>
                <w:highlight w:val="none"/>
              </w:rPr>
            </w:pPr>
          </w:p>
        </w:tc>
        <w:tc>
          <w:tcPr>
            <w:tcW w:w="3459" w:type="dxa"/>
            <w:gridSpan w:val="2"/>
            <w:vAlign w:val="center"/>
          </w:tcPr>
          <w:p>
            <w:pPr>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15" w:type="dxa"/>
            <w:vAlign w:val="center"/>
          </w:tcPr>
          <w:p>
            <w:pPr>
              <w:jc w:val="center"/>
              <w:rPr>
                <w:rFonts w:ascii="宋体" w:hAnsi="宋体" w:cs="宋体"/>
                <w:color w:val="auto"/>
                <w:kern w:val="21"/>
                <w:szCs w:val="21"/>
                <w:highlight w:val="none"/>
              </w:rPr>
            </w:pPr>
          </w:p>
        </w:tc>
        <w:tc>
          <w:tcPr>
            <w:tcW w:w="2565" w:type="dxa"/>
            <w:gridSpan w:val="3"/>
            <w:vAlign w:val="center"/>
          </w:tcPr>
          <w:p>
            <w:pPr>
              <w:jc w:val="center"/>
              <w:rPr>
                <w:rFonts w:ascii="宋体" w:hAnsi="宋体" w:cs="宋体"/>
                <w:color w:val="auto"/>
                <w:kern w:val="21"/>
                <w:szCs w:val="21"/>
                <w:highlight w:val="none"/>
              </w:rPr>
            </w:pPr>
          </w:p>
        </w:tc>
        <w:tc>
          <w:tcPr>
            <w:tcW w:w="1948" w:type="dxa"/>
            <w:gridSpan w:val="3"/>
            <w:vAlign w:val="center"/>
          </w:tcPr>
          <w:p>
            <w:pPr>
              <w:jc w:val="center"/>
              <w:rPr>
                <w:rFonts w:ascii="宋体" w:hAnsi="宋体" w:cs="宋体"/>
                <w:color w:val="auto"/>
                <w:kern w:val="21"/>
                <w:szCs w:val="21"/>
                <w:highlight w:val="none"/>
              </w:rPr>
            </w:pPr>
          </w:p>
        </w:tc>
        <w:tc>
          <w:tcPr>
            <w:tcW w:w="3459" w:type="dxa"/>
            <w:gridSpan w:val="2"/>
            <w:vAlign w:val="center"/>
          </w:tcPr>
          <w:p>
            <w:pPr>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15" w:type="dxa"/>
            <w:vAlign w:val="center"/>
          </w:tcPr>
          <w:p>
            <w:pPr>
              <w:jc w:val="center"/>
              <w:rPr>
                <w:rFonts w:ascii="宋体" w:hAnsi="宋体" w:cs="宋体"/>
                <w:color w:val="auto"/>
                <w:kern w:val="21"/>
                <w:szCs w:val="21"/>
                <w:highlight w:val="none"/>
              </w:rPr>
            </w:pPr>
          </w:p>
        </w:tc>
        <w:tc>
          <w:tcPr>
            <w:tcW w:w="2565" w:type="dxa"/>
            <w:gridSpan w:val="3"/>
            <w:vAlign w:val="center"/>
          </w:tcPr>
          <w:p>
            <w:pPr>
              <w:jc w:val="center"/>
              <w:rPr>
                <w:rFonts w:ascii="宋体" w:hAnsi="宋体" w:cs="宋体"/>
                <w:color w:val="auto"/>
                <w:kern w:val="21"/>
                <w:szCs w:val="21"/>
                <w:highlight w:val="none"/>
              </w:rPr>
            </w:pPr>
          </w:p>
        </w:tc>
        <w:tc>
          <w:tcPr>
            <w:tcW w:w="1948" w:type="dxa"/>
            <w:gridSpan w:val="3"/>
            <w:vAlign w:val="center"/>
          </w:tcPr>
          <w:p>
            <w:pPr>
              <w:jc w:val="center"/>
              <w:rPr>
                <w:rFonts w:ascii="宋体" w:hAnsi="宋体" w:cs="宋体"/>
                <w:color w:val="auto"/>
                <w:kern w:val="21"/>
                <w:szCs w:val="21"/>
                <w:highlight w:val="none"/>
              </w:rPr>
            </w:pPr>
          </w:p>
        </w:tc>
        <w:tc>
          <w:tcPr>
            <w:tcW w:w="3459" w:type="dxa"/>
            <w:gridSpan w:val="2"/>
            <w:vAlign w:val="center"/>
          </w:tcPr>
          <w:p>
            <w:pPr>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15" w:type="dxa"/>
            <w:vAlign w:val="center"/>
          </w:tcPr>
          <w:p>
            <w:pPr>
              <w:jc w:val="center"/>
              <w:rPr>
                <w:rFonts w:ascii="宋体" w:hAnsi="宋体" w:cs="宋体"/>
                <w:color w:val="auto"/>
                <w:kern w:val="21"/>
                <w:szCs w:val="21"/>
                <w:highlight w:val="none"/>
              </w:rPr>
            </w:pPr>
          </w:p>
        </w:tc>
        <w:tc>
          <w:tcPr>
            <w:tcW w:w="2565" w:type="dxa"/>
            <w:gridSpan w:val="3"/>
            <w:vAlign w:val="center"/>
          </w:tcPr>
          <w:p>
            <w:pPr>
              <w:jc w:val="center"/>
              <w:rPr>
                <w:rFonts w:ascii="宋体" w:hAnsi="宋体" w:cs="宋体"/>
                <w:color w:val="auto"/>
                <w:kern w:val="21"/>
                <w:szCs w:val="21"/>
                <w:highlight w:val="none"/>
              </w:rPr>
            </w:pPr>
          </w:p>
        </w:tc>
        <w:tc>
          <w:tcPr>
            <w:tcW w:w="1948" w:type="dxa"/>
            <w:gridSpan w:val="3"/>
            <w:vAlign w:val="center"/>
          </w:tcPr>
          <w:p>
            <w:pPr>
              <w:jc w:val="center"/>
              <w:rPr>
                <w:rFonts w:ascii="宋体" w:hAnsi="宋体" w:cs="宋体"/>
                <w:color w:val="auto"/>
                <w:kern w:val="21"/>
                <w:szCs w:val="21"/>
                <w:highlight w:val="none"/>
              </w:rPr>
            </w:pPr>
          </w:p>
        </w:tc>
        <w:tc>
          <w:tcPr>
            <w:tcW w:w="3459" w:type="dxa"/>
            <w:gridSpan w:val="2"/>
            <w:vAlign w:val="center"/>
          </w:tcPr>
          <w:p>
            <w:pPr>
              <w:jc w:val="center"/>
              <w:rPr>
                <w:rFonts w:ascii="宋体" w:hAnsi="宋体" w:cs="宋体"/>
                <w:color w:val="auto"/>
                <w:kern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15" w:type="dxa"/>
            <w:tcBorders>
              <w:bottom w:val="single" w:color="auto" w:sz="12" w:space="0"/>
            </w:tcBorders>
            <w:vAlign w:val="center"/>
          </w:tcPr>
          <w:p>
            <w:pPr>
              <w:jc w:val="center"/>
              <w:rPr>
                <w:rFonts w:ascii="宋体" w:hAnsi="宋体" w:cs="宋体"/>
                <w:color w:val="auto"/>
                <w:kern w:val="21"/>
                <w:szCs w:val="21"/>
                <w:highlight w:val="none"/>
              </w:rPr>
            </w:pPr>
          </w:p>
        </w:tc>
        <w:tc>
          <w:tcPr>
            <w:tcW w:w="2565" w:type="dxa"/>
            <w:gridSpan w:val="3"/>
            <w:tcBorders>
              <w:bottom w:val="single" w:color="auto" w:sz="12" w:space="0"/>
            </w:tcBorders>
            <w:vAlign w:val="center"/>
          </w:tcPr>
          <w:p>
            <w:pPr>
              <w:jc w:val="center"/>
              <w:rPr>
                <w:rFonts w:ascii="宋体" w:hAnsi="宋体" w:cs="宋体"/>
                <w:color w:val="auto"/>
                <w:kern w:val="21"/>
                <w:szCs w:val="21"/>
                <w:highlight w:val="none"/>
              </w:rPr>
            </w:pPr>
          </w:p>
        </w:tc>
        <w:tc>
          <w:tcPr>
            <w:tcW w:w="1948" w:type="dxa"/>
            <w:gridSpan w:val="3"/>
            <w:tcBorders>
              <w:bottom w:val="single" w:color="auto" w:sz="12" w:space="0"/>
            </w:tcBorders>
            <w:vAlign w:val="center"/>
          </w:tcPr>
          <w:p>
            <w:pPr>
              <w:jc w:val="center"/>
              <w:rPr>
                <w:rFonts w:ascii="宋体" w:hAnsi="宋体" w:cs="宋体"/>
                <w:color w:val="auto"/>
                <w:kern w:val="21"/>
                <w:szCs w:val="21"/>
                <w:highlight w:val="none"/>
              </w:rPr>
            </w:pPr>
          </w:p>
        </w:tc>
        <w:tc>
          <w:tcPr>
            <w:tcW w:w="3459" w:type="dxa"/>
            <w:gridSpan w:val="2"/>
            <w:tcBorders>
              <w:bottom w:val="single" w:color="auto" w:sz="12" w:space="0"/>
            </w:tcBorders>
            <w:vAlign w:val="center"/>
          </w:tcPr>
          <w:p>
            <w:pPr>
              <w:jc w:val="center"/>
              <w:rPr>
                <w:rFonts w:ascii="宋体" w:hAnsi="宋体" w:cs="宋体"/>
                <w:color w:val="auto"/>
                <w:kern w:val="21"/>
                <w:szCs w:val="21"/>
                <w:highlight w:val="none"/>
              </w:rPr>
            </w:pPr>
          </w:p>
        </w:tc>
      </w:tr>
    </w:tbl>
    <w:p>
      <w:pPr>
        <w:spacing w:line="360" w:lineRule="auto"/>
        <w:ind w:firstLine="420" w:firstLineChars="200"/>
        <w:rPr>
          <w:rFonts w:ascii="宋体" w:hAnsi="宋体" w:cs="宋体"/>
          <w:color w:val="auto"/>
          <w:kern w:val="21"/>
          <w:szCs w:val="21"/>
          <w:highlight w:val="none"/>
        </w:rPr>
      </w:pPr>
      <w:r>
        <w:rPr>
          <w:rFonts w:hint="eastAsia" w:ascii="宋体" w:hAnsi="宋体" w:cs="宋体"/>
          <w:color w:val="auto"/>
          <w:kern w:val="21"/>
          <w:szCs w:val="21"/>
          <w:highlight w:val="none"/>
        </w:rPr>
        <w:t>注：项目经理须附身份证、毕业证、注册证、安全生产考核合格B证、职称证等复印件或扫描件以及未担任其它在建项目的承诺，参加过的项目业绩须附中标通知书或施工合同复印件或扫描件(限于以项目经理身份参与的项目)。所有复印件加盖单位公章。</w:t>
      </w:r>
    </w:p>
    <w:p>
      <w:pPr>
        <w:spacing w:line="360" w:lineRule="auto"/>
        <w:ind w:firstLine="420" w:firstLineChars="200"/>
        <w:rPr>
          <w:rFonts w:ascii="宋体" w:hAnsi="宋体" w:cs="宋体"/>
          <w:color w:val="auto"/>
          <w:kern w:val="21"/>
          <w:szCs w:val="21"/>
          <w:highlight w:val="none"/>
        </w:rPr>
      </w:pPr>
    </w:p>
    <w:p>
      <w:pPr>
        <w:jc w:val="center"/>
        <w:rPr>
          <w:rFonts w:ascii="宋体" w:hAnsi="宋体" w:cs="宋体"/>
          <w:b/>
          <w:color w:val="auto"/>
          <w:kern w:val="21"/>
          <w:szCs w:val="21"/>
          <w:highlight w:val="none"/>
        </w:rPr>
      </w:pPr>
    </w:p>
    <w:p>
      <w:pPr>
        <w:jc w:val="center"/>
        <w:rPr>
          <w:rFonts w:ascii="宋体" w:hAnsi="宋体" w:cs="宋体"/>
          <w:b/>
          <w:color w:val="auto"/>
          <w:kern w:val="21"/>
          <w:szCs w:val="21"/>
          <w:highlight w:val="none"/>
        </w:rPr>
      </w:pPr>
    </w:p>
    <w:p>
      <w:pPr>
        <w:pStyle w:val="9"/>
        <w:rPr>
          <w:rFonts w:ascii="宋体" w:hAnsi="宋体" w:eastAsia="宋体" w:cs="宋体"/>
          <w:color w:val="auto"/>
          <w:kern w:val="21"/>
          <w:highlight w:val="none"/>
        </w:rPr>
      </w:pPr>
    </w:p>
    <w:p>
      <w:pPr>
        <w:pStyle w:val="9"/>
        <w:rPr>
          <w:rFonts w:ascii="宋体" w:hAnsi="宋体" w:eastAsia="宋体" w:cs="宋体"/>
          <w:b/>
          <w:color w:val="auto"/>
          <w:kern w:val="21"/>
          <w:sz w:val="21"/>
          <w:szCs w:val="21"/>
          <w:highlight w:val="none"/>
        </w:rPr>
      </w:pPr>
    </w:p>
    <w:p>
      <w:pPr>
        <w:pStyle w:val="9"/>
        <w:rPr>
          <w:rFonts w:ascii="宋体" w:hAnsi="宋体" w:eastAsia="宋体" w:cs="宋体"/>
          <w:color w:val="auto"/>
          <w:kern w:val="21"/>
          <w:sz w:val="21"/>
          <w:szCs w:val="21"/>
          <w:highlight w:val="none"/>
        </w:rPr>
      </w:pPr>
    </w:p>
    <w:p>
      <w:pPr>
        <w:jc w:val="left"/>
        <w:outlineLvl w:val="0"/>
        <w:rPr>
          <w:rFonts w:ascii="宋体" w:hAnsi="宋体" w:cs="宋体"/>
          <w:b/>
          <w:color w:val="auto"/>
          <w:kern w:val="21"/>
          <w:szCs w:val="21"/>
          <w:highlight w:val="none"/>
        </w:rPr>
      </w:pPr>
      <w:bookmarkStart w:id="812" w:name="_Toc4665"/>
      <w:r>
        <w:rPr>
          <w:rFonts w:hint="eastAsia" w:ascii="宋体" w:hAnsi="宋体" w:cs="宋体"/>
          <w:b/>
          <w:color w:val="auto"/>
          <w:kern w:val="21"/>
          <w:szCs w:val="21"/>
          <w:highlight w:val="none"/>
        </w:rPr>
        <w:t>附表六  拟派往人员组成情况表</w:t>
      </w:r>
      <w:bookmarkEnd w:id="812"/>
    </w:p>
    <w:tbl>
      <w:tblPr>
        <w:tblStyle w:val="22"/>
        <w:tblW w:w="95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22"/>
        <w:gridCol w:w="1080"/>
        <w:gridCol w:w="1080"/>
        <w:gridCol w:w="1080"/>
        <w:gridCol w:w="1356"/>
        <w:gridCol w:w="2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姓名</w:t>
            </w:r>
          </w:p>
        </w:tc>
        <w:tc>
          <w:tcPr>
            <w:tcW w:w="1122" w:type="dxa"/>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性别</w:t>
            </w:r>
          </w:p>
        </w:tc>
        <w:tc>
          <w:tcPr>
            <w:tcW w:w="1080" w:type="dxa"/>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年龄</w:t>
            </w:r>
          </w:p>
        </w:tc>
        <w:tc>
          <w:tcPr>
            <w:tcW w:w="1080" w:type="dxa"/>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职称</w:t>
            </w:r>
          </w:p>
        </w:tc>
        <w:tc>
          <w:tcPr>
            <w:tcW w:w="1080" w:type="dxa"/>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专业</w:t>
            </w:r>
          </w:p>
        </w:tc>
        <w:tc>
          <w:tcPr>
            <w:tcW w:w="1356" w:type="dxa"/>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证书编号</w:t>
            </w:r>
          </w:p>
        </w:tc>
        <w:tc>
          <w:tcPr>
            <w:tcW w:w="2604" w:type="dxa"/>
            <w:vAlign w:val="center"/>
          </w:tcPr>
          <w:p>
            <w:pPr>
              <w:jc w:val="center"/>
              <w:rPr>
                <w:rFonts w:ascii="宋体" w:hAnsi="宋体" w:cs="宋体"/>
                <w:color w:val="auto"/>
                <w:kern w:val="21"/>
                <w:szCs w:val="21"/>
                <w:highlight w:val="none"/>
              </w:rPr>
            </w:pPr>
            <w:r>
              <w:rPr>
                <w:rFonts w:hint="eastAsia" w:ascii="宋体" w:hAnsi="宋体" w:cs="宋体"/>
                <w:color w:val="auto"/>
                <w:kern w:val="21"/>
                <w:szCs w:val="21"/>
                <w:highlight w:val="none"/>
              </w:rPr>
              <w:t>拟在本项目中担任的工作或岗位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p>
        </w:tc>
        <w:tc>
          <w:tcPr>
            <w:tcW w:w="1122"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356" w:type="dxa"/>
            <w:vAlign w:val="center"/>
          </w:tcPr>
          <w:p>
            <w:pPr>
              <w:jc w:val="center"/>
              <w:rPr>
                <w:rFonts w:ascii="宋体" w:hAnsi="宋体" w:cs="宋体"/>
                <w:color w:val="auto"/>
                <w:kern w:val="21"/>
                <w:szCs w:val="21"/>
                <w:highlight w:val="none"/>
              </w:rPr>
            </w:pPr>
          </w:p>
        </w:tc>
        <w:tc>
          <w:tcPr>
            <w:tcW w:w="2604" w:type="dxa"/>
            <w:vAlign w:val="center"/>
          </w:tcPr>
          <w:p>
            <w:pPr>
              <w:jc w:val="center"/>
              <w:rPr>
                <w:rFonts w:ascii="宋体" w:hAnsi="宋体" w:cs="宋体"/>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p>
        </w:tc>
        <w:tc>
          <w:tcPr>
            <w:tcW w:w="1122"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356" w:type="dxa"/>
            <w:vAlign w:val="center"/>
          </w:tcPr>
          <w:p>
            <w:pPr>
              <w:jc w:val="center"/>
              <w:rPr>
                <w:rFonts w:ascii="宋体" w:hAnsi="宋体" w:cs="宋体"/>
                <w:color w:val="auto"/>
                <w:kern w:val="21"/>
                <w:szCs w:val="21"/>
                <w:highlight w:val="none"/>
              </w:rPr>
            </w:pPr>
          </w:p>
        </w:tc>
        <w:tc>
          <w:tcPr>
            <w:tcW w:w="2604" w:type="dxa"/>
            <w:vAlign w:val="center"/>
          </w:tcPr>
          <w:p>
            <w:pPr>
              <w:jc w:val="center"/>
              <w:rPr>
                <w:rFonts w:ascii="宋体" w:hAnsi="宋体" w:cs="宋体"/>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p>
        </w:tc>
        <w:tc>
          <w:tcPr>
            <w:tcW w:w="1122"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356" w:type="dxa"/>
            <w:vAlign w:val="center"/>
          </w:tcPr>
          <w:p>
            <w:pPr>
              <w:jc w:val="center"/>
              <w:rPr>
                <w:rFonts w:ascii="宋体" w:hAnsi="宋体" w:cs="宋体"/>
                <w:color w:val="auto"/>
                <w:kern w:val="21"/>
                <w:szCs w:val="21"/>
                <w:highlight w:val="none"/>
              </w:rPr>
            </w:pPr>
          </w:p>
        </w:tc>
        <w:tc>
          <w:tcPr>
            <w:tcW w:w="2604" w:type="dxa"/>
            <w:vAlign w:val="center"/>
          </w:tcPr>
          <w:p>
            <w:pPr>
              <w:jc w:val="center"/>
              <w:rPr>
                <w:rFonts w:ascii="宋体" w:hAnsi="宋体" w:cs="宋体"/>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p>
        </w:tc>
        <w:tc>
          <w:tcPr>
            <w:tcW w:w="1122"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356" w:type="dxa"/>
            <w:vAlign w:val="center"/>
          </w:tcPr>
          <w:p>
            <w:pPr>
              <w:jc w:val="center"/>
              <w:rPr>
                <w:rFonts w:ascii="宋体" w:hAnsi="宋体" w:cs="宋体"/>
                <w:color w:val="auto"/>
                <w:kern w:val="21"/>
                <w:szCs w:val="21"/>
                <w:highlight w:val="none"/>
              </w:rPr>
            </w:pPr>
          </w:p>
        </w:tc>
        <w:tc>
          <w:tcPr>
            <w:tcW w:w="2604" w:type="dxa"/>
            <w:vAlign w:val="center"/>
          </w:tcPr>
          <w:p>
            <w:pPr>
              <w:jc w:val="center"/>
              <w:rPr>
                <w:rFonts w:ascii="宋体" w:hAnsi="宋体" w:cs="宋体"/>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p>
        </w:tc>
        <w:tc>
          <w:tcPr>
            <w:tcW w:w="1122"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356" w:type="dxa"/>
            <w:vAlign w:val="center"/>
          </w:tcPr>
          <w:p>
            <w:pPr>
              <w:jc w:val="center"/>
              <w:rPr>
                <w:rFonts w:ascii="宋体" w:hAnsi="宋体" w:cs="宋体"/>
                <w:color w:val="auto"/>
                <w:kern w:val="21"/>
                <w:szCs w:val="21"/>
                <w:highlight w:val="none"/>
              </w:rPr>
            </w:pPr>
          </w:p>
        </w:tc>
        <w:tc>
          <w:tcPr>
            <w:tcW w:w="2604" w:type="dxa"/>
            <w:vAlign w:val="center"/>
          </w:tcPr>
          <w:p>
            <w:pPr>
              <w:jc w:val="center"/>
              <w:rPr>
                <w:rFonts w:ascii="宋体" w:hAnsi="宋体" w:cs="宋体"/>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p>
        </w:tc>
        <w:tc>
          <w:tcPr>
            <w:tcW w:w="1122"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356" w:type="dxa"/>
            <w:vAlign w:val="center"/>
          </w:tcPr>
          <w:p>
            <w:pPr>
              <w:jc w:val="center"/>
              <w:rPr>
                <w:rFonts w:ascii="宋体" w:hAnsi="宋体" w:cs="宋体"/>
                <w:color w:val="auto"/>
                <w:kern w:val="21"/>
                <w:szCs w:val="21"/>
                <w:highlight w:val="none"/>
              </w:rPr>
            </w:pPr>
          </w:p>
        </w:tc>
        <w:tc>
          <w:tcPr>
            <w:tcW w:w="2604" w:type="dxa"/>
            <w:vAlign w:val="center"/>
          </w:tcPr>
          <w:p>
            <w:pPr>
              <w:jc w:val="center"/>
              <w:rPr>
                <w:rFonts w:ascii="宋体" w:hAnsi="宋体" w:cs="宋体"/>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p>
        </w:tc>
        <w:tc>
          <w:tcPr>
            <w:tcW w:w="1122"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356" w:type="dxa"/>
            <w:vAlign w:val="center"/>
          </w:tcPr>
          <w:p>
            <w:pPr>
              <w:jc w:val="center"/>
              <w:rPr>
                <w:rFonts w:ascii="宋体" w:hAnsi="宋体" w:cs="宋体"/>
                <w:color w:val="auto"/>
                <w:kern w:val="21"/>
                <w:szCs w:val="21"/>
                <w:highlight w:val="none"/>
              </w:rPr>
            </w:pPr>
          </w:p>
        </w:tc>
        <w:tc>
          <w:tcPr>
            <w:tcW w:w="2604" w:type="dxa"/>
            <w:vAlign w:val="center"/>
          </w:tcPr>
          <w:p>
            <w:pPr>
              <w:jc w:val="center"/>
              <w:rPr>
                <w:rFonts w:ascii="宋体" w:hAnsi="宋体" w:cs="宋体"/>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p>
        </w:tc>
        <w:tc>
          <w:tcPr>
            <w:tcW w:w="1122"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356" w:type="dxa"/>
            <w:vAlign w:val="center"/>
          </w:tcPr>
          <w:p>
            <w:pPr>
              <w:jc w:val="center"/>
              <w:rPr>
                <w:rFonts w:ascii="宋体" w:hAnsi="宋体" w:cs="宋体"/>
                <w:color w:val="auto"/>
                <w:kern w:val="21"/>
                <w:szCs w:val="21"/>
                <w:highlight w:val="none"/>
              </w:rPr>
            </w:pPr>
          </w:p>
        </w:tc>
        <w:tc>
          <w:tcPr>
            <w:tcW w:w="2604" w:type="dxa"/>
            <w:vAlign w:val="center"/>
          </w:tcPr>
          <w:p>
            <w:pPr>
              <w:jc w:val="center"/>
              <w:rPr>
                <w:rFonts w:ascii="宋体" w:hAnsi="宋体" w:cs="宋体"/>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p>
        </w:tc>
        <w:tc>
          <w:tcPr>
            <w:tcW w:w="1122"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356" w:type="dxa"/>
            <w:vAlign w:val="center"/>
          </w:tcPr>
          <w:p>
            <w:pPr>
              <w:jc w:val="center"/>
              <w:rPr>
                <w:rFonts w:ascii="宋体" w:hAnsi="宋体" w:cs="宋体"/>
                <w:color w:val="auto"/>
                <w:kern w:val="21"/>
                <w:szCs w:val="21"/>
                <w:highlight w:val="none"/>
              </w:rPr>
            </w:pPr>
          </w:p>
        </w:tc>
        <w:tc>
          <w:tcPr>
            <w:tcW w:w="2604" w:type="dxa"/>
            <w:vAlign w:val="center"/>
          </w:tcPr>
          <w:p>
            <w:pPr>
              <w:jc w:val="center"/>
              <w:rPr>
                <w:rFonts w:ascii="宋体" w:hAnsi="宋体" w:cs="宋体"/>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p>
        </w:tc>
        <w:tc>
          <w:tcPr>
            <w:tcW w:w="1122"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356" w:type="dxa"/>
            <w:vAlign w:val="center"/>
          </w:tcPr>
          <w:p>
            <w:pPr>
              <w:jc w:val="center"/>
              <w:rPr>
                <w:rFonts w:ascii="宋体" w:hAnsi="宋体" w:cs="宋体"/>
                <w:color w:val="auto"/>
                <w:kern w:val="21"/>
                <w:szCs w:val="21"/>
                <w:highlight w:val="none"/>
              </w:rPr>
            </w:pPr>
          </w:p>
        </w:tc>
        <w:tc>
          <w:tcPr>
            <w:tcW w:w="2604" w:type="dxa"/>
            <w:vAlign w:val="center"/>
          </w:tcPr>
          <w:p>
            <w:pPr>
              <w:jc w:val="center"/>
              <w:rPr>
                <w:rFonts w:ascii="宋体" w:hAnsi="宋体" w:cs="宋体"/>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p>
        </w:tc>
        <w:tc>
          <w:tcPr>
            <w:tcW w:w="1122"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356" w:type="dxa"/>
            <w:vAlign w:val="center"/>
          </w:tcPr>
          <w:p>
            <w:pPr>
              <w:jc w:val="center"/>
              <w:rPr>
                <w:rFonts w:ascii="宋体" w:hAnsi="宋体" w:cs="宋体"/>
                <w:color w:val="auto"/>
                <w:kern w:val="21"/>
                <w:szCs w:val="21"/>
                <w:highlight w:val="none"/>
              </w:rPr>
            </w:pPr>
          </w:p>
        </w:tc>
        <w:tc>
          <w:tcPr>
            <w:tcW w:w="2604" w:type="dxa"/>
            <w:vAlign w:val="center"/>
          </w:tcPr>
          <w:p>
            <w:pPr>
              <w:jc w:val="center"/>
              <w:rPr>
                <w:rFonts w:ascii="宋体" w:hAnsi="宋体" w:cs="宋体"/>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88" w:type="dxa"/>
            <w:vAlign w:val="center"/>
          </w:tcPr>
          <w:p>
            <w:pPr>
              <w:jc w:val="center"/>
              <w:rPr>
                <w:rFonts w:ascii="宋体" w:hAnsi="宋体" w:cs="宋体"/>
                <w:color w:val="auto"/>
                <w:kern w:val="21"/>
                <w:szCs w:val="21"/>
                <w:highlight w:val="none"/>
              </w:rPr>
            </w:pPr>
          </w:p>
        </w:tc>
        <w:tc>
          <w:tcPr>
            <w:tcW w:w="1122"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080" w:type="dxa"/>
            <w:vAlign w:val="center"/>
          </w:tcPr>
          <w:p>
            <w:pPr>
              <w:jc w:val="center"/>
              <w:rPr>
                <w:rFonts w:ascii="宋体" w:hAnsi="宋体" w:cs="宋体"/>
                <w:color w:val="auto"/>
                <w:kern w:val="21"/>
                <w:szCs w:val="21"/>
                <w:highlight w:val="none"/>
              </w:rPr>
            </w:pPr>
          </w:p>
        </w:tc>
        <w:tc>
          <w:tcPr>
            <w:tcW w:w="1356" w:type="dxa"/>
            <w:vAlign w:val="center"/>
          </w:tcPr>
          <w:p>
            <w:pPr>
              <w:jc w:val="center"/>
              <w:rPr>
                <w:rFonts w:ascii="宋体" w:hAnsi="宋体" w:cs="宋体"/>
                <w:color w:val="auto"/>
                <w:kern w:val="21"/>
                <w:szCs w:val="21"/>
                <w:highlight w:val="none"/>
              </w:rPr>
            </w:pPr>
          </w:p>
        </w:tc>
        <w:tc>
          <w:tcPr>
            <w:tcW w:w="2604" w:type="dxa"/>
            <w:vAlign w:val="center"/>
          </w:tcPr>
          <w:p>
            <w:pPr>
              <w:jc w:val="center"/>
              <w:rPr>
                <w:rFonts w:ascii="宋体" w:hAnsi="宋体" w:cs="宋体"/>
                <w:color w:val="auto"/>
                <w:kern w:val="21"/>
                <w:szCs w:val="21"/>
                <w:highlight w:val="none"/>
              </w:rPr>
            </w:pPr>
          </w:p>
        </w:tc>
      </w:tr>
    </w:tbl>
    <w:p>
      <w:pPr>
        <w:pStyle w:val="9"/>
        <w:rPr>
          <w:rFonts w:ascii="宋体" w:hAnsi="宋体" w:eastAsia="宋体" w:cs="宋体"/>
          <w:color w:val="auto"/>
          <w:kern w:val="21"/>
          <w:sz w:val="21"/>
          <w:szCs w:val="21"/>
          <w:highlight w:val="none"/>
        </w:rPr>
      </w:pPr>
    </w:p>
    <w:p>
      <w:pPr>
        <w:spacing w:line="360" w:lineRule="auto"/>
        <w:ind w:firstLine="420" w:firstLineChars="200"/>
        <w:rPr>
          <w:rFonts w:ascii="宋体" w:hAnsi="宋体" w:cs="宋体"/>
          <w:color w:val="auto"/>
          <w:kern w:val="21"/>
          <w:szCs w:val="21"/>
          <w:highlight w:val="none"/>
        </w:rPr>
      </w:pPr>
    </w:p>
    <w:p>
      <w:pPr>
        <w:pStyle w:val="2"/>
        <w:rPr>
          <w:rFonts w:ascii="宋体" w:hAnsi="宋体" w:cs="宋体"/>
          <w:color w:val="auto"/>
          <w:kern w:val="21"/>
          <w:szCs w:val="21"/>
          <w:highlight w:val="none"/>
        </w:rPr>
      </w:pPr>
    </w:p>
    <w:p>
      <w:pPr>
        <w:rPr>
          <w:rFonts w:ascii="宋体" w:hAnsi="宋体" w:cs="宋体"/>
          <w:color w:val="auto"/>
          <w:kern w:val="21"/>
          <w:szCs w:val="21"/>
          <w:highlight w:val="none"/>
        </w:rPr>
      </w:pPr>
    </w:p>
    <w:p>
      <w:pPr>
        <w:pStyle w:val="2"/>
        <w:rPr>
          <w:color w:val="auto"/>
          <w:highlight w:val="none"/>
        </w:rPr>
      </w:pPr>
    </w:p>
    <w:p>
      <w:pPr>
        <w:spacing w:line="360" w:lineRule="auto"/>
        <w:ind w:firstLine="420" w:firstLineChars="200"/>
        <w:rPr>
          <w:rFonts w:ascii="宋体" w:hAnsi="宋体" w:cs="宋体"/>
          <w:color w:val="auto"/>
          <w:kern w:val="21"/>
          <w:highlight w:val="none"/>
        </w:rPr>
      </w:pPr>
    </w:p>
    <w:p>
      <w:pPr>
        <w:spacing w:line="360" w:lineRule="auto"/>
        <w:rPr>
          <w:rFonts w:ascii="宋体" w:hAnsi="宋体" w:cs="宋体"/>
          <w:color w:val="auto"/>
          <w:szCs w:val="21"/>
          <w:highlight w:val="none"/>
        </w:rPr>
      </w:pPr>
    </w:p>
    <w:p>
      <w:pPr>
        <w:pStyle w:val="20"/>
        <w:ind w:firstLine="0" w:firstLineChars="0"/>
        <w:rPr>
          <w:rFonts w:ascii="宋体" w:hAnsi="宋体" w:eastAsia="宋体" w:cs="宋体"/>
          <w:highlight w:val="none"/>
        </w:rPr>
      </w:pPr>
    </w:p>
    <w:bookmarkEnd w:id="793"/>
    <w:p>
      <w:pPr>
        <w:outlineLvl w:val="0"/>
        <w:rPr>
          <w:rFonts w:ascii="宋体" w:hAnsi="宋体" w:cs="宋体"/>
          <w:b/>
          <w:color w:val="auto"/>
          <w:szCs w:val="21"/>
          <w:highlight w:val="none"/>
        </w:rPr>
      </w:pPr>
      <w:bookmarkStart w:id="813" w:name="_Toc12075"/>
      <w:bookmarkStart w:id="814" w:name="_Toc6649"/>
      <w:r>
        <w:rPr>
          <w:rFonts w:hint="eastAsia" w:ascii="宋体" w:hAnsi="宋体" w:cs="宋体"/>
          <w:b/>
          <w:color w:val="auto"/>
          <w:szCs w:val="21"/>
          <w:highlight w:val="none"/>
        </w:rPr>
        <w:t>附表七  主要项目管理人员简历表</w:t>
      </w:r>
      <w:bookmarkEnd w:id="813"/>
      <w:bookmarkEnd w:id="814"/>
    </w:p>
    <w:tbl>
      <w:tblPr>
        <w:tblStyle w:val="22"/>
        <w:tblW w:w="9187"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2253"/>
        <w:gridCol w:w="2297"/>
        <w:gridCol w:w="22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340" w:type="dxa"/>
            <w:tcBorders>
              <w:top w:val="single" w:color="auto" w:sz="12" w:space="0"/>
            </w:tcBorders>
            <w:vAlign w:val="center"/>
          </w:tcPr>
          <w:p>
            <w:pPr>
              <w:jc w:val="center"/>
              <w:rPr>
                <w:rFonts w:ascii="宋体" w:hAnsi="宋体" w:cs="宋体"/>
                <w:color w:val="auto"/>
                <w:kern w:val="2"/>
                <w:szCs w:val="21"/>
                <w:highlight w:val="none"/>
              </w:rPr>
            </w:pPr>
            <w:r>
              <w:rPr>
                <w:rFonts w:hint="eastAsia" w:ascii="宋体" w:hAnsi="宋体" w:cs="宋体"/>
                <w:color w:val="auto"/>
                <w:kern w:val="2"/>
                <w:szCs w:val="21"/>
                <w:highlight w:val="none"/>
              </w:rPr>
              <w:t>岗位名称</w:t>
            </w:r>
          </w:p>
        </w:tc>
        <w:tc>
          <w:tcPr>
            <w:tcW w:w="6847" w:type="dxa"/>
            <w:gridSpan w:val="3"/>
            <w:tcBorders>
              <w:top w:val="single" w:color="auto" w:sz="12" w:space="0"/>
            </w:tcBorders>
            <w:vAlign w:val="center"/>
          </w:tcPr>
          <w:p>
            <w:pPr>
              <w:jc w:val="cente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340" w:type="dxa"/>
            <w:vAlign w:val="center"/>
          </w:tcPr>
          <w:p>
            <w:pPr>
              <w:jc w:val="center"/>
              <w:rPr>
                <w:rFonts w:ascii="宋体" w:hAnsi="宋体" w:cs="宋体"/>
                <w:color w:val="auto"/>
                <w:kern w:val="2"/>
                <w:szCs w:val="21"/>
                <w:highlight w:val="none"/>
              </w:rPr>
            </w:pPr>
            <w:r>
              <w:rPr>
                <w:rFonts w:hint="eastAsia" w:ascii="宋体" w:hAnsi="宋体" w:cs="宋体"/>
                <w:color w:val="auto"/>
                <w:kern w:val="2"/>
                <w:szCs w:val="21"/>
                <w:highlight w:val="none"/>
              </w:rPr>
              <w:t>姓名</w:t>
            </w:r>
          </w:p>
        </w:tc>
        <w:tc>
          <w:tcPr>
            <w:tcW w:w="2253" w:type="dxa"/>
            <w:vAlign w:val="center"/>
          </w:tcPr>
          <w:p>
            <w:pPr>
              <w:jc w:val="center"/>
              <w:rPr>
                <w:rFonts w:ascii="宋体" w:hAnsi="宋体" w:cs="宋体"/>
                <w:color w:val="auto"/>
                <w:kern w:val="2"/>
                <w:szCs w:val="21"/>
                <w:highlight w:val="none"/>
              </w:rPr>
            </w:pPr>
          </w:p>
        </w:tc>
        <w:tc>
          <w:tcPr>
            <w:tcW w:w="2297" w:type="dxa"/>
            <w:vAlign w:val="center"/>
          </w:tcPr>
          <w:p>
            <w:pPr>
              <w:jc w:val="center"/>
              <w:rPr>
                <w:rFonts w:ascii="宋体" w:hAnsi="宋体" w:cs="宋体"/>
                <w:color w:val="auto"/>
                <w:kern w:val="2"/>
                <w:szCs w:val="21"/>
                <w:highlight w:val="none"/>
              </w:rPr>
            </w:pPr>
            <w:r>
              <w:rPr>
                <w:rFonts w:hint="eastAsia" w:ascii="宋体" w:hAnsi="宋体" w:cs="宋体"/>
                <w:color w:val="auto"/>
                <w:kern w:val="2"/>
                <w:szCs w:val="21"/>
                <w:highlight w:val="none"/>
              </w:rPr>
              <w:t>年龄</w:t>
            </w:r>
          </w:p>
        </w:tc>
        <w:tc>
          <w:tcPr>
            <w:tcW w:w="2297" w:type="dxa"/>
            <w:vAlign w:val="center"/>
          </w:tcPr>
          <w:p>
            <w:pPr>
              <w:jc w:val="cente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340" w:type="dxa"/>
            <w:vAlign w:val="center"/>
          </w:tcPr>
          <w:p>
            <w:pPr>
              <w:jc w:val="center"/>
              <w:rPr>
                <w:rFonts w:ascii="宋体" w:hAnsi="宋体" w:cs="宋体"/>
                <w:color w:val="auto"/>
                <w:kern w:val="2"/>
                <w:szCs w:val="21"/>
                <w:highlight w:val="none"/>
              </w:rPr>
            </w:pPr>
            <w:r>
              <w:rPr>
                <w:rFonts w:hint="eastAsia" w:ascii="宋体" w:hAnsi="宋体" w:cs="宋体"/>
                <w:color w:val="auto"/>
                <w:kern w:val="2"/>
                <w:szCs w:val="21"/>
                <w:highlight w:val="none"/>
              </w:rPr>
              <w:t>性别</w:t>
            </w:r>
          </w:p>
        </w:tc>
        <w:tc>
          <w:tcPr>
            <w:tcW w:w="2253" w:type="dxa"/>
            <w:vAlign w:val="center"/>
          </w:tcPr>
          <w:p>
            <w:pPr>
              <w:jc w:val="center"/>
              <w:rPr>
                <w:rFonts w:ascii="宋体" w:hAnsi="宋体" w:cs="宋体"/>
                <w:color w:val="auto"/>
                <w:kern w:val="2"/>
                <w:szCs w:val="21"/>
                <w:highlight w:val="none"/>
              </w:rPr>
            </w:pPr>
          </w:p>
        </w:tc>
        <w:tc>
          <w:tcPr>
            <w:tcW w:w="2297" w:type="dxa"/>
            <w:vAlign w:val="center"/>
          </w:tcPr>
          <w:p>
            <w:pPr>
              <w:jc w:val="center"/>
              <w:rPr>
                <w:rFonts w:ascii="宋体" w:hAnsi="宋体" w:cs="宋体"/>
                <w:color w:val="auto"/>
                <w:kern w:val="2"/>
                <w:szCs w:val="21"/>
                <w:highlight w:val="none"/>
              </w:rPr>
            </w:pPr>
            <w:r>
              <w:rPr>
                <w:rFonts w:hint="eastAsia" w:ascii="宋体" w:hAnsi="宋体" w:cs="宋体"/>
                <w:color w:val="auto"/>
                <w:kern w:val="2"/>
                <w:szCs w:val="21"/>
                <w:highlight w:val="none"/>
              </w:rPr>
              <w:t>毕业学校</w:t>
            </w:r>
          </w:p>
        </w:tc>
        <w:tc>
          <w:tcPr>
            <w:tcW w:w="2297" w:type="dxa"/>
            <w:vAlign w:val="center"/>
          </w:tcPr>
          <w:p>
            <w:pPr>
              <w:jc w:val="cente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340" w:type="dxa"/>
            <w:vAlign w:val="center"/>
          </w:tcPr>
          <w:p>
            <w:pPr>
              <w:jc w:val="center"/>
              <w:rPr>
                <w:rFonts w:ascii="宋体" w:hAnsi="宋体" w:cs="宋体"/>
                <w:color w:val="auto"/>
                <w:kern w:val="2"/>
                <w:szCs w:val="21"/>
                <w:highlight w:val="none"/>
              </w:rPr>
            </w:pPr>
            <w:r>
              <w:rPr>
                <w:rFonts w:hint="eastAsia" w:ascii="宋体" w:hAnsi="宋体" w:cs="宋体"/>
                <w:color w:val="auto"/>
                <w:kern w:val="2"/>
                <w:szCs w:val="21"/>
                <w:highlight w:val="none"/>
              </w:rPr>
              <w:t>学历和专业</w:t>
            </w:r>
          </w:p>
        </w:tc>
        <w:tc>
          <w:tcPr>
            <w:tcW w:w="2253" w:type="dxa"/>
            <w:vAlign w:val="center"/>
          </w:tcPr>
          <w:p>
            <w:pPr>
              <w:jc w:val="center"/>
              <w:rPr>
                <w:rFonts w:ascii="宋体" w:hAnsi="宋体" w:cs="宋体"/>
                <w:color w:val="auto"/>
                <w:kern w:val="2"/>
                <w:szCs w:val="21"/>
                <w:highlight w:val="none"/>
              </w:rPr>
            </w:pPr>
          </w:p>
        </w:tc>
        <w:tc>
          <w:tcPr>
            <w:tcW w:w="2297" w:type="dxa"/>
            <w:vAlign w:val="center"/>
          </w:tcPr>
          <w:p>
            <w:pPr>
              <w:jc w:val="center"/>
              <w:rPr>
                <w:rFonts w:ascii="宋体" w:hAnsi="宋体" w:cs="宋体"/>
                <w:color w:val="auto"/>
                <w:kern w:val="2"/>
                <w:szCs w:val="21"/>
                <w:highlight w:val="none"/>
              </w:rPr>
            </w:pPr>
            <w:r>
              <w:rPr>
                <w:rFonts w:hint="eastAsia" w:ascii="宋体" w:hAnsi="宋体" w:cs="宋体"/>
                <w:color w:val="auto"/>
                <w:kern w:val="2"/>
                <w:szCs w:val="21"/>
                <w:highlight w:val="none"/>
              </w:rPr>
              <w:t>毕业时间</w:t>
            </w:r>
          </w:p>
        </w:tc>
        <w:tc>
          <w:tcPr>
            <w:tcW w:w="2297" w:type="dxa"/>
            <w:vAlign w:val="center"/>
          </w:tcPr>
          <w:p>
            <w:pPr>
              <w:jc w:val="cente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4" w:hRule="atLeast"/>
        </w:trPr>
        <w:tc>
          <w:tcPr>
            <w:tcW w:w="2340" w:type="dxa"/>
            <w:vAlign w:val="center"/>
          </w:tcPr>
          <w:p>
            <w:pPr>
              <w:jc w:val="center"/>
              <w:rPr>
                <w:rFonts w:ascii="宋体" w:hAnsi="宋体" w:cs="宋体"/>
                <w:color w:val="auto"/>
                <w:kern w:val="2"/>
                <w:szCs w:val="21"/>
                <w:highlight w:val="none"/>
              </w:rPr>
            </w:pPr>
            <w:r>
              <w:rPr>
                <w:rFonts w:hint="eastAsia" w:ascii="宋体" w:hAnsi="宋体" w:cs="宋体"/>
                <w:color w:val="auto"/>
                <w:kern w:val="2"/>
                <w:szCs w:val="21"/>
                <w:highlight w:val="none"/>
              </w:rPr>
              <w:t>拥有的执业资格</w:t>
            </w:r>
          </w:p>
        </w:tc>
        <w:tc>
          <w:tcPr>
            <w:tcW w:w="2253" w:type="dxa"/>
            <w:vAlign w:val="center"/>
          </w:tcPr>
          <w:p>
            <w:pPr>
              <w:jc w:val="center"/>
              <w:rPr>
                <w:rFonts w:ascii="宋体" w:hAnsi="宋体" w:cs="宋体"/>
                <w:color w:val="auto"/>
                <w:kern w:val="2"/>
                <w:szCs w:val="21"/>
                <w:highlight w:val="none"/>
              </w:rPr>
            </w:pPr>
          </w:p>
        </w:tc>
        <w:tc>
          <w:tcPr>
            <w:tcW w:w="2297" w:type="dxa"/>
            <w:vAlign w:val="center"/>
          </w:tcPr>
          <w:p>
            <w:pPr>
              <w:jc w:val="center"/>
              <w:rPr>
                <w:rFonts w:ascii="宋体" w:hAnsi="宋体" w:cs="宋体"/>
                <w:color w:val="auto"/>
                <w:kern w:val="2"/>
                <w:szCs w:val="21"/>
                <w:highlight w:val="none"/>
              </w:rPr>
            </w:pPr>
            <w:r>
              <w:rPr>
                <w:rFonts w:hint="eastAsia" w:ascii="宋体" w:hAnsi="宋体" w:cs="宋体"/>
                <w:color w:val="auto"/>
                <w:kern w:val="2"/>
                <w:szCs w:val="21"/>
                <w:highlight w:val="none"/>
              </w:rPr>
              <w:t>专业职称</w:t>
            </w:r>
          </w:p>
        </w:tc>
        <w:tc>
          <w:tcPr>
            <w:tcW w:w="2297" w:type="dxa"/>
            <w:vAlign w:val="center"/>
          </w:tcPr>
          <w:p>
            <w:pPr>
              <w:jc w:val="cente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340" w:type="dxa"/>
            <w:vAlign w:val="center"/>
          </w:tcPr>
          <w:p>
            <w:pPr>
              <w:jc w:val="center"/>
              <w:rPr>
                <w:rFonts w:ascii="宋体" w:hAnsi="宋体" w:cs="宋体"/>
                <w:color w:val="auto"/>
                <w:kern w:val="2"/>
                <w:szCs w:val="21"/>
                <w:highlight w:val="none"/>
              </w:rPr>
            </w:pPr>
            <w:r>
              <w:rPr>
                <w:rFonts w:hint="eastAsia" w:ascii="宋体" w:hAnsi="宋体" w:cs="宋体"/>
                <w:color w:val="auto"/>
                <w:kern w:val="2"/>
                <w:szCs w:val="21"/>
                <w:highlight w:val="none"/>
              </w:rPr>
              <w:t>执业资格证书编号</w:t>
            </w:r>
          </w:p>
        </w:tc>
        <w:tc>
          <w:tcPr>
            <w:tcW w:w="2253" w:type="dxa"/>
            <w:vAlign w:val="center"/>
          </w:tcPr>
          <w:p>
            <w:pPr>
              <w:jc w:val="center"/>
              <w:rPr>
                <w:rFonts w:ascii="宋体" w:hAnsi="宋体" w:cs="宋体"/>
                <w:color w:val="auto"/>
                <w:kern w:val="2"/>
                <w:szCs w:val="21"/>
                <w:highlight w:val="none"/>
              </w:rPr>
            </w:pPr>
          </w:p>
        </w:tc>
        <w:tc>
          <w:tcPr>
            <w:tcW w:w="2297" w:type="dxa"/>
            <w:vAlign w:val="center"/>
          </w:tcPr>
          <w:p>
            <w:pPr>
              <w:jc w:val="center"/>
              <w:rPr>
                <w:rFonts w:ascii="宋体" w:hAnsi="宋体" w:cs="宋体"/>
                <w:color w:val="auto"/>
                <w:kern w:val="2"/>
                <w:szCs w:val="21"/>
                <w:highlight w:val="none"/>
              </w:rPr>
            </w:pPr>
            <w:r>
              <w:rPr>
                <w:rFonts w:hint="eastAsia" w:ascii="宋体" w:hAnsi="宋体" w:cs="宋体"/>
                <w:color w:val="auto"/>
                <w:kern w:val="2"/>
                <w:szCs w:val="21"/>
                <w:highlight w:val="none"/>
              </w:rPr>
              <w:t>工作年限</w:t>
            </w:r>
          </w:p>
        </w:tc>
        <w:tc>
          <w:tcPr>
            <w:tcW w:w="2297" w:type="dxa"/>
            <w:vAlign w:val="center"/>
          </w:tcPr>
          <w:p>
            <w:pPr>
              <w:jc w:val="center"/>
              <w:rPr>
                <w:rFonts w:ascii="宋体" w:hAnsi="宋体" w:cs="宋体"/>
                <w:color w:val="auto"/>
                <w:kern w:val="2"/>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30" w:hRule="atLeast"/>
        </w:trPr>
        <w:tc>
          <w:tcPr>
            <w:tcW w:w="2340" w:type="dxa"/>
            <w:vAlign w:val="center"/>
          </w:tcPr>
          <w:p>
            <w:pPr>
              <w:jc w:val="center"/>
              <w:rPr>
                <w:rFonts w:ascii="宋体" w:hAnsi="宋体" w:cs="宋体"/>
                <w:color w:val="auto"/>
                <w:kern w:val="2"/>
                <w:szCs w:val="21"/>
                <w:highlight w:val="none"/>
              </w:rPr>
            </w:pPr>
            <w:r>
              <w:rPr>
                <w:rFonts w:hint="eastAsia" w:ascii="宋体" w:hAnsi="宋体" w:cs="宋体"/>
                <w:color w:val="auto"/>
                <w:kern w:val="2"/>
                <w:szCs w:val="21"/>
                <w:highlight w:val="none"/>
              </w:rPr>
              <w:t>主</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要</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工</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作</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业</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绩</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及</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担</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任</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的</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主</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要</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工</w:t>
            </w:r>
          </w:p>
          <w:p>
            <w:pPr>
              <w:jc w:val="center"/>
              <w:rPr>
                <w:rFonts w:ascii="宋体" w:hAnsi="宋体" w:cs="宋体"/>
                <w:color w:val="auto"/>
                <w:kern w:val="2"/>
                <w:szCs w:val="21"/>
                <w:highlight w:val="none"/>
              </w:rPr>
            </w:pPr>
            <w:r>
              <w:rPr>
                <w:rFonts w:hint="eastAsia" w:ascii="宋体" w:hAnsi="宋体" w:cs="宋体"/>
                <w:color w:val="auto"/>
                <w:kern w:val="2"/>
                <w:szCs w:val="21"/>
                <w:highlight w:val="none"/>
              </w:rPr>
              <w:t>作</w:t>
            </w:r>
          </w:p>
        </w:tc>
        <w:tc>
          <w:tcPr>
            <w:tcW w:w="6847" w:type="dxa"/>
            <w:gridSpan w:val="3"/>
            <w:vAlign w:val="center"/>
          </w:tcPr>
          <w:p>
            <w:pPr>
              <w:jc w:val="center"/>
              <w:rPr>
                <w:rFonts w:ascii="宋体" w:hAnsi="宋体" w:cs="宋体"/>
                <w:color w:val="auto"/>
                <w:kern w:val="2"/>
                <w:szCs w:val="21"/>
                <w:highlight w:val="none"/>
              </w:rPr>
            </w:pPr>
          </w:p>
        </w:tc>
      </w:tr>
    </w:tbl>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注：1.主要项目管理人员指：技术负责人、合同商务负责人、专职安全生产管理人员等。</w:t>
      </w:r>
    </w:p>
    <w:p>
      <w:pPr>
        <w:spacing w:line="360" w:lineRule="auto"/>
        <w:ind w:left="840"/>
        <w:rPr>
          <w:rFonts w:ascii="宋体" w:hAnsi="宋体" w:cs="宋体"/>
          <w:color w:val="auto"/>
          <w:szCs w:val="21"/>
          <w:highlight w:val="none"/>
        </w:rPr>
      </w:pPr>
      <w:r>
        <w:rPr>
          <w:rFonts w:hint="eastAsia" w:ascii="宋体" w:hAnsi="宋体" w:cs="宋体"/>
          <w:color w:val="auto"/>
          <w:szCs w:val="21"/>
          <w:highlight w:val="none"/>
        </w:rPr>
        <w:t>2.以上人员必须附身份证、职称证或岗位证书的复印件或扫描件。</w:t>
      </w:r>
    </w:p>
    <w:p>
      <w:pPr>
        <w:spacing w:line="36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3.专职安全生产管理人员应附有效的安全生产考核合格证书。</w:t>
      </w:r>
    </w:p>
    <w:p>
      <w:pPr>
        <w:rPr>
          <w:rFonts w:ascii="宋体" w:hAnsi="宋体" w:cs="宋体"/>
          <w:color w:val="auto"/>
          <w:sz w:val="22"/>
          <w:szCs w:val="22"/>
          <w:highlight w:val="none"/>
        </w:rPr>
      </w:pPr>
    </w:p>
    <w:sectPr>
      <w:headerReference r:id="rId18" w:type="default"/>
      <w:footerReference r:id="rId19" w:type="default"/>
      <w:pgSz w:w="11906" w:h="16838"/>
      <w:pgMar w:top="1440" w:right="1083" w:bottom="1440" w:left="1083" w:header="851" w:footer="992" w:gutter="0"/>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FangSong_GB2312">
    <w:altName w:val="仿宋"/>
    <w:panose1 w:val="00000000000000000000"/>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华文宋体">
    <w:altName w:val="宋体"/>
    <w:panose1 w:val="00000000000000000000"/>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6" w:usb3="00000000" w:csb0="00040001" w:csb1="00000000"/>
  </w:font>
  <w:font w:name="华文仿宋">
    <w:altName w:val="hakuyoxingshu7000"/>
    <w:panose1 w:val="00000000000000000000"/>
    <w:charset w:val="86"/>
    <w:family w:val="auto"/>
    <w:pitch w:val="default"/>
    <w:sig w:usb0="00000000" w:usb1="00000000" w:usb2="00000000" w:usb3="00000000" w:csb0="0004009F" w:csb1="DFD70000"/>
  </w:font>
  <w:font w:name="hakuyoxingshu7000">
    <w:panose1 w:val="02000600000000000000"/>
    <w:charset w:val="86"/>
    <w:family w:val="auto"/>
    <w:pitch w:val="default"/>
    <w:sig w:usb0="FFFFFFFF" w:usb1="E9FFFFFF" w:usb2="0000003F" w:usb3="00000000" w:csb0="603F00FF" w:csb1="FFFF0000"/>
  </w:font>
  <w:font w:name="方正小标宋简体">
    <w:altName w:val="黑体"/>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right" w:pos="8820"/>
        <w:tab w:val="clear" w:pos="8306"/>
      </w:tabs>
      <w:ind w:right="77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9000"/>
        <w:tab w:val="left" w:pos="9050"/>
        <w:tab w:val="clear" w:pos="8306"/>
      </w:tabs>
      <w:ind w:right="22"/>
      <w:rPr>
        <w:sz w:val="21"/>
        <w:szCs w:val="21"/>
      </w:rPr>
    </w:pPr>
    <w:r>
      <w:rPr>
        <w:sz w:val="21"/>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78</w:t>
                </w:r>
                <w:r>
                  <w:fldChar w:fldCharType="end"/>
                </w:r>
              </w:p>
            </w:txbxContent>
          </v:textbox>
        </v:shape>
      </w:pict>
    </w:r>
  </w:p>
  <w:p>
    <w:pPr>
      <w:pStyle w:val="14"/>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eastAsia="FangSong_GB2312"/>
        <w:sz w:val="24"/>
      </w:rPr>
    </w:pPr>
    <w:r>
      <w:rPr>
        <w:sz w:val="24"/>
      </w:rPr>
      <w:pict>
        <v:shape id="_x0000_s2050" o:spid="_x0000_s2050"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c7b1vXAQAAsQ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qmZJGXYcJJnMbekxWH3TAR&#10;3bn2hDx7XIiGWtx/SvSjRb3T7sxGmI3dbBx8UPsuL1eqBf7dIWJzuedUYYRFrsnBSWbW09alVfnb&#10;z1nPf9rm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nO29b1wEAALEDAAAOAAAAAAAAAAEA&#10;IAAAACIBAABkcnMvZTJvRG9jLnhtbFBLBQYAAAAABgAGAFkBAABrBQAAAAA=&#10;">
          <v:path/>
          <v:fill on="f" focussize="0,0"/>
          <v:stroke on="f" weight="1.2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95</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right" w:pos="8820"/>
        <w:tab w:val="clear" w:pos="8306"/>
      </w:tabs>
      <w:ind w:right="775"/>
    </w:pPr>
    <w:r>
      <w:pict>
        <v:shape id="_x0000_s2049" o:spid="_x0000_s2049"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98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rPr>
        <w:rStyle w:val="26"/>
      </w:rPr>
    </w:pPr>
  </w:p>
  <w:p>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6"/>
      </w:rPr>
    </w:pPr>
  </w:p>
  <w:p>
    <w:pPr>
      <w:pStyle w:val="14"/>
      <w:rPr>
        <w:szCs w:val="21"/>
      </w:rPr>
    </w:pP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29</w:t>
    </w:r>
    <w:r>
      <w:fldChar w:fldCharType="end"/>
    </w:r>
  </w:p>
  <w:p>
    <w:pPr>
      <w:pStyle w:val="14"/>
      <w:framePr w:wrap="around" w:vAnchor="text" w:hAnchor="page" w:x="1260" w:y="3"/>
      <w:ind w:right="360"/>
      <w:rPr>
        <w:rStyle w:val="26"/>
      </w:rPr>
    </w:pPr>
  </w:p>
  <w:p>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p>
  <w:p>
    <w:pPr>
      <w:pStyle w:val="14"/>
      <w:rPr>
        <w:szCs w:val="21"/>
      </w:rPr>
    </w:pPr>
  </w:p>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_x0000_s2054" o:spid="_x0000_s2054"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HNwfrNIBAACjAwAADgAAAAAAAAABACAAAAAi&#10;AQAAZHJzL2Uyb0RvYy54bWxQSwUGAAAAAAYABgBZAQAAZgUAAAAA&#10;">
          <v:path/>
          <v:fill on="f" focussize="0,0"/>
          <v:stroke on="f" weight="1.2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32</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_x0000_s2055" o:spid="_x0000_s2055"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e76mr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97vqatIBAACjAwAADgAAAAAAAAABACAAAAAi&#10;AQAAZHJzL2Uyb0RvYy54bWxQSwUGAAAAAAYABgBZAQAAZgUAAAAA&#10;">
          <v:path/>
          <v:fill on="f" focussize="0,0"/>
          <v:stroke on="f" weight="1.2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47</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eastAsia="仿宋_GB2312"/>
        <w:sz w:val="24"/>
      </w:rPr>
    </w:pPr>
    <w:r>
      <w:rPr>
        <w:sz w:val="24"/>
      </w:rPr>
      <w:pict>
        <v:shape id="_x0000_s2052" o:spid="_x0000_s2052"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TuFGkdIBAACjAwAADgAAAAAAAAABACAAAAAi&#10;AQAAZHJzL2Uyb0RvYy54bWxQSwUGAAAAAAYABgBZAQAAZgUAAAAA&#10;">
          <v:path/>
          <v:fill on="f" focussize="0,0"/>
          <v:stroke on="f" weight="1.2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53" o:spid="_x0000_s2053"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&#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Cb0YQf0QEAAKMDAAAOAAAAAAAAAAEAIAAAACIB&#10;AABkcnMvZTJvRG9jLnhtbFBLBQYAAAAABgAGAFkBAABlBQAAAAA=&#10;">
          <v:path/>
          <v:fill on="f" focussize="0,0"/>
          <v:stroke on="f" weight="1.25pt" joinstyle="miter"/>
          <v:imagedata o:title=""/>
          <o:lock v:ext="edit"/>
          <v:textbox inset="0mm,0mm,0mm,0mm" style="mso-fit-shape-to-text:t;">
            <w:txbxContent>
              <w:p>
                <w:pPr>
                  <w:pStyle w:val="14"/>
                </w:pPr>
                <w:r>
                  <w:fldChar w:fldCharType="begin"/>
                </w:r>
                <w:r>
                  <w:instrText xml:space="preserve"> PAGE  \* MERGEFORMAT </w:instrText>
                </w:r>
                <w:r>
                  <w:fldChar w:fldCharType="separate"/>
                </w:r>
                <w:r>
                  <w:t>56</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648A9"/>
    <w:multiLevelType w:val="singleLevel"/>
    <w:tmpl w:val="827648A9"/>
    <w:lvl w:ilvl="0" w:tentative="0">
      <w:start w:val="9"/>
      <w:numFmt w:val="decimal"/>
      <w:suff w:val="space"/>
      <w:lvlText w:val="%1)"/>
      <w:lvlJc w:val="left"/>
    </w:lvl>
  </w:abstractNum>
  <w:abstractNum w:abstractNumId="1">
    <w:nsid w:val="90D2E973"/>
    <w:multiLevelType w:val="singleLevel"/>
    <w:tmpl w:val="90D2E973"/>
    <w:lvl w:ilvl="0" w:tentative="0">
      <w:start w:val="3"/>
      <w:numFmt w:val="chineseCounting"/>
      <w:suff w:val="space"/>
      <w:lvlText w:val="第%1部分"/>
      <w:lvlJc w:val="left"/>
      <w:rPr>
        <w:rFonts w:hint="eastAsia"/>
      </w:rPr>
    </w:lvl>
  </w:abstractNum>
  <w:abstractNum w:abstractNumId="2">
    <w:nsid w:val="B412E902"/>
    <w:multiLevelType w:val="singleLevel"/>
    <w:tmpl w:val="B412E902"/>
    <w:lvl w:ilvl="0" w:tentative="0">
      <w:start w:val="1"/>
      <w:numFmt w:val="decimal"/>
      <w:suff w:val="space"/>
      <w:lvlText w:val="%1、"/>
      <w:lvlJc w:val="left"/>
    </w:lvl>
  </w:abstractNum>
  <w:abstractNum w:abstractNumId="3">
    <w:nsid w:val="DFBE7BB2"/>
    <w:multiLevelType w:val="singleLevel"/>
    <w:tmpl w:val="DFBE7BB2"/>
    <w:lvl w:ilvl="0" w:tentative="0">
      <w:start w:val="3"/>
      <w:numFmt w:val="decimal"/>
      <w:suff w:val="nothing"/>
      <w:lvlText w:val="%1、"/>
      <w:lvlJc w:val="left"/>
    </w:lvl>
  </w:abstractNum>
  <w:abstractNum w:abstractNumId="4">
    <w:nsid w:val="1ED8F667"/>
    <w:multiLevelType w:val="singleLevel"/>
    <w:tmpl w:val="1ED8F667"/>
    <w:lvl w:ilvl="0" w:tentative="0">
      <w:start w:val="5"/>
      <w:numFmt w:val="chineseCounting"/>
      <w:suff w:val="nothing"/>
      <w:lvlText w:val="（%1）"/>
      <w:lvlJc w:val="left"/>
      <w:rPr>
        <w:rFonts w:hint="eastAsia"/>
      </w:rPr>
    </w:lvl>
  </w:abstractNum>
  <w:abstractNum w:abstractNumId="5">
    <w:nsid w:val="66E16DAA"/>
    <w:multiLevelType w:val="singleLevel"/>
    <w:tmpl w:val="66E16DAA"/>
    <w:lvl w:ilvl="0" w:tentative="0">
      <w:start w:val="1"/>
      <w:numFmt w:val="decimal"/>
      <w:suff w:val="nothing"/>
      <w:lvlText w:val="（%1）"/>
      <w:lvlJc w:val="left"/>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1F2E4AC0"/>
    <w:rsid w:val="001D1D12"/>
    <w:rsid w:val="002F7EC7"/>
    <w:rsid w:val="00582F2E"/>
    <w:rsid w:val="0058639A"/>
    <w:rsid w:val="00671A64"/>
    <w:rsid w:val="007421DD"/>
    <w:rsid w:val="007E2745"/>
    <w:rsid w:val="009163F2"/>
    <w:rsid w:val="00B13F06"/>
    <w:rsid w:val="00B243B9"/>
    <w:rsid w:val="00B62C2C"/>
    <w:rsid w:val="011B55F2"/>
    <w:rsid w:val="017D6AE6"/>
    <w:rsid w:val="01C559C0"/>
    <w:rsid w:val="01C6785A"/>
    <w:rsid w:val="02000968"/>
    <w:rsid w:val="02034395"/>
    <w:rsid w:val="0208223D"/>
    <w:rsid w:val="02353F41"/>
    <w:rsid w:val="02417C27"/>
    <w:rsid w:val="02562012"/>
    <w:rsid w:val="027019ED"/>
    <w:rsid w:val="028A70E9"/>
    <w:rsid w:val="029A2C6F"/>
    <w:rsid w:val="02B46532"/>
    <w:rsid w:val="02B547A5"/>
    <w:rsid w:val="02B55CB6"/>
    <w:rsid w:val="02C17A48"/>
    <w:rsid w:val="02EC1DA2"/>
    <w:rsid w:val="03407FBB"/>
    <w:rsid w:val="034A626D"/>
    <w:rsid w:val="034C5AE8"/>
    <w:rsid w:val="036A1A6D"/>
    <w:rsid w:val="03A0037C"/>
    <w:rsid w:val="03A13BCD"/>
    <w:rsid w:val="03A35B6F"/>
    <w:rsid w:val="03B16EB0"/>
    <w:rsid w:val="03B81BD9"/>
    <w:rsid w:val="03C33E70"/>
    <w:rsid w:val="03F839AF"/>
    <w:rsid w:val="03F93688"/>
    <w:rsid w:val="040A684F"/>
    <w:rsid w:val="040E74D0"/>
    <w:rsid w:val="041176BA"/>
    <w:rsid w:val="04547A68"/>
    <w:rsid w:val="04A53840"/>
    <w:rsid w:val="04B110E7"/>
    <w:rsid w:val="04C10BC4"/>
    <w:rsid w:val="04E138B8"/>
    <w:rsid w:val="04FC2316"/>
    <w:rsid w:val="052906AF"/>
    <w:rsid w:val="055A59DE"/>
    <w:rsid w:val="055D61A5"/>
    <w:rsid w:val="05647877"/>
    <w:rsid w:val="056B6ADA"/>
    <w:rsid w:val="057F1218"/>
    <w:rsid w:val="05956370"/>
    <w:rsid w:val="059B6FEC"/>
    <w:rsid w:val="059F58B6"/>
    <w:rsid w:val="05AF7D1E"/>
    <w:rsid w:val="05B56221"/>
    <w:rsid w:val="05CC6071"/>
    <w:rsid w:val="05E95039"/>
    <w:rsid w:val="05F31BA0"/>
    <w:rsid w:val="060E377D"/>
    <w:rsid w:val="0640793F"/>
    <w:rsid w:val="06515C5A"/>
    <w:rsid w:val="0654586A"/>
    <w:rsid w:val="065D35AE"/>
    <w:rsid w:val="06683D7A"/>
    <w:rsid w:val="06FA0995"/>
    <w:rsid w:val="07162946"/>
    <w:rsid w:val="0721282E"/>
    <w:rsid w:val="07300EC4"/>
    <w:rsid w:val="07314D0B"/>
    <w:rsid w:val="07320E81"/>
    <w:rsid w:val="07554AD4"/>
    <w:rsid w:val="0759548F"/>
    <w:rsid w:val="078643D5"/>
    <w:rsid w:val="079B2337"/>
    <w:rsid w:val="07B543C9"/>
    <w:rsid w:val="07B7184A"/>
    <w:rsid w:val="07F82A44"/>
    <w:rsid w:val="07FB2FF6"/>
    <w:rsid w:val="080473FE"/>
    <w:rsid w:val="08120742"/>
    <w:rsid w:val="081713E1"/>
    <w:rsid w:val="08442093"/>
    <w:rsid w:val="08485DA6"/>
    <w:rsid w:val="08B14B87"/>
    <w:rsid w:val="08BA4D63"/>
    <w:rsid w:val="08D574C3"/>
    <w:rsid w:val="08E702F2"/>
    <w:rsid w:val="08F27EAD"/>
    <w:rsid w:val="090F4C98"/>
    <w:rsid w:val="09223525"/>
    <w:rsid w:val="092E5BF3"/>
    <w:rsid w:val="093D2A5F"/>
    <w:rsid w:val="095E3EFF"/>
    <w:rsid w:val="096E24AC"/>
    <w:rsid w:val="098218E6"/>
    <w:rsid w:val="09D24117"/>
    <w:rsid w:val="09F14739"/>
    <w:rsid w:val="0A0607F6"/>
    <w:rsid w:val="0A0761FC"/>
    <w:rsid w:val="0A10651D"/>
    <w:rsid w:val="0A2B6B7B"/>
    <w:rsid w:val="0A2C5A24"/>
    <w:rsid w:val="0A3E27B5"/>
    <w:rsid w:val="0A811508"/>
    <w:rsid w:val="0A946BF9"/>
    <w:rsid w:val="0AA86A41"/>
    <w:rsid w:val="0B290567"/>
    <w:rsid w:val="0B5C3CD6"/>
    <w:rsid w:val="0B5D5A18"/>
    <w:rsid w:val="0B793EE9"/>
    <w:rsid w:val="0B7E1BB4"/>
    <w:rsid w:val="0B953188"/>
    <w:rsid w:val="0B9C2EAF"/>
    <w:rsid w:val="0BD0642B"/>
    <w:rsid w:val="0BEC0E0F"/>
    <w:rsid w:val="0C0F4A94"/>
    <w:rsid w:val="0C3F2A33"/>
    <w:rsid w:val="0C58361A"/>
    <w:rsid w:val="0C704015"/>
    <w:rsid w:val="0C827009"/>
    <w:rsid w:val="0C8D1C5C"/>
    <w:rsid w:val="0CA83E4B"/>
    <w:rsid w:val="0CC006F7"/>
    <w:rsid w:val="0CD25BE7"/>
    <w:rsid w:val="0CDD3ECA"/>
    <w:rsid w:val="0CF81022"/>
    <w:rsid w:val="0D015128"/>
    <w:rsid w:val="0D1433D1"/>
    <w:rsid w:val="0D2E33A0"/>
    <w:rsid w:val="0D435DA2"/>
    <w:rsid w:val="0D4E59FF"/>
    <w:rsid w:val="0D556FCE"/>
    <w:rsid w:val="0D5879AA"/>
    <w:rsid w:val="0D5B4C8D"/>
    <w:rsid w:val="0D5B5ABA"/>
    <w:rsid w:val="0D615155"/>
    <w:rsid w:val="0D8F2ABC"/>
    <w:rsid w:val="0DA57830"/>
    <w:rsid w:val="0DBC2CAB"/>
    <w:rsid w:val="0DC00F28"/>
    <w:rsid w:val="0DC67178"/>
    <w:rsid w:val="0DEA5235"/>
    <w:rsid w:val="0E1300C5"/>
    <w:rsid w:val="0E1C6A88"/>
    <w:rsid w:val="0E3B29A3"/>
    <w:rsid w:val="0E3C48E0"/>
    <w:rsid w:val="0E6612BA"/>
    <w:rsid w:val="0EB7326D"/>
    <w:rsid w:val="0EC04E6D"/>
    <w:rsid w:val="0ED510EE"/>
    <w:rsid w:val="0EDD1225"/>
    <w:rsid w:val="0EFC4D9C"/>
    <w:rsid w:val="0F080982"/>
    <w:rsid w:val="0F1804E0"/>
    <w:rsid w:val="0F2503F9"/>
    <w:rsid w:val="0F317730"/>
    <w:rsid w:val="0F6D5E94"/>
    <w:rsid w:val="0F8A3C3C"/>
    <w:rsid w:val="0F941D09"/>
    <w:rsid w:val="0FD65166"/>
    <w:rsid w:val="0FF3288D"/>
    <w:rsid w:val="100746DE"/>
    <w:rsid w:val="105A6829"/>
    <w:rsid w:val="107F48F2"/>
    <w:rsid w:val="109E77ED"/>
    <w:rsid w:val="10B72E01"/>
    <w:rsid w:val="10DF4B83"/>
    <w:rsid w:val="116337FD"/>
    <w:rsid w:val="116B21E2"/>
    <w:rsid w:val="11705810"/>
    <w:rsid w:val="11971687"/>
    <w:rsid w:val="119C2521"/>
    <w:rsid w:val="11AD3BB7"/>
    <w:rsid w:val="11BD145B"/>
    <w:rsid w:val="11BE0CF5"/>
    <w:rsid w:val="11C02894"/>
    <w:rsid w:val="11FF0622"/>
    <w:rsid w:val="121556C0"/>
    <w:rsid w:val="12432FBD"/>
    <w:rsid w:val="1267507C"/>
    <w:rsid w:val="12AB1623"/>
    <w:rsid w:val="12B35980"/>
    <w:rsid w:val="12BA5B92"/>
    <w:rsid w:val="12D03524"/>
    <w:rsid w:val="12D036D1"/>
    <w:rsid w:val="12F97C12"/>
    <w:rsid w:val="131C4B3A"/>
    <w:rsid w:val="132561D0"/>
    <w:rsid w:val="133B659F"/>
    <w:rsid w:val="1348405A"/>
    <w:rsid w:val="136C7612"/>
    <w:rsid w:val="136D0F53"/>
    <w:rsid w:val="13764CEB"/>
    <w:rsid w:val="137A57A0"/>
    <w:rsid w:val="13947E11"/>
    <w:rsid w:val="13A5375D"/>
    <w:rsid w:val="13AC596E"/>
    <w:rsid w:val="13B6213A"/>
    <w:rsid w:val="13C71A85"/>
    <w:rsid w:val="13D71686"/>
    <w:rsid w:val="14013980"/>
    <w:rsid w:val="14326690"/>
    <w:rsid w:val="14471661"/>
    <w:rsid w:val="14A52F85"/>
    <w:rsid w:val="14AD606C"/>
    <w:rsid w:val="14DE6AC0"/>
    <w:rsid w:val="14E63322"/>
    <w:rsid w:val="14F83BD2"/>
    <w:rsid w:val="15066599"/>
    <w:rsid w:val="151D132E"/>
    <w:rsid w:val="151F20D9"/>
    <w:rsid w:val="15396B46"/>
    <w:rsid w:val="153E050C"/>
    <w:rsid w:val="15496E67"/>
    <w:rsid w:val="156813DB"/>
    <w:rsid w:val="157C2A5C"/>
    <w:rsid w:val="158038D7"/>
    <w:rsid w:val="158F0B91"/>
    <w:rsid w:val="15A31844"/>
    <w:rsid w:val="15A85EC8"/>
    <w:rsid w:val="15B13B43"/>
    <w:rsid w:val="15B44446"/>
    <w:rsid w:val="15BD5D67"/>
    <w:rsid w:val="15C4436A"/>
    <w:rsid w:val="15C8538E"/>
    <w:rsid w:val="15CB5ECB"/>
    <w:rsid w:val="15E4268D"/>
    <w:rsid w:val="15F2369F"/>
    <w:rsid w:val="15FA4F7E"/>
    <w:rsid w:val="15FD668F"/>
    <w:rsid w:val="16186B5E"/>
    <w:rsid w:val="16276E5F"/>
    <w:rsid w:val="165E6AFD"/>
    <w:rsid w:val="168244D4"/>
    <w:rsid w:val="16A144F9"/>
    <w:rsid w:val="16BE0EFB"/>
    <w:rsid w:val="16E31AFE"/>
    <w:rsid w:val="16E7126F"/>
    <w:rsid w:val="16F458D9"/>
    <w:rsid w:val="17A854CC"/>
    <w:rsid w:val="17C25986"/>
    <w:rsid w:val="17CD727F"/>
    <w:rsid w:val="17E546E7"/>
    <w:rsid w:val="17EC7210"/>
    <w:rsid w:val="17F04B2D"/>
    <w:rsid w:val="180727BA"/>
    <w:rsid w:val="18244971"/>
    <w:rsid w:val="183471BC"/>
    <w:rsid w:val="18467247"/>
    <w:rsid w:val="185C186D"/>
    <w:rsid w:val="186A656B"/>
    <w:rsid w:val="18814815"/>
    <w:rsid w:val="18A139F5"/>
    <w:rsid w:val="18C32FA2"/>
    <w:rsid w:val="18CA66F3"/>
    <w:rsid w:val="18E25735"/>
    <w:rsid w:val="18E36BE4"/>
    <w:rsid w:val="19090035"/>
    <w:rsid w:val="194A6A92"/>
    <w:rsid w:val="19701B1C"/>
    <w:rsid w:val="19772818"/>
    <w:rsid w:val="198C6568"/>
    <w:rsid w:val="198E600E"/>
    <w:rsid w:val="19AC0FB5"/>
    <w:rsid w:val="19DE3C17"/>
    <w:rsid w:val="1A114F95"/>
    <w:rsid w:val="1A582DF3"/>
    <w:rsid w:val="1A5B6633"/>
    <w:rsid w:val="1A821253"/>
    <w:rsid w:val="1AA66879"/>
    <w:rsid w:val="1ABC574E"/>
    <w:rsid w:val="1AD20F0D"/>
    <w:rsid w:val="1AF422B6"/>
    <w:rsid w:val="1B082A6C"/>
    <w:rsid w:val="1B2136D1"/>
    <w:rsid w:val="1B3163AE"/>
    <w:rsid w:val="1B5D3663"/>
    <w:rsid w:val="1B765497"/>
    <w:rsid w:val="1B873964"/>
    <w:rsid w:val="1BB777A1"/>
    <w:rsid w:val="1C0E7A4B"/>
    <w:rsid w:val="1C10135B"/>
    <w:rsid w:val="1C10543C"/>
    <w:rsid w:val="1CB62F79"/>
    <w:rsid w:val="1CBD13D9"/>
    <w:rsid w:val="1CC34A3E"/>
    <w:rsid w:val="1CC45CDD"/>
    <w:rsid w:val="1CDE75D3"/>
    <w:rsid w:val="1CFA5E0A"/>
    <w:rsid w:val="1D197E73"/>
    <w:rsid w:val="1D290B1C"/>
    <w:rsid w:val="1D323766"/>
    <w:rsid w:val="1D433D7B"/>
    <w:rsid w:val="1D622B8B"/>
    <w:rsid w:val="1D641F4E"/>
    <w:rsid w:val="1D6A7BA9"/>
    <w:rsid w:val="1D7D06A7"/>
    <w:rsid w:val="1D84266D"/>
    <w:rsid w:val="1DE94214"/>
    <w:rsid w:val="1DEF380A"/>
    <w:rsid w:val="1DF230A1"/>
    <w:rsid w:val="1E2667B5"/>
    <w:rsid w:val="1E3A308A"/>
    <w:rsid w:val="1E3B4C2D"/>
    <w:rsid w:val="1E3E1E7A"/>
    <w:rsid w:val="1E4851C2"/>
    <w:rsid w:val="1E595CE5"/>
    <w:rsid w:val="1E646ACD"/>
    <w:rsid w:val="1E680E2D"/>
    <w:rsid w:val="1EE06326"/>
    <w:rsid w:val="1EEF3F03"/>
    <w:rsid w:val="1F2E4AC0"/>
    <w:rsid w:val="1F437DD1"/>
    <w:rsid w:val="1F5C51C5"/>
    <w:rsid w:val="1F7E146A"/>
    <w:rsid w:val="1F847565"/>
    <w:rsid w:val="1F9024DE"/>
    <w:rsid w:val="1F921041"/>
    <w:rsid w:val="1FBB6BE7"/>
    <w:rsid w:val="1FCD68DA"/>
    <w:rsid w:val="1FE45BDB"/>
    <w:rsid w:val="1FE45FBA"/>
    <w:rsid w:val="20151D94"/>
    <w:rsid w:val="205C6BED"/>
    <w:rsid w:val="206B7208"/>
    <w:rsid w:val="206C0A03"/>
    <w:rsid w:val="20AF24D3"/>
    <w:rsid w:val="20B80137"/>
    <w:rsid w:val="20ED0ABA"/>
    <w:rsid w:val="20ED12E1"/>
    <w:rsid w:val="20F92BBF"/>
    <w:rsid w:val="20FE4382"/>
    <w:rsid w:val="21505687"/>
    <w:rsid w:val="215727E2"/>
    <w:rsid w:val="217D430E"/>
    <w:rsid w:val="21AD6DAB"/>
    <w:rsid w:val="21C4501B"/>
    <w:rsid w:val="21CE1671"/>
    <w:rsid w:val="21D502F8"/>
    <w:rsid w:val="21F108E7"/>
    <w:rsid w:val="2214715E"/>
    <w:rsid w:val="221E2D77"/>
    <w:rsid w:val="221F0A7C"/>
    <w:rsid w:val="221F6471"/>
    <w:rsid w:val="22246BA6"/>
    <w:rsid w:val="226E1D61"/>
    <w:rsid w:val="229302F4"/>
    <w:rsid w:val="22CA1DF6"/>
    <w:rsid w:val="22D4156C"/>
    <w:rsid w:val="23003125"/>
    <w:rsid w:val="230E1A60"/>
    <w:rsid w:val="230E6FDA"/>
    <w:rsid w:val="231161D0"/>
    <w:rsid w:val="2312061A"/>
    <w:rsid w:val="232B7246"/>
    <w:rsid w:val="2344287E"/>
    <w:rsid w:val="23523319"/>
    <w:rsid w:val="23557DF1"/>
    <w:rsid w:val="23C47E63"/>
    <w:rsid w:val="23D16713"/>
    <w:rsid w:val="23F93169"/>
    <w:rsid w:val="24334AE4"/>
    <w:rsid w:val="245C2F92"/>
    <w:rsid w:val="24973E27"/>
    <w:rsid w:val="24AB6B7B"/>
    <w:rsid w:val="24B63617"/>
    <w:rsid w:val="24DD69D2"/>
    <w:rsid w:val="24DD7C9B"/>
    <w:rsid w:val="24ED119E"/>
    <w:rsid w:val="24F217B7"/>
    <w:rsid w:val="24F8761A"/>
    <w:rsid w:val="24FC2B11"/>
    <w:rsid w:val="25137054"/>
    <w:rsid w:val="252C1C2D"/>
    <w:rsid w:val="25386F46"/>
    <w:rsid w:val="2551058C"/>
    <w:rsid w:val="256971CC"/>
    <w:rsid w:val="258B0F11"/>
    <w:rsid w:val="2590250E"/>
    <w:rsid w:val="259041FF"/>
    <w:rsid w:val="25A02119"/>
    <w:rsid w:val="25B332A0"/>
    <w:rsid w:val="25BE2AF2"/>
    <w:rsid w:val="25BE7313"/>
    <w:rsid w:val="25CD4C9B"/>
    <w:rsid w:val="25DF5864"/>
    <w:rsid w:val="25E226BD"/>
    <w:rsid w:val="25E4599F"/>
    <w:rsid w:val="25E7553B"/>
    <w:rsid w:val="260A6220"/>
    <w:rsid w:val="26330831"/>
    <w:rsid w:val="26400AE7"/>
    <w:rsid w:val="26466DEE"/>
    <w:rsid w:val="26965D3C"/>
    <w:rsid w:val="26A47BF2"/>
    <w:rsid w:val="26AC69B4"/>
    <w:rsid w:val="26BD63FA"/>
    <w:rsid w:val="26CA72BD"/>
    <w:rsid w:val="26DE47BB"/>
    <w:rsid w:val="26EC1DF7"/>
    <w:rsid w:val="270A46E9"/>
    <w:rsid w:val="270C78F4"/>
    <w:rsid w:val="27314069"/>
    <w:rsid w:val="273F5A42"/>
    <w:rsid w:val="27440EB9"/>
    <w:rsid w:val="275119B7"/>
    <w:rsid w:val="27535681"/>
    <w:rsid w:val="27666525"/>
    <w:rsid w:val="27743DF2"/>
    <w:rsid w:val="27870868"/>
    <w:rsid w:val="27A07C24"/>
    <w:rsid w:val="27A14D81"/>
    <w:rsid w:val="27A9738A"/>
    <w:rsid w:val="27EA261F"/>
    <w:rsid w:val="28233C38"/>
    <w:rsid w:val="28233E61"/>
    <w:rsid w:val="2833236A"/>
    <w:rsid w:val="284C093F"/>
    <w:rsid w:val="28636B47"/>
    <w:rsid w:val="286E6A21"/>
    <w:rsid w:val="286F604B"/>
    <w:rsid w:val="28884AE4"/>
    <w:rsid w:val="28984A85"/>
    <w:rsid w:val="2933260F"/>
    <w:rsid w:val="29614756"/>
    <w:rsid w:val="2966058C"/>
    <w:rsid w:val="297A755E"/>
    <w:rsid w:val="2987142F"/>
    <w:rsid w:val="29AA469D"/>
    <w:rsid w:val="29C934D3"/>
    <w:rsid w:val="29D737D0"/>
    <w:rsid w:val="29DA3F46"/>
    <w:rsid w:val="2A03314C"/>
    <w:rsid w:val="2A075FEE"/>
    <w:rsid w:val="2A1907A0"/>
    <w:rsid w:val="2A2937D5"/>
    <w:rsid w:val="2A2B2CBE"/>
    <w:rsid w:val="2A410B7C"/>
    <w:rsid w:val="2A510CF8"/>
    <w:rsid w:val="2A8326F6"/>
    <w:rsid w:val="2AE640C2"/>
    <w:rsid w:val="2AF56F1C"/>
    <w:rsid w:val="2B02208F"/>
    <w:rsid w:val="2B0972E6"/>
    <w:rsid w:val="2B147608"/>
    <w:rsid w:val="2B1F2F83"/>
    <w:rsid w:val="2B2420BC"/>
    <w:rsid w:val="2B28072A"/>
    <w:rsid w:val="2B41130C"/>
    <w:rsid w:val="2B5A5B08"/>
    <w:rsid w:val="2B6434E4"/>
    <w:rsid w:val="2B9513EC"/>
    <w:rsid w:val="2BA7628C"/>
    <w:rsid w:val="2BBB1C84"/>
    <w:rsid w:val="2BCA0BCC"/>
    <w:rsid w:val="2BED51A3"/>
    <w:rsid w:val="2BFE49A3"/>
    <w:rsid w:val="2C4B4CCF"/>
    <w:rsid w:val="2C6930DD"/>
    <w:rsid w:val="2C6D4D17"/>
    <w:rsid w:val="2C996544"/>
    <w:rsid w:val="2CA3690E"/>
    <w:rsid w:val="2CBB237B"/>
    <w:rsid w:val="2CEE7CEF"/>
    <w:rsid w:val="2CF8759C"/>
    <w:rsid w:val="2D1266C9"/>
    <w:rsid w:val="2D173E09"/>
    <w:rsid w:val="2D6751F4"/>
    <w:rsid w:val="2D676020"/>
    <w:rsid w:val="2D743BD9"/>
    <w:rsid w:val="2DA83FD2"/>
    <w:rsid w:val="2DB918D2"/>
    <w:rsid w:val="2DBB4593"/>
    <w:rsid w:val="2DE40993"/>
    <w:rsid w:val="2DF1578C"/>
    <w:rsid w:val="2DF92606"/>
    <w:rsid w:val="2E0E3631"/>
    <w:rsid w:val="2E0F564D"/>
    <w:rsid w:val="2E344E42"/>
    <w:rsid w:val="2E3C5171"/>
    <w:rsid w:val="2E41364D"/>
    <w:rsid w:val="2E5B52D6"/>
    <w:rsid w:val="2E8E380F"/>
    <w:rsid w:val="2E9A462F"/>
    <w:rsid w:val="2EA534CE"/>
    <w:rsid w:val="2EBF54AF"/>
    <w:rsid w:val="2ECB7FF1"/>
    <w:rsid w:val="2EEB38EC"/>
    <w:rsid w:val="2EEF1918"/>
    <w:rsid w:val="2EF578A6"/>
    <w:rsid w:val="2EFA00BF"/>
    <w:rsid w:val="2F6E68A2"/>
    <w:rsid w:val="2F6F5DAC"/>
    <w:rsid w:val="2F8F3879"/>
    <w:rsid w:val="2F9000EB"/>
    <w:rsid w:val="2FA927AD"/>
    <w:rsid w:val="2FB05ED3"/>
    <w:rsid w:val="2FB80152"/>
    <w:rsid w:val="2FD936E5"/>
    <w:rsid w:val="2FDD6B0C"/>
    <w:rsid w:val="2FE16FEA"/>
    <w:rsid w:val="2FEB7780"/>
    <w:rsid w:val="30336653"/>
    <w:rsid w:val="30473F4E"/>
    <w:rsid w:val="304903AA"/>
    <w:rsid w:val="30490EDC"/>
    <w:rsid w:val="305A2155"/>
    <w:rsid w:val="30614A91"/>
    <w:rsid w:val="30665AC7"/>
    <w:rsid w:val="306673B8"/>
    <w:rsid w:val="30805FE7"/>
    <w:rsid w:val="30895E7E"/>
    <w:rsid w:val="308C2216"/>
    <w:rsid w:val="30AC314B"/>
    <w:rsid w:val="30CE26BB"/>
    <w:rsid w:val="30F14041"/>
    <w:rsid w:val="30F661D6"/>
    <w:rsid w:val="311051A4"/>
    <w:rsid w:val="311D2805"/>
    <w:rsid w:val="313F130E"/>
    <w:rsid w:val="315C6B92"/>
    <w:rsid w:val="31771518"/>
    <w:rsid w:val="31BC754E"/>
    <w:rsid w:val="32112895"/>
    <w:rsid w:val="32254C59"/>
    <w:rsid w:val="32295C44"/>
    <w:rsid w:val="323279CF"/>
    <w:rsid w:val="323F377F"/>
    <w:rsid w:val="32620D8D"/>
    <w:rsid w:val="327725A3"/>
    <w:rsid w:val="32BF4174"/>
    <w:rsid w:val="32EE28BB"/>
    <w:rsid w:val="333C6423"/>
    <w:rsid w:val="337A5EEB"/>
    <w:rsid w:val="339D2C7D"/>
    <w:rsid w:val="33A50DD2"/>
    <w:rsid w:val="33CE20BA"/>
    <w:rsid w:val="33CF3C5D"/>
    <w:rsid w:val="33D2587C"/>
    <w:rsid w:val="33E3578E"/>
    <w:rsid w:val="33E5703B"/>
    <w:rsid w:val="33E7082A"/>
    <w:rsid w:val="34040F91"/>
    <w:rsid w:val="3407616B"/>
    <w:rsid w:val="341E074D"/>
    <w:rsid w:val="34512925"/>
    <w:rsid w:val="34910BC0"/>
    <w:rsid w:val="349A7D00"/>
    <w:rsid w:val="34AF248B"/>
    <w:rsid w:val="34B85CD0"/>
    <w:rsid w:val="34CD251C"/>
    <w:rsid w:val="34FD1D29"/>
    <w:rsid w:val="34FE615F"/>
    <w:rsid w:val="351B10AF"/>
    <w:rsid w:val="3538263C"/>
    <w:rsid w:val="35547361"/>
    <w:rsid w:val="35817307"/>
    <w:rsid w:val="35891744"/>
    <w:rsid w:val="359A6E11"/>
    <w:rsid w:val="35B76736"/>
    <w:rsid w:val="35DF728F"/>
    <w:rsid w:val="36007485"/>
    <w:rsid w:val="360D1EAD"/>
    <w:rsid w:val="366279E5"/>
    <w:rsid w:val="3666767F"/>
    <w:rsid w:val="366B6766"/>
    <w:rsid w:val="36BD160B"/>
    <w:rsid w:val="36D21D41"/>
    <w:rsid w:val="36E32754"/>
    <w:rsid w:val="36ED28F0"/>
    <w:rsid w:val="36F6413B"/>
    <w:rsid w:val="36F91852"/>
    <w:rsid w:val="36FD7CCE"/>
    <w:rsid w:val="36FF6789"/>
    <w:rsid w:val="371A630A"/>
    <w:rsid w:val="371F7879"/>
    <w:rsid w:val="37220DD3"/>
    <w:rsid w:val="372A2912"/>
    <w:rsid w:val="372F1B4E"/>
    <w:rsid w:val="373D0355"/>
    <w:rsid w:val="375705B0"/>
    <w:rsid w:val="37624CB3"/>
    <w:rsid w:val="378B56CD"/>
    <w:rsid w:val="379237B0"/>
    <w:rsid w:val="37A07E18"/>
    <w:rsid w:val="38000C61"/>
    <w:rsid w:val="38027C90"/>
    <w:rsid w:val="3811084F"/>
    <w:rsid w:val="38133004"/>
    <w:rsid w:val="382B0054"/>
    <w:rsid w:val="382B0740"/>
    <w:rsid w:val="384C6E5B"/>
    <w:rsid w:val="385E0EFF"/>
    <w:rsid w:val="3866028B"/>
    <w:rsid w:val="389E7C9B"/>
    <w:rsid w:val="38C43F71"/>
    <w:rsid w:val="38CE64F0"/>
    <w:rsid w:val="38E776A9"/>
    <w:rsid w:val="38EB447C"/>
    <w:rsid w:val="38ED2C07"/>
    <w:rsid w:val="38F3087D"/>
    <w:rsid w:val="38FD4815"/>
    <w:rsid w:val="39067C66"/>
    <w:rsid w:val="391C48DA"/>
    <w:rsid w:val="392B5DBF"/>
    <w:rsid w:val="39693D5E"/>
    <w:rsid w:val="398F215C"/>
    <w:rsid w:val="399E22C2"/>
    <w:rsid w:val="39B6187B"/>
    <w:rsid w:val="39CA1E66"/>
    <w:rsid w:val="39D565D4"/>
    <w:rsid w:val="39E705D2"/>
    <w:rsid w:val="39EA4755"/>
    <w:rsid w:val="3A0F338B"/>
    <w:rsid w:val="3A0F5ADA"/>
    <w:rsid w:val="3A14083B"/>
    <w:rsid w:val="3A313E27"/>
    <w:rsid w:val="3A3A77D2"/>
    <w:rsid w:val="3A3C2EF6"/>
    <w:rsid w:val="3A646FD3"/>
    <w:rsid w:val="3A6970DD"/>
    <w:rsid w:val="3A7D666B"/>
    <w:rsid w:val="3A9339CD"/>
    <w:rsid w:val="3A9D4755"/>
    <w:rsid w:val="3AB638B8"/>
    <w:rsid w:val="3AC102DA"/>
    <w:rsid w:val="3B474624"/>
    <w:rsid w:val="3B5D3A9B"/>
    <w:rsid w:val="3B651BF6"/>
    <w:rsid w:val="3B6D4702"/>
    <w:rsid w:val="3B9B2D49"/>
    <w:rsid w:val="3BA71740"/>
    <w:rsid w:val="3BC41CAC"/>
    <w:rsid w:val="3BD864D4"/>
    <w:rsid w:val="3C13131B"/>
    <w:rsid w:val="3C1367CF"/>
    <w:rsid w:val="3C143B6C"/>
    <w:rsid w:val="3C167740"/>
    <w:rsid w:val="3C184EE8"/>
    <w:rsid w:val="3C210ED6"/>
    <w:rsid w:val="3C303B69"/>
    <w:rsid w:val="3C5432D2"/>
    <w:rsid w:val="3C581EA1"/>
    <w:rsid w:val="3C700FD4"/>
    <w:rsid w:val="3C8D31B6"/>
    <w:rsid w:val="3C972959"/>
    <w:rsid w:val="3CE22339"/>
    <w:rsid w:val="3D184815"/>
    <w:rsid w:val="3D184AEC"/>
    <w:rsid w:val="3D6F2108"/>
    <w:rsid w:val="3D8971A5"/>
    <w:rsid w:val="3D8A5B81"/>
    <w:rsid w:val="3D8A5FDD"/>
    <w:rsid w:val="3D9A764B"/>
    <w:rsid w:val="3DB84074"/>
    <w:rsid w:val="3DCB0822"/>
    <w:rsid w:val="3DCE2E4F"/>
    <w:rsid w:val="3DE64F3B"/>
    <w:rsid w:val="3DF37889"/>
    <w:rsid w:val="3DF90186"/>
    <w:rsid w:val="3E1B553A"/>
    <w:rsid w:val="3E444A97"/>
    <w:rsid w:val="3E826D96"/>
    <w:rsid w:val="3E86529B"/>
    <w:rsid w:val="3E8D67E6"/>
    <w:rsid w:val="3E9C55D3"/>
    <w:rsid w:val="3E9D7C3F"/>
    <w:rsid w:val="3EB92DEC"/>
    <w:rsid w:val="3EBE72F5"/>
    <w:rsid w:val="3EC06CE0"/>
    <w:rsid w:val="3ECD4490"/>
    <w:rsid w:val="3ED70A6F"/>
    <w:rsid w:val="3EEC03B1"/>
    <w:rsid w:val="3F051A8D"/>
    <w:rsid w:val="3F1412E1"/>
    <w:rsid w:val="3F191E2A"/>
    <w:rsid w:val="3F285F39"/>
    <w:rsid w:val="3F364F42"/>
    <w:rsid w:val="3F3858D7"/>
    <w:rsid w:val="3F5569D0"/>
    <w:rsid w:val="3F716A09"/>
    <w:rsid w:val="3F9245C0"/>
    <w:rsid w:val="3F991AA5"/>
    <w:rsid w:val="3FDB6C19"/>
    <w:rsid w:val="3FEC58F6"/>
    <w:rsid w:val="3FF62E62"/>
    <w:rsid w:val="40146CC3"/>
    <w:rsid w:val="402F6A80"/>
    <w:rsid w:val="407377EE"/>
    <w:rsid w:val="407C1C7F"/>
    <w:rsid w:val="408D2EC0"/>
    <w:rsid w:val="40E463C9"/>
    <w:rsid w:val="410140EC"/>
    <w:rsid w:val="410F7C03"/>
    <w:rsid w:val="41200E85"/>
    <w:rsid w:val="413310B3"/>
    <w:rsid w:val="416E0755"/>
    <w:rsid w:val="41741B51"/>
    <w:rsid w:val="41841C43"/>
    <w:rsid w:val="41B63C5E"/>
    <w:rsid w:val="41DB0B6E"/>
    <w:rsid w:val="41FF4F3E"/>
    <w:rsid w:val="420F464D"/>
    <w:rsid w:val="4212045B"/>
    <w:rsid w:val="422451D8"/>
    <w:rsid w:val="424D4AC1"/>
    <w:rsid w:val="429C4159"/>
    <w:rsid w:val="42B91E22"/>
    <w:rsid w:val="42B9655E"/>
    <w:rsid w:val="42C24F0D"/>
    <w:rsid w:val="42D11BFD"/>
    <w:rsid w:val="42E37153"/>
    <w:rsid w:val="431025E0"/>
    <w:rsid w:val="43175BF0"/>
    <w:rsid w:val="432012D2"/>
    <w:rsid w:val="432861E4"/>
    <w:rsid w:val="433847D2"/>
    <w:rsid w:val="434B43BD"/>
    <w:rsid w:val="435349DB"/>
    <w:rsid w:val="435C4CE6"/>
    <w:rsid w:val="43602D2E"/>
    <w:rsid w:val="436F6AA0"/>
    <w:rsid w:val="438571B6"/>
    <w:rsid w:val="438D1152"/>
    <w:rsid w:val="43AE6AE4"/>
    <w:rsid w:val="43B4418E"/>
    <w:rsid w:val="43CC1A15"/>
    <w:rsid w:val="43D01B62"/>
    <w:rsid w:val="43D020BB"/>
    <w:rsid w:val="43EC6C6D"/>
    <w:rsid w:val="43EF535A"/>
    <w:rsid w:val="43F254D7"/>
    <w:rsid w:val="444E6DA3"/>
    <w:rsid w:val="44705FBD"/>
    <w:rsid w:val="4486244A"/>
    <w:rsid w:val="44992946"/>
    <w:rsid w:val="44B964E9"/>
    <w:rsid w:val="44C92715"/>
    <w:rsid w:val="44CC1960"/>
    <w:rsid w:val="44E84400"/>
    <w:rsid w:val="44EA1C70"/>
    <w:rsid w:val="44FD4525"/>
    <w:rsid w:val="45435752"/>
    <w:rsid w:val="455117FB"/>
    <w:rsid w:val="455E6639"/>
    <w:rsid w:val="45641E50"/>
    <w:rsid w:val="45AE67DB"/>
    <w:rsid w:val="45B811DC"/>
    <w:rsid w:val="45BD5A9E"/>
    <w:rsid w:val="45DC069F"/>
    <w:rsid w:val="45EC5154"/>
    <w:rsid w:val="45FC062D"/>
    <w:rsid w:val="46346923"/>
    <w:rsid w:val="464218F3"/>
    <w:rsid w:val="466E0785"/>
    <w:rsid w:val="467670BE"/>
    <w:rsid w:val="46827353"/>
    <w:rsid w:val="46DF61DB"/>
    <w:rsid w:val="470A7C6A"/>
    <w:rsid w:val="472C30C1"/>
    <w:rsid w:val="473C1D67"/>
    <w:rsid w:val="474E6961"/>
    <w:rsid w:val="4762782D"/>
    <w:rsid w:val="47907F6E"/>
    <w:rsid w:val="4791181E"/>
    <w:rsid w:val="47BD27EE"/>
    <w:rsid w:val="47C01871"/>
    <w:rsid w:val="47C91538"/>
    <w:rsid w:val="47D166C1"/>
    <w:rsid w:val="480F085D"/>
    <w:rsid w:val="486539B5"/>
    <w:rsid w:val="486C506D"/>
    <w:rsid w:val="487C680E"/>
    <w:rsid w:val="488B38A9"/>
    <w:rsid w:val="48902749"/>
    <w:rsid w:val="489D64D8"/>
    <w:rsid w:val="48A64896"/>
    <w:rsid w:val="48C805AA"/>
    <w:rsid w:val="49295A86"/>
    <w:rsid w:val="4931045D"/>
    <w:rsid w:val="49725C4F"/>
    <w:rsid w:val="49813C89"/>
    <w:rsid w:val="49C644D1"/>
    <w:rsid w:val="4A3E1F00"/>
    <w:rsid w:val="4A9C6DD6"/>
    <w:rsid w:val="4AA33392"/>
    <w:rsid w:val="4AAE6A89"/>
    <w:rsid w:val="4AB73613"/>
    <w:rsid w:val="4AB94F06"/>
    <w:rsid w:val="4ABA048A"/>
    <w:rsid w:val="4ACB0258"/>
    <w:rsid w:val="4AD23285"/>
    <w:rsid w:val="4AD36430"/>
    <w:rsid w:val="4AD420FD"/>
    <w:rsid w:val="4AD53A7E"/>
    <w:rsid w:val="4AEC7166"/>
    <w:rsid w:val="4B01664B"/>
    <w:rsid w:val="4B06328F"/>
    <w:rsid w:val="4B137C8F"/>
    <w:rsid w:val="4B1A27DA"/>
    <w:rsid w:val="4B3573A5"/>
    <w:rsid w:val="4B40055C"/>
    <w:rsid w:val="4B626377"/>
    <w:rsid w:val="4B813CBA"/>
    <w:rsid w:val="4B8A67E7"/>
    <w:rsid w:val="4B9A3D03"/>
    <w:rsid w:val="4BA2391A"/>
    <w:rsid w:val="4C3750C2"/>
    <w:rsid w:val="4C505548"/>
    <w:rsid w:val="4C77511B"/>
    <w:rsid w:val="4C8F0EFA"/>
    <w:rsid w:val="4C956863"/>
    <w:rsid w:val="4CC67180"/>
    <w:rsid w:val="4CC73ADC"/>
    <w:rsid w:val="4CE04D3A"/>
    <w:rsid w:val="4D1E35C1"/>
    <w:rsid w:val="4D416F5E"/>
    <w:rsid w:val="4D48314C"/>
    <w:rsid w:val="4D565DFE"/>
    <w:rsid w:val="4D5B3AEE"/>
    <w:rsid w:val="4D5D7938"/>
    <w:rsid w:val="4D8245E8"/>
    <w:rsid w:val="4DA566AA"/>
    <w:rsid w:val="4DD34BEA"/>
    <w:rsid w:val="4DD45889"/>
    <w:rsid w:val="4E3715BC"/>
    <w:rsid w:val="4E46289E"/>
    <w:rsid w:val="4E4920E8"/>
    <w:rsid w:val="4E4A2DC1"/>
    <w:rsid w:val="4E5C4F0A"/>
    <w:rsid w:val="4E6013D5"/>
    <w:rsid w:val="4E8F5182"/>
    <w:rsid w:val="4E933315"/>
    <w:rsid w:val="4E977900"/>
    <w:rsid w:val="4EBD0DE3"/>
    <w:rsid w:val="4ED721D1"/>
    <w:rsid w:val="4EE81B28"/>
    <w:rsid w:val="4EEF0F22"/>
    <w:rsid w:val="4EF53F7D"/>
    <w:rsid w:val="4F003A2F"/>
    <w:rsid w:val="4F285443"/>
    <w:rsid w:val="4F2A2003"/>
    <w:rsid w:val="4F2E04D0"/>
    <w:rsid w:val="4F3D7149"/>
    <w:rsid w:val="4F597318"/>
    <w:rsid w:val="4F656A87"/>
    <w:rsid w:val="4F85421A"/>
    <w:rsid w:val="4F9B49DB"/>
    <w:rsid w:val="4FA24285"/>
    <w:rsid w:val="4FA67278"/>
    <w:rsid w:val="4FFB3145"/>
    <w:rsid w:val="5014657E"/>
    <w:rsid w:val="50352779"/>
    <w:rsid w:val="506A72DB"/>
    <w:rsid w:val="50804029"/>
    <w:rsid w:val="50A21B2E"/>
    <w:rsid w:val="50C16EC1"/>
    <w:rsid w:val="50D1789D"/>
    <w:rsid w:val="50D47995"/>
    <w:rsid w:val="50D84D11"/>
    <w:rsid w:val="50FD69AC"/>
    <w:rsid w:val="511261A9"/>
    <w:rsid w:val="51226632"/>
    <w:rsid w:val="513C373D"/>
    <w:rsid w:val="513E5136"/>
    <w:rsid w:val="5159057A"/>
    <w:rsid w:val="515C5D8C"/>
    <w:rsid w:val="516D58BD"/>
    <w:rsid w:val="51AC3A54"/>
    <w:rsid w:val="51D8204C"/>
    <w:rsid w:val="51EC1699"/>
    <w:rsid w:val="52037C16"/>
    <w:rsid w:val="525C33E1"/>
    <w:rsid w:val="52640092"/>
    <w:rsid w:val="5288025B"/>
    <w:rsid w:val="52AF15F9"/>
    <w:rsid w:val="52DA766C"/>
    <w:rsid w:val="52E96B41"/>
    <w:rsid w:val="52FC4950"/>
    <w:rsid w:val="53292B17"/>
    <w:rsid w:val="536D03A2"/>
    <w:rsid w:val="537A5A3D"/>
    <w:rsid w:val="53907D1C"/>
    <w:rsid w:val="53996FA0"/>
    <w:rsid w:val="53A54B68"/>
    <w:rsid w:val="53A6711D"/>
    <w:rsid w:val="53B83125"/>
    <w:rsid w:val="53BE0B04"/>
    <w:rsid w:val="53C77F2D"/>
    <w:rsid w:val="540C5C47"/>
    <w:rsid w:val="541A0587"/>
    <w:rsid w:val="543B5E3E"/>
    <w:rsid w:val="543D7AF9"/>
    <w:rsid w:val="546E414E"/>
    <w:rsid w:val="548933B0"/>
    <w:rsid w:val="54A21ACB"/>
    <w:rsid w:val="54C03FD1"/>
    <w:rsid w:val="54C56595"/>
    <w:rsid w:val="54D94C6F"/>
    <w:rsid w:val="54DC4367"/>
    <w:rsid w:val="551744F0"/>
    <w:rsid w:val="555E27DC"/>
    <w:rsid w:val="55680F44"/>
    <w:rsid w:val="556A6814"/>
    <w:rsid w:val="55762F1A"/>
    <w:rsid w:val="55841010"/>
    <w:rsid w:val="55B16224"/>
    <w:rsid w:val="55B736B1"/>
    <w:rsid w:val="55DC02EF"/>
    <w:rsid w:val="55E01242"/>
    <w:rsid w:val="55EB07D7"/>
    <w:rsid w:val="55EF199C"/>
    <w:rsid w:val="55FA6DE6"/>
    <w:rsid w:val="560D6215"/>
    <w:rsid w:val="5651297A"/>
    <w:rsid w:val="565D5A4C"/>
    <w:rsid w:val="568A35C8"/>
    <w:rsid w:val="56A9174F"/>
    <w:rsid w:val="56BF52DD"/>
    <w:rsid w:val="56CB2698"/>
    <w:rsid w:val="574F702D"/>
    <w:rsid w:val="5753646D"/>
    <w:rsid w:val="576A7F0B"/>
    <w:rsid w:val="578D68C8"/>
    <w:rsid w:val="57A525D0"/>
    <w:rsid w:val="57BA19C8"/>
    <w:rsid w:val="57C754E6"/>
    <w:rsid w:val="57F723C6"/>
    <w:rsid w:val="580B026E"/>
    <w:rsid w:val="580E408B"/>
    <w:rsid w:val="584762B3"/>
    <w:rsid w:val="584C035A"/>
    <w:rsid w:val="5893639F"/>
    <w:rsid w:val="58A57D57"/>
    <w:rsid w:val="58B43073"/>
    <w:rsid w:val="59007316"/>
    <w:rsid w:val="590C4A6A"/>
    <w:rsid w:val="590E5A84"/>
    <w:rsid w:val="592878DD"/>
    <w:rsid w:val="59366C69"/>
    <w:rsid w:val="593E17CC"/>
    <w:rsid w:val="597917A2"/>
    <w:rsid w:val="598A0A6A"/>
    <w:rsid w:val="59910946"/>
    <w:rsid w:val="59C01C8A"/>
    <w:rsid w:val="59D931AB"/>
    <w:rsid w:val="59E327B1"/>
    <w:rsid w:val="5A571AB7"/>
    <w:rsid w:val="5A9157CC"/>
    <w:rsid w:val="5A926F02"/>
    <w:rsid w:val="5AD72CED"/>
    <w:rsid w:val="5AE37FE6"/>
    <w:rsid w:val="5AEB1AA9"/>
    <w:rsid w:val="5AEE63F1"/>
    <w:rsid w:val="5AF12803"/>
    <w:rsid w:val="5B0A41C5"/>
    <w:rsid w:val="5B0F3878"/>
    <w:rsid w:val="5B1320A3"/>
    <w:rsid w:val="5B296E39"/>
    <w:rsid w:val="5B316B4F"/>
    <w:rsid w:val="5B51259F"/>
    <w:rsid w:val="5B565143"/>
    <w:rsid w:val="5B7B4AD5"/>
    <w:rsid w:val="5B897E87"/>
    <w:rsid w:val="5B94572C"/>
    <w:rsid w:val="5BAA2EAE"/>
    <w:rsid w:val="5C030606"/>
    <w:rsid w:val="5C0534C7"/>
    <w:rsid w:val="5C1D62DE"/>
    <w:rsid w:val="5C2B7507"/>
    <w:rsid w:val="5C5115CF"/>
    <w:rsid w:val="5C711048"/>
    <w:rsid w:val="5C7C4B56"/>
    <w:rsid w:val="5C8F2E27"/>
    <w:rsid w:val="5CB10365"/>
    <w:rsid w:val="5CC96E7F"/>
    <w:rsid w:val="5CEB3F44"/>
    <w:rsid w:val="5D36380A"/>
    <w:rsid w:val="5D4F5E22"/>
    <w:rsid w:val="5D5B5446"/>
    <w:rsid w:val="5D5F0F42"/>
    <w:rsid w:val="5D6810EA"/>
    <w:rsid w:val="5D7214DA"/>
    <w:rsid w:val="5D8C6099"/>
    <w:rsid w:val="5D9C693A"/>
    <w:rsid w:val="5DA2527F"/>
    <w:rsid w:val="5DBE390D"/>
    <w:rsid w:val="5DC06A62"/>
    <w:rsid w:val="5DCA108D"/>
    <w:rsid w:val="5DCC7252"/>
    <w:rsid w:val="5DD744A6"/>
    <w:rsid w:val="5E10212E"/>
    <w:rsid w:val="5E3A5549"/>
    <w:rsid w:val="5E6E48EE"/>
    <w:rsid w:val="5E8625FE"/>
    <w:rsid w:val="5EB1589E"/>
    <w:rsid w:val="5ED20829"/>
    <w:rsid w:val="5ED37121"/>
    <w:rsid w:val="5EE13787"/>
    <w:rsid w:val="5EE6742F"/>
    <w:rsid w:val="5EEA2F02"/>
    <w:rsid w:val="5EFA0B0F"/>
    <w:rsid w:val="5F044FFD"/>
    <w:rsid w:val="5F186DEA"/>
    <w:rsid w:val="5F3C325F"/>
    <w:rsid w:val="5F5A5258"/>
    <w:rsid w:val="5F655C9C"/>
    <w:rsid w:val="5F6C5D9B"/>
    <w:rsid w:val="5FAB511D"/>
    <w:rsid w:val="5FBB1A7B"/>
    <w:rsid w:val="5FC36609"/>
    <w:rsid w:val="600633D2"/>
    <w:rsid w:val="60337E9D"/>
    <w:rsid w:val="604766FB"/>
    <w:rsid w:val="60665B03"/>
    <w:rsid w:val="60A14486"/>
    <w:rsid w:val="60A8530A"/>
    <w:rsid w:val="60B01C41"/>
    <w:rsid w:val="60B07F3A"/>
    <w:rsid w:val="60B35F62"/>
    <w:rsid w:val="60D757D3"/>
    <w:rsid w:val="60F8356A"/>
    <w:rsid w:val="60FF21FB"/>
    <w:rsid w:val="612F73B7"/>
    <w:rsid w:val="613628F1"/>
    <w:rsid w:val="6142304C"/>
    <w:rsid w:val="617D6860"/>
    <w:rsid w:val="61905124"/>
    <w:rsid w:val="619B4C80"/>
    <w:rsid w:val="61A539F3"/>
    <w:rsid w:val="61BC6FF1"/>
    <w:rsid w:val="61BE2D72"/>
    <w:rsid w:val="61F257C1"/>
    <w:rsid w:val="61F83918"/>
    <w:rsid w:val="62024051"/>
    <w:rsid w:val="620F699E"/>
    <w:rsid w:val="62146890"/>
    <w:rsid w:val="6235503B"/>
    <w:rsid w:val="62373598"/>
    <w:rsid w:val="6244424A"/>
    <w:rsid w:val="62475E42"/>
    <w:rsid w:val="624B3312"/>
    <w:rsid w:val="62833DE1"/>
    <w:rsid w:val="62A659F3"/>
    <w:rsid w:val="62CC79B4"/>
    <w:rsid w:val="62D13D62"/>
    <w:rsid w:val="62FE6DA5"/>
    <w:rsid w:val="630448E5"/>
    <w:rsid w:val="637678C3"/>
    <w:rsid w:val="638429EF"/>
    <w:rsid w:val="63855C20"/>
    <w:rsid w:val="63C22DEB"/>
    <w:rsid w:val="63C30B97"/>
    <w:rsid w:val="63CA5E25"/>
    <w:rsid w:val="63DA740E"/>
    <w:rsid w:val="63E246DF"/>
    <w:rsid w:val="63F53005"/>
    <w:rsid w:val="64234DA4"/>
    <w:rsid w:val="64370594"/>
    <w:rsid w:val="644C5A2C"/>
    <w:rsid w:val="645667E8"/>
    <w:rsid w:val="645F3839"/>
    <w:rsid w:val="64671C62"/>
    <w:rsid w:val="649524E9"/>
    <w:rsid w:val="6498136A"/>
    <w:rsid w:val="64CB67BA"/>
    <w:rsid w:val="64ED10BA"/>
    <w:rsid w:val="64FC1A4D"/>
    <w:rsid w:val="653B6239"/>
    <w:rsid w:val="656C3570"/>
    <w:rsid w:val="658C2ADB"/>
    <w:rsid w:val="659266F7"/>
    <w:rsid w:val="659B1711"/>
    <w:rsid w:val="65A87AF1"/>
    <w:rsid w:val="65CA0282"/>
    <w:rsid w:val="65D940F6"/>
    <w:rsid w:val="65E859DC"/>
    <w:rsid w:val="65EF7470"/>
    <w:rsid w:val="65F163FF"/>
    <w:rsid w:val="65FF10B8"/>
    <w:rsid w:val="66013A43"/>
    <w:rsid w:val="66272EDA"/>
    <w:rsid w:val="663D29F8"/>
    <w:rsid w:val="6647506C"/>
    <w:rsid w:val="664B0114"/>
    <w:rsid w:val="664F4C45"/>
    <w:rsid w:val="66503027"/>
    <w:rsid w:val="6658736D"/>
    <w:rsid w:val="667B52B4"/>
    <w:rsid w:val="66C95AD7"/>
    <w:rsid w:val="66CF118E"/>
    <w:rsid w:val="66D6776C"/>
    <w:rsid w:val="66FC1415"/>
    <w:rsid w:val="670628EA"/>
    <w:rsid w:val="670A0B07"/>
    <w:rsid w:val="672776BF"/>
    <w:rsid w:val="674F5127"/>
    <w:rsid w:val="6779687A"/>
    <w:rsid w:val="679100CF"/>
    <w:rsid w:val="67A07443"/>
    <w:rsid w:val="680E4979"/>
    <w:rsid w:val="681678A8"/>
    <w:rsid w:val="68277F50"/>
    <w:rsid w:val="683067D7"/>
    <w:rsid w:val="684455AA"/>
    <w:rsid w:val="68672AC1"/>
    <w:rsid w:val="68AA7102"/>
    <w:rsid w:val="68CC61C8"/>
    <w:rsid w:val="68FE61F7"/>
    <w:rsid w:val="69320917"/>
    <w:rsid w:val="693D4A1B"/>
    <w:rsid w:val="69944E80"/>
    <w:rsid w:val="69A057DD"/>
    <w:rsid w:val="69C25028"/>
    <w:rsid w:val="69DF6662"/>
    <w:rsid w:val="69E51665"/>
    <w:rsid w:val="69F47B11"/>
    <w:rsid w:val="6A054924"/>
    <w:rsid w:val="6A726C6D"/>
    <w:rsid w:val="6A8E0F51"/>
    <w:rsid w:val="6AA12402"/>
    <w:rsid w:val="6AFE2AEB"/>
    <w:rsid w:val="6B0620D9"/>
    <w:rsid w:val="6B2667E8"/>
    <w:rsid w:val="6B4F0C2A"/>
    <w:rsid w:val="6B731362"/>
    <w:rsid w:val="6B7E6624"/>
    <w:rsid w:val="6B9877CF"/>
    <w:rsid w:val="6BD11A4F"/>
    <w:rsid w:val="6BE84D8E"/>
    <w:rsid w:val="6BE95D2D"/>
    <w:rsid w:val="6C0C703D"/>
    <w:rsid w:val="6C2C437A"/>
    <w:rsid w:val="6C332E73"/>
    <w:rsid w:val="6C8C45F0"/>
    <w:rsid w:val="6C98243C"/>
    <w:rsid w:val="6CC64B60"/>
    <w:rsid w:val="6CF319E8"/>
    <w:rsid w:val="6D287D1D"/>
    <w:rsid w:val="6D5E03A1"/>
    <w:rsid w:val="6D6A747F"/>
    <w:rsid w:val="6D6D1597"/>
    <w:rsid w:val="6D7209CF"/>
    <w:rsid w:val="6DF62ED2"/>
    <w:rsid w:val="6E001339"/>
    <w:rsid w:val="6E08440D"/>
    <w:rsid w:val="6E101D53"/>
    <w:rsid w:val="6E162EDE"/>
    <w:rsid w:val="6E2C42DC"/>
    <w:rsid w:val="6E8568AB"/>
    <w:rsid w:val="6EA43F6F"/>
    <w:rsid w:val="6ECF6225"/>
    <w:rsid w:val="6EEE1441"/>
    <w:rsid w:val="6EF307C1"/>
    <w:rsid w:val="6F102CAF"/>
    <w:rsid w:val="6F1067FE"/>
    <w:rsid w:val="6F516C51"/>
    <w:rsid w:val="6F5174CC"/>
    <w:rsid w:val="6F6A49F3"/>
    <w:rsid w:val="700134AA"/>
    <w:rsid w:val="701B53AF"/>
    <w:rsid w:val="702D6C3C"/>
    <w:rsid w:val="706B0ACF"/>
    <w:rsid w:val="706C25D6"/>
    <w:rsid w:val="707906B1"/>
    <w:rsid w:val="708517D6"/>
    <w:rsid w:val="70876D48"/>
    <w:rsid w:val="70D552A1"/>
    <w:rsid w:val="70DC035A"/>
    <w:rsid w:val="711F512E"/>
    <w:rsid w:val="7152069A"/>
    <w:rsid w:val="71685468"/>
    <w:rsid w:val="71711CC3"/>
    <w:rsid w:val="71922F9E"/>
    <w:rsid w:val="719763D9"/>
    <w:rsid w:val="71A6602D"/>
    <w:rsid w:val="71BF3E7E"/>
    <w:rsid w:val="71CB6351"/>
    <w:rsid w:val="71E04E40"/>
    <w:rsid w:val="71EB37B0"/>
    <w:rsid w:val="72186962"/>
    <w:rsid w:val="723956BD"/>
    <w:rsid w:val="723F5C6D"/>
    <w:rsid w:val="72433BDD"/>
    <w:rsid w:val="7247257E"/>
    <w:rsid w:val="725938CA"/>
    <w:rsid w:val="72745468"/>
    <w:rsid w:val="72976792"/>
    <w:rsid w:val="72A46321"/>
    <w:rsid w:val="72A6447B"/>
    <w:rsid w:val="72A96E9E"/>
    <w:rsid w:val="72AA291A"/>
    <w:rsid w:val="72B32773"/>
    <w:rsid w:val="72C178CB"/>
    <w:rsid w:val="72D36440"/>
    <w:rsid w:val="72E6191B"/>
    <w:rsid w:val="72EA50DF"/>
    <w:rsid w:val="730C2FA9"/>
    <w:rsid w:val="732670AB"/>
    <w:rsid w:val="733C7952"/>
    <w:rsid w:val="73437635"/>
    <w:rsid w:val="737B5752"/>
    <w:rsid w:val="73816CB2"/>
    <w:rsid w:val="738B037D"/>
    <w:rsid w:val="73994DA9"/>
    <w:rsid w:val="73A656BF"/>
    <w:rsid w:val="73B03841"/>
    <w:rsid w:val="73B324A4"/>
    <w:rsid w:val="73BF36DF"/>
    <w:rsid w:val="73E31B37"/>
    <w:rsid w:val="740578E3"/>
    <w:rsid w:val="743028A8"/>
    <w:rsid w:val="743E65E9"/>
    <w:rsid w:val="744640D9"/>
    <w:rsid w:val="74605B9B"/>
    <w:rsid w:val="74643FF8"/>
    <w:rsid w:val="746F3196"/>
    <w:rsid w:val="747E11BD"/>
    <w:rsid w:val="74A23A31"/>
    <w:rsid w:val="74C35FEF"/>
    <w:rsid w:val="74C41122"/>
    <w:rsid w:val="74C7180D"/>
    <w:rsid w:val="74D44144"/>
    <w:rsid w:val="74F04E30"/>
    <w:rsid w:val="75087C24"/>
    <w:rsid w:val="75183646"/>
    <w:rsid w:val="75392CB5"/>
    <w:rsid w:val="757247FD"/>
    <w:rsid w:val="758A16C2"/>
    <w:rsid w:val="75A66C33"/>
    <w:rsid w:val="75A9457A"/>
    <w:rsid w:val="75C81C2C"/>
    <w:rsid w:val="75E22E27"/>
    <w:rsid w:val="75E750AC"/>
    <w:rsid w:val="7600462E"/>
    <w:rsid w:val="76090510"/>
    <w:rsid w:val="76117DF5"/>
    <w:rsid w:val="76381FDA"/>
    <w:rsid w:val="76635E5A"/>
    <w:rsid w:val="76716D0F"/>
    <w:rsid w:val="76BB237A"/>
    <w:rsid w:val="76E1351E"/>
    <w:rsid w:val="76E57E24"/>
    <w:rsid w:val="76F45846"/>
    <w:rsid w:val="77045514"/>
    <w:rsid w:val="77047FC4"/>
    <w:rsid w:val="77345419"/>
    <w:rsid w:val="77481E0C"/>
    <w:rsid w:val="774A52BD"/>
    <w:rsid w:val="77755B32"/>
    <w:rsid w:val="77767DE2"/>
    <w:rsid w:val="77862FDF"/>
    <w:rsid w:val="779675C9"/>
    <w:rsid w:val="779E21F0"/>
    <w:rsid w:val="77E9146F"/>
    <w:rsid w:val="781F5BCD"/>
    <w:rsid w:val="783748DC"/>
    <w:rsid w:val="78677873"/>
    <w:rsid w:val="787A17EC"/>
    <w:rsid w:val="7884159D"/>
    <w:rsid w:val="78B14DD3"/>
    <w:rsid w:val="78D54797"/>
    <w:rsid w:val="790E0C60"/>
    <w:rsid w:val="791C3736"/>
    <w:rsid w:val="792176E2"/>
    <w:rsid w:val="79441429"/>
    <w:rsid w:val="79505A03"/>
    <w:rsid w:val="795A568C"/>
    <w:rsid w:val="79B30BFC"/>
    <w:rsid w:val="79BB6943"/>
    <w:rsid w:val="79C81F48"/>
    <w:rsid w:val="7A0E19B5"/>
    <w:rsid w:val="7A363500"/>
    <w:rsid w:val="7A4A1A7D"/>
    <w:rsid w:val="7A7B1B56"/>
    <w:rsid w:val="7A8E0B76"/>
    <w:rsid w:val="7ABE12FF"/>
    <w:rsid w:val="7AC027B5"/>
    <w:rsid w:val="7AC03043"/>
    <w:rsid w:val="7ACA3634"/>
    <w:rsid w:val="7AD70929"/>
    <w:rsid w:val="7AEA7B7F"/>
    <w:rsid w:val="7B0D3021"/>
    <w:rsid w:val="7B1D597F"/>
    <w:rsid w:val="7B27130D"/>
    <w:rsid w:val="7B4B3360"/>
    <w:rsid w:val="7B5D3FDE"/>
    <w:rsid w:val="7B6A6679"/>
    <w:rsid w:val="7B8041AC"/>
    <w:rsid w:val="7B810272"/>
    <w:rsid w:val="7B9F3A8C"/>
    <w:rsid w:val="7BDF0E1A"/>
    <w:rsid w:val="7BF312DF"/>
    <w:rsid w:val="7C375752"/>
    <w:rsid w:val="7C5E0D25"/>
    <w:rsid w:val="7C5E5B42"/>
    <w:rsid w:val="7C635976"/>
    <w:rsid w:val="7C6B0C5E"/>
    <w:rsid w:val="7C8C67EE"/>
    <w:rsid w:val="7CD04FB1"/>
    <w:rsid w:val="7CD97B53"/>
    <w:rsid w:val="7CE97DA3"/>
    <w:rsid w:val="7CFD3174"/>
    <w:rsid w:val="7D3768B7"/>
    <w:rsid w:val="7D3B50F4"/>
    <w:rsid w:val="7D41503F"/>
    <w:rsid w:val="7D5546F3"/>
    <w:rsid w:val="7D6A48EC"/>
    <w:rsid w:val="7D9D62A5"/>
    <w:rsid w:val="7DBC40C6"/>
    <w:rsid w:val="7DC62B6A"/>
    <w:rsid w:val="7DCF3BB3"/>
    <w:rsid w:val="7DDE0A88"/>
    <w:rsid w:val="7DE705F3"/>
    <w:rsid w:val="7DF2516B"/>
    <w:rsid w:val="7E0B471E"/>
    <w:rsid w:val="7E1F041D"/>
    <w:rsid w:val="7E3D2253"/>
    <w:rsid w:val="7E4E5CBF"/>
    <w:rsid w:val="7E4F0751"/>
    <w:rsid w:val="7E6A44EF"/>
    <w:rsid w:val="7E8104AE"/>
    <w:rsid w:val="7E9C7AF6"/>
    <w:rsid w:val="7EA81ABF"/>
    <w:rsid w:val="7EC95594"/>
    <w:rsid w:val="7F074323"/>
    <w:rsid w:val="7F225747"/>
    <w:rsid w:val="7F5F2FD2"/>
    <w:rsid w:val="7F672754"/>
    <w:rsid w:val="7F82050D"/>
    <w:rsid w:val="7F8556D6"/>
    <w:rsid w:val="7F9558A6"/>
    <w:rsid w:val="7FAE1CBA"/>
    <w:rsid w:val="7FDD34C2"/>
    <w:rsid w:val="7FE41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57" w:lineRule="atLeast"/>
      <w:jc w:val="both"/>
      <w:textAlignment w:val="baseline"/>
    </w:pPr>
    <w:rPr>
      <w:rFonts w:ascii="Times New Roman" w:hAnsi="Times New Roman" w:eastAsia="宋体" w:cs="Times New Roman"/>
      <w:color w:val="000000"/>
      <w:sz w:val="21"/>
      <w:u w:color="000000"/>
      <w:lang w:val="en-US" w:eastAsia="zh-CN" w:bidi="ar-SA"/>
    </w:rPr>
  </w:style>
  <w:style w:type="paragraph" w:styleId="3">
    <w:name w:val="heading 1"/>
    <w:basedOn w:val="1"/>
    <w:next w:val="1"/>
    <w:link w:val="36"/>
    <w:qFormat/>
    <w:uiPriority w:val="0"/>
    <w:pPr>
      <w:keepNext/>
      <w:keepLines/>
      <w:spacing w:line="240" w:lineRule="auto"/>
      <w:jc w:val="center"/>
      <w:outlineLvl w:val="0"/>
    </w:pPr>
    <w:rPr>
      <w:rFonts w:ascii="Calibri" w:hAnsi="Calibri"/>
      <w:b/>
      <w:kern w:val="44"/>
      <w:sz w:val="36"/>
      <w:szCs w:val="22"/>
    </w:rPr>
  </w:style>
  <w:style w:type="paragraph" w:styleId="4">
    <w:name w:val="heading 2"/>
    <w:basedOn w:val="1"/>
    <w:next w:val="1"/>
    <w:qFormat/>
    <w:uiPriority w:val="0"/>
    <w:pPr>
      <w:keepNext/>
      <w:keepLines/>
      <w:widowControl w:val="0"/>
      <w:adjustRightInd w:val="0"/>
      <w:spacing w:line="360" w:lineRule="auto"/>
      <w:jc w:val="center"/>
      <w:outlineLvl w:val="1"/>
    </w:pPr>
    <w:rPr>
      <w:b/>
      <w:color w:val="auto"/>
      <w:sz w:val="30"/>
    </w:rPr>
  </w:style>
  <w:style w:type="paragraph" w:styleId="5">
    <w:name w:val="heading 3"/>
    <w:basedOn w:val="1"/>
    <w:next w:val="1"/>
    <w:link w:val="37"/>
    <w:qFormat/>
    <w:uiPriority w:val="0"/>
    <w:pPr>
      <w:keepNext/>
      <w:keepLines/>
      <w:spacing w:before="20" w:after="20" w:line="240" w:lineRule="auto"/>
      <w:jc w:val="center"/>
      <w:outlineLvl w:val="2"/>
    </w:pPr>
    <w:rPr>
      <w:b/>
      <w:bCs/>
      <w:sz w:val="28"/>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semiHidden/>
    <w:unhideWhenUsed/>
    <w:qFormat/>
    <w:uiPriority w:val="0"/>
    <w:pPr>
      <w:spacing w:beforeAutospacing="1" w:afterAutospacing="1"/>
      <w:jc w:val="left"/>
      <w:outlineLvl w:val="5"/>
    </w:pPr>
    <w:rPr>
      <w:rFonts w:hint="eastAsia" w:ascii="宋体" w:hAnsi="宋体"/>
      <w:b/>
      <w:bCs/>
      <w:sz w:val="15"/>
      <w:szCs w:val="15"/>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unhideWhenUsed/>
    <w:qFormat/>
    <w:uiPriority w:val="99"/>
    <w:pPr>
      <w:ind w:left="420" w:leftChars="200"/>
    </w:pPr>
  </w:style>
  <w:style w:type="paragraph" w:styleId="8">
    <w:name w:val="Normal Indent"/>
    <w:basedOn w:val="1"/>
    <w:next w:val="1"/>
    <w:qFormat/>
    <w:uiPriority w:val="0"/>
    <w:pPr>
      <w:widowControl w:val="0"/>
      <w:adjustRightInd w:val="0"/>
      <w:spacing w:line="360" w:lineRule="atLeast"/>
      <w:ind w:firstLine="482"/>
    </w:pPr>
    <w:rPr>
      <w:color w:val="auto"/>
      <w:sz w:val="24"/>
    </w:rPr>
  </w:style>
  <w:style w:type="paragraph" w:styleId="9">
    <w:name w:val="Body Text"/>
    <w:basedOn w:val="1"/>
    <w:next w:val="1"/>
    <w:link w:val="51"/>
    <w:qFormat/>
    <w:uiPriority w:val="0"/>
    <w:pPr>
      <w:widowControl w:val="0"/>
      <w:snapToGrid w:val="0"/>
      <w:spacing w:line="360" w:lineRule="auto"/>
    </w:pPr>
    <w:rPr>
      <w:rFonts w:ascii="Arial" w:hAnsi="Arial" w:eastAsia="FangSong_GB2312"/>
      <w:sz w:val="31"/>
    </w:rPr>
  </w:style>
  <w:style w:type="paragraph" w:styleId="10">
    <w:name w:val="Body Text Indent"/>
    <w:basedOn w:val="1"/>
    <w:qFormat/>
    <w:uiPriority w:val="0"/>
    <w:pPr>
      <w:ind w:left="420" w:leftChars="200"/>
    </w:pPr>
  </w:style>
  <w:style w:type="paragraph" w:styleId="11">
    <w:name w:val="Plain Text"/>
    <w:basedOn w:val="1"/>
    <w:next w:val="1"/>
    <w:qFormat/>
    <w:uiPriority w:val="0"/>
    <w:pPr>
      <w:widowControl w:val="0"/>
      <w:spacing w:line="240" w:lineRule="auto"/>
      <w:textAlignment w:val="auto"/>
    </w:pPr>
    <w:rPr>
      <w:rFonts w:ascii="宋体" w:hAnsi="Courier New"/>
      <w:color w:val="auto"/>
      <w:kern w:val="2"/>
    </w:rPr>
  </w:style>
  <w:style w:type="paragraph" w:styleId="12">
    <w:name w:val="Date"/>
    <w:basedOn w:val="1"/>
    <w:next w:val="1"/>
    <w:qFormat/>
    <w:uiPriority w:val="0"/>
    <w:pPr>
      <w:widowControl w:val="0"/>
      <w:spacing w:line="240" w:lineRule="auto"/>
      <w:textAlignment w:val="auto"/>
    </w:pPr>
    <w:rPr>
      <w:rFonts w:ascii="Arial" w:hAnsi="Arial" w:eastAsia="FangSong_GB2312"/>
      <w:color w:val="auto"/>
      <w:kern w:val="2"/>
      <w:sz w:val="32"/>
    </w:rPr>
  </w:style>
  <w:style w:type="paragraph" w:styleId="13">
    <w:name w:val="Balloon Text"/>
    <w:basedOn w:val="1"/>
    <w:link w:val="76"/>
    <w:qFormat/>
    <w:uiPriority w:val="0"/>
    <w:pPr>
      <w:spacing w:line="240" w:lineRule="auto"/>
    </w:pPr>
    <w:rPr>
      <w:sz w:val="18"/>
      <w:szCs w:val="18"/>
    </w:rPr>
  </w:style>
  <w:style w:type="paragraph" w:styleId="14">
    <w:name w:val="footer"/>
    <w:basedOn w:val="1"/>
    <w:qFormat/>
    <w:uiPriority w:val="99"/>
    <w:pPr>
      <w:tabs>
        <w:tab w:val="center" w:pos="4153"/>
        <w:tab w:val="right" w:pos="8306"/>
      </w:tabs>
      <w:snapToGrid w:val="0"/>
      <w:spacing w:line="240" w:lineRule="atLeast"/>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6">
    <w:name w:val="toc 1"/>
    <w:basedOn w:val="1"/>
    <w:next w:val="1"/>
    <w:qFormat/>
    <w:uiPriority w:val="39"/>
  </w:style>
  <w:style w:type="paragraph" w:styleId="17">
    <w:name w:val="Body Text 2"/>
    <w:basedOn w:val="1"/>
    <w:unhideWhenUsed/>
    <w:qFormat/>
    <w:uiPriority w:val="99"/>
    <w:rPr>
      <w:sz w:val="28"/>
    </w:r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paragraph" w:styleId="19">
    <w:name w:val="Normal (Web)"/>
    <w:basedOn w:val="1"/>
    <w:qFormat/>
    <w:uiPriority w:val="0"/>
    <w:pPr>
      <w:spacing w:before="100" w:beforeAutospacing="1" w:after="100" w:afterAutospacing="1" w:line="240" w:lineRule="auto"/>
      <w:jc w:val="left"/>
      <w:textAlignment w:val="auto"/>
    </w:pPr>
    <w:rPr>
      <w:rFonts w:ascii="宋体" w:hAnsi="宋体" w:cs="宋体"/>
      <w:color w:val="auto"/>
      <w:sz w:val="24"/>
      <w:szCs w:val="24"/>
    </w:rPr>
  </w:style>
  <w:style w:type="paragraph" w:styleId="20">
    <w:name w:val="Body Text First Indent"/>
    <w:basedOn w:val="9"/>
    <w:next w:val="1"/>
    <w:qFormat/>
    <w:uiPriority w:val="0"/>
    <w:pPr>
      <w:spacing w:line="240" w:lineRule="auto"/>
      <w:ind w:firstLine="420" w:firstLineChars="100"/>
    </w:pPr>
    <w:rPr>
      <w:rFonts w:ascii="Calibri" w:hAnsi="Calibri"/>
      <w:color w:val="auto"/>
      <w:sz w:val="18"/>
      <w:szCs w:val="18"/>
    </w:rPr>
  </w:style>
  <w:style w:type="paragraph" w:styleId="21">
    <w:name w:val="Body Text First Indent 2"/>
    <w:basedOn w:val="10"/>
    <w:qFormat/>
    <w:uiPriority w:val="0"/>
    <w:pPr>
      <w:ind w:firstLine="420" w:firstLineChars="200"/>
    </w:pPr>
    <w:rPr>
      <w:szCs w:val="24"/>
    </w:rPr>
  </w:style>
  <w:style w:type="table" w:styleId="23">
    <w:name w:val="Table Grid"/>
    <w:basedOn w:val="22"/>
    <w:qFormat/>
    <w:uiPriority w:val="59"/>
    <w:pPr>
      <w:spacing w:line="357"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bCs/>
    </w:rPr>
  </w:style>
  <w:style w:type="character" w:styleId="26">
    <w:name w:val="page number"/>
    <w:basedOn w:val="24"/>
    <w:qFormat/>
    <w:uiPriority w:val="0"/>
  </w:style>
  <w:style w:type="character" w:styleId="27">
    <w:name w:val="FollowedHyperlink"/>
    <w:basedOn w:val="24"/>
    <w:qFormat/>
    <w:uiPriority w:val="0"/>
    <w:rPr>
      <w:color w:val="800080"/>
      <w:u w:val="none"/>
    </w:rPr>
  </w:style>
  <w:style w:type="character" w:styleId="28">
    <w:name w:val="Emphasis"/>
    <w:basedOn w:val="24"/>
    <w:qFormat/>
    <w:uiPriority w:val="0"/>
  </w:style>
  <w:style w:type="character" w:styleId="29">
    <w:name w:val="HTML Definition"/>
    <w:basedOn w:val="24"/>
    <w:qFormat/>
    <w:uiPriority w:val="0"/>
  </w:style>
  <w:style w:type="character" w:styleId="30">
    <w:name w:val="HTML Variable"/>
    <w:basedOn w:val="24"/>
    <w:qFormat/>
    <w:uiPriority w:val="0"/>
  </w:style>
  <w:style w:type="character" w:styleId="31">
    <w:name w:val="Hyperlink"/>
    <w:basedOn w:val="24"/>
    <w:qFormat/>
    <w:uiPriority w:val="0"/>
    <w:rPr>
      <w:rFonts w:ascii="等线" w:hAnsi="等线" w:eastAsia="华文宋体"/>
      <w:color w:val="0000FF"/>
      <w:u w:val="single"/>
    </w:rPr>
  </w:style>
  <w:style w:type="character" w:styleId="32">
    <w:name w:val="HTML Code"/>
    <w:basedOn w:val="24"/>
    <w:qFormat/>
    <w:uiPriority w:val="0"/>
    <w:rPr>
      <w:rFonts w:hint="default" w:ascii="Courier New" w:hAnsi="Courier New" w:eastAsia="Courier New" w:cs="Courier New"/>
      <w:sz w:val="20"/>
    </w:rPr>
  </w:style>
  <w:style w:type="character" w:styleId="33">
    <w:name w:val="HTML Cite"/>
    <w:basedOn w:val="24"/>
    <w:qFormat/>
    <w:uiPriority w:val="0"/>
  </w:style>
  <w:style w:type="character" w:styleId="34">
    <w:name w:val="HTML Keyboard"/>
    <w:basedOn w:val="24"/>
    <w:qFormat/>
    <w:uiPriority w:val="0"/>
    <w:rPr>
      <w:rFonts w:hint="default" w:ascii="Courier New" w:hAnsi="Courier New" w:eastAsia="Courier New" w:cs="Courier New"/>
      <w:sz w:val="20"/>
    </w:rPr>
  </w:style>
  <w:style w:type="character" w:styleId="35">
    <w:name w:val="HTML Sample"/>
    <w:basedOn w:val="24"/>
    <w:qFormat/>
    <w:uiPriority w:val="0"/>
    <w:rPr>
      <w:rFonts w:ascii="Courier New" w:hAnsi="Courier New" w:eastAsia="Courier New" w:cs="Courier New"/>
    </w:rPr>
  </w:style>
  <w:style w:type="character" w:customStyle="1" w:styleId="36">
    <w:name w:val="标题 1 Char"/>
    <w:link w:val="3"/>
    <w:qFormat/>
    <w:uiPriority w:val="0"/>
    <w:rPr>
      <w:rFonts w:ascii="Calibri" w:hAnsi="Calibri" w:eastAsia="宋体" w:cs="Times New Roman"/>
      <w:b/>
      <w:kern w:val="44"/>
      <w:sz w:val="36"/>
      <w:szCs w:val="22"/>
    </w:rPr>
  </w:style>
  <w:style w:type="character" w:customStyle="1" w:styleId="37">
    <w:name w:val="标题 3 Char"/>
    <w:link w:val="5"/>
    <w:qFormat/>
    <w:uiPriority w:val="0"/>
    <w:rPr>
      <w:rFonts w:ascii="Times New Roman" w:hAnsi="Times New Roman" w:eastAsia="宋体"/>
      <w:b/>
      <w:bCs/>
      <w:sz w:val="28"/>
      <w:szCs w:val="32"/>
    </w:rPr>
  </w:style>
  <w:style w:type="paragraph" w:customStyle="1" w:styleId="38">
    <w:name w:val="正文1"/>
    <w:qFormat/>
    <w:uiPriority w:val="0"/>
    <w:pPr>
      <w:widowControl w:val="0"/>
      <w:adjustRightInd w:val="0"/>
      <w:spacing w:line="315" w:lineRule="atLeast"/>
      <w:textAlignment w:val="baseline"/>
    </w:pPr>
    <w:rPr>
      <w:rFonts w:ascii="宋体" w:hAnsi="Calibri" w:eastAsia="宋体" w:cs="Times New Roman"/>
      <w:sz w:val="24"/>
      <w:lang w:val="en-US" w:eastAsia="zh-CN" w:bidi="ar-SA"/>
    </w:rPr>
  </w:style>
  <w:style w:type="paragraph" w:customStyle="1" w:styleId="39">
    <w:name w:val="_Style 7"/>
    <w:basedOn w:val="3"/>
    <w:next w:val="1"/>
    <w:qFormat/>
    <w:uiPriority w:val="39"/>
    <w:pPr>
      <w:spacing w:before="480" w:line="276" w:lineRule="auto"/>
      <w:jc w:val="left"/>
      <w:textAlignment w:val="auto"/>
      <w:outlineLvl w:val="9"/>
    </w:pPr>
    <w:rPr>
      <w:rFonts w:ascii="Cambria" w:hAnsi="Cambria"/>
      <w:color w:val="365F91"/>
      <w:kern w:val="0"/>
      <w:sz w:val="28"/>
      <w:szCs w:val="28"/>
    </w:rPr>
  </w:style>
  <w:style w:type="paragraph" w:customStyle="1" w:styleId="4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文字2"/>
    <w:basedOn w:val="9"/>
    <w:qFormat/>
    <w:uiPriority w:val="0"/>
    <w:pPr>
      <w:adjustRightInd w:val="0"/>
      <w:spacing w:after="60" w:line="360" w:lineRule="atLeast"/>
      <w:ind w:left="72" w:leftChars="30" w:right="72" w:rightChars="30"/>
      <w:jc w:val="center"/>
    </w:pPr>
    <w:rPr>
      <w:rFonts w:eastAsia="黑体"/>
      <w:sz w:val="21"/>
    </w:rPr>
  </w:style>
  <w:style w:type="paragraph" w:customStyle="1" w:styleId="42">
    <w:name w:val="reader-word-layer reader-word-s36-69 reader-word-s36-96"/>
    <w:basedOn w:val="1"/>
    <w:qFormat/>
    <w:uiPriority w:val="0"/>
    <w:pPr>
      <w:spacing w:before="100" w:beforeAutospacing="1" w:after="100" w:afterAutospacing="1" w:line="240" w:lineRule="auto"/>
      <w:jc w:val="left"/>
    </w:pPr>
    <w:rPr>
      <w:rFonts w:ascii="宋体" w:hAnsi="宋体" w:cs="宋体"/>
      <w:sz w:val="24"/>
      <w:szCs w:val="24"/>
    </w:rPr>
  </w:style>
  <w:style w:type="paragraph" w:customStyle="1" w:styleId="43">
    <w:name w:val="title1"/>
    <w:basedOn w:val="1"/>
    <w:qFormat/>
    <w:uiPriority w:val="0"/>
    <w:pPr>
      <w:spacing w:before="150"/>
      <w:jc w:val="left"/>
    </w:pPr>
    <w:rPr>
      <w:b/>
      <w:sz w:val="22"/>
      <w:szCs w:val="22"/>
    </w:rPr>
  </w:style>
  <w:style w:type="paragraph" w:styleId="44">
    <w:name w:val="List Paragraph"/>
    <w:basedOn w:val="1"/>
    <w:qFormat/>
    <w:uiPriority w:val="0"/>
    <w:pPr>
      <w:ind w:firstLine="420" w:firstLineChars="200"/>
    </w:pPr>
    <w:rPr>
      <w:rFonts w:ascii="Calibri" w:hAnsi="Calibri"/>
      <w:szCs w:val="22"/>
    </w:rPr>
  </w:style>
  <w:style w:type="paragraph" w:customStyle="1" w:styleId="4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46">
    <w:name w:val="font91"/>
    <w:basedOn w:val="24"/>
    <w:qFormat/>
    <w:uiPriority w:val="0"/>
    <w:rPr>
      <w:rFonts w:ascii="仿宋_GB2312" w:eastAsia="仿宋_GB2312" w:cs="仿宋_GB2312"/>
      <w:color w:val="000000"/>
      <w:sz w:val="18"/>
      <w:szCs w:val="18"/>
      <w:u w:val="none"/>
    </w:rPr>
  </w:style>
  <w:style w:type="character" w:customStyle="1" w:styleId="47">
    <w:name w:val="font71"/>
    <w:basedOn w:val="24"/>
    <w:qFormat/>
    <w:uiPriority w:val="0"/>
    <w:rPr>
      <w:rFonts w:hint="default" w:ascii="Times New Roman" w:hAnsi="Times New Roman" w:cs="Times New Roman"/>
      <w:color w:val="000000"/>
      <w:sz w:val="20"/>
      <w:szCs w:val="20"/>
      <w:u w:val="none"/>
      <w:vertAlign w:val="superscript"/>
    </w:rPr>
  </w:style>
  <w:style w:type="character" w:customStyle="1" w:styleId="48">
    <w:name w:val="font81"/>
    <w:basedOn w:val="24"/>
    <w:qFormat/>
    <w:uiPriority w:val="0"/>
    <w:rPr>
      <w:rFonts w:hint="default" w:ascii="仿宋_GB2312" w:eastAsia="仿宋_GB2312" w:cs="仿宋_GB2312"/>
      <w:color w:val="000000"/>
      <w:sz w:val="20"/>
      <w:szCs w:val="20"/>
      <w:u w:val="none"/>
    </w:rPr>
  </w:style>
  <w:style w:type="character" w:customStyle="1" w:styleId="49">
    <w:name w:val="font11"/>
    <w:basedOn w:val="24"/>
    <w:qFormat/>
    <w:uiPriority w:val="0"/>
    <w:rPr>
      <w:rFonts w:hint="default" w:ascii="Times New Roman" w:hAnsi="Times New Roman" w:cs="Times New Roman"/>
      <w:color w:val="000000"/>
      <w:sz w:val="20"/>
      <w:szCs w:val="20"/>
      <w:u w:val="none"/>
    </w:rPr>
  </w:style>
  <w:style w:type="paragraph" w:customStyle="1" w:styleId="50">
    <w:name w:val="缺省文本"/>
    <w:basedOn w:val="1"/>
    <w:qFormat/>
    <w:uiPriority w:val="0"/>
    <w:pPr>
      <w:widowControl w:val="0"/>
      <w:autoSpaceDE w:val="0"/>
      <w:autoSpaceDN w:val="0"/>
      <w:adjustRightInd w:val="0"/>
      <w:spacing w:line="240" w:lineRule="auto"/>
      <w:jc w:val="left"/>
      <w:textAlignment w:val="auto"/>
    </w:pPr>
    <w:rPr>
      <w:color w:val="auto"/>
      <w:sz w:val="24"/>
    </w:rPr>
  </w:style>
  <w:style w:type="character" w:customStyle="1" w:styleId="51">
    <w:name w:val="正文文本 Char"/>
    <w:basedOn w:val="24"/>
    <w:link w:val="9"/>
    <w:qFormat/>
    <w:uiPriority w:val="0"/>
    <w:rPr>
      <w:rFonts w:hint="default" w:ascii="Times New Roman" w:hAnsi="Times New Roman" w:cs="Times New Roman"/>
      <w:color w:val="000000"/>
      <w:sz w:val="21"/>
      <w:u w:color="000000"/>
    </w:rPr>
  </w:style>
  <w:style w:type="paragraph" w:customStyle="1" w:styleId="52">
    <w:name w:val="_Style 2"/>
    <w:basedOn w:val="3"/>
    <w:next w:val="1"/>
    <w:qFormat/>
    <w:uiPriority w:val="0"/>
    <w:pPr>
      <w:outlineLvl w:val="9"/>
    </w:pPr>
  </w:style>
  <w:style w:type="paragraph" w:customStyle="1" w:styleId="53">
    <w:name w:val="BodyText"/>
    <w:basedOn w:val="1"/>
    <w:next w:val="54"/>
    <w:qFormat/>
    <w:uiPriority w:val="0"/>
    <w:pPr>
      <w:spacing w:line="240" w:lineRule="auto"/>
      <w:jc w:val="left"/>
    </w:pPr>
    <w:rPr>
      <w:rFonts w:ascii="Calibri" w:hAnsi="Calibri"/>
      <w:b/>
      <w:kern w:val="2"/>
      <w:szCs w:val="24"/>
    </w:rPr>
  </w:style>
  <w:style w:type="paragraph" w:customStyle="1" w:styleId="54">
    <w:name w:val="UserStyle_1"/>
    <w:basedOn w:val="1"/>
    <w:next w:val="1"/>
    <w:qFormat/>
    <w:uiPriority w:val="0"/>
    <w:pPr>
      <w:spacing w:line="240" w:lineRule="auto"/>
      <w:jc w:val="left"/>
    </w:p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列出段落1"/>
    <w:basedOn w:val="1"/>
    <w:qFormat/>
    <w:uiPriority w:val="99"/>
    <w:pPr>
      <w:ind w:firstLine="420" w:firstLineChars="200"/>
    </w:pPr>
  </w:style>
  <w:style w:type="paragraph" w:customStyle="1" w:styleId="57">
    <w:name w:val="目录"/>
    <w:basedOn w:val="1"/>
    <w:qFormat/>
    <w:uiPriority w:val="0"/>
    <w:pPr>
      <w:spacing w:line="240" w:lineRule="auto"/>
      <w:jc w:val="center"/>
    </w:pPr>
    <w:rPr>
      <w:rFonts w:ascii="宋体"/>
      <w:b/>
      <w:sz w:val="36"/>
    </w:rPr>
  </w:style>
  <w:style w:type="paragraph" w:customStyle="1" w:styleId="58">
    <w:name w:val="正文缩进1"/>
    <w:basedOn w:val="1"/>
    <w:qFormat/>
    <w:uiPriority w:val="99"/>
    <w:pPr>
      <w:ind w:firstLine="420" w:firstLineChars="200"/>
    </w:pPr>
  </w:style>
  <w:style w:type="character" w:customStyle="1" w:styleId="59">
    <w:name w:val="button"/>
    <w:basedOn w:val="24"/>
    <w:qFormat/>
    <w:uiPriority w:val="0"/>
  </w:style>
  <w:style w:type="character" w:customStyle="1" w:styleId="60">
    <w:name w:val="hour_am"/>
    <w:basedOn w:val="24"/>
    <w:qFormat/>
    <w:uiPriority w:val="0"/>
  </w:style>
  <w:style w:type="character" w:customStyle="1" w:styleId="61">
    <w:name w:val="hover3"/>
    <w:basedOn w:val="24"/>
    <w:qFormat/>
    <w:uiPriority w:val="0"/>
    <w:rPr>
      <w:shd w:val="clear" w:color="auto" w:fill="EEEEEE"/>
    </w:rPr>
  </w:style>
  <w:style w:type="character" w:customStyle="1" w:styleId="62">
    <w:name w:val="old"/>
    <w:basedOn w:val="24"/>
    <w:qFormat/>
    <w:uiPriority w:val="0"/>
    <w:rPr>
      <w:color w:val="999999"/>
    </w:rPr>
  </w:style>
  <w:style w:type="character" w:customStyle="1" w:styleId="63">
    <w:name w:val="glyphicon4"/>
    <w:basedOn w:val="24"/>
    <w:qFormat/>
    <w:uiPriority w:val="0"/>
  </w:style>
  <w:style w:type="character" w:customStyle="1" w:styleId="64">
    <w:name w:val="hour_pm"/>
    <w:basedOn w:val="24"/>
    <w:qFormat/>
    <w:uiPriority w:val="0"/>
  </w:style>
  <w:style w:type="character" w:customStyle="1" w:styleId="65">
    <w:name w:val="indent"/>
    <w:basedOn w:val="24"/>
    <w:qFormat/>
    <w:uiPriority w:val="0"/>
  </w:style>
  <w:style w:type="character" w:customStyle="1" w:styleId="66">
    <w:name w:val="tmpztreemove_arrow"/>
    <w:basedOn w:val="24"/>
    <w:qFormat/>
    <w:uiPriority w:val="0"/>
    <w:rPr>
      <w:shd w:val="clear" w:color="auto" w:fill="FFFFFF"/>
    </w:rPr>
  </w:style>
  <w:style w:type="paragraph" w:customStyle="1" w:styleId="67">
    <w:name w:val="title12"/>
    <w:basedOn w:val="1"/>
    <w:qFormat/>
    <w:uiPriority w:val="0"/>
    <w:pPr>
      <w:spacing w:before="120"/>
      <w:jc w:val="left"/>
    </w:pPr>
    <w:rPr>
      <w:b/>
      <w:bCs/>
      <w:sz w:val="18"/>
      <w:szCs w:val="18"/>
    </w:rPr>
  </w:style>
  <w:style w:type="character" w:customStyle="1" w:styleId="68">
    <w:name w:val="hover2"/>
    <w:basedOn w:val="24"/>
    <w:qFormat/>
    <w:uiPriority w:val="0"/>
    <w:rPr>
      <w:shd w:val="clear" w:color="auto" w:fill="EEEEEE"/>
    </w:rPr>
  </w:style>
  <w:style w:type="character" w:customStyle="1" w:styleId="69">
    <w:name w:val="hover"/>
    <w:basedOn w:val="24"/>
    <w:qFormat/>
    <w:uiPriority w:val="0"/>
    <w:rPr>
      <w:shd w:val="clear" w:color="auto" w:fill="EEEEEE"/>
    </w:rPr>
  </w:style>
  <w:style w:type="character" w:customStyle="1" w:styleId="70">
    <w:name w:val="glyphicon"/>
    <w:basedOn w:val="24"/>
    <w:qFormat/>
    <w:uiPriority w:val="0"/>
  </w:style>
  <w:style w:type="character" w:customStyle="1" w:styleId="71">
    <w:name w:val="stclosebtn"/>
    <w:basedOn w:val="24"/>
    <w:qFormat/>
    <w:uiPriority w:val="0"/>
  </w:style>
  <w:style w:type="character" w:customStyle="1" w:styleId="72">
    <w:name w:val="beforeinfotext"/>
    <w:basedOn w:val="24"/>
    <w:qFormat/>
    <w:uiPriority w:val="0"/>
    <w:rPr>
      <w:color w:val="666666"/>
    </w:rPr>
  </w:style>
  <w:style w:type="character" w:customStyle="1" w:styleId="73">
    <w:name w:val="phone"/>
    <w:basedOn w:val="24"/>
    <w:qFormat/>
    <w:uiPriority w:val="0"/>
    <w:rPr>
      <w:color w:val="FF8833"/>
      <w:sz w:val="14"/>
      <w:szCs w:val="14"/>
    </w:rPr>
  </w:style>
  <w:style w:type="character" w:customStyle="1" w:styleId="74">
    <w:name w:val="number"/>
    <w:basedOn w:val="24"/>
    <w:qFormat/>
    <w:uiPriority w:val="0"/>
    <w:rPr>
      <w:color w:val="FF8833"/>
      <w:sz w:val="14"/>
      <w:szCs w:val="14"/>
    </w:rPr>
  </w:style>
  <w:style w:type="character" w:customStyle="1" w:styleId="75">
    <w:name w:val="proollist"/>
    <w:basedOn w:val="24"/>
    <w:qFormat/>
    <w:uiPriority w:val="0"/>
  </w:style>
  <w:style w:type="character" w:customStyle="1" w:styleId="76">
    <w:name w:val="批注框文本 Char"/>
    <w:basedOn w:val="24"/>
    <w:link w:val="13"/>
    <w:qFormat/>
    <w:uiPriority w:val="0"/>
    <w:rPr>
      <w:color w:val="000000"/>
      <w:sz w:val="18"/>
      <w:szCs w:val="18"/>
      <w:u w:color="00000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7.jpe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3.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54"/>
    <customShpInfo spid="_x0000_s2055"/>
    <customShpInfo spid="_x0000_s2052"/>
    <customShpInfo spid="_x0000_s2053"/>
    <customShpInfo spid="_x0000_s2051"/>
    <customShpInfo spid="_x0000_s2050"/>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344E35-DFC2-468A-AE18-0944D335B86E}">
  <ds:schemaRefs/>
</ds:datastoreItem>
</file>

<file path=docProps/app.xml><?xml version="1.0" encoding="utf-8"?>
<Properties xmlns="http://schemas.openxmlformats.org/officeDocument/2006/extended-properties" xmlns:vt="http://schemas.openxmlformats.org/officeDocument/2006/docPropsVTypes">
  <Template>Normal</Template>
  <Pages>100</Pages>
  <Words>8071</Words>
  <Characters>46010</Characters>
  <Lines>383</Lines>
  <Paragraphs>107</Paragraphs>
  <TotalTime>28</TotalTime>
  <ScaleCrop>false</ScaleCrop>
  <LinksUpToDate>false</LinksUpToDate>
  <CharactersWithSpaces>53974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2019-08-30T06:02:00Z</dcterms:created>
  <dc:creator>Administrator</dc:creator>
  <cp:lastModifiedBy>Administrator</cp:lastModifiedBy>
  <dcterms:modified xsi:type="dcterms:W3CDTF">2022-04-06T02:35:57Z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8820BDBC32694F8B90138D24A589AD0B</vt:lpwstr>
  </property>
</Properties>
</file>